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192F261E" w:rsidR="009F77A4" w:rsidRDefault="00DD466D" w:rsidP="00387A66">
      <w:pPr>
        <w:pStyle w:val="Heading1"/>
      </w:pPr>
      <w:r>
        <w:t>1.ИМЕ НА ЛЕКАРСТВЕНИЯ ПРОДУКТ</w:t>
      </w:r>
    </w:p>
    <w:p w14:paraId="40D60E29" w14:textId="6EEA1CC0" w:rsidR="002943F0" w:rsidRDefault="002943F0" w:rsidP="002943F0"/>
    <w:p w14:paraId="7E0BA577" w14:textId="77777777" w:rsidR="002943F0" w:rsidRDefault="002943F0" w:rsidP="002943F0">
      <w:pPr>
        <w:rPr>
          <w:lang w:eastAsia="bg-BG"/>
        </w:rPr>
      </w:pPr>
      <w:r>
        <w:rPr>
          <w:b/>
          <w:bCs/>
          <w:lang w:eastAsia="bg-BG"/>
        </w:rPr>
        <w:t xml:space="preserve">Дуфастон 10 </w:t>
      </w:r>
      <w:r>
        <w:t xml:space="preserve">mg </w:t>
      </w:r>
      <w:r>
        <w:rPr>
          <w:lang w:eastAsia="bg-BG"/>
        </w:rPr>
        <w:t xml:space="preserve">филмирани таблетки </w:t>
      </w:r>
    </w:p>
    <w:p w14:paraId="265DD422" w14:textId="24341B65" w:rsidR="002943F0" w:rsidRPr="002943F0" w:rsidRDefault="002943F0" w:rsidP="002943F0">
      <w:r>
        <w:rPr>
          <w:b/>
          <w:bCs/>
        </w:rPr>
        <w:t xml:space="preserve">Duphaston </w:t>
      </w:r>
      <w:r>
        <w:rPr>
          <w:b/>
          <w:bCs/>
          <w:lang w:eastAsia="bg-BG"/>
        </w:rPr>
        <w:t xml:space="preserve">10 </w:t>
      </w:r>
      <w:r>
        <w:rPr>
          <w:b/>
          <w:bCs/>
        </w:rPr>
        <w:t xml:space="preserve">mg </w:t>
      </w:r>
      <w:r>
        <w:t>film-coated tablets</w:t>
      </w:r>
    </w:p>
    <w:p w14:paraId="0DF202EC" w14:textId="61A292AB" w:rsidR="00F53FB7" w:rsidRDefault="00DD466D" w:rsidP="00A93499">
      <w:pPr>
        <w:pStyle w:val="Heading1"/>
      </w:pPr>
      <w:r>
        <w:t>2. КАЧЕСТВЕН И КОЛИЧЕСТВЕН СЪСТАВ</w:t>
      </w:r>
    </w:p>
    <w:p w14:paraId="34E1957F" w14:textId="4D30E7C7" w:rsidR="002943F0" w:rsidRDefault="002943F0" w:rsidP="002943F0"/>
    <w:p w14:paraId="0E7081C3" w14:textId="77777777" w:rsidR="002943F0" w:rsidRPr="002943F0" w:rsidRDefault="002943F0" w:rsidP="002943F0">
      <w:pPr>
        <w:rPr>
          <w:sz w:val="24"/>
          <w:szCs w:val="24"/>
          <w:lang w:eastAsia="bg-BG"/>
        </w:rPr>
      </w:pPr>
      <w:r w:rsidRPr="002943F0">
        <w:rPr>
          <w:lang w:eastAsia="bg-BG"/>
        </w:rPr>
        <w:t xml:space="preserve">Всяка таблетка съдържа 10 </w:t>
      </w:r>
      <w:r w:rsidRPr="002943F0">
        <w:rPr>
          <w:lang w:val="en-US"/>
        </w:rPr>
        <w:t xml:space="preserve">mg </w:t>
      </w:r>
      <w:r w:rsidRPr="002943F0">
        <w:rPr>
          <w:lang w:eastAsia="bg-BG"/>
        </w:rPr>
        <w:t xml:space="preserve">дидрогестерон </w:t>
      </w:r>
      <w:r w:rsidRPr="002943F0">
        <w:rPr>
          <w:i/>
          <w:iCs/>
          <w:lang w:val="en-US"/>
        </w:rPr>
        <w:t>(</w:t>
      </w:r>
      <w:proofErr w:type="spellStart"/>
      <w:r w:rsidRPr="002943F0">
        <w:rPr>
          <w:i/>
          <w:iCs/>
          <w:lang w:val="en-US"/>
        </w:rPr>
        <w:t>dydrogesterone</w:t>
      </w:r>
      <w:proofErr w:type="spellEnd"/>
      <w:r w:rsidRPr="002943F0">
        <w:rPr>
          <w:i/>
          <w:iCs/>
          <w:lang w:val="en-US"/>
        </w:rPr>
        <w:t>).</w:t>
      </w:r>
    </w:p>
    <w:p w14:paraId="0D2EDCCD" w14:textId="77777777" w:rsidR="002943F0" w:rsidRPr="002943F0" w:rsidRDefault="002943F0" w:rsidP="002943F0">
      <w:pPr>
        <w:rPr>
          <w:sz w:val="24"/>
          <w:szCs w:val="24"/>
          <w:lang w:eastAsia="bg-BG"/>
        </w:rPr>
      </w:pPr>
      <w:r w:rsidRPr="002943F0">
        <w:rPr>
          <w:lang w:eastAsia="bg-BG"/>
        </w:rPr>
        <w:t xml:space="preserve">Помощни вещества с известно действие: всяка таблетка съдържа 111,1 </w:t>
      </w:r>
      <w:r w:rsidRPr="002943F0">
        <w:rPr>
          <w:lang w:val="en-US"/>
        </w:rPr>
        <w:t xml:space="preserve">mg </w:t>
      </w:r>
      <w:r w:rsidRPr="002943F0">
        <w:rPr>
          <w:lang w:eastAsia="bg-BG"/>
        </w:rPr>
        <w:t>лактоза монохидрат.</w:t>
      </w:r>
    </w:p>
    <w:p w14:paraId="6838916F" w14:textId="77777777" w:rsidR="002943F0" w:rsidRPr="002943F0" w:rsidRDefault="002943F0" w:rsidP="002943F0"/>
    <w:p w14:paraId="4CABB9ED" w14:textId="0FA71037" w:rsidR="00F53FB7" w:rsidRDefault="00DD466D" w:rsidP="00A93499">
      <w:pPr>
        <w:pStyle w:val="Heading1"/>
      </w:pPr>
      <w:r>
        <w:t>3. ЛЕКАРСТВЕНА ФОРМА</w:t>
      </w:r>
    </w:p>
    <w:p w14:paraId="1725C86D" w14:textId="1F86CB27" w:rsidR="002943F0" w:rsidRDefault="002943F0" w:rsidP="002943F0"/>
    <w:p w14:paraId="2A3EA5ED" w14:textId="77777777" w:rsidR="002943F0" w:rsidRPr="002943F0" w:rsidRDefault="002943F0" w:rsidP="002943F0">
      <w:pPr>
        <w:rPr>
          <w:sz w:val="24"/>
          <w:szCs w:val="24"/>
          <w:lang w:eastAsia="bg-BG"/>
        </w:rPr>
      </w:pPr>
      <w:r w:rsidRPr="002943F0">
        <w:rPr>
          <w:lang w:eastAsia="bg-BG"/>
        </w:rPr>
        <w:t xml:space="preserve">Кръгли, биконвексни, с делителна черта филмирани таблетки с бял цвят; от едната страна със знак „155” от двете страни на делителната черта (размер 7 </w:t>
      </w:r>
      <w:r w:rsidRPr="002943F0">
        <w:rPr>
          <w:lang w:val="en-US"/>
        </w:rPr>
        <w:t>mm).</w:t>
      </w:r>
    </w:p>
    <w:p w14:paraId="112C4A92" w14:textId="5B4BBE04" w:rsidR="002943F0" w:rsidRPr="002943F0" w:rsidRDefault="002943F0" w:rsidP="002943F0">
      <w:pPr>
        <w:rPr>
          <w:sz w:val="24"/>
          <w:szCs w:val="24"/>
          <w:lang w:eastAsia="bg-BG"/>
        </w:rPr>
      </w:pPr>
      <w:r w:rsidRPr="002943F0">
        <w:rPr>
          <w:lang w:eastAsia="bg-BG"/>
        </w:rPr>
        <w:t>Делителната черта е само за улесняване на счупването с цел по-лесно поглъщане, а не за разделяне на равни дози.</w:t>
      </w:r>
    </w:p>
    <w:p w14:paraId="490FC2C4" w14:textId="6899DE43" w:rsidR="002C50EE" w:rsidRDefault="002C50EE" w:rsidP="002C50EE">
      <w:pPr>
        <w:pStyle w:val="Heading1"/>
      </w:pPr>
      <w:r>
        <w:t>4. КЛИНИЧНИ ДАННИ</w:t>
      </w:r>
    </w:p>
    <w:p w14:paraId="461901E4" w14:textId="402EA494" w:rsidR="009F77A4" w:rsidRDefault="002C50EE" w:rsidP="00387A66">
      <w:pPr>
        <w:pStyle w:val="Heading2"/>
      </w:pPr>
      <w:r>
        <w:t>4.1. Терапевтични показания</w:t>
      </w:r>
    </w:p>
    <w:p w14:paraId="586C90BD" w14:textId="57F98DBB" w:rsidR="002943F0" w:rsidRDefault="002943F0" w:rsidP="002943F0"/>
    <w:p w14:paraId="59AD1CB3"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u w:val="single"/>
          <w:lang w:eastAsia="bg-BG"/>
        </w:rPr>
        <w:t>Прогестеронова недостатъчност</w:t>
      </w:r>
    </w:p>
    <w:p w14:paraId="0DE9C931" w14:textId="77777777" w:rsidR="002943F0" w:rsidRPr="002943F0" w:rsidRDefault="002943F0" w:rsidP="002943F0">
      <w:pPr>
        <w:pStyle w:val="ListParagraph"/>
        <w:numPr>
          <w:ilvl w:val="0"/>
          <w:numId w:val="40"/>
        </w:numPr>
        <w:spacing w:line="240" w:lineRule="auto"/>
        <w:rPr>
          <w:rFonts w:eastAsia="Times New Roman" w:cs="Arial"/>
          <w:color w:val="000000"/>
          <w:lang w:eastAsia="bg-BG"/>
        </w:rPr>
      </w:pPr>
      <w:r w:rsidRPr="002943F0">
        <w:rPr>
          <w:rFonts w:eastAsia="Times New Roman" w:cs="Arial"/>
          <w:color w:val="000000"/>
          <w:lang w:eastAsia="bg-BG"/>
        </w:rPr>
        <w:t>Лечение на дисменорея</w:t>
      </w:r>
    </w:p>
    <w:p w14:paraId="4ABF6069" w14:textId="77777777" w:rsidR="002943F0" w:rsidRPr="002943F0" w:rsidRDefault="002943F0" w:rsidP="002943F0">
      <w:pPr>
        <w:pStyle w:val="ListParagraph"/>
        <w:numPr>
          <w:ilvl w:val="0"/>
          <w:numId w:val="40"/>
        </w:numPr>
        <w:spacing w:line="240" w:lineRule="auto"/>
        <w:rPr>
          <w:rFonts w:eastAsia="Times New Roman" w:cs="Arial"/>
          <w:color w:val="000000"/>
          <w:lang w:eastAsia="bg-BG"/>
        </w:rPr>
      </w:pPr>
      <w:r w:rsidRPr="002943F0">
        <w:rPr>
          <w:rFonts w:eastAsia="Times New Roman" w:cs="Arial"/>
          <w:color w:val="000000"/>
          <w:lang w:eastAsia="bg-BG"/>
        </w:rPr>
        <w:t>Лечение на ендометриоза</w:t>
      </w:r>
    </w:p>
    <w:p w14:paraId="0CCCE04F" w14:textId="77777777" w:rsidR="002943F0" w:rsidRPr="002943F0" w:rsidRDefault="002943F0" w:rsidP="002943F0">
      <w:pPr>
        <w:pStyle w:val="ListParagraph"/>
        <w:numPr>
          <w:ilvl w:val="0"/>
          <w:numId w:val="40"/>
        </w:numPr>
        <w:spacing w:line="240" w:lineRule="auto"/>
        <w:rPr>
          <w:rFonts w:eastAsia="Times New Roman" w:cs="Arial"/>
          <w:color w:val="000000"/>
          <w:lang w:eastAsia="bg-BG"/>
        </w:rPr>
      </w:pPr>
      <w:r w:rsidRPr="002943F0">
        <w:rPr>
          <w:rFonts w:eastAsia="Times New Roman" w:cs="Arial"/>
          <w:color w:val="000000"/>
          <w:lang w:eastAsia="bg-BG"/>
        </w:rPr>
        <w:t>Лечение на вторична аменорея</w:t>
      </w:r>
    </w:p>
    <w:p w14:paraId="73945898" w14:textId="77777777" w:rsidR="002943F0" w:rsidRPr="002943F0" w:rsidRDefault="002943F0" w:rsidP="002943F0">
      <w:pPr>
        <w:pStyle w:val="ListParagraph"/>
        <w:numPr>
          <w:ilvl w:val="0"/>
          <w:numId w:val="40"/>
        </w:numPr>
        <w:spacing w:line="240" w:lineRule="auto"/>
        <w:rPr>
          <w:rFonts w:eastAsia="Times New Roman" w:cs="Arial"/>
          <w:color w:val="000000"/>
          <w:lang w:eastAsia="bg-BG"/>
        </w:rPr>
      </w:pPr>
      <w:r w:rsidRPr="002943F0">
        <w:rPr>
          <w:rFonts w:eastAsia="Times New Roman" w:cs="Arial"/>
          <w:color w:val="000000"/>
          <w:lang w:eastAsia="bg-BG"/>
        </w:rPr>
        <w:t>Лечение на нередовен менструален цикъл</w:t>
      </w:r>
    </w:p>
    <w:p w14:paraId="32F51280" w14:textId="77777777" w:rsidR="002943F0" w:rsidRPr="002943F0" w:rsidRDefault="002943F0" w:rsidP="002943F0">
      <w:pPr>
        <w:pStyle w:val="ListParagraph"/>
        <w:numPr>
          <w:ilvl w:val="0"/>
          <w:numId w:val="40"/>
        </w:numPr>
        <w:spacing w:line="240" w:lineRule="auto"/>
        <w:rPr>
          <w:rFonts w:eastAsia="Times New Roman" w:cs="Arial"/>
          <w:color w:val="000000"/>
          <w:lang w:eastAsia="bg-BG"/>
        </w:rPr>
      </w:pPr>
      <w:r w:rsidRPr="002943F0">
        <w:rPr>
          <w:rFonts w:eastAsia="Times New Roman" w:cs="Arial"/>
          <w:color w:val="000000"/>
          <w:lang w:eastAsia="bg-BG"/>
        </w:rPr>
        <w:t>Лечение на дисфункционални маточни кръвотечения</w:t>
      </w:r>
    </w:p>
    <w:p w14:paraId="13891EC2" w14:textId="77777777" w:rsidR="002943F0" w:rsidRPr="002943F0" w:rsidRDefault="002943F0" w:rsidP="002943F0">
      <w:pPr>
        <w:pStyle w:val="ListParagraph"/>
        <w:numPr>
          <w:ilvl w:val="0"/>
          <w:numId w:val="40"/>
        </w:numPr>
        <w:spacing w:line="240" w:lineRule="auto"/>
        <w:rPr>
          <w:rFonts w:eastAsia="Times New Roman" w:cs="Arial"/>
          <w:color w:val="000000"/>
          <w:lang w:eastAsia="bg-BG"/>
        </w:rPr>
      </w:pPr>
      <w:r w:rsidRPr="002943F0">
        <w:rPr>
          <w:rFonts w:eastAsia="Times New Roman" w:cs="Arial"/>
          <w:color w:val="000000"/>
          <w:lang w:eastAsia="bg-BG"/>
        </w:rPr>
        <w:t>Лечение на пременструален синдром</w:t>
      </w:r>
    </w:p>
    <w:p w14:paraId="67148BCE" w14:textId="77777777" w:rsidR="002943F0" w:rsidRPr="002943F0" w:rsidRDefault="002943F0" w:rsidP="002943F0">
      <w:pPr>
        <w:pStyle w:val="ListParagraph"/>
        <w:numPr>
          <w:ilvl w:val="0"/>
          <w:numId w:val="40"/>
        </w:numPr>
        <w:spacing w:line="240" w:lineRule="auto"/>
        <w:rPr>
          <w:rFonts w:eastAsia="Times New Roman" w:cs="Arial"/>
          <w:color w:val="000000"/>
          <w:lang w:eastAsia="bg-BG"/>
        </w:rPr>
      </w:pPr>
      <w:r w:rsidRPr="002943F0">
        <w:rPr>
          <w:rFonts w:eastAsia="Times New Roman" w:cs="Arial"/>
          <w:color w:val="000000"/>
          <w:lang w:eastAsia="bg-BG"/>
        </w:rPr>
        <w:t>Лечение на заплашващ аборт</w:t>
      </w:r>
    </w:p>
    <w:p w14:paraId="68BCD692" w14:textId="77777777" w:rsidR="002943F0" w:rsidRPr="002943F0" w:rsidRDefault="002943F0" w:rsidP="002943F0">
      <w:pPr>
        <w:pStyle w:val="ListParagraph"/>
        <w:numPr>
          <w:ilvl w:val="0"/>
          <w:numId w:val="40"/>
        </w:numPr>
        <w:spacing w:line="240" w:lineRule="auto"/>
        <w:rPr>
          <w:rFonts w:eastAsia="Times New Roman" w:cs="Arial"/>
          <w:color w:val="000000"/>
          <w:lang w:eastAsia="bg-BG"/>
        </w:rPr>
      </w:pPr>
      <w:r w:rsidRPr="002943F0">
        <w:rPr>
          <w:rFonts w:eastAsia="Times New Roman" w:cs="Arial"/>
          <w:color w:val="000000"/>
          <w:lang w:eastAsia="bg-BG"/>
        </w:rPr>
        <w:t>Лечение на хабитуален аборт</w:t>
      </w:r>
    </w:p>
    <w:p w14:paraId="2A6DC5DA" w14:textId="38C4960A" w:rsidR="002943F0" w:rsidRPr="002943F0" w:rsidRDefault="002943F0" w:rsidP="002943F0">
      <w:pPr>
        <w:pStyle w:val="ListParagraph"/>
        <w:numPr>
          <w:ilvl w:val="0"/>
          <w:numId w:val="40"/>
        </w:numPr>
        <w:spacing w:line="240" w:lineRule="auto"/>
        <w:rPr>
          <w:rFonts w:eastAsia="Times New Roman" w:cs="Arial"/>
          <w:color w:val="000000"/>
          <w:lang w:eastAsia="bg-BG"/>
        </w:rPr>
      </w:pPr>
      <w:r w:rsidRPr="002943F0">
        <w:rPr>
          <w:rFonts w:eastAsia="Times New Roman" w:cs="Arial"/>
          <w:color w:val="000000"/>
          <w:lang w:eastAsia="bg-BG"/>
        </w:rPr>
        <w:t>Лечение на инфертилитет, който се дължи на лутеинова недостатъчност</w:t>
      </w:r>
    </w:p>
    <w:p w14:paraId="1DD58601" w14:textId="77777777" w:rsidR="002943F0" w:rsidRPr="002943F0" w:rsidRDefault="002943F0" w:rsidP="002943F0">
      <w:pPr>
        <w:spacing w:line="240" w:lineRule="auto"/>
        <w:rPr>
          <w:rFonts w:eastAsia="Times New Roman" w:cs="Arial"/>
          <w:color w:val="000000"/>
          <w:u w:val="single"/>
          <w:lang w:eastAsia="bg-BG"/>
        </w:rPr>
      </w:pPr>
    </w:p>
    <w:p w14:paraId="504BFA76" w14:textId="0B60DB9B"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u w:val="single"/>
          <w:lang w:eastAsia="bg-BG"/>
        </w:rPr>
        <w:t>Хормонозаместителна терапия</w:t>
      </w:r>
    </w:p>
    <w:p w14:paraId="0DD45889"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Неутрализиране действието на естрогените върху ендометриума при хормонозаместителна терапия на жени, чиито нарушения се дължат на естествена или хирургично предизвикана менопауза с интактна матка.</w:t>
      </w:r>
    </w:p>
    <w:p w14:paraId="1BBF2E6E" w14:textId="77777777" w:rsidR="002943F0" w:rsidRPr="002943F0" w:rsidRDefault="002943F0" w:rsidP="002943F0"/>
    <w:p w14:paraId="31744E5A" w14:textId="53E9B156" w:rsidR="009F77A4" w:rsidRDefault="002C50EE" w:rsidP="00387A66">
      <w:pPr>
        <w:pStyle w:val="Heading2"/>
      </w:pPr>
      <w:r>
        <w:t>4.2. Дозировка и начин на приложение</w:t>
      </w:r>
    </w:p>
    <w:p w14:paraId="474519F7" w14:textId="4101FDE2" w:rsidR="002943F0" w:rsidRDefault="002943F0" w:rsidP="002943F0"/>
    <w:p w14:paraId="0283D505" w14:textId="77777777" w:rsidR="002943F0" w:rsidRPr="002943F0" w:rsidRDefault="002943F0" w:rsidP="002943F0">
      <w:pPr>
        <w:pStyle w:val="Heading3"/>
        <w:rPr>
          <w:rFonts w:eastAsia="Times New Roman"/>
          <w:u w:val="single"/>
          <w:lang w:eastAsia="bg-BG"/>
        </w:rPr>
      </w:pPr>
      <w:r w:rsidRPr="002943F0">
        <w:rPr>
          <w:rFonts w:eastAsia="Times New Roman"/>
          <w:u w:val="single"/>
          <w:lang w:eastAsia="bg-BG"/>
        </w:rPr>
        <w:lastRenderedPageBreak/>
        <w:t>Дозировка</w:t>
      </w:r>
    </w:p>
    <w:p w14:paraId="168FD113"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Дозировките, схемите на лечение и продължителността на лечение могат да бъдат адаптирани към тежестта на дисфункцията и клиничния отговор.</w:t>
      </w:r>
    </w:p>
    <w:p w14:paraId="2654787C"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i/>
          <w:iCs/>
          <w:color w:val="000000"/>
          <w:lang w:eastAsia="bg-BG"/>
        </w:rPr>
        <w:t>Дисменорея</w:t>
      </w:r>
    </w:p>
    <w:p w14:paraId="1848F8A5" w14:textId="27864185"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 xml:space="preserve">10 </w:t>
      </w:r>
      <w:r w:rsidRPr="002943F0">
        <w:rPr>
          <w:rFonts w:eastAsia="Times New Roman" w:cs="Arial"/>
          <w:color w:val="000000"/>
          <w:lang w:val="en-US"/>
        </w:rPr>
        <w:t xml:space="preserve">mg </w:t>
      </w:r>
      <w:r w:rsidRPr="002943F0">
        <w:rPr>
          <w:rFonts w:eastAsia="Times New Roman" w:cs="Arial"/>
          <w:color w:val="000000"/>
          <w:lang w:eastAsia="bg-BG"/>
        </w:rPr>
        <w:t xml:space="preserve">или 20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дневно от 5-я до 25-я ден на менструалния цикъл</w:t>
      </w:r>
      <w:bookmarkStart w:id="1" w:name="bookmark0"/>
      <w:bookmarkEnd w:id="1"/>
    </w:p>
    <w:p w14:paraId="648C5B7D" w14:textId="77777777" w:rsidR="002943F0" w:rsidRPr="002943F0" w:rsidRDefault="002943F0" w:rsidP="002943F0">
      <w:pPr>
        <w:rPr>
          <w:rFonts w:cs="Arial"/>
          <w:lang w:eastAsia="bg-BG"/>
        </w:rPr>
      </w:pPr>
    </w:p>
    <w:p w14:paraId="42779C7F"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i/>
          <w:iCs/>
          <w:color w:val="000000"/>
          <w:lang w:eastAsia="bg-BG"/>
        </w:rPr>
        <w:t>Ендометриоза</w:t>
      </w:r>
    </w:p>
    <w:p w14:paraId="0475A930" w14:textId="0308F4F5" w:rsidR="002943F0" w:rsidRPr="002943F0" w:rsidRDefault="002943F0" w:rsidP="002943F0">
      <w:pPr>
        <w:rPr>
          <w:rFonts w:eastAsia="Times New Roman" w:cs="Arial"/>
          <w:color w:val="000000"/>
          <w:lang w:eastAsia="bg-BG"/>
        </w:rPr>
      </w:pPr>
      <w:r w:rsidRPr="002943F0">
        <w:rPr>
          <w:rFonts w:eastAsia="Times New Roman" w:cs="Arial"/>
          <w:color w:val="000000"/>
          <w:lang w:eastAsia="bg-BG"/>
        </w:rPr>
        <w:t xml:space="preserve">10 </w:t>
      </w:r>
      <w:r w:rsidRPr="002943F0">
        <w:rPr>
          <w:rFonts w:eastAsia="Times New Roman" w:cs="Arial"/>
          <w:color w:val="000000"/>
          <w:lang w:val="en-US"/>
        </w:rPr>
        <w:t xml:space="preserve">mg </w:t>
      </w:r>
      <w:r w:rsidRPr="002943F0">
        <w:rPr>
          <w:rFonts w:eastAsia="Times New Roman" w:cs="Arial"/>
          <w:color w:val="000000"/>
          <w:lang w:eastAsia="bg-BG"/>
        </w:rPr>
        <w:t xml:space="preserve">до 30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дневно от 5-я до 25-я ден на цикъла или непрекъснато.</w:t>
      </w:r>
    </w:p>
    <w:p w14:paraId="09AA1F44" w14:textId="5E7E3963" w:rsidR="002943F0" w:rsidRPr="002943F0" w:rsidRDefault="002943F0" w:rsidP="002943F0">
      <w:pPr>
        <w:rPr>
          <w:rFonts w:eastAsia="Times New Roman" w:cs="Arial"/>
          <w:color w:val="000000"/>
          <w:lang w:eastAsia="bg-BG"/>
        </w:rPr>
      </w:pPr>
    </w:p>
    <w:p w14:paraId="575A17B9"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i/>
          <w:iCs/>
          <w:color w:val="000000"/>
          <w:lang w:eastAsia="bg-BG"/>
        </w:rPr>
        <w:t>Дисфункционално маточно кървене</w:t>
      </w:r>
    </w:p>
    <w:p w14:paraId="364CF876"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 xml:space="preserve">Когато лечението се започва за спиране на кървенето - 20 </w:t>
      </w:r>
      <w:r w:rsidRPr="002943F0">
        <w:rPr>
          <w:rFonts w:eastAsia="Times New Roman" w:cs="Arial"/>
          <w:color w:val="000000"/>
          <w:lang w:val="en-US"/>
        </w:rPr>
        <w:t xml:space="preserve">mg </w:t>
      </w:r>
      <w:r w:rsidRPr="002943F0">
        <w:rPr>
          <w:rFonts w:eastAsia="Times New Roman" w:cs="Arial"/>
          <w:color w:val="000000"/>
          <w:lang w:eastAsia="bg-BG"/>
        </w:rPr>
        <w:t xml:space="preserve">или 30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дневно в продължение на до 10 дни.</w:t>
      </w:r>
    </w:p>
    <w:p w14:paraId="41E4A20E"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 xml:space="preserve">За продължително лечение - 10 </w:t>
      </w:r>
      <w:r w:rsidRPr="002943F0">
        <w:rPr>
          <w:rFonts w:eastAsia="Times New Roman" w:cs="Arial"/>
          <w:color w:val="000000"/>
          <w:lang w:val="en-US"/>
        </w:rPr>
        <w:t xml:space="preserve">mg </w:t>
      </w:r>
      <w:r w:rsidRPr="002943F0">
        <w:rPr>
          <w:rFonts w:eastAsia="Times New Roman" w:cs="Arial"/>
          <w:color w:val="000000"/>
          <w:lang w:eastAsia="bg-BG"/>
        </w:rPr>
        <w:t xml:space="preserve">или 20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дневно по време на втората половина на менструалния цикъл. Първият ден на лечение и броят на дните лечение зависят от продължителността на индивидуалния цикъл.</w:t>
      </w:r>
    </w:p>
    <w:p w14:paraId="7B29CF18"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Кръвотечение на отнемане се появява, ако ендометриумът е подготвен предварително с ендогенен или екзогенен естроген.</w:t>
      </w:r>
    </w:p>
    <w:p w14:paraId="480322BC" w14:textId="77777777" w:rsidR="002943F0" w:rsidRPr="002943F0" w:rsidRDefault="002943F0" w:rsidP="002943F0">
      <w:pPr>
        <w:spacing w:line="240" w:lineRule="auto"/>
        <w:rPr>
          <w:rFonts w:eastAsia="Times New Roman" w:cs="Arial"/>
          <w:i/>
          <w:iCs/>
          <w:color w:val="000000"/>
          <w:lang w:eastAsia="bg-BG"/>
        </w:rPr>
      </w:pPr>
    </w:p>
    <w:p w14:paraId="0DFACE06" w14:textId="0444371E" w:rsidR="002943F0" w:rsidRPr="002943F0" w:rsidRDefault="002943F0" w:rsidP="002943F0">
      <w:pPr>
        <w:spacing w:line="240" w:lineRule="auto"/>
        <w:rPr>
          <w:rFonts w:eastAsia="Times New Roman" w:cs="Arial"/>
          <w:sz w:val="24"/>
          <w:szCs w:val="24"/>
          <w:lang w:eastAsia="bg-BG"/>
        </w:rPr>
      </w:pPr>
      <w:r w:rsidRPr="002943F0">
        <w:rPr>
          <w:rFonts w:eastAsia="Times New Roman" w:cs="Arial"/>
          <w:i/>
          <w:iCs/>
          <w:color w:val="000000"/>
          <w:lang w:eastAsia="bg-BG"/>
        </w:rPr>
        <w:t>Вторична аменорея</w:t>
      </w:r>
    </w:p>
    <w:p w14:paraId="69BE6ADC"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 xml:space="preserve">10 </w:t>
      </w:r>
      <w:r w:rsidRPr="002943F0">
        <w:rPr>
          <w:rFonts w:eastAsia="Times New Roman" w:cs="Arial"/>
          <w:color w:val="000000"/>
          <w:lang w:val="en-US"/>
        </w:rPr>
        <w:t xml:space="preserve">mg </w:t>
      </w:r>
      <w:r w:rsidRPr="002943F0">
        <w:rPr>
          <w:rFonts w:eastAsia="Times New Roman" w:cs="Arial"/>
          <w:color w:val="000000"/>
          <w:lang w:eastAsia="bg-BG"/>
        </w:rPr>
        <w:t xml:space="preserve">или 20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дневно в продължение на 14 дни по време на втората половина от теоретичния менструален цикъл за постигане на оптимална секреторна трансформация на ендометриума, който е подготвен предварително с ендогенен или екзогенен естроген.</w:t>
      </w:r>
    </w:p>
    <w:p w14:paraId="486450C6" w14:textId="77777777" w:rsidR="002943F0" w:rsidRPr="002943F0" w:rsidRDefault="002943F0" w:rsidP="002943F0">
      <w:pPr>
        <w:spacing w:line="240" w:lineRule="auto"/>
        <w:rPr>
          <w:rFonts w:eastAsia="Times New Roman" w:cs="Arial"/>
          <w:i/>
          <w:iCs/>
          <w:color w:val="000000"/>
          <w:lang w:eastAsia="bg-BG"/>
        </w:rPr>
      </w:pPr>
    </w:p>
    <w:p w14:paraId="491659FB" w14:textId="3B585FE9" w:rsidR="002943F0" w:rsidRPr="002943F0" w:rsidRDefault="002943F0" w:rsidP="002943F0">
      <w:pPr>
        <w:spacing w:line="240" w:lineRule="auto"/>
        <w:rPr>
          <w:rFonts w:eastAsia="Times New Roman" w:cs="Arial"/>
          <w:sz w:val="24"/>
          <w:szCs w:val="24"/>
          <w:lang w:eastAsia="bg-BG"/>
        </w:rPr>
      </w:pPr>
      <w:r w:rsidRPr="002943F0">
        <w:rPr>
          <w:rFonts w:eastAsia="Times New Roman" w:cs="Arial"/>
          <w:i/>
          <w:iCs/>
          <w:color w:val="000000"/>
          <w:lang w:eastAsia="bg-BG"/>
        </w:rPr>
        <w:t>Пременструален синдром</w:t>
      </w:r>
    </w:p>
    <w:p w14:paraId="7986C6C6"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 xml:space="preserve">10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два пъти дневно, с начало втората половина на менструалния цикъл до първия ден на следващия цикъл. Първият ден на лечението и броят на дните лечение зависят от продължителността на индивидуалния цикъл.</w:t>
      </w:r>
    </w:p>
    <w:p w14:paraId="60F683AC" w14:textId="77777777" w:rsidR="002943F0" w:rsidRPr="002943F0" w:rsidRDefault="002943F0" w:rsidP="002943F0">
      <w:pPr>
        <w:spacing w:line="240" w:lineRule="auto"/>
        <w:rPr>
          <w:rFonts w:eastAsia="Times New Roman" w:cs="Arial"/>
          <w:i/>
          <w:iCs/>
          <w:color w:val="000000"/>
          <w:lang w:eastAsia="bg-BG"/>
        </w:rPr>
      </w:pPr>
    </w:p>
    <w:p w14:paraId="42849CE8" w14:textId="4B7BA1AF" w:rsidR="002943F0" w:rsidRPr="002943F0" w:rsidRDefault="002943F0" w:rsidP="002943F0">
      <w:pPr>
        <w:spacing w:line="240" w:lineRule="auto"/>
        <w:rPr>
          <w:rFonts w:eastAsia="Times New Roman" w:cs="Arial"/>
          <w:sz w:val="24"/>
          <w:szCs w:val="24"/>
          <w:lang w:eastAsia="bg-BG"/>
        </w:rPr>
      </w:pPr>
      <w:r w:rsidRPr="002943F0">
        <w:rPr>
          <w:rFonts w:eastAsia="Times New Roman" w:cs="Arial"/>
          <w:i/>
          <w:iCs/>
          <w:color w:val="000000"/>
          <w:lang w:eastAsia="bg-BG"/>
        </w:rPr>
        <w:t>Нередовни цикли</w:t>
      </w:r>
    </w:p>
    <w:p w14:paraId="7484373C"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 xml:space="preserve">10 </w:t>
      </w:r>
      <w:r w:rsidRPr="002943F0">
        <w:rPr>
          <w:rFonts w:eastAsia="Times New Roman" w:cs="Arial"/>
          <w:color w:val="000000"/>
          <w:lang w:val="en-US"/>
        </w:rPr>
        <w:t xml:space="preserve">mg </w:t>
      </w:r>
      <w:r w:rsidRPr="002943F0">
        <w:rPr>
          <w:rFonts w:eastAsia="Times New Roman" w:cs="Arial"/>
          <w:color w:val="000000"/>
          <w:lang w:eastAsia="bg-BG"/>
        </w:rPr>
        <w:t xml:space="preserve">или 20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дневно с начало втората половина на менструалния цикъл до първия ден на следващия цикъл. Първият ден на лечението и броят на дните лечение зависят от продължителността на индивидуалния цикъл.</w:t>
      </w:r>
    </w:p>
    <w:p w14:paraId="165DE0B1" w14:textId="77777777" w:rsidR="002943F0" w:rsidRPr="002943F0" w:rsidRDefault="002943F0" w:rsidP="002943F0">
      <w:pPr>
        <w:spacing w:line="240" w:lineRule="auto"/>
        <w:rPr>
          <w:rFonts w:eastAsia="Times New Roman" w:cs="Arial"/>
          <w:i/>
          <w:iCs/>
          <w:color w:val="000000"/>
          <w:lang w:eastAsia="bg-BG"/>
        </w:rPr>
      </w:pPr>
    </w:p>
    <w:p w14:paraId="0F47F987" w14:textId="6C265A2A" w:rsidR="002943F0" w:rsidRPr="002943F0" w:rsidRDefault="002943F0" w:rsidP="002943F0">
      <w:pPr>
        <w:spacing w:line="240" w:lineRule="auto"/>
        <w:rPr>
          <w:rFonts w:eastAsia="Times New Roman" w:cs="Arial"/>
          <w:sz w:val="24"/>
          <w:szCs w:val="24"/>
          <w:lang w:eastAsia="bg-BG"/>
        </w:rPr>
      </w:pPr>
      <w:r w:rsidRPr="002943F0">
        <w:rPr>
          <w:rFonts w:eastAsia="Times New Roman" w:cs="Arial"/>
          <w:i/>
          <w:iCs/>
          <w:color w:val="000000"/>
          <w:lang w:eastAsia="bg-BG"/>
        </w:rPr>
        <w:t>Заплашващ аборт</w:t>
      </w:r>
    </w:p>
    <w:p w14:paraId="573C65EA"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 xml:space="preserve">Начална доза до 40 </w:t>
      </w:r>
      <w:r w:rsidRPr="002943F0">
        <w:rPr>
          <w:rFonts w:eastAsia="Times New Roman" w:cs="Arial"/>
          <w:color w:val="000000"/>
          <w:lang w:val="en-US"/>
        </w:rPr>
        <w:t xml:space="preserve">mg </w:t>
      </w:r>
      <w:r w:rsidRPr="002943F0">
        <w:rPr>
          <w:rFonts w:eastAsia="Times New Roman" w:cs="Arial"/>
          <w:color w:val="000000"/>
          <w:lang w:eastAsia="bg-BG"/>
        </w:rPr>
        <w:t xml:space="preserve">дидрогестерон, последвана от 20 </w:t>
      </w:r>
      <w:r w:rsidRPr="002943F0">
        <w:rPr>
          <w:rFonts w:eastAsia="Times New Roman" w:cs="Arial"/>
          <w:color w:val="000000"/>
          <w:lang w:val="en-US"/>
        </w:rPr>
        <w:t xml:space="preserve">mg </w:t>
      </w:r>
      <w:r w:rsidRPr="002943F0">
        <w:rPr>
          <w:rFonts w:eastAsia="Times New Roman" w:cs="Arial"/>
          <w:color w:val="000000"/>
          <w:lang w:eastAsia="bg-BG"/>
        </w:rPr>
        <w:t xml:space="preserve">или 30 </w:t>
      </w:r>
      <w:r w:rsidRPr="002943F0">
        <w:rPr>
          <w:rFonts w:eastAsia="Times New Roman" w:cs="Arial"/>
          <w:color w:val="000000"/>
          <w:lang w:val="en-US"/>
        </w:rPr>
        <w:t xml:space="preserve">mg </w:t>
      </w:r>
      <w:r w:rsidRPr="002943F0">
        <w:rPr>
          <w:rFonts w:eastAsia="Times New Roman" w:cs="Arial"/>
          <w:color w:val="000000"/>
          <w:lang w:eastAsia="bg-BG"/>
        </w:rPr>
        <w:t>дневно до отзвучаване на симптомите.</w:t>
      </w:r>
    </w:p>
    <w:p w14:paraId="492EB661" w14:textId="77777777" w:rsidR="002943F0" w:rsidRPr="002943F0" w:rsidRDefault="002943F0" w:rsidP="002943F0">
      <w:pPr>
        <w:spacing w:line="240" w:lineRule="auto"/>
        <w:rPr>
          <w:rFonts w:eastAsia="Times New Roman" w:cs="Arial"/>
          <w:i/>
          <w:iCs/>
          <w:color w:val="000000"/>
          <w:lang w:eastAsia="bg-BG"/>
        </w:rPr>
      </w:pPr>
    </w:p>
    <w:p w14:paraId="431EB2DA" w14:textId="2A819B47" w:rsidR="002943F0" w:rsidRPr="002943F0" w:rsidRDefault="002943F0" w:rsidP="002943F0">
      <w:pPr>
        <w:spacing w:line="240" w:lineRule="auto"/>
        <w:rPr>
          <w:rFonts w:eastAsia="Times New Roman" w:cs="Arial"/>
          <w:sz w:val="24"/>
          <w:szCs w:val="24"/>
          <w:lang w:eastAsia="bg-BG"/>
        </w:rPr>
      </w:pPr>
      <w:r w:rsidRPr="002943F0">
        <w:rPr>
          <w:rFonts w:eastAsia="Times New Roman" w:cs="Arial"/>
          <w:i/>
          <w:iCs/>
          <w:color w:val="000000"/>
          <w:lang w:eastAsia="bg-BG"/>
        </w:rPr>
        <w:t>Хабитуален аборт</w:t>
      </w:r>
    </w:p>
    <w:p w14:paraId="0BC01DCE"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 xml:space="preserve">10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два пъти дневно до 12-та седмица от бременността.</w:t>
      </w:r>
    </w:p>
    <w:p w14:paraId="3FD3F88B" w14:textId="77777777" w:rsidR="002943F0" w:rsidRPr="002943F0" w:rsidRDefault="002943F0" w:rsidP="002943F0">
      <w:pPr>
        <w:spacing w:line="240" w:lineRule="auto"/>
        <w:rPr>
          <w:rFonts w:eastAsia="Times New Roman" w:cs="Arial"/>
          <w:i/>
          <w:iCs/>
          <w:color w:val="000000"/>
          <w:lang w:eastAsia="bg-BG"/>
        </w:rPr>
      </w:pPr>
    </w:p>
    <w:p w14:paraId="64441BAF" w14:textId="20177AEF" w:rsidR="002943F0" w:rsidRPr="002943F0" w:rsidRDefault="002943F0" w:rsidP="002943F0">
      <w:pPr>
        <w:spacing w:line="240" w:lineRule="auto"/>
        <w:rPr>
          <w:rFonts w:eastAsia="Times New Roman" w:cs="Arial"/>
          <w:sz w:val="24"/>
          <w:szCs w:val="24"/>
          <w:lang w:eastAsia="bg-BG"/>
        </w:rPr>
      </w:pPr>
      <w:r w:rsidRPr="002943F0">
        <w:rPr>
          <w:rFonts w:eastAsia="Times New Roman" w:cs="Arial"/>
          <w:i/>
          <w:iCs/>
          <w:color w:val="000000"/>
          <w:lang w:eastAsia="bg-BG"/>
        </w:rPr>
        <w:t>Инфертилитет, който се дължи на лутеинова недостатъчност</w:t>
      </w:r>
    </w:p>
    <w:p w14:paraId="23E6FD17"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 xml:space="preserve">10 </w:t>
      </w:r>
      <w:r w:rsidRPr="002943F0">
        <w:rPr>
          <w:rFonts w:eastAsia="Times New Roman" w:cs="Arial"/>
          <w:color w:val="000000"/>
          <w:lang w:val="en-US"/>
        </w:rPr>
        <w:t xml:space="preserve">mg </w:t>
      </w:r>
      <w:r w:rsidRPr="002943F0">
        <w:rPr>
          <w:rFonts w:eastAsia="Times New Roman" w:cs="Arial"/>
          <w:color w:val="000000"/>
          <w:lang w:eastAsia="bg-BG"/>
        </w:rPr>
        <w:t xml:space="preserve">или 20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дневно с начало от втората половина на менструалния цикъл до първия ден на следващия цикъл.</w:t>
      </w:r>
    </w:p>
    <w:p w14:paraId="6F882023"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Лечението трябва да продължи най-малко в 3 последователни цикъла.</w:t>
      </w:r>
    </w:p>
    <w:p w14:paraId="1884B05E" w14:textId="77777777" w:rsidR="002943F0" w:rsidRPr="002943F0" w:rsidRDefault="002943F0" w:rsidP="002943F0">
      <w:pPr>
        <w:spacing w:line="240" w:lineRule="auto"/>
        <w:rPr>
          <w:rFonts w:eastAsia="Times New Roman" w:cs="Arial"/>
          <w:i/>
          <w:iCs/>
          <w:color w:val="000000"/>
          <w:lang w:eastAsia="bg-BG"/>
        </w:rPr>
      </w:pPr>
    </w:p>
    <w:p w14:paraId="5445D52D" w14:textId="41F2BE8B" w:rsidR="002943F0" w:rsidRPr="002943F0" w:rsidRDefault="002943F0" w:rsidP="002943F0">
      <w:pPr>
        <w:spacing w:line="240" w:lineRule="auto"/>
        <w:rPr>
          <w:rFonts w:eastAsia="Times New Roman" w:cs="Arial"/>
          <w:sz w:val="24"/>
          <w:szCs w:val="24"/>
          <w:lang w:eastAsia="bg-BG"/>
        </w:rPr>
      </w:pPr>
      <w:r w:rsidRPr="002943F0">
        <w:rPr>
          <w:rFonts w:eastAsia="Times New Roman" w:cs="Arial"/>
          <w:i/>
          <w:iCs/>
          <w:color w:val="000000"/>
          <w:lang w:eastAsia="bg-BG"/>
        </w:rPr>
        <w:t>Хормонозаместителна терапия:</w:t>
      </w:r>
    </w:p>
    <w:p w14:paraId="3E7A38F1" w14:textId="77777777" w:rsidR="002943F0" w:rsidRPr="002943F0" w:rsidRDefault="002943F0" w:rsidP="002943F0">
      <w:pPr>
        <w:pStyle w:val="ListParagraph"/>
        <w:numPr>
          <w:ilvl w:val="0"/>
          <w:numId w:val="41"/>
        </w:numPr>
        <w:spacing w:line="240" w:lineRule="auto"/>
        <w:rPr>
          <w:rFonts w:eastAsia="Times New Roman" w:cs="Arial"/>
          <w:color w:val="000000"/>
          <w:lang w:eastAsia="bg-BG"/>
        </w:rPr>
      </w:pPr>
      <w:r w:rsidRPr="002943F0">
        <w:rPr>
          <w:rFonts w:eastAsia="Times New Roman" w:cs="Arial"/>
          <w:color w:val="000000"/>
          <w:lang w:eastAsia="bg-BG"/>
        </w:rPr>
        <w:t xml:space="preserve">Постоянна секвенциална терапия - естроген се дозира постоянно и една таблетка от 10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дневно се добавя за последните 14 дни от всеки 28 дневен цикъл, на секвенциален принцип.</w:t>
      </w:r>
    </w:p>
    <w:p w14:paraId="407CE13E" w14:textId="77777777" w:rsidR="002943F0" w:rsidRPr="002943F0" w:rsidRDefault="002943F0" w:rsidP="002943F0">
      <w:pPr>
        <w:pStyle w:val="ListParagraph"/>
        <w:numPr>
          <w:ilvl w:val="0"/>
          <w:numId w:val="41"/>
        </w:numPr>
        <w:spacing w:line="240" w:lineRule="auto"/>
        <w:rPr>
          <w:rFonts w:eastAsia="Times New Roman" w:cs="Arial"/>
          <w:color w:val="000000"/>
          <w:lang w:eastAsia="bg-BG"/>
        </w:rPr>
      </w:pPr>
      <w:r w:rsidRPr="002943F0">
        <w:rPr>
          <w:rFonts w:eastAsia="Times New Roman" w:cs="Arial"/>
          <w:color w:val="000000"/>
          <w:lang w:eastAsia="bg-BG"/>
        </w:rPr>
        <w:lastRenderedPageBreak/>
        <w:t xml:space="preserve">Циклична терапия - когато естроген се дозира циклично с интервали без лечение (обичайно 21 дни на лечение със 7 дни без лечение), една таблетка от 10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дневно се добавя за последните 12-14 дни на терапия с естроген.</w:t>
      </w:r>
    </w:p>
    <w:p w14:paraId="12E8DDB9" w14:textId="7406B5E4" w:rsidR="002943F0" w:rsidRPr="002943F0" w:rsidRDefault="002943F0" w:rsidP="002943F0">
      <w:pPr>
        <w:pStyle w:val="ListParagraph"/>
        <w:numPr>
          <w:ilvl w:val="0"/>
          <w:numId w:val="41"/>
        </w:numPr>
        <w:spacing w:line="240" w:lineRule="auto"/>
        <w:rPr>
          <w:rFonts w:eastAsia="Times New Roman" w:cs="Arial"/>
          <w:color w:val="000000"/>
          <w:lang w:eastAsia="bg-BG"/>
        </w:rPr>
      </w:pPr>
      <w:r w:rsidRPr="002943F0">
        <w:rPr>
          <w:rFonts w:eastAsia="Times New Roman" w:cs="Arial"/>
          <w:color w:val="000000"/>
          <w:lang w:eastAsia="bg-BG"/>
        </w:rPr>
        <w:t xml:space="preserve">В зависимост от клиничния отговор, дозата може да се адаптира в последствие до 20 </w:t>
      </w:r>
      <w:r w:rsidRPr="002943F0">
        <w:rPr>
          <w:rFonts w:eastAsia="Times New Roman" w:cs="Arial"/>
          <w:color w:val="000000"/>
          <w:lang w:val="en-US"/>
        </w:rPr>
        <w:t xml:space="preserve">mg </w:t>
      </w:r>
      <w:r w:rsidRPr="002943F0">
        <w:rPr>
          <w:rFonts w:eastAsia="Times New Roman" w:cs="Arial"/>
          <w:color w:val="000000"/>
          <w:lang w:eastAsia="bg-BG"/>
        </w:rPr>
        <w:t>дидрогестерон дневно.</w:t>
      </w:r>
    </w:p>
    <w:p w14:paraId="0FB38449" w14:textId="77777777" w:rsidR="002943F0" w:rsidRPr="002943F0" w:rsidRDefault="002943F0" w:rsidP="002943F0">
      <w:pPr>
        <w:spacing w:line="240" w:lineRule="auto"/>
        <w:rPr>
          <w:rFonts w:eastAsia="Times New Roman" w:cs="Arial"/>
          <w:color w:val="000000"/>
          <w:lang w:eastAsia="bg-BG"/>
        </w:rPr>
      </w:pPr>
    </w:p>
    <w:p w14:paraId="0A8ECBDD" w14:textId="50134E66"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Не съществуват надежни данни за приложението на дидрогестерон преди първата менструация. Безопасността и ефикасността на дидрогестерон при подрастващи на възраст от 12 до 18 години не е установена. Наличните данни са описани с точки 4.8 и 5.1, но не може да се направи препоръка за дозировката.</w:t>
      </w:r>
    </w:p>
    <w:p w14:paraId="4FA9690E" w14:textId="77777777" w:rsidR="002943F0" w:rsidRPr="002943F0" w:rsidRDefault="002943F0" w:rsidP="002943F0">
      <w:pPr>
        <w:spacing w:line="240" w:lineRule="auto"/>
        <w:rPr>
          <w:rFonts w:eastAsia="Times New Roman" w:cs="Arial"/>
          <w:color w:val="000000"/>
          <w:u w:val="single"/>
          <w:lang w:eastAsia="bg-BG"/>
        </w:rPr>
      </w:pPr>
    </w:p>
    <w:p w14:paraId="232FA5F8" w14:textId="74E6A734" w:rsidR="002943F0" w:rsidRPr="002943F0" w:rsidRDefault="002943F0" w:rsidP="002943F0">
      <w:pPr>
        <w:pStyle w:val="Heading3"/>
        <w:rPr>
          <w:rFonts w:eastAsia="Times New Roman"/>
          <w:u w:val="single"/>
          <w:lang w:eastAsia="bg-BG"/>
        </w:rPr>
      </w:pPr>
      <w:r w:rsidRPr="002943F0">
        <w:rPr>
          <w:rFonts w:eastAsia="Times New Roman"/>
          <w:u w:val="single"/>
          <w:lang w:eastAsia="bg-BG"/>
        </w:rPr>
        <w:t>Начин на приложение</w:t>
      </w:r>
    </w:p>
    <w:p w14:paraId="75FED5E9"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За перорална употреба.</w:t>
      </w:r>
    </w:p>
    <w:p w14:paraId="4C613C09"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При по-високо дозиране таблетките трябва да се приемат равномерно разпределени през деня</w:t>
      </w:r>
    </w:p>
    <w:p w14:paraId="2B6C78F4" w14:textId="77777777" w:rsidR="002943F0" w:rsidRPr="002943F0" w:rsidRDefault="002943F0" w:rsidP="002943F0"/>
    <w:p w14:paraId="5D9E65DA" w14:textId="6CB05D5D" w:rsidR="009F77A4" w:rsidRDefault="002C50EE" w:rsidP="00387A66">
      <w:pPr>
        <w:pStyle w:val="Heading2"/>
      </w:pPr>
      <w:r>
        <w:t>4.3. Противопоказания</w:t>
      </w:r>
    </w:p>
    <w:p w14:paraId="44FABA90" w14:textId="61D3F0DD" w:rsidR="002943F0" w:rsidRDefault="002943F0" w:rsidP="002943F0"/>
    <w:p w14:paraId="5E834138" w14:textId="77777777" w:rsidR="002943F0" w:rsidRPr="002943F0" w:rsidRDefault="002943F0" w:rsidP="002943F0">
      <w:pPr>
        <w:pStyle w:val="ListParagraph"/>
        <w:numPr>
          <w:ilvl w:val="0"/>
          <w:numId w:val="42"/>
        </w:numPr>
        <w:spacing w:line="240" w:lineRule="auto"/>
        <w:rPr>
          <w:rFonts w:eastAsia="Times New Roman" w:cs="Arial"/>
          <w:color w:val="000000"/>
          <w:lang w:eastAsia="bg-BG"/>
        </w:rPr>
      </w:pPr>
      <w:r w:rsidRPr="002943F0">
        <w:rPr>
          <w:rFonts w:eastAsia="Times New Roman" w:cs="Arial"/>
          <w:color w:val="000000"/>
          <w:lang w:eastAsia="bg-BG"/>
        </w:rPr>
        <w:t>Свръхчувствителност към активното вещество или някое от помощните вещества изброени в точка 6.1.</w:t>
      </w:r>
    </w:p>
    <w:p w14:paraId="11973E06" w14:textId="77777777" w:rsidR="002943F0" w:rsidRPr="002943F0" w:rsidRDefault="002943F0" w:rsidP="002943F0">
      <w:pPr>
        <w:pStyle w:val="ListParagraph"/>
        <w:numPr>
          <w:ilvl w:val="0"/>
          <w:numId w:val="42"/>
        </w:numPr>
        <w:spacing w:line="240" w:lineRule="auto"/>
        <w:rPr>
          <w:rFonts w:eastAsia="Times New Roman" w:cs="Arial"/>
          <w:color w:val="000000"/>
          <w:lang w:eastAsia="bg-BG"/>
        </w:rPr>
      </w:pPr>
      <w:r w:rsidRPr="002943F0">
        <w:rPr>
          <w:rFonts w:eastAsia="Times New Roman" w:cs="Arial"/>
          <w:color w:val="000000"/>
          <w:lang w:eastAsia="bg-BG"/>
        </w:rPr>
        <w:t>Установена или подозирана прогестерон-зависима неоплазма (напр. менингиом).</w:t>
      </w:r>
    </w:p>
    <w:p w14:paraId="47649CF7" w14:textId="77777777" w:rsidR="002943F0" w:rsidRPr="002943F0" w:rsidRDefault="002943F0" w:rsidP="002943F0">
      <w:pPr>
        <w:pStyle w:val="ListParagraph"/>
        <w:numPr>
          <w:ilvl w:val="0"/>
          <w:numId w:val="42"/>
        </w:numPr>
        <w:spacing w:line="240" w:lineRule="auto"/>
        <w:rPr>
          <w:rFonts w:eastAsia="Times New Roman" w:cs="Arial"/>
          <w:color w:val="000000"/>
          <w:lang w:eastAsia="bg-BG"/>
        </w:rPr>
      </w:pPr>
      <w:r w:rsidRPr="002943F0">
        <w:rPr>
          <w:rFonts w:eastAsia="Times New Roman" w:cs="Arial"/>
          <w:color w:val="000000"/>
          <w:lang w:eastAsia="bg-BG"/>
        </w:rPr>
        <w:t>Недиагностицирано вагинално кървене.</w:t>
      </w:r>
    </w:p>
    <w:p w14:paraId="03D04C95" w14:textId="614C4E4C" w:rsidR="002943F0" w:rsidRPr="002943F0" w:rsidRDefault="002943F0" w:rsidP="002943F0">
      <w:pPr>
        <w:pStyle w:val="ListParagraph"/>
        <w:numPr>
          <w:ilvl w:val="0"/>
          <w:numId w:val="42"/>
        </w:numPr>
        <w:spacing w:line="240" w:lineRule="auto"/>
        <w:rPr>
          <w:rFonts w:eastAsia="Times New Roman" w:cs="Arial"/>
          <w:color w:val="000000"/>
          <w:lang w:eastAsia="bg-BG"/>
        </w:rPr>
      </w:pPr>
      <w:r w:rsidRPr="002943F0">
        <w:rPr>
          <w:rFonts w:eastAsia="Times New Roman" w:cs="Arial"/>
          <w:color w:val="000000"/>
          <w:lang w:eastAsia="bg-BG"/>
        </w:rPr>
        <w:t>Противопоказанията за употребата на естрогени трябва да се имат предвид, когато се прилагат в комбинация с дидрогестерон.</w:t>
      </w:r>
    </w:p>
    <w:p w14:paraId="28E3602D" w14:textId="77777777" w:rsidR="002943F0" w:rsidRPr="002943F0" w:rsidRDefault="002943F0" w:rsidP="002943F0"/>
    <w:p w14:paraId="1C27CE53" w14:textId="35ED72DE" w:rsidR="009F77A4" w:rsidRDefault="002C50EE" w:rsidP="00387A66">
      <w:pPr>
        <w:pStyle w:val="Heading2"/>
      </w:pPr>
      <w:r>
        <w:t>4.4. Специални предупреждения и предпазни мерки при употреба</w:t>
      </w:r>
    </w:p>
    <w:p w14:paraId="715C844A" w14:textId="054BFC54" w:rsidR="002943F0" w:rsidRDefault="002943F0" w:rsidP="002943F0"/>
    <w:p w14:paraId="45726107"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Преди да се започне терапия с дидрогестерон за абнормно кървене трябва да се изясни етиологията на кървенето. Междинно кървене или зацапване може да се получи през първите месеци на лечението. Ако то настъпи известно време след началото на лечението или продължава след като лечението е спряно, причината трябва да се изследва, което може да включва биопсия на ендометриума за изключване на злокачествено заболяване на ендометриума.</w:t>
      </w:r>
    </w:p>
    <w:p w14:paraId="5DBAADD9" w14:textId="77777777" w:rsidR="002943F0" w:rsidRPr="002943F0" w:rsidRDefault="002943F0" w:rsidP="002943F0">
      <w:pPr>
        <w:spacing w:line="240" w:lineRule="auto"/>
        <w:rPr>
          <w:rFonts w:eastAsia="Times New Roman" w:cs="Arial"/>
          <w:color w:val="000000"/>
          <w:u w:val="single"/>
          <w:lang w:eastAsia="bg-BG"/>
        </w:rPr>
      </w:pPr>
    </w:p>
    <w:p w14:paraId="500130DE" w14:textId="1F356043" w:rsidR="002943F0" w:rsidRPr="002943F0" w:rsidRDefault="002943F0" w:rsidP="002943F0">
      <w:pPr>
        <w:spacing w:line="240" w:lineRule="auto"/>
        <w:rPr>
          <w:rFonts w:eastAsia="Times New Roman" w:cs="Arial"/>
          <w:lang w:eastAsia="bg-BG"/>
        </w:rPr>
      </w:pPr>
      <w:r w:rsidRPr="002943F0">
        <w:rPr>
          <w:rFonts w:eastAsia="Times New Roman" w:cs="Arial"/>
          <w:color w:val="000000"/>
          <w:u w:val="single"/>
          <w:lang w:eastAsia="bg-BG"/>
        </w:rPr>
        <w:t>Състояния, изискващи наблюдение</w:t>
      </w:r>
    </w:p>
    <w:p w14:paraId="58BCA0FE"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Ако някое от следните състояния е налично, случвало се е преди и/или се е обострило по време на бременност или предишна хормонозаместителна терапия (ХЗТ), пациентката трябва да бъде стриктно наблюдавана. Трябва да се има предвид, че следните състояния могат да се появят отново или задълбочат по време на лечението с дидрогестерон, което може да наложи прекратяване на лечението:</w:t>
      </w:r>
    </w:p>
    <w:p w14:paraId="7126A179" w14:textId="0E6387DF" w:rsidR="002943F0" w:rsidRPr="002943F0" w:rsidRDefault="002943F0" w:rsidP="002943F0">
      <w:pPr>
        <w:pStyle w:val="ListParagraph"/>
        <w:numPr>
          <w:ilvl w:val="0"/>
          <w:numId w:val="43"/>
        </w:numPr>
        <w:spacing w:line="240" w:lineRule="auto"/>
        <w:rPr>
          <w:rFonts w:eastAsia="Times New Roman" w:cs="Arial"/>
          <w:color w:val="000000"/>
          <w:lang w:eastAsia="bg-BG"/>
        </w:rPr>
      </w:pPr>
      <w:r w:rsidRPr="002943F0">
        <w:rPr>
          <w:rFonts w:eastAsia="Times New Roman" w:cs="Arial"/>
          <w:color w:val="000000"/>
          <w:lang w:eastAsia="bg-BG"/>
        </w:rPr>
        <w:t>П</w:t>
      </w:r>
      <w:r w:rsidRPr="002943F0">
        <w:rPr>
          <w:rFonts w:eastAsia="Times New Roman" w:cs="Arial"/>
          <w:color w:val="000000"/>
          <w:lang w:eastAsia="bg-BG"/>
        </w:rPr>
        <w:t>орфирия</w:t>
      </w:r>
    </w:p>
    <w:p w14:paraId="35098403" w14:textId="0F4DDB3B" w:rsidR="002943F0" w:rsidRPr="002943F0" w:rsidRDefault="002943F0" w:rsidP="002943F0">
      <w:pPr>
        <w:pStyle w:val="ListParagraph"/>
        <w:numPr>
          <w:ilvl w:val="0"/>
          <w:numId w:val="43"/>
        </w:numPr>
        <w:spacing w:line="240" w:lineRule="auto"/>
        <w:rPr>
          <w:rFonts w:eastAsia="Times New Roman" w:cs="Arial"/>
          <w:color w:val="000000"/>
          <w:lang w:eastAsia="bg-BG"/>
        </w:rPr>
      </w:pPr>
      <w:r w:rsidRPr="002943F0">
        <w:rPr>
          <w:rFonts w:eastAsia="Times New Roman" w:cs="Arial"/>
          <w:color w:val="000000"/>
          <w:lang w:eastAsia="bg-BG"/>
        </w:rPr>
        <w:t>Д</w:t>
      </w:r>
      <w:r w:rsidRPr="002943F0">
        <w:rPr>
          <w:rFonts w:eastAsia="Times New Roman" w:cs="Arial"/>
          <w:color w:val="000000"/>
          <w:lang w:eastAsia="bg-BG"/>
        </w:rPr>
        <w:t>епресия</w:t>
      </w:r>
    </w:p>
    <w:p w14:paraId="5CD60E20" w14:textId="41640466" w:rsidR="002943F0" w:rsidRPr="002943F0" w:rsidRDefault="002943F0" w:rsidP="002943F0">
      <w:pPr>
        <w:pStyle w:val="ListParagraph"/>
        <w:numPr>
          <w:ilvl w:val="0"/>
          <w:numId w:val="43"/>
        </w:numPr>
        <w:spacing w:line="240" w:lineRule="auto"/>
        <w:rPr>
          <w:rFonts w:eastAsia="Times New Roman" w:cs="Arial"/>
          <w:color w:val="000000"/>
          <w:lang w:eastAsia="bg-BG"/>
        </w:rPr>
      </w:pPr>
      <w:r w:rsidRPr="002943F0">
        <w:rPr>
          <w:rFonts w:eastAsia="Times New Roman" w:cs="Arial"/>
          <w:color w:val="000000"/>
          <w:lang w:eastAsia="bg-BG"/>
        </w:rPr>
        <w:t>абнормна чернодробна функция в резултат на остро или хронично чернодробно заболяване.</w:t>
      </w:r>
    </w:p>
    <w:p w14:paraId="5564D41B" w14:textId="77777777" w:rsidR="002943F0" w:rsidRPr="002943F0" w:rsidRDefault="002943F0" w:rsidP="002943F0">
      <w:pPr>
        <w:spacing w:line="240" w:lineRule="auto"/>
        <w:rPr>
          <w:rFonts w:eastAsia="Times New Roman" w:cs="Arial"/>
          <w:color w:val="000000"/>
          <w:u w:val="single"/>
          <w:lang w:eastAsia="bg-BG"/>
        </w:rPr>
      </w:pPr>
    </w:p>
    <w:p w14:paraId="1AE8B9E5" w14:textId="3DE6AC17" w:rsidR="002943F0" w:rsidRPr="002943F0" w:rsidRDefault="002943F0" w:rsidP="002943F0">
      <w:pPr>
        <w:spacing w:line="240" w:lineRule="auto"/>
        <w:rPr>
          <w:rFonts w:eastAsia="Times New Roman" w:cs="Arial"/>
          <w:lang w:eastAsia="bg-BG"/>
        </w:rPr>
      </w:pPr>
      <w:r w:rsidRPr="002943F0">
        <w:rPr>
          <w:rFonts w:eastAsia="Times New Roman" w:cs="Arial"/>
          <w:color w:val="000000"/>
          <w:u w:val="single"/>
          <w:lang w:eastAsia="bg-BG"/>
        </w:rPr>
        <w:t>Други състояния</w:t>
      </w:r>
    </w:p>
    <w:p w14:paraId="6D30389E"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 xml:space="preserve">Пациенти с редки наследствени проблеми на галактозна непоносимост, </w:t>
      </w:r>
      <w:r w:rsidRPr="002943F0">
        <w:rPr>
          <w:rFonts w:eastAsia="Times New Roman" w:cs="Arial"/>
          <w:color w:val="000000"/>
          <w:lang w:val="en-US"/>
        </w:rPr>
        <w:t>Lapp</w:t>
      </w:r>
      <w:r w:rsidRPr="002943F0">
        <w:rPr>
          <w:rFonts w:eastAsia="Times New Roman" w:cs="Arial"/>
          <w:color w:val="000000"/>
          <w:lang w:eastAsia="bg-BG"/>
        </w:rPr>
        <w:t>-лактазен дефицит или глкжозо-галактозна малабсорбция не трябва да приемат това лекарство.</w:t>
      </w:r>
    </w:p>
    <w:p w14:paraId="1ECC6AC0" w14:textId="77777777" w:rsidR="002943F0" w:rsidRPr="002943F0" w:rsidRDefault="002943F0" w:rsidP="002943F0">
      <w:pPr>
        <w:spacing w:line="240" w:lineRule="auto"/>
        <w:rPr>
          <w:rFonts w:eastAsia="Times New Roman" w:cs="Arial"/>
          <w:color w:val="000000"/>
          <w:u w:val="single"/>
          <w:lang w:eastAsia="bg-BG"/>
        </w:rPr>
      </w:pPr>
    </w:p>
    <w:p w14:paraId="6DF8E89A" w14:textId="182A0347" w:rsidR="002943F0" w:rsidRPr="002943F0" w:rsidRDefault="002943F0" w:rsidP="002943F0">
      <w:pPr>
        <w:spacing w:line="240" w:lineRule="auto"/>
        <w:rPr>
          <w:rFonts w:eastAsia="Times New Roman" w:cs="Arial"/>
          <w:lang w:eastAsia="bg-BG"/>
        </w:rPr>
      </w:pPr>
      <w:r w:rsidRPr="002943F0">
        <w:rPr>
          <w:rFonts w:eastAsia="Times New Roman" w:cs="Arial"/>
          <w:color w:val="000000"/>
          <w:u w:val="single"/>
          <w:lang w:eastAsia="bg-BG"/>
        </w:rPr>
        <w:lastRenderedPageBreak/>
        <w:t>Следните предупреждения и предпазни мерки при използване на дидрогестерон в комбинация с естрогени при хормонозаместително лечение са приложими</w:t>
      </w:r>
      <w:r w:rsidRPr="002943F0">
        <w:rPr>
          <w:rFonts w:eastAsia="Times New Roman" w:cs="Arial"/>
          <w:color w:val="000000"/>
          <w:lang w:eastAsia="bg-BG"/>
        </w:rPr>
        <w:t xml:space="preserve"> (вижте също предупрежденията и предпазни мерки в продуктовата информация за лекарствата съдържащи естроген):</w:t>
      </w:r>
    </w:p>
    <w:p w14:paraId="514DA130" w14:textId="77777777" w:rsidR="002943F0" w:rsidRPr="002943F0" w:rsidRDefault="002943F0" w:rsidP="002943F0">
      <w:pPr>
        <w:spacing w:line="240" w:lineRule="auto"/>
        <w:rPr>
          <w:rFonts w:eastAsia="Times New Roman" w:cs="Arial"/>
          <w:color w:val="000000"/>
          <w:lang w:eastAsia="bg-BG"/>
        </w:rPr>
      </w:pPr>
    </w:p>
    <w:p w14:paraId="010048AC" w14:textId="232804D2"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За лечение на пост-менопаузални симптоми, ХЗТ трябва да започне само, ако тези симптоми оказват негативно влияние върху качеството на живот. Във всички случаи, внимателна оценка на ползите и рисковете трябва да бъде правена поне веднъж в годината и ХЗТ трябва да бъде продължавана само докато ползите превъзхождат рисковете.</w:t>
      </w:r>
    </w:p>
    <w:p w14:paraId="31308DB0" w14:textId="77777777" w:rsidR="002943F0" w:rsidRPr="002943F0" w:rsidRDefault="002943F0" w:rsidP="002943F0">
      <w:pPr>
        <w:spacing w:line="240" w:lineRule="auto"/>
        <w:rPr>
          <w:rFonts w:eastAsia="Times New Roman" w:cs="Arial"/>
          <w:color w:val="000000"/>
          <w:lang w:eastAsia="bg-BG"/>
        </w:rPr>
      </w:pPr>
    </w:p>
    <w:p w14:paraId="02F0912E" w14:textId="2A2D916B"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Доказателствата по отношение на рисковете, които са свързани с ХЗТ при лечението на преждевременна менопауза са ограничени. Поради ниското ниво на абсолютен риск при по- млади жени, балансът полза/риск при тях е по-благоприятен, отколкото при по-възрастни жени.</w:t>
      </w:r>
    </w:p>
    <w:p w14:paraId="746B95B9" w14:textId="77777777" w:rsidR="002943F0" w:rsidRPr="002943F0" w:rsidRDefault="002943F0" w:rsidP="002943F0">
      <w:pPr>
        <w:spacing w:line="240" w:lineRule="auto"/>
        <w:rPr>
          <w:rFonts w:eastAsia="Times New Roman" w:cs="Arial"/>
          <w:color w:val="000000"/>
          <w:u w:val="single"/>
          <w:lang w:eastAsia="bg-BG"/>
        </w:rPr>
      </w:pPr>
    </w:p>
    <w:p w14:paraId="61FE4902" w14:textId="2EB86E48" w:rsidR="002943F0" w:rsidRPr="002943F0" w:rsidRDefault="002943F0" w:rsidP="002943F0">
      <w:pPr>
        <w:spacing w:line="240" w:lineRule="auto"/>
        <w:rPr>
          <w:rFonts w:eastAsia="Times New Roman" w:cs="Arial"/>
          <w:lang w:eastAsia="bg-BG"/>
        </w:rPr>
      </w:pPr>
      <w:r w:rsidRPr="002943F0">
        <w:rPr>
          <w:rFonts w:eastAsia="Times New Roman" w:cs="Arial"/>
          <w:color w:val="000000"/>
          <w:u w:val="single"/>
          <w:lang w:eastAsia="bg-BG"/>
        </w:rPr>
        <w:t>Медицинско изследване/проследяване</w:t>
      </w:r>
    </w:p>
    <w:p w14:paraId="7343B903"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Преди да се започне или назначи отново ХЗТ трябва да се снеме пълната лична или фамилна анамнеза. Физикалното изследване (вкл. на таз и гърда) трябва да се ръководи от това, както и от противопоказанията и предупрежденията при употреба. По време на лечението се препоръчват периодични прегледи, като честотата и видът им се адаптират индивидуално за всяка жена. Жените трябва да бъдат посъветвани какви изменения в гърдите да съобщават на техния лекар или медицинска сестра (вижте по-долу „Рак на гърдата“).</w:t>
      </w:r>
    </w:p>
    <w:p w14:paraId="01952566" w14:textId="77777777" w:rsidR="002943F0" w:rsidRPr="002943F0" w:rsidRDefault="002943F0" w:rsidP="002943F0">
      <w:pPr>
        <w:spacing w:line="240" w:lineRule="auto"/>
        <w:rPr>
          <w:rFonts w:eastAsia="Times New Roman" w:cs="Arial"/>
          <w:color w:val="000000"/>
          <w:lang w:eastAsia="bg-BG"/>
        </w:rPr>
      </w:pPr>
    </w:p>
    <w:p w14:paraId="081D8D2C" w14:textId="51C879E5" w:rsidR="002943F0" w:rsidRPr="002943F0" w:rsidRDefault="002943F0" w:rsidP="002943F0">
      <w:pPr>
        <w:spacing w:line="240" w:lineRule="auto"/>
        <w:rPr>
          <w:rFonts w:eastAsia="Times New Roman" w:cs="Arial"/>
          <w:color w:val="000000"/>
          <w:lang w:eastAsia="bg-BG"/>
        </w:rPr>
      </w:pPr>
      <w:r w:rsidRPr="002943F0">
        <w:rPr>
          <w:rFonts w:eastAsia="Times New Roman" w:cs="Arial"/>
          <w:color w:val="000000"/>
          <w:lang w:eastAsia="bg-BG"/>
        </w:rPr>
        <w:t>Периодични изследвания, включително образни изследвания, напр. мамиграфия, трявба да се провеждат в съответствие с възприетите понастоящем скринингови практики модифицирани съобразно клиничните нужди на всеки пациент.</w:t>
      </w:r>
    </w:p>
    <w:p w14:paraId="12F916BE" w14:textId="78EA4013" w:rsidR="002943F0" w:rsidRPr="002943F0" w:rsidRDefault="002943F0" w:rsidP="002943F0">
      <w:pPr>
        <w:spacing w:line="240" w:lineRule="auto"/>
        <w:rPr>
          <w:rFonts w:eastAsia="Times New Roman" w:cs="Arial"/>
          <w:color w:val="000000"/>
          <w:lang w:eastAsia="bg-BG"/>
        </w:rPr>
      </w:pPr>
    </w:p>
    <w:p w14:paraId="0D924C2B"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u w:val="single"/>
          <w:lang w:eastAsia="bg-BG"/>
        </w:rPr>
        <w:t>Ендометриална хиперплазия и карцином</w:t>
      </w:r>
    </w:p>
    <w:p w14:paraId="4080C61E"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При жени с интактна матка, рискът от ендометриална хиперплазия и карцином са повишени, когато естрогените са прилагани самостоятелно за продължителни периоди.</w:t>
      </w:r>
    </w:p>
    <w:p w14:paraId="41840853" w14:textId="77777777" w:rsidR="002943F0" w:rsidRPr="002943F0" w:rsidRDefault="002943F0" w:rsidP="002943F0">
      <w:pPr>
        <w:spacing w:line="240" w:lineRule="auto"/>
        <w:rPr>
          <w:rFonts w:eastAsia="Times New Roman" w:cs="Arial"/>
          <w:color w:val="000000"/>
          <w:lang w:eastAsia="bg-BG"/>
        </w:rPr>
      </w:pPr>
    </w:p>
    <w:p w14:paraId="273D4517" w14:textId="4F030282"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Циклично добавяне на прогестаген като дидрогестерон за най-малко 12 дни месечно при 28 дневен цикъл или продължителна комбинирана естроген-прогестерон терапия при не- хистеректомирани жени може да предотврати повишения риск, свързан с монотерапия с естроген ХЗТ.</w:t>
      </w:r>
    </w:p>
    <w:p w14:paraId="07186C65" w14:textId="77777777" w:rsidR="002943F0" w:rsidRPr="002943F0" w:rsidRDefault="002943F0" w:rsidP="002943F0">
      <w:pPr>
        <w:spacing w:line="240" w:lineRule="auto"/>
        <w:rPr>
          <w:rFonts w:eastAsia="Times New Roman" w:cs="Arial"/>
          <w:color w:val="000000"/>
          <w:u w:val="single"/>
          <w:lang w:eastAsia="bg-BG"/>
        </w:rPr>
      </w:pPr>
    </w:p>
    <w:p w14:paraId="7490552D" w14:textId="2D21DC98" w:rsidR="002943F0" w:rsidRPr="002943F0" w:rsidRDefault="002943F0" w:rsidP="002943F0">
      <w:pPr>
        <w:spacing w:line="240" w:lineRule="auto"/>
        <w:rPr>
          <w:rFonts w:eastAsia="Times New Roman" w:cs="Arial"/>
          <w:lang w:eastAsia="bg-BG"/>
        </w:rPr>
      </w:pPr>
      <w:r w:rsidRPr="002943F0">
        <w:rPr>
          <w:rFonts w:eastAsia="Times New Roman" w:cs="Arial"/>
          <w:color w:val="000000"/>
          <w:u w:val="single"/>
          <w:lang w:eastAsia="bg-BG"/>
        </w:rPr>
        <w:t>Рак на гърдата</w:t>
      </w:r>
    </w:p>
    <w:p w14:paraId="602086AC"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Доказателствата показват повишен риск от рак на гърдата при жени, които приемат комбинирано естроген-прогестерон или самостоятелен естроген, което зависи от продължителността на ХЗТ.</w:t>
      </w:r>
    </w:p>
    <w:p w14:paraId="1391B411" w14:textId="77777777" w:rsidR="002943F0" w:rsidRPr="002943F0" w:rsidRDefault="002943F0" w:rsidP="002943F0">
      <w:pPr>
        <w:spacing w:line="240" w:lineRule="auto"/>
        <w:rPr>
          <w:rFonts w:eastAsia="Times New Roman" w:cs="Arial"/>
          <w:color w:val="000000"/>
          <w:lang w:eastAsia="bg-BG"/>
        </w:rPr>
      </w:pPr>
    </w:p>
    <w:p w14:paraId="5ADB60E8" w14:textId="01401C7E"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Комбинирана естроген-прогестерон терапия: Рандомизирано, плацебо-контролирано клинично проучване Инициатива за женско здраве (</w:t>
      </w:r>
      <w:proofErr w:type="spellStart"/>
      <w:r w:rsidRPr="002943F0">
        <w:rPr>
          <w:rFonts w:eastAsia="Times New Roman" w:cs="Arial"/>
          <w:i/>
          <w:iCs/>
          <w:color w:val="000000"/>
          <w:lang w:val="en-US"/>
        </w:rPr>
        <w:t>Womens’s</w:t>
      </w:r>
      <w:proofErr w:type="spellEnd"/>
      <w:r w:rsidRPr="002943F0">
        <w:rPr>
          <w:rFonts w:eastAsia="Times New Roman" w:cs="Arial"/>
          <w:i/>
          <w:iCs/>
          <w:color w:val="000000"/>
          <w:lang w:val="en-US"/>
        </w:rPr>
        <w:t xml:space="preserve"> Health Initiative study</w:t>
      </w:r>
      <w:r w:rsidRPr="002943F0">
        <w:rPr>
          <w:rFonts w:eastAsia="Times New Roman" w:cs="Arial"/>
          <w:color w:val="000000"/>
          <w:lang w:val="en-US"/>
        </w:rPr>
        <w:t xml:space="preserve">, WHI), </w:t>
      </w:r>
      <w:r w:rsidRPr="002943F0">
        <w:rPr>
          <w:rFonts w:eastAsia="Times New Roman" w:cs="Arial"/>
          <w:color w:val="000000"/>
          <w:lang w:eastAsia="bg-BG"/>
        </w:rPr>
        <w:t xml:space="preserve">както и мета- анализ на проспективни епидемиологични проучвания, установяват нарастване на риска от рак на гърдата при жени, които приемат комбинирана естроген-прогестерон ХЗТ, който става явен след около 3 (1-4) години. Резултатите от обширен мета-анализ показват, че след спиране на лечението, допълнителният риск ще намалее с времето и времето, необходимо за връщане към изходното ниво, зависи от </w:t>
      </w:r>
      <w:r w:rsidRPr="002943F0">
        <w:rPr>
          <w:rFonts w:eastAsia="Times New Roman" w:cs="Arial"/>
          <w:color w:val="000000"/>
          <w:lang w:eastAsia="bg-BG"/>
        </w:rPr>
        <w:lastRenderedPageBreak/>
        <w:t>продължителността на предишната употреба на ХЗТ. Когато ХЗТ се приема повече от 5 години, рискът може да продължи 10 или повече години.</w:t>
      </w:r>
    </w:p>
    <w:p w14:paraId="17B9B129" w14:textId="77777777" w:rsidR="002943F0" w:rsidRPr="002943F0" w:rsidRDefault="002943F0" w:rsidP="002943F0">
      <w:pPr>
        <w:spacing w:line="240" w:lineRule="auto"/>
        <w:rPr>
          <w:rFonts w:eastAsia="Times New Roman" w:cs="Arial"/>
          <w:color w:val="000000"/>
          <w:lang w:eastAsia="bg-BG"/>
        </w:rPr>
      </w:pPr>
    </w:p>
    <w:p w14:paraId="2D2177C1" w14:textId="1C021A5A"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ХЗТ, особено естроген-прогестерон комбинираната терапия, повишава плътността на мамографските образи, което може да повлияе негативно на радиологичното откриване на рака на гърдата.</w:t>
      </w:r>
    </w:p>
    <w:p w14:paraId="6D48C6DE" w14:textId="77777777" w:rsidR="002943F0" w:rsidRPr="002943F0" w:rsidRDefault="002943F0" w:rsidP="002943F0">
      <w:pPr>
        <w:spacing w:line="240" w:lineRule="auto"/>
        <w:rPr>
          <w:rFonts w:eastAsia="Times New Roman" w:cs="Arial"/>
          <w:color w:val="000000"/>
          <w:u w:val="single"/>
          <w:lang w:eastAsia="bg-BG"/>
        </w:rPr>
      </w:pPr>
    </w:p>
    <w:p w14:paraId="77FBE7EC" w14:textId="57B59CAF" w:rsidR="002943F0" w:rsidRPr="002943F0" w:rsidRDefault="002943F0" w:rsidP="002943F0">
      <w:pPr>
        <w:spacing w:line="240" w:lineRule="auto"/>
        <w:rPr>
          <w:rFonts w:eastAsia="Times New Roman" w:cs="Arial"/>
          <w:lang w:eastAsia="bg-BG"/>
        </w:rPr>
      </w:pPr>
      <w:r w:rsidRPr="002943F0">
        <w:rPr>
          <w:rFonts w:eastAsia="Times New Roman" w:cs="Arial"/>
          <w:color w:val="000000"/>
          <w:u w:val="single"/>
          <w:lang w:eastAsia="bg-BG"/>
        </w:rPr>
        <w:t>Рак на яйчниците</w:t>
      </w:r>
    </w:p>
    <w:p w14:paraId="15FD4D83"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Ракът на яйчниците се наблюдава много по-рядко от рака на гърдата. Епидемиологичните данни от голям мета-анализ предполагат леко повишен риск при жени, приемащи ХЗТ само с естроген или комбинирана естроген-прогестаген ХЗТ, който се проявява в рамките на 5 години от употребата и намалява с течение на времето след спиране на приема.</w:t>
      </w:r>
    </w:p>
    <w:p w14:paraId="319348F9"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 xml:space="preserve">Някои други проучвания, включително изпитването </w:t>
      </w:r>
      <w:r w:rsidRPr="002943F0">
        <w:rPr>
          <w:rFonts w:eastAsia="Times New Roman" w:cs="Arial"/>
          <w:color w:val="000000"/>
          <w:lang w:val="en-US"/>
        </w:rPr>
        <w:t xml:space="preserve">WHI, </w:t>
      </w:r>
      <w:r w:rsidRPr="002943F0">
        <w:rPr>
          <w:rFonts w:eastAsia="Times New Roman" w:cs="Arial"/>
          <w:color w:val="000000"/>
          <w:lang w:eastAsia="bg-BG"/>
        </w:rPr>
        <w:t>предполагат, че употребата на комбинирана ХЗТ може да е свързана с подобен или малко по-малък риск (вж. точка 4.8).</w:t>
      </w:r>
    </w:p>
    <w:p w14:paraId="0526178F" w14:textId="77777777" w:rsidR="002943F0" w:rsidRPr="002943F0" w:rsidRDefault="002943F0" w:rsidP="002943F0">
      <w:pPr>
        <w:spacing w:line="240" w:lineRule="auto"/>
        <w:rPr>
          <w:rFonts w:eastAsia="Times New Roman" w:cs="Arial"/>
          <w:color w:val="000000"/>
          <w:u w:val="single"/>
          <w:lang w:eastAsia="bg-BG"/>
        </w:rPr>
      </w:pPr>
    </w:p>
    <w:p w14:paraId="7A633CA3" w14:textId="49CE29CA" w:rsidR="002943F0" w:rsidRPr="002943F0" w:rsidRDefault="002943F0" w:rsidP="002943F0">
      <w:pPr>
        <w:spacing w:line="240" w:lineRule="auto"/>
        <w:rPr>
          <w:rFonts w:eastAsia="Times New Roman" w:cs="Arial"/>
          <w:lang w:eastAsia="bg-BG"/>
        </w:rPr>
      </w:pPr>
      <w:r w:rsidRPr="002943F0">
        <w:rPr>
          <w:rFonts w:eastAsia="Times New Roman" w:cs="Arial"/>
          <w:color w:val="000000"/>
          <w:u w:val="single"/>
          <w:lang w:eastAsia="bg-BG"/>
        </w:rPr>
        <w:t>Венозен тромбоемболизъм</w:t>
      </w:r>
    </w:p>
    <w:p w14:paraId="4C1A44A8"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ХЗТ е свързана с 1,3-3 пъти по-висок риск от развитие на венозен тромбоемболизъм (ВТЕ), т.е. дълбока венозна тромбоза или белодробен емболизъм. Появата на такова събитие е по-вероятно през първата година на ХЗТ, отколкото по-късно.</w:t>
      </w:r>
    </w:p>
    <w:p w14:paraId="5849AA6B" w14:textId="77777777" w:rsidR="002943F0" w:rsidRPr="002943F0" w:rsidRDefault="002943F0" w:rsidP="002943F0">
      <w:pPr>
        <w:spacing w:line="240" w:lineRule="auto"/>
        <w:rPr>
          <w:rFonts w:eastAsia="Times New Roman" w:cs="Arial"/>
          <w:color w:val="000000"/>
          <w:lang w:eastAsia="bg-BG"/>
        </w:rPr>
      </w:pPr>
    </w:p>
    <w:p w14:paraId="26C8BC39" w14:textId="21626F04"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Пациенти с анамнеза за тромбофилия са с по-висок риск за развитие на ВТЕ и ХЗТ може да повиши този риск. По тази причина прилагането на ХЗТ при такива пациенти е противопоказано.</w:t>
      </w:r>
    </w:p>
    <w:p w14:paraId="49C9BD6F" w14:textId="77777777" w:rsidR="002943F0" w:rsidRPr="002943F0" w:rsidRDefault="002943F0" w:rsidP="002943F0">
      <w:pPr>
        <w:spacing w:line="240" w:lineRule="auto"/>
        <w:rPr>
          <w:rFonts w:eastAsia="Times New Roman" w:cs="Arial"/>
          <w:color w:val="000000"/>
          <w:lang w:eastAsia="bg-BG"/>
        </w:rPr>
      </w:pPr>
    </w:p>
    <w:p w14:paraId="7DE98C5A" w14:textId="1D1BAD08"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 xml:space="preserve">Общоприетите рискови фактори за ВТЕ включват прилагане на естроген, напреднала възраст, голяма хирургична операция, продължителна имобилизация, затлъстяване (ИТМ &gt; 30 </w:t>
      </w:r>
      <w:r w:rsidRPr="002943F0">
        <w:rPr>
          <w:rFonts w:eastAsia="Times New Roman" w:cs="Arial"/>
          <w:color w:val="000000"/>
          <w:lang w:val="en-US"/>
        </w:rPr>
        <w:t>kg/m</w:t>
      </w:r>
      <w:r w:rsidRPr="002943F0">
        <w:rPr>
          <w:rFonts w:eastAsia="Times New Roman" w:cs="Arial"/>
          <w:color w:val="000000"/>
          <w:vertAlign w:val="superscript"/>
          <w:lang w:val="en-US"/>
        </w:rPr>
        <w:t>2</w:t>
      </w:r>
      <w:r w:rsidRPr="002943F0">
        <w:rPr>
          <w:rFonts w:eastAsia="Times New Roman" w:cs="Arial"/>
          <w:color w:val="000000"/>
          <w:lang w:val="en-US"/>
        </w:rPr>
        <w:t xml:space="preserve">), </w:t>
      </w:r>
      <w:r w:rsidRPr="002943F0">
        <w:rPr>
          <w:rFonts w:eastAsia="Times New Roman" w:cs="Arial"/>
          <w:color w:val="000000"/>
          <w:lang w:eastAsia="bg-BG"/>
        </w:rPr>
        <w:t>бременност/периода след раждането, системен лупус еритематозус и рак. Няма единно мнение за възможната роля на варикозните вени при ВТЕ.</w:t>
      </w:r>
    </w:p>
    <w:p w14:paraId="387E69AA" w14:textId="77777777" w:rsidR="002943F0" w:rsidRPr="002943F0" w:rsidRDefault="002943F0" w:rsidP="002943F0">
      <w:pPr>
        <w:spacing w:line="240" w:lineRule="auto"/>
        <w:rPr>
          <w:rFonts w:eastAsia="Times New Roman" w:cs="Arial"/>
          <w:color w:val="000000"/>
          <w:lang w:eastAsia="bg-BG"/>
        </w:rPr>
      </w:pPr>
    </w:p>
    <w:p w14:paraId="03BA5B00" w14:textId="5B7527A2"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Както при всички пост-оперативни пациенти е необходимо да се има предвид провеждане на профилактични мерки за предотвратяване на следопреративния ВТЕ. Ако се очаква продължително обездвижване след определени операции, временното спиране на ХЗТ 4 до 6 седмици по-рано се препоръчва. Възобновяването на терапията не бива да става преди жената да е напълно раздвижена.</w:t>
      </w:r>
    </w:p>
    <w:p w14:paraId="2AF41C1D" w14:textId="77777777" w:rsidR="002943F0" w:rsidRPr="002943F0" w:rsidRDefault="002943F0" w:rsidP="002943F0">
      <w:pPr>
        <w:spacing w:line="240" w:lineRule="auto"/>
        <w:rPr>
          <w:rFonts w:eastAsia="Times New Roman" w:cs="Arial"/>
          <w:color w:val="000000"/>
          <w:lang w:eastAsia="bg-BG"/>
        </w:rPr>
      </w:pPr>
    </w:p>
    <w:p w14:paraId="2356A7D0" w14:textId="77777777" w:rsidR="002943F0" w:rsidRPr="002943F0" w:rsidRDefault="002943F0" w:rsidP="002943F0">
      <w:pPr>
        <w:rPr>
          <w:rFonts w:eastAsia="Times New Roman" w:cs="Arial"/>
          <w:lang w:eastAsia="bg-BG"/>
        </w:rPr>
      </w:pPr>
      <w:r w:rsidRPr="002943F0">
        <w:rPr>
          <w:rFonts w:eastAsia="Times New Roman" w:cs="Arial"/>
          <w:color w:val="000000"/>
          <w:lang w:eastAsia="bg-BG"/>
        </w:rPr>
        <w:t>При жени без анамнеза за ВТЕ, но при роднина по права линия от първа степен с анамнеза за ВТЕ в ранна възраст, може да се препоръча скрининг след внимателно консултиране относно ограниченията му (само част от нарушенията на тромбофилията се индетифицират при</w:t>
      </w:r>
      <w:r w:rsidRPr="002943F0">
        <w:rPr>
          <w:rFonts w:eastAsia="Times New Roman" w:cs="Arial"/>
          <w:color w:val="000000"/>
          <w:lang w:val="en-US" w:eastAsia="bg-BG"/>
        </w:rPr>
        <w:t xml:space="preserve"> </w:t>
      </w:r>
      <w:r w:rsidRPr="002943F0">
        <w:rPr>
          <w:rFonts w:eastAsia="Times New Roman" w:cs="Arial"/>
          <w:color w:val="000000"/>
          <w:lang w:eastAsia="bg-BG"/>
        </w:rPr>
        <w:t xml:space="preserve">скрининг). Ако тромбофиличен дефект се идентифицира и се асоциира с тромбоза в членове на семейството или дефектът е тежък (напр. антитромбин, протеин </w:t>
      </w:r>
      <w:r w:rsidRPr="002943F0">
        <w:rPr>
          <w:rFonts w:eastAsia="Times New Roman" w:cs="Arial"/>
          <w:color w:val="000000"/>
          <w:lang w:val="en-US"/>
        </w:rPr>
        <w:t xml:space="preserve">S </w:t>
      </w:r>
      <w:r w:rsidRPr="002943F0">
        <w:rPr>
          <w:rFonts w:eastAsia="Times New Roman" w:cs="Arial"/>
          <w:color w:val="000000"/>
          <w:lang w:eastAsia="bg-BG"/>
        </w:rPr>
        <w:t>или протеин С недостиг или комбинация от дефекти), ХЗТ е противопоказана.</w:t>
      </w:r>
    </w:p>
    <w:p w14:paraId="18D061D5" w14:textId="77777777" w:rsidR="002943F0" w:rsidRPr="002943F0" w:rsidRDefault="002943F0" w:rsidP="002943F0">
      <w:pPr>
        <w:spacing w:line="240" w:lineRule="auto"/>
        <w:rPr>
          <w:rFonts w:eastAsia="Times New Roman" w:cs="Arial"/>
          <w:color w:val="000000"/>
          <w:lang w:eastAsia="bg-BG"/>
        </w:rPr>
      </w:pPr>
    </w:p>
    <w:p w14:paraId="4E70A89C" w14:textId="76E06004"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При жени, които са на хронично антокоагулантно лечение, трябва внимателно да се прецени ползата/риск от приложението на ХЗТ.</w:t>
      </w:r>
    </w:p>
    <w:p w14:paraId="73EEFB70" w14:textId="77777777" w:rsidR="002943F0" w:rsidRPr="002943F0" w:rsidRDefault="002943F0" w:rsidP="002943F0">
      <w:pPr>
        <w:spacing w:line="240" w:lineRule="auto"/>
        <w:rPr>
          <w:rFonts w:eastAsia="Times New Roman" w:cs="Arial"/>
          <w:color w:val="000000"/>
          <w:lang w:eastAsia="bg-BG"/>
        </w:rPr>
      </w:pPr>
    </w:p>
    <w:p w14:paraId="53013E8A" w14:textId="5F7DB0A8"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Ако след началото на лечението се развие ВТЕ, приемът на лекарството трябва да се спре. Пациентките трябва да се посъветват да потърсят лекуващия си лекар незабавно щом усетят симптомите на евентуално развиващ се тромбоемболизъм (например болезнено подуване на крака, внезапна гръдна болка, задух).</w:t>
      </w:r>
    </w:p>
    <w:p w14:paraId="53FB01B7" w14:textId="77777777" w:rsidR="002943F0" w:rsidRPr="002943F0" w:rsidRDefault="002943F0" w:rsidP="002943F0">
      <w:pPr>
        <w:spacing w:line="240" w:lineRule="auto"/>
        <w:rPr>
          <w:rFonts w:eastAsia="Times New Roman" w:cs="Arial"/>
          <w:color w:val="000000"/>
          <w:u w:val="single"/>
          <w:lang w:eastAsia="bg-BG"/>
        </w:rPr>
      </w:pPr>
    </w:p>
    <w:p w14:paraId="71C9141D" w14:textId="2C3DA54B" w:rsidR="002943F0" w:rsidRPr="002943F0" w:rsidRDefault="002943F0" w:rsidP="002943F0">
      <w:pPr>
        <w:spacing w:line="240" w:lineRule="auto"/>
        <w:rPr>
          <w:rFonts w:eastAsia="Times New Roman" w:cs="Arial"/>
          <w:lang w:eastAsia="bg-BG"/>
        </w:rPr>
      </w:pPr>
      <w:r w:rsidRPr="002943F0">
        <w:rPr>
          <w:rFonts w:eastAsia="Times New Roman" w:cs="Arial"/>
          <w:color w:val="000000"/>
          <w:u w:val="single"/>
          <w:lang w:eastAsia="bg-BG"/>
        </w:rPr>
        <w:t>Исхемична болест на сърцето (ИБС)</w:t>
      </w:r>
    </w:p>
    <w:p w14:paraId="4A159086"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Няма данни от рандомизирани контролирани проучвания за протекция срещу миокарден инфаркт при жени с или без съществуваща ИБС, които получават комбинирана естроген-прогестерон или само естроген ХЗТ.</w:t>
      </w:r>
    </w:p>
    <w:p w14:paraId="1ADF405F" w14:textId="77777777" w:rsidR="002943F0" w:rsidRPr="002943F0" w:rsidRDefault="002943F0" w:rsidP="002943F0">
      <w:pPr>
        <w:spacing w:line="240" w:lineRule="auto"/>
        <w:rPr>
          <w:rFonts w:eastAsia="Times New Roman" w:cs="Arial"/>
          <w:color w:val="000000"/>
          <w:lang w:eastAsia="bg-BG"/>
        </w:rPr>
      </w:pPr>
    </w:p>
    <w:p w14:paraId="3856456A" w14:textId="3230F2CC"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Комбинирана естроген-прогестерон терапия: По време на комбинирана естроген-прогестерон ХЗТ относителният риск за ИБС е леко увеличен. Тъй като изходният абсолютен риск за ИБС е силно зависим от възрастта, броят на допълнителните случаи на ИБС, които се дължат на употребата на естроген-прогестерон е много нисък при здрави жени, наближаващи менопаузата, но се увеличава в по-напреднала възраст.</w:t>
      </w:r>
    </w:p>
    <w:p w14:paraId="21B94F28" w14:textId="77777777" w:rsidR="002943F0" w:rsidRPr="002943F0" w:rsidRDefault="002943F0" w:rsidP="002943F0">
      <w:pPr>
        <w:spacing w:line="240" w:lineRule="auto"/>
        <w:rPr>
          <w:rFonts w:eastAsia="Times New Roman" w:cs="Arial"/>
          <w:color w:val="000000"/>
          <w:u w:val="single"/>
          <w:lang w:eastAsia="bg-BG"/>
        </w:rPr>
      </w:pPr>
    </w:p>
    <w:p w14:paraId="60B1BA17" w14:textId="01B54233" w:rsidR="002943F0" w:rsidRPr="002943F0" w:rsidRDefault="002943F0" w:rsidP="002943F0">
      <w:pPr>
        <w:spacing w:line="240" w:lineRule="auto"/>
        <w:rPr>
          <w:rFonts w:eastAsia="Times New Roman" w:cs="Arial"/>
          <w:lang w:eastAsia="bg-BG"/>
        </w:rPr>
      </w:pPr>
      <w:r w:rsidRPr="002943F0">
        <w:rPr>
          <w:rFonts w:eastAsia="Times New Roman" w:cs="Arial"/>
          <w:color w:val="000000"/>
          <w:u w:val="single"/>
          <w:lang w:eastAsia="bg-BG"/>
        </w:rPr>
        <w:t>Исхемичен инсулт</w:t>
      </w:r>
    </w:p>
    <w:p w14:paraId="1D3CE23E"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Комбинирана естроген-прогестерон или само естроген ХЗТ се свързват с до 1,5 пъти увеличен риск от исхемичен инсулт. Относителният риск не се променя с възрастта или времето след менопаузата. Въпреки това, тъй като изходният риск е силно зависим от възрастта, общият риск от инсулт при жени на ХЗТ се увеличава с възрастта.</w:t>
      </w:r>
    </w:p>
    <w:p w14:paraId="772C0BD0" w14:textId="77777777" w:rsidR="002943F0" w:rsidRPr="002943F0" w:rsidRDefault="002943F0" w:rsidP="002943F0">
      <w:pPr>
        <w:spacing w:line="240" w:lineRule="auto"/>
        <w:rPr>
          <w:rFonts w:eastAsia="Times New Roman" w:cs="Arial"/>
          <w:color w:val="000000"/>
          <w:u w:val="single"/>
          <w:lang w:eastAsia="bg-BG"/>
        </w:rPr>
      </w:pPr>
    </w:p>
    <w:p w14:paraId="43C02EDA" w14:textId="5D1E86F3" w:rsidR="002943F0" w:rsidRPr="002943F0" w:rsidRDefault="002943F0" w:rsidP="002943F0">
      <w:pPr>
        <w:spacing w:line="240" w:lineRule="auto"/>
        <w:rPr>
          <w:rFonts w:eastAsia="Times New Roman" w:cs="Arial"/>
          <w:lang w:eastAsia="bg-BG"/>
        </w:rPr>
      </w:pPr>
      <w:r w:rsidRPr="002943F0">
        <w:rPr>
          <w:rFonts w:eastAsia="Times New Roman" w:cs="Arial"/>
          <w:color w:val="000000"/>
          <w:u w:val="single"/>
          <w:lang w:eastAsia="bg-BG"/>
        </w:rPr>
        <w:t>Помощни вещества</w:t>
      </w:r>
    </w:p>
    <w:p w14:paraId="3ED2423A"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Това лекарство съдържа лактоза монохидрат.</w:t>
      </w:r>
    </w:p>
    <w:p w14:paraId="23438D87" w14:textId="77777777" w:rsidR="002943F0" w:rsidRPr="002943F0" w:rsidRDefault="002943F0" w:rsidP="002943F0">
      <w:pPr>
        <w:spacing w:line="240" w:lineRule="auto"/>
        <w:rPr>
          <w:rFonts w:eastAsia="Times New Roman" w:cs="Arial"/>
          <w:lang w:eastAsia="bg-BG"/>
        </w:rPr>
      </w:pPr>
      <w:r w:rsidRPr="002943F0">
        <w:rPr>
          <w:rFonts w:eastAsia="Times New Roman" w:cs="Arial"/>
          <w:color w:val="000000"/>
          <w:lang w:eastAsia="bg-BG"/>
        </w:rPr>
        <w:t>Пациенти с редки наследствени проблеми на галактозна непоносимост, общ лактазен дефицит или глюкозо-галактозна малабсорбция не трябва да приемат това лекарство.</w:t>
      </w:r>
    </w:p>
    <w:p w14:paraId="4F1BD64A" w14:textId="77777777" w:rsidR="002943F0" w:rsidRPr="002943F0" w:rsidRDefault="002943F0" w:rsidP="002943F0"/>
    <w:p w14:paraId="1DA47448" w14:textId="5DB41677" w:rsidR="009F77A4" w:rsidRDefault="002C50EE" w:rsidP="00387A66">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p>
    <w:p w14:paraId="60CECDF6" w14:textId="78C0446F" w:rsidR="002943F0" w:rsidRDefault="002943F0" w:rsidP="002943F0"/>
    <w:p w14:paraId="43FDB830"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Ин витро данни показват, че главният метаболитен път, по който се получава основния фармакологично активен метаболит 20а дихидродидрогестерон (ДХД) се катализира от алдо-кето редуктаза 1</w:t>
      </w:r>
      <w:r w:rsidRPr="002943F0">
        <w:rPr>
          <w:rFonts w:eastAsia="Times New Roman" w:cs="Arial"/>
          <w:color w:val="000000"/>
          <w:lang w:val="en-US"/>
        </w:rPr>
        <w:t xml:space="preserve">C (AKR </w:t>
      </w:r>
      <w:r w:rsidRPr="002943F0">
        <w:rPr>
          <w:rFonts w:eastAsia="Times New Roman" w:cs="Arial"/>
          <w:color w:val="000000"/>
          <w:lang w:eastAsia="bg-BG"/>
        </w:rPr>
        <w:t xml:space="preserve">1С) в човешки цитозол. Метаболизмът в цитозола е последван от метаболитни трансформации от цитохром Р450 изоензими </w:t>
      </w:r>
      <w:r w:rsidRPr="002943F0">
        <w:rPr>
          <w:rFonts w:eastAsia="Times New Roman" w:cs="Arial"/>
          <w:color w:val="000000"/>
          <w:lang w:val="en-US"/>
        </w:rPr>
        <w:t xml:space="preserve">(CYPs), </w:t>
      </w:r>
      <w:r w:rsidRPr="002943F0">
        <w:rPr>
          <w:rFonts w:eastAsia="Times New Roman" w:cs="Arial"/>
          <w:color w:val="000000"/>
          <w:lang w:eastAsia="bg-BG"/>
        </w:rPr>
        <w:t xml:space="preserve">почти изцяло през </w:t>
      </w:r>
      <w:r w:rsidRPr="002943F0">
        <w:rPr>
          <w:rFonts w:eastAsia="Times New Roman" w:cs="Arial"/>
          <w:color w:val="000000"/>
          <w:lang w:val="en-US"/>
        </w:rPr>
        <w:t xml:space="preserve">CYP3A4, </w:t>
      </w:r>
      <w:r w:rsidRPr="002943F0">
        <w:rPr>
          <w:rFonts w:eastAsia="Times New Roman" w:cs="Arial"/>
          <w:color w:val="000000"/>
          <w:lang w:eastAsia="bg-BG"/>
        </w:rPr>
        <w:t xml:space="preserve">при което се получават няколко второстепенни метаболита. Основният активен метаболит ДХД е субстрат за метаболитна трансформация чрез </w:t>
      </w:r>
      <w:r w:rsidRPr="002943F0">
        <w:rPr>
          <w:rFonts w:eastAsia="Times New Roman" w:cs="Arial"/>
          <w:color w:val="000000"/>
          <w:lang w:val="en-US"/>
        </w:rPr>
        <w:t>CYP3A4.</w:t>
      </w:r>
    </w:p>
    <w:p w14:paraId="1A63CDB5" w14:textId="77777777" w:rsidR="002943F0" w:rsidRPr="002943F0" w:rsidRDefault="002943F0" w:rsidP="002943F0">
      <w:pPr>
        <w:spacing w:line="240" w:lineRule="auto"/>
        <w:rPr>
          <w:rFonts w:eastAsia="Times New Roman" w:cs="Arial"/>
          <w:color w:val="000000"/>
          <w:lang w:eastAsia="bg-BG"/>
        </w:rPr>
      </w:pPr>
    </w:p>
    <w:p w14:paraId="778FEA2B" w14:textId="3C3D654B"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 xml:space="preserve">Следователно, метаболизмът на дидрогестерон и ДХД може да се увеличи при едновременното приложение на вещества, за които е известно, че индуцират </w:t>
      </w:r>
      <w:r w:rsidRPr="002943F0">
        <w:rPr>
          <w:rFonts w:eastAsia="Times New Roman" w:cs="Arial"/>
          <w:color w:val="000000"/>
          <w:lang w:val="en-US"/>
        </w:rPr>
        <w:t xml:space="preserve">CYP </w:t>
      </w:r>
      <w:r w:rsidRPr="002943F0">
        <w:rPr>
          <w:rFonts w:eastAsia="Times New Roman" w:cs="Arial"/>
          <w:color w:val="000000"/>
          <w:lang w:eastAsia="bg-BG"/>
        </w:rPr>
        <w:t xml:space="preserve">ензимите - антиконвулсанти (напр. фенобарбитал, фенитоин, карбамазепин), анти-инфекциозни (напр. рифампицин, рифабутин, невипарин, ефавиренц) и растителни лекарствени продукти, които съдържат жълт кантарион </w:t>
      </w:r>
      <w:r w:rsidRPr="002943F0">
        <w:rPr>
          <w:rFonts w:eastAsia="Times New Roman" w:cs="Arial"/>
          <w:i/>
          <w:iCs/>
          <w:color w:val="000000"/>
          <w:lang w:val="en-US"/>
        </w:rPr>
        <w:t xml:space="preserve">(Hypericum </w:t>
      </w:r>
      <w:proofErr w:type="spellStart"/>
      <w:r w:rsidRPr="002943F0">
        <w:rPr>
          <w:rFonts w:eastAsia="Times New Roman" w:cs="Arial"/>
          <w:i/>
          <w:iCs/>
          <w:color w:val="000000"/>
          <w:lang w:val="en-US"/>
        </w:rPr>
        <w:t>perforatum</w:t>
      </w:r>
      <w:proofErr w:type="spellEnd"/>
      <w:r w:rsidRPr="002943F0">
        <w:rPr>
          <w:rFonts w:eastAsia="Times New Roman" w:cs="Arial"/>
          <w:i/>
          <w:iCs/>
          <w:color w:val="000000"/>
          <w:lang w:val="en-US"/>
        </w:rPr>
        <w:t>),</w:t>
      </w:r>
      <w:r w:rsidRPr="002943F0">
        <w:rPr>
          <w:rFonts w:eastAsia="Times New Roman" w:cs="Arial"/>
          <w:color w:val="000000"/>
          <w:lang w:val="en-US"/>
        </w:rPr>
        <w:t xml:space="preserve"> </w:t>
      </w:r>
      <w:r w:rsidRPr="002943F0">
        <w:rPr>
          <w:rFonts w:eastAsia="Times New Roman" w:cs="Arial"/>
          <w:color w:val="000000"/>
          <w:lang w:eastAsia="bg-BG"/>
        </w:rPr>
        <w:t>градински чай или гингко билоба.</w:t>
      </w:r>
    </w:p>
    <w:p w14:paraId="3DEFE9F3" w14:textId="77777777" w:rsidR="002943F0" w:rsidRPr="002943F0" w:rsidRDefault="002943F0" w:rsidP="002943F0">
      <w:pPr>
        <w:spacing w:line="240" w:lineRule="auto"/>
        <w:rPr>
          <w:rFonts w:eastAsia="Times New Roman" w:cs="Arial"/>
          <w:color w:val="000000"/>
          <w:lang w:eastAsia="bg-BG"/>
        </w:rPr>
      </w:pPr>
    </w:p>
    <w:p w14:paraId="67176C07" w14:textId="01D75BF8"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Ритонавир и нелфинавир, въпреки че са познати като силни цитохром-ензимни инхибитори, когато се прилагат едновременно със стероидни хормони, проявяват ензимно - индуциращи свойства.</w:t>
      </w:r>
    </w:p>
    <w:p w14:paraId="1B16BA6A" w14:textId="77777777" w:rsidR="002943F0" w:rsidRPr="002943F0" w:rsidRDefault="002943F0" w:rsidP="002943F0">
      <w:pPr>
        <w:spacing w:line="240" w:lineRule="auto"/>
        <w:rPr>
          <w:rFonts w:eastAsia="Times New Roman" w:cs="Arial"/>
          <w:color w:val="000000"/>
          <w:lang w:eastAsia="bg-BG"/>
        </w:rPr>
      </w:pPr>
    </w:p>
    <w:p w14:paraId="089844DA" w14:textId="61086BA6"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Клинично, увеличеният метаболизъм на дидрогестерон може да доведе до намален ефект.</w:t>
      </w:r>
    </w:p>
    <w:p w14:paraId="602AB256" w14:textId="77777777" w:rsidR="002943F0" w:rsidRPr="002943F0" w:rsidRDefault="002943F0" w:rsidP="002943F0">
      <w:pPr>
        <w:spacing w:line="240" w:lineRule="auto"/>
        <w:rPr>
          <w:rFonts w:eastAsia="Times New Roman" w:cs="Arial"/>
          <w:color w:val="000000"/>
          <w:lang w:eastAsia="bg-BG"/>
        </w:rPr>
      </w:pPr>
    </w:p>
    <w:p w14:paraId="54961FC8" w14:textId="51FA38B1" w:rsidR="002943F0" w:rsidRPr="002943F0" w:rsidRDefault="002943F0" w:rsidP="002943F0">
      <w:pPr>
        <w:spacing w:line="240" w:lineRule="auto"/>
        <w:rPr>
          <w:rFonts w:eastAsia="Times New Roman" w:cs="Arial"/>
          <w:sz w:val="24"/>
          <w:szCs w:val="24"/>
          <w:lang w:val="en-US" w:eastAsia="bg-BG"/>
        </w:rPr>
      </w:pPr>
      <w:r w:rsidRPr="002943F0">
        <w:rPr>
          <w:rFonts w:eastAsia="Times New Roman" w:cs="Arial"/>
          <w:color w:val="000000"/>
          <w:lang w:eastAsia="bg-BG"/>
        </w:rPr>
        <w:t xml:space="preserve">Ин витро проучвания показаха, че дидрогестерон и ДХД не инхибиран или индуцират </w:t>
      </w:r>
      <w:r w:rsidRPr="002943F0">
        <w:rPr>
          <w:rFonts w:eastAsia="Times New Roman" w:cs="Arial"/>
          <w:color w:val="000000"/>
          <w:lang w:val="en-US"/>
        </w:rPr>
        <w:t>CYP-</w:t>
      </w:r>
      <w:r w:rsidRPr="002943F0">
        <w:rPr>
          <w:rFonts w:eastAsia="Times New Roman" w:cs="Arial"/>
          <w:color w:val="000000"/>
          <w:lang w:eastAsia="bg-BG"/>
        </w:rPr>
        <w:t xml:space="preserve"> метаболизиращите лекарствата ензими при клинично-значими концентрации</w:t>
      </w:r>
      <w:r w:rsidRPr="002943F0">
        <w:rPr>
          <w:rFonts w:eastAsia="Times New Roman" w:cs="Arial"/>
          <w:color w:val="000000"/>
          <w:lang w:val="en-US" w:eastAsia="bg-BG"/>
        </w:rPr>
        <w:t>.</w:t>
      </w:r>
    </w:p>
    <w:p w14:paraId="030E5003" w14:textId="77777777" w:rsidR="002943F0" w:rsidRPr="002943F0" w:rsidRDefault="002943F0" w:rsidP="002943F0"/>
    <w:p w14:paraId="48846BBA" w14:textId="31B00437" w:rsidR="009F77A4" w:rsidRDefault="002C50EE" w:rsidP="00387A66">
      <w:pPr>
        <w:pStyle w:val="Heading2"/>
      </w:pPr>
      <w:r>
        <w:t>4.6. Фертилитет, бременност и кърмене</w:t>
      </w:r>
    </w:p>
    <w:p w14:paraId="489E6F6C" w14:textId="012559FB" w:rsidR="002943F0" w:rsidRDefault="002943F0" w:rsidP="002943F0"/>
    <w:p w14:paraId="703E82C8" w14:textId="77777777" w:rsidR="002943F0" w:rsidRPr="002943F0" w:rsidRDefault="002943F0" w:rsidP="002943F0">
      <w:pPr>
        <w:pStyle w:val="Heading3"/>
        <w:rPr>
          <w:rFonts w:eastAsia="Times New Roman"/>
          <w:u w:val="single"/>
          <w:lang w:eastAsia="bg-BG"/>
        </w:rPr>
      </w:pPr>
      <w:r w:rsidRPr="002943F0">
        <w:rPr>
          <w:rFonts w:eastAsia="Times New Roman"/>
          <w:u w:val="single"/>
          <w:lang w:eastAsia="bg-BG"/>
        </w:rPr>
        <w:t>Бременност</w:t>
      </w:r>
    </w:p>
    <w:p w14:paraId="292C2287"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Оценява се, че повече от 10 милиона бременности са били изложен на дидрогестерон. Към момента няма данни за увреждащ ефект от употребата на дидрогестерон по време на бременност.</w:t>
      </w:r>
    </w:p>
    <w:p w14:paraId="3ED9B16E" w14:textId="77777777" w:rsidR="002943F0" w:rsidRPr="002943F0" w:rsidRDefault="002943F0" w:rsidP="002943F0">
      <w:pPr>
        <w:spacing w:line="240" w:lineRule="auto"/>
        <w:rPr>
          <w:rFonts w:eastAsia="Times New Roman" w:cs="Arial"/>
          <w:color w:val="000000"/>
          <w:lang w:eastAsia="bg-BG"/>
        </w:rPr>
      </w:pPr>
    </w:p>
    <w:p w14:paraId="1D354FDD" w14:textId="1A977113"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В литературата е докладвано, че някои прогестагени се свързват с повишен риск от хипоспадиас. Въпреки това, поради съпътстващи фактори по време на бременността, не може да се направи окончателно заключение какъв е приносът на прогестагените за хипоспадиас. Клинични проучвания с ограничен брой жени, лекувани с дидрогестерон в началото на бременността не показват увеличение на риска. Досега няма налични други епидемиологични данни.</w:t>
      </w:r>
    </w:p>
    <w:p w14:paraId="6F945DEF" w14:textId="77777777" w:rsidR="002943F0" w:rsidRPr="002943F0" w:rsidRDefault="002943F0" w:rsidP="002943F0">
      <w:pPr>
        <w:spacing w:line="240" w:lineRule="auto"/>
        <w:rPr>
          <w:rFonts w:eastAsia="Times New Roman" w:cs="Arial"/>
          <w:color w:val="000000"/>
          <w:lang w:eastAsia="bg-BG"/>
        </w:rPr>
      </w:pPr>
    </w:p>
    <w:p w14:paraId="21459B51" w14:textId="4078A666"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Ефектите при предклинични ембрио-фетални и пост-натално проучвания върху развитието са в съответствие с фармакологичния профил. Неблагоприятни ефекти е имало само при експозиции, които надвишават значително максималната човешка експозиция, което показва малко значение за клиничната практика (вж. точка 5.3).</w:t>
      </w:r>
    </w:p>
    <w:p w14:paraId="40FE9B69" w14:textId="77777777" w:rsidR="002943F0" w:rsidRPr="002943F0" w:rsidRDefault="002943F0" w:rsidP="002943F0">
      <w:pPr>
        <w:spacing w:line="240" w:lineRule="auto"/>
        <w:rPr>
          <w:rFonts w:eastAsia="Times New Roman" w:cs="Arial"/>
          <w:color w:val="000000"/>
          <w:lang w:eastAsia="bg-BG"/>
        </w:rPr>
      </w:pPr>
    </w:p>
    <w:p w14:paraId="06643797" w14:textId="29E49396"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Дидрогестерон може да бъде използван по време на бременност при наличие на ясни показания.</w:t>
      </w:r>
    </w:p>
    <w:p w14:paraId="5A622E30" w14:textId="77777777" w:rsidR="002943F0" w:rsidRPr="002943F0" w:rsidRDefault="002943F0" w:rsidP="002943F0">
      <w:pPr>
        <w:spacing w:line="240" w:lineRule="auto"/>
        <w:rPr>
          <w:rFonts w:eastAsia="Times New Roman" w:cs="Arial"/>
          <w:color w:val="000000"/>
          <w:u w:val="single"/>
          <w:lang w:eastAsia="bg-BG"/>
        </w:rPr>
      </w:pPr>
    </w:p>
    <w:p w14:paraId="4DB54212" w14:textId="029CF4A6" w:rsidR="002943F0" w:rsidRPr="002943F0" w:rsidRDefault="002943F0" w:rsidP="002943F0">
      <w:pPr>
        <w:pStyle w:val="Heading3"/>
        <w:rPr>
          <w:rFonts w:eastAsia="Times New Roman"/>
          <w:u w:val="single"/>
          <w:lang w:eastAsia="bg-BG"/>
        </w:rPr>
      </w:pPr>
      <w:r w:rsidRPr="002943F0">
        <w:rPr>
          <w:rFonts w:eastAsia="Times New Roman"/>
          <w:u w:val="single"/>
          <w:lang w:eastAsia="bg-BG"/>
        </w:rPr>
        <w:t>Кърмене</w:t>
      </w:r>
    </w:p>
    <w:p w14:paraId="3DB47871"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Няма данни за екскреция на дидрогестерон в майчиното мляко. Опитът с други прогестагени показва, че прогестагените и техните метаболити преминават в малки количества в майчиното мляко. Не е известно дали съществува риск за детето. Следователно, дидрогестерон не трябва да се употребява по време на кърмене.</w:t>
      </w:r>
    </w:p>
    <w:p w14:paraId="332425E7" w14:textId="77777777" w:rsidR="002943F0" w:rsidRPr="002943F0" w:rsidRDefault="002943F0" w:rsidP="002943F0">
      <w:pPr>
        <w:spacing w:line="240" w:lineRule="auto"/>
        <w:rPr>
          <w:rFonts w:eastAsia="Times New Roman" w:cs="Arial"/>
          <w:color w:val="000000"/>
          <w:u w:val="single"/>
          <w:lang w:eastAsia="bg-BG"/>
        </w:rPr>
      </w:pPr>
    </w:p>
    <w:p w14:paraId="4F7D60F7" w14:textId="0392D5E3" w:rsidR="002943F0" w:rsidRPr="002943F0" w:rsidRDefault="002943F0" w:rsidP="002943F0">
      <w:pPr>
        <w:pStyle w:val="Heading3"/>
        <w:rPr>
          <w:rFonts w:eastAsia="Times New Roman"/>
          <w:u w:val="single"/>
          <w:lang w:eastAsia="bg-BG"/>
        </w:rPr>
      </w:pPr>
      <w:r w:rsidRPr="002943F0">
        <w:rPr>
          <w:rFonts w:eastAsia="Times New Roman"/>
          <w:u w:val="single"/>
          <w:lang w:eastAsia="bg-BG"/>
        </w:rPr>
        <w:t>Фертилитет</w:t>
      </w:r>
    </w:p>
    <w:p w14:paraId="17FDBC60" w14:textId="77777777" w:rsidR="002943F0" w:rsidRPr="002943F0" w:rsidRDefault="002943F0" w:rsidP="002943F0">
      <w:pPr>
        <w:spacing w:line="240" w:lineRule="auto"/>
        <w:rPr>
          <w:rFonts w:eastAsia="Times New Roman" w:cs="Arial"/>
          <w:sz w:val="24"/>
          <w:szCs w:val="24"/>
          <w:lang w:eastAsia="bg-BG"/>
        </w:rPr>
      </w:pPr>
      <w:r w:rsidRPr="002943F0">
        <w:rPr>
          <w:rFonts w:eastAsia="Times New Roman" w:cs="Arial"/>
          <w:color w:val="000000"/>
          <w:lang w:eastAsia="bg-BG"/>
        </w:rPr>
        <w:t>Няма данни, че дидрогестерон понижава фертилитета, когато е използван в терапевтични дози.</w:t>
      </w:r>
    </w:p>
    <w:p w14:paraId="10F99A33" w14:textId="77777777" w:rsidR="002943F0" w:rsidRPr="002943F0" w:rsidRDefault="002943F0" w:rsidP="002943F0"/>
    <w:p w14:paraId="321AAB00" w14:textId="1B5697A5" w:rsidR="009F77A4" w:rsidRDefault="002C50EE" w:rsidP="00387A66">
      <w:pPr>
        <w:pStyle w:val="Heading2"/>
      </w:pPr>
      <w:r>
        <w:t>4.7. Ефекти върху способността за шофиране и работа с машини</w:t>
      </w:r>
    </w:p>
    <w:p w14:paraId="640449B0" w14:textId="138BE059" w:rsidR="0004063E" w:rsidRDefault="0004063E" w:rsidP="0004063E"/>
    <w:p w14:paraId="377805AA" w14:textId="77777777" w:rsidR="0004063E" w:rsidRPr="0004063E" w:rsidRDefault="0004063E" w:rsidP="0004063E">
      <w:pPr>
        <w:rPr>
          <w:sz w:val="24"/>
          <w:szCs w:val="24"/>
          <w:lang w:eastAsia="bg-BG"/>
        </w:rPr>
      </w:pPr>
      <w:r w:rsidRPr="0004063E">
        <w:rPr>
          <w:lang w:eastAsia="bg-BG"/>
        </w:rPr>
        <w:t>Дидрогестерон повлиява пренебрежимо способността за шофиране и работа с машини.</w:t>
      </w:r>
    </w:p>
    <w:p w14:paraId="5D569D48" w14:textId="77777777" w:rsidR="0004063E" w:rsidRDefault="0004063E" w:rsidP="0004063E">
      <w:pPr>
        <w:rPr>
          <w:lang w:eastAsia="bg-BG"/>
        </w:rPr>
      </w:pPr>
    </w:p>
    <w:p w14:paraId="127E27BF" w14:textId="4DAF68DC" w:rsidR="0004063E" w:rsidRPr="0004063E" w:rsidRDefault="0004063E" w:rsidP="0004063E">
      <w:pPr>
        <w:rPr>
          <w:sz w:val="24"/>
          <w:szCs w:val="24"/>
          <w:lang w:eastAsia="bg-BG"/>
        </w:rPr>
      </w:pPr>
      <w:r w:rsidRPr="0004063E">
        <w:rPr>
          <w:lang w:eastAsia="bg-BG"/>
        </w:rPr>
        <w:t>Дидрогестерон може да причини рядко сънливост и/или замайване, особено в първите няколко часа след прием. Следователно, трябва повишено внимание при шофиране и работа с машини.</w:t>
      </w:r>
    </w:p>
    <w:p w14:paraId="782A7006" w14:textId="77777777" w:rsidR="0004063E" w:rsidRPr="0004063E" w:rsidRDefault="0004063E" w:rsidP="0004063E"/>
    <w:p w14:paraId="136C86B8" w14:textId="0A25059D" w:rsidR="009F77A4" w:rsidRDefault="002C50EE" w:rsidP="00387A66">
      <w:pPr>
        <w:pStyle w:val="Heading2"/>
      </w:pPr>
      <w:r>
        <w:t>4.8. Нежелани лекарствени реакции</w:t>
      </w:r>
    </w:p>
    <w:p w14:paraId="49550824" w14:textId="5E261814" w:rsidR="0004063E" w:rsidRDefault="0004063E" w:rsidP="0004063E"/>
    <w:p w14:paraId="6AEDE320" w14:textId="77777777" w:rsidR="0004063E" w:rsidRPr="0004063E" w:rsidRDefault="0004063E" w:rsidP="0004063E">
      <w:pPr>
        <w:spacing w:line="240" w:lineRule="auto"/>
        <w:rPr>
          <w:rFonts w:ascii="Times New Roman" w:eastAsia="Times New Roman" w:hAnsi="Times New Roman" w:cs="Times New Roman"/>
          <w:sz w:val="24"/>
          <w:szCs w:val="24"/>
          <w:lang w:eastAsia="bg-BG"/>
        </w:rPr>
      </w:pPr>
      <w:r w:rsidRPr="0004063E">
        <w:rPr>
          <w:rFonts w:ascii="Times New Roman" w:eastAsia="Times New Roman" w:hAnsi="Times New Roman" w:cs="Times New Roman"/>
          <w:color w:val="000000"/>
          <w:lang w:eastAsia="bg-BG"/>
        </w:rPr>
        <w:t>Най-често докладваните нежелани лекарствени реакции от пациенти, лекувани с дидрогестерон без естроген в клинични проучвания са мигрени/главоболие, гадене, менструални нарушения и болки/чувствителност на гърдата.</w:t>
      </w:r>
    </w:p>
    <w:p w14:paraId="2CC2C3F5" w14:textId="77777777" w:rsidR="0004063E" w:rsidRDefault="0004063E" w:rsidP="0004063E">
      <w:pPr>
        <w:spacing w:line="240" w:lineRule="auto"/>
        <w:rPr>
          <w:rFonts w:ascii="Times New Roman" w:eastAsia="Times New Roman" w:hAnsi="Times New Roman" w:cs="Times New Roman"/>
          <w:color w:val="000000"/>
          <w:lang w:eastAsia="bg-BG"/>
        </w:rPr>
      </w:pPr>
    </w:p>
    <w:p w14:paraId="432F3963" w14:textId="512FAB12" w:rsidR="0004063E" w:rsidRPr="0004063E" w:rsidRDefault="0004063E" w:rsidP="0004063E">
      <w:pPr>
        <w:spacing w:line="240" w:lineRule="auto"/>
        <w:rPr>
          <w:rFonts w:ascii="Times New Roman" w:eastAsia="Times New Roman" w:hAnsi="Times New Roman" w:cs="Times New Roman"/>
          <w:sz w:val="24"/>
          <w:szCs w:val="24"/>
          <w:lang w:eastAsia="bg-BG"/>
        </w:rPr>
      </w:pPr>
      <w:r w:rsidRPr="0004063E">
        <w:rPr>
          <w:rFonts w:ascii="Times New Roman" w:eastAsia="Times New Roman" w:hAnsi="Times New Roman" w:cs="Times New Roman"/>
          <w:color w:val="000000"/>
          <w:lang w:eastAsia="bg-BG"/>
        </w:rPr>
        <w:lastRenderedPageBreak/>
        <w:t>Следните нежелани лекарствени реакции са наблюдавани с честотите посочени по-долу по време на клинични изпитвания с дидрогестерон (</w:t>
      </w:r>
      <w:r w:rsidRPr="0004063E">
        <w:rPr>
          <w:rFonts w:ascii="Times New Roman" w:eastAsia="Times New Roman" w:hAnsi="Times New Roman" w:cs="Times New Roman"/>
          <w:color w:val="000000"/>
          <w:lang w:val="en-US"/>
        </w:rPr>
        <w:t>n</w:t>
      </w:r>
      <w:r w:rsidRPr="0004063E">
        <w:rPr>
          <w:rFonts w:ascii="Times New Roman" w:eastAsia="Times New Roman" w:hAnsi="Times New Roman" w:cs="Times New Roman"/>
          <w:color w:val="000000"/>
          <w:lang w:eastAsia="bg-BG"/>
        </w:rPr>
        <w:t xml:space="preserve">=3 483) при индикации без лечение с </w:t>
      </w:r>
      <w:r w:rsidRPr="0004063E">
        <w:rPr>
          <w:rFonts w:ascii="Times New Roman" w:eastAsia="Times New Roman" w:hAnsi="Times New Roman" w:cs="Times New Roman"/>
          <w:i/>
          <w:iCs/>
          <w:color w:val="000000"/>
          <w:lang w:eastAsia="bg-BG"/>
        </w:rPr>
        <w:t xml:space="preserve">естроген и от </w:t>
      </w:r>
      <w:r w:rsidRPr="0004063E">
        <w:rPr>
          <w:rFonts w:ascii="Times New Roman" w:eastAsia="Times New Roman" w:hAnsi="Times New Roman" w:cs="Times New Roman"/>
          <w:color w:val="000000"/>
          <w:lang w:eastAsia="bg-BG"/>
        </w:rPr>
        <w:t>спонтанни доклади:</w:t>
      </w:r>
    </w:p>
    <w:p w14:paraId="7676B0A5" w14:textId="46E44F7E" w:rsidR="0004063E" w:rsidRDefault="0004063E" w:rsidP="0004063E"/>
    <w:tbl>
      <w:tblPr>
        <w:tblStyle w:val="TableGrid"/>
        <w:tblW w:w="0" w:type="auto"/>
        <w:tblLook w:val="04A0" w:firstRow="1" w:lastRow="0" w:firstColumn="1" w:lastColumn="0" w:noHBand="0" w:noVBand="1"/>
      </w:tblPr>
      <w:tblGrid>
        <w:gridCol w:w="2357"/>
        <w:gridCol w:w="2371"/>
        <w:gridCol w:w="2323"/>
        <w:gridCol w:w="2299"/>
      </w:tblGrid>
      <w:tr w:rsidR="0004063E" w14:paraId="793A5552" w14:textId="77777777" w:rsidTr="0004063E">
        <w:tc>
          <w:tcPr>
            <w:tcW w:w="2375" w:type="dxa"/>
          </w:tcPr>
          <w:p w14:paraId="7E60BA23" w14:textId="5B58E070" w:rsidR="0004063E" w:rsidRDefault="0004063E" w:rsidP="0004063E">
            <w:r>
              <w:rPr>
                <w:lang w:val="en-US"/>
              </w:rPr>
              <w:t>MedDRA</w:t>
            </w:r>
            <w:r>
              <w:t>-база данни на системо- органни класове</w:t>
            </w:r>
          </w:p>
        </w:tc>
        <w:tc>
          <w:tcPr>
            <w:tcW w:w="2375" w:type="dxa"/>
          </w:tcPr>
          <w:p w14:paraId="5FD1D21D" w14:textId="7BA717BA" w:rsidR="0004063E" w:rsidRDefault="0004063E" w:rsidP="0004063E">
            <w:r>
              <w:t>Чести (≥1/100 до &lt;1/10)</w:t>
            </w:r>
          </w:p>
        </w:tc>
        <w:tc>
          <w:tcPr>
            <w:tcW w:w="2375" w:type="dxa"/>
          </w:tcPr>
          <w:p w14:paraId="5446421D" w14:textId="77777777" w:rsidR="0004063E" w:rsidRDefault="0004063E" w:rsidP="0004063E">
            <w:r>
              <w:t>Нечести</w:t>
            </w:r>
          </w:p>
          <w:p w14:paraId="0F76970D" w14:textId="26634301" w:rsidR="0004063E" w:rsidRDefault="0004063E" w:rsidP="0004063E">
            <w:r>
              <w:t>(≥1/1 000 до &lt;1/100)</w:t>
            </w:r>
          </w:p>
        </w:tc>
        <w:tc>
          <w:tcPr>
            <w:tcW w:w="2375" w:type="dxa"/>
          </w:tcPr>
          <w:p w14:paraId="490E497D" w14:textId="77777777" w:rsidR="0004063E" w:rsidRDefault="0004063E" w:rsidP="0004063E">
            <w:r>
              <w:t>Редки</w:t>
            </w:r>
          </w:p>
          <w:p w14:paraId="538D9282" w14:textId="44262F3B" w:rsidR="0004063E" w:rsidRDefault="0004063E" w:rsidP="0004063E">
            <w:r>
              <w:t>(≥1/10 000 до &lt;1/1 000)</w:t>
            </w:r>
          </w:p>
        </w:tc>
      </w:tr>
      <w:tr w:rsidR="0004063E" w14:paraId="20D679E8" w14:textId="77777777" w:rsidTr="0004063E">
        <w:tc>
          <w:tcPr>
            <w:tcW w:w="2375" w:type="dxa"/>
          </w:tcPr>
          <w:p w14:paraId="4DE831A9" w14:textId="07EEB6B7" w:rsidR="0004063E" w:rsidRDefault="0004063E" w:rsidP="0004063E">
            <w:r>
              <w:t>Неоплазми - доброкачествени, злокачествени и неопределени (вкл. кисти и полипи)</w:t>
            </w:r>
          </w:p>
        </w:tc>
        <w:tc>
          <w:tcPr>
            <w:tcW w:w="2375" w:type="dxa"/>
          </w:tcPr>
          <w:p w14:paraId="5FC5F86F" w14:textId="77777777" w:rsidR="0004063E" w:rsidRDefault="0004063E" w:rsidP="0004063E"/>
        </w:tc>
        <w:tc>
          <w:tcPr>
            <w:tcW w:w="2375" w:type="dxa"/>
          </w:tcPr>
          <w:p w14:paraId="48D8A493" w14:textId="77777777" w:rsidR="0004063E" w:rsidRDefault="0004063E" w:rsidP="0004063E"/>
        </w:tc>
        <w:tc>
          <w:tcPr>
            <w:tcW w:w="2375" w:type="dxa"/>
          </w:tcPr>
          <w:p w14:paraId="6BE43A82" w14:textId="77777777" w:rsidR="0004063E" w:rsidRDefault="0004063E" w:rsidP="0004063E">
            <w:r>
              <w:t>Увеличение</w:t>
            </w:r>
            <w:r>
              <w:rPr>
                <w:lang w:val="en-US"/>
              </w:rPr>
              <w:t xml:space="preserve"> </w:t>
            </w:r>
            <w:r>
              <w:t>в</w:t>
            </w:r>
            <w:r>
              <w:rPr>
                <w:u w:val="single"/>
              </w:rPr>
              <w:t xml:space="preserve"> големината на</w:t>
            </w:r>
          </w:p>
          <w:p w14:paraId="2DA577A0" w14:textId="77777777" w:rsidR="0004063E" w:rsidRDefault="0004063E" w:rsidP="0004063E">
            <w:r>
              <w:rPr>
                <w:u w:val="single"/>
              </w:rPr>
              <w:t>прогестаген-зависими</w:t>
            </w:r>
          </w:p>
          <w:p w14:paraId="3FEB0C44" w14:textId="77777777" w:rsidR="0004063E" w:rsidRDefault="0004063E" w:rsidP="0004063E">
            <w:r>
              <w:rPr>
                <w:u w:val="single"/>
              </w:rPr>
              <w:t>неоплазми (напр.</w:t>
            </w:r>
          </w:p>
          <w:p w14:paraId="3A2E649C" w14:textId="3742700F" w:rsidR="0004063E" w:rsidRDefault="0004063E" w:rsidP="0004063E">
            <w:r>
              <w:rPr>
                <w:u w:val="single"/>
              </w:rPr>
              <w:t>менингиома)</w:t>
            </w:r>
          </w:p>
        </w:tc>
      </w:tr>
      <w:tr w:rsidR="0004063E" w14:paraId="2ED918E2" w14:textId="77777777" w:rsidTr="0004063E">
        <w:tc>
          <w:tcPr>
            <w:tcW w:w="2375" w:type="dxa"/>
          </w:tcPr>
          <w:p w14:paraId="5F0F8CD3" w14:textId="6E19A4D1" w:rsidR="0004063E" w:rsidRPr="0004063E" w:rsidRDefault="0004063E" w:rsidP="0004063E">
            <w:pPr>
              <w:rPr>
                <w:lang w:val="en-US"/>
              </w:rPr>
            </w:pPr>
            <w:r>
              <w:t>Нарушения на кръвта</w:t>
            </w:r>
            <w:r>
              <w:rPr>
                <w:lang w:val="en-US"/>
              </w:rPr>
              <w:t xml:space="preserve"> </w:t>
            </w:r>
            <w:r>
              <w:t>и лимфната система</w:t>
            </w:r>
          </w:p>
        </w:tc>
        <w:tc>
          <w:tcPr>
            <w:tcW w:w="2375" w:type="dxa"/>
          </w:tcPr>
          <w:p w14:paraId="729A68CB" w14:textId="77777777" w:rsidR="0004063E" w:rsidRDefault="0004063E" w:rsidP="0004063E"/>
        </w:tc>
        <w:tc>
          <w:tcPr>
            <w:tcW w:w="2375" w:type="dxa"/>
          </w:tcPr>
          <w:p w14:paraId="28B33466" w14:textId="77777777" w:rsidR="0004063E" w:rsidRDefault="0004063E" w:rsidP="0004063E"/>
        </w:tc>
        <w:tc>
          <w:tcPr>
            <w:tcW w:w="2375" w:type="dxa"/>
          </w:tcPr>
          <w:p w14:paraId="7DEE023F" w14:textId="2C4F3720" w:rsidR="0004063E" w:rsidRDefault="0004063E" w:rsidP="0004063E">
            <w:r>
              <w:t>Хемолитична анемия*</w:t>
            </w:r>
          </w:p>
        </w:tc>
      </w:tr>
      <w:tr w:rsidR="0004063E" w14:paraId="1F9E3B09" w14:textId="77777777" w:rsidTr="0004063E">
        <w:tc>
          <w:tcPr>
            <w:tcW w:w="2375" w:type="dxa"/>
          </w:tcPr>
          <w:p w14:paraId="599C6274" w14:textId="52F95960" w:rsidR="0004063E" w:rsidRDefault="0004063E" w:rsidP="0004063E">
            <w:r>
              <w:t>Психични нарушения</w:t>
            </w:r>
          </w:p>
        </w:tc>
        <w:tc>
          <w:tcPr>
            <w:tcW w:w="2375" w:type="dxa"/>
          </w:tcPr>
          <w:p w14:paraId="5F79D980" w14:textId="77777777" w:rsidR="0004063E" w:rsidRDefault="0004063E" w:rsidP="0004063E"/>
        </w:tc>
        <w:tc>
          <w:tcPr>
            <w:tcW w:w="2375" w:type="dxa"/>
          </w:tcPr>
          <w:p w14:paraId="6099E9C7" w14:textId="42E6A964" w:rsidR="0004063E" w:rsidRDefault="0004063E" w:rsidP="0004063E">
            <w:r>
              <w:t>Потиснато настроение</w:t>
            </w:r>
          </w:p>
        </w:tc>
        <w:tc>
          <w:tcPr>
            <w:tcW w:w="2375" w:type="dxa"/>
          </w:tcPr>
          <w:p w14:paraId="0BAA4ED0" w14:textId="77777777" w:rsidR="0004063E" w:rsidRDefault="0004063E" w:rsidP="0004063E"/>
        </w:tc>
      </w:tr>
      <w:tr w:rsidR="0004063E" w14:paraId="08874FC8" w14:textId="77777777" w:rsidTr="0004063E">
        <w:tc>
          <w:tcPr>
            <w:tcW w:w="2375" w:type="dxa"/>
          </w:tcPr>
          <w:p w14:paraId="144B87F6" w14:textId="25FD424A" w:rsidR="0004063E" w:rsidRDefault="0004063E" w:rsidP="0004063E">
            <w:r>
              <w:t>Нарушения на имунната система</w:t>
            </w:r>
          </w:p>
        </w:tc>
        <w:tc>
          <w:tcPr>
            <w:tcW w:w="2375" w:type="dxa"/>
          </w:tcPr>
          <w:p w14:paraId="30ABAAFB" w14:textId="77777777" w:rsidR="0004063E" w:rsidRDefault="0004063E" w:rsidP="0004063E"/>
        </w:tc>
        <w:tc>
          <w:tcPr>
            <w:tcW w:w="2375" w:type="dxa"/>
          </w:tcPr>
          <w:p w14:paraId="44CB2504" w14:textId="77777777" w:rsidR="0004063E" w:rsidRDefault="0004063E" w:rsidP="0004063E"/>
        </w:tc>
        <w:tc>
          <w:tcPr>
            <w:tcW w:w="2375" w:type="dxa"/>
          </w:tcPr>
          <w:p w14:paraId="4057EF62" w14:textId="7FE4C601" w:rsidR="0004063E" w:rsidRDefault="0004063E" w:rsidP="0004063E">
            <w:r>
              <w:t>Свръхчу вствител ност</w:t>
            </w:r>
          </w:p>
        </w:tc>
      </w:tr>
      <w:tr w:rsidR="0004063E" w14:paraId="64DB5A6D" w14:textId="77777777" w:rsidTr="0004063E">
        <w:tc>
          <w:tcPr>
            <w:tcW w:w="2375" w:type="dxa"/>
          </w:tcPr>
          <w:p w14:paraId="4A0C6294" w14:textId="068D0C41" w:rsidR="0004063E" w:rsidRDefault="0004063E" w:rsidP="0004063E">
            <w:r>
              <w:t>Нарушения на нервната система</w:t>
            </w:r>
          </w:p>
        </w:tc>
        <w:tc>
          <w:tcPr>
            <w:tcW w:w="2375" w:type="dxa"/>
          </w:tcPr>
          <w:p w14:paraId="582EA713" w14:textId="6C1BBEB3" w:rsidR="0004063E" w:rsidRDefault="0004063E" w:rsidP="0004063E">
            <w:r>
              <w:t>Мигрени/главоболие</w:t>
            </w:r>
          </w:p>
        </w:tc>
        <w:tc>
          <w:tcPr>
            <w:tcW w:w="2375" w:type="dxa"/>
          </w:tcPr>
          <w:p w14:paraId="10CC5F8B" w14:textId="7F6FD5DB" w:rsidR="0004063E" w:rsidRDefault="0004063E" w:rsidP="0004063E">
            <w:r>
              <w:t>Замаяност</w:t>
            </w:r>
          </w:p>
        </w:tc>
        <w:tc>
          <w:tcPr>
            <w:tcW w:w="2375" w:type="dxa"/>
          </w:tcPr>
          <w:p w14:paraId="0B7A1098" w14:textId="006C2414" w:rsidR="0004063E" w:rsidRDefault="0004063E" w:rsidP="0004063E">
            <w:r>
              <w:t>Сомнолентност</w:t>
            </w:r>
          </w:p>
        </w:tc>
      </w:tr>
      <w:tr w:rsidR="0004063E" w14:paraId="2219B626" w14:textId="77777777" w:rsidTr="0004063E">
        <w:tc>
          <w:tcPr>
            <w:tcW w:w="2375" w:type="dxa"/>
          </w:tcPr>
          <w:p w14:paraId="4E29052D" w14:textId="4FB0CDEF" w:rsidR="0004063E" w:rsidRDefault="0004063E" w:rsidP="0004063E">
            <w:r>
              <w:t>Стомашно-чревни нарушения</w:t>
            </w:r>
          </w:p>
        </w:tc>
        <w:tc>
          <w:tcPr>
            <w:tcW w:w="2375" w:type="dxa"/>
          </w:tcPr>
          <w:p w14:paraId="16B879AC" w14:textId="4CD92C48" w:rsidR="0004063E" w:rsidRDefault="0004063E" w:rsidP="0004063E">
            <w:r>
              <w:t>Гадене</w:t>
            </w:r>
          </w:p>
        </w:tc>
        <w:tc>
          <w:tcPr>
            <w:tcW w:w="2375" w:type="dxa"/>
          </w:tcPr>
          <w:p w14:paraId="3E208BA8" w14:textId="42849F05" w:rsidR="0004063E" w:rsidRDefault="0004063E" w:rsidP="0004063E">
            <w:r>
              <w:t>Повръщане</w:t>
            </w:r>
          </w:p>
        </w:tc>
        <w:tc>
          <w:tcPr>
            <w:tcW w:w="2375" w:type="dxa"/>
          </w:tcPr>
          <w:p w14:paraId="019A9383" w14:textId="77777777" w:rsidR="0004063E" w:rsidRDefault="0004063E" w:rsidP="0004063E"/>
        </w:tc>
      </w:tr>
      <w:tr w:rsidR="0004063E" w14:paraId="2569C951" w14:textId="77777777" w:rsidTr="0004063E">
        <w:tc>
          <w:tcPr>
            <w:tcW w:w="2375" w:type="dxa"/>
          </w:tcPr>
          <w:p w14:paraId="4F6D9411" w14:textId="74D56CFD" w:rsidR="0004063E" w:rsidRDefault="0004063E" w:rsidP="0004063E">
            <w:r>
              <w:t>Хепатобилиарни нарушения</w:t>
            </w:r>
          </w:p>
        </w:tc>
        <w:tc>
          <w:tcPr>
            <w:tcW w:w="2375" w:type="dxa"/>
          </w:tcPr>
          <w:p w14:paraId="39D6215C" w14:textId="77777777" w:rsidR="0004063E" w:rsidRDefault="0004063E" w:rsidP="0004063E"/>
        </w:tc>
        <w:tc>
          <w:tcPr>
            <w:tcW w:w="2375" w:type="dxa"/>
          </w:tcPr>
          <w:p w14:paraId="66CAAC06" w14:textId="3AC30E83" w:rsidR="0004063E" w:rsidRDefault="0004063E" w:rsidP="0004063E">
            <w:r>
              <w:t>Абнормна чернодробна функция (с жълтеница, астения или неразположение, и коремна болка)</w:t>
            </w:r>
          </w:p>
        </w:tc>
        <w:tc>
          <w:tcPr>
            <w:tcW w:w="2375" w:type="dxa"/>
          </w:tcPr>
          <w:p w14:paraId="083647B6" w14:textId="77777777" w:rsidR="0004063E" w:rsidRDefault="0004063E" w:rsidP="0004063E"/>
        </w:tc>
      </w:tr>
      <w:tr w:rsidR="0004063E" w14:paraId="35210CD5" w14:textId="77777777" w:rsidTr="0004063E">
        <w:tc>
          <w:tcPr>
            <w:tcW w:w="2375" w:type="dxa"/>
          </w:tcPr>
          <w:p w14:paraId="665CE4BE" w14:textId="681080F1" w:rsidR="0004063E" w:rsidRDefault="0004063E" w:rsidP="0004063E">
            <w:r>
              <w:t>Нарушения на кожата и подкожната тъкан</w:t>
            </w:r>
          </w:p>
        </w:tc>
        <w:tc>
          <w:tcPr>
            <w:tcW w:w="2375" w:type="dxa"/>
          </w:tcPr>
          <w:p w14:paraId="14C02F55" w14:textId="77777777" w:rsidR="0004063E" w:rsidRDefault="0004063E" w:rsidP="0004063E"/>
        </w:tc>
        <w:tc>
          <w:tcPr>
            <w:tcW w:w="2375" w:type="dxa"/>
          </w:tcPr>
          <w:p w14:paraId="2BE48F58" w14:textId="5C2F9715" w:rsidR="0004063E" w:rsidRDefault="0004063E" w:rsidP="0004063E">
            <w:r>
              <w:t>Алергичен дерматит (напр. обрив, пруритус, уртикария)</w:t>
            </w:r>
          </w:p>
        </w:tc>
        <w:tc>
          <w:tcPr>
            <w:tcW w:w="2375" w:type="dxa"/>
          </w:tcPr>
          <w:p w14:paraId="7A5BF709" w14:textId="28C3F24C" w:rsidR="0004063E" w:rsidRDefault="0004063E" w:rsidP="0004063E">
            <w:r>
              <w:t>Ангиоедем*</w:t>
            </w:r>
          </w:p>
        </w:tc>
      </w:tr>
      <w:tr w:rsidR="0004063E" w14:paraId="2924F3F0" w14:textId="77777777" w:rsidTr="0004063E">
        <w:tc>
          <w:tcPr>
            <w:tcW w:w="2375" w:type="dxa"/>
          </w:tcPr>
          <w:p w14:paraId="4FF604E5" w14:textId="00331625" w:rsidR="0004063E" w:rsidRDefault="0004063E" w:rsidP="0004063E">
            <w:r>
              <w:t>Нарушения на възпроизводителна та система и гърдата</w:t>
            </w:r>
          </w:p>
        </w:tc>
        <w:tc>
          <w:tcPr>
            <w:tcW w:w="2375" w:type="dxa"/>
          </w:tcPr>
          <w:p w14:paraId="2C26A3E7" w14:textId="42E53653" w:rsidR="0004063E" w:rsidRDefault="0004063E" w:rsidP="0004063E">
            <w:r>
              <w:t>Менструални нарушения (вкл. метрорагия, менорагия, олиго-/аменорея, дисменорея и нередовна менструация) Болка/ чувствителност на гърдата</w:t>
            </w:r>
          </w:p>
        </w:tc>
        <w:tc>
          <w:tcPr>
            <w:tcW w:w="2375" w:type="dxa"/>
          </w:tcPr>
          <w:p w14:paraId="616A9F2C" w14:textId="77777777" w:rsidR="0004063E" w:rsidRDefault="0004063E" w:rsidP="0004063E"/>
        </w:tc>
        <w:tc>
          <w:tcPr>
            <w:tcW w:w="2375" w:type="dxa"/>
          </w:tcPr>
          <w:p w14:paraId="5269350C" w14:textId="6E61E06C" w:rsidR="0004063E" w:rsidRDefault="0004063E" w:rsidP="0004063E">
            <w:r>
              <w:t>Подуване на гърдите</w:t>
            </w:r>
          </w:p>
        </w:tc>
      </w:tr>
      <w:tr w:rsidR="0004063E" w14:paraId="39E1E151" w14:textId="77777777" w:rsidTr="0004063E">
        <w:tc>
          <w:tcPr>
            <w:tcW w:w="2375" w:type="dxa"/>
          </w:tcPr>
          <w:p w14:paraId="09AF0B38" w14:textId="3BEB8865" w:rsidR="0004063E" w:rsidRDefault="0004063E" w:rsidP="0004063E">
            <w:r>
              <w:t>Общи нарушения и ефекти на мястото на приложение</w:t>
            </w:r>
          </w:p>
        </w:tc>
        <w:tc>
          <w:tcPr>
            <w:tcW w:w="2375" w:type="dxa"/>
          </w:tcPr>
          <w:p w14:paraId="1B4E0C55" w14:textId="77777777" w:rsidR="0004063E" w:rsidRDefault="0004063E" w:rsidP="0004063E"/>
        </w:tc>
        <w:tc>
          <w:tcPr>
            <w:tcW w:w="2375" w:type="dxa"/>
          </w:tcPr>
          <w:p w14:paraId="1C3BDA12" w14:textId="77777777" w:rsidR="0004063E" w:rsidRDefault="0004063E" w:rsidP="0004063E"/>
        </w:tc>
        <w:tc>
          <w:tcPr>
            <w:tcW w:w="2375" w:type="dxa"/>
          </w:tcPr>
          <w:p w14:paraId="3F299910" w14:textId="55DC5997" w:rsidR="0004063E" w:rsidRDefault="0004063E" w:rsidP="0004063E">
            <w:r>
              <w:t>Оток</w:t>
            </w:r>
          </w:p>
        </w:tc>
      </w:tr>
      <w:tr w:rsidR="0004063E" w14:paraId="079CA2CD" w14:textId="77777777" w:rsidTr="0004063E">
        <w:tc>
          <w:tcPr>
            <w:tcW w:w="2375" w:type="dxa"/>
          </w:tcPr>
          <w:p w14:paraId="298DA67C" w14:textId="0165D9F7" w:rsidR="0004063E" w:rsidRDefault="0004063E" w:rsidP="0004063E">
            <w:r>
              <w:lastRenderedPageBreak/>
              <w:t>Изследвания</w:t>
            </w:r>
          </w:p>
        </w:tc>
        <w:tc>
          <w:tcPr>
            <w:tcW w:w="2375" w:type="dxa"/>
          </w:tcPr>
          <w:p w14:paraId="3A38B685" w14:textId="77777777" w:rsidR="0004063E" w:rsidRDefault="0004063E" w:rsidP="0004063E"/>
        </w:tc>
        <w:tc>
          <w:tcPr>
            <w:tcW w:w="2375" w:type="dxa"/>
          </w:tcPr>
          <w:p w14:paraId="2CBECD22" w14:textId="3B677F9E" w:rsidR="0004063E" w:rsidRDefault="0004063E" w:rsidP="0004063E">
            <w:r>
              <w:t>Увеличаване на теглото</w:t>
            </w:r>
          </w:p>
        </w:tc>
        <w:tc>
          <w:tcPr>
            <w:tcW w:w="2375" w:type="dxa"/>
          </w:tcPr>
          <w:p w14:paraId="2ED04966" w14:textId="77777777" w:rsidR="0004063E" w:rsidRDefault="0004063E" w:rsidP="0004063E"/>
        </w:tc>
      </w:tr>
    </w:tbl>
    <w:p w14:paraId="75F65C0C" w14:textId="77777777" w:rsidR="0004063E" w:rsidRPr="0004063E" w:rsidRDefault="0004063E" w:rsidP="0004063E">
      <w:pPr>
        <w:spacing w:line="240" w:lineRule="auto"/>
        <w:rPr>
          <w:rFonts w:eastAsia="Times New Roman" w:cs="Arial"/>
          <w:lang w:eastAsia="bg-BG"/>
        </w:rPr>
      </w:pPr>
      <w:r w:rsidRPr="0004063E">
        <w:rPr>
          <w:rFonts w:eastAsia="Times New Roman" w:cs="Arial"/>
          <w:color w:val="000000"/>
          <w:lang w:eastAsia="bg-BG"/>
        </w:rPr>
        <w:t>* Нежелани ефекти от спонтанни доклади, които не са наблюдавани в клинични проучвания, са включени към честота „редки“, поради факта, че горния лимит от 95% на доверителния интервал за очакваната честота е не по-висок от 3/х, където х=3 483 (общият брой наблюдавани лица в клиничните изпитвания).</w:t>
      </w:r>
    </w:p>
    <w:p w14:paraId="3779C8B2" w14:textId="77777777" w:rsidR="0004063E" w:rsidRPr="0004063E" w:rsidRDefault="0004063E" w:rsidP="0004063E">
      <w:pPr>
        <w:spacing w:line="240" w:lineRule="auto"/>
        <w:rPr>
          <w:rFonts w:eastAsia="Times New Roman" w:cs="Arial"/>
          <w:color w:val="000000"/>
          <w:u w:val="single"/>
          <w:lang w:eastAsia="bg-BG"/>
        </w:rPr>
      </w:pPr>
    </w:p>
    <w:p w14:paraId="07363365" w14:textId="445978BD" w:rsidR="0004063E" w:rsidRPr="0004063E" w:rsidRDefault="0004063E" w:rsidP="0004063E">
      <w:pPr>
        <w:spacing w:line="240" w:lineRule="auto"/>
        <w:rPr>
          <w:rFonts w:eastAsia="Times New Roman" w:cs="Arial"/>
          <w:lang w:eastAsia="bg-BG"/>
        </w:rPr>
      </w:pPr>
      <w:r w:rsidRPr="0004063E">
        <w:rPr>
          <w:rFonts w:eastAsia="Times New Roman" w:cs="Arial"/>
          <w:color w:val="000000"/>
          <w:u w:val="single"/>
          <w:lang w:eastAsia="bg-BG"/>
        </w:rPr>
        <w:t>Нежелани лекарствени реакции при подрастващи</w:t>
      </w:r>
    </w:p>
    <w:p w14:paraId="455E670F" w14:textId="77777777" w:rsidR="0004063E" w:rsidRPr="0004063E" w:rsidRDefault="0004063E" w:rsidP="0004063E">
      <w:pPr>
        <w:spacing w:line="240" w:lineRule="auto"/>
        <w:rPr>
          <w:rFonts w:eastAsia="Times New Roman" w:cs="Arial"/>
          <w:lang w:eastAsia="bg-BG"/>
        </w:rPr>
      </w:pPr>
      <w:r w:rsidRPr="0004063E">
        <w:rPr>
          <w:rFonts w:eastAsia="Times New Roman" w:cs="Arial"/>
          <w:color w:val="000000"/>
          <w:lang w:eastAsia="bg-BG"/>
        </w:rPr>
        <w:t>Въз основа на спонтанните доклади и ограничените данни от клинични изпитвания, се очаква профилът на нежеланите реакции да бъде подобен на този наблюдаван при възрастни.</w:t>
      </w:r>
    </w:p>
    <w:p w14:paraId="05697F41" w14:textId="77777777" w:rsidR="0004063E" w:rsidRPr="0004063E" w:rsidRDefault="0004063E" w:rsidP="0004063E">
      <w:pPr>
        <w:spacing w:line="240" w:lineRule="auto"/>
        <w:rPr>
          <w:rFonts w:eastAsia="Times New Roman" w:cs="Arial"/>
          <w:color w:val="000000"/>
          <w:u w:val="single"/>
          <w:lang w:eastAsia="bg-BG"/>
        </w:rPr>
      </w:pPr>
    </w:p>
    <w:p w14:paraId="51A47B39" w14:textId="56152CEE" w:rsidR="0004063E" w:rsidRPr="0004063E" w:rsidRDefault="0004063E" w:rsidP="0004063E">
      <w:pPr>
        <w:spacing w:line="240" w:lineRule="auto"/>
        <w:rPr>
          <w:rFonts w:eastAsia="Times New Roman" w:cs="Arial"/>
          <w:lang w:eastAsia="bg-BG"/>
        </w:rPr>
      </w:pPr>
      <w:r w:rsidRPr="0004063E">
        <w:rPr>
          <w:rFonts w:eastAsia="Times New Roman" w:cs="Arial"/>
          <w:color w:val="000000"/>
          <w:u w:val="single"/>
          <w:lang w:eastAsia="bg-BG"/>
        </w:rPr>
        <w:t>Нежелани лекарствени реакции, които се свързват с комбинирана естроген-прогестаген терапия (вж. също точка 4.4 и продуктовата информация за лекарствата с естроген):</w:t>
      </w:r>
    </w:p>
    <w:p w14:paraId="16A8C23E" w14:textId="77777777" w:rsidR="0004063E" w:rsidRPr="0004063E" w:rsidRDefault="0004063E" w:rsidP="0004063E">
      <w:pPr>
        <w:pStyle w:val="ListParagraph"/>
        <w:numPr>
          <w:ilvl w:val="0"/>
          <w:numId w:val="44"/>
        </w:numPr>
        <w:spacing w:line="240" w:lineRule="auto"/>
        <w:rPr>
          <w:rFonts w:eastAsia="Times New Roman" w:cs="Arial"/>
          <w:color w:val="000000"/>
          <w:lang w:eastAsia="bg-BG"/>
        </w:rPr>
      </w:pPr>
      <w:r w:rsidRPr="0004063E">
        <w:rPr>
          <w:rFonts w:eastAsia="Times New Roman" w:cs="Arial"/>
          <w:color w:val="000000"/>
          <w:lang w:eastAsia="bg-BG"/>
        </w:rPr>
        <w:t>Рак на гърдата, ендометриална хиперплазия, ендометриален карцином, овариален карцином</w:t>
      </w:r>
    </w:p>
    <w:p w14:paraId="7563B4B3" w14:textId="77777777" w:rsidR="0004063E" w:rsidRPr="0004063E" w:rsidRDefault="0004063E" w:rsidP="0004063E">
      <w:pPr>
        <w:pStyle w:val="ListParagraph"/>
        <w:numPr>
          <w:ilvl w:val="0"/>
          <w:numId w:val="44"/>
        </w:numPr>
        <w:spacing w:line="240" w:lineRule="auto"/>
        <w:rPr>
          <w:rFonts w:eastAsia="Times New Roman" w:cs="Arial"/>
          <w:color w:val="000000"/>
          <w:lang w:eastAsia="bg-BG"/>
        </w:rPr>
      </w:pPr>
      <w:r w:rsidRPr="0004063E">
        <w:rPr>
          <w:rFonts w:eastAsia="Times New Roman" w:cs="Arial"/>
          <w:color w:val="000000"/>
          <w:lang w:eastAsia="bg-BG"/>
        </w:rPr>
        <w:t>Венозен тромбемболизъм</w:t>
      </w:r>
    </w:p>
    <w:p w14:paraId="67A9B882" w14:textId="2E3D0132" w:rsidR="0004063E" w:rsidRPr="0004063E" w:rsidRDefault="0004063E" w:rsidP="0004063E">
      <w:pPr>
        <w:pStyle w:val="ListParagraph"/>
        <w:numPr>
          <w:ilvl w:val="0"/>
          <w:numId w:val="44"/>
        </w:numPr>
        <w:spacing w:line="240" w:lineRule="auto"/>
        <w:rPr>
          <w:rFonts w:eastAsia="Times New Roman" w:cs="Arial"/>
          <w:color w:val="000000"/>
          <w:lang w:eastAsia="bg-BG"/>
        </w:rPr>
      </w:pPr>
      <w:r w:rsidRPr="0004063E">
        <w:rPr>
          <w:rFonts w:eastAsia="Times New Roman" w:cs="Arial"/>
          <w:color w:val="000000"/>
          <w:lang w:eastAsia="bg-BG"/>
        </w:rPr>
        <w:t>Инфаркт на миокарда, исхемична болест на сърцето, исхемичен инсулт</w:t>
      </w:r>
    </w:p>
    <w:p w14:paraId="6916B203" w14:textId="77777777" w:rsidR="0004063E" w:rsidRPr="0004063E" w:rsidRDefault="0004063E" w:rsidP="0004063E">
      <w:pPr>
        <w:spacing w:line="240" w:lineRule="auto"/>
        <w:rPr>
          <w:rFonts w:eastAsia="Times New Roman" w:cs="Arial"/>
          <w:color w:val="000000"/>
          <w:u w:val="single"/>
          <w:lang w:eastAsia="bg-BG"/>
        </w:rPr>
      </w:pPr>
    </w:p>
    <w:p w14:paraId="75184989" w14:textId="6D18BCFA" w:rsidR="0004063E" w:rsidRPr="0004063E" w:rsidRDefault="0004063E" w:rsidP="0004063E">
      <w:pPr>
        <w:spacing w:line="240" w:lineRule="auto"/>
        <w:rPr>
          <w:rFonts w:eastAsia="Times New Roman" w:cs="Arial"/>
          <w:lang w:eastAsia="bg-BG"/>
        </w:rPr>
      </w:pPr>
      <w:r w:rsidRPr="0004063E">
        <w:rPr>
          <w:rFonts w:eastAsia="Times New Roman" w:cs="Arial"/>
          <w:color w:val="000000"/>
          <w:u w:val="single"/>
          <w:lang w:eastAsia="bg-BG"/>
        </w:rPr>
        <w:t>Съобщаване на подозирани нежелани реакции</w:t>
      </w:r>
    </w:p>
    <w:p w14:paraId="3FCA05B4" w14:textId="26B80C36" w:rsidR="0004063E" w:rsidRPr="0004063E" w:rsidRDefault="0004063E" w:rsidP="0004063E">
      <w:pPr>
        <w:spacing w:line="240" w:lineRule="auto"/>
        <w:rPr>
          <w:rFonts w:eastAsia="Times New Roman" w:cs="Arial"/>
          <w:color w:val="000000"/>
          <w:lang w:eastAsia="bg-BG"/>
        </w:rPr>
      </w:pPr>
      <w:r w:rsidRPr="0004063E">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25B0D950" w14:textId="77777777" w:rsidR="0004063E" w:rsidRPr="0004063E" w:rsidRDefault="0004063E" w:rsidP="0004063E">
      <w:pPr>
        <w:spacing w:line="240" w:lineRule="auto"/>
        <w:rPr>
          <w:rFonts w:eastAsia="Times New Roman" w:cs="Arial"/>
          <w:lang w:eastAsia="bg-BG"/>
        </w:rPr>
      </w:pPr>
      <w:r w:rsidRPr="0004063E">
        <w:rPr>
          <w:rFonts w:eastAsia="Times New Roman" w:cs="Arial"/>
          <w:color w:val="000000"/>
          <w:lang w:eastAsia="bg-BG"/>
        </w:rPr>
        <w:t>Изпълнителна агенция по лекарствата</w:t>
      </w:r>
    </w:p>
    <w:p w14:paraId="0C8DABFB" w14:textId="77777777" w:rsidR="0004063E" w:rsidRPr="0004063E" w:rsidRDefault="0004063E" w:rsidP="0004063E">
      <w:pPr>
        <w:spacing w:line="240" w:lineRule="auto"/>
        <w:rPr>
          <w:rFonts w:eastAsia="Times New Roman" w:cs="Arial"/>
          <w:lang w:eastAsia="bg-BG"/>
        </w:rPr>
      </w:pPr>
      <w:r w:rsidRPr="0004063E">
        <w:rPr>
          <w:rFonts w:eastAsia="Times New Roman" w:cs="Arial"/>
          <w:color w:val="000000"/>
          <w:lang w:eastAsia="bg-BG"/>
        </w:rPr>
        <w:t>ул. „Дамян Груев” № 8</w:t>
      </w:r>
    </w:p>
    <w:p w14:paraId="320B6E76" w14:textId="77777777" w:rsidR="0004063E" w:rsidRPr="0004063E" w:rsidRDefault="0004063E" w:rsidP="0004063E">
      <w:pPr>
        <w:spacing w:line="240" w:lineRule="auto"/>
        <w:rPr>
          <w:rFonts w:eastAsia="Times New Roman" w:cs="Arial"/>
          <w:lang w:eastAsia="bg-BG"/>
        </w:rPr>
      </w:pPr>
      <w:r w:rsidRPr="0004063E">
        <w:rPr>
          <w:rFonts w:eastAsia="Times New Roman" w:cs="Arial"/>
          <w:color w:val="000000"/>
          <w:lang w:eastAsia="bg-BG"/>
        </w:rPr>
        <w:t>1303 София</w:t>
      </w:r>
    </w:p>
    <w:p w14:paraId="7B997A22" w14:textId="77777777" w:rsidR="0004063E" w:rsidRPr="0004063E" w:rsidRDefault="0004063E" w:rsidP="0004063E">
      <w:pPr>
        <w:spacing w:line="240" w:lineRule="auto"/>
        <w:rPr>
          <w:rFonts w:eastAsia="Times New Roman" w:cs="Arial"/>
          <w:lang w:eastAsia="bg-BG"/>
        </w:rPr>
      </w:pPr>
      <w:r w:rsidRPr="0004063E">
        <w:rPr>
          <w:rFonts w:eastAsia="Times New Roman" w:cs="Arial"/>
          <w:color w:val="000000"/>
          <w:lang w:eastAsia="bg-BG"/>
        </w:rPr>
        <w:t>Тел.: +35 928903417</w:t>
      </w:r>
    </w:p>
    <w:p w14:paraId="7DB93567" w14:textId="49EF5F50" w:rsidR="0004063E" w:rsidRPr="0004063E" w:rsidRDefault="0004063E" w:rsidP="0004063E">
      <w:pPr>
        <w:spacing w:line="240" w:lineRule="auto"/>
        <w:rPr>
          <w:rFonts w:eastAsia="Times New Roman" w:cs="Arial"/>
          <w:lang w:eastAsia="bg-BG"/>
        </w:rPr>
      </w:pPr>
      <w:r w:rsidRPr="0004063E">
        <w:rPr>
          <w:rFonts w:eastAsia="Times New Roman" w:cs="Arial"/>
          <w:color w:val="000000"/>
          <w:lang w:eastAsia="bg-BG"/>
        </w:rPr>
        <w:t xml:space="preserve">уебсайт: </w:t>
      </w:r>
      <w:hyperlink r:id="rId5" w:history="1">
        <w:r w:rsidRPr="0004063E">
          <w:rPr>
            <w:rFonts w:eastAsia="Times New Roman" w:cs="Arial"/>
            <w:color w:val="000000"/>
            <w:u w:val="single"/>
            <w:lang w:val="en-US"/>
          </w:rPr>
          <w:t>www.bda.bg</w:t>
        </w:r>
      </w:hyperlink>
    </w:p>
    <w:p w14:paraId="55463286" w14:textId="77777777" w:rsidR="0004063E" w:rsidRPr="0004063E" w:rsidRDefault="0004063E" w:rsidP="0004063E"/>
    <w:p w14:paraId="378A0F20" w14:textId="010D1514" w:rsidR="001D095A" w:rsidRDefault="002C50EE" w:rsidP="00340E8D">
      <w:pPr>
        <w:pStyle w:val="Heading2"/>
      </w:pPr>
      <w:r>
        <w:t>4.9. Предозиране</w:t>
      </w:r>
    </w:p>
    <w:p w14:paraId="6DEE3DEF" w14:textId="67CAF754" w:rsidR="0004063E" w:rsidRDefault="0004063E" w:rsidP="0004063E"/>
    <w:p w14:paraId="5E7D356E" w14:textId="77777777" w:rsidR="0004063E" w:rsidRPr="0004063E" w:rsidRDefault="0004063E" w:rsidP="0004063E">
      <w:pPr>
        <w:rPr>
          <w:sz w:val="24"/>
          <w:szCs w:val="24"/>
          <w:lang w:eastAsia="bg-BG"/>
        </w:rPr>
      </w:pPr>
      <w:r w:rsidRPr="0004063E">
        <w:rPr>
          <w:lang w:eastAsia="bg-BG"/>
        </w:rPr>
        <w:t xml:space="preserve">Има ограничени данни за предозиране при хора. Дидрогестерон се понася добре след перорален прием (максималната доза, приемана досега от хора е 360 </w:t>
      </w:r>
      <w:r w:rsidRPr="0004063E">
        <w:rPr>
          <w:lang w:val="en-US"/>
        </w:rPr>
        <w:t xml:space="preserve">mg). </w:t>
      </w:r>
      <w:r w:rsidRPr="0004063E">
        <w:rPr>
          <w:lang w:eastAsia="bg-BG"/>
        </w:rPr>
        <w:t>Не съществува специфичен антидот и лечението трябва да бъде симптоматично. Тази информация се отнася и за предозиране при деца.</w:t>
      </w:r>
    </w:p>
    <w:p w14:paraId="707F407B" w14:textId="77777777" w:rsidR="0004063E" w:rsidRPr="0004063E" w:rsidRDefault="0004063E" w:rsidP="0004063E"/>
    <w:p w14:paraId="02081B24" w14:textId="36FE76F4" w:rsidR="00395555" w:rsidRPr="00395555" w:rsidRDefault="002C50EE" w:rsidP="008A6AF2">
      <w:pPr>
        <w:pStyle w:val="Heading1"/>
      </w:pPr>
      <w:r>
        <w:t>5. ФАРМАКОЛОГИЧНИ СВОЙСТВА</w:t>
      </w:r>
    </w:p>
    <w:p w14:paraId="7F6CC5E1" w14:textId="11C1E2A4" w:rsidR="00F62E44" w:rsidRDefault="002C50EE" w:rsidP="00387A66">
      <w:pPr>
        <w:pStyle w:val="Heading2"/>
      </w:pPr>
      <w:r>
        <w:t>5.1. Фармакодинамични свойства</w:t>
      </w:r>
    </w:p>
    <w:p w14:paraId="56205CB5" w14:textId="32916F43" w:rsidR="0004063E" w:rsidRDefault="0004063E" w:rsidP="0004063E"/>
    <w:p w14:paraId="1B708566" w14:textId="77777777" w:rsidR="0004063E" w:rsidRPr="0004063E" w:rsidRDefault="0004063E" w:rsidP="0004063E">
      <w:pPr>
        <w:spacing w:line="240" w:lineRule="auto"/>
        <w:rPr>
          <w:rFonts w:eastAsia="Times New Roman" w:cs="Arial"/>
          <w:sz w:val="24"/>
          <w:szCs w:val="24"/>
          <w:lang w:eastAsia="bg-BG"/>
        </w:rPr>
      </w:pPr>
      <w:r w:rsidRPr="0004063E">
        <w:rPr>
          <w:rFonts w:eastAsia="Times New Roman" w:cs="Arial"/>
          <w:color w:val="000000"/>
          <w:lang w:eastAsia="bg-BG"/>
        </w:rPr>
        <w:t xml:space="preserve">Фармакотерапевтична група: пикочо-полова система и полови хормони, АТС код: </w:t>
      </w:r>
      <w:r w:rsidRPr="0004063E">
        <w:rPr>
          <w:rFonts w:eastAsia="Times New Roman" w:cs="Arial"/>
          <w:color w:val="000000"/>
          <w:lang w:val="en-US"/>
        </w:rPr>
        <w:t>G03DB01.</w:t>
      </w:r>
    </w:p>
    <w:p w14:paraId="594B6BA3" w14:textId="77777777" w:rsidR="0004063E" w:rsidRPr="00046C16" w:rsidRDefault="0004063E" w:rsidP="0004063E">
      <w:pPr>
        <w:spacing w:line="240" w:lineRule="auto"/>
        <w:rPr>
          <w:rFonts w:eastAsia="Times New Roman" w:cs="Arial"/>
          <w:color w:val="000000"/>
          <w:lang w:eastAsia="bg-BG"/>
        </w:rPr>
      </w:pPr>
    </w:p>
    <w:p w14:paraId="46BA59F9" w14:textId="60A94866" w:rsidR="0004063E" w:rsidRPr="0004063E" w:rsidRDefault="0004063E" w:rsidP="0004063E">
      <w:pPr>
        <w:spacing w:line="240" w:lineRule="auto"/>
        <w:rPr>
          <w:rFonts w:eastAsia="Times New Roman" w:cs="Arial"/>
          <w:sz w:val="24"/>
          <w:szCs w:val="24"/>
          <w:lang w:eastAsia="bg-BG"/>
        </w:rPr>
      </w:pPr>
      <w:r w:rsidRPr="0004063E">
        <w:rPr>
          <w:rFonts w:eastAsia="Times New Roman" w:cs="Arial"/>
          <w:color w:val="000000"/>
          <w:lang w:eastAsia="bg-BG"/>
        </w:rPr>
        <w:t xml:space="preserve">Дидрогестерон представлява орално-активен прогестаген, който продуцира цялостен секреторен ендометриум в третирана с естроген матка, като по този начин осигурява протекция срещу увеличения риск от ендометриална хиперплазия и/или канцерогенеза, </w:t>
      </w:r>
      <w:r w:rsidRPr="0004063E">
        <w:rPr>
          <w:rFonts w:eastAsia="Times New Roman" w:cs="Arial"/>
          <w:color w:val="000000"/>
          <w:lang w:eastAsia="bg-BG"/>
        </w:rPr>
        <w:lastRenderedPageBreak/>
        <w:t>предизвикан от естрогени. Показан е при всички случаи на ендогенен прогестеронов дефицит. Дидрогестерон няма естрогенно, андрогенно, термогенно, анаболно или кортикоидно действие.</w:t>
      </w:r>
    </w:p>
    <w:p w14:paraId="204B2DE6" w14:textId="77777777" w:rsidR="0004063E" w:rsidRPr="00046C16" w:rsidRDefault="0004063E" w:rsidP="0004063E">
      <w:pPr>
        <w:spacing w:line="240" w:lineRule="auto"/>
        <w:rPr>
          <w:rFonts w:eastAsia="Times New Roman" w:cs="Arial"/>
          <w:color w:val="000000"/>
          <w:u w:val="single"/>
          <w:lang w:eastAsia="bg-BG"/>
        </w:rPr>
      </w:pPr>
    </w:p>
    <w:p w14:paraId="761A6D9C" w14:textId="3D6D2C59" w:rsidR="0004063E" w:rsidRPr="0004063E" w:rsidRDefault="0004063E" w:rsidP="0004063E">
      <w:pPr>
        <w:spacing w:line="240" w:lineRule="auto"/>
        <w:rPr>
          <w:rFonts w:eastAsia="Times New Roman" w:cs="Arial"/>
          <w:sz w:val="24"/>
          <w:szCs w:val="24"/>
          <w:lang w:eastAsia="bg-BG"/>
        </w:rPr>
      </w:pPr>
      <w:r w:rsidRPr="0004063E">
        <w:rPr>
          <w:rFonts w:eastAsia="Times New Roman" w:cs="Arial"/>
          <w:color w:val="000000"/>
          <w:u w:val="single"/>
          <w:lang w:eastAsia="bg-BG"/>
        </w:rPr>
        <w:t>Подрастващи</w:t>
      </w:r>
    </w:p>
    <w:p w14:paraId="6EEBF6CD" w14:textId="77777777" w:rsidR="0004063E" w:rsidRPr="0004063E" w:rsidRDefault="0004063E" w:rsidP="0004063E">
      <w:pPr>
        <w:spacing w:line="240" w:lineRule="auto"/>
        <w:rPr>
          <w:rFonts w:ascii="Times New Roman" w:eastAsia="Times New Roman" w:hAnsi="Times New Roman" w:cs="Times New Roman"/>
          <w:sz w:val="24"/>
          <w:szCs w:val="24"/>
          <w:lang w:eastAsia="bg-BG"/>
        </w:rPr>
      </w:pPr>
      <w:r w:rsidRPr="0004063E">
        <w:rPr>
          <w:rFonts w:eastAsia="Times New Roman" w:cs="Arial"/>
          <w:color w:val="000000"/>
          <w:lang w:eastAsia="bg-BG"/>
        </w:rPr>
        <w:t>Ограничени данни от клинични изпитвания показват, че дидрогестерон е ефикасен за облекчаване на симптомите при дисменорея, пременструален синдром, дисфункционално маточно кървене и нередовен цикъл при пациенти на възраст под 18 години по начин сходен с този при възрастни.</w:t>
      </w:r>
    </w:p>
    <w:p w14:paraId="10661936" w14:textId="77777777" w:rsidR="0004063E" w:rsidRPr="0004063E" w:rsidRDefault="0004063E" w:rsidP="0004063E"/>
    <w:p w14:paraId="544FFDAF" w14:textId="290FD547" w:rsidR="00F62E44" w:rsidRDefault="002C50EE" w:rsidP="00387A66">
      <w:pPr>
        <w:pStyle w:val="Heading2"/>
      </w:pPr>
      <w:r>
        <w:t>5.2. Фармакокинетични свойства</w:t>
      </w:r>
    </w:p>
    <w:p w14:paraId="5F75E047" w14:textId="4829FBAE" w:rsidR="00046C16" w:rsidRDefault="00046C16" w:rsidP="00046C16"/>
    <w:p w14:paraId="36EF708C" w14:textId="77777777"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u w:val="single"/>
          <w:lang w:eastAsia="bg-BG"/>
        </w:rPr>
        <w:t>Абсорбция</w:t>
      </w:r>
    </w:p>
    <w:p w14:paraId="1ABD6F0C" w14:textId="77777777"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lang w:eastAsia="bg-BG"/>
        </w:rPr>
        <w:t>Дидрогестерон се резорбира бързо след перорален прием с Т</w:t>
      </w:r>
      <w:r w:rsidRPr="00046C16">
        <w:rPr>
          <w:rFonts w:eastAsia="Times New Roman" w:cs="Arial"/>
          <w:color w:val="000000"/>
          <w:vertAlign w:val="subscript"/>
          <w:lang w:val="en-US"/>
        </w:rPr>
        <w:t>max</w:t>
      </w:r>
      <w:r w:rsidRPr="00046C16">
        <w:rPr>
          <w:rFonts w:eastAsia="Times New Roman" w:cs="Arial"/>
          <w:color w:val="000000"/>
          <w:lang w:eastAsia="bg-BG"/>
        </w:rPr>
        <w:t xml:space="preserve"> стойности между 0,5 и 2,5 часа. Абсолютната бноналичност на дидрогестерон (перорална доза от 20 </w:t>
      </w:r>
      <w:r w:rsidRPr="00046C16">
        <w:rPr>
          <w:rFonts w:eastAsia="Times New Roman" w:cs="Arial"/>
          <w:color w:val="000000"/>
          <w:lang w:val="en-US"/>
        </w:rPr>
        <w:t xml:space="preserve">mg </w:t>
      </w:r>
      <w:r w:rsidRPr="00046C16">
        <w:rPr>
          <w:rFonts w:eastAsia="Times New Roman" w:cs="Arial"/>
          <w:color w:val="000000"/>
          <w:lang w:eastAsia="bg-BG"/>
        </w:rPr>
        <w:t xml:space="preserve">спрямо 7,8 </w:t>
      </w:r>
      <w:r w:rsidRPr="00046C16">
        <w:rPr>
          <w:rFonts w:eastAsia="Times New Roman" w:cs="Arial"/>
          <w:color w:val="000000"/>
          <w:lang w:val="en-US"/>
        </w:rPr>
        <w:t xml:space="preserve">mg </w:t>
      </w:r>
      <w:r w:rsidRPr="00046C16">
        <w:rPr>
          <w:rFonts w:eastAsia="Times New Roman" w:cs="Arial"/>
          <w:color w:val="000000"/>
          <w:lang w:eastAsia="bg-BG"/>
        </w:rPr>
        <w:t>интравенозна инфузия) е 28%.</w:t>
      </w:r>
    </w:p>
    <w:p w14:paraId="41ED2EA4" w14:textId="77777777" w:rsidR="00046C16" w:rsidRPr="00046C16" w:rsidRDefault="00046C16" w:rsidP="00046C16">
      <w:pPr>
        <w:spacing w:line="240" w:lineRule="auto"/>
        <w:rPr>
          <w:rFonts w:eastAsia="Times New Roman" w:cs="Arial"/>
          <w:color w:val="000000"/>
          <w:lang w:eastAsia="bg-BG"/>
        </w:rPr>
      </w:pPr>
    </w:p>
    <w:p w14:paraId="7059DE12" w14:textId="4535F462"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lang w:eastAsia="bg-BG"/>
        </w:rPr>
        <w:t xml:space="preserve">Следващата таблица показва фармакокинетичните параметри на дидрогестерон (Д) и 20а- дихидродидрогестерон (ДХД) след единична доза от 10 </w:t>
      </w:r>
      <w:r w:rsidRPr="00046C16">
        <w:rPr>
          <w:rFonts w:eastAsia="Times New Roman" w:cs="Arial"/>
          <w:color w:val="000000"/>
          <w:lang w:val="en-US"/>
        </w:rPr>
        <w:t xml:space="preserve">mg </w:t>
      </w:r>
      <w:r w:rsidRPr="00046C16">
        <w:rPr>
          <w:rFonts w:eastAsia="Times New Roman" w:cs="Arial"/>
          <w:color w:val="000000"/>
          <w:lang w:eastAsia="bg-BG"/>
        </w:rPr>
        <w:t>дидрогестерон:</w:t>
      </w:r>
    </w:p>
    <w:tbl>
      <w:tblPr>
        <w:tblStyle w:val="TableGrid"/>
        <w:tblW w:w="0" w:type="auto"/>
        <w:tblLook w:val="04A0" w:firstRow="1" w:lastRow="0" w:firstColumn="1" w:lastColumn="0" w:noHBand="0" w:noVBand="1"/>
      </w:tblPr>
      <w:tblGrid>
        <w:gridCol w:w="3119"/>
        <w:gridCol w:w="3113"/>
        <w:gridCol w:w="3118"/>
      </w:tblGrid>
      <w:tr w:rsidR="00046C16" w:rsidRPr="00046C16" w14:paraId="0B774D76" w14:textId="77777777" w:rsidTr="00046C16">
        <w:tc>
          <w:tcPr>
            <w:tcW w:w="3166" w:type="dxa"/>
          </w:tcPr>
          <w:p w14:paraId="6F755E0B" w14:textId="77777777" w:rsidR="00046C16" w:rsidRPr="00046C16" w:rsidRDefault="00046C16" w:rsidP="00046C16">
            <w:pPr>
              <w:rPr>
                <w:rFonts w:cs="Arial"/>
              </w:rPr>
            </w:pPr>
          </w:p>
        </w:tc>
        <w:tc>
          <w:tcPr>
            <w:tcW w:w="3167" w:type="dxa"/>
          </w:tcPr>
          <w:p w14:paraId="04A5D1D2" w14:textId="01209A55" w:rsidR="00046C16" w:rsidRPr="00046C16" w:rsidRDefault="00046C16" w:rsidP="00046C16">
            <w:pPr>
              <w:rPr>
                <w:rFonts w:cs="Arial"/>
              </w:rPr>
            </w:pPr>
            <w:r w:rsidRPr="00046C16">
              <w:rPr>
                <w:rFonts w:cs="Arial"/>
                <w:lang w:eastAsia="bg-BG"/>
              </w:rPr>
              <w:t>Д</w:t>
            </w:r>
          </w:p>
        </w:tc>
        <w:tc>
          <w:tcPr>
            <w:tcW w:w="3167" w:type="dxa"/>
          </w:tcPr>
          <w:p w14:paraId="686F28A6" w14:textId="5ACD5C36" w:rsidR="00046C16" w:rsidRPr="00046C16" w:rsidRDefault="00046C16" w:rsidP="00046C16">
            <w:pPr>
              <w:rPr>
                <w:rFonts w:cs="Arial"/>
              </w:rPr>
            </w:pPr>
            <w:r w:rsidRPr="00046C16">
              <w:rPr>
                <w:rFonts w:cs="Arial"/>
                <w:u w:val="single"/>
                <w:lang w:eastAsia="bg-BG"/>
              </w:rPr>
              <w:t>ДХД</w:t>
            </w:r>
          </w:p>
        </w:tc>
      </w:tr>
      <w:tr w:rsidR="00046C16" w:rsidRPr="00046C16" w14:paraId="304D3AA0" w14:textId="77777777" w:rsidTr="00046C16">
        <w:tc>
          <w:tcPr>
            <w:tcW w:w="3166" w:type="dxa"/>
          </w:tcPr>
          <w:p w14:paraId="7AE36395" w14:textId="13575957" w:rsidR="00046C16" w:rsidRPr="00046C16" w:rsidRDefault="00046C16" w:rsidP="00046C16">
            <w:pPr>
              <w:rPr>
                <w:rFonts w:cs="Arial"/>
              </w:rPr>
            </w:pPr>
            <w:r w:rsidRPr="00046C16">
              <w:rPr>
                <w:rFonts w:cs="Arial"/>
              </w:rPr>
              <w:t>Cmax (ng/ml)</w:t>
            </w:r>
          </w:p>
        </w:tc>
        <w:tc>
          <w:tcPr>
            <w:tcW w:w="3167" w:type="dxa"/>
          </w:tcPr>
          <w:p w14:paraId="0070426B" w14:textId="190B15C1" w:rsidR="00046C16" w:rsidRPr="00046C16" w:rsidRDefault="00046C16" w:rsidP="00046C16">
            <w:pPr>
              <w:rPr>
                <w:rFonts w:cs="Arial"/>
              </w:rPr>
            </w:pPr>
            <w:r w:rsidRPr="00046C16">
              <w:rPr>
                <w:rFonts w:cs="Arial"/>
              </w:rPr>
              <w:t>2,1</w:t>
            </w:r>
          </w:p>
        </w:tc>
        <w:tc>
          <w:tcPr>
            <w:tcW w:w="3167" w:type="dxa"/>
          </w:tcPr>
          <w:p w14:paraId="6DB0BCF0" w14:textId="594E5AF6" w:rsidR="00046C16" w:rsidRPr="00046C16" w:rsidRDefault="00046C16" w:rsidP="00046C16">
            <w:pPr>
              <w:rPr>
                <w:rFonts w:cs="Arial"/>
              </w:rPr>
            </w:pPr>
            <w:r w:rsidRPr="00046C16">
              <w:rPr>
                <w:rFonts w:cs="Arial"/>
              </w:rPr>
              <w:t>53,0</w:t>
            </w:r>
          </w:p>
        </w:tc>
      </w:tr>
      <w:tr w:rsidR="00046C16" w:rsidRPr="00046C16" w14:paraId="186B6065" w14:textId="77777777" w:rsidTr="00046C16">
        <w:tc>
          <w:tcPr>
            <w:tcW w:w="3166" w:type="dxa"/>
          </w:tcPr>
          <w:p w14:paraId="1DCEDFAC" w14:textId="2E048502" w:rsidR="00046C16" w:rsidRPr="00046C16" w:rsidRDefault="00046C16" w:rsidP="00046C16">
            <w:pPr>
              <w:rPr>
                <w:rFonts w:cs="Arial"/>
              </w:rPr>
            </w:pPr>
            <w:r w:rsidRPr="00046C16">
              <w:rPr>
                <w:rFonts w:cs="Arial"/>
              </w:rPr>
              <w:t>AUC</w:t>
            </w:r>
            <w:r w:rsidRPr="00046C16">
              <w:rPr>
                <w:rFonts w:cs="Arial"/>
                <w:vertAlign w:val="subscript"/>
              </w:rPr>
              <w:t>inf</w:t>
            </w:r>
            <w:r w:rsidRPr="00046C16">
              <w:rPr>
                <w:rFonts w:cs="Arial"/>
              </w:rPr>
              <w:t xml:space="preserve"> (ng h/ml)</w:t>
            </w:r>
          </w:p>
        </w:tc>
        <w:tc>
          <w:tcPr>
            <w:tcW w:w="3167" w:type="dxa"/>
          </w:tcPr>
          <w:p w14:paraId="24679145" w14:textId="7E6F57F1" w:rsidR="00046C16" w:rsidRPr="00046C16" w:rsidRDefault="00046C16" w:rsidP="00046C16">
            <w:pPr>
              <w:rPr>
                <w:rFonts w:cs="Arial"/>
              </w:rPr>
            </w:pPr>
            <w:r w:rsidRPr="00046C16">
              <w:rPr>
                <w:rFonts w:cs="Arial"/>
              </w:rPr>
              <w:t>7,7</w:t>
            </w:r>
          </w:p>
        </w:tc>
        <w:tc>
          <w:tcPr>
            <w:tcW w:w="3167" w:type="dxa"/>
          </w:tcPr>
          <w:p w14:paraId="343CB7FE" w14:textId="108DBDED" w:rsidR="00046C16" w:rsidRPr="00046C16" w:rsidRDefault="00046C16" w:rsidP="00046C16">
            <w:pPr>
              <w:rPr>
                <w:rFonts w:cs="Arial"/>
              </w:rPr>
            </w:pPr>
            <w:r w:rsidRPr="00046C16">
              <w:rPr>
                <w:rFonts w:cs="Arial"/>
              </w:rPr>
              <w:t>322,0</w:t>
            </w:r>
          </w:p>
        </w:tc>
      </w:tr>
    </w:tbl>
    <w:p w14:paraId="344F45D9" w14:textId="401F3AA6" w:rsidR="00046C16" w:rsidRPr="00046C16" w:rsidRDefault="00046C16" w:rsidP="00046C16">
      <w:pPr>
        <w:rPr>
          <w:rFonts w:cs="Arial"/>
        </w:rPr>
      </w:pPr>
    </w:p>
    <w:p w14:paraId="7616B6C7" w14:textId="77777777"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u w:val="single"/>
          <w:lang w:eastAsia="bg-BG"/>
        </w:rPr>
        <w:t>Разпределение</w:t>
      </w:r>
    </w:p>
    <w:p w14:paraId="606ED7D8" w14:textId="77777777"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lang w:eastAsia="bg-BG"/>
        </w:rPr>
        <w:t>Равновесният обем на разпределение е приблизително 1 400 1 след интравенозно приложение.</w:t>
      </w:r>
    </w:p>
    <w:p w14:paraId="175B5482" w14:textId="77777777"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lang w:eastAsia="bg-BG"/>
        </w:rPr>
        <w:t>Дидрогестерон и ДХД се свързват с плазмените протеини повече от 90 %.</w:t>
      </w:r>
    </w:p>
    <w:p w14:paraId="05323804" w14:textId="77777777" w:rsidR="00046C16" w:rsidRPr="00046C16" w:rsidRDefault="00046C16" w:rsidP="00046C16">
      <w:pPr>
        <w:spacing w:line="240" w:lineRule="auto"/>
        <w:rPr>
          <w:rFonts w:eastAsia="Times New Roman" w:cs="Arial"/>
          <w:color w:val="000000"/>
          <w:u w:val="single"/>
          <w:lang w:eastAsia="bg-BG"/>
        </w:rPr>
      </w:pPr>
    </w:p>
    <w:p w14:paraId="25C5CD4E" w14:textId="2F30FBA2"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u w:val="single"/>
          <w:lang w:eastAsia="bg-BG"/>
        </w:rPr>
        <w:t>Биотрансформация</w:t>
      </w:r>
    </w:p>
    <w:p w14:paraId="5B7E74A4" w14:textId="4538739A"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lang w:eastAsia="bg-BG"/>
        </w:rPr>
        <w:t>Дидрогестерон се метаболизира бързо до ДХД след перорален прием. Пиковите нива на основния</w:t>
      </w:r>
      <w:r>
        <w:rPr>
          <w:rFonts w:eastAsia="Times New Roman" w:cs="Arial"/>
          <w:sz w:val="24"/>
          <w:szCs w:val="24"/>
          <w:lang w:val="en-US" w:eastAsia="bg-BG"/>
        </w:rPr>
        <w:t xml:space="preserve"> </w:t>
      </w:r>
      <w:r w:rsidRPr="00046C16">
        <w:rPr>
          <w:rFonts w:eastAsia="Times New Roman" w:cs="Arial"/>
          <w:color w:val="000000"/>
          <w:lang w:eastAsia="bg-BG"/>
        </w:rPr>
        <w:t xml:space="preserve">активен метаболит ДХД се достигат след около 1,5 часа след прием. Плазмените нива на ДХД са значително по-високи в сравнение с тези на активното вещество. Съотношенията на </w:t>
      </w:r>
      <w:r w:rsidRPr="00046C16">
        <w:rPr>
          <w:rFonts w:eastAsia="Times New Roman" w:cs="Arial"/>
          <w:color w:val="000000"/>
          <w:lang w:val="en-US"/>
        </w:rPr>
        <w:t xml:space="preserve">AUC </w:t>
      </w:r>
      <w:r w:rsidRPr="00046C16">
        <w:rPr>
          <w:rFonts w:eastAsia="Times New Roman" w:cs="Arial"/>
          <w:color w:val="000000"/>
          <w:lang w:eastAsia="bg-BG"/>
        </w:rPr>
        <w:t xml:space="preserve">и </w:t>
      </w:r>
      <w:proofErr w:type="spellStart"/>
      <w:r w:rsidRPr="00046C16">
        <w:rPr>
          <w:rFonts w:eastAsia="Times New Roman" w:cs="Arial"/>
          <w:color w:val="000000"/>
          <w:lang w:val="en-US"/>
        </w:rPr>
        <w:t>Cmax</w:t>
      </w:r>
      <w:proofErr w:type="spellEnd"/>
      <w:r w:rsidRPr="00046C16">
        <w:rPr>
          <w:rFonts w:eastAsia="Times New Roman" w:cs="Arial"/>
          <w:color w:val="000000"/>
          <w:lang w:eastAsia="bg-BG"/>
        </w:rPr>
        <w:t xml:space="preserve"> на ДХД към дидрогестерон, са 40 и 25, съответно. Средните крайни</w:t>
      </w:r>
      <w:r w:rsidRPr="00046C16">
        <w:rPr>
          <w:rFonts w:eastAsia="Times New Roman" w:cs="Arial"/>
          <w:color w:val="000000"/>
          <w:lang w:val="en-US"/>
        </w:rPr>
        <w:t xml:space="preserve"> </w:t>
      </w:r>
      <w:r w:rsidRPr="00046C16">
        <w:rPr>
          <w:rFonts w:eastAsia="Times New Roman" w:cs="Arial"/>
          <w:color w:val="000000"/>
          <w:lang w:eastAsia="bg-BG"/>
        </w:rPr>
        <w:t>времена на полуживот на</w:t>
      </w:r>
      <w:r w:rsidRPr="00046C16">
        <w:rPr>
          <w:rFonts w:eastAsia="Times New Roman" w:cs="Arial"/>
          <w:color w:val="000000"/>
          <w:lang w:val="en-US" w:eastAsia="bg-BG"/>
        </w:rPr>
        <w:t xml:space="preserve"> </w:t>
      </w:r>
      <w:r w:rsidRPr="00046C16">
        <w:rPr>
          <w:rFonts w:eastAsia="Times New Roman" w:cs="Arial"/>
          <w:color w:val="000000"/>
          <w:lang w:eastAsia="bg-BG"/>
        </w:rPr>
        <w:t>дидрогестерон и ДХД варират между 5 до 7 и 14 до 17 часа, съответно. Основна характеристика на всички метаболити е запазването на 4,6 диен-3-едно конфигурацията на изходното вещество и липса на 17α-хидроксилиране. Това обяснява липсата на естрогенни и андрогенни ефекти на дидрогестерон.</w:t>
      </w:r>
    </w:p>
    <w:p w14:paraId="26FD0972" w14:textId="77777777" w:rsidR="00046C16" w:rsidRPr="00046C16" w:rsidRDefault="00046C16" w:rsidP="00046C16">
      <w:pPr>
        <w:spacing w:line="240" w:lineRule="auto"/>
        <w:rPr>
          <w:rFonts w:eastAsia="Times New Roman" w:cs="Arial"/>
          <w:color w:val="000000"/>
          <w:u w:val="single"/>
          <w:lang w:eastAsia="bg-BG"/>
        </w:rPr>
      </w:pPr>
    </w:p>
    <w:p w14:paraId="1D4D9551" w14:textId="779840DB"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u w:val="single"/>
          <w:lang w:eastAsia="bg-BG"/>
        </w:rPr>
        <w:t>Елиминиране</w:t>
      </w:r>
    </w:p>
    <w:p w14:paraId="446600D1" w14:textId="77777777"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lang w:eastAsia="bg-BG"/>
        </w:rPr>
        <w:t xml:space="preserve">След перорално приложение на белязан дидрогестерон средно 63% от дозата се излъчва с урината. Общият плазмен клирънс е 6,4 </w:t>
      </w:r>
      <w:r w:rsidRPr="00046C16">
        <w:rPr>
          <w:rFonts w:eastAsia="Times New Roman" w:cs="Arial"/>
          <w:color w:val="000000"/>
          <w:lang w:val="en-US"/>
        </w:rPr>
        <w:t xml:space="preserve">l/min. </w:t>
      </w:r>
      <w:r w:rsidRPr="00046C16">
        <w:rPr>
          <w:rFonts w:eastAsia="Times New Roman" w:cs="Arial"/>
          <w:color w:val="000000"/>
          <w:lang w:eastAsia="bg-BG"/>
        </w:rPr>
        <w:t>Екскрецията е пълна в рамките на 72 часа. ДХД е наличен основно в урината като конюгат на глюкороновата киселина.</w:t>
      </w:r>
    </w:p>
    <w:p w14:paraId="07998C1F" w14:textId="77777777" w:rsidR="00046C16" w:rsidRPr="00046C16" w:rsidRDefault="00046C16" w:rsidP="00046C16">
      <w:pPr>
        <w:spacing w:line="240" w:lineRule="auto"/>
        <w:rPr>
          <w:rFonts w:eastAsia="Times New Roman" w:cs="Arial"/>
          <w:color w:val="000000"/>
          <w:u w:val="single"/>
          <w:lang w:eastAsia="bg-BG"/>
        </w:rPr>
      </w:pPr>
    </w:p>
    <w:p w14:paraId="183A3B34" w14:textId="546025DE"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u w:val="single"/>
          <w:lang w:eastAsia="bg-BG"/>
        </w:rPr>
        <w:t>Линейност/ нелинейност</w:t>
      </w:r>
    </w:p>
    <w:p w14:paraId="0CFDF53D" w14:textId="77777777" w:rsidR="00046C16" w:rsidRPr="00046C16" w:rsidRDefault="00046C16" w:rsidP="00046C16">
      <w:pPr>
        <w:spacing w:line="240" w:lineRule="auto"/>
        <w:rPr>
          <w:rFonts w:eastAsia="Times New Roman" w:cs="Arial"/>
          <w:sz w:val="24"/>
          <w:szCs w:val="24"/>
          <w:lang w:eastAsia="bg-BG"/>
        </w:rPr>
      </w:pPr>
      <w:r w:rsidRPr="00046C16">
        <w:rPr>
          <w:rFonts w:eastAsia="Times New Roman" w:cs="Arial"/>
          <w:color w:val="000000"/>
          <w:lang w:eastAsia="bg-BG"/>
        </w:rPr>
        <w:t xml:space="preserve">При перорален дозов режим от 2,5 до 10 </w:t>
      </w:r>
      <w:r w:rsidRPr="00046C16">
        <w:rPr>
          <w:rFonts w:eastAsia="Times New Roman" w:cs="Arial"/>
          <w:color w:val="000000"/>
          <w:lang w:val="en-US"/>
        </w:rPr>
        <w:t xml:space="preserve">mg </w:t>
      </w:r>
      <w:r w:rsidRPr="00046C16">
        <w:rPr>
          <w:rFonts w:eastAsia="Times New Roman" w:cs="Arial"/>
          <w:color w:val="000000"/>
          <w:lang w:eastAsia="bg-BG"/>
        </w:rPr>
        <w:t>за единична и множествени дози, фармакокинетиките са линеарни. Сравнението на кинетиките при единична и множествени дози показва, че фармакокинетиката на дидрогестерон и ДХД не се променя при повтарящо се дозиране. Равновесното състояние се достига след 3-дневно лечение.</w:t>
      </w:r>
    </w:p>
    <w:p w14:paraId="0919B7D8" w14:textId="05B5D33F" w:rsidR="00046C16" w:rsidRPr="00046C16" w:rsidRDefault="00046C16" w:rsidP="00046C16">
      <w:pPr>
        <w:rPr>
          <w:lang w:val="en-US"/>
        </w:rPr>
      </w:pPr>
    </w:p>
    <w:p w14:paraId="6925FEB0" w14:textId="79D74077" w:rsidR="00F62E44" w:rsidRDefault="002C50EE" w:rsidP="00387A66">
      <w:pPr>
        <w:pStyle w:val="Heading2"/>
      </w:pPr>
      <w:r>
        <w:lastRenderedPageBreak/>
        <w:t>5.3. Предклинични данни за безопасност</w:t>
      </w:r>
    </w:p>
    <w:p w14:paraId="51D113C9" w14:textId="5CF0D7EA" w:rsidR="00046C16" w:rsidRDefault="00046C16" w:rsidP="00046C16"/>
    <w:p w14:paraId="14AD7AEA" w14:textId="77777777" w:rsidR="00046C16" w:rsidRPr="00046C16" w:rsidRDefault="00046C16" w:rsidP="00046C16">
      <w:pPr>
        <w:rPr>
          <w:sz w:val="24"/>
          <w:szCs w:val="24"/>
          <w:lang w:eastAsia="bg-BG"/>
        </w:rPr>
      </w:pPr>
      <w:r w:rsidRPr="00046C16">
        <w:rPr>
          <w:lang w:eastAsia="bg-BG"/>
        </w:rPr>
        <w:t>Неклиничните данни, получени от конвенционални проучвания на токсичността, генотоксичностга и карциногенния потенциал при единично и повторно дозиране, не показват особен риск за хора.</w:t>
      </w:r>
    </w:p>
    <w:p w14:paraId="5E511A01" w14:textId="77777777" w:rsidR="00046C16" w:rsidRPr="00046C16" w:rsidRDefault="00046C16" w:rsidP="00046C16">
      <w:pPr>
        <w:rPr>
          <w:sz w:val="24"/>
          <w:szCs w:val="24"/>
          <w:lang w:eastAsia="bg-BG"/>
        </w:rPr>
      </w:pPr>
      <w:r w:rsidRPr="00046C16">
        <w:rPr>
          <w:lang w:eastAsia="bg-BG"/>
        </w:rPr>
        <w:t>Проучвания за репродуктивнаа токсичност при плъхове са показали увеличена честота на изпъкнали зърна (между 11 и 19 ден възраст) и хипоспадиас при новородени мъжки при високи дози, несравними с човешката експозиция. Реалният риск от хипоспадиас при хора не може да се определи въз основа на проучванията при животни поради значителните видови различия в метаболизма между хора и плъхове (вж. също точка 4.6).</w:t>
      </w:r>
    </w:p>
    <w:p w14:paraId="422CDB3A" w14:textId="77777777" w:rsidR="00046C16" w:rsidRDefault="00046C16" w:rsidP="00046C16">
      <w:pPr>
        <w:rPr>
          <w:lang w:eastAsia="bg-BG"/>
        </w:rPr>
      </w:pPr>
    </w:p>
    <w:p w14:paraId="685F7EA3" w14:textId="7D0EF729" w:rsidR="00046C16" w:rsidRPr="00046C16" w:rsidRDefault="00046C16" w:rsidP="00046C16">
      <w:pPr>
        <w:rPr>
          <w:sz w:val="24"/>
          <w:szCs w:val="24"/>
          <w:lang w:eastAsia="bg-BG"/>
        </w:rPr>
      </w:pPr>
      <w:r w:rsidRPr="00046C16">
        <w:rPr>
          <w:lang w:eastAsia="bg-BG"/>
        </w:rPr>
        <w:t>Ограничените данни за безопасност при животни показват, че дидрогестерон има удължаващи ефекти върху раждането, което е в съответствие с неговата прогестагенна активност.</w:t>
      </w:r>
    </w:p>
    <w:p w14:paraId="597F2082" w14:textId="77777777" w:rsidR="00046C16" w:rsidRDefault="00046C16" w:rsidP="00046C16">
      <w:pPr>
        <w:rPr>
          <w:lang w:eastAsia="bg-BG"/>
        </w:rPr>
      </w:pPr>
    </w:p>
    <w:p w14:paraId="328A3118" w14:textId="491C308B" w:rsidR="00046C16" w:rsidRPr="00046C16" w:rsidRDefault="00046C16" w:rsidP="00046C16">
      <w:pPr>
        <w:rPr>
          <w:sz w:val="24"/>
          <w:szCs w:val="24"/>
          <w:lang w:eastAsia="bg-BG"/>
        </w:rPr>
      </w:pPr>
      <w:r w:rsidRPr="00046C16">
        <w:rPr>
          <w:lang w:eastAsia="bg-BG"/>
        </w:rPr>
        <w:t>Оценка на риска за околната среда: Проучванията за оценка на риска за околната среда са показали, че дидрогестерон, може да представлява риск за водната среда.</w:t>
      </w:r>
    </w:p>
    <w:p w14:paraId="1E981A4E" w14:textId="77777777" w:rsidR="00046C16" w:rsidRPr="00046C16" w:rsidRDefault="00046C16" w:rsidP="00046C16"/>
    <w:p w14:paraId="357049A8" w14:textId="6120607B" w:rsidR="00BB22B4" w:rsidRDefault="002C50EE" w:rsidP="00471F10">
      <w:pPr>
        <w:pStyle w:val="Heading1"/>
      </w:pPr>
      <w:r>
        <w:t>7. ПРИТЕЖАТЕЛ НА РАЗРЕШЕНИЕТО ЗА УПОТРЕБА</w:t>
      </w:r>
    </w:p>
    <w:p w14:paraId="32224C31" w14:textId="68D1B0CA" w:rsidR="00046C16" w:rsidRDefault="00046C16" w:rsidP="00046C16"/>
    <w:p w14:paraId="48B18264" w14:textId="77777777" w:rsidR="00046C16" w:rsidRPr="00046C16" w:rsidRDefault="00046C16" w:rsidP="00046C16">
      <w:pPr>
        <w:rPr>
          <w:sz w:val="24"/>
          <w:szCs w:val="24"/>
          <w:lang w:eastAsia="bg-BG"/>
        </w:rPr>
      </w:pPr>
      <w:r w:rsidRPr="00046C16">
        <w:rPr>
          <w:lang w:eastAsia="bg-BG"/>
        </w:rPr>
        <w:t>Майлан ЕООД</w:t>
      </w:r>
    </w:p>
    <w:p w14:paraId="5CE41C4E" w14:textId="77777777" w:rsidR="00046C16" w:rsidRPr="00046C16" w:rsidRDefault="00046C16" w:rsidP="00046C16">
      <w:pPr>
        <w:rPr>
          <w:sz w:val="24"/>
          <w:szCs w:val="24"/>
          <w:lang w:eastAsia="bg-BG"/>
        </w:rPr>
      </w:pPr>
      <w:r w:rsidRPr="00046C16">
        <w:rPr>
          <w:lang w:eastAsia="bg-BG"/>
        </w:rPr>
        <w:t>Офис сграда „Сердика офиси“</w:t>
      </w:r>
    </w:p>
    <w:p w14:paraId="361EBE58" w14:textId="77777777" w:rsidR="00046C16" w:rsidRPr="00046C16" w:rsidRDefault="00046C16" w:rsidP="00046C16">
      <w:pPr>
        <w:rPr>
          <w:sz w:val="24"/>
          <w:szCs w:val="24"/>
          <w:lang w:eastAsia="bg-BG"/>
        </w:rPr>
      </w:pPr>
      <w:r w:rsidRPr="00046C16">
        <w:rPr>
          <w:lang w:eastAsia="bg-BG"/>
        </w:rPr>
        <w:t>бул. Ситняково № 48, ет. 7</w:t>
      </w:r>
    </w:p>
    <w:p w14:paraId="4F78300A" w14:textId="5478FFEC" w:rsidR="00046C16" w:rsidRPr="00046C16" w:rsidRDefault="00046C16" w:rsidP="00046C16">
      <w:r w:rsidRPr="00046C16">
        <w:rPr>
          <w:lang w:eastAsia="bg-BG"/>
        </w:rPr>
        <w:t>1505 София, България</w:t>
      </w:r>
    </w:p>
    <w:p w14:paraId="0A53321D" w14:textId="2FD723C0" w:rsidR="00EE6C97" w:rsidRDefault="00936AD0" w:rsidP="00A93499">
      <w:pPr>
        <w:pStyle w:val="Heading1"/>
      </w:pPr>
      <w:r>
        <w:t>8.</w:t>
      </w:r>
      <w:r w:rsidR="002C50EE">
        <w:t>НОМЕР НА РАЗРЕШЕНИЕТО ЗА УПОТРЕБА</w:t>
      </w:r>
    </w:p>
    <w:p w14:paraId="6B83438E" w14:textId="25C39161" w:rsidR="00046C16" w:rsidRDefault="00046C16" w:rsidP="00046C16"/>
    <w:p w14:paraId="7C2688F5" w14:textId="12DE72B3" w:rsidR="00F62E44" w:rsidRDefault="00046C16" w:rsidP="00F62E44">
      <w:r>
        <w:t>20000061</w:t>
      </w:r>
    </w:p>
    <w:p w14:paraId="00481C21" w14:textId="7AE2E868" w:rsidR="00F62E44" w:rsidRDefault="002C50EE" w:rsidP="00387A66">
      <w:pPr>
        <w:pStyle w:val="Heading1"/>
      </w:pPr>
      <w:r>
        <w:t>9. ДАТА НА ПЪРВО РАЗРЕШАВАНЕ/ПОДНОВЯВАНЕ НА РАЗРЕШЕНИЕТО ЗА УПОТРЕБА</w:t>
      </w:r>
    </w:p>
    <w:p w14:paraId="6DFAE480" w14:textId="4D1CF31E" w:rsidR="00046C16" w:rsidRDefault="00046C16" w:rsidP="00046C16"/>
    <w:p w14:paraId="2785427F" w14:textId="77777777" w:rsidR="00046C16" w:rsidRPr="00046C16" w:rsidRDefault="00046C16" w:rsidP="00046C16">
      <w:pPr>
        <w:rPr>
          <w:sz w:val="24"/>
          <w:szCs w:val="24"/>
          <w:lang w:eastAsia="bg-BG"/>
        </w:rPr>
      </w:pPr>
      <w:r w:rsidRPr="00046C16">
        <w:rPr>
          <w:lang w:eastAsia="bg-BG"/>
        </w:rPr>
        <w:t>Дата на първо разрешаване: 21 април 1995 г.</w:t>
      </w:r>
    </w:p>
    <w:p w14:paraId="3E54C44D" w14:textId="77777777" w:rsidR="00046C16" w:rsidRPr="00046C16" w:rsidRDefault="00046C16" w:rsidP="00046C16">
      <w:pPr>
        <w:rPr>
          <w:sz w:val="24"/>
          <w:szCs w:val="24"/>
          <w:lang w:eastAsia="bg-BG"/>
        </w:rPr>
      </w:pPr>
      <w:r w:rsidRPr="00046C16">
        <w:rPr>
          <w:lang w:eastAsia="bg-BG"/>
        </w:rPr>
        <w:t>Дата на последно подновяване: 12 май 2011 г.</w:t>
      </w:r>
    </w:p>
    <w:p w14:paraId="6AA7A009" w14:textId="77777777" w:rsidR="00046C16" w:rsidRPr="00046C16" w:rsidRDefault="00046C16" w:rsidP="00046C16"/>
    <w:p w14:paraId="43FB38A2" w14:textId="0C18A683" w:rsidR="007C605B" w:rsidRDefault="002C50EE" w:rsidP="005726E3">
      <w:pPr>
        <w:pStyle w:val="Heading1"/>
      </w:pPr>
      <w:r>
        <w:t>10. ДАТА НА АКТУАЛИЗИРАНЕ НА ТЕКСТА</w:t>
      </w:r>
      <w:bookmarkEnd w:id="0"/>
    </w:p>
    <w:p w14:paraId="472617BD" w14:textId="79418DDF" w:rsidR="00BB22B4" w:rsidRPr="00BB22B4" w:rsidRDefault="00046C16" w:rsidP="00046C16">
      <w:r>
        <w:t>08/2021</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754D6"/>
    <w:multiLevelType w:val="hybridMultilevel"/>
    <w:tmpl w:val="E0585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85B7326"/>
    <w:multiLevelType w:val="hybridMultilevel"/>
    <w:tmpl w:val="A91875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731DC"/>
    <w:multiLevelType w:val="hybridMultilevel"/>
    <w:tmpl w:val="1A94F9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3F5419"/>
    <w:multiLevelType w:val="hybridMultilevel"/>
    <w:tmpl w:val="FD5C41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8"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366DA"/>
    <w:multiLevelType w:val="hybridMultilevel"/>
    <w:tmpl w:val="09740D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4"/>
  </w:num>
  <w:num w:numId="2" w16cid:durableId="1612932146">
    <w:abstractNumId w:val="0"/>
  </w:num>
  <w:num w:numId="3" w16cid:durableId="1810323821">
    <w:abstractNumId w:val="17"/>
  </w:num>
  <w:num w:numId="4" w16cid:durableId="2135319613">
    <w:abstractNumId w:val="3"/>
  </w:num>
  <w:num w:numId="5" w16cid:durableId="740105516">
    <w:abstractNumId w:val="1"/>
  </w:num>
  <w:num w:numId="6" w16cid:durableId="1668363208">
    <w:abstractNumId w:val="22"/>
  </w:num>
  <w:num w:numId="7" w16cid:durableId="1241988161">
    <w:abstractNumId w:val="13"/>
  </w:num>
  <w:num w:numId="8" w16cid:durableId="2102022361">
    <w:abstractNumId w:val="21"/>
  </w:num>
  <w:num w:numId="9" w16cid:durableId="1154613663">
    <w:abstractNumId w:val="2"/>
  </w:num>
  <w:num w:numId="10" w16cid:durableId="1733848127">
    <w:abstractNumId w:val="4"/>
  </w:num>
  <w:num w:numId="11" w16cid:durableId="1861704680">
    <w:abstractNumId w:val="37"/>
  </w:num>
  <w:num w:numId="12" w16cid:durableId="1434934028">
    <w:abstractNumId w:val="19"/>
  </w:num>
  <w:num w:numId="13" w16cid:durableId="479157895">
    <w:abstractNumId w:val="25"/>
  </w:num>
  <w:num w:numId="14" w16cid:durableId="1670476636">
    <w:abstractNumId w:val="16"/>
  </w:num>
  <w:num w:numId="15" w16cid:durableId="1000155783">
    <w:abstractNumId w:val="36"/>
  </w:num>
  <w:num w:numId="16" w16cid:durableId="2056420707">
    <w:abstractNumId w:val="12"/>
  </w:num>
  <w:num w:numId="17" w16cid:durableId="1787119182">
    <w:abstractNumId w:val="31"/>
  </w:num>
  <w:num w:numId="18" w16cid:durableId="722945139">
    <w:abstractNumId w:val="8"/>
  </w:num>
  <w:num w:numId="19" w16cid:durableId="1678728408">
    <w:abstractNumId w:val="33"/>
  </w:num>
  <w:num w:numId="20" w16cid:durableId="1970816657">
    <w:abstractNumId w:val="30"/>
  </w:num>
  <w:num w:numId="21" w16cid:durableId="1531146514">
    <w:abstractNumId w:val="23"/>
  </w:num>
  <w:num w:numId="22" w16cid:durableId="1276465">
    <w:abstractNumId w:val="32"/>
  </w:num>
  <w:num w:numId="23" w16cid:durableId="1624310558">
    <w:abstractNumId w:val="24"/>
  </w:num>
  <w:num w:numId="24" w16cid:durableId="1692877547">
    <w:abstractNumId w:val="9"/>
  </w:num>
  <w:num w:numId="25" w16cid:durableId="50930855">
    <w:abstractNumId w:val="29"/>
  </w:num>
  <w:num w:numId="26" w16cid:durableId="176701536">
    <w:abstractNumId w:val="28"/>
  </w:num>
  <w:num w:numId="27" w16cid:durableId="2050564750">
    <w:abstractNumId w:val="39"/>
  </w:num>
  <w:num w:numId="28" w16cid:durableId="1820733422">
    <w:abstractNumId w:val="6"/>
  </w:num>
  <w:num w:numId="29" w16cid:durableId="973678124">
    <w:abstractNumId w:val="27"/>
  </w:num>
  <w:num w:numId="30" w16cid:durableId="154884452">
    <w:abstractNumId w:val="43"/>
  </w:num>
  <w:num w:numId="31" w16cid:durableId="1053964910">
    <w:abstractNumId w:val="5"/>
  </w:num>
  <w:num w:numId="32" w16cid:durableId="2073575793">
    <w:abstractNumId w:val="41"/>
  </w:num>
  <w:num w:numId="33" w16cid:durableId="1566643170">
    <w:abstractNumId w:val="35"/>
  </w:num>
  <w:num w:numId="34" w16cid:durableId="2060787732">
    <w:abstractNumId w:val="40"/>
  </w:num>
  <w:num w:numId="35" w16cid:durableId="34161354">
    <w:abstractNumId w:val="7"/>
  </w:num>
  <w:num w:numId="36" w16cid:durableId="1976908676">
    <w:abstractNumId w:val="11"/>
  </w:num>
  <w:num w:numId="37" w16cid:durableId="758528303">
    <w:abstractNumId w:val="20"/>
  </w:num>
  <w:num w:numId="38" w16cid:durableId="178396561">
    <w:abstractNumId w:val="42"/>
  </w:num>
  <w:num w:numId="39" w16cid:durableId="934825996">
    <w:abstractNumId w:val="15"/>
  </w:num>
  <w:num w:numId="40" w16cid:durableId="550651350">
    <w:abstractNumId w:val="38"/>
  </w:num>
  <w:num w:numId="41" w16cid:durableId="678041702">
    <w:abstractNumId w:val="18"/>
  </w:num>
  <w:num w:numId="42" w16cid:durableId="736900349">
    <w:abstractNumId w:val="10"/>
  </w:num>
  <w:num w:numId="43" w16cid:durableId="1965111127">
    <w:abstractNumId w:val="26"/>
  </w:num>
  <w:num w:numId="44" w16cid:durableId="11934235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4063E"/>
    <w:rsid w:val="00046C16"/>
    <w:rsid w:val="00185A46"/>
    <w:rsid w:val="001915B6"/>
    <w:rsid w:val="001A6EBD"/>
    <w:rsid w:val="001D095A"/>
    <w:rsid w:val="001D1B23"/>
    <w:rsid w:val="002943F0"/>
    <w:rsid w:val="002B3C38"/>
    <w:rsid w:val="002B4DBB"/>
    <w:rsid w:val="002C50EE"/>
    <w:rsid w:val="00340A0A"/>
    <w:rsid w:val="00340E8D"/>
    <w:rsid w:val="003765DC"/>
    <w:rsid w:val="00387A66"/>
    <w:rsid w:val="00395555"/>
    <w:rsid w:val="003E3126"/>
    <w:rsid w:val="00426E5F"/>
    <w:rsid w:val="00471F10"/>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3473</Words>
  <Characters>19798</Characters>
  <Application>Microsoft Office Word</Application>
  <DocSecurity>0</DocSecurity>
  <Lines>164</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2023-02-27T20:06:00Z</dcterms:created>
  <dcterms:modified xsi:type="dcterms:W3CDTF">2023-02-27T20:06:00Z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