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2943F1D6" w:rsidR="00AA23EC" w:rsidRDefault="00DD466D" w:rsidP="00DD466D">
      <w:pPr>
        <w:pStyle w:val="Heading1"/>
      </w:pPr>
      <w:r>
        <w:t>1.ИМЕ НА ЛЕКАРСТВЕНИЯ ПРОДУКТ</w:t>
      </w:r>
    </w:p>
    <w:p w14:paraId="56AC911D" w14:textId="77777777" w:rsidR="00AC3CB5" w:rsidRPr="00AC3CB5" w:rsidRDefault="00AC3CB5" w:rsidP="00AC3CB5">
      <w:pPr>
        <w:rPr>
          <w:sz w:val="24"/>
          <w:szCs w:val="24"/>
        </w:rPr>
      </w:pPr>
      <w:proofErr w:type="spellStart"/>
      <w:r w:rsidRPr="00AC3CB5">
        <w:rPr>
          <w:lang w:eastAsia="bg-BG"/>
        </w:rPr>
        <w:t>Дуспаталин</w:t>
      </w:r>
      <w:proofErr w:type="spellEnd"/>
      <w:r w:rsidRPr="00AC3CB5">
        <w:rPr>
          <w:lang w:eastAsia="bg-BG"/>
        </w:rPr>
        <w:t xml:space="preserve"> 135 </w:t>
      </w:r>
      <w:r w:rsidRPr="00AC3CB5">
        <w:rPr>
          <w:lang w:val="en-US"/>
        </w:rPr>
        <w:t xml:space="preserve">mg </w:t>
      </w:r>
      <w:r w:rsidRPr="00AC3CB5">
        <w:rPr>
          <w:lang w:eastAsia="bg-BG"/>
        </w:rPr>
        <w:t>обвити таблетки</w:t>
      </w:r>
    </w:p>
    <w:p w14:paraId="2EA15E95" w14:textId="3547E991" w:rsidR="00AC3CB5" w:rsidRPr="00AC3CB5" w:rsidRDefault="00AC3CB5" w:rsidP="00AC3CB5">
      <w:proofErr w:type="spellStart"/>
      <w:r w:rsidRPr="00AC3CB5">
        <w:rPr>
          <w:lang w:val="en-US"/>
        </w:rPr>
        <w:t>Duspatalin</w:t>
      </w:r>
      <w:proofErr w:type="spellEnd"/>
      <w:r w:rsidRPr="00AC3CB5">
        <w:rPr>
          <w:lang w:val="en-US"/>
        </w:rPr>
        <w:t xml:space="preserve"> </w:t>
      </w:r>
      <w:r w:rsidRPr="00AC3CB5">
        <w:rPr>
          <w:lang w:eastAsia="bg-BG"/>
        </w:rPr>
        <w:t xml:space="preserve">135 </w:t>
      </w:r>
      <w:r w:rsidRPr="00AC3CB5">
        <w:rPr>
          <w:lang w:val="en-US"/>
        </w:rPr>
        <w:t>mg coated tablets</w:t>
      </w:r>
    </w:p>
    <w:p w14:paraId="4D88B710" w14:textId="63C2340D" w:rsidR="00D86297" w:rsidRDefault="00DD466D" w:rsidP="00AA23EC">
      <w:pPr>
        <w:pStyle w:val="Heading1"/>
      </w:pPr>
      <w:r>
        <w:t>2. КАЧЕСТВЕН И КОЛИЧЕСТВЕН СЪСТАВ</w:t>
      </w:r>
    </w:p>
    <w:p w14:paraId="2C53B642" w14:textId="6A2E6DFC" w:rsidR="00AC3CB5" w:rsidRPr="00AC3CB5" w:rsidRDefault="00AC3CB5" w:rsidP="00AC3CB5">
      <w:r>
        <w:t xml:space="preserve">Една обвита таблетка съдържа 135 </w:t>
      </w:r>
      <w:r>
        <w:rPr>
          <w:lang w:val="en-US"/>
        </w:rPr>
        <w:t xml:space="preserve">mg </w:t>
      </w:r>
      <w:proofErr w:type="spellStart"/>
      <w:r>
        <w:t>мебеверинов</w:t>
      </w:r>
      <w:proofErr w:type="spellEnd"/>
      <w:r>
        <w:t xml:space="preserve"> хидрохлорид </w:t>
      </w:r>
      <w:r>
        <w:rPr>
          <w:lang w:val="en-US"/>
        </w:rPr>
        <w:t>(</w:t>
      </w:r>
      <w:proofErr w:type="spellStart"/>
      <w:r>
        <w:rPr>
          <w:lang w:val="en-US"/>
        </w:rPr>
        <w:t>mebeverine</w:t>
      </w:r>
      <w:proofErr w:type="spellEnd"/>
      <w:r>
        <w:rPr>
          <w:lang w:val="en-US"/>
        </w:rPr>
        <w:t xml:space="preserve"> hydrochloride).</w:t>
      </w:r>
    </w:p>
    <w:p w14:paraId="5E332777" w14:textId="123E3CAF" w:rsidR="005A66D9" w:rsidRDefault="00DD466D" w:rsidP="00CA1B57">
      <w:pPr>
        <w:pStyle w:val="Heading1"/>
      </w:pPr>
      <w:r>
        <w:t>3. ЛЕКАРСТВЕНА ФОРМА</w:t>
      </w:r>
    </w:p>
    <w:p w14:paraId="752E02FB" w14:textId="77777777" w:rsidR="00AC3CB5" w:rsidRDefault="00AC3CB5" w:rsidP="00AC3CB5">
      <w:pPr>
        <w:rPr>
          <w:lang w:eastAsia="bg-BG"/>
        </w:rPr>
      </w:pPr>
      <w:r w:rsidRPr="00AC3CB5">
        <w:rPr>
          <w:lang w:eastAsia="bg-BG"/>
        </w:rPr>
        <w:t xml:space="preserve">Обвита таблетка </w:t>
      </w:r>
    </w:p>
    <w:p w14:paraId="78AABAC5" w14:textId="2588338A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Бели, кръгли, обвити таблетки.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01354CD3" w:rsidR="00FD69E8" w:rsidRDefault="002C50EE" w:rsidP="00AA23EC">
      <w:pPr>
        <w:pStyle w:val="Heading2"/>
      </w:pPr>
      <w:r>
        <w:t>4.1. Терапевтични показания</w:t>
      </w:r>
    </w:p>
    <w:p w14:paraId="55463E0A" w14:textId="77777777" w:rsidR="00AC3CB5" w:rsidRDefault="00AC3CB5" w:rsidP="00AC3CB5">
      <w:pPr>
        <w:rPr>
          <w:lang w:eastAsia="bg-BG"/>
        </w:rPr>
      </w:pPr>
    </w:p>
    <w:p w14:paraId="52BC0DA4" w14:textId="134EE8D0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При възрастни и деца над 10 годишна възраст.</w:t>
      </w:r>
    </w:p>
    <w:p w14:paraId="5243EFAF" w14:textId="77777777" w:rsidR="00AC3CB5" w:rsidRDefault="00AC3CB5" w:rsidP="00AC3CB5">
      <w:pPr>
        <w:rPr>
          <w:lang w:eastAsia="bg-BG"/>
        </w:rPr>
      </w:pPr>
    </w:p>
    <w:p w14:paraId="13644118" w14:textId="533924C1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За симптоматично лечение на коремни болки и спазми, смущения в червата и чревен дискомфорт, свързани със синдром на раздразненото черво.</w:t>
      </w:r>
    </w:p>
    <w:p w14:paraId="0318386B" w14:textId="77777777" w:rsidR="00AC3CB5" w:rsidRDefault="00AC3CB5" w:rsidP="00AC3CB5">
      <w:pPr>
        <w:rPr>
          <w:lang w:eastAsia="bg-BG"/>
        </w:rPr>
      </w:pPr>
    </w:p>
    <w:p w14:paraId="74D0F505" w14:textId="68CDFD0B" w:rsidR="00AC3CB5" w:rsidRDefault="00AC3CB5" w:rsidP="00AC3CB5">
      <w:pPr>
        <w:rPr>
          <w:lang w:eastAsia="bg-BG"/>
        </w:rPr>
      </w:pPr>
      <w:r w:rsidRPr="00AC3CB5">
        <w:rPr>
          <w:lang w:eastAsia="bg-BG"/>
        </w:rPr>
        <w:t>Лечение на стомашно-чревни спазми, предизвикани от органични заболявания.</w:t>
      </w:r>
    </w:p>
    <w:p w14:paraId="41719126" w14:textId="77777777" w:rsidR="00AC3CB5" w:rsidRPr="00AC3CB5" w:rsidRDefault="00AC3CB5" w:rsidP="00AC3CB5">
      <w:pPr>
        <w:rPr>
          <w:sz w:val="24"/>
          <w:szCs w:val="24"/>
        </w:rPr>
      </w:pPr>
    </w:p>
    <w:p w14:paraId="127F2AC9" w14:textId="02C6F49B" w:rsidR="00FD69E8" w:rsidRDefault="002C50EE" w:rsidP="00AA23EC">
      <w:pPr>
        <w:pStyle w:val="Heading2"/>
      </w:pPr>
      <w:r>
        <w:t>4.2. Дозировка и начин на приложение</w:t>
      </w:r>
    </w:p>
    <w:p w14:paraId="08F330C9" w14:textId="3F228BB1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За перорална употреба.</w:t>
      </w:r>
    </w:p>
    <w:p w14:paraId="6613A46F" w14:textId="77777777" w:rsidR="00AC3CB5" w:rsidRDefault="00AC3CB5" w:rsidP="00AC3CB5">
      <w:pPr>
        <w:rPr>
          <w:u w:val="single"/>
          <w:lang w:eastAsia="bg-BG"/>
        </w:rPr>
      </w:pPr>
    </w:p>
    <w:p w14:paraId="74A35513" w14:textId="1821DC78" w:rsidR="00AC3CB5" w:rsidRPr="00AC3CB5" w:rsidRDefault="00AC3CB5" w:rsidP="00AC3CB5">
      <w:pPr>
        <w:pStyle w:val="Heading3"/>
        <w:rPr>
          <w:rFonts w:eastAsia="Times New Roman"/>
          <w:u w:val="single"/>
        </w:rPr>
      </w:pPr>
      <w:r w:rsidRPr="00AC3CB5">
        <w:rPr>
          <w:rFonts w:eastAsia="Times New Roman"/>
          <w:u w:val="single"/>
          <w:lang w:eastAsia="bg-BG"/>
        </w:rPr>
        <w:t>Дозировка</w:t>
      </w:r>
    </w:p>
    <w:p w14:paraId="59854C57" w14:textId="77777777" w:rsidR="00AC3CB5" w:rsidRDefault="00AC3CB5" w:rsidP="00AC3CB5">
      <w:pPr>
        <w:rPr>
          <w:lang w:eastAsia="bg-BG"/>
        </w:rPr>
      </w:pPr>
    </w:p>
    <w:p w14:paraId="3903B3BD" w14:textId="1A98230C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Таблетките да се приемат с достатъчно количество вода (най-малко 100 </w:t>
      </w:r>
      <w:r w:rsidRPr="00AC3CB5">
        <w:rPr>
          <w:lang w:val="en-US"/>
        </w:rPr>
        <w:t xml:space="preserve">ml </w:t>
      </w:r>
      <w:r w:rsidRPr="00AC3CB5">
        <w:rPr>
          <w:lang w:eastAsia="bg-BG"/>
        </w:rPr>
        <w:t>вода).</w:t>
      </w:r>
    </w:p>
    <w:p w14:paraId="5E131A9F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Таблетките да се приемат без да се дъвчат поради неприятния вкус.</w:t>
      </w:r>
    </w:p>
    <w:p w14:paraId="31834F85" w14:textId="77777777" w:rsidR="00AC3CB5" w:rsidRDefault="00AC3CB5" w:rsidP="00AC3CB5">
      <w:pPr>
        <w:rPr>
          <w:i/>
          <w:iCs/>
          <w:lang w:eastAsia="bg-BG"/>
        </w:rPr>
      </w:pPr>
    </w:p>
    <w:p w14:paraId="1DF1321C" w14:textId="69CE7C4C" w:rsidR="00AC3CB5" w:rsidRPr="00AC3CB5" w:rsidRDefault="00AC3CB5" w:rsidP="00AC3CB5">
      <w:pPr>
        <w:rPr>
          <w:sz w:val="24"/>
          <w:szCs w:val="24"/>
        </w:rPr>
      </w:pPr>
      <w:r w:rsidRPr="00AC3CB5">
        <w:rPr>
          <w:i/>
          <w:iCs/>
          <w:lang w:eastAsia="bg-BG"/>
        </w:rPr>
        <w:t>Възрастни и деца над 10 годишна възраст</w:t>
      </w:r>
    </w:p>
    <w:p w14:paraId="491C28AC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Една таблетка три пъти дневно, приблизително 20 минути преди хранене.</w:t>
      </w:r>
    </w:p>
    <w:p w14:paraId="1337A050" w14:textId="77777777" w:rsidR="00AC3CB5" w:rsidRDefault="00AC3CB5" w:rsidP="00AC3CB5">
      <w:pPr>
        <w:rPr>
          <w:lang w:eastAsia="bg-BG"/>
        </w:rPr>
      </w:pPr>
    </w:p>
    <w:p w14:paraId="585139C8" w14:textId="158E67FA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Продължителността на лечението не е ограничена.</w:t>
      </w:r>
    </w:p>
    <w:p w14:paraId="25A29229" w14:textId="580DE345" w:rsidR="00AC3CB5" w:rsidRDefault="00AC3CB5" w:rsidP="00AC3CB5"/>
    <w:p w14:paraId="4A4EE8BB" w14:textId="77777777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lang w:eastAsia="bg-BG"/>
        </w:rPr>
        <w:t>В случай, че са пропуснати една или повече дози, пациентът трябва да продължи със следващата доза, както е предписано. Пропуснатата доза не трябва да се приема като допълнение към редовната доза</w:t>
      </w:r>
    </w:p>
    <w:p w14:paraId="72CE184B" w14:textId="77777777" w:rsidR="00AC3CB5" w:rsidRPr="00AC3CB5" w:rsidRDefault="00AC3CB5" w:rsidP="00AC3CB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433D47" w14:textId="22C82206" w:rsidR="00AC3CB5" w:rsidRPr="00AC3CB5" w:rsidRDefault="00AC3CB5" w:rsidP="00AC3CB5">
      <w:pPr>
        <w:spacing w:line="240" w:lineRule="auto"/>
        <w:rPr>
          <w:rFonts w:eastAsia="Times New Roman" w:cs="Arial"/>
        </w:rPr>
      </w:pPr>
      <w:proofErr w:type="spellStart"/>
      <w:r w:rsidRPr="00AC3CB5">
        <w:rPr>
          <w:rFonts w:eastAsia="Times New Roman" w:cs="Arial"/>
          <w:color w:val="000000"/>
          <w:lang w:eastAsia="bg-BG"/>
        </w:rPr>
        <w:t>Дуспаталин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не трябва да се прилага при деца под 3 годишна възраст, тъй като няма налични клинични данни за тази възрастова група.</w:t>
      </w:r>
    </w:p>
    <w:p w14:paraId="11F29844" w14:textId="77777777" w:rsidR="00AC3CB5" w:rsidRPr="00AC3CB5" w:rsidRDefault="00AC3CB5" w:rsidP="00AC3CB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92A37C" w14:textId="2FD177ED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lang w:eastAsia="bg-BG"/>
        </w:rPr>
        <w:lastRenderedPageBreak/>
        <w:t>Таблетките не трябва да се прилагат при деца от 3 до 10 годишна възраст, поради високото съдържание на активно вещество.</w:t>
      </w:r>
    </w:p>
    <w:p w14:paraId="75F63174" w14:textId="77777777" w:rsidR="00AC3CB5" w:rsidRPr="00AC3CB5" w:rsidRDefault="00AC3CB5" w:rsidP="00AC3CB5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A96ABF5" w14:textId="0639E440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i/>
          <w:iCs/>
          <w:color w:val="000000"/>
          <w:lang w:eastAsia="bg-BG"/>
        </w:rPr>
        <w:t>Специални популации</w:t>
      </w:r>
    </w:p>
    <w:p w14:paraId="684B6794" w14:textId="77777777" w:rsidR="00AC3CB5" w:rsidRPr="00AC3CB5" w:rsidRDefault="00AC3CB5" w:rsidP="00AC3CB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4F9CAA" w14:textId="00D436EA" w:rsidR="00AC3CB5" w:rsidRPr="00AC3CB5" w:rsidRDefault="00AC3CB5" w:rsidP="00AC3C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CB5">
        <w:rPr>
          <w:rFonts w:eastAsia="Times New Roman" w:cs="Arial"/>
          <w:color w:val="000000"/>
          <w:lang w:eastAsia="bg-BG"/>
        </w:rPr>
        <w:t xml:space="preserve">Не са провеждани проучвания за дозировката при пациенти в старческа възраст и такива с бъбречно и/или чернодробно увреждане. Няма особен риск за пациенти в старческа възраст и такива с бъбречно и/или чернодробно увреждане, установен от наличните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постмаркетингови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данни. Не се налага адаптиране на дозата при пациенти в старческа възраст и такива с бъбречно и/или чернодробно увреждане.</w:t>
      </w:r>
    </w:p>
    <w:p w14:paraId="27D4AF7A" w14:textId="77777777" w:rsidR="00AC3CB5" w:rsidRPr="00AC3CB5" w:rsidRDefault="00AC3CB5" w:rsidP="00AC3CB5"/>
    <w:p w14:paraId="0E366821" w14:textId="26A3FE62" w:rsidR="00FD69E8" w:rsidRDefault="002C50EE" w:rsidP="00AA23EC">
      <w:pPr>
        <w:pStyle w:val="Heading2"/>
      </w:pPr>
      <w:r>
        <w:t>4.3. Противопоказания</w:t>
      </w:r>
    </w:p>
    <w:p w14:paraId="042B17B2" w14:textId="77777777" w:rsidR="00AC3CB5" w:rsidRDefault="00AC3CB5" w:rsidP="00AC3CB5">
      <w:pPr>
        <w:rPr>
          <w:lang w:eastAsia="bg-BG"/>
        </w:rPr>
      </w:pPr>
    </w:p>
    <w:p w14:paraId="1BC47CD6" w14:textId="5BF5EA51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7C62C493" w14:textId="77777777" w:rsidR="00AC3CB5" w:rsidRPr="00AC3CB5" w:rsidRDefault="00AC3CB5" w:rsidP="00AC3CB5"/>
    <w:p w14:paraId="6DDF89B4" w14:textId="0438BB38" w:rsidR="00C809A7" w:rsidRDefault="002C50EE" w:rsidP="00AA23EC">
      <w:pPr>
        <w:pStyle w:val="Heading2"/>
      </w:pPr>
      <w:r>
        <w:t>4.4. Специални предупреждения и предпазни мерки при употреба</w:t>
      </w:r>
    </w:p>
    <w:p w14:paraId="2B11FF24" w14:textId="77777777" w:rsidR="00AC3CB5" w:rsidRDefault="00AC3CB5" w:rsidP="00AC3CB5">
      <w:pPr>
        <w:rPr>
          <w:lang w:eastAsia="bg-BG"/>
        </w:rPr>
      </w:pPr>
    </w:p>
    <w:p w14:paraId="5DA720FB" w14:textId="645BA691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Тъй като </w:t>
      </w:r>
      <w:proofErr w:type="spellStart"/>
      <w:r w:rsidRPr="00AC3CB5">
        <w:rPr>
          <w:lang w:eastAsia="bg-BG"/>
        </w:rPr>
        <w:t>Дуспаталин</w:t>
      </w:r>
      <w:proofErr w:type="spellEnd"/>
      <w:r w:rsidRPr="00AC3CB5">
        <w:rPr>
          <w:lang w:eastAsia="bg-BG"/>
        </w:rPr>
        <w:t xml:space="preserve"> съдържа лактоза, пациенти с редки наследствени проблеми на </w:t>
      </w:r>
      <w:proofErr w:type="spellStart"/>
      <w:r w:rsidRPr="00AC3CB5">
        <w:rPr>
          <w:lang w:eastAsia="bg-BG"/>
        </w:rPr>
        <w:t>галактозна</w:t>
      </w:r>
      <w:proofErr w:type="spellEnd"/>
      <w:r w:rsidRPr="00AC3CB5">
        <w:rPr>
          <w:lang w:eastAsia="bg-BG"/>
        </w:rPr>
        <w:t xml:space="preserve"> непоносимост, </w:t>
      </w:r>
      <w:r w:rsidRPr="00AC3CB5">
        <w:rPr>
          <w:lang w:val="en-US"/>
        </w:rPr>
        <w:t xml:space="preserve">Lapp </w:t>
      </w:r>
      <w:proofErr w:type="spellStart"/>
      <w:r w:rsidRPr="00AC3CB5">
        <w:rPr>
          <w:lang w:eastAsia="bg-BG"/>
        </w:rPr>
        <w:t>лактазен</w:t>
      </w:r>
      <w:proofErr w:type="spellEnd"/>
      <w:r w:rsidRPr="00AC3CB5">
        <w:rPr>
          <w:lang w:eastAsia="bg-BG"/>
        </w:rPr>
        <w:t xml:space="preserve"> дефицит или </w:t>
      </w:r>
      <w:proofErr w:type="spellStart"/>
      <w:r w:rsidRPr="00AC3CB5">
        <w:rPr>
          <w:lang w:eastAsia="bg-BG"/>
        </w:rPr>
        <w:t>глюкозо-галактозна</w:t>
      </w:r>
      <w:proofErr w:type="spellEnd"/>
      <w:r w:rsidRPr="00AC3CB5">
        <w:rPr>
          <w:lang w:eastAsia="bg-BG"/>
        </w:rPr>
        <w:t xml:space="preserve"> малабсорбция не трябва да приемат това лекарство.</w:t>
      </w:r>
    </w:p>
    <w:p w14:paraId="5E119A5C" w14:textId="77777777" w:rsidR="00AC3CB5" w:rsidRDefault="00AC3CB5" w:rsidP="00AC3CB5">
      <w:pPr>
        <w:rPr>
          <w:lang w:eastAsia="bg-BG"/>
        </w:rPr>
      </w:pPr>
    </w:p>
    <w:p w14:paraId="0F7305A0" w14:textId="752975B5" w:rsidR="00AC3CB5" w:rsidRDefault="00AC3CB5" w:rsidP="00AC3CB5">
      <w:pPr>
        <w:rPr>
          <w:lang w:eastAsia="bg-BG"/>
        </w:rPr>
      </w:pPr>
      <w:r w:rsidRPr="00AC3CB5">
        <w:rPr>
          <w:lang w:eastAsia="bg-BG"/>
        </w:rPr>
        <w:t xml:space="preserve">Тъй като </w:t>
      </w:r>
      <w:proofErr w:type="spellStart"/>
      <w:r w:rsidRPr="00AC3CB5">
        <w:rPr>
          <w:lang w:eastAsia="bg-BG"/>
        </w:rPr>
        <w:t>Дуспаталин</w:t>
      </w:r>
      <w:proofErr w:type="spellEnd"/>
      <w:r w:rsidRPr="00AC3CB5">
        <w:rPr>
          <w:lang w:eastAsia="bg-BG"/>
        </w:rPr>
        <w:t xml:space="preserve"> съдържа захароза, пациенти с редки наследствени проблеми на непоносимост към </w:t>
      </w:r>
      <w:proofErr w:type="spellStart"/>
      <w:r w:rsidRPr="00AC3CB5">
        <w:rPr>
          <w:lang w:eastAsia="bg-BG"/>
        </w:rPr>
        <w:t>фрукгоза</w:t>
      </w:r>
      <w:proofErr w:type="spellEnd"/>
      <w:r w:rsidRPr="00AC3CB5">
        <w:rPr>
          <w:lang w:eastAsia="bg-BG"/>
        </w:rPr>
        <w:t xml:space="preserve">, </w:t>
      </w:r>
      <w:proofErr w:type="spellStart"/>
      <w:r w:rsidRPr="00AC3CB5">
        <w:rPr>
          <w:lang w:eastAsia="bg-BG"/>
        </w:rPr>
        <w:t>глюкозо-галактозна</w:t>
      </w:r>
      <w:proofErr w:type="spellEnd"/>
      <w:r w:rsidRPr="00AC3CB5">
        <w:rPr>
          <w:lang w:eastAsia="bg-BG"/>
        </w:rPr>
        <w:t xml:space="preserve"> малабсорбция или </w:t>
      </w:r>
      <w:proofErr w:type="spellStart"/>
      <w:r w:rsidRPr="00AC3CB5">
        <w:rPr>
          <w:lang w:eastAsia="bg-BG"/>
        </w:rPr>
        <w:t>сукраза-изомалтазна</w:t>
      </w:r>
      <w:proofErr w:type="spellEnd"/>
      <w:r w:rsidRPr="00AC3CB5">
        <w:rPr>
          <w:lang w:eastAsia="bg-BG"/>
        </w:rPr>
        <w:t xml:space="preserve"> недостатъчност не трябва да приемат това лекарство.</w:t>
      </w:r>
    </w:p>
    <w:p w14:paraId="5295975D" w14:textId="77777777" w:rsidR="00AC3CB5" w:rsidRPr="00AC3CB5" w:rsidRDefault="00AC3CB5" w:rsidP="00AC3CB5"/>
    <w:p w14:paraId="5D37E947" w14:textId="6C75C238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006687C4" w14:textId="77777777" w:rsidR="00AC3CB5" w:rsidRDefault="00AC3CB5" w:rsidP="00AC3CB5">
      <w:pPr>
        <w:rPr>
          <w:lang w:eastAsia="bg-BG"/>
        </w:rPr>
      </w:pPr>
    </w:p>
    <w:p w14:paraId="04BA14A4" w14:textId="71B679AB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Не са провеждани проучвания за лекарствени взаимодействия освен такива с алкохол. </w:t>
      </w:r>
      <w:r w:rsidRPr="00AC3CB5">
        <w:rPr>
          <w:i/>
          <w:iCs/>
          <w:lang w:val="en-US"/>
        </w:rPr>
        <w:t>In vitro</w:t>
      </w:r>
      <w:r w:rsidRPr="00AC3CB5">
        <w:rPr>
          <w:lang w:val="en-US"/>
        </w:rPr>
        <w:t xml:space="preserve"> </w:t>
      </w:r>
      <w:r w:rsidRPr="00AC3CB5">
        <w:rPr>
          <w:lang w:eastAsia="bg-BG"/>
        </w:rPr>
        <w:t xml:space="preserve">и </w:t>
      </w:r>
      <w:r w:rsidRPr="00AC3CB5">
        <w:rPr>
          <w:i/>
          <w:iCs/>
          <w:lang w:val="en-US"/>
        </w:rPr>
        <w:t>in vivo</w:t>
      </w:r>
      <w:r w:rsidRPr="00AC3CB5">
        <w:rPr>
          <w:lang w:val="en-US"/>
        </w:rPr>
        <w:t xml:space="preserve"> </w:t>
      </w:r>
      <w:r w:rsidRPr="00AC3CB5">
        <w:rPr>
          <w:lang w:eastAsia="bg-BG"/>
        </w:rPr>
        <w:t xml:space="preserve">изследвания при животни са показали липсата на взаимодействия между </w:t>
      </w:r>
      <w:proofErr w:type="spellStart"/>
      <w:r w:rsidRPr="00AC3CB5">
        <w:rPr>
          <w:lang w:eastAsia="bg-BG"/>
        </w:rPr>
        <w:t>Дуспаталин</w:t>
      </w:r>
      <w:proofErr w:type="spellEnd"/>
      <w:r w:rsidRPr="00AC3CB5">
        <w:rPr>
          <w:lang w:eastAsia="bg-BG"/>
        </w:rPr>
        <w:t xml:space="preserve"> и етилов алкохол.</w:t>
      </w:r>
    </w:p>
    <w:p w14:paraId="7CA8DCBF" w14:textId="77777777" w:rsidR="00AC3CB5" w:rsidRPr="00AC3CB5" w:rsidRDefault="00AC3CB5" w:rsidP="00AC3CB5"/>
    <w:p w14:paraId="2A6346D7" w14:textId="78731A61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001A5D9C" w14:textId="77777777" w:rsidR="00AC3CB5" w:rsidRDefault="00AC3CB5" w:rsidP="00AC3CB5">
      <w:pPr>
        <w:rPr>
          <w:lang w:eastAsia="bg-BG"/>
        </w:rPr>
      </w:pPr>
    </w:p>
    <w:p w14:paraId="1C30581B" w14:textId="40330382" w:rsidR="00AC3CB5" w:rsidRPr="00AC3CB5" w:rsidRDefault="00AC3CB5" w:rsidP="00AC3CB5">
      <w:pPr>
        <w:pStyle w:val="Heading3"/>
        <w:rPr>
          <w:rFonts w:eastAsia="Times New Roman"/>
          <w:u w:val="single"/>
        </w:rPr>
      </w:pPr>
      <w:r w:rsidRPr="00AC3CB5">
        <w:rPr>
          <w:rFonts w:eastAsia="Times New Roman"/>
          <w:u w:val="single"/>
          <w:lang w:eastAsia="bg-BG"/>
        </w:rPr>
        <w:t>Бременност</w:t>
      </w:r>
    </w:p>
    <w:p w14:paraId="72C7F392" w14:textId="5BB5DED8" w:rsidR="00AC3CB5" w:rsidRDefault="00AC3CB5" w:rsidP="00AC3CB5">
      <w:pPr>
        <w:rPr>
          <w:lang w:eastAsia="bg-BG"/>
        </w:rPr>
      </w:pPr>
      <w:r w:rsidRPr="00AC3CB5">
        <w:rPr>
          <w:lang w:eastAsia="bg-BG"/>
        </w:rPr>
        <w:t xml:space="preserve">Липсват или съществуват ограничени данни за употребата на </w:t>
      </w:r>
      <w:proofErr w:type="spellStart"/>
      <w:r w:rsidRPr="00AC3CB5">
        <w:rPr>
          <w:lang w:eastAsia="bg-BG"/>
        </w:rPr>
        <w:t>Дуспаталин</w:t>
      </w:r>
      <w:proofErr w:type="spellEnd"/>
      <w:r w:rsidRPr="00AC3CB5">
        <w:rPr>
          <w:lang w:eastAsia="bg-BG"/>
        </w:rPr>
        <w:t xml:space="preserve"> при бременни жени. Изследванията при животни не са достатъчни от гледна точка на репродуктивната токсичност (вж. точка 5.3). </w:t>
      </w:r>
      <w:proofErr w:type="spellStart"/>
      <w:r w:rsidRPr="00AC3CB5">
        <w:rPr>
          <w:lang w:eastAsia="bg-BG"/>
        </w:rPr>
        <w:t>Дуспаталин</w:t>
      </w:r>
      <w:proofErr w:type="spellEnd"/>
      <w:r w:rsidRPr="00AC3CB5">
        <w:rPr>
          <w:lang w:eastAsia="bg-BG"/>
        </w:rPr>
        <w:t xml:space="preserve"> не се препоръчва по време на бременност.</w:t>
      </w:r>
    </w:p>
    <w:p w14:paraId="0606713E" w14:textId="77777777" w:rsidR="00AC3CB5" w:rsidRDefault="00AC3CB5" w:rsidP="00AC3CB5">
      <w:pPr>
        <w:rPr>
          <w:lang w:eastAsia="bg-BG"/>
        </w:rPr>
      </w:pPr>
    </w:p>
    <w:p w14:paraId="43FC2D03" w14:textId="715C8926" w:rsidR="00AC3CB5" w:rsidRPr="00AC3CB5" w:rsidRDefault="00AC3CB5" w:rsidP="00AC3CB5">
      <w:pPr>
        <w:pStyle w:val="Heading3"/>
        <w:rPr>
          <w:rFonts w:eastAsia="Times New Roman"/>
          <w:u w:val="single"/>
        </w:rPr>
      </w:pPr>
      <w:r w:rsidRPr="00AC3CB5">
        <w:rPr>
          <w:rFonts w:eastAsia="Times New Roman"/>
          <w:u w:val="single"/>
          <w:lang w:eastAsia="bg-BG"/>
        </w:rPr>
        <w:t>Кърмене</w:t>
      </w:r>
    </w:p>
    <w:p w14:paraId="3C57A089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Не е известно дали </w:t>
      </w:r>
      <w:proofErr w:type="spellStart"/>
      <w:r w:rsidRPr="00AC3CB5">
        <w:rPr>
          <w:lang w:eastAsia="bg-BG"/>
        </w:rPr>
        <w:t>Дуспаталин</w:t>
      </w:r>
      <w:proofErr w:type="spellEnd"/>
      <w:r w:rsidRPr="00AC3CB5">
        <w:rPr>
          <w:lang w:eastAsia="bg-BG"/>
        </w:rPr>
        <w:t xml:space="preserve"> или неговите метаболити се отделят в майчиното мляко. Екскрецията на продукта в млякото не е изследвана при животни. </w:t>
      </w:r>
      <w:proofErr w:type="spellStart"/>
      <w:r w:rsidRPr="00AC3CB5">
        <w:rPr>
          <w:lang w:eastAsia="bg-BG"/>
        </w:rPr>
        <w:t>Дуспаталин</w:t>
      </w:r>
      <w:proofErr w:type="spellEnd"/>
      <w:r w:rsidRPr="00AC3CB5">
        <w:rPr>
          <w:lang w:eastAsia="bg-BG"/>
        </w:rPr>
        <w:t xml:space="preserve"> не трябва да се прилага по време на кърмене.</w:t>
      </w:r>
    </w:p>
    <w:p w14:paraId="4F28F56F" w14:textId="77777777" w:rsidR="00AC3CB5" w:rsidRDefault="00AC3CB5" w:rsidP="00AC3CB5">
      <w:pPr>
        <w:rPr>
          <w:lang w:eastAsia="bg-BG"/>
        </w:rPr>
      </w:pPr>
    </w:p>
    <w:p w14:paraId="08B67673" w14:textId="7B38DAA5" w:rsidR="00AC3CB5" w:rsidRPr="00AC3CB5" w:rsidRDefault="00AC3CB5" w:rsidP="00AC3CB5">
      <w:pPr>
        <w:pStyle w:val="Heading3"/>
        <w:rPr>
          <w:rFonts w:eastAsia="Times New Roman"/>
          <w:u w:val="single"/>
        </w:rPr>
      </w:pPr>
      <w:proofErr w:type="spellStart"/>
      <w:r w:rsidRPr="00AC3CB5">
        <w:rPr>
          <w:rFonts w:eastAsia="Times New Roman"/>
          <w:u w:val="single"/>
          <w:lang w:eastAsia="bg-BG"/>
        </w:rPr>
        <w:lastRenderedPageBreak/>
        <w:t>Фертилитет</w:t>
      </w:r>
      <w:proofErr w:type="spellEnd"/>
    </w:p>
    <w:p w14:paraId="5AEAC29D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Няма клинични данни за влиянието върху </w:t>
      </w:r>
      <w:proofErr w:type="spellStart"/>
      <w:r w:rsidRPr="00AC3CB5">
        <w:rPr>
          <w:lang w:eastAsia="bg-BG"/>
        </w:rPr>
        <w:t>фертилитета</w:t>
      </w:r>
      <w:proofErr w:type="spellEnd"/>
      <w:r w:rsidRPr="00AC3CB5">
        <w:rPr>
          <w:lang w:eastAsia="bg-BG"/>
        </w:rPr>
        <w:t xml:space="preserve"> при жени и мъже, въпреки че изследвания при животни не показват вредни ефекти на </w:t>
      </w:r>
      <w:proofErr w:type="spellStart"/>
      <w:r w:rsidRPr="00AC3CB5">
        <w:rPr>
          <w:lang w:eastAsia="bg-BG"/>
        </w:rPr>
        <w:t>Дуспаталин</w:t>
      </w:r>
      <w:proofErr w:type="spellEnd"/>
      <w:r w:rsidRPr="00AC3CB5">
        <w:rPr>
          <w:lang w:eastAsia="bg-BG"/>
        </w:rPr>
        <w:t xml:space="preserve"> (вижте точка „Предклинични данни за безопасност“).</w:t>
      </w:r>
    </w:p>
    <w:p w14:paraId="52C7AE39" w14:textId="77777777" w:rsidR="00AC3CB5" w:rsidRPr="00AC3CB5" w:rsidRDefault="00AC3CB5" w:rsidP="00AC3CB5"/>
    <w:p w14:paraId="71DE6E9A" w14:textId="0E85D2D0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7F911084" w14:textId="77777777" w:rsidR="00AC3CB5" w:rsidRDefault="00AC3CB5" w:rsidP="00AC3CB5">
      <w:pPr>
        <w:rPr>
          <w:lang w:eastAsia="bg-BG"/>
        </w:rPr>
      </w:pPr>
    </w:p>
    <w:p w14:paraId="6AD5117C" w14:textId="0B0CA7E1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Не са провеждани изследвания относно ефектите върху способността за шофиране и работа с машини. </w:t>
      </w:r>
      <w:proofErr w:type="spellStart"/>
      <w:r w:rsidRPr="00AC3CB5">
        <w:rPr>
          <w:lang w:eastAsia="bg-BG"/>
        </w:rPr>
        <w:t>Фармакодинамичният</w:t>
      </w:r>
      <w:proofErr w:type="spellEnd"/>
      <w:r w:rsidRPr="00AC3CB5">
        <w:rPr>
          <w:lang w:eastAsia="bg-BG"/>
        </w:rPr>
        <w:t xml:space="preserve"> и </w:t>
      </w:r>
      <w:proofErr w:type="spellStart"/>
      <w:r w:rsidRPr="00AC3CB5">
        <w:rPr>
          <w:lang w:eastAsia="bg-BG"/>
        </w:rPr>
        <w:t>фармакокинетичният</w:t>
      </w:r>
      <w:proofErr w:type="spellEnd"/>
      <w:r w:rsidRPr="00AC3CB5">
        <w:rPr>
          <w:lang w:eastAsia="bg-BG"/>
        </w:rPr>
        <w:t xml:space="preserve"> профил, </w:t>
      </w:r>
      <w:proofErr w:type="spellStart"/>
      <w:r w:rsidRPr="00AC3CB5">
        <w:rPr>
          <w:lang w:eastAsia="bg-BG"/>
        </w:rPr>
        <w:t>какго</w:t>
      </w:r>
      <w:proofErr w:type="spellEnd"/>
      <w:r w:rsidRPr="00AC3CB5">
        <w:rPr>
          <w:lang w:eastAsia="bg-BG"/>
        </w:rPr>
        <w:t xml:space="preserve"> и </w:t>
      </w:r>
      <w:proofErr w:type="spellStart"/>
      <w:r w:rsidRPr="00AC3CB5">
        <w:rPr>
          <w:lang w:eastAsia="bg-BG"/>
        </w:rPr>
        <w:t>постмаркетинговия</w:t>
      </w:r>
      <w:proofErr w:type="spellEnd"/>
      <w:r w:rsidRPr="00AC3CB5">
        <w:rPr>
          <w:lang w:eastAsia="bg-BG"/>
        </w:rPr>
        <w:t xml:space="preserve"> опит не показват някакви вредни ефекти на </w:t>
      </w:r>
      <w:proofErr w:type="spellStart"/>
      <w:r w:rsidRPr="00AC3CB5">
        <w:rPr>
          <w:lang w:eastAsia="bg-BG"/>
        </w:rPr>
        <w:t>Дуспаталин</w:t>
      </w:r>
      <w:proofErr w:type="spellEnd"/>
      <w:r w:rsidRPr="00AC3CB5">
        <w:rPr>
          <w:lang w:eastAsia="bg-BG"/>
        </w:rPr>
        <w:t xml:space="preserve"> върху способността за шофиране и работа с машини.</w:t>
      </w:r>
    </w:p>
    <w:p w14:paraId="3EF51E53" w14:textId="77777777" w:rsidR="00AC3CB5" w:rsidRPr="00AC3CB5" w:rsidRDefault="00AC3CB5" w:rsidP="00AC3CB5"/>
    <w:p w14:paraId="6698E6B8" w14:textId="7B33977A" w:rsidR="00C809A7" w:rsidRDefault="002C50EE" w:rsidP="00AA23EC">
      <w:pPr>
        <w:pStyle w:val="Heading2"/>
      </w:pPr>
      <w:r>
        <w:t>4.8. Нежелани лекарствени реакции</w:t>
      </w:r>
    </w:p>
    <w:p w14:paraId="31364E62" w14:textId="007E3364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Следните нежелани реакции са докладвани спонтанно по време на </w:t>
      </w:r>
      <w:proofErr w:type="spellStart"/>
      <w:r w:rsidRPr="00AC3CB5">
        <w:rPr>
          <w:lang w:eastAsia="bg-BG"/>
        </w:rPr>
        <w:t>постмаркетинговия</w:t>
      </w:r>
      <w:proofErr w:type="spellEnd"/>
      <w:r w:rsidRPr="00AC3CB5">
        <w:rPr>
          <w:lang w:eastAsia="bg-BG"/>
        </w:rPr>
        <w:t xml:space="preserve"> период. Точната им честота не може да бъде определена от наличните данни. Наблюдавани са алергични реакции основно, но не единствено върху кожата.</w:t>
      </w:r>
    </w:p>
    <w:p w14:paraId="0B69CDD6" w14:textId="103440F4" w:rsidR="00AC3CB5" w:rsidRPr="00AC3CB5" w:rsidRDefault="00AC3CB5" w:rsidP="00AC3CB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AC3CB5">
        <w:rPr>
          <w:lang w:eastAsia="bg-BG"/>
        </w:rPr>
        <w:t xml:space="preserve">Нарушения на кожата и подкожната тъкан - уртикария, </w:t>
      </w:r>
      <w:proofErr w:type="spellStart"/>
      <w:r w:rsidRPr="00AC3CB5">
        <w:rPr>
          <w:lang w:eastAsia="bg-BG"/>
        </w:rPr>
        <w:t>антиоедем</w:t>
      </w:r>
      <w:proofErr w:type="spellEnd"/>
      <w:r w:rsidRPr="00AC3CB5">
        <w:rPr>
          <w:lang w:eastAsia="bg-BG"/>
        </w:rPr>
        <w:t xml:space="preserve">, едем на лицето, </w:t>
      </w:r>
      <w:proofErr w:type="spellStart"/>
      <w:r w:rsidRPr="00AC3CB5">
        <w:rPr>
          <w:lang w:eastAsia="bg-BG"/>
        </w:rPr>
        <w:t>екзантем</w:t>
      </w:r>
      <w:proofErr w:type="spellEnd"/>
      <w:r w:rsidRPr="00AC3CB5">
        <w:rPr>
          <w:lang w:eastAsia="bg-BG"/>
        </w:rPr>
        <w:t>;</w:t>
      </w:r>
    </w:p>
    <w:p w14:paraId="750A421C" w14:textId="585BEB67" w:rsidR="00AC3CB5" w:rsidRPr="00AC3CB5" w:rsidRDefault="00AC3CB5" w:rsidP="00AC3CB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AC3CB5">
        <w:rPr>
          <w:lang w:eastAsia="bg-BG"/>
        </w:rPr>
        <w:t>Нарушения в имунната система - свръхчувствителност (</w:t>
      </w:r>
      <w:proofErr w:type="spellStart"/>
      <w:r w:rsidRPr="00AC3CB5">
        <w:rPr>
          <w:lang w:eastAsia="bg-BG"/>
        </w:rPr>
        <w:t>анафилактични</w:t>
      </w:r>
      <w:proofErr w:type="spellEnd"/>
      <w:r w:rsidRPr="00AC3CB5">
        <w:rPr>
          <w:lang w:eastAsia="bg-BG"/>
        </w:rPr>
        <w:t xml:space="preserve"> реакции).</w:t>
      </w:r>
    </w:p>
    <w:p w14:paraId="4BFFE39F" w14:textId="77777777" w:rsidR="00AC3CB5" w:rsidRDefault="00AC3CB5" w:rsidP="00AC3CB5">
      <w:pPr>
        <w:rPr>
          <w:u w:val="single"/>
          <w:lang w:eastAsia="bg-BG"/>
        </w:rPr>
      </w:pPr>
    </w:p>
    <w:p w14:paraId="2597354B" w14:textId="28E09D51" w:rsidR="00AC3CB5" w:rsidRPr="00AC3CB5" w:rsidRDefault="00AC3CB5" w:rsidP="00AC3CB5">
      <w:pPr>
        <w:rPr>
          <w:sz w:val="24"/>
          <w:szCs w:val="24"/>
        </w:rPr>
      </w:pPr>
      <w:r w:rsidRPr="00AC3CB5">
        <w:rPr>
          <w:u w:val="single"/>
          <w:lang w:eastAsia="bg-BG"/>
        </w:rPr>
        <w:t>Съобщаване на подозирани нежелани реакции</w:t>
      </w:r>
    </w:p>
    <w:p w14:paraId="34E4414F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съобщаване:</w:t>
      </w:r>
    </w:p>
    <w:p w14:paraId="5AC7CF15" w14:textId="77777777" w:rsidR="00AC3CB5" w:rsidRDefault="00AC3CB5" w:rsidP="00AC3CB5">
      <w:pPr>
        <w:rPr>
          <w:lang w:eastAsia="bg-BG"/>
        </w:rPr>
      </w:pPr>
    </w:p>
    <w:p w14:paraId="33AA3CFB" w14:textId="32CC182A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Изпълнителна агенция по лекарствата</w:t>
      </w:r>
    </w:p>
    <w:p w14:paraId="24F23563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ул. „Дамян Груев” № 8</w:t>
      </w:r>
    </w:p>
    <w:p w14:paraId="7AF6E663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1303 София</w:t>
      </w:r>
    </w:p>
    <w:p w14:paraId="6CF1527B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Тел.:+359 2 8903417</w:t>
      </w:r>
    </w:p>
    <w:p w14:paraId="00F635E5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уебсайт: </w:t>
      </w:r>
      <w:hyperlink r:id="rId5" w:history="1">
        <w:r w:rsidRPr="00AC3CB5">
          <w:rPr>
            <w:u w:val="single"/>
            <w:lang w:val="en-US"/>
          </w:rPr>
          <w:t>www.bda.bg</w:t>
        </w:r>
      </w:hyperlink>
    </w:p>
    <w:p w14:paraId="05472985" w14:textId="77777777" w:rsidR="00AC3CB5" w:rsidRPr="00AC3CB5" w:rsidRDefault="00AC3CB5" w:rsidP="00AC3CB5"/>
    <w:p w14:paraId="4239D218" w14:textId="3CF10662" w:rsidR="00C809A7" w:rsidRDefault="002C50EE" w:rsidP="00AA23EC">
      <w:pPr>
        <w:pStyle w:val="Heading2"/>
      </w:pPr>
      <w:r>
        <w:t>4.9. Предозиране</w:t>
      </w:r>
    </w:p>
    <w:p w14:paraId="6C3BCAF8" w14:textId="77777777" w:rsidR="00AC3CB5" w:rsidRDefault="00AC3CB5" w:rsidP="00AC3CB5">
      <w:pPr>
        <w:rPr>
          <w:lang w:eastAsia="bg-BG"/>
        </w:rPr>
      </w:pPr>
    </w:p>
    <w:p w14:paraId="5B6EC8F1" w14:textId="06EA794A" w:rsidR="00AC3CB5" w:rsidRPr="00AC3CB5" w:rsidRDefault="00AC3CB5" w:rsidP="00AC3CB5">
      <w:pPr>
        <w:pStyle w:val="Heading3"/>
        <w:rPr>
          <w:rFonts w:eastAsia="Times New Roman"/>
          <w:u w:val="single"/>
        </w:rPr>
      </w:pPr>
      <w:r w:rsidRPr="00AC3CB5">
        <w:rPr>
          <w:rFonts w:eastAsia="Times New Roman"/>
          <w:u w:val="single"/>
          <w:lang w:eastAsia="bg-BG"/>
        </w:rPr>
        <w:t>Симптоми</w:t>
      </w:r>
    </w:p>
    <w:p w14:paraId="441FB532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Теоретично може да се наблюдава повишена възбудимост на централната нервна система при предозиране. В случаи на предозиране с </w:t>
      </w:r>
      <w:proofErr w:type="spellStart"/>
      <w:r w:rsidRPr="00AC3CB5">
        <w:rPr>
          <w:lang w:eastAsia="bg-BG"/>
        </w:rPr>
        <w:t>мебеверин</w:t>
      </w:r>
      <w:proofErr w:type="spellEnd"/>
      <w:r w:rsidRPr="00AC3CB5">
        <w:rPr>
          <w:lang w:eastAsia="bg-BG"/>
        </w:rPr>
        <w:t xml:space="preserve"> , симптоми са липсвали или са били леки и бързо обратими. Наблюдаваните симптоми на предозиране са били неврологични и сърдечно-съдови.</w:t>
      </w:r>
    </w:p>
    <w:p w14:paraId="058EBEF0" w14:textId="0F770B5F" w:rsidR="00AC3CB5" w:rsidRDefault="00AC3CB5" w:rsidP="00AC3CB5"/>
    <w:p w14:paraId="1384D6CF" w14:textId="77777777" w:rsidR="00AC3CB5" w:rsidRPr="00AC3CB5" w:rsidRDefault="00AC3CB5" w:rsidP="00AC3CB5">
      <w:pPr>
        <w:pStyle w:val="Heading3"/>
        <w:rPr>
          <w:rFonts w:eastAsia="Times New Roman"/>
          <w:u w:val="single"/>
        </w:rPr>
      </w:pPr>
      <w:r w:rsidRPr="00AC3CB5">
        <w:rPr>
          <w:rFonts w:eastAsia="Times New Roman"/>
          <w:u w:val="single"/>
          <w:lang w:eastAsia="bg-BG"/>
        </w:rPr>
        <w:t>Лечение</w:t>
      </w:r>
    </w:p>
    <w:p w14:paraId="6A31788C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Не е известен специфичен антидот и се препоръчва симптоматично лечение. Стомашен </w:t>
      </w:r>
      <w:proofErr w:type="spellStart"/>
      <w:r w:rsidRPr="00AC3CB5">
        <w:rPr>
          <w:lang w:eastAsia="bg-BG"/>
        </w:rPr>
        <w:t>лаваж</w:t>
      </w:r>
      <w:proofErr w:type="spellEnd"/>
      <w:r w:rsidRPr="00AC3CB5">
        <w:rPr>
          <w:lang w:eastAsia="bg-BG"/>
        </w:rPr>
        <w:t xml:space="preserve"> трябва да се има предвид само в случаи на множествена интоксикация, установена в първия час. Не са необходими мерки, които да намаляват абсорбцията.</w:t>
      </w:r>
    </w:p>
    <w:p w14:paraId="64FBE492" w14:textId="77777777" w:rsidR="00AC3CB5" w:rsidRPr="00AC3CB5" w:rsidRDefault="00AC3CB5" w:rsidP="00AC3CB5"/>
    <w:p w14:paraId="18EF4AFE" w14:textId="77777777" w:rsidR="002C50EE" w:rsidRDefault="002C50EE" w:rsidP="002C50EE">
      <w:pPr>
        <w:pStyle w:val="Heading1"/>
      </w:pPr>
      <w:r>
        <w:lastRenderedPageBreak/>
        <w:t>5. ФАРМАКОЛОГИЧНИ СВОЙСТВА</w:t>
      </w:r>
    </w:p>
    <w:p w14:paraId="6CDB2723" w14:textId="4CE68A0C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7B758637" w14:textId="77777777" w:rsidR="00AC3CB5" w:rsidRPr="00AC3CB5" w:rsidRDefault="00AC3CB5" w:rsidP="00AC3CB5">
      <w:pPr>
        <w:spacing w:line="240" w:lineRule="auto"/>
        <w:rPr>
          <w:rFonts w:eastAsia="Times New Roman" w:cs="Arial"/>
        </w:rPr>
      </w:pPr>
      <w:proofErr w:type="spellStart"/>
      <w:r w:rsidRPr="00AC3CB5">
        <w:rPr>
          <w:rFonts w:eastAsia="Times New Roman" w:cs="Arial"/>
          <w:color w:val="000000"/>
          <w:lang w:eastAsia="bg-BG"/>
        </w:rPr>
        <w:t>Фармакотерапевтична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група: Синтетични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антихолинергици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, естери с третична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аминогрупа</w:t>
      </w:r>
      <w:proofErr w:type="spellEnd"/>
      <w:r w:rsidRPr="00AC3CB5">
        <w:rPr>
          <w:rFonts w:eastAsia="Times New Roman" w:cs="Arial"/>
          <w:color w:val="000000"/>
          <w:lang w:eastAsia="bg-BG"/>
        </w:rPr>
        <w:t>, АТС код: А03АА04</w:t>
      </w:r>
    </w:p>
    <w:p w14:paraId="3C980890" w14:textId="77777777" w:rsidR="00AC3CB5" w:rsidRPr="00AC3CB5" w:rsidRDefault="00AC3CB5" w:rsidP="00AC3CB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6AADCBF" w14:textId="60EE9A08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u w:val="single"/>
          <w:lang w:eastAsia="bg-BG"/>
        </w:rPr>
        <w:t xml:space="preserve">Механизъм на действие и </w:t>
      </w:r>
      <w:proofErr w:type="spellStart"/>
      <w:r w:rsidRPr="00AC3CB5">
        <w:rPr>
          <w:rFonts w:eastAsia="Times New Roman" w:cs="Arial"/>
          <w:color w:val="000000"/>
          <w:u w:val="single"/>
          <w:lang w:eastAsia="bg-BG"/>
        </w:rPr>
        <w:t>фармакодинамични</w:t>
      </w:r>
      <w:proofErr w:type="spellEnd"/>
      <w:r w:rsidRPr="00AC3CB5">
        <w:rPr>
          <w:rFonts w:eastAsia="Times New Roman" w:cs="Arial"/>
          <w:color w:val="000000"/>
          <w:u w:val="single"/>
          <w:lang w:eastAsia="bg-BG"/>
        </w:rPr>
        <w:t xml:space="preserve"> ефекти</w:t>
      </w:r>
    </w:p>
    <w:p w14:paraId="43E37376" w14:textId="77777777" w:rsidR="00AC3CB5" w:rsidRPr="00AC3CB5" w:rsidRDefault="00AC3CB5" w:rsidP="00AC3CB5">
      <w:pPr>
        <w:spacing w:line="240" w:lineRule="auto"/>
        <w:rPr>
          <w:rFonts w:eastAsia="Times New Roman" w:cs="Arial"/>
        </w:rPr>
      </w:pP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е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мускулотропно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спазмолитично лекарство с директно действие върху гладката мускулатура на стомашно-чревния тракт, без да влияе върху нормалния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мотилитет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на червата.</w:t>
      </w:r>
    </w:p>
    <w:p w14:paraId="095A1BF1" w14:textId="77777777" w:rsidR="00AC3CB5" w:rsidRPr="00AC3CB5" w:rsidRDefault="00AC3CB5" w:rsidP="00AC3CB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7D15B2D" w14:textId="70B921FF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lang w:eastAsia="bg-BG"/>
        </w:rPr>
        <w:t xml:space="preserve">Точният механизъм на действие не е известен, но множество механизми, като намаляване пропускливостта на йонните канали, блокиране на обратното захващане на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норадреналин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, локален анестетичен ефект, промени в абсорбцията на вода, могат да допринесат за локалния ефект на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върху стомашно-чревния тракт. Чрез тези механизми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оказва спазмолитични ефекти, които водят до нормализиране на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мотилитета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на червата, без да упражнява постоянна релаксация на гладко-мускулните клетки в стомашно-чревния тракт (т.нар. хипотония). Липсват системните странични ефекти, наблюдавани при типичните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антихолинергици</w:t>
      </w:r>
      <w:proofErr w:type="spellEnd"/>
      <w:r w:rsidRPr="00AC3CB5">
        <w:rPr>
          <w:rFonts w:eastAsia="Times New Roman" w:cs="Arial"/>
          <w:color w:val="000000"/>
          <w:lang w:eastAsia="bg-BG"/>
        </w:rPr>
        <w:t>.</w:t>
      </w:r>
    </w:p>
    <w:p w14:paraId="16CDD034" w14:textId="77777777" w:rsidR="00AC3CB5" w:rsidRPr="00AC3CB5" w:rsidRDefault="00AC3CB5" w:rsidP="00AC3CB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5A370A5" w14:textId="54FD5C61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6A250C42" w14:textId="77777777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lang w:eastAsia="bg-BG"/>
        </w:rPr>
        <w:t xml:space="preserve">Клиничната ефикасност и безопасност на различните форми на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са оценявани при повече от 1500 пациенти. Значително подобряване на симптомите на синдрома на раздразненото черво (коремна болка, характерни изпражнения) са наблюдавани при референтни или контролирани от изходните данни клинични проучвания.</w:t>
      </w:r>
    </w:p>
    <w:p w14:paraId="2A542129" w14:textId="77777777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lang w:eastAsia="bg-BG"/>
        </w:rPr>
        <w:t xml:space="preserve">Всички форми на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са най-общо безопасни и добре поносими в препоръчваните дози.</w:t>
      </w:r>
    </w:p>
    <w:p w14:paraId="1578C3D4" w14:textId="77777777" w:rsidR="00AC3CB5" w:rsidRPr="00AC3CB5" w:rsidRDefault="00AC3CB5" w:rsidP="00AC3CB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88EBEC" w14:textId="7F770E9E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7CFA842" w14:textId="77777777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lang w:eastAsia="bg-BG"/>
        </w:rPr>
        <w:t xml:space="preserve">Клинични изпитвания с таблетки или капсули са провеждани само при възрастни. Данните за ефикасност и безопасност от клиничните изпитвания, както и от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постмаркетингов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опит със суспензия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мебеверинов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памоат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при пациенти над 3-годишна възраст са показали, че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е ефикасен, безопасен и добре поносим.</w:t>
      </w:r>
    </w:p>
    <w:p w14:paraId="675693F5" w14:textId="77777777" w:rsidR="00AC3CB5" w:rsidRPr="00AC3CB5" w:rsidRDefault="00AC3CB5" w:rsidP="00AC3CB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476B8A1" w14:textId="6AEED462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lang w:eastAsia="bg-BG"/>
        </w:rPr>
        <w:t xml:space="preserve">Клинични проучвания със суспензия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са показали, че той е ефикасен при облекчаване симптомите на синдрома на раздразненото черво при деца. По-нататъшни отворени и контролирани спрямо изходните данни проучвания със суспензия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са потвърдили ефикасността на лекарството.</w:t>
      </w:r>
    </w:p>
    <w:p w14:paraId="39D63CFF" w14:textId="77777777" w:rsidR="00AC3CB5" w:rsidRPr="00AC3CB5" w:rsidRDefault="00AC3CB5" w:rsidP="00AC3CB5">
      <w:pPr>
        <w:rPr>
          <w:rFonts w:eastAsia="Times New Roman" w:cs="Arial"/>
          <w:color w:val="000000"/>
          <w:lang w:eastAsia="bg-BG"/>
        </w:rPr>
      </w:pPr>
    </w:p>
    <w:p w14:paraId="434AD53C" w14:textId="4B0EB141" w:rsidR="00AC3CB5" w:rsidRDefault="00AC3CB5" w:rsidP="00AC3CB5">
      <w:pPr>
        <w:rPr>
          <w:rFonts w:eastAsia="Times New Roman" w:cs="Arial"/>
          <w:color w:val="000000"/>
          <w:lang w:eastAsia="bg-BG"/>
        </w:rPr>
      </w:pPr>
      <w:r w:rsidRPr="00AC3CB5">
        <w:rPr>
          <w:rFonts w:eastAsia="Times New Roman" w:cs="Arial"/>
          <w:color w:val="000000"/>
          <w:lang w:eastAsia="bg-BG"/>
        </w:rPr>
        <w:t xml:space="preserve">Схемата на дозиране за таблетките и капсулите е определена на базата на постоянството по отношение на безопасността и благоприятната поносимост на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>.</w:t>
      </w:r>
    </w:p>
    <w:p w14:paraId="0DB2D4A5" w14:textId="77777777" w:rsidR="00AC3CB5" w:rsidRPr="00AC3CB5" w:rsidRDefault="00AC3CB5" w:rsidP="00AC3CB5">
      <w:pPr>
        <w:rPr>
          <w:rFonts w:cs="Arial"/>
        </w:rPr>
      </w:pPr>
    </w:p>
    <w:p w14:paraId="0A962168" w14:textId="1D4A9715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5192B65A" w14:textId="77777777" w:rsidR="00AC3CB5" w:rsidRPr="00AC3CB5" w:rsidRDefault="00AC3CB5" w:rsidP="00AC3CB5"/>
    <w:p w14:paraId="3A90F597" w14:textId="77777777" w:rsidR="00AC3CB5" w:rsidRPr="00AC3CB5" w:rsidRDefault="00AC3CB5" w:rsidP="00AC3CB5">
      <w:pPr>
        <w:pStyle w:val="Heading3"/>
        <w:rPr>
          <w:rFonts w:eastAsia="Times New Roman"/>
          <w:u w:val="single"/>
        </w:rPr>
      </w:pPr>
      <w:r w:rsidRPr="00AC3CB5">
        <w:rPr>
          <w:rFonts w:eastAsia="Times New Roman"/>
          <w:u w:val="single"/>
          <w:lang w:eastAsia="bg-BG"/>
        </w:rPr>
        <w:t>Абсорбция</w:t>
      </w:r>
    </w:p>
    <w:p w14:paraId="662A861C" w14:textId="15086F90" w:rsidR="00AC3CB5" w:rsidRDefault="00AC3CB5" w:rsidP="00AC3CB5">
      <w:pPr>
        <w:spacing w:line="240" w:lineRule="auto"/>
        <w:rPr>
          <w:rFonts w:eastAsia="Times New Roman" w:cs="Arial"/>
          <w:color w:val="000000"/>
          <w:lang w:eastAsia="bg-BG"/>
        </w:rPr>
      </w:pP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се абсорбира бързо и пълно след перорално приложение на таблетките.</w:t>
      </w:r>
    </w:p>
    <w:p w14:paraId="7FACA533" w14:textId="77777777" w:rsidR="00AC3CB5" w:rsidRPr="00AC3CB5" w:rsidRDefault="00AC3CB5" w:rsidP="00AC3CB5">
      <w:pPr>
        <w:spacing w:line="240" w:lineRule="auto"/>
        <w:rPr>
          <w:rFonts w:eastAsia="Times New Roman" w:cs="Arial"/>
        </w:rPr>
      </w:pPr>
    </w:p>
    <w:p w14:paraId="0867BB5D" w14:textId="77777777" w:rsidR="00AC3CB5" w:rsidRPr="00AC3CB5" w:rsidRDefault="00AC3CB5" w:rsidP="00AC3CB5">
      <w:pPr>
        <w:pStyle w:val="Heading3"/>
        <w:rPr>
          <w:rFonts w:eastAsia="Times New Roman"/>
          <w:u w:val="single"/>
        </w:rPr>
      </w:pPr>
      <w:r w:rsidRPr="00AC3CB5">
        <w:rPr>
          <w:rFonts w:eastAsia="Times New Roman"/>
          <w:u w:val="single"/>
          <w:lang w:eastAsia="bg-BG"/>
        </w:rPr>
        <w:lastRenderedPageBreak/>
        <w:t>Разпределение</w:t>
      </w:r>
    </w:p>
    <w:p w14:paraId="0E8B9470" w14:textId="77777777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lang w:eastAsia="bg-BG"/>
        </w:rPr>
        <w:t>Не се наблюдава значимо натрупване след многократен прием.</w:t>
      </w:r>
    </w:p>
    <w:p w14:paraId="7C339734" w14:textId="77777777" w:rsidR="00AC3CB5" w:rsidRPr="00AC3CB5" w:rsidRDefault="00AC3CB5" w:rsidP="00AC3CB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BCA4244" w14:textId="7B516243" w:rsidR="00AC3CB5" w:rsidRPr="00AC3CB5" w:rsidRDefault="00AC3CB5" w:rsidP="00AC3CB5">
      <w:pPr>
        <w:pStyle w:val="Heading3"/>
        <w:rPr>
          <w:rFonts w:eastAsia="Times New Roman"/>
          <w:u w:val="single"/>
        </w:rPr>
      </w:pPr>
      <w:r w:rsidRPr="00AC3CB5">
        <w:rPr>
          <w:rFonts w:eastAsia="Times New Roman"/>
          <w:u w:val="single"/>
          <w:lang w:eastAsia="bg-BG"/>
        </w:rPr>
        <w:t>Биотрансформация</w:t>
      </w:r>
    </w:p>
    <w:p w14:paraId="395CD94F" w14:textId="77777777" w:rsidR="00AC3CB5" w:rsidRPr="00AC3CB5" w:rsidRDefault="00AC3CB5" w:rsidP="00AC3CB5">
      <w:pPr>
        <w:spacing w:line="240" w:lineRule="auto"/>
        <w:rPr>
          <w:rFonts w:eastAsia="Times New Roman" w:cs="Arial"/>
        </w:rPr>
      </w:pP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главно от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естеразите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, които първо разкъсват връзките на естерите на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вератрилова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киселина и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мевеберинов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алкохол.</w:t>
      </w:r>
    </w:p>
    <w:p w14:paraId="3A0984CA" w14:textId="77777777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Fonts w:eastAsia="Times New Roman" w:cs="Arial"/>
          <w:color w:val="000000"/>
          <w:lang w:eastAsia="bg-BG"/>
        </w:rPr>
        <w:t xml:space="preserve">Главният метаболит в плазмата е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деметилирана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карбокси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киселина (ДМКК). Равновесният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полуживотьт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на елиминиране на ДМКК е 2,45 часа. При многократен прием С</w:t>
      </w:r>
      <w:r w:rsidRPr="00AC3CB5">
        <w:rPr>
          <w:rFonts w:eastAsia="Times New Roman" w:cs="Arial"/>
          <w:color w:val="000000"/>
          <w:vertAlign w:val="subscript"/>
          <w:lang w:val="en-US"/>
        </w:rPr>
        <w:t>max</w:t>
      </w:r>
      <w:r w:rsidRPr="00AC3CB5">
        <w:rPr>
          <w:rFonts w:eastAsia="Times New Roman" w:cs="Arial"/>
          <w:color w:val="000000"/>
          <w:lang w:eastAsia="bg-BG"/>
        </w:rPr>
        <w:t xml:space="preserve"> на ДМКК е 1 670 </w:t>
      </w:r>
      <w:r w:rsidRPr="00AC3CB5">
        <w:rPr>
          <w:rFonts w:eastAsia="Times New Roman" w:cs="Arial"/>
          <w:color w:val="000000"/>
          <w:lang w:val="en-US"/>
        </w:rPr>
        <w:t xml:space="preserve">ng/ml </w:t>
      </w:r>
      <w:r w:rsidRPr="00AC3CB5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AC3CB5">
        <w:rPr>
          <w:rFonts w:eastAsia="Times New Roman" w:cs="Arial"/>
          <w:color w:val="000000"/>
          <w:lang w:val="en-US"/>
        </w:rPr>
        <w:t>t</w:t>
      </w:r>
      <w:r w:rsidRPr="00AC3CB5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AC3CB5">
        <w:rPr>
          <w:rFonts w:eastAsia="Times New Roman" w:cs="Arial"/>
          <w:color w:val="000000"/>
          <w:lang w:val="en-US"/>
        </w:rPr>
        <w:t xml:space="preserve"> </w:t>
      </w:r>
      <w:r w:rsidRPr="00AC3CB5">
        <w:rPr>
          <w:rFonts w:eastAsia="Times New Roman" w:cs="Arial"/>
          <w:color w:val="000000"/>
          <w:lang w:eastAsia="bg-BG"/>
        </w:rPr>
        <w:t>е 1 час.</w:t>
      </w:r>
    </w:p>
    <w:p w14:paraId="0FDBB8E8" w14:textId="77777777" w:rsidR="00AC3CB5" w:rsidRPr="00AC3CB5" w:rsidRDefault="00AC3CB5" w:rsidP="00AC3CB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38121A" w14:textId="03EF56A5" w:rsidR="00AC3CB5" w:rsidRPr="00AC3CB5" w:rsidRDefault="00AC3CB5" w:rsidP="00AC3CB5">
      <w:pPr>
        <w:pStyle w:val="Heading3"/>
        <w:rPr>
          <w:rFonts w:eastAsia="Times New Roman"/>
          <w:u w:val="single"/>
        </w:rPr>
      </w:pPr>
      <w:r w:rsidRPr="00AC3CB5">
        <w:rPr>
          <w:rFonts w:eastAsia="Times New Roman"/>
          <w:u w:val="single"/>
          <w:lang w:eastAsia="bg-BG"/>
        </w:rPr>
        <w:t>Елиминиране</w:t>
      </w:r>
    </w:p>
    <w:p w14:paraId="741B2551" w14:textId="77777777" w:rsidR="00AC3CB5" w:rsidRPr="00AC3CB5" w:rsidRDefault="00AC3CB5" w:rsidP="00AC3CB5">
      <w:pPr>
        <w:spacing w:line="240" w:lineRule="auto"/>
        <w:rPr>
          <w:rFonts w:eastAsia="Times New Roman" w:cs="Arial"/>
        </w:rPr>
      </w:pP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не се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като такъв, но се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напълно; метаболитите се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екскретират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почти напълно.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Вератриловата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киселина се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с урината, както и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мебевериновият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алкохол, отчасти като съответната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карбокси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киселина и отчасти като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деметилирана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карбокси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киселина (ДМКК).</w:t>
      </w:r>
    </w:p>
    <w:p w14:paraId="79B0851B" w14:textId="77777777" w:rsidR="00AC3CB5" w:rsidRPr="00AC3CB5" w:rsidRDefault="00AC3CB5" w:rsidP="00AC3CB5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0738544" w14:textId="10111071" w:rsidR="00AC3CB5" w:rsidRPr="00AC3CB5" w:rsidRDefault="00AC3CB5" w:rsidP="00AC3CB5">
      <w:pPr>
        <w:spacing w:line="240" w:lineRule="auto"/>
        <w:rPr>
          <w:rFonts w:eastAsia="Times New Roman" w:cs="Arial"/>
        </w:rPr>
      </w:pPr>
      <w:r w:rsidRPr="00AC3CB5">
        <w:rPr>
          <w:rStyle w:val="Heading3Char"/>
          <w:u w:val="single"/>
          <w:lang w:eastAsia="bg-BG"/>
        </w:rPr>
        <w:t>Педиатрична</w:t>
      </w:r>
      <w:r w:rsidRPr="00AC3CB5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AC3CB5">
        <w:rPr>
          <w:rStyle w:val="Heading3Char"/>
          <w:u w:val="single"/>
          <w:lang w:eastAsia="bg-BG"/>
        </w:rPr>
        <w:t>популация</w:t>
      </w:r>
    </w:p>
    <w:p w14:paraId="7183BA0F" w14:textId="046A7D9B" w:rsidR="00AC3CB5" w:rsidRDefault="00AC3CB5" w:rsidP="00AC3CB5">
      <w:pPr>
        <w:rPr>
          <w:rFonts w:eastAsia="Times New Roman" w:cs="Arial"/>
          <w:color w:val="000000"/>
          <w:lang w:eastAsia="bg-BG"/>
        </w:rPr>
      </w:pPr>
      <w:r w:rsidRPr="00AC3CB5">
        <w:rPr>
          <w:rFonts w:eastAsia="Times New Roman" w:cs="Arial"/>
          <w:color w:val="000000"/>
          <w:lang w:eastAsia="bg-BG"/>
        </w:rPr>
        <w:t xml:space="preserve">Не са провеждани </w:t>
      </w:r>
      <w:proofErr w:type="spellStart"/>
      <w:r w:rsidRPr="00AC3CB5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AC3CB5">
        <w:rPr>
          <w:rFonts w:eastAsia="Times New Roman" w:cs="Arial"/>
          <w:color w:val="000000"/>
          <w:lang w:eastAsia="bg-BG"/>
        </w:rPr>
        <w:t xml:space="preserve"> проучвания при деца с </w:t>
      </w:r>
      <w:proofErr w:type="spellStart"/>
      <w:r w:rsidRPr="00AC3CB5">
        <w:rPr>
          <w:rFonts w:eastAsia="Times New Roman" w:cs="Arial"/>
          <w:color w:val="000000"/>
          <w:lang w:eastAsia="bg-BG"/>
        </w:rPr>
        <w:t>мебеверин</w:t>
      </w:r>
      <w:proofErr w:type="spellEnd"/>
      <w:r w:rsidRPr="00AC3CB5">
        <w:rPr>
          <w:rFonts w:eastAsia="Times New Roman" w:cs="Arial"/>
          <w:color w:val="000000"/>
          <w:lang w:eastAsia="bg-BG"/>
        </w:rPr>
        <w:t>.</w:t>
      </w:r>
    </w:p>
    <w:p w14:paraId="04614DCC" w14:textId="77777777" w:rsidR="00AC3CB5" w:rsidRPr="00AC3CB5" w:rsidRDefault="00AC3CB5" w:rsidP="00AC3CB5">
      <w:pPr>
        <w:rPr>
          <w:rFonts w:cs="Arial"/>
        </w:rPr>
      </w:pPr>
    </w:p>
    <w:p w14:paraId="674BE4E2" w14:textId="23F23E36" w:rsidR="009B171C" w:rsidRDefault="002C50EE" w:rsidP="00CA1B57">
      <w:pPr>
        <w:pStyle w:val="Heading2"/>
      </w:pPr>
      <w:r>
        <w:t>5.3. Предклинични данни за безопасност</w:t>
      </w:r>
    </w:p>
    <w:p w14:paraId="295D9E10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При проучвания с многократна доза след перорален и парентерален прием са наблюдавани ефекти върху централната нервна система с поведенческа възбуда, главно тремор и конвулсии. При кучетата, най-чувствителният вид, тези ефекти са наблюдавани при дози, еквивалентни на 3 пъти максималната препоръчителна клинична доза от 400 </w:t>
      </w:r>
      <w:r w:rsidRPr="00AC3CB5">
        <w:rPr>
          <w:lang w:val="en-US"/>
        </w:rPr>
        <w:t xml:space="preserve">mg </w:t>
      </w:r>
      <w:r w:rsidRPr="00AC3CB5">
        <w:rPr>
          <w:lang w:eastAsia="bg-BG"/>
        </w:rPr>
        <w:t xml:space="preserve">дневно, въз основа на сравненията за общата телесна повърхност </w:t>
      </w:r>
      <w:r w:rsidRPr="00AC3CB5">
        <w:rPr>
          <w:lang w:val="en-US"/>
        </w:rPr>
        <w:t>(mg/m</w:t>
      </w:r>
      <w:r w:rsidRPr="00AC3CB5">
        <w:rPr>
          <w:vertAlign w:val="superscript"/>
          <w:lang w:val="en-US"/>
        </w:rPr>
        <w:t>2</w:t>
      </w:r>
      <w:r w:rsidRPr="00AC3CB5">
        <w:rPr>
          <w:lang w:val="en-US"/>
        </w:rPr>
        <w:t>).</w:t>
      </w:r>
    </w:p>
    <w:p w14:paraId="7994AE54" w14:textId="77777777" w:rsidR="00AC3CB5" w:rsidRDefault="00AC3CB5" w:rsidP="00AC3CB5">
      <w:pPr>
        <w:rPr>
          <w:lang w:eastAsia="bg-BG"/>
        </w:rPr>
      </w:pPr>
    </w:p>
    <w:p w14:paraId="07859AB7" w14:textId="70654F00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Репродуктивната токсичност на </w:t>
      </w:r>
      <w:proofErr w:type="spellStart"/>
      <w:r w:rsidRPr="00AC3CB5">
        <w:rPr>
          <w:lang w:eastAsia="bg-BG"/>
        </w:rPr>
        <w:t>мебеверин</w:t>
      </w:r>
      <w:proofErr w:type="spellEnd"/>
      <w:r w:rsidRPr="00AC3CB5">
        <w:rPr>
          <w:lang w:eastAsia="bg-BG"/>
        </w:rPr>
        <w:t xml:space="preserve"> не е изследвана достатъчно при проучвания с животни.</w:t>
      </w:r>
    </w:p>
    <w:p w14:paraId="2B8D1C39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Няма индикации за тератогенен потенциал при плъхове и зайци. Въпреки това, </w:t>
      </w:r>
      <w:proofErr w:type="spellStart"/>
      <w:r w:rsidRPr="00AC3CB5">
        <w:rPr>
          <w:lang w:eastAsia="bg-BG"/>
        </w:rPr>
        <w:t>ембриотоксични</w:t>
      </w:r>
      <w:proofErr w:type="spellEnd"/>
      <w:r w:rsidRPr="00AC3CB5">
        <w:rPr>
          <w:lang w:eastAsia="bg-BG"/>
        </w:rPr>
        <w:t xml:space="preserve"> ефекти (забавен растеж, </w:t>
      </w:r>
      <w:proofErr w:type="spellStart"/>
      <w:r w:rsidRPr="00AC3CB5">
        <w:rPr>
          <w:lang w:eastAsia="bg-BG"/>
        </w:rPr>
        <w:t>леталитет</w:t>
      </w:r>
      <w:proofErr w:type="spellEnd"/>
      <w:r w:rsidRPr="00AC3CB5">
        <w:rPr>
          <w:lang w:eastAsia="bg-BG"/>
        </w:rPr>
        <w:t xml:space="preserve"> на плода) са наблюдавани при плъхове в дози еквивалентни на 2 пъти максималната клинична доза. Ефектът не е наблюдаван при зайци.</w:t>
      </w:r>
    </w:p>
    <w:p w14:paraId="5F8083F5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Не са наблюдавани ефекти върху </w:t>
      </w:r>
      <w:proofErr w:type="spellStart"/>
      <w:r w:rsidRPr="00AC3CB5">
        <w:rPr>
          <w:lang w:eastAsia="bg-BG"/>
        </w:rPr>
        <w:t>фертилитета</w:t>
      </w:r>
      <w:proofErr w:type="spellEnd"/>
      <w:r w:rsidRPr="00AC3CB5">
        <w:rPr>
          <w:lang w:eastAsia="bg-BG"/>
        </w:rPr>
        <w:t xml:space="preserve"> при мъжки или женски плъхове в дози еквивалентни на максималната доза при хора.</w:t>
      </w:r>
    </w:p>
    <w:p w14:paraId="2DECCC45" w14:textId="77777777" w:rsidR="00AC3CB5" w:rsidRDefault="00AC3CB5" w:rsidP="00AC3CB5">
      <w:pPr>
        <w:rPr>
          <w:lang w:eastAsia="bg-BG"/>
        </w:rPr>
      </w:pPr>
    </w:p>
    <w:p w14:paraId="60533242" w14:textId="72BBE929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 xml:space="preserve">В стандартни </w:t>
      </w:r>
      <w:r w:rsidRPr="00AC3CB5">
        <w:rPr>
          <w:i/>
          <w:iCs/>
          <w:lang w:val="en-US"/>
        </w:rPr>
        <w:t>in vitro</w:t>
      </w:r>
      <w:r w:rsidRPr="00AC3CB5">
        <w:rPr>
          <w:lang w:val="en-US"/>
        </w:rPr>
        <w:t xml:space="preserve"> </w:t>
      </w:r>
      <w:r w:rsidRPr="00AC3CB5">
        <w:rPr>
          <w:lang w:eastAsia="bg-BG"/>
        </w:rPr>
        <w:t xml:space="preserve">и </w:t>
      </w:r>
      <w:r w:rsidRPr="00AC3CB5">
        <w:rPr>
          <w:i/>
          <w:iCs/>
          <w:lang w:val="en-US"/>
        </w:rPr>
        <w:t>in vivo</w:t>
      </w:r>
      <w:r w:rsidRPr="00AC3CB5">
        <w:rPr>
          <w:lang w:val="en-US"/>
        </w:rPr>
        <w:t xml:space="preserve"> </w:t>
      </w:r>
      <w:r w:rsidRPr="00AC3CB5">
        <w:rPr>
          <w:lang w:eastAsia="bg-BG"/>
        </w:rPr>
        <w:t xml:space="preserve">тестове за </w:t>
      </w:r>
      <w:proofErr w:type="spellStart"/>
      <w:r w:rsidRPr="00AC3CB5">
        <w:rPr>
          <w:lang w:eastAsia="bg-BG"/>
        </w:rPr>
        <w:t>генотоксичност</w:t>
      </w:r>
      <w:proofErr w:type="spellEnd"/>
      <w:r w:rsidRPr="00AC3CB5">
        <w:rPr>
          <w:lang w:eastAsia="bg-BG"/>
        </w:rPr>
        <w:t xml:space="preserve">, </w:t>
      </w:r>
      <w:proofErr w:type="spellStart"/>
      <w:r w:rsidRPr="00AC3CB5">
        <w:rPr>
          <w:lang w:eastAsia="bg-BG"/>
        </w:rPr>
        <w:t>мебеверин</w:t>
      </w:r>
      <w:proofErr w:type="spellEnd"/>
      <w:r w:rsidRPr="00AC3CB5">
        <w:rPr>
          <w:lang w:eastAsia="bg-BG"/>
        </w:rPr>
        <w:t xml:space="preserve"> не е показал </w:t>
      </w:r>
      <w:proofErr w:type="spellStart"/>
      <w:r w:rsidRPr="00AC3CB5">
        <w:rPr>
          <w:lang w:eastAsia="bg-BG"/>
        </w:rPr>
        <w:t>генотоксични</w:t>
      </w:r>
      <w:proofErr w:type="spellEnd"/>
      <w:r w:rsidRPr="00AC3CB5">
        <w:rPr>
          <w:lang w:eastAsia="bg-BG"/>
        </w:rPr>
        <w:t xml:space="preserve"> ефекти. Не са провеждани проучвания за </w:t>
      </w:r>
      <w:proofErr w:type="spellStart"/>
      <w:r w:rsidRPr="00AC3CB5">
        <w:rPr>
          <w:lang w:eastAsia="bg-BG"/>
        </w:rPr>
        <w:t>карциногенност</w:t>
      </w:r>
      <w:proofErr w:type="spellEnd"/>
      <w:r w:rsidRPr="00AC3CB5">
        <w:rPr>
          <w:lang w:eastAsia="bg-BG"/>
        </w:rPr>
        <w:t>.</w:t>
      </w:r>
    </w:p>
    <w:p w14:paraId="1F4972D0" w14:textId="77777777" w:rsidR="00AC3CB5" w:rsidRPr="00AC3CB5" w:rsidRDefault="00AC3CB5" w:rsidP="00AC3CB5"/>
    <w:p w14:paraId="6940F72E" w14:textId="57F0CC1E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0FFE785B" w14:textId="77777777" w:rsidR="00AC3CB5" w:rsidRPr="00AC3CB5" w:rsidRDefault="00AC3CB5" w:rsidP="00AC3CB5">
      <w:pPr>
        <w:rPr>
          <w:sz w:val="24"/>
          <w:szCs w:val="24"/>
        </w:rPr>
      </w:pPr>
      <w:proofErr w:type="spellStart"/>
      <w:r w:rsidRPr="00AC3CB5">
        <w:rPr>
          <w:lang w:eastAsia="bg-BG"/>
        </w:rPr>
        <w:t>Майлан</w:t>
      </w:r>
      <w:proofErr w:type="spellEnd"/>
      <w:r w:rsidRPr="00AC3CB5">
        <w:rPr>
          <w:lang w:eastAsia="bg-BG"/>
        </w:rPr>
        <w:t xml:space="preserve"> ЕООД</w:t>
      </w:r>
    </w:p>
    <w:p w14:paraId="18FD19AB" w14:textId="77777777" w:rsidR="00AC3CB5" w:rsidRDefault="00AC3CB5" w:rsidP="00AC3CB5">
      <w:pPr>
        <w:rPr>
          <w:lang w:eastAsia="bg-BG"/>
        </w:rPr>
      </w:pPr>
      <w:r w:rsidRPr="00AC3CB5">
        <w:rPr>
          <w:lang w:eastAsia="bg-BG"/>
        </w:rPr>
        <w:t xml:space="preserve">Офис сграда „Сердика офиси“ </w:t>
      </w:r>
    </w:p>
    <w:p w14:paraId="49252C0A" w14:textId="77777777" w:rsidR="00AC3CB5" w:rsidRDefault="00AC3CB5" w:rsidP="00AC3CB5">
      <w:pPr>
        <w:rPr>
          <w:lang w:eastAsia="bg-BG"/>
        </w:rPr>
      </w:pPr>
      <w:r w:rsidRPr="00AC3CB5">
        <w:rPr>
          <w:lang w:eastAsia="bg-BG"/>
        </w:rPr>
        <w:t xml:space="preserve">бул. Ситняково№ 48, ет. 7 </w:t>
      </w:r>
    </w:p>
    <w:p w14:paraId="4BD381A0" w14:textId="40CE65D3" w:rsidR="00AC3CB5" w:rsidRPr="00AC3CB5" w:rsidRDefault="00AC3CB5" w:rsidP="00AC3CB5">
      <w:r w:rsidRPr="00AC3CB5">
        <w:rPr>
          <w:lang w:eastAsia="bg-BG"/>
        </w:rPr>
        <w:t>1505 София, България</w:t>
      </w:r>
    </w:p>
    <w:p w14:paraId="04840D59" w14:textId="3217540D" w:rsidR="002C50EE" w:rsidRDefault="002C50EE" w:rsidP="002C50EE">
      <w:pPr>
        <w:pStyle w:val="Heading1"/>
      </w:pPr>
      <w:r>
        <w:t>8. НОМЕР НА РАЗРЕШЕНИЕТО ЗА УПОТРЕБА</w:t>
      </w:r>
    </w:p>
    <w:p w14:paraId="44003716" w14:textId="1C36A60E" w:rsidR="00AC3CB5" w:rsidRPr="00AC3CB5" w:rsidRDefault="00AC3CB5" w:rsidP="00AC3CB5">
      <w:r>
        <w:t>9600036</w:t>
      </w:r>
    </w:p>
    <w:p w14:paraId="5900CBF3" w14:textId="778D1683" w:rsidR="002C50EE" w:rsidRDefault="002C50EE" w:rsidP="002C50EE">
      <w:pPr>
        <w:pStyle w:val="Heading1"/>
      </w:pPr>
      <w:r>
        <w:lastRenderedPageBreak/>
        <w:t>9. ДАТА НА ПЪРВО РАЗРЕШАВАНЕ/ПОДНОВЯВАНЕ НА РАЗРЕШЕНИЕТО ЗА УПОТРЕБА</w:t>
      </w:r>
    </w:p>
    <w:p w14:paraId="1D2AA895" w14:textId="77777777" w:rsidR="00AC3CB5" w:rsidRPr="00AC3CB5" w:rsidRDefault="00AC3CB5" w:rsidP="00AC3CB5">
      <w:pPr>
        <w:rPr>
          <w:sz w:val="24"/>
          <w:szCs w:val="24"/>
        </w:rPr>
      </w:pPr>
      <w:r w:rsidRPr="00AC3CB5">
        <w:rPr>
          <w:lang w:eastAsia="bg-BG"/>
        </w:rPr>
        <w:t>Дата на първо разрешаване: 18 юли 2002 г.</w:t>
      </w:r>
    </w:p>
    <w:p w14:paraId="7AA59EF7" w14:textId="08921920" w:rsidR="00AC3CB5" w:rsidRPr="00AC3CB5" w:rsidRDefault="00AC3CB5" w:rsidP="00AC3CB5">
      <w:r w:rsidRPr="00AC3CB5">
        <w:rPr>
          <w:lang w:eastAsia="bg-BG"/>
        </w:rPr>
        <w:t>Дата на последно подновяване: 18 септември 2007 г.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48C5132B" w:rsidR="00C87E90" w:rsidRPr="003E3126" w:rsidRDefault="00AC3CB5" w:rsidP="00AC3CB5">
      <w:r>
        <w:t>11/2017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3FAB5796"/>
    <w:multiLevelType w:val="hybridMultilevel"/>
    <w:tmpl w:val="B2C27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23"/>
  </w:num>
  <w:num w:numId="12">
    <w:abstractNumId w:val="10"/>
  </w:num>
  <w:num w:numId="13">
    <w:abstractNumId w:val="16"/>
  </w:num>
  <w:num w:numId="14">
    <w:abstractNumId w:val="8"/>
  </w:num>
  <w:num w:numId="15">
    <w:abstractNumId w:val="22"/>
  </w:num>
  <w:num w:numId="16">
    <w:abstractNumId w:val="6"/>
  </w:num>
  <w:num w:numId="17">
    <w:abstractNumId w:val="18"/>
  </w:num>
  <w:num w:numId="18">
    <w:abstractNumId w:val="5"/>
  </w:num>
  <w:num w:numId="19">
    <w:abstractNumId w:val="20"/>
  </w:num>
  <w:num w:numId="20">
    <w:abstractNumId w:val="17"/>
  </w:num>
  <w:num w:numId="21">
    <w:abstractNumId w:val="14"/>
  </w:num>
  <w:num w:numId="22">
    <w:abstractNumId w:val="19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3CB5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2021-08-19T23:02:00Z</dcterms:created>
  <dcterms:modified xsi:type="dcterms:W3CDTF">2021-08-19T23:02:00Z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