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DA12C0A" w:rsidR="007122AD" w:rsidRDefault="00DD466D" w:rsidP="00936AD0">
      <w:pPr>
        <w:pStyle w:val="Heading1"/>
      </w:pPr>
      <w:r>
        <w:t>1.ИМЕ НА ЛЕКАРСТВЕНИЯ ПРОДУКТ</w:t>
      </w:r>
    </w:p>
    <w:p w14:paraId="2B23716C" w14:textId="09C30465" w:rsidR="00DE1F33" w:rsidRDefault="00DE1F33" w:rsidP="00DE1F33"/>
    <w:p w14:paraId="779A861F" w14:textId="77777777" w:rsidR="00DE1F33" w:rsidRPr="00DE1F33" w:rsidRDefault="00DE1F33" w:rsidP="00DE1F33">
      <w:pPr>
        <w:rPr>
          <w:sz w:val="24"/>
          <w:szCs w:val="24"/>
        </w:rPr>
      </w:pPr>
      <w:r w:rsidRPr="00DE1F33">
        <w:rPr>
          <w:lang w:eastAsia="bg-BG"/>
        </w:rPr>
        <w:t xml:space="preserve">ДУКСЕТ 30 </w:t>
      </w:r>
      <w:r w:rsidRPr="00DE1F33">
        <w:rPr>
          <w:lang w:val="en-US"/>
        </w:rPr>
        <w:t>mg</w:t>
      </w:r>
      <w:r w:rsidRPr="00DE1F33">
        <w:rPr>
          <w:lang w:val="ru-RU"/>
        </w:rPr>
        <w:t xml:space="preserve"> </w:t>
      </w:r>
      <w:r w:rsidRPr="00DE1F33">
        <w:rPr>
          <w:lang w:eastAsia="bg-BG"/>
        </w:rPr>
        <w:t>стомашно-устойчиви твърди капсули</w:t>
      </w:r>
    </w:p>
    <w:p w14:paraId="7E185BA1" w14:textId="77777777" w:rsidR="00DE1F33" w:rsidRPr="00DE1F33" w:rsidRDefault="00DE1F33" w:rsidP="00DE1F33">
      <w:pPr>
        <w:rPr>
          <w:sz w:val="24"/>
          <w:szCs w:val="24"/>
        </w:rPr>
      </w:pPr>
      <w:r w:rsidRPr="00DE1F33">
        <w:rPr>
          <w:lang w:val="en-US"/>
        </w:rPr>
        <w:t xml:space="preserve">DUXET </w:t>
      </w:r>
      <w:r w:rsidRPr="00DE1F33">
        <w:rPr>
          <w:lang w:eastAsia="bg-BG"/>
        </w:rPr>
        <w:t xml:space="preserve">30 </w:t>
      </w:r>
      <w:r w:rsidRPr="00DE1F33">
        <w:rPr>
          <w:lang w:val="en-US"/>
        </w:rPr>
        <w:t>mg gastro-resistant capsules, hard</w:t>
      </w:r>
    </w:p>
    <w:p w14:paraId="198C4719" w14:textId="77777777" w:rsidR="00DE1F33" w:rsidRPr="00DE1F33" w:rsidRDefault="00DE1F33" w:rsidP="00DE1F33"/>
    <w:p w14:paraId="6920A680" w14:textId="07801FCF" w:rsidR="00C40420" w:rsidRDefault="00DD466D" w:rsidP="004A448E">
      <w:pPr>
        <w:pStyle w:val="Heading1"/>
      </w:pPr>
      <w:r>
        <w:t>2. КАЧЕСТВЕН И КОЛИЧЕСТВЕН СЪСТАВ</w:t>
      </w:r>
    </w:p>
    <w:p w14:paraId="59510677" w14:textId="1471DAE6" w:rsidR="00DE1F33" w:rsidRDefault="00DE1F33" w:rsidP="00DE1F33"/>
    <w:p w14:paraId="0C5E47F8"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Всяка капсула съдържа 30 </w:t>
      </w:r>
      <w:r w:rsidRPr="00DE1F33">
        <w:rPr>
          <w:rFonts w:eastAsia="Times New Roman" w:cs="Arial"/>
          <w:color w:val="000000"/>
          <w:lang w:val="en-US"/>
        </w:rPr>
        <w:t>mg</w:t>
      </w:r>
      <w:r w:rsidRPr="00DE1F33">
        <w:rPr>
          <w:rFonts w:eastAsia="Times New Roman" w:cs="Arial"/>
          <w:color w:val="000000"/>
        </w:rPr>
        <w:t xml:space="preserve"> </w:t>
      </w:r>
      <w:r w:rsidRPr="00DE1F33">
        <w:rPr>
          <w:rFonts w:eastAsia="Times New Roman" w:cs="Arial"/>
          <w:color w:val="000000"/>
          <w:lang w:eastAsia="bg-BG"/>
        </w:rPr>
        <w:t xml:space="preserve">дулоксетин като дулоксетинов хидрохлорид </w:t>
      </w:r>
      <w:r w:rsidRPr="00DE1F33">
        <w:rPr>
          <w:rFonts w:eastAsia="Times New Roman" w:cs="Arial"/>
          <w:i/>
          <w:iCs/>
          <w:color w:val="000000"/>
        </w:rPr>
        <w:t>(</w:t>
      </w:r>
      <w:r w:rsidRPr="00DE1F33">
        <w:rPr>
          <w:rFonts w:eastAsia="Times New Roman" w:cs="Arial"/>
          <w:i/>
          <w:iCs/>
          <w:color w:val="000000"/>
          <w:lang w:val="en-US"/>
        </w:rPr>
        <w:t>duloxetine</w:t>
      </w:r>
      <w:r w:rsidRPr="00DE1F33">
        <w:rPr>
          <w:rFonts w:eastAsia="Times New Roman" w:cs="Arial"/>
          <w:i/>
          <w:iCs/>
          <w:color w:val="000000"/>
        </w:rPr>
        <w:t xml:space="preserve"> </w:t>
      </w:r>
      <w:r w:rsidRPr="00DE1F33">
        <w:rPr>
          <w:rFonts w:eastAsia="Times New Roman" w:cs="Arial"/>
          <w:i/>
          <w:iCs/>
          <w:color w:val="000000"/>
          <w:lang w:val="en-US"/>
        </w:rPr>
        <w:t>as</w:t>
      </w:r>
      <w:r w:rsidRPr="00DE1F33">
        <w:rPr>
          <w:rFonts w:eastAsia="Times New Roman" w:cs="Arial"/>
          <w:i/>
          <w:iCs/>
          <w:color w:val="000000"/>
        </w:rPr>
        <w:t xml:space="preserve"> </w:t>
      </w:r>
      <w:r w:rsidRPr="00DE1F33">
        <w:rPr>
          <w:rFonts w:eastAsia="Times New Roman" w:cs="Arial"/>
          <w:i/>
          <w:iCs/>
          <w:color w:val="000000"/>
          <w:lang w:val="en-US"/>
        </w:rPr>
        <w:t>duloxetine</w:t>
      </w:r>
      <w:r w:rsidRPr="00DE1F33">
        <w:rPr>
          <w:rFonts w:eastAsia="Times New Roman" w:cs="Arial"/>
          <w:i/>
          <w:iCs/>
          <w:color w:val="000000"/>
        </w:rPr>
        <w:t xml:space="preserve"> </w:t>
      </w:r>
      <w:r w:rsidRPr="00DE1F33">
        <w:rPr>
          <w:rFonts w:eastAsia="Times New Roman" w:cs="Arial"/>
          <w:i/>
          <w:iCs/>
          <w:color w:val="000000"/>
          <w:lang w:val="en-US"/>
        </w:rPr>
        <w:t>hydrochloride</w:t>
      </w:r>
      <w:r w:rsidRPr="00DE1F33">
        <w:rPr>
          <w:rFonts w:eastAsia="Times New Roman" w:cs="Arial"/>
          <w:i/>
          <w:iCs/>
          <w:color w:val="000000"/>
        </w:rPr>
        <w:t>)</w:t>
      </w:r>
    </w:p>
    <w:p w14:paraId="7736F20B" w14:textId="77777777" w:rsidR="00DE1F33" w:rsidRPr="00DE1F33" w:rsidRDefault="00DE1F33" w:rsidP="00DE1F33">
      <w:pPr>
        <w:spacing w:line="240" w:lineRule="auto"/>
        <w:rPr>
          <w:rFonts w:eastAsia="Times New Roman" w:cs="Arial"/>
          <w:color w:val="000000"/>
          <w:u w:val="single"/>
          <w:lang w:eastAsia="bg-BG"/>
        </w:rPr>
      </w:pPr>
    </w:p>
    <w:p w14:paraId="17FBB8AF" w14:textId="31F0A000" w:rsidR="00DE1F33" w:rsidRPr="00DE1F33" w:rsidRDefault="00DE1F33" w:rsidP="00DE1F33">
      <w:pPr>
        <w:spacing w:line="240" w:lineRule="auto"/>
        <w:rPr>
          <w:rFonts w:eastAsia="Times New Roman" w:cs="Arial"/>
          <w:sz w:val="24"/>
          <w:szCs w:val="24"/>
        </w:rPr>
      </w:pPr>
      <w:r w:rsidRPr="00DE1F33">
        <w:rPr>
          <w:rFonts w:eastAsia="Times New Roman" w:cs="Arial"/>
          <w:color w:val="000000"/>
          <w:u w:val="single"/>
          <w:lang w:eastAsia="bg-BG"/>
        </w:rPr>
        <w:t>Помощно(и) вещество(а) с известно действие:</w:t>
      </w:r>
    </w:p>
    <w:p w14:paraId="2EE8BEE8"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Всяка капсула съдържа 8,6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захароза.</w:t>
      </w:r>
    </w:p>
    <w:p w14:paraId="6EE770F5" w14:textId="77777777" w:rsidR="00DE1F33" w:rsidRPr="00DE1F33" w:rsidRDefault="00DE1F33" w:rsidP="00DE1F33"/>
    <w:p w14:paraId="614984C4" w14:textId="1EEA9730" w:rsidR="008A6AF2" w:rsidRDefault="00DD466D" w:rsidP="002C50EE">
      <w:pPr>
        <w:pStyle w:val="Heading1"/>
      </w:pPr>
      <w:r>
        <w:t>3. ЛЕКАРСТВЕНА ФОРМА</w:t>
      </w:r>
    </w:p>
    <w:p w14:paraId="28B6BCEB" w14:textId="057A4ADB" w:rsidR="00DE1F33" w:rsidRDefault="00DE1F33" w:rsidP="00DE1F33"/>
    <w:p w14:paraId="172B8C14" w14:textId="77777777" w:rsidR="00DE1F33" w:rsidRPr="00DE1F33" w:rsidRDefault="00DE1F33" w:rsidP="00DE1F33">
      <w:pPr>
        <w:rPr>
          <w:sz w:val="24"/>
          <w:szCs w:val="24"/>
        </w:rPr>
      </w:pPr>
      <w:r w:rsidRPr="00DE1F33">
        <w:rPr>
          <w:lang w:eastAsia="bg-BG"/>
        </w:rPr>
        <w:t>Стомашно-устойчива твърда капсула.</w:t>
      </w:r>
    </w:p>
    <w:p w14:paraId="7CA9A5AB" w14:textId="77777777" w:rsidR="00DE1F33" w:rsidRPr="00DE1F33" w:rsidRDefault="00DE1F33" w:rsidP="00DE1F33">
      <w:pPr>
        <w:rPr>
          <w:sz w:val="24"/>
          <w:szCs w:val="24"/>
        </w:rPr>
      </w:pPr>
      <w:r w:rsidRPr="00DE1F33">
        <w:rPr>
          <w:lang w:eastAsia="bg-BG"/>
        </w:rPr>
        <w:t>Твърди желатинови капсули размер „3“ с непрозрачно бяло тяло и непрозрачно тъмносиньо капаче, пълни с бели до почти бели на цвят пелети.</w:t>
      </w:r>
    </w:p>
    <w:p w14:paraId="3F9671F9" w14:textId="77777777" w:rsidR="00DE1F33" w:rsidRPr="00DE1F33" w:rsidRDefault="00DE1F33" w:rsidP="00DE1F33"/>
    <w:p w14:paraId="490FC2C4" w14:textId="0F4A4A75" w:rsidR="002C50EE" w:rsidRDefault="002C50EE" w:rsidP="002C50EE">
      <w:pPr>
        <w:pStyle w:val="Heading1"/>
      </w:pPr>
      <w:r>
        <w:t>4. КЛИНИЧНИ ДАННИ</w:t>
      </w:r>
    </w:p>
    <w:p w14:paraId="74330405" w14:textId="13457920" w:rsidR="007122AD" w:rsidRDefault="002C50EE" w:rsidP="00936AD0">
      <w:pPr>
        <w:pStyle w:val="Heading2"/>
      </w:pPr>
      <w:r>
        <w:t>4.1. Терапевтични показания</w:t>
      </w:r>
    </w:p>
    <w:p w14:paraId="6B447898" w14:textId="3CD3535C" w:rsidR="00DE1F33" w:rsidRDefault="00DE1F33" w:rsidP="00DE1F33"/>
    <w:p w14:paraId="50533070" w14:textId="77777777" w:rsidR="00DE1F33" w:rsidRPr="00DE1F33" w:rsidRDefault="00DE1F33" w:rsidP="00DE1F33">
      <w:pPr>
        <w:rPr>
          <w:sz w:val="24"/>
          <w:szCs w:val="24"/>
        </w:rPr>
      </w:pPr>
      <w:r w:rsidRPr="00DE1F33">
        <w:rPr>
          <w:lang w:eastAsia="bg-BG"/>
        </w:rPr>
        <w:t>ДУКСЕТ е показан за лечение на голямо депресивно разстройство.</w:t>
      </w:r>
    </w:p>
    <w:p w14:paraId="22760EB5" w14:textId="77777777" w:rsidR="00DE1F33" w:rsidRPr="00DE1F33" w:rsidRDefault="00DE1F33" w:rsidP="00DE1F33">
      <w:pPr>
        <w:rPr>
          <w:sz w:val="24"/>
          <w:szCs w:val="24"/>
        </w:rPr>
      </w:pPr>
      <w:r w:rsidRPr="00DE1F33">
        <w:rPr>
          <w:lang w:eastAsia="bg-BG"/>
        </w:rPr>
        <w:t>ДУКСЕТ е показан за лечение на диабетна периферна невропатна болка.</w:t>
      </w:r>
    </w:p>
    <w:p w14:paraId="261EFD50" w14:textId="77777777" w:rsidR="00DE1F33" w:rsidRPr="00DE1F33" w:rsidRDefault="00DE1F33" w:rsidP="00DE1F33">
      <w:pPr>
        <w:rPr>
          <w:sz w:val="24"/>
          <w:szCs w:val="24"/>
        </w:rPr>
      </w:pPr>
      <w:r w:rsidRPr="00DE1F33">
        <w:rPr>
          <w:lang w:eastAsia="bg-BG"/>
        </w:rPr>
        <w:t>ДУКСЕТ е показан за лечение на генерализирано тревожно разстройство.</w:t>
      </w:r>
    </w:p>
    <w:p w14:paraId="29614B61" w14:textId="77777777" w:rsidR="00DE1F33" w:rsidRDefault="00DE1F33" w:rsidP="00DE1F33">
      <w:pPr>
        <w:rPr>
          <w:lang w:eastAsia="bg-BG"/>
        </w:rPr>
      </w:pPr>
    </w:p>
    <w:p w14:paraId="0DE8AB73" w14:textId="0BB7E88E" w:rsidR="00DE1F33" w:rsidRPr="00DE1F33" w:rsidRDefault="00DE1F33" w:rsidP="00DE1F33">
      <w:pPr>
        <w:rPr>
          <w:sz w:val="24"/>
          <w:szCs w:val="24"/>
        </w:rPr>
      </w:pPr>
      <w:r w:rsidRPr="00DE1F33">
        <w:rPr>
          <w:lang w:eastAsia="bg-BG"/>
        </w:rPr>
        <w:t>ДУКСЕТ е показан при възрастни.</w:t>
      </w:r>
    </w:p>
    <w:p w14:paraId="1231B8E1" w14:textId="22DDCD6F" w:rsidR="00DE1F33" w:rsidRDefault="00DE1F33" w:rsidP="00DE1F33">
      <w:pPr>
        <w:rPr>
          <w:lang w:eastAsia="bg-BG"/>
        </w:rPr>
      </w:pPr>
      <w:r w:rsidRPr="00DE1F33">
        <w:rPr>
          <w:lang w:eastAsia="bg-BG"/>
        </w:rPr>
        <w:t>За допълнителна информация вижте точка 5.1.</w:t>
      </w:r>
    </w:p>
    <w:p w14:paraId="321EE5F4" w14:textId="77777777" w:rsidR="00DE1F33" w:rsidRPr="00DE1F33" w:rsidRDefault="00DE1F33" w:rsidP="00DE1F33"/>
    <w:p w14:paraId="53F5B866" w14:textId="1495A022" w:rsidR="007122AD" w:rsidRDefault="002C50EE" w:rsidP="00936AD0">
      <w:pPr>
        <w:pStyle w:val="Heading2"/>
      </w:pPr>
      <w:r>
        <w:t>4.2. Дозировка и начин на приложение</w:t>
      </w:r>
    </w:p>
    <w:p w14:paraId="4B2CEE4D" w14:textId="15BED16C" w:rsidR="00DE1F33" w:rsidRDefault="00DE1F33" w:rsidP="00DE1F33"/>
    <w:p w14:paraId="574ED8EB" w14:textId="77777777" w:rsidR="00DE1F33" w:rsidRPr="00DE1F33" w:rsidRDefault="00DE1F33" w:rsidP="00DE1F33">
      <w:pPr>
        <w:pStyle w:val="Heading3"/>
        <w:rPr>
          <w:rFonts w:eastAsia="Times New Roman"/>
          <w:u w:val="single"/>
        </w:rPr>
      </w:pPr>
      <w:r w:rsidRPr="00DE1F33">
        <w:rPr>
          <w:rFonts w:eastAsia="Times New Roman"/>
          <w:u w:val="single"/>
          <w:lang w:eastAsia="bg-BG"/>
        </w:rPr>
        <w:t>Дозировка</w:t>
      </w:r>
    </w:p>
    <w:p w14:paraId="06E49F8B" w14:textId="77777777"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Голямо депресивно разстройство</w:t>
      </w:r>
    </w:p>
    <w:p w14:paraId="0BC947C1"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Началната и препоръчителната поддържаща доза е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с или без храна. В клинични проучвания са оценявани от гледна точка на безопасността дози над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до максимална доза от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веднъж дневно. Въпреки това, няма клинични доказателства предполагащи, че пациентите неотговорили на началната препоръчвана доза могат да имат полза от покачващо титриране на дозата.</w:t>
      </w:r>
    </w:p>
    <w:p w14:paraId="34C06F58" w14:textId="77777777" w:rsidR="00DE1F33" w:rsidRPr="00DE1F33" w:rsidRDefault="00DE1F33" w:rsidP="00DE1F33">
      <w:pPr>
        <w:spacing w:line="240" w:lineRule="auto"/>
        <w:rPr>
          <w:rFonts w:eastAsia="Times New Roman" w:cs="Arial"/>
          <w:color w:val="000000"/>
          <w:lang w:eastAsia="bg-BG"/>
        </w:rPr>
      </w:pPr>
    </w:p>
    <w:p w14:paraId="43D269B1" w14:textId="008CCDD1"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Обикновено терапевтичен отговор се наблюдава след 2-4 седмици лечение.</w:t>
      </w:r>
    </w:p>
    <w:p w14:paraId="1AD9BE3A" w14:textId="77777777" w:rsidR="00DE1F33" w:rsidRPr="00DE1F33" w:rsidRDefault="00DE1F33" w:rsidP="00DE1F33">
      <w:pPr>
        <w:spacing w:line="240" w:lineRule="auto"/>
        <w:rPr>
          <w:rFonts w:eastAsia="Times New Roman" w:cs="Arial"/>
          <w:color w:val="000000"/>
          <w:lang w:eastAsia="bg-BG"/>
        </w:rPr>
      </w:pPr>
    </w:p>
    <w:p w14:paraId="37A4E6E7" w14:textId="77777777" w:rsidR="00DE1F33" w:rsidRP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t xml:space="preserve">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вземе под </w:t>
      </w:r>
    </w:p>
    <w:p w14:paraId="7A2D7613" w14:textId="2E636EF8"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внимание по-нататъшно дългосрочно лечение с доза от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до 120 </w:t>
      </w:r>
      <w:r w:rsidRPr="00DE1F33">
        <w:rPr>
          <w:rFonts w:eastAsia="Times New Roman" w:cs="Arial"/>
          <w:color w:val="000000"/>
          <w:lang w:val="en-US"/>
        </w:rPr>
        <w:t>mg</w:t>
      </w:r>
      <w:r w:rsidRPr="00DE1F33">
        <w:rPr>
          <w:rFonts w:eastAsia="Times New Roman" w:cs="Arial"/>
          <w:color w:val="000000"/>
          <w:lang w:eastAsia="bg-BG"/>
        </w:rPr>
        <w:t>/дневно.</w:t>
      </w:r>
    </w:p>
    <w:p w14:paraId="0D562C4D" w14:textId="77777777" w:rsidR="00DE1F33" w:rsidRPr="00DE1F33" w:rsidRDefault="00DE1F33" w:rsidP="00DE1F33">
      <w:pPr>
        <w:spacing w:line="240" w:lineRule="auto"/>
        <w:rPr>
          <w:rFonts w:eastAsia="Times New Roman" w:cs="Arial"/>
          <w:i/>
          <w:iCs/>
          <w:color w:val="000000"/>
          <w:lang w:eastAsia="bg-BG"/>
        </w:rPr>
      </w:pPr>
    </w:p>
    <w:p w14:paraId="3D17C1BF" w14:textId="4C3AF858"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Генерализирано тревожно разстройство</w:t>
      </w:r>
    </w:p>
    <w:p w14:paraId="53708631"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Препоръчваната начална доза при пациенти с генерализирано тревожно разстройство е 30</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със или без храна. При пациенти с незадоволителен отговор дозата трябва да се увеличи до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което е обичайната поддържаща доза при повечето пациенти.</w:t>
      </w:r>
    </w:p>
    <w:p w14:paraId="785DD417" w14:textId="77777777" w:rsidR="00DE1F33" w:rsidRPr="00DE1F33" w:rsidRDefault="00DE1F33" w:rsidP="00DE1F33">
      <w:pPr>
        <w:rPr>
          <w:rFonts w:eastAsia="Times New Roman" w:cs="Arial"/>
          <w:color w:val="000000"/>
          <w:lang w:eastAsia="bg-BG"/>
        </w:rPr>
      </w:pPr>
    </w:p>
    <w:p w14:paraId="5474E0B8" w14:textId="429E7908" w:rsidR="00DE1F33" w:rsidRPr="00DE1F33" w:rsidRDefault="00DE1F33" w:rsidP="00DE1F33">
      <w:pPr>
        <w:rPr>
          <w:rFonts w:eastAsia="Times New Roman" w:cs="Arial"/>
          <w:color w:val="000000"/>
          <w:lang w:eastAsia="bg-BG"/>
        </w:rPr>
      </w:pPr>
      <w:r w:rsidRPr="00DE1F33">
        <w:rPr>
          <w:rFonts w:eastAsia="Times New Roman" w:cs="Arial"/>
          <w:color w:val="000000"/>
          <w:lang w:eastAsia="bg-BG"/>
        </w:rPr>
        <w:t xml:space="preserve">При пациенти с коморбидни големи депресивни епизоди началната и поддържащата доза е 60 </w:t>
      </w:r>
      <w:r w:rsidRPr="00DE1F33">
        <w:rPr>
          <w:rFonts w:eastAsia="Times New Roman" w:cs="Arial"/>
          <w:color w:val="000000"/>
          <w:lang w:val="en-US"/>
        </w:rPr>
        <w:t>mg</w:t>
      </w:r>
      <w:r w:rsidRPr="00DE1F33">
        <w:rPr>
          <w:rFonts w:eastAsia="Times New Roman" w:cs="Arial"/>
          <w:color w:val="000000"/>
          <w:lang w:eastAsia="bg-BG"/>
        </w:rPr>
        <w:t xml:space="preserve"> веднъж дневно (моля, вижте също препоръките за дозиране по-горе).</w:t>
      </w:r>
    </w:p>
    <w:p w14:paraId="5495F95A" w14:textId="188BDC8C" w:rsidR="00DE1F33" w:rsidRPr="00DE1F33" w:rsidRDefault="00DE1F33" w:rsidP="00DE1F33">
      <w:pPr>
        <w:rPr>
          <w:rFonts w:eastAsia="Times New Roman" w:cs="Arial"/>
          <w:color w:val="000000"/>
          <w:lang w:eastAsia="bg-BG"/>
        </w:rPr>
      </w:pPr>
    </w:p>
    <w:p w14:paraId="2C40626E"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Дози до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дневно са показали, че са ефективни и са оценявани с оглед на безопасността при клинични проучвания. Следователно, при пациенти с незадоволителен отговор до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увеличение до 90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или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може да се има предвид. Увеличението на дозата трябва да е въз основа на клиничния отговор и поносимост.</w:t>
      </w:r>
    </w:p>
    <w:p w14:paraId="4CCED7FB" w14:textId="77777777" w:rsidR="00DE1F33" w:rsidRPr="00DE1F33" w:rsidRDefault="00DE1F33" w:rsidP="00DE1F33">
      <w:pPr>
        <w:spacing w:line="240" w:lineRule="auto"/>
        <w:rPr>
          <w:rFonts w:eastAsia="Times New Roman" w:cs="Arial"/>
          <w:color w:val="000000"/>
          <w:lang w:eastAsia="bg-BG"/>
        </w:rPr>
      </w:pPr>
    </w:p>
    <w:p w14:paraId="3D0CF08D" w14:textId="7C2C5BE8"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След консолидиране на отговора, се препоръчва да се продължи лечението за няколко месеца, за да се избегне рецидив.</w:t>
      </w:r>
    </w:p>
    <w:p w14:paraId="6462D68B" w14:textId="77777777" w:rsidR="00DE1F33" w:rsidRPr="00DE1F33" w:rsidRDefault="00DE1F33" w:rsidP="00DE1F33">
      <w:pPr>
        <w:spacing w:line="240" w:lineRule="auto"/>
        <w:rPr>
          <w:rFonts w:eastAsia="Times New Roman" w:cs="Arial"/>
          <w:i/>
          <w:iCs/>
          <w:color w:val="000000"/>
          <w:lang w:eastAsia="bg-BG"/>
        </w:rPr>
      </w:pPr>
    </w:p>
    <w:p w14:paraId="34751BDA" w14:textId="36408609"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Диабетна периферна невропатна болка</w:t>
      </w:r>
    </w:p>
    <w:p w14:paraId="0BBA50BE"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Началната и препоръчителната поддържаща доза е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със или без храна. В клинични проучвания са оценявани от гледна точка на безопасността дози над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до максимална доза от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дневно, приложена като равно разделени приеми. Плазмените концентрации на дулоксетин проявяват голяма интериндивидуална вариабилност (вж. точка 5.2). Следователно, на някои пациенти, които са отговорили незадоволително на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могат да са полезни по-големи дози.</w:t>
      </w:r>
    </w:p>
    <w:p w14:paraId="6AC4A546" w14:textId="77777777" w:rsidR="00DE1F33" w:rsidRPr="00DE1F33" w:rsidRDefault="00DE1F33" w:rsidP="00DE1F33">
      <w:pPr>
        <w:spacing w:line="240" w:lineRule="auto"/>
        <w:rPr>
          <w:rFonts w:eastAsia="Times New Roman" w:cs="Arial"/>
          <w:color w:val="000000"/>
          <w:lang w:eastAsia="bg-BG"/>
        </w:rPr>
      </w:pPr>
    </w:p>
    <w:p w14:paraId="05B834A3" w14:textId="3ECD7314"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Отговорът към лечението трябва да бъде оценяван след 2 месеца. При пациенти с недостатъчно първоначално повлияване е малко вероятен допълнителен отговор след този период.</w:t>
      </w:r>
    </w:p>
    <w:p w14:paraId="0889BB9C" w14:textId="77777777" w:rsidR="00DE1F33" w:rsidRPr="00DE1F33" w:rsidRDefault="00DE1F33" w:rsidP="00DE1F33">
      <w:pPr>
        <w:spacing w:line="240" w:lineRule="auto"/>
        <w:rPr>
          <w:rFonts w:eastAsia="Times New Roman" w:cs="Arial"/>
          <w:color w:val="000000"/>
          <w:lang w:eastAsia="bg-BG"/>
        </w:rPr>
      </w:pPr>
    </w:p>
    <w:p w14:paraId="06C7F9C1" w14:textId="1505548F"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Терапевтичната полза трябва да бъде преоценявана регулярно (поне на всеки три месеца) (вж. точка 5.1).</w:t>
      </w:r>
    </w:p>
    <w:p w14:paraId="2D998339" w14:textId="77777777" w:rsidR="00DE1F33" w:rsidRPr="00DE1F33" w:rsidRDefault="00DE1F33" w:rsidP="00DE1F33">
      <w:pPr>
        <w:spacing w:line="240" w:lineRule="auto"/>
        <w:rPr>
          <w:rFonts w:eastAsia="Times New Roman" w:cs="Arial"/>
          <w:i/>
          <w:iCs/>
          <w:color w:val="000000"/>
          <w:lang w:eastAsia="bg-BG"/>
        </w:rPr>
      </w:pPr>
    </w:p>
    <w:p w14:paraId="40C51EDB" w14:textId="405C3CE9"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Педиатрична популация</w:t>
      </w:r>
    </w:p>
    <w:p w14:paraId="653D84CF" w14:textId="4F2E5ABF"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Дулоксетин не трябва да се употребява при деца и юноши на възраст под 18 години за лечение на голямо депресивно разстройство, поради опасения за безопасност и ефикасност (вж. точка 4.4, точка 4.8 и точка 5.1).</w:t>
      </w:r>
    </w:p>
    <w:p w14:paraId="7CE75395" w14:textId="77777777" w:rsidR="00DE1F33" w:rsidRPr="00DE1F33" w:rsidRDefault="00DE1F33" w:rsidP="00DE1F33">
      <w:pPr>
        <w:spacing w:line="240" w:lineRule="auto"/>
        <w:rPr>
          <w:rFonts w:eastAsia="Times New Roman" w:cs="Arial"/>
          <w:color w:val="000000"/>
          <w:lang w:eastAsia="bg-BG"/>
        </w:rPr>
      </w:pPr>
    </w:p>
    <w:p w14:paraId="041CDD75" w14:textId="754BED9B"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Безопасността и ефикасността на дулоксетин за лечение на диабетна периферна невропатна болка или генерализирано тревожно разстройство не са изследвани. Липсват данни.</w:t>
      </w:r>
    </w:p>
    <w:p w14:paraId="7C203FB1" w14:textId="77777777" w:rsidR="00DE1F33" w:rsidRPr="00DE1F33" w:rsidRDefault="00DE1F33" w:rsidP="00DE1F33">
      <w:pPr>
        <w:spacing w:line="240" w:lineRule="auto"/>
        <w:rPr>
          <w:rFonts w:eastAsia="Times New Roman" w:cs="Arial"/>
          <w:i/>
          <w:iCs/>
          <w:color w:val="000000"/>
          <w:lang w:eastAsia="bg-BG"/>
        </w:rPr>
      </w:pPr>
    </w:p>
    <w:p w14:paraId="62688654" w14:textId="517E7A22"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Специални популации</w:t>
      </w:r>
    </w:p>
    <w:p w14:paraId="1A90730F" w14:textId="77777777" w:rsidR="00DE1F33" w:rsidRPr="00DE1F33" w:rsidRDefault="00DE1F33" w:rsidP="00DE1F33">
      <w:pPr>
        <w:spacing w:line="240" w:lineRule="auto"/>
        <w:rPr>
          <w:rFonts w:eastAsia="Times New Roman" w:cs="Arial"/>
          <w:i/>
          <w:iCs/>
          <w:color w:val="000000"/>
          <w:lang w:eastAsia="bg-BG"/>
        </w:rPr>
      </w:pPr>
    </w:p>
    <w:p w14:paraId="5EF62087" w14:textId="7C38653B"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lastRenderedPageBreak/>
        <w:t>Пациенти в старческа възраст</w:t>
      </w:r>
    </w:p>
    <w:p w14:paraId="234AB6FB"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При пациенти в старческа възраст не се препоръчва адаптиране на дозата единствено въз основа на възрастта. Въпреки това, подобно на всеки лекарствен продукт, се изисква внимание когато се лекуват пациенти в старческа възраст, особено с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ДУКСЕТ дневно при големи депресивни епизоди, за което има ограничени данни (вж. точка 4.4 и точка 5.2).</w:t>
      </w:r>
    </w:p>
    <w:p w14:paraId="7798EB36" w14:textId="77777777" w:rsidR="00DE1F33" w:rsidRPr="00DE1F33" w:rsidRDefault="00DE1F33" w:rsidP="00DE1F33">
      <w:pPr>
        <w:spacing w:line="240" w:lineRule="auto"/>
        <w:rPr>
          <w:rFonts w:eastAsia="Times New Roman" w:cs="Arial"/>
          <w:i/>
          <w:iCs/>
          <w:color w:val="000000"/>
          <w:lang w:eastAsia="bg-BG"/>
        </w:rPr>
      </w:pPr>
    </w:p>
    <w:p w14:paraId="045A9028" w14:textId="329ACC35"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Чернодробно увреждане</w:t>
      </w:r>
    </w:p>
    <w:p w14:paraId="21590143"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ДУКСЕТ не трябва да се използва при пациенти с чернодробно заболяване, довело до чернодробна недостатъчност (вж. точка 4.3. и точка 5.2).</w:t>
      </w:r>
    </w:p>
    <w:p w14:paraId="338776C8" w14:textId="77777777" w:rsidR="00DE1F33" w:rsidRPr="00DE1F33" w:rsidRDefault="00DE1F33" w:rsidP="00DE1F33">
      <w:pPr>
        <w:spacing w:line="240" w:lineRule="auto"/>
        <w:rPr>
          <w:rFonts w:eastAsia="Times New Roman" w:cs="Arial"/>
          <w:i/>
          <w:iCs/>
          <w:color w:val="000000"/>
          <w:lang w:eastAsia="bg-BG"/>
        </w:rPr>
      </w:pPr>
    </w:p>
    <w:p w14:paraId="6E9219B0" w14:textId="40846E47"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Бъбречно увреждане</w:t>
      </w:r>
    </w:p>
    <w:p w14:paraId="75F07789"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Не е необходимо коригиране на дозата при пациенти с лека до умерена бъбречна дисфункция (креатининов клирънс 30 до 80 </w:t>
      </w:r>
      <w:r w:rsidRPr="00DE1F33">
        <w:rPr>
          <w:rFonts w:eastAsia="Times New Roman" w:cs="Arial"/>
          <w:color w:val="000000"/>
          <w:lang w:val="en-US"/>
        </w:rPr>
        <w:t>ml</w:t>
      </w:r>
      <w:r w:rsidRPr="00DE1F33">
        <w:rPr>
          <w:rFonts w:eastAsia="Times New Roman" w:cs="Arial"/>
          <w:color w:val="000000"/>
          <w:lang w:val="ru-RU"/>
        </w:rPr>
        <w:t>/</w:t>
      </w:r>
      <w:r w:rsidRPr="00DE1F33">
        <w:rPr>
          <w:rFonts w:eastAsia="Times New Roman" w:cs="Arial"/>
          <w:color w:val="000000"/>
          <w:lang w:val="en-US"/>
        </w:rPr>
        <w:t>min</w:t>
      </w:r>
      <w:r w:rsidRPr="00DE1F33">
        <w:rPr>
          <w:rFonts w:eastAsia="Times New Roman" w:cs="Arial"/>
          <w:color w:val="000000"/>
          <w:lang w:val="ru-RU"/>
        </w:rPr>
        <w:t xml:space="preserve">). </w:t>
      </w:r>
      <w:r w:rsidRPr="00DE1F33">
        <w:rPr>
          <w:rFonts w:eastAsia="Times New Roman" w:cs="Arial"/>
          <w:color w:val="000000"/>
          <w:lang w:eastAsia="bg-BG"/>
        </w:rPr>
        <w:t xml:space="preserve">ДУКСЕТ не трябва да се употребява при пациенти с тежко бъбречно увреждане (креатининов клирънс &lt;30 </w:t>
      </w:r>
      <w:r w:rsidRPr="00DE1F33">
        <w:rPr>
          <w:rFonts w:eastAsia="Times New Roman" w:cs="Arial"/>
          <w:color w:val="000000"/>
          <w:lang w:val="en-US"/>
        </w:rPr>
        <w:t>ml</w:t>
      </w:r>
      <w:r w:rsidRPr="00DE1F33">
        <w:rPr>
          <w:rFonts w:eastAsia="Times New Roman" w:cs="Arial"/>
          <w:color w:val="000000"/>
          <w:lang w:val="ru-RU"/>
        </w:rPr>
        <w:t>/</w:t>
      </w:r>
      <w:r w:rsidRPr="00DE1F33">
        <w:rPr>
          <w:rFonts w:eastAsia="Times New Roman" w:cs="Arial"/>
          <w:color w:val="000000"/>
          <w:lang w:val="en-US"/>
        </w:rPr>
        <w:t>min</w:t>
      </w:r>
      <w:r w:rsidRPr="00DE1F33">
        <w:rPr>
          <w:rFonts w:eastAsia="Times New Roman" w:cs="Arial"/>
          <w:color w:val="000000"/>
          <w:lang w:val="ru-RU"/>
        </w:rPr>
        <w:t xml:space="preserve">; </w:t>
      </w:r>
      <w:r w:rsidRPr="00DE1F33">
        <w:rPr>
          <w:rFonts w:eastAsia="Times New Roman" w:cs="Arial"/>
          <w:color w:val="000000"/>
          <w:lang w:eastAsia="bg-BG"/>
        </w:rPr>
        <w:t>вижте точка 4.3).</w:t>
      </w:r>
    </w:p>
    <w:p w14:paraId="52F8507A" w14:textId="77777777" w:rsidR="00DE1F33" w:rsidRPr="00DE1F33" w:rsidRDefault="00DE1F33" w:rsidP="00DE1F33">
      <w:pPr>
        <w:spacing w:line="240" w:lineRule="auto"/>
        <w:rPr>
          <w:rFonts w:eastAsia="Times New Roman" w:cs="Arial"/>
          <w:i/>
          <w:iCs/>
          <w:color w:val="000000"/>
          <w:lang w:eastAsia="bg-BG"/>
        </w:rPr>
      </w:pPr>
    </w:p>
    <w:p w14:paraId="2526B3B0" w14:textId="6EE49A17"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Прекъсване на лечението</w:t>
      </w:r>
    </w:p>
    <w:p w14:paraId="58C83696"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Трябва да се избягва рязко прекъсване. Когато се прекъсва лечение с ДУКСЕТ, дозата трябва да бъде намалявана постепенно за период от поне една до две седмици, за да се намали риска от реакции на отнемане (вж. точка 4.4. и точка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по-плавно.</w:t>
      </w:r>
    </w:p>
    <w:p w14:paraId="3D161953" w14:textId="77777777" w:rsidR="00DE1F33" w:rsidRPr="00DE1F33" w:rsidRDefault="00DE1F33" w:rsidP="00DE1F33">
      <w:pPr>
        <w:spacing w:line="240" w:lineRule="auto"/>
        <w:rPr>
          <w:rFonts w:eastAsia="Times New Roman" w:cs="Arial"/>
          <w:i/>
          <w:iCs/>
          <w:color w:val="000000"/>
          <w:lang w:eastAsia="bg-BG"/>
        </w:rPr>
      </w:pPr>
    </w:p>
    <w:p w14:paraId="13E2F58E" w14:textId="1B34365C" w:rsidR="00DE1F33" w:rsidRPr="00DE1F33" w:rsidRDefault="00DE1F33" w:rsidP="00DE1F33">
      <w:pPr>
        <w:pStyle w:val="Heading3"/>
        <w:rPr>
          <w:rFonts w:eastAsia="Times New Roman"/>
          <w:u w:val="single"/>
        </w:rPr>
      </w:pPr>
      <w:r w:rsidRPr="00DE1F33">
        <w:rPr>
          <w:rFonts w:eastAsia="Times New Roman"/>
          <w:u w:val="single"/>
          <w:lang w:eastAsia="bg-BG"/>
        </w:rPr>
        <w:t>Начин на приложение</w:t>
      </w:r>
    </w:p>
    <w:p w14:paraId="48989B16" w14:textId="2C5100AC" w:rsidR="00DE1F33" w:rsidRDefault="00DE1F33" w:rsidP="00DE1F33">
      <w:pPr>
        <w:rPr>
          <w:rFonts w:eastAsia="Times New Roman" w:cs="Arial"/>
          <w:color w:val="000000"/>
          <w:lang w:eastAsia="bg-BG"/>
        </w:rPr>
      </w:pPr>
      <w:r w:rsidRPr="00DE1F33">
        <w:rPr>
          <w:rFonts w:eastAsia="Times New Roman" w:cs="Arial"/>
          <w:color w:val="000000"/>
          <w:lang w:eastAsia="bg-BG"/>
        </w:rPr>
        <w:t>За перорално приложение.</w:t>
      </w:r>
    </w:p>
    <w:p w14:paraId="3A9385B9" w14:textId="77777777" w:rsidR="00DE1F33" w:rsidRPr="00DE1F33" w:rsidRDefault="00DE1F33" w:rsidP="00DE1F33">
      <w:pPr>
        <w:rPr>
          <w:rFonts w:cs="Arial"/>
        </w:rPr>
      </w:pPr>
    </w:p>
    <w:p w14:paraId="0F253247" w14:textId="6484470C" w:rsidR="007122AD" w:rsidRDefault="002C50EE" w:rsidP="00936AD0">
      <w:pPr>
        <w:pStyle w:val="Heading2"/>
      </w:pPr>
      <w:r>
        <w:t>4.3. Противопоказания</w:t>
      </w:r>
    </w:p>
    <w:p w14:paraId="41A68534" w14:textId="487DEFBC" w:rsidR="00DE1F33" w:rsidRDefault="00DE1F33" w:rsidP="00DE1F33"/>
    <w:p w14:paraId="55AC2B27"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381DDDA5" w14:textId="77777777" w:rsidR="00DE1F33" w:rsidRPr="00DE1F33" w:rsidRDefault="00DE1F33" w:rsidP="00DE1F33">
      <w:pPr>
        <w:spacing w:line="240" w:lineRule="auto"/>
        <w:rPr>
          <w:rFonts w:eastAsia="Times New Roman" w:cs="Arial"/>
          <w:color w:val="000000"/>
          <w:lang w:eastAsia="bg-BG"/>
        </w:rPr>
      </w:pPr>
    </w:p>
    <w:p w14:paraId="490056ED" w14:textId="170F1178"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Едновременното приложение на ДУКСЕТ с неселекгивни, необратими инхибитори на моноаминооксидазата </w:t>
      </w:r>
      <w:r w:rsidRPr="00DE1F33">
        <w:rPr>
          <w:rFonts w:eastAsia="Times New Roman" w:cs="Arial"/>
          <w:color w:val="000000"/>
          <w:lang w:val="ru-RU"/>
        </w:rPr>
        <w:t>(</w:t>
      </w:r>
      <w:r w:rsidRPr="00DE1F33">
        <w:rPr>
          <w:rFonts w:eastAsia="Times New Roman" w:cs="Arial"/>
          <w:color w:val="000000"/>
          <w:lang w:val="en-US"/>
        </w:rPr>
        <w:t>MAO</w:t>
      </w:r>
      <w:r w:rsidRPr="00DE1F33">
        <w:rPr>
          <w:rFonts w:eastAsia="Times New Roman" w:cs="Arial"/>
          <w:color w:val="000000"/>
          <w:lang w:eastAsia="bg-BG"/>
        </w:rPr>
        <w:t>-инхибитори) е противопоказано (вж. точка 4.5).</w:t>
      </w:r>
    </w:p>
    <w:p w14:paraId="07F450B7" w14:textId="77777777" w:rsidR="00DE1F33" w:rsidRPr="00DE1F33" w:rsidRDefault="00DE1F33" w:rsidP="00DE1F33">
      <w:pPr>
        <w:spacing w:line="240" w:lineRule="auto"/>
        <w:rPr>
          <w:rFonts w:eastAsia="Times New Roman" w:cs="Arial"/>
          <w:color w:val="000000"/>
          <w:lang w:eastAsia="bg-BG"/>
        </w:rPr>
      </w:pPr>
    </w:p>
    <w:p w14:paraId="2D13A12F" w14:textId="6CCCCD7E"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Чернодробно заболяване, водещо до чернодробно увреждане (вж. точка 5.2).</w:t>
      </w:r>
    </w:p>
    <w:p w14:paraId="3AB7A1E2" w14:textId="77777777" w:rsidR="00DE1F33" w:rsidRPr="00DE1F33" w:rsidRDefault="00DE1F33" w:rsidP="00DE1F33">
      <w:pPr>
        <w:spacing w:line="240" w:lineRule="auto"/>
        <w:rPr>
          <w:rFonts w:eastAsia="Times New Roman" w:cs="Arial"/>
          <w:color w:val="000000"/>
          <w:lang w:eastAsia="bg-BG"/>
        </w:rPr>
      </w:pPr>
    </w:p>
    <w:p w14:paraId="651B4ECE" w14:textId="42C92C5C"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ДУКСЕТ не трябва да се прилага в комбинация с флувоксамин, ципрофлоксацин или еноксацин (т.е. мощни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val="en-US"/>
        </w:rPr>
        <w:t>A</w:t>
      </w:r>
      <w:r w:rsidRPr="00DE1F33">
        <w:rPr>
          <w:rFonts w:eastAsia="Times New Roman" w:cs="Arial"/>
          <w:color w:val="000000"/>
          <w:lang w:val="ru-RU"/>
        </w:rPr>
        <w:t xml:space="preserve">2 </w:t>
      </w:r>
      <w:r w:rsidRPr="00DE1F33">
        <w:rPr>
          <w:rFonts w:eastAsia="Times New Roman" w:cs="Arial"/>
          <w:color w:val="000000"/>
          <w:lang w:eastAsia="bg-BG"/>
        </w:rPr>
        <w:t>инхибитори), тъй като комбинирането води до повишени плазмени концентрации на дулоксетин (вж. точка 4.5).</w:t>
      </w:r>
    </w:p>
    <w:p w14:paraId="363289A7" w14:textId="77777777" w:rsidR="00DE1F33" w:rsidRPr="00DE1F33" w:rsidRDefault="00DE1F33" w:rsidP="00DE1F33">
      <w:pPr>
        <w:spacing w:line="240" w:lineRule="auto"/>
        <w:rPr>
          <w:rFonts w:eastAsia="Times New Roman" w:cs="Arial"/>
          <w:color w:val="000000"/>
          <w:lang w:eastAsia="bg-BG"/>
        </w:rPr>
      </w:pPr>
    </w:p>
    <w:p w14:paraId="63AB20A8" w14:textId="31CA3A7D"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 xml:space="preserve">Тежко бъбречно увреждане (креатининов клирънс &lt;30 </w:t>
      </w:r>
      <w:r w:rsidRPr="00DE1F33">
        <w:rPr>
          <w:rFonts w:eastAsia="Times New Roman" w:cs="Arial"/>
          <w:color w:val="000000"/>
          <w:lang w:val="en-US"/>
        </w:rPr>
        <w:t>ml</w:t>
      </w:r>
      <w:r w:rsidRPr="00DE1F33">
        <w:rPr>
          <w:rFonts w:eastAsia="Times New Roman" w:cs="Arial"/>
          <w:color w:val="000000"/>
          <w:lang w:val="ru-RU"/>
        </w:rPr>
        <w:t>/</w:t>
      </w:r>
      <w:r w:rsidRPr="00DE1F33">
        <w:rPr>
          <w:rFonts w:eastAsia="Times New Roman" w:cs="Arial"/>
          <w:color w:val="000000"/>
          <w:lang w:val="en-US"/>
        </w:rPr>
        <w:t>min</w:t>
      </w:r>
      <w:r w:rsidRPr="00DE1F33">
        <w:rPr>
          <w:rFonts w:eastAsia="Times New Roman" w:cs="Arial"/>
          <w:color w:val="000000"/>
          <w:lang w:val="ru-RU"/>
        </w:rPr>
        <w:t xml:space="preserve">) </w:t>
      </w:r>
      <w:r w:rsidRPr="00DE1F33">
        <w:rPr>
          <w:rFonts w:eastAsia="Times New Roman" w:cs="Arial"/>
          <w:color w:val="000000"/>
          <w:lang w:eastAsia="bg-BG"/>
        </w:rPr>
        <w:t>(вж. точка 4.4).</w:t>
      </w:r>
    </w:p>
    <w:p w14:paraId="2B2EBB50" w14:textId="77777777" w:rsidR="00DE1F33" w:rsidRPr="00DE1F33" w:rsidRDefault="00DE1F33" w:rsidP="00DE1F33">
      <w:pPr>
        <w:spacing w:line="240" w:lineRule="auto"/>
        <w:rPr>
          <w:rFonts w:eastAsia="Times New Roman" w:cs="Arial"/>
          <w:color w:val="000000"/>
          <w:lang w:eastAsia="bg-BG"/>
        </w:rPr>
      </w:pPr>
    </w:p>
    <w:p w14:paraId="3710B57B" w14:textId="4BD7A701"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Започване на лечение със ДУКСЕТ е противопоказано при пациенти с неконтролирана хипертония, тъй като може да изложи пациентите на потенциален риск от хипертонична криза (вж. точка 4.4 и точка 4.8).</w:t>
      </w:r>
    </w:p>
    <w:p w14:paraId="2262DDDC" w14:textId="77777777" w:rsidR="00DE1F33" w:rsidRPr="00DE1F33" w:rsidRDefault="00DE1F33" w:rsidP="00DE1F33"/>
    <w:p w14:paraId="0E0BDCC7" w14:textId="74CA8F35" w:rsidR="007122AD" w:rsidRDefault="002C50EE" w:rsidP="00936AD0">
      <w:pPr>
        <w:pStyle w:val="Heading2"/>
      </w:pPr>
      <w:r>
        <w:lastRenderedPageBreak/>
        <w:t>4.4. Специални предупреждения и предпазни мерки при употреба</w:t>
      </w:r>
    </w:p>
    <w:p w14:paraId="19E4E07D" w14:textId="7C84D52D" w:rsidR="00DE1F33" w:rsidRDefault="00DE1F33" w:rsidP="00DE1F33"/>
    <w:p w14:paraId="640D14C9"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Мания и припадъци</w:t>
      </w:r>
    </w:p>
    <w:p w14:paraId="64E3512A"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ДУКСЕТ трябва да се прилага с внимание при пациенти с анамнеза за мания или с диагноза биполярно разстройство и/или припадъци.</w:t>
      </w:r>
    </w:p>
    <w:p w14:paraId="15084A2C" w14:textId="77777777" w:rsidR="00DE1F33" w:rsidRPr="00DE1F33" w:rsidRDefault="00DE1F33" w:rsidP="00DE1F33">
      <w:pPr>
        <w:spacing w:line="240" w:lineRule="auto"/>
        <w:rPr>
          <w:rFonts w:eastAsia="Times New Roman" w:cs="Arial"/>
          <w:i/>
          <w:iCs/>
          <w:color w:val="000000"/>
          <w:lang w:eastAsia="bg-BG"/>
        </w:rPr>
      </w:pPr>
    </w:p>
    <w:p w14:paraId="7FAD928B" w14:textId="14C9993C"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Мидриаза</w:t>
      </w:r>
    </w:p>
    <w:p w14:paraId="40DBD9FA"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Съобщавана е мидриаза, свързана с дулоксетин, затова предписването на ДУКСЕТ на пациенти с повишено вътреочно налягане или такива с повишен риск от остра тясноъгълна глаукома трябва да става с внимание.</w:t>
      </w:r>
    </w:p>
    <w:p w14:paraId="27BCEA27" w14:textId="77777777" w:rsidR="00DE1F33" w:rsidRPr="00DE1F33" w:rsidRDefault="00DE1F33" w:rsidP="00DE1F33">
      <w:pPr>
        <w:spacing w:line="240" w:lineRule="auto"/>
        <w:rPr>
          <w:rFonts w:eastAsia="Times New Roman" w:cs="Arial"/>
          <w:i/>
          <w:iCs/>
          <w:color w:val="000000"/>
          <w:lang w:eastAsia="bg-BG"/>
        </w:rPr>
      </w:pPr>
    </w:p>
    <w:p w14:paraId="4D4632D9" w14:textId="7A123660"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Кръвно налягане и сърдечна честота</w:t>
      </w:r>
    </w:p>
    <w:p w14:paraId="19197F4F"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При някои пациенти дулоксетин се свързва с повишаване на артериалното налягане и клинично значима хипертония. Това може да се дължи на норадренергичния ефект на дулоксетин. Докладвани са случаи на хипертонични кризи, особено при пациенти със съществуваща вече хипертония. Затова при пациенти с установена хипертония и/или друго сърдечно заболяване се препоръчва проследяване на артериалното налягане, особено по време на първия месец лечение. Дулоксетин трябва да се използва с внимание при пациенти, чието състояние може да се влоши от повишаване на сърдечната честота или от покачване на артериалното налягане. Дулоксетин трябва да се прилага внимателно и с лекарствени продукти, които могат да нарушат неговия метаболизъм. (вж. точка 4.5). При пациенти с персистиращо повишение на кръвното налягане по време на приемане на дулоксетин трябва да се обсъди понижаване на дозата или постепено прекратяване на лечението (вж. точка 4.8). При пациенти с неконтролирана хипертония не трябва да се започва лечение с дулоксетин (вж. точка 4.3).</w:t>
      </w:r>
    </w:p>
    <w:p w14:paraId="74CA76E7" w14:textId="77777777" w:rsidR="00DE1F33" w:rsidRPr="00DE1F33" w:rsidRDefault="00DE1F33" w:rsidP="00DE1F33">
      <w:pPr>
        <w:spacing w:line="240" w:lineRule="auto"/>
        <w:rPr>
          <w:rFonts w:eastAsia="Times New Roman" w:cs="Arial"/>
          <w:i/>
          <w:iCs/>
          <w:color w:val="000000"/>
          <w:lang w:eastAsia="bg-BG"/>
        </w:rPr>
      </w:pPr>
    </w:p>
    <w:p w14:paraId="0235B053" w14:textId="156F959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Бъбречно увреждане</w:t>
      </w:r>
    </w:p>
    <w:p w14:paraId="60BA2396"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Повишени плазмени концентрации на дулоксетин са наблюдавани при пациенти с тежко бъбречно увреждане, подложени на хемодиализа (креатининов клирънс &lt;30 </w:t>
      </w:r>
      <w:r w:rsidRPr="00DE1F33">
        <w:rPr>
          <w:rFonts w:eastAsia="Times New Roman" w:cs="Arial"/>
          <w:color w:val="000000"/>
          <w:lang w:val="en-US"/>
        </w:rPr>
        <w:t>ml</w:t>
      </w:r>
      <w:r w:rsidRPr="00DE1F33">
        <w:rPr>
          <w:rFonts w:eastAsia="Times New Roman" w:cs="Arial"/>
          <w:color w:val="000000"/>
          <w:lang w:val="ru-RU"/>
        </w:rPr>
        <w:t>/</w:t>
      </w:r>
      <w:r w:rsidRPr="00DE1F33">
        <w:rPr>
          <w:rFonts w:eastAsia="Times New Roman" w:cs="Arial"/>
          <w:color w:val="000000"/>
          <w:lang w:val="en-US"/>
        </w:rPr>
        <w:t>min</w:t>
      </w:r>
      <w:r w:rsidRPr="00DE1F33">
        <w:rPr>
          <w:rFonts w:eastAsia="Times New Roman" w:cs="Arial"/>
          <w:color w:val="000000"/>
          <w:lang w:val="ru-RU"/>
        </w:rPr>
        <w:t xml:space="preserve">). </w:t>
      </w:r>
      <w:r w:rsidRPr="00DE1F33">
        <w:rPr>
          <w:rFonts w:eastAsia="Times New Roman" w:cs="Arial"/>
          <w:color w:val="000000"/>
          <w:lang w:eastAsia="bg-BG"/>
        </w:rPr>
        <w:t>За пациенти с тежко бъбречно увреждане вижте точка 4.3. За информация по отношение на пациентите с лека до умерена бъбречна недостатъчност вижте точка 4.2.</w:t>
      </w:r>
    </w:p>
    <w:p w14:paraId="409C1D64" w14:textId="77777777" w:rsidR="00DE1F33" w:rsidRPr="00DE1F33" w:rsidRDefault="00DE1F33" w:rsidP="00DE1F33">
      <w:pPr>
        <w:spacing w:line="240" w:lineRule="auto"/>
        <w:rPr>
          <w:rFonts w:eastAsia="Times New Roman" w:cs="Arial"/>
          <w:i/>
          <w:iCs/>
          <w:color w:val="000000"/>
          <w:lang w:eastAsia="bg-BG"/>
        </w:rPr>
      </w:pPr>
    </w:p>
    <w:p w14:paraId="5FF41D9D" w14:textId="16406CD6"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Употреба с антидепресанти</w:t>
      </w:r>
    </w:p>
    <w:p w14:paraId="0EF32147" w14:textId="40206264" w:rsidR="00DE1F33" w:rsidRPr="00DE1F33" w:rsidRDefault="00DE1F33" w:rsidP="00DE1F33">
      <w:pPr>
        <w:rPr>
          <w:rFonts w:eastAsia="Times New Roman" w:cs="Arial"/>
          <w:color w:val="000000"/>
          <w:lang w:eastAsia="bg-BG"/>
        </w:rPr>
      </w:pPr>
      <w:r w:rsidRPr="00DE1F33">
        <w:rPr>
          <w:rFonts w:eastAsia="Times New Roman" w:cs="Arial"/>
          <w:color w:val="000000"/>
          <w:lang w:eastAsia="bg-BG"/>
        </w:rPr>
        <w:t xml:space="preserve">Употребата на комбинация ДУКСЕТ с антидепресанти трябва да става с внимание. Не се препоръчва комбинирането особено със селективни обратими </w:t>
      </w:r>
      <w:r w:rsidRPr="00DE1F33">
        <w:rPr>
          <w:rFonts w:eastAsia="Times New Roman" w:cs="Arial"/>
          <w:color w:val="000000"/>
          <w:lang w:val="en-US"/>
        </w:rPr>
        <w:t>MAO</w:t>
      </w:r>
      <w:r w:rsidRPr="00DE1F33">
        <w:rPr>
          <w:rFonts w:eastAsia="Times New Roman" w:cs="Arial"/>
          <w:color w:val="000000"/>
          <w:lang w:eastAsia="bg-BG"/>
        </w:rPr>
        <w:t>-инхибитори.</w:t>
      </w:r>
    </w:p>
    <w:p w14:paraId="356B60BC" w14:textId="736ACDEE" w:rsidR="00DE1F33" w:rsidRPr="00DE1F33" w:rsidRDefault="00DE1F33" w:rsidP="00DE1F33">
      <w:pPr>
        <w:rPr>
          <w:rFonts w:eastAsia="Times New Roman" w:cs="Arial"/>
          <w:color w:val="000000"/>
          <w:lang w:eastAsia="bg-BG"/>
        </w:rPr>
      </w:pPr>
    </w:p>
    <w:p w14:paraId="149F9813"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Жълт кантарион</w:t>
      </w:r>
    </w:p>
    <w:p w14:paraId="4999DDEE"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По време на едновременното приложение на ДУКСЕТ и растителни лекарствени продукти, съдържащи жълт кантарион </w:t>
      </w:r>
      <w:r w:rsidRPr="00DE1F33">
        <w:rPr>
          <w:rFonts w:eastAsia="Times New Roman" w:cs="Arial"/>
          <w:color w:val="000000"/>
          <w:lang w:val="ru-RU"/>
        </w:rPr>
        <w:t>(</w:t>
      </w:r>
      <w:proofErr w:type="spellStart"/>
      <w:r w:rsidRPr="00DE1F33">
        <w:rPr>
          <w:rFonts w:eastAsia="Times New Roman" w:cs="Arial"/>
          <w:color w:val="000000"/>
          <w:lang w:val="en-US"/>
        </w:rPr>
        <w:t>Hypericum</w:t>
      </w:r>
      <w:proofErr w:type="spellEnd"/>
      <w:r w:rsidRPr="00DE1F33">
        <w:rPr>
          <w:rFonts w:eastAsia="Times New Roman" w:cs="Arial"/>
          <w:color w:val="000000"/>
          <w:lang w:val="ru-RU"/>
        </w:rPr>
        <w:t xml:space="preserve"> </w:t>
      </w:r>
      <w:proofErr w:type="spellStart"/>
      <w:r w:rsidRPr="00DE1F33">
        <w:rPr>
          <w:rFonts w:eastAsia="Times New Roman" w:cs="Arial"/>
          <w:color w:val="000000"/>
          <w:lang w:val="en-US"/>
        </w:rPr>
        <w:t>perforatum</w:t>
      </w:r>
      <w:proofErr w:type="spellEnd"/>
      <w:r w:rsidRPr="00DE1F33">
        <w:rPr>
          <w:rFonts w:eastAsia="Times New Roman" w:cs="Arial"/>
          <w:color w:val="000000"/>
          <w:lang w:val="ru-RU"/>
        </w:rPr>
        <w:t xml:space="preserve">) </w:t>
      </w:r>
      <w:r w:rsidRPr="00DE1F33">
        <w:rPr>
          <w:rFonts w:eastAsia="Times New Roman" w:cs="Arial"/>
          <w:color w:val="000000"/>
          <w:lang w:eastAsia="bg-BG"/>
        </w:rPr>
        <w:t>може да са по-чести нежеланите реакции.</w:t>
      </w:r>
    </w:p>
    <w:p w14:paraId="11B11671" w14:textId="77777777" w:rsidR="00DE1F33" w:rsidRPr="00DE1F33" w:rsidRDefault="00DE1F33" w:rsidP="00DE1F33">
      <w:pPr>
        <w:spacing w:line="240" w:lineRule="auto"/>
        <w:rPr>
          <w:rFonts w:eastAsia="Times New Roman" w:cs="Arial"/>
          <w:i/>
          <w:iCs/>
          <w:color w:val="000000"/>
          <w:lang w:eastAsia="bg-BG"/>
        </w:rPr>
      </w:pPr>
    </w:p>
    <w:p w14:paraId="2EE3C2D0" w14:textId="690220CC"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Самоубийство</w:t>
      </w:r>
    </w:p>
    <w:p w14:paraId="72B566BF"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Голямо депресивно разстройство и генерализирано тревожно разстройство:</w:t>
      </w:r>
      <w:r w:rsidRPr="00DE1F33">
        <w:rPr>
          <w:rFonts w:eastAsia="Times New Roman" w:cs="Arial"/>
          <w:color w:val="000000"/>
          <w:lang w:eastAsia="bg-BG"/>
        </w:rPr>
        <w:t xml:space="preserve"> Депресията се свързва с повишен риск от мисли за самоубийство, самонараняване и самоубийство (суицид-свързани събития). Рискът се запазва до настъпване на значима ремисия. Тъй като подобрението може да не настъпи по време на първите няколко седмици лечение или повече, пациентите трябва да бъдат проследявани внимателно до настъпването на подобно подобрение. Общ клиничен опит е, че рискът от самоубийство може да се повиши през ранните етапи на възстановяване.</w:t>
      </w:r>
    </w:p>
    <w:p w14:paraId="67783E5C" w14:textId="77777777" w:rsidR="00DE1F33" w:rsidRPr="00DE1F33" w:rsidRDefault="00DE1F33" w:rsidP="00DE1F33">
      <w:pPr>
        <w:spacing w:line="240" w:lineRule="auto"/>
        <w:rPr>
          <w:rFonts w:eastAsia="Times New Roman" w:cs="Arial"/>
          <w:color w:val="000000"/>
          <w:lang w:eastAsia="bg-BG"/>
        </w:rPr>
      </w:pPr>
    </w:p>
    <w:p w14:paraId="3433AEA4" w14:textId="51B6A8D8" w:rsidR="00DE1F33" w:rsidRPr="00DE1F33" w:rsidRDefault="00DE1F33" w:rsidP="00DE1F33">
      <w:pPr>
        <w:spacing w:line="240" w:lineRule="auto"/>
        <w:rPr>
          <w:rFonts w:eastAsia="Times New Roman" w:cs="Arial"/>
        </w:rPr>
      </w:pPr>
      <w:r w:rsidRPr="00DE1F33">
        <w:rPr>
          <w:rFonts w:eastAsia="Times New Roman" w:cs="Arial"/>
          <w:color w:val="000000"/>
          <w:lang w:eastAsia="bg-BG"/>
        </w:rPr>
        <w:t>Други психични състояния, за които се предписва ДУКСЕТ, може също да са свързани с 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2D839CBF" w14:textId="77777777" w:rsidR="00DE1F33" w:rsidRPr="00DE1F33" w:rsidRDefault="00DE1F33" w:rsidP="00DE1F33">
      <w:pPr>
        <w:spacing w:line="240" w:lineRule="auto"/>
        <w:rPr>
          <w:rFonts w:eastAsia="Times New Roman" w:cs="Arial"/>
          <w:color w:val="000000"/>
          <w:lang w:eastAsia="bg-BG"/>
        </w:rPr>
      </w:pPr>
    </w:p>
    <w:p w14:paraId="3DBF89CB" w14:textId="0AFD2BBD" w:rsidR="00DE1F33" w:rsidRPr="00DE1F33" w:rsidRDefault="00DE1F33" w:rsidP="00DE1F33">
      <w:pPr>
        <w:spacing w:line="240" w:lineRule="auto"/>
        <w:rPr>
          <w:rFonts w:eastAsia="Times New Roman" w:cs="Arial"/>
        </w:rPr>
      </w:pPr>
      <w:r w:rsidRPr="00DE1F33">
        <w:rPr>
          <w:rFonts w:eastAsia="Times New Roman" w:cs="Arial"/>
          <w:color w:val="000000"/>
          <w:lang w:eastAsia="bg-BG"/>
        </w:rPr>
        <w:t>Пациенти с анамнеза за суицид-свързани събития или такива, проявяващи значителна степен на суицидни мисли преди началото на лечението, са с по-висок риск от суицидни мисли или суицидно поведение и трябва да получат внимателно наблюдение по време на лечението. Мета-анализ от плацебо контролирани клинични изпитвания с лекарствени продукти - антидепресанти при психични нарушения показва увеличен риск от суицидно поведение при антидепресантите в сравнение с плацебо при пациенти под 25 годишна възраст.</w:t>
      </w:r>
    </w:p>
    <w:p w14:paraId="686AB899" w14:textId="77777777" w:rsidR="00DE1F33" w:rsidRPr="00DE1F33" w:rsidRDefault="00DE1F33" w:rsidP="00DE1F33">
      <w:pPr>
        <w:spacing w:line="240" w:lineRule="auto"/>
        <w:rPr>
          <w:rFonts w:eastAsia="Times New Roman" w:cs="Arial"/>
          <w:color w:val="000000"/>
          <w:lang w:eastAsia="bg-BG"/>
        </w:rPr>
      </w:pPr>
    </w:p>
    <w:p w14:paraId="7815FDC5" w14:textId="2D210FDF" w:rsidR="00DE1F33" w:rsidRPr="00DE1F33" w:rsidRDefault="00DE1F33" w:rsidP="00DE1F33">
      <w:pPr>
        <w:spacing w:line="240" w:lineRule="auto"/>
        <w:rPr>
          <w:rFonts w:eastAsia="Times New Roman" w:cs="Arial"/>
        </w:rPr>
      </w:pPr>
      <w:r w:rsidRPr="00DE1F33">
        <w:rPr>
          <w:rFonts w:eastAsia="Times New Roman" w:cs="Arial"/>
          <w:color w:val="000000"/>
          <w:lang w:eastAsia="bg-BG"/>
        </w:rPr>
        <w:t>Съобщавани са случаи на суицидни мисли и суицидно поведение по време на лечение с дулоксетин или веднага след прекратяване на лечението (вж. точка 4.8).</w:t>
      </w:r>
    </w:p>
    <w:p w14:paraId="0B56DEE5" w14:textId="77777777" w:rsidR="00DE1F33" w:rsidRPr="00DE1F33" w:rsidRDefault="00DE1F33" w:rsidP="00DE1F33">
      <w:pPr>
        <w:spacing w:line="240" w:lineRule="auto"/>
        <w:rPr>
          <w:rFonts w:eastAsia="Times New Roman" w:cs="Arial"/>
          <w:color w:val="000000"/>
          <w:lang w:eastAsia="bg-BG"/>
        </w:rPr>
      </w:pPr>
    </w:p>
    <w:p w14:paraId="7EB56446" w14:textId="69F5875D" w:rsidR="00DE1F33" w:rsidRPr="00DE1F33" w:rsidRDefault="00DE1F33" w:rsidP="00DE1F33">
      <w:pPr>
        <w:spacing w:line="240" w:lineRule="auto"/>
        <w:rPr>
          <w:rFonts w:eastAsia="Times New Roman" w:cs="Arial"/>
        </w:rPr>
      </w:pPr>
      <w:r w:rsidRPr="00DE1F33">
        <w:rPr>
          <w:rFonts w:eastAsia="Times New Roman" w:cs="Arial"/>
          <w:color w:val="000000"/>
          <w:lang w:eastAsia="bg-BG"/>
        </w:rPr>
        <w:t>Медикаментозното лечение трябва да се съпътства от внимателно проследяване на пациентите и най- вече тези с висок риск, особено в началото на лечението и при промяна на дозата. Пациентите (и тези, които се грижат за пациенти) трябва да бъдат подготвени за нуждата от проследяване за поява на всяко клинично влошаване, суицидно поведение или мисли и за необичайни промени в поведението и, ако има такива симптоми, незабавно да бъде потърсен лекарски съвет.</w:t>
      </w:r>
    </w:p>
    <w:p w14:paraId="1F0A4986" w14:textId="77777777" w:rsidR="00DE1F33" w:rsidRPr="00DE1F33" w:rsidRDefault="00DE1F33" w:rsidP="00DE1F33">
      <w:pPr>
        <w:spacing w:line="240" w:lineRule="auto"/>
        <w:rPr>
          <w:rFonts w:eastAsia="Times New Roman" w:cs="Arial"/>
          <w:i/>
          <w:iCs/>
          <w:color w:val="000000"/>
          <w:lang w:eastAsia="bg-BG"/>
        </w:rPr>
      </w:pPr>
    </w:p>
    <w:p w14:paraId="0FD4DF6C" w14:textId="1EB19E15"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Диабетна периферна невропатна болка:</w:t>
      </w:r>
      <w:r w:rsidRPr="00DE1F33">
        <w:rPr>
          <w:rFonts w:eastAsia="Times New Roman" w:cs="Arial"/>
          <w:color w:val="000000"/>
          <w:lang w:eastAsia="bg-BG"/>
        </w:rPr>
        <w:t xml:space="preserve"> Както с други лекарствени продукти с подобно фармакологично действие (антидепресанти) са съобщавани отделни случаи на суицидни идеи и суицидно поведение по време на лечение с дулоксетин или веднага след прекратяване на лечението. Относно рискови фактори за суицидност при депресия, вижте по-горе. Лекарите трябва да насърчават пациентите по всяко време да съобщават за всякакви тъжни мисли или чувства.</w:t>
      </w:r>
    </w:p>
    <w:p w14:paraId="41D786E0" w14:textId="77777777" w:rsidR="00DE1F33" w:rsidRPr="00DE1F33" w:rsidRDefault="00DE1F33" w:rsidP="00DE1F33">
      <w:pPr>
        <w:spacing w:line="240" w:lineRule="auto"/>
        <w:rPr>
          <w:rFonts w:eastAsia="Times New Roman" w:cs="Arial"/>
          <w:i/>
          <w:iCs/>
          <w:color w:val="000000"/>
          <w:lang w:eastAsia="bg-BG"/>
        </w:rPr>
      </w:pPr>
    </w:p>
    <w:p w14:paraId="748BEDCD" w14:textId="68B34E81"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Употреба при деца и юноши под 18-годишна възраст</w:t>
      </w:r>
    </w:p>
    <w:p w14:paraId="372EBAD3"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ДУКСЕТ не трябва да се използва за лечение на деца и подрастващи под 18 годишна възраст. Суицидно поведение (суицидни опити и суицидни мисли), и враждебност (предимно агресия, опозиционно поведение и гняв) са наблюдавани в клинични проучвания по-често при деца и подрастващи лекувани с антидепресанти, в сравнение с тези лекувани с плацебо. Ако, въз основа на клинична нужда, независимо от това се вземе решение за лечение, пациентите трябва внимателно да бъдат проследявани за поява на суицидни симптоми (вж. точка 5.1). В допълнение, при деца и подрастващи липсват дългосрочни проучвания за безопасност по отношение на растеж, съзряване и когнитивно и поведенческо развитие (вж. точка 4.8).</w:t>
      </w:r>
    </w:p>
    <w:p w14:paraId="294AA108" w14:textId="77777777" w:rsidR="00DE1F33" w:rsidRPr="00DE1F33" w:rsidRDefault="00DE1F33" w:rsidP="00DE1F33">
      <w:pPr>
        <w:spacing w:line="240" w:lineRule="auto"/>
        <w:rPr>
          <w:rFonts w:eastAsia="Times New Roman" w:cs="Arial"/>
          <w:i/>
          <w:iCs/>
          <w:color w:val="000000"/>
          <w:lang w:eastAsia="bg-BG"/>
        </w:rPr>
      </w:pPr>
    </w:p>
    <w:p w14:paraId="16C1F31E" w14:textId="045E1B51"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Кръвоизливи</w:t>
      </w:r>
    </w:p>
    <w:p w14:paraId="636B2828" w14:textId="088F024F" w:rsidR="00DE1F33" w:rsidRP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t xml:space="preserve">Има съобщения за аномални кръвотечения, като екхимози, пурпура и стомашно-чревно кървене с инхибиторите на обратното захващане на серотонина </w:t>
      </w:r>
      <w:r w:rsidRPr="00DE1F33">
        <w:rPr>
          <w:rFonts w:eastAsia="Times New Roman" w:cs="Arial"/>
          <w:color w:val="000000"/>
          <w:lang w:val="ru-RU"/>
        </w:rPr>
        <w:t>(</w:t>
      </w:r>
      <w:r w:rsidRPr="00DE1F33">
        <w:rPr>
          <w:rFonts w:eastAsia="Times New Roman" w:cs="Arial"/>
          <w:color w:val="000000"/>
          <w:lang w:val="en-US"/>
        </w:rPr>
        <w:t>SSRIs</w:t>
      </w:r>
      <w:r w:rsidRPr="00DE1F33">
        <w:rPr>
          <w:rFonts w:eastAsia="Times New Roman" w:cs="Arial"/>
          <w:color w:val="000000"/>
          <w:lang w:val="ru-RU"/>
        </w:rPr>
        <w:t xml:space="preserve">) </w:t>
      </w:r>
      <w:r w:rsidRPr="00DE1F33">
        <w:rPr>
          <w:rFonts w:eastAsia="Times New Roman" w:cs="Arial"/>
          <w:color w:val="000000"/>
          <w:lang w:eastAsia="bg-BG"/>
        </w:rPr>
        <w:t xml:space="preserve">и инхибиторите на обратното захващане на серотонин/норадреналин </w:t>
      </w:r>
      <w:r w:rsidRPr="00DE1F33">
        <w:rPr>
          <w:rFonts w:eastAsia="Times New Roman" w:cs="Arial"/>
          <w:color w:val="000000"/>
          <w:lang w:val="ru-RU"/>
        </w:rPr>
        <w:t>(</w:t>
      </w:r>
      <w:r w:rsidRPr="00DE1F33">
        <w:rPr>
          <w:rFonts w:eastAsia="Times New Roman" w:cs="Arial"/>
          <w:color w:val="000000"/>
          <w:lang w:val="en-US"/>
        </w:rPr>
        <w:t>SNRIs</w:t>
      </w:r>
      <w:r w:rsidRPr="00DE1F33">
        <w:rPr>
          <w:rFonts w:eastAsia="Times New Roman" w:cs="Arial"/>
          <w:color w:val="000000"/>
          <w:lang w:val="ru-RU"/>
        </w:rPr>
        <w:t>)</w:t>
      </w:r>
      <w:r w:rsidRPr="00DE1F33">
        <w:rPr>
          <w:rFonts w:eastAsia="Times New Roman" w:cs="Arial"/>
          <w:color w:val="000000"/>
          <w:lang w:eastAsia="bg-BG"/>
        </w:rPr>
        <w:t>, включително дулоксетин. Препоръчва се внимание при пациенти, приемащи антикоагуланти и/или лекарствени продукти, за които е известно че,</w:t>
      </w:r>
      <w:r w:rsidRPr="00DE1F33">
        <w:rPr>
          <w:rFonts w:eastAsia="Times New Roman" w:cs="Arial"/>
        </w:rPr>
        <w:t xml:space="preserve"> </w:t>
      </w:r>
      <w:r w:rsidRPr="00DE1F33">
        <w:rPr>
          <w:rFonts w:eastAsia="Times New Roman" w:cs="Arial"/>
          <w:color w:val="000000"/>
          <w:lang w:eastAsia="bg-BG"/>
        </w:rPr>
        <w:t>повлияват тромбоцитната функция (напр., НСПВС или ацетилсалицилова киселина -АСК) и при пациенти с известна тенденция към кървене.</w:t>
      </w:r>
    </w:p>
    <w:p w14:paraId="715832F0" w14:textId="5FA721C3" w:rsidR="00DE1F33" w:rsidRPr="00DE1F33" w:rsidRDefault="00DE1F33" w:rsidP="00DE1F33">
      <w:pPr>
        <w:spacing w:line="240" w:lineRule="auto"/>
        <w:rPr>
          <w:rFonts w:eastAsia="Times New Roman" w:cs="Arial"/>
          <w:color w:val="000000"/>
          <w:lang w:eastAsia="bg-BG"/>
        </w:rPr>
      </w:pPr>
    </w:p>
    <w:p w14:paraId="3B6D4AE4"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lastRenderedPageBreak/>
        <w:t>Хипонатриемия</w:t>
      </w:r>
    </w:p>
    <w:p w14:paraId="6ADEF31A"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При прилагане на ДУКСЕТ е съобщавана хипонатриемия, включително случаи със серумен натрий по-нисък от 110 </w:t>
      </w:r>
      <w:proofErr w:type="spellStart"/>
      <w:r w:rsidRPr="00DE1F33">
        <w:rPr>
          <w:rFonts w:eastAsia="Times New Roman" w:cs="Arial"/>
          <w:color w:val="000000"/>
          <w:lang w:val="en-US"/>
        </w:rPr>
        <w:t>mmol</w:t>
      </w:r>
      <w:proofErr w:type="spellEnd"/>
      <w:r w:rsidRPr="00DE1F33">
        <w:rPr>
          <w:rFonts w:eastAsia="Times New Roman" w:cs="Arial"/>
          <w:color w:val="000000"/>
          <w:lang w:val="ru-RU"/>
        </w:rPr>
        <w:t xml:space="preserve">/1. </w:t>
      </w:r>
      <w:r w:rsidRPr="00DE1F33">
        <w:rPr>
          <w:rFonts w:eastAsia="Times New Roman" w:cs="Arial"/>
          <w:color w:val="000000"/>
          <w:lang w:eastAsia="bg-BG"/>
        </w:rPr>
        <w:t>Хипонатриемията може да се дължи на синдром на неадекватна секреция на антидиуретичен хормон (СНАДС). Повечето случаи на хипонатриемия са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 внимание при пациентите с повишен риск от хипонатриемия; като такива в старческа възраст, пациенти с цироза, дехидратирани пациенти или пациенти на лечение с диуретици.</w:t>
      </w:r>
    </w:p>
    <w:p w14:paraId="05A6616C" w14:textId="77777777" w:rsidR="00DE1F33" w:rsidRPr="00DE1F33" w:rsidRDefault="00DE1F33" w:rsidP="00DE1F33">
      <w:pPr>
        <w:spacing w:line="240" w:lineRule="auto"/>
        <w:rPr>
          <w:rFonts w:eastAsia="Times New Roman" w:cs="Arial"/>
          <w:i/>
          <w:iCs/>
          <w:color w:val="000000"/>
          <w:lang w:eastAsia="bg-BG"/>
        </w:rPr>
      </w:pPr>
    </w:p>
    <w:p w14:paraId="06212A54" w14:textId="66AC9393"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Преустановяване на лечението</w:t>
      </w:r>
    </w:p>
    <w:p w14:paraId="416191FC"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Симптомите на отнемане са чести при прекъсване на лечението, особено в случаите, когато прекъсването се извършва рязко (вж. точка 4.8). В клинично проучване нежелани събития наблюдавани при рязко прекъсване на лечението са докладвани при около 45% от пациентите лекувани с ДУКСЕТ и при 23% от пациентите приемали плацебо.</w:t>
      </w:r>
    </w:p>
    <w:p w14:paraId="616606D1" w14:textId="77777777" w:rsidR="00DE1F33" w:rsidRPr="00DE1F33" w:rsidRDefault="00DE1F33" w:rsidP="00DE1F33">
      <w:pPr>
        <w:spacing w:line="240" w:lineRule="auto"/>
        <w:rPr>
          <w:rFonts w:eastAsia="Times New Roman" w:cs="Arial"/>
          <w:color w:val="000000"/>
          <w:lang w:eastAsia="bg-BG"/>
        </w:rPr>
      </w:pPr>
    </w:p>
    <w:p w14:paraId="572A5699" w14:textId="5AF418BE"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Рискът от симптоми на отнемането наблюдавани при </w:t>
      </w:r>
      <w:r w:rsidRPr="00DE1F33">
        <w:rPr>
          <w:rFonts w:eastAsia="Times New Roman" w:cs="Arial"/>
          <w:color w:val="000000"/>
          <w:lang w:val="en-US"/>
        </w:rPr>
        <w:t>SSRI</w:t>
      </w:r>
      <w:r w:rsidRPr="00DE1F33">
        <w:rPr>
          <w:rFonts w:eastAsia="Times New Roman" w:cs="Arial"/>
          <w:color w:val="000000"/>
          <w:lang w:val="ru-RU"/>
        </w:rPr>
        <w:t>'</w:t>
      </w:r>
      <w:r w:rsidRPr="00DE1F33">
        <w:rPr>
          <w:rFonts w:eastAsia="Times New Roman" w:cs="Arial"/>
          <w:color w:val="000000"/>
          <w:lang w:val="en-US"/>
        </w:rPr>
        <w:t>s</w:t>
      </w:r>
      <w:r w:rsidRPr="00DE1F33">
        <w:rPr>
          <w:rFonts w:eastAsia="Times New Roman" w:cs="Arial"/>
          <w:color w:val="000000"/>
          <w:lang w:val="ru-RU"/>
        </w:rPr>
        <w:t xml:space="preserve"> </w:t>
      </w:r>
      <w:r w:rsidRPr="00DE1F33">
        <w:rPr>
          <w:rFonts w:eastAsia="Times New Roman" w:cs="Arial"/>
          <w:color w:val="000000"/>
          <w:lang w:eastAsia="bg-BG"/>
        </w:rPr>
        <w:t xml:space="preserve">и </w:t>
      </w:r>
      <w:r w:rsidRPr="00DE1F33">
        <w:rPr>
          <w:rFonts w:eastAsia="Times New Roman" w:cs="Arial"/>
          <w:color w:val="000000"/>
          <w:lang w:val="en-US"/>
        </w:rPr>
        <w:t>SRNI</w:t>
      </w:r>
      <w:r w:rsidRPr="00DE1F33">
        <w:rPr>
          <w:rFonts w:eastAsia="Times New Roman" w:cs="Arial"/>
          <w:color w:val="000000"/>
          <w:lang w:val="ru-RU"/>
        </w:rPr>
        <w:t>’</w:t>
      </w:r>
      <w:r w:rsidRPr="00DE1F33">
        <w:rPr>
          <w:rFonts w:eastAsia="Times New Roman" w:cs="Arial"/>
          <w:color w:val="000000"/>
          <w:lang w:val="en-US"/>
        </w:rPr>
        <w:t>s</w:t>
      </w:r>
      <w:r w:rsidRPr="00DE1F33">
        <w:rPr>
          <w:rFonts w:eastAsia="Times New Roman" w:cs="Arial"/>
          <w:color w:val="000000"/>
          <w:lang w:val="ru-RU"/>
        </w:rPr>
        <w:t xml:space="preserve"> </w:t>
      </w:r>
      <w:r w:rsidRPr="00DE1F33">
        <w:rPr>
          <w:rFonts w:eastAsia="Times New Roman" w:cs="Arial"/>
          <w:color w:val="000000"/>
          <w:lang w:eastAsia="bg-BG"/>
        </w:rPr>
        <w:t>може би 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 Обикновено, симптомите са леки до умерени, въпреки, че при някои от пациентите те може да бъдат тежки по интензивност. Те обикновено възникват в рамките на първите няколко дни от преустановяване на лечението, но са докладвани и редки случаи на такива симптоми при пациенти, пропуснали доза по невнимание. Като цяло, тези симптоми са самоограничаващи се и обикновено преминават в рамките на 2 седмици, но при някои индивиди, те може да са налице по-дълго (2-3 месеца и повече). Ето защо, се препоръчва постепенно намаляване на дозата на дулоксетин при преустановяване на лечението в рамките на не по-малко от 2 седмици, в зависимост от потребностите на пациента (вж. точка 4.2).</w:t>
      </w:r>
    </w:p>
    <w:p w14:paraId="4E00E74C" w14:textId="77777777" w:rsidR="00DE1F33" w:rsidRPr="00DE1F33" w:rsidRDefault="00DE1F33" w:rsidP="00DE1F33">
      <w:pPr>
        <w:spacing w:line="240" w:lineRule="auto"/>
        <w:rPr>
          <w:rFonts w:eastAsia="Times New Roman" w:cs="Arial"/>
          <w:i/>
          <w:iCs/>
          <w:color w:val="000000"/>
          <w:lang w:eastAsia="bg-BG"/>
        </w:rPr>
      </w:pPr>
    </w:p>
    <w:p w14:paraId="0E49148F" w14:textId="222058F1"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Пациенти в старческа възраст</w:t>
      </w:r>
    </w:p>
    <w:p w14:paraId="24A677C9"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Данните за употреба на 120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ДУКСЕТ при пациенти в старческа възраст с голям депресивен епизод са ограничени. Затова, лечението на пациенти в старческа възраст с максимална доза трябва да става с внимание (вж. точка 4.2 и точка 5.2). Данните за употреба на ДУКСЕТ при пациенти в старческа възраст с генерализирано тревожно разстройство са ограничени.</w:t>
      </w:r>
    </w:p>
    <w:p w14:paraId="4F34AA32" w14:textId="77777777" w:rsidR="00DE1F33" w:rsidRPr="00DE1F33" w:rsidRDefault="00DE1F33" w:rsidP="00DE1F33">
      <w:pPr>
        <w:spacing w:line="240" w:lineRule="auto"/>
        <w:rPr>
          <w:rFonts w:eastAsia="Times New Roman" w:cs="Arial"/>
          <w:i/>
          <w:iCs/>
          <w:color w:val="000000"/>
          <w:lang w:eastAsia="bg-BG"/>
        </w:rPr>
      </w:pPr>
    </w:p>
    <w:p w14:paraId="214E1896" w14:textId="13B62EF8"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Акатизия/психомоторно безпокойство</w:t>
      </w:r>
    </w:p>
    <w:p w14:paraId="4C11FFAB"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Употребата на дулоксетин се свързва с развитие на акатизия, характеризираща се със субективно неприятно или изтощително безпокойство и нужда от често движение, съпроводена от неспособност за седене и стоене на едно място. Това е по-вероятно да се прояви в рамките на първите няколко седмици от лечението. При пациенти, които получат тези симптоми, повишаването на дозата може да бъде вредно.</w:t>
      </w:r>
    </w:p>
    <w:p w14:paraId="620E1F7C" w14:textId="77777777" w:rsidR="00DE1F33" w:rsidRPr="00DE1F33" w:rsidRDefault="00DE1F33" w:rsidP="00DE1F33">
      <w:pPr>
        <w:spacing w:line="240" w:lineRule="auto"/>
        <w:rPr>
          <w:rFonts w:eastAsia="Times New Roman" w:cs="Arial"/>
          <w:i/>
          <w:iCs/>
          <w:color w:val="000000"/>
          <w:lang w:eastAsia="bg-BG"/>
        </w:rPr>
      </w:pPr>
    </w:p>
    <w:p w14:paraId="698A2068" w14:textId="327232A8"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Лекарствени продукти, съдържащи дулоксетин</w:t>
      </w:r>
    </w:p>
    <w:p w14:paraId="730A1516"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Дулоксетин се използва под различни търговски марки за няколко показания (лечение на диабетна невропатна болка, големи депресивни епизоди, генерализирано тревожно разстройство и стрес инконтиненция на урината). Трябва да се избягва употребата на повече от един от тези продукти.</w:t>
      </w:r>
    </w:p>
    <w:p w14:paraId="2E9E9855" w14:textId="77777777" w:rsidR="00DE1F33" w:rsidRPr="00DE1F33" w:rsidRDefault="00DE1F33" w:rsidP="00DE1F33">
      <w:pPr>
        <w:spacing w:line="240" w:lineRule="auto"/>
        <w:rPr>
          <w:rFonts w:eastAsia="Times New Roman" w:cs="Arial"/>
          <w:i/>
          <w:iCs/>
          <w:color w:val="000000"/>
          <w:lang w:eastAsia="bg-BG"/>
        </w:rPr>
      </w:pPr>
    </w:p>
    <w:p w14:paraId="64D7EEFE" w14:textId="52DACAB0"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Хепатит/повишени чернодробни ензими</w:t>
      </w:r>
    </w:p>
    <w:p w14:paraId="5530C026" w14:textId="77777777" w:rsidR="00DE1F33" w:rsidRP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lastRenderedPageBreak/>
        <w:t xml:space="preserve">Съобщавани са случаи на чернодробно увреждане, включително тежко повишение на чернодробните ензими (&gt;10 пъти горната граница на нормата), хепатит и жълтеница, с дулоксетин (вж. точка 4.8). Повечето от тях настъпват по време на първите месеци лечение. Характерът на чернодробното увреждане е предимно хепатоцелуларен. Дулоксетин трябва да се използва с внимание при пациенти, лекувани с други лекарствени продукти, свързвани с увреждане на черния </w:t>
      </w:r>
    </w:p>
    <w:p w14:paraId="4AF865CF" w14:textId="1546B8EB" w:rsidR="00DE1F33" w:rsidRPr="00DE1F33" w:rsidRDefault="00DE1F33" w:rsidP="00DE1F33">
      <w:pPr>
        <w:spacing w:line="240" w:lineRule="auto"/>
        <w:rPr>
          <w:rFonts w:eastAsia="Times New Roman" w:cs="Arial"/>
        </w:rPr>
      </w:pPr>
      <w:r w:rsidRPr="00DE1F33">
        <w:rPr>
          <w:rFonts w:eastAsia="Times New Roman" w:cs="Arial"/>
          <w:color w:val="000000"/>
          <w:lang w:eastAsia="bg-BG"/>
        </w:rPr>
        <w:t>дроб.</w:t>
      </w:r>
    </w:p>
    <w:p w14:paraId="53F7DA30" w14:textId="77777777" w:rsidR="00DE1F33" w:rsidRPr="00DE1F33" w:rsidRDefault="00DE1F33" w:rsidP="00DE1F33">
      <w:pPr>
        <w:spacing w:line="240" w:lineRule="auto"/>
        <w:rPr>
          <w:rFonts w:eastAsia="Times New Roman" w:cs="Arial"/>
          <w:i/>
          <w:iCs/>
          <w:color w:val="000000"/>
          <w:lang w:eastAsia="bg-BG"/>
        </w:rPr>
      </w:pPr>
    </w:p>
    <w:p w14:paraId="36668061" w14:textId="4A485529"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Захароза</w:t>
      </w:r>
    </w:p>
    <w:p w14:paraId="29C72A5B" w14:textId="02628EB8" w:rsidR="00DE1F33" w:rsidRP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t>Стомашно-устойчиви капсули ДУКСЕТ съдържат захароза. Пациентите с редки наследствени проблеми на непоносимост към фруктоза, глюкозо-галактозна малабсорбция или сукраза-изомалтазна недостатъчност не трябва да приемат този лекарствен продукт.</w:t>
      </w:r>
    </w:p>
    <w:p w14:paraId="7C8A6792" w14:textId="64B44B44" w:rsidR="00DE1F33" w:rsidRPr="00DE1F33" w:rsidRDefault="00DE1F33" w:rsidP="00DE1F33">
      <w:pPr>
        <w:spacing w:line="240" w:lineRule="auto"/>
        <w:rPr>
          <w:rFonts w:eastAsia="Times New Roman" w:cs="Arial"/>
          <w:color w:val="000000"/>
          <w:lang w:eastAsia="bg-BG"/>
        </w:rPr>
      </w:pPr>
    </w:p>
    <w:p w14:paraId="66D6EE1B" w14:textId="77777777" w:rsidR="00DE1F33" w:rsidRPr="00DE1F33" w:rsidRDefault="00DE1F33" w:rsidP="00DE1F33">
      <w:pPr>
        <w:spacing w:line="240" w:lineRule="auto"/>
        <w:rPr>
          <w:rFonts w:eastAsia="Times New Roman" w:cs="Arial"/>
        </w:rPr>
      </w:pPr>
      <w:r w:rsidRPr="00DE1F33">
        <w:rPr>
          <w:rFonts w:eastAsia="Times New Roman" w:cs="Arial"/>
          <w:i/>
          <w:iCs/>
          <w:color w:val="000000"/>
          <w:lang w:eastAsia="bg-BG"/>
        </w:rPr>
        <w:t>Сексуална дисфункция</w:t>
      </w:r>
    </w:p>
    <w:p w14:paraId="73B85A06" w14:textId="7560EB90" w:rsidR="00DE1F33" w:rsidRPr="00DE1F33" w:rsidRDefault="00DE1F33" w:rsidP="00DE1F33">
      <w:pPr>
        <w:spacing w:line="240" w:lineRule="auto"/>
        <w:rPr>
          <w:rFonts w:eastAsia="Times New Roman" w:cs="Arial"/>
          <w:color w:val="000000"/>
          <w:lang w:val="ru-RU"/>
        </w:rPr>
      </w:pPr>
      <w:r w:rsidRPr="00DE1F33">
        <w:rPr>
          <w:rFonts w:eastAsia="Times New Roman" w:cs="Arial"/>
          <w:color w:val="000000"/>
          <w:lang w:eastAsia="bg-BG"/>
        </w:rPr>
        <w:t xml:space="preserve">Инхибиторите на обратното захващане на серотонина и норадреналина </w:t>
      </w:r>
      <w:r w:rsidRPr="00DE1F33">
        <w:rPr>
          <w:rFonts w:eastAsia="Times New Roman" w:cs="Arial"/>
          <w:color w:val="000000"/>
          <w:lang w:val="ru-RU"/>
        </w:rPr>
        <w:t>(</w:t>
      </w:r>
      <w:r w:rsidRPr="00DE1F33">
        <w:rPr>
          <w:rFonts w:eastAsia="Times New Roman" w:cs="Arial"/>
          <w:color w:val="000000"/>
          <w:lang w:val="en-US"/>
        </w:rPr>
        <w:t>SNRIs</w:t>
      </w:r>
      <w:r w:rsidRPr="00DE1F33">
        <w:rPr>
          <w:rFonts w:eastAsia="Times New Roman" w:cs="Arial"/>
          <w:color w:val="000000"/>
          <w:lang w:val="ru-RU"/>
        </w:rPr>
        <w:t xml:space="preserve">) </w:t>
      </w:r>
      <w:r w:rsidRPr="00DE1F33">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DE1F33">
        <w:rPr>
          <w:rFonts w:eastAsia="Times New Roman" w:cs="Arial"/>
          <w:color w:val="000000"/>
          <w:lang w:val="en-US"/>
        </w:rPr>
        <w:t>SNRI</w:t>
      </w:r>
      <w:r w:rsidRPr="00DE1F33">
        <w:rPr>
          <w:rFonts w:eastAsia="Times New Roman" w:cs="Arial"/>
          <w:color w:val="000000"/>
          <w:lang w:val="ru-RU"/>
        </w:rPr>
        <w:t>.</w:t>
      </w:r>
    </w:p>
    <w:p w14:paraId="2239E50E" w14:textId="77777777" w:rsidR="00DE1F33" w:rsidRPr="00DE1F33" w:rsidRDefault="00DE1F33" w:rsidP="00DE1F33">
      <w:pPr>
        <w:spacing w:line="240" w:lineRule="auto"/>
        <w:rPr>
          <w:rFonts w:ascii="Times New Roman" w:eastAsia="Times New Roman" w:hAnsi="Times New Roman" w:cs="Times New Roman"/>
          <w:sz w:val="24"/>
          <w:szCs w:val="24"/>
          <w:lang w:val="ru-RU"/>
        </w:rPr>
      </w:pPr>
    </w:p>
    <w:p w14:paraId="0734264C" w14:textId="1B90CE1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D3FF831" w14:textId="3A21387B" w:rsidR="00DE1F33" w:rsidRDefault="00DE1F33" w:rsidP="00DE1F33"/>
    <w:p w14:paraId="536AFD76" w14:textId="77777777"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Инхибитори на моно-амино оксидазата (МАО-инхибитори):</w:t>
      </w:r>
      <w:r w:rsidRPr="00DE1F33">
        <w:rPr>
          <w:rFonts w:eastAsia="Times New Roman" w:cs="Arial"/>
          <w:color w:val="000000"/>
          <w:lang w:eastAsia="bg-BG"/>
        </w:rPr>
        <w:t xml:space="preserve"> Поради риск от серотонинов синдром, дулоксетин не трябва да се използва в комбинация с неселективни, необратими моноаминооксидазни инхибитори (МАО-инхибитори), или в рамките на поне 14 дни от прекъсване на лечението с МАО- инхибитори. Въз основа на полуживота на дулоксетин, е необходимо да изминат поне 5 дни след спиране на ДУКСЕТ и преди започване на МАО-инхибитори (вж. точка 4.3).</w:t>
      </w:r>
    </w:p>
    <w:p w14:paraId="3CC97AD2" w14:textId="77777777" w:rsidR="00DE1F33" w:rsidRPr="00DE1F33" w:rsidRDefault="00DE1F33" w:rsidP="00DE1F33">
      <w:pPr>
        <w:spacing w:line="240" w:lineRule="auto"/>
        <w:rPr>
          <w:rFonts w:eastAsia="Times New Roman" w:cs="Arial"/>
          <w:color w:val="000000"/>
          <w:lang w:eastAsia="bg-BG"/>
        </w:rPr>
      </w:pPr>
    </w:p>
    <w:p w14:paraId="4A8A86FC" w14:textId="06992913"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За селективните, обратими МАО-инхибитори, като моклобемид, рискът от серотонинов синдром е нисък. Въпреки това не се препоръчва едновременното приложение на ДУКСЕТ със селективните, обратими МАО-инхибитори (вж. точка 4.4).</w:t>
      </w:r>
    </w:p>
    <w:p w14:paraId="0BBA4D43" w14:textId="77777777" w:rsidR="00DE1F33" w:rsidRPr="00DE1F33" w:rsidRDefault="00DE1F33" w:rsidP="00DE1F33">
      <w:pPr>
        <w:spacing w:line="240" w:lineRule="auto"/>
        <w:rPr>
          <w:rFonts w:eastAsia="Times New Roman" w:cs="Arial"/>
          <w:i/>
          <w:iCs/>
          <w:color w:val="000000"/>
          <w:lang w:eastAsia="bg-BG"/>
        </w:rPr>
      </w:pPr>
    </w:p>
    <w:p w14:paraId="3F6959B3" w14:textId="1879979E"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 xml:space="preserve">Инхибитори на </w:t>
      </w:r>
      <w:r w:rsidRPr="00DE1F33">
        <w:rPr>
          <w:rFonts w:eastAsia="Times New Roman" w:cs="Arial"/>
          <w:i/>
          <w:iCs/>
          <w:color w:val="000000"/>
          <w:lang w:val="en-US"/>
        </w:rPr>
        <w:t>CYP</w:t>
      </w:r>
      <w:r w:rsidRPr="00DE1F33">
        <w:rPr>
          <w:rFonts w:eastAsia="Times New Roman" w:cs="Arial"/>
          <w:i/>
          <w:iCs/>
          <w:color w:val="000000"/>
          <w:lang w:val="ru-RU"/>
        </w:rPr>
        <w:t>1</w:t>
      </w:r>
      <w:r w:rsidRPr="00DE1F33">
        <w:rPr>
          <w:rFonts w:eastAsia="Times New Roman" w:cs="Arial"/>
          <w:i/>
          <w:iCs/>
          <w:color w:val="000000"/>
          <w:lang w:val="en-US"/>
        </w:rPr>
        <w:t>A</w:t>
      </w:r>
      <w:r w:rsidRPr="00DE1F33">
        <w:rPr>
          <w:rFonts w:eastAsia="Times New Roman" w:cs="Arial"/>
          <w:i/>
          <w:iCs/>
          <w:color w:val="000000"/>
          <w:lang w:val="ru-RU"/>
        </w:rPr>
        <w:t>2:</w:t>
      </w:r>
      <w:r w:rsidRPr="00DE1F33">
        <w:rPr>
          <w:rFonts w:eastAsia="Times New Roman" w:cs="Arial"/>
          <w:color w:val="000000"/>
          <w:lang w:val="ru-RU"/>
        </w:rPr>
        <w:t xml:space="preserve"> </w:t>
      </w:r>
      <w:r w:rsidRPr="00DE1F33">
        <w:rPr>
          <w:rFonts w:eastAsia="Times New Roman" w:cs="Arial"/>
          <w:color w:val="000000"/>
          <w:lang w:eastAsia="bg-BG"/>
        </w:rPr>
        <w:t xml:space="preserve">Тъй като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val="en-US"/>
        </w:rPr>
        <w:t>A</w:t>
      </w:r>
      <w:r w:rsidRPr="00DE1F33">
        <w:rPr>
          <w:rFonts w:eastAsia="Times New Roman" w:cs="Arial"/>
          <w:color w:val="000000"/>
          <w:lang w:val="ru-RU"/>
        </w:rPr>
        <w:t xml:space="preserve">2 </w:t>
      </w:r>
      <w:r w:rsidRPr="00DE1F33">
        <w:rPr>
          <w:rFonts w:eastAsia="Times New Roman" w:cs="Arial"/>
          <w:color w:val="000000"/>
          <w:lang w:eastAsia="bg-BG"/>
        </w:rPr>
        <w:t xml:space="preserve">е включен в метаболизма на дулоксетин, едновременното приложение на дулоксетин с мощни инхибитори на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eastAsia="bg-BG"/>
        </w:rPr>
        <w:t xml:space="preserve">А2 е вероятно да доведе до по-високи концентрации на дулоксетин. Флувоксамин (100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веднъж дневно), мощен инхибитор на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eastAsia="bg-BG"/>
        </w:rPr>
        <w:t xml:space="preserve">А2, намалява привидния плазмен клирънс на дулоксетин с около 77% и повишава </w:t>
      </w:r>
      <w:r w:rsidRPr="00DE1F33">
        <w:rPr>
          <w:rFonts w:eastAsia="Times New Roman" w:cs="Arial"/>
          <w:color w:val="000000"/>
          <w:lang w:val="en-US"/>
        </w:rPr>
        <w:t>AUC</w:t>
      </w:r>
      <w:r w:rsidRPr="00DE1F33">
        <w:rPr>
          <w:rFonts w:eastAsia="Times New Roman" w:cs="Arial"/>
          <w:color w:val="000000"/>
          <w:vertAlign w:val="subscript"/>
          <w:lang w:val="ru-RU"/>
        </w:rPr>
        <w:t>0-</w:t>
      </w:r>
      <w:r w:rsidRPr="00DE1F33">
        <w:rPr>
          <w:rFonts w:eastAsia="Times New Roman" w:cs="Arial"/>
          <w:color w:val="000000"/>
          <w:vertAlign w:val="subscript"/>
          <w:lang w:val="en-US"/>
        </w:rPr>
        <w:t>t</w:t>
      </w:r>
      <w:r w:rsidRPr="00DE1F33">
        <w:rPr>
          <w:rFonts w:eastAsia="Times New Roman" w:cs="Arial"/>
          <w:color w:val="000000"/>
          <w:lang w:val="ru-RU"/>
        </w:rPr>
        <w:t xml:space="preserve"> </w:t>
      </w:r>
      <w:r w:rsidRPr="00DE1F33">
        <w:rPr>
          <w:rFonts w:eastAsia="Times New Roman" w:cs="Arial"/>
          <w:color w:val="000000"/>
          <w:lang w:eastAsia="bg-BG"/>
        </w:rPr>
        <w:t xml:space="preserve">6 пъти. Затова ДУКСЕТ не трябва да се прилага в комбинация с мощни инхибитори на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eastAsia="bg-BG"/>
        </w:rPr>
        <w:t>А2 като флувоксамин (вж. точка 4.3).</w:t>
      </w:r>
    </w:p>
    <w:p w14:paraId="0531E663" w14:textId="77777777" w:rsidR="00DE1F33" w:rsidRPr="00DE1F33" w:rsidRDefault="00DE1F33" w:rsidP="00DE1F33">
      <w:pPr>
        <w:spacing w:line="240" w:lineRule="auto"/>
        <w:rPr>
          <w:rFonts w:eastAsia="Times New Roman" w:cs="Arial"/>
          <w:i/>
          <w:iCs/>
          <w:color w:val="000000"/>
          <w:lang w:eastAsia="bg-BG"/>
        </w:rPr>
      </w:pPr>
    </w:p>
    <w:p w14:paraId="47A2EDEF" w14:textId="0532B40C"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Лекарствени продукти, действащи върху ЦНС:</w:t>
      </w:r>
      <w:r w:rsidRPr="00DE1F33">
        <w:rPr>
          <w:rFonts w:eastAsia="Times New Roman" w:cs="Arial"/>
          <w:color w:val="000000"/>
          <w:lang w:eastAsia="bg-BG"/>
        </w:rPr>
        <w:t xml:space="preserve"> Рискът от употреба на дулоксетин в комбинация с други повлияващи ЦНС лекарствени продукти не е системно оценяван, освен в случаите, описани в тази точка. Следователно се препоръчва повишено внимание, когато ДУКСЕТ се приема в комбинация с други централно действащи лекарствени продукти или вещества, включително алкохол и седативни лекарствени продукти (напр. безнодиазепини, морфиномиметици, антипсихотици, фенобарбитал, седативни антихистамини).</w:t>
      </w:r>
    </w:p>
    <w:p w14:paraId="0F397E2F" w14:textId="77777777" w:rsidR="00DE1F33" w:rsidRPr="00DE1F33" w:rsidRDefault="00DE1F33" w:rsidP="00DE1F33">
      <w:pPr>
        <w:spacing w:line="240" w:lineRule="auto"/>
        <w:rPr>
          <w:rFonts w:eastAsia="Times New Roman" w:cs="Arial"/>
          <w:i/>
          <w:iCs/>
          <w:color w:val="000000"/>
          <w:lang w:eastAsia="bg-BG"/>
        </w:rPr>
      </w:pPr>
    </w:p>
    <w:p w14:paraId="508ED5B8" w14:textId="66601604"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lastRenderedPageBreak/>
        <w:t>Серотонинов синдром:</w:t>
      </w:r>
      <w:r w:rsidRPr="00DE1F33">
        <w:rPr>
          <w:rFonts w:eastAsia="Times New Roman" w:cs="Arial"/>
          <w:color w:val="000000"/>
          <w:lang w:eastAsia="bg-BG"/>
        </w:rPr>
        <w:t xml:space="preserve"> В редки случаи е съобщаван серотонинов синдром при пациенти използващи </w:t>
      </w:r>
      <w:r w:rsidRPr="00DE1F33">
        <w:rPr>
          <w:rFonts w:eastAsia="Times New Roman" w:cs="Arial"/>
          <w:color w:val="000000"/>
          <w:lang w:val="en-US"/>
        </w:rPr>
        <w:t>SSRIs</w:t>
      </w:r>
      <w:r w:rsidRPr="00DE1F33">
        <w:rPr>
          <w:rFonts w:eastAsia="Times New Roman" w:cs="Arial"/>
          <w:color w:val="000000"/>
          <w:lang w:val="ru-RU"/>
        </w:rPr>
        <w:t xml:space="preserve"> </w:t>
      </w:r>
      <w:r w:rsidRPr="00DE1F33">
        <w:rPr>
          <w:rFonts w:eastAsia="Times New Roman" w:cs="Arial"/>
          <w:color w:val="000000"/>
          <w:lang w:eastAsia="bg-BG"/>
        </w:rPr>
        <w:t xml:space="preserve">(напр. парокетин, флуоксетин), съвместно със серотонинергични лекарствени продукти. Препоръчва се внимание, ако ДУКСЕТ се използва съвместно със серотонинергичните антидепресанти като </w:t>
      </w:r>
      <w:r w:rsidRPr="00DE1F33">
        <w:rPr>
          <w:rFonts w:eastAsia="Times New Roman" w:cs="Arial"/>
          <w:color w:val="000000"/>
          <w:lang w:val="en-US"/>
        </w:rPr>
        <w:t>SSRIs</w:t>
      </w:r>
      <w:r w:rsidRPr="00DE1F33">
        <w:rPr>
          <w:rFonts w:eastAsia="Times New Roman" w:cs="Arial"/>
          <w:color w:val="000000"/>
        </w:rPr>
        <w:t xml:space="preserve">, </w:t>
      </w:r>
      <w:r w:rsidRPr="00DE1F33">
        <w:rPr>
          <w:rFonts w:eastAsia="Times New Roman" w:cs="Arial"/>
          <w:color w:val="000000"/>
          <w:lang w:eastAsia="bg-BG"/>
        </w:rPr>
        <w:t xml:space="preserve">трициклични като кломипрамин или амитриптилин, жълт кантарион </w:t>
      </w:r>
      <w:r w:rsidRPr="00DE1F33">
        <w:rPr>
          <w:rFonts w:eastAsia="Times New Roman" w:cs="Arial"/>
          <w:color w:val="000000"/>
        </w:rPr>
        <w:t>(</w:t>
      </w:r>
      <w:proofErr w:type="spellStart"/>
      <w:r w:rsidRPr="00DE1F33">
        <w:rPr>
          <w:rFonts w:eastAsia="Times New Roman" w:cs="Arial"/>
          <w:color w:val="000000"/>
          <w:lang w:val="en-US"/>
        </w:rPr>
        <w:t>Hypericum</w:t>
      </w:r>
      <w:proofErr w:type="spellEnd"/>
      <w:r w:rsidRPr="00DE1F33">
        <w:rPr>
          <w:rFonts w:eastAsia="Times New Roman" w:cs="Arial"/>
          <w:color w:val="000000"/>
        </w:rPr>
        <w:t xml:space="preserve"> </w:t>
      </w:r>
      <w:proofErr w:type="spellStart"/>
      <w:r w:rsidRPr="00DE1F33">
        <w:rPr>
          <w:rFonts w:eastAsia="Times New Roman" w:cs="Arial"/>
          <w:color w:val="000000"/>
          <w:lang w:val="en-US"/>
        </w:rPr>
        <w:t>perforatum</w:t>
      </w:r>
      <w:proofErr w:type="spellEnd"/>
      <w:r w:rsidRPr="00DE1F33">
        <w:rPr>
          <w:rFonts w:eastAsia="Times New Roman" w:cs="Arial"/>
          <w:color w:val="000000"/>
        </w:rPr>
        <w:t xml:space="preserve">), </w:t>
      </w:r>
      <w:r w:rsidRPr="00DE1F33">
        <w:rPr>
          <w:rFonts w:eastAsia="Times New Roman" w:cs="Arial"/>
          <w:color w:val="000000"/>
          <w:lang w:eastAsia="bg-BG"/>
        </w:rPr>
        <w:t>венлафаксин или триптани, трамадол, петидин и триптофан.</w:t>
      </w:r>
    </w:p>
    <w:p w14:paraId="556BDF58" w14:textId="77777777" w:rsidR="00DE1F33" w:rsidRPr="00DE1F33" w:rsidRDefault="00DE1F33" w:rsidP="00DE1F33">
      <w:pPr>
        <w:spacing w:line="240" w:lineRule="auto"/>
        <w:rPr>
          <w:rFonts w:eastAsia="Times New Roman" w:cs="Arial"/>
          <w:i/>
          <w:iCs/>
          <w:color w:val="000000"/>
          <w:lang w:eastAsia="bg-BG"/>
        </w:rPr>
      </w:pPr>
    </w:p>
    <w:p w14:paraId="12A9E344" w14:textId="75BFAD65"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Ефект на дулоксетин върху други лекарствени продукти</w:t>
      </w:r>
    </w:p>
    <w:p w14:paraId="1A805F01" w14:textId="67066F64"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 xml:space="preserve">Лекарствени продукти, метаболизирани от </w:t>
      </w:r>
      <w:r w:rsidRPr="00DE1F33">
        <w:rPr>
          <w:rFonts w:eastAsia="Times New Roman" w:cs="Arial"/>
          <w:i/>
          <w:iCs/>
          <w:color w:val="000000"/>
          <w:lang w:val="en-US"/>
        </w:rPr>
        <w:t>CYP</w:t>
      </w:r>
      <w:r w:rsidRPr="00DE1F33">
        <w:rPr>
          <w:rFonts w:eastAsia="Times New Roman" w:cs="Arial"/>
          <w:i/>
          <w:iCs/>
          <w:color w:val="000000"/>
          <w:lang w:val="ru-RU"/>
        </w:rPr>
        <w:t>1</w:t>
      </w:r>
      <w:r w:rsidRPr="00DE1F33">
        <w:rPr>
          <w:rFonts w:eastAsia="Times New Roman" w:cs="Arial"/>
          <w:i/>
          <w:iCs/>
          <w:color w:val="000000"/>
          <w:lang w:val="en-US"/>
        </w:rPr>
        <w:t>A</w:t>
      </w:r>
      <w:r w:rsidRPr="00DE1F33">
        <w:rPr>
          <w:rFonts w:eastAsia="Times New Roman" w:cs="Arial"/>
          <w:i/>
          <w:iCs/>
          <w:color w:val="000000"/>
          <w:lang w:val="ru-RU"/>
        </w:rPr>
        <w:t>2:</w:t>
      </w:r>
      <w:r w:rsidRPr="00DE1F33">
        <w:rPr>
          <w:rFonts w:eastAsia="Times New Roman" w:cs="Arial"/>
          <w:color w:val="000000"/>
          <w:lang w:val="ru-RU"/>
        </w:rPr>
        <w:t xml:space="preserve"> </w:t>
      </w:r>
      <w:r w:rsidRPr="00DE1F33">
        <w:rPr>
          <w:rFonts w:eastAsia="Times New Roman" w:cs="Arial"/>
          <w:color w:val="000000"/>
          <w:lang w:eastAsia="bg-BG"/>
        </w:rPr>
        <w:t xml:space="preserve">В клинично проучване, фармакокинетиката на теофилин, субстрат на </w:t>
      </w:r>
      <w:r w:rsidRPr="00DE1F33">
        <w:rPr>
          <w:rFonts w:eastAsia="Times New Roman" w:cs="Arial"/>
          <w:color w:val="000000"/>
          <w:lang w:val="en-US"/>
        </w:rPr>
        <w:t>CYP</w:t>
      </w:r>
      <w:r w:rsidRPr="00DE1F33">
        <w:rPr>
          <w:rFonts w:eastAsia="Times New Roman" w:cs="Arial"/>
          <w:color w:val="000000"/>
          <w:lang w:val="ru-RU"/>
        </w:rPr>
        <w:t>1</w:t>
      </w:r>
      <w:r w:rsidRPr="00DE1F33">
        <w:rPr>
          <w:rFonts w:eastAsia="Times New Roman" w:cs="Arial"/>
          <w:color w:val="000000"/>
          <w:lang w:eastAsia="bg-BG"/>
        </w:rPr>
        <w:t xml:space="preserve">А2 не се повлиява значително от съвместното приложение с дулоксетин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два пъти дневно).</w:t>
      </w:r>
    </w:p>
    <w:p w14:paraId="602E3079" w14:textId="77777777" w:rsidR="00DE1F33" w:rsidRPr="00DE1F33" w:rsidRDefault="00DE1F33" w:rsidP="00DE1F33">
      <w:pPr>
        <w:spacing w:line="240" w:lineRule="auto"/>
        <w:rPr>
          <w:rFonts w:eastAsia="Times New Roman" w:cs="Arial"/>
          <w:i/>
          <w:iCs/>
          <w:color w:val="000000"/>
          <w:lang w:eastAsia="bg-BG"/>
        </w:rPr>
      </w:pPr>
    </w:p>
    <w:p w14:paraId="49C95EC9" w14:textId="2BCC859A"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 xml:space="preserve">Лекарствени продукти метаболизирани от </w:t>
      </w:r>
      <w:r w:rsidRPr="00DE1F33">
        <w:rPr>
          <w:rFonts w:eastAsia="Times New Roman" w:cs="Arial"/>
          <w:i/>
          <w:iCs/>
          <w:color w:val="000000"/>
          <w:lang w:val="en-US"/>
        </w:rPr>
        <w:t>CYP</w:t>
      </w:r>
      <w:r w:rsidRPr="00DE1F33">
        <w:rPr>
          <w:rFonts w:eastAsia="Times New Roman" w:cs="Arial"/>
          <w:i/>
          <w:iCs/>
          <w:color w:val="000000"/>
          <w:lang w:val="ru-RU"/>
        </w:rPr>
        <w:t>2</w:t>
      </w:r>
      <w:r w:rsidRPr="00DE1F33">
        <w:rPr>
          <w:rFonts w:eastAsia="Times New Roman" w:cs="Arial"/>
          <w:i/>
          <w:iCs/>
          <w:color w:val="000000"/>
          <w:lang w:val="en-US"/>
        </w:rPr>
        <w:t>D</w:t>
      </w:r>
      <w:r w:rsidRPr="00DE1F33">
        <w:rPr>
          <w:rFonts w:eastAsia="Times New Roman" w:cs="Arial"/>
          <w:i/>
          <w:iCs/>
          <w:color w:val="000000"/>
          <w:lang w:val="ru-RU"/>
        </w:rPr>
        <w:t>6:</w:t>
      </w:r>
      <w:r w:rsidRPr="00DE1F33">
        <w:rPr>
          <w:rFonts w:eastAsia="Times New Roman" w:cs="Arial"/>
          <w:color w:val="000000"/>
          <w:lang w:val="ru-RU"/>
        </w:rPr>
        <w:t xml:space="preserve"> </w:t>
      </w:r>
      <w:r w:rsidRPr="00DE1F33">
        <w:rPr>
          <w:rFonts w:eastAsia="Times New Roman" w:cs="Arial"/>
          <w:color w:val="000000"/>
          <w:lang w:eastAsia="bg-BG"/>
        </w:rPr>
        <w:t xml:space="preserve">Дулоксетин е умерен инхибитор на </w:t>
      </w:r>
      <w:r w:rsidRPr="00DE1F33">
        <w:rPr>
          <w:rFonts w:eastAsia="Times New Roman" w:cs="Arial"/>
          <w:color w:val="000000"/>
          <w:lang w:val="en-US"/>
        </w:rPr>
        <w:t>CYP</w:t>
      </w:r>
      <w:r w:rsidRPr="00DE1F33">
        <w:rPr>
          <w:rFonts w:eastAsia="Times New Roman" w:cs="Arial"/>
          <w:color w:val="000000"/>
          <w:lang w:val="ru-RU"/>
        </w:rPr>
        <w:t>2</w:t>
      </w:r>
      <w:r w:rsidRPr="00DE1F33">
        <w:rPr>
          <w:rFonts w:eastAsia="Times New Roman" w:cs="Arial"/>
          <w:color w:val="000000"/>
          <w:lang w:val="en-US"/>
        </w:rPr>
        <w:t>D</w:t>
      </w:r>
      <w:r w:rsidRPr="00DE1F33">
        <w:rPr>
          <w:rFonts w:eastAsia="Times New Roman" w:cs="Arial"/>
          <w:color w:val="000000"/>
          <w:lang w:val="ru-RU"/>
        </w:rPr>
        <w:t xml:space="preserve">6. </w:t>
      </w:r>
      <w:r w:rsidRPr="00DE1F33">
        <w:rPr>
          <w:rFonts w:eastAsia="Times New Roman" w:cs="Arial"/>
          <w:color w:val="000000"/>
          <w:lang w:eastAsia="bg-BG"/>
        </w:rPr>
        <w:t xml:space="preserve">Когато дулоксетин се прилага в доза от 60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два пъти дневно с единична доза дезипрамин, който е </w:t>
      </w:r>
      <w:r w:rsidRPr="00DE1F33">
        <w:rPr>
          <w:rFonts w:eastAsia="Times New Roman" w:cs="Arial"/>
          <w:color w:val="000000"/>
          <w:lang w:val="en-US"/>
        </w:rPr>
        <w:t>CYP</w:t>
      </w:r>
      <w:r w:rsidRPr="00DE1F33">
        <w:rPr>
          <w:rFonts w:eastAsia="Times New Roman" w:cs="Arial"/>
          <w:color w:val="000000"/>
          <w:lang w:val="ru-RU"/>
        </w:rPr>
        <w:t>2</w:t>
      </w:r>
      <w:r w:rsidRPr="00DE1F33">
        <w:rPr>
          <w:rFonts w:eastAsia="Times New Roman" w:cs="Arial"/>
          <w:color w:val="000000"/>
          <w:lang w:val="en-US"/>
        </w:rPr>
        <w:t>D</w:t>
      </w:r>
      <w:r w:rsidRPr="00DE1F33">
        <w:rPr>
          <w:rFonts w:eastAsia="Times New Roman" w:cs="Arial"/>
          <w:color w:val="000000"/>
          <w:lang w:val="ru-RU"/>
        </w:rPr>
        <w:t xml:space="preserve">6 </w:t>
      </w:r>
      <w:r w:rsidRPr="00DE1F33">
        <w:rPr>
          <w:rFonts w:eastAsia="Times New Roman" w:cs="Arial"/>
          <w:color w:val="000000"/>
          <w:lang w:eastAsia="bg-BG"/>
        </w:rPr>
        <w:t xml:space="preserve">субстрат, </w:t>
      </w:r>
      <w:r w:rsidRPr="00DE1F33">
        <w:rPr>
          <w:rFonts w:eastAsia="Times New Roman" w:cs="Arial"/>
          <w:color w:val="000000"/>
          <w:lang w:val="en-US"/>
        </w:rPr>
        <w:t>AUC</w:t>
      </w:r>
      <w:r w:rsidRPr="00DE1F33">
        <w:rPr>
          <w:rFonts w:eastAsia="Times New Roman" w:cs="Arial"/>
          <w:color w:val="000000"/>
          <w:lang w:val="ru-RU"/>
        </w:rPr>
        <w:t xml:space="preserve"> </w:t>
      </w:r>
      <w:r w:rsidRPr="00DE1F33">
        <w:rPr>
          <w:rFonts w:eastAsia="Times New Roman" w:cs="Arial"/>
          <w:color w:val="000000"/>
          <w:lang w:eastAsia="bg-BG"/>
        </w:rPr>
        <w:t xml:space="preserve">на дезипрамин се увеличава 3 пъти. Съвместното приложение на дулоксетин (40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два пъти дневно) повишава стационарната </w:t>
      </w:r>
      <w:r w:rsidRPr="00DE1F33">
        <w:rPr>
          <w:rFonts w:eastAsia="Times New Roman" w:cs="Arial"/>
          <w:color w:val="000000"/>
          <w:lang w:val="en-US"/>
        </w:rPr>
        <w:t>AUC</w:t>
      </w:r>
      <w:r w:rsidRPr="00DE1F33">
        <w:rPr>
          <w:rFonts w:eastAsia="Times New Roman" w:cs="Arial"/>
          <w:color w:val="000000"/>
          <w:lang w:val="ru-RU"/>
        </w:rPr>
        <w:t xml:space="preserve"> </w:t>
      </w:r>
      <w:r w:rsidRPr="00DE1F33">
        <w:rPr>
          <w:rFonts w:eastAsia="Times New Roman" w:cs="Arial"/>
          <w:color w:val="000000"/>
          <w:lang w:eastAsia="bg-BG"/>
        </w:rPr>
        <w:t xml:space="preserve">на толтеродин (2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 xml:space="preserve">два пъти дневно) с 71%, но не повлиява фармакокинетиката на неговия активен 5-хидроксил метаболит и не се препоръчва адаптиране на дозата. Препоръчва се повишено внимание, ако ДУКСЕТ се прилага едновременно с лекарствени продукти, които се метаболизират основно от </w:t>
      </w:r>
      <w:r w:rsidRPr="00DE1F33">
        <w:rPr>
          <w:rFonts w:eastAsia="Times New Roman" w:cs="Arial"/>
          <w:color w:val="000000"/>
          <w:lang w:val="en-US"/>
        </w:rPr>
        <w:t>CYP</w:t>
      </w:r>
      <w:r w:rsidRPr="00DE1F33">
        <w:rPr>
          <w:rFonts w:eastAsia="Times New Roman" w:cs="Arial"/>
          <w:color w:val="000000"/>
          <w:lang w:val="ru-RU"/>
        </w:rPr>
        <w:t>2</w:t>
      </w:r>
      <w:r w:rsidRPr="00DE1F33">
        <w:rPr>
          <w:rFonts w:eastAsia="Times New Roman" w:cs="Arial"/>
          <w:color w:val="000000"/>
          <w:lang w:val="en-US"/>
        </w:rPr>
        <w:t>D</w:t>
      </w:r>
      <w:r w:rsidRPr="00DE1F33">
        <w:rPr>
          <w:rFonts w:eastAsia="Times New Roman" w:cs="Arial"/>
          <w:color w:val="000000"/>
          <w:lang w:val="ru-RU"/>
        </w:rPr>
        <w:t xml:space="preserve">6 </w:t>
      </w:r>
      <w:r w:rsidRPr="00DE1F33">
        <w:rPr>
          <w:rFonts w:eastAsia="Times New Roman" w:cs="Arial"/>
          <w:color w:val="000000"/>
          <w:lang w:eastAsia="bg-BG"/>
        </w:rPr>
        <w:t>(риспердон, трициклични антидепресанти [ТЦАД] като нортриптилин, амитриптилин и имипрамин) особено, ако те имат тесен терапевтичен индекс (като флекаинид, пропафенон и метопролол).</w:t>
      </w:r>
    </w:p>
    <w:p w14:paraId="0DDCA6CD" w14:textId="77777777" w:rsidR="00DE1F33" w:rsidRPr="00DE1F33" w:rsidRDefault="00DE1F33" w:rsidP="00DE1F33">
      <w:pPr>
        <w:spacing w:line="240" w:lineRule="auto"/>
        <w:rPr>
          <w:rFonts w:eastAsia="Times New Roman" w:cs="Arial"/>
          <w:i/>
          <w:iCs/>
          <w:color w:val="000000"/>
          <w:lang w:eastAsia="bg-BG"/>
        </w:rPr>
      </w:pPr>
    </w:p>
    <w:p w14:paraId="4D46326A" w14:textId="7CEC3C92"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Перорални контрацептиви и други стероидни препарати:</w:t>
      </w:r>
      <w:r w:rsidRPr="00DE1F33">
        <w:rPr>
          <w:rFonts w:eastAsia="Times New Roman" w:cs="Arial"/>
          <w:color w:val="000000"/>
          <w:lang w:eastAsia="bg-BG"/>
        </w:rPr>
        <w:t xml:space="preserve"> Резултатите от </w:t>
      </w:r>
      <w:r w:rsidRPr="00DE1F33">
        <w:rPr>
          <w:rFonts w:eastAsia="Times New Roman" w:cs="Arial"/>
          <w:i/>
          <w:iCs/>
          <w:color w:val="000000"/>
          <w:lang w:val="en-US"/>
        </w:rPr>
        <w:t>in</w:t>
      </w:r>
      <w:r w:rsidRPr="00DE1F33">
        <w:rPr>
          <w:rFonts w:eastAsia="Times New Roman" w:cs="Arial"/>
          <w:i/>
          <w:iCs/>
          <w:color w:val="000000"/>
          <w:lang w:val="ru-RU"/>
        </w:rPr>
        <w:t xml:space="preserve"> </w:t>
      </w:r>
      <w:r w:rsidRPr="00DE1F33">
        <w:rPr>
          <w:rFonts w:eastAsia="Times New Roman" w:cs="Arial"/>
          <w:i/>
          <w:iCs/>
          <w:color w:val="000000"/>
          <w:lang w:val="en-US"/>
        </w:rPr>
        <w:t>vitro</w:t>
      </w:r>
      <w:r w:rsidRPr="00DE1F33">
        <w:rPr>
          <w:rFonts w:eastAsia="Times New Roman" w:cs="Arial"/>
          <w:i/>
          <w:iCs/>
          <w:color w:val="000000"/>
          <w:lang w:eastAsia="bg-BG"/>
        </w:rPr>
        <w:t xml:space="preserve"> проучвания </w:t>
      </w:r>
      <w:r w:rsidRPr="00DE1F33">
        <w:rPr>
          <w:rFonts w:eastAsia="Times New Roman" w:cs="Arial"/>
          <w:color w:val="000000"/>
          <w:lang w:eastAsia="bg-BG"/>
        </w:rPr>
        <w:t xml:space="preserve">показват, че дулоксетин не индуцира каталитичната активност на </w:t>
      </w:r>
      <w:r w:rsidRPr="00DE1F33">
        <w:rPr>
          <w:rFonts w:eastAsia="Times New Roman" w:cs="Arial"/>
          <w:color w:val="000000"/>
          <w:lang w:val="en-US"/>
        </w:rPr>
        <w:t>CYP</w:t>
      </w:r>
      <w:r w:rsidRPr="00DE1F33">
        <w:rPr>
          <w:rFonts w:eastAsia="Times New Roman" w:cs="Arial"/>
          <w:color w:val="000000"/>
          <w:lang w:val="ru-RU"/>
        </w:rPr>
        <w:t>3</w:t>
      </w:r>
      <w:r w:rsidRPr="00DE1F33">
        <w:rPr>
          <w:rFonts w:eastAsia="Times New Roman" w:cs="Arial"/>
          <w:color w:val="000000"/>
          <w:lang w:val="en-US"/>
        </w:rPr>
        <w:t>A</w:t>
      </w:r>
      <w:r w:rsidRPr="00DE1F33">
        <w:rPr>
          <w:rFonts w:eastAsia="Times New Roman" w:cs="Arial"/>
          <w:color w:val="000000"/>
          <w:lang w:val="ru-RU"/>
        </w:rPr>
        <w:t>.</w:t>
      </w:r>
      <w:r w:rsidRPr="00DE1F33">
        <w:rPr>
          <w:rFonts w:eastAsia="Times New Roman" w:cs="Arial"/>
          <w:color w:val="000000"/>
          <w:lang w:eastAsia="bg-BG"/>
        </w:rPr>
        <w:t xml:space="preserve"> Специфични </w:t>
      </w:r>
      <w:r w:rsidRPr="00DE1F33">
        <w:rPr>
          <w:rFonts w:eastAsia="Times New Roman" w:cs="Arial"/>
          <w:color w:val="000000"/>
          <w:lang w:val="en-US"/>
        </w:rPr>
        <w:t>in</w:t>
      </w:r>
      <w:r w:rsidRPr="00DE1F33">
        <w:rPr>
          <w:rFonts w:eastAsia="Times New Roman" w:cs="Arial"/>
          <w:color w:val="000000"/>
          <w:lang w:val="ru-RU"/>
        </w:rPr>
        <w:t xml:space="preserve"> </w:t>
      </w:r>
      <w:r w:rsidRPr="00DE1F33">
        <w:rPr>
          <w:rFonts w:eastAsia="Times New Roman" w:cs="Arial"/>
          <w:color w:val="000000"/>
          <w:lang w:val="en-US"/>
        </w:rPr>
        <w:t>vivo</w:t>
      </w:r>
      <w:r w:rsidRPr="00DE1F33">
        <w:rPr>
          <w:rFonts w:eastAsia="Times New Roman" w:cs="Arial"/>
          <w:color w:val="000000"/>
          <w:lang w:val="ru-RU"/>
        </w:rPr>
        <w:t xml:space="preserve"> </w:t>
      </w:r>
      <w:r w:rsidRPr="00DE1F33">
        <w:rPr>
          <w:rFonts w:eastAsia="Times New Roman" w:cs="Arial"/>
          <w:color w:val="000000"/>
          <w:lang w:eastAsia="bg-BG"/>
        </w:rPr>
        <w:t>проучвания за лекарствени взаимодействия не са провеждани.</w:t>
      </w:r>
    </w:p>
    <w:p w14:paraId="0F9CA5D5" w14:textId="77777777" w:rsidR="00DE1F33" w:rsidRPr="00DE1F33" w:rsidRDefault="00DE1F33" w:rsidP="00DE1F33">
      <w:pPr>
        <w:rPr>
          <w:rFonts w:eastAsia="Times New Roman" w:cs="Arial"/>
          <w:i/>
          <w:iCs/>
          <w:color w:val="000000"/>
          <w:lang w:eastAsia="bg-BG"/>
        </w:rPr>
      </w:pPr>
    </w:p>
    <w:p w14:paraId="43E8AB18" w14:textId="77777777" w:rsidR="00DE1F33" w:rsidRPr="00DE1F33" w:rsidRDefault="00DE1F33" w:rsidP="00DE1F33">
      <w:pPr>
        <w:rPr>
          <w:rFonts w:eastAsia="Times New Roman" w:cs="Arial"/>
          <w:sz w:val="24"/>
          <w:szCs w:val="24"/>
        </w:rPr>
      </w:pPr>
      <w:r w:rsidRPr="00DE1F33">
        <w:rPr>
          <w:rFonts w:eastAsia="Times New Roman" w:cs="Arial"/>
          <w:i/>
          <w:iCs/>
          <w:color w:val="000000"/>
          <w:lang w:eastAsia="bg-BG"/>
        </w:rPr>
        <w:t>Антикоагуланти и антиагреганти:</w:t>
      </w:r>
      <w:r w:rsidRPr="00DE1F33">
        <w:rPr>
          <w:rFonts w:eastAsia="Times New Roman" w:cs="Arial"/>
          <w:color w:val="000000"/>
          <w:lang w:eastAsia="bg-BG"/>
        </w:rPr>
        <w:t xml:space="preserve"> Изисква се повишено внимание, когато</w:t>
      </w:r>
      <w:r w:rsidRPr="00DE1F33">
        <w:rPr>
          <w:rFonts w:eastAsia="Times New Roman" w:cs="Arial"/>
          <w:color w:val="000000"/>
          <w:lang w:val="ru-RU"/>
        </w:rPr>
        <w:t xml:space="preserve"> </w:t>
      </w:r>
      <w:r w:rsidRPr="00DE1F33">
        <w:rPr>
          <w:rFonts w:eastAsia="Times New Roman" w:cs="Arial"/>
          <w:color w:val="000000"/>
          <w:lang w:eastAsia="bg-BG"/>
        </w:rPr>
        <w:t xml:space="preserve">дулексетин се комбинира с перорални атникоагуланти или антиагреганти поради потенциално повишен риск от кървене, което може да се обясни с фармакодинамично взаимодействие. Освен това е съобщавано повишаване на стойностите на </w:t>
      </w:r>
      <w:r w:rsidRPr="00DE1F33">
        <w:rPr>
          <w:rFonts w:eastAsia="Times New Roman" w:cs="Arial"/>
          <w:color w:val="000000"/>
          <w:lang w:val="en-US"/>
        </w:rPr>
        <w:t>INR</w:t>
      </w:r>
      <w:r w:rsidRPr="00DE1F33">
        <w:rPr>
          <w:rFonts w:eastAsia="Times New Roman" w:cs="Arial"/>
          <w:color w:val="000000"/>
          <w:lang w:val="ru-RU"/>
        </w:rPr>
        <w:t xml:space="preserve"> </w:t>
      </w:r>
      <w:r w:rsidRPr="00DE1F33">
        <w:rPr>
          <w:rFonts w:eastAsia="Times New Roman" w:cs="Arial"/>
          <w:color w:val="000000"/>
          <w:lang w:eastAsia="bg-BG"/>
        </w:rPr>
        <w:t xml:space="preserve">когато на пациенти, лекувани с варфарин, се прилага едновременно дулоксетин. Все пак, едновременното прилагане на дулоксетин и варфарин на здрави доброволци, като част от клинично фармакологично проучване, при стационарно състояние не води до клинично значима промяна в </w:t>
      </w:r>
      <w:r w:rsidRPr="00DE1F33">
        <w:rPr>
          <w:rFonts w:eastAsia="Times New Roman" w:cs="Arial"/>
          <w:color w:val="000000"/>
          <w:lang w:val="en-US"/>
        </w:rPr>
        <w:t>INR</w:t>
      </w:r>
      <w:r w:rsidRPr="00DE1F33">
        <w:rPr>
          <w:rFonts w:eastAsia="Times New Roman" w:cs="Arial"/>
          <w:color w:val="000000"/>
          <w:lang w:val="ru-RU"/>
        </w:rPr>
        <w:t xml:space="preserve"> </w:t>
      </w:r>
      <w:r w:rsidRPr="00DE1F33">
        <w:rPr>
          <w:rFonts w:eastAsia="Times New Roman" w:cs="Arial"/>
          <w:color w:val="000000"/>
          <w:lang w:eastAsia="bg-BG"/>
        </w:rPr>
        <w:t xml:space="preserve">спрямо изходното ниво или във фармакокинетиката на </w:t>
      </w:r>
      <w:r w:rsidRPr="00DE1F33">
        <w:rPr>
          <w:rFonts w:eastAsia="Times New Roman" w:cs="Arial"/>
          <w:color w:val="000000"/>
          <w:lang w:val="en-US"/>
        </w:rPr>
        <w:t>R</w:t>
      </w:r>
      <w:r w:rsidRPr="00DE1F33">
        <w:rPr>
          <w:rFonts w:eastAsia="Times New Roman" w:cs="Arial"/>
          <w:color w:val="000000"/>
          <w:lang w:val="ru-RU"/>
        </w:rPr>
        <w:t xml:space="preserve">- </w:t>
      </w:r>
      <w:r w:rsidRPr="00DE1F33">
        <w:rPr>
          <w:rFonts w:eastAsia="Times New Roman" w:cs="Arial"/>
          <w:color w:val="000000"/>
          <w:lang w:eastAsia="bg-BG"/>
        </w:rPr>
        <w:t xml:space="preserve">или </w:t>
      </w:r>
      <w:r w:rsidRPr="00DE1F33">
        <w:rPr>
          <w:rFonts w:eastAsia="Times New Roman" w:cs="Arial"/>
          <w:color w:val="000000"/>
          <w:lang w:val="en-US"/>
        </w:rPr>
        <w:t>S</w:t>
      </w:r>
      <w:r w:rsidRPr="00DE1F33">
        <w:rPr>
          <w:rFonts w:eastAsia="Times New Roman" w:cs="Arial"/>
          <w:color w:val="000000"/>
          <w:lang w:val="ru-RU"/>
        </w:rPr>
        <w:t xml:space="preserve">- </w:t>
      </w:r>
      <w:r w:rsidRPr="00DE1F33">
        <w:rPr>
          <w:rFonts w:eastAsia="Times New Roman" w:cs="Arial"/>
          <w:color w:val="000000"/>
          <w:lang w:eastAsia="bg-BG"/>
        </w:rPr>
        <w:t>варфарин.</w:t>
      </w:r>
    </w:p>
    <w:p w14:paraId="5A22F9FA" w14:textId="77777777" w:rsidR="00DE1F33" w:rsidRPr="00DE1F33" w:rsidRDefault="00DE1F33" w:rsidP="00DE1F33">
      <w:pPr>
        <w:spacing w:line="240" w:lineRule="auto"/>
        <w:rPr>
          <w:rFonts w:eastAsia="Times New Roman" w:cs="Arial"/>
          <w:i/>
          <w:iCs/>
          <w:color w:val="000000"/>
          <w:lang w:eastAsia="bg-BG"/>
        </w:rPr>
      </w:pPr>
    </w:p>
    <w:p w14:paraId="4FF884AB" w14:textId="0D56E885"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Ефекти на други лекарствени продукти върху дулоксетин</w:t>
      </w:r>
    </w:p>
    <w:p w14:paraId="0C0682DE" w14:textId="5E37105C"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Антиацидни лекарства и Н2 антагонисти:</w:t>
      </w:r>
      <w:r w:rsidRPr="00DE1F33">
        <w:rPr>
          <w:rFonts w:eastAsia="Times New Roman" w:cs="Arial"/>
          <w:color w:val="000000"/>
          <w:lang w:eastAsia="bg-BG"/>
        </w:rPr>
        <w:t xml:space="preserve"> Съвместното приложение на дулоксетин с антиациди, съдържащи алуминий и магнезий, или на дулоксетин с фамотидин, няма значим ефект върху скоростта или степента на резорбия на дулоксетин след приложение на доза от 40 </w:t>
      </w:r>
      <w:r w:rsidRPr="00DE1F33">
        <w:rPr>
          <w:rFonts w:eastAsia="Times New Roman" w:cs="Arial"/>
          <w:color w:val="000000"/>
          <w:lang w:val="en-US"/>
        </w:rPr>
        <w:t>mg</w:t>
      </w:r>
      <w:r w:rsidRPr="00DE1F33">
        <w:rPr>
          <w:rFonts w:eastAsia="Times New Roman" w:cs="Arial"/>
          <w:color w:val="000000"/>
          <w:lang w:val="ru-RU"/>
        </w:rPr>
        <w:t xml:space="preserve"> </w:t>
      </w:r>
      <w:r w:rsidRPr="00DE1F33">
        <w:rPr>
          <w:rFonts w:eastAsia="Times New Roman" w:cs="Arial"/>
          <w:color w:val="000000"/>
          <w:lang w:eastAsia="bg-BG"/>
        </w:rPr>
        <w:t>перорално.</w:t>
      </w:r>
    </w:p>
    <w:p w14:paraId="7CA1EDBA" w14:textId="77777777" w:rsidR="00DE1F33" w:rsidRPr="00DE1F33" w:rsidRDefault="00DE1F33" w:rsidP="00DE1F33">
      <w:pPr>
        <w:rPr>
          <w:rFonts w:eastAsia="Times New Roman" w:cs="Arial"/>
          <w:i/>
          <w:iCs/>
          <w:color w:val="000000"/>
          <w:lang w:eastAsia="bg-BG"/>
        </w:rPr>
      </w:pPr>
    </w:p>
    <w:p w14:paraId="2780A7DE" w14:textId="10407FE9" w:rsidR="00DE1F33" w:rsidRDefault="00DE1F33" w:rsidP="00DE1F33">
      <w:pPr>
        <w:rPr>
          <w:rFonts w:eastAsia="Times New Roman" w:cs="Arial"/>
          <w:color w:val="000000"/>
          <w:lang w:eastAsia="bg-BG"/>
        </w:rPr>
      </w:pPr>
      <w:r w:rsidRPr="00DE1F33">
        <w:rPr>
          <w:rFonts w:eastAsia="Times New Roman" w:cs="Arial"/>
          <w:i/>
          <w:iCs/>
          <w:color w:val="000000"/>
          <w:lang w:eastAsia="bg-BG"/>
        </w:rPr>
        <w:t xml:space="preserve">Индуктори на </w:t>
      </w:r>
      <w:r w:rsidRPr="00DE1F33">
        <w:rPr>
          <w:rFonts w:eastAsia="Times New Roman" w:cs="Arial"/>
          <w:i/>
          <w:iCs/>
          <w:color w:val="000000"/>
          <w:lang w:val="en-US"/>
        </w:rPr>
        <w:t>CYP</w:t>
      </w:r>
      <w:r w:rsidRPr="00DE1F33">
        <w:rPr>
          <w:rFonts w:eastAsia="Times New Roman" w:cs="Arial"/>
          <w:i/>
          <w:iCs/>
          <w:color w:val="000000"/>
          <w:lang w:val="ru-RU"/>
        </w:rPr>
        <w:t>1</w:t>
      </w:r>
      <w:r w:rsidRPr="00DE1F33">
        <w:rPr>
          <w:rFonts w:eastAsia="Times New Roman" w:cs="Arial"/>
          <w:i/>
          <w:iCs/>
          <w:color w:val="000000"/>
          <w:lang w:val="en-US"/>
        </w:rPr>
        <w:t>A</w:t>
      </w:r>
      <w:r w:rsidRPr="00DE1F33">
        <w:rPr>
          <w:rFonts w:eastAsia="Times New Roman" w:cs="Arial"/>
          <w:i/>
          <w:iCs/>
          <w:color w:val="000000"/>
          <w:lang w:val="ru-RU"/>
        </w:rPr>
        <w:t>2:</w:t>
      </w:r>
      <w:r w:rsidRPr="00DE1F33">
        <w:rPr>
          <w:rFonts w:eastAsia="Times New Roman" w:cs="Arial"/>
          <w:color w:val="000000"/>
          <w:lang w:val="ru-RU"/>
        </w:rPr>
        <w:t xml:space="preserve"> </w:t>
      </w:r>
      <w:r w:rsidRPr="00DE1F33">
        <w:rPr>
          <w:rFonts w:eastAsia="Times New Roman" w:cs="Arial"/>
          <w:color w:val="000000"/>
          <w:lang w:eastAsia="bg-BG"/>
        </w:rPr>
        <w:t>Анализи на популационни фармакокинетични проучвания показват, че пушачите имат почти 50% по-ниски плазмени концентрации на дулоксетин в сравнение с непушачите.</w:t>
      </w:r>
    </w:p>
    <w:p w14:paraId="1577C638" w14:textId="77777777" w:rsidR="00DE1F33" w:rsidRPr="00DE1F33" w:rsidRDefault="00DE1F33" w:rsidP="00DE1F33">
      <w:pPr>
        <w:rPr>
          <w:rFonts w:cs="Arial"/>
        </w:rPr>
      </w:pPr>
    </w:p>
    <w:p w14:paraId="5D9F40EA" w14:textId="6736F2E4" w:rsidR="007122AD" w:rsidRDefault="002C50EE" w:rsidP="00936AD0">
      <w:pPr>
        <w:pStyle w:val="Heading2"/>
      </w:pPr>
      <w:r>
        <w:lastRenderedPageBreak/>
        <w:t>4.6. Фертилитет, бременност и кърмене</w:t>
      </w:r>
    </w:p>
    <w:p w14:paraId="4211115C" w14:textId="23D3CBEB" w:rsidR="00DE1F33" w:rsidRDefault="00DE1F33" w:rsidP="00DE1F33"/>
    <w:p w14:paraId="6C7E5BED" w14:textId="08BB3081" w:rsidR="00DE1F33" w:rsidRPr="00DE1F33" w:rsidRDefault="00DE1F33" w:rsidP="00DE1F33">
      <w:pPr>
        <w:pStyle w:val="Heading3"/>
        <w:rPr>
          <w:u w:val="single"/>
        </w:rPr>
      </w:pPr>
      <w:r w:rsidRPr="00DE1F33">
        <w:rPr>
          <w:u w:val="single"/>
        </w:rPr>
        <w:t>Фертилитет</w:t>
      </w:r>
    </w:p>
    <w:p w14:paraId="08E5DC91"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Дулоксетин няма ефект върху фертилитета при мъже, а ефектите при жени очевидно са само в дози, които причиняват токсичност за майката.</w:t>
      </w:r>
    </w:p>
    <w:p w14:paraId="0A066796" w14:textId="77777777" w:rsidR="00DE1F33" w:rsidRPr="00DE1F33" w:rsidRDefault="00DE1F33" w:rsidP="00DE1F33">
      <w:pPr>
        <w:spacing w:line="240" w:lineRule="auto"/>
        <w:rPr>
          <w:rFonts w:eastAsia="Times New Roman" w:cs="Arial"/>
          <w:color w:val="000000"/>
          <w:u w:val="single"/>
          <w:lang w:eastAsia="bg-BG"/>
        </w:rPr>
      </w:pPr>
    </w:p>
    <w:p w14:paraId="754B5235" w14:textId="2A689AC6" w:rsidR="00DE1F33" w:rsidRPr="00DE1F33" w:rsidRDefault="00DE1F33" w:rsidP="00DE1F33">
      <w:pPr>
        <w:pStyle w:val="Heading3"/>
        <w:rPr>
          <w:u w:val="single"/>
        </w:rPr>
      </w:pPr>
      <w:r w:rsidRPr="00DE1F33">
        <w:rPr>
          <w:u w:val="single"/>
        </w:rPr>
        <w:t>Бременност</w:t>
      </w:r>
    </w:p>
    <w:p w14:paraId="659DA98C"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Няма адекватни данни за употреба на дулоксетин от бременни жени. Проучвания с животни показват, репродуктивна токсичност при нива на системна експозиция </w:t>
      </w:r>
      <w:r w:rsidRPr="00DE1F33">
        <w:rPr>
          <w:rFonts w:eastAsia="Times New Roman" w:cs="Arial"/>
          <w:color w:val="000000"/>
          <w:lang w:val="ru-RU"/>
        </w:rPr>
        <w:t>(</w:t>
      </w:r>
      <w:r w:rsidRPr="00DE1F33">
        <w:rPr>
          <w:rFonts w:eastAsia="Times New Roman" w:cs="Arial"/>
          <w:color w:val="000000"/>
          <w:lang w:val="en-US"/>
        </w:rPr>
        <w:t>AUC</w:t>
      </w:r>
      <w:r w:rsidRPr="00DE1F33">
        <w:rPr>
          <w:rFonts w:eastAsia="Times New Roman" w:cs="Arial"/>
          <w:color w:val="000000"/>
          <w:lang w:val="ru-RU"/>
        </w:rPr>
        <w:t xml:space="preserve">) </w:t>
      </w:r>
      <w:r w:rsidRPr="00DE1F33">
        <w:rPr>
          <w:rFonts w:eastAsia="Times New Roman" w:cs="Arial"/>
          <w:color w:val="000000"/>
          <w:lang w:eastAsia="bg-BG"/>
        </w:rPr>
        <w:t>на дулоксетин по-ниски от максималната клинична експозиция (вж. точка 5.3).</w:t>
      </w:r>
    </w:p>
    <w:p w14:paraId="24E6AF2B" w14:textId="77777777" w:rsidR="00DE1F33" w:rsidRPr="00DE1F33" w:rsidRDefault="00DE1F33" w:rsidP="00DE1F33">
      <w:pPr>
        <w:spacing w:line="240" w:lineRule="auto"/>
        <w:rPr>
          <w:rFonts w:eastAsia="Times New Roman" w:cs="Arial"/>
          <w:color w:val="000000"/>
          <w:lang w:eastAsia="bg-BG"/>
        </w:rPr>
      </w:pPr>
    </w:p>
    <w:p w14:paraId="6C7E4815" w14:textId="32C0AE2C" w:rsidR="00DE1F33" w:rsidRPr="00DE1F33" w:rsidRDefault="00DE1F33" w:rsidP="00DE1F33">
      <w:pPr>
        <w:spacing w:line="240" w:lineRule="auto"/>
        <w:rPr>
          <w:rFonts w:eastAsia="Times New Roman" w:cs="Arial"/>
        </w:rPr>
      </w:pPr>
      <w:r w:rsidRPr="00DE1F33">
        <w:rPr>
          <w:rFonts w:eastAsia="Times New Roman" w:cs="Arial"/>
          <w:color w:val="000000"/>
          <w:lang w:eastAsia="bg-BG"/>
        </w:rPr>
        <w:t>Потенциалният риск за хора не е известен.</w:t>
      </w:r>
    </w:p>
    <w:p w14:paraId="2536A1D4" w14:textId="77777777" w:rsidR="00DE1F33" w:rsidRPr="00DE1F33" w:rsidRDefault="00DE1F33" w:rsidP="00DE1F33">
      <w:pPr>
        <w:spacing w:line="240" w:lineRule="auto"/>
        <w:rPr>
          <w:rFonts w:eastAsia="Times New Roman" w:cs="Arial"/>
          <w:color w:val="000000"/>
          <w:lang w:eastAsia="bg-BG"/>
        </w:rPr>
      </w:pPr>
    </w:p>
    <w:p w14:paraId="43A040DE" w14:textId="40DACEA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Епидемиологичните данни предполагат, че употребата на </w:t>
      </w:r>
      <w:r w:rsidRPr="00DE1F33">
        <w:rPr>
          <w:rFonts w:eastAsia="Times New Roman" w:cs="Arial"/>
          <w:color w:val="000000"/>
          <w:lang w:val="en-US"/>
        </w:rPr>
        <w:t>SSRIs</w:t>
      </w:r>
      <w:r w:rsidRPr="00DE1F33">
        <w:rPr>
          <w:rFonts w:eastAsia="Times New Roman" w:cs="Arial"/>
          <w:color w:val="000000"/>
          <w:lang w:val="ru-RU"/>
        </w:rPr>
        <w:t xml:space="preserve"> </w:t>
      </w:r>
      <w:r w:rsidRPr="00DE1F33">
        <w:rPr>
          <w:rFonts w:eastAsia="Times New Roman" w:cs="Arial"/>
          <w:color w:val="000000"/>
          <w:lang w:eastAsia="bg-BG"/>
        </w:rPr>
        <w:t xml:space="preserve">по време на бременност, особено в напреднала бременност, може да повиши риска от персистираща пулмонална хипертония при новороденото (ППХН). Макар в проучвания да не е изследвана връзката на ППХН с лечението с </w:t>
      </w:r>
      <w:r w:rsidRPr="00DE1F33">
        <w:rPr>
          <w:rFonts w:eastAsia="Times New Roman" w:cs="Arial"/>
          <w:color w:val="000000"/>
          <w:lang w:val="en-US"/>
        </w:rPr>
        <w:t>SNRI</w:t>
      </w:r>
      <w:r w:rsidRPr="00DE1F33">
        <w:rPr>
          <w:rFonts w:eastAsia="Times New Roman" w:cs="Arial"/>
          <w:color w:val="000000"/>
          <w:lang w:val="ru-RU"/>
        </w:rPr>
        <w:t xml:space="preserve">, </w:t>
      </w:r>
      <w:r w:rsidRPr="00DE1F33">
        <w:rPr>
          <w:rFonts w:eastAsia="Times New Roman" w:cs="Arial"/>
          <w:color w:val="000000"/>
          <w:lang w:eastAsia="bg-BG"/>
        </w:rPr>
        <w:t>този потенциален риск не може да бъде изключен при дулоксетин, вземайки под внимание свързания механизъм на действие (инхибиране на обратното захващане на серотонин).</w:t>
      </w:r>
    </w:p>
    <w:p w14:paraId="439BA91F" w14:textId="77777777" w:rsidR="00DE1F33" w:rsidRPr="00DE1F33" w:rsidRDefault="00DE1F33" w:rsidP="00DE1F33">
      <w:pPr>
        <w:spacing w:line="240" w:lineRule="auto"/>
        <w:rPr>
          <w:rFonts w:eastAsia="Times New Roman" w:cs="Arial"/>
          <w:color w:val="000000"/>
          <w:lang w:eastAsia="bg-BG"/>
        </w:rPr>
      </w:pPr>
    </w:p>
    <w:p w14:paraId="75E56C92" w14:textId="3BEB0E98" w:rsidR="00DE1F33" w:rsidRPr="00DE1F33" w:rsidRDefault="00DE1F33" w:rsidP="00DE1F33">
      <w:pPr>
        <w:spacing w:line="240" w:lineRule="auto"/>
        <w:rPr>
          <w:rFonts w:eastAsia="Times New Roman" w:cs="Arial"/>
        </w:rPr>
      </w:pPr>
      <w:r w:rsidRPr="00DE1F33">
        <w:rPr>
          <w:rFonts w:eastAsia="Times New Roman" w:cs="Arial"/>
          <w:color w:val="000000"/>
          <w:lang w:eastAsia="bg-BG"/>
        </w:rPr>
        <w:t>Подобно на другите серотонергични лекарствени продукти, могат да се проявят симптоми на отнемане при новородени след употреба на дулоксетин от майката близко до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наблюдавани или при раждането, или в течение на няколко дни след раждането.</w:t>
      </w:r>
    </w:p>
    <w:p w14:paraId="21456AFD" w14:textId="77777777" w:rsidR="00DE1F33" w:rsidRPr="00DE1F33" w:rsidRDefault="00DE1F33" w:rsidP="00DE1F33">
      <w:pPr>
        <w:spacing w:line="240" w:lineRule="auto"/>
        <w:rPr>
          <w:rFonts w:eastAsia="Times New Roman" w:cs="Arial"/>
          <w:color w:val="000000"/>
          <w:lang w:eastAsia="bg-BG"/>
        </w:rPr>
      </w:pPr>
    </w:p>
    <w:p w14:paraId="7D831AC4" w14:textId="45B3E42D" w:rsidR="00DE1F33" w:rsidRPr="00DE1F33" w:rsidRDefault="00DE1F33" w:rsidP="00DE1F33">
      <w:pPr>
        <w:spacing w:line="240" w:lineRule="auto"/>
        <w:rPr>
          <w:rFonts w:eastAsia="Times New Roman" w:cs="Arial"/>
        </w:rPr>
      </w:pPr>
      <w:r w:rsidRPr="00DE1F33">
        <w:rPr>
          <w:rFonts w:eastAsia="Times New Roman" w:cs="Arial"/>
          <w:color w:val="000000"/>
          <w:lang w:eastAsia="bg-BG"/>
        </w:rPr>
        <w:t>ДУКСЕТ трябва да се използва по време на бременност, само ако потенциалните ползи оправдават потенциалния риск за плода. Жените трябва да бъдат съветвани да информират лекаря си, ако забременеят, или планират забременяване по време на лечението.</w:t>
      </w:r>
    </w:p>
    <w:p w14:paraId="799F504F" w14:textId="77777777" w:rsidR="00DE1F33" w:rsidRPr="00DE1F33" w:rsidRDefault="00DE1F33" w:rsidP="00DE1F33">
      <w:pPr>
        <w:spacing w:line="240" w:lineRule="auto"/>
        <w:rPr>
          <w:rFonts w:eastAsia="Times New Roman" w:cs="Arial"/>
          <w:color w:val="000000"/>
          <w:u w:val="single"/>
          <w:lang w:eastAsia="bg-BG"/>
        </w:rPr>
      </w:pPr>
    </w:p>
    <w:p w14:paraId="29A6C99D" w14:textId="7F26412D" w:rsidR="00DE1F33" w:rsidRPr="00DE1F33" w:rsidRDefault="00DE1F33" w:rsidP="00DE1F33">
      <w:pPr>
        <w:pStyle w:val="Heading3"/>
        <w:rPr>
          <w:u w:val="single"/>
        </w:rPr>
      </w:pPr>
      <w:r w:rsidRPr="00DE1F33">
        <w:rPr>
          <w:u w:val="single"/>
        </w:rPr>
        <w:t>Кърмене</w:t>
      </w:r>
    </w:p>
    <w:p w14:paraId="7E9161F9" w14:textId="77777777" w:rsidR="00DE1F33" w:rsidRPr="00DE1F33" w:rsidRDefault="00DE1F33" w:rsidP="00DE1F33">
      <w:pPr>
        <w:spacing w:line="240" w:lineRule="auto"/>
        <w:rPr>
          <w:rFonts w:eastAsia="Times New Roman" w:cs="Arial"/>
        </w:rPr>
      </w:pPr>
      <w:r w:rsidRPr="00DE1F33">
        <w:rPr>
          <w:rFonts w:eastAsia="Times New Roman" w:cs="Arial"/>
          <w:color w:val="000000"/>
          <w:lang w:eastAsia="bg-BG"/>
        </w:rPr>
        <w:t xml:space="preserve">Дулоксетин се отделя в много малка степен в кърмата на базата на изследване на 6 пациентки с лактация, които не са кърмили своите деца. Приблизителната детска дневна доза на база </w:t>
      </w:r>
      <w:r w:rsidRPr="00DE1F33">
        <w:rPr>
          <w:rFonts w:eastAsia="Times New Roman" w:cs="Arial"/>
          <w:color w:val="000000"/>
          <w:lang w:val="en-US"/>
        </w:rPr>
        <w:t>mg</w:t>
      </w:r>
      <w:r w:rsidRPr="00DE1F33">
        <w:rPr>
          <w:rFonts w:eastAsia="Times New Roman" w:cs="Arial"/>
          <w:color w:val="000000"/>
          <w:lang w:val="ru-RU"/>
        </w:rPr>
        <w:t>/</w:t>
      </w:r>
      <w:r w:rsidRPr="00DE1F33">
        <w:rPr>
          <w:rFonts w:eastAsia="Times New Roman" w:cs="Arial"/>
          <w:color w:val="000000"/>
          <w:lang w:val="en-US"/>
        </w:rPr>
        <w:t>kg</w:t>
      </w:r>
      <w:r w:rsidRPr="00DE1F33">
        <w:rPr>
          <w:rFonts w:eastAsia="Times New Roman" w:cs="Arial"/>
          <w:color w:val="000000"/>
          <w:lang w:val="ru-RU"/>
        </w:rPr>
        <w:t xml:space="preserve"> </w:t>
      </w:r>
      <w:r w:rsidRPr="00DE1F33">
        <w:rPr>
          <w:rFonts w:eastAsia="Times New Roman" w:cs="Arial"/>
          <w:color w:val="000000"/>
          <w:lang w:eastAsia="bg-BG"/>
        </w:rPr>
        <w:t>е приблизително 0,14% от дозата на майката (вж. точка 5.2). Тъй като безопасността на дулоксетин при бебета не е установена, употребата на ДУКСЕТ по време на кърмене не се препоръчва.</w:t>
      </w:r>
    </w:p>
    <w:p w14:paraId="0F42B384" w14:textId="77777777" w:rsidR="00DE1F33" w:rsidRPr="00DE1F33" w:rsidRDefault="00DE1F33" w:rsidP="00DE1F33"/>
    <w:p w14:paraId="5DD7A76D" w14:textId="2EFC0B24" w:rsidR="007122AD" w:rsidRDefault="002C50EE" w:rsidP="00936AD0">
      <w:pPr>
        <w:pStyle w:val="Heading2"/>
      </w:pPr>
      <w:r>
        <w:t>4.7. Ефекти върху способността за шофиране и работа с машини</w:t>
      </w:r>
    </w:p>
    <w:p w14:paraId="164431C8" w14:textId="513686FE" w:rsidR="00DE1F33" w:rsidRDefault="00DE1F33" w:rsidP="00DE1F33"/>
    <w:p w14:paraId="33E5A719" w14:textId="518DE014" w:rsidR="00DE1F33" w:rsidRDefault="00DE1F33" w:rsidP="00DE1F33">
      <w:r>
        <w:t>Не са извършвани проучвания върху способността за шофиране и работа с машини. ДУКСЕТ може да бъде свързана със седиране и замаяност. Пациентите трябва да бъдат уведомявани, че ако изпитват седиране или замаяност, трябва да избягват потенциално рискови работи като шофиране или работа с машини.</w:t>
      </w:r>
    </w:p>
    <w:p w14:paraId="4ADA4205" w14:textId="77777777" w:rsidR="00DE1F33" w:rsidRPr="00DE1F33" w:rsidRDefault="00DE1F33" w:rsidP="00DE1F33"/>
    <w:p w14:paraId="44CE30A3" w14:textId="4D21AC20" w:rsidR="007122AD" w:rsidRDefault="002C50EE" w:rsidP="00936AD0">
      <w:pPr>
        <w:pStyle w:val="Heading2"/>
      </w:pPr>
      <w:r>
        <w:t>4.8. Нежелани лекарствени реакции</w:t>
      </w:r>
    </w:p>
    <w:p w14:paraId="1FD53639" w14:textId="3223A318" w:rsidR="00DE1F33" w:rsidRDefault="00DE1F33" w:rsidP="00DE1F33"/>
    <w:p w14:paraId="73F8251C" w14:textId="7E84B5CB" w:rsidR="00DE1F33" w:rsidRPr="00DE1F33" w:rsidRDefault="00DE1F33" w:rsidP="00DE1F33">
      <w:pPr>
        <w:spacing w:line="240" w:lineRule="auto"/>
        <w:rPr>
          <w:rFonts w:eastAsia="Times New Roman" w:cs="Arial"/>
          <w:i/>
          <w:iCs/>
          <w:color w:val="000000"/>
          <w:lang w:eastAsia="bg-BG"/>
        </w:rPr>
      </w:pPr>
      <w:r w:rsidRPr="00DE1F33">
        <w:rPr>
          <w:rFonts w:eastAsia="Times New Roman" w:cs="Arial"/>
          <w:i/>
          <w:iCs/>
          <w:color w:val="000000"/>
          <w:lang w:eastAsia="bg-BG"/>
        </w:rPr>
        <w:lastRenderedPageBreak/>
        <w:t>А. Резюме на профила на безопасност</w:t>
      </w:r>
    </w:p>
    <w:p w14:paraId="11B4894D"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Най-често съобщаваните нежелани реакции при пациенти, лекувани с ДУКСЕТ, са гадене, главоболие, сухота в устата, сомнолентност и замайване. Въпреки това, повечето от честите нежелани реакции са леки до умерени, те обикновено започват рано по време на лечението, и по-голяма част са с тенденция да отминат дори, когато терапията бъде продължена.</w:t>
      </w:r>
    </w:p>
    <w:p w14:paraId="47A08CF5" w14:textId="77777777" w:rsidR="00DE1F33" w:rsidRPr="00DE1F33" w:rsidRDefault="00DE1F33" w:rsidP="00DE1F33">
      <w:pPr>
        <w:spacing w:line="240" w:lineRule="auto"/>
        <w:rPr>
          <w:rFonts w:eastAsia="Times New Roman" w:cs="Arial"/>
          <w:i/>
          <w:iCs/>
          <w:color w:val="000000"/>
          <w:lang w:eastAsia="bg-BG"/>
        </w:rPr>
      </w:pPr>
    </w:p>
    <w:p w14:paraId="560418A0" w14:textId="74ED12FE" w:rsidR="00DE1F33" w:rsidRPr="00DE1F33" w:rsidRDefault="00DE1F33" w:rsidP="00DE1F33">
      <w:pPr>
        <w:spacing w:line="240" w:lineRule="auto"/>
        <w:rPr>
          <w:rFonts w:eastAsia="Times New Roman" w:cs="Arial"/>
          <w:i/>
          <w:iCs/>
          <w:color w:val="000000"/>
          <w:lang w:eastAsia="bg-BG"/>
        </w:rPr>
      </w:pPr>
      <w:r w:rsidRPr="00DE1F33">
        <w:rPr>
          <w:rFonts w:eastAsia="Times New Roman" w:cs="Arial"/>
          <w:i/>
          <w:iCs/>
          <w:color w:val="000000"/>
          <w:lang w:eastAsia="bg-BG"/>
        </w:rPr>
        <w:t>Б. Резюме на нежеланите лекарствени реакции, представено в таблица</w:t>
      </w:r>
    </w:p>
    <w:p w14:paraId="7631A12A"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Таблица 1 показва нежеланите реакции, наблюдавани при спонтанно съобщаване и при плацебо- контролирани клинични проучвания (включващи общо 7 819 пациенти, 4 823 на дулоксетин и 2 996 на плацебо) с депресия, генерализирано тревожно разстройство и диабетна невропатна болка.</w:t>
      </w:r>
    </w:p>
    <w:p w14:paraId="52A73595" w14:textId="77777777" w:rsidR="00DE1F33" w:rsidRPr="00DE1F33" w:rsidRDefault="00DE1F33" w:rsidP="00DE1F33">
      <w:pPr>
        <w:spacing w:line="240" w:lineRule="auto"/>
        <w:rPr>
          <w:rFonts w:eastAsia="Times New Roman" w:cs="Arial"/>
          <w:i/>
          <w:iCs/>
          <w:color w:val="000000"/>
          <w:lang w:eastAsia="bg-BG"/>
        </w:rPr>
      </w:pPr>
    </w:p>
    <w:p w14:paraId="6900CFCD" w14:textId="45FE9502" w:rsidR="00DE1F33" w:rsidRPr="00DE1F33" w:rsidRDefault="00DE1F33" w:rsidP="00DE1F33">
      <w:pPr>
        <w:spacing w:line="240" w:lineRule="auto"/>
        <w:rPr>
          <w:rFonts w:eastAsia="Times New Roman" w:cs="Arial"/>
          <w:sz w:val="24"/>
          <w:szCs w:val="24"/>
        </w:rPr>
      </w:pPr>
      <w:r w:rsidRPr="00DE1F33">
        <w:rPr>
          <w:rFonts w:eastAsia="Times New Roman" w:cs="Arial"/>
          <w:i/>
          <w:iCs/>
          <w:color w:val="000000"/>
          <w:lang w:eastAsia="bg-BG"/>
        </w:rPr>
        <w:t>Таблица 1: Нежелани реакции</w:t>
      </w:r>
    </w:p>
    <w:p w14:paraId="5F30DBF0" w14:textId="77777777" w:rsidR="00DE1F33" w:rsidRPr="00DE1F33" w:rsidRDefault="00DE1F33" w:rsidP="00DE1F33">
      <w:pPr>
        <w:spacing w:line="240" w:lineRule="auto"/>
        <w:rPr>
          <w:rFonts w:eastAsia="Times New Roman" w:cs="Arial"/>
          <w:sz w:val="24"/>
          <w:szCs w:val="24"/>
        </w:rPr>
      </w:pPr>
      <w:r w:rsidRPr="00DE1F33">
        <w:rPr>
          <w:rFonts w:eastAsia="Times New Roman" w:cs="Arial"/>
          <w:color w:val="000000"/>
          <w:lang w:eastAsia="bg-BG"/>
        </w:rPr>
        <w:t>Оценка на честота: Много чести (≥1/10), чести (≥1/100 до &lt;1/10), нечести (≥1/1 000 до &lt;1/100), редки (≥1/10 000 до &lt;1/1 000), много редки (&lt;1/10 000).</w:t>
      </w:r>
    </w:p>
    <w:p w14:paraId="132D84F7" w14:textId="77777777" w:rsidR="00DE1F33" w:rsidRPr="00DE1F33" w:rsidRDefault="00DE1F33" w:rsidP="00DE1F33">
      <w:pPr>
        <w:spacing w:line="240" w:lineRule="auto"/>
        <w:rPr>
          <w:rFonts w:eastAsia="Times New Roman" w:cs="Arial"/>
          <w:color w:val="000000"/>
          <w:lang w:eastAsia="bg-BG"/>
        </w:rPr>
      </w:pPr>
    </w:p>
    <w:p w14:paraId="707278AD" w14:textId="376C4423" w:rsidR="00DE1F33" w:rsidRDefault="00DE1F33" w:rsidP="00DE1F33">
      <w:pPr>
        <w:spacing w:line="240" w:lineRule="auto"/>
        <w:rPr>
          <w:rFonts w:eastAsia="Times New Roman" w:cs="Arial"/>
          <w:color w:val="000000"/>
          <w:lang w:eastAsia="bg-BG"/>
        </w:rPr>
      </w:pPr>
      <w:r w:rsidRPr="00DE1F33">
        <w:rPr>
          <w:rFonts w:eastAsia="Times New Roman" w:cs="Arial"/>
          <w:color w:val="000000"/>
          <w:lang w:eastAsia="bg-BG"/>
        </w:rPr>
        <w:t>При всяко групиране в зависимост от честотата нежеланите реакции са представени в низходящ ред по отношение на тяхната сериозност.</w:t>
      </w:r>
    </w:p>
    <w:p w14:paraId="4F7EC61C" w14:textId="4D830061" w:rsidR="00DE1F33" w:rsidRDefault="00DE1F33" w:rsidP="00DE1F33">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2456"/>
        <w:gridCol w:w="1624"/>
        <w:gridCol w:w="2240"/>
        <w:gridCol w:w="1930"/>
        <w:gridCol w:w="1100"/>
      </w:tblGrid>
      <w:tr w:rsidR="00DE1F33" w14:paraId="49BA3A0B" w14:textId="77777777" w:rsidTr="00DE1F33">
        <w:tc>
          <w:tcPr>
            <w:tcW w:w="2620" w:type="dxa"/>
          </w:tcPr>
          <w:p w14:paraId="098A071F" w14:textId="263E9353" w:rsidR="00DE1F33" w:rsidRPr="00DE1F33" w:rsidRDefault="00DE1F33" w:rsidP="00DE1F33">
            <w:pPr>
              <w:rPr>
                <w:rFonts w:eastAsia="Times New Roman" w:cs="Arial"/>
                <w:b/>
                <w:color w:val="000000"/>
                <w:lang w:eastAsia="bg-BG"/>
              </w:rPr>
            </w:pPr>
            <w:r w:rsidRPr="00DE1F33">
              <w:rPr>
                <w:b/>
              </w:rPr>
              <w:t>Много чести</w:t>
            </w:r>
          </w:p>
        </w:tc>
        <w:tc>
          <w:tcPr>
            <w:tcW w:w="1640" w:type="dxa"/>
          </w:tcPr>
          <w:p w14:paraId="0F3FD521" w14:textId="49A68F46" w:rsidR="00DE1F33" w:rsidRPr="00DE1F33" w:rsidRDefault="00DE1F33" w:rsidP="00DE1F33">
            <w:pPr>
              <w:rPr>
                <w:rFonts w:eastAsia="Times New Roman" w:cs="Arial"/>
                <w:b/>
                <w:color w:val="000000"/>
                <w:lang w:eastAsia="bg-BG"/>
              </w:rPr>
            </w:pPr>
            <w:r w:rsidRPr="00DE1F33">
              <w:rPr>
                <w:b/>
              </w:rPr>
              <w:t>Чести</w:t>
            </w:r>
          </w:p>
        </w:tc>
        <w:tc>
          <w:tcPr>
            <w:tcW w:w="2240" w:type="dxa"/>
          </w:tcPr>
          <w:p w14:paraId="1EE0148E" w14:textId="15D34C25" w:rsidR="00DE1F33" w:rsidRPr="00DE1F33" w:rsidRDefault="00DE1F33" w:rsidP="00DE1F33">
            <w:pPr>
              <w:rPr>
                <w:rFonts w:eastAsia="Times New Roman" w:cs="Arial"/>
                <w:b/>
                <w:color w:val="000000"/>
                <w:lang w:eastAsia="bg-BG"/>
              </w:rPr>
            </w:pPr>
            <w:r w:rsidRPr="00DE1F33">
              <w:rPr>
                <w:b/>
              </w:rPr>
              <w:t>Нечести</w:t>
            </w:r>
          </w:p>
        </w:tc>
        <w:tc>
          <w:tcPr>
            <w:tcW w:w="1930" w:type="dxa"/>
          </w:tcPr>
          <w:p w14:paraId="15813C98" w14:textId="661CE781" w:rsidR="00DE1F33" w:rsidRPr="00DE1F33" w:rsidRDefault="00DE1F33" w:rsidP="00DE1F33">
            <w:pPr>
              <w:rPr>
                <w:rFonts w:eastAsia="Times New Roman" w:cs="Arial"/>
                <w:b/>
                <w:color w:val="000000"/>
                <w:lang w:eastAsia="bg-BG"/>
              </w:rPr>
            </w:pPr>
            <w:r w:rsidRPr="00DE1F33">
              <w:rPr>
                <w:b/>
              </w:rPr>
              <w:t>Редки</w:t>
            </w:r>
          </w:p>
        </w:tc>
        <w:tc>
          <w:tcPr>
            <w:tcW w:w="1146" w:type="dxa"/>
          </w:tcPr>
          <w:p w14:paraId="19FE3EC1" w14:textId="7DEA2550" w:rsidR="00DE1F33" w:rsidRPr="00DE1F33" w:rsidRDefault="00DE1F33" w:rsidP="00DE1F33">
            <w:pPr>
              <w:rPr>
                <w:rFonts w:eastAsia="Times New Roman" w:cs="Arial"/>
                <w:b/>
                <w:color w:val="000000"/>
                <w:lang w:eastAsia="bg-BG"/>
              </w:rPr>
            </w:pPr>
            <w:r w:rsidRPr="00DE1F33">
              <w:rPr>
                <w:b/>
              </w:rPr>
              <w:t>Много редки</w:t>
            </w:r>
          </w:p>
        </w:tc>
      </w:tr>
      <w:tr w:rsidR="00DE1F33" w14:paraId="3A1F4E3C" w14:textId="77777777" w:rsidTr="00DE1F33">
        <w:tc>
          <w:tcPr>
            <w:tcW w:w="9576" w:type="dxa"/>
            <w:gridSpan w:val="5"/>
          </w:tcPr>
          <w:p w14:paraId="6AFAFF41" w14:textId="6BD17A25" w:rsidR="00DE1F33" w:rsidRDefault="00DE1F33" w:rsidP="00DE1F33">
            <w:pPr>
              <w:spacing w:line="240" w:lineRule="auto"/>
              <w:rPr>
                <w:rFonts w:eastAsia="Times New Roman" w:cs="Arial"/>
                <w:color w:val="000000"/>
                <w:lang w:eastAsia="bg-BG"/>
              </w:rPr>
            </w:pPr>
            <w:r>
              <w:rPr>
                <w:i/>
                <w:iCs/>
              </w:rPr>
              <w:t>Инфекции и инфестации</w:t>
            </w:r>
          </w:p>
        </w:tc>
      </w:tr>
      <w:tr w:rsidR="00DE1F33" w14:paraId="3C6E6942" w14:textId="77777777" w:rsidTr="00DE1F33">
        <w:tc>
          <w:tcPr>
            <w:tcW w:w="2620" w:type="dxa"/>
          </w:tcPr>
          <w:p w14:paraId="5E0923BE" w14:textId="77777777" w:rsidR="00DE1F33" w:rsidRDefault="00DE1F33" w:rsidP="00DE1F33">
            <w:pPr>
              <w:spacing w:line="240" w:lineRule="auto"/>
              <w:rPr>
                <w:rFonts w:eastAsia="Times New Roman" w:cs="Arial"/>
                <w:color w:val="000000"/>
                <w:lang w:eastAsia="bg-BG"/>
              </w:rPr>
            </w:pPr>
          </w:p>
        </w:tc>
        <w:tc>
          <w:tcPr>
            <w:tcW w:w="1640" w:type="dxa"/>
          </w:tcPr>
          <w:p w14:paraId="1FAD28F6" w14:textId="77777777" w:rsidR="00DE1F33" w:rsidRDefault="00DE1F33" w:rsidP="00DE1F33">
            <w:pPr>
              <w:spacing w:line="240" w:lineRule="auto"/>
              <w:rPr>
                <w:rFonts w:eastAsia="Times New Roman" w:cs="Arial"/>
                <w:color w:val="000000"/>
                <w:lang w:eastAsia="bg-BG"/>
              </w:rPr>
            </w:pPr>
          </w:p>
        </w:tc>
        <w:tc>
          <w:tcPr>
            <w:tcW w:w="2240" w:type="dxa"/>
          </w:tcPr>
          <w:p w14:paraId="51091F49" w14:textId="4270AA4F" w:rsidR="00DE1F33" w:rsidRPr="00DE1F33" w:rsidRDefault="00DE1F33" w:rsidP="00DE1F33">
            <w:pPr>
              <w:rPr>
                <w:sz w:val="24"/>
                <w:szCs w:val="24"/>
              </w:rPr>
            </w:pPr>
            <w:r w:rsidRPr="00DE1F33">
              <w:rPr>
                <w:lang w:eastAsia="bg-BG"/>
              </w:rPr>
              <w:t>Ларингит</w:t>
            </w:r>
          </w:p>
        </w:tc>
        <w:tc>
          <w:tcPr>
            <w:tcW w:w="1930" w:type="dxa"/>
          </w:tcPr>
          <w:p w14:paraId="66021D04" w14:textId="77777777" w:rsidR="00DE1F33" w:rsidRDefault="00DE1F33" w:rsidP="00DE1F33">
            <w:pPr>
              <w:spacing w:line="240" w:lineRule="auto"/>
              <w:rPr>
                <w:rFonts w:eastAsia="Times New Roman" w:cs="Arial"/>
                <w:color w:val="000000"/>
                <w:lang w:eastAsia="bg-BG"/>
              </w:rPr>
            </w:pPr>
          </w:p>
        </w:tc>
        <w:tc>
          <w:tcPr>
            <w:tcW w:w="1146" w:type="dxa"/>
          </w:tcPr>
          <w:p w14:paraId="7A201910" w14:textId="77777777" w:rsidR="00DE1F33" w:rsidRDefault="00DE1F33" w:rsidP="00DE1F33">
            <w:pPr>
              <w:spacing w:line="240" w:lineRule="auto"/>
              <w:rPr>
                <w:rFonts w:eastAsia="Times New Roman" w:cs="Arial"/>
                <w:color w:val="000000"/>
                <w:lang w:eastAsia="bg-BG"/>
              </w:rPr>
            </w:pPr>
          </w:p>
        </w:tc>
      </w:tr>
      <w:tr w:rsidR="00DE1F33" w14:paraId="14D38D40" w14:textId="77777777" w:rsidTr="00DE1F33">
        <w:tc>
          <w:tcPr>
            <w:tcW w:w="9576" w:type="dxa"/>
            <w:gridSpan w:val="5"/>
          </w:tcPr>
          <w:p w14:paraId="75D55966" w14:textId="5DEEFFC9" w:rsidR="00DE1F33" w:rsidRPr="00DE1F33" w:rsidRDefault="00DE1F33" w:rsidP="00DE1F33">
            <w:pPr>
              <w:rPr>
                <w:rFonts w:cs="Arial"/>
                <w:i/>
                <w:lang w:eastAsia="bg-BG"/>
              </w:rPr>
            </w:pPr>
            <w:r w:rsidRPr="00DE1F33">
              <w:rPr>
                <w:i/>
                <w:lang w:eastAsia="bg-BG"/>
              </w:rPr>
              <w:t>Нарушения на имунната система</w:t>
            </w:r>
          </w:p>
        </w:tc>
      </w:tr>
      <w:tr w:rsidR="00DE1F33" w14:paraId="53AFF5E4" w14:textId="77777777" w:rsidTr="00DE1F33">
        <w:tc>
          <w:tcPr>
            <w:tcW w:w="2620" w:type="dxa"/>
          </w:tcPr>
          <w:p w14:paraId="12DE9902" w14:textId="77777777" w:rsidR="00DE1F33" w:rsidRDefault="00DE1F33" w:rsidP="00DE1F33">
            <w:pPr>
              <w:rPr>
                <w:lang w:eastAsia="bg-BG"/>
              </w:rPr>
            </w:pPr>
          </w:p>
        </w:tc>
        <w:tc>
          <w:tcPr>
            <w:tcW w:w="1640" w:type="dxa"/>
          </w:tcPr>
          <w:p w14:paraId="00A0A385" w14:textId="77777777" w:rsidR="00DE1F33" w:rsidRDefault="00DE1F33" w:rsidP="00DE1F33">
            <w:pPr>
              <w:rPr>
                <w:lang w:eastAsia="bg-BG"/>
              </w:rPr>
            </w:pPr>
          </w:p>
        </w:tc>
        <w:tc>
          <w:tcPr>
            <w:tcW w:w="2240" w:type="dxa"/>
          </w:tcPr>
          <w:p w14:paraId="2DADC4DD" w14:textId="77777777" w:rsidR="00DE1F33" w:rsidRDefault="00DE1F33" w:rsidP="00DE1F33">
            <w:pPr>
              <w:rPr>
                <w:lang w:eastAsia="bg-BG"/>
              </w:rPr>
            </w:pPr>
          </w:p>
        </w:tc>
        <w:tc>
          <w:tcPr>
            <w:tcW w:w="1930" w:type="dxa"/>
          </w:tcPr>
          <w:p w14:paraId="7E6617D1" w14:textId="78A0B388" w:rsidR="00DE1F33" w:rsidRDefault="00DE1F33" w:rsidP="00DE1F33">
            <w:pPr>
              <w:rPr>
                <w:lang w:eastAsia="bg-BG"/>
              </w:rPr>
            </w:pPr>
            <w:r>
              <w:t>Анафилактичн а реакция Нарушения, свързани със свръхчувствите лност</w:t>
            </w:r>
          </w:p>
        </w:tc>
        <w:tc>
          <w:tcPr>
            <w:tcW w:w="1146" w:type="dxa"/>
          </w:tcPr>
          <w:p w14:paraId="2DACA7D9" w14:textId="77777777" w:rsidR="00DE1F33" w:rsidRDefault="00DE1F33" w:rsidP="00DE1F33">
            <w:pPr>
              <w:rPr>
                <w:lang w:eastAsia="bg-BG"/>
              </w:rPr>
            </w:pPr>
          </w:p>
        </w:tc>
      </w:tr>
      <w:tr w:rsidR="00DE1F33" w14:paraId="08D59145" w14:textId="77777777" w:rsidTr="00DE1F33">
        <w:tc>
          <w:tcPr>
            <w:tcW w:w="9576" w:type="dxa"/>
            <w:gridSpan w:val="5"/>
          </w:tcPr>
          <w:p w14:paraId="33E239F1" w14:textId="3F439148" w:rsidR="00DE1F33" w:rsidRPr="00DE1F33" w:rsidRDefault="00DE1F33" w:rsidP="00DE1F33">
            <w:pPr>
              <w:rPr>
                <w:rFonts w:eastAsia="Times New Roman" w:cs="Arial"/>
                <w:i/>
                <w:color w:val="000000"/>
                <w:lang w:eastAsia="bg-BG"/>
              </w:rPr>
            </w:pPr>
            <w:r w:rsidRPr="00DE1F33">
              <w:rPr>
                <w:i/>
              </w:rPr>
              <w:t>Нарушения на ендокринната система</w:t>
            </w:r>
          </w:p>
        </w:tc>
      </w:tr>
      <w:tr w:rsidR="00DE1F33" w14:paraId="595E6619" w14:textId="77777777" w:rsidTr="00DE1F33">
        <w:tc>
          <w:tcPr>
            <w:tcW w:w="2620" w:type="dxa"/>
          </w:tcPr>
          <w:p w14:paraId="0432B8D2" w14:textId="77777777" w:rsidR="00DE1F33" w:rsidRDefault="00DE1F33" w:rsidP="00DE1F33">
            <w:pPr>
              <w:spacing w:line="240" w:lineRule="auto"/>
              <w:rPr>
                <w:rFonts w:eastAsia="Times New Roman" w:cs="Arial"/>
                <w:color w:val="000000"/>
                <w:lang w:eastAsia="bg-BG"/>
              </w:rPr>
            </w:pPr>
          </w:p>
        </w:tc>
        <w:tc>
          <w:tcPr>
            <w:tcW w:w="1640" w:type="dxa"/>
          </w:tcPr>
          <w:p w14:paraId="28E8FEF9" w14:textId="77777777" w:rsidR="00DE1F33" w:rsidRDefault="00DE1F33" w:rsidP="00DE1F33">
            <w:pPr>
              <w:spacing w:line="240" w:lineRule="auto"/>
              <w:rPr>
                <w:rFonts w:eastAsia="Times New Roman" w:cs="Arial"/>
                <w:color w:val="000000"/>
                <w:lang w:eastAsia="bg-BG"/>
              </w:rPr>
            </w:pPr>
          </w:p>
        </w:tc>
        <w:tc>
          <w:tcPr>
            <w:tcW w:w="2240" w:type="dxa"/>
          </w:tcPr>
          <w:p w14:paraId="0D8A5028" w14:textId="77777777" w:rsidR="00DE1F33" w:rsidRDefault="00DE1F33" w:rsidP="00DE1F33">
            <w:pPr>
              <w:spacing w:line="240" w:lineRule="auto"/>
              <w:rPr>
                <w:rFonts w:eastAsia="Times New Roman" w:cs="Arial"/>
                <w:color w:val="000000"/>
                <w:lang w:eastAsia="bg-BG"/>
              </w:rPr>
            </w:pPr>
          </w:p>
        </w:tc>
        <w:tc>
          <w:tcPr>
            <w:tcW w:w="1930" w:type="dxa"/>
          </w:tcPr>
          <w:p w14:paraId="0E31BCC4" w14:textId="4B1B1664" w:rsidR="00DE1F33" w:rsidRPr="00DE1F33" w:rsidRDefault="00DE1F33" w:rsidP="00DE1F33">
            <w:pPr>
              <w:rPr>
                <w:sz w:val="24"/>
                <w:szCs w:val="24"/>
              </w:rPr>
            </w:pPr>
            <w:r w:rsidRPr="00DE1F33">
              <w:rPr>
                <w:lang w:eastAsia="bg-BG"/>
              </w:rPr>
              <w:t>Хипотиреоидиз ъм</w:t>
            </w:r>
          </w:p>
        </w:tc>
        <w:tc>
          <w:tcPr>
            <w:tcW w:w="1146" w:type="dxa"/>
          </w:tcPr>
          <w:p w14:paraId="25236174" w14:textId="77777777" w:rsidR="00DE1F33" w:rsidRDefault="00DE1F33" w:rsidP="00DE1F33">
            <w:pPr>
              <w:spacing w:line="240" w:lineRule="auto"/>
              <w:rPr>
                <w:rFonts w:eastAsia="Times New Roman" w:cs="Arial"/>
                <w:color w:val="000000"/>
                <w:lang w:eastAsia="bg-BG"/>
              </w:rPr>
            </w:pPr>
          </w:p>
        </w:tc>
      </w:tr>
      <w:tr w:rsidR="00DE1F33" w14:paraId="5E52A1D5" w14:textId="77777777" w:rsidTr="00DE1F33">
        <w:tc>
          <w:tcPr>
            <w:tcW w:w="9576" w:type="dxa"/>
            <w:gridSpan w:val="5"/>
          </w:tcPr>
          <w:p w14:paraId="2B9A6CF4" w14:textId="5EC53E6E" w:rsidR="00DE1F33" w:rsidRPr="00DE1F33" w:rsidRDefault="00DE1F33" w:rsidP="00DE1F33">
            <w:pPr>
              <w:rPr>
                <w:rFonts w:cs="Arial"/>
                <w:i/>
                <w:lang w:eastAsia="bg-BG"/>
              </w:rPr>
            </w:pPr>
            <w:r w:rsidRPr="00DE1F33">
              <w:rPr>
                <w:i/>
                <w:lang w:eastAsia="bg-BG"/>
              </w:rPr>
              <w:t>Нарушения на метаболизма и храненето</w:t>
            </w:r>
          </w:p>
        </w:tc>
      </w:tr>
      <w:tr w:rsidR="00DE1F33" w14:paraId="3C0C908D" w14:textId="77777777" w:rsidTr="00DE1F33">
        <w:tc>
          <w:tcPr>
            <w:tcW w:w="2620" w:type="dxa"/>
          </w:tcPr>
          <w:p w14:paraId="23175660" w14:textId="77777777" w:rsidR="00DE1F33" w:rsidRDefault="00DE1F33" w:rsidP="00DE1F33">
            <w:pPr>
              <w:rPr>
                <w:lang w:eastAsia="bg-BG"/>
              </w:rPr>
            </w:pPr>
          </w:p>
        </w:tc>
        <w:tc>
          <w:tcPr>
            <w:tcW w:w="1640" w:type="dxa"/>
          </w:tcPr>
          <w:p w14:paraId="51596D3A" w14:textId="4403CFC4" w:rsidR="00DE1F33" w:rsidRDefault="00DE1F33" w:rsidP="00DE1F33">
            <w:pPr>
              <w:rPr>
                <w:lang w:eastAsia="bg-BG"/>
              </w:rPr>
            </w:pPr>
            <w:r>
              <w:t>Намален апетит</w:t>
            </w:r>
          </w:p>
        </w:tc>
        <w:tc>
          <w:tcPr>
            <w:tcW w:w="2240" w:type="dxa"/>
          </w:tcPr>
          <w:p w14:paraId="6EC0276E" w14:textId="61466AB1" w:rsidR="00DE1F33" w:rsidRDefault="00DE1F33" w:rsidP="00DE1F33">
            <w:pPr>
              <w:rPr>
                <w:lang w:eastAsia="bg-BG"/>
              </w:rPr>
            </w:pPr>
            <w:r>
              <w:t>Хипергликемия (докладвана особено при пациенти- диабетици)</w:t>
            </w:r>
          </w:p>
        </w:tc>
        <w:tc>
          <w:tcPr>
            <w:tcW w:w="1930" w:type="dxa"/>
          </w:tcPr>
          <w:p w14:paraId="6577F5FE" w14:textId="77777777" w:rsidR="00DE1F33" w:rsidRDefault="00DE1F33" w:rsidP="00DE1F33">
            <w:r>
              <w:t>Дехидратация</w:t>
            </w:r>
          </w:p>
          <w:p w14:paraId="46250E7B" w14:textId="77777777" w:rsidR="00DE1F33" w:rsidRDefault="00DE1F33" w:rsidP="00DE1F33">
            <w:r>
              <w:t>Хипонатриеми я</w:t>
            </w:r>
          </w:p>
          <w:p w14:paraId="5CB58D3D" w14:textId="16A94C2B" w:rsidR="00DE1F33" w:rsidRDefault="00DE1F33" w:rsidP="00DE1F33">
            <w:pPr>
              <w:rPr>
                <w:lang w:eastAsia="bg-BG"/>
              </w:rPr>
            </w:pPr>
            <w:r>
              <w:t>СНАДС6</w:t>
            </w:r>
          </w:p>
        </w:tc>
        <w:tc>
          <w:tcPr>
            <w:tcW w:w="1146" w:type="dxa"/>
          </w:tcPr>
          <w:p w14:paraId="3BF834C0" w14:textId="77777777" w:rsidR="00DE1F33" w:rsidRDefault="00DE1F33" w:rsidP="00DE1F33">
            <w:pPr>
              <w:rPr>
                <w:lang w:eastAsia="bg-BG"/>
              </w:rPr>
            </w:pPr>
          </w:p>
        </w:tc>
      </w:tr>
      <w:tr w:rsidR="00DE1F33" w14:paraId="126F6CB7" w14:textId="77777777" w:rsidTr="00DE1F33">
        <w:tc>
          <w:tcPr>
            <w:tcW w:w="9576" w:type="dxa"/>
            <w:gridSpan w:val="5"/>
          </w:tcPr>
          <w:p w14:paraId="5A51E29C" w14:textId="6C516715" w:rsidR="00DE1F33" w:rsidRPr="00DE1F33" w:rsidRDefault="00DE1F33" w:rsidP="00DE1F33">
            <w:pPr>
              <w:rPr>
                <w:rFonts w:eastAsia="Times New Roman" w:cs="Arial"/>
                <w:i/>
                <w:color w:val="000000"/>
                <w:lang w:eastAsia="bg-BG"/>
              </w:rPr>
            </w:pPr>
            <w:r w:rsidRPr="00DE1F33">
              <w:rPr>
                <w:i/>
              </w:rPr>
              <w:t>Психични нарушения</w:t>
            </w:r>
          </w:p>
        </w:tc>
      </w:tr>
      <w:tr w:rsidR="00DE1F33" w14:paraId="049A2B02" w14:textId="77777777" w:rsidTr="00DE1F33">
        <w:tc>
          <w:tcPr>
            <w:tcW w:w="2620" w:type="dxa"/>
          </w:tcPr>
          <w:p w14:paraId="57AA6D7D" w14:textId="77777777" w:rsidR="00DE1F33" w:rsidRDefault="00DE1F33" w:rsidP="00DE1F33">
            <w:pPr>
              <w:rPr>
                <w:lang w:eastAsia="bg-BG"/>
              </w:rPr>
            </w:pPr>
          </w:p>
        </w:tc>
        <w:tc>
          <w:tcPr>
            <w:tcW w:w="1640" w:type="dxa"/>
          </w:tcPr>
          <w:p w14:paraId="4037396A" w14:textId="6C8E3DFE" w:rsidR="00DE1F33" w:rsidRDefault="00DE1F33" w:rsidP="00DE1F33">
            <w:pPr>
              <w:rPr>
                <w:lang w:eastAsia="bg-BG"/>
              </w:rPr>
            </w:pPr>
            <w:r>
              <w:t xml:space="preserve">Инсомния Възбуда Намалено либидо Тревожност Абнормен </w:t>
            </w:r>
            <w:r>
              <w:lastRenderedPageBreak/>
              <w:t>оргазъм Ярки сънища</w:t>
            </w:r>
          </w:p>
        </w:tc>
        <w:tc>
          <w:tcPr>
            <w:tcW w:w="2240" w:type="dxa"/>
          </w:tcPr>
          <w:p w14:paraId="27ED2FE3" w14:textId="77777777" w:rsidR="00DE1F33" w:rsidRDefault="00DE1F33" w:rsidP="00DE1F33">
            <w:r>
              <w:lastRenderedPageBreak/>
              <w:t>Суицидна идеация</w:t>
            </w:r>
            <w:r>
              <w:rPr>
                <w:vertAlign w:val="superscript"/>
              </w:rPr>
              <w:t xml:space="preserve">5,7 </w:t>
            </w:r>
            <w:r>
              <w:t>Нарушение</w:t>
            </w:r>
            <w:r>
              <w:tab/>
              <w:t>на</w:t>
            </w:r>
          </w:p>
          <w:p w14:paraId="21A26BA8" w14:textId="5152DF9F" w:rsidR="00DE1F33" w:rsidRDefault="00DE1F33" w:rsidP="00DE1F33">
            <w:pPr>
              <w:rPr>
                <w:lang w:eastAsia="bg-BG"/>
              </w:rPr>
            </w:pPr>
            <w:r>
              <w:t>съня Бруксизъм Дезориентация Апатия</w:t>
            </w:r>
          </w:p>
        </w:tc>
        <w:tc>
          <w:tcPr>
            <w:tcW w:w="1930" w:type="dxa"/>
          </w:tcPr>
          <w:p w14:paraId="6F08BED5" w14:textId="7359AD87" w:rsidR="00DE1F33" w:rsidRDefault="00DE1F33" w:rsidP="00DE1F33">
            <w:pPr>
              <w:rPr>
                <w:lang w:eastAsia="bg-BG"/>
              </w:rPr>
            </w:pPr>
            <w:r>
              <w:t>Суицидно поведение</w:t>
            </w:r>
            <w:r>
              <w:rPr>
                <w:vertAlign w:val="superscript"/>
              </w:rPr>
              <w:t xml:space="preserve">5,7 </w:t>
            </w:r>
            <w:r>
              <w:t>Мания Халюцинации Враждебност и Гняв</w:t>
            </w:r>
            <w:r>
              <w:rPr>
                <w:vertAlign w:val="superscript"/>
              </w:rPr>
              <w:t>4</w:t>
            </w:r>
          </w:p>
        </w:tc>
        <w:tc>
          <w:tcPr>
            <w:tcW w:w="1146" w:type="dxa"/>
          </w:tcPr>
          <w:p w14:paraId="3D8DD110" w14:textId="77777777" w:rsidR="00DE1F33" w:rsidRDefault="00DE1F33" w:rsidP="00DE1F33">
            <w:pPr>
              <w:rPr>
                <w:lang w:eastAsia="bg-BG"/>
              </w:rPr>
            </w:pPr>
          </w:p>
        </w:tc>
      </w:tr>
      <w:tr w:rsidR="00DE1F33" w14:paraId="16239129" w14:textId="77777777" w:rsidTr="00DE1F33">
        <w:tc>
          <w:tcPr>
            <w:tcW w:w="9576" w:type="dxa"/>
            <w:gridSpan w:val="5"/>
          </w:tcPr>
          <w:p w14:paraId="609A2FAB" w14:textId="1592F466" w:rsidR="00DE1F33" w:rsidRPr="00DE1F33" w:rsidRDefault="00DE1F33" w:rsidP="00DE1F33">
            <w:pPr>
              <w:rPr>
                <w:rFonts w:eastAsia="Times New Roman" w:cs="Arial"/>
                <w:i/>
                <w:color w:val="000000"/>
                <w:lang w:eastAsia="bg-BG"/>
              </w:rPr>
            </w:pPr>
            <w:r w:rsidRPr="00DE1F33">
              <w:rPr>
                <w:i/>
              </w:rPr>
              <w:t>Нарушения на нервната система</w:t>
            </w:r>
          </w:p>
        </w:tc>
      </w:tr>
      <w:tr w:rsidR="00DE1F33" w14:paraId="6B78051E" w14:textId="77777777" w:rsidTr="00DE1F33">
        <w:tc>
          <w:tcPr>
            <w:tcW w:w="2620" w:type="dxa"/>
          </w:tcPr>
          <w:p w14:paraId="6D8483CB" w14:textId="5AFFD2E0" w:rsidR="00DE1F33" w:rsidRDefault="00DE1F33" w:rsidP="00DE1F33">
            <w:pPr>
              <w:rPr>
                <w:rFonts w:eastAsia="Times New Roman" w:cs="Arial"/>
                <w:color w:val="000000"/>
                <w:lang w:eastAsia="bg-BG"/>
              </w:rPr>
            </w:pPr>
            <w:r>
              <w:t>Главоболие Сомнолентнос т</w:t>
            </w:r>
          </w:p>
        </w:tc>
        <w:tc>
          <w:tcPr>
            <w:tcW w:w="1640" w:type="dxa"/>
          </w:tcPr>
          <w:p w14:paraId="0FC101E7" w14:textId="2349C1F4" w:rsidR="00DE1F33" w:rsidRDefault="00DE1F33" w:rsidP="00DE1F33">
            <w:pPr>
              <w:rPr>
                <w:rFonts w:eastAsia="Times New Roman" w:cs="Arial"/>
                <w:color w:val="000000"/>
                <w:lang w:eastAsia="bg-BG"/>
              </w:rPr>
            </w:pPr>
            <w:r>
              <w:t>Замаяност Летаргия Тремор Парестезия</w:t>
            </w:r>
          </w:p>
        </w:tc>
        <w:tc>
          <w:tcPr>
            <w:tcW w:w="2240" w:type="dxa"/>
          </w:tcPr>
          <w:p w14:paraId="5FA27AAA" w14:textId="77777777" w:rsidR="00DE1F33" w:rsidRDefault="00DE1F33" w:rsidP="00DE1F33">
            <w:r>
              <w:t>Миоклония Акатизия</w:t>
            </w:r>
            <w:r>
              <w:rPr>
                <w:vertAlign w:val="superscript"/>
              </w:rPr>
              <w:t xml:space="preserve">7 </w:t>
            </w:r>
            <w:r>
              <w:t>Нервност Нарушение на</w:t>
            </w:r>
          </w:p>
          <w:p w14:paraId="7A2F4CD8" w14:textId="77777777" w:rsidR="00DE1F33" w:rsidRPr="00DE1F33" w:rsidRDefault="00DE1F33" w:rsidP="00DE1F33">
            <w:pPr>
              <w:rPr>
                <w:sz w:val="24"/>
                <w:szCs w:val="24"/>
              </w:rPr>
            </w:pPr>
            <w:r>
              <w:t xml:space="preserve">вниманието Дисгеузия </w:t>
            </w:r>
            <w:r w:rsidRPr="00DE1F33">
              <w:rPr>
                <w:lang w:eastAsia="bg-BG"/>
              </w:rPr>
              <w:t>Дискинезия Синдром на неспокойните крака</w:t>
            </w:r>
          </w:p>
          <w:p w14:paraId="7A72B7D5" w14:textId="4994844A" w:rsidR="00DE1F33" w:rsidRPr="00DE1F33" w:rsidRDefault="00DE1F33" w:rsidP="00DE1F33">
            <w:pPr>
              <w:rPr>
                <w:sz w:val="24"/>
                <w:szCs w:val="24"/>
              </w:rPr>
            </w:pPr>
            <w:r w:rsidRPr="00DE1F33">
              <w:rPr>
                <w:lang w:eastAsia="bg-BG"/>
              </w:rPr>
              <w:t>Лошо качество на съня</w:t>
            </w:r>
          </w:p>
        </w:tc>
        <w:tc>
          <w:tcPr>
            <w:tcW w:w="1930" w:type="dxa"/>
          </w:tcPr>
          <w:p w14:paraId="3D330025" w14:textId="77777777" w:rsidR="00DE1F33" w:rsidRDefault="00DE1F33" w:rsidP="00DE1F33">
            <w:r>
              <w:t>Серотонинов</w:t>
            </w:r>
          </w:p>
          <w:p w14:paraId="1E035A12" w14:textId="6D6B2AAA" w:rsidR="00DE1F33" w:rsidRPr="00DE1F33" w:rsidRDefault="00DE1F33" w:rsidP="00DE1F33">
            <w:pPr>
              <w:rPr>
                <w:rFonts w:ascii="Times New Roman" w:eastAsia="Times New Roman" w:hAnsi="Times New Roman" w:cs="Times New Roman"/>
                <w:sz w:val="24"/>
                <w:szCs w:val="24"/>
              </w:rPr>
            </w:pPr>
            <w:r>
              <w:t>синдром</w:t>
            </w:r>
            <w:r>
              <w:rPr>
                <w:vertAlign w:val="superscript"/>
              </w:rPr>
              <w:t xml:space="preserve">6 </w:t>
            </w:r>
            <w:r>
              <w:t>Конвулсии</w:t>
            </w:r>
            <w:r>
              <w:rPr>
                <w:vertAlign w:val="superscript"/>
              </w:rPr>
              <w:t>1</w:t>
            </w:r>
            <w:r>
              <w:rPr>
                <w:i/>
                <w:iCs/>
              </w:rPr>
              <w:t xml:space="preserve"> </w:t>
            </w:r>
            <w:r>
              <w:t>Психомоторно безпокойство</w:t>
            </w:r>
            <w:r>
              <w:rPr>
                <w:vertAlign w:val="superscript"/>
              </w:rPr>
              <w:t>6</w:t>
            </w:r>
            <w:r>
              <w:t xml:space="preserve"> Екстрапирамид </w:t>
            </w:r>
            <w:r w:rsidRPr="00DE1F33">
              <w:rPr>
                <w:lang w:eastAsia="bg-BG"/>
              </w:rPr>
              <w:t>ни симптоми6</w:t>
            </w:r>
          </w:p>
        </w:tc>
        <w:tc>
          <w:tcPr>
            <w:tcW w:w="1146" w:type="dxa"/>
          </w:tcPr>
          <w:p w14:paraId="01A32967" w14:textId="77777777" w:rsidR="00DE1F33" w:rsidRDefault="00DE1F33" w:rsidP="00DE1F33">
            <w:pPr>
              <w:rPr>
                <w:rFonts w:eastAsia="Times New Roman" w:cs="Arial"/>
                <w:color w:val="000000"/>
                <w:lang w:eastAsia="bg-BG"/>
              </w:rPr>
            </w:pPr>
          </w:p>
        </w:tc>
      </w:tr>
      <w:tr w:rsidR="00DE1F33" w14:paraId="03A38E09" w14:textId="77777777" w:rsidTr="00DE1F33">
        <w:tc>
          <w:tcPr>
            <w:tcW w:w="9576" w:type="dxa"/>
            <w:gridSpan w:val="5"/>
          </w:tcPr>
          <w:p w14:paraId="7AA0BDF0" w14:textId="2DAE1E26" w:rsidR="00DE1F33" w:rsidRPr="00DE1F33" w:rsidRDefault="00DE1F33" w:rsidP="00DE1F33">
            <w:pPr>
              <w:rPr>
                <w:rFonts w:eastAsia="Times New Roman" w:cs="Arial"/>
                <w:i/>
                <w:color w:val="000000"/>
                <w:lang w:eastAsia="bg-BG"/>
              </w:rPr>
            </w:pPr>
            <w:r w:rsidRPr="00DE1F33">
              <w:rPr>
                <w:i/>
              </w:rPr>
              <w:t>Нарушения на очите</w:t>
            </w:r>
          </w:p>
        </w:tc>
      </w:tr>
      <w:tr w:rsidR="00DE1F33" w14:paraId="430391FB" w14:textId="77777777" w:rsidTr="00DE1F33">
        <w:tc>
          <w:tcPr>
            <w:tcW w:w="2620" w:type="dxa"/>
          </w:tcPr>
          <w:p w14:paraId="348CADD6" w14:textId="77777777" w:rsidR="00DE1F33" w:rsidRDefault="00DE1F33" w:rsidP="00DE1F33">
            <w:pPr>
              <w:rPr>
                <w:lang w:eastAsia="bg-BG"/>
              </w:rPr>
            </w:pPr>
          </w:p>
        </w:tc>
        <w:tc>
          <w:tcPr>
            <w:tcW w:w="1640" w:type="dxa"/>
          </w:tcPr>
          <w:p w14:paraId="13F5B7EC" w14:textId="19C063D9" w:rsidR="00DE1F33" w:rsidRDefault="00DE1F33" w:rsidP="00DE1F33">
            <w:pPr>
              <w:rPr>
                <w:lang w:eastAsia="bg-BG"/>
              </w:rPr>
            </w:pPr>
            <w:r>
              <w:t>Замъглено виждане</w:t>
            </w:r>
          </w:p>
        </w:tc>
        <w:tc>
          <w:tcPr>
            <w:tcW w:w="2240" w:type="dxa"/>
            <w:vAlign w:val="bottom"/>
          </w:tcPr>
          <w:p w14:paraId="04C33621" w14:textId="77777777" w:rsidR="00DE1F33" w:rsidRDefault="00DE1F33" w:rsidP="00DE1F33">
            <w:r>
              <w:t>Мидриаза</w:t>
            </w:r>
          </w:p>
          <w:p w14:paraId="549D8FA8" w14:textId="50004F9A" w:rsidR="00DE1F33" w:rsidRDefault="00DE1F33" w:rsidP="00DE1F33">
            <w:pPr>
              <w:rPr>
                <w:lang w:eastAsia="bg-BG"/>
              </w:rPr>
            </w:pPr>
            <w:r>
              <w:t>Нарушение на зрението</w:t>
            </w:r>
          </w:p>
        </w:tc>
        <w:tc>
          <w:tcPr>
            <w:tcW w:w="1930" w:type="dxa"/>
          </w:tcPr>
          <w:p w14:paraId="3B9CFF57" w14:textId="36FAA8F4" w:rsidR="00DE1F33" w:rsidRDefault="00DE1F33" w:rsidP="00DE1F33">
            <w:pPr>
              <w:rPr>
                <w:lang w:eastAsia="bg-BG"/>
              </w:rPr>
            </w:pPr>
            <w:r>
              <w:t>Глаукома</w:t>
            </w:r>
          </w:p>
        </w:tc>
        <w:tc>
          <w:tcPr>
            <w:tcW w:w="1146" w:type="dxa"/>
          </w:tcPr>
          <w:p w14:paraId="10FC883F" w14:textId="77777777" w:rsidR="00DE1F33" w:rsidRDefault="00DE1F33" w:rsidP="00DE1F33">
            <w:pPr>
              <w:rPr>
                <w:lang w:eastAsia="bg-BG"/>
              </w:rPr>
            </w:pPr>
          </w:p>
        </w:tc>
      </w:tr>
      <w:tr w:rsidR="00DE1F33" w14:paraId="1EE5E2AD" w14:textId="77777777" w:rsidTr="00DE1F33">
        <w:tc>
          <w:tcPr>
            <w:tcW w:w="9576" w:type="dxa"/>
            <w:gridSpan w:val="5"/>
          </w:tcPr>
          <w:p w14:paraId="3CE7AD08" w14:textId="1E2F0327" w:rsidR="00DE1F33" w:rsidRPr="00DE1F33" w:rsidRDefault="00DE1F33" w:rsidP="00DE1F33">
            <w:pPr>
              <w:rPr>
                <w:rFonts w:eastAsia="Times New Roman" w:cs="Arial"/>
                <w:i/>
                <w:color w:val="000000"/>
                <w:lang w:eastAsia="bg-BG"/>
              </w:rPr>
            </w:pPr>
            <w:r w:rsidRPr="00DE1F33">
              <w:rPr>
                <w:i/>
              </w:rPr>
              <w:t>Нарушения на ухото и лабиринта</w:t>
            </w:r>
          </w:p>
        </w:tc>
      </w:tr>
      <w:tr w:rsidR="00DE1F33" w14:paraId="54D9E190" w14:textId="77777777" w:rsidTr="00DE1F33">
        <w:tc>
          <w:tcPr>
            <w:tcW w:w="2620" w:type="dxa"/>
          </w:tcPr>
          <w:p w14:paraId="7435C75C" w14:textId="77777777" w:rsidR="00DE1F33" w:rsidRDefault="00DE1F33" w:rsidP="00DE1F33">
            <w:pPr>
              <w:rPr>
                <w:lang w:eastAsia="bg-BG"/>
              </w:rPr>
            </w:pPr>
          </w:p>
        </w:tc>
        <w:tc>
          <w:tcPr>
            <w:tcW w:w="1640" w:type="dxa"/>
          </w:tcPr>
          <w:p w14:paraId="4E2DFD52" w14:textId="33C0B37D" w:rsidR="00DE1F33" w:rsidRDefault="00DE1F33" w:rsidP="00DE1F33">
            <w:pPr>
              <w:rPr>
                <w:lang w:eastAsia="bg-BG"/>
              </w:rPr>
            </w:pPr>
            <w:r>
              <w:t>Шум в ушите</w:t>
            </w:r>
            <w:r>
              <w:rPr>
                <w:vertAlign w:val="superscript"/>
              </w:rPr>
              <w:t>1</w:t>
            </w:r>
          </w:p>
        </w:tc>
        <w:tc>
          <w:tcPr>
            <w:tcW w:w="2240" w:type="dxa"/>
            <w:vAlign w:val="bottom"/>
          </w:tcPr>
          <w:p w14:paraId="02B294FC" w14:textId="77777777" w:rsidR="00DE1F33" w:rsidRDefault="00DE1F33" w:rsidP="00DE1F33">
            <w:r>
              <w:t>Вертиго</w:t>
            </w:r>
          </w:p>
          <w:p w14:paraId="555C1804" w14:textId="180A4178" w:rsidR="00DE1F33" w:rsidRDefault="00DE1F33" w:rsidP="00DE1F33">
            <w:pPr>
              <w:rPr>
                <w:lang w:eastAsia="bg-BG"/>
              </w:rPr>
            </w:pPr>
            <w:r>
              <w:t>Болка в ухото</w:t>
            </w:r>
          </w:p>
        </w:tc>
        <w:tc>
          <w:tcPr>
            <w:tcW w:w="1930" w:type="dxa"/>
          </w:tcPr>
          <w:p w14:paraId="49123A81" w14:textId="77777777" w:rsidR="00DE1F33" w:rsidRDefault="00DE1F33" w:rsidP="00DE1F33">
            <w:pPr>
              <w:rPr>
                <w:lang w:eastAsia="bg-BG"/>
              </w:rPr>
            </w:pPr>
          </w:p>
        </w:tc>
        <w:tc>
          <w:tcPr>
            <w:tcW w:w="1146" w:type="dxa"/>
          </w:tcPr>
          <w:p w14:paraId="5B5B33AA" w14:textId="77777777" w:rsidR="00DE1F33" w:rsidRDefault="00DE1F33" w:rsidP="00DE1F33">
            <w:pPr>
              <w:rPr>
                <w:lang w:eastAsia="bg-BG"/>
              </w:rPr>
            </w:pPr>
          </w:p>
        </w:tc>
      </w:tr>
      <w:tr w:rsidR="00DE1F33" w14:paraId="1902E972" w14:textId="77777777" w:rsidTr="00DE1F33">
        <w:tc>
          <w:tcPr>
            <w:tcW w:w="9576" w:type="dxa"/>
            <w:gridSpan w:val="5"/>
          </w:tcPr>
          <w:p w14:paraId="21BADED2" w14:textId="32C04035" w:rsidR="00DE1F33" w:rsidRPr="00DE1F33" w:rsidRDefault="00DE1F33" w:rsidP="00DE1F33">
            <w:pPr>
              <w:rPr>
                <w:rFonts w:eastAsia="Times New Roman" w:cs="Arial"/>
                <w:i/>
                <w:color w:val="000000"/>
                <w:lang w:eastAsia="bg-BG"/>
              </w:rPr>
            </w:pPr>
            <w:r w:rsidRPr="00DE1F33">
              <w:rPr>
                <w:i/>
              </w:rPr>
              <w:t>Сърдечни нарушения</w:t>
            </w:r>
          </w:p>
        </w:tc>
      </w:tr>
      <w:tr w:rsidR="00DE1F33" w14:paraId="036C6D7F" w14:textId="77777777" w:rsidTr="00DE1F33">
        <w:tc>
          <w:tcPr>
            <w:tcW w:w="2620" w:type="dxa"/>
          </w:tcPr>
          <w:p w14:paraId="1FC27503" w14:textId="77777777" w:rsidR="00DE1F33" w:rsidRDefault="00DE1F33" w:rsidP="00DE1F33">
            <w:pPr>
              <w:rPr>
                <w:lang w:eastAsia="bg-BG"/>
              </w:rPr>
            </w:pPr>
          </w:p>
        </w:tc>
        <w:tc>
          <w:tcPr>
            <w:tcW w:w="1640" w:type="dxa"/>
          </w:tcPr>
          <w:p w14:paraId="020FA938" w14:textId="66786210" w:rsidR="00DE1F33" w:rsidRDefault="00DE1F33" w:rsidP="00DE1F33">
            <w:pPr>
              <w:rPr>
                <w:lang w:eastAsia="bg-BG"/>
              </w:rPr>
            </w:pPr>
            <w:r>
              <w:t>Палпитации</w:t>
            </w:r>
          </w:p>
        </w:tc>
        <w:tc>
          <w:tcPr>
            <w:tcW w:w="2240" w:type="dxa"/>
            <w:vAlign w:val="bottom"/>
          </w:tcPr>
          <w:p w14:paraId="3356FA19" w14:textId="77777777" w:rsidR="00DE1F33" w:rsidRDefault="00DE1F33" w:rsidP="00DE1F33">
            <w:r>
              <w:t>Тахикардия</w:t>
            </w:r>
          </w:p>
          <w:p w14:paraId="2DDB7481" w14:textId="2AC55558" w:rsidR="00DE1F33" w:rsidRDefault="00DE1F33" w:rsidP="00DE1F33">
            <w:pPr>
              <w:rPr>
                <w:lang w:eastAsia="bg-BG"/>
              </w:rPr>
            </w:pPr>
            <w:r>
              <w:t>Надкамерна аритмия, главно предсърдно мъждене</w:t>
            </w:r>
          </w:p>
        </w:tc>
        <w:tc>
          <w:tcPr>
            <w:tcW w:w="1930" w:type="dxa"/>
          </w:tcPr>
          <w:p w14:paraId="57114451" w14:textId="77777777" w:rsidR="00DE1F33" w:rsidRDefault="00DE1F33" w:rsidP="00DE1F33">
            <w:pPr>
              <w:rPr>
                <w:lang w:eastAsia="bg-BG"/>
              </w:rPr>
            </w:pPr>
          </w:p>
        </w:tc>
        <w:tc>
          <w:tcPr>
            <w:tcW w:w="1146" w:type="dxa"/>
          </w:tcPr>
          <w:p w14:paraId="4C76C4E5" w14:textId="77777777" w:rsidR="00DE1F33" w:rsidRDefault="00DE1F33" w:rsidP="00DE1F33">
            <w:pPr>
              <w:rPr>
                <w:lang w:eastAsia="bg-BG"/>
              </w:rPr>
            </w:pPr>
          </w:p>
        </w:tc>
      </w:tr>
      <w:tr w:rsidR="00DE1F33" w14:paraId="1F044E3F" w14:textId="77777777" w:rsidTr="00DE1F33">
        <w:tc>
          <w:tcPr>
            <w:tcW w:w="9576" w:type="dxa"/>
            <w:gridSpan w:val="5"/>
          </w:tcPr>
          <w:p w14:paraId="2F8F1423" w14:textId="4CF7E19A" w:rsidR="00DE1F33" w:rsidRPr="00DE1F33" w:rsidRDefault="00DE1F33" w:rsidP="00DE1F33">
            <w:pPr>
              <w:rPr>
                <w:rFonts w:eastAsia="Times New Roman" w:cs="Arial"/>
                <w:i/>
                <w:color w:val="000000"/>
                <w:lang w:eastAsia="bg-BG"/>
              </w:rPr>
            </w:pPr>
            <w:r w:rsidRPr="00DE1F33">
              <w:rPr>
                <w:i/>
              </w:rPr>
              <w:t>Съдови нарушения</w:t>
            </w:r>
          </w:p>
        </w:tc>
      </w:tr>
      <w:tr w:rsidR="00DE1F33" w14:paraId="662F1131" w14:textId="77777777" w:rsidTr="00DE1F33">
        <w:tc>
          <w:tcPr>
            <w:tcW w:w="2620" w:type="dxa"/>
          </w:tcPr>
          <w:p w14:paraId="033A7DF7" w14:textId="77777777" w:rsidR="00DE1F33" w:rsidRDefault="00DE1F33" w:rsidP="00DE1F33">
            <w:pPr>
              <w:rPr>
                <w:lang w:eastAsia="bg-BG"/>
              </w:rPr>
            </w:pPr>
          </w:p>
        </w:tc>
        <w:tc>
          <w:tcPr>
            <w:tcW w:w="1640" w:type="dxa"/>
          </w:tcPr>
          <w:p w14:paraId="75FF0D3F" w14:textId="2953E927" w:rsidR="00DE1F33" w:rsidRDefault="00DE1F33" w:rsidP="00DE1F33">
            <w:pPr>
              <w:rPr>
                <w:lang w:eastAsia="bg-BG"/>
              </w:rPr>
            </w:pPr>
            <w:r>
              <w:t>Повишено кръвно налягане</w:t>
            </w:r>
            <w:r>
              <w:rPr>
                <w:vertAlign w:val="superscript"/>
              </w:rPr>
              <w:t xml:space="preserve">3 </w:t>
            </w:r>
            <w:r>
              <w:t>Зачервяване</w:t>
            </w:r>
          </w:p>
        </w:tc>
        <w:tc>
          <w:tcPr>
            <w:tcW w:w="2240" w:type="dxa"/>
            <w:vAlign w:val="bottom"/>
          </w:tcPr>
          <w:p w14:paraId="13243392" w14:textId="77777777" w:rsidR="00DE1F33" w:rsidRDefault="00DE1F33" w:rsidP="00DE1F33">
            <w:r>
              <w:t>Синкоп</w:t>
            </w:r>
            <w:r>
              <w:rPr>
                <w:vertAlign w:val="superscript"/>
              </w:rPr>
              <w:t>2</w:t>
            </w:r>
          </w:p>
          <w:p w14:paraId="54AC23A6" w14:textId="6EDB1691" w:rsidR="00DE1F33" w:rsidRDefault="00DE1F33" w:rsidP="00DE1F33">
            <w:pPr>
              <w:rPr>
                <w:lang w:eastAsia="bg-BG"/>
              </w:rPr>
            </w:pPr>
            <w:r>
              <w:t>Хипертония</w:t>
            </w:r>
            <w:r>
              <w:rPr>
                <w:vertAlign w:val="superscript"/>
              </w:rPr>
              <w:t xml:space="preserve">3,7 </w:t>
            </w:r>
            <w:r>
              <w:t>Оргостатична хипотония</w:t>
            </w:r>
            <w:r>
              <w:rPr>
                <w:vertAlign w:val="superscript"/>
              </w:rPr>
              <w:t>2</w:t>
            </w:r>
            <w:r>
              <w:t xml:space="preserve"> Периферна студенина</w:t>
            </w:r>
          </w:p>
        </w:tc>
        <w:tc>
          <w:tcPr>
            <w:tcW w:w="1930" w:type="dxa"/>
          </w:tcPr>
          <w:p w14:paraId="6AE06826" w14:textId="65FDB129" w:rsidR="00DE1F33" w:rsidRDefault="00DE1F33" w:rsidP="00DE1F33">
            <w:pPr>
              <w:rPr>
                <w:lang w:eastAsia="bg-BG"/>
              </w:rPr>
            </w:pPr>
            <w:r>
              <w:t>Хипертонична криза</w:t>
            </w:r>
            <w:r>
              <w:rPr>
                <w:vertAlign w:val="superscript"/>
              </w:rPr>
              <w:t>3,6</w:t>
            </w:r>
          </w:p>
        </w:tc>
        <w:tc>
          <w:tcPr>
            <w:tcW w:w="1146" w:type="dxa"/>
          </w:tcPr>
          <w:p w14:paraId="3E0879A2" w14:textId="77777777" w:rsidR="00DE1F33" w:rsidRDefault="00DE1F33" w:rsidP="00DE1F33">
            <w:pPr>
              <w:rPr>
                <w:lang w:eastAsia="bg-BG"/>
              </w:rPr>
            </w:pPr>
          </w:p>
        </w:tc>
      </w:tr>
      <w:tr w:rsidR="00DE1F33" w14:paraId="6023ED43" w14:textId="77777777" w:rsidTr="00DE1F33">
        <w:tc>
          <w:tcPr>
            <w:tcW w:w="9576" w:type="dxa"/>
            <w:gridSpan w:val="5"/>
          </w:tcPr>
          <w:p w14:paraId="4237577B" w14:textId="53B2BBD7" w:rsidR="00DE1F33" w:rsidRPr="00DE1F33" w:rsidRDefault="00DE1F33" w:rsidP="00DE1F33">
            <w:pPr>
              <w:rPr>
                <w:rFonts w:eastAsia="Times New Roman" w:cs="Arial"/>
                <w:i/>
                <w:color w:val="000000"/>
                <w:lang w:eastAsia="bg-BG"/>
              </w:rPr>
            </w:pPr>
            <w:r w:rsidRPr="00DE1F33">
              <w:rPr>
                <w:i/>
              </w:rPr>
              <w:t>Респираторни, гръдни и медиастинални нарушения</w:t>
            </w:r>
          </w:p>
        </w:tc>
      </w:tr>
      <w:tr w:rsidR="00DE1F33" w14:paraId="3558B469" w14:textId="77777777" w:rsidTr="00DE1F33">
        <w:tc>
          <w:tcPr>
            <w:tcW w:w="2620" w:type="dxa"/>
          </w:tcPr>
          <w:p w14:paraId="5D520C8A" w14:textId="77777777" w:rsidR="00DE1F33" w:rsidRDefault="00DE1F33" w:rsidP="00DE1F33">
            <w:pPr>
              <w:rPr>
                <w:lang w:eastAsia="bg-BG"/>
              </w:rPr>
            </w:pPr>
          </w:p>
        </w:tc>
        <w:tc>
          <w:tcPr>
            <w:tcW w:w="1640" w:type="dxa"/>
          </w:tcPr>
          <w:p w14:paraId="2FB7E4DF" w14:textId="75ADD24C" w:rsidR="00DE1F33" w:rsidRDefault="00DE1F33" w:rsidP="00DE1F33">
            <w:pPr>
              <w:rPr>
                <w:lang w:eastAsia="bg-BG"/>
              </w:rPr>
            </w:pPr>
            <w:r>
              <w:t>Прозяване</w:t>
            </w:r>
          </w:p>
        </w:tc>
        <w:tc>
          <w:tcPr>
            <w:tcW w:w="2240" w:type="dxa"/>
            <w:vAlign w:val="bottom"/>
          </w:tcPr>
          <w:p w14:paraId="3CD41794" w14:textId="2869A8F1" w:rsidR="00DE1F33" w:rsidRDefault="00DE1F33" w:rsidP="00DE1F33">
            <w:pPr>
              <w:rPr>
                <w:lang w:eastAsia="bg-BG"/>
              </w:rPr>
            </w:pPr>
            <w:r>
              <w:t>Напрежение в гърлото Епистаксис</w:t>
            </w:r>
          </w:p>
        </w:tc>
        <w:tc>
          <w:tcPr>
            <w:tcW w:w="1930" w:type="dxa"/>
          </w:tcPr>
          <w:p w14:paraId="2F995711" w14:textId="77777777" w:rsidR="00DE1F33" w:rsidRDefault="00DE1F33" w:rsidP="00DE1F33">
            <w:pPr>
              <w:spacing w:line="240" w:lineRule="auto"/>
              <w:rPr>
                <w:rFonts w:eastAsia="Times New Roman" w:cs="Arial"/>
                <w:color w:val="000000"/>
                <w:lang w:eastAsia="bg-BG"/>
              </w:rPr>
            </w:pPr>
          </w:p>
        </w:tc>
        <w:tc>
          <w:tcPr>
            <w:tcW w:w="1146" w:type="dxa"/>
          </w:tcPr>
          <w:p w14:paraId="28ADF9E6" w14:textId="77777777" w:rsidR="00DE1F33" w:rsidRDefault="00DE1F33" w:rsidP="00DE1F33">
            <w:pPr>
              <w:spacing w:line="240" w:lineRule="auto"/>
              <w:rPr>
                <w:rFonts w:eastAsia="Times New Roman" w:cs="Arial"/>
                <w:color w:val="000000"/>
                <w:lang w:eastAsia="bg-BG"/>
              </w:rPr>
            </w:pPr>
          </w:p>
        </w:tc>
      </w:tr>
      <w:tr w:rsidR="00DE1F33" w14:paraId="2DB5530A" w14:textId="77777777" w:rsidTr="00DE1F33">
        <w:tc>
          <w:tcPr>
            <w:tcW w:w="9576" w:type="dxa"/>
            <w:gridSpan w:val="5"/>
          </w:tcPr>
          <w:p w14:paraId="100512F7" w14:textId="7051F432" w:rsidR="00DE1F33" w:rsidRDefault="00DE1F33" w:rsidP="00DE1F33">
            <w:pPr>
              <w:spacing w:line="240" w:lineRule="auto"/>
              <w:rPr>
                <w:rFonts w:eastAsia="Times New Roman" w:cs="Arial"/>
                <w:color w:val="000000"/>
                <w:lang w:eastAsia="bg-BG"/>
              </w:rPr>
            </w:pPr>
            <w:r>
              <w:rPr>
                <w:i/>
                <w:iCs/>
              </w:rPr>
              <w:t>Стомашно-чревни нарушения</w:t>
            </w:r>
          </w:p>
        </w:tc>
      </w:tr>
      <w:tr w:rsidR="00DE1F33" w14:paraId="71551B2E" w14:textId="77777777" w:rsidTr="00DE1F33">
        <w:tc>
          <w:tcPr>
            <w:tcW w:w="2620" w:type="dxa"/>
          </w:tcPr>
          <w:p w14:paraId="203F8126" w14:textId="75D631F3" w:rsidR="00DE1F33" w:rsidRDefault="00DE1F33" w:rsidP="00DE1F33">
            <w:pPr>
              <w:rPr>
                <w:rFonts w:eastAsia="Times New Roman" w:cs="Arial"/>
                <w:color w:val="000000"/>
                <w:lang w:eastAsia="bg-BG"/>
              </w:rPr>
            </w:pPr>
            <w:r>
              <w:t>Гадене Сухота в устата</w:t>
            </w:r>
          </w:p>
        </w:tc>
        <w:tc>
          <w:tcPr>
            <w:tcW w:w="1640" w:type="dxa"/>
            <w:vAlign w:val="bottom"/>
          </w:tcPr>
          <w:p w14:paraId="3F4A5277" w14:textId="35471F21" w:rsidR="00DE1F33" w:rsidRDefault="00DE1F33" w:rsidP="00DE1F33">
            <w:pPr>
              <w:rPr>
                <w:rFonts w:eastAsia="Times New Roman" w:cs="Arial"/>
                <w:color w:val="000000"/>
                <w:lang w:eastAsia="bg-BG"/>
              </w:rPr>
            </w:pPr>
            <w:r>
              <w:t>Констипация Диария Коремна болка Повръщане Диспепсия Метеоризъм</w:t>
            </w:r>
          </w:p>
        </w:tc>
        <w:tc>
          <w:tcPr>
            <w:tcW w:w="2240" w:type="dxa"/>
            <w:vAlign w:val="bottom"/>
          </w:tcPr>
          <w:p w14:paraId="214A79E5" w14:textId="0482058A" w:rsidR="00DE1F33" w:rsidRDefault="00DE1F33" w:rsidP="00DE1F33">
            <w:pPr>
              <w:rPr>
                <w:rFonts w:eastAsia="Times New Roman" w:cs="Arial"/>
                <w:color w:val="000000"/>
                <w:lang w:eastAsia="bg-BG"/>
              </w:rPr>
            </w:pPr>
            <w:r>
              <w:t>Стомашно-чревен кръвоизлив</w:t>
            </w:r>
            <w:r>
              <w:rPr>
                <w:vertAlign w:val="superscript"/>
              </w:rPr>
              <w:t xml:space="preserve">7 </w:t>
            </w:r>
            <w:r>
              <w:t>Гастроентерит Оригване Гастрит Дисфагия</w:t>
            </w:r>
          </w:p>
        </w:tc>
        <w:tc>
          <w:tcPr>
            <w:tcW w:w="1930" w:type="dxa"/>
          </w:tcPr>
          <w:p w14:paraId="413317CA" w14:textId="0B1B3CBA" w:rsidR="00DE1F33" w:rsidRDefault="00DE1F33" w:rsidP="00DE1F33">
            <w:pPr>
              <w:rPr>
                <w:rFonts w:eastAsia="Times New Roman" w:cs="Arial"/>
                <w:color w:val="000000"/>
                <w:lang w:eastAsia="bg-BG"/>
              </w:rPr>
            </w:pPr>
            <w:r>
              <w:t>Стоматит Хематохезия Халитоза</w:t>
            </w:r>
          </w:p>
        </w:tc>
        <w:tc>
          <w:tcPr>
            <w:tcW w:w="1146" w:type="dxa"/>
          </w:tcPr>
          <w:p w14:paraId="602472CD" w14:textId="77777777" w:rsidR="00DE1F33" w:rsidRDefault="00DE1F33" w:rsidP="00DE1F33">
            <w:pPr>
              <w:spacing w:line="240" w:lineRule="auto"/>
              <w:rPr>
                <w:rFonts w:eastAsia="Times New Roman" w:cs="Arial"/>
                <w:color w:val="000000"/>
                <w:lang w:eastAsia="bg-BG"/>
              </w:rPr>
            </w:pPr>
          </w:p>
        </w:tc>
      </w:tr>
      <w:tr w:rsidR="00DE1F33" w14:paraId="425A7A4E" w14:textId="77777777" w:rsidTr="00DE1F33">
        <w:tc>
          <w:tcPr>
            <w:tcW w:w="9576" w:type="dxa"/>
            <w:gridSpan w:val="5"/>
          </w:tcPr>
          <w:p w14:paraId="0BE09901" w14:textId="2953C713" w:rsidR="00DE1F33" w:rsidRDefault="00DE1F33" w:rsidP="00DE1F33">
            <w:pPr>
              <w:spacing w:line="240" w:lineRule="auto"/>
              <w:rPr>
                <w:rFonts w:eastAsia="Times New Roman" w:cs="Arial"/>
                <w:color w:val="000000"/>
                <w:lang w:eastAsia="bg-BG"/>
              </w:rPr>
            </w:pPr>
            <w:r>
              <w:rPr>
                <w:i/>
                <w:iCs/>
              </w:rPr>
              <w:t>Хепато-билиарни нарушения</w:t>
            </w:r>
          </w:p>
        </w:tc>
      </w:tr>
      <w:tr w:rsidR="00DE1F33" w14:paraId="1BF84A0C" w14:textId="77777777" w:rsidTr="00DE1F33">
        <w:tc>
          <w:tcPr>
            <w:tcW w:w="2620" w:type="dxa"/>
          </w:tcPr>
          <w:p w14:paraId="2412CBFE" w14:textId="77777777" w:rsidR="00DE1F33" w:rsidRDefault="00DE1F33" w:rsidP="00DE1F33">
            <w:pPr>
              <w:rPr>
                <w:lang w:eastAsia="bg-BG"/>
              </w:rPr>
            </w:pPr>
          </w:p>
        </w:tc>
        <w:tc>
          <w:tcPr>
            <w:tcW w:w="1640" w:type="dxa"/>
          </w:tcPr>
          <w:p w14:paraId="002897F5" w14:textId="77777777" w:rsidR="00DE1F33" w:rsidRDefault="00DE1F33" w:rsidP="00DE1F33">
            <w:pPr>
              <w:rPr>
                <w:lang w:eastAsia="bg-BG"/>
              </w:rPr>
            </w:pPr>
          </w:p>
        </w:tc>
        <w:tc>
          <w:tcPr>
            <w:tcW w:w="2240" w:type="dxa"/>
            <w:vAlign w:val="bottom"/>
          </w:tcPr>
          <w:p w14:paraId="305A4CD3" w14:textId="3D9AA6F3" w:rsidR="00DE1F33" w:rsidRDefault="00DE1F33" w:rsidP="00DE1F33">
            <w:pPr>
              <w:rPr>
                <w:lang w:eastAsia="bg-BG"/>
              </w:rPr>
            </w:pPr>
            <w:r>
              <w:t>Хепатит</w:t>
            </w:r>
            <w:r>
              <w:rPr>
                <w:vertAlign w:val="superscript"/>
              </w:rPr>
              <w:t xml:space="preserve">3 </w:t>
            </w:r>
            <w:r>
              <w:t xml:space="preserve">Повишени чернодробни ензими </w:t>
            </w:r>
            <w:r w:rsidRPr="00DE1F33">
              <w:rPr>
                <w:lang w:val="ru-RU"/>
              </w:rPr>
              <w:t>(</w:t>
            </w:r>
            <w:r>
              <w:rPr>
                <w:lang w:val="en-US"/>
              </w:rPr>
              <w:t>ALT</w:t>
            </w:r>
            <w:r w:rsidRPr="00DE1F33">
              <w:rPr>
                <w:lang w:val="ru-RU"/>
              </w:rPr>
              <w:t xml:space="preserve">, </w:t>
            </w:r>
            <w:r>
              <w:rPr>
                <w:lang w:val="en-US"/>
              </w:rPr>
              <w:t>AST</w:t>
            </w:r>
            <w:r w:rsidRPr="00DE1F33">
              <w:rPr>
                <w:lang w:val="ru-RU"/>
              </w:rPr>
              <w:t xml:space="preserve">, </w:t>
            </w:r>
            <w:r>
              <w:t>алкална фосфатаза) Остро чернодробно увреждане</w:t>
            </w:r>
          </w:p>
        </w:tc>
        <w:tc>
          <w:tcPr>
            <w:tcW w:w="1930" w:type="dxa"/>
          </w:tcPr>
          <w:p w14:paraId="71039782" w14:textId="77777777" w:rsidR="00DE1F33" w:rsidRDefault="00DE1F33" w:rsidP="00DE1F33">
            <w:r>
              <w:t>Чернодробна недостатъчност</w:t>
            </w:r>
            <w:r>
              <w:rPr>
                <w:vertAlign w:val="superscript"/>
              </w:rPr>
              <w:t>6</w:t>
            </w:r>
          </w:p>
          <w:p w14:paraId="134204B0" w14:textId="31D85143" w:rsidR="00DE1F33" w:rsidRDefault="00DE1F33" w:rsidP="00DE1F33">
            <w:pPr>
              <w:rPr>
                <w:lang w:eastAsia="bg-BG"/>
              </w:rPr>
            </w:pPr>
            <w:r>
              <w:t>Жълтеница</w:t>
            </w:r>
            <w:r>
              <w:rPr>
                <w:vertAlign w:val="superscript"/>
              </w:rPr>
              <w:t>6</w:t>
            </w:r>
          </w:p>
        </w:tc>
        <w:tc>
          <w:tcPr>
            <w:tcW w:w="1146" w:type="dxa"/>
          </w:tcPr>
          <w:p w14:paraId="66BA811E" w14:textId="77777777" w:rsidR="00DE1F33" w:rsidRDefault="00DE1F33" w:rsidP="00DE1F33">
            <w:pPr>
              <w:rPr>
                <w:lang w:eastAsia="bg-BG"/>
              </w:rPr>
            </w:pPr>
          </w:p>
        </w:tc>
      </w:tr>
      <w:tr w:rsidR="00DE1F33" w14:paraId="64E8014D" w14:textId="77777777" w:rsidTr="00DE1F33">
        <w:tc>
          <w:tcPr>
            <w:tcW w:w="9576" w:type="dxa"/>
            <w:gridSpan w:val="5"/>
          </w:tcPr>
          <w:p w14:paraId="315354C6" w14:textId="55FE222F" w:rsidR="00DE1F33" w:rsidRPr="00DE1F33" w:rsidRDefault="00DE1F33" w:rsidP="00DE1F33">
            <w:pPr>
              <w:rPr>
                <w:rFonts w:eastAsia="Times New Roman" w:cs="Arial"/>
                <w:i/>
                <w:color w:val="000000"/>
                <w:lang w:eastAsia="bg-BG"/>
              </w:rPr>
            </w:pPr>
            <w:r w:rsidRPr="00DE1F33">
              <w:rPr>
                <w:i/>
              </w:rPr>
              <w:t>Нарушения на кожата и подкожната тъкан</w:t>
            </w:r>
          </w:p>
        </w:tc>
      </w:tr>
      <w:tr w:rsidR="00DE1F33" w14:paraId="49A1FAC5" w14:textId="77777777" w:rsidTr="00DE1F33">
        <w:tc>
          <w:tcPr>
            <w:tcW w:w="2620" w:type="dxa"/>
          </w:tcPr>
          <w:p w14:paraId="3386CADA" w14:textId="77777777" w:rsidR="00DE1F33" w:rsidRDefault="00DE1F33" w:rsidP="00DE1F33">
            <w:pPr>
              <w:rPr>
                <w:lang w:eastAsia="bg-BG"/>
              </w:rPr>
            </w:pPr>
          </w:p>
        </w:tc>
        <w:tc>
          <w:tcPr>
            <w:tcW w:w="1640" w:type="dxa"/>
          </w:tcPr>
          <w:p w14:paraId="5520EBE7" w14:textId="37046D6A" w:rsidR="00DE1F33" w:rsidRDefault="00DE1F33" w:rsidP="00DE1F33">
            <w:pPr>
              <w:rPr>
                <w:lang w:eastAsia="bg-BG"/>
              </w:rPr>
            </w:pPr>
            <w:r>
              <w:t>Засилено потене Обрив</w:t>
            </w:r>
          </w:p>
        </w:tc>
        <w:tc>
          <w:tcPr>
            <w:tcW w:w="2240" w:type="dxa"/>
          </w:tcPr>
          <w:p w14:paraId="3FE64FE1" w14:textId="77777777" w:rsidR="00DE1F33" w:rsidRDefault="00DE1F33" w:rsidP="00DE1F33">
            <w:r>
              <w:t>Нощно изпотяване Уртикария Контактен дерматит Студена пот Реакции</w:t>
            </w:r>
            <w:r>
              <w:tab/>
              <w:t>на</w:t>
            </w:r>
          </w:p>
          <w:p w14:paraId="6B06ED88" w14:textId="2E1469E3" w:rsidR="00DE1F33" w:rsidRDefault="00DE1F33" w:rsidP="00DE1F33">
            <w:pPr>
              <w:rPr>
                <w:lang w:eastAsia="bg-BG"/>
              </w:rPr>
            </w:pPr>
            <w:r>
              <w:t>фоточувствителнос т Засилена тенденция за поява на хематоми</w:t>
            </w:r>
          </w:p>
        </w:tc>
        <w:tc>
          <w:tcPr>
            <w:tcW w:w="1930" w:type="dxa"/>
            <w:vAlign w:val="bottom"/>
          </w:tcPr>
          <w:p w14:paraId="070312BD" w14:textId="77777777" w:rsidR="00DE1F33" w:rsidRDefault="00DE1F33" w:rsidP="00DE1F33">
            <w:r>
              <w:t xml:space="preserve">Синдром на </w:t>
            </w:r>
            <w:r>
              <w:rPr>
                <w:lang w:val="en-US"/>
              </w:rPr>
              <w:t>Stevens</w:t>
            </w:r>
            <w:r w:rsidRPr="00DE1F33">
              <w:rPr>
                <w:lang w:val="ru-RU"/>
              </w:rPr>
              <w:t>-</w:t>
            </w:r>
          </w:p>
          <w:p w14:paraId="03D37AD6" w14:textId="1BF28F8A" w:rsidR="00DE1F33" w:rsidRDefault="00DE1F33" w:rsidP="00DE1F33">
            <w:pPr>
              <w:rPr>
                <w:lang w:eastAsia="bg-BG"/>
              </w:rPr>
            </w:pPr>
            <w:r>
              <w:rPr>
                <w:lang w:val="en-US"/>
              </w:rPr>
              <w:t>Johnson</w:t>
            </w:r>
            <w:r w:rsidRPr="00DE1F33">
              <w:rPr>
                <w:vertAlign w:val="superscript"/>
                <w:lang w:val="ru-RU"/>
              </w:rPr>
              <w:t xml:space="preserve">6 </w:t>
            </w:r>
            <w:r>
              <w:t>Ангионевротич ен оток</w:t>
            </w:r>
            <w:r>
              <w:rPr>
                <w:vertAlign w:val="superscript"/>
              </w:rPr>
              <w:t>6</w:t>
            </w:r>
          </w:p>
        </w:tc>
        <w:tc>
          <w:tcPr>
            <w:tcW w:w="1146" w:type="dxa"/>
            <w:textDirection w:val="tbRl"/>
          </w:tcPr>
          <w:p w14:paraId="631C241B" w14:textId="77777777" w:rsidR="00DE1F33" w:rsidRDefault="00DE1F33" w:rsidP="00DE1F33">
            <w:pPr>
              <w:rPr>
                <w:lang w:eastAsia="bg-BG"/>
              </w:rPr>
            </w:pPr>
          </w:p>
        </w:tc>
      </w:tr>
      <w:tr w:rsidR="00DE1F33" w14:paraId="28F08BC6" w14:textId="77777777" w:rsidTr="00DE1F33">
        <w:tc>
          <w:tcPr>
            <w:tcW w:w="9576" w:type="dxa"/>
            <w:gridSpan w:val="5"/>
          </w:tcPr>
          <w:p w14:paraId="0E77E749" w14:textId="6D1EE7EF" w:rsidR="00DE1F33" w:rsidRPr="00DE1F33" w:rsidRDefault="00DE1F33" w:rsidP="00DE1F33">
            <w:pPr>
              <w:rPr>
                <w:rFonts w:cs="Arial"/>
                <w:i/>
                <w:lang w:eastAsia="bg-BG"/>
              </w:rPr>
            </w:pPr>
            <w:r w:rsidRPr="00DE1F33">
              <w:rPr>
                <w:i/>
                <w:lang w:eastAsia="bg-BG"/>
              </w:rPr>
              <w:t>Нарушения на мускулно-скелетната система и съединителната тъкан</w:t>
            </w:r>
          </w:p>
        </w:tc>
      </w:tr>
      <w:tr w:rsidR="00DE1F33" w14:paraId="717EE881" w14:textId="77777777" w:rsidTr="00DE1F33">
        <w:tc>
          <w:tcPr>
            <w:tcW w:w="2620" w:type="dxa"/>
          </w:tcPr>
          <w:p w14:paraId="2F2F03DF" w14:textId="77777777" w:rsidR="00DE1F33" w:rsidRDefault="00DE1F33" w:rsidP="00DE1F33">
            <w:pPr>
              <w:rPr>
                <w:lang w:eastAsia="bg-BG"/>
              </w:rPr>
            </w:pPr>
          </w:p>
        </w:tc>
        <w:tc>
          <w:tcPr>
            <w:tcW w:w="1640" w:type="dxa"/>
          </w:tcPr>
          <w:p w14:paraId="39B44CCA" w14:textId="18AE7D38" w:rsidR="00DE1F33" w:rsidRDefault="00DE1F33" w:rsidP="00DE1F33">
            <w:pPr>
              <w:rPr>
                <w:lang w:eastAsia="bg-BG"/>
              </w:rPr>
            </w:pPr>
            <w:r>
              <w:t>Мускулно- скелетна болка Мускулен спазъм</w:t>
            </w:r>
          </w:p>
        </w:tc>
        <w:tc>
          <w:tcPr>
            <w:tcW w:w="2240" w:type="dxa"/>
          </w:tcPr>
          <w:p w14:paraId="54F2C5DC" w14:textId="790693FF" w:rsidR="00DE1F33" w:rsidRDefault="00DE1F33" w:rsidP="00DE1F33">
            <w:pPr>
              <w:rPr>
                <w:lang w:eastAsia="bg-BG"/>
              </w:rPr>
            </w:pPr>
            <w:r>
              <w:t>Мускулно напрежение Потрепване на мускули</w:t>
            </w:r>
          </w:p>
        </w:tc>
        <w:tc>
          <w:tcPr>
            <w:tcW w:w="1930" w:type="dxa"/>
          </w:tcPr>
          <w:p w14:paraId="009D7905" w14:textId="0C68A8DB" w:rsidR="00DE1F33" w:rsidRDefault="00DE1F33" w:rsidP="00DE1F33">
            <w:pPr>
              <w:rPr>
                <w:lang w:eastAsia="bg-BG"/>
              </w:rPr>
            </w:pPr>
            <w:r>
              <w:t>Тризмус</w:t>
            </w:r>
          </w:p>
        </w:tc>
        <w:tc>
          <w:tcPr>
            <w:tcW w:w="1146" w:type="dxa"/>
          </w:tcPr>
          <w:p w14:paraId="34385E1A" w14:textId="77777777" w:rsidR="00DE1F33" w:rsidRDefault="00DE1F33" w:rsidP="00DE1F33">
            <w:pPr>
              <w:rPr>
                <w:lang w:eastAsia="bg-BG"/>
              </w:rPr>
            </w:pPr>
          </w:p>
        </w:tc>
      </w:tr>
      <w:tr w:rsidR="00DE1F33" w14:paraId="462E645C" w14:textId="77777777" w:rsidTr="00DE1F33">
        <w:tc>
          <w:tcPr>
            <w:tcW w:w="9576" w:type="dxa"/>
            <w:gridSpan w:val="5"/>
          </w:tcPr>
          <w:p w14:paraId="6866AE02" w14:textId="10F00DF8" w:rsidR="00DE1F33" w:rsidRPr="00DE1F33" w:rsidRDefault="00DE1F33" w:rsidP="00DE1F33">
            <w:pPr>
              <w:rPr>
                <w:rFonts w:cs="Arial"/>
                <w:i/>
                <w:lang w:eastAsia="bg-BG"/>
              </w:rPr>
            </w:pPr>
            <w:r w:rsidRPr="00DE1F33">
              <w:rPr>
                <w:i/>
                <w:lang w:eastAsia="bg-BG"/>
              </w:rPr>
              <w:t>Нарушения на бъбреците и пикочните пътища</w:t>
            </w:r>
          </w:p>
        </w:tc>
      </w:tr>
      <w:tr w:rsidR="00DE1F33" w14:paraId="589F42AC" w14:textId="77777777" w:rsidTr="00DE1F33">
        <w:tc>
          <w:tcPr>
            <w:tcW w:w="2620" w:type="dxa"/>
          </w:tcPr>
          <w:p w14:paraId="7CCCEAE5" w14:textId="77777777" w:rsidR="00DE1F33" w:rsidRDefault="00DE1F33" w:rsidP="00DE1F33">
            <w:pPr>
              <w:rPr>
                <w:lang w:eastAsia="bg-BG"/>
              </w:rPr>
            </w:pPr>
          </w:p>
        </w:tc>
        <w:tc>
          <w:tcPr>
            <w:tcW w:w="1640" w:type="dxa"/>
          </w:tcPr>
          <w:p w14:paraId="5C5C4C59" w14:textId="45DCD047" w:rsidR="00DE1F33" w:rsidRDefault="00DE1F33" w:rsidP="00DE1F33">
            <w:pPr>
              <w:rPr>
                <w:lang w:eastAsia="bg-BG"/>
              </w:rPr>
            </w:pPr>
            <w:r>
              <w:t>Дизурия Често уриниране</w:t>
            </w:r>
          </w:p>
        </w:tc>
        <w:tc>
          <w:tcPr>
            <w:tcW w:w="2240" w:type="dxa"/>
          </w:tcPr>
          <w:p w14:paraId="5BE9E798" w14:textId="432F0371" w:rsidR="00DE1F33" w:rsidRDefault="00DE1F33" w:rsidP="00DE1F33">
            <w:pPr>
              <w:rPr>
                <w:lang w:eastAsia="bg-BG"/>
              </w:rPr>
            </w:pPr>
            <w:r>
              <w:t>Задържане на урина Затруднено уриниране Никтурия Полиурия Намалена диуреза</w:t>
            </w:r>
          </w:p>
        </w:tc>
        <w:tc>
          <w:tcPr>
            <w:tcW w:w="1930" w:type="dxa"/>
          </w:tcPr>
          <w:p w14:paraId="37669653" w14:textId="7DA3E31C" w:rsidR="00DE1F33" w:rsidRDefault="00DE1F33" w:rsidP="00DE1F33">
            <w:pPr>
              <w:rPr>
                <w:lang w:eastAsia="bg-BG"/>
              </w:rPr>
            </w:pPr>
            <w:r>
              <w:t>Променен мирис на урината</w:t>
            </w:r>
          </w:p>
        </w:tc>
        <w:tc>
          <w:tcPr>
            <w:tcW w:w="1146" w:type="dxa"/>
          </w:tcPr>
          <w:p w14:paraId="75A1BB67" w14:textId="77777777" w:rsidR="00DE1F33" w:rsidRDefault="00DE1F33" w:rsidP="00DE1F33">
            <w:pPr>
              <w:rPr>
                <w:lang w:eastAsia="bg-BG"/>
              </w:rPr>
            </w:pPr>
          </w:p>
        </w:tc>
      </w:tr>
      <w:tr w:rsidR="00DE1F33" w14:paraId="6F08A261" w14:textId="77777777" w:rsidTr="00DE1F33">
        <w:tc>
          <w:tcPr>
            <w:tcW w:w="9576" w:type="dxa"/>
            <w:gridSpan w:val="5"/>
          </w:tcPr>
          <w:p w14:paraId="0E4458A0" w14:textId="5236A8B1" w:rsidR="00DE1F33" w:rsidRPr="00DE1F33" w:rsidRDefault="00DE1F33" w:rsidP="00DE1F33">
            <w:pPr>
              <w:rPr>
                <w:rFonts w:eastAsia="Times New Roman" w:cs="Arial"/>
                <w:i/>
                <w:color w:val="000000"/>
                <w:lang w:eastAsia="bg-BG"/>
              </w:rPr>
            </w:pPr>
            <w:r w:rsidRPr="00DE1F33">
              <w:rPr>
                <w:i/>
              </w:rPr>
              <w:t>Нарушения на възпроизводителната система и гърдата</w:t>
            </w:r>
          </w:p>
        </w:tc>
      </w:tr>
      <w:tr w:rsidR="00DE1F33" w14:paraId="5B2ECC70" w14:textId="77777777" w:rsidTr="00DE1F33">
        <w:tc>
          <w:tcPr>
            <w:tcW w:w="2620" w:type="dxa"/>
          </w:tcPr>
          <w:p w14:paraId="394A532F" w14:textId="77777777" w:rsidR="00DE1F33" w:rsidRDefault="00DE1F33" w:rsidP="00DE1F33">
            <w:pPr>
              <w:rPr>
                <w:lang w:eastAsia="bg-BG"/>
              </w:rPr>
            </w:pPr>
          </w:p>
        </w:tc>
        <w:tc>
          <w:tcPr>
            <w:tcW w:w="1640" w:type="dxa"/>
          </w:tcPr>
          <w:p w14:paraId="7365F3EF" w14:textId="162C1E04" w:rsidR="00DE1F33" w:rsidRDefault="00DE1F33" w:rsidP="00DE1F33">
            <w:pPr>
              <w:rPr>
                <w:lang w:eastAsia="bg-BG"/>
              </w:rPr>
            </w:pPr>
            <w:r>
              <w:t>Еректилна дисфункция Нарушение на еякулацията Забавена еякулация</w:t>
            </w:r>
          </w:p>
        </w:tc>
        <w:tc>
          <w:tcPr>
            <w:tcW w:w="2240" w:type="dxa"/>
          </w:tcPr>
          <w:p w14:paraId="294C0B11" w14:textId="35883135" w:rsidR="00DE1F33" w:rsidRDefault="00DE1F33" w:rsidP="00DE1F33">
            <w:pPr>
              <w:rPr>
                <w:lang w:eastAsia="bg-BG"/>
              </w:rPr>
            </w:pPr>
            <w:r>
              <w:t>Гинекологично кървене Менструални нарушения Сексуална дисфункция Болка в тестисите</w:t>
            </w:r>
          </w:p>
        </w:tc>
        <w:tc>
          <w:tcPr>
            <w:tcW w:w="1930" w:type="dxa"/>
          </w:tcPr>
          <w:p w14:paraId="65514CBC" w14:textId="44D4891B" w:rsidR="00DE1F33" w:rsidRDefault="00DE1F33" w:rsidP="00DE1F33">
            <w:pPr>
              <w:rPr>
                <w:lang w:eastAsia="bg-BG"/>
              </w:rPr>
            </w:pPr>
            <w:r>
              <w:t>Менопаузални симптоми Галакторея Хиперпролакти немия</w:t>
            </w:r>
          </w:p>
        </w:tc>
        <w:tc>
          <w:tcPr>
            <w:tcW w:w="1146" w:type="dxa"/>
          </w:tcPr>
          <w:p w14:paraId="7AF9C606" w14:textId="77777777" w:rsidR="00DE1F33" w:rsidRDefault="00DE1F33" w:rsidP="00DE1F33">
            <w:pPr>
              <w:rPr>
                <w:lang w:eastAsia="bg-BG"/>
              </w:rPr>
            </w:pPr>
          </w:p>
        </w:tc>
      </w:tr>
      <w:tr w:rsidR="00DE1F33" w14:paraId="60AE1859" w14:textId="77777777" w:rsidTr="00DE1F33">
        <w:tc>
          <w:tcPr>
            <w:tcW w:w="9576" w:type="dxa"/>
            <w:gridSpan w:val="5"/>
          </w:tcPr>
          <w:p w14:paraId="7493AF04" w14:textId="6BAB7DD3" w:rsidR="00DE1F33" w:rsidRPr="00DE1F33" w:rsidRDefault="00DE1F33" w:rsidP="00DE1F33">
            <w:pPr>
              <w:rPr>
                <w:rFonts w:eastAsia="Times New Roman" w:cs="Arial"/>
                <w:i/>
                <w:color w:val="000000"/>
                <w:lang w:eastAsia="bg-BG"/>
              </w:rPr>
            </w:pPr>
            <w:r w:rsidRPr="00DE1F33">
              <w:rPr>
                <w:i/>
              </w:rPr>
              <w:t>Общи нарушения и ефекти на мястото на приложение</w:t>
            </w:r>
          </w:p>
        </w:tc>
      </w:tr>
      <w:tr w:rsidR="00DE1F33" w14:paraId="696E7ACB" w14:textId="77777777" w:rsidTr="00DE1F33">
        <w:tc>
          <w:tcPr>
            <w:tcW w:w="2620" w:type="dxa"/>
          </w:tcPr>
          <w:p w14:paraId="11E8FDC1" w14:textId="77777777" w:rsidR="00DE1F33" w:rsidRDefault="00DE1F33" w:rsidP="00DE1F33">
            <w:pPr>
              <w:rPr>
                <w:lang w:eastAsia="bg-BG"/>
              </w:rPr>
            </w:pPr>
          </w:p>
        </w:tc>
        <w:tc>
          <w:tcPr>
            <w:tcW w:w="1640" w:type="dxa"/>
          </w:tcPr>
          <w:p w14:paraId="6978BFD8" w14:textId="77777777" w:rsidR="00DE1F33" w:rsidRDefault="00DE1F33" w:rsidP="00DE1F33">
            <w:r>
              <w:t>Припадъци</w:t>
            </w:r>
            <w:r>
              <w:rPr>
                <w:vertAlign w:val="superscript"/>
              </w:rPr>
              <w:t>8</w:t>
            </w:r>
          </w:p>
          <w:p w14:paraId="325B8C69" w14:textId="5864BBD3" w:rsidR="00DE1F33" w:rsidRDefault="00DE1F33" w:rsidP="00DE1F33">
            <w:pPr>
              <w:rPr>
                <w:lang w:eastAsia="bg-BG"/>
              </w:rPr>
            </w:pPr>
            <w:r>
              <w:t>Умора</w:t>
            </w:r>
          </w:p>
        </w:tc>
        <w:tc>
          <w:tcPr>
            <w:tcW w:w="2240" w:type="dxa"/>
          </w:tcPr>
          <w:p w14:paraId="7D2673EE" w14:textId="2B867F3F" w:rsidR="00DE1F33" w:rsidRDefault="00DE1F33" w:rsidP="00DE1F33">
            <w:pPr>
              <w:rPr>
                <w:lang w:eastAsia="bg-BG"/>
              </w:rPr>
            </w:pPr>
            <w:r>
              <w:t>Болка в гърдите</w:t>
            </w:r>
            <w:r>
              <w:rPr>
                <w:vertAlign w:val="superscript"/>
              </w:rPr>
              <w:t xml:space="preserve">7 </w:t>
            </w:r>
            <w:r>
              <w:t>Абнормни усещания Чувство за студ Жажда Втрисане Неразположение Чувство за топлина Нарушения в походката</w:t>
            </w:r>
          </w:p>
        </w:tc>
        <w:tc>
          <w:tcPr>
            <w:tcW w:w="1930" w:type="dxa"/>
          </w:tcPr>
          <w:p w14:paraId="473A5EDB" w14:textId="77777777" w:rsidR="00DE1F33" w:rsidRDefault="00DE1F33" w:rsidP="00DE1F33">
            <w:pPr>
              <w:rPr>
                <w:lang w:eastAsia="bg-BG"/>
              </w:rPr>
            </w:pPr>
          </w:p>
        </w:tc>
        <w:tc>
          <w:tcPr>
            <w:tcW w:w="1146" w:type="dxa"/>
          </w:tcPr>
          <w:p w14:paraId="2555D8E4" w14:textId="77777777" w:rsidR="00DE1F33" w:rsidRDefault="00DE1F33" w:rsidP="00DE1F33">
            <w:pPr>
              <w:rPr>
                <w:lang w:eastAsia="bg-BG"/>
              </w:rPr>
            </w:pPr>
          </w:p>
        </w:tc>
      </w:tr>
      <w:tr w:rsidR="00DE1F33" w14:paraId="40B86129" w14:textId="77777777" w:rsidTr="00DE1F33">
        <w:tc>
          <w:tcPr>
            <w:tcW w:w="9576" w:type="dxa"/>
            <w:gridSpan w:val="5"/>
          </w:tcPr>
          <w:p w14:paraId="31706AA7" w14:textId="28F4DCA8" w:rsidR="00DE1F33" w:rsidRPr="00DE1F33" w:rsidRDefault="00DE1F33" w:rsidP="00DE1F33">
            <w:pPr>
              <w:rPr>
                <w:rFonts w:eastAsia="Times New Roman" w:cs="Arial"/>
                <w:i/>
                <w:color w:val="000000"/>
                <w:lang w:eastAsia="bg-BG"/>
              </w:rPr>
            </w:pPr>
            <w:r w:rsidRPr="00DE1F33">
              <w:rPr>
                <w:i/>
              </w:rPr>
              <w:lastRenderedPageBreak/>
              <w:t>Изследвания</w:t>
            </w:r>
          </w:p>
        </w:tc>
      </w:tr>
      <w:tr w:rsidR="00DE1F33" w14:paraId="6F3F1470" w14:textId="77777777" w:rsidTr="00DE1F33">
        <w:tc>
          <w:tcPr>
            <w:tcW w:w="2620" w:type="dxa"/>
          </w:tcPr>
          <w:p w14:paraId="7C742939" w14:textId="77777777" w:rsidR="00DE1F33" w:rsidRDefault="00DE1F33" w:rsidP="00DE1F33">
            <w:pPr>
              <w:rPr>
                <w:lang w:eastAsia="bg-BG"/>
              </w:rPr>
            </w:pPr>
          </w:p>
        </w:tc>
        <w:tc>
          <w:tcPr>
            <w:tcW w:w="1640" w:type="dxa"/>
          </w:tcPr>
          <w:p w14:paraId="0F5E6CEA" w14:textId="58053521" w:rsidR="00DE1F33" w:rsidRDefault="00DE1F33" w:rsidP="00DE1F33">
            <w:pPr>
              <w:rPr>
                <w:lang w:eastAsia="bg-BG"/>
              </w:rPr>
            </w:pPr>
            <w:r>
              <w:t>Понижение на теглото</w:t>
            </w:r>
          </w:p>
        </w:tc>
        <w:tc>
          <w:tcPr>
            <w:tcW w:w="2240" w:type="dxa"/>
          </w:tcPr>
          <w:p w14:paraId="34851491" w14:textId="5AD423FB" w:rsidR="00DE1F33" w:rsidRDefault="00DE1F33" w:rsidP="00DE1F33">
            <w:pPr>
              <w:rPr>
                <w:lang w:eastAsia="bg-BG"/>
              </w:rPr>
            </w:pPr>
            <w:r>
              <w:t>Покачване на теглото Повишение на креатин фосфокиназата в кръвта Повишение на калия в кръвта</w:t>
            </w:r>
          </w:p>
        </w:tc>
        <w:tc>
          <w:tcPr>
            <w:tcW w:w="1930" w:type="dxa"/>
          </w:tcPr>
          <w:p w14:paraId="7072C40F" w14:textId="17752ABB" w:rsidR="00DE1F33" w:rsidRDefault="00DE1F33" w:rsidP="00DE1F33">
            <w:pPr>
              <w:rPr>
                <w:lang w:eastAsia="bg-BG"/>
              </w:rPr>
            </w:pPr>
            <w:r>
              <w:t>Увеличаване на холестерола в кръвта</w:t>
            </w:r>
          </w:p>
        </w:tc>
        <w:tc>
          <w:tcPr>
            <w:tcW w:w="1146" w:type="dxa"/>
          </w:tcPr>
          <w:p w14:paraId="7DD854ED" w14:textId="77777777" w:rsidR="00DE1F33" w:rsidRDefault="00DE1F33" w:rsidP="00DE1F33">
            <w:pPr>
              <w:rPr>
                <w:lang w:eastAsia="bg-BG"/>
              </w:rPr>
            </w:pPr>
          </w:p>
        </w:tc>
      </w:tr>
    </w:tbl>
    <w:p w14:paraId="2E179738" w14:textId="08ABCC5E"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1</w:t>
      </w:r>
      <w:r w:rsidRPr="00295850">
        <w:rPr>
          <w:rFonts w:eastAsia="Times New Roman" w:cs="Arial"/>
          <w:color w:val="000000"/>
          <w:lang w:eastAsia="bg-BG"/>
        </w:rPr>
        <w:t>Случаи на конвулсии и случаи на шум в ушите са съобщавани също след прекъсване на лечението.</w:t>
      </w:r>
    </w:p>
    <w:p w14:paraId="5A111A61" w14:textId="41CBD909"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2</w:t>
      </w:r>
      <w:r w:rsidRPr="00295850">
        <w:rPr>
          <w:rFonts w:eastAsia="Times New Roman" w:cs="Arial"/>
          <w:color w:val="000000"/>
          <w:lang w:eastAsia="bg-BG"/>
        </w:rPr>
        <w:t>Случаи на ортостатична хипотония и синкоп са съобщавани особено в началото на лечението.</w:t>
      </w:r>
    </w:p>
    <w:p w14:paraId="5D2DEFAD" w14:textId="44521286"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3</w:t>
      </w:r>
      <w:r w:rsidRPr="00295850">
        <w:rPr>
          <w:rFonts w:eastAsia="Times New Roman" w:cs="Arial"/>
          <w:color w:val="000000"/>
          <w:lang w:eastAsia="bg-BG"/>
        </w:rPr>
        <w:t>Вижте точка 4.4.</w:t>
      </w:r>
    </w:p>
    <w:p w14:paraId="4650A407" w14:textId="1B9D79DF"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4</w:t>
      </w:r>
      <w:r w:rsidRPr="00295850">
        <w:rPr>
          <w:rFonts w:eastAsia="Times New Roman" w:cs="Arial"/>
          <w:color w:val="000000"/>
          <w:lang w:eastAsia="bg-BG"/>
        </w:rPr>
        <w:t>Случаи на враждебност и гняв са съобщавани особено в началото или след прекъсване на лечението.</w:t>
      </w:r>
    </w:p>
    <w:p w14:paraId="1EB174C4" w14:textId="035915AA"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5</w:t>
      </w:r>
      <w:r w:rsidRPr="00295850">
        <w:rPr>
          <w:rFonts w:eastAsia="Times New Roman" w:cs="Arial"/>
          <w:color w:val="000000"/>
          <w:lang w:eastAsia="bg-BG"/>
        </w:rPr>
        <w:t>Случаи на суицидна идеация и суицидно поведение са съобщавани по време на лечение с дулоксетин или скоро след прекъсване на лечението (вж. точка 4.4).</w:t>
      </w:r>
    </w:p>
    <w:p w14:paraId="18D93CFA" w14:textId="0BA0D056"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6</w:t>
      </w:r>
      <w:r w:rsidRPr="00295850">
        <w:rPr>
          <w:rFonts w:eastAsia="Times New Roman" w:cs="Arial"/>
          <w:color w:val="000000"/>
          <w:lang w:eastAsia="bg-BG"/>
        </w:rPr>
        <w:t>Оценена честота на нежелани реакции, съобщени при пост-маркетинговото наблюдение; не са наблюдавани в плацебо-контролирани клинични проучвания.</w:t>
      </w:r>
    </w:p>
    <w:p w14:paraId="6104F805" w14:textId="336521D9"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7</w:t>
      </w:r>
      <w:r w:rsidRPr="00295850">
        <w:rPr>
          <w:rFonts w:eastAsia="Times New Roman" w:cs="Arial"/>
          <w:color w:val="000000"/>
          <w:lang w:eastAsia="bg-BG"/>
        </w:rPr>
        <w:t>Не е статистически сигнификантно различна от плацебо.</w:t>
      </w:r>
    </w:p>
    <w:p w14:paraId="16ABB04F" w14:textId="49D05AEC"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vertAlign w:val="superscript"/>
          <w:lang w:eastAsia="bg-BG"/>
        </w:rPr>
        <w:t>9</w:t>
      </w:r>
      <w:r w:rsidRPr="00295850">
        <w:rPr>
          <w:rFonts w:eastAsia="Times New Roman" w:cs="Arial"/>
          <w:color w:val="000000"/>
          <w:lang w:eastAsia="bg-BG"/>
        </w:rPr>
        <w:t>Припадъците са по-чести при пациенти в старческа възраст (възраст ≥65 годино).</w:t>
      </w:r>
      <w:bookmarkStart w:id="1" w:name="bookmark0"/>
      <w:bookmarkEnd w:id="1"/>
    </w:p>
    <w:p w14:paraId="53978E08" w14:textId="77777777" w:rsidR="00DE1F33" w:rsidRPr="00295850" w:rsidRDefault="00DE1F33" w:rsidP="00DE1F33">
      <w:pPr>
        <w:spacing w:line="240" w:lineRule="auto"/>
        <w:rPr>
          <w:rFonts w:eastAsia="Times New Roman" w:cs="Arial"/>
        </w:rPr>
      </w:pPr>
    </w:p>
    <w:p w14:paraId="78309FBF"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в. </w:t>
      </w:r>
      <w:r w:rsidRPr="00295850">
        <w:rPr>
          <w:rFonts w:eastAsia="Times New Roman" w:cs="Arial"/>
          <w:i/>
          <w:iCs/>
          <w:color w:val="000000"/>
          <w:lang w:eastAsia="bg-BG"/>
        </w:rPr>
        <w:t>Описание на изорани нежелани лекарствени реакции</w:t>
      </w:r>
    </w:p>
    <w:p w14:paraId="35B26BC5" w14:textId="7C6D503A" w:rsidR="00DE1F33" w:rsidRPr="00295850" w:rsidRDefault="00DE1F33" w:rsidP="00DE1F33">
      <w:pPr>
        <w:spacing w:line="240" w:lineRule="auto"/>
        <w:rPr>
          <w:rFonts w:eastAsia="Times New Roman" w:cs="Arial"/>
          <w:color w:val="000000"/>
          <w:lang w:eastAsia="bg-BG"/>
        </w:rPr>
      </w:pPr>
      <w:r w:rsidRPr="00295850">
        <w:rPr>
          <w:rFonts w:eastAsia="Times New Roman" w:cs="Arial"/>
          <w:color w:val="000000"/>
          <w:lang w:eastAsia="bg-BG"/>
        </w:rPr>
        <w:t>Прекратяването на дулоксетин (особено когато е внезапно) често води до симптоми на отнемане</w:t>
      </w:r>
    </w:p>
    <w:p w14:paraId="1C348B11" w14:textId="593CE873" w:rsidR="00DE1F33" w:rsidRPr="00295850" w:rsidRDefault="00DE1F33" w:rsidP="00DE1F33">
      <w:pPr>
        <w:rPr>
          <w:rFonts w:cs="Arial"/>
        </w:rPr>
      </w:pPr>
    </w:p>
    <w:p w14:paraId="42D2DE96"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Замайване,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вертиго са най-често съобщаваните нежелани реакции.</w:t>
      </w:r>
    </w:p>
    <w:p w14:paraId="1C54B5C0" w14:textId="77777777" w:rsidR="00DE1F33" w:rsidRPr="00295850" w:rsidRDefault="00DE1F33" w:rsidP="00DE1F33">
      <w:pPr>
        <w:spacing w:line="240" w:lineRule="auto"/>
        <w:rPr>
          <w:rFonts w:eastAsia="Times New Roman" w:cs="Arial"/>
          <w:color w:val="000000"/>
          <w:lang w:eastAsia="bg-BG"/>
        </w:rPr>
      </w:pPr>
    </w:p>
    <w:p w14:paraId="2EB1F131" w14:textId="649752EA"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Общо, и за </w:t>
      </w:r>
      <w:r w:rsidRPr="00295850">
        <w:rPr>
          <w:rFonts w:eastAsia="Times New Roman" w:cs="Arial"/>
          <w:color w:val="000000"/>
          <w:lang w:val="en-US"/>
        </w:rPr>
        <w:t>SSRIs</w:t>
      </w:r>
      <w:r w:rsidRPr="00295850">
        <w:rPr>
          <w:rFonts w:eastAsia="Times New Roman" w:cs="Arial"/>
          <w:color w:val="000000"/>
          <w:lang w:val="ru-RU"/>
        </w:rPr>
        <w:t xml:space="preserve"> </w:t>
      </w:r>
      <w:r w:rsidRPr="00295850">
        <w:rPr>
          <w:rFonts w:eastAsia="Times New Roman" w:cs="Arial"/>
          <w:color w:val="000000"/>
          <w:lang w:eastAsia="bg-BG"/>
        </w:rPr>
        <w:t xml:space="preserve">и за </w:t>
      </w:r>
      <w:r w:rsidRPr="00295850">
        <w:rPr>
          <w:rFonts w:eastAsia="Times New Roman" w:cs="Arial"/>
          <w:color w:val="000000"/>
          <w:lang w:val="en-US"/>
        </w:rPr>
        <w:t>SNRIs</w:t>
      </w:r>
      <w:r w:rsidRPr="00295850">
        <w:rPr>
          <w:rFonts w:eastAsia="Times New Roman" w:cs="Arial"/>
          <w:color w:val="000000"/>
          <w:lang w:val="ru-RU"/>
        </w:rPr>
        <w:t xml:space="preserve">, </w:t>
      </w:r>
      <w:r w:rsidRPr="00295850">
        <w:rPr>
          <w:rFonts w:eastAsia="Times New Roman" w:cs="Arial"/>
          <w:color w:val="000000"/>
          <w:lang w:eastAsia="bg-BG"/>
        </w:rPr>
        <w:t>тези събития са леки до умерени и самоограничаващи се, въпреки че при някои пациенти те може да са тежки и/или продължителни. Затова се препоръчва, когато не се налага повече лечение с дулоксетин да бъде извършено постепенно спиране, чрез намаляване на дозата (вж. точка 4.2 и точка 4.4).</w:t>
      </w:r>
    </w:p>
    <w:p w14:paraId="740EB6F0" w14:textId="77777777" w:rsidR="00DE1F33" w:rsidRPr="00295850" w:rsidRDefault="00DE1F33" w:rsidP="00DE1F33">
      <w:pPr>
        <w:spacing w:line="240" w:lineRule="auto"/>
        <w:rPr>
          <w:rFonts w:eastAsia="Times New Roman" w:cs="Arial"/>
          <w:color w:val="000000"/>
          <w:lang w:eastAsia="bg-BG"/>
        </w:rPr>
      </w:pPr>
    </w:p>
    <w:p w14:paraId="7B7EB053" w14:textId="78CD38F3"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През 12-седмичната остра фаза на три клинични проучвания с дулоксетин при пациенти с диабетна невропатна болка е наблюдавано малко, но статистически значимо повишение в кръвната глюкоза на гладно, при пациентите на лечение с дулоксетин. </w:t>
      </w:r>
      <w:proofErr w:type="spellStart"/>
      <w:r w:rsidRPr="00295850">
        <w:rPr>
          <w:rFonts w:eastAsia="Times New Roman" w:cs="Arial"/>
          <w:color w:val="000000"/>
          <w:lang w:val="en-US"/>
        </w:rPr>
        <w:t>HbA</w:t>
      </w:r>
      <w:proofErr w:type="spellEnd"/>
      <w:r w:rsidRPr="00295850">
        <w:rPr>
          <w:rFonts w:eastAsia="Times New Roman" w:cs="Arial"/>
          <w:color w:val="000000"/>
          <w:lang w:val="ru-RU"/>
        </w:rPr>
        <w:t>1</w:t>
      </w:r>
      <w:r w:rsidRPr="00295850">
        <w:rPr>
          <w:rFonts w:eastAsia="Times New Roman" w:cs="Arial"/>
          <w:color w:val="000000"/>
          <w:lang w:val="en-US"/>
        </w:rPr>
        <w:t>c</w:t>
      </w:r>
      <w:r w:rsidRPr="00295850">
        <w:rPr>
          <w:rFonts w:eastAsia="Times New Roman" w:cs="Arial"/>
          <w:color w:val="000000"/>
          <w:lang w:val="ru-RU"/>
        </w:rPr>
        <w:t xml:space="preserve"> </w:t>
      </w:r>
      <w:r w:rsidRPr="00295850">
        <w:rPr>
          <w:rFonts w:eastAsia="Times New Roman" w:cs="Arial"/>
          <w:color w:val="000000"/>
          <w:lang w:eastAsia="bg-BG"/>
        </w:rPr>
        <w:t xml:space="preserve">е стабилен и при пациентите лекувани с дулоксетин, и при пациентите лекувани с плацебо. През фазата на удължаване на тези проучвания, продължила до 52 седмици, е налично повишение на </w:t>
      </w:r>
      <w:proofErr w:type="spellStart"/>
      <w:r w:rsidRPr="00295850">
        <w:rPr>
          <w:rFonts w:eastAsia="Times New Roman" w:cs="Arial"/>
          <w:color w:val="000000"/>
          <w:lang w:val="en-US"/>
        </w:rPr>
        <w:t>HbA</w:t>
      </w:r>
      <w:proofErr w:type="spellEnd"/>
      <w:r w:rsidRPr="00295850">
        <w:rPr>
          <w:rFonts w:eastAsia="Times New Roman" w:cs="Arial"/>
          <w:color w:val="000000"/>
          <w:lang w:val="ru-RU"/>
        </w:rPr>
        <w:t>1</w:t>
      </w:r>
      <w:r w:rsidRPr="00295850">
        <w:rPr>
          <w:rFonts w:eastAsia="Times New Roman" w:cs="Arial"/>
          <w:color w:val="000000"/>
          <w:lang w:val="en-US"/>
        </w:rPr>
        <w:t>c</w:t>
      </w:r>
      <w:r w:rsidRPr="00295850">
        <w:rPr>
          <w:rFonts w:eastAsia="Times New Roman" w:cs="Arial"/>
          <w:color w:val="000000"/>
          <w:lang w:val="ru-RU"/>
        </w:rPr>
        <w:t xml:space="preserve"> </w:t>
      </w:r>
      <w:r w:rsidRPr="00295850">
        <w:rPr>
          <w:rFonts w:eastAsia="Times New Roman" w:cs="Arial"/>
          <w:color w:val="000000"/>
          <w:lang w:eastAsia="bg-BG"/>
        </w:rPr>
        <w:t>и в групата на дулоксетин и в групата на рутинна терапия, но средното повишение е 0,3% по-голямо в групата на лечение с дулоксетин. Налично е леко повишение в кръвната глюкоза на гладно и на общия холестерол при пациентите лекувани с дулоксетин, докато тези лабораторни изследвания показват леко намаление в групата на рутинна терапия.</w:t>
      </w:r>
    </w:p>
    <w:p w14:paraId="056C3B3C" w14:textId="77777777" w:rsidR="00DE1F33" w:rsidRPr="00295850" w:rsidRDefault="00DE1F33" w:rsidP="00DE1F33">
      <w:pPr>
        <w:spacing w:line="240" w:lineRule="auto"/>
        <w:rPr>
          <w:rFonts w:eastAsia="Times New Roman" w:cs="Arial"/>
          <w:color w:val="000000"/>
          <w:lang w:eastAsia="bg-BG"/>
        </w:rPr>
      </w:pPr>
    </w:p>
    <w:p w14:paraId="463F63F3" w14:textId="738D0E58"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Коригираният спрямо сърдечната честота </w:t>
      </w:r>
      <w:r w:rsidRPr="00295850">
        <w:rPr>
          <w:rFonts w:eastAsia="Times New Roman" w:cs="Arial"/>
          <w:color w:val="000000"/>
          <w:lang w:val="en-US"/>
        </w:rPr>
        <w:t>QT</w:t>
      </w:r>
      <w:r w:rsidRPr="00295850">
        <w:rPr>
          <w:rFonts w:eastAsia="Times New Roman" w:cs="Arial"/>
          <w:color w:val="000000"/>
          <w:lang w:val="ru-RU"/>
        </w:rPr>
        <w:t xml:space="preserve"> </w:t>
      </w:r>
      <w:r w:rsidRPr="00295850">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лекувани с плацебо. </w:t>
      </w:r>
      <w:r w:rsidRPr="00295850">
        <w:rPr>
          <w:rFonts w:eastAsia="Times New Roman" w:cs="Arial"/>
          <w:color w:val="000000"/>
          <w:lang w:eastAsia="bg-BG"/>
        </w:rPr>
        <w:lastRenderedPageBreak/>
        <w:t xml:space="preserve">Не са наблюдавани клинично значими разлики за </w:t>
      </w:r>
      <w:r w:rsidRPr="00295850">
        <w:rPr>
          <w:rFonts w:eastAsia="Times New Roman" w:cs="Arial"/>
          <w:color w:val="000000"/>
          <w:lang w:val="en-US"/>
        </w:rPr>
        <w:t>QT</w:t>
      </w:r>
      <w:r w:rsidRPr="00295850">
        <w:rPr>
          <w:rFonts w:eastAsia="Times New Roman" w:cs="Arial"/>
          <w:color w:val="000000"/>
          <w:lang w:val="ru-RU"/>
        </w:rPr>
        <w:t xml:space="preserve">, </w:t>
      </w:r>
      <w:r w:rsidRPr="00295850">
        <w:rPr>
          <w:rFonts w:eastAsia="Times New Roman" w:cs="Arial"/>
          <w:color w:val="000000"/>
          <w:lang w:val="en-US"/>
        </w:rPr>
        <w:t>PR</w:t>
      </w:r>
      <w:r w:rsidRPr="00295850">
        <w:rPr>
          <w:rFonts w:eastAsia="Times New Roman" w:cs="Arial"/>
          <w:color w:val="000000"/>
          <w:lang w:val="ru-RU"/>
        </w:rPr>
        <w:t xml:space="preserve">, </w:t>
      </w:r>
      <w:r w:rsidRPr="00295850">
        <w:rPr>
          <w:rFonts w:eastAsia="Times New Roman" w:cs="Arial"/>
          <w:color w:val="000000"/>
          <w:lang w:val="en-US"/>
        </w:rPr>
        <w:t>QRS</w:t>
      </w:r>
      <w:r w:rsidRPr="00295850">
        <w:rPr>
          <w:rFonts w:eastAsia="Times New Roman" w:cs="Arial"/>
          <w:color w:val="000000"/>
          <w:lang w:val="ru-RU"/>
        </w:rPr>
        <w:t xml:space="preserve"> </w:t>
      </w:r>
      <w:r w:rsidRPr="00295850">
        <w:rPr>
          <w:rFonts w:eastAsia="Times New Roman" w:cs="Arial"/>
          <w:color w:val="000000"/>
          <w:lang w:eastAsia="bg-BG"/>
        </w:rPr>
        <w:t xml:space="preserve">или </w:t>
      </w:r>
      <w:r w:rsidRPr="00295850">
        <w:rPr>
          <w:rFonts w:eastAsia="Times New Roman" w:cs="Arial"/>
          <w:color w:val="000000"/>
          <w:lang w:val="en-US"/>
        </w:rPr>
        <w:t>QTcB</w:t>
      </w:r>
      <w:r w:rsidRPr="00295850">
        <w:rPr>
          <w:rFonts w:eastAsia="Times New Roman" w:cs="Arial"/>
          <w:color w:val="000000"/>
          <w:lang w:val="ru-RU"/>
        </w:rPr>
        <w:t xml:space="preserve"> </w:t>
      </w:r>
      <w:r w:rsidRPr="00295850">
        <w:rPr>
          <w:rFonts w:eastAsia="Times New Roman" w:cs="Arial"/>
          <w:color w:val="000000"/>
          <w:lang w:eastAsia="bg-BG"/>
        </w:rPr>
        <w:t>измерванията между пациентите, лекуваните с дулоксетин и тези лекуваните с плацебо.</w:t>
      </w:r>
    </w:p>
    <w:p w14:paraId="5A549D41" w14:textId="77777777" w:rsidR="00DE1F33" w:rsidRPr="00295850" w:rsidRDefault="00DE1F33" w:rsidP="00DE1F33">
      <w:pPr>
        <w:spacing w:line="240" w:lineRule="auto"/>
        <w:rPr>
          <w:rFonts w:eastAsia="Times New Roman" w:cs="Arial"/>
          <w:i/>
          <w:iCs/>
          <w:color w:val="000000"/>
          <w:lang w:eastAsia="bg-BG"/>
        </w:rPr>
      </w:pPr>
    </w:p>
    <w:p w14:paraId="08EA4E9A" w14:textId="24292A9D" w:rsidR="00DE1F33" w:rsidRPr="00295850" w:rsidRDefault="00DE1F33" w:rsidP="00DE1F33">
      <w:pPr>
        <w:spacing w:line="240" w:lineRule="auto"/>
        <w:rPr>
          <w:rFonts w:eastAsia="Times New Roman" w:cs="Arial"/>
        </w:rPr>
      </w:pPr>
      <w:r w:rsidRPr="00295850">
        <w:rPr>
          <w:rFonts w:eastAsia="Times New Roman" w:cs="Arial"/>
          <w:i/>
          <w:iCs/>
          <w:color w:val="000000"/>
          <w:lang w:eastAsia="bg-BG"/>
        </w:rPr>
        <w:t>г. Педиатрична популация</w:t>
      </w:r>
    </w:p>
    <w:p w14:paraId="1FD61DF3"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Общо 509 пациенти деца на възраст от 7 до 17 години с голямо депресивно разстройство са лекувани с дулоксетин в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7447A900"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332 пациенти от педиатричната популация, които първоначално са рандомизирани да получават дулоксетин в клинични проучвания, изпитват средно намаление на теглото 0,2 </w:t>
      </w:r>
      <w:r w:rsidRPr="00295850">
        <w:rPr>
          <w:rFonts w:eastAsia="Times New Roman" w:cs="Arial"/>
          <w:color w:val="000000"/>
          <w:lang w:val="en-US"/>
        </w:rPr>
        <w:t>kg</w:t>
      </w:r>
      <w:r w:rsidRPr="00295850">
        <w:rPr>
          <w:rFonts w:eastAsia="Times New Roman" w:cs="Arial"/>
          <w:color w:val="000000"/>
          <w:lang w:val="ru-RU"/>
        </w:rPr>
        <w:t xml:space="preserve"> </w:t>
      </w:r>
      <w:r w:rsidRPr="00295850">
        <w:rPr>
          <w:rFonts w:eastAsia="Times New Roman" w:cs="Arial"/>
          <w:color w:val="000000"/>
          <w:lang w:eastAsia="bg-BG"/>
        </w:rPr>
        <w:t>към 10-та седмица. След това в продължение на 6-месечен период на продължение, повечето от тези пациенти имат склонност към възстановяване на изходното си тегло в перцентила, който се очаква на базата на популационните данни от връстниците, съответни по възраст и пол (вж. точка 4.4).</w:t>
      </w:r>
    </w:p>
    <w:p w14:paraId="5506C8F3" w14:textId="77777777" w:rsidR="00DE1F33" w:rsidRPr="00295850" w:rsidRDefault="00DE1F33" w:rsidP="00DE1F33">
      <w:pPr>
        <w:spacing w:line="240" w:lineRule="auto"/>
        <w:rPr>
          <w:rFonts w:eastAsia="Times New Roman" w:cs="Arial"/>
          <w:color w:val="000000"/>
          <w:u w:val="single"/>
          <w:lang w:eastAsia="bg-BG"/>
        </w:rPr>
      </w:pPr>
    </w:p>
    <w:p w14:paraId="7C2B47E7" w14:textId="7B21A6BE" w:rsidR="00DE1F33" w:rsidRPr="00295850" w:rsidRDefault="00DE1F33" w:rsidP="00DE1F33">
      <w:pPr>
        <w:spacing w:line="240" w:lineRule="auto"/>
        <w:rPr>
          <w:rFonts w:eastAsia="Times New Roman" w:cs="Arial"/>
        </w:rPr>
      </w:pPr>
      <w:r w:rsidRPr="00295850">
        <w:rPr>
          <w:rFonts w:eastAsia="Times New Roman" w:cs="Arial"/>
          <w:color w:val="000000"/>
          <w:u w:val="single"/>
          <w:lang w:eastAsia="bg-BG"/>
        </w:rPr>
        <w:t>Съобщаване на подозирани нежелани реакции</w:t>
      </w:r>
    </w:p>
    <w:p w14:paraId="23726022" w14:textId="77777777" w:rsidR="00DE1F33" w:rsidRPr="00295850" w:rsidRDefault="00DE1F33" w:rsidP="00DE1F33">
      <w:pPr>
        <w:spacing w:line="240" w:lineRule="auto"/>
        <w:rPr>
          <w:rFonts w:eastAsia="Times New Roman" w:cs="Arial"/>
        </w:rPr>
      </w:pPr>
      <w:r w:rsidRPr="0029585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директно чрез:</w:t>
      </w:r>
    </w:p>
    <w:p w14:paraId="47DC0EA4" w14:textId="77777777" w:rsidR="00DE1F33" w:rsidRPr="00295850" w:rsidRDefault="00DE1F33" w:rsidP="00DE1F33">
      <w:pPr>
        <w:spacing w:line="240" w:lineRule="auto"/>
        <w:rPr>
          <w:rFonts w:eastAsia="Times New Roman" w:cs="Arial"/>
          <w:color w:val="000000"/>
          <w:lang w:eastAsia="bg-BG"/>
        </w:rPr>
      </w:pPr>
    </w:p>
    <w:p w14:paraId="75DEAB86" w14:textId="0057EAEC" w:rsidR="00DE1F33" w:rsidRPr="00295850" w:rsidRDefault="00DE1F33" w:rsidP="00DE1F33">
      <w:pPr>
        <w:spacing w:line="240" w:lineRule="auto"/>
        <w:rPr>
          <w:rFonts w:eastAsia="Times New Roman" w:cs="Arial"/>
        </w:rPr>
      </w:pPr>
      <w:r w:rsidRPr="00295850">
        <w:rPr>
          <w:rFonts w:eastAsia="Times New Roman" w:cs="Arial"/>
          <w:color w:val="000000"/>
          <w:lang w:eastAsia="bg-BG"/>
        </w:rPr>
        <w:t>Изпълнителна агенция по лекарствата (ИАЛ):</w:t>
      </w:r>
    </w:p>
    <w:p w14:paraId="08F6D149" w14:textId="77777777" w:rsidR="00295850" w:rsidRPr="00295850" w:rsidRDefault="00DE1F33" w:rsidP="00DE1F33">
      <w:pPr>
        <w:spacing w:line="240" w:lineRule="auto"/>
        <w:rPr>
          <w:rFonts w:eastAsia="Times New Roman" w:cs="Arial"/>
          <w:color w:val="000000"/>
          <w:lang w:eastAsia="bg-BG"/>
        </w:rPr>
      </w:pPr>
      <w:r w:rsidRPr="00295850">
        <w:rPr>
          <w:rFonts w:eastAsia="Times New Roman" w:cs="Arial"/>
          <w:color w:val="000000"/>
          <w:lang w:eastAsia="bg-BG"/>
        </w:rPr>
        <w:t xml:space="preserve">ул.,Дамян Груев“ № 8 </w:t>
      </w:r>
    </w:p>
    <w:p w14:paraId="27AA85F2" w14:textId="77777777" w:rsidR="00295850" w:rsidRPr="00295850" w:rsidRDefault="00DE1F33" w:rsidP="00DE1F33">
      <w:pPr>
        <w:spacing w:line="240" w:lineRule="auto"/>
        <w:rPr>
          <w:rFonts w:eastAsia="Times New Roman" w:cs="Arial"/>
          <w:color w:val="000000"/>
          <w:lang w:eastAsia="bg-BG"/>
        </w:rPr>
      </w:pPr>
      <w:r w:rsidRPr="00295850">
        <w:rPr>
          <w:rFonts w:eastAsia="Times New Roman" w:cs="Arial"/>
          <w:color w:val="000000"/>
          <w:lang w:eastAsia="bg-BG"/>
        </w:rPr>
        <w:t xml:space="preserve">гр. София 1303, </w:t>
      </w:r>
    </w:p>
    <w:p w14:paraId="08DBC561" w14:textId="77777777" w:rsidR="00295850" w:rsidRPr="00295850" w:rsidRDefault="00DE1F33" w:rsidP="00DE1F33">
      <w:pPr>
        <w:spacing w:line="240" w:lineRule="auto"/>
        <w:rPr>
          <w:rFonts w:eastAsia="Times New Roman" w:cs="Arial"/>
          <w:color w:val="000000"/>
          <w:lang w:eastAsia="bg-BG"/>
        </w:rPr>
      </w:pPr>
      <w:r w:rsidRPr="00295850">
        <w:rPr>
          <w:rFonts w:eastAsia="Times New Roman" w:cs="Arial"/>
          <w:color w:val="000000"/>
          <w:lang w:eastAsia="bg-BG"/>
        </w:rPr>
        <w:t xml:space="preserve">тел.+359 2 8903417 </w:t>
      </w:r>
    </w:p>
    <w:p w14:paraId="2CA391CC" w14:textId="77777777" w:rsidR="00295850" w:rsidRPr="00295850" w:rsidRDefault="00DE1F33" w:rsidP="00DE1F33">
      <w:pPr>
        <w:spacing w:line="240" w:lineRule="auto"/>
        <w:rPr>
          <w:rFonts w:eastAsia="Times New Roman" w:cs="Arial"/>
          <w:color w:val="000000"/>
          <w:lang w:val="ru-RU"/>
        </w:rPr>
      </w:pPr>
      <w:r w:rsidRPr="00295850">
        <w:rPr>
          <w:rFonts w:eastAsia="Times New Roman" w:cs="Arial"/>
          <w:color w:val="000000"/>
          <w:lang w:eastAsia="bg-BG"/>
        </w:rPr>
        <w:t xml:space="preserve">ел. поща: </w:t>
      </w:r>
      <w:r w:rsidRPr="00295850">
        <w:rPr>
          <w:rFonts w:eastAsia="Times New Roman" w:cs="Arial"/>
        </w:rPr>
        <w:fldChar w:fldCharType="begin"/>
      </w:r>
      <w:r w:rsidRPr="00295850">
        <w:rPr>
          <w:rFonts w:eastAsia="Times New Roman" w:cs="Arial"/>
        </w:rPr>
        <w:instrText xml:space="preserve"> HYPERLINK "mailto:bda@bda.bg" </w:instrText>
      </w:r>
      <w:r w:rsidRPr="00295850">
        <w:rPr>
          <w:rFonts w:eastAsia="Times New Roman" w:cs="Arial"/>
        </w:rPr>
      </w:r>
      <w:r w:rsidRPr="00295850">
        <w:rPr>
          <w:rFonts w:eastAsia="Times New Roman" w:cs="Arial"/>
        </w:rPr>
        <w:fldChar w:fldCharType="separate"/>
      </w:r>
      <w:r w:rsidRPr="00295850">
        <w:rPr>
          <w:rFonts w:eastAsia="Times New Roman" w:cs="Arial"/>
          <w:color w:val="000000"/>
          <w:lang w:val="en-US"/>
        </w:rPr>
        <w:t>bda</w:t>
      </w:r>
      <w:r w:rsidRPr="00295850">
        <w:rPr>
          <w:rFonts w:eastAsia="Times New Roman" w:cs="Arial"/>
          <w:color w:val="000000"/>
          <w:lang w:val="ru-RU"/>
        </w:rPr>
        <w:t>@</w:t>
      </w:r>
      <w:r w:rsidRPr="00295850">
        <w:rPr>
          <w:rFonts w:eastAsia="Times New Roman" w:cs="Arial"/>
          <w:color w:val="000000"/>
          <w:lang w:val="en-US"/>
        </w:rPr>
        <w:t>bda</w:t>
      </w:r>
      <w:r w:rsidRPr="00295850">
        <w:rPr>
          <w:rFonts w:eastAsia="Times New Roman" w:cs="Arial"/>
          <w:color w:val="000000"/>
          <w:lang w:val="ru-RU"/>
        </w:rPr>
        <w:t>.</w:t>
      </w:r>
      <w:r w:rsidRPr="00295850">
        <w:rPr>
          <w:rFonts w:eastAsia="Times New Roman" w:cs="Arial"/>
          <w:color w:val="000000"/>
          <w:lang w:val="en-US"/>
        </w:rPr>
        <w:t>bg</w:t>
      </w:r>
      <w:r w:rsidRPr="00295850">
        <w:rPr>
          <w:rFonts w:eastAsia="Times New Roman" w:cs="Arial"/>
        </w:rPr>
        <w:fldChar w:fldCharType="end"/>
      </w:r>
      <w:r w:rsidRPr="00295850">
        <w:rPr>
          <w:rFonts w:eastAsia="Times New Roman" w:cs="Arial"/>
          <w:color w:val="000000"/>
          <w:lang w:val="ru-RU"/>
        </w:rPr>
        <w:t xml:space="preserve"> </w:t>
      </w:r>
    </w:p>
    <w:p w14:paraId="7A673634" w14:textId="722FBE47" w:rsidR="00DE1F33" w:rsidRPr="00295850" w:rsidRDefault="00DE1F33" w:rsidP="00DE1F33">
      <w:pPr>
        <w:spacing w:line="240" w:lineRule="auto"/>
        <w:rPr>
          <w:rFonts w:eastAsia="Times New Roman" w:cs="Arial"/>
        </w:rPr>
      </w:pPr>
      <w:r w:rsidRPr="00295850">
        <w:rPr>
          <w:rFonts w:eastAsia="Times New Roman" w:cs="Arial"/>
          <w:color w:val="000000"/>
          <w:lang w:eastAsia="bg-BG"/>
        </w:rPr>
        <w:t xml:space="preserve">уебсайт: </w:t>
      </w:r>
      <w:r w:rsidRPr="00295850">
        <w:rPr>
          <w:rFonts w:eastAsia="Times New Roman" w:cs="Arial"/>
        </w:rPr>
        <w:fldChar w:fldCharType="begin"/>
      </w:r>
      <w:r w:rsidRPr="00295850">
        <w:rPr>
          <w:rFonts w:eastAsia="Times New Roman" w:cs="Arial"/>
        </w:rPr>
        <w:instrText xml:space="preserve"> HYPERLINK "http://www.bda.bg" </w:instrText>
      </w:r>
      <w:r w:rsidRPr="00295850">
        <w:rPr>
          <w:rFonts w:eastAsia="Times New Roman" w:cs="Arial"/>
        </w:rPr>
      </w:r>
      <w:r w:rsidRPr="00295850">
        <w:rPr>
          <w:rFonts w:eastAsia="Times New Roman" w:cs="Arial"/>
        </w:rPr>
        <w:fldChar w:fldCharType="separate"/>
      </w:r>
      <w:r w:rsidRPr="00295850">
        <w:rPr>
          <w:rFonts w:eastAsia="Times New Roman" w:cs="Arial"/>
          <w:color w:val="000000"/>
          <w:lang w:val="en-US"/>
        </w:rPr>
        <w:t>www</w:t>
      </w:r>
      <w:r w:rsidRPr="00295850">
        <w:rPr>
          <w:rFonts w:eastAsia="Times New Roman" w:cs="Arial"/>
          <w:color w:val="000000"/>
          <w:lang w:val="ru-RU"/>
        </w:rPr>
        <w:t>.</w:t>
      </w:r>
      <w:proofErr w:type="spellStart"/>
      <w:r w:rsidRPr="00295850">
        <w:rPr>
          <w:rFonts w:eastAsia="Times New Roman" w:cs="Arial"/>
          <w:color w:val="000000"/>
          <w:lang w:val="en-US"/>
        </w:rPr>
        <w:t>bda</w:t>
      </w:r>
      <w:proofErr w:type="spellEnd"/>
      <w:r w:rsidRPr="00295850">
        <w:rPr>
          <w:rFonts w:eastAsia="Times New Roman" w:cs="Arial"/>
          <w:color w:val="000000"/>
          <w:lang w:val="ru-RU"/>
        </w:rPr>
        <w:t>.</w:t>
      </w:r>
      <w:proofErr w:type="spellStart"/>
      <w:r w:rsidRPr="00295850">
        <w:rPr>
          <w:rFonts w:eastAsia="Times New Roman" w:cs="Arial"/>
          <w:color w:val="000000"/>
          <w:lang w:val="en-US"/>
        </w:rPr>
        <w:t>bg</w:t>
      </w:r>
      <w:proofErr w:type="spellEnd"/>
      <w:r w:rsidRPr="00295850">
        <w:rPr>
          <w:rFonts w:eastAsia="Times New Roman" w:cs="Arial"/>
        </w:rPr>
        <w:fldChar w:fldCharType="end"/>
      </w:r>
    </w:p>
    <w:p w14:paraId="10AE6004" w14:textId="77777777" w:rsidR="00DE1F33" w:rsidRPr="00DE1F33" w:rsidRDefault="00DE1F33" w:rsidP="00DE1F33"/>
    <w:p w14:paraId="5A87DBA3" w14:textId="7A129415" w:rsidR="007122AD" w:rsidRDefault="002C50EE" w:rsidP="00936AD0">
      <w:pPr>
        <w:pStyle w:val="Heading2"/>
      </w:pPr>
      <w:r>
        <w:t>4.9. Предозиране</w:t>
      </w:r>
    </w:p>
    <w:p w14:paraId="35C7F4B2" w14:textId="53032F4C" w:rsidR="00295850" w:rsidRDefault="00295850" w:rsidP="00295850"/>
    <w:p w14:paraId="45D7D3DB" w14:textId="77777777" w:rsidR="00295850" w:rsidRPr="00295850" w:rsidRDefault="00295850" w:rsidP="00295850">
      <w:pPr>
        <w:rPr>
          <w:sz w:val="24"/>
          <w:szCs w:val="24"/>
        </w:rPr>
      </w:pPr>
      <w:r w:rsidRPr="00295850">
        <w:rPr>
          <w:lang w:eastAsia="bg-BG"/>
        </w:rPr>
        <w:t xml:space="preserve">Съобщавани са случаи на предозиране, самостоятелно или в комбинация с други лекарствени продукти, с дози дулоксетин от 5 400 </w:t>
      </w:r>
      <w:r w:rsidRPr="00295850">
        <w:rPr>
          <w:lang w:val="en-US"/>
        </w:rPr>
        <w:t>mg</w:t>
      </w:r>
      <w:r w:rsidRPr="00295850">
        <w:rPr>
          <w:lang w:val="ru-RU"/>
        </w:rPr>
        <w:t xml:space="preserve">. </w:t>
      </w:r>
      <w:r w:rsidRPr="00295850">
        <w:rPr>
          <w:lang w:eastAsia="bg-BG"/>
        </w:rPr>
        <w:t xml:space="preserve">Има няколко смъртни случаи, основно при смесено предозиране, но също така с дулоксетин самостоятелно в доза от приблизително 1000 </w:t>
      </w:r>
      <w:r w:rsidRPr="00295850">
        <w:rPr>
          <w:lang w:val="en-US"/>
        </w:rPr>
        <w:t>mg</w:t>
      </w:r>
      <w:r w:rsidRPr="00295850">
        <w:rPr>
          <w:lang w:val="ru-RU"/>
        </w:rPr>
        <w:t>.</w:t>
      </w:r>
      <w:r w:rsidRPr="00295850">
        <w:rPr>
          <w:lang w:eastAsia="bg-BG"/>
        </w:rPr>
        <w:t xml:space="preserve"> Белезите и симптомите на предозиране (дулоксетин самостоятелно или в комбинация с други лекарствени</w:t>
      </w:r>
    </w:p>
    <w:p w14:paraId="5243CD24" w14:textId="77777777" w:rsidR="00295850" w:rsidRPr="00295850" w:rsidRDefault="00295850" w:rsidP="00295850">
      <w:pPr>
        <w:rPr>
          <w:sz w:val="24"/>
          <w:szCs w:val="24"/>
        </w:rPr>
      </w:pPr>
      <w:r w:rsidRPr="00295850">
        <w:rPr>
          <w:lang w:eastAsia="bg-BG"/>
        </w:rPr>
        <w:t>продукти) включват сомнолентност, кома, серотонинов синдром, припадъци, повръщане и</w:t>
      </w:r>
      <w:r>
        <w:rPr>
          <w:lang w:eastAsia="bg-BG"/>
        </w:rPr>
        <w:t xml:space="preserve"> </w:t>
      </w:r>
      <w:r w:rsidRPr="00295850">
        <w:rPr>
          <w:lang w:eastAsia="bg-BG"/>
        </w:rPr>
        <w:t>тахикардия.</w:t>
      </w:r>
    </w:p>
    <w:p w14:paraId="2A837812" w14:textId="77777777" w:rsidR="00295850" w:rsidRDefault="00295850" w:rsidP="00295850">
      <w:pPr>
        <w:rPr>
          <w:lang w:eastAsia="bg-BG"/>
        </w:rPr>
      </w:pPr>
    </w:p>
    <w:p w14:paraId="0E21AF3B" w14:textId="3D4C130C" w:rsidR="00295850" w:rsidRPr="00295850" w:rsidRDefault="00295850" w:rsidP="00295850">
      <w:pPr>
        <w:rPr>
          <w:sz w:val="24"/>
          <w:szCs w:val="24"/>
        </w:rPr>
      </w:pPr>
      <w:r w:rsidRPr="00295850">
        <w:rPr>
          <w:lang w:eastAsia="bg-BG"/>
        </w:rPr>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 държат свободни дихателните пътища. Препоръчва се проследяване на сърдечните и жизнени показатели, заедно с подходящи симптоматични и под държащи мерки. Стомашна промивка може да е показана, ако се извърши възможно най-скоро след поглъщането или при пациенти със симптоми. Активният въглен може да полезен за ограничаване на резорбцията. Дулоксетин има голям обем на разпределение и форсираната диуреза, хемоперфузия и обменна перфузия е малко вероятно да са от полза.</w:t>
      </w:r>
    </w:p>
    <w:p w14:paraId="3C3A6042" w14:textId="59DE40EB" w:rsidR="00295850" w:rsidRPr="00295850" w:rsidRDefault="00295850" w:rsidP="00295850"/>
    <w:p w14:paraId="02081B24" w14:textId="1F46E296" w:rsidR="00395555" w:rsidRPr="00395555" w:rsidRDefault="002C50EE" w:rsidP="008A6AF2">
      <w:pPr>
        <w:pStyle w:val="Heading1"/>
      </w:pPr>
      <w:r>
        <w:lastRenderedPageBreak/>
        <w:t>5. ФАРМАКОЛОГИЧНИ СВОЙСТВА</w:t>
      </w:r>
    </w:p>
    <w:p w14:paraId="7DE36AC8" w14:textId="10A213AC" w:rsidR="00B6672E" w:rsidRDefault="002C50EE" w:rsidP="00936AD0">
      <w:pPr>
        <w:pStyle w:val="Heading2"/>
      </w:pPr>
      <w:r>
        <w:t>5.1. Фармакодинамични свойства</w:t>
      </w:r>
    </w:p>
    <w:p w14:paraId="34D96BC0" w14:textId="14077C6B" w:rsidR="00295850" w:rsidRDefault="00295850" w:rsidP="00295850"/>
    <w:p w14:paraId="530AE2CE"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Фармакотерапевтична група: други антидепресанти, АТС код: </w:t>
      </w:r>
      <w:r w:rsidRPr="00295850">
        <w:rPr>
          <w:rFonts w:eastAsia="Times New Roman" w:cs="Arial"/>
          <w:color w:val="000000"/>
          <w:lang w:val="en-US"/>
        </w:rPr>
        <w:t>N</w:t>
      </w:r>
      <w:r w:rsidRPr="00295850">
        <w:rPr>
          <w:rFonts w:eastAsia="Times New Roman" w:cs="Arial"/>
          <w:color w:val="000000"/>
          <w:lang w:val="ru-RU"/>
        </w:rPr>
        <w:t>06</w:t>
      </w:r>
      <w:r w:rsidRPr="00295850">
        <w:rPr>
          <w:rFonts w:eastAsia="Times New Roman" w:cs="Arial"/>
          <w:color w:val="000000"/>
          <w:lang w:val="en-US"/>
        </w:rPr>
        <w:t>AX</w:t>
      </w:r>
      <w:r w:rsidRPr="00295850">
        <w:rPr>
          <w:rFonts w:eastAsia="Times New Roman" w:cs="Arial"/>
          <w:color w:val="000000"/>
          <w:lang w:val="ru-RU"/>
        </w:rPr>
        <w:t>21</w:t>
      </w:r>
    </w:p>
    <w:p w14:paraId="0A8709CE" w14:textId="77777777" w:rsidR="00295850" w:rsidRPr="00295850" w:rsidRDefault="00295850" w:rsidP="00295850">
      <w:pPr>
        <w:spacing w:line="240" w:lineRule="auto"/>
        <w:rPr>
          <w:rFonts w:eastAsia="Times New Roman" w:cs="Arial"/>
          <w:color w:val="000000"/>
          <w:u w:val="single"/>
          <w:lang w:eastAsia="bg-BG"/>
        </w:rPr>
      </w:pPr>
    </w:p>
    <w:p w14:paraId="63ABDC57" w14:textId="604D24BB" w:rsidR="00295850" w:rsidRPr="00295850" w:rsidRDefault="00295850" w:rsidP="00295850">
      <w:pPr>
        <w:spacing w:line="240" w:lineRule="auto"/>
        <w:rPr>
          <w:rFonts w:eastAsia="Times New Roman" w:cs="Arial"/>
          <w:sz w:val="24"/>
          <w:szCs w:val="24"/>
        </w:rPr>
      </w:pPr>
      <w:r w:rsidRPr="00295850">
        <w:rPr>
          <w:rFonts w:eastAsia="Times New Roman" w:cs="Arial"/>
          <w:color w:val="000000"/>
          <w:u w:val="single"/>
          <w:lang w:eastAsia="bg-BG"/>
        </w:rPr>
        <w:t>Механизъм на действие</w:t>
      </w:r>
    </w:p>
    <w:p w14:paraId="5330D7D6"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е комбиниран инхибитор на обратното захващане на серотонин (5-НТ) и норадреналин </w:t>
      </w:r>
      <w:r w:rsidRPr="00295850">
        <w:rPr>
          <w:rFonts w:eastAsia="Times New Roman" w:cs="Arial"/>
          <w:color w:val="000000"/>
          <w:lang w:val="ru-RU"/>
        </w:rPr>
        <w:t>(</w:t>
      </w:r>
      <w:r w:rsidRPr="00295850">
        <w:rPr>
          <w:rFonts w:eastAsia="Times New Roman" w:cs="Arial"/>
          <w:color w:val="000000"/>
          <w:lang w:val="en-US"/>
        </w:rPr>
        <w:t>NA</w:t>
      </w:r>
      <w:r w:rsidRPr="00295850">
        <w:rPr>
          <w:rFonts w:eastAsia="Times New Roman" w:cs="Arial"/>
          <w:color w:val="000000"/>
          <w:lang w:val="ru-RU"/>
        </w:rPr>
        <w:t xml:space="preserve">). </w:t>
      </w:r>
      <w:r w:rsidRPr="00295850">
        <w:rPr>
          <w:rFonts w:eastAsia="Times New Roman" w:cs="Arial"/>
          <w:color w:val="000000"/>
          <w:lang w:eastAsia="bg-BG"/>
        </w:rPr>
        <w:t>Той слабо инхибира обратното захващане на допамина, без значим афинитет към хистаминергичните, допаминергични, холинергични и адренергични рецептори. Дулоксетин доза- зависимо повишава екстрацелуларните нива на серотонина и норнорадреналин в различни мозъчни области при животни.</w:t>
      </w:r>
    </w:p>
    <w:p w14:paraId="1F5ABD31" w14:textId="77777777" w:rsidR="00295850" w:rsidRPr="00295850" w:rsidRDefault="00295850" w:rsidP="00295850">
      <w:pPr>
        <w:spacing w:line="240" w:lineRule="auto"/>
        <w:rPr>
          <w:rFonts w:eastAsia="Times New Roman" w:cs="Arial"/>
          <w:color w:val="000000"/>
          <w:u w:val="single"/>
          <w:lang w:eastAsia="bg-BG"/>
        </w:rPr>
      </w:pPr>
    </w:p>
    <w:p w14:paraId="13D50B9B" w14:textId="798FDE94" w:rsidR="00295850" w:rsidRPr="00295850" w:rsidRDefault="00295850" w:rsidP="00295850">
      <w:pPr>
        <w:spacing w:line="240" w:lineRule="auto"/>
        <w:rPr>
          <w:rFonts w:eastAsia="Times New Roman" w:cs="Arial"/>
          <w:sz w:val="24"/>
          <w:szCs w:val="24"/>
        </w:rPr>
      </w:pPr>
      <w:r w:rsidRPr="00295850">
        <w:rPr>
          <w:rFonts w:eastAsia="Times New Roman" w:cs="Arial"/>
          <w:color w:val="000000"/>
          <w:u w:val="single"/>
          <w:lang w:eastAsia="bg-BG"/>
        </w:rPr>
        <w:t>Фармакодинамични ефекти</w:t>
      </w:r>
    </w:p>
    <w:p w14:paraId="6F2AEB22"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потенциирането на десцендентните инхибиторни болкови пътища на централната нервна система.</w:t>
      </w:r>
    </w:p>
    <w:p w14:paraId="0D1033B5" w14:textId="77777777" w:rsidR="00295850" w:rsidRPr="00295850" w:rsidRDefault="00295850" w:rsidP="00295850">
      <w:pPr>
        <w:spacing w:line="240" w:lineRule="auto"/>
        <w:rPr>
          <w:rFonts w:eastAsia="Times New Roman" w:cs="Arial"/>
          <w:color w:val="000000"/>
          <w:u w:val="single"/>
          <w:lang w:eastAsia="bg-BG"/>
        </w:rPr>
      </w:pPr>
    </w:p>
    <w:p w14:paraId="5C8B6F89" w14:textId="7718CA27" w:rsidR="00295850" w:rsidRPr="00295850" w:rsidRDefault="00295850" w:rsidP="00295850">
      <w:pPr>
        <w:spacing w:line="240" w:lineRule="auto"/>
        <w:rPr>
          <w:rFonts w:eastAsia="Times New Roman" w:cs="Arial"/>
          <w:sz w:val="24"/>
          <w:szCs w:val="24"/>
        </w:rPr>
      </w:pPr>
      <w:r w:rsidRPr="00295850">
        <w:rPr>
          <w:rFonts w:eastAsia="Times New Roman" w:cs="Arial"/>
          <w:color w:val="000000"/>
          <w:u w:val="single"/>
          <w:lang w:eastAsia="bg-BG"/>
        </w:rPr>
        <w:t>Клинична ефикасност и безопасност</w:t>
      </w:r>
    </w:p>
    <w:p w14:paraId="6C42C218" w14:textId="77777777"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Голямо депресивно разстройство:</w:t>
      </w:r>
      <w:r w:rsidRPr="00295850">
        <w:rPr>
          <w:rFonts w:eastAsia="Times New Roman" w:cs="Arial"/>
          <w:color w:val="000000"/>
          <w:lang w:eastAsia="bg-BG"/>
        </w:rPr>
        <w:t xml:space="preserve"> Дулоксетин е изучаван в клинични програми, включващи 3 158 пациенти (експозиция от 1 285 пациенто-години) отговарящи на </w:t>
      </w:r>
      <w:r w:rsidRPr="00295850">
        <w:rPr>
          <w:rFonts w:eastAsia="Times New Roman" w:cs="Arial"/>
          <w:color w:val="000000"/>
          <w:lang w:val="en-US"/>
        </w:rPr>
        <w:t>DMS</w:t>
      </w:r>
      <w:r w:rsidRPr="00295850">
        <w:rPr>
          <w:rFonts w:eastAsia="Times New Roman" w:cs="Arial"/>
          <w:color w:val="000000"/>
          <w:lang w:val="ru-RU"/>
        </w:rPr>
        <w:t>-</w:t>
      </w:r>
      <w:r w:rsidRPr="00295850">
        <w:rPr>
          <w:rFonts w:eastAsia="Times New Roman" w:cs="Arial"/>
          <w:color w:val="000000"/>
          <w:lang w:val="en-US"/>
        </w:rPr>
        <w:t>IV</w:t>
      </w:r>
      <w:r w:rsidRPr="00295850">
        <w:rPr>
          <w:rFonts w:eastAsia="Times New Roman" w:cs="Arial"/>
          <w:color w:val="000000"/>
          <w:lang w:val="ru-RU"/>
        </w:rPr>
        <w:t xml:space="preserve"> </w:t>
      </w:r>
      <w:r w:rsidRPr="00295850">
        <w:rPr>
          <w:rFonts w:eastAsia="Times New Roman" w:cs="Arial"/>
          <w:color w:val="000000"/>
          <w:lang w:eastAsia="bg-BG"/>
        </w:rPr>
        <w:t xml:space="preserve">критериите за голяма депресия. Ефикасността на дулоксетин при препоръчителна дневна доза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е показана при три от трите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 Общо, ефикасността на дулоксетин е демонстриран при дневна доза между 60 и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w:t>
      </w:r>
    </w:p>
    <w:p w14:paraId="241673F0" w14:textId="77777777" w:rsidR="00295850" w:rsidRPr="00295850" w:rsidRDefault="00295850" w:rsidP="00295850">
      <w:pPr>
        <w:spacing w:line="240" w:lineRule="auto"/>
        <w:rPr>
          <w:rFonts w:eastAsia="Times New Roman" w:cs="Arial"/>
          <w:color w:val="000000"/>
          <w:lang w:eastAsia="bg-BG"/>
        </w:rPr>
      </w:pPr>
    </w:p>
    <w:p w14:paraId="581CFF10" w14:textId="419C4BD8"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показа статистическо предимство спрямо плацебо, проследено чрез подобрение на общия резултат по 17 точковата </w:t>
      </w:r>
      <w:r w:rsidRPr="00295850">
        <w:rPr>
          <w:rFonts w:eastAsia="Times New Roman" w:cs="Arial"/>
          <w:color w:val="000000"/>
          <w:lang w:val="en-US"/>
        </w:rPr>
        <w:t>Hamilton</w:t>
      </w:r>
      <w:r w:rsidRPr="00295850">
        <w:rPr>
          <w:rFonts w:eastAsia="Times New Roman" w:cs="Arial"/>
          <w:color w:val="000000"/>
          <w:lang w:val="ru-RU"/>
        </w:rPr>
        <w:t xml:space="preserve"> </w:t>
      </w:r>
      <w:r w:rsidRPr="00295850">
        <w:rPr>
          <w:rFonts w:eastAsia="Times New Roman" w:cs="Arial"/>
          <w:color w:val="000000"/>
          <w:lang w:val="en-US"/>
        </w:rPr>
        <w:t>Depression</w:t>
      </w:r>
      <w:r w:rsidRPr="00295850">
        <w:rPr>
          <w:rFonts w:eastAsia="Times New Roman" w:cs="Arial"/>
          <w:color w:val="000000"/>
          <w:lang w:val="ru-RU"/>
        </w:rPr>
        <w:t xml:space="preserve"> </w:t>
      </w:r>
      <w:r w:rsidRPr="00295850">
        <w:rPr>
          <w:rFonts w:eastAsia="Times New Roman" w:cs="Arial"/>
          <w:color w:val="000000"/>
          <w:lang w:val="en-US"/>
        </w:rPr>
        <w:t>Rating</w:t>
      </w:r>
      <w:r w:rsidRPr="00295850">
        <w:rPr>
          <w:rFonts w:eastAsia="Times New Roman" w:cs="Arial"/>
          <w:color w:val="000000"/>
          <w:lang w:val="ru-RU"/>
        </w:rPr>
        <w:t xml:space="preserve"> </w:t>
      </w:r>
      <w:r w:rsidRPr="00295850">
        <w:rPr>
          <w:rFonts w:eastAsia="Times New Roman" w:cs="Arial"/>
          <w:color w:val="000000"/>
          <w:lang w:val="en-US"/>
        </w:rPr>
        <w:t>Scale</w:t>
      </w:r>
      <w:r w:rsidRPr="00295850">
        <w:rPr>
          <w:rFonts w:eastAsia="Times New Roman" w:cs="Arial"/>
          <w:color w:val="000000"/>
          <w:lang w:val="ru-RU"/>
        </w:rPr>
        <w:t xml:space="preserve"> (</w:t>
      </w:r>
      <w:r w:rsidRPr="00295850">
        <w:rPr>
          <w:rFonts w:eastAsia="Times New Roman" w:cs="Arial"/>
          <w:color w:val="000000"/>
          <w:lang w:val="en-US"/>
        </w:rPr>
        <w:t>HAM</w:t>
      </w:r>
      <w:r w:rsidRPr="00295850">
        <w:rPr>
          <w:rFonts w:eastAsia="Times New Roman" w:cs="Arial"/>
          <w:color w:val="000000"/>
          <w:lang w:val="ru-RU"/>
        </w:rPr>
        <w:t>-</w:t>
      </w:r>
      <w:r w:rsidRPr="00295850">
        <w:rPr>
          <w:rFonts w:eastAsia="Times New Roman" w:cs="Arial"/>
          <w:color w:val="000000"/>
          <w:lang w:val="en-US"/>
        </w:rPr>
        <w:t>D</w:t>
      </w:r>
      <w:r w:rsidRPr="00295850">
        <w:rPr>
          <w:rFonts w:eastAsia="Times New Roman" w:cs="Arial"/>
          <w:color w:val="000000"/>
          <w:lang w:val="ru-RU"/>
        </w:rPr>
        <w:t xml:space="preserve">) </w:t>
      </w:r>
      <w:r w:rsidRPr="00295850">
        <w:rPr>
          <w:rFonts w:eastAsia="Times New Roman" w:cs="Arial"/>
          <w:color w:val="000000"/>
          <w:lang w:eastAsia="bg-BG"/>
        </w:rPr>
        <w:t xml:space="preserve">(включително и на емоционалните и на соматичните 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 включени в пилотни клинични проучвания са били с тежка депресия (изходно ниво </w:t>
      </w:r>
      <w:r w:rsidRPr="00295850">
        <w:rPr>
          <w:rFonts w:eastAsia="Times New Roman" w:cs="Arial"/>
          <w:color w:val="000000"/>
          <w:lang w:val="en-US"/>
        </w:rPr>
        <w:t>HAM</w:t>
      </w:r>
      <w:r w:rsidRPr="00295850">
        <w:rPr>
          <w:rFonts w:eastAsia="Times New Roman" w:cs="Arial"/>
          <w:color w:val="000000"/>
          <w:lang w:val="ru-RU"/>
        </w:rPr>
        <w:t>-</w:t>
      </w:r>
      <w:r w:rsidRPr="00295850">
        <w:rPr>
          <w:rFonts w:eastAsia="Times New Roman" w:cs="Arial"/>
          <w:color w:val="000000"/>
          <w:lang w:val="en-US"/>
        </w:rPr>
        <w:t>D</w:t>
      </w:r>
      <w:r w:rsidRPr="00295850">
        <w:rPr>
          <w:rFonts w:eastAsia="Times New Roman" w:cs="Arial"/>
          <w:color w:val="000000"/>
          <w:lang w:val="ru-RU"/>
        </w:rPr>
        <w:t>&gt;25).</w:t>
      </w:r>
    </w:p>
    <w:p w14:paraId="6E1DEFD2" w14:textId="77777777" w:rsidR="00295850" w:rsidRPr="00295850" w:rsidRDefault="00295850" w:rsidP="00295850">
      <w:pPr>
        <w:spacing w:line="240" w:lineRule="auto"/>
        <w:rPr>
          <w:rFonts w:eastAsia="Times New Roman" w:cs="Arial"/>
          <w:color w:val="000000"/>
          <w:lang w:eastAsia="bg-BG"/>
        </w:rPr>
      </w:pPr>
    </w:p>
    <w:p w14:paraId="6B71FBD3" w14:textId="0C6A8932"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В проучване за предотвратяване на рецидив, пациентите, повлияли се от 12-седмично открито, остро лечение с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са рандомизирани или на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или на плацебо за още 6 месеца. Прилагането на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веднъж дневно показа статистическо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6-месечния двойно-сляп период на проследяване е 17% и 29%, съответно, за дулоксетин и за плацебо.</w:t>
      </w:r>
    </w:p>
    <w:p w14:paraId="6FC6A3A9" w14:textId="77777777" w:rsidR="00295850" w:rsidRPr="00295850" w:rsidRDefault="00295850" w:rsidP="00295850">
      <w:pPr>
        <w:spacing w:line="240" w:lineRule="auto"/>
        <w:rPr>
          <w:rFonts w:eastAsia="Times New Roman" w:cs="Arial"/>
          <w:color w:val="000000"/>
          <w:lang w:eastAsia="bg-BG"/>
        </w:rPr>
      </w:pPr>
    </w:p>
    <w:p w14:paraId="138B0D8A" w14:textId="77777777" w:rsidR="00295850" w:rsidRPr="00295850" w:rsidRDefault="00295850" w:rsidP="00295850">
      <w:pPr>
        <w:rPr>
          <w:rFonts w:eastAsia="Times New Roman" w:cs="Arial"/>
          <w:sz w:val="24"/>
          <w:szCs w:val="24"/>
        </w:rPr>
      </w:pPr>
      <w:r w:rsidRPr="00295850">
        <w:rPr>
          <w:rFonts w:eastAsia="Times New Roman" w:cs="Arial"/>
          <w:color w:val="000000"/>
          <w:lang w:eastAsia="bg-BG"/>
        </w:rPr>
        <w:t>По време на 52-седмичното плацебо контролирано двойно-сляпо лечение лекуваните с дулоксетин пациенти с рецидив на голямо депресивно разстройство имат сигнификантно по-дълъг безсимптомен</w:t>
      </w:r>
      <w:r w:rsidRPr="00295850">
        <w:rPr>
          <w:rFonts w:eastAsia="Times New Roman" w:cs="Arial"/>
          <w:sz w:val="24"/>
          <w:szCs w:val="24"/>
        </w:rPr>
        <w:t xml:space="preserve"> </w:t>
      </w:r>
      <w:r w:rsidRPr="00295850">
        <w:rPr>
          <w:rFonts w:eastAsia="Times New Roman" w:cs="Arial"/>
          <w:color w:val="000000"/>
          <w:lang w:eastAsia="bg-BG"/>
        </w:rPr>
        <w:t xml:space="preserve">период (р&lt;0,001) в сравнение с пациентите, рандомизирани на </w:t>
      </w:r>
      <w:r w:rsidRPr="00295850">
        <w:rPr>
          <w:rFonts w:eastAsia="Times New Roman" w:cs="Arial"/>
          <w:color w:val="000000"/>
          <w:lang w:eastAsia="bg-BG"/>
        </w:rPr>
        <w:lastRenderedPageBreak/>
        <w:t xml:space="preserve">плацебо. Всички пациенти предварително са се повлияли от дулоксетин по време на отворено лечение с дулоксетин (28 до 34 седмици) при доза от 60 до 120 </w:t>
      </w:r>
      <w:r w:rsidRPr="00295850">
        <w:rPr>
          <w:rFonts w:eastAsia="Times New Roman" w:cs="Arial"/>
          <w:color w:val="000000"/>
          <w:lang w:val="en-US"/>
        </w:rPr>
        <w:t>mg</w:t>
      </w:r>
      <w:r w:rsidRPr="00295850">
        <w:rPr>
          <w:rFonts w:eastAsia="Times New Roman" w:cs="Arial"/>
          <w:color w:val="000000"/>
          <w:lang w:eastAsia="bg-BG"/>
        </w:rPr>
        <w:t>/дневно. По време на 52-седмичната плацебо контролирана двойно-сляпа фаза на лечение 14,4% от пациентите, лекувани с дулоксетин, и 33,1% от пациентите, третирани с плацебо, преживяват повторна поява на симптомите си на депресия (р&lt;0,001).</w:t>
      </w:r>
    </w:p>
    <w:p w14:paraId="430F4BE2" w14:textId="77777777" w:rsidR="00295850" w:rsidRPr="00295850" w:rsidRDefault="00295850" w:rsidP="00295850">
      <w:pPr>
        <w:spacing w:line="240" w:lineRule="auto"/>
        <w:rPr>
          <w:rFonts w:eastAsia="Times New Roman" w:cs="Arial"/>
          <w:color w:val="000000"/>
          <w:lang w:eastAsia="bg-BG"/>
        </w:rPr>
      </w:pPr>
    </w:p>
    <w:p w14:paraId="5893271F" w14:textId="365A58D9"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Ефектът от прилагането на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при пациенти с депресия в старческа възраст (≥65 години) е оценен специфично в проучване, показващо статистически значима разлика в намаляването на </w:t>
      </w:r>
      <w:r w:rsidRPr="00295850">
        <w:rPr>
          <w:rFonts w:eastAsia="Times New Roman" w:cs="Arial"/>
          <w:color w:val="000000"/>
          <w:lang w:val="en-US"/>
        </w:rPr>
        <w:t>HAMD</w:t>
      </w:r>
      <w:r w:rsidRPr="00295850">
        <w:rPr>
          <w:rFonts w:eastAsia="Times New Roman" w:cs="Arial"/>
          <w:color w:val="000000"/>
          <w:lang w:val="ru-RU"/>
        </w:rPr>
        <w:t xml:space="preserve">17 </w:t>
      </w:r>
      <w:r w:rsidRPr="00295850">
        <w:rPr>
          <w:rFonts w:eastAsia="Times New Roman" w:cs="Arial"/>
          <w:color w:val="000000"/>
          <w:lang w:eastAsia="bg-BG"/>
        </w:rPr>
        <w:t xml:space="preserve">резултата за пациентите, лекувани с дулоксетин, в сравнение с плацебо. Поносимостга на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при пациенти в старческа възраст е сравнима с тази, наблюдавана при по-млади възрастни пациенти. Данните, обаче, за пациенти изложени на максималната доза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дневно) са ограничени и затова се препоръчва повишено внимание при лечение на тази популация.</w:t>
      </w:r>
    </w:p>
    <w:p w14:paraId="4E9505AA" w14:textId="77777777" w:rsidR="00295850" w:rsidRPr="00295850" w:rsidRDefault="00295850" w:rsidP="00295850">
      <w:pPr>
        <w:spacing w:line="240" w:lineRule="auto"/>
        <w:rPr>
          <w:rFonts w:eastAsia="Times New Roman" w:cs="Arial"/>
          <w:i/>
          <w:iCs/>
          <w:color w:val="000000"/>
          <w:lang w:eastAsia="bg-BG"/>
        </w:rPr>
      </w:pPr>
    </w:p>
    <w:p w14:paraId="2050AEC0" w14:textId="3CDEE8C8"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Генерализирано тревожно разстройство:</w:t>
      </w:r>
      <w:r w:rsidRPr="00295850">
        <w:rPr>
          <w:rFonts w:eastAsia="Times New Roman" w:cs="Arial"/>
          <w:color w:val="000000"/>
          <w:lang w:eastAsia="bg-BG"/>
        </w:rPr>
        <w:t xml:space="preserve"> Дулоксетин показа статистически значимо предимство спрямо плацебо при пет от пет проучвания, включащи четири рандомизирани, двойно-слепи, плацебо контролирани остри проучвания и проучване за профилактика на рецидив при възрастни с генерализирано тревожно разстройство.</w:t>
      </w:r>
    </w:p>
    <w:p w14:paraId="1CC01FFD" w14:textId="77777777" w:rsidR="00295850" w:rsidRPr="00295850" w:rsidRDefault="00295850" w:rsidP="00295850">
      <w:pPr>
        <w:spacing w:line="240" w:lineRule="auto"/>
        <w:rPr>
          <w:rFonts w:eastAsia="Times New Roman" w:cs="Arial"/>
          <w:color w:val="000000"/>
          <w:lang w:eastAsia="bg-BG"/>
        </w:rPr>
      </w:pPr>
    </w:p>
    <w:p w14:paraId="524CB119" w14:textId="46072FC3"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показа статистически значимо предимство спрямо плацебо, измерено чрез подобрение на общия скор по скала за тревожност на </w:t>
      </w:r>
      <w:r w:rsidRPr="00295850">
        <w:rPr>
          <w:rFonts w:eastAsia="Times New Roman" w:cs="Arial"/>
          <w:color w:val="000000"/>
          <w:lang w:val="en-US"/>
        </w:rPr>
        <w:t>Hamilton</w:t>
      </w:r>
      <w:r w:rsidRPr="00295850">
        <w:rPr>
          <w:rFonts w:eastAsia="Times New Roman" w:cs="Arial"/>
          <w:color w:val="000000"/>
          <w:lang w:val="ru-RU"/>
        </w:rPr>
        <w:t xml:space="preserve"> (</w:t>
      </w:r>
      <w:r w:rsidRPr="00295850">
        <w:rPr>
          <w:rFonts w:eastAsia="Times New Roman" w:cs="Arial"/>
          <w:color w:val="000000"/>
          <w:lang w:val="en-US"/>
        </w:rPr>
        <w:t>Hamilton</w:t>
      </w:r>
      <w:r w:rsidRPr="00295850">
        <w:rPr>
          <w:rFonts w:eastAsia="Times New Roman" w:cs="Arial"/>
          <w:color w:val="000000"/>
          <w:lang w:val="ru-RU"/>
        </w:rPr>
        <w:t xml:space="preserve"> </w:t>
      </w:r>
      <w:r w:rsidRPr="00295850">
        <w:rPr>
          <w:rFonts w:eastAsia="Times New Roman" w:cs="Arial"/>
          <w:color w:val="000000"/>
          <w:lang w:val="en-US"/>
        </w:rPr>
        <w:t>Anxiety</w:t>
      </w:r>
      <w:r w:rsidRPr="00295850">
        <w:rPr>
          <w:rFonts w:eastAsia="Times New Roman" w:cs="Arial"/>
          <w:color w:val="000000"/>
          <w:lang w:val="ru-RU"/>
        </w:rPr>
        <w:t xml:space="preserve"> </w:t>
      </w:r>
      <w:r w:rsidRPr="00295850">
        <w:rPr>
          <w:rFonts w:eastAsia="Times New Roman" w:cs="Arial"/>
          <w:color w:val="000000"/>
          <w:lang w:val="en-US"/>
        </w:rPr>
        <w:t>Scale</w:t>
      </w:r>
      <w:r w:rsidRPr="00295850">
        <w:rPr>
          <w:rFonts w:eastAsia="Times New Roman" w:cs="Arial"/>
          <w:color w:val="000000"/>
          <w:lang w:val="ru-RU"/>
        </w:rPr>
        <w:t xml:space="preserve"> (</w:t>
      </w:r>
      <w:r w:rsidRPr="00295850">
        <w:rPr>
          <w:rFonts w:eastAsia="Times New Roman" w:cs="Arial"/>
          <w:color w:val="000000"/>
          <w:lang w:val="en-US"/>
        </w:rPr>
        <w:t>HAM</w:t>
      </w:r>
      <w:r w:rsidRPr="00295850">
        <w:rPr>
          <w:rFonts w:eastAsia="Times New Roman" w:cs="Arial"/>
          <w:color w:val="000000"/>
          <w:lang w:val="ru-RU"/>
        </w:rPr>
        <w:t>-</w:t>
      </w:r>
      <w:r w:rsidRPr="00295850">
        <w:rPr>
          <w:rFonts w:eastAsia="Times New Roman" w:cs="Arial"/>
          <w:color w:val="000000"/>
          <w:lang w:val="en-US"/>
        </w:rPr>
        <w:t>A</w:t>
      </w:r>
      <w:r w:rsidRPr="00295850">
        <w:rPr>
          <w:rFonts w:eastAsia="Times New Roman" w:cs="Arial"/>
          <w:color w:val="000000"/>
          <w:lang w:val="ru-RU"/>
        </w:rPr>
        <w:t xml:space="preserve">)) </w:t>
      </w:r>
      <w:r w:rsidRPr="00295850">
        <w:rPr>
          <w:rFonts w:eastAsia="Times New Roman" w:cs="Arial"/>
          <w:color w:val="000000"/>
          <w:lang w:eastAsia="bg-BG"/>
        </w:rPr>
        <w:t xml:space="preserve">и скора за общо функционално разстройство по скала за инвалидност на </w:t>
      </w:r>
      <w:r w:rsidRPr="00295850">
        <w:rPr>
          <w:rFonts w:eastAsia="Times New Roman" w:cs="Arial"/>
          <w:color w:val="000000"/>
          <w:lang w:val="en-US"/>
        </w:rPr>
        <w:t>Sheehan</w:t>
      </w:r>
      <w:r w:rsidRPr="00295850">
        <w:rPr>
          <w:rFonts w:eastAsia="Times New Roman" w:cs="Arial"/>
          <w:color w:val="000000"/>
          <w:lang w:val="ru-RU"/>
        </w:rPr>
        <w:t xml:space="preserve"> (</w:t>
      </w:r>
      <w:r w:rsidRPr="00295850">
        <w:rPr>
          <w:rFonts w:eastAsia="Times New Roman" w:cs="Arial"/>
          <w:color w:val="000000"/>
          <w:lang w:val="en-US"/>
        </w:rPr>
        <w:t>Sheehan</w:t>
      </w:r>
      <w:r w:rsidRPr="00295850">
        <w:rPr>
          <w:rFonts w:eastAsia="Times New Roman" w:cs="Arial"/>
          <w:color w:val="000000"/>
          <w:lang w:val="ru-RU"/>
        </w:rPr>
        <w:t xml:space="preserve"> </w:t>
      </w:r>
      <w:r w:rsidRPr="00295850">
        <w:rPr>
          <w:rFonts w:eastAsia="Times New Roman" w:cs="Arial"/>
          <w:color w:val="000000"/>
          <w:lang w:val="en-US"/>
        </w:rPr>
        <w:t>Disability</w:t>
      </w:r>
      <w:r w:rsidRPr="00295850">
        <w:rPr>
          <w:rFonts w:eastAsia="Times New Roman" w:cs="Arial"/>
          <w:color w:val="000000"/>
          <w:lang w:val="ru-RU"/>
        </w:rPr>
        <w:t xml:space="preserve"> </w:t>
      </w:r>
      <w:r w:rsidRPr="00295850">
        <w:rPr>
          <w:rFonts w:eastAsia="Times New Roman" w:cs="Arial"/>
          <w:color w:val="000000"/>
          <w:lang w:val="en-US"/>
        </w:rPr>
        <w:t>Scale</w:t>
      </w:r>
      <w:r w:rsidRPr="00295850">
        <w:rPr>
          <w:rFonts w:eastAsia="Times New Roman" w:cs="Arial"/>
          <w:color w:val="000000"/>
          <w:lang w:val="ru-RU"/>
        </w:rPr>
        <w:t xml:space="preserve"> (</w:t>
      </w:r>
      <w:r w:rsidRPr="00295850">
        <w:rPr>
          <w:rFonts w:eastAsia="Times New Roman" w:cs="Arial"/>
          <w:color w:val="000000"/>
          <w:lang w:val="en-US"/>
        </w:rPr>
        <w:t>SDS</w:t>
      </w:r>
      <w:r w:rsidRPr="00295850">
        <w:rPr>
          <w:rFonts w:eastAsia="Times New Roman" w:cs="Arial"/>
          <w:color w:val="000000"/>
          <w:lang w:val="ru-RU"/>
        </w:rPr>
        <w:t xml:space="preserve">)). </w:t>
      </w:r>
      <w:r w:rsidRPr="00295850">
        <w:rPr>
          <w:rFonts w:eastAsia="Times New Roman" w:cs="Arial"/>
          <w:color w:val="000000"/>
          <w:lang w:eastAsia="bg-BG"/>
        </w:rPr>
        <w:t>Степените на повлияване и ремисия са също по-високи при дулоксетин в сравнение с плацебо. Дулоксетин показва сравними резултати за ефикасност с тези на венлафаксин от гледна точка подобрение на общия скор по НАМ-А.</w:t>
      </w:r>
    </w:p>
    <w:p w14:paraId="0A6E28CE" w14:textId="77777777" w:rsidR="00295850" w:rsidRPr="00295850" w:rsidRDefault="00295850" w:rsidP="00295850">
      <w:pPr>
        <w:spacing w:line="240" w:lineRule="auto"/>
        <w:rPr>
          <w:rFonts w:eastAsia="Times New Roman" w:cs="Arial"/>
          <w:color w:val="000000"/>
          <w:lang w:eastAsia="bg-BG"/>
        </w:rPr>
      </w:pPr>
    </w:p>
    <w:p w14:paraId="6332F282" w14:textId="1197DFB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При проучване за профилактика на рецидив пациентите, повлияващи се от 6-месечно остро открито лечение с дулоксетин са рандомизирани да получават или дулоксетин, или плацебо за последващите 6 месеца.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до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веднъж дневно показва статистически значимо предимство в сравнение с плацебо (р &lt; 0,001) при профилактиката на рецидив, измерено чрез времето до поява на рецидив. Честотата на рецидив през 6-месечния период на последващото двойно-сляпо проследяване е 14% при дулоксетин и 42% при плацебо.</w:t>
      </w:r>
    </w:p>
    <w:p w14:paraId="4D5C23B5" w14:textId="77777777" w:rsidR="00295850" w:rsidRPr="00295850" w:rsidRDefault="00295850" w:rsidP="00295850">
      <w:pPr>
        <w:spacing w:line="240" w:lineRule="auto"/>
        <w:rPr>
          <w:rFonts w:eastAsia="Times New Roman" w:cs="Arial"/>
          <w:i/>
          <w:iCs/>
          <w:color w:val="000000"/>
          <w:lang w:eastAsia="bg-BG"/>
        </w:rPr>
      </w:pPr>
    </w:p>
    <w:p w14:paraId="348E4AAE" w14:textId="3F201897"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Диабетна периферна невропатна болка:</w:t>
      </w:r>
      <w:r w:rsidRPr="00295850">
        <w:rPr>
          <w:rFonts w:eastAsia="Times New Roman" w:cs="Arial"/>
          <w:color w:val="000000"/>
          <w:lang w:eastAsia="bg-BG"/>
        </w:rPr>
        <w:t xml:space="preserve"> Ефикасността на дулоксетин за лечение на диабетна невропатна болка е установена при 2 рандомизирани, 12-седмични, двойно-слепи, плацебо контролирани, с фиксирана доза проучвания при възрастни (22- до 88-годишни) с диабетна невропатна болка в продължение поне на 6 месеца. Пациентите, отговарящи на критериите за голямо депресивно разстройство, са изключени от тези проучвания. Измерител на първичния изход е седмичната средна стойност на 24-часовата болка, която е отразявана в ежедневен дневник на пациентите по 11-точковата скала на </w:t>
      </w:r>
      <w:r w:rsidRPr="00295850">
        <w:rPr>
          <w:rFonts w:eastAsia="Times New Roman" w:cs="Arial"/>
          <w:color w:val="000000"/>
          <w:lang w:val="en-US"/>
        </w:rPr>
        <w:t>Likert</w:t>
      </w:r>
      <w:r w:rsidRPr="00295850">
        <w:rPr>
          <w:rFonts w:eastAsia="Times New Roman" w:cs="Arial"/>
          <w:color w:val="000000"/>
          <w:lang w:val="ru-RU"/>
        </w:rPr>
        <w:t>.</w:t>
      </w:r>
    </w:p>
    <w:p w14:paraId="4A710A80" w14:textId="77777777" w:rsidR="00295850" w:rsidRPr="00295850" w:rsidRDefault="00295850" w:rsidP="00295850">
      <w:pPr>
        <w:spacing w:line="240" w:lineRule="auto"/>
        <w:rPr>
          <w:rFonts w:eastAsia="Times New Roman" w:cs="Arial"/>
          <w:color w:val="000000"/>
          <w:lang w:eastAsia="bg-BG"/>
        </w:rPr>
      </w:pPr>
    </w:p>
    <w:p w14:paraId="51D3CCCD" w14:textId="62D2C233"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В двете проучвания,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веднъж дневно и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два пъти дневно значително намалява болката, в сравнение с плацебо. Ефектът при някои пациенти е 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дулексетин пациенти </w:t>
      </w:r>
      <w:r w:rsidRPr="00295850">
        <w:rPr>
          <w:rFonts w:eastAsia="Times New Roman" w:cs="Arial"/>
          <w:color w:val="000000"/>
          <w:lang w:eastAsia="bg-BG"/>
        </w:rPr>
        <w:lastRenderedPageBreak/>
        <w:t>срещу 40% за плацебо. Съответните цифри за поне 50% редукция на болката са съответно 50% и 26%. Степента на клиничен отговор (50% или повече подобрение на болката) е анализирана според това дали пациентът е проявил сомнолентност по време на лечението или не. За пациентите, които не са проявили сомнолентност е наблюдван клиничен отговор при 47% от пациентите, получаващи дулоксетин и 27% от пациентите на плацебо. Степента на клиничен отговор при пациентите проявили сомнолентност е 60% на дулоксетин и 30% на плацебо. Пациентите, непроявяващи редукция на болката от 30% в рамките на 60 дни лечение е малко вероятно да достигнат това ниво при по-нататъшно лечение.</w:t>
      </w:r>
    </w:p>
    <w:p w14:paraId="4564BB46" w14:textId="77777777" w:rsidR="00295850" w:rsidRPr="00295850" w:rsidRDefault="00295850" w:rsidP="00295850">
      <w:pPr>
        <w:spacing w:line="240" w:lineRule="auto"/>
        <w:rPr>
          <w:rFonts w:eastAsia="Times New Roman" w:cs="Arial"/>
          <w:sz w:val="24"/>
          <w:szCs w:val="24"/>
        </w:rPr>
      </w:pPr>
    </w:p>
    <w:p w14:paraId="12970E39" w14:textId="77777777" w:rsidR="00295850" w:rsidRPr="00295850" w:rsidRDefault="00295850" w:rsidP="00295850">
      <w:pPr>
        <w:spacing w:line="240" w:lineRule="auto"/>
        <w:rPr>
          <w:rFonts w:eastAsia="Times New Roman" w:cs="Arial"/>
          <w:color w:val="000000"/>
          <w:lang w:eastAsia="bg-BG"/>
        </w:rPr>
      </w:pPr>
    </w:p>
    <w:p w14:paraId="44714E5C" w14:textId="6DACA085"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При отворено дългосрочно неконтролирано проучване намалението на  болката при пациенти, повлияни от 8-седмично остро лечение с дулоксетин 60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еднократно дневно, се запазва за още 6</w:t>
      </w:r>
    </w:p>
    <w:p w14:paraId="49D808C5"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месеца, както е оценено с промяната по скалата за кратка оценка на болката </w:t>
      </w:r>
      <w:r w:rsidRPr="00295850">
        <w:rPr>
          <w:rFonts w:eastAsia="Times New Roman" w:cs="Arial"/>
          <w:i/>
          <w:iCs/>
          <w:color w:val="000000"/>
          <w:lang w:val="ru-RU"/>
        </w:rPr>
        <w:t>(</w:t>
      </w:r>
      <w:r w:rsidRPr="00295850">
        <w:rPr>
          <w:rFonts w:eastAsia="Times New Roman" w:cs="Arial"/>
          <w:i/>
          <w:iCs/>
          <w:color w:val="000000"/>
          <w:lang w:val="en-US"/>
        </w:rPr>
        <w:t>Brief</w:t>
      </w:r>
      <w:r w:rsidRPr="00295850">
        <w:rPr>
          <w:rFonts w:eastAsia="Times New Roman" w:cs="Arial"/>
          <w:i/>
          <w:iCs/>
          <w:color w:val="000000"/>
          <w:lang w:val="ru-RU"/>
        </w:rPr>
        <w:t xml:space="preserve"> </w:t>
      </w:r>
      <w:r w:rsidRPr="00295850">
        <w:rPr>
          <w:rFonts w:eastAsia="Times New Roman" w:cs="Arial"/>
          <w:i/>
          <w:iCs/>
          <w:color w:val="000000"/>
          <w:lang w:val="en-US"/>
        </w:rPr>
        <w:t>Rain</w:t>
      </w:r>
      <w:r w:rsidRPr="00295850">
        <w:rPr>
          <w:rFonts w:eastAsia="Times New Roman" w:cs="Arial"/>
          <w:i/>
          <w:iCs/>
          <w:color w:val="000000"/>
          <w:lang w:val="ru-RU"/>
        </w:rPr>
        <w:t xml:space="preserve"> </w:t>
      </w:r>
      <w:r w:rsidRPr="00295850">
        <w:rPr>
          <w:rFonts w:eastAsia="Times New Roman" w:cs="Arial"/>
          <w:i/>
          <w:iCs/>
          <w:color w:val="000000"/>
          <w:lang w:val="en-US"/>
        </w:rPr>
        <w:t>Inventory</w:t>
      </w:r>
    </w:p>
    <w:p w14:paraId="7E3CDC46" w14:textId="48095695" w:rsidR="00295850" w:rsidRPr="00295850" w:rsidRDefault="00295850" w:rsidP="00295850">
      <w:pPr>
        <w:spacing w:line="240" w:lineRule="auto"/>
        <w:rPr>
          <w:rFonts w:eastAsia="Times New Roman" w:cs="Arial"/>
          <w:color w:val="000000"/>
          <w:lang w:eastAsia="bg-BG"/>
        </w:rPr>
      </w:pPr>
      <w:r w:rsidRPr="00295850">
        <w:rPr>
          <w:rFonts w:eastAsia="Times New Roman" w:cs="Arial"/>
          <w:color w:val="000000"/>
          <w:lang w:val="ru-RU"/>
        </w:rPr>
        <w:t>(</w:t>
      </w:r>
      <w:r w:rsidRPr="00295850">
        <w:rPr>
          <w:rFonts w:eastAsia="Times New Roman" w:cs="Arial"/>
          <w:color w:val="000000"/>
          <w:lang w:val="en-US"/>
        </w:rPr>
        <w:t>BPI</w:t>
      </w:r>
      <w:r w:rsidRPr="00295850">
        <w:rPr>
          <w:rFonts w:eastAsia="Times New Roman" w:cs="Arial"/>
          <w:color w:val="000000"/>
          <w:lang w:val="ru-RU"/>
        </w:rPr>
        <w:t xml:space="preserve">)) </w:t>
      </w:r>
      <w:r w:rsidRPr="00295850">
        <w:rPr>
          <w:rFonts w:eastAsia="Times New Roman" w:cs="Arial"/>
          <w:color w:val="000000"/>
          <w:lang w:eastAsia="bg-BG"/>
        </w:rPr>
        <w:t>на 24-часовия среден брой точки за болка.</w:t>
      </w:r>
    </w:p>
    <w:p w14:paraId="294B5C9C" w14:textId="4B2C9547" w:rsidR="00295850" w:rsidRPr="00295850" w:rsidRDefault="00295850" w:rsidP="00295850">
      <w:pPr>
        <w:spacing w:line="240" w:lineRule="auto"/>
        <w:rPr>
          <w:rFonts w:eastAsia="Times New Roman" w:cs="Arial"/>
          <w:color w:val="000000"/>
          <w:lang w:eastAsia="bg-BG"/>
        </w:rPr>
      </w:pPr>
    </w:p>
    <w:p w14:paraId="70459A8B" w14:textId="77777777"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Педиатрична популация</w:t>
      </w:r>
    </w:p>
    <w:p w14:paraId="3946B012"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не е изследван при пациенти под 7-годишна възраст. 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плацебо-контролирана и активно-контролирана (флуоксетин) остра фаза, последвана от шестмесечен период на продължение на активно контролирано лечение. Нито групата, лекувана с дулоксетин (30- 120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нито групата с активна контрола (флуоксетин 20-40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 xml:space="preserve">статистически се различават от плацебо по отношение на промяната в общите резултати по скалата </w:t>
      </w:r>
      <w:r w:rsidRPr="00295850">
        <w:rPr>
          <w:rFonts w:eastAsia="Times New Roman" w:cs="Arial"/>
          <w:color w:val="000000"/>
          <w:lang w:val="en-US"/>
        </w:rPr>
        <w:t>Children</w:t>
      </w:r>
      <w:r w:rsidRPr="00295850">
        <w:rPr>
          <w:rFonts w:eastAsia="Times New Roman" w:cs="Arial"/>
          <w:color w:val="000000"/>
          <w:lang w:val="ru-RU"/>
        </w:rPr>
        <w:t>'</w:t>
      </w:r>
      <w:r w:rsidRPr="00295850">
        <w:rPr>
          <w:rFonts w:eastAsia="Times New Roman" w:cs="Arial"/>
          <w:color w:val="000000"/>
          <w:lang w:val="en-US"/>
        </w:rPr>
        <w:t>s</w:t>
      </w:r>
      <w:r w:rsidRPr="00295850">
        <w:rPr>
          <w:rFonts w:eastAsia="Times New Roman" w:cs="Arial"/>
          <w:color w:val="000000"/>
          <w:lang w:val="ru-RU"/>
        </w:rPr>
        <w:t xml:space="preserve"> </w:t>
      </w:r>
      <w:r w:rsidRPr="00295850">
        <w:rPr>
          <w:rFonts w:eastAsia="Times New Roman" w:cs="Arial"/>
          <w:color w:val="000000"/>
          <w:lang w:val="en-US"/>
        </w:rPr>
        <w:t>Depression</w:t>
      </w:r>
      <w:r w:rsidRPr="00295850">
        <w:rPr>
          <w:rFonts w:eastAsia="Times New Roman" w:cs="Arial"/>
          <w:color w:val="000000"/>
          <w:lang w:val="ru-RU"/>
        </w:rPr>
        <w:t xml:space="preserve"> </w:t>
      </w:r>
      <w:r w:rsidRPr="00295850">
        <w:rPr>
          <w:rFonts w:eastAsia="Times New Roman" w:cs="Arial"/>
          <w:color w:val="000000"/>
          <w:lang w:val="en-US"/>
        </w:rPr>
        <w:t>Rating</w:t>
      </w:r>
      <w:r w:rsidRPr="00295850">
        <w:rPr>
          <w:rFonts w:eastAsia="Times New Roman" w:cs="Arial"/>
          <w:color w:val="000000"/>
          <w:lang w:val="ru-RU"/>
        </w:rPr>
        <w:t xml:space="preserve"> </w:t>
      </w:r>
      <w:r w:rsidRPr="00295850">
        <w:rPr>
          <w:rFonts w:eastAsia="Times New Roman" w:cs="Arial"/>
          <w:color w:val="000000"/>
          <w:lang w:val="en-US"/>
        </w:rPr>
        <w:t>Scale</w:t>
      </w:r>
      <w:r w:rsidRPr="00295850">
        <w:rPr>
          <w:rFonts w:eastAsia="Times New Roman" w:cs="Arial"/>
          <w:color w:val="000000"/>
          <w:lang w:val="ru-RU"/>
        </w:rPr>
        <w:t>-</w:t>
      </w:r>
      <w:r w:rsidRPr="00295850">
        <w:rPr>
          <w:rFonts w:eastAsia="Times New Roman" w:cs="Arial"/>
          <w:color w:val="000000"/>
          <w:lang w:val="en-US"/>
        </w:rPr>
        <w:t>Revised</w:t>
      </w:r>
      <w:r w:rsidRPr="00295850">
        <w:rPr>
          <w:rFonts w:eastAsia="Times New Roman" w:cs="Arial"/>
          <w:color w:val="000000"/>
          <w:lang w:val="ru-RU"/>
        </w:rPr>
        <w:t xml:space="preserve"> (</w:t>
      </w:r>
      <w:r w:rsidRPr="00295850">
        <w:rPr>
          <w:rFonts w:eastAsia="Times New Roman" w:cs="Arial"/>
          <w:color w:val="000000"/>
          <w:lang w:val="en-US"/>
        </w:rPr>
        <w:t>CDRS</w:t>
      </w:r>
      <w:r w:rsidRPr="00295850">
        <w:rPr>
          <w:rFonts w:eastAsia="Times New Roman" w:cs="Arial"/>
          <w:color w:val="000000"/>
          <w:lang w:val="ru-RU"/>
        </w:rPr>
        <w:t>-</w:t>
      </w:r>
      <w:r w:rsidRPr="00295850">
        <w:rPr>
          <w:rFonts w:eastAsia="Times New Roman" w:cs="Arial"/>
          <w:color w:val="000000"/>
          <w:lang w:val="en-US"/>
        </w:rPr>
        <w:t>R</w:t>
      </w:r>
      <w:r w:rsidRPr="00295850">
        <w:rPr>
          <w:rFonts w:eastAsia="Times New Roman" w:cs="Arial"/>
          <w:color w:val="000000"/>
          <w:lang w:val="ru-RU"/>
        </w:rPr>
        <w:t xml:space="preserve">) </w:t>
      </w:r>
      <w:r w:rsidRPr="00295850">
        <w:rPr>
          <w:rFonts w:eastAsia="Times New Roman" w:cs="Arial"/>
          <w:color w:val="000000"/>
          <w:lang w:eastAsia="bg-BG"/>
        </w:rPr>
        <w:t>от изходния до крайния момент. Прекъсване на лечението поради нежелани събития е по-често при пациентите, приемащи дулоксетин, в сравнение с тези, лекувани с флуоксетин, в повечето случаи поради гадене. По време на 10-седмичния период на активно лечение е съобщавано за суицидно поведение (дулоксетин 0/333 [0%], флуоксетин 2/225 [0,9%], плацебо 1/220 [0,5% ]). През целия 36-седмичен курс на изследването, 6 от 333 пациенти, които първоначално са рандомизирани да получават дулоксетин, и 3 от 225 пациенти, които първоначално са рандомизирани да получават флуоксетин, проявяват суицидно поведение (експозиция-коригираната честота на суицидно поведение е 0,039 събития на пациент на година за дулоксетин, и 0,026 за флуоксетин). Освен това, един пациент, който е преминал от плацебо на лечение с дулоксетин, е имал суицидно поведение по време на приема на дулоксетин.</w:t>
      </w:r>
    </w:p>
    <w:p w14:paraId="067CCA9B" w14:textId="77777777" w:rsidR="00295850" w:rsidRPr="00295850" w:rsidRDefault="00295850" w:rsidP="00295850">
      <w:pPr>
        <w:spacing w:line="240" w:lineRule="auto"/>
        <w:rPr>
          <w:rFonts w:eastAsia="Times New Roman" w:cs="Arial"/>
          <w:color w:val="000000"/>
          <w:lang w:eastAsia="bg-BG"/>
        </w:rPr>
      </w:pPr>
    </w:p>
    <w:p w14:paraId="67DD79D4" w14:textId="7393C1C0"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 с дулоксетин при всички подгрупи на педиатричната популация при лечение на голямо депресивно разстройство, диабетна невропатна болка и генерализирано тревожно разстройство.</w:t>
      </w:r>
    </w:p>
    <w:p w14:paraId="3697AB4F"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Вижте точка 4.2 за информация относно употребата при деца.</w:t>
      </w:r>
    </w:p>
    <w:p w14:paraId="506CDFBD" w14:textId="7BD03591" w:rsidR="00295850" w:rsidRPr="00295850" w:rsidRDefault="00295850" w:rsidP="00295850">
      <w:pPr>
        <w:spacing w:line="240" w:lineRule="auto"/>
        <w:rPr>
          <w:rFonts w:ascii="Times New Roman" w:eastAsia="Times New Roman" w:hAnsi="Times New Roman" w:cs="Times New Roman"/>
          <w:sz w:val="24"/>
          <w:szCs w:val="24"/>
        </w:rPr>
      </w:pPr>
    </w:p>
    <w:p w14:paraId="78DD93AA" w14:textId="4B78D2D2" w:rsidR="00B6672E" w:rsidRDefault="002C50EE" w:rsidP="00936AD0">
      <w:pPr>
        <w:pStyle w:val="Heading2"/>
      </w:pPr>
      <w:r>
        <w:t>5.2. Фармакокинетични свойства</w:t>
      </w:r>
    </w:p>
    <w:p w14:paraId="753CA617" w14:textId="32BCC9ED" w:rsidR="00295850" w:rsidRDefault="00295850" w:rsidP="00295850"/>
    <w:p w14:paraId="7D2E90AA"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се прилага като самостоятелен енантиомер. Дулоксетин се метаболизира предимно от оксидативни ензими </w:t>
      </w:r>
      <w:r w:rsidRPr="00295850">
        <w:rPr>
          <w:rFonts w:eastAsia="Times New Roman" w:cs="Arial"/>
          <w:color w:val="000000"/>
          <w:lang w:val="ru-RU"/>
        </w:rPr>
        <w:t>(</w:t>
      </w:r>
      <w:r w:rsidRPr="00295850">
        <w:rPr>
          <w:rFonts w:eastAsia="Times New Roman" w:cs="Arial"/>
          <w:color w:val="000000"/>
          <w:lang w:val="en-US"/>
        </w:rPr>
        <w:t>CYP</w:t>
      </w:r>
      <w:r w:rsidRPr="00295850">
        <w:rPr>
          <w:rFonts w:eastAsia="Times New Roman" w:cs="Arial"/>
          <w:color w:val="000000"/>
          <w:lang w:val="ru-RU"/>
        </w:rPr>
        <w:t>1</w:t>
      </w:r>
      <w:r w:rsidRPr="00295850">
        <w:rPr>
          <w:rFonts w:eastAsia="Times New Roman" w:cs="Arial"/>
          <w:color w:val="000000"/>
          <w:lang w:eastAsia="bg-BG"/>
        </w:rPr>
        <w:t xml:space="preserve">А2 и полиморфния </w:t>
      </w:r>
      <w:r w:rsidRPr="00295850">
        <w:rPr>
          <w:rFonts w:eastAsia="Times New Roman" w:cs="Arial"/>
          <w:color w:val="000000"/>
          <w:lang w:val="en-US"/>
        </w:rPr>
        <w:t>CYP</w:t>
      </w:r>
      <w:r w:rsidRPr="00295850">
        <w:rPr>
          <w:rFonts w:eastAsia="Times New Roman" w:cs="Arial"/>
          <w:color w:val="000000"/>
          <w:lang w:val="ru-RU"/>
        </w:rPr>
        <w:t>2</w:t>
      </w:r>
      <w:r w:rsidRPr="00295850">
        <w:rPr>
          <w:rFonts w:eastAsia="Times New Roman" w:cs="Arial"/>
          <w:color w:val="000000"/>
          <w:lang w:val="en-US"/>
        </w:rPr>
        <w:t>D</w:t>
      </w:r>
      <w:r w:rsidRPr="00295850">
        <w:rPr>
          <w:rFonts w:eastAsia="Times New Roman" w:cs="Arial"/>
          <w:color w:val="000000"/>
          <w:lang w:val="ru-RU"/>
        </w:rPr>
        <w:t xml:space="preserve">6), </w:t>
      </w:r>
      <w:r w:rsidRPr="00295850">
        <w:rPr>
          <w:rFonts w:eastAsia="Times New Roman" w:cs="Arial"/>
          <w:color w:val="000000"/>
          <w:lang w:eastAsia="bg-BG"/>
        </w:rPr>
        <w:t xml:space="preserve">последвано от </w:t>
      </w:r>
      <w:r w:rsidRPr="00295850">
        <w:rPr>
          <w:rFonts w:eastAsia="Times New Roman" w:cs="Arial"/>
          <w:color w:val="000000"/>
          <w:lang w:eastAsia="bg-BG"/>
        </w:rPr>
        <w:lastRenderedPageBreak/>
        <w:t xml:space="preserve">конюгиране. Фармакокинетиката на дулоксетин показва голяма вариабилност между отделните индивиди (общо 50-60%), дължаща се в известна степен на пола, възрастта, статуса на тютюнопушене и състоянието на метаболизиращата система </w:t>
      </w:r>
      <w:r w:rsidRPr="00295850">
        <w:rPr>
          <w:rFonts w:eastAsia="Times New Roman" w:cs="Arial"/>
          <w:color w:val="000000"/>
          <w:lang w:val="en-US"/>
        </w:rPr>
        <w:t>CYP</w:t>
      </w:r>
      <w:r w:rsidRPr="00295850">
        <w:rPr>
          <w:rFonts w:eastAsia="Times New Roman" w:cs="Arial"/>
          <w:color w:val="000000"/>
          <w:lang w:val="ru-RU"/>
        </w:rPr>
        <w:t>2</w:t>
      </w:r>
      <w:r w:rsidRPr="00295850">
        <w:rPr>
          <w:rFonts w:eastAsia="Times New Roman" w:cs="Arial"/>
          <w:color w:val="000000"/>
          <w:lang w:val="en-US"/>
        </w:rPr>
        <w:t>D</w:t>
      </w:r>
      <w:r w:rsidRPr="00295850">
        <w:rPr>
          <w:rFonts w:eastAsia="Times New Roman" w:cs="Arial"/>
          <w:color w:val="000000"/>
          <w:lang w:val="ru-RU"/>
        </w:rPr>
        <w:t>6.</w:t>
      </w:r>
    </w:p>
    <w:p w14:paraId="2DF888DD" w14:textId="77777777" w:rsidR="00295850" w:rsidRPr="00295850" w:rsidRDefault="00295850" w:rsidP="00295850">
      <w:pPr>
        <w:spacing w:line="240" w:lineRule="auto"/>
        <w:rPr>
          <w:rFonts w:eastAsia="Times New Roman" w:cs="Arial"/>
          <w:i/>
          <w:iCs/>
          <w:color w:val="000000"/>
          <w:lang w:eastAsia="bg-BG"/>
        </w:rPr>
      </w:pPr>
    </w:p>
    <w:p w14:paraId="7E70B979" w14:textId="26EEB092"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Абсорбция:</w:t>
      </w:r>
      <w:r w:rsidRPr="00295850">
        <w:rPr>
          <w:rFonts w:eastAsia="Times New Roman" w:cs="Arial"/>
          <w:color w:val="000000"/>
          <w:lang w:eastAsia="bg-BG"/>
        </w:rPr>
        <w:t xml:space="preserve"> Дулоксетин се резорбира добре след перорално приложение с С</w:t>
      </w:r>
      <w:r w:rsidRPr="00295850">
        <w:rPr>
          <w:rFonts w:eastAsia="Times New Roman" w:cs="Arial"/>
          <w:color w:val="000000"/>
          <w:lang w:val="en-US"/>
        </w:rPr>
        <w:t>max</w:t>
      </w:r>
      <w:r w:rsidRPr="00295850">
        <w:rPr>
          <w:rFonts w:eastAsia="Times New Roman" w:cs="Arial"/>
          <w:color w:val="000000"/>
          <w:lang w:eastAsia="bg-BG"/>
        </w:rPr>
        <w:t xml:space="preserve"> настъпваща 6 часа след дозиране. Абсолютната орална бионаличност на дулоксетин варира от 32% до 80% (средно 50%). Храната удължава времето за достигане на върхови концентрации от 6 на 10 часа и тя маргинално намалява степента на резорбция (приблизително 11%). Тези промени не са с някаква клинична значимост.</w:t>
      </w:r>
    </w:p>
    <w:p w14:paraId="563A0A2C" w14:textId="77777777" w:rsidR="00295850" w:rsidRPr="00295850" w:rsidRDefault="00295850" w:rsidP="00295850">
      <w:pPr>
        <w:spacing w:line="240" w:lineRule="auto"/>
        <w:rPr>
          <w:rFonts w:eastAsia="Times New Roman" w:cs="Arial"/>
          <w:i/>
          <w:iCs/>
          <w:color w:val="000000"/>
          <w:lang w:eastAsia="bg-BG"/>
        </w:rPr>
      </w:pPr>
    </w:p>
    <w:p w14:paraId="45885091" w14:textId="32A74620"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Разпределение:</w:t>
      </w:r>
      <w:r w:rsidRPr="00295850">
        <w:rPr>
          <w:rFonts w:eastAsia="Times New Roman" w:cs="Arial"/>
          <w:color w:val="000000"/>
          <w:lang w:eastAsia="bg-BG"/>
        </w:rPr>
        <w:t xml:space="preserve"> Дулоксетин е приблизително 96% свързан с човешките плазмени протеини. Дулоксетин се свързва и с албумин и с алфа-1 киселия гликопротеин. Протеинното свързване не се повлиява от бъбречно или чернодробно увреждане.</w:t>
      </w:r>
    </w:p>
    <w:p w14:paraId="587A65DD" w14:textId="77777777" w:rsidR="00295850" w:rsidRPr="00295850" w:rsidRDefault="00295850" w:rsidP="00295850">
      <w:pPr>
        <w:spacing w:line="240" w:lineRule="auto"/>
        <w:rPr>
          <w:rFonts w:eastAsia="Times New Roman" w:cs="Arial"/>
          <w:i/>
          <w:iCs/>
          <w:color w:val="000000"/>
          <w:lang w:eastAsia="bg-BG"/>
        </w:rPr>
      </w:pPr>
    </w:p>
    <w:p w14:paraId="19879D06" w14:textId="0BA51DF1"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Биотрансформация:</w:t>
      </w:r>
      <w:r w:rsidRPr="00295850">
        <w:rPr>
          <w:rFonts w:eastAsia="Times New Roman" w:cs="Arial"/>
          <w:color w:val="000000"/>
          <w:lang w:eastAsia="bg-BG"/>
        </w:rPr>
        <w:t xml:space="preserve"> Дулоксетин се метаболизира екстензивно и метаболитите са екскретират основно с урината. Цитохромите </w:t>
      </w:r>
      <w:r w:rsidRPr="00295850">
        <w:rPr>
          <w:rFonts w:eastAsia="Times New Roman" w:cs="Arial"/>
          <w:color w:val="000000"/>
          <w:lang w:val="en-US"/>
        </w:rPr>
        <w:t>P</w:t>
      </w:r>
      <w:r w:rsidRPr="00295850">
        <w:rPr>
          <w:rFonts w:eastAsia="Times New Roman" w:cs="Arial"/>
          <w:color w:val="000000"/>
          <w:lang w:val="ru-RU"/>
        </w:rPr>
        <w:t>450-2</w:t>
      </w:r>
      <w:r w:rsidRPr="00295850">
        <w:rPr>
          <w:rFonts w:eastAsia="Times New Roman" w:cs="Arial"/>
          <w:color w:val="000000"/>
          <w:lang w:val="en-US"/>
        </w:rPr>
        <w:t>D</w:t>
      </w:r>
      <w:r w:rsidRPr="00295850">
        <w:rPr>
          <w:rFonts w:eastAsia="Times New Roman" w:cs="Arial"/>
          <w:color w:val="000000"/>
          <w:lang w:val="ru-RU"/>
        </w:rPr>
        <w:t xml:space="preserve">6 </w:t>
      </w:r>
      <w:r w:rsidRPr="00295850">
        <w:rPr>
          <w:rFonts w:eastAsia="Times New Roman" w:cs="Arial"/>
          <w:color w:val="000000"/>
          <w:lang w:eastAsia="bg-BG"/>
        </w:rPr>
        <w:t xml:space="preserve">и 1А2 катализират образуването на два основни метаболита глюкоронид конюгат на 4-хидрокси дулоксетин и сулфатен конюгат на 5-хидрокси,6- метокси дулоксетин. Въз основа на </w:t>
      </w:r>
      <w:r w:rsidRPr="00295850">
        <w:rPr>
          <w:rFonts w:eastAsia="Times New Roman" w:cs="Arial"/>
          <w:i/>
          <w:iCs/>
          <w:color w:val="000000"/>
          <w:lang w:val="en-US"/>
        </w:rPr>
        <w:t>in</w:t>
      </w:r>
      <w:r w:rsidRPr="00295850">
        <w:rPr>
          <w:rFonts w:eastAsia="Times New Roman" w:cs="Arial"/>
          <w:i/>
          <w:iCs/>
          <w:color w:val="000000"/>
          <w:lang w:val="ru-RU"/>
        </w:rPr>
        <w:t xml:space="preserve"> </w:t>
      </w:r>
      <w:r w:rsidRPr="00295850">
        <w:rPr>
          <w:rFonts w:eastAsia="Times New Roman" w:cs="Arial"/>
          <w:i/>
          <w:iCs/>
          <w:color w:val="000000"/>
          <w:lang w:val="en-US"/>
        </w:rPr>
        <w:t>vitro</w:t>
      </w:r>
      <w:r w:rsidRPr="00295850">
        <w:rPr>
          <w:rFonts w:eastAsia="Times New Roman" w:cs="Arial"/>
          <w:color w:val="000000"/>
          <w:lang w:val="ru-RU"/>
        </w:rPr>
        <w:t xml:space="preserve"> </w:t>
      </w:r>
      <w:r w:rsidRPr="00295850">
        <w:rPr>
          <w:rFonts w:eastAsia="Times New Roman" w:cs="Arial"/>
          <w:color w:val="000000"/>
          <w:lang w:eastAsia="bg-BG"/>
        </w:rPr>
        <w:t xml:space="preserve">проучвания, циркулиращите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295850">
        <w:rPr>
          <w:rFonts w:eastAsia="Times New Roman" w:cs="Arial"/>
          <w:color w:val="000000"/>
          <w:lang w:val="en-US"/>
        </w:rPr>
        <w:t>CYP</w:t>
      </w:r>
      <w:r w:rsidRPr="00295850">
        <w:rPr>
          <w:rFonts w:eastAsia="Times New Roman" w:cs="Arial"/>
          <w:color w:val="000000"/>
          <w:lang w:val="ru-RU"/>
        </w:rPr>
        <w:t>2</w:t>
      </w:r>
      <w:r w:rsidRPr="00295850">
        <w:rPr>
          <w:rFonts w:eastAsia="Times New Roman" w:cs="Arial"/>
          <w:color w:val="000000"/>
          <w:lang w:val="en-US"/>
        </w:rPr>
        <w:t>D</w:t>
      </w:r>
      <w:r w:rsidRPr="00295850">
        <w:rPr>
          <w:rFonts w:eastAsia="Times New Roman" w:cs="Arial"/>
          <w:color w:val="000000"/>
          <w:lang w:val="ru-RU"/>
        </w:rPr>
        <w:t xml:space="preserve">6 </w:t>
      </w:r>
      <w:r w:rsidRPr="00295850">
        <w:rPr>
          <w:rFonts w:eastAsia="Times New Roman" w:cs="Arial"/>
          <w:color w:val="000000"/>
          <w:lang w:eastAsia="bg-BG"/>
        </w:rPr>
        <w:t>не е специфично изучавана. Ограничени данни предполагат, че при тези пациенти плазмените нива на дулоксетин са по-високи.</w:t>
      </w:r>
    </w:p>
    <w:p w14:paraId="000AC219" w14:textId="77777777" w:rsidR="00295850" w:rsidRPr="00295850" w:rsidRDefault="00295850" w:rsidP="00295850">
      <w:pPr>
        <w:spacing w:line="240" w:lineRule="auto"/>
        <w:rPr>
          <w:rFonts w:eastAsia="Times New Roman" w:cs="Arial"/>
          <w:i/>
          <w:iCs/>
          <w:color w:val="000000"/>
          <w:lang w:eastAsia="bg-BG"/>
        </w:rPr>
      </w:pPr>
    </w:p>
    <w:p w14:paraId="44C4CF73" w14:textId="479DCA57"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Елиминация:</w:t>
      </w:r>
      <w:r w:rsidRPr="00295850">
        <w:rPr>
          <w:rFonts w:eastAsia="Times New Roman" w:cs="Arial"/>
          <w:color w:val="000000"/>
          <w:lang w:eastAsia="bg-BG"/>
        </w:rPr>
        <w:t xml:space="preserve"> Елиминационният полуживот на дулоксетин варира от 8 до 17 часа (средн</w:t>
      </w:r>
      <w:r w:rsidRPr="00295850">
        <w:rPr>
          <w:rFonts w:eastAsia="Times New Roman" w:cs="Arial"/>
          <w:color w:val="000000"/>
          <w:lang w:val="en-US"/>
        </w:rPr>
        <w:t>o</w:t>
      </w:r>
      <w:r w:rsidRPr="00295850">
        <w:rPr>
          <w:rFonts w:eastAsia="Times New Roman" w:cs="Arial"/>
          <w:color w:val="000000"/>
          <w:lang w:val="ru-RU"/>
        </w:rPr>
        <w:t xml:space="preserve"> 12 </w:t>
      </w:r>
      <w:r w:rsidRPr="00295850">
        <w:rPr>
          <w:rFonts w:eastAsia="Times New Roman" w:cs="Arial"/>
          <w:color w:val="000000"/>
          <w:lang w:eastAsia="bg-BG"/>
        </w:rPr>
        <w:t xml:space="preserve">часа). След интравенозна доза, плазменият клирънс на дулоксетин варира от 22 1/час до 46 1/час (средно 36 1/час). След перорална доза установеният плазмен клирънс на дулоксетин варира от 33 до 251 </w:t>
      </w:r>
      <w:r w:rsidRPr="00295850">
        <w:rPr>
          <w:rFonts w:eastAsia="Times New Roman" w:cs="Arial"/>
          <w:color w:val="000000"/>
          <w:lang w:val="en-US"/>
        </w:rPr>
        <w:t>l</w:t>
      </w:r>
      <w:r w:rsidRPr="00295850">
        <w:rPr>
          <w:rFonts w:eastAsia="Times New Roman" w:cs="Arial"/>
          <w:color w:val="000000"/>
          <w:lang w:val="ru-RU"/>
        </w:rPr>
        <w:t>/</w:t>
      </w:r>
      <w:r w:rsidRPr="00295850">
        <w:rPr>
          <w:rFonts w:eastAsia="Times New Roman" w:cs="Arial"/>
          <w:color w:val="000000"/>
          <w:lang w:eastAsia="bg-BG"/>
        </w:rPr>
        <w:t>час</w:t>
      </w:r>
      <w:r w:rsidRPr="00295850">
        <w:rPr>
          <w:rFonts w:eastAsia="Times New Roman" w:cs="Arial"/>
          <w:sz w:val="24"/>
          <w:szCs w:val="24"/>
        </w:rPr>
        <w:t xml:space="preserve"> </w:t>
      </w:r>
      <w:r w:rsidRPr="00295850">
        <w:rPr>
          <w:rFonts w:eastAsia="Times New Roman" w:cs="Arial"/>
          <w:color w:val="000000"/>
          <w:lang w:eastAsia="bg-BG"/>
        </w:rPr>
        <w:t>(средно 101 1/час).</w:t>
      </w:r>
    </w:p>
    <w:p w14:paraId="39FDBAEF" w14:textId="77777777" w:rsidR="00295850" w:rsidRPr="00295850" w:rsidRDefault="00295850" w:rsidP="00295850">
      <w:pPr>
        <w:rPr>
          <w:rFonts w:eastAsia="Times New Roman" w:cs="Arial"/>
          <w:i/>
          <w:iCs/>
          <w:color w:val="000000"/>
          <w:lang w:eastAsia="bg-BG"/>
        </w:rPr>
      </w:pPr>
    </w:p>
    <w:p w14:paraId="1422D998" w14:textId="55F923C9" w:rsidR="00295850" w:rsidRPr="00295850" w:rsidRDefault="00295850" w:rsidP="00295850">
      <w:pPr>
        <w:rPr>
          <w:rFonts w:eastAsia="Times New Roman" w:cs="Arial"/>
          <w:i/>
          <w:iCs/>
          <w:color w:val="000000"/>
          <w:lang w:eastAsia="bg-BG"/>
        </w:rPr>
      </w:pPr>
      <w:r w:rsidRPr="00295850">
        <w:rPr>
          <w:rFonts w:eastAsia="Times New Roman" w:cs="Arial"/>
          <w:i/>
          <w:iCs/>
          <w:color w:val="000000"/>
          <w:lang w:eastAsia="bg-BG"/>
        </w:rPr>
        <w:t>Специални популации</w:t>
      </w:r>
    </w:p>
    <w:p w14:paraId="2C335263" w14:textId="77777777" w:rsidR="00295850" w:rsidRPr="00295850" w:rsidRDefault="00295850" w:rsidP="00295850">
      <w:pPr>
        <w:spacing w:line="240" w:lineRule="auto"/>
        <w:rPr>
          <w:rFonts w:eastAsia="Times New Roman" w:cs="Arial"/>
          <w:i/>
          <w:iCs/>
          <w:color w:val="000000"/>
          <w:lang w:eastAsia="bg-BG"/>
        </w:rPr>
      </w:pPr>
    </w:p>
    <w:p w14:paraId="59820D57" w14:textId="5251EE64"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Пол:</w:t>
      </w:r>
      <w:r w:rsidRPr="00295850">
        <w:rPr>
          <w:rFonts w:eastAsia="Times New Roman" w:cs="Arial"/>
          <w:color w:val="000000"/>
          <w:lang w:eastAsia="bg-BG"/>
        </w:rPr>
        <w:t xml:space="preserve"> Между мъже и жени са идентифицирани фармакокннетични разлики (аперентният плазмен клирънс е приблизително 50% по-нисък при жени). Въз основа на припокриване по отношение на клирънса, основаните на пола фармакокннетични разлики не оправдават препоръката за използване на по-ниска доза при жени пациенти.</w:t>
      </w:r>
    </w:p>
    <w:p w14:paraId="55406E8F" w14:textId="77777777" w:rsidR="00295850" w:rsidRPr="00295850" w:rsidRDefault="00295850" w:rsidP="00295850">
      <w:pPr>
        <w:spacing w:line="240" w:lineRule="auto"/>
        <w:rPr>
          <w:rFonts w:eastAsia="Times New Roman" w:cs="Arial"/>
          <w:i/>
          <w:iCs/>
          <w:color w:val="000000"/>
          <w:lang w:eastAsia="bg-BG"/>
        </w:rPr>
      </w:pPr>
    </w:p>
    <w:p w14:paraId="6D469CBE" w14:textId="47EC748F"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Възраст:</w:t>
      </w:r>
      <w:r w:rsidRPr="00295850">
        <w:rPr>
          <w:rFonts w:eastAsia="Times New Roman" w:cs="Arial"/>
          <w:color w:val="000000"/>
          <w:lang w:eastAsia="bg-BG"/>
        </w:rPr>
        <w:t xml:space="preserve"> Идентифицирани са фармакокннетични разлики между по-млади и по-възрастни жени (&gt;65 години) (повишение на </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с около 25%, а полуживотьт е около 25% по-дълъг при тези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(вж. точки 4.2 и 4.4).</w:t>
      </w:r>
    </w:p>
    <w:p w14:paraId="22E09E6F" w14:textId="77777777" w:rsidR="00295850" w:rsidRPr="00295850" w:rsidRDefault="00295850" w:rsidP="00295850">
      <w:pPr>
        <w:spacing w:line="240" w:lineRule="auto"/>
        <w:rPr>
          <w:rFonts w:eastAsia="Times New Roman" w:cs="Arial"/>
          <w:i/>
          <w:iCs/>
          <w:color w:val="000000"/>
          <w:lang w:eastAsia="bg-BG"/>
        </w:rPr>
      </w:pPr>
    </w:p>
    <w:p w14:paraId="48F81292" w14:textId="23DE5146"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Бъбречно увреждане:</w:t>
      </w:r>
      <w:r w:rsidRPr="00295850">
        <w:rPr>
          <w:rFonts w:eastAsia="Times New Roman" w:cs="Arial"/>
          <w:color w:val="000000"/>
          <w:lang w:eastAsia="bg-BG"/>
        </w:rPr>
        <w:t xml:space="preserve"> Пациентите в крайна фаза на бъбречна недостатъчност на диализа имат 2 пъти по-високи стойности на С</w:t>
      </w:r>
      <w:r w:rsidRPr="00295850">
        <w:rPr>
          <w:rFonts w:eastAsia="Times New Roman" w:cs="Arial"/>
          <w:color w:val="000000"/>
          <w:lang w:val="en-US"/>
        </w:rPr>
        <w:t>m</w:t>
      </w:r>
      <w:r w:rsidRPr="00295850">
        <w:rPr>
          <w:rFonts w:eastAsia="Times New Roman" w:cs="Arial"/>
          <w:color w:val="000000"/>
          <w:lang w:eastAsia="bg-BG"/>
        </w:rPr>
        <w:t xml:space="preserve">ах и </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за дулоксетин, в сравнение с здрави лица. При пациенти с лека до умерена бъбречна недостатъчност фармакокинетичните данни за дулоксетин са ограничени.</w:t>
      </w:r>
    </w:p>
    <w:p w14:paraId="68C9B543" w14:textId="77777777" w:rsidR="00295850" w:rsidRPr="00295850" w:rsidRDefault="00295850" w:rsidP="00295850">
      <w:pPr>
        <w:spacing w:line="240" w:lineRule="auto"/>
        <w:rPr>
          <w:rFonts w:eastAsia="Times New Roman" w:cs="Arial"/>
          <w:i/>
          <w:iCs/>
          <w:color w:val="000000"/>
          <w:lang w:eastAsia="bg-BG"/>
        </w:rPr>
      </w:pPr>
    </w:p>
    <w:p w14:paraId="6FED3417" w14:textId="1E2ABE0D"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Чернодробно увреждане:</w:t>
      </w:r>
      <w:r w:rsidRPr="00295850">
        <w:rPr>
          <w:rFonts w:eastAsia="Times New Roman" w:cs="Arial"/>
          <w:color w:val="000000"/>
          <w:lang w:eastAsia="bg-BG"/>
        </w:rPr>
        <w:t xml:space="preserve"> Умерено чернодробно заболяване </w:t>
      </w:r>
      <w:r w:rsidRPr="00295850">
        <w:rPr>
          <w:rFonts w:eastAsia="Times New Roman" w:cs="Arial"/>
          <w:color w:val="000000"/>
          <w:lang w:val="ru-RU"/>
        </w:rPr>
        <w:t>(</w:t>
      </w:r>
      <w:r w:rsidRPr="00295850">
        <w:rPr>
          <w:rFonts w:eastAsia="Times New Roman" w:cs="Arial"/>
          <w:color w:val="000000"/>
          <w:lang w:val="en-US"/>
        </w:rPr>
        <w:t>Child</w:t>
      </w:r>
      <w:r w:rsidRPr="00295850">
        <w:rPr>
          <w:rFonts w:eastAsia="Times New Roman" w:cs="Arial"/>
          <w:color w:val="000000"/>
          <w:lang w:val="ru-RU"/>
        </w:rPr>
        <w:t xml:space="preserve"> </w:t>
      </w:r>
      <w:r w:rsidRPr="00295850">
        <w:rPr>
          <w:rFonts w:eastAsia="Times New Roman" w:cs="Arial"/>
          <w:color w:val="000000"/>
          <w:lang w:val="en-US"/>
        </w:rPr>
        <w:t>Pugh</w:t>
      </w:r>
      <w:r w:rsidRPr="00295850">
        <w:rPr>
          <w:rFonts w:eastAsia="Times New Roman" w:cs="Arial"/>
          <w:color w:val="000000"/>
          <w:lang w:val="ru-RU"/>
        </w:rPr>
        <w:t xml:space="preserve"> </w:t>
      </w:r>
      <w:r w:rsidRPr="00295850">
        <w:rPr>
          <w:rFonts w:eastAsia="Times New Roman" w:cs="Arial"/>
          <w:color w:val="000000"/>
          <w:lang w:eastAsia="bg-BG"/>
        </w:rPr>
        <w:t xml:space="preserve">клас В) засяга фармакокинетиката на дулоксетин. В сравнение с здрави лица, при пациенти с умерено чернодробно заболяване установеният плазмен клирънс на дулоксетин е 79% по-нисък, установеният терминален полуживот е 2,3 пъти по-дълъг, </w:t>
      </w:r>
      <w:r w:rsidRPr="00295850">
        <w:rPr>
          <w:rFonts w:eastAsia="Times New Roman" w:cs="Arial"/>
          <w:color w:val="000000"/>
          <w:lang w:val="en-US"/>
        </w:rPr>
        <w:t>a</w:t>
      </w:r>
      <w:r w:rsidRPr="00295850">
        <w:rPr>
          <w:rFonts w:eastAsia="Times New Roman" w:cs="Arial"/>
          <w:color w:val="000000"/>
          <w:lang w:val="ru-RU"/>
        </w:rPr>
        <w:t xml:space="preserve"> </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 xml:space="preserve">е 3,7 пъти по-висока. </w:t>
      </w:r>
      <w:r w:rsidRPr="00295850">
        <w:rPr>
          <w:rFonts w:eastAsia="Times New Roman" w:cs="Arial"/>
          <w:color w:val="000000"/>
          <w:lang w:eastAsia="bg-BG"/>
        </w:rPr>
        <w:lastRenderedPageBreak/>
        <w:t>Фармакокинетиката на дулоксетин и неговите метаболити не е изучавана при пациенти с лека или тежка чернодробна недостатъчност.</w:t>
      </w:r>
    </w:p>
    <w:p w14:paraId="18A374B1" w14:textId="77777777" w:rsidR="00295850" w:rsidRPr="00295850" w:rsidRDefault="00295850" w:rsidP="00295850">
      <w:pPr>
        <w:spacing w:line="240" w:lineRule="auto"/>
        <w:rPr>
          <w:rFonts w:eastAsia="Times New Roman" w:cs="Arial"/>
          <w:i/>
          <w:iCs/>
          <w:color w:val="000000"/>
          <w:lang w:eastAsia="bg-BG"/>
        </w:rPr>
      </w:pPr>
    </w:p>
    <w:p w14:paraId="79F45A60" w14:textId="1D3BC28E"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Кърмещи майки:</w:t>
      </w:r>
      <w:r w:rsidRPr="00295850">
        <w:rPr>
          <w:rFonts w:eastAsia="Times New Roman" w:cs="Arial"/>
          <w:color w:val="000000"/>
          <w:lang w:eastAsia="bg-BG"/>
        </w:rPr>
        <w:t xml:space="preserve"> Диспозицията на дулоксетин е изучавана при 6 кърмещи жени, които са били поне 12 седмици след раждане. Дулоксетин се открива в кърмата, и стационарните концентрации в майчиното мляко са около една-четвърт от тези в плазмата. Количеството дулоксетин в кърмата е приблизително 7 </w:t>
      </w:r>
      <w:proofErr w:type="spellStart"/>
      <w:r w:rsidRPr="00295850">
        <w:rPr>
          <w:rFonts w:eastAsia="Times New Roman" w:cs="Arial"/>
          <w:color w:val="000000"/>
          <w:lang w:val="en-US"/>
        </w:rPr>
        <w:t>pg</w:t>
      </w:r>
      <w:proofErr w:type="spellEnd"/>
      <w:r w:rsidRPr="00295850">
        <w:rPr>
          <w:rFonts w:eastAsia="Times New Roman" w:cs="Arial"/>
          <w:color w:val="000000"/>
          <w:lang w:eastAsia="bg-BG"/>
        </w:rPr>
        <w:t xml:space="preserve">/дневно при дозиране с 40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два пъти дневно. Кърменето не повлиява фармакокинетиката на дулоксетин.</w:t>
      </w:r>
    </w:p>
    <w:p w14:paraId="5B2834FB" w14:textId="77777777" w:rsidR="00295850" w:rsidRPr="00295850" w:rsidRDefault="00295850" w:rsidP="00295850">
      <w:pPr>
        <w:spacing w:line="240" w:lineRule="auto"/>
        <w:rPr>
          <w:rFonts w:eastAsia="Times New Roman" w:cs="Arial"/>
          <w:i/>
          <w:iCs/>
          <w:color w:val="000000"/>
          <w:lang w:eastAsia="bg-BG"/>
        </w:rPr>
      </w:pPr>
    </w:p>
    <w:p w14:paraId="2E3C172D" w14:textId="51C05921" w:rsidR="00295850" w:rsidRPr="00295850" w:rsidRDefault="00295850" w:rsidP="00295850">
      <w:pPr>
        <w:spacing w:line="240" w:lineRule="auto"/>
        <w:rPr>
          <w:rFonts w:eastAsia="Times New Roman" w:cs="Arial"/>
          <w:sz w:val="24"/>
          <w:szCs w:val="24"/>
        </w:rPr>
      </w:pPr>
      <w:r w:rsidRPr="00295850">
        <w:rPr>
          <w:rFonts w:eastAsia="Times New Roman" w:cs="Arial"/>
          <w:i/>
          <w:iCs/>
          <w:color w:val="000000"/>
          <w:lang w:eastAsia="bg-BG"/>
        </w:rPr>
        <w:t>Педиатрична популация:</w:t>
      </w:r>
      <w:r w:rsidRPr="00295850">
        <w:rPr>
          <w:rFonts w:eastAsia="Times New Roman" w:cs="Arial"/>
          <w:color w:val="000000"/>
          <w:lang w:eastAsia="bg-BG"/>
        </w:rPr>
        <w:t xml:space="preserve"> Фармакокинетичните свойства на дулоксетин при педиатрични пациенти на възраст от 7 до 17 години с голямо депресивно разстройство след перорално прилагане в схема на дозиране 20 до 120 </w:t>
      </w:r>
      <w:r w:rsidRPr="00295850">
        <w:rPr>
          <w:rFonts w:eastAsia="Times New Roman" w:cs="Arial"/>
          <w:color w:val="000000"/>
          <w:lang w:val="en-US"/>
        </w:rPr>
        <w:t>mg</w:t>
      </w:r>
      <w:r w:rsidRPr="00295850">
        <w:rPr>
          <w:rFonts w:eastAsia="Times New Roman" w:cs="Arial"/>
          <w:color w:val="000000"/>
          <w:lang w:val="ru-RU"/>
        </w:rPr>
        <w:t xml:space="preserve"> </w:t>
      </w:r>
      <w:r w:rsidRPr="00295850">
        <w:rPr>
          <w:rFonts w:eastAsia="Times New Roman" w:cs="Arial"/>
          <w:color w:val="000000"/>
          <w:lang w:eastAsia="bg-BG"/>
        </w:rPr>
        <w:t>веднъж дневно са характеризирани с помощта на популационно-моделиран анализ на базата на данни от 3 проучвания. Предвидените от модела плазмени концентрации на дулоксетин в стационарно състояние при пациенти-деца в повечето случаи са в границите на диапазона на концентрациите, наблюдаван при възрастни пациенти.</w:t>
      </w:r>
    </w:p>
    <w:p w14:paraId="51DEC25D" w14:textId="77777777" w:rsidR="00295850" w:rsidRPr="00295850" w:rsidRDefault="00295850" w:rsidP="00295850"/>
    <w:p w14:paraId="4FB791BE" w14:textId="712A571A" w:rsidR="00B6672E" w:rsidRDefault="002C50EE" w:rsidP="00936AD0">
      <w:pPr>
        <w:pStyle w:val="Heading2"/>
      </w:pPr>
      <w:r>
        <w:t>5.3. Предклинични данни за безопасност</w:t>
      </w:r>
    </w:p>
    <w:p w14:paraId="005C6680" w14:textId="73D4FF42" w:rsidR="00295850" w:rsidRDefault="00295850" w:rsidP="00295850"/>
    <w:p w14:paraId="512BE396" w14:textId="77777777" w:rsidR="00295850" w:rsidRPr="00295850" w:rsidRDefault="00295850" w:rsidP="00295850">
      <w:pPr>
        <w:spacing w:line="240" w:lineRule="auto"/>
        <w:rPr>
          <w:rFonts w:eastAsia="Times New Roman" w:cs="Arial"/>
          <w:sz w:val="24"/>
          <w:szCs w:val="24"/>
        </w:rPr>
      </w:pPr>
      <w:r w:rsidRPr="00295850">
        <w:rPr>
          <w:rFonts w:eastAsia="Times New Roman" w:cs="Arial"/>
          <w:color w:val="000000"/>
          <w:lang w:eastAsia="bg-BG"/>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Женски мишки получавали дулоксетин за 2 години имат повишена честота на хепатоцелуларни аденоми и карциноми само при високите дози (144 </w:t>
      </w:r>
      <w:r w:rsidRPr="00295850">
        <w:rPr>
          <w:rFonts w:eastAsia="Times New Roman" w:cs="Arial"/>
          <w:color w:val="000000"/>
          <w:lang w:val="en-US"/>
        </w:rPr>
        <w:t>mg</w:t>
      </w:r>
      <w:r w:rsidRPr="00295850">
        <w:rPr>
          <w:rFonts w:eastAsia="Times New Roman" w:cs="Arial"/>
          <w:color w:val="000000"/>
          <w:lang w:val="ru-RU"/>
        </w:rPr>
        <w:t>/</w:t>
      </w:r>
      <w:r w:rsidRPr="00295850">
        <w:rPr>
          <w:rFonts w:eastAsia="Times New Roman" w:cs="Arial"/>
          <w:color w:val="000000"/>
          <w:lang w:val="en-US"/>
        </w:rPr>
        <w:t>kg</w:t>
      </w:r>
      <w:r w:rsidRPr="00295850">
        <w:rPr>
          <w:rFonts w:eastAsia="Times New Roman" w:cs="Arial"/>
          <w:color w:val="000000"/>
          <w:lang w:eastAsia="bg-BG"/>
        </w:rPr>
        <w:t xml:space="preserve">/дневно), но те са считат като вторични на чернодробната микрозомална ензимна индукция. Значимостта на тези данни при мишки по отношение на хората не е известна. Женски плъхове, получавали дулоксетин (45 </w:t>
      </w:r>
      <w:r w:rsidRPr="00295850">
        <w:rPr>
          <w:rFonts w:eastAsia="Times New Roman" w:cs="Arial"/>
          <w:color w:val="000000"/>
          <w:lang w:val="en-US"/>
        </w:rPr>
        <w:t>mg</w:t>
      </w:r>
      <w:r w:rsidRPr="00295850">
        <w:rPr>
          <w:rFonts w:eastAsia="Times New Roman" w:cs="Arial"/>
          <w:color w:val="000000"/>
          <w:lang w:val="ru-RU"/>
        </w:rPr>
        <w:t>/</w:t>
      </w:r>
      <w:r w:rsidRPr="00295850">
        <w:rPr>
          <w:rFonts w:eastAsia="Times New Roman" w:cs="Arial"/>
          <w:color w:val="000000"/>
          <w:lang w:val="en-US"/>
        </w:rPr>
        <w:t>kg</w:t>
      </w:r>
      <w:r w:rsidRPr="00295850">
        <w:rPr>
          <w:rFonts w:eastAsia="Times New Roman" w:cs="Arial"/>
          <w:color w:val="000000"/>
          <w:lang w:eastAsia="bg-BG"/>
        </w:rPr>
        <w:t xml:space="preserve">/дневно) преди и при съвокупление и по време на ранна бременност, са показали намаление на консумацията на храна от майката и на телесното тегло, нарушаване на цикъла на разгонване, намалени показатели за броя живородени и преживяемостга на потомството, и забавен растеж на потомството при нива на системна експозиция, които в най-добрия случай са приблизително до максималната клинична експозиция </w:t>
      </w:r>
      <w:r w:rsidRPr="00295850">
        <w:rPr>
          <w:rFonts w:eastAsia="Times New Roman" w:cs="Arial"/>
          <w:color w:val="000000"/>
          <w:lang w:val="ru-RU"/>
        </w:rPr>
        <w:t>(</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 xml:space="preserve">В проучване за ембриотоксичност при зайци са наблюдавани по-висока честота на сърдечно-съдови и скелетни малформации при нива на системна експозиция под максималната клинична експозиция </w:t>
      </w:r>
      <w:r w:rsidRPr="00295850">
        <w:rPr>
          <w:rFonts w:eastAsia="Times New Roman" w:cs="Arial"/>
          <w:color w:val="000000"/>
          <w:lang w:val="ru-RU"/>
        </w:rPr>
        <w:t>(</w:t>
      </w:r>
      <w:r w:rsidRPr="00295850">
        <w:rPr>
          <w:rFonts w:eastAsia="Times New Roman" w:cs="Arial"/>
          <w:color w:val="000000"/>
          <w:lang w:val="en-US"/>
        </w:rPr>
        <w:t>AUC</w:t>
      </w:r>
      <w:r w:rsidRPr="00295850">
        <w:rPr>
          <w:rFonts w:eastAsia="Times New Roman" w:cs="Arial"/>
          <w:color w:val="000000"/>
          <w:lang w:val="ru-RU"/>
        </w:rPr>
        <w:t xml:space="preserve">). </w:t>
      </w:r>
      <w:r w:rsidRPr="00295850">
        <w:rPr>
          <w:rFonts w:eastAsia="Times New Roman" w:cs="Arial"/>
          <w:color w:val="000000"/>
          <w:lang w:eastAsia="bg-BG"/>
        </w:rPr>
        <w:t xml:space="preserve">Не са наблюдавани малформации в друго проучване, за изпитване на по-високи дози на различна сол на дулоксетин. При пренатални/постнатални токсикологични проучвания при плъхове, дулоксетин индуцира </w:t>
      </w:r>
      <w:r w:rsidRPr="00295850">
        <w:rPr>
          <w:rFonts w:eastAsia="Times New Roman" w:cs="Arial"/>
          <w:color w:val="000000"/>
          <w:u w:val="single"/>
          <w:lang w:eastAsia="bg-BG"/>
        </w:rPr>
        <w:t>нежела</w:t>
      </w:r>
      <w:r w:rsidRPr="00295850">
        <w:rPr>
          <w:rFonts w:eastAsia="Times New Roman" w:cs="Arial"/>
          <w:color w:val="000000"/>
          <w:lang w:eastAsia="bg-BG"/>
        </w:rPr>
        <w:t>ни поведенчески ефекти в поколението при експозиция под максималната клинична експозиция (</w:t>
      </w:r>
      <w:r w:rsidRPr="00295850">
        <w:rPr>
          <w:rFonts w:eastAsia="Times New Roman" w:cs="Arial"/>
          <w:color w:val="000000"/>
          <w:lang w:val="en-US"/>
        </w:rPr>
        <w:t>AUC</w:t>
      </w:r>
    </w:p>
    <w:p w14:paraId="22A27013" w14:textId="77777777" w:rsidR="00295850" w:rsidRPr="00295850" w:rsidRDefault="00295850" w:rsidP="00295850">
      <w:pPr>
        <w:rPr>
          <w:rFonts w:eastAsia="Times New Roman" w:cs="Arial"/>
          <w:color w:val="000000"/>
          <w:lang w:eastAsia="bg-BG"/>
        </w:rPr>
      </w:pPr>
    </w:p>
    <w:p w14:paraId="0E6BCD04" w14:textId="77777777" w:rsidR="00295850" w:rsidRPr="00295850" w:rsidRDefault="00295850" w:rsidP="00295850">
      <w:pPr>
        <w:rPr>
          <w:rFonts w:eastAsia="Times New Roman" w:cs="Arial"/>
          <w:sz w:val="24"/>
          <w:szCs w:val="24"/>
        </w:rPr>
      </w:pPr>
      <w:r w:rsidRPr="00295850">
        <w:rPr>
          <w:rFonts w:eastAsia="Times New Roman" w:cs="Arial"/>
          <w:color w:val="000000"/>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консумирането на храна; индукция на чернодробните ензими; и хепатоцелуларна вакуолизация при 45 </w:t>
      </w:r>
      <w:r w:rsidRPr="00295850">
        <w:rPr>
          <w:rFonts w:eastAsia="Times New Roman" w:cs="Arial"/>
          <w:color w:val="000000"/>
          <w:lang w:val="en-US"/>
        </w:rPr>
        <w:t>mg</w:t>
      </w:r>
      <w:r w:rsidRPr="00295850">
        <w:rPr>
          <w:rFonts w:eastAsia="Times New Roman" w:cs="Arial"/>
          <w:color w:val="000000"/>
          <w:lang w:val="ru-RU"/>
        </w:rPr>
        <w:t>/</w:t>
      </w:r>
      <w:r w:rsidRPr="00295850">
        <w:rPr>
          <w:rFonts w:eastAsia="Times New Roman" w:cs="Arial"/>
          <w:color w:val="000000"/>
          <w:lang w:val="en-US"/>
        </w:rPr>
        <w:t>kg</w:t>
      </w:r>
      <w:r w:rsidRPr="00295850">
        <w:rPr>
          <w:rFonts w:eastAsia="Times New Roman" w:cs="Arial"/>
          <w:color w:val="000000"/>
          <w:lang w:eastAsia="bg-BG"/>
        </w:rPr>
        <w:t xml:space="preserve">/дневно. Общият профил на токсичност на дулоксетин при млади плъхове е подобен на този при възрастни плъхове. Нивото на липса на нежелани ефекти е определено, че е 20 </w:t>
      </w:r>
      <w:r w:rsidRPr="00295850">
        <w:rPr>
          <w:rFonts w:eastAsia="Times New Roman" w:cs="Arial"/>
          <w:color w:val="000000"/>
          <w:lang w:val="en-US"/>
        </w:rPr>
        <w:t>mg</w:t>
      </w:r>
      <w:r w:rsidRPr="00295850">
        <w:rPr>
          <w:rFonts w:eastAsia="Times New Roman" w:cs="Arial"/>
          <w:color w:val="000000"/>
          <w:lang w:val="ru-RU"/>
        </w:rPr>
        <w:t>/</w:t>
      </w:r>
      <w:r w:rsidRPr="00295850">
        <w:rPr>
          <w:rFonts w:eastAsia="Times New Roman" w:cs="Arial"/>
          <w:color w:val="000000"/>
          <w:lang w:val="en-US"/>
        </w:rPr>
        <w:t>kg</w:t>
      </w:r>
      <w:r w:rsidRPr="00295850">
        <w:rPr>
          <w:rFonts w:eastAsia="Times New Roman" w:cs="Arial"/>
          <w:color w:val="000000"/>
          <w:lang w:eastAsia="bg-BG"/>
        </w:rPr>
        <w:t>/дневно.</w:t>
      </w:r>
    </w:p>
    <w:p w14:paraId="4D51811C" w14:textId="4CB25434" w:rsidR="00295850" w:rsidRPr="00295850" w:rsidRDefault="00295850" w:rsidP="00295850"/>
    <w:p w14:paraId="1BA6531D" w14:textId="3D6A2609" w:rsidR="00B6672E" w:rsidRDefault="002C50EE" w:rsidP="00936AD0">
      <w:pPr>
        <w:pStyle w:val="Heading1"/>
      </w:pPr>
      <w:r>
        <w:lastRenderedPageBreak/>
        <w:t>7. ПРИТЕЖАТЕЛ НА РАЗРЕШЕНИЕТО ЗА УПОТРЕБА</w:t>
      </w:r>
    </w:p>
    <w:p w14:paraId="2C41FA24" w14:textId="7A260CDE" w:rsidR="00295850" w:rsidRDefault="00295850" w:rsidP="00295850"/>
    <w:p w14:paraId="76BABEE4" w14:textId="77777777" w:rsidR="00295850" w:rsidRPr="00295850" w:rsidRDefault="00295850" w:rsidP="00295850">
      <w:pPr>
        <w:rPr>
          <w:sz w:val="24"/>
          <w:szCs w:val="24"/>
        </w:rPr>
      </w:pPr>
      <w:r w:rsidRPr="00295850">
        <w:rPr>
          <w:lang w:eastAsia="bg-BG"/>
        </w:rPr>
        <w:t>НОБЕЛ ФАРМА ЕООД</w:t>
      </w:r>
    </w:p>
    <w:p w14:paraId="3B703CE0" w14:textId="77777777" w:rsidR="00295850" w:rsidRDefault="00295850" w:rsidP="00295850">
      <w:pPr>
        <w:rPr>
          <w:lang w:eastAsia="bg-BG"/>
        </w:rPr>
      </w:pPr>
      <w:r w:rsidRPr="00295850">
        <w:rPr>
          <w:lang w:eastAsia="bg-BG"/>
        </w:rPr>
        <w:t xml:space="preserve">ул. „Околовръстен пъТ“ № 36 </w:t>
      </w:r>
    </w:p>
    <w:p w14:paraId="20C8A007" w14:textId="5BDC33FE" w:rsidR="00295850" w:rsidRDefault="00295850" w:rsidP="00295850">
      <w:pPr>
        <w:rPr>
          <w:lang w:eastAsia="bg-BG"/>
        </w:rPr>
      </w:pPr>
      <w:r w:rsidRPr="00295850">
        <w:rPr>
          <w:lang w:eastAsia="bg-BG"/>
        </w:rPr>
        <w:t>гр. София 1415, България</w:t>
      </w:r>
    </w:p>
    <w:p w14:paraId="59800D70" w14:textId="77777777" w:rsidR="00295850" w:rsidRPr="00295850" w:rsidRDefault="00295850" w:rsidP="00295850">
      <w:pPr>
        <w:rPr>
          <w:sz w:val="24"/>
          <w:szCs w:val="24"/>
        </w:rPr>
      </w:pPr>
      <w:r w:rsidRPr="00295850">
        <w:rPr>
          <w:lang w:eastAsia="bg-BG"/>
        </w:rPr>
        <w:t>тел.: +359 2 962 62 80</w:t>
      </w:r>
    </w:p>
    <w:p w14:paraId="2090663E" w14:textId="77777777" w:rsidR="00295850" w:rsidRPr="00295850" w:rsidRDefault="00295850" w:rsidP="00295850">
      <w:pPr>
        <w:rPr>
          <w:sz w:val="24"/>
          <w:szCs w:val="24"/>
        </w:rPr>
      </w:pPr>
      <w:r w:rsidRPr="00295850">
        <w:rPr>
          <w:lang w:eastAsia="bg-BG"/>
        </w:rPr>
        <w:t>факс: +359 2 962 90 36</w:t>
      </w:r>
    </w:p>
    <w:p w14:paraId="5EAF2938" w14:textId="0B09A326" w:rsidR="00295850" w:rsidRPr="00295850" w:rsidRDefault="00295850" w:rsidP="00295850">
      <w:pPr>
        <w:rPr>
          <w:sz w:val="24"/>
          <w:szCs w:val="24"/>
        </w:rPr>
      </w:pPr>
      <w:r w:rsidRPr="00295850">
        <w:rPr>
          <w:lang w:eastAsia="bg-BG"/>
        </w:rPr>
        <w:t xml:space="preserve">ел.поща: </w:t>
      </w:r>
      <w:hyperlink r:id="rId5" w:history="1">
        <w:r w:rsidRPr="00013481">
          <w:rPr>
            <w:rStyle w:val="Hyperlink"/>
            <w:rFonts w:ascii="Times New Roman" w:eastAsia="Times New Roman" w:hAnsi="Times New Roman" w:cs="Times New Roman"/>
            <w:lang w:val="en-US"/>
          </w:rPr>
          <w:t>info</w:t>
        </w:r>
        <w:r w:rsidRPr="00013481">
          <w:rPr>
            <w:rStyle w:val="Hyperlink"/>
            <w:rFonts w:ascii="Times New Roman" w:eastAsia="Times New Roman" w:hAnsi="Times New Roman" w:cs="Times New Roman"/>
            <w:lang w:val="ru-RU"/>
          </w:rPr>
          <w:t>@</w:t>
        </w:r>
        <w:r w:rsidRPr="00013481">
          <w:rPr>
            <w:rStyle w:val="Hyperlink"/>
            <w:rFonts w:ascii="Times New Roman" w:eastAsia="Times New Roman" w:hAnsi="Times New Roman" w:cs="Times New Roman"/>
            <w:lang w:val="en-US"/>
          </w:rPr>
          <w:t>nobelpharma</w:t>
        </w:r>
        <w:r w:rsidRPr="00013481">
          <w:rPr>
            <w:rStyle w:val="Hyperlink"/>
            <w:rFonts w:ascii="Times New Roman" w:eastAsia="Times New Roman" w:hAnsi="Times New Roman" w:cs="Times New Roman"/>
            <w:lang w:val="ru-RU"/>
          </w:rPr>
          <w:t>.</w:t>
        </w:r>
        <w:r w:rsidRPr="00013481">
          <w:rPr>
            <w:rStyle w:val="Hyperlink"/>
            <w:rFonts w:ascii="Times New Roman" w:eastAsia="Times New Roman" w:hAnsi="Times New Roman" w:cs="Times New Roman"/>
            <w:lang w:val="en-US"/>
          </w:rPr>
          <w:t>bg</w:t>
        </w:r>
      </w:hyperlink>
    </w:p>
    <w:p w14:paraId="29C37037" w14:textId="77777777" w:rsidR="00295850" w:rsidRPr="00295850" w:rsidRDefault="00295850" w:rsidP="00295850"/>
    <w:p w14:paraId="508F3A54" w14:textId="0BC4AB92" w:rsidR="00B6672E" w:rsidRDefault="00936AD0" w:rsidP="00936AD0">
      <w:pPr>
        <w:pStyle w:val="Heading1"/>
      </w:pPr>
      <w:r>
        <w:t>8.</w:t>
      </w:r>
      <w:r w:rsidR="002C50EE">
        <w:t>НОМЕР НА РАЗРЕШЕНИЕТО ЗА УПОТРЕБА</w:t>
      </w:r>
    </w:p>
    <w:p w14:paraId="12F6AD73" w14:textId="1C68CB1A" w:rsidR="00295850" w:rsidRDefault="00295850" w:rsidP="00295850"/>
    <w:p w14:paraId="7B44725E" w14:textId="3D820479" w:rsidR="00295850" w:rsidRPr="00295850" w:rsidRDefault="00295850" w:rsidP="00295850">
      <w:pPr>
        <w:rPr>
          <w:sz w:val="24"/>
          <w:szCs w:val="24"/>
        </w:rPr>
      </w:pPr>
      <w:r w:rsidRPr="00295850">
        <w:rPr>
          <w:lang w:eastAsia="bg-BG"/>
        </w:rPr>
        <w:t>Регистрационен номер: 20160286</w:t>
      </w:r>
    </w:p>
    <w:p w14:paraId="2CCB5832" w14:textId="3FF27890" w:rsidR="007C605B" w:rsidRDefault="002C50EE" w:rsidP="007C605B">
      <w:pPr>
        <w:pStyle w:val="Heading1"/>
      </w:pPr>
      <w:r>
        <w:t>9. ДАТА НА ПЪРВО РАЗРЕШАВАНЕ/ПОДНОВЯВАНЕ НА РАЗРЕШЕНИЕТО ЗА УПОТРЕБА</w:t>
      </w:r>
    </w:p>
    <w:p w14:paraId="49189C41" w14:textId="77777777" w:rsidR="00295850" w:rsidRDefault="00295850" w:rsidP="00295850">
      <w:pPr>
        <w:rPr>
          <w:lang w:eastAsia="bg-BG"/>
        </w:rPr>
      </w:pPr>
    </w:p>
    <w:p w14:paraId="11EE5273" w14:textId="1DBF25C4" w:rsidR="00295850" w:rsidRPr="00295850" w:rsidRDefault="00295850" w:rsidP="00295850">
      <w:pPr>
        <w:rPr>
          <w:sz w:val="24"/>
          <w:szCs w:val="24"/>
        </w:rPr>
      </w:pPr>
      <w:r w:rsidRPr="00295850">
        <w:rPr>
          <w:lang w:eastAsia="bg-BG"/>
        </w:rPr>
        <w:t>Дата на първо разрешаване: 01.09.2016 г.</w:t>
      </w:r>
    </w:p>
    <w:p w14:paraId="540807A6" w14:textId="7EDDCAEF" w:rsidR="00295850" w:rsidRPr="00295850" w:rsidRDefault="00295850" w:rsidP="00295850">
      <w:r w:rsidRPr="00295850">
        <w:rPr>
          <w:lang w:eastAsia="bg-BG"/>
        </w:rPr>
        <w:t>Дата на последно подновяване:</w:t>
      </w:r>
    </w:p>
    <w:p w14:paraId="0E9D0119" w14:textId="0245C6D7" w:rsidR="002C50EE" w:rsidRDefault="002C50EE" w:rsidP="002C50EE">
      <w:pPr>
        <w:pStyle w:val="Heading1"/>
      </w:pPr>
      <w:r>
        <w:t>10. ДАТА НА АКТУАЛИЗИРАНЕ НА ТЕКСТА</w:t>
      </w:r>
    </w:p>
    <w:bookmarkEnd w:id="0"/>
    <w:p w14:paraId="43FB38A2" w14:textId="1BE7F92A" w:rsidR="007C605B" w:rsidRPr="003E3126" w:rsidRDefault="00295850" w:rsidP="00295850">
      <w:r>
        <w:t>04/2021</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95850"/>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DE1F33"/>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obelpharm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7190</Words>
  <Characters>40984</Characters>
  <Application>Microsoft Office Word</Application>
  <DocSecurity>0</DocSecurity>
  <Lines>341</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2022-07-30T13:59:00Z</dcterms:created>
  <dcterms:modified xsi:type="dcterms:W3CDTF">2022-07-30T13:59:00Z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