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B239815" w14:textId="3375912C" w:rsidR="00AA23EC" w:rsidRDefault="00DD466D" w:rsidP="00DD466D">
      <w:pPr>
        <w:pStyle w:val="Heading1"/>
      </w:pPr>
      <w:r>
        <w:t>1.ИМЕ НА ЛЕКАРСТВЕНИЯ ПРОДУКТ</w:t>
      </w:r>
    </w:p>
    <w:p w14:paraId="21AC7AE6" w14:textId="77777777" w:rsidR="009F0700" w:rsidRDefault="009F0700" w:rsidP="009F0700">
      <w:pPr>
        <w:spacing w:line="240" w:lineRule="auto"/>
        <w:rPr>
          <w:rFonts w:ascii="Times New Roman" w:eastAsia="Times New Roman" w:hAnsi="Times New Roman" w:cs="Times New Roman"/>
          <w:color w:val="000000"/>
          <w:lang w:eastAsia="bg-BG"/>
        </w:rPr>
      </w:pPr>
    </w:p>
    <w:p w14:paraId="7A209B33" w14:textId="1B799096" w:rsidR="009F0700" w:rsidRPr="009F0700" w:rsidRDefault="009F0700" w:rsidP="009F0700">
      <w:pPr>
        <w:rPr>
          <w:sz w:val="24"/>
          <w:szCs w:val="24"/>
        </w:rPr>
      </w:pPr>
      <w:r w:rsidRPr="009F0700">
        <w:rPr>
          <w:lang w:eastAsia="bg-BG"/>
        </w:rPr>
        <w:t xml:space="preserve">ЕКОЗИД </w:t>
      </w:r>
      <w:r w:rsidRPr="009F0700">
        <w:rPr>
          <w:lang w:val="en-US"/>
        </w:rPr>
        <w:t xml:space="preserve">SR </w:t>
      </w:r>
      <w:r w:rsidRPr="009F0700">
        <w:rPr>
          <w:lang w:eastAsia="bg-BG"/>
        </w:rPr>
        <w:t xml:space="preserve">30 </w:t>
      </w:r>
      <w:r w:rsidRPr="009F0700">
        <w:rPr>
          <w:lang w:val="en-US"/>
        </w:rPr>
        <w:t xml:space="preserve">mg </w:t>
      </w:r>
      <w:r w:rsidRPr="009F0700">
        <w:rPr>
          <w:lang w:eastAsia="bg-BG"/>
        </w:rPr>
        <w:t>таблетки с удължено освобождаване</w:t>
      </w:r>
    </w:p>
    <w:p w14:paraId="4FEEE950" w14:textId="77777777" w:rsidR="009F0700" w:rsidRPr="009F0700" w:rsidRDefault="009F0700" w:rsidP="009F0700">
      <w:pPr>
        <w:rPr>
          <w:sz w:val="24"/>
          <w:szCs w:val="24"/>
        </w:rPr>
      </w:pPr>
      <w:r w:rsidRPr="009F0700">
        <w:rPr>
          <w:lang w:val="en-US"/>
        </w:rPr>
        <w:t xml:space="preserve">ECOZID SR </w:t>
      </w:r>
      <w:r w:rsidRPr="009F0700">
        <w:rPr>
          <w:lang w:eastAsia="bg-BG"/>
        </w:rPr>
        <w:t xml:space="preserve">30 </w:t>
      </w:r>
      <w:r w:rsidRPr="009F0700">
        <w:rPr>
          <w:lang w:val="en-US"/>
        </w:rPr>
        <w:t>mg prolonged-release tablets</w:t>
      </w:r>
    </w:p>
    <w:p w14:paraId="404F09C5" w14:textId="77777777" w:rsidR="009F0700" w:rsidRPr="009F0700" w:rsidRDefault="009F0700" w:rsidP="009F0700"/>
    <w:p w14:paraId="0A368469" w14:textId="70F38A11" w:rsidR="00C0049F" w:rsidRDefault="00DD466D" w:rsidP="009F1313">
      <w:pPr>
        <w:pStyle w:val="Heading1"/>
      </w:pPr>
      <w:r>
        <w:t>2. КАЧЕСТВЕН И КОЛИЧЕСТВЕН СЪСТАВ</w:t>
      </w:r>
    </w:p>
    <w:p w14:paraId="4A049713" w14:textId="2D249922" w:rsidR="009F0700" w:rsidRDefault="009F0700" w:rsidP="009F0700"/>
    <w:p w14:paraId="70137009" w14:textId="6E2AFC64" w:rsidR="009F0700" w:rsidRDefault="009F0700" w:rsidP="009F0700">
      <w:pPr>
        <w:rPr>
          <w:i/>
          <w:iCs/>
          <w:lang w:val="en-US"/>
        </w:rPr>
      </w:pPr>
      <w:r w:rsidRPr="009F0700">
        <w:rPr>
          <w:lang w:eastAsia="bg-BG"/>
        </w:rPr>
        <w:t xml:space="preserve">Всяка таблетка съдържа 30 </w:t>
      </w:r>
      <w:r w:rsidRPr="009F0700">
        <w:rPr>
          <w:lang w:val="en-US"/>
        </w:rPr>
        <w:t xml:space="preserve">mg </w:t>
      </w:r>
      <w:r w:rsidRPr="009F0700">
        <w:rPr>
          <w:lang w:eastAsia="bg-BG"/>
        </w:rPr>
        <w:t xml:space="preserve">гликлазид </w:t>
      </w:r>
      <w:r w:rsidRPr="009F0700">
        <w:rPr>
          <w:i/>
          <w:iCs/>
          <w:lang w:val="en-US"/>
        </w:rPr>
        <w:t>(</w:t>
      </w:r>
      <w:proofErr w:type="spellStart"/>
      <w:r w:rsidRPr="009F0700">
        <w:rPr>
          <w:i/>
          <w:iCs/>
          <w:lang w:val="en-US"/>
        </w:rPr>
        <w:t>gliclazide</w:t>
      </w:r>
      <w:proofErr w:type="spellEnd"/>
      <w:r w:rsidRPr="009F0700">
        <w:rPr>
          <w:i/>
          <w:iCs/>
          <w:lang w:val="en-US"/>
        </w:rPr>
        <w:t>).</w:t>
      </w:r>
    </w:p>
    <w:p w14:paraId="02218B3B" w14:textId="77777777" w:rsidR="009F0700" w:rsidRPr="009F0700" w:rsidRDefault="009F0700" w:rsidP="009F0700">
      <w:pPr>
        <w:rPr>
          <w:sz w:val="24"/>
          <w:szCs w:val="24"/>
        </w:rPr>
      </w:pPr>
    </w:p>
    <w:p w14:paraId="7A85543D" w14:textId="6A8ED569" w:rsidR="009F0700" w:rsidRDefault="00DD466D" w:rsidP="009F0700">
      <w:pPr>
        <w:pStyle w:val="Heading1"/>
      </w:pPr>
      <w:r>
        <w:t>3. ЛЕКАРСТВЕНА ФОРМА</w:t>
      </w:r>
    </w:p>
    <w:p w14:paraId="66008F83" w14:textId="049E12B6" w:rsidR="009F0700" w:rsidRDefault="009F0700" w:rsidP="009F0700"/>
    <w:p w14:paraId="0EA7F9B9" w14:textId="77777777" w:rsidR="009F0700" w:rsidRPr="009F0700" w:rsidRDefault="009F0700" w:rsidP="009F0700">
      <w:pPr>
        <w:rPr>
          <w:sz w:val="24"/>
          <w:szCs w:val="24"/>
        </w:rPr>
      </w:pPr>
      <w:r w:rsidRPr="009F0700">
        <w:rPr>
          <w:lang w:eastAsia="bg-BG"/>
        </w:rPr>
        <w:t>Таблетки с удължено освобождаване.</w:t>
      </w:r>
    </w:p>
    <w:p w14:paraId="3F40835E" w14:textId="5D23E9EC" w:rsidR="009F0700" w:rsidRPr="009F0700" w:rsidRDefault="009F0700" w:rsidP="009F0700">
      <w:r w:rsidRPr="009F0700">
        <w:rPr>
          <w:lang w:eastAsia="bg-BG"/>
        </w:rPr>
        <w:t>Бели до почти бели, продълговати таблетки.</w:t>
      </w:r>
    </w:p>
    <w:p w14:paraId="490FC2C4" w14:textId="32682B15" w:rsidR="002C50EE" w:rsidRDefault="002C50EE" w:rsidP="002C50EE">
      <w:pPr>
        <w:pStyle w:val="Heading1"/>
      </w:pPr>
      <w:r>
        <w:t>4. КЛИНИЧНИ ДАННИ</w:t>
      </w:r>
    </w:p>
    <w:p w14:paraId="754A29C8" w14:textId="34304510" w:rsidR="00C0049F" w:rsidRDefault="002C50EE" w:rsidP="009F1313">
      <w:pPr>
        <w:pStyle w:val="Heading2"/>
      </w:pPr>
      <w:r>
        <w:t>4.1. Терапевтични показания</w:t>
      </w:r>
    </w:p>
    <w:p w14:paraId="1A864943" w14:textId="45D1FA05" w:rsidR="00395555" w:rsidRDefault="00395555" w:rsidP="00395555"/>
    <w:p w14:paraId="556CF0A3" w14:textId="77777777" w:rsidR="009F0700" w:rsidRPr="009F0700" w:rsidRDefault="009F0700" w:rsidP="009F0700">
      <w:pPr>
        <w:rPr>
          <w:sz w:val="24"/>
          <w:szCs w:val="24"/>
        </w:rPr>
      </w:pPr>
      <w:r w:rsidRPr="009F0700">
        <w:rPr>
          <w:lang w:eastAsia="bg-BG"/>
        </w:rPr>
        <w:t>Неинсулин-зависим диабет (тип 2) при възрастни, когато само диетата, физическите упражнения и намаляването на телесното тегло не са достатъчни за постигане на гликемичен контрол.</w:t>
      </w:r>
    </w:p>
    <w:p w14:paraId="23717240" w14:textId="77777777" w:rsidR="009F0700" w:rsidRPr="00395555" w:rsidRDefault="009F0700" w:rsidP="00395555"/>
    <w:p w14:paraId="7C0CA5EB" w14:textId="4F5872C8" w:rsidR="00C0049F" w:rsidRDefault="002C50EE" w:rsidP="009F1313">
      <w:pPr>
        <w:pStyle w:val="Heading2"/>
      </w:pPr>
      <w:r>
        <w:t>4.2. Дозировка и начин на приложение</w:t>
      </w:r>
    </w:p>
    <w:p w14:paraId="0F384D22" w14:textId="7DF3C918" w:rsidR="009F0700" w:rsidRDefault="009F0700" w:rsidP="009F0700"/>
    <w:p w14:paraId="61461E82" w14:textId="77777777" w:rsidR="009F0700" w:rsidRPr="009F0700" w:rsidRDefault="009F0700" w:rsidP="009F0700">
      <w:pPr>
        <w:pStyle w:val="Heading3"/>
        <w:rPr>
          <w:rFonts w:eastAsia="Times New Roman"/>
          <w:u w:val="single"/>
        </w:rPr>
      </w:pPr>
      <w:r w:rsidRPr="009F0700">
        <w:rPr>
          <w:rFonts w:eastAsia="Times New Roman"/>
          <w:u w:val="single"/>
          <w:lang w:eastAsia="bg-BG"/>
        </w:rPr>
        <w:t>Дозировка</w:t>
      </w:r>
    </w:p>
    <w:p w14:paraId="5A0D470E" w14:textId="77777777" w:rsidR="009F0700" w:rsidRPr="009F0700" w:rsidRDefault="009F0700" w:rsidP="009F0700">
      <w:pPr>
        <w:spacing w:line="240" w:lineRule="auto"/>
        <w:rPr>
          <w:rFonts w:eastAsia="Times New Roman" w:cs="Arial"/>
          <w:sz w:val="24"/>
          <w:szCs w:val="24"/>
        </w:rPr>
      </w:pPr>
      <w:r w:rsidRPr="009F0700">
        <w:rPr>
          <w:rFonts w:eastAsia="Times New Roman" w:cs="Arial"/>
          <w:color w:val="000000"/>
          <w:lang w:eastAsia="bg-BG"/>
        </w:rPr>
        <w:t xml:space="preserve">Препоръчваната начална доза е 30 </w:t>
      </w:r>
      <w:r w:rsidRPr="009F0700">
        <w:rPr>
          <w:rFonts w:eastAsia="Times New Roman" w:cs="Arial"/>
          <w:color w:val="000000"/>
          <w:lang w:val="en-US"/>
        </w:rPr>
        <w:t xml:space="preserve">mg </w:t>
      </w:r>
      <w:r w:rsidRPr="009F0700">
        <w:rPr>
          <w:rFonts w:eastAsia="Times New Roman" w:cs="Arial"/>
          <w:color w:val="000000"/>
          <w:lang w:eastAsia="bg-BG"/>
        </w:rPr>
        <w:t>дневно.</w:t>
      </w:r>
    </w:p>
    <w:p w14:paraId="4A6BB828" w14:textId="77777777" w:rsidR="009F0700" w:rsidRPr="009F0700" w:rsidRDefault="009F0700" w:rsidP="009F0700">
      <w:pPr>
        <w:spacing w:line="240" w:lineRule="auto"/>
        <w:rPr>
          <w:rFonts w:eastAsia="Times New Roman" w:cs="Arial"/>
          <w:sz w:val="24"/>
          <w:szCs w:val="24"/>
        </w:rPr>
      </w:pPr>
      <w:r w:rsidRPr="009F0700">
        <w:rPr>
          <w:rFonts w:eastAsia="Times New Roman" w:cs="Arial"/>
          <w:color w:val="000000"/>
          <w:lang w:eastAsia="bg-BG"/>
        </w:rPr>
        <w:t>В случай, че кръвната захар е ефективно контролирана, тази доза може да се използва за поддържаща терапия.</w:t>
      </w:r>
    </w:p>
    <w:p w14:paraId="2184A8BB" w14:textId="77777777" w:rsidR="009F0700" w:rsidRPr="009F0700" w:rsidRDefault="009F0700" w:rsidP="009F0700">
      <w:pPr>
        <w:spacing w:line="240" w:lineRule="auto"/>
        <w:rPr>
          <w:rFonts w:eastAsia="Times New Roman" w:cs="Arial"/>
          <w:sz w:val="24"/>
          <w:szCs w:val="24"/>
        </w:rPr>
      </w:pPr>
      <w:r w:rsidRPr="009F0700">
        <w:rPr>
          <w:rFonts w:eastAsia="Times New Roman" w:cs="Arial"/>
          <w:color w:val="000000"/>
          <w:lang w:eastAsia="bg-BG"/>
        </w:rPr>
        <w:t xml:space="preserve">Ако кръвната захар не е адекватно контролирана, дозата може да бъде последователно, на стъпки повишена до 60, 90 или 120 </w:t>
      </w:r>
      <w:r w:rsidRPr="009F0700">
        <w:rPr>
          <w:rFonts w:eastAsia="Times New Roman" w:cs="Arial"/>
          <w:color w:val="000000"/>
          <w:lang w:val="en-US"/>
        </w:rPr>
        <w:t xml:space="preserve">mg </w:t>
      </w:r>
      <w:r w:rsidRPr="009F0700">
        <w:rPr>
          <w:rFonts w:eastAsia="Times New Roman" w:cs="Arial"/>
          <w:color w:val="000000"/>
          <w:lang w:eastAsia="bg-BG"/>
        </w:rPr>
        <w:t>дневно. Интервалът между всяко повишаване на дозата трябва да бъде най-малко 1 месец, изключение правят пациентите, чиято кръвна захар не намалява след двуседмична терапия. При такива случаи дозата може да бъде повишена в края на втората седмица от лечението.</w:t>
      </w:r>
    </w:p>
    <w:p w14:paraId="7949CB5F" w14:textId="77777777" w:rsidR="009F0700" w:rsidRPr="009F0700" w:rsidRDefault="009F0700" w:rsidP="009F0700">
      <w:pPr>
        <w:spacing w:line="240" w:lineRule="auto"/>
        <w:rPr>
          <w:rFonts w:eastAsia="Times New Roman" w:cs="Arial"/>
          <w:sz w:val="24"/>
          <w:szCs w:val="24"/>
        </w:rPr>
      </w:pPr>
      <w:r w:rsidRPr="009F0700">
        <w:rPr>
          <w:rFonts w:eastAsia="Times New Roman" w:cs="Arial"/>
          <w:color w:val="000000"/>
          <w:lang w:eastAsia="bg-BG"/>
        </w:rPr>
        <w:t xml:space="preserve">Максималната препоръчвана доза е 120 </w:t>
      </w:r>
      <w:r w:rsidRPr="009F0700">
        <w:rPr>
          <w:rFonts w:eastAsia="Times New Roman" w:cs="Arial"/>
          <w:color w:val="000000"/>
          <w:lang w:val="en-US"/>
        </w:rPr>
        <w:t>mg.</w:t>
      </w:r>
    </w:p>
    <w:p w14:paraId="5CB78BB2" w14:textId="77777777" w:rsidR="009F0700" w:rsidRPr="009F0700" w:rsidRDefault="009F0700" w:rsidP="009F0700">
      <w:pPr>
        <w:spacing w:line="240" w:lineRule="auto"/>
        <w:rPr>
          <w:rFonts w:eastAsia="Times New Roman" w:cs="Arial"/>
          <w:i/>
          <w:iCs/>
          <w:color w:val="000000"/>
          <w:u w:val="single"/>
          <w:lang w:eastAsia="bg-BG"/>
        </w:rPr>
      </w:pPr>
    </w:p>
    <w:p w14:paraId="1F0BF99E" w14:textId="1121E76A" w:rsidR="009F0700" w:rsidRPr="009F0700" w:rsidRDefault="009F0700" w:rsidP="009F0700">
      <w:pPr>
        <w:spacing w:line="240" w:lineRule="auto"/>
        <w:rPr>
          <w:rFonts w:eastAsia="Times New Roman" w:cs="Arial"/>
          <w:sz w:val="24"/>
          <w:szCs w:val="24"/>
        </w:rPr>
      </w:pPr>
      <w:r w:rsidRPr="009F0700">
        <w:rPr>
          <w:rFonts w:eastAsia="Times New Roman" w:cs="Arial"/>
          <w:i/>
          <w:iCs/>
          <w:color w:val="000000"/>
          <w:u w:val="single"/>
          <w:lang w:eastAsia="bg-BG"/>
        </w:rPr>
        <w:t xml:space="preserve">Преминаване от гликлазид 80 </w:t>
      </w:r>
      <w:r w:rsidRPr="009F0700">
        <w:rPr>
          <w:rFonts w:eastAsia="Times New Roman" w:cs="Arial"/>
          <w:i/>
          <w:iCs/>
          <w:color w:val="000000"/>
          <w:u w:val="single"/>
          <w:lang w:val="en-US"/>
        </w:rPr>
        <w:t xml:space="preserve">mg </w:t>
      </w:r>
      <w:r w:rsidRPr="009F0700">
        <w:rPr>
          <w:rFonts w:eastAsia="Times New Roman" w:cs="Arial"/>
          <w:i/>
          <w:iCs/>
          <w:color w:val="000000"/>
          <w:u w:val="single"/>
          <w:lang w:eastAsia="bg-BG"/>
        </w:rPr>
        <w:t xml:space="preserve">(таблетки с незабавно освобождаване) към гликлазид 30 </w:t>
      </w:r>
      <w:r w:rsidRPr="009F0700">
        <w:rPr>
          <w:rFonts w:eastAsia="Times New Roman" w:cs="Arial"/>
          <w:i/>
          <w:iCs/>
          <w:color w:val="000000"/>
          <w:u w:val="single"/>
          <w:lang w:val="en-US"/>
        </w:rPr>
        <w:t xml:space="preserve">mg </w:t>
      </w:r>
      <w:r w:rsidRPr="009F0700">
        <w:rPr>
          <w:rFonts w:eastAsia="Times New Roman" w:cs="Arial"/>
          <w:i/>
          <w:iCs/>
          <w:color w:val="000000"/>
          <w:u w:val="single"/>
          <w:lang w:eastAsia="bg-BG"/>
        </w:rPr>
        <w:t>таблетки с удължено освобождаване</w:t>
      </w:r>
    </w:p>
    <w:p w14:paraId="2973F0DA" w14:textId="77777777" w:rsidR="009F0700" w:rsidRPr="009F0700" w:rsidRDefault="009F0700" w:rsidP="009F0700">
      <w:pPr>
        <w:spacing w:line="240" w:lineRule="auto"/>
        <w:rPr>
          <w:rFonts w:eastAsia="Times New Roman" w:cs="Arial"/>
          <w:sz w:val="24"/>
          <w:szCs w:val="24"/>
        </w:rPr>
      </w:pPr>
      <w:r w:rsidRPr="009F0700">
        <w:rPr>
          <w:rFonts w:eastAsia="Times New Roman" w:cs="Arial"/>
          <w:color w:val="000000"/>
          <w:lang w:eastAsia="bg-BG"/>
        </w:rPr>
        <w:t xml:space="preserve">Една таблетка гликлазид от 80 </w:t>
      </w:r>
      <w:r w:rsidRPr="009F0700">
        <w:rPr>
          <w:rFonts w:eastAsia="Times New Roman" w:cs="Arial"/>
          <w:color w:val="000000"/>
          <w:lang w:val="en-US"/>
        </w:rPr>
        <w:t xml:space="preserve">mg </w:t>
      </w:r>
      <w:r w:rsidRPr="009F0700">
        <w:rPr>
          <w:rFonts w:eastAsia="Times New Roman" w:cs="Arial"/>
          <w:color w:val="000000"/>
          <w:lang w:eastAsia="bg-BG"/>
        </w:rPr>
        <w:t xml:space="preserve">с незабавно освобождаване е равностойна на 1 таблетка с удължено освобождаване, съдържаща 30 </w:t>
      </w:r>
      <w:r w:rsidRPr="009F0700">
        <w:rPr>
          <w:rFonts w:eastAsia="Times New Roman" w:cs="Arial"/>
          <w:color w:val="000000"/>
          <w:lang w:val="en-US"/>
        </w:rPr>
        <w:t xml:space="preserve">mg </w:t>
      </w:r>
      <w:r w:rsidRPr="009F0700">
        <w:rPr>
          <w:rFonts w:eastAsia="Times New Roman" w:cs="Arial"/>
          <w:color w:val="000000"/>
          <w:lang w:eastAsia="bg-BG"/>
        </w:rPr>
        <w:t>гликлазид. Следователно, преминаването може да се извърши при внимателно проследяване на кръвната захар.</w:t>
      </w:r>
    </w:p>
    <w:p w14:paraId="5D7C0519" w14:textId="77777777" w:rsidR="009F0700" w:rsidRPr="009F0700" w:rsidRDefault="009F0700" w:rsidP="009F0700">
      <w:pPr>
        <w:spacing w:line="240" w:lineRule="auto"/>
        <w:rPr>
          <w:rFonts w:eastAsia="Times New Roman" w:cs="Arial"/>
          <w:i/>
          <w:iCs/>
          <w:color w:val="000000"/>
          <w:u w:val="single"/>
          <w:lang w:eastAsia="bg-BG"/>
        </w:rPr>
      </w:pPr>
    </w:p>
    <w:p w14:paraId="5FEB957D" w14:textId="087722BB" w:rsidR="009F0700" w:rsidRPr="009F0700" w:rsidRDefault="009F0700" w:rsidP="009F0700">
      <w:pPr>
        <w:spacing w:line="240" w:lineRule="auto"/>
        <w:rPr>
          <w:rFonts w:eastAsia="Times New Roman" w:cs="Arial"/>
          <w:sz w:val="24"/>
          <w:szCs w:val="24"/>
        </w:rPr>
      </w:pPr>
      <w:r w:rsidRPr="009F0700">
        <w:rPr>
          <w:rFonts w:eastAsia="Times New Roman" w:cs="Arial"/>
          <w:i/>
          <w:iCs/>
          <w:color w:val="000000"/>
          <w:u w:val="single"/>
          <w:lang w:eastAsia="bg-BG"/>
        </w:rPr>
        <w:lastRenderedPageBreak/>
        <w:t xml:space="preserve">Преминаване от друг перорален антидиабетен продукт към гликлазид 30 </w:t>
      </w:r>
      <w:r w:rsidRPr="009F0700">
        <w:rPr>
          <w:rFonts w:eastAsia="Times New Roman" w:cs="Arial"/>
          <w:i/>
          <w:iCs/>
          <w:color w:val="000000"/>
          <w:u w:val="single"/>
          <w:lang w:val="en-US"/>
        </w:rPr>
        <w:t xml:space="preserve">mg </w:t>
      </w:r>
      <w:r w:rsidRPr="009F0700">
        <w:rPr>
          <w:rFonts w:eastAsia="Times New Roman" w:cs="Arial"/>
          <w:i/>
          <w:iCs/>
          <w:color w:val="000000"/>
          <w:u w:val="single"/>
          <w:lang w:eastAsia="bg-BG"/>
        </w:rPr>
        <w:t>таблетки с удължено освобождаване</w:t>
      </w:r>
    </w:p>
    <w:p w14:paraId="6BD2C263" w14:textId="77777777" w:rsidR="009F0700" w:rsidRPr="009F0700" w:rsidRDefault="009F0700" w:rsidP="009F0700">
      <w:pPr>
        <w:spacing w:line="240" w:lineRule="auto"/>
        <w:rPr>
          <w:rFonts w:eastAsia="Times New Roman" w:cs="Arial"/>
          <w:sz w:val="24"/>
          <w:szCs w:val="24"/>
        </w:rPr>
      </w:pPr>
      <w:r w:rsidRPr="009F0700">
        <w:rPr>
          <w:rFonts w:eastAsia="Times New Roman" w:cs="Arial"/>
          <w:color w:val="000000"/>
          <w:lang w:eastAsia="bg-BG"/>
        </w:rPr>
        <w:t xml:space="preserve">Гликлазид 30 </w:t>
      </w:r>
      <w:r w:rsidRPr="009F0700">
        <w:rPr>
          <w:rFonts w:eastAsia="Times New Roman" w:cs="Arial"/>
          <w:color w:val="000000"/>
          <w:lang w:val="en-US"/>
        </w:rPr>
        <w:t xml:space="preserve">mg </w:t>
      </w:r>
      <w:r w:rsidRPr="009F0700">
        <w:rPr>
          <w:rFonts w:eastAsia="Times New Roman" w:cs="Arial"/>
          <w:color w:val="000000"/>
          <w:lang w:eastAsia="bg-BG"/>
        </w:rPr>
        <w:t>таблетки с удължено освобождаване може да замести други антидиабетни продукти.</w:t>
      </w:r>
    </w:p>
    <w:p w14:paraId="18624E34" w14:textId="77777777" w:rsidR="009F0700" w:rsidRPr="009F0700" w:rsidRDefault="009F0700" w:rsidP="009F0700">
      <w:pPr>
        <w:spacing w:line="240" w:lineRule="auto"/>
        <w:rPr>
          <w:rFonts w:eastAsia="Times New Roman" w:cs="Arial"/>
          <w:color w:val="000000"/>
          <w:lang w:eastAsia="bg-BG"/>
        </w:rPr>
      </w:pPr>
    </w:p>
    <w:p w14:paraId="271EC657" w14:textId="77777777" w:rsidR="009F0700" w:rsidRPr="009F0700" w:rsidRDefault="009F0700" w:rsidP="009F0700">
      <w:pPr>
        <w:rPr>
          <w:rFonts w:eastAsia="Times New Roman" w:cs="Arial"/>
          <w:sz w:val="24"/>
          <w:szCs w:val="24"/>
        </w:rPr>
      </w:pPr>
      <w:r w:rsidRPr="009F0700">
        <w:rPr>
          <w:rFonts w:eastAsia="Times New Roman" w:cs="Arial"/>
          <w:color w:val="000000"/>
          <w:lang w:eastAsia="bg-BG"/>
        </w:rPr>
        <w:t xml:space="preserve">При преминаването към гликлазид 30 </w:t>
      </w:r>
      <w:r w:rsidRPr="009F0700">
        <w:rPr>
          <w:rFonts w:eastAsia="Times New Roman" w:cs="Arial"/>
          <w:color w:val="000000"/>
          <w:lang w:val="en-US"/>
        </w:rPr>
        <w:t xml:space="preserve">mg </w:t>
      </w:r>
      <w:r w:rsidRPr="009F0700">
        <w:rPr>
          <w:rFonts w:eastAsia="Times New Roman" w:cs="Arial"/>
          <w:color w:val="000000"/>
          <w:lang w:eastAsia="bg-BG"/>
        </w:rPr>
        <w:t>таблетки с удължено освобождаване трябва да се вземат под внимание дозировката и плазменият полуживот на предходния антидиабетен</w:t>
      </w:r>
      <w:r w:rsidRPr="009F0700">
        <w:rPr>
          <w:rFonts w:eastAsia="Times New Roman" w:cs="Arial"/>
          <w:i/>
          <w:iCs/>
          <w:color w:val="000000"/>
          <w:lang w:eastAsia="bg-BG"/>
        </w:rPr>
        <w:t xml:space="preserve"> </w:t>
      </w:r>
      <w:r w:rsidRPr="009F0700">
        <w:rPr>
          <w:rFonts w:eastAsia="Times New Roman" w:cs="Arial"/>
          <w:color w:val="000000"/>
          <w:lang w:eastAsia="bg-BG"/>
        </w:rPr>
        <w:t>продукт. Обикновено не е необходим преходен период. Трябва да се прилага начална доза от 30</w:t>
      </w:r>
      <w:r w:rsidRPr="009F0700">
        <w:rPr>
          <w:rFonts w:eastAsia="Times New Roman" w:cs="Arial"/>
          <w:smallCaps/>
          <w:color w:val="000000"/>
          <w:lang w:val="en-US"/>
        </w:rPr>
        <w:t xml:space="preserve"> </w:t>
      </w:r>
      <w:r w:rsidRPr="009F0700">
        <w:rPr>
          <w:rFonts w:eastAsia="Times New Roman" w:cs="Arial"/>
          <w:color w:val="000000"/>
          <w:lang w:val="en-US"/>
        </w:rPr>
        <w:t xml:space="preserve">mg </w:t>
      </w:r>
      <w:r w:rsidRPr="009F0700">
        <w:rPr>
          <w:rFonts w:eastAsia="Times New Roman" w:cs="Arial"/>
          <w:color w:val="000000"/>
          <w:lang w:eastAsia="bg-BG"/>
        </w:rPr>
        <w:t xml:space="preserve">и тя трябва да се коригира според промените на кръвната захар на пациента, както е описано по-горе. Ако се преминава от сулфанилуреен хипогликемичен лекарствен продукт с удължен полуживот, е необходимо пациентът да остане няколко дни без терапия, за да се избегне адитивният ефект на двата продукта, който може да причини хипогликемия. При преминаване към гликлазид 30 </w:t>
      </w:r>
      <w:r w:rsidRPr="009F0700">
        <w:rPr>
          <w:rFonts w:eastAsia="Times New Roman" w:cs="Arial"/>
          <w:color w:val="000000"/>
          <w:lang w:val="en-US"/>
        </w:rPr>
        <w:t xml:space="preserve">mg </w:t>
      </w:r>
      <w:r w:rsidRPr="009F0700">
        <w:rPr>
          <w:rFonts w:eastAsia="Times New Roman" w:cs="Arial"/>
          <w:color w:val="000000"/>
          <w:lang w:eastAsia="bg-BG"/>
        </w:rPr>
        <w:t xml:space="preserve">таблетки с удължено освобождаване трябва да се използва описаната процедура за въвеждащото лечение, т.е. начална доза от 30 </w:t>
      </w:r>
      <w:r w:rsidRPr="009F0700">
        <w:rPr>
          <w:rFonts w:eastAsia="Times New Roman" w:cs="Arial"/>
          <w:color w:val="000000"/>
          <w:lang w:val="en-US"/>
        </w:rPr>
        <w:t xml:space="preserve">mg </w:t>
      </w:r>
      <w:r w:rsidRPr="009F0700">
        <w:rPr>
          <w:rFonts w:eastAsia="Times New Roman" w:cs="Arial"/>
          <w:color w:val="000000"/>
          <w:lang w:eastAsia="bg-BG"/>
        </w:rPr>
        <w:t>дневно и в зависимост от метаболитния отговор - последващо постепенно увеличаване на дозата.</w:t>
      </w:r>
    </w:p>
    <w:p w14:paraId="6831F385" w14:textId="77777777" w:rsidR="009F0700" w:rsidRPr="009F0700" w:rsidRDefault="009F0700" w:rsidP="009F0700">
      <w:pPr>
        <w:spacing w:line="240" w:lineRule="auto"/>
        <w:rPr>
          <w:rFonts w:eastAsia="Times New Roman" w:cs="Arial"/>
          <w:i/>
          <w:iCs/>
          <w:color w:val="000000"/>
          <w:u w:val="single"/>
          <w:lang w:eastAsia="bg-BG"/>
        </w:rPr>
      </w:pPr>
    </w:p>
    <w:p w14:paraId="62ABAE27" w14:textId="60E910AF" w:rsidR="009F0700" w:rsidRPr="009F0700" w:rsidRDefault="009F0700" w:rsidP="009F0700">
      <w:pPr>
        <w:spacing w:line="240" w:lineRule="auto"/>
        <w:rPr>
          <w:rFonts w:eastAsia="Times New Roman" w:cs="Arial"/>
          <w:sz w:val="24"/>
          <w:szCs w:val="24"/>
        </w:rPr>
      </w:pPr>
      <w:r w:rsidRPr="009F0700">
        <w:rPr>
          <w:rFonts w:eastAsia="Times New Roman" w:cs="Arial"/>
          <w:i/>
          <w:iCs/>
          <w:color w:val="000000"/>
          <w:u w:val="single"/>
          <w:lang w:eastAsia="bg-BG"/>
        </w:rPr>
        <w:t>Комбинирано прилагане с други перорални антидиабетни продукти</w:t>
      </w:r>
    </w:p>
    <w:p w14:paraId="6F44F0FF" w14:textId="77777777" w:rsidR="009F0700" w:rsidRPr="009F0700" w:rsidRDefault="009F0700" w:rsidP="009F0700">
      <w:pPr>
        <w:spacing w:line="240" w:lineRule="auto"/>
        <w:rPr>
          <w:rFonts w:eastAsia="Times New Roman" w:cs="Arial"/>
          <w:sz w:val="24"/>
          <w:szCs w:val="24"/>
        </w:rPr>
      </w:pPr>
      <w:r w:rsidRPr="009F0700">
        <w:rPr>
          <w:rFonts w:eastAsia="Times New Roman" w:cs="Arial"/>
          <w:color w:val="000000"/>
          <w:lang w:eastAsia="bg-BG"/>
        </w:rPr>
        <w:t xml:space="preserve">Гликлазид 30 </w:t>
      </w:r>
      <w:r w:rsidRPr="009F0700">
        <w:rPr>
          <w:rFonts w:eastAsia="Times New Roman" w:cs="Arial"/>
          <w:color w:val="000000"/>
          <w:lang w:val="en-US"/>
        </w:rPr>
        <w:t xml:space="preserve">mg </w:t>
      </w:r>
      <w:r w:rsidRPr="009F0700">
        <w:rPr>
          <w:rFonts w:eastAsia="Times New Roman" w:cs="Arial"/>
          <w:color w:val="000000"/>
          <w:lang w:eastAsia="bg-BG"/>
        </w:rPr>
        <w:t>таблетки с удължено освобождаване може да се назначава в комбинация с бигваниди, инхибитори на алфа-глюкозидазата или инсулин.</w:t>
      </w:r>
    </w:p>
    <w:p w14:paraId="42DE56E1" w14:textId="77777777" w:rsidR="009F0700" w:rsidRPr="009F0700" w:rsidRDefault="009F0700" w:rsidP="009F0700">
      <w:pPr>
        <w:spacing w:line="240" w:lineRule="auto"/>
        <w:rPr>
          <w:rFonts w:eastAsia="Times New Roman" w:cs="Arial"/>
          <w:sz w:val="24"/>
          <w:szCs w:val="24"/>
        </w:rPr>
      </w:pPr>
      <w:r w:rsidRPr="009F0700">
        <w:rPr>
          <w:rFonts w:eastAsia="Times New Roman" w:cs="Arial"/>
          <w:color w:val="000000"/>
          <w:lang w:eastAsia="bg-BG"/>
        </w:rPr>
        <w:t xml:space="preserve">При пациенти, които не са адекватно контролирани с гликлазид 30 </w:t>
      </w:r>
      <w:r w:rsidRPr="009F0700">
        <w:rPr>
          <w:rFonts w:eastAsia="Times New Roman" w:cs="Arial"/>
          <w:color w:val="000000"/>
          <w:lang w:val="en-US"/>
        </w:rPr>
        <w:t xml:space="preserve">mg </w:t>
      </w:r>
      <w:r w:rsidRPr="009F0700">
        <w:rPr>
          <w:rFonts w:eastAsia="Times New Roman" w:cs="Arial"/>
          <w:color w:val="000000"/>
          <w:lang w:eastAsia="bg-BG"/>
        </w:rPr>
        <w:t>таблетки с удължено освобождаване, едновременно лечение с инсулин може да бъде започнато под внимателно лекарско наблюдение.</w:t>
      </w:r>
    </w:p>
    <w:p w14:paraId="407B8706" w14:textId="77777777" w:rsidR="009F0700" w:rsidRPr="009F0700" w:rsidRDefault="009F0700" w:rsidP="009F0700">
      <w:pPr>
        <w:spacing w:line="240" w:lineRule="auto"/>
        <w:rPr>
          <w:rFonts w:eastAsia="Times New Roman" w:cs="Arial"/>
          <w:i/>
          <w:iCs/>
          <w:color w:val="000000"/>
          <w:u w:val="single"/>
          <w:lang w:eastAsia="bg-BG"/>
        </w:rPr>
      </w:pPr>
    </w:p>
    <w:p w14:paraId="66B7D379" w14:textId="66E37E92" w:rsidR="009F0700" w:rsidRPr="009F0700" w:rsidRDefault="009F0700" w:rsidP="009F0700">
      <w:pPr>
        <w:spacing w:line="240" w:lineRule="auto"/>
        <w:rPr>
          <w:rFonts w:eastAsia="Times New Roman" w:cs="Arial"/>
          <w:sz w:val="24"/>
          <w:szCs w:val="24"/>
        </w:rPr>
      </w:pPr>
      <w:r w:rsidRPr="009F0700">
        <w:rPr>
          <w:rFonts w:eastAsia="Times New Roman" w:cs="Arial"/>
          <w:i/>
          <w:iCs/>
          <w:color w:val="000000"/>
          <w:u w:val="single"/>
          <w:lang w:eastAsia="bg-BG"/>
        </w:rPr>
        <w:t>Пациенти в старческа възраст</w:t>
      </w:r>
    </w:p>
    <w:p w14:paraId="3538ABB7" w14:textId="0646D845" w:rsidR="009F0700" w:rsidRPr="009F0700" w:rsidRDefault="009F0700" w:rsidP="009F0700">
      <w:pPr>
        <w:spacing w:line="240" w:lineRule="auto"/>
        <w:rPr>
          <w:rFonts w:eastAsia="Times New Roman" w:cs="Arial"/>
          <w:sz w:val="24"/>
          <w:szCs w:val="24"/>
        </w:rPr>
      </w:pPr>
      <w:r w:rsidRPr="009F0700">
        <w:rPr>
          <w:rFonts w:eastAsia="Times New Roman" w:cs="Arial"/>
          <w:color w:val="000000"/>
          <w:lang w:eastAsia="bg-BG"/>
        </w:rPr>
        <w:t xml:space="preserve">Гликлазид 30 </w:t>
      </w:r>
      <w:r w:rsidRPr="009F0700">
        <w:rPr>
          <w:rFonts w:eastAsia="Times New Roman" w:cs="Arial"/>
          <w:color w:val="000000"/>
          <w:lang w:val="en-US"/>
        </w:rPr>
        <w:t xml:space="preserve">mg </w:t>
      </w:r>
      <w:r w:rsidRPr="009F0700">
        <w:rPr>
          <w:rFonts w:eastAsia="Times New Roman" w:cs="Arial"/>
          <w:color w:val="000000"/>
          <w:lang w:eastAsia="bg-BG"/>
        </w:rPr>
        <w:t>таблетки с удължено освобождаване трябва да се предписва в същия дозов режим, препоръчван за пациенти на възраст под 65 години.</w:t>
      </w:r>
    </w:p>
    <w:p w14:paraId="045FC593" w14:textId="77777777" w:rsidR="009F0700" w:rsidRPr="009F0700" w:rsidRDefault="009F0700" w:rsidP="009F0700">
      <w:pPr>
        <w:spacing w:line="240" w:lineRule="auto"/>
        <w:rPr>
          <w:rFonts w:eastAsia="Times New Roman" w:cs="Arial"/>
          <w:i/>
          <w:iCs/>
          <w:color w:val="000000"/>
          <w:u w:val="single"/>
          <w:lang w:eastAsia="bg-BG"/>
        </w:rPr>
      </w:pPr>
    </w:p>
    <w:p w14:paraId="5A204E64" w14:textId="5DF7BECE" w:rsidR="009F0700" w:rsidRPr="009F0700" w:rsidRDefault="009F0700" w:rsidP="009F0700">
      <w:pPr>
        <w:spacing w:line="240" w:lineRule="auto"/>
        <w:rPr>
          <w:rFonts w:eastAsia="Times New Roman" w:cs="Arial"/>
          <w:sz w:val="24"/>
          <w:szCs w:val="24"/>
        </w:rPr>
      </w:pPr>
      <w:r w:rsidRPr="009F0700">
        <w:rPr>
          <w:rFonts w:eastAsia="Times New Roman" w:cs="Arial"/>
          <w:i/>
          <w:iCs/>
          <w:color w:val="000000"/>
          <w:u w:val="single"/>
          <w:lang w:eastAsia="bg-BG"/>
        </w:rPr>
        <w:t>Пациенти с лека до умерена бъбречна недостатъчност</w:t>
      </w:r>
    </w:p>
    <w:p w14:paraId="246C3409" w14:textId="77777777" w:rsidR="009F0700" w:rsidRPr="009F0700" w:rsidRDefault="009F0700" w:rsidP="009F0700">
      <w:pPr>
        <w:spacing w:line="240" w:lineRule="auto"/>
        <w:rPr>
          <w:rFonts w:eastAsia="Times New Roman" w:cs="Arial"/>
          <w:sz w:val="24"/>
          <w:szCs w:val="24"/>
        </w:rPr>
      </w:pPr>
      <w:r w:rsidRPr="009F0700">
        <w:rPr>
          <w:rFonts w:eastAsia="Times New Roman" w:cs="Arial"/>
          <w:color w:val="000000"/>
          <w:lang w:eastAsia="bg-BG"/>
        </w:rPr>
        <w:t>Продуктът може да се използва при същия дозов режим, препоръчван за пациенти с нормална функция на бъбреците, при внимателно проследяване на пациента. Тези данни са потвърдени при клинични проучвания.</w:t>
      </w:r>
    </w:p>
    <w:p w14:paraId="3A2809A6" w14:textId="77777777" w:rsidR="009F0700" w:rsidRPr="009F0700" w:rsidRDefault="009F0700" w:rsidP="009F0700">
      <w:pPr>
        <w:spacing w:line="240" w:lineRule="auto"/>
        <w:rPr>
          <w:rFonts w:eastAsia="Times New Roman" w:cs="Arial"/>
          <w:i/>
          <w:iCs/>
          <w:color w:val="000000"/>
          <w:u w:val="single"/>
          <w:lang w:eastAsia="bg-BG"/>
        </w:rPr>
      </w:pPr>
    </w:p>
    <w:p w14:paraId="661511B6" w14:textId="692B389F" w:rsidR="009F0700" w:rsidRPr="009F0700" w:rsidRDefault="009F0700" w:rsidP="009F0700">
      <w:pPr>
        <w:spacing w:line="240" w:lineRule="auto"/>
        <w:rPr>
          <w:rFonts w:eastAsia="Times New Roman" w:cs="Arial"/>
          <w:sz w:val="24"/>
          <w:szCs w:val="24"/>
        </w:rPr>
      </w:pPr>
      <w:r w:rsidRPr="009F0700">
        <w:rPr>
          <w:rFonts w:eastAsia="Times New Roman" w:cs="Arial"/>
          <w:i/>
          <w:iCs/>
          <w:color w:val="000000"/>
          <w:u w:val="single"/>
          <w:lang w:eastAsia="bg-BG"/>
        </w:rPr>
        <w:t>Пациенти с риск от поява на хипогликемия</w:t>
      </w:r>
    </w:p>
    <w:p w14:paraId="51556828" w14:textId="77777777" w:rsidR="009F0700" w:rsidRPr="009F0700" w:rsidRDefault="009F0700" w:rsidP="009F0700">
      <w:pPr>
        <w:spacing w:line="240" w:lineRule="auto"/>
        <w:rPr>
          <w:rFonts w:eastAsia="Times New Roman" w:cs="Arial"/>
          <w:sz w:val="24"/>
          <w:szCs w:val="24"/>
        </w:rPr>
      </w:pPr>
      <w:r w:rsidRPr="009F0700">
        <w:rPr>
          <w:rFonts w:eastAsia="Times New Roman" w:cs="Arial"/>
          <w:color w:val="000000"/>
          <w:lang w:eastAsia="bg-BG"/>
        </w:rPr>
        <w:t>Съществува по-висок риск за проява на хипогликемия при следните случаи:</w:t>
      </w:r>
    </w:p>
    <w:p w14:paraId="548995BB" w14:textId="5109EB83" w:rsidR="009F0700" w:rsidRPr="009F0700" w:rsidRDefault="009F0700" w:rsidP="009F0700">
      <w:pPr>
        <w:pStyle w:val="ListParagraph"/>
        <w:numPr>
          <w:ilvl w:val="0"/>
          <w:numId w:val="32"/>
        </w:numPr>
        <w:spacing w:line="240" w:lineRule="auto"/>
        <w:rPr>
          <w:rFonts w:eastAsia="Times New Roman" w:cs="Arial"/>
          <w:sz w:val="24"/>
          <w:szCs w:val="24"/>
        </w:rPr>
      </w:pPr>
      <w:r w:rsidRPr="009F0700">
        <w:rPr>
          <w:rFonts w:eastAsia="Times New Roman" w:cs="Arial"/>
          <w:color w:val="000000"/>
          <w:lang w:eastAsia="bg-BG"/>
        </w:rPr>
        <w:t>пациенти с недохранване или неправилно хранене;</w:t>
      </w:r>
    </w:p>
    <w:p w14:paraId="3D42008C" w14:textId="6D0A0FF7" w:rsidR="009F0700" w:rsidRPr="009F0700" w:rsidRDefault="009F0700" w:rsidP="009F0700">
      <w:pPr>
        <w:pStyle w:val="ListParagraph"/>
        <w:numPr>
          <w:ilvl w:val="0"/>
          <w:numId w:val="32"/>
        </w:numPr>
        <w:spacing w:line="240" w:lineRule="auto"/>
        <w:rPr>
          <w:rFonts w:eastAsia="Times New Roman" w:cs="Arial"/>
          <w:sz w:val="24"/>
          <w:szCs w:val="24"/>
        </w:rPr>
      </w:pPr>
      <w:r w:rsidRPr="009F0700">
        <w:rPr>
          <w:rFonts w:eastAsia="Times New Roman" w:cs="Arial"/>
          <w:color w:val="000000"/>
          <w:lang w:eastAsia="bg-BG"/>
        </w:rPr>
        <w:t>пациенти с тежки или лошо компенсирани ендокринни заболявания (хипопитуитаризъм, хипотиреоидизъм, адренокортикотропна недостатъчност);</w:t>
      </w:r>
    </w:p>
    <w:p w14:paraId="08557E4D" w14:textId="77777777" w:rsidR="009F0700" w:rsidRPr="009F0700" w:rsidRDefault="009F0700" w:rsidP="009F0700">
      <w:pPr>
        <w:pStyle w:val="ListParagraph"/>
        <w:numPr>
          <w:ilvl w:val="0"/>
          <w:numId w:val="32"/>
        </w:numPr>
        <w:spacing w:line="240" w:lineRule="auto"/>
        <w:rPr>
          <w:rFonts w:eastAsia="Times New Roman" w:cs="Arial"/>
          <w:sz w:val="24"/>
          <w:szCs w:val="24"/>
        </w:rPr>
      </w:pPr>
      <w:r w:rsidRPr="009F0700">
        <w:rPr>
          <w:rFonts w:eastAsia="Times New Roman" w:cs="Arial"/>
          <w:color w:val="000000"/>
          <w:lang w:eastAsia="bg-BG"/>
        </w:rPr>
        <w:t>при спиране на продължителна и/или с високи</w:t>
      </w:r>
      <w:r>
        <w:rPr>
          <w:rFonts w:eastAsia="Times New Roman" w:cs="Arial"/>
          <w:color w:val="000000"/>
          <w:lang w:eastAsia="bg-BG"/>
        </w:rPr>
        <w:t xml:space="preserve"> дози кортикостероидна терапия;</w:t>
      </w:r>
    </w:p>
    <w:p w14:paraId="281BDDFE" w14:textId="7357BF5E" w:rsidR="009F0700" w:rsidRPr="009F0700" w:rsidRDefault="009F0700" w:rsidP="009F0700">
      <w:pPr>
        <w:pStyle w:val="ListParagraph"/>
        <w:numPr>
          <w:ilvl w:val="0"/>
          <w:numId w:val="32"/>
        </w:numPr>
        <w:spacing w:line="240" w:lineRule="auto"/>
        <w:rPr>
          <w:rFonts w:eastAsia="Times New Roman" w:cs="Arial"/>
          <w:sz w:val="24"/>
          <w:szCs w:val="24"/>
        </w:rPr>
      </w:pPr>
      <w:r w:rsidRPr="009F0700">
        <w:rPr>
          <w:rFonts w:eastAsia="Times New Roman" w:cs="Arial"/>
          <w:color w:val="000000"/>
          <w:lang w:eastAsia="bg-BG"/>
        </w:rPr>
        <w:t>тежки съдови заболявания (тежка исхемична болест на сърцето, тежки каротидни увреждания, системни съдови заболявания).</w:t>
      </w:r>
    </w:p>
    <w:p w14:paraId="502018AA" w14:textId="780E0873" w:rsidR="009F0700" w:rsidRPr="009F0700" w:rsidRDefault="009F0700" w:rsidP="009F0700">
      <w:pPr>
        <w:spacing w:line="240" w:lineRule="auto"/>
        <w:rPr>
          <w:rFonts w:eastAsia="Times New Roman" w:cs="Arial"/>
          <w:sz w:val="24"/>
          <w:szCs w:val="24"/>
        </w:rPr>
      </w:pPr>
      <w:r w:rsidRPr="009F0700">
        <w:rPr>
          <w:rFonts w:eastAsia="Times New Roman" w:cs="Arial"/>
          <w:color w:val="000000"/>
          <w:lang w:eastAsia="bg-BG"/>
        </w:rPr>
        <w:t xml:space="preserve">Препоръчва се минималната дневна начална доза да е 30 </w:t>
      </w:r>
      <w:r w:rsidRPr="009F0700">
        <w:rPr>
          <w:rFonts w:eastAsia="Times New Roman" w:cs="Arial"/>
          <w:color w:val="000000"/>
          <w:lang w:val="en-US"/>
        </w:rPr>
        <w:t>mg.</w:t>
      </w:r>
    </w:p>
    <w:p w14:paraId="7E23FAE1" w14:textId="77777777" w:rsidR="009F0700" w:rsidRPr="009F0700" w:rsidRDefault="009F0700" w:rsidP="009F0700">
      <w:pPr>
        <w:spacing w:line="240" w:lineRule="auto"/>
        <w:rPr>
          <w:rFonts w:eastAsia="Times New Roman" w:cs="Arial"/>
          <w:i/>
          <w:iCs/>
          <w:color w:val="000000"/>
          <w:u w:val="single"/>
          <w:lang w:eastAsia="bg-BG"/>
        </w:rPr>
      </w:pPr>
    </w:p>
    <w:p w14:paraId="7A5EFEDB" w14:textId="2D06EFA3" w:rsidR="009F0700" w:rsidRPr="009F0700" w:rsidRDefault="009F0700" w:rsidP="009F0700">
      <w:pPr>
        <w:spacing w:line="240" w:lineRule="auto"/>
        <w:rPr>
          <w:rFonts w:eastAsia="Times New Roman" w:cs="Arial"/>
          <w:sz w:val="24"/>
          <w:szCs w:val="24"/>
        </w:rPr>
      </w:pPr>
      <w:r w:rsidRPr="009F0700">
        <w:rPr>
          <w:rFonts w:eastAsia="Times New Roman" w:cs="Arial"/>
          <w:i/>
          <w:iCs/>
          <w:color w:val="000000"/>
          <w:u w:val="single"/>
          <w:lang w:eastAsia="bg-BG"/>
        </w:rPr>
        <w:t>Педиатрична популация</w:t>
      </w:r>
    </w:p>
    <w:p w14:paraId="2964143E" w14:textId="77777777" w:rsidR="009F0700" w:rsidRPr="009F0700" w:rsidRDefault="009F0700" w:rsidP="009F0700">
      <w:pPr>
        <w:spacing w:line="240" w:lineRule="auto"/>
        <w:rPr>
          <w:rFonts w:eastAsia="Times New Roman" w:cs="Arial"/>
          <w:sz w:val="24"/>
          <w:szCs w:val="24"/>
        </w:rPr>
      </w:pPr>
      <w:r w:rsidRPr="009F0700">
        <w:rPr>
          <w:rFonts w:eastAsia="Times New Roman" w:cs="Arial"/>
          <w:color w:val="000000"/>
          <w:lang w:eastAsia="bg-BG"/>
        </w:rPr>
        <w:t xml:space="preserve">Безопасността и ефикасността на гликлазид 30 </w:t>
      </w:r>
      <w:r w:rsidRPr="009F0700">
        <w:rPr>
          <w:rFonts w:eastAsia="Times New Roman" w:cs="Arial"/>
          <w:color w:val="000000"/>
          <w:lang w:val="en-US"/>
        </w:rPr>
        <w:t xml:space="preserve">mg </w:t>
      </w:r>
      <w:r w:rsidRPr="009F0700">
        <w:rPr>
          <w:rFonts w:eastAsia="Times New Roman" w:cs="Arial"/>
          <w:color w:val="000000"/>
          <w:lang w:eastAsia="bg-BG"/>
        </w:rPr>
        <w:t>при деца и юноши не е установена. Няма данни и клинични проучвания при тази група пациенти.</w:t>
      </w:r>
    </w:p>
    <w:p w14:paraId="0B6F4581" w14:textId="77777777" w:rsidR="009F0700" w:rsidRPr="009F0700" w:rsidRDefault="009F0700" w:rsidP="009F0700">
      <w:pPr>
        <w:spacing w:line="240" w:lineRule="auto"/>
        <w:rPr>
          <w:rFonts w:eastAsia="Times New Roman" w:cs="Arial"/>
          <w:color w:val="000000"/>
          <w:u w:val="single"/>
          <w:lang w:eastAsia="bg-BG"/>
        </w:rPr>
      </w:pPr>
    </w:p>
    <w:p w14:paraId="7F694B96" w14:textId="455C928F" w:rsidR="009F0700" w:rsidRPr="009F0700" w:rsidRDefault="009F0700" w:rsidP="009F0700">
      <w:pPr>
        <w:pStyle w:val="Heading3"/>
        <w:rPr>
          <w:rFonts w:eastAsia="Times New Roman"/>
          <w:u w:val="single"/>
        </w:rPr>
      </w:pPr>
      <w:r w:rsidRPr="009F0700">
        <w:rPr>
          <w:rFonts w:eastAsia="Times New Roman"/>
          <w:u w:val="single"/>
          <w:lang w:eastAsia="bg-BG"/>
        </w:rPr>
        <w:t>Начин на приложение</w:t>
      </w:r>
    </w:p>
    <w:p w14:paraId="0585BB1F" w14:textId="77777777" w:rsidR="009F0700" w:rsidRPr="009F0700" w:rsidRDefault="009F0700" w:rsidP="009F0700">
      <w:pPr>
        <w:spacing w:line="240" w:lineRule="auto"/>
        <w:rPr>
          <w:rFonts w:eastAsia="Times New Roman" w:cs="Arial"/>
          <w:sz w:val="24"/>
          <w:szCs w:val="24"/>
        </w:rPr>
      </w:pPr>
      <w:r w:rsidRPr="009F0700">
        <w:rPr>
          <w:rFonts w:eastAsia="Times New Roman" w:cs="Arial"/>
          <w:color w:val="000000"/>
          <w:lang w:eastAsia="bg-BG"/>
        </w:rPr>
        <w:t>За перорално приложение.</w:t>
      </w:r>
    </w:p>
    <w:p w14:paraId="76685107" w14:textId="77777777" w:rsidR="009F0700" w:rsidRPr="009F0700" w:rsidRDefault="009F0700" w:rsidP="009F0700">
      <w:pPr>
        <w:spacing w:line="240" w:lineRule="auto"/>
        <w:rPr>
          <w:rFonts w:eastAsia="Times New Roman" w:cs="Arial"/>
          <w:sz w:val="24"/>
          <w:szCs w:val="24"/>
        </w:rPr>
      </w:pPr>
      <w:r w:rsidRPr="009F0700">
        <w:rPr>
          <w:rFonts w:eastAsia="Times New Roman" w:cs="Arial"/>
          <w:color w:val="000000"/>
          <w:lang w:eastAsia="bg-BG"/>
        </w:rPr>
        <w:t>Само за възрастни.</w:t>
      </w:r>
    </w:p>
    <w:p w14:paraId="1AF95F4C" w14:textId="77777777" w:rsidR="009F0700" w:rsidRPr="009F0700" w:rsidRDefault="009F0700" w:rsidP="009F0700">
      <w:pPr>
        <w:spacing w:line="240" w:lineRule="auto"/>
        <w:rPr>
          <w:rFonts w:eastAsia="Times New Roman" w:cs="Arial"/>
          <w:sz w:val="24"/>
          <w:szCs w:val="24"/>
        </w:rPr>
      </w:pPr>
      <w:r w:rsidRPr="009F0700">
        <w:rPr>
          <w:rFonts w:eastAsia="Times New Roman" w:cs="Arial"/>
          <w:color w:val="000000"/>
          <w:lang w:eastAsia="bg-BG"/>
        </w:rPr>
        <w:lastRenderedPageBreak/>
        <w:t xml:space="preserve">Дневната доза може да варира от 1 до 4 таблетки дневно, т.е. от 30 </w:t>
      </w:r>
      <w:r w:rsidRPr="009F0700">
        <w:rPr>
          <w:rFonts w:eastAsia="Times New Roman" w:cs="Arial"/>
          <w:color w:val="000000"/>
          <w:lang w:val="en-US"/>
        </w:rPr>
        <w:t xml:space="preserve">mg </w:t>
      </w:r>
      <w:r w:rsidRPr="009F0700">
        <w:rPr>
          <w:rFonts w:eastAsia="Times New Roman" w:cs="Arial"/>
          <w:color w:val="000000"/>
          <w:lang w:eastAsia="bg-BG"/>
        </w:rPr>
        <w:t xml:space="preserve">до 120 </w:t>
      </w:r>
      <w:r w:rsidRPr="009F0700">
        <w:rPr>
          <w:rFonts w:eastAsia="Times New Roman" w:cs="Arial"/>
          <w:color w:val="000000"/>
          <w:lang w:val="en-US"/>
        </w:rPr>
        <w:t xml:space="preserve">mg, </w:t>
      </w:r>
      <w:r w:rsidRPr="009F0700">
        <w:rPr>
          <w:rFonts w:eastAsia="Times New Roman" w:cs="Arial"/>
          <w:color w:val="000000"/>
          <w:lang w:eastAsia="bg-BG"/>
        </w:rPr>
        <w:t>приети перорално като еднократен прием на закуска.</w:t>
      </w:r>
    </w:p>
    <w:p w14:paraId="6BC9B3DC" w14:textId="77777777" w:rsidR="009F0700" w:rsidRPr="009F0700" w:rsidRDefault="009F0700" w:rsidP="009F0700">
      <w:pPr>
        <w:spacing w:line="240" w:lineRule="auto"/>
        <w:rPr>
          <w:rFonts w:eastAsia="Times New Roman" w:cs="Arial"/>
          <w:sz w:val="24"/>
          <w:szCs w:val="24"/>
        </w:rPr>
      </w:pPr>
      <w:r w:rsidRPr="009F0700">
        <w:rPr>
          <w:rFonts w:eastAsia="Times New Roman" w:cs="Arial"/>
          <w:color w:val="000000"/>
          <w:lang w:eastAsia="bg-BG"/>
        </w:rPr>
        <w:t>Препоръчва се таблетката(ите) да се гьлта(т) цяла(и), без да се дъвчи(ат) или чупи(ят).</w:t>
      </w:r>
    </w:p>
    <w:p w14:paraId="0C76A352" w14:textId="52F36DBB" w:rsidR="009F0700" w:rsidRDefault="009F0700" w:rsidP="009F0700">
      <w:pPr>
        <w:spacing w:line="240" w:lineRule="auto"/>
        <w:rPr>
          <w:rFonts w:eastAsia="Times New Roman" w:cs="Arial"/>
          <w:sz w:val="24"/>
          <w:szCs w:val="24"/>
        </w:rPr>
      </w:pPr>
      <w:r w:rsidRPr="009F0700">
        <w:rPr>
          <w:rFonts w:eastAsia="Times New Roman" w:cs="Arial"/>
          <w:color w:val="000000"/>
          <w:lang w:eastAsia="bg-BG"/>
        </w:rPr>
        <w:t xml:space="preserve">Ако се пропусне приемането на доза, то следващия ден не трябва да се увеличава приеманата доза. Както при всички хипогликемични продукти, дозата трябва да се уточни според индивидуалния метаболитен отговор на пациента (кръвна захар, </w:t>
      </w:r>
      <w:proofErr w:type="spellStart"/>
      <w:r w:rsidRPr="009F0700">
        <w:rPr>
          <w:rFonts w:eastAsia="Times New Roman" w:cs="Arial"/>
          <w:color w:val="000000"/>
          <w:lang w:val="en-US"/>
        </w:rPr>
        <w:t>HbAlc</w:t>
      </w:r>
      <w:proofErr w:type="spellEnd"/>
      <w:r w:rsidRPr="009F0700">
        <w:rPr>
          <w:rFonts w:eastAsia="Times New Roman" w:cs="Arial"/>
          <w:color w:val="000000"/>
          <w:lang w:val="en-US"/>
        </w:rPr>
        <w:t>).</w:t>
      </w:r>
    </w:p>
    <w:p w14:paraId="5FC57C84" w14:textId="3646CF23" w:rsidR="009F0700" w:rsidRDefault="009F0700" w:rsidP="009F0700">
      <w:pPr>
        <w:spacing w:line="240" w:lineRule="auto"/>
        <w:rPr>
          <w:rFonts w:eastAsia="Times New Roman" w:cs="Arial"/>
          <w:sz w:val="24"/>
          <w:szCs w:val="24"/>
        </w:rPr>
      </w:pPr>
    </w:p>
    <w:p w14:paraId="55853CDE" w14:textId="77777777" w:rsidR="009F0700" w:rsidRPr="009F0700" w:rsidRDefault="009F0700" w:rsidP="009F0700">
      <w:pPr>
        <w:spacing w:line="240" w:lineRule="auto"/>
        <w:rPr>
          <w:rFonts w:eastAsia="Times New Roman" w:cs="Arial"/>
          <w:sz w:val="24"/>
          <w:szCs w:val="24"/>
        </w:rPr>
      </w:pPr>
    </w:p>
    <w:p w14:paraId="62B13D0B" w14:textId="737CF19A" w:rsidR="00395555" w:rsidRDefault="002C50EE" w:rsidP="008A6AF2">
      <w:pPr>
        <w:pStyle w:val="Heading2"/>
      </w:pPr>
      <w:r>
        <w:t>4.3. Противопоказания</w:t>
      </w:r>
    </w:p>
    <w:p w14:paraId="1B4DA2CC" w14:textId="0C6B3DB6" w:rsidR="009F0700" w:rsidRDefault="009F0700" w:rsidP="009F0700"/>
    <w:p w14:paraId="00B01D79" w14:textId="77777777" w:rsidR="009F0700" w:rsidRPr="009F0700" w:rsidRDefault="009F0700" w:rsidP="009F0700">
      <w:pPr>
        <w:pStyle w:val="ListParagraph"/>
        <w:numPr>
          <w:ilvl w:val="0"/>
          <w:numId w:val="33"/>
        </w:numPr>
        <w:rPr>
          <w:sz w:val="24"/>
          <w:szCs w:val="24"/>
        </w:rPr>
      </w:pPr>
      <w:r w:rsidRPr="009F0700">
        <w:rPr>
          <w:lang w:eastAsia="bg-BG"/>
        </w:rPr>
        <w:t>свръхчувствителност към гликлазид, други сулфанилурейни продукти, сулфона</w:t>
      </w:r>
      <w:r w:rsidRPr="009F0700">
        <w:rPr>
          <w:u w:val="single"/>
          <w:lang w:eastAsia="bg-BG"/>
        </w:rPr>
        <w:t>мид</w:t>
      </w:r>
      <w:r w:rsidRPr="009F0700">
        <w:rPr>
          <w:lang w:eastAsia="bg-BG"/>
        </w:rPr>
        <w:t>и или към някое от помощните вещества, изброени в точка 6.1;</w:t>
      </w:r>
    </w:p>
    <w:p w14:paraId="7F676D91" w14:textId="77777777" w:rsidR="009F0700" w:rsidRPr="009F0700" w:rsidRDefault="009F0700" w:rsidP="009F0700">
      <w:pPr>
        <w:pStyle w:val="ListParagraph"/>
        <w:numPr>
          <w:ilvl w:val="0"/>
          <w:numId w:val="33"/>
        </w:numPr>
        <w:rPr>
          <w:sz w:val="24"/>
          <w:szCs w:val="24"/>
        </w:rPr>
      </w:pPr>
      <w:r w:rsidRPr="009F0700">
        <w:rPr>
          <w:lang w:eastAsia="bg-BG"/>
        </w:rPr>
        <w:t>диабет тип 1;</w:t>
      </w:r>
    </w:p>
    <w:p w14:paraId="3DE33FE0" w14:textId="77777777" w:rsidR="009F0700" w:rsidRPr="009F0700" w:rsidRDefault="009F0700" w:rsidP="009F0700">
      <w:pPr>
        <w:pStyle w:val="ListParagraph"/>
        <w:numPr>
          <w:ilvl w:val="0"/>
          <w:numId w:val="33"/>
        </w:numPr>
        <w:rPr>
          <w:sz w:val="24"/>
          <w:szCs w:val="24"/>
        </w:rPr>
      </w:pPr>
      <w:r w:rsidRPr="009F0700">
        <w:rPr>
          <w:lang w:eastAsia="bg-BG"/>
        </w:rPr>
        <w:t>диабетна прекома и кома, диабетна кетоацидоза;</w:t>
      </w:r>
    </w:p>
    <w:p w14:paraId="52163E7A" w14:textId="77777777" w:rsidR="009F0700" w:rsidRPr="009F0700" w:rsidRDefault="009F0700" w:rsidP="009F0700">
      <w:pPr>
        <w:pStyle w:val="ListParagraph"/>
        <w:numPr>
          <w:ilvl w:val="0"/>
          <w:numId w:val="33"/>
        </w:numPr>
        <w:rPr>
          <w:sz w:val="24"/>
          <w:szCs w:val="24"/>
        </w:rPr>
      </w:pPr>
      <w:r w:rsidRPr="009F0700">
        <w:rPr>
          <w:lang w:eastAsia="bg-BG"/>
        </w:rPr>
        <w:t>тежка бъбречна или чернодробна недостатъчност (при тези случаи се приложение на инсулин);</w:t>
      </w:r>
    </w:p>
    <w:p w14:paraId="3A67C0D0" w14:textId="77777777" w:rsidR="009F0700" w:rsidRPr="009F0700" w:rsidRDefault="009F0700" w:rsidP="009F0700">
      <w:pPr>
        <w:pStyle w:val="ListParagraph"/>
        <w:numPr>
          <w:ilvl w:val="0"/>
          <w:numId w:val="33"/>
        </w:numPr>
        <w:rPr>
          <w:sz w:val="24"/>
          <w:szCs w:val="24"/>
        </w:rPr>
      </w:pPr>
      <w:r w:rsidRPr="009F0700">
        <w:rPr>
          <w:lang w:eastAsia="bg-BG"/>
        </w:rPr>
        <w:t>терапия с миконазол (вж. точка 4.5);</w:t>
      </w:r>
    </w:p>
    <w:p w14:paraId="395CB405" w14:textId="77777777" w:rsidR="009F0700" w:rsidRPr="009F0700" w:rsidRDefault="009F0700" w:rsidP="009F0700">
      <w:pPr>
        <w:pStyle w:val="ListParagraph"/>
        <w:numPr>
          <w:ilvl w:val="0"/>
          <w:numId w:val="33"/>
        </w:numPr>
        <w:rPr>
          <w:sz w:val="24"/>
          <w:szCs w:val="24"/>
        </w:rPr>
      </w:pPr>
      <w:r w:rsidRPr="009F0700">
        <w:rPr>
          <w:lang w:eastAsia="bg-BG"/>
        </w:rPr>
        <w:t>кърмене (вж. точка 4.6).</w:t>
      </w:r>
    </w:p>
    <w:p w14:paraId="092B1B2E" w14:textId="77777777" w:rsidR="009F0700" w:rsidRPr="009F0700" w:rsidRDefault="009F0700" w:rsidP="009F0700"/>
    <w:p w14:paraId="5A4AC413" w14:textId="0AD65579" w:rsidR="00395555" w:rsidRDefault="002C50EE" w:rsidP="008A6AF2">
      <w:pPr>
        <w:pStyle w:val="Heading2"/>
      </w:pPr>
      <w:r>
        <w:t>4.4. Специални предупреждения и предпазни мерки при употреба</w:t>
      </w:r>
    </w:p>
    <w:p w14:paraId="5B99BE86" w14:textId="342F0408" w:rsidR="009F0700" w:rsidRDefault="009F0700" w:rsidP="009F0700"/>
    <w:p w14:paraId="6851FAF3" w14:textId="77777777" w:rsidR="009F0700" w:rsidRPr="009F0700" w:rsidRDefault="009F0700" w:rsidP="009F0700">
      <w:pPr>
        <w:spacing w:line="240" w:lineRule="auto"/>
        <w:rPr>
          <w:rFonts w:eastAsia="Times New Roman" w:cs="Arial"/>
          <w:sz w:val="24"/>
          <w:szCs w:val="24"/>
        </w:rPr>
      </w:pPr>
      <w:r w:rsidRPr="009F0700">
        <w:rPr>
          <w:rFonts w:eastAsia="Times New Roman" w:cs="Arial"/>
          <w:color w:val="000000"/>
          <w:u w:val="single"/>
          <w:lang w:eastAsia="bg-BG"/>
        </w:rPr>
        <w:t>Хипогликемия</w:t>
      </w:r>
    </w:p>
    <w:p w14:paraId="2C152986" w14:textId="77777777" w:rsidR="009F0700" w:rsidRPr="009F0700" w:rsidRDefault="009F0700" w:rsidP="009F0700">
      <w:pPr>
        <w:spacing w:line="240" w:lineRule="auto"/>
        <w:rPr>
          <w:rFonts w:eastAsia="Times New Roman" w:cs="Arial"/>
          <w:sz w:val="24"/>
          <w:szCs w:val="24"/>
        </w:rPr>
      </w:pPr>
      <w:r w:rsidRPr="009F0700">
        <w:rPr>
          <w:rFonts w:eastAsia="Times New Roman" w:cs="Arial"/>
          <w:color w:val="000000"/>
          <w:lang w:eastAsia="bg-BG"/>
        </w:rPr>
        <w:t>Продуктът трябва да се предписва само на пациенти, които се хранят редовно (включително закусват). Важно е пациентите редовно да приемат въглехидрати поради повишения риск от хипогликемия, когато храната се приема късно, когато се консумира недостатъчно количество храна или когато храната е бедна на въглехидрати. Хипогликемията се проявява понякога по време на нискокалорични диети, след продължително или усилено физическо натоварване, употреба на алкохол или в случай на комбинирано прилагане на хипогликемични продукти. Хипогликемия може да се прояви след прилагане на сулфанилурейни продукти (вж. точка 4.8). Някои случаи могат да бъдат тежки и продължителни. Може да се наложи хоспитализация и прилагането на глкжоза да продължи няколко дни.</w:t>
      </w:r>
    </w:p>
    <w:p w14:paraId="42E6CD13" w14:textId="77777777" w:rsidR="009F0700" w:rsidRPr="009F0700" w:rsidRDefault="009F0700" w:rsidP="009F0700">
      <w:pPr>
        <w:spacing w:line="240" w:lineRule="auto"/>
        <w:rPr>
          <w:rFonts w:eastAsia="Times New Roman" w:cs="Arial"/>
          <w:sz w:val="24"/>
          <w:szCs w:val="24"/>
        </w:rPr>
      </w:pPr>
      <w:r w:rsidRPr="009F0700">
        <w:rPr>
          <w:rFonts w:eastAsia="Times New Roman" w:cs="Arial"/>
          <w:color w:val="000000"/>
          <w:lang w:eastAsia="bg-BG"/>
        </w:rPr>
        <w:t>За да бъде намален рискът от хипогликемични епизоди, са необходими внимателен подбор на пациентите, на използваната доза и точни указания към пациентите.</w:t>
      </w:r>
    </w:p>
    <w:p w14:paraId="7B8CA404" w14:textId="77777777" w:rsidR="009F0700" w:rsidRPr="009F0700" w:rsidRDefault="009F0700" w:rsidP="009F0700">
      <w:pPr>
        <w:spacing w:line="240" w:lineRule="auto"/>
        <w:rPr>
          <w:rFonts w:eastAsia="Times New Roman" w:cs="Arial"/>
          <w:color w:val="000000"/>
          <w:lang w:eastAsia="bg-BG"/>
        </w:rPr>
      </w:pPr>
    </w:p>
    <w:p w14:paraId="2B56321D" w14:textId="591451A2" w:rsidR="009F0700" w:rsidRPr="009F0700" w:rsidRDefault="009F0700" w:rsidP="009F0700">
      <w:pPr>
        <w:spacing w:line="240" w:lineRule="auto"/>
        <w:rPr>
          <w:rFonts w:eastAsia="Times New Roman" w:cs="Arial"/>
          <w:sz w:val="24"/>
          <w:szCs w:val="24"/>
        </w:rPr>
      </w:pPr>
      <w:r w:rsidRPr="009F0700">
        <w:rPr>
          <w:rFonts w:eastAsia="Times New Roman" w:cs="Arial"/>
          <w:color w:val="000000"/>
          <w:lang w:eastAsia="bg-BG"/>
        </w:rPr>
        <w:t>Фактори, които увеличават риска от хипогликемия:</w:t>
      </w:r>
    </w:p>
    <w:p w14:paraId="24CD3EB4" w14:textId="77777777" w:rsidR="009F0700" w:rsidRPr="009F0700" w:rsidRDefault="009F0700" w:rsidP="009F0700">
      <w:pPr>
        <w:pStyle w:val="ListParagraph"/>
        <w:numPr>
          <w:ilvl w:val="0"/>
          <w:numId w:val="34"/>
        </w:numPr>
        <w:spacing w:line="240" w:lineRule="auto"/>
        <w:rPr>
          <w:rFonts w:eastAsia="Times New Roman" w:cs="Arial"/>
          <w:sz w:val="24"/>
          <w:szCs w:val="24"/>
        </w:rPr>
      </w:pPr>
      <w:r w:rsidRPr="009F0700">
        <w:rPr>
          <w:rFonts w:eastAsia="Times New Roman" w:cs="Arial"/>
          <w:color w:val="000000"/>
          <w:lang w:eastAsia="bg-BG"/>
        </w:rPr>
        <w:t>пациентът отказва или (особено при индивиди в старческа възраст) не е способен да сътрудничи на лечението;</w:t>
      </w:r>
    </w:p>
    <w:p w14:paraId="70EB53C2" w14:textId="77777777" w:rsidR="009F0700" w:rsidRPr="009F0700" w:rsidRDefault="009F0700" w:rsidP="009F0700">
      <w:pPr>
        <w:pStyle w:val="ListParagraph"/>
        <w:numPr>
          <w:ilvl w:val="0"/>
          <w:numId w:val="34"/>
        </w:numPr>
        <w:spacing w:line="240" w:lineRule="auto"/>
        <w:rPr>
          <w:rFonts w:eastAsia="Times New Roman" w:cs="Arial"/>
          <w:sz w:val="24"/>
          <w:szCs w:val="24"/>
        </w:rPr>
      </w:pPr>
      <w:r w:rsidRPr="009F0700">
        <w:rPr>
          <w:rFonts w:eastAsia="Times New Roman" w:cs="Arial"/>
          <w:color w:val="000000"/>
          <w:lang w:eastAsia="bg-BG"/>
        </w:rPr>
        <w:t>недохранване, нередовно хранене, пропускане на хранене, периоди на гладуване или промени в диетата;</w:t>
      </w:r>
    </w:p>
    <w:p w14:paraId="0EF9278D" w14:textId="77777777" w:rsidR="009F0700" w:rsidRPr="009F0700" w:rsidRDefault="009F0700" w:rsidP="009F0700">
      <w:pPr>
        <w:pStyle w:val="ListParagraph"/>
        <w:numPr>
          <w:ilvl w:val="0"/>
          <w:numId w:val="34"/>
        </w:numPr>
        <w:spacing w:line="240" w:lineRule="auto"/>
        <w:rPr>
          <w:rFonts w:eastAsia="Times New Roman" w:cs="Arial"/>
          <w:sz w:val="24"/>
          <w:szCs w:val="24"/>
        </w:rPr>
      </w:pPr>
      <w:r w:rsidRPr="009F0700">
        <w:rPr>
          <w:rFonts w:eastAsia="Times New Roman" w:cs="Arial"/>
          <w:color w:val="000000"/>
          <w:lang w:eastAsia="bg-BG"/>
        </w:rPr>
        <w:t>несъответствие между физическото натоварване и приема на въглехидрати; бъбречна недостатъчност;</w:t>
      </w:r>
    </w:p>
    <w:p w14:paraId="076EF942" w14:textId="77777777" w:rsidR="009F0700" w:rsidRPr="009F0700" w:rsidRDefault="009F0700" w:rsidP="009F0700">
      <w:pPr>
        <w:pStyle w:val="ListParagraph"/>
        <w:numPr>
          <w:ilvl w:val="0"/>
          <w:numId w:val="34"/>
        </w:numPr>
        <w:spacing w:line="240" w:lineRule="auto"/>
        <w:rPr>
          <w:rFonts w:eastAsia="Times New Roman" w:cs="Arial"/>
          <w:sz w:val="24"/>
          <w:szCs w:val="24"/>
        </w:rPr>
      </w:pPr>
      <w:r w:rsidRPr="009F0700">
        <w:rPr>
          <w:rFonts w:eastAsia="Times New Roman" w:cs="Arial"/>
          <w:color w:val="000000"/>
          <w:lang w:eastAsia="bg-BG"/>
        </w:rPr>
        <w:t>тежка чернодробна недостатъчност;</w:t>
      </w:r>
    </w:p>
    <w:p w14:paraId="475D12D2" w14:textId="77777777" w:rsidR="009F0700" w:rsidRPr="009F0700" w:rsidRDefault="009F0700" w:rsidP="009F0700">
      <w:pPr>
        <w:pStyle w:val="ListParagraph"/>
        <w:numPr>
          <w:ilvl w:val="0"/>
          <w:numId w:val="34"/>
        </w:numPr>
        <w:spacing w:line="240" w:lineRule="auto"/>
        <w:rPr>
          <w:rFonts w:eastAsia="Times New Roman" w:cs="Arial"/>
          <w:sz w:val="24"/>
          <w:szCs w:val="24"/>
        </w:rPr>
      </w:pPr>
      <w:r w:rsidRPr="009F0700">
        <w:rPr>
          <w:rFonts w:eastAsia="Times New Roman" w:cs="Arial"/>
          <w:color w:val="000000"/>
          <w:lang w:eastAsia="bg-BG"/>
        </w:rPr>
        <w:t xml:space="preserve">предозиране с гликлазид 30 </w:t>
      </w:r>
      <w:r w:rsidRPr="009F0700">
        <w:rPr>
          <w:rFonts w:eastAsia="Times New Roman" w:cs="Arial"/>
          <w:color w:val="000000"/>
          <w:lang w:val="en-US"/>
        </w:rPr>
        <w:t xml:space="preserve">mg </w:t>
      </w:r>
      <w:r w:rsidRPr="009F0700">
        <w:rPr>
          <w:rFonts w:eastAsia="Times New Roman" w:cs="Arial"/>
          <w:color w:val="000000"/>
          <w:lang w:eastAsia="bg-BG"/>
        </w:rPr>
        <w:t>таблетки с удължено освобождаване;</w:t>
      </w:r>
    </w:p>
    <w:p w14:paraId="58A7E4D2" w14:textId="77777777" w:rsidR="009F0700" w:rsidRPr="009F0700" w:rsidRDefault="009F0700" w:rsidP="009F0700">
      <w:pPr>
        <w:pStyle w:val="ListParagraph"/>
        <w:numPr>
          <w:ilvl w:val="0"/>
          <w:numId w:val="34"/>
        </w:numPr>
        <w:spacing w:line="240" w:lineRule="auto"/>
        <w:rPr>
          <w:rFonts w:eastAsia="Times New Roman" w:cs="Arial"/>
          <w:sz w:val="24"/>
          <w:szCs w:val="24"/>
        </w:rPr>
      </w:pPr>
      <w:r w:rsidRPr="009F0700">
        <w:rPr>
          <w:rFonts w:eastAsia="Times New Roman" w:cs="Arial"/>
          <w:color w:val="000000"/>
          <w:lang w:eastAsia="bg-BG"/>
        </w:rPr>
        <w:t>някои ендокринни заболявания: болести на щитовидната жлеза, хипопитуитаризъм и надбъбречна недостатъчност;</w:t>
      </w:r>
    </w:p>
    <w:p w14:paraId="3C0220A9" w14:textId="77777777" w:rsidR="009F0700" w:rsidRPr="009F0700" w:rsidRDefault="009F0700" w:rsidP="009F0700">
      <w:pPr>
        <w:pStyle w:val="ListParagraph"/>
        <w:numPr>
          <w:ilvl w:val="0"/>
          <w:numId w:val="34"/>
        </w:numPr>
        <w:spacing w:line="240" w:lineRule="auto"/>
        <w:rPr>
          <w:rFonts w:eastAsia="Times New Roman" w:cs="Arial"/>
          <w:sz w:val="24"/>
          <w:szCs w:val="24"/>
        </w:rPr>
      </w:pPr>
      <w:r w:rsidRPr="009F0700">
        <w:rPr>
          <w:rFonts w:eastAsia="Times New Roman" w:cs="Arial"/>
          <w:color w:val="000000"/>
          <w:lang w:eastAsia="bg-BG"/>
        </w:rPr>
        <w:t>комбинирано прилагане с други продукти (вж. точка 4.5).</w:t>
      </w:r>
    </w:p>
    <w:p w14:paraId="25D1BD44" w14:textId="77777777" w:rsidR="009F0700" w:rsidRPr="009F0700" w:rsidRDefault="009F0700" w:rsidP="009F0700">
      <w:pPr>
        <w:spacing w:line="240" w:lineRule="auto"/>
        <w:rPr>
          <w:rFonts w:eastAsia="Times New Roman" w:cs="Arial"/>
          <w:color w:val="000000"/>
          <w:u w:val="single"/>
          <w:lang w:eastAsia="bg-BG"/>
        </w:rPr>
      </w:pPr>
    </w:p>
    <w:p w14:paraId="38ABBB1A" w14:textId="5D7D2A6F" w:rsidR="009F0700" w:rsidRPr="009F0700" w:rsidRDefault="009F0700" w:rsidP="009F0700">
      <w:pPr>
        <w:spacing w:line="240" w:lineRule="auto"/>
        <w:rPr>
          <w:rFonts w:eastAsia="Times New Roman" w:cs="Arial"/>
          <w:sz w:val="24"/>
          <w:szCs w:val="24"/>
        </w:rPr>
      </w:pPr>
      <w:r w:rsidRPr="009F0700">
        <w:rPr>
          <w:rFonts w:eastAsia="Times New Roman" w:cs="Arial"/>
          <w:color w:val="000000"/>
          <w:u w:val="single"/>
          <w:lang w:eastAsia="bg-BG"/>
        </w:rPr>
        <w:t>Бъбречна и чернодробна недостатъчност</w:t>
      </w:r>
    </w:p>
    <w:p w14:paraId="2F35A7C4" w14:textId="77777777" w:rsidR="009F0700" w:rsidRPr="009F0700" w:rsidRDefault="009F0700" w:rsidP="009F0700">
      <w:pPr>
        <w:spacing w:line="240" w:lineRule="auto"/>
        <w:rPr>
          <w:rFonts w:eastAsia="Times New Roman" w:cs="Arial"/>
          <w:sz w:val="24"/>
          <w:szCs w:val="24"/>
        </w:rPr>
      </w:pPr>
      <w:r w:rsidRPr="009F0700">
        <w:rPr>
          <w:rFonts w:eastAsia="Times New Roman" w:cs="Arial"/>
          <w:color w:val="000000"/>
          <w:lang w:eastAsia="bg-BG"/>
        </w:rPr>
        <w:lastRenderedPageBreak/>
        <w:t xml:space="preserve">Фармакокинетиката и/или фармакодинамиката на гликлазид може да се измени при пациенти с чернодробна недостатъчност или тежка бъбречна недостатъчност. Хипогликемичните епизоди, възникващи </w:t>
      </w:r>
      <w:r w:rsidRPr="009F0700">
        <w:rPr>
          <w:rFonts w:eastAsia="Times New Roman" w:cs="Arial"/>
          <w:i/>
          <w:iCs/>
          <w:color w:val="000000"/>
          <w:lang w:eastAsia="bg-BG"/>
        </w:rPr>
        <w:t>при такива</w:t>
      </w:r>
      <w:r w:rsidRPr="009F0700">
        <w:rPr>
          <w:rFonts w:eastAsia="Times New Roman" w:cs="Arial"/>
          <w:color w:val="000000"/>
          <w:lang w:eastAsia="bg-BG"/>
        </w:rPr>
        <w:t xml:space="preserve"> пациенти, могат да бъдат продължителни, така че е необходимо провеждането на съответно лечение.</w:t>
      </w:r>
    </w:p>
    <w:p w14:paraId="49F608B2" w14:textId="77777777" w:rsidR="009F0700" w:rsidRPr="009F0700" w:rsidRDefault="009F0700" w:rsidP="009F0700">
      <w:pPr>
        <w:spacing w:line="240" w:lineRule="auto"/>
        <w:rPr>
          <w:rFonts w:eastAsia="Times New Roman" w:cs="Arial"/>
          <w:color w:val="000000"/>
          <w:u w:val="single"/>
          <w:lang w:eastAsia="bg-BG"/>
        </w:rPr>
      </w:pPr>
    </w:p>
    <w:p w14:paraId="3871E372" w14:textId="5C3720E6" w:rsidR="009F0700" w:rsidRPr="009F0700" w:rsidRDefault="009F0700" w:rsidP="009F0700">
      <w:pPr>
        <w:spacing w:line="240" w:lineRule="auto"/>
        <w:rPr>
          <w:rFonts w:eastAsia="Times New Roman" w:cs="Arial"/>
          <w:sz w:val="24"/>
          <w:szCs w:val="24"/>
        </w:rPr>
      </w:pPr>
      <w:r w:rsidRPr="009F0700">
        <w:rPr>
          <w:rFonts w:eastAsia="Times New Roman" w:cs="Arial"/>
          <w:color w:val="000000"/>
          <w:u w:val="single"/>
          <w:lang w:eastAsia="bg-BG"/>
        </w:rPr>
        <w:t>Информация за пациента</w:t>
      </w:r>
    </w:p>
    <w:p w14:paraId="042F4CB5" w14:textId="77777777" w:rsidR="009F0700" w:rsidRPr="009F0700" w:rsidRDefault="009F0700" w:rsidP="009F0700">
      <w:pPr>
        <w:spacing w:line="240" w:lineRule="auto"/>
        <w:rPr>
          <w:rFonts w:eastAsia="Times New Roman" w:cs="Arial"/>
          <w:sz w:val="24"/>
          <w:szCs w:val="24"/>
        </w:rPr>
      </w:pPr>
      <w:r w:rsidRPr="009F0700">
        <w:rPr>
          <w:rFonts w:eastAsia="Times New Roman" w:cs="Arial"/>
          <w:color w:val="000000"/>
          <w:lang w:eastAsia="bg-BG"/>
        </w:rPr>
        <w:t>На пациента и на членовете на семейството трябва да бъдат обяснени рисковете от хипогликемия, както и нейните симптоми (вж. точка 4.8), лечение и фактори, предразполагащи за нейното развитие.</w:t>
      </w:r>
    </w:p>
    <w:p w14:paraId="259E6963" w14:textId="77777777" w:rsidR="009F0700" w:rsidRPr="009F0700" w:rsidRDefault="009F0700" w:rsidP="009F0700">
      <w:pPr>
        <w:spacing w:line="240" w:lineRule="auto"/>
        <w:rPr>
          <w:rFonts w:eastAsia="Times New Roman" w:cs="Arial"/>
          <w:sz w:val="24"/>
          <w:szCs w:val="24"/>
        </w:rPr>
      </w:pPr>
      <w:r w:rsidRPr="009F0700">
        <w:rPr>
          <w:rFonts w:eastAsia="Times New Roman" w:cs="Arial"/>
          <w:color w:val="000000"/>
          <w:lang w:eastAsia="bg-BG"/>
        </w:rPr>
        <w:t>Пациентът трябва да бъде информиран за важността да следва указанията за диета, редовно физическо натоварване и редовно контролиране на стойностите на кръвната захар.</w:t>
      </w:r>
    </w:p>
    <w:p w14:paraId="5ECC3C6E" w14:textId="77777777" w:rsidR="009F0700" w:rsidRPr="009F0700" w:rsidRDefault="009F0700" w:rsidP="009F0700">
      <w:pPr>
        <w:spacing w:line="240" w:lineRule="auto"/>
        <w:rPr>
          <w:rFonts w:eastAsia="Times New Roman" w:cs="Arial"/>
          <w:color w:val="000000"/>
          <w:u w:val="single"/>
          <w:lang w:eastAsia="bg-BG"/>
        </w:rPr>
      </w:pPr>
    </w:p>
    <w:p w14:paraId="493DC631" w14:textId="7CE1000F" w:rsidR="009F0700" w:rsidRPr="009F0700" w:rsidRDefault="009F0700" w:rsidP="009F0700">
      <w:pPr>
        <w:spacing w:line="240" w:lineRule="auto"/>
        <w:rPr>
          <w:rFonts w:eastAsia="Times New Roman" w:cs="Arial"/>
          <w:sz w:val="24"/>
          <w:szCs w:val="24"/>
        </w:rPr>
      </w:pPr>
      <w:r w:rsidRPr="009F0700">
        <w:rPr>
          <w:rFonts w:eastAsia="Times New Roman" w:cs="Arial"/>
          <w:color w:val="000000"/>
          <w:u w:val="single"/>
          <w:lang w:eastAsia="bg-BG"/>
        </w:rPr>
        <w:t>Недостатъчен контрол на кръвната захар</w:t>
      </w:r>
    </w:p>
    <w:p w14:paraId="61E92DB9" w14:textId="0C911394" w:rsidR="009F0700" w:rsidRPr="009F0700" w:rsidRDefault="009F0700" w:rsidP="009F0700">
      <w:pPr>
        <w:spacing w:line="240" w:lineRule="auto"/>
        <w:rPr>
          <w:rFonts w:eastAsia="Times New Roman" w:cs="Arial"/>
          <w:sz w:val="24"/>
          <w:szCs w:val="24"/>
        </w:rPr>
      </w:pPr>
      <w:r w:rsidRPr="009F0700">
        <w:rPr>
          <w:rFonts w:eastAsia="Times New Roman" w:cs="Arial"/>
          <w:color w:val="000000"/>
          <w:lang w:eastAsia="bg-BG"/>
        </w:rPr>
        <w:t xml:space="preserve">Контролът на кръвната захар при пациенти, приемащи антидиабетни продукти, може да се влоши при следните обстоятелства: прием на продукти, съдържащи жълт кантарион </w:t>
      </w:r>
      <w:r>
        <w:rPr>
          <w:rFonts w:eastAsia="Times New Roman" w:cs="Arial"/>
          <w:i/>
          <w:iCs/>
          <w:color w:val="000000"/>
        </w:rPr>
        <w:t>(</w:t>
      </w:r>
      <w:proofErr w:type="spellStart"/>
      <w:r w:rsidRPr="009F0700">
        <w:rPr>
          <w:rFonts w:eastAsia="Times New Roman" w:cs="Arial"/>
          <w:i/>
          <w:iCs/>
          <w:color w:val="000000"/>
          <w:lang w:val="en-US"/>
        </w:rPr>
        <w:t>Hypericum</w:t>
      </w:r>
      <w:proofErr w:type="spellEnd"/>
      <w:r w:rsidRPr="009F0700">
        <w:rPr>
          <w:rFonts w:eastAsia="Times New Roman" w:cs="Arial"/>
          <w:i/>
          <w:iCs/>
          <w:color w:val="000000"/>
          <w:lang w:val="en-US"/>
        </w:rPr>
        <w:t xml:space="preserve"> </w:t>
      </w:r>
      <w:proofErr w:type="spellStart"/>
      <w:r w:rsidRPr="009F0700">
        <w:rPr>
          <w:rFonts w:eastAsia="Times New Roman" w:cs="Arial"/>
          <w:i/>
          <w:iCs/>
          <w:color w:val="000000"/>
          <w:lang w:val="en-US"/>
        </w:rPr>
        <w:t>perforatum</w:t>
      </w:r>
      <w:proofErr w:type="spellEnd"/>
      <w:r w:rsidRPr="009F0700">
        <w:rPr>
          <w:rFonts w:eastAsia="Times New Roman" w:cs="Arial"/>
          <w:i/>
          <w:iCs/>
          <w:color w:val="000000"/>
          <w:lang w:val="en-US"/>
        </w:rPr>
        <w:t>)</w:t>
      </w:r>
      <w:r w:rsidRPr="009F0700">
        <w:rPr>
          <w:rFonts w:eastAsia="Times New Roman" w:cs="Arial"/>
          <w:color w:val="000000"/>
          <w:lang w:val="en-US"/>
        </w:rPr>
        <w:t xml:space="preserve"> </w:t>
      </w:r>
      <w:r w:rsidRPr="009F0700">
        <w:rPr>
          <w:rFonts w:eastAsia="Times New Roman" w:cs="Arial"/>
          <w:color w:val="000000"/>
          <w:lang w:eastAsia="bg-BG"/>
        </w:rPr>
        <w:t>(вж. точка 4.5), треска, травма, инфекция или хирургична интервенция. В някои случаи може да се наложи прилагането на инсулин.</w:t>
      </w:r>
    </w:p>
    <w:p w14:paraId="498C0FF0" w14:textId="77777777" w:rsidR="009F0700" w:rsidRPr="009F0700" w:rsidRDefault="009F0700" w:rsidP="009F0700">
      <w:pPr>
        <w:spacing w:line="240" w:lineRule="auto"/>
        <w:rPr>
          <w:rFonts w:eastAsia="Times New Roman" w:cs="Arial"/>
          <w:sz w:val="24"/>
          <w:szCs w:val="24"/>
        </w:rPr>
      </w:pPr>
      <w:r w:rsidRPr="009F0700">
        <w:rPr>
          <w:rFonts w:eastAsia="Times New Roman" w:cs="Arial"/>
          <w:color w:val="000000"/>
          <w:lang w:eastAsia="bg-BG"/>
        </w:rPr>
        <w:t>Хипогликемичният ефект на всеки орален антидиабетен продукт, включително на гликлазид, при много пациенти намалява с времето: това може да се дължи на прогресирането на тежестта на диабета или на намаляването на терапевтичния отговор. Този феномен е известен като вторична недостатъчност, която се различава от първичната недостатъчност, когато при първоначалното прилагане на активната субстанция не се наблюдава ефект. Преди да се определи дали пациентът е с вторична недостатъчност, трябва да се обсъди въпросът за правилния избор на дозата и спазването на диетичния режим.</w:t>
      </w:r>
    </w:p>
    <w:p w14:paraId="68F0E729" w14:textId="77777777" w:rsidR="009F0700" w:rsidRPr="009F0700" w:rsidRDefault="009F0700" w:rsidP="009F0700">
      <w:pPr>
        <w:spacing w:line="240" w:lineRule="auto"/>
        <w:rPr>
          <w:rFonts w:eastAsia="Times New Roman" w:cs="Arial"/>
          <w:color w:val="000000"/>
          <w:u w:val="single"/>
          <w:lang w:eastAsia="bg-BG"/>
        </w:rPr>
      </w:pPr>
    </w:p>
    <w:p w14:paraId="1D4C3C16" w14:textId="7A56A47A" w:rsidR="009F0700" w:rsidRPr="009F0700" w:rsidRDefault="009F0700" w:rsidP="009F0700">
      <w:pPr>
        <w:spacing w:line="240" w:lineRule="auto"/>
        <w:rPr>
          <w:rFonts w:eastAsia="Times New Roman" w:cs="Arial"/>
          <w:sz w:val="24"/>
          <w:szCs w:val="24"/>
        </w:rPr>
      </w:pPr>
      <w:r w:rsidRPr="009F0700">
        <w:rPr>
          <w:rFonts w:eastAsia="Times New Roman" w:cs="Arial"/>
          <w:color w:val="000000"/>
          <w:u w:val="single"/>
          <w:lang w:eastAsia="bg-BG"/>
        </w:rPr>
        <w:t>Дисгликемия</w:t>
      </w:r>
    </w:p>
    <w:p w14:paraId="5720FDD5" w14:textId="77777777" w:rsidR="009F0700" w:rsidRPr="009F0700" w:rsidRDefault="009F0700" w:rsidP="009F0700">
      <w:pPr>
        <w:rPr>
          <w:rFonts w:eastAsia="Times New Roman" w:cs="Arial"/>
          <w:sz w:val="24"/>
          <w:szCs w:val="24"/>
        </w:rPr>
      </w:pPr>
      <w:r w:rsidRPr="009F0700">
        <w:rPr>
          <w:rFonts w:eastAsia="Times New Roman" w:cs="Arial"/>
          <w:color w:val="000000"/>
          <w:lang w:eastAsia="bg-BG"/>
        </w:rPr>
        <w:t xml:space="preserve">Докладвани са отклонения в стойностите на кръвната захар, включително хипогликемия и хипергликемия при пациенти, страдащи от диабет, получаващи едновременно лечение с флуорохинолони, особено при пациенти в старческа възраст. Препоръчителен е внимателен контрол на кръвната захар при всички пациенти, приемащи едновременно гликлазид 30 </w:t>
      </w:r>
      <w:r w:rsidRPr="009F0700">
        <w:rPr>
          <w:rFonts w:eastAsia="Times New Roman" w:cs="Arial"/>
          <w:color w:val="000000"/>
          <w:lang w:val="en-US"/>
        </w:rPr>
        <w:t xml:space="preserve">mg </w:t>
      </w:r>
      <w:r w:rsidRPr="009F0700">
        <w:rPr>
          <w:rFonts w:eastAsia="Times New Roman" w:cs="Arial"/>
          <w:color w:val="000000"/>
          <w:lang w:eastAsia="bg-BG"/>
        </w:rPr>
        <w:t>таблетки с удължено освобождаване с флуорохинолони.</w:t>
      </w:r>
    </w:p>
    <w:p w14:paraId="7B6BEE44" w14:textId="77777777" w:rsidR="009F0700" w:rsidRPr="009F0700" w:rsidRDefault="009F0700" w:rsidP="009F0700">
      <w:pPr>
        <w:spacing w:line="240" w:lineRule="auto"/>
        <w:rPr>
          <w:rFonts w:eastAsia="Times New Roman" w:cs="Arial"/>
          <w:color w:val="000000"/>
          <w:u w:val="single"/>
          <w:lang w:eastAsia="bg-BG"/>
        </w:rPr>
      </w:pPr>
    </w:p>
    <w:p w14:paraId="27B6B650" w14:textId="71343897" w:rsidR="009F0700" w:rsidRPr="009F0700" w:rsidRDefault="009F0700" w:rsidP="009F0700">
      <w:pPr>
        <w:spacing w:line="240" w:lineRule="auto"/>
        <w:rPr>
          <w:rFonts w:eastAsia="Times New Roman" w:cs="Arial"/>
          <w:sz w:val="24"/>
          <w:szCs w:val="24"/>
        </w:rPr>
      </w:pPr>
      <w:r w:rsidRPr="009F0700">
        <w:rPr>
          <w:rFonts w:eastAsia="Times New Roman" w:cs="Arial"/>
          <w:color w:val="000000"/>
          <w:u w:val="single"/>
          <w:lang w:eastAsia="bg-BG"/>
        </w:rPr>
        <w:t>Лабораторни показатели</w:t>
      </w:r>
    </w:p>
    <w:p w14:paraId="277CDE0D" w14:textId="77777777" w:rsidR="009F0700" w:rsidRPr="009F0700" w:rsidRDefault="009F0700" w:rsidP="009F0700">
      <w:pPr>
        <w:spacing w:line="240" w:lineRule="auto"/>
        <w:rPr>
          <w:rFonts w:eastAsia="Times New Roman" w:cs="Arial"/>
          <w:sz w:val="24"/>
          <w:szCs w:val="24"/>
        </w:rPr>
      </w:pPr>
      <w:r w:rsidRPr="009F0700">
        <w:rPr>
          <w:rFonts w:eastAsia="Times New Roman" w:cs="Arial"/>
          <w:color w:val="000000"/>
          <w:lang w:eastAsia="bg-BG"/>
        </w:rPr>
        <w:t>За оценка на кръвно-захарния контрол се препоръчва измерване на стойностите на гликирания хемоглобин (или кръвната захар на гладно). Може да бъде полезно и проследяването на кръвната захар от самия пациент.</w:t>
      </w:r>
    </w:p>
    <w:p w14:paraId="0A137C58" w14:textId="77777777" w:rsidR="009F0700" w:rsidRPr="009F0700" w:rsidRDefault="009F0700" w:rsidP="009F0700">
      <w:pPr>
        <w:spacing w:line="240" w:lineRule="auto"/>
        <w:rPr>
          <w:rFonts w:eastAsia="Times New Roman" w:cs="Arial"/>
          <w:color w:val="000000"/>
          <w:lang w:eastAsia="bg-BG"/>
        </w:rPr>
      </w:pPr>
    </w:p>
    <w:p w14:paraId="7C5F5B08" w14:textId="76A098D1" w:rsidR="009F0700" w:rsidRPr="009F0700" w:rsidRDefault="009F0700" w:rsidP="009F0700">
      <w:pPr>
        <w:spacing w:line="240" w:lineRule="auto"/>
        <w:rPr>
          <w:rFonts w:eastAsia="Times New Roman" w:cs="Arial"/>
          <w:sz w:val="24"/>
          <w:szCs w:val="24"/>
        </w:rPr>
      </w:pPr>
      <w:r w:rsidRPr="009F0700">
        <w:rPr>
          <w:rFonts w:eastAsia="Times New Roman" w:cs="Arial"/>
          <w:color w:val="000000"/>
          <w:lang w:eastAsia="bg-BG"/>
        </w:rPr>
        <w:t xml:space="preserve">При пациенти с дефицит на глюкозо-6-фосфат дехидрогеназа </w:t>
      </w:r>
      <w:r w:rsidRPr="009F0700">
        <w:rPr>
          <w:rFonts w:eastAsia="Times New Roman" w:cs="Arial"/>
          <w:color w:val="000000"/>
          <w:lang w:val="en-US"/>
        </w:rPr>
        <w:t xml:space="preserve">(G6PD) </w:t>
      </w:r>
      <w:r w:rsidRPr="009F0700">
        <w:rPr>
          <w:rFonts w:eastAsia="Times New Roman" w:cs="Arial"/>
          <w:color w:val="000000"/>
          <w:lang w:eastAsia="bg-BG"/>
        </w:rPr>
        <w:t xml:space="preserve">лечението със сулфанилурейни продукти може да доведе до хемолитична анемия. Тъй като гликлазид принадлежи към химичната група на сулфанилурейните продукти, при пациенти с </w:t>
      </w:r>
      <w:r w:rsidRPr="009F0700">
        <w:rPr>
          <w:rFonts w:eastAsia="Times New Roman" w:cs="Arial"/>
          <w:color w:val="000000"/>
          <w:lang w:val="en-US"/>
        </w:rPr>
        <w:t xml:space="preserve">G6PD </w:t>
      </w:r>
      <w:r w:rsidRPr="009F0700">
        <w:rPr>
          <w:rFonts w:eastAsia="Times New Roman" w:cs="Arial"/>
          <w:color w:val="000000"/>
          <w:lang w:eastAsia="bg-BG"/>
        </w:rPr>
        <w:t>е необходимо повишено внимание и трябва да се обсъди алтернативно лечение с несулфанилурейни продукти.</w:t>
      </w:r>
    </w:p>
    <w:p w14:paraId="0ABA6939" w14:textId="7EB87924" w:rsidR="009F0700" w:rsidRPr="009F0700" w:rsidRDefault="009F0700" w:rsidP="009F0700"/>
    <w:p w14:paraId="1244F76A" w14:textId="34A8CE29" w:rsidR="00395555" w:rsidRDefault="002C50EE" w:rsidP="008A6AF2">
      <w:pPr>
        <w:pStyle w:val="Heading2"/>
      </w:pPr>
      <w:r>
        <w:t>4.5. Взаимодействие с други лекарствени продукти и други форми на взаимодействие</w:t>
      </w:r>
    </w:p>
    <w:p w14:paraId="4AF9D9FA" w14:textId="6E2C38EA" w:rsidR="009F0700" w:rsidRDefault="009F0700" w:rsidP="009F0700"/>
    <w:p w14:paraId="4A5C53B2" w14:textId="77777777" w:rsidR="009F0700" w:rsidRPr="009F0700" w:rsidRDefault="009F0700" w:rsidP="009F0700">
      <w:pPr>
        <w:spacing w:line="240" w:lineRule="auto"/>
        <w:rPr>
          <w:rFonts w:ascii="Times New Roman" w:eastAsia="Times New Roman" w:hAnsi="Times New Roman" w:cs="Times New Roman"/>
          <w:sz w:val="24"/>
          <w:szCs w:val="24"/>
        </w:rPr>
      </w:pPr>
      <w:r w:rsidRPr="009F0700">
        <w:rPr>
          <w:rFonts w:ascii="Times New Roman" w:eastAsia="Times New Roman" w:hAnsi="Times New Roman" w:cs="Times New Roman"/>
          <w:color w:val="000000"/>
          <w:u w:val="single"/>
          <w:lang w:eastAsia="bg-BG"/>
        </w:rPr>
        <w:t>Следните продукти повишават риска от хипогликемия</w:t>
      </w:r>
    </w:p>
    <w:p w14:paraId="5303ADBA" w14:textId="77777777" w:rsidR="009F0700" w:rsidRPr="009F0700" w:rsidRDefault="009F0700" w:rsidP="009F0700">
      <w:pPr>
        <w:spacing w:line="240" w:lineRule="auto"/>
        <w:rPr>
          <w:rFonts w:eastAsia="Times New Roman" w:cs="Arial"/>
          <w:sz w:val="24"/>
          <w:szCs w:val="24"/>
        </w:rPr>
      </w:pPr>
      <w:r w:rsidRPr="009F0700">
        <w:rPr>
          <w:rFonts w:eastAsia="Times New Roman" w:cs="Arial"/>
          <w:i/>
          <w:iCs/>
          <w:color w:val="000000"/>
          <w:u w:val="single"/>
          <w:lang w:eastAsia="bg-BG"/>
        </w:rPr>
        <w:t>Комбинации, които са противопоказани</w:t>
      </w:r>
    </w:p>
    <w:p w14:paraId="4F2C9F26" w14:textId="2521F9DF" w:rsidR="009F0700" w:rsidRPr="009F0700" w:rsidRDefault="009F0700" w:rsidP="009F0700">
      <w:pPr>
        <w:pStyle w:val="ListParagraph"/>
        <w:numPr>
          <w:ilvl w:val="0"/>
          <w:numId w:val="34"/>
        </w:numPr>
        <w:spacing w:line="240" w:lineRule="auto"/>
        <w:rPr>
          <w:rFonts w:eastAsia="Times New Roman" w:cs="Arial"/>
          <w:color w:val="000000"/>
          <w:lang w:eastAsia="bg-BG"/>
        </w:rPr>
      </w:pPr>
      <w:r w:rsidRPr="009F0700">
        <w:rPr>
          <w:rFonts w:eastAsia="Times New Roman" w:cs="Arial"/>
          <w:color w:val="000000"/>
          <w:lang w:eastAsia="bg-BG"/>
        </w:rPr>
        <w:lastRenderedPageBreak/>
        <w:t>Миконазол (системно приложение, оромукозен гел): повишава хипогликемичния ефект с възможна поява на симптоми на хипогликемия и дори кома.</w:t>
      </w:r>
    </w:p>
    <w:p w14:paraId="2D7F7008" w14:textId="77777777" w:rsidR="009F0700" w:rsidRPr="009F0700" w:rsidRDefault="009F0700" w:rsidP="009F0700">
      <w:pPr>
        <w:spacing w:line="240" w:lineRule="auto"/>
        <w:rPr>
          <w:rFonts w:eastAsia="Times New Roman" w:cs="Arial"/>
          <w:i/>
          <w:iCs/>
          <w:color w:val="000000"/>
          <w:u w:val="single"/>
          <w:lang w:eastAsia="bg-BG"/>
        </w:rPr>
      </w:pPr>
    </w:p>
    <w:p w14:paraId="7DE241D4" w14:textId="2A4829FC" w:rsidR="009F0700" w:rsidRPr="009F0700" w:rsidRDefault="009F0700" w:rsidP="009F0700">
      <w:pPr>
        <w:spacing w:line="240" w:lineRule="auto"/>
        <w:rPr>
          <w:rFonts w:eastAsia="Times New Roman" w:cs="Arial"/>
          <w:sz w:val="24"/>
          <w:szCs w:val="24"/>
        </w:rPr>
      </w:pPr>
      <w:r w:rsidRPr="009F0700">
        <w:rPr>
          <w:rFonts w:eastAsia="Times New Roman" w:cs="Arial"/>
          <w:i/>
          <w:iCs/>
          <w:color w:val="000000"/>
          <w:u w:val="single"/>
          <w:lang w:eastAsia="bg-BG"/>
        </w:rPr>
        <w:t>Комбинации, които не се препоръчват</w:t>
      </w:r>
    </w:p>
    <w:p w14:paraId="6C0457BA" w14:textId="2487F95D" w:rsidR="009F0700" w:rsidRPr="009F0700" w:rsidRDefault="009F0700" w:rsidP="009F0700">
      <w:pPr>
        <w:pStyle w:val="ListParagraph"/>
        <w:numPr>
          <w:ilvl w:val="0"/>
          <w:numId w:val="34"/>
        </w:numPr>
        <w:spacing w:line="240" w:lineRule="auto"/>
        <w:rPr>
          <w:rFonts w:eastAsia="Times New Roman" w:cs="Arial"/>
          <w:color w:val="000000"/>
          <w:lang w:eastAsia="bg-BG"/>
        </w:rPr>
      </w:pPr>
      <w:r w:rsidRPr="009F0700">
        <w:rPr>
          <w:rFonts w:eastAsia="Times New Roman" w:cs="Arial"/>
          <w:color w:val="000000"/>
          <w:lang w:eastAsia="bg-BG"/>
        </w:rPr>
        <w:t>Фенилбутазон (системно приложение): повишава хипогликемичния ефект на сулфанилурейните продукти (измества ги от местата на свързване с плазмените протеини и/или намалява тяхното елиминиране).</w:t>
      </w:r>
    </w:p>
    <w:p w14:paraId="7DA66231" w14:textId="77777777" w:rsidR="009F0700" w:rsidRPr="009F0700" w:rsidRDefault="009F0700" w:rsidP="009F0700">
      <w:pPr>
        <w:spacing w:line="240" w:lineRule="auto"/>
        <w:rPr>
          <w:rFonts w:eastAsia="Times New Roman" w:cs="Arial"/>
          <w:sz w:val="24"/>
          <w:szCs w:val="24"/>
        </w:rPr>
      </w:pPr>
      <w:r w:rsidRPr="009F0700">
        <w:rPr>
          <w:rFonts w:eastAsia="Times New Roman" w:cs="Arial"/>
          <w:color w:val="000000"/>
          <w:lang w:eastAsia="bg-BG"/>
        </w:rPr>
        <w:t>За предпочитане е да се използват други противовъзпалителни продукти или да се предупреди пациента и да се подчертае важността на самоконтрола на кръвната захар. Когато е необходимо, по време на лечението и след лечението с противовъзпалителното лекарство, дозата на антидиабетния продукт може да се коригира.</w:t>
      </w:r>
    </w:p>
    <w:p w14:paraId="7311FA18" w14:textId="51896B59" w:rsidR="009F0700" w:rsidRPr="009F0700" w:rsidRDefault="009F0700" w:rsidP="009F0700">
      <w:pPr>
        <w:pStyle w:val="ListParagraph"/>
        <w:numPr>
          <w:ilvl w:val="0"/>
          <w:numId w:val="34"/>
        </w:numPr>
        <w:spacing w:line="240" w:lineRule="auto"/>
        <w:rPr>
          <w:rFonts w:eastAsia="Times New Roman" w:cs="Arial"/>
          <w:color w:val="000000"/>
          <w:lang w:eastAsia="bg-BG"/>
        </w:rPr>
      </w:pPr>
      <w:r w:rsidRPr="009F0700">
        <w:rPr>
          <w:rFonts w:eastAsia="Times New Roman" w:cs="Arial"/>
          <w:color w:val="000000"/>
          <w:lang w:eastAsia="bg-BG"/>
        </w:rPr>
        <w:t>Алкохол: повишава хипогликемичното действие (чрез инхибиране на компенсаторни механизми), което може да доведе до поява на хипогликемична кома.</w:t>
      </w:r>
    </w:p>
    <w:p w14:paraId="13B45425" w14:textId="77777777" w:rsidR="009F0700" w:rsidRPr="009F0700" w:rsidRDefault="009F0700" w:rsidP="009F0700">
      <w:pPr>
        <w:spacing w:line="240" w:lineRule="auto"/>
        <w:rPr>
          <w:rFonts w:eastAsia="Times New Roman" w:cs="Arial"/>
          <w:sz w:val="24"/>
          <w:szCs w:val="24"/>
        </w:rPr>
      </w:pPr>
      <w:r w:rsidRPr="009F0700">
        <w:rPr>
          <w:rFonts w:eastAsia="Times New Roman" w:cs="Arial"/>
          <w:color w:val="000000"/>
          <w:lang w:eastAsia="bg-BG"/>
        </w:rPr>
        <w:t>Да се избягва консумацията на алкохол и на лекарствени продукти, съдържащи алкохол.</w:t>
      </w:r>
    </w:p>
    <w:p w14:paraId="0930A575" w14:textId="77777777" w:rsidR="009F0700" w:rsidRPr="009F0700" w:rsidRDefault="009F0700" w:rsidP="009F0700">
      <w:pPr>
        <w:spacing w:line="240" w:lineRule="auto"/>
        <w:rPr>
          <w:rFonts w:eastAsia="Times New Roman" w:cs="Arial"/>
          <w:i/>
          <w:iCs/>
          <w:color w:val="000000"/>
          <w:u w:val="single"/>
          <w:lang w:eastAsia="bg-BG"/>
        </w:rPr>
      </w:pPr>
    </w:p>
    <w:p w14:paraId="080CD8CD" w14:textId="7E1866E7" w:rsidR="009F0700" w:rsidRPr="009F0700" w:rsidRDefault="009F0700" w:rsidP="009F0700">
      <w:pPr>
        <w:spacing w:line="240" w:lineRule="auto"/>
        <w:rPr>
          <w:rFonts w:eastAsia="Times New Roman" w:cs="Arial"/>
          <w:sz w:val="24"/>
          <w:szCs w:val="24"/>
        </w:rPr>
      </w:pPr>
      <w:r w:rsidRPr="009F0700">
        <w:rPr>
          <w:rFonts w:eastAsia="Times New Roman" w:cs="Arial"/>
          <w:i/>
          <w:iCs/>
          <w:color w:val="000000"/>
          <w:u w:val="single"/>
          <w:lang w:eastAsia="bg-BG"/>
        </w:rPr>
        <w:t>Комбинации, изискващи предпазни мерки при употреба</w:t>
      </w:r>
    </w:p>
    <w:p w14:paraId="6FE5DD47" w14:textId="77777777" w:rsidR="009F0700" w:rsidRPr="009F0700" w:rsidRDefault="009F0700" w:rsidP="009F0700">
      <w:pPr>
        <w:spacing w:line="240" w:lineRule="auto"/>
        <w:rPr>
          <w:rFonts w:eastAsia="Times New Roman" w:cs="Arial"/>
          <w:sz w:val="24"/>
          <w:szCs w:val="24"/>
        </w:rPr>
      </w:pPr>
      <w:r w:rsidRPr="009F0700">
        <w:rPr>
          <w:rFonts w:eastAsia="Times New Roman" w:cs="Arial"/>
          <w:color w:val="000000"/>
          <w:lang w:eastAsia="bg-BG"/>
        </w:rPr>
        <w:t xml:space="preserve">Приемът на някой от следните лекарствени продукти засилва ефекта на понижаване на кръвната захар и по тази причина в някои случаи може да настъпи хипогликемия: други антидиабетни продукти (инсулини, акарбоза, метформин, тиазолидиндиони, дипептидил пептидаза -4 инхибитори, </w:t>
      </w:r>
      <w:r w:rsidRPr="009F0700">
        <w:rPr>
          <w:rFonts w:eastAsia="Times New Roman" w:cs="Arial"/>
          <w:color w:val="000000"/>
          <w:lang w:val="en-US"/>
        </w:rPr>
        <w:t xml:space="preserve">GLP-1 </w:t>
      </w:r>
      <w:r w:rsidRPr="009F0700">
        <w:rPr>
          <w:rFonts w:eastAsia="Times New Roman" w:cs="Arial"/>
          <w:color w:val="000000"/>
          <w:lang w:eastAsia="bg-BG"/>
        </w:rPr>
        <w:t>рецептор агонисти), бета-блокери, флуконазол, инхибитори на ангиотензин-конвертиращия ензим (каптоприл, еналаприл), Н</w:t>
      </w:r>
      <w:r w:rsidRPr="009F0700">
        <w:rPr>
          <w:rFonts w:eastAsia="Times New Roman" w:cs="Arial"/>
          <w:color w:val="000000"/>
          <w:vertAlign w:val="subscript"/>
          <w:lang w:eastAsia="bg-BG"/>
        </w:rPr>
        <w:t>2</w:t>
      </w:r>
      <w:r w:rsidRPr="009F0700">
        <w:rPr>
          <w:rFonts w:eastAsia="Times New Roman" w:cs="Arial"/>
          <w:color w:val="000000"/>
          <w:lang w:eastAsia="bg-BG"/>
        </w:rPr>
        <w:t>-рецепторни антагонисти, МАО инхибитори, сулфонамиди, кларитромицин, НСПВС.</w:t>
      </w:r>
    </w:p>
    <w:p w14:paraId="010D80F2" w14:textId="77777777" w:rsidR="009F0700" w:rsidRPr="009F0700" w:rsidRDefault="009F0700" w:rsidP="009F0700">
      <w:pPr>
        <w:spacing w:line="240" w:lineRule="auto"/>
        <w:rPr>
          <w:rFonts w:eastAsia="Times New Roman" w:cs="Arial"/>
          <w:color w:val="000000"/>
          <w:u w:val="single"/>
          <w:lang w:eastAsia="bg-BG"/>
        </w:rPr>
      </w:pPr>
    </w:p>
    <w:p w14:paraId="6941E434" w14:textId="77777777" w:rsidR="009F0700" w:rsidRDefault="009F0700" w:rsidP="009F0700">
      <w:pPr>
        <w:spacing w:line="240" w:lineRule="auto"/>
        <w:rPr>
          <w:rFonts w:eastAsia="Times New Roman" w:cs="Arial"/>
          <w:color w:val="000000"/>
          <w:lang w:eastAsia="bg-BG"/>
        </w:rPr>
      </w:pPr>
      <w:r w:rsidRPr="009F0700">
        <w:rPr>
          <w:rFonts w:eastAsia="Times New Roman" w:cs="Arial"/>
          <w:color w:val="000000"/>
          <w:u w:val="single"/>
          <w:lang w:eastAsia="bg-BG"/>
        </w:rPr>
        <w:t xml:space="preserve">Следните продукти могат да предизвикат повишаване на стойностите на кръвната захар </w:t>
      </w:r>
      <w:r w:rsidRPr="009F0700">
        <w:rPr>
          <w:rFonts w:eastAsia="Times New Roman" w:cs="Arial"/>
          <w:i/>
          <w:iCs/>
          <w:color w:val="000000"/>
          <w:u w:val="single"/>
          <w:lang w:eastAsia="bg-BG"/>
        </w:rPr>
        <w:t xml:space="preserve">Комбинации, които не се препоръчват </w:t>
      </w:r>
    </w:p>
    <w:p w14:paraId="6066DE75" w14:textId="3F48577A" w:rsidR="009F0700" w:rsidRPr="009F0700" w:rsidRDefault="009F0700" w:rsidP="009F0700">
      <w:pPr>
        <w:pStyle w:val="ListParagraph"/>
        <w:numPr>
          <w:ilvl w:val="0"/>
          <w:numId w:val="34"/>
        </w:numPr>
        <w:spacing w:line="240" w:lineRule="auto"/>
        <w:rPr>
          <w:rFonts w:eastAsia="Times New Roman" w:cs="Arial"/>
          <w:sz w:val="24"/>
          <w:szCs w:val="24"/>
        </w:rPr>
      </w:pPr>
      <w:r w:rsidRPr="009F0700">
        <w:rPr>
          <w:rFonts w:eastAsia="Times New Roman" w:cs="Arial"/>
          <w:color w:val="000000"/>
          <w:lang w:eastAsia="bg-BG"/>
        </w:rPr>
        <w:t>Даназол: диабетогенен ефект на даназол.</w:t>
      </w:r>
    </w:p>
    <w:p w14:paraId="65711D79" w14:textId="77777777" w:rsidR="009F0700" w:rsidRPr="009F0700" w:rsidRDefault="009F0700" w:rsidP="009F0700">
      <w:pPr>
        <w:spacing w:line="240" w:lineRule="auto"/>
        <w:rPr>
          <w:rFonts w:eastAsia="Times New Roman" w:cs="Arial"/>
          <w:sz w:val="24"/>
          <w:szCs w:val="24"/>
        </w:rPr>
      </w:pPr>
      <w:r w:rsidRPr="009F0700">
        <w:rPr>
          <w:rFonts w:eastAsia="Times New Roman" w:cs="Arial"/>
          <w:color w:val="000000"/>
          <w:lang w:eastAsia="bg-BG"/>
        </w:rPr>
        <w:t>Ако приложението на този продукт не може да се избегне, да се предупреди пациента и да се подчертае, че е важно да се контролира глюкозата в урината и в кръвта. Може да се наложи да се коригира дозата на антидиабетния продукт по време на и след лечение с даназол.</w:t>
      </w:r>
    </w:p>
    <w:p w14:paraId="0D970218" w14:textId="77777777" w:rsidR="009F0700" w:rsidRPr="009F0700" w:rsidRDefault="009F0700" w:rsidP="009F0700">
      <w:pPr>
        <w:spacing w:line="240" w:lineRule="auto"/>
        <w:rPr>
          <w:rFonts w:eastAsia="Times New Roman" w:cs="Arial"/>
          <w:i/>
          <w:iCs/>
          <w:color w:val="000000"/>
          <w:u w:val="single"/>
          <w:lang w:eastAsia="bg-BG"/>
        </w:rPr>
      </w:pPr>
    </w:p>
    <w:p w14:paraId="3F84852C" w14:textId="3024C49A" w:rsidR="009F0700" w:rsidRPr="009F0700" w:rsidRDefault="009F0700" w:rsidP="009F0700">
      <w:pPr>
        <w:spacing w:line="240" w:lineRule="auto"/>
        <w:rPr>
          <w:rFonts w:eastAsia="Times New Roman" w:cs="Arial"/>
          <w:sz w:val="24"/>
          <w:szCs w:val="24"/>
        </w:rPr>
      </w:pPr>
      <w:r w:rsidRPr="009F0700">
        <w:rPr>
          <w:rFonts w:eastAsia="Times New Roman" w:cs="Arial"/>
          <w:i/>
          <w:iCs/>
          <w:color w:val="000000"/>
          <w:u w:val="single"/>
          <w:lang w:eastAsia="bg-BG"/>
        </w:rPr>
        <w:t>Комбинации, изискващи предпазни мерки при употреба</w:t>
      </w:r>
    </w:p>
    <w:p w14:paraId="59F5B722" w14:textId="4FB62796" w:rsidR="009F0700" w:rsidRPr="009F0700" w:rsidRDefault="009F0700" w:rsidP="009F0700">
      <w:pPr>
        <w:pStyle w:val="ListParagraph"/>
        <w:numPr>
          <w:ilvl w:val="0"/>
          <w:numId w:val="34"/>
        </w:numPr>
        <w:spacing w:line="240" w:lineRule="auto"/>
        <w:rPr>
          <w:rFonts w:eastAsia="Times New Roman" w:cs="Arial"/>
          <w:color w:val="000000"/>
          <w:lang w:eastAsia="bg-BG"/>
        </w:rPr>
      </w:pPr>
      <w:r w:rsidRPr="009F0700">
        <w:rPr>
          <w:rFonts w:eastAsia="Times New Roman" w:cs="Arial"/>
          <w:color w:val="000000"/>
          <w:lang w:eastAsia="bg-BG"/>
        </w:rPr>
        <w:t xml:space="preserve">Хлорпромазин (невролептик): високи дози (&gt;100 </w:t>
      </w:r>
      <w:r w:rsidRPr="009F0700">
        <w:rPr>
          <w:rFonts w:eastAsia="Times New Roman" w:cs="Arial"/>
          <w:color w:val="000000"/>
          <w:lang w:val="en-US"/>
        </w:rPr>
        <w:t xml:space="preserve">mg </w:t>
      </w:r>
      <w:r w:rsidRPr="009F0700">
        <w:rPr>
          <w:rFonts w:eastAsia="Times New Roman" w:cs="Arial"/>
          <w:color w:val="000000"/>
          <w:lang w:eastAsia="bg-BG"/>
        </w:rPr>
        <w:t>дневно хлорпромазин) повишават стойностите на кръвната захар (намалено освобождаване на инсулин).</w:t>
      </w:r>
    </w:p>
    <w:p w14:paraId="319054D5" w14:textId="164C9C28" w:rsidR="009F0700" w:rsidRDefault="009F0700" w:rsidP="009F0700">
      <w:pPr>
        <w:rPr>
          <w:rFonts w:eastAsia="Times New Roman" w:cs="Arial"/>
          <w:color w:val="000000"/>
          <w:lang w:eastAsia="bg-BG"/>
        </w:rPr>
      </w:pPr>
      <w:r w:rsidRPr="009F0700">
        <w:rPr>
          <w:rFonts w:eastAsia="Times New Roman" w:cs="Arial"/>
          <w:color w:val="000000"/>
          <w:lang w:eastAsia="bg-BG"/>
        </w:rPr>
        <w:t>Да се предупреди пациента и да се подчертае, че е важно да се контролира кръвната захар. Може да се наложи да се коригира дозата на антидиабетния продукт по време на и след лечението с невролептика.</w:t>
      </w:r>
    </w:p>
    <w:p w14:paraId="140F71B7" w14:textId="2F8A4263" w:rsidR="009F0700" w:rsidRDefault="009F0700" w:rsidP="009F0700">
      <w:pPr>
        <w:rPr>
          <w:rFonts w:eastAsia="Times New Roman" w:cs="Arial"/>
          <w:color w:val="000000"/>
          <w:lang w:eastAsia="bg-BG"/>
        </w:rPr>
      </w:pPr>
    </w:p>
    <w:p w14:paraId="1766D135" w14:textId="33D07B92" w:rsidR="009F0700" w:rsidRPr="009F0700" w:rsidRDefault="009F0700" w:rsidP="009F0700">
      <w:pPr>
        <w:pStyle w:val="ListParagraph"/>
        <w:numPr>
          <w:ilvl w:val="0"/>
          <w:numId w:val="34"/>
        </w:numPr>
        <w:spacing w:line="240" w:lineRule="auto"/>
        <w:rPr>
          <w:rFonts w:eastAsia="Times New Roman" w:cs="Arial"/>
          <w:color w:val="000000"/>
          <w:lang w:eastAsia="bg-BG"/>
        </w:rPr>
      </w:pPr>
      <w:r w:rsidRPr="009F0700">
        <w:rPr>
          <w:rFonts w:eastAsia="Times New Roman" w:cs="Arial"/>
          <w:color w:val="000000"/>
          <w:lang w:eastAsia="bg-BG"/>
        </w:rPr>
        <w:t>Глюкокортикоиди (системно и локално приложение: вътреставни, кожни и ректални продукти) и тетракосактрин: повишават стойностите на кръвната захар с възможна кетоза (понижена толерантност към въглехидрати, предизвикана от глюкокортикоидите).</w:t>
      </w:r>
    </w:p>
    <w:p w14:paraId="5E74AB34" w14:textId="3E7C1D64" w:rsidR="009F0700" w:rsidRPr="009F0700" w:rsidRDefault="009F0700" w:rsidP="009F0700">
      <w:pPr>
        <w:spacing w:line="240" w:lineRule="auto"/>
        <w:rPr>
          <w:rFonts w:eastAsia="Times New Roman" w:cs="Arial"/>
          <w:color w:val="000000"/>
          <w:lang w:eastAsia="bg-BG"/>
        </w:rPr>
      </w:pPr>
      <w:r w:rsidRPr="009F0700">
        <w:rPr>
          <w:rFonts w:eastAsia="Times New Roman" w:cs="Arial"/>
          <w:color w:val="000000"/>
          <w:lang w:eastAsia="bg-BG"/>
        </w:rPr>
        <w:t>Да се предупреди пациента и да се подчертае, че е важно, особено в началото на лечението, да се контролират стойностите на кръвната захар. Може да се наложи да се коригира дозата на антидиабетния продукт по време на и след лечението с глюкокортикоиди.</w:t>
      </w:r>
    </w:p>
    <w:p w14:paraId="3A8050B6" w14:textId="77777777" w:rsidR="009F0700" w:rsidRPr="009F0700" w:rsidRDefault="009F0700" w:rsidP="009F0700">
      <w:pPr>
        <w:spacing w:line="240" w:lineRule="auto"/>
        <w:rPr>
          <w:rFonts w:eastAsia="Times New Roman" w:cs="Arial"/>
          <w:sz w:val="24"/>
          <w:szCs w:val="24"/>
        </w:rPr>
      </w:pPr>
    </w:p>
    <w:p w14:paraId="3CD8D8A3" w14:textId="522B40B7" w:rsidR="009F0700" w:rsidRPr="009F0700" w:rsidRDefault="009F0700" w:rsidP="009F0700">
      <w:pPr>
        <w:pStyle w:val="ListParagraph"/>
        <w:numPr>
          <w:ilvl w:val="0"/>
          <w:numId w:val="34"/>
        </w:numPr>
        <w:spacing w:line="240" w:lineRule="auto"/>
        <w:rPr>
          <w:rFonts w:eastAsia="Times New Roman" w:cs="Arial"/>
          <w:color w:val="000000"/>
          <w:lang w:eastAsia="bg-BG"/>
        </w:rPr>
      </w:pPr>
      <w:r w:rsidRPr="009F0700">
        <w:rPr>
          <w:rFonts w:eastAsia="Times New Roman" w:cs="Arial"/>
          <w:color w:val="000000"/>
          <w:lang w:eastAsia="bg-BG"/>
        </w:rPr>
        <w:t>Ритодрин, салбутамол, тербуталин: интравенозно</w:t>
      </w:r>
    </w:p>
    <w:p w14:paraId="65FBAA86" w14:textId="77777777" w:rsidR="009F0700" w:rsidRPr="009F0700" w:rsidRDefault="009F0700" w:rsidP="009F0700">
      <w:pPr>
        <w:spacing w:line="240" w:lineRule="auto"/>
        <w:rPr>
          <w:rFonts w:eastAsia="Times New Roman" w:cs="Arial"/>
          <w:sz w:val="24"/>
          <w:szCs w:val="24"/>
        </w:rPr>
      </w:pPr>
      <w:r w:rsidRPr="009F0700">
        <w:rPr>
          <w:rFonts w:eastAsia="Times New Roman" w:cs="Arial"/>
          <w:color w:val="000000"/>
          <w:lang w:eastAsia="bg-BG"/>
        </w:rPr>
        <w:t>Повишени стойности на кръвната захар, дължащи се на ефектите на бета-2-агонистите.</w:t>
      </w:r>
    </w:p>
    <w:p w14:paraId="02C9B132" w14:textId="67A51641" w:rsidR="009F0700" w:rsidRPr="009F0700" w:rsidRDefault="009F0700" w:rsidP="009F0700">
      <w:pPr>
        <w:spacing w:line="240" w:lineRule="auto"/>
        <w:rPr>
          <w:rFonts w:eastAsia="Times New Roman" w:cs="Arial"/>
          <w:color w:val="000000"/>
          <w:lang w:eastAsia="bg-BG"/>
        </w:rPr>
      </w:pPr>
      <w:r w:rsidRPr="009F0700">
        <w:rPr>
          <w:rFonts w:eastAsia="Times New Roman" w:cs="Arial"/>
          <w:color w:val="000000"/>
          <w:lang w:eastAsia="bg-BG"/>
        </w:rPr>
        <w:lastRenderedPageBreak/>
        <w:t>Да се подчертае, че е важно да се контролират стойностите на кръвната захар. Ако е необходимо да се премине към инсулин.</w:t>
      </w:r>
    </w:p>
    <w:p w14:paraId="4353A809" w14:textId="77777777" w:rsidR="009F0700" w:rsidRPr="009F0700" w:rsidRDefault="009F0700" w:rsidP="009F0700">
      <w:pPr>
        <w:spacing w:line="240" w:lineRule="auto"/>
        <w:rPr>
          <w:rFonts w:eastAsia="Times New Roman" w:cs="Arial"/>
          <w:sz w:val="24"/>
          <w:szCs w:val="24"/>
        </w:rPr>
      </w:pPr>
    </w:p>
    <w:p w14:paraId="0E9F8ED4" w14:textId="46A8293A" w:rsidR="009F0700" w:rsidRPr="009F0700" w:rsidRDefault="009F0700" w:rsidP="009F0700">
      <w:pPr>
        <w:pStyle w:val="ListParagraph"/>
        <w:numPr>
          <w:ilvl w:val="0"/>
          <w:numId w:val="34"/>
        </w:numPr>
        <w:spacing w:line="240" w:lineRule="auto"/>
        <w:rPr>
          <w:rFonts w:eastAsia="Times New Roman" w:cs="Arial"/>
          <w:color w:val="000000"/>
          <w:lang w:eastAsia="bg-BG"/>
        </w:rPr>
      </w:pPr>
      <w:r w:rsidRPr="009F0700">
        <w:rPr>
          <w:rFonts w:eastAsia="Times New Roman" w:cs="Arial"/>
          <w:color w:val="000000"/>
          <w:lang w:eastAsia="bg-BG"/>
        </w:rPr>
        <w:t xml:space="preserve">Продукти, съдържащи жълт кантарион </w:t>
      </w:r>
      <w:r w:rsidRPr="009F0700">
        <w:rPr>
          <w:rFonts w:eastAsia="Times New Roman" w:cs="Arial"/>
          <w:i/>
          <w:iCs/>
          <w:color w:val="000000"/>
          <w:lang w:val="en-US"/>
        </w:rPr>
        <w:t>(</w:t>
      </w:r>
      <w:proofErr w:type="spellStart"/>
      <w:r w:rsidRPr="009F0700">
        <w:rPr>
          <w:rFonts w:eastAsia="Times New Roman" w:cs="Arial"/>
          <w:i/>
          <w:iCs/>
          <w:color w:val="000000"/>
          <w:lang w:val="en-US"/>
        </w:rPr>
        <w:t>Hypericum</w:t>
      </w:r>
      <w:proofErr w:type="spellEnd"/>
      <w:r w:rsidRPr="009F0700">
        <w:rPr>
          <w:rFonts w:eastAsia="Times New Roman" w:cs="Arial"/>
          <w:i/>
          <w:iCs/>
          <w:color w:val="000000"/>
          <w:lang w:val="en-US"/>
        </w:rPr>
        <w:t xml:space="preserve"> </w:t>
      </w:r>
      <w:proofErr w:type="spellStart"/>
      <w:r w:rsidRPr="009F0700">
        <w:rPr>
          <w:rFonts w:eastAsia="Times New Roman" w:cs="Arial"/>
          <w:i/>
          <w:iCs/>
          <w:color w:val="000000"/>
          <w:lang w:val="en-US"/>
        </w:rPr>
        <w:t>perforatum</w:t>
      </w:r>
      <w:proofErr w:type="spellEnd"/>
      <w:r w:rsidRPr="009F0700">
        <w:rPr>
          <w:rFonts w:eastAsia="Times New Roman" w:cs="Arial"/>
          <w:i/>
          <w:iCs/>
          <w:color w:val="000000"/>
          <w:lang w:val="en-US"/>
        </w:rPr>
        <w:t>):</w:t>
      </w:r>
    </w:p>
    <w:p w14:paraId="1A370F52" w14:textId="7B6234BD" w:rsidR="009F0700" w:rsidRPr="009F0700" w:rsidRDefault="009F0700" w:rsidP="009F0700">
      <w:pPr>
        <w:spacing w:line="240" w:lineRule="auto"/>
        <w:rPr>
          <w:rFonts w:eastAsia="Times New Roman" w:cs="Arial"/>
          <w:color w:val="000000"/>
          <w:lang w:eastAsia="bg-BG"/>
        </w:rPr>
      </w:pPr>
      <w:r w:rsidRPr="009F0700">
        <w:rPr>
          <w:rFonts w:eastAsia="Times New Roman" w:cs="Arial"/>
          <w:color w:val="000000"/>
          <w:lang w:eastAsia="bg-BG"/>
        </w:rPr>
        <w:t xml:space="preserve">Действието на гликлазид отслабва при използването на продукти, съдържащи жълт кантарион - </w:t>
      </w:r>
      <w:proofErr w:type="spellStart"/>
      <w:r w:rsidRPr="009F0700">
        <w:rPr>
          <w:rFonts w:eastAsia="Times New Roman" w:cs="Arial"/>
          <w:i/>
          <w:iCs/>
          <w:color w:val="000000"/>
          <w:lang w:val="en-US"/>
        </w:rPr>
        <w:t>Hypericum</w:t>
      </w:r>
      <w:proofErr w:type="spellEnd"/>
      <w:r w:rsidRPr="009F0700">
        <w:rPr>
          <w:rFonts w:eastAsia="Times New Roman" w:cs="Arial"/>
          <w:i/>
          <w:iCs/>
          <w:color w:val="000000"/>
          <w:lang w:val="en-US"/>
        </w:rPr>
        <w:t xml:space="preserve"> </w:t>
      </w:r>
      <w:proofErr w:type="spellStart"/>
      <w:r w:rsidRPr="009F0700">
        <w:rPr>
          <w:rFonts w:eastAsia="Times New Roman" w:cs="Arial"/>
          <w:i/>
          <w:iCs/>
          <w:color w:val="000000"/>
          <w:lang w:val="en-US"/>
        </w:rPr>
        <w:t>perforatum</w:t>
      </w:r>
      <w:proofErr w:type="spellEnd"/>
      <w:r w:rsidRPr="009F0700">
        <w:rPr>
          <w:rFonts w:eastAsia="Times New Roman" w:cs="Arial"/>
          <w:i/>
          <w:iCs/>
          <w:color w:val="000000"/>
          <w:lang w:val="en-US"/>
        </w:rPr>
        <w:t>.</w:t>
      </w:r>
      <w:r w:rsidRPr="009F0700">
        <w:rPr>
          <w:rFonts w:eastAsia="Times New Roman" w:cs="Arial"/>
          <w:color w:val="000000"/>
          <w:lang w:val="en-US"/>
        </w:rPr>
        <w:t xml:space="preserve"> </w:t>
      </w:r>
      <w:r w:rsidRPr="009F0700">
        <w:rPr>
          <w:rFonts w:eastAsia="Times New Roman" w:cs="Arial"/>
          <w:color w:val="000000"/>
          <w:lang w:eastAsia="bg-BG"/>
        </w:rPr>
        <w:t>Да се подчертае, че е важно да се контролират стойностите на кръвната захар.</w:t>
      </w:r>
    </w:p>
    <w:p w14:paraId="018E1DD7" w14:textId="77777777" w:rsidR="009F0700" w:rsidRPr="009F0700" w:rsidRDefault="009F0700" w:rsidP="009F0700">
      <w:pPr>
        <w:spacing w:line="240" w:lineRule="auto"/>
        <w:rPr>
          <w:rFonts w:eastAsia="Times New Roman" w:cs="Arial"/>
          <w:sz w:val="24"/>
          <w:szCs w:val="24"/>
        </w:rPr>
      </w:pPr>
    </w:p>
    <w:p w14:paraId="4D537F06" w14:textId="77777777" w:rsidR="009F0700" w:rsidRPr="009F0700" w:rsidRDefault="009F0700" w:rsidP="009F0700">
      <w:pPr>
        <w:spacing w:line="240" w:lineRule="auto"/>
        <w:rPr>
          <w:rFonts w:eastAsia="Times New Roman" w:cs="Arial"/>
          <w:sz w:val="24"/>
          <w:szCs w:val="24"/>
        </w:rPr>
      </w:pPr>
      <w:r w:rsidRPr="009F0700">
        <w:rPr>
          <w:rFonts w:eastAsia="Times New Roman" w:cs="Arial"/>
          <w:color w:val="000000"/>
          <w:u w:val="single"/>
          <w:lang w:eastAsia="bg-BG"/>
        </w:rPr>
        <w:t>Следните продукти могат да доведат до дисгликемия</w:t>
      </w:r>
    </w:p>
    <w:p w14:paraId="173CF8E7" w14:textId="77777777" w:rsidR="009F0700" w:rsidRPr="009F0700" w:rsidRDefault="009F0700" w:rsidP="009F0700">
      <w:pPr>
        <w:spacing w:line="240" w:lineRule="auto"/>
        <w:rPr>
          <w:rFonts w:eastAsia="Times New Roman" w:cs="Arial"/>
          <w:sz w:val="24"/>
          <w:szCs w:val="24"/>
        </w:rPr>
      </w:pPr>
      <w:r w:rsidRPr="009F0700">
        <w:rPr>
          <w:rFonts w:eastAsia="Times New Roman" w:cs="Arial"/>
          <w:i/>
          <w:iCs/>
          <w:color w:val="000000"/>
          <w:u w:val="single"/>
          <w:lang w:eastAsia="bg-BG"/>
        </w:rPr>
        <w:t>Комбинации, изискващи предпазни мерки при употреба</w:t>
      </w:r>
    </w:p>
    <w:p w14:paraId="192562BA" w14:textId="2E9E5BA0" w:rsidR="009F0700" w:rsidRPr="009F0700" w:rsidRDefault="009F0700" w:rsidP="009F0700">
      <w:pPr>
        <w:pStyle w:val="ListParagraph"/>
        <w:numPr>
          <w:ilvl w:val="0"/>
          <w:numId w:val="34"/>
        </w:numPr>
        <w:spacing w:line="240" w:lineRule="auto"/>
        <w:rPr>
          <w:rFonts w:eastAsia="Times New Roman" w:cs="Arial"/>
          <w:color w:val="000000"/>
          <w:lang w:eastAsia="bg-BG"/>
        </w:rPr>
      </w:pPr>
      <w:r w:rsidRPr="009F0700">
        <w:rPr>
          <w:rFonts w:eastAsia="Times New Roman" w:cs="Arial"/>
          <w:color w:val="000000"/>
          <w:lang w:eastAsia="bg-BG"/>
        </w:rPr>
        <w:t xml:space="preserve">Флуорохинолони: в случай на едновременно лечение с гликлазид 30 </w:t>
      </w:r>
      <w:r w:rsidRPr="009F0700">
        <w:rPr>
          <w:rFonts w:eastAsia="Times New Roman" w:cs="Arial"/>
          <w:color w:val="000000"/>
          <w:lang w:val="en-US"/>
        </w:rPr>
        <w:t xml:space="preserve">mg </w:t>
      </w:r>
      <w:r w:rsidRPr="009F0700">
        <w:rPr>
          <w:rFonts w:eastAsia="Times New Roman" w:cs="Arial"/>
          <w:color w:val="000000"/>
          <w:lang w:eastAsia="bg-BG"/>
        </w:rPr>
        <w:t>таблетки и флуорохинолони, пациентът трябва да бъде предупреден за риска от дисгликемия и да бъде подчертана важността от контрола на стойностите на кръвната захар.</w:t>
      </w:r>
    </w:p>
    <w:p w14:paraId="6D0681C8" w14:textId="77777777" w:rsidR="009F0700" w:rsidRPr="009F0700" w:rsidRDefault="009F0700" w:rsidP="009F0700">
      <w:pPr>
        <w:spacing w:line="240" w:lineRule="auto"/>
        <w:rPr>
          <w:rFonts w:eastAsia="Times New Roman" w:cs="Arial"/>
          <w:color w:val="000000"/>
          <w:u w:val="single"/>
          <w:lang w:eastAsia="bg-BG"/>
        </w:rPr>
      </w:pPr>
    </w:p>
    <w:p w14:paraId="4A4944DF" w14:textId="441B793A" w:rsidR="009F0700" w:rsidRPr="009F0700" w:rsidRDefault="009F0700" w:rsidP="009F0700">
      <w:pPr>
        <w:spacing w:line="240" w:lineRule="auto"/>
        <w:rPr>
          <w:rFonts w:eastAsia="Times New Roman" w:cs="Arial"/>
          <w:sz w:val="24"/>
          <w:szCs w:val="24"/>
        </w:rPr>
      </w:pPr>
      <w:r w:rsidRPr="009F0700">
        <w:rPr>
          <w:rFonts w:eastAsia="Times New Roman" w:cs="Arial"/>
          <w:color w:val="000000"/>
          <w:u w:val="single"/>
          <w:lang w:eastAsia="bg-BG"/>
        </w:rPr>
        <w:t>Комбинации, които трябва да се вземат под внимание</w:t>
      </w:r>
    </w:p>
    <w:p w14:paraId="77E40DE7" w14:textId="70E9F4A9" w:rsidR="009F0700" w:rsidRPr="009F0700" w:rsidRDefault="009F0700" w:rsidP="009F0700">
      <w:pPr>
        <w:pStyle w:val="ListParagraph"/>
        <w:numPr>
          <w:ilvl w:val="0"/>
          <w:numId w:val="34"/>
        </w:numPr>
        <w:spacing w:line="240" w:lineRule="auto"/>
        <w:rPr>
          <w:rFonts w:eastAsia="Times New Roman" w:cs="Arial"/>
          <w:color w:val="000000"/>
          <w:lang w:eastAsia="bg-BG"/>
        </w:rPr>
      </w:pPr>
      <w:r w:rsidRPr="009F0700">
        <w:rPr>
          <w:rFonts w:eastAsia="Times New Roman" w:cs="Arial"/>
          <w:color w:val="000000"/>
          <w:lang w:eastAsia="bg-BG"/>
        </w:rPr>
        <w:t>Антикоагулантна терапия (напр. варфарин).</w:t>
      </w:r>
    </w:p>
    <w:p w14:paraId="02F65088" w14:textId="77777777" w:rsidR="009F0700" w:rsidRPr="009F0700" w:rsidRDefault="009F0700" w:rsidP="009F0700">
      <w:pPr>
        <w:spacing w:line="240" w:lineRule="auto"/>
        <w:rPr>
          <w:rFonts w:ascii="Times New Roman" w:eastAsia="Times New Roman" w:hAnsi="Times New Roman" w:cs="Times New Roman"/>
          <w:sz w:val="24"/>
          <w:szCs w:val="24"/>
        </w:rPr>
      </w:pPr>
      <w:r w:rsidRPr="009F0700">
        <w:rPr>
          <w:rFonts w:eastAsia="Times New Roman" w:cs="Arial"/>
          <w:color w:val="000000"/>
          <w:lang w:eastAsia="bg-BG"/>
        </w:rPr>
        <w:t>Сулфанилурейните продукти могат да доведат до засилване на антикоагулантния ефект при едновременно прилагане. При необходимост да се коригира дозата на антикоагуланта.</w:t>
      </w:r>
    </w:p>
    <w:p w14:paraId="66219FB0" w14:textId="77777777" w:rsidR="009F0700" w:rsidRPr="009F0700" w:rsidRDefault="009F0700" w:rsidP="009F0700">
      <w:pPr>
        <w:rPr>
          <w:rFonts w:cs="Arial"/>
        </w:rPr>
      </w:pPr>
    </w:p>
    <w:p w14:paraId="6EADE4D6" w14:textId="1A8ADC24" w:rsidR="00395555" w:rsidRDefault="002C50EE" w:rsidP="008A6AF2">
      <w:pPr>
        <w:pStyle w:val="Heading2"/>
      </w:pPr>
      <w:r>
        <w:t>4.6. Фертилитет, бременност и кърмене</w:t>
      </w:r>
    </w:p>
    <w:p w14:paraId="5C2C126A" w14:textId="21CB5556" w:rsidR="009F0700" w:rsidRDefault="009F0700" w:rsidP="009F0700"/>
    <w:p w14:paraId="118FBFAB" w14:textId="77777777" w:rsidR="009F0700" w:rsidRPr="009F0700" w:rsidRDefault="009F0700" w:rsidP="009F0700">
      <w:pPr>
        <w:pStyle w:val="Heading3"/>
        <w:rPr>
          <w:rFonts w:eastAsia="Times New Roman"/>
          <w:u w:val="single"/>
        </w:rPr>
      </w:pPr>
      <w:r w:rsidRPr="009F0700">
        <w:rPr>
          <w:rFonts w:eastAsia="Times New Roman"/>
          <w:u w:val="single"/>
          <w:lang w:eastAsia="bg-BG"/>
        </w:rPr>
        <w:t>Бременност</w:t>
      </w:r>
    </w:p>
    <w:p w14:paraId="52B8ADD4" w14:textId="77777777" w:rsidR="009F0700" w:rsidRPr="009F0700" w:rsidRDefault="009F0700" w:rsidP="009F0700">
      <w:pPr>
        <w:spacing w:line="240" w:lineRule="auto"/>
        <w:rPr>
          <w:rFonts w:eastAsia="Times New Roman" w:cs="Arial"/>
          <w:sz w:val="24"/>
          <w:szCs w:val="24"/>
        </w:rPr>
      </w:pPr>
      <w:r w:rsidRPr="009F0700">
        <w:rPr>
          <w:rFonts w:eastAsia="Times New Roman" w:cs="Arial"/>
          <w:color w:val="000000"/>
          <w:lang w:eastAsia="bg-BG"/>
        </w:rPr>
        <w:t>Има ограничени данни (по-малко от 300 случая) за употребата на гликлазид по време на бременност при хората, въпреки че има малко данни за други сулфанилурейни продукти. При експериментални проучвания върху животни гликлазид не е показал тератогенен ефект (вж, точка 5.3).</w:t>
      </w:r>
    </w:p>
    <w:p w14:paraId="11F18C63" w14:textId="77777777" w:rsidR="009F0700" w:rsidRPr="009F0700" w:rsidRDefault="009F0700" w:rsidP="009F0700">
      <w:pPr>
        <w:spacing w:line="240" w:lineRule="auto"/>
        <w:rPr>
          <w:rFonts w:eastAsia="Times New Roman" w:cs="Arial"/>
          <w:sz w:val="24"/>
          <w:szCs w:val="24"/>
        </w:rPr>
      </w:pPr>
      <w:r w:rsidRPr="009F0700">
        <w:rPr>
          <w:rFonts w:eastAsia="Times New Roman" w:cs="Arial"/>
          <w:color w:val="000000"/>
          <w:lang w:eastAsia="bg-BG"/>
        </w:rPr>
        <w:t>Като предпазна мярка се препоръчва избягване на употребата на гликлазид по време на бременност.</w:t>
      </w:r>
    </w:p>
    <w:p w14:paraId="7AA37ACB" w14:textId="77777777" w:rsidR="009F0700" w:rsidRPr="009F0700" w:rsidRDefault="009F0700" w:rsidP="009F0700">
      <w:pPr>
        <w:spacing w:line="240" w:lineRule="auto"/>
        <w:rPr>
          <w:rFonts w:eastAsia="Times New Roman" w:cs="Arial"/>
          <w:sz w:val="24"/>
          <w:szCs w:val="24"/>
        </w:rPr>
      </w:pPr>
      <w:r w:rsidRPr="009F0700">
        <w:rPr>
          <w:rFonts w:eastAsia="Times New Roman" w:cs="Arial"/>
          <w:color w:val="000000"/>
          <w:lang w:eastAsia="bg-BG"/>
        </w:rPr>
        <w:t>Контролирането на диабета трябва да започне преди периода на зачеване, за да се намали риска от конгенитални увреждания, свързани с неконтролирания диабет.</w:t>
      </w:r>
    </w:p>
    <w:p w14:paraId="6CAAACDD" w14:textId="77777777" w:rsidR="009F0700" w:rsidRPr="009F0700" w:rsidRDefault="009F0700" w:rsidP="009F0700">
      <w:pPr>
        <w:spacing w:line="240" w:lineRule="auto"/>
        <w:rPr>
          <w:rFonts w:eastAsia="Times New Roman" w:cs="Arial"/>
          <w:sz w:val="24"/>
          <w:szCs w:val="24"/>
        </w:rPr>
      </w:pPr>
      <w:r w:rsidRPr="009F0700">
        <w:rPr>
          <w:rFonts w:eastAsia="Times New Roman" w:cs="Arial"/>
          <w:color w:val="000000"/>
          <w:lang w:eastAsia="bg-BG"/>
        </w:rPr>
        <w:t>Пероралните хипогликемични продукти не са подходящи, инсулинът е лекарствен продукт като първо средство на избор при лечението на диабет по време на бременност. Препоръчва се пероралната хипогликемична терапия да се смени с инсулин преди забременяването или възможно най-скоро след като бременността е установена.</w:t>
      </w:r>
    </w:p>
    <w:p w14:paraId="6CD5B428" w14:textId="77777777" w:rsidR="009F0700" w:rsidRPr="009F0700" w:rsidRDefault="009F0700" w:rsidP="009F0700">
      <w:pPr>
        <w:spacing w:line="240" w:lineRule="auto"/>
        <w:rPr>
          <w:rFonts w:eastAsia="Times New Roman" w:cs="Arial"/>
          <w:color w:val="000000"/>
          <w:u w:val="single"/>
          <w:lang w:eastAsia="bg-BG"/>
        </w:rPr>
      </w:pPr>
    </w:p>
    <w:p w14:paraId="6AB68282" w14:textId="492D6057" w:rsidR="009F0700" w:rsidRPr="009F0700" w:rsidRDefault="009F0700" w:rsidP="009F0700">
      <w:pPr>
        <w:pStyle w:val="Heading3"/>
        <w:rPr>
          <w:rFonts w:eastAsia="Times New Roman"/>
          <w:u w:val="single"/>
        </w:rPr>
      </w:pPr>
      <w:r w:rsidRPr="009F0700">
        <w:rPr>
          <w:rFonts w:eastAsia="Times New Roman"/>
          <w:u w:val="single"/>
          <w:lang w:eastAsia="bg-BG"/>
        </w:rPr>
        <w:t>Кърмене</w:t>
      </w:r>
    </w:p>
    <w:p w14:paraId="76B9A88A" w14:textId="77777777" w:rsidR="009F0700" w:rsidRPr="009F0700" w:rsidRDefault="009F0700" w:rsidP="009F0700">
      <w:pPr>
        <w:spacing w:line="240" w:lineRule="auto"/>
        <w:rPr>
          <w:rFonts w:eastAsia="Times New Roman" w:cs="Arial"/>
          <w:sz w:val="24"/>
          <w:szCs w:val="24"/>
        </w:rPr>
      </w:pPr>
      <w:r w:rsidRPr="009F0700">
        <w:rPr>
          <w:rFonts w:eastAsia="Times New Roman" w:cs="Arial"/>
          <w:color w:val="000000"/>
          <w:lang w:eastAsia="bg-BG"/>
        </w:rPr>
        <w:t>Няма данни за отделянето на гликлазид или на неговите метаболити в кърмата. Поради наличието на риск от неонатална хипогликемия, лекарственият продукт е противопоказан по време на кърмене.</w:t>
      </w:r>
    </w:p>
    <w:p w14:paraId="632CCFD1" w14:textId="77777777" w:rsidR="009F0700" w:rsidRPr="009F0700" w:rsidRDefault="009F0700" w:rsidP="009F0700">
      <w:pPr>
        <w:spacing w:line="240" w:lineRule="auto"/>
        <w:rPr>
          <w:rFonts w:eastAsia="Times New Roman" w:cs="Arial"/>
          <w:color w:val="000000"/>
          <w:u w:val="single"/>
          <w:lang w:eastAsia="bg-BG"/>
        </w:rPr>
      </w:pPr>
    </w:p>
    <w:p w14:paraId="4B83A4E0" w14:textId="37F5939D" w:rsidR="009F0700" w:rsidRPr="009F0700" w:rsidRDefault="009F0700" w:rsidP="009F0700">
      <w:pPr>
        <w:pStyle w:val="Heading3"/>
        <w:rPr>
          <w:rFonts w:eastAsia="Times New Roman"/>
          <w:u w:val="single"/>
        </w:rPr>
      </w:pPr>
      <w:r w:rsidRPr="009F0700">
        <w:rPr>
          <w:rFonts w:eastAsia="Times New Roman"/>
          <w:u w:val="single"/>
          <w:lang w:eastAsia="bg-BG"/>
        </w:rPr>
        <w:t>Фертилитет</w:t>
      </w:r>
    </w:p>
    <w:p w14:paraId="14591133" w14:textId="77777777" w:rsidR="009F0700" w:rsidRPr="009F0700" w:rsidRDefault="009F0700" w:rsidP="009F0700">
      <w:pPr>
        <w:spacing w:line="240" w:lineRule="auto"/>
        <w:rPr>
          <w:rFonts w:eastAsia="Times New Roman" w:cs="Arial"/>
          <w:sz w:val="24"/>
          <w:szCs w:val="24"/>
        </w:rPr>
      </w:pPr>
      <w:r w:rsidRPr="009F0700">
        <w:rPr>
          <w:rFonts w:eastAsia="Times New Roman" w:cs="Arial"/>
          <w:color w:val="000000"/>
          <w:lang w:eastAsia="bg-BG"/>
        </w:rPr>
        <w:t>Не е наблюдаван ефект върху фертилитета и репродуктивната способност при плъхове (вж. точка 5.3).</w:t>
      </w:r>
    </w:p>
    <w:p w14:paraId="10957C24" w14:textId="77777777" w:rsidR="009F0700" w:rsidRPr="009F0700" w:rsidRDefault="009F0700" w:rsidP="009F0700"/>
    <w:p w14:paraId="5766770B" w14:textId="3960ED09" w:rsidR="00395555" w:rsidRDefault="002C50EE" w:rsidP="008A6AF2">
      <w:pPr>
        <w:pStyle w:val="Heading2"/>
      </w:pPr>
      <w:r>
        <w:t>4.7. Ефекти върху способността за шофиране и работа с машини</w:t>
      </w:r>
    </w:p>
    <w:p w14:paraId="56724D9B" w14:textId="7A181D41" w:rsidR="009F0700" w:rsidRDefault="009F0700" w:rsidP="009F0700"/>
    <w:p w14:paraId="41CCD534" w14:textId="77777777" w:rsidR="009F0700" w:rsidRPr="009F0700" w:rsidRDefault="009F0700" w:rsidP="009F0700">
      <w:pPr>
        <w:rPr>
          <w:rFonts w:eastAsia="Times New Roman" w:cs="Arial"/>
          <w:sz w:val="24"/>
          <w:szCs w:val="24"/>
        </w:rPr>
      </w:pPr>
      <w:r w:rsidRPr="009F0700">
        <w:rPr>
          <w:rFonts w:cs="Arial"/>
        </w:rPr>
        <w:lastRenderedPageBreak/>
        <w:t xml:space="preserve">Гликлазид 30 </w:t>
      </w:r>
      <w:r w:rsidRPr="009F0700">
        <w:rPr>
          <w:rFonts w:cs="Arial"/>
          <w:lang w:val="en-US"/>
        </w:rPr>
        <w:t xml:space="preserve">mg </w:t>
      </w:r>
      <w:r w:rsidRPr="009F0700">
        <w:rPr>
          <w:rFonts w:cs="Arial"/>
        </w:rPr>
        <w:t>няма или има пренебрежимо малко влияние върху способността за шофиране и работа с машини. Все пак пациентите трябва да бъдат запознати със симптомите на</w:t>
      </w:r>
      <w:r w:rsidRPr="009F0700">
        <w:rPr>
          <w:rFonts w:cs="Arial"/>
        </w:rPr>
        <w:t xml:space="preserve"> </w:t>
      </w:r>
      <w:r w:rsidRPr="009F0700">
        <w:rPr>
          <w:rFonts w:eastAsia="Times New Roman" w:cs="Arial"/>
          <w:color w:val="000000"/>
          <w:lang w:eastAsia="bg-BG"/>
        </w:rPr>
        <w:t>хипогликемия и трябва да бъдат внимателни при шофиране или при работа с машини, особено в началото на лечението.</w:t>
      </w:r>
    </w:p>
    <w:p w14:paraId="0A2740AD" w14:textId="27C529DB" w:rsidR="009F0700" w:rsidRPr="009F0700" w:rsidRDefault="009F0700" w:rsidP="009F0700"/>
    <w:p w14:paraId="4FE16E21" w14:textId="1C54275B" w:rsidR="00395555" w:rsidRDefault="002C50EE" w:rsidP="008A6AF2">
      <w:pPr>
        <w:pStyle w:val="Heading2"/>
      </w:pPr>
      <w:r>
        <w:t>4.8. Нежелани лекарствени реакции</w:t>
      </w:r>
    </w:p>
    <w:p w14:paraId="6376820F" w14:textId="54685589" w:rsidR="009F0700" w:rsidRDefault="009F0700" w:rsidP="009F0700"/>
    <w:p w14:paraId="5462FF45" w14:textId="77777777" w:rsidR="009F0700" w:rsidRPr="009F0700" w:rsidRDefault="009F0700" w:rsidP="009F0700">
      <w:pPr>
        <w:spacing w:line="240" w:lineRule="auto"/>
        <w:rPr>
          <w:rFonts w:eastAsia="Times New Roman" w:cs="Arial"/>
          <w:sz w:val="24"/>
          <w:szCs w:val="24"/>
        </w:rPr>
      </w:pPr>
      <w:r w:rsidRPr="009F0700">
        <w:rPr>
          <w:rFonts w:eastAsia="Times New Roman" w:cs="Arial"/>
          <w:color w:val="000000"/>
          <w:lang w:eastAsia="bg-BG"/>
        </w:rPr>
        <w:t>Предвид опита е гликлазид и другите сулфанилурейни продукти, следните нежелани реакции трябва да бъдат отбелязани.</w:t>
      </w:r>
    </w:p>
    <w:p w14:paraId="7E261924" w14:textId="77777777" w:rsidR="009F0700" w:rsidRPr="009F0700" w:rsidRDefault="009F0700" w:rsidP="009F0700">
      <w:pPr>
        <w:spacing w:line="240" w:lineRule="auto"/>
        <w:rPr>
          <w:rFonts w:eastAsia="Times New Roman" w:cs="Arial"/>
          <w:color w:val="000000"/>
          <w:lang w:eastAsia="bg-BG"/>
        </w:rPr>
      </w:pPr>
    </w:p>
    <w:p w14:paraId="74E7E669" w14:textId="0243CD42" w:rsidR="009F0700" w:rsidRPr="009F0700" w:rsidRDefault="009F0700" w:rsidP="009F0700">
      <w:pPr>
        <w:spacing w:line="240" w:lineRule="auto"/>
        <w:rPr>
          <w:rFonts w:eastAsia="Times New Roman" w:cs="Arial"/>
          <w:sz w:val="24"/>
          <w:szCs w:val="24"/>
        </w:rPr>
      </w:pPr>
      <w:r w:rsidRPr="009F0700">
        <w:rPr>
          <w:rFonts w:eastAsia="Times New Roman" w:cs="Arial"/>
          <w:color w:val="000000"/>
          <w:lang w:eastAsia="bg-BG"/>
        </w:rPr>
        <w:t>При всяко групиране в зависимост от честотата нежеланите лекарствени реакции се изброяват в низходящ ред по отношение на тяхната сериозност. Нежеланите реакции са изброени по-долу в низходящ ред в зависимост от честотата на появата:</w:t>
      </w:r>
    </w:p>
    <w:p w14:paraId="7F7F3D02" w14:textId="77777777" w:rsidR="009F0700" w:rsidRPr="009F0700" w:rsidRDefault="009F0700" w:rsidP="009F0700">
      <w:pPr>
        <w:pStyle w:val="ListParagraph"/>
        <w:numPr>
          <w:ilvl w:val="0"/>
          <w:numId w:val="34"/>
        </w:numPr>
        <w:spacing w:line="240" w:lineRule="auto"/>
        <w:rPr>
          <w:rFonts w:eastAsia="Times New Roman" w:cs="Arial"/>
          <w:color w:val="000000"/>
          <w:lang w:eastAsia="bg-BG"/>
        </w:rPr>
      </w:pPr>
      <w:r w:rsidRPr="009F0700">
        <w:rPr>
          <w:rFonts w:eastAsia="Times New Roman" w:cs="Arial"/>
          <w:color w:val="000000"/>
          <w:lang w:eastAsia="bg-BG"/>
        </w:rPr>
        <w:t>много чести (</w:t>
      </w:r>
      <w:r w:rsidRPr="009F0700">
        <w:rPr>
          <w:rFonts w:eastAsia="Times New Roman" w:cs="Arial"/>
          <w:color w:val="000000"/>
          <w:lang w:val="en-US"/>
        </w:rPr>
        <w:t>≥</w:t>
      </w:r>
      <w:r w:rsidRPr="009F0700">
        <w:rPr>
          <w:rFonts w:eastAsia="Times New Roman" w:cs="Arial"/>
          <w:color w:val="000000"/>
          <w:lang w:eastAsia="bg-BG"/>
        </w:rPr>
        <w:t xml:space="preserve"> 1/10);</w:t>
      </w:r>
    </w:p>
    <w:p w14:paraId="4F546119" w14:textId="77777777" w:rsidR="009F0700" w:rsidRPr="009F0700" w:rsidRDefault="009F0700" w:rsidP="009F0700">
      <w:pPr>
        <w:pStyle w:val="ListParagraph"/>
        <w:numPr>
          <w:ilvl w:val="0"/>
          <w:numId w:val="34"/>
        </w:numPr>
        <w:spacing w:line="240" w:lineRule="auto"/>
        <w:rPr>
          <w:rFonts w:eastAsia="Times New Roman" w:cs="Arial"/>
          <w:color w:val="000000"/>
          <w:lang w:eastAsia="bg-BG"/>
        </w:rPr>
      </w:pPr>
      <w:r w:rsidRPr="009F0700">
        <w:rPr>
          <w:rFonts w:eastAsia="Times New Roman" w:cs="Arial"/>
          <w:color w:val="000000"/>
          <w:lang w:eastAsia="bg-BG"/>
        </w:rPr>
        <w:t>чести (</w:t>
      </w:r>
      <w:r w:rsidRPr="009F0700">
        <w:rPr>
          <w:rFonts w:eastAsia="Times New Roman" w:cs="Arial"/>
          <w:color w:val="000000"/>
          <w:lang w:val="en-US"/>
        </w:rPr>
        <w:t>≥</w:t>
      </w:r>
      <w:r w:rsidRPr="009F0700">
        <w:rPr>
          <w:rFonts w:eastAsia="Times New Roman" w:cs="Arial"/>
          <w:color w:val="000000"/>
          <w:lang w:eastAsia="bg-BG"/>
        </w:rPr>
        <w:t xml:space="preserve"> 1/100 до &lt; 1/10);</w:t>
      </w:r>
    </w:p>
    <w:p w14:paraId="731DE128" w14:textId="77777777" w:rsidR="009F0700" w:rsidRPr="009F0700" w:rsidRDefault="009F0700" w:rsidP="009F0700">
      <w:pPr>
        <w:pStyle w:val="ListParagraph"/>
        <w:numPr>
          <w:ilvl w:val="0"/>
          <w:numId w:val="34"/>
        </w:numPr>
        <w:spacing w:line="240" w:lineRule="auto"/>
        <w:rPr>
          <w:rFonts w:eastAsia="Times New Roman" w:cs="Arial"/>
          <w:color w:val="000000"/>
          <w:lang w:eastAsia="bg-BG"/>
        </w:rPr>
      </w:pPr>
      <w:r w:rsidRPr="009F0700">
        <w:rPr>
          <w:rFonts w:eastAsia="Times New Roman" w:cs="Arial"/>
          <w:color w:val="000000"/>
          <w:lang w:eastAsia="bg-BG"/>
        </w:rPr>
        <w:t>нечести (</w:t>
      </w:r>
      <w:r w:rsidRPr="009F0700">
        <w:rPr>
          <w:rFonts w:eastAsia="Times New Roman" w:cs="Arial"/>
          <w:color w:val="000000"/>
          <w:lang w:val="en-US"/>
        </w:rPr>
        <w:t>≥</w:t>
      </w:r>
      <w:r w:rsidRPr="009F0700">
        <w:rPr>
          <w:rFonts w:eastAsia="Times New Roman" w:cs="Arial"/>
          <w:color w:val="000000"/>
          <w:lang w:eastAsia="bg-BG"/>
        </w:rPr>
        <w:t xml:space="preserve"> 1/1000 до &lt; 1/100);</w:t>
      </w:r>
    </w:p>
    <w:p w14:paraId="5C53BD02" w14:textId="77777777" w:rsidR="009F0700" w:rsidRPr="009F0700" w:rsidRDefault="009F0700" w:rsidP="009F0700">
      <w:pPr>
        <w:pStyle w:val="ListParagraph"/>
        <w:numPr>
          <w:ilvl w:val="0"/>
          <w:numId w:val="34"/>
        </w:numPr>
        <w:spacing w:line="240" w:lineRule="auto"/>
        <w:rPr>
          <w:rFonts w:eastAsia="Times New Roman" w:cs="Arial"/>
          <w:color w:val="000000"/>
          <w:lang w:eastAsia="bg-BG"/>
        </w:rPr>
      </w:pPr>
      <w:r w:rsidRPr="009F0700">
        <w:rPr>
          <w:rFonts w:eastAsia="Times New Roman" w:cs="Arial"/>
          <w:color w:val="000000"/>
          <w:lang w:eastAsia="bg-BG"/>
        </w:rPr>
        <w:t>редки (</w:t>
      </w:r>
      <w:r w:rsidRPr="009F0700">
        <w:rPr>
          <w:rFonts w:eastAsia="Times New Roman" w:cs="Arial"/>
          <w:color w:val="000000"/>
          <w:lang w:val="en-US"/>
        </w:rPr>
        <w:t>≥</w:t>
      </w:r>
      <w:r w:rsidRPr="009F0700">
        <w:rPr>
          <w:rFonts w:eastAsia="Times New Roman" w:cs="Arial"/>
          <w:color w:val="000000"/>
          <w:lang w:eastAsia="bg-BG"/>
        </w:rPr>
        <w:t xml:space="preserve"> 1/10000 до &lt; 1/1000);</w:t>
      </w:r>
    </w:p>
    <w:p w14:paraId="57EC8BC1" w14:textId="77777777" w:rsidR="009F0700" w:rsidRDefault="009F0700" w:rsidP="009F0700">
      <w:pPr>
        <w:pStyle w:val="ListParagraph"/>
        <w:numPr>
          <w:ilvl w:val="0"/>
          <w:numId w:val="34"/>
        </w:numPr>
        <w:spacing w:line="240" w:lineRule="auto"/>
        <w:rPr>
          <w:rFonts w:eastAsia="Times New Roman" w:cs="Arial"/>
          <w:color w:val="000000"/>
          <w:lang w:eastAsia="bg-BG"/>
        </w:rPr>
      </w:pPr>
      <w:r w:rsidRPr="009F0700">
        <w:rPr>
          <w:rFonts w:eastAsia="Times New Roman" w:cs="Arial"/>
          <w:color w:val="000000"/>
          <w:lang w:eastAsia="bg-BG"/>
        </w:rPr>
        <w:t>много редки (&lt;1/10000);</w:t>
      </w:r>
    </w:p>
    <w:p w14:paraId="351DC7A0" w14:textId="53329E37" w:rsidR="009F0700" w:rsidRPr="009F0700" w:rsidRDefault="009F0700" w:rsidP="009F0700">
      <w:pPr>
        <w:pStyle w:val="ListParagraph"/>
        <w:numPr>
          <w:ilvl w:val="0"/>
          <w:numId w:val="34"/>
        </w:numPr>
        <w:spacing w:line="240" w:lineRule="auto"/>
        <w:rPr>
          <w:rFonts w:eastAsia="Times New Roman" w:cs="Arial"/>
          <w:color w:val="000000"/>
          <w:lang w:eastAsia="bg-BG"/>
        </w:rPr>
      </w:pPr>
      <w:r w:rsidRPr="009F0700">
        <w:rPr>
          <w:rFonts w:eastAsia="Times New Roman" w:cs="Arial"/>
          <w:color w:val="000000"/>
          <w:lang w:eastAsia="bg-BG"/>
        </w:rPr>
        <w:t>с неизвестна честота (от наличните данни не може да бъде направена</w:t>
      </w:r>
    </w:p>
    <w:p w14:paraId="528019B8" w14:textId="77777777" w:rsidR="009F0700" w:rsidRPr="009F0700" w:rsidRDefault="009F0700" w:rsidP="009F0700">
      <w:pPr>
        <w:pStyle w:val="ListParagraph"/>
        <w:spacing w:line="240" w:lineRule="auto"/>
        <w:rPr>
          <w:rFonts w:eastAsia="Times New Roman" w:cs="Arial"/>
          <w:sz w:val="24"/>
          <w:szCs w:val="24"/>
        </w:rPr>
      </w:pPr>
      <w:r w:rsidRPr="009F0700">
        <w:rPr>
          <w:rFonts w:eastAsia="Times New Roman" w:cs="Arial"/>
          <w:color w:val="000000"/>
          <w:lang w:eastAsia="bg-BG"/>
        </w:rPr>
        <w:t>оценка).</w:t>
      </w:r>
    </w:p>
    <w:p w14:paraId="6DC0387C" w14:textId="77777777" w:rsidR="009F0700" w:rsidRPr="009F0700" w:rsidRDefault="009F0700" w:rsidP="009F0700">
      <w:pPr>
        <w:spacing w:line="240" w:lineRule="auto"/>
        <w:rPr>
          <w:rFonts w:eastAsia="Times New Roman" w:cs="Arial"/>
          <w:color w:val="000000"/>
          <w:u w:val="single"/>
          <w:lang w:eastAsia="bg-BG"/>
        </w:rPr>
      </w:pPr>
    </w:p>
    <w:p w14:paraId="17678475" w14:textId="522B9A03" w:rsidR="009F0700" w:rsidRPr="009F0700" w:rsidRDefault="009F0700" w:rsidP="009F0700">
      <w:pPr>
        <w:spacing w:line="240" w:lineRule="auto"/>
        <w:rPr>
          <w:rFonts w:eastAsia="Times New Roman" w:cs="Arial"/>
          <w:sz w:val="24"/>
          <w:szCs w:val="24"/>
        </w:rPr>
      </w:pPr>
      <w:r w:rsidRPr="009F0700">
        <w:rPr>
          <w:rFonts w:eastAsia="Times New Roman" w:cs="Arial"/>
          <w:color w:val="000000"/>
          <w:u w:val="single"/>
          <w:lang w:eastAsia="bg-BG"/>
        </w:rPr>
        <w:t xml:space="preserve">Най-често срещаната нежелана реакция при употребата на гликлазид е хипогликемия, </w:t>
      </w:r>
      <w:r w:rsidRPr="009F0700">
        <w:rPr>
          <w:rFonts w:eastAsia="Times New Roman" w:cs="Arial"/>
          <w:color w:val="000000"/>
          <w:lang w:eastAsia="bg-BG"/>
        </w:rPr>
        <w:t xml:space="preserve">Както другите сулфанилурейни продукти, така и лечението с гликлазид 30 </w:t>
      </w:r>
      <w:r w:rsidRPr="009F0700">
        <w:rPr>
          <w:rFonts w:eastAsia="Times New Roman" w:cs="Arial"/>
          <w:color w:val="000000"/>
          <w:lang w:val="en-US"/>
        </w:rPr>
        <w:t xml:space="preserve">mg </w:t>
      </w:r>
      <w:r w:rsidRPr="009F0700">
        <w:rPr>
          <w:rFonts w:eastAsia="Times New Roman" w:cs="Arial"/>
          <w:color w:val="000000"/>
          <w:lang w:eastAsia="bg-BG"/>
        </w:rPr>
        <w:t>таблетки с удължено освобождаване може да предизвика хипогликемия, ако храненето е нередовно и особено ако се пропусне някое основно хранене.</w:t>
      </w:r>
    </w:p>
    <w:p w14:paraId="79514375" w14:textId="77777777" w:rsidR="009F0700" w:rsidRPr="009F0700" w:rsidRDefault="009F0700" w:rsidP="009F0700">
      <w:pPr>
        <w:spacing w:line="240" w:lineRule="auto"/>
        <w:rPr>
          <w:rFonts w:eastAsia="Times New Roman" w:cs="Arial"/>
          <w:sz w:val="24"/>
          <w:szCs w:val="24"/>
        </w:rPr>
      </w:pPr>
      <w:r w:rsidRPr="009F0700">
        <w:rPr>
          <w:rFonts w:eastAsia="Times New Roman" w:cs="Arial"/>
          <w:color w:val="000000"/>
          <w:lang w:eastAsia="bg-BG"/>
        </w:rPr>
        <w:t>Възможните симптоми на хипогликемия са: главоболие, силен глад, гадене, повръщане, отпадналост, разстройство на съня, възбуда, агресивност, намалена концентрация, намалена бдителност и забавени реакции, депресия, обърканост, разстройство на зрението и говора, афазия, тремор, пареза, сензорни нарушения, световъртеж, чувство на безсилие, загуба на самоконтрол, делириум, конвулсии, повърхностно дишане и брадикардия, сънливост и загуба на съзнанието, които могат да доведат до кома и летален край.</w:t>
      </w:r>
    </w:p>
    <w:p w14:paraId="3D95E03B" w14:textId="77777777" w:rsidR="009F0700" w:rsidRPr="009F0700" w:rsidRDefault="009F0700" w:rsidP="009F0700">
      <w:pPr>
        <w:spacing w:line="240" w:lineRule="auto"/>
        <w:rPr>
          <w:rFonts w:eastAsia="Times New Roman" w:cs="Arial"/>
          <w:sz w:val="24"/>
          <w:szCs w:val="24"/>
        </w:rPr>
      </w:pPr>
      <w:r w:rsidRPr="009F0700">
        <w:rPr>
          <w:rFonts w:eastAsia="Times New Roman" w:cs="Arial"/>
          <w:color w:val="000000"/>
          <w:lang w:eastAsia="bg-BG"/>
        </w:rPr>
        <w:t>Допълнително могат да се наблюдават симптоми на адренергична контрарегулация: изпотяване, хладна кожа, безпокойство, тахикардия, хипертония, палпитации, стенокардия и сърдечна аритмия.</w:t>
      </w:r>
    </w:p>
    <w:p w14:paraId="39C813AC" w14:textId="77777777" w:rsidR="009F0700" w:rsidRPr="009F0700" w:rsidRDefault="009F0700" w:rsidP="009F0700">
      <w:pPr>
        <w:spacing w:line="240" w:lineRule="auto"/>
        <w:rPr>
          <w:rFonts w:eastAsia="Times New Roman" w:cs="Arial"/>
          <w:sz w:val="24"/>
          <w:szCs w:val="24"/>
        </w:rPr>
      </w:pPr>
      <w:r w:rsidRPr="009F0700">
        <w:rPr>
          <w:rFonts w:eastAsia="Times New Roman" w:cs="Arial"/>
          <w:color w:val="000000"/>
          <w:lang w:eastAsia="bg-BG"/>
        </w:rPr>
        <w:t>Обикновено симптомите изчезват след приемане на въглехидрати и захар. Изкуствените подсладители обаче нямат ефект. Опитът с други сулфанилурейни продукти показва, че хипогликемията може да се появи отново, дори когато взетите мерки в началото се оказват ефективни.</w:t>
      </w:r>
    </w:p>
    <w:p w14:paraId="1FC48B95" w14:textId="77777777" w:rsidR="009F0700" w:rsidRPr="009F0700" w:rsidRDefault="009F0700" w:rsidP="009F0700">
      <w:pPr>
        <w:spacing w:line="240" w:lineRule="auto"/>
        <w:rPr>
          <w:rFonts w:eastAsia="Times New Roman" w:cs="Arial"/>
          <w:color w:val="000000"/>
          <w:lang w:eastAsia="bg-BG"/>
        </w:rPr>
      </w:pPr>
    </w:p>
    <w:p w14:paraId="4BA777F6" w14:textId="22A49A6A" w:rsidR="009F0700" w:rsidRPr="009F0700" w:rsidRDefault="009F0700" w:rsidP="009F0700">
      <w:pPr>
        <w:spacing w:line="240" w:lineRule="auto"/>
        <w:rPr>
          <w:rFonts w:eastAsia="Times New Roman" w:cs="Arial"/>
          <w:sz w:val="24"/>
          <w:szCs w:val="24"/>
        </w:rPr>
      </w:pPr>
      <w:r w:rsidRPr="009F0700">
        <w:rPr>
          <w:rFonts w:eastAsia="Times New Roman" w:cs="Arial"/>
          <w:color w:val="000000"/>
          <w:lang w:eastAsia="bg-BG"/>
        </w:rPr>
        <w:t>Ако хипогликемията е тежка и продължителна, дори ако тя бъде временно контролирана чрез приемане на захар, е необходима спешна медицинска помощ и дори хоспитализация.</w:t>
      </w:r>
    </w:p>
    <w:p w14:paraId="0337B0D1" w14:textId="77777777" w:rsidR="009F0700" w:rsidRPr="009F0700" w:rsidRDefault="009F0700" w:rsidP="009F0700">
      <w:pPr>
        <w:spacing w:line="240" w:lineRule="auto"/>
        <w:rPr>
          <w:rFonts w:eastAsia="Times New Roman" w:cs="Arial"/>
          <w:color w:val="000000"/>
          <w:u w:val="single"/>
          <w:lang w:eastAsia="bg-BG"/>
        </w:rPr>
      </w:pPr>
    </w:p>
    <w:p w14:paraId="72B20755" w14:textId="3AC719DB" w:rsidR="009F0700" w:rsidRPr="009F0700" w:rsidRDefault="009F0700" w:rsidP="009F0700">
      <w:pPr>
        <w:spacing w:line="240" w:lineRule="auto"/>
        <w:rPr>
          <w:rFonts w:eastAsia="Times New Roman" w:cs="Arial"/>
          <w:sz w:val="24"/>
          <w:szCs w:val="24"/>
        </w:rPr>
      </w:pPr>
      <w:r w:rsidRPr="009F0700">
        <w:rPr>
          <w:rFonts w:eastAsia="Times New Roman" w:cs="Arial"/>
          <w:color w:val="000000"/>
          <w:u w:val="single"/>
          <w:lang w:eastAsia="bg-BG"/>
        </w:rPr>
        <w:t>Други нежелани лекарствени реакции</w:t>
      </w:r>
    </w:p>
    <w:p w14:paraId="32D04875" w14:textId="41A0066B" w:rsidR="009F0700" w:rsidRPr="009F0700" w:rsidRDefault="009F0700" w:rsidP="009F0700">
      <w:pPr>
        <w:pStyle w:val="ListParagraph"/>
        <w:numPr>
          <w:ilvl w:val="0"/>
          <w:numId w:val="34"/>
        </w:numPr>
        <w:spacing w:line="240" w:lineRule="auto"/>
        <w:rPr>
          <w:rFonts w:eastAsia="Times New Roman" w:cs="Arial"/>
          <w:i/>
          <w:iCs/>
          <w:color w:val="000000"/>
          <w:lang w:eastAsia="bg-BG"/>
        </w:rPr>
      </w:pPr>
      <w:r w:rsidRPr="009F0700">
        <w:rPr>
          <w:rFonts w:eastAsia="Times New Roman" w:cs="Arial"/>
          <w:i/>
          <w:iCs/>
          <w:color w:val="000000"/>
          <w:lang w:eastAsia="bg-BG"/>
        </w:rPr>
        <w:t>Стомашно-чревни нарушения',</w:t>
      </w:r>
      <w:r w:rsidRPr="009F0700">
        <w:rPr>
          <w:rFonts w:eastAsia="Times New Roman" w:cs="Arial"/>
          <w:color w:val="000000"/>
          <w:lang w:eastAsia="bg-BG"/>
        </w:rPr>
        <w:t xml:space="preserve"> нечесто коремна болка, гадене, повръщане, диспепсия, диария и констипация - ако се появят такива, те могат да се избегнат или намалят при приемане на гликлазид по време на закуска.</w:t>
      </w:r>
    </w:p>
    <w:p w14:paraId="7689E1B3" w14:textId="77777777" w:rsidR="009F0700" w:rsidRPr="009F0700" w:rsidRDefault="009F0700" w:rsidP="009F0700">
      <w:pPr>
        <w:spacing w:line="240" w:lineRule="auto"/>
        <w:rPr>
          <w:rFonts w:eastAsia="Times New Roman" w:cs="Arial"/>
          <w:color w:val="000000"/>
          <w:lang w:eastAsia="bg-BG"/>
        </w:rPr>
      </w:pPr>
    </w:p>
    <w:p w14:paraId="7B787EA7" w14:textId="0A86F5A1" w:rsidR="009F0700" w:rsidRPr="009F0700" w:rsidRDefault="009F0700" w:rsidP="009F0700">
      <w:pPr>
        <w:spacing w:line="240" w:lineRule="auto"/>
        <w:rPr>
          <w:rFonts w:eastAsia="Times New Roman" w:cs="Arial"/>
          <w:sz w:val="24"/>
          <w:szCs w:val="24"/>
        </w:rPr>
      </w:pPr>
      <w:r w:rsidRPr="009F0700">
        <w:rPr>
          <w:rFonts w:eastAsia="Times New Roman" w:cs="Arial"/>
          <w:color w:val="000000"/>
          <w:lang w:eastAsia="bg-BG"/>
        </w:rPr>
        <w:t>Рядко се съобщава за следните нежелани реакции:</w:t>
      </w:r>
    </w:p>
    <w:p w14:paraId="589FB7D0" w14:textId="1B220DB7" w:rsidR="009F0700" w:rsidRPr="009F0700" w:rsidRDefault="009F0700" w:rsidP="009F0700">
      <w:pPr>
        <w:pStyle w:val="ListParagraph"/>
        <w:numPr>
          <w:ilvl w:val="0"/>
          <w:numId w:val="2"/>
        </w:numPr>
        <w:spacing w:line="240" w:lineRule="auto"/>
        <w:rPr>
          <w:rFonts w:eastAsia="Times New Roman" w:cs="Arial"/>
          <w:i/>
          <w:iCs/>
          <w:color w:val="000000"/>
          <w:lang w:eastAsia="bg-BG"/>
        </w:rPr>
      </w:pPr>
      <w:r w:rsidRPr="009F0700">
        <w:rPr>
          <w:rFonts w:eastAsia="Times New Roman" w:cs="Arial"/>
          <w:i/>
          <w:iCs/>
          <w:color w:val="000000"/>
          <w:lang w:eastAsia="bg-BG"/>
        </w:rPr>
        <w:lastRenderedPageBreak/>
        <w:t>Нарушения на кожата и подкожната тъкан:</w:t>
      </w:r>
      <w:r w:rsidRPr="009F0700">
        <w:rPr>
          <w:rFonts w:eastAsia="Times New Roman" w:cs="Arial"/>
          <w:color w:val="000000"/>
          <w:lang w:eastAsia="bg-BG"/>
        </w:rPr>
        <w:t xml:space="preserve"> обрив, сърбеж, уртикария, ангиоедем, еритема, макулопапуларни обриви, булозни реакции (като синдром на </w:t>
      </w:r>
      <w:r w:rsidRPr="009F0700">
        <w:rPr>
          <w:rFonts w:eastAsia="Times New Roman" w:cs="Arial"/>
          <w:color w:val="000000"/>
          <w:lang w:val="en-US"/>
        </w:rPr>
        <w:t xml:space="preserve">Stevens </w:t>
      </w:r>
      <w:r w:rsidRPr="009F0700">
        <w:rPr>
          <w:rFonts w:eastAsia="Times New Roman" w:cs="Arial"/>
          <w:color w:val="000000"/>
          <w:lang w:eastAsia="bg-BG"/>
        </w:rPr>
        <w:t xml:space="preserve">- </w:t>
      </w:r>
      <w:r w:rsidRPr="009F0700">
        <w:rPr>
          <w:rFonts w:eastAsia="Times New Roman" w:cs="Arial"/>
          <w:color w:val="000000"/>
          <w:lang w:val="en-US"/>
        </w:rPr>
        <w:t xml:space="preserve">Johnson </w:t>
      </w:r>
      <w:r w:rsidRPr="009F0700">
        <w:rPr>
          <w:rFonts w:eastAsia="Times New Roman" w:cs="Arial"/>
          <w:color w:val="000000"/>
          <w:lang w:eastAsia="bg-BG"/>
        </w:rPr>
        <w:t xml:space="preserve">и токсична епидермална некролиза) и в редки случаи обрив със системни симптоми на еозинофилия </w:t>
      </w:r>
      <w:r w:rsidRPr="009F0700">
        <w:rPr>
          <w:rFonts w:eastAsia="Times New Roman" w:cs="Arial"/>
          <w:color w:val="000000"/>
          <w:lang w:val="en-US"/>
        </w:rPr>
        <w:t xml:space="preserve">(DRESS </w:t>
      </w:r>
      <w:r w:rsidRPr="009F0700">
        <w:rPr>
          <w:rFonts w:eastAsia="Times New Roman" w:cs="Arial"/>
          <w:color w:val="000000"/>
          <w:lang w:eastAsia="bg-BG"/>
        </w:rPr>
        <w:t>синдром).</w:t>
      </w:r>
    </w:p>
    <w:p w14:paraId="025B9D2E" w14:textId="28170BF2" w:rsidR="009F0700" w:rsidRPr="009F0700" w:rsidRDefault="009F0700" w:rsidP="009F0700">
      <w:pPr>
        <w:pStyle w:val="ListParagraph"/>
        <w:numPr>
          <w:ilvl w:val="0"/>
          <w:numId w:val="2"/>
        </w:numPr>
        <w:spacing w:line="240" w:lineRule="auto"/>
        <w:rPr>
          <w:rFonts w:eastAsia="Times New Roman" w:cs="Arial"/>
          <w:i/>
          <w:iCs/>
          <w:color w:val="000000"/>
          <w:lang w:eastAsia="bg-BG"/>
        </w:rPr>
      </w:pPr>
      <w:r w:rsidRPr="009F0700">
        <w:rPr>
          <w:rFonts w:eastAsia="Times New Roman" w:cs="Arial"/>
          <w:i/>
          <w:iCs/>
          <w:color w:val="000000"/>
          <w:lang w:eastAsia="bg-BG"/>
        </w:rPr>
        <w:t>Нарушения на кръвта и лимфната система:</w:t>
      </w:r>
      <w:r w:rsidRPr="009F0700">
        <w:rPr>
          <w:rFonts w:eastAsia="Times New Roman" w:cs="Arial"/>
          <w:color w:val="000000"/>
          <w:lang w:eastAsia="bg-BG"/>
        </w:rPr>
        <w:t xml:space="preserve"> хематологичните отклонения са редки. Те могат да включват анемия, лев коления, тромбоцитопения, гранулоцитопения. Те обикновено изчезват след прекъсване на лечението.</w:t>
      </w:r>
    </w:p>
    <w:p w14:paraId="76F03EC2" w14:textId="5CAA9552" w:rsidR="009F0700" w:rsidRPr="009F0700" w:rsidRDefault="009F0700" w:rsidP="009F0700">
      <w:pPr>
        <w:pStyle w:val="ListParagraph"/>
        <w:numPr>
          <w:ilvl w:val="0"/>
          <w:numId w:val="2"/>
        </w:numPr>
        <w:spacing w:line="240" w:lineRule="auto"/>
        <w:rPr>
          <w:rFonts w:eastAsia="Times New Roman" w:cs="Arial"/>
          <w:i/>
          <w:iCs/>
          <w:color w:val="000000"/>
          <w:lang w:eastAsia="bg-BG"/>
        </w:rPr>
      </w:pPr>
      <w:r w:rsidRPr="009F0700">
        <w:rPr>
          <w:rFonts w:eastAsia="Times New Roman" w:cs="Arial"/>
          <w:i/>
          <w:iCs/>
          <w:color w:val="000000"/>
          <w:lang w:eastAsia="bg-BG"/>
        </w:rPr>
        <w:t>Хепато-билиарни нарушения:</w:t>
      </w:r>
      <w:r w:rsidRPr="009F0700">
        <w:rPr>
          <w:rFonts w:eastAsia="Times New Roman" w:cs="Arial"/>
          <w:color w:val="000000"/>
          <w:lang w:eastAsia="bg-BG"/>
        </w:rPr>
        <w:t xml:space="preserve"> повишени стойности на чернодробните ензими(</w:t>
      </w:r>
      <w:r w:rsidRPr="009F0700">
        <w:rPr>
          <w:rFonts w:eastAsia="Times New Roman" w:cs="Arial"/>
          <w:color w:val="000000"/>
          <w:lang w:val="en-US"/>
        </w:rPr>
        <w:t>ASAT, ALAT,</w:t>
      </w:r>
      <w:r w:rsidRPr="009F0700">
        <w:rPr>
          <w:rFonts w:eastAsia="Times New Roman" w:cs="Arial"/>
          <w:color w:val="000000"/>
          <w:lang w:eastAsia="bg-BG"/>
        </w:rPr>
        <w:t xml:space="preserve"> алкална фосфатаза), хепатит (единични съобщения). Лечението следва да се прекъсне ако се</w:t>
      </w:r>
      <w:r>
        <w:rPr>
          <w:rFonts w:eastAsia="Times New Roman" w:cs="Arial"/>
          <w:color w:val="000000"/>
          <w:lang w:eastAsia="bg-BG"/>
        </w:rPr>
        <w:t xml:space="preserve"> </w:t>
      </w:r>
      <w:r w:rsidRPr="009F0700">
        <w:rPr>
          <w:rFonts w:eastAsia="Times New Roman" w:cs="Arial"/>
          <w:color w:val="000000"/>
          <w:lang w:eastAsia="bg-BG"/>
        </w:rPr>
        <w:t>появи холестатична жълтеница.</w:t>
      </w:r>
    </w:p>
    <w:p w14:paraId="79A49A79" w14:textId="172F496D" w:rsidR="009F0700" w:rsidRDefault="009F0700" w:rsidP="009F0700">
      <w:pPr>
        <w:spacing w:line="240" w:lineRule="auto"/>
        <w:rPr>
          <w:rFonts w:eastAsia="Times New Roman" w:cs="Arial"/>
          <w:color w:val="000000"/>
          <w:lang w:eastAsia="bg-BG"/>
        </w:rPr>
      </w:pPr>
      <w:r w:rsidRPr="009F0700">
        <w:rPr>
          <w:rFonts w:eastAsia="Times New Roman" w:cs="Arial"/>
          <w:color w:val="000000"/>
          <w:lang w:eastAsia="bg-BG"/>
        </w:rPr>
        <w:t>Тези симптоми обикновено изчезват след прекратяване на лечението.</w:t>
      </w:r>
    </w:p>
    <w:p w14:paraId="0C209DE3" w14:textId="5A55C549" w:rsidR="009F0700" w:rsidRDefault="009F0700" w:rsidP="009F0700">
      <w:pPr>
        <w:spacing w:line="240" w:lineRule="auto"/>
        <w:rPr>
          <w:rFonts w:eastAsia="Times New Roman" w:cs="Arial"/>
          <w:color w:val="000000"/>
          <w:lang w:eastAsia="bg-BG"/>
        </w:rPr>
      </w:pPr>
    </w:p>
    <w:p w14:paraId="63C21E1F" w14:textId="01AC65D3" w:rsidR="009F0700" w:rsidRPr="009F0700" w:rsidRDefault="009F0700" w:rsidP="009F0700">
      <w:pPr>
        <w:pStyle w:val="ListParagraph"/>
        <w:numPr>
          <w:ilvl w:val="0"/>
          <w:numId w:val="2"/>
        </w:numPr>
        <w:spacing w:line="240" w:lineRule="auto"/>
        <w:rPr>
          <w:rFonts w:eastAsia="Times New Roman" w:cs="Arial"/>
          <w:i/>
          <w:iCs/>
          <w:color w:val="000000"/>
          <w:lang w:eastAsia="bg-BG"/>
        </w:rPr>
      </w:pPr>
      <w:r w:rsidRPr="009F0700">
        <w:rPr>
          <w:rFonts w:eastAsia="Times New Roman" w:cs="Arial"/>
          <w:i/>
          <w:iCs/>
          <w:color w:val="000000"/>
          <w:lang w:eastAsia="bg-BG"/>
        </w:rPr>
        <w:t>Нарушения на очите:</w:t>
      </w:r>
      <w:r w:rsidRPr="009F0700">
        <w:rPr>
          <w:rFonts w:eastAsia="Times New Roman" w:cs="Arial"/>
          <w:color w:val="000000"/>
          <w:lang w:eastAsia="bg-BG"/>
        </w:rPr>
        <w:t xml:space="preserve"> преходни зрителни нарушения могат да се появят, особено в началото на лечението, в резултат на промяна на стойностите на кръвната захар.</w:t>
      </w:r>
    </w:p>
    <w:p w14:paraId="0DA6D376" w14:textId="77777777" w:rsidR="009F0700" w:rsidRPr="009F0700" w:rsidRDefault="009F0700" w:rsidP="009F0700">
      <w:pPr>
        <w:spacing w:line="240" w:lineRule="auto"/>
        <w:rPr>
          <w:rFonts w:eastAsia="Times New Roman" w:cs="Arial"/>
          <w:color w:val="000000"/>
          <w:u w:val="single"/>
          <w:lang w:eastAsia="bg-BG"/>
        </w:rPr>
      </w:pPr>
    </w:p>
    <w:p w14:paraId="290A7703" w14:textId="379FEF29" w:rsidR="009F0700" w:rsidRPr="009F0700" w:rsidRDefault="009F0700" w:rsidP="009F0700">
      <w:pPr>
        <w:spacing w:line="240" w:lineRule="auto"/>
        <w:rPr>
          <w:rFonts w:eastAsia="Times New Roman" w:cs="Arial"/>
        </w:rPr>
      </w:pPr>
      <w:r w:rsidRPr="009F0700">
        <w:rPr>
          <w:rFonts w:eastAsia="Times New Roman" w:cs="Arial"/>
          <w:color w:val="000000"/>
          <w:u w:val="single"/>
          <w:lang w:eastAsia="bg-BG"/>
        </w:rPr>
        <w:t>Ефекти, свързани с терапевтичния клас</w:t>
      </w:r>
    </w:p>
    <w:p w14:paraId="11846936" w14:textId="77777777" w:rsidR="009F0700" w:rsidRPr="009F0700" w:rsidRDefault="009F0700" w:rsidP="009F0700">
      <w:pPr>
        <w:spacing w:line="240" w:lineRule="auto"/>
        <w:rPr>
          <w:rFonts w:eastAsia="Times New Roman" w:cs="Arial"/>
        </w:rPr>
      </w:pPr>
      <w:r w:rsidRPr="009F0700">
        <w:rPr>
          <w:rFonts w:eastAsia="Times New Roman" w:cs="Arial"/>
          <w:color w:val="000000"/>
          <w:lang w:eastAsia="bg-BG"/>
        </w:rPr>
        <w:t>Случаи на еритроцитопения, агранулоцитоза, хемолитична анемия, панцитопения, алергичен васкулит и хипонатриемия са описани за други сулфанилурейни продукти.</w:t>
      </w:r>
    </w:p>
    <w:p w14:paraId="1FC4FC29" w14:textId="77777777" w:rsidR="009F0700" w:rsidRPr="009F0700" w:rsidRDefault="009F0700" w:rsidP="009F0700">
      <w:pPr>
        <w:spacing w:line="240" w:lineRule="auto"/>
        <w:rPr>
          <w:rFonts w:eastAsia="Times New Roman" w:cs="Arial"/>
        </w:rPr>
      </w:pPr>
      <w:r w:rsidRPr="009F0700">
        <w:rPr>
          <w:rFonts w:eastAsia="Times New Roman" w:cs="Arial"/>
          <w:color w:val="000000"/>
          <w:lang w:eastAsia="bg-BG"/>
        </w:rPr>
        <w:t>При други сулфанилурейни продукти са наблюдавани случаи на повишение на стойностите на чернодробните ензими и дори нарушение на функцията на черния дроб (напр. холестаза и жълтеница) и хепатит, които са регресирали след спирането на сулфанилурейния продукт или в изолирани случаи са довели до животозастрашаваща чернодробна недостатъчност.</w:t>
      </w:r>
    </w:p>
    <w:p w14:paraId="46DD6CB3" w14:textId="77777777" w:rsidR="009F0700" w:rsidRPr="009F0700" w:rsidRDefault="009F0700" w:rsidP="009F0700">
      <w:pPr>
        <w:spacing w:line="240" w:lineRule="auto"/>
        <w:rPr>
          <w:rFonts w:eastAsia="Times New Roman" w:cs="Arial"/>
          <w:color w:val="000000"/>
          <w:u w:val="single"/>
          <w:lang w:eastAsia="bg-BG"/>
        </w:rPr>
      </w:pPr>
    </w:p>
    <w:p w14:paraId="630A6591" w14:textId="675F1CB6" w:rsidR="009F0700" w:rsidRPr="009F0700" w:rsidRDefault="009F0700" w:rsidP="009F0700">
      <w:pPr>
        <w:spacing w:line="240" w:lineRule="auto"/>
        <w:rPr>
          <w:rFonts w:eastAsia="Times New Roman" w:cs="Arial"/>
        </w:rPr>
      </w:pPr>
      <w:r w:rsidRPr="009F0700">
        <w:rPr>
          <w:rFonts w:eastAsia="Times New Roman" w:cs="Arial"/>
          <w:color w:val="000000"/>
          <w:u w:val="single"/>
          <w:lang w:eastAsia="bg-BG"/>
        </w:rPr>
        <w:t>Съобщаване на подозирани нежелани реакции</w:t>
      </w:r>
    </w:p>
    <w:p w14:paraId="20E7601E" w14:textId="77777777" w:rsidR="009F0700" w:rsidRPr="009F0700" w:rsidRDefault="009F0700" w:rsidP="009F0700">
      <w:pPr>
        <w:spacing w:line="240" w:lineRule="auto"/>
        <w:rPr>
          <w:rFonts w:eastAsia="Times New Roman" w:cs="Arial"/>
        </w:rPr>
      </w:pPr>
      <w:r w:rsidRPr="009F0700">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ул.,Дамян Груев” № 8, 1303 София, тел.: +35 928903417, уебсайт: </w:t>
      </w:r>
      <w:r w:rsidRPr="009F0700">
        <w:rPr>
          <w:rFonts w:eastAsia="Times New Roman" w:cs="Arial"/>
        </w:rPr>
        <w:fldChar w:fldCharType="begin"/>
      </w:r>
      <w:r w:rsidRPr="009F0700">
        <w:rPr>
          <w:rFonts w:eastAsia="Times New Roman" w:cs="Arial"/>
        </w:rPr>
        <w:instrText xml:space="preserve"> HYPERLINK "http://www.bda.bg" </w:instrText>
      </w:r>
      <w:r w:rsidRPr="009F0700">
        <w:rPr>
          <w:rFonts w:eastAsia="Times New Roman" w:cs="Arial"/>
        </w:rPr>
      </w:r>
      <w:r w:rsidRPr="009F0700">
        <w:rPr>
          <w:rFonts w:eastAsia="Times New Roman" w:cs="Arial"/>
        </w:rPr>
        <w:fldChar w:fldCharType="separate"/>
      </w:r>
      <w:r w:rsidRPr="009F0700">
        <w:rPr>
          <w:rFonts w:eastAsia="Times New Roman" w:cs="Arial"/>
          <w:color w:val="000000"/>
          <w:u w:val="single"/>
          <w:lang w:val="en-US"/>
        </w:rPr>
        <w:t>www.bda.bg</w:t>
      </w:r>
      <w:r w:rsidRPr="009F0700">
        <w:rPr>
          <w:rFonts w:eastAsia="Times New Roman" w:cs="Arial"/>
        </w:rPr>
        <w:fldChar w:fldCharType="end"/>
      </w:r>
      <w:r w:rsidRPr="009F0700">
        <w:rPr>
          <w:rFonts w:eastAsia="Times New Roman" w:cs="Arial"/>
          <w:color w:val="000000"/>
          <w:lang w:val="en-US"/>
        </w:rPr>
        <w:t>.</w:t>
      </w:r>
    </w:p>
    <w:p w14:paraId="277E67B9" w14:textId="77777777" w:rsidR="009F0700" w:rsidRPr="009F0700" w:rsidRDefault="009F0700" w:rsidP="009F0700">
      <w:pPr>
        <w:spacing w:line="240" w:lineRule="auto"/>
        <w:rPr>
          <w:rFonts w:eastAsia="Times New Roman" w:cs="Arial"/>
          <w:sz w:val="24"/>
          <w:szCs w:val="24"/>
        </w:rPr>
      </w:pPr>
    </w:p>
    <w:p w14:paraId="41A64BAD" w14:textId="77777777" w:rsidR="009F0700" w:rsidRPr="009F0700" w:rsidRDefault="009F0700" w:rsidP="009F0700"/>
    <w:p w14:paraId="4ED30546" w14:textId="16108EE7" w:rsidR="007C605B" w:rsidRDefault="002C50EE" w:rsidP="009F1313">
      <w:pPr>
        <w:pStyle w:val="Heading2"/>
      </w:pPr>
      <w:r>
        <w:t>4.9. Предозиране</w:t>
      </w:r>
    </w:p>
    <w:p w14:paraId="1446F110" w14:textId="009AAEAF" w:rsidR="009F0700" w:rsidRDefault="009F0700" w:rsidP="009F0700"/>
    <w:p w14:paraId="7B3FA528" w14:textId="77777777" w:rsidR="009F0700" w:rsidRPr="009F0700" w:rsidRDefault="009F0700" w:rsidP="009F0700">
      <w:pPr>
        <w:spacing w:line="240" w:lineRule="auto"/>
        <w:rPr>
          <w:rFonts w:eastAsia="Times New Roman" w:cs="Arial"/>
          <w:sz w:val="24"/>
          <w:szCs w:val="24"/>
        </w:rPr>
      </w:pPr>
      <w:r w:rsidRPr="009F0700">
        <w:rPr>
          <w:rFonts w:eastAsia="Times New Roman" w:cs="Arial"/>
          <w:color w:val="000000"/>
          <w:lang w:eastAsia="bg-BG"/>
        </w:rPr>
        <w:t>Предозирането със сулфанилурейните продукти предизвиква хипогликемия. Умерени симптоми на хипогликемия, без всякаква загуба на съзнание или неврологична симптоматика, трябва да се коригират с приемането на въглехидрати, коригиране на дозата и/или промяна в диетата. Стриктното мониториране трябва да продължи, докато лекарят е сигурен, че болният е извън опасност.</w:t>
      </w:r>
    </w:p>
    <w:p w14:paraId="53AFE5C4" w14:textId="77777777" w:rsidR="009F0700" w:rsidRPr="009F0700" w:rsidRDefault="009F0700" w:rsidP="009F0700">
      <w:pPr>
        <w:spacing w:line="240" w:lineRule="auto"/>
        <w:rPr>
          <w:rFonts w:eastAsia="Times New Roman" w:cs="Arial"/>
          <w:sz w:val="24"/>
          <w:szCs w:val="24"/>
        </w:rPr>
      </w:pPr>
      <w:r w:rsidRPr="009F0700">
        <w:rPr>
          <w:rFonts w:eastAsia="Times New Roman" w:cs="Arial"/>
          <w:color w:val="000000"/>
          <w:lang w:eastAsia="bg-BG"/>
        </w:rPr>
        <w:t>Възможни са тежки хипогликемични реакции с кома, конвулсии или други неврологични нарушения, които трябва да се третират като спешни медицински случаи, изискващи незабавна хоспитализация.</w:t>
      </w:r>
    </w:p>
    <w:p w14:paraId="1E0E8252" w14:textId="77777777" w:rsidR="009F0700" w:rsidRPr="009F0700" w:rsidRDefault="009F0700" w:rsidP="009F0700">
      <w:pPr>
        <w:spacing w:line="240" w:lineRule="auto"/>
        <w:rPr>
          <w:rFonts w:eastAsia="Times New Roman" w:cs="Arial"/>
          <w:sz w:val="24"/>
          <w:szCs w:val="24"/>
        </w:rPr>
      </w:pPr>
      <w:r w:rsidRPr="009F0700">
        <w:rPr>
          <w:rFonts w:eastAsia="Times New Roman" w:cs="Arial"/>
          <w:color w:val="000000"/>
          <w:lang w:eastAsia="bg-BG"/>
        </w:rPr>
        <w:t xml:space="preserve">Ако се диагностицира или се подозира хипогликемична кома, на пациента трябва да се приложи бързо интравенозно 50 </w:t>
      </w:r>
      <w:r w:rsidRPr="009F0700">
        <w:rPr>
          <w:rFonts w:eastAsia="Times New Roman" w:cs="Arial"/>
          <w:color w:val="000000"/>
          <w:lang w:val="en-US"/>
        </w:rPr>
        <w:t xml:space="preserve">ml </w:t>
      </w:r>
      <w:r w:rsidRPr="009F0700">
        <w:rPr>
          <w:rFonts w:eastAsia="Times New Roman" w:cs="Arial"/>
          <w:color w:val="000000"/>
          <w:lang w:eastAsia="bg-BG"/>
        </w:rPr>
        <w:t xml:space="preserve">концентриран разтвор на глюкоза (20 до 30%). Това трябва да бъде последвано от непрекъсната инфузия на разтвор на глюкоза с по-ниска концентрация (10%) със скорост, която да поддържа стойностите на кръвната захар над 1 </w:t>
      </w:r>
      <w:r w:rsidRPr="009F0700">
        <w:rPr>
          <w:rFonts w:eastAsia="Times New Roman" w:cs="Arial"/>
          <w:color w:val="000000"/>
          <w:lang w:val="en-US"/>
        </w:rPr>
        <w:lastRenderedPageBreak/>
        <w:t xml:space="preserve">g/1. </w:t>
      </w:r>
      <w:r w:rsidRPr="009F0700">
        <w:rPr>
          <w:rFonts w:eastAsia="Times New Roman" w:cs="Arial"/>
          <w:color w:val="000000"/>
          <w:lang w:eastAsia="bg-BG"/>
        </w:rPr>
        <w:t>Пациентите трябва внимателно да се наблюдават и в зависимост от тяхното общо състояние, лекарят преценява дали е необходимо по-нататъшно проследяване.</w:t>
      </w:r>
    </w:p>
    <w:p w14:paraId="2DAA4FC5" w14:textId="77777777" w:rsidR="009F0700" w:rsidRPr="009F0700" w:rsidRDefault="009F0700" w:rsidP="009F0700">
      <w:pPr>
        <w:spacing w:line="240" w:lineRule="auto"/>
        <w:rPr>
          <w:rFonts w:eastAsia="Times New Roman" w:cs="Arial"/>
          <w:sz w:val="24"/>
          <w:szCs w:val="24"/>
        </w:rPr>
      </w:pPr>
      <w:r w:rsidRPr="009F0700">
        <w:rPr>
          <w:rFonts w:eastAsia="Times New Roman" w:cs="Arial"/>
          <w:color w:val="000000"/>
          <w:lang w:eastAsia="bg-BG"/>
        </w:rPr>
        <w:t>Диализата не води до подобрение на състоянието на пациентите, тъй като гликлазид се свързва във висока степен с плазмените протеини.</w:t>
      </w:r>
    </w:p>
    <w:p w14:paraId="492C2812" w14:textId="77777777" w:rsidR="009F0700" w:rsidRPr="009F0700" w:rsidRDefault="009F0700" w:rsidP="009F0700"/>
    <w:p w14:paraId="02081B24" w14:textId="1F46E296" w:rsidR="00395555" w:rsidRPr="00395555" w:rsidRDefault="002C50EE" w:rsidP="008A6AF2">
      <w:pPr>
        <w:pStyle w:val="Heading1"/>
      </w:pPr>
      <w:r>
        <w:t>5. ФАРМАКОЛОГИЧНИ СВОЙСТВА</w:t>
      </w:r>
    </w:p>
    <w:p w14:paraId="5350637D" w14:textId="2933E23C" w:rsidR="00395555" w:rsidRDefault="002C50EE" w:rsidP="008A6AF2">
      <w:pPr>
        <w:pStyle w:val="Heading2"/>
      </w:pPr>
      <w:r>
        <w:t>5.1. Фармакодинамични свойства</w:t>
      </w:r>
    </w:p>
    <w:p w14:paraId="467AE2E0" w14:textId="735E855C" w:rsidR="009F0700" w:rsidRDefault="009F0700" w:rsidP="009F0700"/>
    <w:p w14:paraId="29EE1633" w14:textId="77777777" w:rsidR="009F0700" w:rsidRPr="009F0700" w:rsidRDefault="009F0700" w:rsidP="009F0700">
      <w:pPr>
        <w:spacing w:line="240" w:lineRule="auto"/>
        <w:rPr>
          <w:rFonts w:eastAsia="Times New Roman" w:cs="Arial"/>
          <w:sz w:val="24"/>
          <w:szCs w:val="24"/>
        </w:rPr>
      </w:pPr>
      <w:r w:rsidRPr="009F0700">
        <w:rPr>
          <w:rFonts w:eastAsia="Times New Roman" w:cs="Arial"/>
          <w:color w:val="000000"/>
          <w:lang w:eastAsia="bg-BG"/>
        </w:rPr>
        <w:t>Фармакотерапевтична група: сулфонамиди, производни на уреята</w:t>
      </w:r>
    </w:p>
    <w:p w14:paraId="2DD65BC6" w14:textId="77777777" w:rsidR="009F0700" w:rsidRPr="009F0700" w:rsidRDefault="009F0700" w:rsidP="009F0700">
      <w:pPr>
        <w:spacing w:line="240" w:lineRule="auto"/>
        <w:rPr>
          <w:rFonts w:eastAsia="Times New Roman" w:cs="Arial"/>
          <w:sz w:val="24"/>
          <w:szCs w:val="24"/>
        </w:rPr>
      </w:pPr>
      <w:r w:rsidRPr="009F0700">
        <w:rPr>
          <w:rFonts w:eastAsia="Times New Roman" w:cs="Arial"/>
          <w:color w:val="000000"/>
          <w:lang w:eastAsia="bg-BG"/>
        </w:rPr>
        <w:t>АТС код: А10ВВ09</w:t>
      </w:r>
    </w:p>
    <w:p w14:paraId="109852EF" w14:textId="77777777" w:rsidR="009F0700" w:rsidRPr="009F0700" w:rsidRDefault="009F0700" w:rsidP="009F0700">
      <w:pPr>
        <w:spacing w:line="240" w:lineRule="auto"/>
        <w:rPr>
          <w:rFonts w:eastAsia="Times New Roman" w:cs="Arial"/>
          <w:color w:val="000000"/>
          <w:lang w:eastAsia="bg-BG"/>
        </w:rPr>
      </w:pPr>
    </w:p>
    <w:p w14:paraId="138B8C14" w14:textId="2A4E156A" w:rsidR="009F0700" w:rsidRPr="009F0700" w:rsidRDefault="009F0700" w:rsidP="009F0700">
      <w:pPr>
        <w:spacing w:line="240" w:lineRule="auto"/>
        <w:rPr>
          <w:rFonts w:eastAsia="Times New Roman" w:cs="Arial"/>
          <w:sz w:val="24"/>
          <w:szCs w:val="24"/>
        </w:rPr>
      </w:pPr>
      <w:r w:rsidRPr="009F0700">
        <w:rPr>
          <w:rFonts w:eastAsia="Times New Roman" w:cs="Arial"/>
          <w:color w:val="000000"/>
          <w:lang w:eastAsia="bg-BG"/>
        </w:rPr>
        <w:t xml:space="preserve">Гликлазид е хипогликемизиращ сулфанилуреен перорален антидиабетен продукт, различаващ се от сродните съединения по наличието на </w:t>
      </w:r>
      <w:r w:rsidRPr="009F0700">
        <w:rPr>
          <w:rFonts w:eastAsia="Times New Roman" w:cs="Arial"/>
          <w:color w:val="000000"/>
          <w:lang w:val="en-US"/>
        </w:rPr>
        <w:t>N</w:t>
      </w:r>
      <w:r w:rsidRPr="009F0700">
        <w:rPr>
          <w:rFonts w:eastAsia="Times New Roman" w:cs="Arial"/>
          <w:color w:val="000000"/>
          <w:lang w:eastAsia="bg-BG"/>
        </w:rPr>
        <w:t>-съдържащ хетеро цикличен пръстен и ендоциклична връзка.</w:t>
      </w:r>
    </w:p>
    <w:p w14:paraId="6B89AA3D" w14:textId="77777777" w:rsidR="009F0700" w:rsidRPr="009F0700" w:rsidRDefault="009F0700" w:rsidP="009F0700">
      <w:pPr>
        <w:spacing w:line="240" w:lineRule="auto"/>
        <w:rPr>
          <w:rFonts w:eastAsia="Times New Roman" w:cs="Arial"/>
          <w:sz w:val="24"/>
          <w:szCs w:val="24"/>
        </w:rPr>
      </w:pPr>
      <w:r w:rsidRPr="009F0700">
        <w:rPr>
          <w:rFonts w:eastAsia="Times New Roman" w:cs="Arial"/>
          <w:color w:val="000000"/>
          <w:lang w:eastAsia="bg-BG"/>
        </w:rPr>
        <w:t>Гликлазид понижава стойностите на кръвната захар чрез стимулиране на инсулиновата секреция от бета-клетките на Лангерхансовите острови. Повишаването на постпрандиалния инсулин и С-пептидната секреция продължават две години след лечението.</w:t>
      </w:r>
    </w:p>
    <w:p w14:paraId="5024AEAD" w14:textId="77777777" w:rsidR="009F0700" w:rsidRPr="009F0700" w:rsidRDefault="009F0700" w:rsidP="009F0700">
      <w:pPr>
        <w:spacing w:line="240" w:lineRule="auto"/>
        <w:rPr>
          <w:rFonts w:eastAsia="Times New Roman" w:cs="Arial"/>
          <w:color w:val="000000"/>
          <w:lang w:eastAsia="bg-BG"/>
        </w:rPr>
      </w:pPr>
    </w:p>
    <w:p w14:paraId="1B54D13C" w14:textId="7A52A8DA" w:rsidR="009F0700" w:rsidRPr="009F0700" w:rsidRDefault="009F0700" w:rsidP="009F0700">
      <w:pPr>
        <w:spacing w:line="240" w:lineRule="auto"/>
        <w:rPr>
          <w:rFonts w:eastAsia="Times New Roman" w:cs="Arial"/>
          <w:sz w:val="24"/>
          <w:szCs w:val="24"/>
        </w:rPr>
      </w:pPr>
      <w:r w:rsidRPr="009F0700">
        <w:rPr>
          <w:rFonts w:eastAsia="Times New Roman" w:cs="Arial"/>
          <w:color w:val="000000"/>
          <w:lang w:eastAsia="bg-BG"/>
        </w:rPr>
        <w:t>Допълнително към тези метаболитни ефекти, гликлазид притежава и хемоваскуларни свойства.</w:t>
      </w:r>
    </w:p>
    <w:p w14:paraId="0192DDC6" w14:textId="77777777" w:rsidR="009F0700" w:rsidRPr="009F0700" w:rsidRDefault="009F0700" w:rsidP="009F0700">
      <w:pPr>
        <w:spacing w:line="240" w:lineRule="auto"/>
        <w:rPr>
          <w:rFonts w:eastAsia="Times New Roman" w:cs="Arial"/>
          <w:color w:val="000000"/>
          <w:u w:val="single"/>
          <w:lang w:eastAsia="bg-BG"/>
        </w:rPr>
      </w:pPr>
    </w:p>
    <w:p w14:paraId="1FEBB401" w14:textId="39AB7421" w:rsidR="009F0700" w:rsidRPr="009F0700" w:rsidRDefault="009F0700" w:rsidP="009F0700">
      <w:pPr>
        <w:spacing w:line="240" w:lineRule="auto"/>
        <w:rPr>
          <w:rFonts w:eastAsia="Times New Roman" w:cs="Arial"/>
          <w:sz w:val="24"/>
          <w:szCs w:val="24"/>
        </w:rPr>
      </w:pPr>
      <w:r w:rsidRPr="009F0700">
        <w:rPr>
          <w:rFonts w:eastAsia="Times New Roman" w:cs="Arial"/>
          <w:color w:val="000000"/>
          <w:u w:val="single"/>
          <w:lang w:eastAsia="bg-BG"/>
        </w:rPr>
        <w:t>Ефекти върху секрецията на инсулин</w:t>
      </w:r>
    </w:p>
    <w:p w14:paraId="03C52C55" w14:textId="77777777" w:rsidR="009F0700" w:rsidRPr="009F0700" w:rsidRDefault="009F0700" w:rsidP="009F0700">
      <w:pPr>
        <w:rPr>
          <w:rFonts w:eastAsia="Times New Roman" w:cs="Arial"/>
          <w:sz w:val="24"/>
          <w:szCs w:val="24"/>
        </w:rPr>
      </w:pPr>
      <w:r w:rsidRPr="009F0700">
        <w:rPr>
          <w:rFonts w:eastAsia="Times New Roman" w:cs="Arial"/>
          <w:color w:val="000000"/>
          <w:lang w:eastAsia="bg-BG"/>
        </w:rPr>
        <w:t>При пациенти с диабет тип 2 гликлазид възстановява първия пик на секрецията на инсулин в отговор на глюкозата и повишава втората фаза на секрецията на инсулин. Значимо увеличаване на инсулиновия отговор се наблюдава след стимулация, предизвикана от прием на храна или глюкоза.</w:t>
      </w:r>
    </w:p>
    <w:p w14:paraId="2620197C" w14:textId="77777777" w:rsidR="009F0700" w:rsidRPr="009F0700" w:rsidRDefault="009F0700" w:rsidP="009F0700">
      <w:pPr>
        <w:spacing w:line="240" w:lineRule="auto"/>
        <w:rPr>
          <w:rFonts w:eastAsia="Times New Roman" w:cs="Arial"/>
          <w:color w:val="000000"/>
          <w:u w:val="single"/>
          <w:lang w:eastAsia="bg-BG"/>
        </w:rPr>
      </w:pPr>
    </w:p>
    <w:p w14:paraId="3E4265C3" w14:textId="27BD5985" w:rsidR="009F0700" w:rsidRPr="009F0700" w:rsidRDefault="009F0700" w:rsidP="009F0700">
      <w:pPr>
        <w:spacing w:line="240" w:lineRule="auto"/>
        <w:rPr>
          <w:rFonts w:eastAsia="Times New Roman" w:cs="Arial"/>
          <w:sz w:val="24"/>
          <w:szCs w:val="24"/>
        </w:rPr>
      </w:pPr>
      <w:r w:rsidRPr="009F0700">
        <w:rPr>
          <w:rFonts w:eastAsia="Times New Roman" w:cs="Arial"/>
          <w:color w:val="000000"/>
          <w:u w:val="single"/>
          <w:lang w:eastAsia="bg-BG"/>
        </w:rPr>
        <w:t>Хемоваскуларни свойства</w:t>
      </w:r>
    </w:p>
    <w:p w14:paraId="1446BC1D" w14:textId="77777777" w:rsidR="009F0700" w:rsidRPr="009F0700" w:rsidRDefault="009F0700" w:rsidP="009F0700">
      <w:pPr>
        <w:spacing w:line="240" w:lineRule="auto"/>
        <w:rPr>
          <w:rFonts w:eastAsia="Times New Roman" w:cs="Arial"/>
          <w:sz w:val="24"/>
          <w:szCs w:val="24"/>
        </w:rPr>
      </w:pPr>
      <w:r w:rsidRPr="009F0700">
        <w:rPr>
          <w:rFonts w:eastAsia="Times New Roman" w:cs="Arial"/>
          <w:color w:val="000000"/>
          <w:lang w:eastAsia="bg-BG"/>
        </w:rPr>
        <w:t>Гликлазид намалява микротромбозата, която има значение за усложненията на диабета, чрез два механизма:</w:t>
      </w:r>
    </w:p>
    <w:p w14:paraId="5E74610C" w14:textId="77777777" w:rsidR="009F0700" w:rsidRPr="009F0700" w:rsidRDefault="009F0700" w:rsidP="009F0700">
      <w:pPr>
        <w:pStyle w:val="ListParagraph"/>
        <w:numPr>
          <w:ilvl w:val="0"/>
          <w:numId w:val="34"/>
        </w:numPr>
        <w:spacing w:line="240" w:lineRule="auto"/>
        <w:rPr>
          <w:rFonts w:eastAsia="Times New Roman" w:cs="Arial"/>
          <w:sz w:val="24"/>
          <w:szCs w:val="24"/>
        </w:rPr>
      </w:pPr>
      <w:r w:rsidRPr="009F0700">
        <w:rPr>
          <w:rFonts w:eastAsia="Times New Roman" w:cs="Arial"/>
          <w:color w:val="000000"/>
          <w:lang w:eastAsia="bg-BG"/>
        </w:rPr>
        <w:t>потиска частично агрегацията и адхезията на тромбоцитите, което води до намаляване на маркерите на тромбоцитното активиране (бета-тромбоглобин, тромбоксан В</w:t>
      </w:r>
      <w:r w:rsidRPr="009F0700">
        <w:rPr>
          <w:rFonts w:eastAsia="Times New Roman" w:cs="Arial"/>
          <w:color w:val="000000"/>
          <w:vertAlign w:val="subscript"/>
          <w:lang w:eastAsia="bg-BG"/>
        </w:rPr>
        <w:t>2</w:t>
      </w:r>
      <w:r w:rsidRPr="009F0700">
        <w:rPr>
          <w:rFonts w:eastAsia="Times New Roman" w:cs="Arial"/>
          <w:color w:val="000000"/>
          <w:lang w:eastAsia="bg-BG"/>
        </w:rPr>
        <w:t>);.</w:t>
      </w:r>
    </w:p>
    <w:p w14:paraId="62E5DF88" w14:textId="0267AD6A" w:rsidR="009F0700" w:rsidRPr="009F0700" w:rsidRDefault="009F0700" w:rsidP="009F0700">
      <w:pPr>
        <w:pStyle w:val="ListParagraph"/>
        <w:numPr>
          <w:ilvl w:val="0"/>
          <w:numId w:val="34"/>
        </w:numPr>
        <w:spacing w:line="240" w:lineRule="auto"/>
        <w:rPr>
          <w:rFonts w:eastAsia="Times New Roman" w:cs="Arial"/>
          <w:sz w:val="24"/>
          <w:szCs w:val="24"/>
        </w:rPr>
      </w:pPr>
      <w:r w:rsidRPr="009F0700">
        <w:rPr>
          <w:rFonts w:eastAsia="Times New Roman" w:cs="Arial"/>
          <w:color w:val="000000"/>
          <w:lang w:eastAsia="bg-BG"/>
        </w:rPr>
        <w:t xml:space="preserve">повлиява фибринолитичната активност на съдовия ендотел, което води до повишаване на активността на </w:t>
      </w:r>
      <w:proofErr w:type="spellStart"/>
      <w:r w:rsidRPr="009F0700">
        <w:rPr>
          <w:rFonts w:eastAsia="Times New Roman" w:cs="Arial"/>
          <w:color w:val="000000"/>
          <w:lang w:val="en-US"/>
        </w:rPr>
        <w:t>tPA</w:t>
      </w:r>
      <w:proofErr w:type="spellEnd"/>
      <w:r w:rsidRPr="009F0700">
        <w:rPr>
          <w:rFonts w:eastAsia="Times New Roman" w:cs="Arial"/>
          <w:color w:val="000000"/>
          <w:lang w:val="en-US"/>
        </w:rPr>
        <w:t>.</w:t>
      </w:r>
    </w:p>
    <w:p w14:paraId="0C2F2066" w14:textId="3EB262FB" w:rsidR="009F0700" w:rsidRPr="009F0700" w:rsidRDefault="009F0700" w:rsidP="009F0700"/>
    <w:p w14:paraId="26535098" w14:textId="31BBE347" w:rsidR="00395555" w:rsidRDefault="002C50EE" w:rsidP="008A6AF2">
      <w:pPr>
        <w:pStyle w:val="Heading2"/>
      </w:pPr>
      <w:r>
        <w:t>5.2. Фармакокинетични свойства</w:t>
      </w:r>
    </w:p>
    <w:p w14:paraId="100AE413" w14:textId="0CDC791C" w:rsidR="009F0700" w:rsidRDefault="009F0700" w:rsidP="009F0700"/>
    <w:p w14:paraId="0115A6A3" w14:textId="77777777" w:rsidR="009F0700" w:rsidRPr="009F0700" w:rsidRDefault="009F0700" w:rsidP="009F0700">
      <w:pPr>
        <w:pStyle w:val="Heading3"/>
        <w:rPr>
          <w:rFonts w:eastAsia="Times New Roman"/>
          <w:u w:val="single"/>
        </w:rPr>
      </w:pPr>
      <w:r w:rsidRPr="009F0700">
        <w:rPr>
          <w:rFonts w:eastAsia="Times New Roman"/>
          <w:u w:val="single"/>
          <w:lang w:eastAsia="bg-BG"/>
        </w:rPr>
        <w:t>Абсорбция</w:t>
      </w:r>
    </w:p>
    <w:p w14:paraId="36A6615B" w14:textId="77777777" w:rsidR="009F0700" w:rsidRPr="009F0700" w:rsidRDefault="009F0700" w:rsidP="009F0700">
      <w:pPr>
        <w:spacing w:line="240" w:lineRule="auto"/>
        <w:rPr>
          <w:rFonts w:eastAsia="Times New Roman" w:cs="Arial"/>
          <w:sz w:val="24"/>
          <w:szCs w:val="24"/>
        </w:rPr>
      </w:pPr>
      <w:r w:rsidRPr="009F0700">
        <w:rPr>
          <w:rFonts w:eastAsia="Times New Roman" w:cs="Arial"/>
          <w:color w:val="000000"/>
          <w:lang w:eastAsia="bg-BG"/>
        </w:rPr>
        <w:t>През първите 6 часа след приема на гликлазид концентрацията в плазмата прогресивно нараства и достига плато, което се подържа от 6-ия до 12-ия час.</w:t>
      </w:r>
    </w:p>
    <w:p w14:paraId="27F1A4FF" w14:textId="77777777" w:rsidR="009F0700" w:rsidRPr="009F0700" w:rsidRDefault="009F0700" w:rsidP="009F0700">
      <w:pPr>
        <w:spacing w:line="240" w:lineRule="auto"/>
        <w:rPr>
          <w:rFonts w:eastAsia="Times New Roman" w:cs="Arial"/>
          <w:sz w:val="24"/>
          <w:szCs w:val="24"/>
        </w:rPr>
      </w:pPr>
      <w:r w:rsidRPr="009F0700">
        <w:rPr>
          <w:rFonts w:eastAsia="Times New Roman" w:cs="Arial"/>
          <w:color w:val="000000"/>
          <w:lang w:eastAsia="bg-BG"/>
        </w:rPr>
        <w:t>Индивидуалната вариабилност е ниска.</w:t>
      </w:r>
    </w:p>
    <w:p w14:paraId="7C538DC5" w14:textId="77777777" w:rsidR="009F0700" w:rsidRPr="009F0700" w:rsidRDefault="009F0700" w:rsidP="009F0700">
      <w:pPr>
        <w:spacing w:line="240" w:lineRule="auto"/>
        <w:rPr>
          <w:rFonts w:eastAsia="Times New Roman" w:cs="Arial"/>
          <w:sz w:val="24"/>
          <w:szCs w:val="24"/>
        </w:rPr>
      </w:pPr>
      <w:r w:rsidRPr="009F0700">
        <w:rPr>
          <w:rFonts w:eastAsia="Times New Roman" w:cs="Arial"/>
          <w:color w:val="000000"/>
          <w:lang w:eastAsia="bg-BG"/>
        </w:rPr>
        <w:t>Гликлазид се абсорбира напълно. Приемът на храна не влияе върху скоростта и степента на абсорбция.</w:t>
      </w:r>
    </w:p>
    <w:p w14:paraId="006606E8" w14:textId="77777777" w:rsidR="009F0700" w:rsidRPr="009F0700" w:rsidRDefault="009F0700" w:rsidP="009F0700">
      <w:pPr>
        <w:spacing w:line="240" w:lineRule="auto"/>
        <w:rPr>
          <w:rFonts w:eastAsia="Times New Roman" w:cs="Arial"/>
          <w:color w:val="000000"/>
          <w:u w:val="single"/>
          <w:lang w:eastAsia="bg-BG"/>
        </w:rPr>
      </w:pPr>
    </w:p>
    <w:p w14:paraId="2C72B52E" w14:textId="29320E94" w:rsidR="009F0700" w:rsidRPr="009F0700" w:rsidRDefault="009F0700" w:rsidP="009F0700">
      <w:pPr>
        <w:pStyle w:val="Heading3"/>
        <w:rPr>
          <w:rFonts w:eastAsia="Times New Roman"/>
          <w:u w:val="single"/>
        </w:rPr>
      </w:pPr>
      <w:r w:rsidRPr="009F0700">
        <w:rPr>
          <w:rFonts w:eastAsia="Times New Roman"/>
          <w:u w:val="single"/>
          <w:lang w:eastAsia="bg-BG"/>
        </w:rPr>
        <w:lastRenderedPageBreak/>
        <w:t>Разпределение</w:t>
      </w:r>
    </w:p>
    <w:p w14:paraId="479D6DDE" w14:textId="77777777" w:rsidR="009F0700" w:rsidRPr="009F0700" w:rsidRDefault="009F0700" w:rsidP="009F0700">
      <w:pPr>
        <w:spacing w:line="240" w:lineRule="auto"/>
        <w:rPr>
          <w:rFonts w:eastAsia="Times New Roman" w:cs="Arial"/>
          <w:sz w:val="24"/>
          <w:szCs w:val="24"/>
        </w:rPr>
      </w:pPr>
      <w:r w:rsidRPr="009F0700">
        <w:rPr>
          <w:rFonts w:eastAsia="Times New Roman" w:cs="Arial"/>
          <w:color w:val="000000"/>
          <w:lang w:eastAsia="bg-BG"/>
        </w:rPr>
        <w:t xml:space="preserve">Свързването с плазмените протеини е около 95%. Обемът на разпределение е около 30 литра. Еднократната дневна доза гликлазид 30 </w:t>
      </w:r>
      <w:r w:rsidRPr="009F0700">
        <w:rPr>
          <w:rFonts w:eastAsia="Times New Roman" w:cs="Arial"/>
          <w:color w:val="000000"/>
          <w:lang w:val="en-US"/>
        </w:rPr>
        <w:t xml:space="preserve">mg </w:t>
      </w:r>
      <w:r w:rsidRPr="009F0700">
        <w:rPr>
          <w:rFonts w:eastAsia="Times New Roman" w:cs="Arial"/>
          <w:color w:val="000000"/>
          <w:lang w:eastAsia="bg-BG"/>
        </w:rPr>
        <w:t>таблетки с удължено освобождаване поддържа ефективна концентрация на гликлазид в плазмата в продължение на 24 часа.</w:t>
      </w:r>
    </w:p>
    <w:p w14:paraId="222AE5B5" w14:textId="77777777" w:rsidR="009F0700" w:rsidRPr="009F0700" w:rsidRDefault="009F0700" w:rsidP="009F0700">
      <w:pPr>
        <w:spacing w:line="240" w:lineRule="auto"/>
        <w:rPr>
          <w:rFonts w:eastAsia="Times New Roman" w:cs="Arial"/>
          <w:color w:val="000000"/>
          <w:u w:val="single"/>
          <w:lang w:eastAsia="bg-BG"/>
        </w:rPr>
      </w:pPr>
    </w:p>
    <w:p w14:paraId="7D8CB469" w14:textId="65239C2A" w:rsidR="009F0700" w:rsidRPr="009F0700" w:rsidRDefault="009F0700" w:rsidP="009F0700">
      <w:pPr>
        <w:pStyle w:val="Heading3"/>
        <w:rPr>
          <w:rFonts w:eastAsia="Times New Roman"/>
          <w:u w:val="single"/>
        </w:rPr>
      </w:pPr>
      <w:r w:rsidRPr="009F0700">
        <w:rPr>
          <w:rFonts w:eastAsia="Times New Roman"/>
          <w:u w:val="single"/>
          <w:lang w:eastAsia="bg-BG"/>
        </w:rPr>
        <w:t>Биотрансформация</w:t>
      </w:r>
    </w:p>
    <w:p w14:paraId="19F22D63" w14:textId="77777777" w:rsidR="009F0700" w:rsidRPr="009F0700" w:rsidRDefault="009F0700" w:rsidP="009F0700">
      <w:pPr>
        <w:spacing w:line="240" w:lineRule="auto"/>
        <w:rPr>
          <w:rFonts w:eastAsia="Times New Roman" w:cs="Arial"/>
          <w:sz w:val="24"/>
          <w:szCs w:val="24"/>
        </w:rPr>
      </w:pPr>
      <w:r w:rsidRPr="009F0700">
        <w:rPr>
          <w:rFonts w:eastAsia="Times New Roman" w:cs="Arial"/>
          <w:color w:val="000000"/>
          <w:lang w:eastAsia="bg-BG"/>
        </w:rPr>
        <w:t>Гликлазид се метаболизира главно в черния дроб и се екскретира с урината: в урината се открива по-малко от 1% в непроменена форма. В плазмата не са открити активни метаболити.</w:t>
      </w:r>
    </w:p>
    <w:p w14:paraId="3C44D59B" w14:textId="77777777" w:rsidR="009F0700" w:rsidRPr="009F0700" w:rsidRDefault="009F0700" w:rsidP="009F0700">
      <w:pPr>
        <w:spacing w:line="240" w:lineRule="auto"/>
        <w:rPr>
          <w:rFonts w:eastAsia="Times New Roman" w:cs="Arial"/>
          <w:color w:val="000000"/>
          <w:u w:val="single"/>
          <w:lang w:eastAsia="bg-BG"/>
        </w:rPr>
      </w:pPr>
    </w:p>
    <w:p w14:paraId="7AC3F193" w14:textId="62BB0893" w:rsidR="009F0700" w:rsidRPr="009F0700" w:rsidRDefault="009F0700" w:rsidP="009F0700">
      <w:pPr>
        <w:pStyle w:val="Heading3"/>
        <w:rPr>
          <w:rFonts w:eastAsia="Times New Roman"/>
          <w:u w:val="single"/>
        </w:rPr>
      </w:pPr>
      <w:r w:rsidRPr="009F0700">
        <w:rPr>
          <w:rFonts w:eastAsia="Times New Roman"/>
          <w:u w:val="single"/>
          <w:lang w:eastAsia="bg-BG"/>
        </w:rPr>
        <w:t>Елиминиране</w:t>
      </w:r>
    </w:p>
    <w:p w14:paraId="4A178099" w14:textId="77777777" w:rsidR="009F0700" w:rsidRPr="009F0700" w:rsidRDefault="009F0700" w:rsidP="009F0700">
      <w:pPr>
        <w:spacing w:line="240" w:lineRule="auto"/>
        <w:rPr>
          <w:rFonts w:eastAsia="Times New Roman" w:cs="Arial"/>
          <w:sz w:val="24"/>
          <w:szCs w:val="24"/>
        </w:rPr>
      </w:pPr>
      <w:r w:rsidRPr="009F0700">
        <w:rPr>
          <w:rFonts w:eastAsia="Times New Roman" w:cs="Arial"/>
          <w:color w:val="000000"/>
          <w:lang w:eastAsia="bg-BG"/>
        </w:rPr>
        <w:t>Полуживотът на елиминиране на гликлазид варира между 12 и 20 часа.</w:t>
      </w:r>
    </w:p>
    <w:p w14:paraId="5F0D9483" w14:textId="77777777" w:rsidR="009F0700" w:rsidRPr="009F0700" w:rsidRDefault="009F0700" w:rsidP="009F0700">
      <w:pPr>
        <w:spacing w:line="240" w:lineRule="auto"/>
        <w:rPr>
          <w:rFonts w:eastAsia="Times New Roman" w:cs="Arial"/>
          <w:color w:val="000000"/>
          <w:u w:val="single"/>
          <w:lang w:eastAsia="bg-BG"/>
        </w:rPr>
      </w:pPr>
    </w:p>
    <w:p w14:paraId="02AD5284" w14:textId="37C36BDB" w:rsidR="009F0700" w:rsidRPr="009F0700" w:rsidRDefault="009F0700" w:rsidP="009F0700">
      <w:pPr>
        <w:pStyle w:val="Heading3"/>
        <w:rPr>
          <w:rFonts w:eastAsia="Times New Roman"/>
          <w:u w:val="single"/>
        </w:rPr>
      </w:pPr>
      <w:r w:rsidRPr="009F0700">
        <w:rPr>
          <w:rFonts w:eastAsia="Times New Roman"/>
          <w:u w:val="single"/>
          <w:lang w:eastAsia="bg-BG"/>
        </w:rPr>
        <w:t>Линейност/нелинейност</w:t>
      </w:r>
    </w:p>
    <w:p w14:paraId="4E4338C4" w14:textId="77777777" w:rsidR="009F0700" w:rsidRPr="009F0700" w:rsidRDefault="009F0700" w:rsidP="009F0700">
      <w:pPr>
        <w:spacing w:line="240" w:lineRule="auto"/>
        <w:rPr>
          <w:rFonts w:eastAsia="Times New Roman" w:cs="Arial"/>
          <w:sz w:val="24"/>
          <w:szCs w:val="24"/>
        </w:rPr>
      </w:pPr>
      <w:r w:rsidRPr="009F0700">
        <w:rPr>
          <w:rFonts w:eastAsia="Times New Roman" w:cs="Arial"/>
          <w:color w:val="000000"/>
          <w:lang w:eastAsia="bg-BG"/>
        </w:rPr>
        <w:t xml:space="preserve">Съотношението между въведената доза, варираща до 120 </w:t>
      </w:r>
      <w:r w:rsidRPr="009F0700">
        <w:rPr>
          <w:rFonts w:eastAsia="Times New Roman" w:cs="Arial"/>
          <w:color w:val="000000"/>
          <w:lang w:val="en-US"/>
        </w:rPr>
        <w:t xml:space="preserve">mg, </w:t>
      </w:r>
      <w:r w:rsidRPr="009F0700">
        <w:rPr>
          <w:rFonts w:eastAsia="Times New Roman" w:cs="Arial"/>
          <w:color w:val="000000"/>
          <w:lang w:eastAsia="bg-BG"/>
        </w:rPr>
        <w:t>и площта под кривата концентрация/време, е линейно.</w:t>
      </w:r>
    </w:p>
    <w:p w14:paraId="5DDF5C33" w14:textId="77777777" w:rsidR="009F0700" w:rsidRPr="009F0700" w:rsidRDefault="009F0700" w:rsidP="009F0700">
      <w:pPr>
        <w:spacing w:line="240" w:lineRule="auto"/>
        <w:rPr>
          <w:rFonts w:eastAsia="Times New Roman" w:cs="Arial"/>
          <w:color w:val="000000"/>
          <w:u w:val="single"/>
          <w:lang w:eastAsia="bg-BG"/>
        </w:rPr>
      </w:pPr>
    </w:p>
    <w:p w14:paraId="03E5947F" w14:textId="27074B45" w:rsidR="009F0700" w:rsidRPr="009F0700" w:rsidRDefault="009F0700" w:rsidP="009F0700">
      <w:pPr>
        <w:pStyle w:val="Heading3"/>
        <w:rPr>
          <w:rFonts w:eastAsia="Times New Roman"/>
          <w:u w:val="single"/>
        </w:rPr>
      </w:pPr>
      <w:r w:rsidRPr="009F0700">
        <w:rPr>
          <w:rFonts w:eastAsia="Times New Roman"/>
          <w:u w:val="single"/>
          <w:lang w:eastAsia="bg-BG"/>
        </w:rPr>
        <w:t>Специални популации</w:t>
      </w:r>
    </w:p>
    <w:p w14:paraId="197E75B9" w14:textId="77777777" w:rsidR="009F0700" w:rsidRPr="009F0700" w:rsidRDefault="009F0700" w:rsidP="009F0700">
      <w:pPr>
        <w:spacing w:line="240" w:lineRule="auto"/>
        <w:rPr>
          <w:rFonts w:eastAsia="Times New Roman" w:cs="Arial"/>
          <w:sz w:val="24"/>
          <w:szCs w:val="24"/>
        </w:rPr>
      </w:pPr>
      <w:r w:rsidRPr="009F0700">
        <w:rPr>
          <w:rFonts w:eastAsia="Times New Roman" w:cs="Arial"/>
          <w:i/>
          <w:iCs/>
          <w:color w:val="000000"/>
          <w:u w:val="single"/>
          <w:lang w:eastAsia="bg-BG"/>
        </w:rPr>
        <w:t>Пациенти в старческа възраст</w:t>
      </w:r>
    </w:p>
    <w:p w14:paraId="23770CC8" w14:textId="77777777" w:rsidR="009F0700" w:rsidRPr="009F0700" w:rsidRDefault="009F0700" w:rsidP="009F0700">
      <w:pPr>
        <w:spacing w:line="240" w:lineRule="auto"/>
        <w:rPr>
          <w:rFonts w:eastAsia="Times New Roman" w:cs="Arial"/>
          <w:sz w:val="24"/>
          <w:szCs w:val="24"/>
        </w:rPr>
      </w:pPr>
      <w:r w:rsidRPr="009F0700">
        <w:rPr>
          <w:rFonts w:eastAsia="Times New Roman" w:cs="Arial"/>
          <w:color w:val="000000"/>
          <w:lang w:eastAsia="bg-BG"/>
        </w:rPr>
        <w:t>При пациенти в старческа възраст не са наблюдавани клинично значими промени във фармакокинетичните параметри.</w:t>
      </w:r>
    </w:p>
    <w:p w14:paraId="011ED03D" w14:textId="77777777" w:rsidR="009F0700" w:rsidRPr="009F0700" w:rsidRDefault="009F0700" w:rsidP="009F0700"/>
    <w:p w14:paraId="028E658A" w14:textId="103B4830" w:rsidR="00395555" w:rsidRDefault="002C50EE" w:rsidP="008A6AF2">
      <w:pPr>
        <w:pStyle w:val="Heading2"/>
      </w:pPr>
      <w:r>
        <w:t>5.3. Предклинични данни за безопасност</w:t>
      </w:r>
    </w:p>
    <w:p w14:paraId="4D4D1022" w14:textId="2070D91F" w:rsidR="009F0700" w:rsidRDefault="009F0700" w:rsidP="009F0700"/>
    <w:p w14:paraId="0523DA33" w14:textId="77777777" w:rsidR="009F0700" w:rsidRPr="009F0700" w:rsidRDefault="009F0700" w:rsidP="009F0700">
      <w:pPr>
        <w:spacing w:line="240" w:lineRule="auto"/>
        <w:rPr>
          <w:rFonts w:eastAsia="Times New Roman" w:cs="Arial"/>
          <w:sz w:val="24"/>
          <w:szCs w:val="24"/>
        </w:rPr>
      </w:pPr>
      <w:r w:rsidRPr="009F0700">
        <w:rPr>
          <w:rFonts w:eastAsia="Times New Roman" w:cs="Arial"/>
          <w:color w:val="000000"/>
          <w:lang w:eastAsia="bg-BG"/>
        </w:rPr>
        <w:t>Предклиничните данни, базирани на стандартни проучвания с повтарящи се дози, не показват токсичност или генотоксичност при хората. Не са провеждани дългосрочни проучвания за канцерогенност. Няма данни за тератогенни изменения при експериментални проучвания с животни, но се наблюдава намаляване на телесното тегло на ембриона при животни, получаващи 25 пъти по-високи дози от максимално препоръчваната доза при човек. Не е наблюдавано влияние на гликлазид върху фертилитета и репродуктивната способност при проучвания, провеждани с животни.</w:t>
      </w:r>
    </w:p>
    <w:p w14:paraId="24463BE7" w14:textId="77777777" w:rsidR="009F0700" w:rsidRPr="009F0700" w:rsidRDefault="009F0700" w:rsidP="009F0700"/>
    <w:p w14:paraId="6A7820AB" w14:textId="7AD75010" w:rsidR="008A6AF2" w:rsidRDefault="002C50EE" w:rsidP="00395555">
      <w:pPr>
        <w:pStyle w:val="Heading1"/>
      </w:pPr>
      <w:r>
        <w:t>7. ПРИТЕЖАТЕЛ НА РАЗРЕШЕНИЕТО ЗА УПОТРЕБА</w:t>
      </w:r>
    </w:p>
    <w:p w14:paraId="3127629C" w14:textId="4EFECA9F" w:rsidR="009F0700" w:rsidRDefault="009F0700" w:rsidP="009F0700"/>
    <w:p w14:paraId="1E9E27A2" w14:textId="77777777" w:rsidR="009F0700" w:rsidRPr="009F0700" w:rsidRDefault="009F0700" w:rsidP="009F0700">
      <w:pPr>
        <w:rPr>
          <w:sz w:val="24"/>
          <w:szCs w:val="24"/>
        </w:rPr>
      </w:pPr>
      <w:r w:rsidRPr="009F0700">
        <w:rPr>
          <w:lang w:eastAsia="bg-BG"/>
        </w:rPr>
        <w:t>Екофарм Груп АД</w:t>
      </w:r>
    </w:p>
    <w:p w14:paraId="34632807" w14:textId="77777777" w:rsidR="009F0700" w:rsidRPr="009F0700" w:rsidRDefault="009F0700" w:rsidP="009F0700">
      <w:pPr>
        <w:rPr>
          <w:sz w:val="24"/>
          <w:szCs w:val="24"/>
        </w:rPr>
      </w:pPr>
      <w:r w:rsidRPr="009F0700">
        <w:rPr>
          <w:lang w:eastAsia="bg-BG"/>
        </w:rPr>
        <w:t>ул. Атанас Дуков №29, ет. 3,</w:t>
      </w:r>
    </w:p>
    <w:p w14:paraId="5B035488" w14:textId="77777777" w:rsidR="009F0700" w:rsidRPr="009F0700" w:rsidRDefault="009F0700" w:rsidP="009F0700">
      <w:pPr>
        <w:rPr>
          <w:sz w:val="24"/>
          <w:szCs w:val="24"/>
        </w:rPr>
      </w:pPr>
      <w:r w:rsidRPr="009F0700">
        <w:rPr>
          <w:lang w:eastAsia="bg-BG"/>
        </w:rPr>
        <w:t>1407 София, България</w:t>
      </w:r>
    </w:p>
    <w:p w14:paraId="29CEC3E4" w14:textId="77777777" w:rsidR="009F0700" w:rsidRPr="009F0700" w:rsidRDefault="009F0700" w:rsidP="009F0700">
      <w:pPr>
        <w:rPr>
          <w:sz w:val="24"/>
          <w:szCs w:val="24"/>
        </w:rPr>
      </w:pPr>
      <w:r w:rsidRPr="009F0700">
        <w:rPr>
          <w:lang w:eastAsia="bg-BG"/>
        </w:rPr>
        <w:t>тел.: (02) 906 90 70</w:t>
      </w:r>
    </w:p>
    <w:p w14:paraId="1FB00856" w14:textId="7C3DDD89" w:rsidR="009F0700" w:rsidRPr="009F0700" w:rsidRDefault="009F0700" w:rsidP="009F0700">
      <w:r w:rsidRPr="009F0700">
        <w:rPr>
          <w:lang w:eastAsia="bg-BG"/>
        </w:rPr>
        <w:t>факс: (02) 906 90 71</w:t>
      </w:r>
    </w:p>
    <w:p w14:paraId="04840D59" w14:textId="6C68DD8F" w:rsidR="002C50EE" w:rsidRDefault="002C50EE" w:rsidP="00395555">
      <w:pPr>
        <w:pStyle w:val="Heading1"/>
      </w:pPr>
      <w:r>
        <w:t>8. НОМЕР НА РАЗРЕШЕНИЕТО ЗА УПОТРЕБА</w:t>
      </w:r>
    </w:p>
    <w:p w14:paraId="0E089C7B" w14:textId="7B67D2F4" w:rsidR="009F0700" w:rsidRDefault="009F0700" w:rsidP="009F0700"/>
    <w:p w14:paraId="4E9AC69B" w14:textId="77777777" w:rsidR="009F0700" w:rsidRPr="009F0700" w:rsidRDefault="009F0700" w:rsidP="009F0700">
      <w:pPr>
        <w:rPr>
          <w:sz w:val="24"/>
          <w:szCs w:val="24"/>
        </w:rPr>
      </w:pPr>
      <w:r w:rsidRPr="009F0700">
        <w:rPr>
          <w:lang w:val="en-US"/>
        </w:rPr>
        <w:t xml:space="preserve">Per. </w:t>
      </w:r>
      <w:r w:rsidRPr="009F0700">
        <w:rPr>
          <w:lang w:eastAsia="bg-BG"/>
        </w:rPr>
        <w:t>№20120076</w:t>
      </w:r>
    </w:p>
    <w:p w14:paraId="5914C44A" w14:textId="77777777" w:rsidR="009F0700" w:rsidRPr="009F0700" w:rsidRDefault="009F0700" w:rsidP="009F0700"/>
    <w:p w14:paraId="2CCB5832" w14:textId="22C20DF3" w:rsidR="007C605B" w:rsidRDefault="002C50EE" w:rsidP="007C605B">
      <w:pPr>
        <w:pStyle w:val="Heading1"/>
      </w:pPr>
      <w:r>
        <w:lastRenderedPageBreak/>
        <w:t>9. ДАТА НА ПЪРВО РАЗРЕШАВАНЕ/ПОДНОВЯВАНЕ НА РАЗРЕШЕНИЕТО ЗА УПОТРЕБА</w:t>
      </w:r>
    </w:p>
    <w:p w14:paraId="099DF926" w14:textId="0C6BE06E" w:rsidR="009F0700" w:rsidRDefault="009F0700" w:rsidP="009F0700"/>
    <w:p w14:paraId="5F3A3B27" w14:textId="77777777" w:rsidR="009F0700" w:rsidRPr="009F0700" w:rsidRDefault="009F0700" w:rsidP="009F0700">
      <w:pPr>
        <w:rPr>
          <w:sz w:val="24"/>
          <w:szCs w:val="24"/>
        </w:rPr>
      </w:pPr>
      <w:r w:rsidRPr="009F0700">
        <w:rPr>
          <w:lang w:eastAsia="bg-BG"/>
        </w:rPr>
        <w:t>Дата на първо разрешаване: 02 февруари 2012 г.</w:t>
      </w:r>
    </w:p>
    <w:p w14:paraId="57FC20DB" w14:textId="77777777" w:rsidR="009F0700" w:rsidRPr="009F0700" w:rsidRDefault="009F0700" w:rsidP="009F0700">
      <w:pPr>
        <w:rPr>
          <w:sz w:val="24"/>
          <w:szCs w:val="24"/>
        </w:rPr>
      </w:pPr>
      <w:r w:rsidRPr="009F0700">
        <w:rPr>
          <w:lang w:eastAsia="bg-BG"/>
        </w:rPr>
        <w:t>Дата на последно подновяване: 15 февруари 2017 г.</w:t>
      </w:r>
    </w:p>
    <w:p w14:paraId="218D833A" w14:textId="77777777" w:rsidR="009F0700" w:rsidRPr="009F0700" w:rsidRDefault="009F0700" w:rsidP="009F0700"/>
    <w:p w14:paraId="0E9D0119" w14:textId="0245C6D7" w:rsidR="002C50EE" w:rsidRDefault="002C50EE" w:rsidP="002C50EE">
      <w:pPr>
        <w:pStyle w:val="Heading1"/>
      </w:pPr>
      <w:r>
        <w:t>10. ДАТА НА АКТУАЛИЗИРАНЕ НА ТЕКСТА</w:t>
      </w:r>
    </w:p>
    <w:bookmarkEnd w:id="0"/>
    <w:p w14:paraId="43FB38A2" w14:textId="7E855BA7" w:rsidR="007C605B" w:rsidRDefault="007C605B" w:rsidP="00395555"/>
    <w:p w14:paraId="5D1A1DA9" w14:textId="759E9937" w:rsidR="009F0700" w:rsidRPr="003E3126" w:rsidRDefault="009F0700" w:rsidP="009F0700">
      <w:bookmarkStart w:id="1" w:name="_GoBack"/>
      <w:r>
        <w:t>09/2019</w:t>
      </w:r>
      <w:bookmarkEnd w:id="1"/>
    </w:p>
    <w:sectPr w:rsidR="009F0700"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49C13C7"/>
    <w:multiLevelType w:val="hybridMultilevel"/>
    <w:tmpl w:val="07885F3C"/>
    <w:lvl w:ilvl="0" w:tplc="FDF8DBF6">
      <w:start w:val="4"/>
      <w:numFmt w:val="bullet"/>
      <w:lvlText w:val="-"/>
      <w:lvlJc w:val="left"/>
      <w:pPr>
        <w:ind w:left="720" w:hanging="36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723871"/>
    <w:multiLevelType w:val="hybridMultilevel"/>
    <w:tmpl w:val="F3E09E34"/>
    <w:lvl w:ilvl="0" w:tplc="FDF8DBF6">
      <w:start w:val="4"/>
      <w:numFmt w:val="bullet"/>
      <w:lvlText w:val="-"/>
      <w:lvlJc w:val="left"/>
      <w:pPr>
        <w:ind w:left="720" w:hanging="36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716896"/>
    <w:multiLevelType w:val="hybridMultilevel"/>
    <w:tmpl w:val="67C2E46C"/>
    <w:lvl w:ilvl="0" w:tplc="FDF8DBF6">
      <w:start w:val="4"/>
      <w:numFmt w:val="bullet"/>
      <w:lvlText w:val="-"/>
      <w:lvlJc w:val="left"/>
      <w:pPr>
        <w:ind w:left="720" w:hanging="36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9"/>
  </w:num>
  <w:num w:numId="2">
    <w:abstractNumId w:val="0"/>
  </w:num>
  <w:num w:numId="3">
    <w:abstractNumId w:val="13"/>
  </w:num>
  <w:num w:numId="4">
    <w:abstractNumId w:val="3"/>
  </w:num>
  <w:num w:numId="5">
    <w:abstractNumId w:val="1"/>
  </w:num>
  <w:num w:numId="6">
    <w:abstractNumId w:val="17"/>
  </w:num>
  <w:num w:numId="7">
    <w:abstractNumId w:val="11"/>
  </w:num>
  <w:num w:numId="8">
    <w:abstractNumId w:val="16"/>
  </w:num>
  <w:num w:numId="9">
    <w:abstractNumId w:val="2"/>
  </w:num>
  <w:num w:numId="10">
    <w:abstractNumId w:val="4"/>
  </w:num>
  <w:num w:numId="11">
    <w:abstractNumId w:val="31"/>
  </w:num>
  <w:num w:numId="12">
    <w:abstractNumId w:val="15"/>
  </w:num>
  <w:num w:numId="13">
    <w:abstractNumId w:val="20"/>
  </w:num>
  <w:num w:numId="14">
    <w:abstractNumId w:val="12"/>
  </w:num>
  <w:num w:numId="15">
    <w:abstractNumId w:val="30"/>
  </w:num>
  <w:num w:numId="16">
    <w:abstractNumId w:val="10"/>
  </w:num>
  <w:num w:numId="17">
    <w:abstractNumId w:val="26"/>
  </w:num>
  <w:num w:numId="18">
    <w:abstractNumId w:val="8"/>
  </w:num>
  <w:num w:numId="19">
    <w:abstractNumId w:val="28"/>
  </w:num>
  <w:num w:numId="20">
    <w:abstractNumId w:val="25"/>
  </w:num>
  <w:num w:numId="21">
    <w:abstractNumId w:val="18"/>
  </w:num>
  <w:num w:numId="22">
    <w:abstractNumId w:val="27"/>
  </w:num>
  <w:num w:numId="23">
    <w:abstractNumId w:val="19"/>
  </w:num>
  <w:num w:numId="24">
    <w:abstractNumId w:val="9"/>
  </w:num>
  <w:num w:numId="25">
    <w:abstractNumId w:val="24"/>
  </w:num>
  <w:num w:numId="26">
    <w:abstractNumId w:val="23"/>
  </w:num>
  <w:num w:numId="27">
    <w:abstractNumId w:val="32"/>
  </w:num>
  <w:num w:numId="28">
    <w:abstractNumId w:val="7"/>
  </w:num>
  <w:num w:numId="29">
    <w:abstractNumId w:val="21"/>
  </w:num>
  <w:num w:numId="30">
    <w:abstractNumId w:val="33"/>
  </w:num>
  <w:num w:numId="31">
    <w:abstractNumId w:val="6"/>
  </w:num>
  <w:num w:numId="32">
    <w:abstractNumId w:val="5"/>
  </w:num>
  <w:num w:numId="33">
    <w:abstractNumId w:val="14"/>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D4D6B"/>
    <w:rsid w:val="00517A5B"/>
    <w:rsid w:val="00593A00"/>
    <w:rsid w:val="005A66D9"/>
    <w:rsid w:val="00605BCA"/>
    <w:rsid w:val="006158A1"/>
    <w:rsid w:val="00617B1F"/>
    <w:rsid w:val="00672487"/>
    <w:rsid w:val="00672600"/>
    <w:rsid w:val="00681D4A"/>
    <w:rsid w:val="00685882"/>
    <w:rsid w:val="0075649D"/>
    <w:rsid w:val="007C605B"/>
    <w:rsid w:val="00814073"/>
    <w:rsid w:val="00826F0D"/>
    <w:rsid w:val="00893B92"/>
    <w:rsid w:val="008A6AF2"/>
    <w:rsid w:val="008C70A2"/>
    <w:rsid w:val="009773E4"/>
    <w:rsid w:val="009B171C"/>
    <w:rsid w:val="009F0700"/>
    <w:rsid w:val="009F1313"/>
    <w:rsid w:val="00A20351"/>
    <w:rsid w:val="00AA23EC"/>
    <w:rsid w:val="00AC63CE"/>
    <w:rsid w:val="00AE2107"/>
    <w:rsid w:val="00B275A8"/>
    <w:rsid w:val="00B37722"/>
    <w:rsid w:val="00BF2600"/>
    <w:rsid w:val="00C0049F"/>
    <w:rsid w:val="00C07B84"/>
    <w:rsid w:val="00C33464"/>
    <w:rsid w:val="00C809A7"/>
    <w:rsid w:val="00C83063"/>
    <w:rsid w:val="00C87E90"/>
    <w:rsid w:val="00CA1B5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3546</Words>
  <Characters>20213</Characters>
  <Application>Microsoft Office Word</Application>
  <DocSecurity>0</DocSecurity>
  <Lines>168</Lines>
  <Paragraphs>47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2021-11-15T17:26:00Z</dcterms:created>
  <dcterms:modified xsi:type="dcterms:W3CDTF">2021-11-15T17:26:00Z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