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73FAF04A" w:rsidR="009F77A4" w:rsidRDefault="00DD466D" w:rsidP="00387A66">
      <w:pPr>
        <w:pStyle w:val="Heading1"/>
      </w:pPr>
      <w:r>
        <w:t>1.ИМЕ НА ЛЕКАРСТВЕНИЯ ПРОДУКТ</w:t>
      </w:r>
    </w:p>
    <w:p w14:paraId="7CE13F84" w14:textId="684E95E0" w:rsidR="009F2A47" w:rsidRDefault="009F2A47" w:rsidP="009F2A47"/>
    <w:p w14:paraId="3B05AAF4" w14:textId="77777777" w:rsidR="009F2A47" w:rsidRPr="009F2A47" w:rsidRDefault="009F2A47" w:rsidP="009F2A47">
      <w:pPr>
        <w:rPr>
          <w:sz w:val="24"/>
          <w:szCs w:val="24"/>
          <w:lang w:val="en-US" w:eastAsia="bg-BG"/>
        </w:rPr>
      </w:pPr>
      <w:r w:rsidRPr="009F2A47">
        <w:rPr>
          <w:lang w:eastAsia="bg-BG"/>
        </w:rPr>
        <w:t xml:space="preserve">ЕФЕРАЛГАН ЗА ДЕЦА 30 </w:t>
      </w:r>
      <w:r w:rsidRPr="009F2A47">
        <w:rPr>
          <w:lang w:val="en-US"/>
        </w:rPr>
        <w:t xml:space="preserve">mg/ml </w:t>
      </w:r>
      <w:r w:rsidRPr="009F2A47">
        <w:rPr>
          <w:lang w:eastAsia="bg-BG"/>
        </w:rPr>
        <w:t>перорален разтвор</w:t>
      </w:r>
    </w:p>
    <w:p w14:paraId="637C1FF7" w14:textId="77777777" w:rsidR="009F2A47" w:rsidRPr="009F2A47" w:rsidRDefault="009F2A47" w:rsidP="009F2A47">
      <w:pPr>
        <w:rPr>
          <w:sz w:val="24"/>
          <w:szCs w:val="24"/>
          <w:lang w:val="en-US" w:eastAsia="bg-BG"/>
        </w:rPr>
      </w:pPr>
      <w:r w:rsidRPr="009F2A47">
        <w:rPr>
          <w:lang w:val="en-US"/>
        </w:rPr>
        <w:t xml:space="preserve">EFFERALGAN PEDIATRIC </w:t>
      </w:r>
      <w:r w:rsidRPr="009F2A47">
        <w:rPr>
          <w:lang w:eastAsia="bg-BG"/>
        </w:rPr>
        <w:t xml:space="preserve">30 </w:t>
      </w:r>
      <w:r w:rsidRPr="009F2A47">
        <w:rPr>
          <w:lang w:val="en-US"/>
        </w:rPr>
        <w:t>mg/ml oral solution</w:t>
      </w:r>
    </w:p>
    <w:p w14:paraId="29D89402" w14:textId="77777777" w:rsidR="009F2A47" w:rsidRPr="009F2A47" w:rsidRDefault="009F2A47" w:rsidP="009F2A47"/>
    <w:p w14:paraId="0DF202EC" w14:textId="786C6629" w:rsidR="00F53FB7" w:rsidRDefault="00DD466D" w:rsidP="00A93499">
      <w:pPr>
        <w:pStyle w:val="Heading1"/>
      </w:pPr>
      <w:r>
        <w:t>2. КАЧЕСТВЕН И КОЛИЧЕСТВЕН СЪСТАВ</w:t>
      </w:r>
    </w:p>
    <w:p w14:paraId="71983857" w14:textId="77B64EC6" w:rsidR="009F2A47" w:rsidRDefault="009F2A47" w:rsidP="009F2A47"/>
    <w:p w14:paraId="006AF818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Парацетамол (</w:t>
      </w:r>
      <w:r w:rsidRPr="009F2A47">
        <w:rPr>
          <w:rFonts w:eastAsia="Times New Roman" w:cs="Arial"/>
          <w:i/>
          <w:iCs/>
          <w:color w:val="000000"/>
          <w:lang w:val="en-US"/>
        </w:rPr>
        <w:t xml:space="preserve">Paracetamol) </w:t>
      </w:r>
      <w:r w:rsidRPr="009F2A47">
        <w:rPr>
          <w:rFonts w:eastAsia="Times New Roman" w:cs="Arial"/>
          <w:color w:val="000000"/>
          <w:lang w:eastAsia="bg-BG"/>
        </w:rPr>
        <w:t xml:space="preserve">3 </w:t>
      </w:r>
      <w:r w:rsidRPr="009F2A47">
        <w:rPr>
          <w:rFonts w:eastAsia="Times New Roman" w:cs="Arial"/>
          <w:color w:val="000000"/>
          <w:lang w:val="en-US"/>
        </w:rPr>
        <w:t>g</w:t>
      </w:r>
    </w:p>
    <w:p w14:paraId="22BC7043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за 100 </w:t>
      </w:r>
      <w:r w:rsidRPr="009F2A47">
        <w:rPr>
          <w:rFonts w:eastAsia="Times New Roman" w:cs="Arial"/>
          <w:color w:val="000000"/>
          <w:lang w:val="en-US"/>
        </w:rPr>
        <w:t xml:space="preserve">ml </w:t>
      </w:r>
      <w:r w:rsidRPr="009F2A47">
        <w:rPr>
          <w:rFonts w:eastAsia="Times New Roman" w:cs="Arial"/>
          <w:color w:val="000000"/>
          <w:lang w:eastAsia="bg-BG"/>
        </w:rPr>
        <w:t>перорален разтвор</w:t>
      </w:r>
    </w:p>
    <w:p w14:paraId="1CD201D7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2B6F04" w14:textId="2C503A1C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Помощни вещества с известно действие: захароза (0,67 </w:t>
      </w:r>
      <w:r w:rsidRPr="009F2A47">
        <w:rPr>
          <w:rFonts w:eastAsia="Times New Roman" w:cs="Arial"/>
          <w:color w:val="000000"/>
          <w:lang w:val="en-US"/>
        </w:rPr>
        <w:t xml:space="preserve">g </w:t>
      </w:r>
      <w:r w:rsidRPr="009F2A47">
        <w:rPr>
          <w:rFonts w:eastAsia="Times New Roman" w:cs="Arial"/>
          <w:color w:val="000000"/>
          <w:lang w:eastAsia="bg-BG"/>
        </w:rPr>
        <w:t xml:space="preserve">захароза в доза за 4 </w:t>
      </w:r>
      <w:r w:rsidRPr="009F2A47">
        <w:rPr>
          <w:rFonts w:eastAsia="Times New Roman" w:cs="Arial"/>
          <w:color w:val="000000"/>
          <w:lang w:val="en-US"/>
        </w:rPr>
        <w:t xml:space="preserve">kg </w:t>
      </w:r>
      <w:r w:rsidRPr="009F2A47">
        <w:rPr>
          <w:rFonts w:eastAsia="Times New Roman" w:cs="Arial"/>
          <w:color w:val="000000"/>
          <w:lang w:eastAsia="bg-BG"/>
        </w:rPr>
        <w:t xml:space="preserve">от мерителната лъжичка) и пропиленгликол (Е1520) </w:t>
      </w:r>
      <w:r w:rsidRPr="009F2A47">
        <w:rPr>
          <w:rFonts w:eastAsia="Times New Roman" w:cs="Arial"/>
          <w:i/>
          <w:iCs/>
          <w:color w:val="000000"/>
          <w:lang w:eastAsia="bg-BG"/>
        </w:rPr>
        <w:t>(146</w:t>
      </w:r>
      <w:r w:rsidRPr="009F2A47">
        <w:rPr>
          <w:rFonts w:eastAsia="Times New Roman" w:cs="Arial"/>
          <w:color w:val="000000"/>
          <w:lang w:eastAsia="bg-BG"/>
        </w:rPr>
        <w:t xml:space="preserve"> </w:t>
      </w:r>
      <w:r w:rsidRPr="009F2A47">
        <w:rPr>
          <w:rFonts w:eastAsia="Times New Roman" w:cs="Arial"/>
          <w:color w:val="000000"/>
          <w:lang w:val="en-US"/>
        </w:rPr>
        <w:t xml:space="preserve">mg </w:t>
      </w:r>
      <w:r w:rsidRPr="009F2A47">
        <w:rPr>
          <w:rFonts w:eastAsia="Times New Roman" w:cs="Arial"/>
          <w:color w:val="000000"/>
          <w:lang w:eastAsia="bg-BG"/>
        </w:rPr>
        <w:t xml:space="preserve">пропиленгликол на 100 </w:t>
      </w:r>
      <w:r w:rsidRPr="009F2A47">
        <w:rPr>
          <w:rFonts w:eastAsia="Times New Roman" w:cs="Arial"/>
          <w:color w:val="000000"/>
          <w:lang w:val="en-US"/>
        </w:rPr>
        <w:t xml:space="preserve">ml </w:t>
      </w:r>
      <w:r w:rsidRPr="009F2A47">
        <w:rPr>
          <w:rFonts w:eastAsia="Times New Roman" w:cs="Arial"/>
          <w:color w:val="000000"/>
          <w:lang w:eastAsia="bg-BG"/>
        </w:rPr>
        <w:t xml:space="preserve">перорален разтвор, еквивалентно на 3,9 </w:t>
      </w:r>
      <w:r w:rsidRPr="009F2A47">
        <w:rPr>
          <w:rFonts w:eastAsia="Times New Roman" w:cs="Arial"/>
          <w:color w:val="000000"/>
          <w:lang w:val="en-US"/>
        </w:rPr>
        <w:t xml:space="preserve">mg/kg </w:t>
      </w:r>
      <w:r w:rsidRPr="009F2A47">
        <w:rPr>
          <w:rFonts w:eastAsia="Times New Roman" w:cs="Arial"/>
          <w:color w:val="000000"/>
          <w:lang w:eastAsia="bg-BG"/>
        </w:rPr>
        <w:t>на ден).</w:t>
      </w:r>
    </w:p>
    <w:p w14:paraId="27F8F4CC" w14:textId="77777777" w:rsidR="009F2A47" w:rsidRPr="009F2A47" w:rsidRDefault="009F2A47" w:rsidP="009F2A47"/>
    <w:p w14:paraId="4CABB9ED" w14:textId="7C079E53" w:rsidR="00F53FB7" w:rsidRDefault="00DD466D" w:rsidP="00A93499">
      <w:pPr>
        <w:pStyle w:val="Heading1"/>
      </w:pPr>
      <w:r>
        <w:t>3. ЛЕКАРСТВЕНА ФОРМА</w:t>
      </w:r>
    </w:p>
    <w:p w14:paraId="4B51D9CD" w14:textId="1E1D6CDC" w:rsidR="009F2A47" w:rsidRDefault="009F2A47" w:rsidP="009F2A47"/>
    <w:p w14:paraId="69E5F029" w14:textId="493950E3" w:rsidR="009F2A47" w:rsidRPr="009F2A47" w:rsidRDefault="009F2A47" w:rsidP="009F2A47">
      <w:pPr>
        <w:rPr>
          <w:sz w:val="24"/>
          <w:szCs w:val="24"/>
          <w:lang w:eastAsia="bg-BG"/>
        </w:rPr>
      </w:pPr>
      <w:r w:rsidRPr="009F2A47">
        <w:rPr>
          <w:lang w:eastAsia="bg-BG"/>
        </w:rPr>
        <w:t>Перорален разтвор.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0DA92B3E" w:rsidR="009F77A4" w:rsidRDefault="002C50EE" w:rsidP="00387A66">
      <w:pPr>
        <w:pStyle w:val="Heading2"/>
      </w:pPr>
      <w:r>
        <w:t>4.1. Терапевтични показания</w:t>
      </w:r>
    </w:p>
    <w:p w14:paraId="2DECA10C" w14:textId="69EB13B0" w:rsidR="009F2A47" w:rsidRDefault="009F2A47" w:rsidP="009F2A47"/>
    <w:p w14:paraId="7A5F27F7" w14:textId="27C33089" w:rsidR="009F2A47" w:rsidRDefault="009F2A47" w:rsidP="009F2A47">
      <w:pPr>
        <w:rPr>
          <w:lang w:eastAsia="bg-BG"/>
        </w:rPr>
      </w:pPr>
      <w:r w:rsidRPr="009F2A47">
        <w:rPr>
          <w:lang w:eastAsia="bg-BG"/>
        </w:rPr>
        <w:t>Симптоматично лечение на болка с лек до умерен интензитет и/или на фебрилни състояния.</w:t>
      </w:r>
    </w:p>
    <w:p w14:paraId="0629CBEB" w14:textId="77777777" w:rsidR="009F2A47" w:rsidRPr="009F2A47" w:rsidRDefault="009F2A47" w:rsidP="009F2A47">
      <w:pPr>
        <w:rPr>
          <w:sz w:val="24"/>
          <w:szCs w:val="24"/>
          <w:lang w:eastAsia="bg-BG"/>
        </w:rPr>
      </w:pPr>
    </w:p>
    <w:p w14:paraId="31744E5A" w14:textId="3D8DCE5E" w:rsidR="009F77A4" w:rsidRDefault="002C50EE" w:rsidP="00387A66">
      <w:pPr>
        <w:pStyle w:val="Heading2"/>
      </w:pPr>
      <w:r>
        <w:t>4.2. Дозировка и начин на приложение</w:t>
      </w:r>
    </w:p>
    <w:p w14:paraId="0432B129" w14:textId="0C80A92D" w:rsidR="009F2A47" w:rsidRDefault="009F2A47" w:rsidP="009F2A47"/>
    <w:p w14:paraId="2B0257A3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u w:val="single"/>
          <w:lang w:eastAsia="bg-BG"/>
        </w:rPr>
        <w:t>Начин на приложение</w:t>
      </w:r>
    </w:p>
    <w:p w14:paraId="13E8D7A4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Перорално приложение.</w:t>
      </w:r>
    </w:p>
    <w:p w14:paraId="66A576BB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Разтворът може да се приема чист или разреден в малко количество течност (например вода, мляко, плодов сок).</w:t>
      </w:r>
    </w:p>
    <w:p w14:paraId="48907BB1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C8E110" w14:textId="1FEFAB6F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u w:val="single"/>
          <w:lang w:eastAsia="bg-BG"/>
        </w:rPr>
        <w:t>Дозировка</w:t>
      </w:r>
    </w:p>
    <w:p w14:paraId="596F09B0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Тази лекарствена форма е предвидена за деца с тегло от 4 до 32 </w:t>
      </w:r>
      <w:r w:rsidRPr="009F2A47">
        <w:rPr>
          <w:rFonts w:eastAsia="Times New Roman" w:cs="Arial"/>
          <w:color w:val="000000"/>
          <w:lang w:val="en-US"/>
        </w:rPr>
        <w:t xml:space="preserve">kg </w:t>
      </w:r>
      <w:r w:rsidRPr="009F2A47">
        <w:rPr>
          <w:rFonts w:eastAsia="Times New Roman" w:cs="Arial"/>
          <w:color w:val="000000"/>
          <w:lang w:eastAsia="bg-BG"/>
        </w:rPr>
        <w:t>(или на възраст от около 1 месец до 12 години).</w:t>
      </w:r>
    </w:p>
    <w:p w14:paraId="13D38DEA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При децата е задължително </w:t>
      </w:r>
      <w:r w:rsidRPr="009F2A47">
        <w:rPr>
          <w:rFonts w:eastAsia="Times New Roman" w:cs="Arial"/>
          <w:b/>
          <w:bCs/>
          <w:color w:val="000000"/>
          <w:lang w:eastAsia="bg-BG"/>
        </w:rPr>
        <w:t xml:space="preserve">да се спазва дозировката, определена в зависимост от теглото на детето </w:t>
      </w:r>
      <w:r w:rsidRPr="009F2A47">
        <w:rPr>
          <w:rFonts w:eastAsia="Times New Roman" w:cs="Arial"/>
          <w:color w:val="000000"/>
          <w:lang w:eastAsia="bg-BG"/>
        </w:rPr>
        <w:t>и следователно да се избере подходящата лекарствена форма. Приблизителната възраст е дадена само ориентировъчно в зависимост от теглото на детето. За да се избегне риска от предозиране, трябва да се проверява за отсъствие на парацетамол в състава на другите приемани лекарства (включително по лекарско предписание и такива без рецепта) (вж. точка 4.4).</w:t>
      </w:r>
    </w:p>
    <w:p w14:paraId="3CBCA8C6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F80FD8" w14:textId="69E6223F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lastRenderedPageBreak/>
        <w:t xml:space="preserve">Максималната дневна доза не трябва да надвишава 75 </w:t>
      </w:r>
      <w:r w:rsidRPr="009F2A47">
        <w:rPr>
          <w:rFonts w:eastAsia="Times New Roman" w:cs="Arial"/>
          <w:color w:val="000000"/>
          <w:lang w:val="en-US"/>
        </w:rPr>
        <w:t xml:space="preserve">mg/kg. </w:t>
      </w:r>
      <w:r w:rsidRPr="009F2A47">
        <w:rPr>
          <w:rFonts w:eastAsia="Times New Roman" w:cs="Arial"/>
          <w:color w:val="000000"/>
          <w:lang w:eastAsia="bg-BG"/>
        </w:rPr>
        <w:t>Минималният</w:t>
      </w:r>
      <w:r w:rsidRPr="009F2A47">
        <w:rPr>
          <w:rFonts w:eastAsia="Times New Roman" w:cs="Arial"/>
          <w:color w:val="000000"/>
          <w:lang w:val="en-US"/>
        </w:rPr>
        <w:t xml:space="preserve"> </w:t>
      </w:r>
      <w:r w:rsidRPr="009F2A47">
        <w:rPr>
          <w:rFonts w:eastAsia="Times New Roman" w:cs="Arial"/>
          <w:color w:val="000000"/>
          <w:lang w:eastAsia="bg-BG"/>
        </w:rPr>
        <w:t>интервал между всеки прием е 4 часа.</w:t>
      </w:r>
    </w:p>
    <w:p w14:paraId="0884900A" w14:textId="2CA37E43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Ефералган трябва да се прилага в дози от 10 до 15 </w:t>
      </w:r>
      <w:r w:rsidRPr="009F2A47">
        <w:rPr>
          <w:rFonts w:eastAsia="Times New Roman" w:cs="Arial"/>
          <w:color w:val="000000"/>
          <w:lang w:val="en-US"/>
        </w:rPr>
        <w:t xml:space="preserve">mg/kg </w:t>
      </w:r>
      <w:r w:rsidRPr="009F2A47">
        <w:rPr>
          <w:rFonts w:eastAsia="Times New Roman" w:cs="Arial"/>
          <w:color w:val="000000"/>
          <w:lang w:eastAsia="bg-BG"/>
        </w:rPr>
        <w:t xml:space="preserve">на всеки 4 до 6 часа, до максимална дневна доза 75 </w:t>
      </w:r>
      <w:r w:rsidRPr="009F2A47">
        <w:rPr>
          <w:rFonts w:eastAsia="Times New Roman" w:cs="Arial"/>
          <w:color w:val="000000"/>
          <w:lang w:val="en-US"/>
        </w:rPr>
        <w:t>mg/kg</w:t>
      </w:r>
      <w:r w:rsidRPr="009F2A47">
        <w:rPr>
          <w:rFonts w:eastAsia="Times New Roman" w:cs="Arial"/>
          <w:color w:val="000000"/>
          <w:lang w:eastAsia="bg-BG"/>
        </w:rPr>
        <w:t>/ден.</w:t>
      </w:r>
    </w:p>
    <w:p w14:paraId="172F8B03" w14:textId="15F4AE2F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F27619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Мерителната лъжичка е градуирана в килограми с означение на съответното тегло 4-8-12-16 </w:t>
      </w:r>
      <w:r w:rsidRPr="009F2A47">
        <w:rPr>
          <w:rFonts w:eastAsia="Times New Roman" w:cs="Arial"/>
          <w:color w:val="000000"/>
          <w:lang w:val="en-US"/>
        </w:rPr>
        <w:t xml:space="preserve">kg. </w:t>
      </w:r>
      <w:r w:rsidRPr="009F2A47">
        <w:rPr>
          <w:rFonts w:eastAsia="Times New Roman" w:cs="Arial"/>
          <w:color w:val="000000"/>
          <w:lang w:eastAsia="bg-BG"/>
        </w:rPr>
        <w:t xml:space="preserve">Останалите означения отговарят на междинното тегло - 6-10-14 </w:t>
      </w:r>
      <w:r w:rsidRPr="009F2A47">
        <w:rPr>
          <w:rFonts w:eastAsia="Times New Roman" w:cs="Arial"/>
          <w:color w:val="000000"/>
          <w:lang w:val="en-US"/>
        </w:rPr>
        <w:t xml:space="preserve">kg. </w:t>
      </w:r>
      <w:r w:rsidRPr="009F2A47">
        <w:rPr>
          <w:rFonts w:eastAsia="Times New Roman" w:cs="Arial"/>
          <w:color w:val="000000"/>
          <w:lang w:eastAsia="bg-BG"/>
        </w:rPr>
        <w:t>Деленията са на всеки килограм. Мерителната лъжичка се напълва в зависимост от теглото на детето, като нивото на течността се изравнява с градуировката. Приблизителните възрастови интервали съотнесени към теглото са дадени само ориентировъчно.</w:t>
      </w:r>
    </w:p>
    <w:p w14:paraId="267D4858" w14:textId="77777777" w:rsidR="009F2A47" w:rsidRPr="009F2A47" w:rsidRDefault="009F2A47" w:rsidP="009F2A4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EA949F6" w14:textId="27168872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b/>
          <w:bCs/>
          <w:color w:val="000000"/>
          <w:lang w:eastAsia="bg-BG"/>
        </w:rPr>
        <w:t xml:space="preserve">Внимание: </w:t>
      </w:r>
      <w:r w:rsidRPr="009F2A47">
        <w:rPr>
          <w:rFonts w:eastAsia="Times New Roman" w:cs="Arial"/>
          <w:color w:val="000000"/>
          <w:lang w:eastAsia="bg-BG"/>
        </w:rPr>
        <w:t>Да се използва само приложената мерителна лъжичка, тъй като тя е специално предназначена за употребата на този лекарствен продукт. Не трябва да бъде използвано друго изделие за дозиране.</w:t>
      </w:r>
    </w:p>
    <w:p w14:paraId="3D6BBBAB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875B00" w14:textId="51B56B6A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u w:val="single"/>
          <w:lang w:eastAsia="bg-BG"/>
        </w:rPr>
        <w:t xml:space="preserve">- </w:t>
      </w:r>
      <w:r w:rsidRPr="009F2A47">
        <w:rPr>
          <w:rFonts w:eastAsia="Times New Roman" w:cs="Arial"/>
          <w:color w:val="000000"/>
          <w:u w:val="single"/>
          <w:lang w:eastAsia="bg-BG"/>
        </w:rPr>
        <w:t xml:space="preserve">от 4 до 16 </w:t>
      </w:r>
      <w:r w:rsidRPr="009F2A47">
        <w:rPr>
          <w:rFonts w:eastAsia="Times New Roman" w:cs="Arial"/>
          <w:color w:val="000000"/>
          <w:u w:val="single"/>
          <w:lang w:val="en-US"/>
        </w:rPr>
        <w:t>kg</w:t>
      </w:r>
      <w:r w:rsidRPr="009F2A47">
        <w:rPr>
          <w:rFonts w:eastAsia="Times New Roman" w:cs="Arial"/>
          <w:color w:val="000000"/>
          <w:lang w:val="en-US"/>
        </w:rPr>
        <w:t xml:space="preserve">: </w:t>
      </w:r>
      <w:r w:rsidRPr="009F2A47">
        <w:rPr>
          <w:rFonts w:eastAsia="Times New Roman" w:cs="Arial"/>
          <w:color w:val="000000"/>
          <w:lang w:eastAsia="bg-BG"/>
        </w:rPr>
        <w:t>използвайте мерителната лъжичка до градуировката, отговаряща на теглото на детето или до онази градуировка, която е най-близо до него.</w:t>
      </w:r>
    </w:p>
    <w:p w14:paraId="36BAF9EC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Например: от 4 </w:t>
      </w:r>
      <w:r w:rsidRPr="009F2A47">
        <w:rPr>
          <w:rFonts w:eastAsia="Times New Roman" w:cs="Arial"/>
          <w:color w:val="000000"/>
          <w:lang w:val="en-US"/>
        </w:rPr>
        <w:t xml:space="preserve">kg </w:t>
      </w:r>
      <w:r w:rsidRPr="009F2A47">
        <w:rPr>
          <w:rFonts w:eastAsia="Times New Roman" w:cs="Arial"/>
          <w:color w:val="000000"/>
          <w:lang w:eastAsia="bg-BG"/>
        </w:rPr>
        <w:t xml:space="preserve">до 5 </w:t>
      </w:r>
      <w:r w:rsidRPr="009F2A47">
        <w:rPr>
          <w:rFonts w:eastAsia="Times New Roman" w:cs="Arial"/>
          <w:color w:val="000000"/>
          <w:lang w:val="en-US"/>
        </w:rPr>
        <w:t xml:space="preserve">kg </w:t>
      </w:r>
      <w:r w:rsidRPr="009F2A47">
        <w:rPr>
          <w:rFonts w:eastAsia="Times New Roman" w:cs="Arial"/>
          <w:color w:val="000000"/>
          <w:lang w:eastAsia="bg-BG"/>
        </w:rPr>
        <w:t xml:space="preserve">мерителната лъжичка се напълва до градуировката 4 </w:t>
      </w:r>
      <w:r w:rsidRPr="009F2A47">
        <w:rPr>
          <w:rFonts w:eastAsia="Times New Roman" w:cs="Arial"/>
          <w:color w:val="000000"/>
          <w:lang w:val="en-US"/>
        </w:rPr>
        <w:t xml:space="preserve">kg. </w:t>
      </w:r>
      <w:r w:rsidRPr="009F2A47">
        <w:rPr>
          <w:rFonts w:eastAsia="Times New Roman" w:cs="Arial"/>
          <w:color w:val="000000"/>
          <w:lang w:eastAsia="bg-BG"/>
        </w:rPr>
        <w:t>При необходимост приемът се повтаря след 6 часа.</w:t>
      </w:r>
    </w:p>
    <w:p w14:paraId="7543D257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E12B45E" w14:textId="2544329C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u w:val="single"/>
          <w:lang w:eastAsia="bg-BG"/>
        </w:rPr>
        <w:t xml:space="preserve">- </w:t>
      </w:r>
      <w:r w:rsidRPr="009F2A47">
        <w:rPr>
          <w:rFonts w:eastAsia="Times New Roman" w:cs="Arial"/>
          <w:color w:val="000000"/>
          <w:u w:val="single"/>
          <w:lang w:eastAsia="bg-BG"/>
        </w:rPr>
        <w:t xml:space="preserve">от 16 до 32 </w:t>
      </w:r>
      <w:r w:rsidRPr="009F2A47">
        <w:rPr>
          <w:rFonts w:eastAsia="Times New Roman" w:cs="Arial"/>
          <w:color w:val="000000"/>
          <w:u w:val="single"/>
          <w:lang w:val="en-US"/>
        </w:rPr>
        <w:t>kg</w:t>
      </w:r>
      <w:r w:rsidRPr="009F2A47">
        <w:rPr>
          <w:rFonts w:eastAsia="Times New Roman" w:cs="Arial"/>
          <w:color w:val="000000"/>
          <w:lang w:val="en-US"/>
        </w:rPr>
        <w:t xml:space="preserve">: </w:t>
      </w:r>
      <w:r w:rsidRPr="009F2A47">
        <w:rPr>
          <w:rFonts w:eastAsia="Times New Roman" w:cs="Arial"/>
          <w:color w:val="000000"/>
          <w:lang w:eastAsia="bg-BG"/>
        </w:rPr>
        <w:t>мерителна лъжичка се напълва първоначално, след това същата се допълва за втори път до получаване на теглото на детето.</w:t>
      </w:r>
    </w:p>
    <w:p w14:paraId="6E9E479F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Например: от 18 до 19 </w:t>
      </w:r>
      <w:r w:rsidRPr="009F2A47">
        <w:rPr>
          <w:rFonts w:eastAsia="Times New Roman" w:cs="Arial"/>
          <w:color w:val="000000"/>
          <w:lang w:val="en-US"/>
        </w:rPr>
        <w:t xml:space="preserve">kg </w:t>
      </w:r>
      <w:r w:rsidRPr="009F2A47">
        <w:rPr>
          <w:rFonts w:eastAsia="Times New Roman" w:cs="Arial"/>
          <w:color w:val="000000"/>
          <w:lang w:eastAsia="bg-BG"/>
        </w:rPr>
        <w:t xml:space="preserve">напълнете мерителна лъжичка до деление 10 </w:t>
      </w:r>
      <w:r w:rsidRPr="009F2A47">
        <w:rPr>
          <w:rFonts w:eastAsia="Times New Roman" w:cs="Arial"/>
          <w:color w:val="000000"/>
          <w:lang w:val="en-US"/>
        </w:rPr>
        <w:t xml:space="preserve">kg, </w:t>
      </w:r>
      <w:r w:rsidRPr="009F2A47">
        <w:rPr>
          <w:rFonts w:eastAsia="Times New Roman" w:cs="Arial"/>
          <w:color w:val="000000"/>
          <w:lang w:eastAsia="bg-BG"/>
        </w:rPr>
        <w:t xml:space="preserve">след това повторно я напълнете до деление 8 </w:t>
      </w:r>
      <w:r w:rsidRPr="009F2A47">
        <w:rPr>
          <w:rFonts w:eastAsia="Times New Roman" w:cs="Arial"/>
          <w:color w:val="000000"/>
          <w:lang w:val="en-US"/>
        </w:rPr>
        <w:t xml:space="preserve">kg. </w:t>
      </w:r>
      <w:r w:rsidRPr="009F2A47">
        <w:rPr>
          <w:rFonts w:eastAsia="Times New Roman" w:cs="Arial"/>
          <w:color w:val="000000"/>
          <w:lang w:eastAsia="bg-BG"/>
        </w:rPr>
        <w:t>При необходимост приемът се повтаря след 6 часа.</w:t>
      </w:r>
    </w:p>
    <w:p w14:paraId="613B4B44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2E97EC" w14:textId="3E97D10A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Максималната дневна доза не трябва да надвишава 4 </w:t>
      </w:r>
      <w:r w:rsidRPr="009F2A47">
        <w:rPr>
          <w:rFonts w:eastAsia="Times New Roman" w:cs="Arial"/>
          <w:color w:val="000000"/>
          <w:lang w:val="en-US"/>
        </w:rPr>
        <w:t xml:space="preserve">g. </w:t>
      </w:r>
      <w:r w:rsidRPr="009F2A47">
        <w:rPr>
          <w:rFonts w:eastAsia="Times New Roman" w:cs="Arial"/>
          <w:color w:val="000000"/>
          <w:lang w:eastAsia="bg-BG"/>
        </w:rPr>
        <w:t>Минималният интервал между всеки прием е 4 часа.</w:t>
      </w:r>
    </w:p>
    <w:p w14:paraId="7347AFE1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B8707A3" w14:textId="3AC3595A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u w:val="single"/>
          <w:lang w:eastAsia="bg-BG"/>
        </w:rPr>
        <w:t>Честота на приема</w:t>
      </w:r>
    </w:p>
    <w:p w14:paraId="21EC43F3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Редовният прием позволява да бъдат избегнати колебанията в болката и фебрилитета: </w:t>
      </w:r>
    </w:p>
    <w:p w14:paraId="263CB5F5" w14:textId="5612A195" w:rsidR="009F2A47" w:rsidRPr="009F2A47" w:rsidRDefault="009F2A47" w:rsidP="009F2A47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при детето приемът трябва да бъде равномерно разпределен във времето, </w:t>
      </w:r>
      <w:r w:rsidRPr="009F2A47">
        <w:rPr>
          <w:rFonts w:eastAsia="Times New Roman" w:cs="Arial"/>
          <w:b/>
          <w:bCs/>
          <w:color w:val="000000"/>
          <w:lang w:eastAsia="bg-BG"/>
        </w:rPr>
        <w:t xml:space="preserve">включително през нощта, </w:t>
      </w:r>
      <w:r w:rsidRPr="009F2A47">
        <w:rPr>
          <w:rFonts w:eastAsia="Times New Roman" w:cs="Arial"/>
          <w:color w:val="000000"/>
          <w:lang w:eastAsia="bg-BG"/>
        </w:rPr>
        <w:t>за предпочитане на интервали от 6 часа.</w:t>
      </w:r>
    </w:p>
    <w:p w14:paraId="66E95E19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21D4542" w14:textId="203330F1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u w:val="single"/>
          <w:lang w:eastAsia="bg-BG"/>
        </w:rPr>
        <w:t>Бъбречно увреждане</w:t>
      </w:r>
    </w:p>
    <w:p w14:paraId="37F6B2DE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При пациенти с тежко бъбречно увреждане, минималният интервал между всеки прием трябва да се промени според следната схема:</w:t>
      </w:r>
    </w:p>
    <w:p w14:paraId="1DC11156" w14:textId="77777777" w:rsidR="009F2A47" w:rsidRPr="009F2A47" w:rsidRDefault="009F2A47" w:rsidP="009F2A4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0E38C9D8" w14:textId="5669391E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b/>
          <w:bCs/>
          <w:color w:val="000000"/>
          <w:lang w:eastAsia="bg-BG"/>
        </w:rPr>
        <w:t>Креатининов клирънс</w:t>
      </w:r>
      <w:r w:rsidRPr="009F2A47">
        <w:rPr>
          <w:rFonts w:eastAsia="Times New Roman" w:cs="Arial"/>
          <w:b/>
          <w:bCs/>
          <w:color w:val="000000"/>
          <w:lang w:eastAsia="bg-BG"/>
        </w:rPr>
        <w:tab/>
        <w:t>Интервал между приемите</w:t>
      </w:r>
      <w:bookmarkEnd w:id="1"/>
    </w:p>
    <w:p w14:paraId="33A409C2" w14:textId="7B85CB8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val="en-US"/>
        </w:rPr>
        <w:t xml:space="preserve">cl </w:t>
      </w:r>
      <w:r w:rsidRPr="009F2A47">
        <w:rPr>
          <w:rFonts w:eastAsia="Times New Roman" w:cs="Arial"/>
          <w:color w:val="000000"/>
          <w:lang w:eastAsia="bg-BG"/>
        </w:rPr>
        <w:t xml:space="preserve">≥50 </w:t>
      </w:r>
      <w:r w:rsidRPr="009F2A47">
        <w:rPr>
          <w:rFonts w:eastAsia="Times New Roman" w:cs="Arial"/>
          <w:color w:val="000000"/>
          <w:lang w:val="en-US"/>
        </w:rPr>
        <w:t>ml/min</w:t>
      </w:r>
      <w:r w:rsidRPr="009F2A47">
        <w:rPr>
          <w:rFonts w:eastAsia="Times New Roman" w:cs="Arial"/>
          <w:color w:val="000000"/>
          <w:lang w:val="en-US"/>
        </w:rPr>
        <w:tab/>
      </w:r>
      <w:r w:rsidRPr="009F2A47">
        <w:rPr>
          <w:rFonts w:eastAsia="Times New Roman" w:cs="Arial"/>
          <w:color w:val="000000"/>
        </w:rPr>
        <w:t xml:space="preserve">                           </w:t>
      </w:r>
      <w:r w:rsidRPr="009F2A47">
        <w:rPr>
          <w:rFonts w:eastAsia="Times New Roman" w:cs="Arial"/>
          <w:color w:val="000000"/>
          <w:lang w:eastAsia="bg-BG"/>
        </w:rPr>
        <w:t>4 часа</w:t>
      </w:r>
    </w:p>
    <w:p w14:paraId="37172A59" w14:textId="193ADB6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val="en-US"/>
        </w:rPr>
        <w:t xml:space="preserve">cl </w:t>
      </w:r>
      <w:r w:rsidRPr="009F2A47">
        <w:rPr>
          <w:rFonts w:eastAsia="Times New Roman" w:cs="Arial"/>
          <w:color w:val="000000"/>
          <w:lang w:eastAsia="bg-BG"/>
        </w:rPr>
        <w:t xml:space="preserve">10-50 </w:t>
      </w:r>
      <w:r w:rsidRPr="009F2A47">
        <w:rPr>
          <w:rFonts w:eastAsia="Times New Roman" w:cs="Arial"/>
          <w:color w:val="000000"/>
          <w:lang w:val="en-US"/>
        </w:rPr>
        <w:t>ml/min</w:t>
      </w:r>
      <w:r w:rsidRPr="009F2A47">
        <w:rPr>
          <w:rFonts w:eastAsia="Times New Roman" w:cs="Arial"/>
          <w:color w:val="000000"/>
          <w:lang w:val="en-US"/>
        </w:rPr>
        <w:tab/>
      </w:r>
      <w:r w:rsidRPr="009F2A47">
        <w:rPr>
          <w:rFonts w:eastAsia="Times New Roman" w:cs="Arial"/>
          <w:color w:val="000000"/>
        </w:rPr>
        <w:t xml:space="preserve">               </w:t>
      </w:r>
      <w:r w:rsidRPr="009F2A47">
        <w:rPr>
          <w:rFonts w:eastAsia="Times New Roman" w:cs="Arial"/>
          <w:color w:val="000000"/>
          <w:lang w:eastAsia="bg-BG"/>
        </w:rPr>
        <w:t>6 часа</w:t>
      </w:r>
    </w:p>
    <w:p w14:paraId="0EC06E21" w14:textId="3EBDD233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val="en-US"/>
        </w:rPr>
        <w:t xml:space="preserve">cl </w:t>
      </w:r>
      <w:r w:rsidRPr="009F2A47">
        <w:rPr>
          <w:rFonts w:eastAsia="Times New Roman" w:cs="Arial"/>
          <w:color w:val="000000"/>
          <w:lang w:eastAsia="bg-BG"/>
        </w:rPr>
        <w:t xml:space="preserve">&lt;10 </w:t>
      </w:r>
      <w:r w:rsidRPr="009F2A47">
        <w:rPr>
          <w:rFonts w:eastAsia="Times New Roman" w:cs="Arial"/>
          <w:color w:val="000000"/>
          <w:lang w:val="en-US"/>
        </w:rPr>
        <w:t>ml/min</w:t>
      </w:r>
      <w:r w:rsidRPr="009F2A47">
        <w:rPr>
          <w:rFonts w:eastAsia="Times New Roman" w:cs="Arial"/>
          <w:color w:val="000000"/>
          <w:lang w:val="en-US"/>
        </w:rPr>
        <w:tab/>
      </w:r>
      <w:r w:rsidRPr="009F2A47">
        <w:rPr>
          <w:rFonts w:eastAsia="Times New Roman" w:cs="Arial"/>
          <w:color w:val="000000"/>
        </w:rPr>
        <w:t xml:space="preserve">                           </w:t>
      </w:r>
      <w:r w:rsidRPr="009F2A47">
        <w:rPr>
          <w:rFonts w:eastAsia="Times New Roman" w:cs="Arial"/>
          <w:color w:val="000000"/>
          <w:lang w:eastAsia="bg-BG"/>
        </w:rPr>
        <w:t>8 часа</w:t>
      </w:r>
    </w:p>
    <w:p w14:paraId="132EDA7C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74D9AA5" w14:textId="1335D4BC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u w:val="single"/>
          <w:lang w:eastAsia="bg-BG"/>
        </w:rPr>
        <w:t>Чернодробно увреждане</w:t>
      </w:r>
    </w:p>
    <w:p w14:paraId="47325753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При пациенти с увредена чернодробна функция, дозата трябва да се намали или да се удължи интервала на дозиране. Максималната дневна доза не трябва да надвишава 60 </w:t>
      </w:r>
      <w:r w:rsidRPr="009F2A47">
        <w:rPr>
          <w:rFonts w:eastAsia="Times New Roman" w:cs="Arial"/>
          <w:color w:val="000000"/>
          <w:lang w:val="en-US"/>
        </w:rPr>
        <w:t>mg/kg</w:t>
      </w:r>
      <w:r w:rsidRPr="009F2A47">
        <w:rPr>
          <w:rFonts w:eastAsia="Times New Roman" w:cs="Arial"/>
          <w:color w:val="000000"/>
          <w:lang w:eastAsia="bg-BG"/>
        </w:rPr>
        <w:t xml:space="preserve">/дневно (2 </w:t>
      </w:r>
      <w:r w:rsidRPr="009F2A47">
        <w:rPr>
          <w:rFonts w:eastAsia="Times New Roman" w:cs="Arial"/>
          <w:color w:val="000000"/>
          <w:lang w:val="en-US"/>
        </w:rPr>
        <w:t>g</w:t>
      </w:r>
      <w:r w:rsidRPr="009F2A47">
        <w:rPr>
          <w:rFonts w:eastAsia="Times New Roman" w:cs="Arial"/>
          <w:color w:val="000000"/>
          <w:lang w:eastAsia="bg-BG"/>
        </w:rPr>
        <w:t xml:space="preserve">/ден) при следните състояния: възрастни пациенти с тегло под 50 </w:t>
      </w:r>
      <w:r w:rsidRPr="009F2A47">
        <w:rPr>
          <w:rFonts w:eastAsia="Times New Roman" w:cs="Arial"/>
          <w:color w:val="000000"/>
          <w:lang w:val="en-US"/>
        </w:rPr>
        <w:t xml:space="preserve">kg, </w:t>
      </w:r>
      <w:r w:rsidRPr="009F2A47">
        <w:rPr>
          <w:rFonts w:eastAsia="Times New Roman" w:cs="Arial"/>
          <w:color w:val="000000"/>
          <w:lang w:eastAsia="bg-BG"/>
        </w:rPr>
        <w:t xml:space="preserve">хронично или компенсирано активно чернодробно заболяване, особено тези с лека до умерена хепатоцелуларна недостатъчност, синдром на </w:t>
      </w:r>
      <w:r w:rsidRPr="009F2A47">
        <w:rPr>
          <w:rFonts w:eastAsia="Times New Roman" w:cs="Arial"/>
          <w:color w:val="000000"/>
          <w:lang w:val="en-US"/>
        </w:rPr>
        <w:t xml:space="preserve">Gilbert </w:t>
      </w:r>
      <w:r w:rsidRPr="009F2A47">
        <w:rPr>
          <w:rFonts w:eastAsia="Times New Roman" w:cs="Arial"/>
          <w:color w:val="000000"/>
          <w:lang w:eastAsia="bg-BG"/>
        </w:rPr>
        <w:t>(фамилна хипербилирубинемия), хроничен алкохолизъм, хронично недохранване (ниски запаси от чернодробен глутатион) и дехидратация (вж. точка 5).</w:t>
      </w:r>
    </w:p>
    <w:p w14:paraId="686D46E4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14CEB82" w14:textId="078084A4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u w:val="single"/>
          <w:lang w:eastAsia="bg-BG"/>
        </w:rPr>
        <w:t>Пациенти в старческа възраст</w:t>
      </w:r>
    </w:p>
    <w:p w14:paraId="2EF3CAB2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Не се налага корекция на дозата при пациенти в старческа възраст (вж. точка 5.2).</w:t>
      </w:r>
    </w:p>
    <w:p w14:paraId="3EE6DCAB" w14:textId="77777777" w:rsidR="009F2A47" w:rsidRPr="009F2A47" w:rsidRDefault="009F2A47" w:rsidP="009F2A47"/>
    <w:p w14:paraId="5D9E65DA" w14:textId="01FFCB73" w:rsidR="009F77A4" w:rsidRDefault="002C50EE" w:rsidP="00387A66">
      <w:pPr>
        <w:pStyle w:val="Heading2"/>
      </w:pPr>
      <w:r>
        <w:t>4.3. Противопоказания</w:t>
      </w:r>
    </w:p>
    <w:p w14:paraId="4D2CA3C3" w14:textId="44935765" w:rsidR="009F2A47" w:rsidRDefault="009F2A47" w:rsidP="009F2A47"/>
    <w:p w14:paraId="50C60641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Ефералган е противопоказан в следните случаи:</w:t>
      </w:r>
    </w:p>
    <w:p w14:paraId="5E7EFDD8" w14:textId="77777777" w:rsidR="009F2A47" w:rsidRPr="009F2A47" w:rsidRDefault="009F2A47" w:rsidP="009F2A47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свръхчувствителност към парацетамол, пропацетамол хидрохлорид (предлекарство на</w:t>
      </w:r>
      <w:r w:rsidRPr="009F2A47">
        <w:rPr>
          <w:rFonts w:eastAsia="Times New Roman" w:cs="Arial"/>
          <w:color w:val="000000"/>
          <w:lang w:eastAsia="bg-BG"/>
        </w:rPr>
        <w:t xml:space="preserve"> </w:t>
      </w:r>
      <w:r w:rsidRPr="009F2A47">
        <w:rPr>
          <w:rFonts w:eastAsia="Times New Roman" w:cs="Arial"/>
          <w:color w:val="000000"/>
          <w:lang w:eastAsia="bg-BG"/>
        </w:rPr>
        <w:t>парацетамол) или към някое от помощните вещества, изброени в точка 6.1</w:t>
      </w:r>
    </w:p>
    <w:p w14:paraId="6253D4EA" w14:textId="35998B3A" w:rsidR="009F2A47" w:rsidRPr="009F2A47" w:rsidRDefault="009F2A47" w:rsidP="009F2A47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тежка чернодробна недостатъчност или декомпенсирано активно чернодробно заболяване.</w:t>
      </w:r>
    </w:p>
    <w:p w14:paraId="638C8938" w14:textId="77777777" w:rsidR="009F2A47" w:rsidRPr="009F2A47" w:rsidRDefault="009F2A47" w:rsidP="009F2A47"/>
    <w:p w14:paraId="1C27CE53" w14:textId="48DD3623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6972C16B" w14:textId="14C55F8B" w:rsidR="009F2A47" w:rsidRDefault="009F2A47" w:rsidP="009F2A47"/>
    <w:p w14:paraId="56B0101A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lang w:eastAsia="bg-BG"/>
        </w:rPr>
        <w:t>Предупреждения</w:t>
      </w:r>
    </w:p>
    <w:p w14:paraId="4332A6B9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668F6F" w14:textId="6F163D18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За да се избегне риска от предозиране, трябва да се проверява за отсъствие на парацетамол в състава на другите приемани лекарства (включително по лекарско предписание и такива без рецепта).</w:t>
      </w:r>
    </w:p>
    <w:p w14:paraId="7F15E4DB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9974EE" w14:textId="0932DB5B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Приложението на парацетамол в дози по-високи от препоръчваните води до риск от много сериозно увреждане на черния дроб. Клиничните симптоми на чернодробно увреждане обикновено се забелязват за първи път 1 до 2 дни след предозирането с парацетамол. Симптомите на максимално чернодробно увреждане обикновено се проявяват след 3 до 4 дни. Лечението с антидот трябва да започне възможно най-скоро (вж. точка 4.9).</w:t>
      </w:r>
    </w:p>
    <w:p w14:paraId="56393180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27C5F8" w14:textId="05F9AB9C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Парацетамол може да причини сериозни кожни реакции като остра генерализирана екзантематозна пустулоза </w:t>
      </w:r>
      <w:r w:rsidRPr="009F2A47">
        <w:rPr>
          <w:rFonts w:eastAsia="Times New Roman" w:cs="Arial"/>
          <w:color w:val="000000"/>
          <w:lang w:val="en-US"/>
        </w:rPr>
        <w:t xml:space="preserve">(AGEP), </w:t>
      </w:r>
      <w:r w:rsidRPr="009F2A47">
        <w:rPr>
          <w:rFonts w:eastAsia="Times New Roman" w:cs="Arial"/>
          <w:color w:val="000000"/>
          <w:lang w:eastAsia="bg-BG"/>
        </w:rPr>
        <w:t xml:space="preserve">синдром на </w:t>
      </w:r>
      <w:r w:rsidRPr="009F2A47">
        <w:rPr>
          <w:rFonts w:eastAsia="Times New Roman" w:cs="Arial"/>
          <w:color w:val="000000"/>
          <w:lang w:val="en-US"/>
        </w:rPr>
        <w:t xml:space="preserve">Stevens-Johnson (SJS) </w:t>
      </w:r>
      <w:r w:rsidRPr="009F2A47">
        <w:rPr>
          <w:rFonts w:eastAsia="Times New Roman" w:cs="Arial"/>
          <w:color w:val="000000"/>
          <w:lang w:eastAsia="bg-BG"/>
        </w:rPr>
        <w:t xml:space="preserve">и токсична епидермална некролиза </w:t>
      </w:r>
      <w:r w:rsidRPr="009F2A47">
        <w:rPr>
          <w:rFonts w:eastAsia="Times New Roman" w:cs="Arial"/>
          <w:color w:val="000000"/>
          <w:lang w:val="en-US"/>
        </w:rPr>
        <w:t xml:space="preserve">(TEN), </w:t>
      </w:r>
      <w:r w:rsidRPr="009F2A47">
        <w:rPr>
          <w:rFonts w:eastAsia="Times New Roman" w:cs="Arial"/>
          <w:color w:val="000000"/>
          <w:lang w:eastAsia="bg-BG"/>
        </w:rPr>
        <w:t>които могат да бъдат фатални. Пациентите трябва да бъдат информирани за признаците на сериозни кожни реакции и употребата на лекарствения продукт да бъде преустановена при първа поява на кожен обрив или други признаци на свръхчувствителност.</w:t>
      </w:r>
    </w:p>
    <w:p w14:paraId="30CDAA1E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E2B06F" w14:textId="6B2CCD52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Парацетамол трябва да се използва внимателно в следните случаи:</w:t>
      </w:r>
    </w:p>
    <w:p w14:paraId="5B39B3D6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23DA6C" w14:textId="77777777" w:rsidR="009F2A47" w:rsidRPr="009F2A47" w:rsidRDefault="009F2A47" w:rsidP="009F2A47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чернодробна недостатъчност, включително синдром на </w:t>
      </w:r>
      <w:r w:rsidRPr="009F2A47">
        <w:rPr>
          <w:rFonts w:eastAsia="Times New Roman" w:cs="Arial"/>
          <w:color w:val="000000"/>
          <w:lang w:val="en-US"/>
        </w:rPr>
        <w:t xml:space="preserve">Gilbert </w:t>
      </w:r>
      <w:r w:rsidRPr="009F2A47">
        <w:rPr>
          <w:rFonts w:eastAsia="Times New Roman" w:cs="Arial"/>
          <w:color w:val="000000"/>
          <w:lang w:eastAsia="bg-BG"/>
        </w:rPr>
        <w:t>(фамилна хипербилирубинемия) (вж. точка 4.2 и 5.2);</w:t>
      </w:r>
    </w:p>
    <w:p w14:paraId="137C9913" w14:textId="77777777" w:rsidR="009F2A47" w:rsidRPr="009F2A47" w:rsidRDefault="009F2A47" w:rsidP="009F2A47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тежка бъбречна недостатъчност (вж. точки 4.2 и 5.2);</w:t>
      </w:r>
    </w:p>
    <w:p w14:paraId="6E8BF7DC" w14:textId="77777777" w:rsidR="009F2A47" w:rsidRPr="009F2A47" w:rsidRDefault="009F2A47" w:rsidP="009F2A47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глюкозо-6-фосфат дехидрогеназна недостатъчност </w:t>
      </w:r>
      <w:r w:rsidRPr="009F2A47">
        <w:rPr>
          <w:rFonts w:eastAsia="Times New Roman" w:cs="Arial"/>
          <w:color w:val="000000"/>
          <w:lang w:val="en-US"/>
        </w:rPr>
        <w:t xml:space="preserve">(G6PD) </w:t>
      </w:r>
      <w:r w:rsidRPr="009F2A47">
        <w:rPr>
          <w:rFonts w:eastAsia="Times New Roman" w:cs="Arial"/>
          <w:color w:val="000000"/>
          <w:lang w:eastAsia="bg-BG"/>
        </w:rPr>
        <w:t>(може да доведе до хемолитична анемия);</w:t>
      </w:r>
    </w:p>
    <w:p w14:paraId="1CC5FEB0" w14:textId="77777777" w:rsidR="009F2A47" w:rsidRPr="009F2A47" w:rsidRDefault="009F2A47" w:rsidP="009F2A47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хроничен алкохолизъм;</w:t>
      </w:r>
    </w:p>
    <w:p w14:paraId="0FA3B70E" w14:textId="77777777" w:rsidR="009F2A47" w:rsidRPr="009F2A47" w:rsidRDefault="009F2A47" w:rsidP="009F2A47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хронично недохранване (ниски запаси на чернодробен глутатион), анорексия, кахексия , булимия;</w:t>
      </w:r>
    </w:p>
    <w:p w14:paraId="3BE03C46" w14:textId="0E453234" w:rsidR="009F2A47" w:rsidRPr="009F2A47" w:rsidRDefault="009F2A47" w:rsidP="009F2A47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дехидратация, хиповолемия.</w:t>
      </w:r>
    </w:p>
    <w:p w14:paraId="52AC373F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750CCB" w14:textId="16B2567A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Не се препоръчва консумацията на алкохол по време на лечението.</w:t>
      </w:r>
    </w:p>
    <w:p w14:paraId="5B9379C3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788689" w14:textId="33D05D2E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В случаи на дългосрочна употреба на аналгетици (&gt;3 месеца) при пациенти с хронично главоболие с приложение на всеки два дни или по-често, главоболието може да се развие или влоши. Главоболие, предизвикано от прекомерна употреба на аналгетици (МОН - главоболие при прекомерна употреба на лекарства), не трябва да се лекува с увеличаване на дозата.</w:t>
      </w:r>
    </w:p>
    <w:p w14:paraId="5FCE17D9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В такива случаи употребата на аналгетици трябва да се преустанови след консултация с лекар.</w:t>
      </w:r>
    </w:p>
    <w:p w14:paraId="4853F7B3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75D71F" w14:textId="43B315B1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u w:val="single"/>
          <w:lang w:eastAsia="bg-BG"/>
        </w:rPr>
        <w:t>Максимални препоръчителни дози:</w:t>
      </w:r>
    </w:p>
    <w:p w14:paraId="32EA168F" w14:textId="77777777" w:rsidR="009F2A47" w:rsidRPr="009F2A47" w:rsidRDefault="009F2A47" w:rsidP="009F2A47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Деца с тегло под 37 </w:t>
      </w:r>
      <w:r w:rsidRPr="009F2A47">
        <w:rPr>
          <w:rFonts w:eastAsia="Times New Roman" w:cs="Arial"/>
          <w:color w:val="000000"/>
          <w:lang w:val="en-US"/>
        </w:rPr>
        <w:t xml:space="preserve">kg </w:t>
      </w:r>
      <w:r w:rsidRPr="009F2A47">
        <w:rPr>
          <w:rFonts w:eastAsia="Times New Roman" w:cs="Arial"/>
          <w:color w:val="000000"/>
          <w:lang w:eastAsia="bg-BG"/>
        </w:rPr>
        <w:t xml:space="preserve">- общата доза парацетамол не трябва да превишава 75 </w:t>
      </w:r>
      <w:r w:rsidRPr="009F2A47">
        <w:rPr>
          <w:rFonts w:eastAsia="Times New Roman" w:cs="Arial"/>
          <w:color w:val="000000"/>
          <w:lang w:val="en-US"/>
        </w:rPr>
        <w:t>mg/kg</w:t>
      </w:r>
      <w:r w:rsidRPr="009F2A47">
        <w:rPr>
          <w:rFonts w:eastAsia="Times New Roman" w:cs="Arial"/>
          <w:color w:val="000000"/>
          <w:lang w:eastAsia="bg-BG"/>
        </w:rPr>
        <w:t>/ден (виж точка 4.9);</w:t>
      </w:r>
    </w:p>
    <w:p w14:paraId="1ACA3EC2" w14:textId="77777777" w:rsidR="009F2A47" w:rsidRPr="009F2A47" w:rsidRDefault="009F2A47" w:rsidP="009F2A47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Деца с тегло от 38 </w:t>
      </w:r>
      <w:r w:rsidRPr="009F2A47">
        <w:rPr>
          <w:rFonts w:eastAsia="Times New Roman" w:cs="Arial"/>
          <w:color w:val="000000"/>
          <w:lang w:val="en-US"/>
        </w:rPr>
        <w:t xml:space="preserve">kg </w:t>
      </w:r>
      <w:r w:rsidRPr="009F2A47">
        <w:rPr>
          <w:rFonts w:eastAsia="Times New Roman" w:cs="Arial"/>
          <w:color w:val="000000"/>
          <w:lang w:eastAsia="bg-BG"/>
        </w:rPr>
        <w:t xml:space="preserve">до 50 </w:t>
      </w:r>
      <w:r w:rsidRPr="009F2A47">
        <w:rPr>
          <w:rFonts w:eastAsia="Times New Roman" w:cs="Arial"/>
          <w:color w:val="000000"/>
          <w:lang w:val="en-US"/>
        </w:rPr>
        <w:t xml:space="preserve">kg </w:t>
      </w:r>
      <w:r w:rsidRPr="009F2A47">
        <w:rPr>
          <w:rFonts w:eastAsia="Times New Roman" w:cs="Arial"/>
          <w:color w:val="000000"/>
          <w:lang w:eastAsia="bg-BG"/>
        </w:rPr>
        <w:t xml:space="preserve">- общата доза парацетамол не трябва да превишава 3 </w:t>
      </w:r>
      <w:r w:rsidRPr="009F2A47">
        <w:rPr>
          <w:rFonts w:eastAsia="Times New Roman" w:cs="Arial"/>
          <w:color w:val="000000"/>
          <w:lang w:val="en-US"/>
        </w:rPr>
        <w:t>g</w:t>
      </w:r>
      <w:r w:rsidRPr="009F2A47">
        <w:rPr>
          <w:rFonts w:eastAsia="Times New Roman" w:cs="Arial"/>
          <w:color w:val="000000"/>
          <w:lang w:eastAsia="bg-BG"/>
        </w:rPr>
        <w:t>/ден (виж точка 4.9);</w:t>
      </w:r>
    </w:p>
    <w:p w14:paraId="7A73671C" w14:textId="1FC31A07" w:rsidR="009F2A47" w:rsidRPr="009F2A47" w:rsidRDefault="009F2A47" w:rsidP="009F2A47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Възрастни и деца с тегло над 50 </w:t>
      </w:r>
      <w:r w:rsidRPr="009F2A47">
        <w:rPr>
          <w:rFonts w:eastAsia="Times New Roman" w:cs="Arial"/>
          <w:color w:val="000000"/>
          <w:lang w:val="en-US"/>
        </w:rPr>
        <w:t xml:space="preserve">kg </w:t>
      </w:r>
      <w:r w:rsidRPr="009F2A47">
        <w:rPr>
          <w:rFonts w:eastAsia="Times New Roman" w:cs="Arial"/>
          <w:color w:val="000000"/>
          <w:lang w:eastAsia="bg-BG"/>
        </w:rPr>
        <w:t xml:space="preserve">- общата доза парацетамол не трябва да надвишава 4 </w:t>
      </w:r>
      <w:r w:rsidRPr="009F2A47">
        <w:rPr>
          <w:rFonts w:eastAsia="Times New Roman" w:cs="Arial"/>
          <w:color w:val="000000"/>
          <w:lang w:val="en-US"/>
        </w:rPr>
        <w:t xml:space="preserve">g </w:t>
      </w:r>
      <w:r w:rsidRPr="009F2A47">
        <w:rPr>
          <w:rFonts w:eastAsia="Times New Roman" w:cs="Arial"/>
          <w:color w:val="000000"/>
          <w:lang w:eastAsia="bg-BG"/>
        </w:rPr>
        <w:t>на ден (виж точка 4.9).</w:t>
      </w:r>
    </w:p>
    <w:p w14:paraId="4B00D536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8478459" w14:textId="5BD66580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lang w:eastAsia="bg-BG"/>
        </w:rPr>
        <w:t>Предпазни мерки при употреба</w:t>
      </w:r>
    </w:p>
    <w:p w14:paraId="2AAD28D1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Това лекарство съдържа 0,67 </w:t>
      </w:r>
      <w:r w:rsidRPr="009F2A47">
        <w:rPr>
          <w:rFonts w:eastAsia="Times New Roman" w:cs="Arial"/>
          <w:color w:val="000000"/>
          <w:lang w:val="en-US"/>
        </w:rPr>
        <w:t xml:space="preserve">g </w:t>
      </w:r>
      <w:r w:rsidRPr="009F2A47">
        <w:rPr>
          <w:rFonts w:eastAsia="Times New Roman" w:cs="Arial"/>
          <w:color w:val="000000"/>
          <w:lang w:eastAsia="bg-BG"/>
        </w:rPr>
        <w:t xml:space="preserve">захароза в доза за 4 </w:t>
      </w:r>
      <w:r w:rsidRPr="009F2A47">
        <w:rPr>
          <w:rFonts w:eastAsia="Times New Roman" w:cs="Arial"/>
          <w:color w:val="000000"/>
          <w:lang w:val="en-US"/>
        </w:rPr>
        <w:t xml:space="preserve">kg </w:t>
      </w:r>
      <w:r w:rsidRPr="009F2A47">
        <w:rPr>
          <w:rFonts w:eastAsia="Times New Roman" w:cs="Arial"/>
          <w:color w:val="000000"/>
          <w:lang w:eastAsia="bg-BG"/>
        </w:rPr>
        <w:t>от мерителната лъжичка. Това трябва да се има в предвид при пациенти със захарен диабет. Пациенти с редки наследствени проблеми на непоносимост към фруктоза, глюкозогалактозна малабсорбция или захарозо-изомалтазен дефицит не трябва да приемат това лекарство.</w:t>
      </w:r>
    </w:p>
    <w:p w14:paraId="7B762C81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EF1B9A" w14:textId="65E284C3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Това лекарство съдържа 146 </w:t>
      </w:r>
      <w:r w:rsidRPr="009F2A47">
        <w:rPr>
          <w:rFonts w:eastAsia="Times New Roman" w:cs="Arial"/>
          <w:color w:val="000000"/>
          <w:lang w:val="en-US"/>
        </w:rPr>
        <w:t xml:space="preserve">mg </w:t>
      </w:r>
      <w:r w:rsidRPr="009F2A47">
        <w:rPr>
          <w:rFonts w:eastAsia="Times New Roman" w:cs="Arial"/>
          <w:color w:val="000000"/>
          <w:lang w:eastAsia="bg-BG"/>
        </w:rPr>
        <w:t xml:space="preserve">пропиленгликол (Е1520) във всеки 100 </w:t>
      </w:r>
      <w:r w:rsidRPr="009F2A47">
        <w:rPr>
          <w:rFonts w:eastAsia="Times New Roman" w:cs="Arial"/>
          <w:color w:val="000000"/>
          <w:lang w:val="en-US"/>
        </w:rPr>
        <w:t>ml</w:t>
      </w:r>
      <w:r w:rsidRPr="009F2A47">
        <w:rPr>
          <w:rFonts w:eastAsia="Times New Roman" w:cs="Arial"/>
          <w:color w:val="000000"/>
          <w:lang w:eastAsia="bg-BG"/>
        </w:rPr>
        <w:t xml:space="preserve"> перорален разтвор, които</w:t>
      </w:r>
      <w:r w:rsidRPr="009F2A47">
        <w:rPr>
          <w:rFonts w:eastAsia="Times New Roman" w:cs="Arial"/>
          <w:sz w:val="24"/>
          <w:szCs w:val="24"/>
          <w:lang w:eastAsia="bg-BG"/>
        </w:rPr>
        <w:t xml:space="preserve"> </w:t>
      </w:r>
      <w:r w:rsidRPr="009F2A47">
        <w:rPr>
          <w:rFonts w:eastAsia="Times New Roman" w:cs="Arial"/>
          <w:color w:val="000000"/>
          <w:lang w:eastAsia="bg-BG"/>
        </w:rPr>
        <w:t xml:space="preserve">са еквивалентни на 3,9 </w:t>
      </w:r>
      <w:r w:rsidRPr="009F2A47">
        <w:rPr>
          <w:rFonts w:eastAsia="Times New Roman" w:cs="Arial"/>
          <w:color w:val="000000"/>
          <w:lang w:val="en-US"/>
        </w:rPr>
        <w:t xml:space="preserve">mg/kg </w:t>
      </w:r>
      <w:r w:rsidRPr="009F2A47">
        <w:rPr>
          <w:rFonts w:eastAsia="Times New Roman" w:cs="Arial"/>
          <w:color w:val="000000"/>
          <w:lang w:eastAsia="bg-BG"/>
        </w:rPr>
        <w:t>на ден. Едновременното приложение с който и да е субстрат на алкохолдехидрогеназата, като етанол, може да причини сериозни нежелани реакции при</w:t>
      </w:r>
      <w:r w:rsidRPr="009F2A47">
        <w:rPr>
          <w:rFonts w:eastAsia="Times New Roman" w:cs="Arial"/>
          <w:color w:val="000000"/>
          <w:lang w:eastAsia="bg-BG"/>
        </w:rPr>
        <w:t xml:space="preserve"> </w:t>
      </w:r>
      <w:r w:rsidRPr="009F2A47">
        <w:rPr>
          <w:rFonts w:cs="Arial"/>
        </w:rPr>
        <w:t>новородени.</w:t>
      </w:r>
    </w:p>
    <w:p w14:paraId="4180B283" w14:textId="77777777" w:rsidR="009F2A47" w:rsidRPr="009F2A47" w:rsidRDefault="009F2A47" w:rsidP="009F2A47"/>
    <w:p w14:paraId="1DA47448" w14:textId="4FF3BAF7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545862AE" w14:textId="5DCE9BF4" w:rsidR="009F2A47" w:rsidRDefault="009F2A47" w:rsidP="009F2A47"/>
    <w:p w14:paraId="61EC5295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u w:val="single"/>
          <w:lang w:eastAsia="bg-BG"/>
        </w:rPr>
        <w:t>Взаимодействия, изискващи предпазни мерки при употреба</w:t>
      </w:r>
    </w:p>
    <w:p w14:paraId="1E7CA3EF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229127E" w14:textId="62D19CE3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lang w:eastAsia="bg-BG"/>
        </w:rPr>
        <w:t>Фенитоин:</w:t>
      </w:r>
      <w:r w:rsidRPr="009F2A47">
        <w:rPr>
          <w:rFonts w:eastAsia="Times New Roman" w:cs="Arial"/>
          <w:color w:val="000000"/>
          <w:lang w:eastAsia="bg-BG"/>
        </w:rPr>
        <w:t xml:space="preserve"> едновременното прилагане на фенитоин може да доведе до намаляване на ефективността на парацетамол и до повишен риск от хепатотоксичност. Пациентите на терапия с фенитоин трябва да избягват големи дози парацетамол и/или продължителен прием. Пациентите трябва да бъдат проследявани за хепатотоксичност.</w:t>
      </w:r>
    </w:p>
    <w:p w14:paraId="3FFC30B9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CB748FC" w14:textId="2EA9B7C8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lang w:eastAsia="bg-BG"/>
        </w:rPr>
        <w:t>Пробенецид:</w:t>
      </w:r>
      <w:r w:rsidRPr="009F2A47">
        <w:rPr>
          <w:rFonts w:eastAsia="Times New Roman" w:cs="Arial"/>
          <w:color w:val="000000"/>
          <w:lang w:eastAsia="bg-BG"/>
        </w:rPr>
        <w:t xml:space="preserve"> пробенецид причинява почти двойно редуциране на клирънса на парацетамол, чрез потискане на неговата конюгация с глюкуроиовата киселина. Намаляването на дозите на парацетамол трябва да се вземе предвид при едновременно приложение с пробенецид.</w:t>
      </w:r>
    </w:p>
    <w:p w14:paraId="3B465293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E77C3E3" w14:textId="48E60478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lang w:eastAsia="bg-BG"/>
        </w:rPr>
        <w:t>Салициламид:</w:t>
      </w:r>
      <w:r w:rsidRPr="009F2A47">
        <w:rPr>
          <w:rFonts w:eastAsia="Times New Roman" w:cs="Arial"/>
          <w:color w:val="000000"/>
          <w:lang w:eastAsia="bg-BG"/>
        </w:rPr>
        <w:t xml:space="preserve"> салициламид може да удължи елиминационния полуживот </w:t>
      </w:r>
      <w:r w:rsidRPr="009F2A47">
        <w:rPr>
          <w:rFonts w:eastAsia="Times New Roman" w:cs="Arial"/>
          <w:color w:val="000000"/>
          <w:lang w:val="en-US"/>
        </w:rPr>
        <w:t xml:space="preserve">(t1/2) </w:t>
      </w:r>
      <w:r w:rsidRPr="009F2A47">
        <w:rPr>
          <w:rFonts w:eastAsia="Times New Roman" w:cs="Arial"/>
          <w:color w:val="000000"/>
          <w:lang w:eastAsia="bg-BG"/>
        </w:rPr>
        <w:t>на парацетамол.</w:t>
      </w:r>
    </w:p>
    <w:p w14:paraId="469A9EB0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3A2BB39" w14:textId="13DAA939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lang w:eastAsia="bg-BG"/>
        </w:rPr>
        <w:t>Ензимни индуктори:</w:t>
      </w:r>
      <w:r w:rsidRPr="009F2A47">
        <w:rPr>
          <w:rFonts w:eastAsia="Times New Roman" w:cs="Arial"/>
          <w:color w:val="000000"/>
          <w:lang w:eastAsia="bg-BG"/>
        </w:rPr>
        <w:t xml:space="preserve"> трябва да се внимава при едновременния прием на парацетамол с ензимни индуктори. Такива субстанции включват, но не са ограничени до: барбитурати, изониазид, карбамазепин, рифампин и етанол (вж. точка 4.9).</w:t>
      </w:r>
    </w:p>
    <w:p w14:paraId="42488E56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F558CC" w14:textId="34C69B82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Ефералган може да увеличи възможността за поява на нежелани лекарствени реакции, когато се приема едновременно с други лекарствени продукти.</w:t>
      </w:r>
    </w:p>
    <w:p w14:paraId="53E8F6EE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35C2A7A" w14:textId="74895759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lang w:eastAsia="bg-BG"/>
        </w:rPr>
        <w:t>Антикоагуланти:</w:t>
      </w:r>
      <w:r w:rsidRPr="009F2A47">
        <w:rPr>
          <w:rFonts w:eastAsia="Times New Roman" w:cs="Arial"/>
          <w:color w:val="000000"/>
          <w:lang w:eastAsia="bg-BG"/>
        </w:rPr>
        <w:t xml:space="preserve"> едновременната употреба на парацетамол с кумарини, включително варфарин, може да доведе до леки вариации на </w:t>
      </w:r>
      <w:r w:rsidRPr="009F2A47">
        <w:rPr>
          <w:rFonts w:eastAsia="Times New Roman" w:cs="Arial"/>
          <w:color w:val="000000"/>
          <w:lang w:val="en-US"/>
        </w:rPr>
        <w:t xml:space="preserve">INR </w:t>
      </w:r>
      <w:r w:rsidRPr="009F2A47">
        <w:rPr>
          <w:rFonts w:eastAsia="Times New Roman" w:cs="Arial"/>
          <w:color w:val="000000"/>
          <w:lang w:eastAsia="bg-BG"/>
        </w:rPr>
        <w:t xml:space="preserve">стойностите. В този случай следва да се проведе засилен контрол на </w:t>
      </w:r>
      <w:r w:rsidRPr="009F2A47">
        <w:rPr>
          <w:rFonts w:eastAsia="Times New Roman" w:cs="Arial"/>
          <w:color w:val="000000"/>
          <w:lang w:val="en-US"/>
        </w:rPr>
        <w:t xml:space="preserve">INR </w:t>
      </w:r>
      <w:r w:rsidRPr="009F2A47">
        <w:rPr>
          <w:rFonts w:eastAsia="Times New Roman" w:cs="Arial"/>
          <w:color w:val="000000"/>
          <w:lang w:eastAsia="bg-BG"/>
        </w:rPr>
        <w:t>стойностите по време на периода на едновременна употреба, както и за една седмица след преустановяване на лечението с парацетамол.</w:t>
      </w:r>
    </w:p>
    <w:p w14:paraId="1813FE71" w14:textId="77777777" w:rsidR="009F2A47" w:rsidRPr="009F2A47" w:rsidRDefault="009F2A47" w:rsidP="009F2A4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1D67625" w14:textId="2B55DD35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i/>
          <w:iCs/>
          <w:color w:val="000000"/>
          <w:lang w:eastAsia="bg-BG"/>
        </w:rPr>
        <w:t>Флуклоксацилин:</w:t>
      </w:r>
    </w:p>
    <w:p w14:paraId="6B7F2B87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Препоръчва се да се внимава при едновременния прием на парацетамол с флуклоксацилин поради повишен риск от метаболитна ацидоза с голяма анионна разлика </w:t>
      </w:r>
      <w:r w:rsidRPr="009F2A47">
        <w:rPr>
          <w:rFonts w:eastAsia="Times New Roman" w:cs="Arial"/>
          <w:color w:val="000000"/>
          <w:lang w:val="en-US"/>
        </w:rPr>
        <w:t xml:space="preserve">(HAGMA), </w:t>
      </w:r>
      <w:r w:rsidRPr="009F2A47">
        <w:rPr>
          <w:rFonts w:eastAsia="Times New Roman" w:cs="Arial"/>
          <w:color w:val="000000"/>
          <w:lang w:eastAsia="bg-BG"/>
        </w:rPr>
        <w:t xml:space="preserve">особено при пациенти с рисков фактор за недостатъчност на глутатион като такива с тежко бъбречно увреждане, сепсис, недохранване и хроничен алкохолизъм. Препоръчва се стриктно проследяване с цел откриване на появата на нарушения на алкално-киселинната хомеостаза, а именно </w:t>
      </w:r>
      <w:r w:rsidRPr="009F2A47">
        <w:rPr>
          <w:rFonts w:eastAsia="Times New Roman" w:cs="Arial"/>
          <w:color w:val="000000"/>
          <w:lang w:val="en-US"/>
        </w:rPr>
        <w:t xml:space="preserve">HAGMA, </w:t>
      </w:r>
      <w:r w:rsidRPr="009F2A47">
        <w:rPr>
          <w:rFonts w:eastAsia="Times New Roman" w:cs="Arial"/>
          <w:color w:val="000000"/>
          <w:lang w:eastAsia="bg-BG"/>
        </w:rPr>
        <w:t>в това число за наличие на 5-оксопролин в урината.</w:t>
      </w:r>
    </w:p>
    <w:p w14:paraId="5A41CB50" w14:textId="77777777" w:rsidR="009F2A47" w:rsidRPr="009F2A47" w:rsidRDefault="009F2A47" w:rsidP="009F2A47"/>
    <w:p w14:paraId="48846BBA" w14:textId="0211A9F3" w:rsidR="009F77A4" w:rsidRDefault="002C50EE" w:rsidP="00387A66">
      <w:pPr>
        <w:pStyle w:val="Heading2"/>
      </w:pPr>
      <w:r>
        <w:t>4.6. Фертилитет, бременност и кърмене</w:t>
      </w:r>
    </w:p>
    <w:p w14:paraId="7AB179D5" w14:textId="059BE72E" w:rsidR="009F2A47" w:rsidRDefault="009F2A47" w:rsidP="009F2A47"/>
    <w:p w14:paraId="5307E53B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Лекарствената форма е предназначена за деца.</w:t>
      </w:r>
    </w:p>
    <w:p w14:paraId="6A340534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F1E3EB" w14:textId="32AB2194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Клиничният опит при употребата на парацетамол по време на бременност и кърмене е ограничен.</w:t>
      </w:r>
    </w:p>
    <w:p w14:paraId="24B0EE1A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AC1A643" w14:textId="402D4B5C" w:rsidR="009F2A47" w:rsidRPr="009F2A47" w:rsidRDefault="009F2A47" w:rsidP="009F2A47">
      <w:pPr>
        <w:pStyle w:val="Heading3"/>
        <w:rPr>
          <w:rFonts w:eastAsia="Times New Roman"/>
          <w:u w:val="single"/>
          <w:lang w:eastAsia="bg-BG"/>
        </w:rPr>
      </w:pPr>
      <w:r w:rsidRPr="009F2A47">
        <w:rPr>
          <w:rFonts w:eastAsia="Times New Roman"/>
          <w:u w:val="single"/>
          <w:lang w:eastAsia="bg-BG"/>
        </w:rPr>
        <w:t>Бременност</w:t>
      </w:r>
    </w:p>
    <w:p w14:paraId="4213FD6E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 xml:space="preserve">Значително количество данни при бременни жени не показват нито малформативна, нито фето/неонатална токсичност. Резултатите от епидемиологичните проучвания върху неврологичното развитие на деца с експозиция на парацетамол </w:t>
      </w:r>
      <w:r w:rsidRPr="009F2A47">
        <w:rPr>
          <w:rFonts w:eastAsia="Times New Roman" w:cs="Arial"/>
          <w:i/>
          <w:iCs/>
          <w:color w:val="000000"/>
          <w:lang w:val="en-US"/>
        </w:rPr>
        <w:t>in utero</w:t>
      </w:r>
      <w:r w:rsidRPr="009F2A47">
        <w:rPr>
          <w:rFonts w:eastAsia="Times New Roman" w:cs="Arial"/>
          <w:color w:val="000000"/>
          <w:lang w:val="en-US"/>
        </w:rPr>
        <w:t xml:space="preserve"> </w:t>
      </w:r>
      <w:r w:rsidRPr="009F2A47">
        <w:rPr>
          <w:rFonts w:eastAsia="Times New Roman" w:cs="Arial"/>
          <w:color w:val="000000"/>
          <w:lang w:eastAsia="bg-BG"/>
        </w:rPr>
        <w:t>са неубедителни. Ако е необходимо от клинична гледна точка парацетамол може да се прилага по време на бременност, но трябва да се използва най-ниската ефективна доза за възможно най-кратко време и с възможно най-ниската честота.</w:t>
      </w:r>
    </w:p>
    <w:p w14:paraId="08EAE8B4" w14:textId="77777777" w:rsidR="009F2A47" w:rsidRPr="009F2A47" w:rsidRDefault="009F2A47" w:rsidP="009F2A4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3EE3B6E" w14:textId="68B87EF2" w:rsidR="009F2A47" w:rsidRPr="009F2A47" w:rsidRDefault="009F2A47" w:rsidP="009F2A47">
      <w:pPr>
        <w:pStyle w:val="Heading3"/>
        <w:rPr>
          <w:rFonts w:eastAsia="Times New Roman"/>
          <w:u w:val="single"/>
          <w:lang w:eastAsia="bg-BG"/>
        </w:rPr>
      </w:pPr>
      <w:r w:rsidRPr="009F2A47">
        <w:rPr>
          <w:rFonts w:eastAsia="Times New Roman"/>
          <w:u w:val="single"/>
          <w:lang w:eastAsia="bg-BG"/>
        </w:rPr>
        <w:t>Кърмене</w:t>
      </w:r>
    </w:p>
    <w:p w14:paraId="4900916C" w14:textId="01663913" w:rsidR="009F2A47" w:rsidRDefault="009F2A47" w:rsidP="009F2A4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След перорален прием, парацетамол се екскретира в малки количества в кърмата. Докладван е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9F2A47">
        <w:rPr>
          <w:rFonts w:eastAsia="Times New Roman" w:cs="Arial"/>
          <w:color w:val="000000"/>
          <w:lang w:eastAsia="bg-BG"/>
        </w:rPr>
        <w:t>обрив при кърмачета. Въпреки това се счита, че парацетамол може да се приема по време на кърмене. Изисква се внимание, когато Ефералган се приема от жени, които кърмят.</w:t>
      </w:r>
    </w:p>
    <w:p w14:paraId="49A8504A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321AAB00" w14:textId="7B4B7724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19268F59" w14:textId="591CFE2D" w:rsidR="009F2A47" w:rsidRDefault="009F2A47" w:rsidP="009F2A47"/>
    <w:p w14:paraId="484FDABD" w14:textId="670B15B6" w:rsidR="009F2A47" w:rsidRDefault="009F2A47" w:rsidP="009F2A47">
      <w:pPr>
        <w:rPr>
          <w:lang w:eastAsia="bg-BG"/>
        </w:rPr>
      </w:pPr>
      <w:r w:rsidRPr="009F2A47">
        <w:rPr>
          <w:lang w:eastAsia="bg-BG"/>
        </w:rPr>
        <w:t>Неприложимо.</w:t>
      </w:r>
    </w:p>
    <w:p w14:paraId="3D0EF1FD" w14:textId="77777777" w:rsidR="009F2A47" w:rsidRPr="009F2A47" w:rsidRDefault="009F2A47" w:rsidP="009F2A47"/>
    <w:p w14:paraId="136C86B8" w14:textId="340E0991" w:rsidR="009F77A4" w:rsidRDefault="002C50EE" w:rsidP="00387A66">
      <w:pPr>
        <w:pStyle w:val="Heading2"/>
      </w:pPr>
      <w:r>
        <w:t>4.8. Нежелани лекарствени реакции</w:t>
      </w:r>
    </w:p>
    <w:p w14:paraId="1991C8E2" w14:textId="08D44B57" w:rsidR="009F2A47" w:rsidRDefault="009F2A47" w:rsidP="009F2A47"/>
    <w:p w14:paraId="59E1CFFB" w14:textId="77777777" w:rsidR="009F2A47" w:rsidRPr="009F2A47" w:rsidRDefault="009F2A47" w:rsidP="009F2A4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F2A47">
        <w:rPr>
          <w:rFonts w:eastAsia="Times New Roman" w:cs="Arial"/>
          <w:color w:val="000000"/>
          <w:lang w:eastAsia="bg-BG"/>
        </w:rPr>
        <w:t>Следните нежелани лекарствени реакции са докладвани по време на пост-маркетингово проучване, с неизвестна честота: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0E3EE1" w14:paraId="10C8E060" w14:textId="77777777" w:rsidTr="000E3EE1">
        <w:tc>
          <w:tcPr>
            <w:tcW w:w="4750" w:type="dxa"/>
          </w:tcPr>
          <w:p w14:paraId="61DA16B1" w14:textId="088B427B" w:rsidR="000E3EE1" w:rsidRDefault="000E3EE1" w:rsidP="000E3EE1">
            <w:r>
              <w:rPr>
                <w:b/>
                <w:bCs/>
              </w:rPr>
              <w:lastRenderedPageBreak/>
              <w:t>Системо-органна класификация</w:t>
            </w:r>
          </w:p>
        </w:tc>
        <w:tc>
          <w:tcPr>
            <w:tcW w:w="4750" w:type="dxa"/>
          </w:tcPr>
          <w:p w14:paraId="06A55C0C" w14:textId="61820DEC" w:rsidR="000E3EE1" w:rsidRDefault="000E3EE1" w:rsidP="000E3EE1">
            <w:r>
              <w:rPr>
                <w:b/>
                <w:bCs/>
              </w:rPr>
              <w:t>Нежелани реакции</w:t>
            </w:r>
          </w:p>
        </w:tc>
      </w:tr>
      <w:tr w:rsidR="000E3EE1" w14:paraId="131F17C2" w14:textId="77777777" w:rsidTr="000E3EE1">
        <w:tc>
          <w:tcPr>
            <w:tcW w:w="4750" w:type="dxa"/>
          </w:tcPr>
          <w:p w14:paraId="05547634" w14:textId="555CFB23" w:rsidR="000E3EE1" w:rsidRDefault="000E3EE1" w:rsidP="000E3EE1">
            <w:r>
              <w:t>Нарушения на кръвта и лимфната система</w:t>
            </w:r>
          </w:p>
        </w:tc>
        <w:tc>
          <w:tcPr>
            <w:tcW w:w="4750" w:type="dxa"/>
          </w:tcPr>
          <w:p w14:paraId="14476CA1" w14:textId="6B1B56D6" w:rsidR="000E3EE1" w:rsidRDefault="000E3EE1" w:rsidP="000E3EE1">
            <w:r>
              <w:t>Тромбоцитопения, неутропения, левкопения</w:t>
            </w:r>
          </w:p>
        </w:tc>
      </w:tr>
      <w:tr w:rsidR="000E3EE1" w14:paraId="0DD71884" w14:textId="77777777" w:rsidTr="000E3EE1">
        <w:tc>
          <w:tcPr>
            <w:tcW w:w="4750" w:type="dxa"/>
          </w:tcPr>
          <w:p w14:paraId="2ADF3AF4" w14:textId="12DF49E1" w:rsidR="000E3EE1" w:rsidRDefault="000E3EE1" w:rsidP="000E3EE1">
            <w:r>
              <w:t>Стомашно-чревни нарушения</w:t>
            </w:r>
          </w:p>
        </w:tc>
        <w:tc>
          <w:tcPr>
            <w:tcW w:w="4750" w:type="dxa"/>
          </w:tcPr>
          <w:p w14:paraId="50E57570" w14:textId="1B21F337" w:rsidR="000E3EE1" w:rsidRDefault="000E3EE1" w:rsidP="000E3EE1">
            <w:r>
              <w:t>Диария, абдоминална болка</w:t>
            </w:r>
          </w:p>
        </w:tc>
      </w:tr>
      <w:tr w:rsidR="000E3EE1" w14:paraId="6695576E" w14:textId="77777777" w:rsidTr="000E3EE1">
        <w:tc>
          <w:tcPr>
            <w:tcW w:w="4750" w:type="dxa"/>
          </w:tcPr>
          <w:p w14:paraId="0FD436BB" w14:textId="007C3A7C" w:rsidR="000E3EE1" w:rsidRDefault="000E3EE1" w:rsidP="000E3EE1">
            <w:r>
              <w:t>Хепатобилиарни нарушения</w:t>
            </w:r>
          </w:p>
        </w:tc>
        <w:tc>
          <w:tcPr>
            <w:tcW w:w="4750" w:type="dxa"/>
          </w:tcPr>
          <w:p w14:paraId="5B444EF1" w14:textId="38DC4EAF" w:rsidR="000E3EE1" w:rsidRDefault="000E3EE1" w:rsidP="000E3EE1">
            <w:r>
              <w:t>Повишаване на чернодробните ензими</w:t>
            </w:r>
          </w:p>
        </w:tc>
      </w:tr>
      <w:tr w:rsidR="000E3EE1" w14:paraId="2EEBD9BA" w14:textId="77777777" w:rsidTr="000E3EE1">
        <w:tc>
          <w:tcPr>
            <w:tcW w:w="4750" w:type="dxa"/>
          </w:tcPr>
          <w:p w14:paraId="0A47F5AD" w14:textId="76C36CC8" w:rsidR="000E3EE1" w:rsidRDefault="000E3EE1" w:rsidP="000E3EE1">
            <w:r>
              <w:t>Нарушения на имунната система</w:t>
            </w:r>
          </w:p>
        </w:tc>
        <w:tc>
          <w:tcPr>
            <w:tcW w:w="4750" w:type="dxa"/>
          </w:tcPr>
          <w:p w14:paraId="05A891BE" w14:textId="42313ED3" w:rsidR="000E3EE1" w:rsidRDefault="000E3EE1" w:rsidP="000E3EE1">
            <w:r>
              <w:t>Анафилактична реакция (включително хипотензия), анафилактичен шок, свръхчувствителност, ангиоедем</w:t>
            </w:r>
          </w:p>
        </w:tc>
      </w:tr>
      <w:tr w:rsidR="000E3EE1" w14:paraId="51196BB5" w14:textId="77777777" w:rsidTr="000E3EE1">
        <w:tc>
          <w:tcPr>
            <w:tcW w:w="4750" w:type="dxa"/>
          </w:tcPr>
          <w:p w14:paraId="290C74C9" w14:textId="7643FC64" w:rsidR="000E3EE1" w:rsidRDefault="000E3EE1" w:rsidP="000E3EE1">
            <w:r>
              <w:t>Нарушения на кожата и подкожната тъкан</w:t>
            </w:r>
          </w:p>
        </w:tc>
        <w:tc>
          <w:tcPr>
            <w:tcW w:w="4750" w:type="dxa"/>
          </w:tcPr>
          <w:p w14:paraId="5DE9100B" w14:textId="29367D11" w:rsidR="000E3EE1" w:rsidRDefault="000E3EE1" w:rsidP="000E3EE1">
            <w:r>
              <w:t xml:space="preserve">Уртикария, еритема, обрив, пурпура, остра генерализирана екзантематозна пустулоза, токсична епидермална некролиза, синдром на </w:t>
            </w:r>
            <w:r>
              <w:rPr>
                <w:lang w:val="en-US"/>
              </w:rPr>
              <w:t>Stevens-Johnson</w:t>
            </w:r>
          </w:p>
        </w:tc>
      </w:tr>
    </w:tbl>
    <w:p w14:paraId="619A7F83" w14:textId="77777777" w:rsidR="000E3EE1" w:rsidRDefault="000E3EE1" w:rsidP="000E3EE1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4C184944" w14:textId="0CEFABB2" w:rsidR="000E3EE1" w:rsidRPr="000E3EE1" w:rsidRDefault="000E3EE1" w:rsidP="000E3EE1">
      <w:pPr>
        <w:spacing w:line="240" w:lineRule="auto"/>
        <w:rPr>
          <w:rFonts w:eastAsia="Times New Roman" w:cs="Arial"/>
          <w:lang w:eastAsia="bg-BG"/>
        </w:rPr>
      </w:pPr>
      <w:r w:rsidRPr="000E3EE1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ABF9B61" w14:textId="77777777" w:rsidR="000E3EE1" w:rsidRPr="000E3EE1" w:rsidRDefault="000E3EE1" w:rsidP="000E3EE1">
      <w:pPr>
        <w:spacing w:line="240" w:lineRule="auto"/>
        <w:rPr>
          <w:rFonts w:eastAsia="Times New Roman" w:cs="Arial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3F3C0598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3B8C4BD" w14:textId="7F1AB91A" w:rsidR="000E3EE1" w:rsidRPr="000E3EE1" w:rsidRDefault="000E3EE1" w:rsidP="000E3EE1">
      <w:pPr>
        <w:spacing w:line="240" w:lineRule="auto"/>
        <w:rPr>
          <w:rFonts w:eastAsia="Times New Roman" w:cs="Arial"/>
          <w:lang w:eastAsia="bg-BG"/>
        </w:rPr>
      </w:pPr>
      <w:r w:rsidRPr="000E3EE1">
        <w:rPr>
          <w:rFonts w:eastAsia="Times New Roman" w:cs="Arial"/>
          <w:color w:val="000000"/>
          <w:u w:val="single"/>
          <w:lang w:eastAsia="bg-BG"/>
        </w:rPr>
        <w:t xml:space="preserve">Изпълнителна Агенция по Лекарствата </w:t>
      </w:r>
      <w:r w:rsidRPr="000E3EE1">
        <w:rPr>
          <w:rFonts w:eastAsia="Times New Roman" w:cs="Arial"/>
          <w:color w:val="000000"/>
          <w:lang w:eastAsia="bg-BG"/>
        </w:rPr>
        <w:t xml:space="preserve">ул.,Дамян Груев“ 8, София 1303, тел.:+359-28903417, уебсайт: </w:t>
      </w:r>
      <w:r w:rsidRPr="000E3EE1">
        <w:rPr>
          <w:rFonts w:eastAsia="Times New Roman" w:cs="Arial"/>
          <w:lang w:eastAsia="bg-BG"/>
        </w:rPr>
        <w:fldChar w:fldCharType="begin"/>
      </w:r>
      <w:r w:rsidRPr="000E3EE1">
        <w:rPr>
          <w:rFonts w:eastAsia="Times New Roman" w:cs="Arial"/>
          <w:lang w:eastAsia="bg-BG"/>
        </w:rPr>
        <w:instrText xml:space="preserve"> HYPERLINK "http://www.bda.bg" </w:instrText>
      </w:r>
      <w:r w:rsidRPr="000E3EE1">
        <w:rPr>
          <w:rFonts w:eastAsia="Times New Roman" w:cs="Arial"/>
          <w:lang w:eastAsia="bg-BG"/>
        </w:rPr>
      </w:r>
      <w:r w:rsidRPr="000E3EE1">
        <w:rPr>
          <w:rFonts w:eastAsia="Times New Roman" w:cs="Arial"/>
          <w:lang w:eastAsia="bg-BG"/>
        </w:rPr>
        <w:fldChar w:fldCharType="separate"/>
      </w:r>
      <w:r w:rsidRPr="000E3EE1">
        <w:rPr>
          <w:rFonts w:eastAsia="Times New Roman" w:cs="Arial"/>
          <w:color w:val="000000"/>
          <w:u w:val="single"/>
          <w:lang w:val="en-US"/>
        </w:rPr>
        <w:t>www.bda.bg</w:t>
      </w:r>
      <w:r w:rsidRPr="000E3EE1">
        <w:rPr>
          <w:rFonts w:eastAsia="Times New Roman" w:cs="Arial"/>
          <w:lang w:eastAsia="bg-BG"/>
        </w:rPr>
        <w:fldChar w:fldCharType="end"/>
      </w:r>
    </w:p>
    <w:p w14:paraId="2161E3D9" w14:textId="77777777" w:rsidR="009F2A47" w:rsidRPr="009F2A47" w:rsidRDefault="009F2A47" w:rsidP="009F2A47"/>
    <w:p w14:paraId="378A0F20" w14:textId="2223FFD2" w:rsidR="001D095A" w:rsidRDefault="002C50EE" w:rsidP="00340E8D">
      <w:pPr>
        <w:pStyle w:val="Heading2"/>
      </w:pPr>
      <w:r>
        <w:t>4.9. Предозиране</w:t>
      </w:r>
    </w:p>
    <w:p w14:paraId="5A19E1CC" w14:textId="2DF82607" w:rsidR="000E3EE1" w:rsidRDefault="000E3EE1" w:rsidP="000E3EE1"/>
    <w:p w14:paraId="15EB1DA9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u w:val="single"/>
          <w:lang w:eastAsia="bg-BG"/>
        </w:rPr>
        <w:t>Признаци и симптоми</w:t>
      </w:r>
    </w:p>
    <w:p w14:paraId="77DD9A5B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Съществува риск от интоксикация особено при пациенти с чернодробно увреждане, в случаите на хроничен алкохолизъм, при пациенти страдащи от хронично недохранване и при пациенти приемащи ензимни индуктори. Изходът от интоксикацията може да бъде фатален, особено в тези случаи.</w:t>
      </w:r>
    </w:p>
    <w:p w14:paraId="105D6B7E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779D95" w14:textId="4EFB0E38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Симптоми, които се появяват обикновено в първите 24 часа включват гадене, повръщане, анорексия, бледост, неразположение и диафореза.</w:t>
      </w:r>
    </w:p>
    <w:p w14:paraId="4B507512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E50ECF" w14:textId="6AF16F8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 xml:space="preserve">Свръхдоза от 7,5 </w:t>
      </w:r>
      <w:r w:rsidRPr="000E3EE1">
        <w:rPr>
          <w:rFonts w:eastAsia="Times New Roman" w:cs="Arial"/>
          <w:color w:val="000000"/>
          <w:lang w:val="en-US"/>
        </w:rPr>
        <w:t xml:space="preserve">g </w:t>
      </w:r>
      <w:r w:rsidRPr="000E3EE1">
        <w:rPr>
          <w:rFonts w:eastAsia="Times New Roman" w:cs="Arial"/>
          <w:color w:val="000000"/>
          <w:lang w:eastAsia="bg-BG"/>
        </w:rPr>
        <w:t xml:space="preserve">и повече парацетамол за един прием при възрастни или 140 </w:t>
      </w:r>
      <w:r w:rsidRPr="000E3EE1">
        <w:rPr>
          <w:rFonts w:eastAsia="Times New Roman" w:cs="Arial"/>
          <w:color w:val="000000"/>
          <w:lang w:val="en-US"/>
        </w:rPr>
        <w:t xml:space="preserve">mg/kg </w:t>
      </w:r>
      <w:r w:rsidRPr="000E3EE1">
        <w:rPr>
          <w:rFonts w:eastAsia="Times New Roman" w:cs="Arial"/>
          <w:color w:val="000000"/>
          <w:lang w:eastAsia="bg-BG"/>
        </w:rPr>
        <w:t>телесно тегло за един прием при деца предизвиква чернодробна цитолиза, която може да индуцира пълна и необратима некроза изразяваща се в чернодробна недостатъчност, метаболитна ацидоза, енцефалопатия, която може да доведе до състояние на кома и смърт.</w:t>
      </w:r>
    </w:p>
    <w:p w14:paraId="10B1A3F3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75DF16" w14:textId="68A80416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 xml:space="preserve">Едновременно са наблюдавани увеличени нива на чернодробните трансаминази </w:t>
      </w:r>
      <w:r w:rsidRPr="000E3EE1">
        <w:rPr>
          <w:rFonts w:eastAsia="Times New Roman" w:cs="Arial"/>
          <w:color w:val="000000"/>
          <w:lang w:val="en-US"/>
        </w:rPr>
        <w:t xml:space="preserve">(AST, ALT), </w:t>
      </w:r>
      <w:r w:rsidRPr="000E3EE1">
        <w:rPr>
          <w:rFonts w:eastAsia="Times New Roman" w:cs="Arial"/>
          <w:color w:val="000000"/>
          <w:lang w:eastAsia="bg-BG"/>
        </w:rPr>
        <w:t>лактат- дехидрогеназата и билирубина заедно с намаление на протромбиновото ниво, което може да се появи от 12 до 48 часа след приемането на лекарствения продукт. Клиничните симптоми на чернодробно увреждане обикновено първоначално се забелязват след 1 до 2 дни и достигат своя максимум след 3 до 4 дни (вж. точка 4.8).</w:t>
      </w:r>
    </w:p>
    <w:p w14:paraId="25E56D5B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FC1832" w14:textId="09EB6098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Наблюдавани са редки случаи на остър панкреатит.</w:t>
      </w:r>
    </w:p>
    <w:p w14:paraId="52292B68" w14:textId="77777777" w:rsidR="000E3EE1" w:rsidRPr="000E3EE1" w:rsidRDefault="000E3EE1" w:rsidP="000E3E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23921C4" w14:textId="6DA0F022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i/>
          <w:iCs/>
          <w:color w:val="000000"/>
          <w:lang w:eastAsia="bg-BG"/>
        </w:rPr>
        <w:t>Спешни мерки</w:t>
      </w:r>
    </w:p>
    <w:p w14:paraId="6C2567C0" w14:textId="77777777" w:rsidR="000E3EE1" w:rsidRPr="000E3EE1" w:rsidRDefault="000E3EE1" w:rsidP="000E3EE1">
      <w:pPr>
        <w:pStyle w:val="ListParagraph"/>
        <w:numPr>
          <w:ilvl w:val="0"/>
          <w:numId w:val="44"/>
        </w:numPr>
        <w:rPr>
          <w:rFonts w:cs="Arial"/>
        </w:rPr>
      </w:pPr>
      <w:r w:rsidRPr="000E3EE1">
        <w:rPr>
          <w:rFonts w:eastAsia="Times New Roman" w:cs="Arial"/>
          <w:color w:val="000000"/>
          <w:lang w:eastAsia="bg-BG"/>
        </w:rPr>
        <w:t>Незабавно превеждане на болния в болнично заведение;</w:t>
      </w:r>
    </w:p>
    <w:p w14:paraId="23F779CD" w14:textId="77777777" w:rsidR="000E3EE1" w:rsidRPr="000E3EE1" w:rsidRDefault="000E3EE1" w:rsidP="000E3EE1">
      <w:pPr>
        <w:pStyle w:val="ListParagraph"/>
        <w:numPr>
          <w:ilvl w:val="0"/>
          <w:numId w:val="44"/>
        </w:numPr>
        <w:rPr>
          <w:rFonts w:cs="Arial"/>
        </w:rPr>
      </w:pPr>
      <w:r w:rsidRPr="000E3EE1">
        <w:rPr>
          <w:rFonts w:eastAsia="Times New Roman" w:cs="Arial"/>
          <w:color w:val="000000"/>
          <w:lang w:eastAsia="bg-BG"/>
        </w:rPr>
        <w:lastRenderedPageBreak/>
        <w:t>Преди започване на терапията, възможно най-скоро трябва да се вземе епруветка кръв за първоначално определяне на плазменото съдържание на парацетамол, но не по-рано от 4 часа след приемането на парацетамол.</w:t>
      </w:r>
    </w:p>
    <w:p w14:paraId="3A2EABBE" w14:textId="77777777" w:rsidR="000E3EE1" w:rsidRPr="000E3EE1" w:rsidRDefault="000E3EE1" w:rsidP="000E3EE1">
      <w:pPr>
        <w:pStyle w:val="ListParagraph"/>
        <w:numPr>
          <w:ilvl w:val="0"/>
          <w:numId w:val="44"/>
        </w:numPr>
        <w:rPr>
          <w:rFonts w:cs="Arial"/>
        </w:rPr>
      </w:pPr>
      <w:r w:rsidRPr="000E3EE1">
        <w:rPr>
          <w:rFonts w:eastAsia="Times New Roman" w:cs="Arial"/>
          <w:color w:val="000000"/>
          <w:lang w:eastAsia="bg-BG"/>
        </w:rPr>
        <w:t>Незабавна стомашна промивка с цел евакуация на погълнатото лекарство;</w:t>
      </w:r>
    </w:p>
    <w:p w14:paraId="0D542697" w14:textId="77777777" w:rsidR="000E3EE1" w:rsidRPr="000E3EE1" w:rsidRDefault="000E3EE1" w:rsidP="000E3EE1">
      <w:pPr>
        <w:pStyle w:val="ListParagraph"/>
        <w:numPr>
          <w:ilvl w:val="0"/>
          <w:numId w:val="44"/>
        </w:numPr>
        <w:rPr>
          <w:rFonts w:cs="Arial"/>
        </w:rPr>
      </w:pPr>
      <w:r w:rsidRPr="000E3EE1">
        <w:rPr>
          <w:rFonts w:eastAsia="Times New Roman" w:cs="Arial"/>
          <w:color w:val="000000"/>
          <w:lang w:eastAsia="bg-BG"/>
        </w:rPr>
        <w:t xml:space="preserve">Обичайното лечение при предозиране включва прилагането на антидота </w:t>
      </w:r>
      <w:r w:rsidRPr="000E3EE1">
        <w:rPr>
          <w:rFonts w:eastAsia="Times New Roman" w:cs="Arial"/>
          <w:color w:val="000000"/>
          <w:lang w:val="en-US"/>
        </w:rPr>
        <w:t>N</w:t>
      </w:r>
      <w:r w:rsidRPr="000E3EE1">
        <w:rPr>
          <w:rFonts w:eastAsia="Times New Roman" w:cs="Arial"/>
          <w:color w:val="000000"/>
          <w:lang w:eastAsia="bg-BG"/>
        </w:rPr>
        <w:t>-ацетилцистеин</w:t>
      </w:r>
      <w:r w:rsidRPr="000E3EE1">
        <w:rPr>
          <w:rFonts w:eastAsia="Times New Roman" w:cs="Arial"/>
          <w:color w:val="000000"/>
          <w:lang w:eastAsia="bg-BG"/>
        </w:rPr>
        <w:t xml:space="preserve"> </w:t>
      </w:r>
      <w:r w:rsidRPr="000E3EE1">
        <w:rPr>
          <w:rFonts w:eastAsia="Times New Roman" w:cs="Arial"/>
          <w:color w:val="000000"/>
          <w:lang w:eastAsia="bg-BG"/>
        </w:rPr>
        <w:t xml:space="preserve">венозно или перорално по възможност в рамките на 8 часа от приемането. Антидотът </w:t>
      </w:r>
      <w:r w:rsidRPr="000E3EE1">
        <w:rPr>
          <w:rFonts w:eastAsia="Times New Roman" w:cs="Arial"/>
          <w:color w:val="000000"/>
          <w:lang w:val="en-US"/>
        </w:rPr>
        <w:t xml:space="preserve">N- </w:t>
      </w:r>
      <w:r w:rsidRPr="000E3EE1">
        <w:rPr>
          <w:rFonts w:eastAsia="Times New Roman" w:cs="Arial"/>
          <w:color w:val="000000"/>
          <w:lang w:eastAsia="bg-BG"/>
        </w:rPr>
        <w:t>ацетилцистеин може да осигури някаква степен на защита дори и след 16 часа;</w:t>
      </w:r>
    </w:p>
    <w:p w14:paraId="1FFFECE1" w14:textId="77777777" w:rsidR="000E3EE1" w:rsidRPr="000E3EE1" w:rsidRDefault="000E3EE1" w:rsidP="000E3EE1">
      <w:pPr>
        <w:pStyle w:val="ListParagraph"/>
        <w:numPr>
          <w:ilvl w:val="0"/>
          <w:numId w:val="44"/>
        </w:numPr>
        <w:rPr>
          <w:rFonts w:cs="Arial"/>
        </w:rPr>
      </w:pPr>
      <w:r w:rsidRPr="000E3EE1">
        <w:rPr>
          <w:rFonts w:eastAsia="Times New Roman" w:cs="Arial"/>
          <w:color w:val="000000"/>
          <w:lang w:eastAsia="bg-BG"/>
        </w:rPr>
        <w:t>Симптоматично лечение;</w:t>
      </w:r>
    </w:p>
    <w:p w14:paraId="0896A70D" w14:textId="4D96747E" w:rsidR="000E3EE1" w:rsidRPr="000E3EE1" w:rsidRDefault="000E3EE1" w:rsidP="000E3EE1">
      <w:pPr>
        <w:pStyle w:val="ListParagraph"/>
        <w:numPr>
          <w:ilvl w:val="0"/>
          <w:numId w:val="44"/>
        </w:numPr>
        <w:rPr>
          <w:rFonts w:cs="Arial"/>
        </w:rPr>
      </w:pPr>
      <w:r w:rsidRPr="000E3EE1">
        <w:rPr>
          <w:rFonts w:eastAsia="Times New Roman" w:cs="Arial"/>
          <w:color w:val="000000"/>
          <w:lang w:eastAsia="bg-BG"/>
        </w:rPr>
        <w:t>Чернодробни тестове трябва да се проведат в началото на лечението и да се повтарят на всеки 24 часа. В повечето случаи чернодробните трансаминази се връщат към нормалните си нива в рамките на 1 до 2 седмици с пълно възстановяване на функцията на черния дроб. При много тежки случай обаче може да се наложи трансплантация.</w:t>
      </w:r>
    </w:p>
    <w:p w14:paraId="6FEFB98A" w14:textId="77777777" w:rsidR="000E3EE1" w:rsidRPr="000E3EE1" w:rsidRDefault="000E3EE1" w:rsidP="000E3EE1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480E6607" w:rsidR="00F62E44" w:rsidRDefault="002C50EE" w:rsidP="00387A66">
      <w:pPr>
        <w:pStyle w:val="Heading2"/>
      </w:pPr>
      <w:r>
        <w:t>5.1. Фармакодинамични свойства</w:t>
      </w:r>
    </w:p>
    <w:p w14:paraId="6B6D04B7" w14:textId="505AC914" w:rsidR="000E3EE1" w:rsidRDefault="000E3EE1" w:rsidP="000E3EE1"/>
    <w:p w14:paraId="1342025F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 xml:space="preserve">Фармакотерапевтична група: ДРУГИ АНАЛГЕТИЦИ И АНТИПИРЕТИЦИ АТС код: </w:t>
      </w:r>
      <w:r w:rsidRPr="000E3EE1">
        <w:rPr>
          <w:rFonts w:eastAsia="Times New Roman" w:cs="Arial"/>
          <w:color w:val="000000"/>
          <w:lang w:val="en-US"/>
        </w:rPr>
        <w:t>N02BE01</w:t>
      </w:r>
    </w:p>
    <w:p w14:paraId="471A7255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61A8C9" w14:textId="07363EF8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Парацетамол е производно на парааминофенола с аналгетично, антипиретично и слабо противовъзпалително действие. За разлика от традиционните НСПВС, в терапевтични дози парацетамол не потиска функцията натромбоцитите.</w:t>
      </w:r>
    </w:p>
    <w:p w14:paraId="252D00F8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B9522A7" w14:textId="5CA0F03B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335F2F45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Точният механизъм на аналгетичните и антипиретичните свойства на парацетамол все още не е установен. Механизмът на действие може да включва централно и периферно действие.</w:t>
      </w:r>
    </w:p>
    <w:p w14:paraId="45E0F3FC" w14:textId="77777777" w:rsidR="000E3EE1" w:rsidRPr="000E3EE1" w:rsidRDefault="000E3EE1" w:rsidP="000E3EE1"/>
    <w:p w14:paraId="544FFDAF" w14:textId="190E01EB" w:rsidR="00F62E44" w:rsidRDefault="002C50EE" w:rsidP="00387A66">
      <w:pPr>
        <w:pStyle w:val="Heading2"/>
      </w:pPr>
      <w:r>
        <w:t>5.2. Фармакокинетични свойства</w:t>
      </w:r>
    </w:p>
    <w:p w14:paraId="496C4646" w14:textId="59D0C438" w:rsidR="000E3EE1" w:rsidRDefault="000E3EE1" w:rsidP="000E3EE1"/>
    <w:p w14:paraId="64383E28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u w:val="single"/>
          <w:lang w:eastAsia="bg-BG"/>
        </w:rPr>
        <w:t>Абсорбция</w:t>
      </w:r>
    </w:p>
    <w:p w14:paraId="5CB577FF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Абсорбцията на парацетамол при перорално приложение е бърза и пълна. Максималните плазмени концентрации се достигат от 10 до 60 минути след приема.</w:t>
      </w:r>
    </w:p>
    <w:p w14:paraId="093B867C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8C947F4" w14:textId="67ECF9E4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u w:val="single"/>
          <w:lang w:eastAsia="bg-BG"/>
        </w:rPr>
        <w:t>Разпределение</w:t>
      </w:r>
    </w:p>
    <w:p w14:paraId="1CDA3F13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Парацетамол се разпределя бързо в повечето тъкани.</w:t>
      </w:r>
    </w:p>
    <w:p w14:paraId="7BB270CC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Обемът на разпределение на парацетамол при възрастни е приблизително 1 до 2</w:t>
      </w:r>
      <w:r w:rsidRPr="000E3EE1">
        <w:rPr>
          <w:rFonts w:eastAsia="Times New Roman" w:cs="Arial"/>
          <w:color w:val="000000"/>
          <w:lang w:val="en-US"/>
        </w:rPr>
        <w:t xml:space="preserve"> l/kg, </w:t>
      </w:r>
      <w:r w:rsidRPr="000E3EE1">
        <w:rPr>
          <w:rFonts w:eastAsia="Times New Roman" w:cs="Arial"/>
          <w:color w:val="000000"/>
          <w:lang w:eastAsia="bg-BG"/>
        </w:rPr>
        <w:t xml:space="preserve">а при деца в рамките на 0,7 до 1,0 </w:t>
      </w:r>
      <w:r w:rsidRPr="000E3EE1">
        <w:rPr>
          <w:rFonts w:eastAsia="Times New Roman" w:cs="Arial"/>
          <w:color w:val="000000"/>
          <w:lang w:val="en-US"/>
        </w:rPr>
        <w:t>l/kg.</w:t>
      </w:r>
    </w:p>
    <w:p w14:paraId="079E4B75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Свързването с плазмените протеини е слабо.</w:t>
      </w:r>
    </w:p>
    <w:p w14:paraId="104DDD78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C17908" w14:textId="18264C68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0E3EE1">
        <w:rPr>
          <w:rFonts w:eastAsia="Times New Roman" w:cs="Arial"/>
          <w:color w:val="000000"/>
          <w:u w:val="single"/>
          <w:lang w:eastAsia="bg-BG"/>
        </w:rPr>
        <w:t>Биотрансформация</w:t>
      </w:r>
    </w:p>
    <w:p w14:paraId="3F4D0438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 xml:space="preserve">Парацетамол се метаболизира главно в черния дроб чрез два главни метаболитни пътя: свързване с глюкуронова киселина и свързване със сярна киселина. Вторият метаболитен път е бързо насищаем при високи дози, но в рамките на терапевтичния диапазон. Сатурацията на глюкуронирането се появява само при прием на по-високи, </w:t>
      </w:r>
      <w:r w:rsidRPr="000E3EE1">
        <w:rPr>
          <w:rFonts w:eastAsia="Times New Roman" w:cs="Arial"/>
          <w:color w:val="000000"/>
          <w:lang w:eastAsia="bg-BG"/>
        </w:rPr>
        <w:lastRenderedPageBreak/>
        <w:t xml:space="preserve">хепатотиксични дози. Малка фракция (под 4 </w:t>
      </w:r>
      <w:r w:rsidRPr="000E3EE1">
        <w:rPr>
          <w:rFonts w:eastAsia="Times New Roman" w:cs="Arial"/>
          <w:i/>
          <w:iCs/>
          <w:color w:val="000000"/>
          <w:lang w:eastAsia="bg-BG"/>
        </w:rPr>
        <w:t xml:space="preserve">%) се </w:t>
      </w:r>
      <w:r w:rsidRPr="000E3EE1">
        <w:rPr>
          <w:rFonts w:eastAsia="Times New Roman" w:cs="Arial"/>
          <w:color w:val="000000"/>
          <w:lang w:eastAsia="bg-BG"/>
        </w:rPr>
        <w:t xml:space="preserve">метаболизира чрез цитохром Р450, до реактивен междинен продукт </w:t>
      </w:r>
      <w:r w:rsidRPr="000E3EE1">
        <w:rPr>
          <w:rFonts w:eastAsia="Times New Roman" w:cs="Arial"/>
          <w:color w:val="000000"/>
          <w:lang w:val="en-US"/>
        </w:rPr>
        <w:t>(N</w:t>
      </w:r>
      <w:r w:rsidRPr="000E3EE1">
        <w:rPr>
          <w:rFonts w:eastAsia="Times New Roman" w:cs="Arial"/>
          <w:color w:val="000000"/>
          <w:lang w:eastAsia="bg-BG"/>
        </w:rPr>
        <w:t>-ацетилбензохинонимин), който при нормални условия на използване бързо се детоксифицира чрез редуцирания глутатион и се отделя в урината след свързване с цистеина и меркаптопуриновата киселина. При масивни интоксикации обаче, количеството на този токсичен метаболит се увеличава.</w:t>
      </w:r>
    </w:p>
    <w:p w14:paraId="2EE24311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8A7A9CB" w14:textId="1635F41A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u w:val="single"/>
          <w:lang w:eastAsia="bg-BG"/>
        </w:rPr>
        <w:t>Елиминиране</w:t>
      </w:r>
    </w:p>
    <w:p w14:paraId="2329953C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Метаболитите на парацетамол се екскретират главно в урината. При възрастните пациенти приблизително 90 % от приетата доза се отделя в рамките на 24 часа, основно като глюкурониди</w:t>
      </w:r>
    </w:p>
    <w:p w14:paraId="39047B8D" w14:textId="3933B0CD" w:rsidR="000E3EE1" w:rsidRPr="000E3EE1" w:rsidRDefault="000E3EE1" w:rsidP="000E3EE1">
      <w:pPr>
        <w:rPr>
          <w:rFonts w:eastAsia="Times New Roman" w:cs="Arial"/>
          <w:color w:val="000000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(приблизително 60 %) и сулфатни конюгати (приблизително 30 %). По-малко от 5% се елиминират непроменени.</w:t>
      </w:r>
    </w:p>
    <w:p w14:paraId="0F128935" w14:textId="55267CD6" w:rsidR="000E3EE1" w:rsidRPr="000E3EE1" w:rsidRDefault="000E3EE1" w:rsidP="000E3EE1">
      <w:pPr>
        <w:rPr>
          <w:rFonts w:eastAsia="Times New Roman" w:cs="Arial"/>
          <w:color w:val="000000"/>
          <w:lang w:eastAsia="bg-BG"/>
        </w:rPr>
      </w:pPr>
    </w:p>
    <w:p w14:paraId="52183AD3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Плазменият полуживот е около 2 часа.</w:t>
      </w:r>
    </w:p>
    <w:p w14:paraId="6A8B736A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958CB5" w14:textId="40AA910D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25F863E7" w14:textId="77777777" w:rsidR="000E3EE1" w:rsidRPr="000E3EE1" w:rsidRDefault="000E3EE1" w:rsidP="000E3E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243A1AB" w14:textId="02D7A598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i/>
          <w:iCs/>
          <w:color w:val="000000"/>
          <w:lang w:eastAsia="bg-BG"/>
        </w:rPr>
        <w:t>Бъбречно увреждане</w:t>
      </w:r>
    </w:p>
    <w:p w14:paraId="679DF383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В случаи на тежко бъбречно увреждане елиминирането на парацетамол е леко забавено. За глюкуроновите и сулфатни конюгати степента на елиминация е по-бавна при пациенти с тежко бъбречно увреждане отколкото при здрави индивиди. Когато се дава парацетамол при тези пациенти минималният интервал между всеки прием трябва да е 6 или 8 часа (вж. точка 4.2).</w:t>
      </w:r>
    </w:p>
    <w:p w14:paraId="14969802" w14:textId="77777777" w:rsidR="000E3EE1" w:rsidRPr="000E3EE1" w:rsidRDefault="000E3EE1" w:rsidP="000E3E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193D2FD" w14:textId="451D6ACA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i/>
          <w:iCs/>
          <w:color w:val="000000"/>
          <w:lang w:eastAsia="bg-BG"/>
        </w:rPr>
        <w:t>Чернодробно увреждане</w:t>
      </w:r>
    </w:p>
    <w:p w14:paraId="0F120B0E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 xml:space="preserve">Парацетамол е проучван при пациенти с чернодробно увреждане. В проучване, шест пациента с хронично стабилно заболяване на черния дроб са приемали 4 </w:t>
      </w:r>
      <w:r w:rsidRPr="000E3EE1">
        <w:rPr>
          <w:rFonts w:eastAsia="Times New Roman" w:cs="Arial"/>
          <w:color w:val="000000"/>
          <w:lang w:val="en-US"/>
        </w:rPr>
        <w:t>g</w:t>
      </w:r>
      <w:r w:rsidRPr="000E3EE1">
        <w:rPr>
          <w:rFonts w:eastAsia="Times New Roman" w:cs="Arial"/>
          <w:color w:val="000000"/>
          <w:lang w:eastAsia="bg-BG"/>
        </w:rPr>
        <w:t xml:space="preserve">/ден парацетамол за 5 дни. Концентрацията на парацетамол в плазмата се определя между третия и четвъртия прием на доза от 1 </w:t>
      </w:r>
      <w:r w:rsidRPr="000E3EE1">
        <w:rPr>
          <w:rFonts w:eastAsia="Times New Roman" w:cs="Arial"/>
          <w:color w:val="000000"/>
          <w:lang w:val="en-US"/>
        </w:rPr>
        <w:t xml:space="preserve">g. </w:t>
      </w:r>
      <w:r w:rsidRPr="000E3EE1">
        <w:rPr>
          <w:rFonts w:eastAsia="Times New Roman" w:cs="Arial"/>
          <w:color w:val="000000"/>
          <w:lang w:eastAsia="bg-BG"/>
        </w:rPr>
        <w:t>Концентрацията на парацетамол варира от 4,5 μ</w:t>
      </w:r>
      <w:r w:rsidRPr="000E3EE1">
        <w:rPr>
          <w:rFonts w:eastAsia="Times New Roman" w:cs="Arial"/>
          <w:color w:val="000000"/>
          <w:lang w:val="en-US"/>
        </w:rPr>
        <w:t xml:space="preserve">g/ml </w:t>
      </w:r>
      <w:r w:rsidRPr="000E3EE1">
        <w:rPr>
          <w:rFonts w:eastAsia="Times New Roman" w:cs="Arial"/>
          <w:color w:val="000000"/>
          <w:lang w:eastAsia="bg-BG"/>
        </w:rPr>
        <w:t>до 26,7 μ</w:t>
      </w:r>
      <w:r w:rsidRPr="000E3EE1">
        <w:rPr>
          <w:rFonts w:eastAsia="Times New Roman" w:cs="Arial"/>
          <w:color w:val="000000"/>
          <w:lang w:val="en-US"/>
        </w:rPr>
        <w:t xml:space="preserve">g/ml, </w:t>
      </w:r>
      <w:r w:rsidRPr="000E3EE1">
        <w:rPr>
          <w:rFonts w:eastAsia="Times New Roman" w:cs="Arial"/>
          <w:color w:val="000000"/>
          <w:lang w:eastAsia="bg-BG"/>
        </w:rPr>
        <w:t xml:space="preserve">което е доста под потенциалните токсични нива. Не се наблюдава значително кумулиране на парацетамол и няма разлики в клиничното състояние или в лабораторните тестове на пациентите. Средната стойност на полуживота на елиминиране е 3,4 часа. След това пилотно проучване 20 пациенти със стабилно хронично чернодробно заболяване са рандомизирани в кросоувър проучване за два периода. Те са получавали или 4 </w:t>
      </w:r>
      <w:r w:rsidRPr="000E3EE1">
        <w:rPr>
          <w:rFonts w:eastAsia="Times New Roman" w:cs="Arial"/>
          <w:color w:val="000000"/>
          <w:lang w:val="en-US"/>
        </w:rPr>
        <w:t>g</w:t>
      </w:r>
      <w:r w:rsidRPr="000E3EE1">
        <w:rPr>
          <w:rFonts w:eastAsia="Times New Roman" w:cs="Arial"/>
          <w:color w:val="000000"/>
          <w:lang w:eastAsia="bg-BG"/>
        </w:rPr>
        <w:t xml:space="preserve">/ден парацетамол или плацебо за 13 дни и след това са прехвърлени към алтернативното рамо. Един пациент е показал повишаване на показателите на чернодробните функционални тестове </w:t>
      </w:r>
      <w:r w:rsidRPr="000E3EE1">
        <w:rPr>
          <w:rFonts w:eastAsia="Times New Roman" w:cs="Arial"/>
          <w:color w:val="000000"/>
          <w:lang w:val="en-US"/>
        </w:rPr>
        <w:t xml:space="preserve">(LFTs), </w:t>
      </w:r>
      <w:r w:rsidRPr="000E3EE1">
        <w:rPr>
          <w:rFonts w:eastAsia="Times New Roman" w:cs="Arial"/>
          <w:color w:val="000000"/>
          <w:lang w:eastAsia="bg-BG"/>
        </w:rPr>
        <w:t xml:space="preserve">но след отшумяването на този епизод не показва отклонения при две последователни натоварвания. Като заключение, това повишение на </w:t>
      </w:r>
      <w:r w:rsidRPr="000E3EE1">
        <w:rPr>
          <w:rFonts w:eastAsia="Times New Roman" w:cs="Arial"/>
          <w:color w:val="000000"/>
          <w:lang w:val="en-US"/>
        </w:rPr>
        <w:t xml:space="preserve">LFTs </w:t>
      </w:r>
      <w:r w:rsidRPr="000E3EE1">
        <w:rPr>
          <w:rFonts w:eastAsia="Times New Roman" w:cs="Arial"/>
          <w:color w:val="000000"/>
          <w:lang w:eastAsia="bg-BG"/>
        </w:rPr>
        <w:t>не е свързано с употребата на лекарствения продукт и няма противопоказания в употребата на парацетамол в терапевтични дози при пациенти с хронично стабилно чернодробно заболяване.</w:t>
      </w:r>
    </w:p>
    <w:p w14:paraId="1FD25714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3ED514" w14:textId="70524949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 xml:space="preserve">Някои клинични проучвания показват умерено нарушен метаболизъм на парацетамол при пациенти с хронично чернодробно увреждане, включително алкохолна цироза, което се проявява чрез повишени плазмени концентрации на парацетамол и по-дълъг полуживот на елиминиране. В тези доклади повишеният полуживот на плазмените концентрации на парацетамол се свързва с потиснат капацитет на черния дроб. Следователно парацетамол трябва да се използва с повишено внимание при пациенти с чернодробно увреждане и е противопоказан при декомпенсирано активно заболяване, особено алкохолен хепатит, поради </w:t>
      </w:r>
      <w:r w:rsidRPr="000E3EE1">
        <w:rPr>
          <w:rFonts w:eastAsia="Times New Roman" w:cs="Arial"/>
          <w:color w:val="000000"/>
          <w:lang w:val="en-US"/>
        </w:rPr>
        <w:t xml:space="preserve">CYP </w:t>
      </w:r>
      <w:r w:rsidRPr="000E3EE1">
        <w:rPr>
          <w:rFonts w:eastAsia="Times New Roman" w:cs="Arial"/>
          <w:color w:val="000000"/>
          <w:lang w:eastAsia="bg-BG"/>
        </w:rPr>
        <w:t>2Е1 индукция, което води до повишено образуване на хепатотоксичен метаболит на парацетамол.</w:t>
      </w:r>
    </w:p>
    <w:p w14:paraId="768A2296" w14:textId="77777777" w:rsidR="000E3EE1" w:rsidRPr="000E3EE1" w:rsidRDefault="000E3EE1" w:rsidP="000E3E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F81348E" w14:textId="636360EC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1ACA390E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Фармакокинетиката и метаболизма на парацетамол (ако се променят) са слабо променени. Обикновено не се изисква коригиране на дозата при тази популация (вж. точка 4.2).</w:t>
      </w:r>
    </w:p>
    <w:p w14:paraId="23C4644C" w14:textId="77777777" w:rsidR="000E3EE1" w:rsidRPr="000E3EE1" w:rsidRDefault="000E3EE1" w:rsidP="000E3EE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AFB7F2A" w14:textId="2C5DC111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i/>
          <w:iCs/>
          <w:color w:val="000000"/>
          <w:lang w:eastAsia="bg-BG"/>
        </w:rPr>
        <w:t>Новородени, кърмачета и деца</w:t>
      </w:r>
    </w:p>
    <w:p w14:paraId="7D4A471F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 xml:space="preserve">Фармакокинетичните параметри на парацетамол, наблюдавани при кърмачета и деца, са сходни с тези наблюдавани при възрастни, с изключение </w:t>
      </w:r>
      <w:r w:rsidRPr="000E3EE1">
        <w:rPr>
          <w:rFonts w:eastAsia="Times New Roman" w:cs="Arial"/>
          <w:i/>
          <w:iCs/>
          <w:color w:val="000000"/>
          <w:lang w:eastAsia="bg-BG"/>
        </w:rPr>
        <w:t>на</w:t>
      </w:r>
      <w:r w:rsidRPr="000E3EE1">
        <w:rPr>
          <w:rFonts w:eastAsia="Times New Roman" w:cs="Arial"/>
          <w:color w:val="000000"/>
          <w:lang w:eastAsia="bg-BG"/>
        </w:rPr>
        <w:t xml:space="preserve"> плазмения полуживот, който е малко по-къс (около 2 часа) отколкото при възрастни. При новородени плазменият полуживот е по-дълъг отколкото при кърмачета (около 3,5 часа).</w:t>
      </w:r>
    </w:p>
    <w:p w14:paraId="25975A70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Новородени, кърмачета и деца до 10 годишна възраст отделят значително по-малко глюкуронидни и повече сулфатни конюгати от възрастни. Общата екскреция на парацетамол и неговите метаболити е еднаква при всички възрасти.</w:t>
      </w:r>
    </w:p>
    <w:p w14:paraId="408FFBA1" w14:textId="77777777" w:rsidR="000E3EE1" w:rsidRPr="000E3EE1" w:rsidRDefault="000E3EE1" w:rsidP="000E3EE1"/>
    <w:p w14:paraId="6925FEB0" w14:textId="77DFAA1E" w:rsidR="00F62E44" w:rsidRDefault="002C50EE" w:rsidP="00387A66">
      <w:pPr>
        <w:pStyle w:val="Heading2"/>
      </w:pPr>
      <w:r>
        <w:t>5.3. Предклинични данни за безопасност</w:t>
      </w:r>
    </w:p>
    <w:p w14:paraId="5A8E4765" w14:textId="1F55C955" w:rsidR="000E3EE1" w:rsidRDefault="000E3EE1" w:rsidP="000E3EE1"/>
    <w:p w14:paraId="6421841B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i/>
          <w:iCs/>
          <w:color w:val="000000"/>
          <w:u w:val="single"/>
          <w:lang w:eastAsia="bg-BG"/>
        </w:rPr>
        <w:t>Карциногенеза, мутагенеза, увреждане на фертилитета</w:t>
      </w:r>
    </w:p>
    <w:p w14:paraId="0B26B69C" w14:textId="77777777" w:rsidR="000E3EE1" w:rsidRPr="000E3EE1" w:rsidRDefault="000E3EE1" w:rsidP="000E3EE1">
      <w:pPr>
        <w:rPr>
          <w:rFonts w:eastAsia="Times New Roman" w:cs="Arial"/>
          <w:color w:val="000000"/>
          <w:lang w:eastAsia="bg-BG"/>
        </w:rPr>
      </w:pPr>
    </w:p>
    <w:p w14:paraId="39197AFA" w14:textId="673822B6" w:rsidR="000E3EE1" w:rsidRPr="000E3EE1" w:rsidRDefault="000E3EE1" w:rsidP="000E3EE1">
      <w:pPr>
        <w:rPr>
          <w:rFonts w:eastAsia="Times New Roman" w:cs="Arial"/>
          <w:color w:val="000000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 xml:space="preserve">Ефектите на парацетамол в диетата на мишки и плъхове е оценена на 0,600, 3000 и 6000 </w:t>
      </w:r>
      <w:r w:rsidRPr="000E3EE1">
        <w:rPr>
          <w:rFonts w:eastAsia="Times New Roman" w:cs="Arial"/>
          <w:color w:val="000000"/>
          <w:lang w:val="en-US"/>
        </w:rPr>
        <w:t xml:space="preserve">PPM </w:t>
      </w:r>
      <w:r w:rsidRPr="000E3EE1">
        <w:rPr>
          <w:rFonts w:eastAsia="Times New Roman" w:cs="Arial"/>
          <w:color w:val="000000"/>
          <w:lang w:eastAsia="bg-BG"/>
        </w:rPr>
        <w:t>в продължение на две години. Няма данни за карциногенно действие на парацетамол при мъжки плъхове, нито при мъжки и женски мишки. Двусмислени са данните за карциногенна активност при женски плъхове на базата на повишена честота на мононуклеарна левкемия.</w:t>
      </w:r>
    </w:p>
    <w:p w14:paraId="6F98881D" w14:textId="49AAC53C" w:rsidR="000E3EE1" w:rsidRPr="000E3EE1" w:rsidRDefault="000E3EE1" w:rsidP="000E3EE1">
      <w:pPr>
        <w:rPr>
          <w:rFonts w:eastAsia="Times New Roman" w:cs="Arial"/>
          <w:color w:val="000000"/>
          <w:lang w:eastAsia="bg-BG"/>
        </w:rPr>
      </w:pPr>
    </w:p>
    <w:p w14:paraId="6688ACC2" w14:textId="77777777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Сравнителният преглед на литературата за генотоксичност и карциногенност на парацетамол показва, че генотоксични ефекти на парацетамол се появяват само при дози над препоръчваните, в резултат на тежки токсични ефекти включително изразена токсичност на черния дроб и костния мозък. Прагът за генотоксичност не се постига при терапевтични дози парацетамол. Проучванията при животни не показват карциногенен потенциал на нехепатотоксични дозови нива. Туморогенни ефекти са наблюдавани при по-стари проучвания, само при прилагане на много високи цитотоксични дози.</w:t>
      </w:r>
    </w:p>
    <w:p w14:paraId="7824E0DB" w14:textId="77777777" w:rsidR="000E3EE1" w:rsidRPr="000E3EE1" w:rsidRDefault="000E3EE1" w:rsidP="000E3EE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5886D0" w14:textId="6C619F30" w:rsidR="000E3EE1" w:rsidRPr="000E3EE1" w:rsidRDefault="000E3EE1" w:rsidP="000E3EE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E3EE1">
        <w:rPr>
          <w:rFonts w:eastAsia="Times New Roman" w:cs="Arial"/>
          <w:color w:val="000000"/>
          <w:lang w:eastAsia="bg-BG"/>
        </w:rPr>
        <w:t>Липсват конвенционални проучвания, използващи приетите понастоящем стандарти за оценка на репродуктивна токсичност и токсичност за развитието.</w:t>
      </w:r>
    </w:p>
    <w:p w14:paraId="375D5CA6" w14:textId="77777777" w:rsidR="000E3EE1" w:rsidRPr="000E3EE1" w:rsidRDefault="000E3EE1" w:rsidP="000E3EE1"/>
    <w:p w14:paraId="357049A8" w14:textId="1C746891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38DC48BC" w14:textId="75DF27C4" w:rsidR="000E3EE1" w:rsidRDefault="000E3EE1" w:rsidP="000E3EE1"/>
    <w:p w14:paraId="0EE02B7E" w14:textId="77777777" w:rsidR="000E3EE1" w:rsidRPr="000E3EE1" w:rsidRDefault="000E3EE1" w:rsidP="000E3EE1">
      <w:pPr>
        <w:rPr>
          <w:sz w:val="24"/>
          <w:szCs w:val="24"/>
          <w:lang w:val="en-US" w:eastAsia="bg-BG"/>
        </w:rPr>
      </w:pPr>
      <w:r w:rsidRPr="000E3EE1">
        <w:rPr>
          <w:lang w:val="en-US"/>
        </w:rPr>
        <w:t>UPSA SAS</w:t>
      </w:r>
    </w:p>
    <w:p w14:paraId="078663B5" w14:textId="77777777" w:rsidR="000E3EE1" w:rsidRDefault="000E3EE1" w:rsidP="000E3EE1">
      <w:pPr>
        <w:rPr>
          <w:lang w:val="en-US"/>
        </w:rPr>
      </w:pPr>
      <w:r w:rsidRPr="000E3EE1">
        <w:rPr>
          <w:lang w:eastAsia="bg-BG"/>
        </w:rPr>
        <w:t xml:space="preserve">3, </w:t>
      </w:r>
      <w:r w:rsidRPr="000E3EE1">
        <w:rPr>
          <w:lang w:val="en-US"/>
        </w:rPr>
        <w:t xml:space="preserve">rue Joseph </w:t>
      </w:r>
      <w:proofErr w:type="spellStart"/>
      <w:r w:rsidRPr="000E3EE1">
        <w:rPr>
          <w:lang w:val="en-US"/>
        </w:rPr>
        <w:t>Monier</w:t>
      </w:r>
      <w:proofErr w:type="spellEnd"/>
      <w:r w:rsidRPr="000E3EE1">
        <w:rPr>
          <w:lang w:val="en-US"/>
        </w:rPr>
        <w:t xml:space="preserve">, </w:t>
      </w:r>
    </w:p>
    <w:p w14:paraId="48F12E2E" w14:textId="266EE650" w:rsidR="000E3EE1" w:rsidRPr="000E3EE1" w:rsidRDefault="000E3EE1" w:rsidP="000E3EE1">
      <w:pPr>
        <w:rPr>
          <w:sz w:val="24"/>
          <w:szCs w:val="24"/>
          <w:lang w:val="en-US" w:eastAsia="bg-BG"/>
        </w:rPr>
      </w:pPr>
      <w:r w:rsidRPr="000E3EE1">
        <w:rPr>
          <w:lang w:eastAsia="bg-BG"/>
        </w:rPr>
        <w:t xml:space="preserve">92500 </w:t>
      </w:r>
      <w:r w:rsidRPr="000E3EE1">
        <w:rPr>
          <w:lang w:val="en-US"/>
        </w:rPr>
        <w:t>Rueil-Malmaison,</w:t>
      </w:r>
    </w:p>
    <w:p w14:paraId="0D057162" w14:textId="67857765" w:rsidR="000E3EE1" w:rsidRPr="000E3EE1" w:rsidRDefault="000E3EE1" w:rsidP="000E3EE1">
      <w:r w:rsidRPr="000E3EE1">
        <w:rPr>
          <w:lang w:eastAsia="bg-BG"/>
        </w:rPr>
        <w:t>Франция</w:t>
      </w:r>
    </w:p>
    <w:p w14:paraId="0A53321D" w14:textId="74FBD4FB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5695A08F" w14:textId="77777777" w:rsidR="000E3EE1" w:rsidRDefault="000E3EE1" w:rsidP="000E3EE1">
      <w:pPr>
        <w:rPr>
          <w:lang w:eastAsia="bg-BG"/>
        </w:rPr>
      </w:pPr>
    </w:p>
    <w:p w14:paraId="7C2688F5" w14:textId="519830D1" w:rsidR="00F62E44" w:rsidRPr="000E3EE1" w:rsidRDefault="000E3EE1" w:rsidP="000E3EE1">
      <w:pPr>
        <w:rPr>
          <w:sz w:val="24"/>
          <w:szCs w:val="24"/>
          <w:lang w:eastAsia="bg-BG"/>
        </w:rPr>
      </w:pPr>
      <w:r w:rsidRPr="000E3EE1">
        <w:rPr>
          <w:lang w:eastAsia="bg-BG"/>
        </w:rPr>
        <w:t>Регистрационен № 20020044</w:t>
      </w:r>
    </w:p>
    <w:p w14:paraId="00481C21" w14:textId="453D7799" w:rsidR="00F62E44" w:rsidRDefault="002C50EE" w:rsidP="00387A66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622206C4" w14:textId="4E6A7368" w:rsidR="000E3EE1" w:rsidRDefault="000E3EE1" w:rsidP="000E3EE1"/>
    <w:p w14:paraId="39A02496" w14:textId="77777777" w:rsidR="000E3EE1" w:rsidRPr="000E3EE1" w:rsidRDefault="000E3EE1" w:rsidP="000E3EE1">
      <w:pPr>
        <w:rPr>
          <w:sz w:val="24"/>
          <w:szCs w:val="24"/>
          <w:lang w:eastAsia="bg-BG"/>
        </w:rPr>
      </w:pPr>
      <w:r w:rsidRPr="000E3EE1">
        <w:rPr>
          <w:lang w:eastAsia="bg-BG"/>
        </w:rPr>
        <w:t>Дата на първо разрешаване: 02.05.1997 г.</w:t>
      </w:r>
    </w:p>
    <w:p w14:paraId="4FA870B9" w14:textId="77777777" w:rsidR="000E3EE1" w:rsidRPr="000E3EE1" w:rsidRDefault="000E3EE1" w:rsidP="000E3EE1">
      <w:pPr>
        <w:rPr>
          <w:sz w:val="24"/>
          <w:szCs w:val="24"/>
          <w:lang w:eastAsia="bg-BG"/>
        </w:rPr>
      </w:pPr>
      <w:r w:rsidRPr="000E3EE1">
        <w:rPr>
          <w:lang w:eastAsia="bg-BG"/>
        </w:rPr>
        <w:t>Дата на последно подновяване: 01.11.2007 г.</w:t>
      </w:r>
    </w:p>
    <w:p w14:paraId="64DA2D54" w14:textId="77777777" w:rsidR="000E3EE1" w:rsidRPr="000E3EE1" w:rsidRDefault="000E3EE1" w:rsidP="000E3EE1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39F45592" w:rsidR="00BB22B4" w:rsidRPr="00BB22B4" w:rsidRDefault="000E3EE1" w:rsidP="000E3EE1">
      <w:r>
        <w:t>12/2021 г.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74A94"/>
    <w:multiLevelType w:val="hybridMultilevel"/>
    <w:tmpl w:val="A7EA24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95EDE"/>
    <w:multiLevelType w:val="hybridMultilevel"/>
    <w:tmpl w:val="9ABE1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F4C00"/>
    <w:multiLevelType w:val="hybridMultilevel"/>
    <w:tmpl w:val="C096D0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7BE6DE7"/>
    <w:multiLevelType w:val="hybridMultilevel"/>
    <w:tmpl w:val="52305B34"/>
    <w:lvl w:ilvl="0" w:tplc="86A27E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E711A"/>
    <w:multiLevelType w:val="hybridMultilevel"/>
    <w:tmpl w:val="9DF68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5"/>
  </w:num>
  <w:num w:numId="2" w16cid:durableId="1612932146">
    <w:abstractNumId w:val="0"/>
  </w:num>
  <w:num w:numId="3" w16cid:durableId="1810323821">
    <w:abstractNumId w:val="19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4"/>
  </w:num>
  <w:num w:numId="7" w16cid:durableId="1241988161">
    <w:abstractNumId w:val="15"/>
  </w:num>
  <w:num w:numId="8" w16cid:durableId="2102022361">
    <w:abstractNumId w:val="23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8"/>
  </w:num>
  <w:num w:numId="12" w16cid:durableId="1434934028">
    <w:abstractNumId w:val="21"/>
  </w:num>
  <w:num w:numId="13" w16cid:durableId="479157895">
    <w:abstractNumId w:val="27"/>
  </w:num>
  <w:num w:numId="14" w16cid:durableId="1670476636">
    <w:abstractNumId w:val="18"/>
  </w:num>
  <w:num w:numId="15" w16cid:durableId="1000155783">
    <w:abstractNumId w:val="37"/>
  </w:num>
  <w:num w:numId="16" w16cid:durableId="2056420707">
    <w:abstractNumId w:val="14"/>
  </w:num>
  <w:num w:numId="17" w16cid:durableId="1787119182">
    <w:abstractNumId w:val="32"/>
  </w:num>
  <w:num w:numId="18" w16cid:durableId="722945139">
    <w:abstractNumId w:val="9"/>
  </w:num>
  <w:num w:numId="19" w16cid:durableId="1678728408">
    <w:abstractNumId w:val="34"/>
  </w:num>
  <w:num w:numId="20" w16cid:durableId="1970816657">
    <w:abstractNumId w:val="31"/>
  </w:num>
  <w:num w:numId="21" w16cid:durableId="1531146514">
    <w:abstractNumId w:val="25"/>
  </w:num>
  <w:num w:numId="22" w16cid:durableId="1276465">
    <w:abstractNumId w:val="33"/>
  </w:num>
  <w:num w:numId="23" w16cid:durableId="1624310558">
    <w:abstractNumId w:val="26"/>
  </w:num>
  <w:num w:numId="24" w16cid:durableId="1692877547">
    <w:abstractNumId w:val="10"/>
  </w:num>
  <w:num w:numId="25" w16cid:durableId="50930855">
    <w:abstractNumId w:val="30"/>
  </w:num>
  <w:num w:numId="26" w16cid:durableId="176701536">
    <w:abstractNumId w:val="29"/>
  </w:num>
  <w:num w:numId="27" w16cid:durableId="2050564750">
    <w:abstractNumId w:val="39"/>
  </w:num>
  <w:num w:numId="28" w16cid:durableId="1820733422">
    <w:abstractNumId w:val="7"/>
  </w:num>
  <w:num w:numId="29" w16cid:durableId="973678124">
    <w:abstractNumId w:val="28"/>
  </w:num>
  <w:num w:numId="30" w16cid:durableId="154884452">
    <w:abstractNumId w:val="43"/>
  </w:num>
  <w:num w:numId="31" w16cid:durableId="1053964910">
    <w:abstractNumId w:val="5"/>
  </w:num>
  <w:num w:numId="32" w16cid:durableId="2073575793">
    <w:abstractNumId w:val="41"/>
  </w:num>
  <w:num w:numId="33" w16cid:durableId="1566643170">
    <w:abstractNumId w:val="36"/>
  </w:num>
  <w:num w:numId="34" w16cid:durableId="2060787732">
    <w:abstractNumId w:val="40"/>
  </w:num>
  <w:num w:numId="35" w16cid:durableId="34161354">
    <w:abstractNumId w:val="8"/>
  </w:num>
  <w:num w:numId="36" w16cid:durableId="1976908676">
    <w:abstractNumId w:val="13"/>
  </w:num>
  <w:num w:numId="37" w16cid:durableId="758528303">
    <w:abstractNumId w:val="22"/>
  </w:num>
  <w:num w:numId="38" w16cid:durableId="178396561">
    <w:abstractNumId w:val="42"/>
  </w:num>
  <w:num w:numId="39" w16cid:durableId="934825996">
    <w:abstractNumId w:val="17"/>
  </w:num>
  <w:num w:numId="40" w16cid:durableId="526263149">
    <w:abstractNumId w:val="16"/>
  </w:num>
  <w:num w:numId="41" w16cid:durableId="1836339943">
    <w:abstractNumId w:val="11"/>
  </w:num>
  <w:num w:numId="42" w16cid:durableId="1327396695">
    <w:abstractNumId w:val="12"/>
  </w:num>
  <w:num w:numId="43" w16cid:durableId="499930852">
    <w:abstractNumId w:val="20"/>
  </w:num>
  <w:num w:numId="44" w16cid:durableId="1404140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E3EE1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2A47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3060</Words>
  <Characters>17443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2023-02-27T18:53:00Z</dcterms:created>
  <dcterms:modified xsi:type="dcterms:W3CDTF">2023-02-27T18:53:00Z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