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0A9EBC20" w14:textId="774AF4A2" w:rsidR="009F77A4" w:rsidRDefault="00DD466D" w:rsidP="00387A66">
      <w:pPr>
        <w:pStyle w:val="Heading1"/>
      </w:pPr>
      <w:r>
        <w:t>1.ИМЕ НА ЛЕКАРСТВЕНИЯ ПРОДУКТ</w:t>
      </w:r>
    </w:p>
    <w:p w14:paraId="1197F22D" w14:textId="0D325DA0" w:rsidR="001D4818" w:rsidRDefault="001D4818" w:rsidP="001D4818"/>
    <w:p w14:paraId="68E41C24" w14:textId="77777777" w:rsidR="001D4818" w:rsidRPr="001D4818" w:rsidRDefault="001D4818" w:rsidP="001D4818">
      <w:pPr>
        <w:rPr>
          <w:sz w:val="24"/>
          <w:szCs w:val="24"/>
          <w:lang w:val="en-US" w:eastAsia="bg-BG"/>
        </w:rPr>
      </w:pPr>
      <w:r w:rsidRPr="001D4818">
        <w:rPr>
          <w:lang w:eastAsia="bg-BG"/>
        </w:rPr>
        <w:t xml:space="preserve">Ефлоран 500 </w:t>
      </w:r>
      <w:r w:rsidRPr="001D4818">
        <w:rPr>
          <w:lang w:val="en-US"/>
        </w:rPr>
        <w:t xml:space="preserve">mg/100 ml </w:t>
      </w:r>
      <w:r w:rsidRPr="001D4818">
        <w:rPr>
          <w:lang w:eastAsia="bg-BG"/>
        </w:rPr>
        <w:t>инфузионен разтвор</w:t>
      </w:r>
    </w:p>
    <w:p w14:paraId="12187662" w14:textId="77777777" w:rsidR="001D4818" w:rsidRPr="001D4818" w:rsidRDefault="001D4818" w:rsidP="001D4818">
      <w:pPr>
        <w:rPr>
          <w:sz w:val="24"/>
          <w:szCs w:val="24"/>
          <w:lang w:val="en-US" w:eastAsia="bg-BG"/>
        </w:rPr>
      </w:pPr>
      <w:proofErr w:type="spellStart"/>
      <w:r w:rsidRPr="001D4818">
        <w:rPr>
          <w:lang w:val="en-US"/>
        </w:rPr>
        <w:t>Efloran</w:t>
      </w:r>
      <w:proofErr w:type="spellEnd"/>
      <w:r w:rsidRPr="001D4818">
        <w:rPr>
          <w:lang w:val="en-US"/>
        </w:rPr>
        <w:t xml:space="preserve"> </w:t>
      </w:r>
      <w:r w:rsidRPr="001D4818">
        <w:rPr>
          <w:lang w:eastAsia="bg-BG"/>
        </w:rPr>
        <w:t xml:space="preserve">500 </w:t>
      </w:r>
      <w:r w:rsidRPr="001D4818">
        <w:rPr>
          <w:lang w:val="en-US"/>
        </w:rPr>
        <w:t>mg/100 ml solution for infusion</w:t>
      </w:r>
    </w:p>
    <w:p w14:paraId="603E7C38" w14:textId="77777777" w:rsidR="001D4818" w:rsidRPr="001D4818" w:rsidRDefault="001D4818" w:rsidP="001D4818"/>
    <w:p w14:paraId="0DF202EC" w14:textId="6315C787" w:rsidR="00F53FB7" w:rsidRDefault="00DD466D" w:rsidP="00A93499">
      <w:pPr>
        <w:pStyle w:val="Heading1"/>
      </w:pPr>
      <w:r>
        <w:t>2. КАЧЕСТВЕН И КОЛИЧЕСТВЕН СЪСТАВ</w:t>
      </w:r>
    </w:p>
    <w:p w14:paraId="559482A6" w14:textId="3D64F6C4" w:rsidR="001D4818" w:rsidRDefault="001D4818" w:rsidP="001D4818"/>
    <w:p w14:paraId="4A03F3BA" w14:textId="77777777"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lang w:eastAsia="bg-BG"/>
        </w:rPr>
        <w:t xml:space="preserve">Всеки 100 </w:t>
      </w:r>
      <w:r w:rsidRPr="001D4818">
        <w:rPr>
          <w:rFonts w:eastAsia="Times New Roman" w:cs="Arial"/>
          <w:color w:val="000000"/>
          <w:lang w:val="en-US"/>
        </w:rPr>
        <w:t xml:space="preserve">ml </w:t>
      </w:r>
      <w:r w:rsidRPr="001D4818">
        <w:rPr>
          <w:rFonts w:eastAsia="Times New Roman" w:cs="Arial"/>
          <w:color w:val="000000"/>
          <w:lang w:eastAsia="bg-BG"/>
        </w:rPr>
        <w:t xml:space="preserve">от разтвора (1 флакон) съдържа 500 </w:t>
      </w:r>
      <w:r w:rsidRPr="001D4818">
        <w:rPr>
          <w:rFonts w:eastAsia="Times New Roman" w:cs="Arial"/>
          <w:color w:val="000000"/>
          <w:lang w:val="en-US"/>
        </w:rPr>
        <w:t xml:space="preserve">mg </w:t>
      </w:r>
      <w:r w:rsidRPr="001D4818">
        <w:rPr>
          <w:rFonts w:eastAsia="Times New Roman" w:cs="Arial"/>
          <w:color w:val="000000"/>
          <w:lang w:eastAsia="bg-BG"/>
        </w:rPr>
        <w:t xml:space="preserve">метронидазол </w:t>
      </w:r>
      <w:r w:rsidRPr="001D4818">
        <w:rPr>
          <w:rFonts w:eastAsia="Times New Roman" w:cs="Arial"/>
          <w:i/>
          <w:iCs/>
          <w:color w:val="000000"/>
          <w:lang w:val="en-US"/>
        </w:rPr>
        <w:t>(metronidazole).</w:t>
      </w:r>
    </w:p>
    <w:p w14:paraId="14AA105F" w14:textId="77777777"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lang w:eastAsia="bg-BG"/>
        </w:rPr>
        <w:t xml:space="preserve">Всеки 1 </w:t>
      </w:r>
      <w:r w:rsidRPr="001D4818">
        <w:rPr>
          <w:rFonts w:eastAsia="Times New Roman" w:cs="Arial"/>
          <w:color w:val="000000"/>
          <w:lang w:val="en-US"/>
        </w:rPr>
        <w:t xml:space="preserve">ml </w:t>
      </w:r>
      <w:r w:rsidRPr="001D4818">
        <w:rPr>
          <w:rFonts w:eastAsia="Times New Roman" w:cs="Arial"/>
          <w:color w:val="000000"/>
          <w:lang w:eastAsia="bg-BG"/>
        </w:rPr>
        <w:t xml:space="preserve">от разтвора съдържа 5 </w:t>
      </w:r>
      <w:r w:rsidRPr="001D4818">
        <w:rPr>
          <w:rFonts w:eastAsia="Times New Roman" w:cs="Arial"/>
          <w:color w:val="000000"/>
          <w:lang w:val="en-US"/>
        </w:rPr>
        <w:t xml:space="preserve">mg </w:t>
      </w:r>
      <w:r w:rsidRPr="001D4818">
        <w:rPr>
          <w:rFonts w:eastAsia="Times New Roman" w:cs="Arial"/>
          <w:color w:val="000000"/>
          <w:lang w:eastAsia="bg-BG"/>
        </w:rPr>
        <w:t xml:space="preserve">метронидазол </w:t>
      </w:r>
      <w:r w:rsidRPr="001D4818">
        <w:rPr>
          <w:rFonts w:eastAsia="Times New Roman" w:cs="Arial"/>
          <w:i/>
          <w:iCs/>
          <w:color w:val="000000"/>
          <w:lang w:val="en-US"/>
        </w:rPr>
        <w:t>(metronidazole).</w:t>
      </w:r>
    </w:p>
    <w:p w14:paraId="114141E0" w14:textId="77777777" w:rsidR="001D4818" w:rsidRPr="001D4818" w:rsidRDefault="001D4818" w:rsidP="001D4818">
      <w:pPr>
        <w:spacing w:line="240" w:lineRule="auto"/>
        <w:rPr>
          <w:rFonts w:eastAsia="Times New Roman" w:cs="Arial"/>
          <w:color w:val="000000"/>
          <w:u w:val="single"/>
          <w:lang w:eastAsia="bg-BG"/>
        </w:rPr>
      </w:pPr>
    </w:p>
    <w:p w14:paraId="5B42D245" w14:textId="3670678C"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u w:val="single"/>
          <w:lang w:eastAsia="bg-BG"/>
        </w:rPr>
        <w:t>Помощни вещества с известно действие:</w:t>
      </w:r>
    </w:p>
    <w:p w14:paraId="655B9C96" w14:textId="2D897F07" w:rsidR="001D4818" w:rsidRPr="001D4818" w:rsidRDefault="001D4818" w:rsidP="001D4818">
      <w:pPr>
        <w:rPr>
          <w:rFonts w:cs="Arial"/>
          <w:sz w:val="24"/>
          <w:szCs w:val="24"/>
        </w:rPr>
      </w:pPr>
      <w:r w:rsidRPr="001D4818">
        <w:rPr>
          <w:rFonts w:eastAsia="Times New Roman" w:cs="Arial"/>
          <w:color w:val="000000"/>
          <w:lang w:eastAsia="bg-BG"/>
        </w:rPr>
        <w:t xml:space="preserve">12 </w:t>
      </w:r>
      <w:r w:rsidRPr="001D4818">
        <w:rPr>
          <w:rFonts w:eastAsia="Times New Roman" w:cs="Arial"/>
          <w:color w:val="000000"/>
          <w:lang w:val="en-US"/>
        </w:rPr>
        <w:t xml:space="preserve">mmol </w:t>
      </w:r>
      <w:r w:rsidRPr="001D4818">
        <w:rPr>
          <w:rFonts w:eastAsia="Times New Roman" w:cs="Arial"/>
          <w:color w:val="000000"/>
          <w:lang w:eastAsia="bg-BG"/>
        </w:rPr>
        <w:t xml:space="preserve">(276,61 </w:t>
      </w:r>
      <w:r w:rsidRPr="001D4818">
        <w:rPr>
          <w:rFonts w:eastAsia="Times New Roman" w:cs="Arial"/>
          <w:color w:val="000000"/>
          <w:lang w:val="en-US"/>
        </w:rPr>
        <w:t xml:space="preserve">mg) </w:t>
      </w:r>
      <w:r w:rsidRPr="001D4818">
        <w:rPr>
          <w:rFonts w:eastAsia="Times New Roman" w:cs="Arial"/>
          <w:color w:val="000000"/>
          <w:lang w:eastAsia="bg-BG"/>
        </w:rPr>
        <w:t xml:space="preserve">натрий/100 </w:t>
      </w:r>
      <w:r w:rsidRPr="001D4818">
        <w:rPr>
          <w:rFonts w:eastAsia="Times New Roman" w:cs="Arial"/>
          <w:color w:val="000000"/>
          <w:lang w:val="en-US"/>
        </w:rPr>
        <w:t>ml.</w:t>
      </w:r>
    </w:p>
    <w:p w14:paraId="4CABB9ED" w14:textId="628AF5A6" w:rsidR="00F53FB7" w:rsidRDefault="00DD466D" w:rsidP="00A93499">
      <w:pPr>
        <w:pStyle w:val="Heading1"/>
      </w:pPr>
      <w:r>
        <w:t>3. ЛЕКАРСТВЕНА ФОРМА</w:t>
      </w:r>
    </w:p>
    <w:p w14:paraId="07FECC62" w14:textId="54F36E5E" w:rsidR="001D4818" w:rsidRDefault="001D4818" w:rsidP="001D4818"/>
    <w:p w14:paraId="33A4B902" w14:textId="77777777" w:rsidR="001D4818" w:rsidRPr="001D4818" w:rsidRDefault="001D4818" w:rsidP="001D4818">
      <w:pPr>
        <w:rPr>
          <w:sz w:val="24"/>
          <w:szCs w:val="24"/>
          <w:lang w:eastAsia="bg-BG"/>
        </w:rPr>
      </w:pPr>
      <w:r w:rsidRPr="001D4818">
        <w:rPr>
          <w:lang w:eastAsia="bg-BG"/>
        </w:rPr>
        <w:t>Инфузионен разтвор.</w:t>
      </w:r>
    </w:p>
    <w:p w14:paraId="45794350" w14:textId="77777777" w:rsidR="001D4818" w:rsidRDefault="001D4818" w:rsidP="001D4818">
      <w:pPr>
        <w:rPr>
          <w:lang w:eastAsia="bg-BG"/>
        </w:rPr>
      </w:pPr>
    </w:p>
    <w:p w14:paraId="515A4AB5" w14:textId="220C1B1F" w:rsidR="001D4818" w:rsidRPr="001D4818" w:rsidRDefault="001D4818" w:rsidP="001D4818">
      <w:pPr>
        <w:rPr>
          <w:sz w:val="24"/>
          <w:szCs w:val="24"/>
          <w:lang w:eastAsia="bg-BG"/>
        </w:rPr>
      </w:pPr>
      <w:r w:rsidRPr="001D4818">
        <w:rPr>
          <w:lang w:eastAsia="bg-BG"/>
        </w:rPr>
        <w:t>Инфузионният разтвор е бистър, почти безцветен до бледо жълт разтвор без видими механични очиствания.</w:t>
      </w:r>
    </w:p>
    <w:p w14:paraId="19DDF0C8" w14:textId="77777777" w:rsidR="001D4818" w:rsidRPr="001D4818" w:rsidRDefault="001D4818" w:rsidP="001D4818"/>
    <w:p w14:paraId="490FC2C4" w14:textId="6899DE43" w:rsidR="002C50EE" w:rsidRDefault="002C50EE" w:rsidP="002C50EE">
      <w:pPr>
        <w:pStyle w:val="Heading1"/>
      </w:pPr>
      <w:r>
        <w:t>4. КЛИНИЧНИ ДАННИ</w:t>
      </w:r>
    </w:p>
    <w:p w14:paraId="461901E4" w14:textId="6E2B9917" w:rsidR="009F77A4" w:rsidRDefault="002C50EE" w:rsidP="00387A66">
      <w:pPr>
        <w:pStyle w:val="Heading2"/>
      </w:pPr>
      <w:r>
        <w:t>4.1. Терапевтични показания</w:t>
      </w:r>
    </w:p>
    <w:p w14:paraId="199CF953" w14:textId="3615A345" w:rsidR="001D4818" w:rsidRDefault="001D4818" w:rsidP="001D4818"/>
    <w:p w14:paraId="5D2C9E9D" w14:textId="77777777"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lang w:eastAsia="bg-BG"/>
        </w:rPr>
        <w:t>Метронидазол е показан при възрастни и деца за следните показания:</w:t>
      </w:r>
    </w:p>
    <w:p w14:paraId="7E49548A" w14:textId="77777777" w:rsidR="001D4818" w:rsidRPr="001D4818" w:rsidRDefault="001D4818" w:rsidP="001D4818">
      <w:pPr>
        <w:pStyle w:val="ListParagraph"/>
        <w:numPr>
          <w:ilvl w:val="0"/>
          <w:numId w:val="40"/>
        </w:numPr>
        <w:spacing w:line="240" w:lineRule="auto"/>
        <w:rPr>
          <w:rFonts w:eastAsia="Times New Roman" w:cs="Arial"/>
          <w:color w:val="000000"/>
          <w:lang w:eastAsia="bg-BG"/>
        </w:rPr>
      </w:pPr>
      <w:r w:rsidRPr="001D4818">
        <w:rPr>
          <w:rFonts w:eastAsia="Times New Roman" w:cs="Arial"/>
          <w:color w:val="000000"/>
          <w:lang w:eastAsia="bg-BG"/>
        </w:rPr>
        <w:t xml:space="preserve">Лечение на анаеробни бактериални инфекции (гинекологични и абдоминални инфекции, инфекции на централната нервна система, бактериемия, сепсис, ендокардит, инфекции на костите, ставите, кожата и меките тъкани, периодонтални и респираторни инфекции), причинени от </w:t>
      </w:r>
      <w:r w:rsidRPr="001D4818">
        <w:rPr>
          <w:rFonts w:eastAsia="Times New Roman" w:cs="Arial"/>
          <w:i/>
          <w:iCs/>
          <w:color w:val="000000"/>
          <w:lang w:val="en-US"/>
        </w:rPr>
        <w:t>Bacteroides</w:t>
      </w:r>
      <w:r w:rsidRPr="001D4818">
        <w:rPr>
          <w:rFonts w:eastAsia="Times New Roman" w:cs="Arial"/>
          <w:color w:val="000000"/>
          <w:lang w:val="en-US"/>
        </w:rPr>
        <w:t xml:space="preserve"> spp., </w:t>
      </w:r>
      <w:r w:rsidRPr="001D4818">
        <w:rPr>
          <w:rFonts w:eastAsia="Times New Roman" w:cs="Arial"/>
          <w:i/>
          <w:iCs/>
          <w:color w:val="000000"/>
          <w:lang w:val="en-US"/>
        </w:rPr>
        <w:t>Clostridium</w:t>
      </w:r>
      <w:r w:rsidRPr="001D4818">
        <w:rPr>
          <w:rFonts w:eastAsia="Times New Roman" w:cs="Arial"/>
          <w:color w:val="000000"/>
          <w:lang w:val="en-US"/>
        </w:rPr>
        <w:t xml:space="preserve"> spp., </w:t>
      </w:r>
      <w:r w:rsidRPr="001D4818">
        <w:rPr>
          <w:rFonts w:eastAsia="Times New Roman" w:cs="Arial"/>
          <w:i/>
          <w:iCs/>
          <w:color w:val="000000"/>
          <w:lang w:val="en-US"/>
        </w:rPr>
        <w:t>Eubacterium</w:t>
      </w:r>
      <w:r w:rsidRPr="001D4818">
        <w:rPr>
          <w:rFonts w:eastAsia="Times New Roman" w:cs="Arial"/>
          <w:color w:val="000000"/>
          <w:lang w:val="en-US"/>
        </w:rPr>
        <w:t xml:space="preserve"> spp., </w:t>
      </w:r>
      <w:proofErr w:type="spellStart"/>
      <w:r w:rsidRPr="001D4818">
        <w:rPr>
          <w:rFonts w:eastAsia="Times New Roman" w:cs="Arial"/>
          <w:i/>
          <w:iCs/>
          <w:color w:val="000000"/>
          <w:lang w:val="en-US"/>
        </w:rPr>
        <w:t>Peptococcus</w:t>
      </w:r>
      <w:proofErr w:type="spellEnd"/>
      <w:r w:rsidRPr="001D4818">
        <w:rPr>
          <w:rFonts w:eastAsia="Times New Roman" w:cs="Arial"/>
          <w:color w:val="000000"/>
          <w:lang w:val="en-US"/>
        </w:rPr>
        <w:t xml:space="preserve"> spp., </w:t>
      </w:r>
      <w:proofErr w:type="spellStart"/>
      <w:r w:rsidRPr="001D4818">
        <w:rPr>
          <w:rFonts w:eastAsia="Times New Roman" w:cs="Arial"/>
          <w:i/>
          <w:iCs/>
          <w:color w:val="000000"/>
          <w:lang w:val="en-US"/>
        </w:rPr>
        <w:t>Peptostreptococcus</w:t>
      </w:r>
      <w:proofErr w:type="spellEnd"/>
      <w:r w:rsidRPr="001D4818">
        <w:rPr>
          <w:rFonts w:eastAsia="Times New Roman" w:cs="Arial"/>
          <w:color w:val="000000"/>
          <w:lang w:val="en-US"/>
        </w:rPr>
        <w:t xml:space="preserve"> spp. </w:t>
      </w:r>
      <w:r w:rsidRPr="001D4818">
        <w:rPr>
          <w:rFonts w:eastAsia="Times New Roman" w:cs="Arial"/>
          <w:color w:val="000000"/>
          <w:lang w:eastAsia="bg-BG"/>
        </w:rPr>
        <w:t>и други чувствителни на метронидазол анаероби.</w:t>
      </w:r>
    </w:p>
    <w:p w14:paraId="7A9B9C01" w14:textId="77777777" w:rsidR="001D4818" w:rsidRPr="001D4818" w:rsidRDefault="001D4818" w:rsidP="001D4818">
      <w:pPr>
        <w:pStyle w:val="ListParagraph"/>
        <w:numPr>
          <w:ilvl w:val="0"/>
          <w:numId w:val="40"/>
        </w:numPr>
        <w:spacing w:line="240" w:lineRule="auto"/>
        <w:rPr>
          <w:rFonts w:eastAsia="Times New Roman" w:cs="Arial"/>
          <w:color w:val="000000"/>
          <w:lang w:eastAsia="bg-BG"/>
        </w:rPr>
      </w:pPr>
      <w:r w:rsidRPr="001D4818">
        <w:rPr>
          <w:rFonts w:eastAsia="Times New Roman" w:cs="Arial"/>
          <w:color w:val="000000"/>
          <w:lang w:eastAsia="bg-BG"/>
        </w:rPr>
        <w:t xml:space="preserve">Лечение на ентероколит, предизвикан от </w:t>
      </w:r>
      <w:r w:rsidRPr="001D4818">
        <w:rPr>
          <w:rFonts w:eastAsia="Times New Roman" w:cs="Arial"/>
          <w:i/>
          <w:iCs/>
          <w:color w:val="000000"/>
          <w:lang w:val="en-US"/>
        </w:rPr>
        <w:t>Clostridium difficile.</w:t>
      </w:r>
    </w:p>
    <w:p w14:paraId="014E27AA" w14:textId="7F47A541" w:rsidR="001D4818" w:rsidRPr="001D4818" w:rsidRDefault="001D4818" w:rsidP="001D4818">
      <w:pPr>
        <w:pStyle w:val="ListParagraph"/>
        <w:numPr>
          <w:ilvl w:val="0"/>
          <w:numId w:val="40"/>
        </w:numPr>
        <w:spacing w:line="240" w:lineRule="auto"/>
        <w:rPr>
          <w:rFonts w:eastAsia="Times New Roman" w:cs="Arial"/>
          <w:color w:val="000000"/>
          <w:lang w:eastAsia="bg-BG"/>
        </w:rPr>
      </w:pPr>
      <w:r w:rsidRPr="001D4818">
        <w:rPr>
          <w:rFonts w:eastAsia="Times New Roman" w:cs="Arial"/>
          <w:color w:val="000000"/>
          <w:lang w:eastAsia="bg-BG"/>
        </w:rPr>
        <w:t>Профилактика преди хирургични операции върху органите на храносмилателната и репродуктивната системи.</w:t>
      </w:r>
    </w:p>
    <w:p w14:paraId="6E06497D" w14:textId="77777777" w:rsidR="001D4818" w:rsidRPr="001D4818" w:rsidRDefault="001D4818" w:rsidP="001D4818">
      <w:pPr>
        <w:spacing w:line="240" w:lineRule="auto"/>
        <w:rPr>
          <w:rFonts w:eastAsia="Times New Roman" w:cs="Arial"/>
          <w:color w:val="000000"/>
          <w:lang w:eastAsia="bg-BG"/>
        </w:rPr>
      </w:pPr>
    </w:p>
    <w:p w14:paraId="2E5459F5" w14:textId="3EBCDA0F"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lang w:eastAsia="bg-BG"/>
        </w:rPr>
        <w:t>Официалните оказания за правилната употреба на антибактериални агенти трябва да се имат предвид.</w:t>
      </w:r>
    </w:p>
    <w:p w14:paraId="772557CB" w14:textId="77777777" w:rsidR="001D4818" w:rsidRPr="001D4818" w:rsidRDefault="001D4818" w:rsidP="001D4818"/>
    <w:p w14:paraId="31744E5A" w14:textId="3F23C9BA" w:rsidR="009F77A4" w:rsidRDefault="002C50EE" w:rsidP="00387A66">
      <w:pPr>
        <w:pStyle w:val="Heading2"/>
      </w:pPr>
      <w:r>
        <w:t>4.2. Дозировка и начин на приложение</w:t>
      </w:r>
    </w:p>
    <w:p w14:paraId="5AFEAF63" w14:textId="779B3DC8" w:rsidR="001D4818" w:rsidRDefault="001D4818" w:rsidP="001D4818"/>
    <w:p w14:paraId="6018950F" w14:textId="77777777" w:rsidR="001D4818" w:rsidRPr="001D4818" w:rsidRDefault="001D4818" w:rsidP="001D4818">
      <w:pPr>
        <w:spacing w:line="240" w:lineRule="auto"/>
        <w:rPr>
          <w:rFonts w:eastAsia="Times New Roman" w:cs="Arial"/>
          <w:lang w:eastAsia="bg-BG"/>
        </w:rPr>
      </w:pPr>
      <w:r w:rsidRPr="001D4818">
        <w:rPr>
          <w:rFonts w:eastAsia="Times New Roman" w:cs="Arial"/>
          <w:color w:val="000000"/>
          <w:u w:val="single"/>
          <w:lang w:eastAsia="bg-BG"/>
        </w:rPr>
        <w:t>Дозировка</w:t>
      </w:r>
    </w:p>
    <w:p w14:paraId="4D26EED4" w14:textId="77777777" w:rsidR="001D4818" w:rsidRPr="001D4818" w:rsidRDefault="001D4818" w:rsidP="001D4818">
      <w:pPr>
        <w:spacing w:line="240" w:lineRule="auto"/>
        <w:rPr>
          <w:rFonts w:eastAsia="Times New Roman" w:cs="Arial"/>
          <w:i/>
          <w:iCs/>
          <w:color w:val="000000"/>
          <w:lang w:eastAsia="bg-BG"/>
        </w:rPr>
      </w:pPr>
    </w:p>
    <w:p w14:paraId="2A1B38A4" w14:textId="4212251F" w:rsidR="001D4818" w:rsidRPr="001D4818" w:rsidRDefault="001D4818" w:rsidP="001D4818">
      <w:pPr>
        <w:spacing w:line="240" w:lineRule="auto"/>
        <w:rPr>
          <w:rFonts w:eastAsia="Times New Roman" w:cs="Arial"/>
          <w:lang w:eastAsia="bg-BG"/>
        </w:rPr>
      </w:pPr>
      <w:r w:rsidRPr="001D4818">
        <w:rPr>
          <w:rFonts w:eastAsia="Times New Roman" w:cs="Arial"/>
          <w:i/>
          <w:iCs/>
          <w:color w:val="000000"/>
          <w:lang w:eastAsia="bg-BG"/>
        </w:rPr>
        <w:lastRenderedPageBreak/>
        <w:t>Възрастни</w:t>
      </w:r>
    </w:p>
    <w:p w14:paraId="7B633B25" w14:textId="77777777" w:rsidR="001D4818" w:rsidRPr="001D4818" w:rsidRDefault="001D4818" w:rsidP="001D4818">
      <w:pPr>
        <w:spacing w:line="240" w:lineRule="auto"/>
        <w:rPr>
          <w:rFonts w:eastAsia="Times New Roman" w:cs="Arial"/>
          <w:i/>
          <w:iCs/>
          <w:color w:val="000000"/>
          <w:u w:val="single"/>
          <w:lang w:eastAsia="bg-BG"/>
        </w:rPr>
      </w:pPr>
    </w:p>
    <w:p w14:paraId="7158BD66" w14:textId="69A50950" w:rsidR="001D4818" w:rsidRPr="001D4818" w:rsidRDefault="001D4818" w:rsidP="001D4818">
      <w:pPr>
        <w:spacing w:line="240" w:lineRule="auto"/>
        <w:rPr>
          <w:rFonts w:eastAsia="Times New Roman" w:cs="Arial"/>
          <w:lang w:eastAsia="bg-BG"/>
        </w:rPr>
      </w:pPr>
      <w:r w:rsidRPr="001D4818">
        <w:rPr>
          <w:rFonts w:eastAsia="Times New Roman" w:cs="Arial"/>
          <w:i/>
          <w:iCs/>
          <w:color w:val="000000"/>
          <w:u w:val="single"/>
          <w:lang w:eastAsia="bg-BG"/>
        </w:rPr>
        <w:t>Лечение на анаеробни инфекиии</w:t>
      </w:r>
    </w:p>
    <w:p w14:paraId="7466D961" w14:textId="77777777" w:rsidR="001D4818" w:rsidRPr="001D4818" w:rsidRDefault="001D4818" w:rsidP="001D4818">
      <w:pPr>
        <w:spacing w:line="240" w:lineRule="auto"/>
        <w:rPr>
          <w:rFonts w:eastAsia="Times New Roman" w:cs="Arial"/>
          <w:lang w:eastAsia="bg-BG"/>
        </w:rPr>
      </w:pPr>
      <w:r w:rsidRPr="001D4818">
        <w:rPr>
          <w:rFonts w:eastAsia="Times New Roman" w:cs="Arial"/>
          <w:color w:val="000000"/>
          <w:lang w:eastAsia="bg-BG"/>
        </w:rPr>
        <w:t xml:space="preserve">Дозата за </w:t>
      </w:r>
      <w:r w:rsidRPr="001D4818">
        <w:rPr>
          <w:rFonts w:eastAsia="Times New Roman" w:cs="Arial"/>
          <w:i/>
          <w:iCs/>
          <w:color w:val="000000"/>
          <w:lang w:eastAsia="bg-BG"/>
        </w:rPr>
        <w:t>възрастни</w:t>
      </w:r>
      <w:r w:rsidRPr="001D4818">
        <w:rPr>
          <w:rFonts w:eastAsia="Times New Roman" w:cs="Arial"/>
          <w:color w:val="000000"/>
          <w:lang w:eastAsia="bg-BG"/>
        </w:rPr>
        <w:t xml:space="preserve"> е 500 </w:t>
      </w:r>
      <w:r w:rsidRPr="001D4818">
        <w:rPr>
          <w:rFonts w:eastAsia="Times New Roman" w:cs="Arial"/>
          <w:color w:val="000000"/>
          <w:lang w:val="en-US"/>
        </w:rPr>
        <w:t xml:space="preserve">mg </w:t>
      </w:r>
      <w:r w:rsidRPr="001D4818">
        <w:rPr>
          <w:rFonts w:eastAsia="Times New Roman" w:cs="Arial"/>
          <w:color w:val="000000"/>
          <w:lang w:eastAsia="bg-BG"/>
        </w:rPr>
        <w:t xml:space="preserve">през 8 часа в бавна интравенозна инфузия или 400 </w:t>
      </w:r>
      <w:r w:rsidRPr="001D4818">
        <w:rPr>
          <w:rFonts w:eastAsia="Times New Roman" w:cs="Arial"/>
          <w:color w:val="000000"/>
          <w:lang w:val="en-US"/>
        </w:rPr>
        <w:t xml:space="preserve">mg </w:t>
      </w:r>
      <w:r w:rsidRPr="001D4818">
        <w:rPr>
          <w:rFonts w:eastAsia="Times New Roman" w:cs="Arial"/>
          <w:color w:val="000000"/>
          <w:lang w:eastAsia="bg-BG"/>
        </w:rPr>
        <w:t>перорално 3 пъти дневно. Лечението продължава 7 дни, но може да бъде продължено при нужда в зависимост от показанието</w:t>
      </w:r>
    </w:p>
    <w:p w14:paraId="28AE4AA9" w14:textId="77777777" w:rsidR="001D4818" w:rsidRPr="001D4818" w:rsidRDefault="001D4818" w:rsidP="001D4818">
      <w:pPr>
        <w:spacing w:line="240" w:lineRule="auto"/>
        <w:rPr>
          <w:rFonts w:eastAsia="Times New Roman" w:cs="Arial"/>
          <w:lang w:eastAsia="bg-BG"/>
        </w:rPr>
      </w:pPr>
    </w:p>
    <w:p w14:paraId="417308F1" w14:textId="77777777" w:rsidR="001D4818" w:rsidRPr="001D4818" w:rsidRDefault="001D4818" w:rsidP="001D4818">
      <w:pPr>
        <w:spacing w:line="240" w:lineRule="auto"/>
        <w:rPr>
          <w:rFonts w:eastAsia="Times New Roman" w:cs="Arial"/>
          <w:lang w:eastAsia="bg-BG"/>
        </w:rPr>
      </w:pPr>
      <w:r w:rsidRPr="001D4818">
        <w:rPr>
          <w:rFonts w:eastAsia="Times New Roman" w:cs="Arial"/>
          <w:i/>
          <w:iCs/>
          <w:color w:val="000000"/>
          <w:u w:val="single"/>
          <w:lang w:eastAsia="bg-BG"/>
        </w:rPr>
        <w:t>Профилактика преди хирургични операции върху органите на храносмилателнателната и</w:t>
      </w:r>
      <w:r w:rsidRPr="001D4818">
        <w:rPr>
          <w:rFonts w:eastAsia="Times New Roman" w:cs="Arial"/>
          <w:i/>
          <w:iCs/>
          <w:color w:val="000000"/>
          <w:lang w:eastAsia="bg-BG"/>
        </w:rPr>
        <w:t xml:space="preserve"> </w:t>
      </w:r>
      <w:r w:rsidRPr="001D4818">
        <w:rPr>
          <w:rFonts w:eastAsia="Times New Roman" w:cs="Arial"/>
          <w:i/>
          <w:iCs/>
          <w:color w:val="000000"/>
          <w:u w:val="single"/>
          <w:lang w:eastAsia="bg-BG"/>
        </w:rPr>
        <w:t>репродуктивната системи</w:t>
      </w:r>
    </w:p>
    <w:p w14:paraId="527A74F1" w14:textId="77777777" w:rsidR="001D4818" w:rsidRPr="001D4818" w:rsidRDefault="001D4818" w:rsidP="001D4818">
      <w:pPr>
        <w:rPr>
          <w:rFonts w:eastAsia="Times New Roman" w:cs="Arial"/>
          <w:lang w:eastAsia="bg-BG"/>
        </w:rPr>
      </w:pPr>
      <w:r w:rsidRPr="001D4818">
        <w:rPr>
          <w:rFonts w:eastAsia="Times New Roman" w:cs="Arial"/>
          <w:color w:val="000000"/>
          <w:lang w:eastAsia="bg-BG"/>
        </w:rPr>
        <w:t>По време на въвеждане в анестезия преди хирургическа манипулация на възрастни се прилага</w:t>
      </w:r>
      <w:r w:rsidRPr="001D4818">
        <w:rPr>
          <w:rFonts w:eastAsia="Times New Roman" w:cs="Arial"/>
          <w:color w:val="000000"/>
          <w:lang w:eastAsia="bg-BG"/>
        </w:rPr>
        <w:t xml:space="preserve"> </w:t>
      </w:r>
      <w:r w:rsidRPr="001D4818">
        <w:rPr>
          <w:rFonts w:eastAsia="Times New Roman" w:cs="Arial"/>
          <w:color w:val="000000"/>
          <w:lang w:eastAsia="bg-BG"/>
        </w:rPr>
        <w:t xml:space="preserve">еднократна доза от 500 </w:t>
      </w:r>
      <w:r w:rsidRPr="001D4818">
        <w:rPr>
          <w:rFonts w:eastAsia="Times New Roman" w:cs="Arial"/>
          <w:color w:val="000000"/>
          <w:lang w:val="en-US"/>
        </w:rPr>
        <w:t xml:space="preserve">mg </w:t>
      </w:r>
      <w:r w:rsidRPr="001D4818">
        <w:rPr>
          <w:rFonts w:eastAsia="Times New Roman" w:cs="Arial"/>
          <w:color w:val="000000"/>
          <w:lang w:eastAsia="bg-BG"/>
        </w:rPr>
        <w:t>в бавна интравенозна инфузия. Дозата може да се повтори 3 пъти.</w:t>
      </w:r>
    </w:p>
    <w:p w14:paraId="3EE510AD" w14:textId="77777777" w:rsidR="001D4818" w:rsidRPr="001D4818" w:rsidRDefault="001D4818" w:rsidP="001D4818">
      <w:pPr>
        <w:spacing w:line="240" w:lineRule="auto"/>
        <w:rPr>
          <w:rFonts w:eastAsia="Times New Roman" w:cs="Arial"/>
          <w:lang w:eastAsia="bg-BG"/>
        </w:rPr>
      </w:pPr>
      <w:r w:rsidRPr="001D4818">
        <w:rPr>
          <w:rFonts w:eastAsia="Times New Roman" w:cs="Arial"/>
          <w:color w:val="000000"/>
          <w:lang w:eastAsia="bg-BG"/>
        </w:rPr>
        <w:t>По правило, предоперативната профилактика не трябва да продължава повече от 24 часа.</w:t>
      </w:r>
    </w:p>
    <w:p w14:paraId="33902DB0" w14:textId="77777777" w:rsidR="001D4818" w:rsidRPr="001D4818" w:rsidRDefault="001D4818" w:rsidP="001D4818">
      <w:pPr>
        <w:spacing w:line="240" w:lineRule="auto"/>
        <w:rPr>
          <w:rFonts w:eastAsia="Times New Roman" w:cs="Arial"/>
          <w:i/>
          <w:iCs/>
          <w:color w:val="000000"/>
          <w:lang w:eastAsia="bg-BG"/>
        </w:rPr>
      </w:pPr>
    </w:p>
    <w:p w14:paraId="74BD8F7E" w14:textId="3FE4474D" w:rsidR="001D4818" w:rsidRPr="001D4818" w:rsidRDefault="001D4818" w:rsidP="001D4818">
      <w:pPr>
        <w:spacing w:line="240" w:lineRule="auto"/>
        <w:rPr>
          <w:rFonts w:eastAsia="Times New Roman" w:cs="Arial"/>
          <w:lang w:eastAsia="bg-BG"/>
        </w:rPr>
      </w:pPr>
      <w:r w:rsidRPr="001D4818">
        <w:rPr>
          <w:rFonts w:eastAsia="Times New Roman" w:cs="Arial"/>
          <w:i/>
          <w:iCs/>
          <w:color w:val="000000"/>
          <w:lang w:eastAsia="bg-BG"/>
        </w:rPr>
        <w:t>Урогенитална трихомониаза</w:t>
      </w:r>
    </w:p>
    <w:p w14:paraId="2736BC07" w14:textId="77777777" w:rsidR="001D4818" w:rsidRPr="001D4818" w:rsidRDefault="001D4818" w:rsidP="001D4818">
      <w:pPr>
        <w:spacing w:line="240" w:lineRule="auto"/>
        <w:rPr>
          <w:rFonts w:eastAsia="Times New Roman" w:cs="Arial"/>
          <w:lang w:eastAsia="bg-BG"/>
        </w:rPr>
      </w:pPr>
      <w:r w:rsidRPr="001D4818">
        <w:rPr>
          <w:rFonts w:eastAsia="Times New Roman" w:cs="Arial"/>
          <w:color w:val="000000"/>
          <w:lang w:eastAsia="bg-BG"/>
        </w:rPr>
        <w:t xml:space="preserve">Възрастни и юноши: 2 000 </w:t>
      </w:r>
      <w:r w:rsidRPr="001D4818">
        <w:rPr>
          <w:rFonts w:eastAsia="Times New Roman" w:cs="Arial"/>
          <w:color w:val="000000"/>
          <w:lang w:val="en-US"/>
        </w:rPr>
        <w:t xml:space="preserve">mg </w:t>
      </w:r>
      <w:r w:rsidRPr="001D4818">
        <w:rPr>
          <w:rFonts w:eastAsia="Times New Roman" w:cs="Arial"/>
          <w:color w:val="000000"/>
          <w:lang w:eastAsia="bg-BG"/>
        </w:rPr>
        <w:t xml:space="preserve">като еднократна доза или 200 </w:t>
      </w:r>
      <w:r w:rsidRPr="001D4818">
        <w:rPr>
          <w:rFonts w:eastAsia="Times New Roman" w:cs="Arial"/>
          <w:color w:val="000000"/>
          <w:lang w:val="en-US"/>
        </w:rPr>
        <w:t xml:space="preserve">mg </w:t>
      </w:r>
      <w:r w:rsidRPr="001D4818">
        <w:rPr>
          <w:rFonts w:eastAsia="Times New Roman" w:cs="Arial"/>
          <w:color w:val="000000"/>
          <w:lang w:eastAsia="bg-BG"/>
        </w:rPr>
        <w:t xml:space="preserve">3 пъти дневно в продължение на 7 дни или 400 </w:t>
      </w:r>
      <w:r w:rsidRPr="001D4818">
        <w:rPr>
          <w:rFonts w:eastAsia="Times New Roman" w:cs="Arial"/>
          <w:color w:val="000000"/>
          <w:lang w:val="en-US"/>
        </w:rPr>
        <w:t xml:space="preserve">mg </w:t>
      </w:r>
      <w:r w:rsidRPr="001D4818">
        <w:rPr>
          <w:rFonts w:eastAsia="Times New Roman" w:cs="Arial"/>
          <w:color w:val="000000"/>
          <w:lang w:eastAsia="bg-BG"/>
        </w:rPr>
        <w:t>два пъти дневно в продължение на 5-7 дни.</w:t>
      </w:r>
    </w:p>
    <w:p w14:paraId="4BA8A9D3" w14:textId="77777777" w:rsidR="001D4818" w:rsidRPr="001D4818" w:rsidRDefault="001D4818" w:rsidP="001D4818">
      <w:pPr>
        <w:spacing w:line="240" w:lineRule="auto"/>
        <w:rPr>
          <w:rFonts w:eastAsia="Times New Roman" w:cs="Arial"/>
          <w:i/>
          <w:iCs/>
          <w:color w:val="000000"/>
          <w:lang w:eastAsia="bg-BG"/>
        </w:rPr>
      </w:pPr>
    </w:p>
    <w:p w14:paraId="79D817B4" w14:textId="3D35952D" w:rsidR="001D4818" w:rsidRPr="001D4818" w:rsidRDefault="001D4818" w:rsidP="001D4818">
      <w:pPr>
        <w:spacing w:line="240" w:lineRule="auto"/>
        <w:rPr>
          <w:rFonts w:eastAsia="Times New Roman" w:cs="Arial"/>
          <w:lang w:eastAsia="bg-BG"/>
        </w:rPr>
      </w:pPr>
      <w:r w:rsidRPr="001D4818">
        <w:rPr>
          <w:rFonts w:eastAsia="Times New Roman" w:cs="Arial"/>
          <w:i/>
          <w:iCs/>
          <w:color w:val="000000"/>
          <w:lang w:eastAsia="bg-BG"/>
        </w:rPr>
        <w:t>Гиардиаза</w:t>
      </w:r>
    </w:p>
    <w:p w14:paraId="72125950" w14:textId="77777777" w:rsidR="001D4818" w:rsidRPr="001D4818" w:rsidRDefault="001D4818" w:rsidP="001D4818">
      <w:pPr>
        <w:spacing w:line="240" w:lineRule="auto"/>
        <w:rPr>
          <w:rFonts w:eastAsia="Times New Roman" w:cs="Arial"/>
          <w:lang w:eastAsia="bg-BG"/>
        </w:rPr>
      </w:pPr>
      <w:r w:rsidRPr="001D4818">
        <w:rPr>
          <w:rFonts w:eastAsia="Times New Roman" w:cs="Arial"/>
          <w:color w:val="000000"/>
          <w:lang w:eastAsia="bg-BG"/>
        </w:rPr>
        <w:t xml:space="preserve">Възрастни и юноши на възраст над 10 години: 2 000 </w:t>
      </w:r>
      <w:r w:rsidRPr="001D4818">
        <w:rPr>
          <w:rFonts w:eastAsia="Times New Roman" w:cs="Arial"/>
          <w:color w:val="000000"/>
          <w:lang w:val="en-US"/>
        </w:rPr>
        <w:t xml:space="preserve">mg </w:t>
      </w:r>
      <w:r w:rsidRPr="001D4818">
        <w:rPr>
          <w:rFonts w:eastAsia="Times New Roman" w:cs="Arial"/>
          <w:color w:val="000000"/>
          <w:lang w:eastAsia="bg-BG"/>
        </w:rPr>
        <w:t xml:space="preserve">веднъж дневно в продължение на 3 дни, или 400 </w:t>
      </w:r>
      <w:r w:rsidRPr="001D4818">
        <w:rPr>
          <w:rFonts w:eastAsia="Times New Roman" w:cs="Arial"/>
          <w:color w:val="000000"/>
          <w:lang w:val="en-US"/>
        </w:rPr>
        <w:t xml:space="preserve">mg </w:t>
      </w:r>
      <w:r w:rsidRPr="001D4818">
        <w:rPr>
          <w:rFonts w:eastAsia="Times New Roman" w:cs="Arial"/>
          <w:color w:val="000000"/>
          <w:lang w:eastAsia="bg-BG"/>
        </w:rPr>
        <w:t xml:space="preserve">три пъти дневно в продължение на 5 дни, или 500 </w:t>
      </w:r>
      <w:r w:rsidRPr="001D4818">
        <w:rPr>
          <w:rFonts w:eastAsia="Times New Roman" w:cs="Arial"/>
          <w:color w:val="000000"/>
          <w:lang w:val="en-US"/>
        </w:rPr>
        <w:t xml:space="preserve">mg </w:t>
      </w:r>
      <w:r w:rsidRPr="001D4818">
        <w:rPr>
          <w:rFonts w:eastAsia="Times New Roman" w:cs="Arial"/>
          <w:color w:val="000000"/>
          <w:lang w:eastAsia="bg-BG"/>
        </w:rPr>
        <w:t>два пъти дневно в продължение на 7 до 10 дни.</w:t>
      </w:r>
    </w:p>
    <w:p w14:paraId="1A7397FA" w14:textId="77777777" w:rsidR="001D4818" w:rsidRPr="001D4818" w:rsidRDefault="001D4818" w:rsidP="001D4818">
      <w:pPr>
        <w:spacing w:line="240" w:lineRule="auto"/>
        <w:rPr>
          <w:rFonts w:eastAsia="Times New Roman" w:cs="Arial"/>
          <w:i/>
          <w:iCs/>
          <w:color w:val="000000"/>
          <w:lang w:eastAsia="bg-BG"/>
        </w:rPr>
      </w:pPr>
    </w:p>
    <w:p w14:paraId="44F934E5" w14:textId="2087F2A0" w:rsidR="001D4818" w:rsidRPr="001D4818" w:rsidRDefault="001D4818" w:rsidP="001D4818">
      <w:pPr>
        <w:spacing w:line="240" w:lineRule="auto"/>
        <w:rPr>
          <w:rFonts w:eastAsia="Times New Roman" w:cs="Arial"/>
          <w:lang w:eastAsia="bg-BG"/>
        </w:rPr>
      </w:pPr>
      <w:r w:rsidRPr="001D4818">
        <w:rPr>
          <w:rFonts w:eastAsia="Times New Roman" w:cs="Arial"/>
          <w:i/>
          <w:iCs/>
          <w:color w:val="000000"/>
          <w:lang w:eastAsia="bg-BG"/>
        </w:rPr>
        <w:t>Амебиаза</w:t>
      </w:r>
    </w:p>
    <w:p w14:paraId="276EFF26" w14:textId="77777777" w:rsidR="001D4818" w:rsidRPr="001D4818" w:rsidRDefault="001D4818" w:rsidP="001D4818">
      <w:pPr>
        <w:spacing w:line="240" w:lineRule="auto"/>
        <w:rPr>
          <w:rFonts w:eastAsia="Times New Roman" w:cs="Arial"/>
          <w:lang w:eastAsia="bg-BG"/>
        </w:rPr>
      </w:pPr>
      <w:r w:rsidRPr="001D4818">
        <w:rPr>
          <w:rFonts w:eastAsia="Times New Roman" w:cs="Arial"/>
          <w:color w:val="000000"/>
          <w:lang w:eastAsia="bg-BG"/>
        </w:rPr>
        <w:t xml:space="preserve">Възрастни и юноши на възраст над 10 години: 400 </w:t>
      </w:r>
      <w:r w:rsidRPr="001D4818">
        <w:rPr>
          <w:rFonts w:eastAsia="Times New Roman" w:cs="Arial"/>
          <w:color w:val="000000"/>
          <w:lang w:val="en-US"/>
        </w:rPr>
        <w:t xml:space="preserve">mg </w:t>
      </w:r>
      <w:r w:rsidRPr="001D4818">
        <w:rPr>
          <w:rFonts w:eastAsia="Times New Roman" w:cs="Arial"/>
          <w:color w:val="000000"/>
          <w:lang w:eastAsia="bg-BG"/>
        </w:rPr>
        <w:t xml:space="preserve">до 800 </w:t>
      </w:r>
      <w:r w:rsidRPr="001D4818">
        <w:rPr>
          <w:rFonts w:eastAsia="Times New Roman" w:cs="Arial"/>
          <w:color w:val="000000"/>
          <w:lang w:val="en-US"/>
        </w:rPr>
        <w:t xml:space="preserve">mg </w:t>
      </w:r>
      <w:r w:rsidRPr="001D4818">
        <w:rPr>
          <w:rFonts w:eastAsia="Times New Roman" w:cs="Arial"/>
          <w:color w:val="000000"/>
          <w:lang w:eastAsia="bg-BG"/>
        </w:rPr>
        <w:t>3 пъти дневно в продължение на 5-10 дни.</w:t>
      </w:r>
    </w:p>
    <w:p w14:paraId="36C9583E" w14:textId="77777777" w:rsidR="001D4818" w:rsidRPr="001D4818" w:rsidRDefault="001D4818" w:rsidP="001D4818">
      <w:pPr>
        <w:spacing w:line="240" w:lineRule="auto"/>
        <w:rPr>
          <w:rFonts w:eastAsia="Times New Roman" w:cs="Arial"/>
          <w:i/>
          <w:iCs/>
          <w:color w:val="000000"/>
          <w:lang w:eastAsia="bg-BG"/>
        </w:rPr>
      </w:pPr>
    </w:p>
    <w:p w14:paraId="683F12FE" w14:textId="5F9A1FF8" w:rsidR="001D4818" w:rsidRPr="001D4818" w:rsidRDefault="001D4818" w:rsidP="001D4818">
      <w:pPr>
        <w:spacing w:line="240" w:lineRule="auto"/>
        <w:rPr>
          <w:rFonts w:eastAsia="Times New Roman" w:cs="Arial"/>
          <w:lang w:eastAsia="bg-BG"/>
        </w:rPr>
      </w:pPr>
      <w:r w:rsidRPr="001D4818">
        <w:rPr>
          <w:rFonts w:eastAsia="Times New Roman" w:cs="Arial"/>
          <w:i/>
          <w:iCs/>
          <w:color w:val="000000"/>
          <w:lang w:eastAsia="bg-BG"/>
        </w:rPr>
        <w:t>Педиатрична популация</w:t>
      </w:r>
    </w:p>
    <w:p w14:paraId="0C163E46" w14:textId="77777777" w:rsidR="001D4818" w:rsidRPr="001D4818" w:rsidRDefault="001D4818" w:rsidP="001D4818">
      <w:pPr>
        <w:spacing w:line="240" w:lineRule="auto"/>
        <w:rPr>
          <w:rFonts w:eastAsia="Times New Roman" w:cs="Arial"/>
          <w:i/>
          <w:iCs/>
          <w:color w:val="000000"/>
          <w:u w:val="single"/>
          <w:lang w:eastAsia="bg-BG"/>
        </w:rPr>
      </w:pPr>
    </w:p>
    <w:p w14:paraId="56C89155" w14:textId="654B129F" w:rsidR="001D4818" w:rsidRPr="001D4818" w:rsidRDefault="001D4818" w:rsidP="001D4818">
      <w:pPr>
        <w:spacing w:line="240" w:lineRule="auto"/>
        <w:rPr>
          <w:rFonts w:eastAsia="Times New Roman" w:cs="Arial"/>
          <w:lang w:eastAsia="bg-BG"/>
        </w:rPr>
      </w:pPr>
      <w:r w:rsidRPr="001D4818">
        <w:rPr>
          <w:rFonts w:eastAsia="Times New Roman" w:cs="Arial"/>
          <w:i/>
          <w:iCs/>
          <w:color w:val="000000"/>
          <w:u w:val="single"/>
          <w:lang w:eastAsia="bg-BG"/>
        </w:rPr>
        <w:t>Лечение на анаеробни инфекиии</w:t>
      </w:r>
    </w:p>
    <w:p w14:paraId="677C5BC5" w14:textId="77777777" w:rsidR="001D4818" w:rsidRPr="001D4818" w:rsidRDefault="001D4818" w:rsidP="001D4818">
      <w:pPr>
        <w:spacing w:line="240" w:lineRule="auto"/>
        <w:rPr>
          <w:rFonts w:eastAsia="Times New Roman" w:cs="Arial"/>
          <w:lang w:eastAsia="bg-BG"/>
        </w:rPr>
      </w:pPr>
      <w:r w:rsidRPr="001D4818">
        <w:rPr>
          <w:rFonts w:eastAsia="Times New Roman" w:cs="Arial"/>
          <w:color w:val="000000"/>
          <w:lang w:eastAsia="bg-BG"/>
        </w:rPr>
        <w:t xml:space="preserve">Деца на възраст над 8 седмици до 12 години: Обичайната дневна доза е 20-30 </w:t>
      </w:r>
      <w:r w:rsidRPr="001D4818">
        <w:rPr>
          <w:rFonts w:eastAsia="Times New Roman" w:cs="Arial"/>
          <w:color w:val="000000"/>
          <w:lang w:val="en-US"/>
        </w:rPr>
        <w:t>mg/kg</w:t>
      </w:r>
      <w:r w:rsidRPr="001D4818">
        <w:rPr>
          <w:rFonts w:eastAsia="Times New Roman" w:cs="Arial"/>
          <w:color w:val="000000"/>
          <w:lang w:eastAsia="bg-BG"/>
        </w:rPr>
        <w:t xml:space="preserve">/ден като еднократна дневна доза или разделена на 7,5 </w:t>
      </w:r>
      <w:r w:rsidRPr="001D4818">
        <w:rPr>
          <w:rFonts w:eastAsia="Times New Roman" w:cs="Arial"/>
          <w:color w:val="000000"/>
          <w:lang w:val="en-US"/>
        </w:rPr>
        <w:t xml:space="preserve">mg/kg </w:t>
      </w:r>
      <w:r w:rsidRPr="001D4818">
        <w:rPr>
          <w:rFonts w:eastAsia="Times New Roman" w:cs="Arial"/>
          <w:color w:val="000000"/>
          <w:lang w:eastAsia="bg-BG"/>
        </w:rPr>
        <w:t xml:space="preserve">на всеки 8 часа. Дневната доза може да бъде увеличена до 40 </w:t>
      </w:r>
      <w:r w:rsidRPr="001D4818">
        <w:rPr>
          <w:rFonts w:eastAsia="Times New Roman" w:cs="Arial"/>
          <w:color w:val="000000"/>
          <w:lang w:val="en-US"/>
        </w:rPr>
        <w:t xml:space="preserve">mg/kg, </w:t>
      </w:r>
      <w:r w:rsidRPr="001D4818">
        <w:rPr>
          <w:rFonts w:eastAsia="Times New Roman" w:cs="Arial"/>
          <w:color w:val="000000"/>
          <w:lang w:eastAsia="bg-BG"/>
        </w:rPr>
        <w:t>в зависимост от тежестта на инфекцията. Продължителността на лечението обикновено е 7 дни.</w:t>
      </w:r>
    </w:p>
    <w:p w14:paraId="0EB3B70F" w14:textId="77777777" w:rsidR="001D4818" w:rsidRPr="001D4818" w:rsidRDefault="001D4818" w:rsidP="001D4818">
      <w:pPr>
        <w:spacing w:line="240" w:lineRule="auto"/>
        <w:rPr>
          <w:rFonts w:eastAsia="Times New Roman" w:cs="Arial"/>
          <w:color w:val="000000"/>
          <w:lang w:eastAsia="bg-BG"/>
        </w:rPr>
      </w:pPr>
    </w:p>
    <w:p w14:paraId="28D97201" w14:textId="4C5FB51B" w:rsidR="001D4818" w:rsidRPr="001D4818" w:rsidRDefault="001D4818" w:rsidP="001D4818">
      <w:pPr>
        <w:spacing w:line="240" w:lineRule="auto"/>
        <w:rPr>
          <w:rFonts w:eastAsia="Times New Roman" w:cs="Arial"/>
          <w:lang w:eastAsia="bg-BG"/>
        </w:rPr>
      </w:pPr>
      <w:r w:rsidRPr="001D4818">
        <w:rPr>
          <w:rFonts w:eastAsia="Times New Roman" w:cs="Arial"/>
          <w:color w:val="000000"/>
          <w:lang w:eastAsia="bg-BG"/>
        </w:rPr>
        <w:t xml:space="preserve">Деца на възраст под 8 седмици: 15 </w:t>
      </w:r>
      <w:r w:rsidRPr="001D4818">
        <w:rPr>
          <w:rFonts w:eastAsia="Times New Roman" w:cs="Arial"/>
          <w:color w:val="000000"/>
          <w:lang w:val="en-US"/>
        </w:rPr>
        <w:t xml:space="preserve">mg/kg </w:t>
      </w:r>
      <w:r w:rsidRPr="001D4818">
        <w:rPr>
          <w:rFonts w:eastAsia="Times New Roman" w:cs="Arial"/>
          <w:color w:val="000000"/>
          <w:lang w:eastAsia="bg-BG"/>
        </w:rPr>
        <w:t xml:space="preserve">като еднократна дневна доза или разделена на 7,5 </w:t>
      </w:r>
      <w:r w:rsidRPr="001D4818">
        <w:rPr>
          <w:rFonts w:eastAsia="Times New Roman" w:cs="Arial"/>
          <w:color w:val="000000"/>
          <w:lang w:val="en-US"/>
        </w:rPr>
        <w:t xml:space="preserve">mg/kg </w:t>
      </w:r>
      <w:r w:rsidRPr="001D4818">
        <w:rPr>
          <w:rFonts w:eastAsia="Times New Roman" w:cs="Arial"/>
          <w:color w:val="000000"/>
          <w:lang w:eastAsia="bg-BG"/>
        </w:rPr>
        <w:t>на всеки 12 часа.</w:t>
      </w:r>
    </w:p>
    <w:p w14:paraId="38F7573F" w14:textId="77777777" w:rsidR="001D4818" w:rsidRPr="001D4818" w:rsidRDefault="001D4818" w:rsidP="001D4818">
      <w:pPr>
        <w:spacing w:line="240" w:lineRule="auto"/>
        <w:rPr>
          <w:rFonts w:eastAsia="Times New Roman" w:cs="Arial"/>
          <w:lang w:eastAsia="bg-BG"/>
        </w:rPr>
      </w:pPr>
      <w:r w:rsidRPr="001D4818">
        <w:rPr>
          <w:rFonts w:eastAsia="Times New Roman" w:cs="Arial"/>
          <w:color w:val="000000"/>
          <w:lang w:eastAsia="bg-BG"/>
        </w:rPr>
        <w:t>При новородени с гестационна възраст &lt;40 седмици, може да настъпи натрупване на метронидазол през първата седмица от живота, поради което концентрациите на метронидазол в серума трябва да се мониторират след няколко дни на лечение.</w:t>
      </w:r>
    </w:p>
    <w:p w14:paraId="6D018943" w14:textId="77777777" w:rsidR="001D4818" w:rsidRPr="001D4818" w:rsidRDefault="001D4818" w:rsidP="001D4818">
      <w:pPr>
        <w:spacing w:line="240" w:lineRule="auto"/>
        <w:rPr>
          <w:rFonts w:eastAsia="Times New Roman" w:cs="Arial"/>
          <w:i/>
          <w:iCs/>
          <w:color w:val="000000"/>
          <w:u w:val="single"/>
          <w:lang w:eastAsia="bg-BG"/>
        </w:rPr>
      </w:pPr>
    </w:p>
    <w:p w14:paraId="03DADF49" w14:textId="1F8283A8" w:rsidR="001D4818" w:rsidRPr="001D4818" w:rsidRDefault="001D4818" w:rsidP="001D4818">
      <w:pPr>
        <w:spacing w:line="240" w:lineRule="auto"/>
        <w:rPr>
          <w:rFonts w:eastAsia="Times New Roman" w:cs="Arial"/>
          <w:lang w:eastAsia="bg-BG"/>
        </w:rPr>
      </w:pPr>
      <w:r w:rsidRPr="001D4818">
        <w:rPr>
          <w:rFonts w:eastAsia="Times New Roman" w:cs="Arial"/>
          <w:i/>
          <w:iCs/>
          <w:color w:val="000000"/>
          <w:u w:val="single"/>
          <w:lang w:eastAsia="bg-BG"/>
        </w:rPr>
        <w:t>Профилактика срещу следоперативни инфекиии, причинени от анаеробни бактерии</w:t>
      </w:r>
    </w:p>
    <w:p w14:paraId="7EB4AD5C" w14:textId="77777777" w:rsidR="001D4818" w:rsidRPr="001D4818" w:rsidRDefault="001D4818" w:rsidP="001D4818">
      <w:pPr>
        <w:spacing w:line="240" w:lineRule="auto"/>
        <w:rPr>
          <w:rFonts w:eastAsia="Times New Roman" w:cs="Arial"/>
          <w:lang w:eastAsia="bg-BG"/>
        </w:rPr>
      </w:pPr>
      <w:r w:rsidRPr="001D4818">
        <w:rPr>
          <w:rFonts w:eastAsia="Times New Roman" w:cs="Arial"/>
          <w:color w:val="000000"/>
          <w:lang w:eastAsia="bg-BG"/>
        </w:rPr>
        <w:t xml:space="preserve">Деца на възраст под 12 години: 20-30 </w:t>
      </w:r>
      <w:r w:rsidRPr="001D4818">
        <w:rPr>
          <w:rFonts w:eastAsia="Times New Roman" w:cs="Arial"/>
          <w:color w:val="000000"/>
          <w:lang w:val="en-US"/>
        </w:rPr>
        <w:t xml:space="preserve">mg/kg </w:t>
      </w:r>
      <w:r w:rsidRPr="001D4818">
        <w:rPr>
          <w:rFonts w:eastAsia="Times New Roman" w:cs="Arial"/>
          <w:color w:val="000000"/>
          <w:lang w:eastAsia="bg-BG"/>
        </w:rPr>
        <w:t>като еднократна доза, дадена 1-2 часа преди операцията.</w:t>
      </w:r>
    </w:p>
    <w:p w14:paraId="746BAB50" w14:textId="77777777" w:rsidR="001D4818" w:rsidRPr="001D4818" w:rsidRDefault="001D4818" w:rsidP="001D4818">
      <w:pPr>
        <w:spacing w:line="240" w:lineRule="auto"/>
        <w:rPr>
          <w:rFonts w:eastAsia="Times New Roman" w:cs="Arial"/>
          <w:lang w:eastAsia="bg-BG"/>
        </w:rPr>
      </w:pPr>
      <w:r w:rsidRPr="001D4818">
        <w:rPr>
          <w:rFonts w:eastAsia="Times New Roman" w:cs="Arial"/>
          <w:color w:val="000000"/>
          <w:lang w:eastAsia="bg-BG"/>
        </w:rPr>
        <w:t xml:space="preserve">Новородени с гестационна възраст &lt;40 седмици: 10 </w:t>
      </w:r>
      <w:r w:rsidRPr="001D4818">
        <w:rPr>
          <w:rFonts w:eastAsia="Times New Roman" w:cs="Arial"/>
          <w:color w:val="000000"/>
          <w:lang w:val="en-US"/>
        </w:rPr>
        <w:t xml:space="preserve">mg/kg </w:t>
      </w:r>
      <w:r w:rsidRPr="001D4818">
        <w:rPr>
          <w:rFonts w:eastAsia="Times New Roman" w:cs="Arial"/>
          <w:color w:val="000000"/>
          <w:lang w:eastAsia="bg-BG"/>
        </w:rPr>
        <w:t>телесно тегло като еднократна доза преди операцията.</w:t>
      </w:r>
    </w:p>
    <w:p w14:paraId="4C64641B" w14:textId="77777777" w:rsidR="001D4818" w:rsidRPr="001D4818" w:rsidRDefault="001D4818" w:rsidP="001D4818">
      <w:pPr>
        <w:spacing w:line="240" w:lineRule="auto"/>
        <w:rPr>
          <w:rFonts w:eastAsia="Times New Roman" w:cs="Arial"/>
          <w:i/>
          <w:iCs/>
          <w:color w:val="000000"/>
          <w:u w:val="single"/>
          <w:lang w:eastAsia="bg-BG"/>
        </w:rPr>
      </w:pPr>
    </w:p>
    <w:p w14:paraId="619816DE" w14:textId="6EFBC93F" w:rsidR="001D4818" w:rsidRPr="001D4818" w:rsidRDefault="001D4818" w:rsidP="001D4818">
      <w:pPr>
        <w:spacing w:line="240" w:lineRule="auto"/>
        <w:rPr>
          <w:rFonts w:eastAsia="Times New Roman" w:cs="Arial"/>
          <w:lang w:eastAsia="bg-BG"/>
        </w:rPr>
      </w:pPr>
      <w:r w:rsidRPr="001D4818">
        <w:rPr>
          <w:rFonts w:eastAsia="Times New Roman" w:cs="Arial"/>
          <w:i/>
          <w:iCs/>
          <w:color w:val="000000"/>
          <w:u w:val="single"/>
          <w:lang w:eastAsia="bg-BG"/>
        </w:rPr>
        <w:t>Урогенитална трихомониаза</w:t>
      </w:r>
    </w:p>
    <w:p w14:paraId="22B237C3" w14:textId="77777777" w:rsidR="001D4818" w:rsidRPr="001D4818" w:rsidRDefault="001D4818" w:rsidP="001D4818">
      <w:pPr>
        <w:spacing w:line="240" w:lineRule="auto"/>
        <w:rPr>
          <w:rFonts w:eastAsia="Times New Roman" w:cs="Arial"/>
          <w:lang w:eastAsia="bg-BG"/>
        </w:rPr>
      </w:pPr>
      <w:r w:rsidRPr="001D4818">
        <w:rPr>
          <w:rFonts w:eastAsia="Times New Roman" w:cs="Arial"/>
          <w:color w:val="000000"/>
          <w:lang w:eastAsia="bg-BG"/>
        </w:rPr>
        <w:lastRenderedPageBreak/>
        <w:t xml:space="preserve">Деца на възраст под 10 години: 40 </w:t>
      </w:r>
      <w:r w:rsidRPr="001D4818">
        <w:rPr>
          <w:rFonts w:eastAsia="Times New Roman" w:cs="Arial"/>
          <w:color w:val="000000"/>
          <w:lang w:val="en-US"/>
        </w:rPr>
        <w:t xml:space="preserve">mg/kg </w:t>
      </w:r>
      <w:r w:rsidRPr="001D4818">
        <w:rPr>
          <w:rFonts w:eastAsia="Times New Roman" w:cs="Arial"/>
          <w:color w:val="000000"/>
          <w:lang w:eastAsia="bg-BG"/>
        </w:rPr>
        <w:t xml:space="preserve">перорално като еднократна дневна доза или 15- 30 </w:t>
      </w:r>
      <w:r w:rsidRPr="001D4818">
        <w:rPr>
          <w:rFonts w:eastAsia="Times New Roman" w:cs="Arial"/>
          <w:color w:val="000000"/>
          <w:lang w:val="en-US"/>
        </w:rPr>
        <w:t>mg/kg</w:t>
      </w:r>
      <w:r w:rsidRPr="001D4818">
        <w:rPr>
          <w:rFonts w:eastAsia="Times New Roman" w:cs="Arial"/>
          <w:color w:val="000000"/>
          <w:lang w:eastAsia="bg-BG"/>
        </w:rPr>
        <w:t xml:space="preserve">/ден, разделени на 2-3 приложения, в продължение на 7 дни; да не се надвишава приложение от 2 000 </w:t>
      </w:r>
      <w:r w:rsidRPr="001D4818">
        <w:rPr>
          <w:rFonts w:eastAsia="Times New Roman" w:cs="Arial"/>
          <w:color w:val="000000"/>
          <w:lang w:val="en-US"/>
        </w:rPr>
        <w:t>mg</w:t>
      </w:r>
      <w:r w:rsidRPr="001D4818">
        <w:rPr>
          <w:rFonts w:eastAsia="Times New Roman" w:cs="Arial"/>
          <w:color w:val="000000"/>
          <w:lang w:eastAsia="bg-BG"/>
        </w:rPr>
        <w:t>/доза.</w:t>
      </w:r>
    </w:p>
    <w:p w14:paraId="280CDA0C" w14:textId="77777777" w:rsidR="001D4818" w:rsidRPr="001D4818" w:rsidRDefault="001D4818" w:rsidP="001D4818">
      <w:pPr>
        <w:spacing w:line="240" w:lineRule="auto"/>
        <w:rPr>
          <w:rFonts w:eastAsia="Times New Roman" w:cs="Arial"/>
          <w:i/>
          <w:iCs/>
          <w:color w:val="000000"/>
          <w:u w:val="single"/>
          <w:lang w:eastAsia="bg-BG"/>
        </w:rPr>
      </w:pPr>
    </w:p>
    <w:p w14:paraId="2A120A02" w14:textId="42614124" w:rsidR="001D4818" w:rsidRPr="001D4818" w:rsidRDefault="001D4818" w:rsidP="001D4818">
      <w:pPr>
        <w:spacing w:line="240" w:lineRule="auto"/>
        <w:rPr>
          <w:rFonts w:eastAsia="Times New Roman" w:cs="Arial"/>
          <w:lang w:eastAsia="bg-BG"/>
        </w:rPr>
      </w:pPr>
      <w:r w:rsidRPr="001D4818">
        <w:rPr>
          <w:rFonts w:eastAsia="Times New Roman" w:cs="Arial"/>
          <w:i/>
          <w:iCs/>
          <w:color w:val="000000"/>
          <w:u w:val="single"/>
          <w:lang w:eastAsia="bg-BG"/>
        </w:rPr>
        <w:t>Гиардиаза</w:t>
      </w:r>
    </w:p>
    <w:p w14:paraId="1116C439" w14:textId="77777777" w:rsidR="001D4818" w:rsidRPr="001D4818" w:rsidRDefault="001D4818" w:rsidP="001D4818">
      <w:pPr>
        <w:spacing w:line="240" w:lineRule="auto"/>
        <w:rPr>
          <w:rFonts w:eastAsia="Times New Roman" w:cs="Arial"/>
          <w:lang w:eastAsia="bg-BG"/>
        </w:rPr>
      </w:pPr>
      <w:r w:rsidRPr="001D4818">
        <w:rPr>
          <w:rFonts w:eastAsia="Times New Roman" w:cs="Arial"/>
          <w:color w:val="000000"/>
          <w:lang w:eastAsia="bg-BG"/>
        </w:rPr>
        <w:t xml:space="preserve">Деца на възраст от 7 до 10 години: 1 000 </w:t>
      </w:r>
      <w:r w:rsidRPr="001D4818">
        <w:rPr>
          <w:rFonts w:eastAsia="Times New Roman" w:cs="Arial"/>
          <w:color w:val="000000"/>
          <w:lang w:val="en-US"/>
        </w:rPr>
        <w:t xml:space="preserve">mg </w:t>
      </w:r>
      <w:r w:rsidRPr="001D4818">
        <w:rPr>
          <w:rFonts w:eastAsia="Times New Roman" w:cs="Arial"/>
          <w:color w:val="000000"/>
          <w:lang w:eastAsia="bg-BG"/>
        </w:rPr>
        <w:t>еднократно дневно в продължение на 3 дни</w:t>
      </w:r>
    </w:p>
    <w:p w14:paraId="31727BDA" w14:textId="77777777" w:rsidR="001D4818" w:rsidRPr="001D4818" w:rsidRDefault="001D4818" w:rsidP="001D4818">
      <w:pPr>
        <w:spacing w:line="240" w:lineRule="auto"/>
        <w:rPr>
          <w:rFonts w:eastAsia="Times New Roman" w:cs="Arial"/>
          <w:lang w:eastAsia="bg-BG"/>
        </w:rPr>
      </w:pPr>
      <w:r w:rsidRPr="001D4818">
        <w:rPr>
          <w:rFonts w:eastAsia="Times New Roman" w:cs="Arial"/>
          <w:color w:val="000000"/>
          <w:lang w:eastAsia="bg-BG"/>
        </w:rPr>
        <w:t xml:space="preserve">Деца на възраст от 3 до 7 години: 600 до 800 </w:t>
      </w:r>
      <w:r w:rsidRPr="001D4818">
        <w:rPr>
          <w:rFonts w:eastAsia="Times New Roman" w:cs="Arial"/>
          <w:color w:val="000000"/>
          <w:lang w:val="en-US"/>
        </w:rPr>
        <w:t xml:space="preserve">mg </w:t>
      </w:r>
      <w:r w:rsidRPr="001D4818">
        <w:rPr>
          <w:rFonts w:eastAsia="Times New Roman" w:cs="Arial"/>
          <w:color w:val="000000"/>
          <w:lang w:eastAsia="bg-BG"/>
        </w:rPr>
        <w:t>еднократно дневно в продължение на 3 дни</w:t>
      </w:r>
    </w:p>
    <w:p w14:paraId="10061611" w14:textId="77777777" w:rsidR="001D4818" w:rsidRPr="001D4818" w:rsidRDefault="001D4818" w:rsidP="001D4818">
      <w:pPr>
        <w:spacing w:line="240" w:lineRule="auto"/>
        <w:rPr>
          <w:rFonts w:eastAsia="Times New Roman" w:cs="Arial"/>
          <w:lang w:eastAsia="bg-BG"/>
        </w:rPr>
      </w:pPr>
      <w:r w:rsidRPr="001D4818">
        <w:rPr>
          <w:rFonts w:eastAsia="Times New Roman" w:cs="Arial"/>
          <w:color w:val="000000"/>
          <w:lang w:eastAsia="bg-BG"/>
        </w:rPr>
        <w:t xml:space="preserve">Деца на възраст от 1 до 3 години: 500 </w:t>
      </w:r>
      <w:r w:rsidRPr="001D4818">
        <w:rPr>
          <w:rFonts w:eastAsia="Times New Roman" w:cs="Arial"/>
          <w:color w:val="000000"/>
          <w:lang w:val="en-US"/>
        </w:rPr>
        <w:t xml:space="preserve">mg </w:t>
      </w:r>
      <w:r w:rsidRPr="001D4818">
        <w:rPr>
          <w:rFonts w:eastAsia="Times New Roman" w:cs="Arial"/>
          <w:color w:val="000000"/>
          <w:lang w:eastAsia="bg-BG"/>
        </w:rPr>
        <w:t>еднократно дневно в продължение на 3 дни</w:t>
      </w:r>
    </w:p>
    <w:p w14:paraId="547A5E54" w14:textId="77777777" w:rsidR="001D4818" w:rsidRPr="001D4818" w:rsidRDefault="001D4818" w:rsidP="001D4818">
      <w:pPr>
        <w:spacing w:line="240" w:lineRule="auto"/>
        <w:rPr>
          <w:rFonts w:eastAsia="Times New Roman" w:cs="Arial"/>
          <w:color w:val="000000"/>
          <w:lang w:eastAsia="bg-BG"/>
        </w:rPr>
      </w:pPr>
    </w:p>
    <w:p w14:paraId="07D3AE56" w14:textId="77777777" w:rsidR="001D4818" w:rsidRPr="001D4818" w:rsidRDefault="001D4818" w:rsidP="001D4818">
      <w:pPr>
        <w:spacing w:line="240" w:lineRule="auto"/>
        <w:rPr>
          <w:rFonts w:eastAsia="Times New Roman" w:cs="Arial"/>
          <w:color w:val="000000"/>
          <w:lang w:eastAsia="bg-BG"/>
        </w:rPr>
      </w:pPr>
      <w:r w:rsidRPr="001D4818">
        <w:rPr>
          <w:rFonts w:eastAsia="Times New Roman" w:cs="Arial"/>
          <w:color w:val="000000"/>
          <w:lang w:eastAsia="bg-BG"/>
        </w:rPr>
        <w:t xml:space="preserve">Алтернативно, изразено в </w:t>
      </w:r>
      <w:r w:rsidRPr="001D4818">
        <w:rPr>
          <w:rFonts w:eastAsia="Times New Roman" w:cs="Arial"/>
          <w:color w:val="000000"/>
          <w:lang w:val="en-US"/>
        </w:rPr>
        <w:t xml:space="preserve">mg </w:t>
      </w:r>
      <w:r w:rsidRPr="001D4818">
        <w:rPr>
          <w:rFonts w:eastAsia="Times New Roman" w:cs="Arial"/>
          <w:color w:val="000000"/>
          <w:lang w:eastAsia="bg-BG"/>
        </w:rPr>
        <w:t xml:space="preserve">на </w:t>
      </w:r>
      <w:r w:rsidRPr="001D4818">
        <w:rPr>
          <w:rFonts w:eastAsia="Times New Roman" w:cs="Arial"/>
          <w:color w:val="000000"/>
          <w:lang w:val="en-US"/>
        </w:rPr>
        <w:t xml:space="preserve">kg </w:t>
      </w:r>
      <w:r w:rsidRPr="001D4818">
        <w:rPr>
          <w:rFonts w:eastAsia="Times New Roman" w:cs="Arial"/>
          <w:color w:val="000000"/>
          <w:lang w:eastAsia="bg-BG"/>
        </w:rPr>
        <w:t xml:space="preserve">телесно тегло: </w:t>
      </w:r>
    </w:p>
    <w:p w14:paraId="548942AC" w14:textId="758198E6" w:rsidR="001D4818" w:rsidRPr="001D4818" w:rsidRDefault="001D4818" w:rsidP="001D4818">
      <w:pPr>
        <w:spacing w:line="240" w:lineRule="auto"/>
        <w:rPr>
          <w:rFonts w:eastAsia="Times New Roman" w:cs="Arial"/>
          <w:lang w:eastAsia="bg-BG"/>
        </w:rPr>
      </w:pPr>
      <w:r w:rsidRPr="001D4818">
        <w:rPr>
          <w:rFonts w:eastAsia="Times New Roman" w:cs="Arial"/>
          <w:color w:val="000000"/>
          <w:lang w:eastAsia="bg-BG"/>
        </w:rPr>
        <w:t xml:space="preserve">15-40 </w:t>
      </w:r>
      <w:r w:rsidRPr="001D4818">
        <w:rPr>
          <w:rFonts w:eastAsia="Times New Roman" w:cs="Arial"/>
          <w:color w:val="000000"/>
          <w:lang w:val="en-US"/>
        </w:rPr>
        <w:t>mg/kg</w:t>
      </w:r>
      <w:r w:rsidRPr="001D4818">
        <w:rPr>
          <w:rFonts w:eastAsia="Times New Roman" w:cs="Arial"/>
          <w:color w:val="000000"/>
          <w:lang w:eastAsia="bg-BG"/>
        </w:rPr>
        <w:t>/ден, разделени на 2-3 дози.</w:t>
      </w:r>
    </w:p>
    <w:p w14:paraId="2CBE601F" w14:textId="77777777" w:rsidR="001D4818" w:rsidRPr="001D4818" w:rsidRDefault="001D4818" w:rsidP="001D4818">
      <w:pPr>
        <w:spacing w:line="240" w:lineRule="auto"/>
        <w:rPr>
          <w:rFonts w:eastAsia="Times New Roman" w:cs="Arial"/>
          <w:i/>
          <w:iCs/>
          <w:strike/>
          <w:color w:val="000000"/>
          <w:lang w:eastAsia="bg-BG"/>
        </w:rPr>
      </w:pPr>
    </w:p>
    <w:p w14:paraId="30CF98AD" w14:textId="1015BB48" w:rsidR="001D4818" w:rsidRPr="001D4818" w:rsidRDefault="001D4818" w:rsidP="001D4818">
      <w:pPr>
        <w:spacing w:line="240" w:lineRule="auto"/>
        <w:rPr>
          <w:rFonts w:eastAsia="Times New Roman" w:cs="Arial"/>
          <w:lang w:eastAsia="bg-BG"/>
        </w:rPr>
      </w:pPr>
      <w:r w:rsidRPr="001D4818">
        <w:rPr>
          <w:rFonts w:eastAsia="Times New Roman" w:cs="Arial"/>
          <w:i/>
          <w:iCs/>
          <w:color w:val="000000"/>
          <w:lang w:eastAsia="bg-BG"/>
        </w:rPr>
        <w:t>Амебиаза:</w:t>
      </w:r>
    </w:p>
    <w:p w14:paraId="2720F6AC" w14:textId="77777777" w:rsidR="001D4818" w:rsidRPr="001D4818" w:rsidRDefault="001D4818" w:rsidP="001D4818">
      <w:pPr>
        <w:spacing w:line="240" w:lineRule="auto"/>
        <w:rPr>
          <w:rFonts w:eastAsia="Times New Roman" w:cs="Arial"/>
          <w:lang w:eastAsia="bg-BG"/>
        </w:rPr>
      </w:pPr>
      <w:r w:rsidRPr="001D4818">
        <w:rPr>
          <w:rFonts w:eastAsia="Times New Roman" w:cs="Arial"/>
          <w:color w:val="000000"/>
          <w:lang w:eastAsia="bg-BG"/>
        </w:rPr>
        <w:t xml:space="preserve">Деца на възраст от 7 до 10 години: 200 </w:t>
      </w:r>
      <w:r w:rsidRPr="001D4818">
        <w:rPr>
          <w:rFonts w:eastAsia="Times New Roman" w:cs="Arial"/>
          <w:color w:val="000000"/>
          <w:lang w:val="en-US"/>
        </w:rPr>
        <w:t xml:space="preserve">mg </w:t>
      </w:r>
      <w:r w:rsidRPr="001D4818">
        <w:rPr>
          <w:rFonts w:eastAsia="Times New Roman" w:cs="Arial"/>
          <w:color w:val="000000"/>
          <w:lang w:eastAsia="bg-BG"/>
        </w:rPr>
        <w:t xml:space="preserve">до 400 </w:t>
      </w:r>
      <w:r w:rsidRPr="001D4818">
        <w:rPr>
          <w:rFonts w:eastAsia="Times New Roman" w:cs="Arial"/>
          <w:color w:val="000000"/>
          <w:lang w:val="en-US"/>
        </w:rPr>
        <w:t xml:space="preserve">mg </w:t>
      </w:r>
      <w:r w:rsidRPr="001D4818">
        <w:rPr>
          <w:rFonts w:eastAsia="Times New Roman" w:cs="Arial"/>
          <w:color w:val="000000"/>
          <w:lang w:eastAsia="bg-BG"/>
        </w:rPr>
        <w:t>3 пъти дневно в продължение на 5-10</w:t>
      </w:r>
      <w:r w:rsidRPr="001D4818">
        <w:rPr>
          <w:rFonts w:eastAsia="Times New Roman" w:cs="Arial"/>
          <w:color w:val="000000"/>
          <w:lang w:val="en-US"/>
        </w:rPr>
        <w:t xml:space="preserve"> </w:t>
      </w:r>
      <w:r w:rsidRPr="001D4818">
        <w:rPr>
          <w:rFonts w:eastAsia="Times New Roman" w:cs="Arial"/>
          <w:color w:val="000000"/>
          <w:lang w:eastAsia="bg-BG"/>
        </w:rPr>
        <w:t xml:space="preserve">дни Деца на възраст от 3 до 7 години: 100 </w:t>
      </w:r>
      <w:r w:rsidRPr="001D4818">
        <w:rPr>
          <w:rFonts w:eastAsia="Times New Roman" w:cs="Arial"/>
          <w:color w:val="000000"/>
          <w:lang w:val="en-US"/>
        </w:rPr>
        <w:t xml:space="preserve">mg </w:t>
      </w:r>
      <w:r w:rsidRPr="001D4818">
        <w:rPr>
          <w:rFonts w:eastAsia="Times New Roman" w:cs="Arial"/>
          <w:color w:val="000000"/>
          <w:lang w:eastAsia="bg-BG"/>
        </w:rPr>
        <w:t xml:space="preserve">до 200 </w:t>
      </w:r>
      <w:r w:rsidRPr="001D4818">
        <w:rPr>
          <w:rFonts w:eastAsia="Times New Roman" w:cs="Arial"/>
          <w:color w:val="000000"/>
          <w:lang w:val="en-US"/>
        </w:rPr>
        <w:t xml:space="preserve">mg </w:t>
      </w:r>
      <w:r w:rsidRPr="001D4818">
        <w:rPr>
          <w:rFonts w:eastAsia="Times New Roman" w:cs="Arial"/>
          <w:color w:val="000000"/>
          <w:lang w:eastAsia="bg-BG"/>
        </w:rPr>
        <w:t>4 пъти дневно в продължение на 5-10 дни</w:t>
      </w:r>
    </w:p>
    <w:p w14:paraId="36A3E573" w14:textId="77777777" w:rsidR="001D4818" w:rsidRPr="001D4818" w:rsidRDefault="001D4818" w:rsidP="001D4818">
      <w:pPr>
        <w:spacing w:line="240" w:lineRule="auto"/>
        <w:rPr>
          <w:rFonts w:eastAsia="Times New Roman" w:cs="Arial"/>
          <w:lang w:eastAsia="bg-BG"/>
        </w:rPr>
      </w:pPr>
      <w:r w:rsidRPr="001D4818">
        <w:rPr>
          <w:rFonts w:eastAsia="Times New Roman" w:cs="Arial"/>
          <w:color w:val="000000"/>
          <w:lang w:eastAsia="bg-BG"/>
        </w:rPr>
        <w:t xml:space="preserve">Деца на възраст от 1 до 3 години: 100 </w:t>
      </w:r>
      <w:r w:rsidRPr="001D4818">
        <w:rPr>
          <w:rFonts w:eastAsia="Times New Roman" w:cs="Arial"/>
          <w:color w:val="000000"/>
          <w:lang w:val="en-US"/>
        </w:rPr>
        <w:t xml:space="preserve">mg </w:t>
      </w:r>
      <w:r w:rsidRPr="001D4818">
        <w:rPr>
          <w:rFonts w:eastAsia="Times New Roman" w:cs="Arial"/>
          <w:color w:val="000000"/>
          <w:lang w:eastAsia="bg-BG"/>
        </w:rPr>
        <w:t xml:space="preserve">до 200 </w:t>
      </w:r>
      <w:r w:rsidRPr="001D4818">
        <w:rPr>
          <w:rFonts w:eastAsia="Times New Roman" w:cs="Arial"/>
          <w:color w:val="000000"/>
          <w:lang w:val="en-US"/>
        </w:rPr>
        <w:t xml:space="preserve">mg </w:t>
      </w:r>
      <w:r w:rsidRPr="001D4818">
        <w:rPr>
          <w:rFonts w:eastAsia="Times New Roman" w:cs="Arial"/>
          <w:color w:val="000000"/>
          <w:lang w:eastAsia="bg-BG"/>
        </w:rPr>
        <w:t>3 пъти дневно в продължение на 5-10 дни</w:t>
      </w:r>
    </w:p>
    <w:p w14:paraId="004FEA47" w14:textId="77777777" w:rsidR="001D4818" w:rsidRPr="001D4818" w:rsidRDefault="001D4818" w:rsidP="001D4818">
      <w:pPr>
        <w:spacing w:line="240" w:lineRule="auto"/>
        <w:rPr>
          <w:rFonts w:eastAsia="Times New Roman" w:cs="Arial"/>
          <w:color w:val="000000"/>
          <w:lang w:eastAsia="bg-BG"/>
        </w:rPr>
      </w:pPr>
    </w:p>
    <w:p w14:paraId="5E327927" w14:textId="77777777" w:rsidR="001D4818" w:rsidRPr="001D4818" w:rsidRDefault="001D4818" w:rsidP="001D4818">
      <w:pPr>
        <w:rPr>
          <w:rFonts w:eastAsia="Times New Roman" w:cs="Arial"/>
          <w:lang w:eastAsia="bg-BG"/>
        </w:rPr>
      </w:pPr>
      <w:r w:rsidRPr="001D4818">
        <w:rPr>
          <w:rFonts w:eastAsia="Times New Roman" w:cs="Arial"/>
          <w:color w:val="000000"/>
          <w:lang w:eastAsia="bg-BG"/>
        </w:rPr>
        <w:t xml:space="preserve">Алтернативно, изразено в </w:t>
      </w:r>
      <w:r w:rsidRPr="001D4818">
        <w:rPr>
          <w:rFonts w:eastAsia="Times New Roman" w:cs="Arial"/>
          <w:color w:val="000000"/>
          <w:lang w:val="en-US"/>
        </w:rPr>
        <w:t xml:space="preserve">mg </w:t>
      </w:r>
      <w:r w:rsidRPr="001D4818">
        <w:rPr>
          <w:rFonts w:eastAsia="Times New Roman" w:cs="Arial"/>
          <w:color w:val="000000"/>
          <w:lang w:eastAsia="bg-BG"/>
        </w:rPr>
        <w:t xml:space="preserve">на </w:t>
      </w:r>
      <w:r w:rsidRPr="001D4818">
        <w:rPr>
          <w:rFonts w:eastAsia="Times New Roman" w:cs="Arial"/>
          <w:color w:val="000000"/>
          <w:lang w:val="en-US"/>
        </w:rPr>
        <w:t xml:space="preserve">kg </w:t>
      </w:r>
      <w:r w:rsidRPr="001D4818">
        <w:rPr>
          <w:rFonts w:eastAsia="Times New Roman" w:cs="Arial"/>
          <w:color w:val="000000"/>
          <w:lang w:eastAsia="bg-BG"/>
        </w:rPr>
        <w:t xml:space="preserve">телесно тегло 35-50 </w:t>
      </w:r>
      <w:r w:rsidRPr="001D4818">
        <w:rPr>
          <w:rFonts w:eastAsia="Times New Roman" w:cs="Arial"/>
          <w:color w:val="000000"/>
          <w:lang w:val="en-US"/>
        </w:rPr>
        <w:t>mg/kg</w:t>
      </w:r>
      <w:r w:rsidRPr="001D4818">
        <w:rPr>
          <w:rFonts w:eastAsia="Times New Roman" w:cs="Arial"/>
          <w:color w:val="000000"/>
          <w:lang w:eastAsia="bg-BG"/>
        </w:rPr>
        <w:t>/ден, разделени в 3 дози в продължение на 5 до 10 дни, да не се надвишава</w:t>
      </w:r>
      <w:r w:rsidRPr="001D4818">
        <w:rPr>
          <w:rFonts w:eastAsia="Times New Roman" w:cs="Arial"/>
          <w:color w:val="000000"/>
          <w:lang w:eastAsia="bg-BG"/>
        </w:rPr>
        <w:t xml:space="preserve"> </w:t>
      </w:r>
      <w:r w:rsidRPr="001D4818">
        <w:rPr>
          <w:rFonts w:eastAsia="Times New Roman" w:cs="Arial"/>
          <w:color w:val="000000"/>
          <w:lang w:eastAsia="bg-BG"/>
        </w:rPr>
        <w:t xml:space="preserve">максимална дневна доза от 2 400 </w:t>
      </w:r>
      <w:r w:rsidRPr="001D4818">
        <w:rPr>
          <w:rFonts w:eastAsia="Times New Roman" w:cs="Arial"/>
          <w:color w:val="000000"/>
          <w:lang w:val="en-US"/>
        </w:rPr>
        <w:t>mg.</w:t>
      </w:r>
    </w:p>
    <w:p w14:paraId="670AE083" w14:textId="77777777" w:rsidR="001D4818" w:rsidRPr="001D4818" w:rsidRDefault="001D4818" w:rsidP="001D4818">
      <w:pPr>
        <w:spacing w:line="240" w:lineRule="auto"/>
        <w:rPr>
          <w:rFonts w:eastAsia="Times New Roman" w:cs="Arial"/>
          <w:i/>
          <w:iCs/>
          <w:color w:val="000000"/>
          <w:u w:val="single"/>
          <w:lang w:eastAsia="bg-BG"/>
        </w:rPr>
      </w:pPr>
    </w:p>
    <w:p w14:paraId="515EBDDC" w14:textId="1E2E088E" w:rsidR="001D4818" w:rsidRPr="001D4818" w:rsidRDefault="001D4818" w:rsidP="001D4818">
      <w:pPr>
        <w:spacing w:line="240" w:lineRule="auto"/>
        <w:rPr>
          <w:rFonts w:eastAsia="Times New Roman" w:cs="Arial"/>
          <w:lang w:eastAsia="bg-BG"/>
        </w:rPr>
      </w:pPr>
      <w:r w:rsidRPr="001D4818">
        <w:rPr>
          <w:rFonts w:eastAsia="Times New Roman" w:cs="Arial"/>
          <w:i/>
          <w:iCs/>
          <w:color w:val="000000"/>
          <w:u w:val="single"/>
          <w:lang w:eastAsia="bg-BG"/>
        </w:rPr>
        <w:t xml:space="preserve">Ерадикиране на </w:t>
      </w:r>
      <w:r w:rsidRPr="001D4818">
        <w:rPr>
          <w:rFonts w:eastAsia="Times New Roman" w:cs="Arial"/>
          <w:i/>
          <w:iCs/>
          <w:color w:val="000000"/>
          <w:u w:val="single"/>
          <w:lang w:val="en-US"/>
        </w:rPr>
        <w:t xml:space="preserve">Helicobacter pylori </w:t>
      </w:r>
      <w:r w:rsidRPr="001D4818">
        <w:rPr>
          <w:rFonts w:eastAsia="Times New Roman" w:cs="Arial"/>
          <w:i/>
          <w:iCs/>
          <w:color w:val="000000"/>
          <w:u w:val="single"/>
          <w:lang w:eastAsia="bg-BG"/>
        </w:rPr>
        <w:t>при педиатрични пациенти</w:t>
      </w:r>
    </w:p>
    <w:p w14:paraId="3AA681F4" w14:textId="77777777" w:rsidR="001D4818" w:rsidRPr="001D4818" w:rsidRDefault="001D4818" w:rsidP="001D4818">
      <w:pPr>
        <w:spacing w:line="240" w:lineRule="auto"/>
        <w:rPr>
          <w:rFonts w:eastAsia="Times New Roman" w:cs="Arial"/>
          <w:lang w:eastAsia="bg-BG"/>
        </w:rPr>
      </w:pPr>
      <w:r w:rsidRPr="001D4818">
        <w:rPr>
          <w:rFonts w:eastAsia="Times New Roman" w:cs="Arial"/>
          <w:color w:val="000000"/>
          <w:lang w:eastAsia="bg-BG"/>
        </w:rPr>
        <w:t xml:space="preserve">Като част от комбинирана терапия, 20 </w:t>
      </w:r>
      <w:r w:rsidRPr="001D4818">
        <w:rPr>
          <w:rFonts w:eastAsia="Times New Roman" w:cs="Arial"/>
          <w:color w:val="000000"/>
          <w:lang w:val="en-US"/>
        </w:rPr>
        <w:t>mg/kg</w:t>
      </w:r>
      <w:r w:rsidRPr="001D4818">
        <w:rPr>
          <w:rFonts w:eastAsia="Times New Roman" w:cs="Arial"/>
          <w:color w:val="000000"/>
          <w:lang w:eastAsia="bg-BG"/>
        </w:rPr>
        <w:t xml:space="preserve">/ден, да не се надвишава доза от 500 </w:t>
      </w:r>
      <w:r w:rsidRPr="001D4818">
        <w:rPr>
          <w:rFonts w:eastAsia="Times New Roman" w:cs="Arial"/>
          <w:color w:val="000000"/>
          <w:lang w:val="en-US"/>
        </w:rPr>
        <w:t xml:space="preserve">mg </w:t>
      </w:r>
      <w:r w:rsidRPr="001D4818">
        <w:rPr>
          <w:rFonts w:eastAsia="Times New Roman" w:cs="Arial"/>
          <w:color w:val="000000"/>
          <w:lang w:eastAsia="bg-BG"/>
        </w:rPr>
        <w:t>два пъти дневно, в продължение на 7-14 дни. Преди започване на терапия трябва да се консултирате с официалните препоръки за терапия.</w:t>
      </w:r>
    </w:p>
    <w:p w14:paraId="5A999427" w14:textId="77777777" w:rsidR="001D4818" w:rsidRPr="001D4818" w:rsidRDefault="001D4818" w:rsidP="001D4818">
      <w:pPr>
        <w:spacing w:line="240" w:lineRule="auto"/>
        <w:rPr>
          <w:rFonts w:eastAsia="Times New Roman" w:cs="Arial"/>
          <w:i/>
          <w:iCs/>
          <w:color w:val="000000"/>
          <w:lang w:eastAsia="bg-BG"/>
        </w:rPr>
      </w:pPr>
    </w:p>
    <w:p w14:paraId="20D45019" w14:textId="2753F2E2" w:rsidR="001D4818" w:rsidRPr="001D4818" w:rsidRDefault="001D4818" w:rsidP="001D4818">
      <w:pPr>
        <w:spacing w:line="240" w:lineRule="auto"/>
        <w:rPr>
          <w:rFonts w:eastAsia="Times New Roman" w:cs="Arial"/>
          <w:lang w:eastAsia="bg-BG"/>
        </w:rPr>
      </w:pPr>
      <w:r w:rsidRPr="001D4818">
        <w:rPr>
          <w:rFonts w:eastAsia="Times New Roman" w:cs="Arial"/>
          <w:i/>
          <w:iCs/>
          <w:color w:val="000000"/>
          <w:lang w:eastAsia="bg-BG"/>
        </w:rPr>
        <w:t>Старческа възраст</w:t>
      </w:r>
    </w:p>
    <w:p w14:paraId="0C119C7D" w14:textId="77777777" w:rsidR="001D4818" w:rsidRPr="001D4818" w:rsidRDefault="001D4818" w:rsidP="001D4818">
      <w:pPr>
        <w:spacing w:line="240" w:lineRule="auto"/>
        <w:rPr>
          <w:rFonts w:eastAsia="Times New Roman" w:cs="Arial"/>
          <w:lang w:eastAsia="bg-BG"/>
        </w:rPr>
      </w:pPr>
      <w:r w:rsidRPr="001D4818">
        <w:rPr>
          <w:rFonts w:eastAsia="Times New Roman" w:cs="Arial"/>
          <w:color w:val="000000"/>
          <w:lang w:eastAsia="bg-BG"/>
        </w:rPr>
        <w:t>Препоръчва се повишено внимание, особено при високи дози.</w:t>
      </w:r>
    </w:p>
    <w:p w14:paraId="1AAD0CE0" w14:textId="77777777" w:rsidR="001D4818" w:rsidRPr="001D4818" w:rsidRDefault="001D4818" w:rsidP="001D4818">
      <w:pPr>
        <w:spacing w:line="240" w:lineRule="auto"/>
        <w:rPr>
          <w:rFonts w:eastAsia="Times New Roman" w:cs="Arial"/>
          <w:lang w:eastAsia="bg-BG"/>
        </w:rPr>
      </w:pPr>
      <w:r w:rsidRPr="001D4818">
        <w:rPr>
          <w:rFonts w:eastAsia="Times New Roman" w:cs="Arial"/>
          <w:color w:val="000000"/>
          <w:lang w:eastAsia="bg-BG"/>
        </w:rPr>
        <w:t>Няма налична информация за необходимост от коригиране на дозата.</w:t>
      </w:r>
    </w:p>
    <w:p w14:paraId="2A368437" w14:textId="77777777" w:rsidR="001D4818" w:rsidRPr="001D4818" w:rsidRDefault="001D4818" w:rsidP="001D4818">
      <w:pPr>
        <w:spacing w:line="240" w:lineRule="auto"/>
        <w:rPr>
          <w:rFonts w:eastAsia="Times New Roman" w:cs="Arial"/>
          <w:i/>
          <w:iCs/>
          <w:color w:val="000000"/>
          <w:lang w:eastAsia="bg-BG"/>
        </w:rPr>
      </w:pPr>
    </w:p>
    <w:p w14:paraId="7BD3C051" w14:textId="50D58405" w:rsidR="001D4818" w:rsidRPr="001D4818" w:rsidRDefault="001D4818" w:rsidP="001D4818">
      <w:pPr>
        <w:spacing w:line="240" w:lineRule="auto"/>
        <w:rPr>
          <w:rFonts w:eastAsia="Times New Roman" w:cs="Arial"/>
          <w:lang w:eastAsia="bg-BG"/>
        </w:rPr>
      </w:pPr>
      <w:r w:rsidRPr="001D4818">
        <w:rPr>
          <w:rFonts w:eastAsia="Times New Roman" w:cs="Arial"/>
          <w:i/>
          <w:iCs/>
          <w:color w:val="000000"/>
          <w:lang w:eastAsia="bg-BG"/>
        </w:rPr>
        <w:t>Бъбречна недостатъчност</w:t>
      </w:r>
    </w:p>
    <w:p w14:paraId="0585E68E" w14:textId="77777777" w:rsidR="001D4818" w:rsidRPr="001D4818" w:rsidRDefault="001D4818" w:rsidP="001D4818">
      <w:pPr>
        <w:spacing w:line="240" w:lineRule="auto"/>
        <w:rPr>
          <w:rFonts w:eastAsia="Times New Roman" w:cs="Arial"/>
          <w:lang w:eastAsia="bg-BG"/>
        </w:rPr>
      </w:pPr>
      <w:r w:rsidRPr="001D4818">
        <w:rPr>
          <w:rFonts w:eastAsia="Times New Roman" w:cs="Arial"/>
          <w:color w:val="000000"/>
          <w:lang w:eastAsia="bg-BG"/>
        </w:rPr>
        <w:t>Не е необходимо коригиране на дозата при пациенти с бъбречно увреждане.</w:t>
      </w:r>
    </w:p>
    <w:p w14:paraId="7CEA8443" w14:textId="77777777" w:rsidR="001D4818" w:rsidRPr="001D4818" w:rsidRDefault="001D4818" w:rsidP="001D4818">
      <w:pPr>
        <w:spacing w:line="240" w:lineRule="auto"/>
        <w:rPr>
          <w:rFonts w:eastAsia="Times New Roman" w:cs="Arial"/>
          <w:lang w:eastAsia="bg-BG"/>
        </w:rPr>
      </w:pPr>
      <w:r w:rsidRPr="001D4818">
        <w:rPr>
          <w:rFonts w:eastAsia="Times New Roman" w:cs="Arial"/>
          <w:color w:val="000000"/>
          <w:lang w:eastAsia="bg-BG"/>
        </w:rPr>
        <w:t>Метронидазол се отстранява по време на хемодиализа и трябва да се приложи след приключване на процедурата.</w:t>
      </w:r>
    </w:p>
    <w:p w14:paraId="72EEAF8E" w14:textId="77777777" w:rsidR="001D4818" w:rsidRPr="001D4818" w:rsidRDefault="001D4818" w:rsidP="001D4818">
      <w:pPr>
        <w:spacing w:line="240" w:lineRule="auto"/>
        <w:rPr>
          <w:rFonts w:eastAsia="Times New Roman" w:cs="Arial"/>
          <w:i/>
          <w:iCs/>
          <w:color w:val="000000"/>
          <w:lang w:eastAsia="bg-BG"/>
        </w:rPr>
      </w:pPr>
    </w:p>
    <w:p w14:paraId="4BE104C3" w14:textId="087B0800" w:rsidR="001D4818" w:rsidRPr="001D4818" w:rsidRDefault="001D4818" w:rsidP="001D4818">
      <w:pPr>
        <w:spacing w:line="240" w:lineRule="auto"/>
        <w:rPr>
          <w:rFonts w:eastAsia="Times New Roman" w:cs="Arial"/>
          <w:lang w:eastAsia="bg-BG"/>
        </w:rPr>
      </w:pPr>
      <w:r w:rsidRPr="001D4818">
        <w:rPr>
          <w:rFonts w:eastAsia="Times New Roman" w:cs="Arial"/>
          <w:i/>
          <w:iCs/>
          <w:color w:val="000000"/>
          <w:lang w:eastAsia="bg-BG"/>
        </w:rPr>
        <w:t>Тежко чернодробно увреждане</w:t>
      </w:r>
    </w:p>
    <w:p w14:paraId="12808196" w14:textId="77777777" w:rsidR="001D4818" w:rsidRPr="001D4818" w:rsidRDefault="001D4818" w:rsidP="001D4818">
      <w:pPr>
        <w:spacing w:line="240" w:lineRule="auto"/>
        <w:rPr>
          <w:rFonts w:eastAsia="Times New Roman" w:cs="Arial"/>
          <w:lang w:eastAsia="bg-BG"/>
        </w:rPr>
      </w:pPr>
      <w:r w:rsidRPr="001D4818">
        <w:rPr>
          <w:rFonts w:eastAsia="Times New Roman" w:cs="Arial"/>
          <w:color w:val="000000"/>
          <w:lang w:eastAsia="bg-BG"/>
        </w:rPr>
        <w:t>При пациенти с тежко чернодробно увреждане е необходимо намаляване на дозата с проследяване на нивото на серума.</w:t>
      </w:r>
    </w:p>
    <w:p w14:paraId="0FB28C84" w14:textId="77777777" w:rsidR="001D4818" w:rsidRPr="001D4818" w:rsidRDefault="001D4818" w:rsidP="001D4818">
      <w:pPr>
        <w:spacing w:line="240" w:lineRule="auto"/>
        <w:rPr>
          <w:rFonts w:eastAsia="Times New Roman" w:cs="Arial"/>
          <w:color w:val="000000"/>
          <w:u w:val="single"/>
          <w:lang w:eastAsia="bg-BG"/>
        </w:rPr>
      </w:pPr>
    </w:p>
    <w:p w14:paraId="66F81BAD" w14:textId="49D1C655" w:rsidR="001D4818" w:rsidRPr="001D4818" w:rsidRDefault="001D4818" w:rsidP="001D4818">
      <w:pPr>
        <w:spacing w:line="240" w:lineRule="auto"/>
        <w:rPr>
          <w:rFonts w:eastAsia="Times New Roman" w:cs="Arial"/>
          <w:lang w:eastAsia="bg-BG"/>
        </w:rPr>
      </w:pPr>
      <w:r w:rsidRPr="001D4818">
        <w:rPr>
          <w:rFonts w:eastAsia="Times New Roman" w:cs="Arial"/>
          <w:color w:val="000000"/>
          <w:u w:val="single"/>
          <w:lang w:eastAsia="bg-BG"/>
        </w:rPr>
        <w:t>Начин на приложение</w:t>
      </w:r>
    </w:p>
    <w:p w14:paraId="574AA0ED" w14:textId="77777777" w:rsidR="001D4818" w:rsidRPr="001D4818" w:rsidRDefault="001D4818" w:rsidP="001D4818">
      <w:pPr>
        <w:spacing w:line="240" w:lineRule="auto"/>
        <w:rPr>
          <w:rFonts w:eastAsia="Times New Roman" w:cs="Arial"/>
          <w:lang w:eastAsia="bg-BG"/>
        </w:rPr>
      </w:pPr>
      <w:r w:rsidRPr="001D4818">
        <w:rPr>
          <w:rFonts w:eastAsia="Times New Roman" w:cs="Arial"/>
          <w:color w:val="000000"/>
          <w:lang w:eastAsia="bg-BG"/>
        </w:rPr>
        <w:t>Лечението обикновено започва с интермитентна или продължителна бавна интравенозна инфузия. При първа възможност лечението трябва да продължи с таблетки.</w:t>
      </w:r>
    </w:p>
    <w:p w14:paraId="5EDD9DF8" w14:textId="77777777" w:rsidR="001D4818" w:rsidRPr="001D4818" w:rsidRDefault="001D4818" w:rsidP="001D4818">
      <w:pPr>
        <w:spacing w:line="240" w:lineRule="auto"/>
        <w:rPr>
          <w:rFonts w:eastAsia="Times New Roman" w:cs="Arial"/>
          <w:i/>
          <w:iCs/>
          <w:color w:val="000000"/>
          <w:lang w:eastAsia="bg-BG"/>
        </w:rPr>
      </w:pPr>
    </w:p>
    <w:p w14:paraId="650C7F35" w14:textId="4FC54B11" w:rsidR="001D4818" w:rsidRPr="001D4818" w:rsidRDefault="001D4818" w:rsidP="001D4818">
      <w:pPr>
        <w:spacing w:line="240" w:lineRule="auto"/>
        <w:rPr>
          <w:rFonts w:eastAsia="Times New Roman" w:cs="Arial"/>
          <w:lang w:eastAsia="bg-BG"/>
        </w:rPr>
      </w:pPr>
      <w:r w:rsidRPr="001D4818">
        <w:rPr>
          <w:rFonts w:eastAsia="Times New Roman" w:cs="Arial"/>
          <w:i/>
          <w:iCs/>
          <w:color w:val="000000"/>
          <w:lang w:eastAsia="bg-BG"/>
        </w:rPr>
        <w:t>Предпазни мерки при работа или приложението на лекарствения продукт</w:t>
      </w:r>
    </w:p>
    <w:p w14:paraId="54206E26" w14:textId="77777777" w:rsidR="001D4818" w:rsidRPr="001D4818" w:rsidRDefault="001D4818" w:rsidP="001D4818">
      <w:pPr>
        <w:spacing w:line="240" w:lineRule="auto"/>
        <w:rPr>
          <w:rFonts w:eastAsia="Times New Roman" w:cs="Arial"/>
          <w:color w:val="000000"/>
          <w:lang w:eastAsia="bg-BG"/>
        </w:rPr>
      </w:pPr>
    </w:p>
    <w:p w14:paraId="2B790FAA" w14:textId="55B321B1" w:rsidR="001D4818" w:rsidRPr="001D4818" w:rsidRDefault="001D4818" w:rsidP="001D4818">
      <w:pPr>
        <w:spacing w:line="240" w:lineRule="auto"/>
        <w:rPr>
          <w:rFonts w:eastAsia="Times New Roman" w:cs="Arial"/>
          <w:lang w:eastAsia="bg-BG"/>
        </w:rPr>
      </w:pPr>
      <w:r w:rsidRPr="001D4818">
        <w:rPr>
          <w:rFonts w:eastAsia="Times New Roman" w:cs="Arial"/>
          <w:color w:val="000000"/>
          <w:lang w:eastAsia="bg-BG"/>
        </w:rPr>
        <w:t>Към инфузионния разтвор с метронидазол не трябва да се прибавят други вещества. Освен това, той не трябва да се прилага едновременно с други инфузионни разтвори.</w:t>
      </w:r>
    </w:p>
    <w:p w14:paraId="28D02F4B" w14:textId="77777777" w:rsidR="001D4818" w:rsidRPr="001D4818" w:rsidRDefault="001D4818" w:rsidP="001D4818">
      <w:pPr>
        <w:spacing w:line="240" w:lineRule="auto"/>
        <w:rPr>
          <w:rFonts w:eastAsia="Times New Roman" w:cs="Arial"/>
          <w:color w:val="000000"/>
          <w:lang w:eastAsia="bg-BG"/>
        </w:rPr>
      </w:pPr>
    </w:p>
    <w:p w14:paraId="5E5AA673" w14:textId="77022847" w:rsidR="001D4818" w:rsidRPr="001D4818" w:rsidRDefault="001D4818" w:rsidP="001D4818">
      <w:pPr>
        <w:spacing w:line="240" w:lineRule="auto"/>
        <w:rPr>
          <w:rFonts w:eastAsia="Times New Roman" w:cs="Arial"/>
          <w:lang w:eastAsia="bg-BG"/>
        </w:rPr>
      </w:pPr>
      <w:r w:rsidRPr="001D4818">
        <w:rPr>
          <w:rFonts w:eastAsia="Times New Roman" w:cs="Arial"/>
          <w:color w:val="000000"/>
          <w:lang w:eastAsia="bg-BG"/>
        </w:rPr>
        <w:lastRenderedPageBreak/>
        <w:t>За инструкциите за разреждане на лекарствения продукт преди прилагане, вижте точка 6.6.</w:t>
      </w:r>
    </w:p>
    <w:p w14:paraId="199E132D" w14:textId="77777777" w:rsidR="001D4818" w:rsidRPr="001D4818" w:rsidRDefault="001D4818" w:rsidP="001D4818"/>
    <w:p w14:paraId="5D9E65DA" w14:textId="006B82A2" w:rsidR="009F77A4" w:rsidRDefault="002C50EE" w:rsidP="00387A66">
      <w:pPr>
        <w:pStyle w:val="Heading2"/>
      </w:pPr>
      <w:r>
        <w:t>4.3. Противопоказания</w:t>
      </w:r>
    </w:p>
    <w:p w14:paraId="377F4064" w14:textId="27D6175E" w:rsidR="001D4818" w:rsidRDefault="001D4818" w:rsidP="001D4818"/>
    <w:p w14:paraId="6487BBCA" w14:textId="77777777" w:rsidR="001D4818" w:rsidRPr="001D4818" w:rsidRDefault="001D4818" w:rsidP="001D4818">
      <w:pPr>
        <w:rPr>
          <w:sz w:val="24"/>
          <w:szCs w:val="24"/>
          <w:lang w:eastAsia="bg-BG"/>
        </w:rPr>
      </w:pPr>
      <w:r w:rsidRPr="001D4818">
        <w:rPr>
          <w:lang w:eastAsia="bg-BG"/>
        </w:rPr>
        <w:t>Свръхчувствителност към метронидазол, други лекарства със сходна химическа структура (нитроимидазоли) или към някое от помощните вещества, изброени в точка 6.1. Лекарственият продукт не трябва да се прилага при болни, свръхчувствителни към някоя от другите съставки на лекарството.</w:t>
      </w:r>
    </w:p>
    <w:p w14:paraId="463C303D" w14:textId="77777777" w:rsidR="001D4818" w:rsidRPr="001D4818" w:rsidRDefault="001D4818" w:rsidP="001D4818">
      <w:pPr>
        <w:rPr>
          <w:sz w:val="24"/>
          <w:szCs w:val="24"/>
          <w:lang w:eastAsia="bg-BG"/>
        </w:rPr>
      </w:pPr>
      <w:r w:rsidRPr="001D4818">
        <w:rPr>
          <w:lang w:eastAsia="bg-BG"/>
        </w:rPr>
        <w:t>Метронидазол трябва да се използва с повишено внимание при пациенти с активни или хронични тежки заболявалия на периферната и централната нервна система поради риск от неврологично увреждане.</w:t>
      </w:r>
    </w:p>
    <w:p w14:paraId="5B4B4AB0" w14:textId="0600669C" w:rsidR="001D4818" w:rsidRDefault="001D4818" w:rsidP="001D4818">
      <w:pPr>
        <w:rPr>
          <w:lang w:eastAsia="bg-BG"/>
        </w:rPr>
      </w:pPr>
      <w:r w:rsidRPr="001D4818">
        <w:rPr>
          <w:lang w:eastAsia="bg-BG"/>
        </w:rPr>
        <w:t>Приложението на лекарствения продукт през първото тримесечие на бременността е противопоказано; по-късно то може да се прилага само ако ползата за майката надхвърля риска за плода. Кърменето също трябва да се преустанови по време на лечение с метронидазол.</w:t>
      </w:r>
    </w:p>
    <w:p w14:paraId="586D27D7" w14:textId="77777777" w:rsidR="001D4818" w:rsidRPr="001D4818" w:rsidRDefault="001D4818" w:rsidP="001D4818"/>
    <w:p w14:paraId="1C27CE53" w14:textId="7E35510D" w:rsidR="009F77A4" w:rsidRDefault="002C50EE" w:rsidP="00387A66">
      <w:pPr>
        <w:pStyle w:val="Heading2"/>
      </w:pPr>
      <w:r>
        <w:t>4.4. Специални предупреждения и предпазни мерки при употреба</w:t>
      </w:r>
    </w:p>
    <w:p w14:paraId="5E736AB7" w14:textId="0CD1C63A" w:rsidR="001D4818" w:rsidRDefault="001D4818" w:rsidP="001D4818"/>
    <w:p w14:paraId="60583387" w14:textId="77777777" w:rsidR="001D4818" w:rsidRPr="001D4818" w:rsidRDefault="001D4818" w:rsidP="001D4818">
      <w:pPr>
        <w:spacing w:line="240" w:lineRule="auto"/>
        <w:rPr>
          <w:rFonts w:eastAsia="Times New Roman" w:cs="Arial"/>
          <w:sz w:val="28"/>
          <w:szCs w:val="28"/>
          <w:lang w:eastAsia="bg-BG"/>
        </w:rPr>
      </w:pPr>
      <w:r w:rsidRPr="001D4818">
        <w:rPr>
          <w:rFonts w:eastAsia="Times New Roman" w:cs="Arial"/>
          <w:i/>
          <w:iCs/>
          <w:color w:val="000000"/>
          <w:lang w:eastAsia="bg-BG"/>
        </w:rPr>
        <w:t>Чернодробно увреждане</w:t>
      </w:r>
    </w:p>
    <w:p w14:paraId="32BD9E0E" w14:textId="77777777"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lang w:eastAsia="bg-BG"/>
        </w:rPr>
        <w:t>Метронидазол се метаболизира главно чрез чернодробно окисление. При пациенти с тежко чернодробно увреждане метронидазол трябва да се прилага внимателно, тъй като забавеният метаболизъм води до повишени плазмени концентрации на метронидазол и неговите метаболити. Получените високи плазмени концентрации на метронидазол могат да допринесат за влошаване на симптомите на енцефалопатия. Следователно, метронидазол трябва да се прилага с повишено внимание при пациенти с чернодробна снцефалопатия. Дневната доза трябва да бъде намалена до една трета и може да се прилага веднъж дневно</w:t>
      </w:r>
    </w:p>
    <w:p w14:paraId="334D6668" w14:textId="77777777" w:rsidR="001D4818" w:rsidRPr="001D4818" w:rsidRDefault="001D4818" w:rsidP="001D4818">
      <w:pPr>
        <w:spacing w:line="240" w:lineRule="auto"/>
        <w:rPr>
          <w:rFonts w:eastAsia="Times New Roman" w:cs="Arial"/>
          <w:color w:val="000000"/>
          <w:lang w:eastAsia="bg-BG"/>
        </w:rPr>
      </w:pPr>
    </w:p>
    <w:p w14:paraId="6014F244" w14:textId="77777777" w:rsidR="001D4818" w:rsidRPr="001D4818" w:rsidRDefault="001D4818" w:rsidP="001D4818">
      <w:pPr>
        <w:rPr>
          <w:rFonts w:eastAsia="Times New Roman" w:cs="Arial"/>
          <w:sz w:val="28"/>
          <w:szCs w:val="28"/>
          <w:lang w:eastAsia="bg-BG"/>
        </w:rPr>
      </w:pPr>
      <w:r w:rsidRPr="001D4818">
        <w:rPr>
          <w:rFonts w:eastAsia="Times New Roman" w:cs="Arial"/>
          <w:color w:val="000000"/>
          <w:lang w:eastAsia="bg-BG"/>
        </w:rPr>
        <w:t>Докладвани са случаи на тежка хепатотоксичност/остра чернодробна недостатъчност,</w:t>
      </w:r>
      <w:r w:rsidRPr="001D4818">
        <w:rPr>
          <w:rFonts w:eastAsia="Times New Roman" w:cs="Arial"/>
          <w:color w:val="000000"/>
          <w:lang w:eastAsia="bg-BG"/>
        </w:rPr>
        <w:t xml:space="preserve"> </w:t>
      </w:r>
      <w:r w:rsidRPr="001D4818">
        <w:rPr>
          <w:rFonts w:eastAsia="Times New Roman" w:cs="Arial"/>
          <w:color w:val="000000"/>
          <w:lang w:eastAsia="bg-BG"/>
        </w:rPr>
        <w:t xml:space="preserve">включително и случаи с фатален изход, с много бързо начало след започване на лечението при пациенти със синдром на </w:t>
      </w:r>
      <w:r w:rsidRPr="001D4818">
        <w:rPr>
          <w:rFonts w:eastAsia="Times New Roman" w:cs="Arial"/>
          <w:color w:val="000000"/>
          <w:lang w:val="en-US"/>
        </w:rPr>
        <w:t xml:space="preserve">Cockayne </w:t>
      </w:r>
      <w:r w:rsidRPr="001D4818">
        <w:rPr>
          <w:rFonts w:eastAsia="Times New Roman" w:cs="Arial"/>
          <w:color w:val="000000"/>
          <w:lang w:eastAsia="bg-BG"/>
        </w:rPr>
        <w:t>при лечение с продукти, съдържащи метронидазол за системна употреба. В тази група от населението, метронидазол следва да бъде използван след внимателна преценка на съотношението полза-риск и само ако няма алтернативно лечение. Изследвания на чернодробната функция трябва да се извършва непосредствено преди началото на терапията, през цялото време и след края на лечението, докато функцията на черния дроб е в рамките на нормалните стойности, или докато не бъдат достигнати стойности на изходно ниво. Ако резултатите от тестовете на функциите на черния дроб са значително повишени по време на лечението, приемът на лекарството трябва да се преустанови.</w:t>
      </w:r>
    </w:p>
    <w:p w14:paraId="1E9EFECF" w14:textId="77777777"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lang w:eastAsia="bg-BG"/>
        </w:rPr>
        <w:t xml:space="preserve">Пациентите със синдром на </w:t>
      </w:r>
      <w:r w:rsidRPr="001D4818">
        <w:rPr>
          <w:rFonts w:eastAsia="Times New Roman" w:cs="Arial"/>
          <w:color w:val="000000"/>
          <w:lang w:val="en-US"/>
        </w:rPr>
        <w:t xml:space="preserve">Cockayne </w:t>
      </w:r>
      <w:r w:rsidRPr="001D4818">
        <w:rPr>
          <w:rFonts w:eastAsia="Times New Roman" w:cs="Arial"/>
          <w:color w:val="000000"/>
          <w:lang w:eastAsia="bg-BG"/>
        </w:rPr>
        <w:t>трябва да бъдат посъветвани да съобщават на своя лекар незабавно всички симптоми на потенциално увреждане на черния дроб и да спрат приема на метронидазол.</w:t>
      </w:r>
    </w:p>
    <w:p w14:paraId="0F4DF0BD" w14:textId="77777777" w:rsidR="001D4818" w:rsidRPr="001D4818" w:rsidRDefault="001D4818" w:rsidP="001D4818">
      <w:pPr>
        <w:spacing w:line="240" w:lineRule="auto"/>
        <w:rPr>
          <w:rFonts w:eastAsia="Times New Roman" w:cs="Arial"/>
          <w:i/>
          <w:iCs/>
          <w:color w:val="000000"/>
          <w:lang w:eastAsia="bg-BG"/>
        </w:rPr>
      </w:pPr>
    </w:p>
    <w:p w14:paraId="54A21873" w14:textId="6ECB7B81" w:rsidR="001D4818" w:rsidRPr="001D4818" w:rsidRDefault="001D4818" w:rsidP="001D4818">
      <w:pPr>
        <w:spacing w:line="240" w:lineRule="auto"/>
        <w:rPr>
          <w:rFonts w:eastAsia="Times New Roman" w:cs="Arial"/>
          <w:sz w:val="28"/>
          <w:szCs w:val="28"/>
          <w:lang w:eastAsia="bg-BG"/>
        </w:rPr>
      </w:pPr>
      <w:r w:rsidRPr="001D4818">
        <w:rPr>
          <w:rFonts w:eastAsia="Times New Roman" w:cs="Arial"/>
          <w:i/>
          <w:iCs/>
          <w:color w:val="000000"/>
          <w:lang w:eastAsia="bg-BG"/>
        </w:rPr>
        <w:t>Бъбречна недостатъчност</w:t>
      </w:r>
    </w:p>
    <w:p w14:paraId="6990D807" w14:textId="77777777"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lang w:eastAsia="bg-BG"/>
        </w:rPr>
        <w:t xml:space="preserve">Полу-животьт на елиминирането на метронидазол остава непроменен при наличие на бъбречна недостатъчност. Следователно дозата на метронидазол не се нуждае от </w:t>
      </w:r>
      <w:r w:rsidRPr="001D4818">
        <w:rPr>
          <w:rFonts w:eastAsia="Times New Roman" w:cs="Arial"/>
          <w:color w:val="000000"/>
          <w:lang w:eastAsia="bg-BG"/>
        </w:rPr>
        <w:lastRenderedPageBreak/>
        <w:t>намаляване. Такива пациенти обаче се задържат метаболитите на метронидазол. Клиничното значение на този факт не е известно към момента.</w:t>
      </w:r>
    </w:p>
    <w:p w14:paraId="74BC8617" w14:textId="77777777"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lang w:eastAsia="bg-BG"/>
        </w:rPr>
        <w:t>При пациенти, подложени на хемодиализа, метронидазол и неговите метаболити ефективно се отстраняват по време на осемчасов период на диализа. Следователно, метронидазол трябва да се прилага след хемодиализа.</w:t>
      </w:r>
    </w:p>
    <w:p w14:paraId="7F7122BA" w14:textId="77777777"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lang w:eastAsia="bg-BG"/>
        </w:rPr>
        <w:t xml:space="preserve">Не трябва да се прави рутинно коригиране на дозата на метронидазол при пациенти с бъбречна недостатъчност, подложени на периодична перитонеална диализа (ЮР) или продължителна амбулаторна перитонеална диализа </w:t>
      </w:r>
      <w:r w:rsidRPr="001D4818">
        <w:rPr>
          <w:rFonts w:eastAsia="Times New Roman" w:cs="Arial"/>
          <w:color w:val="000000"/>
          <w:lang w:val="en-US"/>
        </w:rPr>
        <w:t>(CAPD).</w:t>
      </w:r>
    </w:p>
    <w:p w14:paraId="2DD1734D" w14:textId="77777777" w:rsidR="001D4818" w:rsidRPr="001D4818" w:rsidRDefault="001D4818" w:rsidP="001D4818">
      <w:pPr>
        <w:spacing w:line="240" w:lineRule="auto"/>
        <w:rPr>
          <w:rFonts w:eastAsia="Times New Roman" w:cs="Arial"/>
          <w:i/>
          <w:iCs/>
          <w:color w:val="000000"/>
          <w:lang w:eastAsia="bg-BG"/>
        </w:rPr>
      </w:pPr>
    </w:p>
    <w:p w14:paraId="324E3BDF" w14:textId="3C19334A" w:rsidR="001D4818" w:rsidRPr="001D4818" w:rsidRDefault="001D4818" w:rsidP="001D4818">
      <w:pPr>
        <w:spacing w:line="240" w:lineRule="auto"/>
        <w:rPr>
          <w:rFonts w:eastAsia="Times New Roman" w:cs="Arial"/>
          <w:sz w:val="28"/>
          <w:szCs w:val="28"/>
          <w:lang w:eastAsia="bg-BG"/>
        </w:rPr>
      </w:pPr>
      <w:r w:rsidRPr="001D4818">
        <w:rPr>
          <w:rFonts w:eastAsia="Times New Roman" w:cs="Arial"/>
          <w:i/>
          <w:iCs/>
          <w:color w:val="000000"/>
          <w:lang w:eastAsia="bg-BG"/>
        </w:rPr>
        <w:t>Нарушения на централната нервна система</w:t>
      </w:r>
    </w:p>
    <w:p w14:paraId="7E5BAF0D" w14:textId="77777777"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lang w:eastAsia="bg-BG"/>
        </w:rPr>
        <w:t>Метронидазол трябва да се прилага с изключително внимание на пациенти с увреждане на костния мозък и активно или хронично увреждане на периферната или централната нервна система, поради риск от неврлогично увреждане, и при болни в старческа възраст.</w:t>
      </w:r>
    </w:p>
    <w:p w14:paraId="7A7BBA93" w14:textId="77777777" w:rsidR="001D4818" w:rsidRPr="001D4818" w:rsidRDefault="001D4818" w:rsidP="001D4818">
      <w:pPr>
        <w:spacing w:line="240" w:lineRule="auto"/>
        <w:rPr>
          <w:rFonts w:eastAsia="Times New Roman" w:cs="Arial"/>
          <w:i/>
          <w:iCs/>
          <w:color w:val="000000"/>
          <w:lang w:eastAsia="bg-BG"/>
        </w:rPr>
      </w:pPr>
    </w:p>
    <w:p w14:paraId="1E578C25" w14:textId="57412D82" w:rsidR="001D4818" w:rsidRPr="001D4818" w:rsidRDefault="001D4818" w:rsidP="001D4818">
      <w:pPr>
        <w:spacing w:line="240" w:lineRule="auto"/>
        <w:rPr>
          <w:rFonts w:eastAsia="Times New Roman" w:cs="Arial"/>
          <w:sz w:val="28"/>
          <w:szCs w:val="28"/>
          <w:lang w:eastAsia="bg-BG"/>
        </w:rPr>
      </w:pPr>
      <w:r w:rsidRPr="001D4818">
        <w:rPr>
          <w:rFonts w:eastAsia="Times New Roman" w:cs="Arial"/>
          <w:i/>
          <w:iCs/>
          <w:color w:val="000000"/>
          <w:lang w:eastAsia="bg-BG"/>
        </w:rPr>
        <w:t>Мониторинг</w:t>
      </w:r>
    </w:p>
    <w:p w14:paraId="1FA83C30" w14:textId="77777777"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lang w:eastAsia="bg-BG"/>
        </w:rPr>
        <w:t>При продължително лечение с метронидазол (над 10 дни) трябва да се проследяват кръвната картина и чернодробната функция. Ако е необходима продължителна терапия, лекарят трябва да има предвид възможността за възникване на периферна невропатия или левкопения. И двата ефекта обикновено са обратими. Препоръчва се хематологичните изследвания да се провеждат редовно и пациентите да бъдат проследявани за нежелани реакции, като периферна или централна невропатия (като парестезия, атаксия, замаяност, конвулсивни припадъци). Високите дозови режими са свързани с преходни епилептиформни пристъпи. Необходимо е повишено внимание при пациенти с активно заболяване на централната нервна система, с изключение на мозъчен абсцес.</w:t>
      </w:r>
    </w:p>
    <w:p w14:paraId="1419C1A0" w14:textId="77777777"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lang w:eastAsia="bg-BG"/>
        </w:rPr>
        <w:t>Интензивната или продължителна терапия с метронидазол трябва да се провежда само при стриктно наблюдение за клинични и биологични ефекти и под ръководство на специалист.</w:t>
      </w:r>
    </w:p>
    <w:p w14:paraId="7410D909" w14:textId="77777777" w:rsidR="001D4818" w:rsidRPr="001D4818" w:rsidRDefault="001D4818" w:rsidP="001D4818">
      <w:pPr>
        <w:spacing w:line="240" w:lineRule="auto"/>
        <w:rPr>
          <w:rFonts w:eastAsia="Times New Roman" w:cs="Arial"/>
          <w:i/>
          <w:iCs/>
          <w:color w:val="000000"/>
          <w:lang w:eastAsia="bg-BG"/>
        </w:rPr>
      </w:pPr>
    </w:p>
    <w:p w14:paraId="3B25D5D7" w14:textId="77B19E3F" w:rsidR="001D4818" w:rsidRPr="001D4818" w:rsidRDefault="001D4818" w:rsidP="001D4818">
      <w:pPr>
        <w:spacing w:line="240" w:lineRule="auto"/>
        <w:rPr>
          <w:rFonts w:eastAsia="Times New Roman" w:cs="Arial"/>
          <w:sz w:val="28"/>
          <w:szCs w:val="28"/>
          <w:lang w:eastAsia="bg-BG"/>
        </w:rPr>
      </w:pPr>
      <w:r w:rsidRPr="001D4818">
        <w:rPr>
          <w:rFonts w:eastAsia="Times New Roman" w:cs="Arial"/>
          <w:i/>
          <w:iCs/>
          <w:color w:val="000000"/>
          <w:lang w:eastAsia="bg-BG"/>
        </w:rPr>
        <w:t>Кожни реакции</w:t>
      </w:r>
    </w:p>
    <w:p w14:paraId="35897438" w14:textId="77777777"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lang w:eastAsia="bg-BG"/>
        </w:rPr>
        <w:t xml:space="preserve">Има съобщения за случаи на тежки булозни кожни реакции, понякога фатални, като синдром на </w:t>
      </w:r>
      <w:r w:rsidRPr="001D4818">
        <w:rPr>
          <w:rFonts w:eastAsia="Times New Roman" w:cs="Arial"/>
          <w:color w:val="000000"/>
          <w:lang w:val="en-US"/>
        </w:rPr>
        <w:t xml:space="preserve">Stevens-Johnson (SJS), </w:t>
      </w:r>
      <w:r w:rsidRPr="001D4818">
        <w:rPr>
          <w:rFonts w:eastAsia="Times New Roman" w:cs="Arial"/>
          <w:color w:val="000000"/>
          <w:lang w:eastAsia="bg-BG"/>
        </w:rPr>
        <w:t xml:space="preserve">токсична епидермална некролиза </w:t>
      </w:r>
      <w:r w:rsidRPr="001D4818">
        <w:rPr>
          <w:rFonts w:eastAsia="Times New Roman" w:cs="Arial"/>
          <w:color w:val="000000"/>
          <w:lang w:val="en-US"/>
        </w:rPr>
        <w:t xml:space="preserve">(TEN) </w:t>
      </w:r>
      <w:r w:rsidRPr="001D4818">
        <w:rPr>
          <w:rFonts w:eastAsia="Times New Roman" w:cs="Arial"/>
          <w:color w:val="000000"/>
          <w:lang w:eastAsia="bg-BG"/>
        </w:rPr>
        <w:t xml:space="preserve">или остра генерализирана екзантематозна пустулоза </w:t>
      </w:r>
      <w:r w:rsidRPr="001D4818">
        <w:rPr>
          <w:rFonts w:eastAsia="Times New Roman" w:cs="Arial"/>
          <w:color w:val="000000"/>
          <w:lang w:val="en-US"/>
        </w:rPr>
        <w:t xml:space="preserve">(AGEP) </w:t>
      </w:r>
      <w:r w:rsidRPr="001D4818">
        <w:rPr>
          <w:rFonts w:eastAsia="Times New Roman" w:cs="Arial"/>
          <w:color w:val="000000"/>
          <w:lang w:eastAsia="bg-BG"/>
        </w:rPr>
        <w:t xml:space="preserve">с метронидазол (вж. точка 4.8). По-голямата част от съобщените случаи на </w:t>
      </w:r>
      <w:r w:rsidRPr="001D4818">
        <w:rPr>
          <w:rFonts w:eastAsia="Times New Roman" w:cs="Arial"/>
          <w:color w:val="000000"/>
          <w:lang w:val="en-US"/>
        </w:rPr>
        <w:t xml:space="preserve">SJS </w:t>
      </w:r>
      <w:r w:rsidRPr="001D4818">
        <w:rPr>
          <w:rFonts w:eastAsia="Times New Roman" w:cs="Arial"/>
          <w:color w:val="000000"/>
          <w:lang w:eastAsia="bg-BG"/>
        </w:rPr>
        <w:t xml:space="preserve">са настъпили в рамките на 7 седмици от началото на лечението с метронидазол. Пациентите трябва да бъдат информирани за признаците и симптомите и да се следят внимателно за кожни реакции. Ако са налице симптоми на </w:t>
      </w:r>
      <w:r w:rsidRPr="001D4818">
        <w:rPr>
          <w:rFonts w:eastAsia="Times New Roman" w:cs="Arial"/>
          <w:color w:val="000000"/>
          <w:lang w:val="en-US"/>
        </w:rPr>
        <w:t xml:space="preserve">SJS, TEN </w:t>
      </w:r>
      <w:r w:rsidRPr="001D4818">
        <w:rPr>
          <w:rFonts w:eastAsia="Times New Roman" w:cs="Arial"/>
          <w:color w:val="000000"/>
          <w:lang w:eastAsia="bg-BG"/>
        </w:rPr>
        <w:t xml:space="preserve">или </w:t>
      </w:r>
      <w:r w:rsidRPr="001D4818">
        <w:rPr>
          <w:rFonts w:eastAsia="Times New Roman" w:cs="Arial"/>
          <w:color w:val="000000"/>
          <w:lang w:val="en-US"/>
        </w:rPr>
        <w:t xml:space="preserve">AGEP </w:t>
      </w:r>
      <w:r w:rsidRPr="001D4818">
        <w:rPr>
          <w:rFonts w:eastAsia="Times New Roman" w:cs="Arial"/>
          <w:color w:val="000000"/>
          <w:lang w:eastAsia="bg-BG"/>
        </w:rPr>
        <w:t>(например грипоподобни симптоми, прогресиращ кожен обрив, често с мехури или лезии на лигавицата), лечението с метронидазол трябва незабавно да бъде прекратено (вж. точка 4.9)</w:t>
      </w:r>
    </w:p>
    <w:p w14:paraId="062C0A0A" w14:textId="77777777" w:rsidR="001D4818" w:rsidRPr="001D4818" w:rsidRDefault="001D4818" w:rsidP="001D4818">
      <w:pPr>
        <w:spacing w:line="240" w:lineRule="auto"/>
        <w:rPr>
          <w:rFonts w:eastAsia="Times New Roman" w:cs="Arial"/>
          <w:i/>
          <w:iCs/>
          <w:color w:val="000000"/>
          <w:lang w:eastAsia="bg-BG"/>
        </w:rPr>
      </w:pPr>
    </w:p>
    <w:p w14:paraId="753C5D62" w14:textId="45631BBD" w:rsidR="001D4818" w:rsidRPr="001D4818" w:rsidRDefault="001D4818" w:rsidP="001D4818">
      <w:pPr>
        <w:spacing w:line="240" w:lineRule="auto"/>
        <w:rPr>
          <w:rFonts w:eastAsia="Times New Roman" w:cs="Arial"/>
          <w:sz w:val="28"/>
          <w:szCs w:val="28"/>
          <w:lang w:eastAsia="bg-BG"/>
        </w:rPr>
      </w:pPr>
      <w:r w:rsidRPr="001D4818">
        <w:rPr>
          <w:rFonts w:eastAsia="Times New Roman" w:cs="Arial"/>
          <w:i/>
          <w:iCs/>
          <w:color w:val="000000"/>
          <w:lang w:eastAsia="bg-BG"/>
        </w:rPr>
        <w:t>Алкохол</w:t>
      </w:r>
    </w:p>
    <w:p w14:paraId="4B644209" w14:textId="77777777" w:rsidR="001D4818" w:rsidRPr="001D4818" w:rsidRDefault="001D4818" w:rsidP="001D4818">
      <w:pPr>
        <w:rPr>
          <w:rFonts w:eastAsia="Times New Roman" w:cs="Arial"/>
          <w:sz w:val="28"/>
          <w:szCs w:val="28"/>
          <w:lang w:eastAsia="bg-BG"/>
        </w:rPr>
      </w:pPr>
      <w:r w:rsidRPr="001D4818">
        <w:rPr>
          <w:rFonts w:eastAsia="Times New Roman" w:cs="Arial"/>
          <w:color w:val="000000"/>
          <w:lang w:eastAsia="bg-BG"/>
        </w:rPr>
        <w:t xml:space="preserve">По време на лечение и най-малко три дни след края на лечението с метронидазол пациентите не трябва да пият алкохол-съдържащи напитки, тъй като може да възникне </w:t>
      </w:r>
      <w:r w:rsidRPr="001D4818">
        <w:rPr>
          <w:rFonts w:eastAsia="Times New Roman" w:cs="Arial"/>
          <w:color w:val="000000"/>
          <w:lang w:val="en-US"/>
        </w:rPr>
        <w:t>Antabuse-</w:t>
      </w:r>
      <w:r w:rsidRPr="001D4818">
        <w:rPr>
          <w:rFonts w:eastAsia="Times New Roman" w:cs="Arial"/>
          <w:color w:val="000000"/>
          <w:lang w:eastAsia="bg-BG"/>
        </w:rPr>
        <w:t>подобна</w:t>
      </w:r>
      <w:r w:rsidRPr="001D4818">
        <w:rPr>
          <w:rFonts w:eastAsia="Times New Roman" w:cs="Arial"/>
          <w:color w:val="000000"/>
          <w:lang w:eastAsia="bg-BG"/>
        </w:rPr>
        <w:t xml:space="preserve"> </w:t>
      </w:r>
      <w:r w:rsidRPr="001D4818">
        <w:rPr>
          <w:rFonts w:eastAsia="Times New Roman" w:cs="Arial"/>
          <w:color w:val="000000"/>
          <w:lang w:eastAsia="bg-BG"/>
        </w:rPr>
        <w:t>реакция.</w:t>
      </w:r>
    </w:p>
    <w:p w14:paraId="1BF01C1F" w14:textId="77777777" w:rsidR="001D4818" w:rsidRPr="001D4818" w:rsidRDefault="001D4818" w:rsidP="001D4818">
      <w:pPr>
        <w:spacing w:line="240" w:lineRule="auto"/>
        <w:rPr>
          <w:rFonts w:eastAsia="Times New Roman" w:cs="Arial"/>
          <w:color w:val="000000"/>
          <w:lang w:eastAsia="bg-BG"/>
        </w:rPr>
      </w:pPr>
    </w:p>
    <w:p w14:paraId="60462B62" w14:textId="642C8B7D"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lang w:eastAsia="bg-BG"/>
        </w:rPr>
        <w:t>Тъй като в литературата могат да бъдат открити данни за възможно канцерогенно действие на лекарственото вещество, продължителната употреба на метронидазол не се препоръчва. В някои тестове с клетки без бозайници метронидазол и неговите метаболит са се показали като мутагенни.</w:t>
      </w:r>
    </w:p>
    <w:p w14:paraId="31A6B9A4" w14:textId="77777777" w:rsidR="001D4818" w:rsidRPr="001D4818" w:rsidRDefault="001D4818" w:rsidP="001D4818">
      <w:pPr>
        <w:spacing w:line="240" w:lineRule="auto"/>
        <w:rPr>
          <w:rFonts w:eastAsia="Times New Roman" w:cs="Arial"/>
          <w:color w:val="000000"/>
          <w:lang w:eastAsia="bg-BG"/>
        </w:rPr>
      </w:pPr>
    </w:p>
    <w:p w14:paraId="7EFB3FD1" w14:textId="125DC04B"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lang w:eastAsia="bg-BG"/>
        </w:rPr>
        <w:lastRenderedPageBreak/>
        <w:t>Пациентите трябва да бъдат предупредени, че метронидазолът може да предизвика потъмняване на урината.</w:t>
      </w:r>
    </w:p>
    <w:p w14:paraId="2CCB67E6" w14:textId="77777777" w:rsidR="001D4818" w:rsidRPr="001D4818" w:rsidRDefault="001D4818" w:rsidP="001D4818">
      <w:pPr>
        <w:spacing w:line="240" w:lineRule="auto"/>
        <w:rPr>
          <w:rFonts w:eastAsia="Times New Roman" w:cs="Arial"/>
          <w:i/>
          <w:iCs/>
          <w:color w:val="000000"/>
          <w:lang w:eastAsia="bg-BG"/>
        </w:rPr>
      </w:pPr>
    </w:p>
    <w:p w14:paraId="07CC2060" w14:textId="51906DA6" w:rsidR="001D4818" w:rsidRPr="001D4818" w:rsidRDefault="001D4818" w:rsidP="001D4818">
      <w:pPr>
        <w:spacing w:line="240" w:lineRule="auto"/>
        <w:rPr>
          <w:rFonts w:eastAsia="Times New Roman" w:cs="Arial"/>
          <w:sz w:val="28"/>
          <w:szCs w:val="28"/>
          <w:lang w:eastAsia="bg-BG"/>
        </w:rPr>
      </w:pPr>
      <w:r w:rsidRPr="001D4818">
        <w:rPr>
          <w:rFonts w:eastAsia="Times New Roman" w:cs="Arial"/>
          <w:i/>
          <w:iCs/>
          <w:color w:val="000000"/>
          <w:lang w:eastAsia="bg-BG"/>
        </w:rPr>
        <w:t>Ефлоран съдържа натрий</w:t>
      </w:r>
    </w:p>
    <w:p w14:paraId="3D02C8A2" w14:textId="77777777"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lang w:eastAsia="bg-BG"/>
        </w:rPr>
        <w:t xml:space="preserve">Този лекарствен продукт съдържа 12 </w:t>
      </w:r>
      <w:r w:rsidRPr="001D4818">
        <w:rPr>
          <w:rFonts w:eastAsia="Times New Roman" w:cs="Arial"/>
          <w:color w:val="000000"/>
          <w:lang w:val="en-US"/>
        </w:rPr>
        <w:t xml:space="preserve">mmol </w:t>
      </w:r>
      <w:r w:rsidRPr="001D4818">
        <w:rPr>
          <w:rFonts w:eastAsia="Times New Roman" w:cs="Arial"/>
          <w:color w:val="000000"/>
          <w:lang w:eastAsia="bg-BG"/>
        </w:rPr>
        <w:t xml:space="preserve">(276,61 </w:t>
      </w:r>
      <w:r w:rsidRPr="001D4818">
        <w:rPr>
          <w:rFonts w:eastAsia="Times New Roman" w:cs="Arial"/>
          <w:color w:val="000000"/>
          <w:lang w:val="en-US"/>
        </w:rPr>
        <w:t xml:space="preserve">mg) </w:t>
      </w:r>
      <w:r w:rsidRPr="001D4818">
        <w:rPr>
          <w:rFonts w:eastAsia="Times New Roman" w:cs="Arial"/>
          <w:color w:val="000000"/>
          <w:lang w:eastAsia="bg-BG"/>
        </w:rPr>
        <w:t xml:space="preserve">натрий на доза, които са еквивалентни на 13,83% от препоръчителния от СЗО максимален дневен прием от 2 </w:t>
      </w:r>
      <w:r w:rsidRPr="001D4818">
        <w:rPr>
          <w:rFonts w:eastAsia="Times New Roman" w:cs="Arial"/>
          <w:color w:val="000000"/>
          <w:lang w:val="en-US"/>
        </w:rPr>
        <w:t xml:space="preserve">g </w:t>
      </w:r>
      <w:r w:rsidRPr="001D4818">
        <w:rPr>
          <w:rFonts w:eastAsia="Times New Roman" w:cs="Arial"/>
          <w:color w:val="000000"/>
          <w:lang w:eastAsia="bg-BG"/>
        </w:rPr>
        <w:t>натрий за възрастен. Максималната дневна доза на този продукт е еквивалентна на 41,49% от препоръчваната от СЗО максимална дневна доза за натрий.</w:t>
      </w:r>
    </w:p>
    <w:p w14:paraId="2ED7CCD0" w14:textId="77777777"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lang w:eastAsia="bg-BG"/>
        </w:rPr>
        <w:t xml:space="preserve">Ефлоран се счита с високо съдържание </w:t>
      </w:r>
      <w:r w:rsidRPr="001D4818">
        <w:rPr>
          <w:rFonts w:eastAsia="Times New Roman" w:cs="Arial"/>
          <w:i/>
          <w:iCs/>
          <w:color w:val="000000"/>
          <w:lang w:eastAsia="bg-BG"/>
        </w:rPr>
        <w:t>на</w:t>
      </w:r>
      <w:r w:rsidRPr="001D4818">
        <w:rPr>
          <w:rFonts w:eastAsia="Times New Roman" w:cs="Arial"/>
          <w:color w:val="000000"/>
          <w:lang w:eastAsia="bg-BG"/>
        </w:rPr>
        <w:t xml:space="preserve"> натрий. Това трябва да се вземе предвид особено за пациенти, които са на диета с ниско съдържание на сол.</w:t>
      </w:r>
    </w:p>
    <w:p w14:paraId="66AE4714" w14:textId="77777777" w:rsidR="001D4818" w:rsidRPr="001D4818" w:rsidRDefault="001D4818" w:rsidP="001D4818"/>
    <w:p w14:paraId="1DA47448" w14:textId="50AC6237" w:rsidR="009F77A4" w:rsidRDefault="002C50EE" w:rsidP="00387A66">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0040C00F" w14:textId="4F14BE63" w:rsidR="001D4818" w:rsidRDefault="001D4818" w:rsidP="001D4818"/>
    <w:p w14:paraId="4974F2C1" w14:textId="77777777"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u w:val="single"/>
          <w:lang w:eastAsia="bg-BG"/>
        </w:rPr>
        <w:t>Алкохол</w:t>
      </w:r>
    </w:p>
    <w:p w14:paraId="2691C3BC" w14:textId="77777777"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lang w:eastAsia="bg-BG"/>
        </w:rPr>
        <w:t xml:space="preserve">Пациентите трябва да бъдат съветвани да не приемат алкохол по време на терапията с метронидазол и най-малко 48 часа след приключване на терапията, поради възможността от възникване на дисулфирам-подобна реакция </w:t>
      </w:r>
      <w:r w:rsidRPr="001D4818">
        <w:rPr>
          <w:rFonts w:eastAsia="Times New Roman" w:cs="Arial"/>
          <w:color w:val="000000"/>
          <w:lang w:val="en-US"/>
        </w:rPr>
        <w:t>(Antabuse</w:t>
      </w:r>
      <w:r w:rsidRPr="001D4818">
        <w:rPr>
          <w:rFonts w:eastAsia="Times New Roman" w:cs="Arial"/>
          <w:color w:val="000000"/>
          <w:lang w:eastAsia="bg-BG"/>
        </w:rPr>
        <w:t>—ефект) (зачервяване, повръщане, тахикардия).</w:t>
      </w:r>
    </w:p>
    <w:p w14:paraId="64D52211" w14:textId="77777777" w:rsidR="001D4818" w:rsidRPr="001D4818" w:rsidRDefault="001D4818" w:rsidP="001D4818">
      <w:pPr>
        <w:spacing w:line="240" w:lineRule="auto"/>
        <w:rPr>
          <w:rFonts w:eastAsia="Times New Roman" w:cs="Arial"/>
          <w:color w:val="000000"/>
          <w:u w:val="single"/>
          <w:lang w:eastAsia="bg-BG"/>
        </w:rPr>
      </w:pPr>
    </w:p>
    <w:p w14:paraId="410ED32C" w14:textId="40284B14"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u w:val="single"/>
          <w:lang w:eastAsia="bg-BG"/>
        </w:rPr>
        <w:t>Варфарин и други кумаринови антикоагуланти</w:t>
      </w:r>
    </w:p>
    <w:p w14:paraId="70C80A96" w14:textId="77777777"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lang w:eastAsia="bg-BG"/>
        </w:rPr>
        <w:t>Метронидазол потенцира действието на варфарин и на другите кумаринови антикоагуланти и поради това, дозата на тези лекарства трябва да се намали съответно по време на едновременно лечение. Протромбиновото време трябва да се наблюдава. Няма взаимодействие с хепарин.</w:t>
      </w:r>
    </w:p>
    <w:p w14:paraId="21AA6C89" w14:textId="77777777" w:rsidR="001D4818" w:rsidRPr="001D4818" w:rsidRDefault="001D4818" w:rsidP="001D4818">
      <w:pPr>
        <w:spacing w:line="240" w:lineRule="auto"/>
        <w:rPr>
          <w:rFonts w:eastAsia="Times New Roman" w:cs="Arial"/>
          <w:color w:val="000000"/>
          <w:u w:val="single"/>
          <w:lang w:eastAsia="bg-BG"/>
        </w:rPr>
      </w:pPr>
    </w:p>
    <w:p w14:paraId="454B00E5" w14:textId="5F88E447"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u w:val="single"/>
          <w:lang w:eastAsia="bg-BG"/>
        </w:rPr>
        <w:t>Фенитоин и барбитурати</w:t>
      </w:r>
    </w:p>
    <w:p w14:paraId="696E3A50" w14:textId="77777777"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lang w:eastAsia="bg-BG"/>
        </w:rPr>
        <w:t>Фенитоин и барбитуратите намаляват ефективността на метронидазол; същевременно ефективността на фенитоин и барбитуратите може да е повишена.</w:t>
      </w:r>
    </w:p>
    <w:p w14:paraId="396FBDD1" w14:textId="77777777" w:rsidR="001D4818" w:rsidRPr="001D4818" w:rsidRDefault="001D4818" w:rsidP="001D4818">
      <w:pPr>
        <w:spacing w:line="240" w:lineRule="auto"/>
        <w:rPr>
          <w:rFonts w:eastAsia="Times New Roman" w:cs="Arial"/>
          <w:color w:val="000000"/>
          <w:u w:val="single"/>
          <w:lang w:eastAsia="bg-BG"/>
        </w:rPr>
      </w:pPr>
    </w:p>
    <w:p w14:paraId="44C00932" w14:textId="22127719"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u w:val="single"/>
          <w:lang w:eastAsia="bg-BG"/>
        </w:rPr>
        <w:t>Литий</w:t>
      </w:r>
    </w:p>
    <w:p w14:paraId="162D9FDA" w14:textId="77777777"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lang w:eastAsia="bg-BG"/>
        </w:rPr>
        <w:t>При пациенти, лекувани едновременно с литий и метронидазол, се съобщава за задържане на литий и съответно повишени плазмени нива на литий, придружено с данни за възможно бъбречно увреждане. Плазмените нива на литий могат да бъдат повишени от метронидазол. Лечението е литий трябва да бъде съкратено или преустановено преди прилагане на метронидазол. Плазмената концентрация на литий, креатинин и електролити трябва да се наблюдава при пациенти, лекувани с литий, докато получават метронидазол.</w:t>
      </w:r>
    </w:p>
    <w:p w14:paraId="2407276D" w14:textId="77777777" w:rsidR="001D4818" w:rsidRPr="001D4818" w:rsidRDefault="001D4818" w:rsidP="001D4818">
      <w:pPr>
        <w:spacing w:line="240" w:lineRule="auto"/>
        <w:rPr>
          <w:rFonts w:eastAsia="Times New Roman" w:cs="Arial"/>
          <w:color w:val="000000"/>
          <w:u w:val="single"/>
          <w:lang w:eastAsia="bg-BG"/>
        </w:rPr>
      </w:pPr>
    </w:p>
    <w:p w14:paraId="6F5A3C1E" w14:textId="0ED1DC90"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u w:val="single"/>
          <w:lang w:eastAsia="bg-BG"/>
        </w:rPr>
        <w:t>Флуороурацил</w:t>
      </w:r>
    </w:p>
    <w:p w14:paraId="73C14780" w14:textId="77777777"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lang w:eastAsia="bg-BG"/>
        </w:rPr>
        <w:t>Метронидазол намалява клирънса на 5-флуороурацил и следователно може да доведе до повишена токсичност на 5-флуороурацил.</w:t>
      </w:r>
    </w:p>
    <w:p w14:paraId="58E0FC66" w14:textId="77777777"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lang w:eastAsia="bg-BG"/>
        </w:rPr>
        <w:t>Циметидин</w:t>
      </w:r>
    </w:p>
    <w:p w14:paraId="4A3FBB7B" w14:textId="77777777"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lang w:eastAsia="bg-BG"/>
        </w:rPr>
        <w:t>Циметидин удължава биологичния полуживот на метронидазол.</w:t>
      </w:r>
    </w:p>
    <w:p w14:paraId="730C1883" w14:textId="77777777" w:rsidR="001D4818" w:rsidRPr="001D4818" w:rsidRDefault="001D4818" w:rsidP="001D4818">
      <w:pPr>
        <w:spacing w:line="240" w:lineRule="auto"/>
        <w:rPr>
          <w:rFonts w:eastAsia="Times New Roman" w:cs="Arial"/>
          <w:color w:val="000000"/>
          <w:u w:val="single"/>
          <w:lang w:eastAsia="bg-BG"/>
        </w:rPr>
      </w:pPr>
    </w:p>
    <w:p w14:paraId="0A084324" w14:textId="41805365"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u w:val="single"/>
          <w:lang w:eastAsia="bg-BG"/>
        </w:rPr>
        <w:t>Дисулфирам</w:t>
      </w:r>
    </w:p>
    <w:p w14:paraId="7A046D4E" w14:textId="77777777"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lang w:eastAsia="bg-BG"/>
        </w:rPr>
        <w:t>Едновременното лечение с метронидазол и дисулфирам е противопоказано поради развитите на остри психози. На пациентите не трябва да се прилага метронидазол в продължение на две седмици след лечение с дисулфирам.</w:t>
      </w:r>
    </w:p>
    <w:p w14:paraId="78A10CCD" w14:textId="77777777" w:rsidR="001D4818" w:rsidRPr="001D4818" w:rsidRDefault="001D4818" w:rsidP="001D4818">
      <w:pPr>
        <w:spacing w:line="240" w:lineRule="auto"/>
        <w:rPr>
          <w:rFonts w:eastAsia="Times New Roman" w:cs="Arial"/>
          <w:color w:val="000000"/>
          <w:u w:val="single"/>
          <w:lang w:eastAsia="bg-BG"/>
        </w:rPr>
      </w:pPr>
    </w:p>
    <w:p w14:paraId="16E23024" w14:textId="32155D17"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u w:val="single"/>
          <w:lang w:eastAsia="bg-BG"/>
        </w:rPr>
        <w:lastRenderedPageBreak/>
        <w:t>Циклоспорин</w:t>
      </w:r>
    </w:p>
    <w:p w14:paraId="69D8CBFB" w14:textId="4AE1D69D" w:rsidR="001D4818" w:rsidRDefault="001D4818" w:rsidP="001D4818">
      <w:pPr>
        <w:spacing w:line="240" w:lineRule="auto"/>
        <w:rPr>
          <w:rFonts w:eastAsia="Times New Roman" w:cs="Arial"/>
          <w:color w:val="000000"/>
          <w:lang w:eastAsia="bg-BG"/>
        </w:rPr>
      </w:pPr>
      <w:r w:rsidRPr="001D4818">
        <w:rPr>
          <w:rFonts w:eastAsia="Times New Roman" w:cs="Arial"/>
          <w:color w:val="000000"/>
          <w:lang w:eastAsia="bg-BG"/>
        </w:rPr>
        <w:t>Съществува риск от повишаване на серумните нива на циклоспорин. При едновременно приложение на метронидзол и циклоспорин, серумните нива на циклоспорин и креатинин трябва да бъдат внимателно наблюдавани.</w:t>
      </w:r>
    </w:p>
    <w:p w14:paraId="54F3162E" w14:textId="77777777" w:rsidR="001D4818" w:rsidRPr="001D4818" w:rsidRDefault="001D4818" w:rsidP="001D4818">
      <w:pPr>
        <w:spacing w:line="240" w:lineRule="auto"/>
        <w:rPr>
          <w:rFonts w:eastAsia="Times New Roman" w:cs="Arial"/>
          <w:sz w:val="28"/>
          <w:szCs w:val="28"/>
          <w:lang w:eastAsia="bg-BG"/>
        </w:rPr>
      </w:pPr>
    </w:p>
    <w:p w14:paraId="48846BBA" w14:textId="28691FEA" w:rsidR="009F77A4" w:rsidRDefault="002C50EE" w:rsidP="00387A66">
      <w:pPr>
        <w:pStyle w:val="Heading2"/>
      </w:pPr>
      <w:r>
        <w:t>4.6. Фертилитет, бременност и кърмене</w:t>
      </w:r>
    </w:p>
    <w:p w14:paraId="63FA0C89" w14:textId="0ABFCAFD" w:rsidR="001D4818" w:rsidRDefault="001D4818" w:rsidP="001D4818"/>
    <w:p w14:paraId="1E32A004" w14:textId="77777777"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u w:val="single"/>
          <w:lang w:eastAsia="bg-BG"/>
        </w:rPr>
        <w:t>Бременност</w:t>
      </w:r>
    </w:p>
    <w:p w14:paraId="1731752C" w14:textId="77777777"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lang w:eastAsia="bg-BG"/>
        </w:rPr>
        <w:t>Приложението на лекарството е противопоказано през първото тримесечие на бременността, по-късно то може да се прилага само ако ползата за майката надхвърля риска за плода.</w:t>
      </w:r>
    </w:p>
    <w:p w14:paraId="285B29AE" w14:textId="77777777" w:rsidR="001D4818" w:rsidRPr="001D4818" w:rsidRDefault="001D4818" w:rsidP="001D4818">
      <w:pPr>
        <w:spacing w:line="240" w:lineRule="auto"/>
        <w:rPr>
          <w:rFonts w:eastAsia="Times New Roman" w:cs="Arial"/>
          <w:color w:val="000000"/>
          <w:u w:val="single"/>
          <w:lang w:eastAsia="bg-BG"/>
        </w:rPr>
      </w:pPr>
    </w:p>
    <w:p w14:paraId="5F68E9E8" w14:textId="1494B7C8"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u w:val="single"/>
          <w:lang w:eastAsia="bg-BG"/>
        </w:rPr>
        <w:t>Жени с детероден потенциал/контрацепция при мъже и жени</w:t>
      </w:r>
    </w:p>
    <w:p w14:paraId="56E249B6" w14:textId="77777777"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lang w:eastAsia="bg-BG"/>
        </w:rPr>
        <w:t>Поради генотоксичния потенциал на метронидазол (вж. точка 5.3), жени с детероден потенциал трябва да използват ефективни контрацептивни мерки, докато се лекуват с Ефлоран и в продължение на 6 месеца след приключване на лечението.</w:t>
      </w:r>
    </w:p>
    <w:p w14:paraId="71F0FFD1" w14:textId="77777777" w:rsidR="001D4818" w:rsidRPr="001D4818" w:rsidRDefault="001D4818" w:rsidP="001D4818">
      <w:pPr>
        <w:spacing w:line="240" w:lineRule="auto"/>
        <w:rPr>
          <w:rFonts w:eastAsia="Times New Roman" w:cs="Arial"/>
          <w:color w:val="000000"/>
          <w:lang w:eastAsia="bg-BG"/>
        </w:rPr>
      </w:pPr>
    </w:p>
    <w:p w14:paraId="4232C28E" w14:textId="032D0A4E"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lang w:eastAsia="bg-BG"/>
        </w:rPr>
        <w:t>На мъжете се препоръчва да използват ефективни контрацептивни мерки и да не стават бащи, докато получават Ефлоран и в продължение на 3 месеца след приключване на лечението.</w:t>
      </w:r>
    </w:p>
    <w:p w14:paraId="530270DA" w14:textId="77777777" w:rsidR="001D4818" w:rsidRPr="001D4818" w:rsidRDefault="001D4818" w:rsidP="001D4818">
      <w:pPr>
        <w:spacing w:line="240" w:lineRule="auto"/>
        <w:rPr>
          <w:rFonts w:eastAsia="Times New Roman" w:cs="Arial"/>
          <w:color w:val="000000"/>
          <w:u w:val="single"/>
          <w:lang w:eastAsia="bg-BG"/>
        </w:rPr>
      </w:pPr>
    </w:p>
    <w:p w14:paraId="305E8998" w14:textId="4C5AD0A0"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u w:val="single"/>
          <w:lang w:eastAsia="bg-BG"/>
        </w:rPr>
        <w:t>Кърмене</w:t>
      </w:r>
    </w:p>
    <w:p w14:paraId="35D1550D" w14:textId="77777777"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lang w:eastAsia="bg-BG"/>
        </w:rPr>
        <w:t>Кърменето трябва да се преустанови по време на лечение с метронидазол.</w:t>
      </w:r>
    </w:p>
    <w:p w14:paraId="461A8A00" w14:textId="77777777" w:rsidR="001D4818" w:rsidRPr="001D4818" w:rsidRDefault="001D4818" w:rsidP="001D4818">
      <w:pPr>
        <w:spacing w:line="240" w:lineRule="auto"/>
        <w:rPr>
          <w:rFonts w:eastAsia="Times New Roman" w:cs="Arial"/>
          <w:color w:val="000000"/>
          <w:u w:val="single"/>
          <w:lang w:eastAsia="bg-BG"/>
        </w:rPr>
      </w:pPr>
    </w:p>
    <w:p w14:paraId="3AB89C7B" w14:textId="1FB03629"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u w:val="single"/>
          <w:lang w:eastAsia="bg-BG"/>
        </w:rPr>
        <w:t>Фертнлитет</w:t>
      </w:r>
    </w:p>
    <w:p w14:paraId="5757DC78" w14:textId="77777777" w:rsidR="001D4818" w:rsidRPr="001D4818" w:rsidRDefault="001D4818" w:rsidP="001D4818">
      <w:pPr>
        <w:spacing w:line="240" w:lineRule="auto"/>
        <w:rPr>
          <w:rFonts w:eastAsia="Times New Roman" w:cs="Arial"/>
          <w:sz w:val="28"/>
          <w:szCs w:val="28"/>
          <w:lang w:eastAsia="bg-BG"/>
        </w:rPr>
      </w:pPr>
      <w:r w:rsidRPr="001D4818">
        <w:rPr>
          <w:rFonts w:eastAsia="Times New Roman" w:cs="Arial"/>
          <w:color w:val="000000"/>
          <w:lang w:eastAsia="bg-BG"/>
        </w:rPr>
        <w:t>Няма налични данни за фертилитета при хората.</w:t>
      </w:r>
    </w:p>
    <w:p w14:paraId="6995AA1A" w14:textId="77777777" w:rsidR="001D4818" w:rsidRPr="001D4818" w:rsidRDefault="001D4818" w:rsidP="001D4818"/>
    <w:p w14:paraId="321AAB00" w14:textId="2DAB9BCF" w:rsidR="009F77A4" w:rsidRDefault="002C50EE" w:rsidP="00387A66">
      <w:pPr>
        <w:pStyle w:val="Heading2"/>
      </w:pPr>
      <w:r>
        <w:t>4.7. Ефекти върху способността за шофиране и работа с машини</w:t>
      </w:r>
    </w:p>
    <w:p w14:paraId="2B853169" w14:textId="2FC5617C" w:rsidR="001D4818" w:rsidRDefault="001D4818" w:rsidP="001D4818"/>
    <w:p w14:paraId="4239B1CE" w14:textId="710D64F5" w:rsidR="001D4818" w:rsidRDefault="001D4818" w:rsidP="001D4818">
      <w:r>
        <w:t>Ефлоран може да повлияе психофизическите способности, способността за шофиране на моторни превозни средства или работа с машини, особено ако се приема едновременно с алкохол. Лекарите и фармацевтите трябва да предупреждават пациентите за това.</w:t>
      </w:r>
    </w:p>
    <w:p w14:paraId="29E7013E" w14:textId="77777777" w:rsidR="001D4818" w:rsidRPr="001D4818" w:rsidRDefault="001D4818" w:rsidP="001D4818"/>
    <w:p w14:paraId="136C86B8" w14:textId="3720A06E" w:rsidR="009F77A4" w:rsidRDefault="002C50EE" w:rsidP="00387A66">
      <w:pPr>
        <w:pStyle w:val="Heading2"/>
      </w:pPr>
      <w:r>
        <w:t>4.8. Нежелани лекарствени реакции</w:t>
      </w:r>
    </w:p>
    <w:p w14:paraId="79B77EB7" w14:textId="0F851BC2" w:rsidR="001D4818" w:rsidRDefault="001D4818" w:rsidP="001D4818"/>
    <w:p w14:paraId="179D36C1" w14:textId="77777777" w:rsidR="001D4818" w:rsidRPr="001D4818" w:rsidRDefault="001D4818" w:rsidP="001D4818">
      <w:pPr>
        <w:pStyle w:val="ListParagraph"/>
        <w:numPr>
          <w:ilvl w:val="0"/>
          <w:numId w:val="41"/>
        </w:numPr>
        <w:spacing w:line="240" w:lineRule="auto"/>
        <w:rPr>
          <w:rFonts w:ascii="Times New Roman" w:eastAsia="Times New Roman" w:hAnsi="Times New Roman" w:cs="Times New Roman"/>
          <w:sz w:val="24"/>
          <w:szCs w:val="24"/>
          <w:lang w:eastAsia="bg-BG"/>
        </w:rPr>
      </w:pPr>
      <w:r w:rsidRPr="001D4818">
        <w:rPr>
          <w:rFonts w:ascii="Times New Roman" w:eastAsia="Times New Roman" w:hAnsi="Times New Roman" w:cs="Times New Roman"/>
          <w:color w:val="000000"/>
          <w:sz w:val="20"/>
          <w:szCs w:val="20"/>
          <w:lang w:eastAsia="bg-BG"/>
        </w:rPr>
        <w:t>Много чести (≥1/10)</w:t>
      </w:r>
    </w:p>
    <w:p w14:paraId="7783EE41" w14:textId="77777777" w:rsidR="001D4818" w:rsidRPr="001D4818" w:rsidRDefault="001D4818" w:rsidP="001D4818">
      <w:pPr>
        <w:pStyle w:val="ListParagraph"/>
        <w:numPr>
          <w:ilvl w:val="0"/>
          <w:numId w:val="41"/>
        </w:numPr>
        <w:spacing w:line="240" w:lineRule="auto"/>
        <w:rPr>
          <w:rFonts w:ascii="Times New Roman" w:eastAsia="Times New Roman" w:hAnsi="Times New Roman" w:cs="Times New Roman"/>
          <w:sz w:val="24"/>
          <w:szCs w:val="24"/>
          <w:lang w:eastAsia="bg-BG"/>
        </w:rPr>
      </w:pPr>
      <w:r w:rsidRPr="001D4818">
        <w:rPr>
          <w:rFonts w:ascii="Times New Roman" w:eastAsia="Times New Roman" w:hAnsi="Times New Roman" w:cs="Times New Roman"/>
          <w:color w:val="000000"/>
          <w:sz w:val="20"/>
          <w:szCs w:val="20"/>
          <w:lang w:eastAsia="bg-BG"/>
        </w:rPr>
        <w:t>Чести (≥1/100 до &lt;1/10)</w:t>
      </w:r>
    </w:p>
    <w:p w14:paraId="28B7664C" w14:textId="77777777" w:rsidR="001D4818" w:rsidRPr="001D4818" w:rsidRDefault="001D4818" w:rsidP="001D4818">
      <w:pPr>
        <w:pStyle w:val="ListParagraph"/>
        <w:numPr>
          <w:ilvl w:val="0"/>
          <w:numId w:val="41"/>
        </w:numPr>
        <w:spacing w:line="240" w:lineRule="auto"/>
        <w:rPr>
          <w:rFonts w:ascii="Times New Roman" w:eastAsia="Times New Roman" w:hAnsi="Times New Roman" w:cs="Times New Roman"/>
          <w:sz w:val="24"/>
          <w:szCs w:val="24"/>
          <w:lang w:eastAsia="bg-BG"/>
        </w:rPr>
      </w:pPr>
      <w:r w:rsidRPr="001D4818">
        <w:rPr>
          <w:rFonts w:ascii="Times New Roman" w:eastAsia="Times New Roman" w:hAnsi="Times New Roman" w:cs="Times New Roman"/>
          <w:color w:val="000000"/>
          <w:sz w:val="20"/>
          <w:szCs w:val="20"/>
          <w:lang w:eastAsia="bg-BG"/>
        </w:rPr>
        <w:t>Нечести (≥1/1 000 до &lt;1/100)</w:t>
      </w:r>
    </w:p>
    <w:p w14:paraId="0E6C41A7" w14:textId="77777777" w:rsidR="001D4818" w:rsidRPr="001D4818" w:rsidRDefault="001D4818" w:rsidP="001D4818">
      <w:pPr>
        <w:pStyle w:val="ListParagraph"/>
        <w:numPr>
          <w:ilvl w:val="0"/>
          <w:numId w:val="41"/>
        </w:numPr>
        <w:spacing w:line="240" w:lineRule="auto"/>
        <w:rPr>
          <w:rFonts w:ascii="Times New Roman" w:eastAsia="Times New Roman" w:hAnsi="Times New Roman" w:cs="Times New Roman"/>
          <w:sz w:val="24"/>
          <w:szCs w:val="24"/>
          <w:lang w:eastAsia="bg-BG"/>
        </w:rPr>
      </w:pPr>
      <w:r w:rsidRPr="001D4818">
        <w:rPr>
          <w:rFonts w:ascii="Times New Roman" w:eastAsia="Times New Roman" w:hAnsi="Times New Roman" w:cs="Times New Roman"/>
          <w:color w:val="000000"/>
          <w:sz w:val="20"/>
          <w:szCs w:val="20"/>
          <w:lang w:eastAsia="bg-BG"/>
        </w:rPr>
        <w:t>Редки (≥1/10 000 до &lt;1/1 000)</w:t>
      </w:r>
    </w:p>
    <w:p w14:paraId="3ADC4D84" w14:textId="77777777" w:rsidR="001D4818" w:rsidRPr="001D4818" w:rsidRDefault="001D4818" w:rsidP="001D4818">
      <w:pPr>
        <w:pStyle w:val="ListParagraph"/>
        <w:numPr>
          <w:ilvl w:val="0"/>
          <w:numId w:val="41"/>
        </w:numPr>
        <w:spacing w:line="240" w:lineRule="auto"/>
        <w:rPr>
          <w:rFonts w:ascii="Times New Roman" w:eastAsia="Times New Roman" w:hAnsi="Times New Roman" w:cs="Times New Roman"/>
          <w:sz w:val="24"/>
          <w:szCs w:val="24"/>
          <w:lang w:eastAsia="bg-BG"/>
        </w:rPr>
      </w:pPr>
      <w:r w:rsidRPr="001D4818">
        <w:rPr>
          <w:rFonts w:ascii="Times New Roman" w:eastAsia="Times New Roman" w:hAnsi="Times New Roman" w:cs="Times New Roman"/>
          <w:color w:val="000000"/>
          <w:sz w:val="20"/>
          <w:szCs w:val="20"/>
          <w:lang w:eastAsia="bg-BG"/>
        </w:rPr>
        <w:t>Много редки (&lt;1/10 000)</w:t>
      </w:r>
    </w:p>
    <w:p w14:paraId="00869CE6" w14:textId="30968537" w:rsidR="001D4818" w:rsidRPr="001D4818" w:rsidRDefault="001D4818" w:rsidP="001D4818">
      <w:pPr>
        <w:pStyle w:val="ListParagraph"/>
        <w:numPr>
          <w:ilvl w:val="0"/>
          <w:numId w:val="41"/>
        </w:numPr>
        <w:spacing w:line="240" w:lineRule="auto"/>
        <w:rPr>
          <w:rFonts w:ascii="Times New Roman" w:eastAsia="Times New Roman" w:hAnsi="Times New Roman" w:cs="Times New Roman"/>
          <w:sz w:val="24"/>
          <w:szCs w:val="24"/>
          <w:lang w:eastAsia="bg-BG"/>
        </w:rPr>
      </w:pPr>
      <w:r w:rsidRPr="001D4818">
        <w:rPr>
          <w:rFonts w:ascii="Times New Roman" w:eastAsia="Times New Roman" w:hAnsi="Times New Roman" w:cs="Times New Roman"/>
          <w:color w:val="000000"/>
          <w:sz w:val="20"/>
          <w:szCs w:val="20"/>
          <w:lang w:eastAsia="bg-BG"/>
        </w:rPr>
        <w:t>С неизвестна честота (не може да се предвиди от наличните данни)</w:t>
      </w:r>
    </w:p>
    <w:p w14:paraId="198154AB" w14:textId="46ECFB34" w:rsidR="001D4818" w:rsidRDefault="001D4818" w:rsidP="001D4818">
      <w:pPr>
        <w:spacing w:line="240" w:lineRule="auto"/>
        <w:rPr>
          <w:rFonts w:ascii="Times New Roman" w:eastAsia="Times New Roman" w:hAnsi="Times New Roman" w:cs="Times New Roman"/>
          <w:sz w:val="24"/>
          <w:szCs w:val="24"/>
          <w:lang w:eastAsia="bg-BG"/>
        </w:rPr>
      </w:pPr>
    </w:p>
    <w:tbl>
      <w:tblPr>
        <w:tblStyle w:val="TableGrid"/>
        <w:tblW w:w="0" w:type="auto"/>
        <w:tblLook w:val="04A0" w:firstRow="1" w:lastRow="0" w:firstColumn="1" w:lastColumn="0" w:noHBand="0" w:noVBand="1"/>
      </w:tblPr>
      <w:tblGrid>
        <w:gridCol w:w="1679"/>
        <w:gridCol w:w="764"/>
        <w:gridCol w:w="1005"/>
        <w:gridCol w:w="957"/>
        <w:gridCol w:w="1479"/>
        <w:gridCol w:w="1781"/>
        <w:gridCol w:w="1685"/>
      </w:tblGrid>
      <w:tr w:rsidR="001D4818" w14:paraId="1D0BF16B" w14:textId="77777777" w:rsidTr="001D4818">
        <w:tc>
          <w:tcPr>
            <w:tcW w:w="1332" w:type="dxa"/>
          </w:tcPr>
          <w:p w14:paraId="14E7621E"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813" w:type="dxa"/>
          </w:tcPr>
          <w:p w14:paraId="0BABC662" w14:textId="5B3DFBE4" w:rsidR="001D4818" w:rsidRPr="001D4818" w:rsidRDefault="001D4818" w:rsidP="001D4818">
            <w:pPr>
              <w:spacing w:line="240" w:lineRule="auto"/>
              <w:rPr>
                <w:rFonts w:ascii="Times New Roman" w:eastAsia="Times New Roman" w:hAnsi="Times New Roman" w:cs="Times New Roman"/>
                <w:lang w:eastAsia="bg-BG"/>
              </w:rPr>
            </w:pPr>
            <w:r w:rsidRPr="001D4818">
              <w:t>Много чести</w:t>
            </w:r>
          </w:p>
        </w:tc>
        <w:tc>
          <w:tcPr>
            <w:tcW w:w="1070" w:type="dxa"/>
          </w:tcPr>
          <w:p w14:paraId="57E65AE4" w14:textId="73F5413A" w:rsidR="001D4818" w:rsidRPr="001D4818" w:rsidRDefault="001D4818" w:rsidP="001D4818">
            <w:pPr>
              <w:spacing w:line="240" w:lineRule="auto"/>
              <w:rPr>
                <w:rFonts w:ascii="Times New Roman" w:eastAsia="Times New Roman" w:hAnsi="Times New Roman" w:cs="Times New Roman"/>
                <w:lang w:eastAsia="bg-BG"/>
              </w:rPr>
            </w:pPr>
            <w:r w:rsidRPr="001D4818">
              <w:t>Чести</w:t>
            </w:r>
          </w:p>
        </w:tc>
        <w:tc>
          <w:tcPr>
            <w:tcW w:w="1024" w:type="dxa"/>
          </w:tcPr>
          <w:p w14:paraId="3B39CCFF" w14:textId="22D44163" w:rsidR="001D4818" w:rsidRPr="001D4818" w:rsidRDefault="001D4818" w:rsidP="001D4818">
            <w:pPr>
              <w:spacing w:line="240" w:lineRule="auto"/>
              <w:rPr>
                <w:rFonts w:ascii="Times New Roman" w:eastAsia="Times New Roman" w:hAnsi="Times New Roman" w:cs="Times New Roman"/>
                <w:lang w:eastAsia="bg-BG"/>
              </w:rPr>
            </w:pPr>
            <w:r w:rsidRPr="001D4818">
              <w:t>Нечести</w:t>
            </w:r>
          </w:p>
        </w:tc>
        <w:tc>
          <w:tcPr>
            <w:tcW w:w="1594" w:type="dxa"/>
          </w:tcPr>
          <w:p w14:paraId="337A2941" w14:textId="43DD3B6C" w:rsidR="001D4818" w:rsidRPr="001D4818" w:rsidRDefault="001D4818" w:rsidP="001D4818">
            <w:pPr>
              <w:spacing w:line="240" w:lineRule="auto"/>
              <w:rPr>
                <w:rFonts w:ascii="Times New Roman" w:eastAsia="Times New Roman" w:hAnsi="Times New Roman" w:cs="Times New Roman"/>
                <w:lang w:eastAsia="bg-BG"/>
              </w:rPr>
            </w:pPr>
            <w:r w:rsidRPr="001D4818">
              <w:t>Редки</w:t>
            </w:r>
          </w:p>
        </w:tc>
        <w:tc>
          <w:tcPr>
            <w:tcW w:w="1924" w:type="dxa"/>
          </w:tcPr>
          <w:p w14:paraId="708D7B8D" w14:textId="193D6A84" w:rsidR="001D4818" w:rsidRPr="001D4818" w:rsidRDefault="001D4818" w:rsidP="001D4818">
            <w:pPr>
              <w:spacing w:line="240" w:lineRule="auto"/>
              <w:rPr>
                <w:rFonts w:ascii="Times New Roman" w:eastAsia="Times New Roman" w:hAnsi="Times New Roman" w:cs="Times New Roman"/>
                <w:lang w:eastAsia="bg-BG"/>
              </w:rPr>
            </w:pPr>
            <w:r w:rsidRPr="001D4818">
              <w:t>Много редки</w:t>
            </w:r>
          </w:p>
        </w:tc>
        <w:tc>
          <w:tcPr>
            <w:tcW w:w="1819" w:type="dxa"/>
          </w:tcPr>
          <w:p w14:paraId="7EC9C15C" w14:textId="642BF9FB" w:rsidR="001D4818" w:rsidRPr="001D4818" w:rsidRDefault="001D4818" w:rsidP="001D4818">
            <w:pPr>
              <w:spacing w:line="240" w:lineRule="auto"/>
              <w:rPr>
                <w:rFonts w:ascii="Times New Roman" w:eastAsia="Times New Roman" w:hAnsi="Times New Roman" w:cs="Times New Roman"/>
                <w:lang w:eastAsia="bg-BG"/>
              </w:rPr>
            </w:pPr>
            <w:r w:rsidRPr="001D4818">
              <w:t>С неизвестна честота</w:t>
            </w:r>
          </w:p>
        </w:tc>
      </w:tr>
      <w:tr w:rsidR="001D4818" w14:paraId="5E509CD7" w14:textId="77777777" w:rsidTr="001D4818">
        <w:tc>
          <w:tcPr>
            <w:tcW w:w="1332" w:type="dxa"/>
          </w:tcPr>
          <w:p w14:paraId="6E39473F" w14:textId="0621FC96" w:rsidR="001D4818" w:rsidRPr="001D4818" w:rsidRDefault="001D4818" w:rsidP="001D4818">
            <w:pPr>
              <w:spacing w:line="240" w:lineRule="auto"/>
              <w:rPr>
                <w:rFonts w:ascii="Times New Roman" w:eastAsia="Times New Roman" w:hAnsi="Times New Roman" w:cs="Times New Roman"/>
                <w:lang w:eastAsia="bg-BG"/>
              </w:rPr>
            </w:pPr>
            <w:r w:rsidRPr="001D4818">
              <w:t>Инфекции и паразитози</w:t>
            </w:r>
          </w:p>
        </w:tc>
        <w:tc>
          <w:tcPr>
            <w:tcW w:w="813" w:type="dxa"/>
          </w:tcPr>
          <w:p w14:paraId="266F30A0"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070" w:type="dxa"/>
          </w:tcPr>
          <w:p w14:paraId="12A943F8"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024" w:type="dxa"/>
          </w:tcPr>
          <w:p w14:paraId="02A12C68"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594" w:type="dxa"/>
          </w:tcPr>
          <w:p w14:paraId="7C3144CE" w14:textId="60E3B745" w:rsidR="001D4818" w:rsidRPr="001D4818" w:rsidRDefault="001D4818" w:rsidP="001D4818">
            <w:pPr>
              <w:spacing w:line="240" w:lineRule="auto"/>
              <w:rPr>
                <w:rFonts w:ascii="Times New Roman" w:eastAsia="Times New Roman" w:hAnsi="Times New Roman" w:cs="Times New Roman"/>
                <w:lang w:eastAsia="bg-BG"/>
              </w:rPr>
            </w:pPr>
            <w:r w:rsidRPr="001D4818">
              <w:t xml:space="preserve">Реакция на </w:t>
            </w:r>
            <w:proofErr w:type="spellStart"/>
            <w:r w:rsidRPr="001D4818">
              <w:rPr>
                <w:lang w:val="en-US"/>
              </w:rPr>
              <w:t>Herxheimer</w:t>
            </w:r>
            <w:proofErr w:type="spellEnd"/>
            <w:r w:rsidRPr="001D4818">
              <w:rPr>
                <w:lang w:val="en-US"/>
              </w:rPr>
              <w:t xml:space="preserve">, </w:t>
            </w:r>
            <w:r w:rsidRPr="001D4818">
              <w:t xml:space="preserve">вагинална </w:t>
            </w:r>
            <w:r w:rsidRPr="001D4818">
              <w:lastRenderedPageBreak/>
              <w:t>кандидоза</w:t>
            </w:r>
          </w:p>
        </w:tc>
        <w:tc>
          <w:tcPr>
            <w:tcW w:w="1924" w:type="dxa"/>
          </w:tcPr>
          <w:p w14:paraId="0929876E"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819" w:type="dxa"/>
          </w:tcPr>
          <w:p w14:paraId="193D436E" w14:textId="77777777" w:rsidR="001D4818" w:rsidRPr="001D4818" w:rsidRDefault="001D4818" w:rsidP="001D4818">
            <w:pPr>
              <w:spacing w:line="240" w:lineRule="auto"/>
              <w:rPr>
                <w:rFonts w:ascii="Times New Roman" w:eastAsia="Times New Roman" w:hAnsi="Times New Roman" w:cs="Times New Roman"/>
                <w:lang w:eastAsia="bg-BG"/>
              </w:rPr>
            </w:pPr>
          </w:p>
        </w:tc>
      </w:tr>
      <w:tr w:rsidR="001D4818" w14:paraId="7826D6D1" w14:textId="77777777" w:rsidTr="001D4818">
        <w:tc>
          <w:tcPr>
            <w:tcW w:w="1332" w:type="dxa"/>
          </w:tcPr>
          <w:p w14:paraId="559DC1B1" w14:textId="1AFAB56D" w:rsidR="001D4818" w:rsidRPr="001D4818" w:rsidRDefault="001D4818" w:rsidP="001D4818">
            <w:pPr>
              <w:spacing w:line="240" w:lineRule="auto"/>
              <w:rPr>
                <w:rFonts w:ascii="Times New Roman" w:eastAsia="Times New Roman" w:hAnsi="Times New Roman" w:cs="Times New Roman"/>
                <w:lang w:eastAsia="bg-BG"/>
              </w:rPr>
            </w:pPr>
            <w:r w:rsidRPr="001D4818">
              <w:t>Нарушения на кръвта и лимфната система</w:t>
            </w:r>
          </w:p>
        </w:tc>
        <w:tc>
          <w:tcPr>
            <w:tcW w:w="813" w:type="dxa"/>
          </w:tcPr>
          <w:p w14:paraId="201C781F"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070" w:type="dxa"/>
          </w:tcPr>
          <w:p w14:paraId="7F390869"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024" w:type="dxa"/>
          </w:tcPr>
          <w:p w14:paraId="4A04AB77"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594" w:type="dxa"/>
          </w:tcPr>
          <w:p w14:paraId="3032CFDE" w14:textId="1F0EC488" w:rsidR="001D4818" w:rsidRPr="001D4818" w:rsidRDefault="001D4818" w:rsidP="001D4818">
            <w:pPr>
              <w:spacing w:line="240" w:lineRule="auto"/>
              <w:rPr>
                <w:rFonts w:ascii="Times New Roman" w:eastAsia="Times New Roman" w:hAnsi="Times New Roman" w:cs="Times New Roman"/>
                <w:lang w:eastAsia="bg-BG"/>
              </w:rPr>
            </w:pPr>
            <w:r w:rsidRPr="001D4818">
              <w:t>Преходна неутропения</w:t>
            </w:r>
          </w:p>
        </w:tc>
        <w:tc>
          <w:tcPr>
            <w:tcW w:w="1924" w:type="dxa"/>
          </w:tcPr>
          <w:p w14:paraId="285D571C" w14:textId="14965626" w:rsidR="001D4818" w:rsidRPr="001D4818" w:rsidRDefault="001D4818" w:rsidP="001D4818">
            <w:pPr>
              <w:spacing w:line="240" w:lineRule="auto"/>
              <w:rPr>
                <w:rFonts w:ascii="Times New Roman" w:eastAsia="Times New Roman" w:hAnsi="Times New Roman" w:cs="Times New Roman"/>
                <w:lang w:eastAsia="bg-BG"/>
              </w:rPr>
            </w:pPr>
            <w:r w:rsidRPr="001D4818">
              <w:t>Агрануло- цитоза, тромбоци- топения, панцито-пения</w:t>
            </w:r>
          </w:p>
        </w:tc>
        <w:tc>
          <w:tcPr>
            <w:tcW w:w="1819" w:type="dxa"/>
          </w:tcPr>
          <w:p w14:paraId="1FE39063" w14:textId="6673A0E1" w:rsidR="001D4818" w:rsidRPr="001D4818" w:rsidRDefault="001D4818" w:rsidP="001D4818">
            <w:pPr>
              <w:spacing w:line="240" w:lineRule="auto"/>
              <w:rPr>
                <w:rFonts w:ascii="Times New Roman" w:eastAsia="Times New Roman" w:hAnsi="Times New Roman" w:cs="Times New Roman"/>
                <w:lang w:eastAsia="bg-BG"/>
              </w:rPr>
            </w:pPr>
            <w:r w:rsidRPr="001D4818">
              <w:t>Левкопения</w:t>
            </w:r>
          </w:p>
        </w:tc>
      </w:tr>
      <w:tr w:rsidR="001D4818" w14:paraId="339B31B9" w14:textId="77777777" w:rsidTr="001D4818">
        <w:tc>
          <w:tcPr>
            <w:tcW w:w="1332" w:type="dxa"/>
          </w:tcPr>
          <w:p w14:paraId="050BFA41" w14:textId="7CEFD6F7" w:rsidR="001D4818" w:rsidRPr="001D4818" w:rsidRDefault="001D4818" w:rsidP="001D4818">
            <w:pPr>
              <w:spacing w:line="240" w:lineRule="auto"/>
              <w:rPr>
                <w:rFonts w:ascii="Times New Roman" w:eastAsia="Times New Roman" w:hAnsi="Times New Roman" w:cs="Times New Roman"/>
                <w:lang w:eastAsia="bg-BG"/>
              </w:rPr>
            </w:pPr>
            <w:r w:rsidRPr="001D4818">
              <w:t>Нарушения на имунната система</w:t>
            </w:r>
          </w:p>
        </w:tc>
        <w:tc>
          <w:tcPr>
            <w:tcW w:w="813" w:type="dxa"/>
          </w:tcPr>
          <w:p w14:paraId="378C3980"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070" w:type="dxa"/>
          </w:tcPr>
          <w:p w14:paraId="1986AB95"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024" w:type="dxa"/>
          </w:tcPr>
          <w:p w14:paraId="5E7142ED"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594" w:type="dxa"/>
          </w:tcPr>
          <w:p w14:paraId="1816ABE8" w14:textId="77777777" w:rsidR="001D4818" w:rsidRPr="001D4818" w:rsidRDefault="001D4818" w:rsidP="001D4818">
            <w:r w:rsidRPr="001D4818">
              <w:t xml:space="preserve">Анафилактич- ни реакции, повишена телесна </w:t>
            </w:r>
          </w:p>
          <w:p w14:paraId="3A216919" w14:textId="38CDA598" w:rsidR="001D4818" w:rsidRPr="001D4818" w:rsidRDefault="001D4818" w:rsidP="001D4818">
            <w:pPr>
              <w:spacing w:line="240" w:lineRule="auto"/>
              <w:rPr>
                <w:rFonts w:ascii="Times New Roman" w:eastAsia="Times New Roman" w:hAnsi="Times New Roman" w:cs="Times New Roman"/>
                <w:lang w:eastAsia="bg-BG"/>
              </w:rPr>
            </w:pPr>
            <w:r w:rsidRPr="001D4818">
              <w:t>температура</w:t>
            </w:r>
          </w:p>
        </w:tc>
        <w:tc>
          <w:tcPr>
            <w:tcW w:w="1924" w:type="dxa"/>
          </w:tcPr>
          <w:p w14:paraId="2EC9A63F"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819" w:type="dxa"/>
          </w:tcPr>
          <w:p w14:paraId="08FB8147" w14:textId="4456888B" w:rsidR="001D4818" w:rsidRPr="001D4818" w:rsidRDefault="001D4818" w:rsidP="001D4818">
            <w:pPr>
              <w:spacing w:line="240" w:lineRule="auto"/>
              <w:rPr>
                <w:rFonts w:ascii="Times New Roman" w:eastAsia="Times New Roman" w:hAnsi="Times New Roman" w:cs="Times New Roman"/>
                <w:lang w:eastAsia="bg-BG"/>
              </w:rPr>
            </w:pPr>
            <w:r w:rsidRPr="001D4818">
              <w:t>Ангиодем</w:t>
            </w:r>
          </w:p>
        </w:tc>
      </w:tr>
      <w:tr w:rsidR="001D4818" w14:paraId="12FA10CA" w14:textId="77777777" w:rsidTr="001D4818">
        <w:tc>
          <w:tcPr>
            <w:tcW w:w="1332" w:type="dxa"/>
          </w:tcPr>
          <w:p w14:paraId="63CF5122" w14:textId="580C25E2" w:rsidR="001D4818" w:rsidRPr="001D4818" w:rsidRDefault="001D4818" w:rsidP="001D4818">
            <w:pPr>
              <w:spacing w:line="240" w:lineRule="auto"/>
              <w:rPr>
                <w:rFonts w:ascii="Times New Roman" w:eastAsia="Times New Roman" w:hAnsi="Times New Roman" w:cs="Times New Roman"/>
                <w:lang w:eastAsia="bg-BG"/>
              </w:rPr>
            </w:pPr>
            <w:r w:rsidRPr="001D4818">
              <w:t>Психични нарушения</w:t>
            </w:r>
          </w:p>
        </w:tc>
        <w:tc>
          <w:tcPr>
            <w:tcW w:w="813" w:type="dxa"/>
          </w:tcPr>
          <w:p w14:paraId="236877C5"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070" w:type="dxa"/>
          </w:tcPr>
          <w:p w14:paraId="79C7820D"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024" w:type="dxa"/>
          </w:tcPr>
          <w:p w14:paraId="75D5237B"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594" w:type="dxa"/>
            <w:vAlign w:val="bottom"/>
          </w:tcPr>
          <w:p w14:paraId="0CBF2225" w14:textId="65163959" w:rsidR="001D4818" w:rsidRPr="001D4818" w:rsidRDefault="001D4818" w:rsidP="001D4818">
            <w:pPr>
              <w:spacing w:line="240" w:lineRule="auto"/>
              <w:rPr>
                <w:rFonts w:ascii="Times New Roman" w:eastAsia="Times New Roman" w:hAnsi="Times New Roman" w:cs="Times New Roman"/>
                <w:lang w:eastAsia="bg-BG"/>
              </w:rPr>
            </w:pPr>
            <w:r w:rsidRPr="001D4818">
              <w:t>Психични разстройства, включително объркване и халюцинации</w:t>
            </w:r>
          </w:p>
        </w:tc>
        <w:tc>
          <w:tcPr>
            <w:tcW w:w="1924" w:type="dxa"/>
          </w:tcPr>
          <w:p w14:paraId="1B8D8DAE"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819" w:type="dxa"/>
          </w:tcPr>
          <w:p w14:paraId="20811472" w14:textId="20A2FAE7" w:rsidR="001D4818" w:rsidRPr="001D4818" w:rsidRDefault="001D4818" w:rsidP="001D4818">
            <w:pPr>
              <w:spacing w:line="240" w:lineRule="auto"/>
              <w:rPr>
                <w:rFonts w:ascii="Times New Roman" w:eastAsia="Times New Roman" w:hAnsi="Times New Roman" w:cs="Times New Roman"/>
                <w:lang w:eastAsia="bg-BG"/>
              </w:rPr>
            </w:pPr>
            <w:r w:rsidRPr="001D4818">
              <w:t>Състояние на депресия</w:t>
            </w:r>
          </w:p>
        </w:tc>
      </w:tr>
      <w:tr w:rsidR="001D4818" w14:paraId="640D7941" w14:textId="77777777" w:rsidTr="001D4818">
        <w:tc>
          <w:tcPr>
            <w:tcW w:w="1332" w:type="dxa"/>
          </w:tcPr>
          <w:p w14:paraId="1E62D1C7" w14:textId="27803527" w:rsidR="001D4818" w:rsidRPr="001D4818" w:rsidRDefault="001D4818" w:rsidP="001D4818">
            <w:pPr>
              <w:spacing w:line="240" w:lineRule="auto"/>
              <w:rPr>
                <w:rFonts w:ascii="Times New Roman" w:eastAsia="Times New Roman" w:hAnsi="Times New Roman" w:cs="Times New Roman"/>
                <w:lang w:eastAsia="bg-BG"/>
              </w:rPr>
            </w:pPr>
            <w:r w:rsidRPr="001D4818">
              <w:t>Нарушения на нервната система</w:t>
            </w:r>
          </w:p>
        </w:tc>
        <w:tc>
          <w:tcPr>
            <w:tcW w:w="813" w:type="dxa"/>
          </w:tcPr>
          <w:p w14:paraId="50168234"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070" w:type="dxa"/>
          </w:tcPr>
          <w:p w14:paraId="0A8DE69A"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024" w:type="dxa"/>
          </w:tcPr>
          <w:p w14:paraId="00D45008" w14:textId="7C83ECB6" w:rsidR="001D4818" w:rsidRPr="001D4818" w:rsidRDefault="001D4818" w:rsidP="001D4818">
            <w:pPr>
              <w:spacing w:line="240" w:lineRule="auto"/>
              <w:rPr>
                <w:rFonts w:ascii="Times New Roman" w:eastAsia="Times New Roman" w:hAnsi="Times New Roman" w:cs="Times New Roman"/>
                <w:lang w:eastAsia="bg-BG"/>
              </w:rPr>
            </w:pPr>
            <w:r w:rsidRPr="001D4818">
              <w:t>Главо</w:t>
            </w:r>
            <w:r w:rsidRPr="001D4818">
              <w:softHyphen/>
              <w:t>болие</w:t>
            </w:r>
          </w:p>
        </w:tc>
        <w:tc>
          <w:tcPr>
            <w:tcW w:w="1594" w:type="dxa"/>
          </w:tcPr>
          <w:p w14:paraId="6C0EEB37" w14:textId="6C1CF042" w:rsidR="001D4818" w:rsidRPr="001D4818" w:rsidRDefault="001D4818" w:rsidP="001D4818">
            <w:pPr>
              <w:spacing w:line="240" w:lineRule="auto"/>
              <w:rPr>
                <w:rFonts w:ascii="Times New Roman" w:eastAsia="Times New Roman" w:hAnsi="Times New Roman" w:cs="Times New Roman"/>
                <w:lang w:eastAsia="bg-BG"/>
              </w:rPr>
            </w:pPr>
            <w:r w:rsidRPr="001D4818">
              <w:t>Периферна невропатия, атаксия, замайване, световъртеж</w:t>
            </w:r>
          </w:p>
        </w:tc>
        <w:tc>
          <w:tcPr>
            <w:tcW w:w="1924" w:type="dxa"/>
            <w:vAlign w:val="bottom"/>
          </w:tcPr>
          <w:p w14:paraId="1362928C" w14:textId="2D3A14C8" w:rsidR="001D4818" w:rsidRPr="001D4818" w:rsidRDefault="001D4818" w:rsidP="001D4818">
            <w:pPr>
              <w:spacing w:line="240" w:lineRule="auto"/>
              <w:rPr>
                <w:rFonts w:ascii="Times New Roman" w:eastAsia="Times New Roman" w:hAnsi="Times New Roman" w:cs="Times New Roman"/>
                <w:lang w:eastAsia="bg-BG"/>
              </w:rPr>
            </w:pPr>
            <w:r w:rsidRPr="001D4818">
              <w:t>Енцефало-патия (объркване) и подостър мозъчен синдром (напр. атаксия, дизартрия, увреждане на походката, нистагъм и тремор), които могат да отзвучат с прекратяване на приема на лекарството</w:t>
            </w:r>
          </w:p>
        </w:tc>
        <w:tc>
          <w:tcPr>
            <w:tcW w:w="1819" w:type="dxa"/>
          </w:tcPr>
          <w:p w14:paraId="479CC3B9" w14:textId="283BF96D" w:rsidR="001D4818" w:rsidRPr="001D4818" w:rsidRDefault="001D4818" w:rsidP="001D4818">
            <w:pPr>
              <w:spacing w:line="240" w:lineRule="auto"/>
              <w:rPr>
                <w:rFonts w:ascii="Times New Roman" w:eastAsia="Times New Roman" w:hAnsi="Times New Roman" w:cs="Times New Roman"/>
                <w:lang w:eastAsia="bg-BG"/>
              </w:rPr>
            </w:pPr>
            <w:r w:rsidRPr="001D4818">
              <w:t>Дезориента</w:t>
            </w:r>
            <w:r w:rsidRPr="001D4818">
              <w:softHyphen/>
              <w:t>ция, възбуда, преходни епилепти- формни припадъци, асептичен менингит</w:t>
            </w:r>
          </w:p>
        </w:tc>
      </w:tr>
      <w:tr w:rsidR="001D4818" w14:paraId="4FCACEEE" w14:textId="77777777" w:rsidTr="001D4818">
        <w:tc>
          <w:tcPr>
            <w:tcW w:w="1332" w:type="dxa"/>
          </w:tcPr>
          <w:p w14:paraId="73F1A5C6" w14:textId="1FDC89FD" w:rsidR="001D4818" w:rsidRPr="001D4818" w:rsidRDefault="001D4818" w:rsidP="001D4818">
            <w:pPr>
              <w:spacing w:line="240" w:lineRule="auto"/>
              <w:rPr>
                <w:rFonts w:ascii="Times New Roman" w:eastAsia="Times New Roman" w:hAnsi="Times New Roman" w:cs="Times New Roman"/>
                <w:lang w:eastAsia="bg-BG"/>
              </w:rPr>
            </w:pPr>
            <w:r w:rsidRPr="001D4818">
              <w:t>Очни нарушения</w:t>
            </w:r>
          </w:p>
        </w:tc>
        <w:tc>
          <w:tcPr>
            <w:tcW w:w="813" w:type="dxa"/>
          </w:tcPr>
          <w:p w14:paraId="1871A41A"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070" w:type="dxa"/>
          </w:tcPr>
          <w:p w14:paraId="5AB146FF"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024" w:type="dxa"/>
          </w:tcPr>
          <w:p w14:paraId="5DFD7E66"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594" w:type="dxa"/>
          </w:tcPr>
          <w:p w14:paraId="60E7001F"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924" w:type="dxa"/>
            <w:vAlign w:val="bottom"/>
          </w:tcPr>
          <w:p w14:paraId="18FC82C6" w14:textId="6AA67C02" w:rsidR="001D4818" w:rsidRPr="001D4818" w:rsidRDefault="001D4818" w:rsidP="001D4818">
            <w:pPr>
              <w:spacing w:line="240" w:lineRule="auto"/>
              <w:rPr>
                <w:rFonts w:ascii="Times New Roman" w:eastAsia="Times New Roman" w:hAnsi="Times New Roman" w:cs="Times New Roman"/>
                <w:lang w:eastAsia="bg-BG"/>
              </w:rPr>
            </w:pPr>
            <w:r w:rsidRPr="001D4818">
              <w:t>Нарушения на зрението като диплопия и късогледство, замъглено зрение, които в повечето случаи са преходни</w:t>
            </w:r>
          </w:p>
        </w:tc>
        <w:tc>
          <w:tcPr>
            <w:tcW w:w="1819" w:type="dxa"/>
          </w:tcPr>
          <w:p w14:paraId="2A31B3C8" w14:textId="0FF05569" w:rsidR="001D4818" w:rsidRPr="001D4818" w:rsidRDefault="001D4818" w:rsidP="001D4818">
            <w:pPr>
              <w:spacing w:line="240" w:lineRule="auto"/>
              <w:rPr>
                <w:rFonts w:ascii="Times New Roman" w:eastAsia="Times New Roman" w:hAnsi="Times New Roman" w:cs="Times New Roman"/>
                <w:lang w:eastAsia="bg-BG"/>
              </w:rPr>
            </w:pPr>
            <w:r w:rsidRPr="001D4818">
              <w:t>Оптична невропатия/ неврит</w:t>
            </w:r>
          </w:p>
        </w:tc>
      </w:tr>
      <w:tr w:rsidR="001D4818" w14:paraId="571D23CD" w14:textId="77777777" w:rsidTr="001D4818">
        <w:tc>
          <w:tcPr>
            <w:tcW w:w="1332" w:type="dxa"/>
          </w:tcPr>
          <w:p w14:paraId="3271610B" w14:textId="12095A37" w:rsidR="001D4818" w:rsidRPr="001D4818" w:rsidRDefault="001D4818" w:rsidP="001D4818">
            <w:pPr>
              <w:spacing w:line="240" w:lineRule="auto"/>
              <w:rPr>
                <w:rFonts w:ascii="Times New Roman" w:eastAsia="Times New Roman" w:hAnsi="Times New Roman" w:cs="Times New Roman"/>
                <w:lang w:eastAsia="bg-BG"/>
              </w:rPr>
            </w:pPr>
            <w:r w:rsidRPr="001D4818">
              <w:t>Нарушения на ухото и лабиринта</w:t>
            </w:r>
          </w:p>
        </w:tc>
        <w:tc>
          <w:tcPr>
            <w:tcW w:w="813" w:type="dxa"/>
          </w:tcPr>
          <w:p w14:paraId="42A4C201"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070" w:type="dxa"/>
          </w:tcPr>
          <w:p w14:paraId="45B3867E"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024" w:type="dxa"/>
          </w:tcPr>
          <w:p w14:paraId="133B595B"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594" w:type="dxa"/>
          </w:tcPr>
          <w:p w14:paraId="66DFB9C5"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924" w:type="dxa"/>
          </w:tcPr>
          <w:p w14:paraId="2FE69FDF"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819" w:type="dxa"/>
            <w:vAlign w:val="bottom"/>
          </w:tcPr>
          <w:p w14:paraId="3D8FF7AB" w14:textId="0BD6A4E2" w:rsidR="001D4818" w:rsidRPr="001D4818" w:rsidRDefault="001D4818" w:rsidP="001D4818">
            <w:pPr>
              <w:spacing w:line="240" w:lineRule="auto"/>
              <w:rPr>
                <w:rFonts w:ascii="Times New Roman" w:eastAsia="Times New Roman" w:hAnsi="Times New Roman" w:cs="Times New Roman"/>
                <w:lang w:eastAsia="bg-BG"/>
              </w:rPr>
            </w:pPr>
            <w:r w:rsidRPr="001D4818">
              <w:t xml:space="preserve">Увреден слух/ загуба на слуха </w:t>
            </w:r>
            <w:r w:rsidRPr="001D4818">
              <w:lastRenderedPageBreak/>
              <w:t>(включително сензоневрално), шум в ушите</w:t>
            </w:r>
          </w:p>
        </w:tc>
      </w:tr>
      <w:tr w:rsidR="001D4818" w14:paraId="4B25EACD" w14:textId="77777777" w:rsidTr="001D4818">
        <w:tc>
          <w:tcPr>
            <w:tcW w:w="1332" w:type="dxa"/>
          </w:tcPr>
          <w:p w14:paraId="13F350A8" w14:textId="44802EB8" w:rsidR="001D4818" w:rsidRPr="001D4818" w:rsidRDefault="001D4818" w:rsidP="001D4818">
            <w:pPr>
              <w:spacing w:line="240" w:lineRule="auto"/>
              <w:rPr>
                <w:rFonts w:ascii="Times New Roman" w:eastAsia="Times New Roman" w:hAnsi="Times New Roman" w:cs="Times New Roman"/>
                <w:lang w:eastAsia="bg-BG"/>
              </w:rPr>
            </w:pPr>
            <w:r w:rsidRPr="001D4818">
              <w:lastRenderedPageBreak/>
              <w:t>Сърдечни нарушения</w:t>
            </w:r>
          </w:p>
        </w:tc>
        <w:tc>
          <w:tcPr>
            <w:tcW w:w="813" w:type="dxa"/>
          </w:tcPr>
          <w:p w14:paraId="786A070F"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070" w:type="dxa"/>
          </w:tcPr>
          <w:p w14:paraId="169DB5F9"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024" w:type="dxa"/>
          </w:tcPr>
          <w:p w14:paraId="3B5ADE1C"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594" w:type="dxa"/>
          </w:tcPr>
          <w:p w14:paraId="2807AB0B"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924" w:type="dxa"/>
          </w:tcPr>
          <w:p w14:paraId="49399ACA"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819" w:type="dxa"/>
            <w:vAlign w:val="bottom"/>
          </w:tcPr>
          <w:p w14:paraId="41F41066" w14:textId="048D20AA" w:rsidR="001D4818" w:rsidRPr="001D4818" w:rsidRDefault="001D4818" w:rsidP="001D4818">
            <w:pPr>
              <w:spacing w:line="240" w:lineRule="auto"/>
              <w:rPr>
                <w:rFonts w:ascii="Times New Roman" w:eastAsia="Times New Roman" w:hAnsi="Times New Roman" w:cs="Times New Roman"/>
                <w:lang w:eastAsia="bg-BG"/>
              </w:rPr>
            </w:pPr>
            <w:r w:rsidRPr="001D4818">
              <w:t>Електрокар- диографски промени</w:t>
            </w:r>
          </w:p>
        </w:tc>
      </w:tr>
      <w:tr w:rsidR="001D4818" w14:paraId="1E97DC3A" w14:textId="77777777" w:rsidTr="001D4818">
        <w:tc>
          <w:tcPr>
            <w:tcW w:w="1332" w:type="dxa"/>
          </w:tcPr>
          <w:p w14:paraId="08AD9AD6" w14:textId="352AC8BD" w:rsidR="001D4818" w:rsidRPr="001D4818" w:rsidRDefault="001D4818" w:rsidP="001D4818">
            <w:pPr>
              <w:spacing w:line="240" w:lineRule="auto"/>
              <w:rPr>
                <w:rFonts w:ascii="Times New Roman" w:eastAsia="Times New Roman" w:hAnsi="Times New Roman" w:cs="Times New Roman"/>
                <w:lang w:eastAsia="bg-BG"/>
              </w:rPr>
            </w:pPr>
            <w:r w:rsidRPr="001D4818">
              <w:t>Стомашно- чревни нарушения</w:t>
            </w:r>
          </w:p>
        </w:tc>
        <w:tc>
          <w:tcPr>
            <w:tcW w:w="813" w:type="dxa"/>
          </w:tcPr>
          <w:p w14:paraId="0719A77D"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070" w:type="dxa"/>
          </w:tcPr>
          <w:p w14:paraId="7E3B0C2C" w14:textId="4563D03A" w:rsidR="001D4818" w:rsidRPr="001D4818" w:rsidRDefault="001D4818" w:rsidP="001D4818">
            <w:pPr>
              <w:spacing w:line="240" w:lineRule="auto"/>
              <w:rPr>
                <w:rFonts w:ascii="Times New Roman" w:eastAsia="Times New Roman" w:hAnsi="Times New Roman" w:cs="Times New Roman"/>
                <w:lang w:eastAsia="bg-BG"/>
              </w:rPr>
            </w:pPr>
            <w:r w:rsidRPr="001D4818">
              <w:t>Метален вкус</w:t>
            </w:r>
          </w:p>
        </w:tc>
        <w:tc>
          <w:tcPr>
            <w:tcW w:w="1024" w:type="dxa"/>
          </w:tcPr>
          <w:p w14:paraId="3A4EE2CE"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594" w:type="dxa"/>
            <w:vAlign w:val="bottom"/>
          </w:tcPr>
          <w:p w14:paraId="7F5FC52F" w14:textId="21382B8C" w:rsidR="001D4818" w:rsidRPr="001D4818" w:rsidRDefault="001D4818" w:rsidP="001D4818">
            <w:pPr>
              <w:spacing w:line="240" w:lineRule="auto"/>
              <w:rPr>
                <w:rFonts w:ascii="Times New Roman" w:eastAsia="Times New Roman" w:hAnsi="Times New Roman" w:cs="Times New Roman"/>
                <w:lang w:eastAsia="bg-BG"/>
              </w:rPr>
            </w:pPr>
            <w:r w:rsidRPr="001D4818">
              <w:t>Гадене, повръщане, диария, анорексия</w:t>
            </w:r>
          </w:p>
        </w:tc>
        <w:tc>
          <w:tcPr>
            <w:tcW w:w="1924" w:type="dxa"/>
          </w:tcPr>
          <w:p w14:paraId="181C9FCD" w14:textId="02EB519C" w:rsidR="001D4818" w:rsidRPr="001D4818" w:rsidRDefault="001D4818" w:rsidP="001D4818">
            <w:pPr>
              <w:spacing w:line="240" w:lineRule="auto"/>
              <w:rPr>
                <w:rFonts w:ascii="Times New Roman" w:eastAsia="Times New Roman" w:hAnsi="Times New Roman" w:cs="Times New Roman"/>
                <w:lang w:eastAsia="bg-BG"/>
              </w:rPr>
            </w:pPr>
            <w:r w:rsidRPr="001D4818">
              <w:t>Панкреатит</w:t>
            </w:r>
          </w:p>
        </w:tc>
        <w:tc>
          <w:tcPr>
            <w:tcW w:w="1819" w:type="dxa"/>
          </w:tcPr>
          <w:p w14:paraId="1D2B3B8A" w14:textId="18A6868C" w:rsidR="001D4818" w:rsidRPr="001D4818" w:rsidRDefault="001D4818" w:rsidP="001D4818">
            <w:pPr>
              <w:spacing w:line="240" w:lineRule="auto"/>
              <w:rPr>
                <w:rFonts w:ascii="Times New Roman" w:eastAsia="Times New Roman" w:hAnsi="Times New Roman" w:cs="Times New Roman"/>
                <w:lang w:eastAsia="bg-BG"/>
              </w:rPr>
            </w:pPr>
            <w:r w:rsidRPr="001D4818">
              <w:t>Коремна болка</w:t>
            </w:r>
          </w:p>
        </w:tc>
      </w:tr>
      <w:tr w:rsidR="001D4818" w14:paraId="6E03B932" w14:textId="77777777" w:rsidTr="001D4818">
        <w:tc>
          <w:tcPr>
            <w:tcW w:w="1332" w:type="dxa"/>
          </w:tcPr>
          <w:p w14:paraId="42E84E4C" w14:textId="4784572B" w:rsidR="001D4818" w:rsidRPr="001D4818" w:rsidRDefault="001D4818" w:rsidP="001D4818">
            <w:pPr>
              <w:spacing w:line="240" w:lineRule="auto"/>
              <w:rPr>
                <w:rFonts w:ascii="Times New Roman" w:eastAsia="Times New Roman" w:hAnsi="Times New Roman" w:cs="Times New Roman"/>
                <w:lang w:eastAsia="bg-BG"/>
              </w:rPr>
            </w:pPr>
            <w:r w:rsidRPr="001D4818">
              <w:t>Хепато- билиарни нарушения</w:t>
            </w:r>
          </w:p>
        </w:tc>
        <w:tc>
          <w:tcPr>
            <w:tcW w:w="813" w:type="dxa"/>
          </w:tcPr>
          <w:p w14:paraId="6510A069"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070" w:type="dxa"/>
          </w:tcPr>
          <w:p w14:paraId="49E6BE13"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024" w:type="dxa"/>
          </w:tcPr>
          <w:p w14:paraId="3416C841" w14:textId="3B10E0D7" w:rsidR="001D4818" w:rsidRPr="001D4818" w:rsidRDefault="001D4818" w:rsidP="001D4818">
            <w:pPr>
              <w:spacing w:line="240" w:lineRule="auto"/>
              <w:rPr>
                <w:rFonts w:ascii="Times New Roman" w:eastAsia="Times New Roman" w:hAnsi="Times New Roman" w:cs="Times New Roman"/>
                <w:lang w:eastAsia="bg-BG"/>
              </w:rPr>
            </w:pPr>
            <w:r w:rsidRPr="001D4818">
              <w:t>Черно</w:t>
            </w:r>
            <w:r w:rsidRPr="001D4818">
              <w:softHyphen/>
              <w:t>дробно увреж</w:t>
            </w:r>
            <w:r w:rsidRPr="001D4818">
              <w:softHyphen/>
              <w:t>дане</w:t>
            </w:r>
          </w:p>
        </w:tc>
        <w:tc>
          <w:tcPr>
            <w:tcW w:w="1594" w:type="dxa"/>
          </w:tcPr>
          <w:p w14:paraId="690D27EC"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924" w:type="dxa"/>
          </w:tcPr>
          <w:p w14:paraId="118E783E" w14:textId="77777777" w:rsidR="001D4818" w:rsidRPr="001D4818" w:rsidRDefault="001D4818" w:rsidP="001D4818">
            <w:r w:rsidRPr="001D4818">
              <w:t xml:space="preserve">Увеличаване на чернодробните ензими </w:t>
            </w:r>
            <w:r w:rsidRPr="001D4818">
              <w:rPr>
                <w:lang w:val="en-US"/>
              </w:rPr>
              <w:t xml:space="preserve">(AST, ALT, </w:t>
            </w:r>
            <w:r w:rsidRPr="001D4818">
              <w:t>алкална фосфатаза), холестатичен или смесен хепатит и хепатоцелуларно увреждане на черния дроб,</w:t>
            </w:r>
            <w:r w:rsidRPr="001D4818">
              <w:rPr>
                <w:i/>
                <w:iCs/>
              </w:rPr>
              <w:t xml:space="preserve"> </w:t>
            </w:r>
            <w:r w:rsidRPr="001D4818">
              <w:t>жълтеница</w:t>
            </w:r>
          </w:p>
          <w:p w14:paraId="38C17F6C" w14:textId="4B634548" w:rsidR="001D4818" w:rsidRPr="001D4818" w:rsidRDefault="001D4818" w:rsidP="001D4818">
            <w:pPr>
              <w:spacing w:line="240" w:lineRule="auto"/>
              <w:rPr>
                <w:rFonts w:ascii="Times New Roman" w:eastAsia="Times New Roman" w:hAnsi="Times New Roman" w:cs="Times New Roman"/>
                <w:lang w:eastAsia="bg-BG"/>
              </w:rPr>
            </w:pPr>
            <w:r w:rsidRPr="001D4818">
              <w:t xml:space="preserve">Има съобщения </w:t>
            </w:r>
            <w:r w:rsidRPr="001D4818">
              <w:t>за случаи на чернодробна недостатъчност, изискващи чернодробна трансплантация при пациенти, лекувани с метронидазол, най-вече когато се използват в комбинация с Други антибиотични лекарства</w:t>
            </w:r>
          </w:p>
        </w:tc>
        <w:tc>
          <w:tcPr>
            <w:tcW w:w="1819" w:type="dxa"/>
            <w:textDirection w:val="btLr"/>
          </w:tcPr>
          <w:p w14:paraId="72422148" w14:textId="77777777" w:rsidR="001D4818" w:rsidRPr="001D4818" w:rsidRDefault="001D4818" w:rsidP="001D4818">
            <w:pPr>
              <w:spacing w:line="240" w:lineRule="auto"/>
              <w:rPr>
                <w:rFonts w:ascii="Times New Roman" w:eastAsia="Times New Roman" w:hAnsi="Times New Roman" w:cs="Times New Roman"/>
                <w:lang w:eastAsia="bg-BG"/>
              </w:rPr>
            </w:pPr>
          </w:p>
        </w:tc>
      </w:tr>
      <w:tr w:rsidR="001D4818" w14:paraId="598787B2" w14:textId="77777777" w:rsidTr="001D4818">
        <w:tc>
          <w:tcPr>
            <w:tcW w:w="1332" w:type="dxa"/>
          </w:tcPr>
          <w:p w14:paraId="1FE49EB0" w14:textId="00EB702C" w:rsidR="001D4818" w:rsidRPr="001D4818" w:rsidRDefault="001D4818" w:rsidP="001D4818">
            <w:pPr>
              <w:spacing w:line="240" w:lineRule="auto"/>
              <w:rPr>
                <w:rFonts w:ascii="Times New Roman" w:eastAsia="Times New Roman" w:hAnsi="Times New Roman" w:cs="Times New Roman"/>
                <w:lang w:eastAsia="bg-BG"/>
              </w:rPr>
            </w:pPr>
            <w:r w:rsidRPr="001D4818">
              <w:t>Нарушения на кожата и подкожната тъкан</w:t>
            </w:r>
          </w:p>
        </w:tc>
        <w:tc>
          <w:tcPr>
            <w:tcW w:w="813" w:type="dxa"/>
          </w:tcPr>
          <w:p w14:paraId="20A89297"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070" w:type="dxa"/>
          </w:tcPr>
          <w:p w14:paraId="7E0C7DB9"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024" w:type="dxa"/>
          </w:tcPr>
          <w:p w14:paraId="40401E5D"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594" w:type="dxa"/>
          </w:tcPr>
          <w:p w14:paraId="76D9AEDF" w14:textId="633AFBAF" w:rsidR="001D4818" w:rsidRPr="001D4818" w:rsidRDefault="001D4818" w:rsidP="001D4818">
            <w:pPr>
              <w:spacing w:line="240" w:lineRule="auto"/>
              <w:rPr>
                <w:rFonts w:ascii="Times New Roman" w:eastAsia="Times New Roman" w:hAnsi="Times New Roman" w:cs="Times New Roman"/>
                <w:lang w:eastAsia="bg-BG"/>
              </w:rPr>
            </w:pPr>
            <w:r w:rsidRPr="001D4818">
              <w:t>Обрив, уртикария</w:t>
            </w:r>
          </w:p>
        </w:tc>
        <w:tc>
          <w:tcPr>
            <w:tcW w:w="1924" w:type="dxa"/>
          </w:tcPr>
          <w:p w14:paraId="1816A018" w14:textId="68D64F26" w:rsidR="001D4818" w:rsidRPr="001D4818" w:rsidRDefault="001D4818" w:rsidP="001D4818">
            <w:pPr>
              <w:spacing w:line="240" w:lineRule="auto"/>
              <w:rPr>
                <w:rFonts w:ascii="Times New Roman" w:eastAsia="Times New Roman" w:hAnsi="Times New Roman" w:cs="Times New Roman"/>
                <w:lang w:eastAsia="bg-BG"/>
              </w:rPr>
            </w:pPr>
            <w:r w:rsidRPr="001D4818">
              <w:t xml:space="preserve">Гнойни обриви, остра генерализирана екзантемална пустулоза, </w:t>
            </w:r>
            <w:r w:rsidRPr="001D4818">
              <w:lastRenderedPageBreak/>
              <w:t>сърбеж, зачервяване</w:t>
            </w:r>
          </w:p>
        </w:tc>
        <w:tc>
          <w:tcPr>
            <w:tcW w:w="1819" w:type="dxa"/>
          </w:tcPr>
          <w:p w14:paraId="37086E98" w14:textId="00A763AA" w:rsidR="001D4818" w:rsidRPr="001D4818" w:rsidRDefault="001D4818" w:rsidP="001D4818">
            <w:pPr>
              <w:spacing w:line="240" w:lineRule="auto"/>
              <w:rPr>
                <w:rFonts w:ascii="Times New Roman" w:eastAsia="Times New Roman" w:hAnsi="Times New Roman" w:cs="Times New Roman"/>
                <w:lang w:eastAsia="bg-BG"/>
              </w:rPr>
            </w:pPr>
            <w:r w:rsidRPr="001D4818">
              <w:lastRenderedPageBreak/>
              <w:t xml:space="preserve">Еритемна мултиформе, синдром на </w:t>
            </w:r>
            <w:r w:rsidRPr="001D4818">
              <w:rPr>
                <w:lang w:val="en-US"/>
              </w:rPr>
              <w:t xml:space="preserve">Steven-Johnson </w:t>
            </w:r>
            <w:r w:rsidRPr="001D4818">
              <w:t xml:space="preserve">или токсична </w:t>
            </w:r>
            <w:r w:rsidRPr="001D4818">
              <w:lastRenderedPageBreak/>
              <w:t>епидермална некролиза, лекарство- свързан обрив</w:t>
            </w:r>
          </w:p>
        </w:tc>
      </w:tr>
      <w:tr w:rsidR="001D4818" w14:paraId="7D393FAB" w14:textId="77777777" w:rsidTr="001D4818">
        <w:tc>
          <w:tcPr>
            <w:tcW w:w="1332" w:type="dxa"/>
          </w:tcPr>
          <w:p w14:paraId="3F6DA6A2" w14:textId="30A711BA" w:rsidR="001D4818" w:rsidRPr="001D4818" w:rsidRDefault="001D4818" w:rsidP="001D4818">
            <w:pPr>
              <w:spacing w:line="240" w:lineRule="auto"/>
              <w:rPr>
                <w:rFonts w:ascii="Times New Roman" w:eastAsia="Times New Roman" w:hAnsi="Times New Roman" w:cs="Times New Roman"/>
                <w:lang w:eastAsia="bg-BG"/>
              </w:rPr>
            </w:pPr>
            <w:r w:rsidRPr="001D4818">
              <w:lastRenderedPageBreak/>
              <w:t>Мускулно- скелетни нарушения и нарушения иа съединителната тъкан</w:t>
            </w:r>
          </w:p>
        </w:tc>
        <w:tc>
          <w:tcPr>
            <w:tcW w:w="813" w:type="dxa"/>
          </w:tcPr>
          <w:p w14:paraId="6C9E6F10"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070" w:type="dxa"/>
          </w:tcPr>
          <w:p w14:paraId="1517AD54"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024" w:type="dxa"/>
          </w:tcPr>
          <w:p w14:paraId="48613460"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594" w:type="dxa"/>
          </w:tcPr>
          <w:p w14:paraId="54231DF1"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924" w:type="dxa"/>
          </w:tcPr>
          <w:p w14:paraId="624082F0" w14:textId="145FE36B" w:rsidR="001D4818" w:rsidRPr="001D4818" w:rsidRDefault="001D4818" w:rsidP="001D4818">
            <w:pPr>
              <w:spacing w:line="240" w:lineRule="auto"/>
              <w:rPr>
                <w:rFonts w:ascii="Times New Roman" w:eastAsia="Times New Roman" w:hAnsi="Times New Roman" w:cs="Times New Roman"/>
                <w:lang w:eastAsia="bg-BG"/>
              </w:rPr>
            </w:pPr>
            <w:r w:rsidRPr="001D4818">
              <w:t>Миалгия, артралгия</w:t>
            </w:r>
          </w:p>
        </w:tc>
        <w:tc>
          <w:tcPr>
            <w:tcW w:w="1819" w:type="dxa"/>
          </w:tcPr>
          <w:p w14:paraId="5FEC099A" w14:textId="77777777" w:rsidR="001D4818" w:rsidRPr="001D4818" w:rsidRDefault="001D4818" w:rsidP="001D4818">
            <w:pPr>
              <w:spacing w:line="240" w:lineRule="auto"/>
              <w:rPr>
                <w:rFonts w:ascii="Times New Roman" w:eastAsia="Times New Roman" w:hAnsi="Times New Roman" w:cs="Times New Roman"/>
                <w:lang w:eastAsia="bg-BG"/>
              </w:rPr>
            </w:pPr>
          </w:p>
        </w:tc>
      </w:tr>
      <w:tr w:rsidR="001D4818" w14:paraId="489E8293" w14:textId="77777777" w:rsidTr="001D4818">
        <w:tc>
          <w:tcPr>
            <w:tcW w:w="1332" w:type="dxa"/>
          </w:tcPr>
          <w:p w14:paraId="184C8473" w14:textId="3DA42C7E" w:rsidR="001D4818" w:rsidRPr="001D4818" w:rsidRDefault="001D4818" w:rsidP="001D4818">
            <w:pPr>
              <w:spacing w:line="240" w:lineRule="auto"/>
              <w:rPr>
                <w:rFonts w:ascii="Times New Roman" w:eastAsia="Times New Roman" w:hAnsi="Times New Roman" w:cs="Times New Roman"/>
                <w:lang w:eastAsia="bg-BG"/>
              </w:rPr>
            </w:pPr>
            <w:r w:rsidRPr="001D4818">
              <w:t>Нарушения на бъбреците и пикочните пътища</w:t>
            </w:r>
          </w:p>
        </w:tc>
        <w:tc>
          <w:tcPr>
            <w:tcW w:w="813" w:type="dxa"/>
          </w:tcPr>
          <w:p w14:paraId="4A81F709"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070" w:type="dxa"/>
          </w:tcPr>
          <w:p w14:paraId="76EEE424"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024" w:type="dxa"/>
          </w:tcPr>
          <w:p w14:paraId="45B32B0B"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594" w:type="dxa"/>
          </w:tcPr>
          <w:p w14:paraId="0587297B" w14:textId="5E4BAAD6" w:rsidR="001D4818" w:rsidRPr="001D4818" w:rsidRDefault="001D4818" w:rsidP="001D4818">
            <w:pPr>
              <w:spacing w:line="240" w:lineRule="auto"/>
              <w:rPr>
                <w:rFonts w:ascii="Times New Roman" w:eastAsia="Times New Roman" w:hAnsi="Times New Roman" w:cs="Times New Roman"/>
                <w:lang w:eastAsia="bg-BG"/>
              </w:rPr>
            </w:pPr>
            <w:r w:rsidRPr="001D4818">
              <w:t>Тъмно или червено- кафяво оцветяване на урината</w:t>
            </w:r>
          </w:p>
        </w:tc>
        <w:tc>
          <w:tcPr>
            <w:tcW w:w="1924" w:type="dxa"/>
          </w:tcPr>
          <w:p w14:paraId="2D4EF70D"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819" w:type="dxa"/>
          </w:tcPr>
          <w:p w14:paraId="49687D5F" w14:textId="77777777" w:rsidR="001D4818" w:rsidRPr="001D4818" w:rsidRDefault="001D4818" w:rsidP="001D4818">
            <w:pPr>
              <w:spacing w:line="240" w:lineRule="auto"/>
              <w:rPr>
                <w:rFonts w:ascii="Times New Roman" w:eastAsia="Times New Roman" w:hAnsi="Times New Roman" w:cs="Times New Roman"/>
                <w:lang w:eastAsia="bg-BG"/>
              </w:rPr>
            </w:pPr>
          </w:p>
        </w:tc>
      </w:tr>
      <w:tr w:rsidR="001D4818" w14:paraId="19116556" w14:textId="77777777" w:rsidTr="001D4818">
        <w:tc>
          <w:tcPr>
            <w:tcW w:w="1332" w:type="dxa"/>
          </w:tcPr>
          <w:p w14:paraId="04040BCF" w14:textId="17E5B9CC" w:rsidR="001D4818" w:rsidRPr="001D4818" w:rsidRDefault="001D4818" w:rsidP="001D4818">
            <w:pPr>
              <w:spacing w:line="240" w:lineRule="auto"/>
              <w:rPr>
                <w:rFonts w:ascii="Times New Roman" w:eastAsia="Times New Roman" w:hAnsi="Times New Roman" w:cs="Times New Roman"/>
                <w:lang w:eastAsia="bg-BG"/>
              </w:rPr>
            </w:pPr>
            <w:r w:rsidRPr="001D4818">
              <w:t>Нарушения на възпроизво</w:t>
            </w:r>
            <w:r w:rsidRPr="001D4818">
              <w:softHyphen/>
              <w:t>дителната система и гърдата</w:t>
            </w:r>
          </w:p>
        </w:tc>
        <w:tc>
          <w:tcPr>
            <w:tcW w:w="813" w:type="dxa"/>
          </w:tcPr>
          <w:p w14:paraId="2A45C5D7"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070" w:type="dxa"/>
          </w:tcPr>
          <w:p w14:paraId="51C38113"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024" w:type="dxa"/>
          </w:tcPr>
          <w:p w14:paraId="543BAA0A"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594" w:type="dxa"/>
          </w:tcPr>
          <w:p w14:paraId="0FF7304E"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924" w:type="dxa"/>
          </w:tcPr>
          <w:p w14:paraId="1904DEAE"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819" w:type="dxa"/>
          </w:tcPr>
          <w:p w14:paraId="6ADF717B" w14:textId="631589B8" w:rsidR="001D4818" w:rsidRPr="001D4818" w:rsidRDefault="001D4818" w:rsidP="001D4818">
            <w:pPr>
              <w:spacing w:line="240" w:lineRule="auto"/>
              <w:rPr>
                <w:rFonts w:ascii="Times New Roman" w:eastAsia="Times New Roman" w:hAnsi="Times New Roman" w:cs="Times New Roman"/>
                <w:lang w:eastAsia="bg-BG"/>
              </w:rPr>
            </w:pPr>
            <w:r w:rsidRPr="001D4818">
              <w:t>Усещане за парене в пикочния канал или влагалището, гинекомастия</w:t>
            </w:r>
          </w:p>
        </w:tc>
      </w:tr>
      <w:tr w:rsidR="001D4818" w14:paraId="72615EF5" w14:textId="77777777" w:rsidTr="001D4818">
        <w:tc>
          <w:tcPr>
            <w:tcW w:w="1332" w:type="dxa"/>
          </w:tcPr>
          <w:p w14:paraId="4B694C37" w14:textId="4C51440A" w:rsidR="001D4818" w:rsidRPr="001D4818" w:rsidRDefault="001D4818" w:rsidP="001D4818">
            <w:pPr>
              <w:spacing w:line="240" w:lineRule="auto"/>
              <w:rPr>
                <w:rFonts w:ascii="Times New Roman" w:eastAsia="Times New Roman" w:hAnsi="Times New Roman" w:cs="Times New Roman"/>
                <w:lang w:eastAsia="bg-BG"/>
              </w:rPr>
            </w:pPr>
            <w:r w:rsidRPr="001D4818">
              <w:t>Общи нарушения и ефекти на мястото на приложението</w:t>
            </w:r>
          </w:p>
        </w:tc>
        <w:tc>
          <w:tcPr>
            <w:tcW w:w="813" w:type="dxa"/>
          </w:tcPr>
          <w:p w14:paraId="219DA7C2"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070" w:type="dxa"/>
          </w:tcPr>
          <w:p w14:paraId="64AC188F" w14:textId="77777777" w:rsidR="001D4818" w:rsidRPr="001D4818" w:rsidRDefault="001D4818" w:rsidP="001D4818">
            <w:r w:rsidRPr="001D4818">
              <w:t>локални реакции в</w:t>
            </w:r>
          </w:p>
          <w:p w14:paraId="3937197D" w14:textId="77777777" w:rsidR="001D4818" w:rsidRPr="001D4818" w:rsidRDefault="001D4818" w:rsidP="001D4818">
            <w:r w:rsidRPr="001D4818">
              <w:t>мястото на</w:t>
            </w:r>
          </w:p>
          <w:p w14:paraId="383985C8" w14:textId="11D9ADB3" w:rsidR="001D4818" w:rsidRPr="001D4818" w:rsidRDefault="001D4818" w:rsidP="001D4818">
            <w:pPr>
              <w:spacing w:line="240" w:lineRule="auto"/>
              <w:rPr>
                <w:rFonts w:ascii="Times New Roman" w:eastAsia="Times New Roman" w:hAnsi="Times New Roman" w:cs="Times New Roman"/>
                <w:lang w:eastAsia="bg-BG"/>
              </w:rPr>
            </w:pPr>
            <w:r w:rsidRPr="001D4818">
              <w:t>инжекти</w:t>
            </w:r>
            <w:r w:rsidRPr="001D4818">
              <w:softHyphen/>
              <w:t>ране (тромбо- флебит)</w:t>
            </w:r>
          </w:p>
        </w:tc>
        <w:tc>
          <w:tcPr>
            <w:tcW w:w="1024" w:type="dxa"/>
          </w:tcPr>
          <w:p w14:paraId="11CE2E5D"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594" w:type="dxa"/>
          </w:tcPr>
          <w:p w14:paraId="2DD55E0F"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924" w:type="dxa"/>
          </w:tcPr>
          <w:p w14:paraId="6D8628BB" w14:textId="77777777" w:rsidR="001D4818" w:rsidRPr="001D4818" w:rsidRDefault="001D4818" w:rsidP="001D4818">
            <w:pPr>
              <w:spacing w:line="240" w:lineRule="auto"/>
              <w:rPr>
                <w:rFonts w:ascii="Times New Roman" w:eastAsia="Times New Roman" w:hAnsi="Times New Roman" w:cs="Times New Roman"/>
                <w:lang w:eastAsia="bg-BG"/>
              </w:rPr>
            </w:pPr>
          </w:p>
        </w:tc>
        <w:tc>
          <w:tcPr>
            <w:tcW w:w="1819" w:type="dxa"/>
          </w:tcPr>
          <w:p w14:paraId="4ED5927B" w14:textId="77777777" w:rsidR="001D4818" w:rsidRPr="001D4818" w:rsidRDefault="001D4818" w:rsidP="001D4818">
            <w:pPr>
              <w:spacing w:line="240" w:lineRule="auto"/>
              <w:rPr>
                <w:rFonts w:ascii="Times New Roman" w:eastAsia="Times New Roman" w:hAnsi="Times New Roman" w:cs="Times New Roman"/>
                <w:lang w:eastAsia="bg-BG"/>
              </w:rPr>
            </w:pPr>
          </w:p>
        </w:tc>
      </w:tr>
    </w:tbl>
    <w:p w14:paraId="0C6DE052" w14:textId="66E964F9" w:rsidR="001D4818" w:rsidRDefault="001D4818" w:rsidP="001D4818">
      <w:pPr>
        <w:spacing w:line="240" w:lineRule="auto"/>
        <w:rPr>
          <w:rFonts w:ascii="Times New Roman" w:eastAsia="Times New Roman" w:hAnsi="Times New Roman" w:cs="Times New Roman"/>
          <w:sz w:val="24"/>
          <w:szCs w:val="24"/>
          <w:lang w:eastAsia="bg-BG"/>
        </w:rPr>
      </w:pPr>
    </w:p>
    <w:p w14:paraId="7118E750" w14:textId="77777777" w:rsidR="001D4818" w:rsidRPr="001D4818" w:rsidRDefault="001D4818" w:rsidP="001D4818">
      <w:pPr>
        <w:spacing w:line="240" w:lineRule="auto"/>
        <w:rPr>
          <w:rFonts w:eastAsia="Times New Roman" w:cs="Arial"/>
          <w:lang w:eastAsia="bg-BG"/>
        </w:rPr>
      </w:pPr>
      <w:r w:rsidRPr="001D4818">
        <w:rPr>
          <w:rFonts w:eastAsia="Times New Roman" w:cs="Arial"/>
          <w:color w:val="000000"/>
          <w:lang w:eastAsia="bg-BG"/>
        </w:rPr>
        <w:t>Честотата, вида и тежестта на нежеланите реакции при деца са същите като при възрстни</w:t>
      </w:r>
    </w:p>
    <w:p w14:paraId="7F31557C" w14:textId="77777777" w:rsidR="001D4818" w:rsidRPr="00C22B3F" w:rsidRDefault="001D4818" w:rsidP="001D4818">
      <w:pPr>
        <w:spacing w:line="240" w:lineRule="auto"/>
        <w:rPr>
          <w:rFonts w:eastAsia="Times New Roman" w:cs="Arial"/>
          <w:color w:val="000000"/>
          <w:u w:val="single"/>
          <w:lang w:eastAsia="bg-BG"/>
        </w:rPr>
      </w:pPr>
    </w:p>
    <w:p w14:paraId="636ED6F4" w14:textId="07450DDC" w:rsidR="001D4818" w:rsidRPr="001D4818" w:rsidRDefault="001D4818" w:rsidP="001D4818">
      <w:pPr>
        <w:spacing w:line="240" w:lineRule="auto"/>
        <w:rPr>
          <w:rFonts w:eastAsia="Times New Roman" w:cs="Arial"/>
          <w:lang w:eastAsia="bg-BG"/>
        </w:rPr>
      </w:pPr>
      <w:r w:rsidRPr="001D4818">
        <w:rPr>
          <w:rFonts w:eastAsia="Times New Roman" w:cs="Arial"/>
          <w:color w:val="000000"/>
          <w:u w:val="single"/>
          <w:lang w:eastAsia="bg-BG"/>
        </w:rPr>
        <w:t>Съобщаване на подозирани нежелани реакции</w:t>
      </w:r>
    </w:p>
    <w:p w14:paraId="687638E1" w14:textId="77777777" w:rsidR="00C22B3F" w:rsidRPr="00C22B3F" w:rsidRDefault="001D4818" w:rsidP="00C22B3F">
      <w:pPr>
        <w:rPr>
          <w:rFonts w:eastAsia="Times New Roman" w:cs="Arial"/>
          <w:lang w:eastAsia="bg-BG"/>
        </w:rPr>
      </w:pPr>
      <w:r w:rsidRPr="00C22B3F">
        <w:rPr>
          <w:rFonts w:eastAsia="Times New Roman" w:cs="Arial"/>
          <w:color w:val="000000"/>
          <w:lang w:eastAsia="bg-BG"/>
        </w:rPr>
        <w:t xml:space="preserve">Съобщаването на подозирани нежелани реакции след разрешаване за </w:t>
      </w:r>
      <w:r w:rsidRPr="00C22B3F">
        <w:rPr>
          <w:rFonts w:eastAsia="Times New Roman" w:cs="Arial"/>
          <w:color w:val="000000"/>
          <w:lang w:val="en-US"/>
        </w:rPr>
        <w:t>y</w:t>
      </w:r>
      <w:r w:rsidRPr="00C22B3F">
        <w:rPr>
          <w:rFonts w:eastAsia="Times New Roman" w:cs="Arial"/>
          <w:color w:val="000000"/>
          <w:lang w:eastAsia="bg-BG"/>
        </w:rPr>
        <w:t>потреба на лекарствения продукт е важно. Това позволява да продължи наблюдението на съотношението полза/риск за</w:t>
      </w:r>
      <w:r w:rsidR="00C22B3F" w:rsidRPr="00C22B3F">
        <w:rPr>
          <w:rFonts w:eastAsia="Times New Roman" w:cs="Arial"/>
          <w:color w:val="000000"/>
          <w:lang w:eastAsia="bg-BG"/>
        </w:rPr>
        <w:t xml:space="preserve"> </w:t>
      </w:r>
      <w:r w:rsidR="00C22B3F" w:rsidRPr="00C22B3F">
        <w:rPr>
          <w:rFonts w:eastAsia="Times New Roman" w:cs="Arial"/>
          <w:color w:val="000000"/>
          <w:lang w:eastAsia="bg-BG"/>
        </w:rPr>
        <w:t>лекарствения продукт. От медицинските специалисти се изисква да съобщават всяка подозирана нежелана реакция чрез Изпълнителна агенция по лекарствата</w:t>
      </w:r>
    </w:p>
    <w:p w14:paraId="1A70F365" w14:textId="77777777" w:rsidR="00C22B3F" w:rsidRPr="00C22B3F" w:rsidRDefault="00C22B3F" w:rsidP="00C22B3F">
      <w:pPr>
        <w:spacing w:line="240" w:lineRule="auto"/>
        <w:rPr>
          <w:rFonts w:eastAsia="Times New Roman" w:cs="Arial"/>
          <w:lang w:eastAsia="bg-BG"/>
        </w:rPr>
      </w:pPr>
      <w:r w:rsidRPr="00C22B3F">
        <w:rPr>
          <w:rFonts w:eastAsia="Times New Roman" w:cs="Arial"/>
          <w:color w:val="000000"/>
          <w:lang w:eastAsia="bg-BG"/>
        </w:rPr>
        <w:t>ул. „Дамян Груев” № 8</w:t>
      </w:r>
    </w:p>
    <w:p w14:paraId="7A36337E" w14:textId="77777777" w:rsidR="00C22B3F" w:rsidRPr="00C22B3F" w:rsidRDefault="00C22B3F" w:rsidP="00C22B3F">
      <w:pPr>
        <w:spacing w:line="240" w:lineRule="auto"/>
        <w:rPr>
          <w:rFonts w:eastAsia="Times New Roman" w:cs="Arial"/>
          <w:lang w:eastAsia="bg-BG"/>
        </w:rPr>
      </w:pPr>
      <w:r w:rsidRPr="00C22B3F">
        <w:rPr>
          <w:rFonts w:eastAsia="Times New Roman" w:cs="Arial"/>
          <w:color w:val="000000"/>
          <w:lang w:eastAsia="bg-BG"/>
        </w:rPr>
        <w:t>1303 София</w:t>
      </w:r>
    </w:p>
    <w:p w14:paraId="0C6265C2" w14:textId="77777777" w:rsidR="00C22B3F" w:rsidRPr="00C22B3F" w:rsidRDefault="00C22B3F" w:rsidP="00C22B3F">
      <w:pPr>
        <w:spacing w:line="240" w:lineRule="auto"/>
        <w:rPr>
          <w:rFonts w:eastAsia="Times New Roman" w:cs="Arial"/>
          <w:lang w:eastAsia="bg-BG"/>
        </w:rPr>
      </w:pPr>
      <w:r w:rsidRPr="00C22B3F">
        <w:rPr>
          <w:rFonts w:eastAsia="Times New Roman" w:cs="Arial"/>
          <w:color w:val="000000"/>
          <w:lang w:eastAsia="bg-BG"/>
        </w:rPr>
        <w:t>Тел.:+35 928903417</w:t>
      </w:r>
    </w:p>
    <w:p w14:paraId="22D38019" w14:textId="770FABC4" w:rsidR="001D4818" w:rsidRDefault="00C22B3F" w:rsidP="00C22B3F">
      <w:pPr>
        <w:spacing w:line="240" w:lineRule="auto"/>
        <w:rPr>
          <w:rFonts w:eastAsia="Times New Roman" w:cs="Arial"/>
          <w:color w:val="000000"/>
          <w:lang w:val="en-US"/>
        </w:rPr>
      </w:pPr>
      <w:r w:rsidRPr="00C22B3F">
        <w:rPr>
          <w:rFonts w:eastAsia="Times New Roman" w:cs="Arial"/>
          <w:color w:val="000000"/>
          <w:lang w:eastAsia="bg-BG"/>
        </w:rPr>
        <w:t xml:space="preserve">уебсайт: </w:t>
      </w:r>
      <w:hyperlink r:id="rId5" w:history="1">
        <w:r w:rsidRPr="00C22B3F">
          <w:rPr>
            <w:rFonts w:eastAsia="Times New Roman" w:cs="Arial"/>
            <w:color w:val="000000"/>
            <w:u w:val="single"/>
            <w:lang w:val="en-US"/>
          </w:rPr>
          <w:t>www.bda.bg</w:t>
        </w:r>
      </w:hyperlink>
      <w:r w:rsidRPr="00C22B3F">
        <w:rPr>
          <w:rFonts w:eastAsia="Times New Roman" w:cs="Arial"/>
          <w:color w:val="000000"/>
          <w:lang w:val="en-US"/>
        </w:rPr>
        <w:t>.</w:t>
      </w:r>
    </w:p>
    <w:p w14:paraId="2F3D672E" w14:textId="77777777" w:rsidR="00C22B3F" w:rsidRPr="00C22B3F" w:rsidRDefault="00C22B3F" w:rsidP="00C22B3F">
      <w:pPr>
        <w:spacing w:line="240" w:lineRule="auto"/>
        <w:rPr>
          <w:rFonts w:eastAsia="Times New Roman" w:cs="Arial"/>
          <w:lang w:eastAsia="bg-BG"/>
        </w:rPr>
      </w:pPr>
    </w:p>
    <w:p w14:paraId="378A0F20" w14:textId="7862A5A8" w:rsidR="001D095A" w:rsidRDefault="002C50EE" w:rsidP="00340E8D">
      <w:pPr>
        <w:pStyle w:val="Heading2"/>
      </w:pPr>
      <w:r>
        <w:lastRenderedPageBreak/>
        <w:t>4.9. Предозиране</w:t>
      </w:r>
    </w:p>
    <w:p w14:paraId="7B7A219A" w14:textId="17680FA7" w:rsidR="00C22B3F" w:rsidRDefault="00C22B3F" w:rsidP="00C22B3F"/>
    <w:p w14:paraId="6E77627A" w14:textId="77777777" w:rsidR="00C22B3F" w:rsidRPr="00C22B3F" w:rsidRDefault="00C22B3F" w:rsidP="00C22B3F">
      <w:pPr>
        <w:pStyle w:val="Heading3"/>
        <w:rPr>
          <w:rFonts w:eastAsia="Times New Roman"/>
          <w:u w:val="single"/>
          <w:lang w:eastAsia="bg-BG"/>
        </w:rPr>
      </w:pPr>
      <w:r w:rsidRPr="00C22B3F">
        <w:rPr>
          <w:rFonts w:eastAsia="Times New Roman"/>
          <w:u w:val="single"/>
          <w:lang w:eastAsia="bg-BG"/>
        </w:rPr>
        <w:t>Симптоми</w:t>
      </w:r>
    </w:p>
    <w:p w14:paraId="7509D1A9" w14:textId="77777777" w:rsidR="00C22B3F" w:rsidRPr="00C22B3F" w:rsidRDefault="00C22B3F" w:rsidP="00C22B3F">
      <w:pPr>
        <w:rPr>
          <w:sz w:val="24"/>
          <w:szCs w:val="24"/>
          <w:lang w:eastAsia="bg-BG"/>
        </w:rPr>
      </w:pPr>
      <w:r w:rsidRPr="00C22B3F">
        <w:rPr>
          <w:lang w:eastAsia="bg-BG"/>
        </w:rPr>
        <w:t>Прекомерните дози може да предизвикат предимно гадене, повръщане и замайване, атаксия и лека дезориентация, в по-тежки случаи също и атаксия, парестезии и гърчове.</w:t>
      </w:r>
    </w:p>
    <w:p w14:paraId="70C924B8" w14:textId="77777777" w:rsidR="00C22B3F" w:rsidRDefault="00C22B3F" w:rsidP="00C22B3F">
      <w:pPr>
        <w:rPr>
          <w:lang w:eastAsia="bg-BG"/>
        </w:rPr>
      </w:pPr>
    </w:p>
    <w:p w14:paraId="14BD3D9A" w14:textId="0BF5D3C0" w:rsidR="00C22B3F" w:rsidRPr="00C22B3F" w:rsidRDefault="00C22B3F" w:rsidP="00C22B3F">
      <w:pPr>
        <w:pStyle w:val="Heading3"/>
        <w:rPr>
          <w:rFonts w:eastAsia="Times New Roman"/>
          <w:u w:val="single"/>
          <w:lang w:eastAsia="bg-BG"/>
        </w:rPr>
      </w:pPr>
      <w:r w:rsidRPr="00C22B3F">
        <w:rPr>
          <w:rFonts w:eastAsia="Times New Roman"/>
          <w:u w:val="single"/>
          <w:lang w:eastAsia="bg-BG"/>
        </w:rPr>
        <w:t>Поведение</w:t>
      </w:r>
    </w:p>
    <w:p w14:paraId="0E2D3324" w14:textId="3AF10481" w:rsidR="00C22B3F" w:rsidRPr="00C22B3F" w:rsidRDefault="00C22B3F" w:rsidP="00C22B3F">
      <w:r w:rsidRPr="00C22B3F">
        <w:rPr>
          <w:lang w:eastAsia="bg-BG"/>
        </w:rPr>
        <w:t>Няма специфичен антидот. Лечението е симптоматично.</w:t>
      </w:r>
    </w:p>
    <w:p w14:paraId="02081B24" w14:textId="36FE76F4" w:rsidR="00395555" w:rsidRPr="00395555" w:rsidRDefault="002C50EE" w:rsidP="008A6AF2">
      <w:pPr>
        <w:pStyle w:val="Heading1"/>
      </w:pPr>
      <w:r>
        <w:t>5. ФАРМАКОЛОГИЧНИ СВОЙСТВА</w:t>
      </w:r>
    </w:p>
    <w:p w14:paraId="7F6CC5E1" w14:textId="31CA9E67" w:rsidR="00F62E44" w:rsidRDefault="002C50EE" w:rsidP="00387A66">
      <w:pPr>
        <w:pStyle w:val="Heading2"/>
      </w:pPr>
      <w:r>
        <w:t>5.1. Фармакодинамични свойства</w:t>
      </w:r>
    </w:p>
    <w:p w14:paraId="452BA956" w14:textId="370C32DE" w:rsidR="00C22B3F" w:rsidRDefault="00C22B3F" w:rsidP="00C22B3F"/>
    <w:p w14:paraId="7D087EEA" w14:textId="77777777" w:rsidR="00C22B3F" w:rsidRPr="00C22B3F" w:rsidRDefault="00C22B3F" w:rsidP="00C22B3F">
      <w:pPr>
        <w:spacing w:line="240" w:lineRule="auto"/>
        <w:rPr>
          <w:rFonts w:eastAsia="Times New Roman" w:cs="Arial"/>
          <w:sz w:val="28"/>
          <w:szCs w:val="28"/>
          <w:lang w:eastAsia="bg-BG"/>
        </w:rPr>
      </w:pPr>
      <w:r w:rsidRPr="00C22B3F">
        <w:rPr>
          <w:rFonts w:eastAsia="Times New Roman" w:cs="Arial"/>
          <w:color w:val="000000"/>
          <w:lang w:eastAsia="bg-BG"/>
        </w:rPr>
        <w:t xml:space="preserve">Фармакотерапевтична група: имидазолови производни; АТС код: </w:t>
      </w:r>
      <w:r w:rsidRPr="00C22B3F">
        <w:rPr>
          <w:rFonts w:eastAsia="Times New Roman" w:cs="Arial"/>
          <w:color w:val="000000"/>
          <w:lang w:val="en-US"/>
        </w:rPr>
        <w:t>J01XD01.</w:t>
      </w:r>
    </w:p>
    <w:p w14:paraId="71C8E371" w14:textId="77777777" w:rsidR="00C22B3F" w:rsidRPr="00C22B3F" w:rsidRDefault="00C22B3F" w:rsidP="00C22B3F">
      <w:pPr>
        <w:spacing w:line="240" w:lineRule="auto"/>
        <w:rPr>
          <w:rFonts w:eastAsia="Times New Roman" w:cs="Arial"/>
          <w:color w:val="000000"/>
          <w:u w:val="single"/>
          <w:lang w:eastAsia="bg-BG"/>
        </w:rPr>
      </w:pPr>
    </w:p>
    <w:p w14:paraId="49F9E080" w14:textId="45232ED8" w:rsidR="00C22B3F" w:rsidRPr="00C22B3F" w:rsidRDefault="00C22B3F" w:rsidP="00C22B3F">
      <w:pPr>
        <w:spacing w:line="240" w:lineRule="auto"/>
        <w:rPr>
          <w:rFonts w:eastAsia="Times New Roman" w:cs="Arial"/>
          <w:sz w:val="28"/>
          <w:szCs w:val="28"/>
          <w:lang w:eastAsia="bg-BG"/>
        </w:rPr>
      </w:pPr>
      <w:r w:rsidRPr="00C22B3F">
        <w:rPr>
          <w:rFonts w:eastAsia="Times New Roman" w:cs="Arial"/>
          <w:color w:val="000000"/>
          <w:u w:val="single"/>
          <w:lang w:eastAsia="bg-BG"/>
        </w:rPr>
        <w:t>Механизъм на действие</w:t>
      </w:r>
    </w:p>
    <w:p w14:paraId="12267455" w14:textId="77777777" w:rsidR="00C22B3F" w:rsidRPr="00C22B3F" w:rsidRDefault="00C22B3F" w:rsidP="00C22B3F">
      <w:pPr>
        <w:spacing w:line="240" w:lineRule="auto"/>
        <w:rPr>
          <w:rFonts w:eastAsia="Times New Roman" w:cs="Arial"/>
          <w:sz w:val="28"/>
          <w:szCs w:val="28"/>
          <w:lang w:eastAsia="bg-BG"/>
        </w:rPr>
      </w:pPr>
      <w:r w:rsidRPr="00C22B3F">
        <w:rPr>
          <w:rFonts w:eastAsia="Times New Roman" w:cs="Arial"/>
          <w:color w:val="000000"/>
          <w:lang w:eastAsia="bg-BG"/>
        </w:rPr>
        <w:t>Метронидазол е синтетично антимикробно активно вещество от групата на нитроимидазолите, което действа предимно срещу облигатните анаеробни микроорганизми - грам-отрицателни и грам-положителни бактерии. Той лекува също и някои инфекции, причинени от паразити; има силно изразен трихомонациден и ламблиациден ефект.</w:t>
      </w:r>
    </w:p>
    <w:p w14:paraId="68498E95" w14:textId="77777777" w:rsidR="00C22B3F" w:rsidRPr="00C22B3F" w:rsidRDefault="00C22B3F" w:rsidP="00C22B3F">
      <w:pPr>
        <w:spacing w:line="240" w:lineRule="auto"/>
        <w:rPr>
          <w:rFonts w:eastAsia="Times New Roman" w:cs="Arial"/>
          <w:sz w:val="28"/>
          <w:szCs w:val="28"/>
          <w:lang w:eastAsia="bg-BG"/>
        </w:rPr>
      </w:pPr>
      <w:r w:rsidRPr="00C22B3F">
        <w:rPr>
          <w:rFonts w:eastAsia="Times New Roman" w:cs="Arial"/>
          <w:color w:val="000000"/>
          <w:lang w:eastAsia="bg-BG"/>
        </w:rPr>
        <w:t>Метронидазол действа в няколко фази: той навлиза в бактериалната клетка, където се извършва редукция на нитро- групата на метронидазол на 5 място, като по този начин той се превръща в активни метаболити с кратък живот или свободни радикали с инхибиторен или летален ефект върху бактериалната ДНК и други макромолекули. След това цитотоксичните метаболити се разграждат до нетоксични и неактивни крайни метаболити.</w:t>
      </w:r>
    </w:p>
    <w:p w14:paraId="6A083454" w14:textId="77777777" w:rsidR="00C22B3F" w:rsidRPr="00C22B3F" w:rsidRDefault="00C22B3F" w:rsidP="00C22B3F"/>
    <w:p w14:paraId="544FFDAF" w14:textId="50057390" w:rsidR="00F62E44" w:rsidRDefault="002C50EE" w:rsidP="00387A66">
      <w:pPr>
        <w:pStyle w:val="Heading2"/>
      </w:pPr>
      <w:r>
        <w:t>5.2. Фармакокинетични свойства</w:t>
      </w:r>
    </w:p>
    <w:p w14:paraId="7C2F3500" w14:textId="3A112B19" w:rsidR="00C22B3F" w:rsidRDefault="00C22B3F" w:rsidP="00C22B3F"/>
    <w:p w14:paraId="5403802E" w14:textId="77777777" w:rsidR="00C22B3F" w:rsidRPr="00C22B3F" w:rsidRDefault="00C22B3F" w:rsidP="00C22B3F">
      <w:pPr>
        <w:spacing w:line="240" w:lineRule="auto"/>
        <w:rPr>
          <w:rFonts w:eastAsia="Times New Roman" w:cs="Arial"/>
          <w:sz w:val="28"/>
          <w:szCs w:val="28"/>
          <w:lang w:eastAsia="bg-BG"/>
        </w:rPr>
      </w:pPr>
      <w:r w:rsidRPr="00C22B3F">
        <w:rPr>
          <w:rFonts w:eastAsia="Times New Roman" w:cs="Arial"/>
          <w:color w:val="000000"/>
          <w:u w:val="single"/>
          <w:lang w:eastAsia="bg-BG"/>
        </w:rPr>
        <w:t>Абсорбция</w:t>
      </w:r>
    </w:p>
    <w:p w14:paraId="2559373D" w14:textId="77777777" w:rsidR="00C22B3F" w:rsidRPr="00C22B3F" w:rsidRDefault="00C22B3F" w:rsidP="00C22B3F">
      <w:pPr>
        <w:spacing w:line="240" w:lineRule="auto"/>
        <w:rPr>
          <w:rFonts w:eastAsia="Times New Roman" w:cs="Arial"/>
          <w:sz w:val="28"/>
          <w:szCs w:val="28"/>
          <w:lang w:eastAsia="bg-BG"/>
        </w:rPr>
      </w:pPr>
      <w:r w:rsidRPr="00C22B3F">
        <w:rPr>
          <w:rFonts w:eastAsia="Times New Roman" w:cs="Arial"/>
          <w:color w:val="000000"/>
          <w:lang w:eastAsia="bg-BG"/>
        </w:rPr>
        <w:t>Максималните серумни концентрации след интравенозно и перорално приложение са подобни. Бионаличността варира между 90% до 100%. Биологичният полуживот на активното вещество е 8 часа.</w:t>
      </w:r>
    </w:p>
    <w:p w14:paraId="7141B309" w14:textId="77777777" w:rsidR="00C22B3F" w:rsidRPr="00C22B3F" w:rsidRDefault="00C22B3F" w:rsidP="00C22B3F">
      <w:pPr>
        <w:spacing w:line="240" w:lineRule="auto"/>
        <w:rPr>
          <w:rFonts w:eastAsia="Times New Roman" w:cs="Arial"/>
          <w:color w:val="000000"/>
          <w:u w:val="single"/>
          <w:lang w:eastAsia="bg-BG"/>
        </w:rPr>
      </w:pPr>
    </w:p>
    <w:p w14:paraId="6AA8D987" w14:textId="0935D539" w:rsidR="00C22B3F" w:rsidRPr="00C22B3F" w:rsidRDefault="00C22B3F" w:rsidP="00C22B3F">
      <w:pPr>
        <w:spacing w:line="240" w:lineRule="auto"/>
        <w:rPr>
          <w:rFonts w:eastAsia="Times New Roman" w:cs="Arial"/>
          <w:sz w:val="28"/>
          <w:szCs w:val="28"/>
          <w:lang w:eastAsia="bg-BG"/>
        </w:rPr>
      </w:pPr>
      <w:r w:rsidRPr="00C22B3F">
        <w:rPr>
          <w:rFonts w:eastAsia="Times New Roman" w:cs="Arial"/>
          <w:color w:val="000000"/>
          <w:u w:val="single"/>
          <w:lang w:eastAsia="bg-BG"/>
        </w:rPr>
        <w:t>Разпределение</w:t>
      </w:r>
    </w:p>
    <w:p w14:paraId="6AADFCFD" w14:textId="77777777" w:rsidR="00C22B3F" w:rsidRPr="00C22B3F" w:rsidRDefault="00C22B3F" w:rsidP="00C22B3F">
      <w:pPr>
        <w:spacing w:line="240" w:lineRule="auto"/>
        <w:rPr>
          <w:rFonts w:eastAsia="Times New Roman" w:cs="Arial"/>
          <w:sz w:val="28"/>
          <w:szCs w:val="28"/>
          <w:lang w:eastAsia="bg-BG"/>
        </w:rPr>
      </w:pPr>
      <w:r w:rsidRPr="00C22B3F">
        <w:rPr>
          <w:rFonts w:eastAsia="Times New Roman" w:cs="Arial"/>
          <w:color w:val="000000"/>
          <w:lang w:eastAsia="bg-BG"/>
        </w:rPr>
        <w:t>Лекарствената съставка навлиза добре във всички тъкани, органи и телесни течности, тъй като тя има голям обем на разпределение, като достига 80% от телесното тегло. След 4 до 6 часа, концентрацията на метронидазол в тъканите и ликвора е 80% до 90% от серумната концентрация.</w:t>
      </w:r>
    </w:p>
    <w:p w14:paraId="2FCF53CC" w14:textId="77777777" w:rsidR="00C22B3F" w:rsidRPr="00C22B3F" w:rsidRDefault="00C22B3F" w:rsidP="00C22B3F">
      <w:pPr>
        <w:spacing w:line="240" w:lineRule="auto"/>
        <w:rPr>
          <w:rFonts w:eastAsia="Times New Roman" w:cs="Arial"/>
          <w:sz w:val="28"/>
          <w:szCs w:val="28"/>
          <w:lang w:eastAsia="bg-BG"/>
        </w:rPr>
      </w:pPr>
      <w:r w:rsidRPr="00C22B3F">
        <w:rPr>
          <w:rFonts w:eastAsia="Times New Roman" w:cs="Arial"/>
          <w:color w:val="000000"/>
          <w:lang w:eastAsia="bg-BG"/>
        </w:rPr>
        <w:t>Той се свързва слабо с плазмените протеини, едва в до 20 %.</w:t>
      </w:r>
    </w:p>
    <w:p w14:paraId="10C24DF8" w14:textId="77777777" w:rsidR="00C22B3F" w:rsidRPr="00C22B3F" w:rsidRDefault="00C22B3F" w:rsidP="00C22B3F">
      <w:pPr>
        <w:spacing w:line="240" w:lineRule="auto"/>
        <w:rPr>
          <w:rFonts w:eastAsia="Times New Roman" w:cs="Arial"/>
          <w:color w:val="000000"/>
          <w:u w:val="single"/>
          <w:lang w:eastAsia="bg-BG"/>
        </w:rPr>
      </w:pPr>
    </w:p>
    <w:p w14:paraId="3FCE8370" w14:textId="3BF06793" w:rsidR="00C22B3F" w:rsidRPr="00C22B3F" w:rsidRDefault="00C22B3F" w:rsidP="00C22B3F">
      <w:pPr>
        <w:spacing w:line="240" w:lineRule="auto"/>
        <w:rPr>
          <w:rFonts w:eastAsia="Times New Roman" w:cs="Arial"/>
          <w:sz w:val="28"/>
          <w:szCs w:val="28"/>
          <w:lang w:eastAsia="bg-BG"/>
        </w:rPr>
      </w:pPr>
      <w:r w:rsidRPr="00C22B3F">
        <w:rPr>
          <w:rFonts w:eastAsia="Times New Roman" w:cs="Arial"/>
          <w:color w:val="000000"/>
          <w:u w:val="single"/>
          <w:lang w:eastAsia="bg-BG"/>
        </w:rPr>
        <w:t>Метаболизъм</w:t>
      </w:r>
    </w:p>
    <w:p w14:paraId="709540B8" w14:textId="77777777" w:rsidR="00C22B3F" w:rsidRPr="00C22B3F" w:rsidRDefault="00C22B3F" w:rsidP="00C22B3F">
      <w:pPr>
        <w:spacing w:line="240" w:lineRule="auto"/>
        <w:rPr>
          <w:rFonts w:eastAsia="Times New Roman" w:cs="Arial"/>
          <w:sz w:val="28"/>
          <w:szCs w:val="28"/>
          <w:lang w:eastAsia="bg-BG"/>
        </w:rPr>
      </w:pPr>
      <w:r w:rsidRPr="00C22B3F">
        <w:rPr>
          <w:rFonts w:eastAsia="Times New Roman" w:cs="Arial"/>
          <w:color w:val="000000"/>
          <w:lang w:eastAsia="bg-BG"/>
        </w:rPr>
        <w:t>Метронидазол се метаболизира предимно в черния дроб. Получават се главно оксидативни метаболити и те се екскретират като конюгати с глюкуроновата киселина (глюкурониди), предимно с урината.</w:t>
      </w:r>
    </w:p>
    <w:p w14:paraId="3FAF3FB7" w14:textId="007E5D7B" w:rsidR="00C22B3F" w:rsidRPr="00C22B3F" w:rsidRDefault="00C22B3F" w:rsidP="00C22B3F">
      <w:pPr>
        <w:rPr>
          <w:rFonts w:eastAsia="Times New Roman" w:cs="Arial"/>
          <w:color w:val="000000"/>
          <w:lang w:eastAsia="bg-BG"/>
        </w:rPr>
      </w:pPr>
      <w:r w:rsidRPr="00C22B3F">
        <w:rPr>
          <w:rFonts w:eastAsia="Times New Roman" w:cs="Arial"/>
          <w:color w:val="000000"/>
          <w:lang w:eastAsia="bg-BG"/>
        </w:rPr>
        <w:t xml:space="preserve">Предеистемният метаболизъм на активното вещество е нищожен. Метаболизмът се забавя при пациенти с чернодробно заболяване. При болни с бъбречна недостатъчност метаблотитите може </w:t>
      </w:r>
      <w:r w:rsidRPr="00C22B3F">
        <w:rPr>
          <w:rFonts w:eastAsia="Times New Roman" w:cs="Arial"/>
          <w:i/>
          <w:iCs/>
          <w:color w:val="000000"/>
          <w:lang w:eastAsia="bg-BG"/>
        </w:rPr>
        <w:t>да</w:t>
      </w:r>
      <w:r w:rsidRPr="00C22B3F">
        <w:rPr>
          <w:rFonts w:eastAsia="Times New Roman" w:cs="Arial"/>
          <w:color w:val="000000"/>
          <w:lang w:eastAsia="bg-BG"/>
        </w:rPr>
        <w:t xml:space="preserve"> кумулират.</w:t>
      </w:r>
    </w:p>
    <w:p w14:paraId="0AD4D8E1" w14:textId="2290F520" w:rsidR="00C22B3F" w:rsidRPr="00C22B3F" w:rsidRDefault="00C22B3F" w:rsidP="00C22B3F">
      <w:pPr>
        <w:rPr>
          <w:rFonts w:eastAsia="Times New Roman" w:cs="Arial"/>
          <w:color w:val="000000"/>
          <w:lang w:eastAsia="bg-BG"/>
        </w:rPr>
      </w:pPr>
    </w:p>
    <w:p w14:paraId="04023685" w14:textId="77777777" w:rsidR="00C22B3F" w:rsidRPr="00C22B3F" w:rsidRDefault="00C22B3F" w:rsidP="00C22B3F">
      <w:pPr>
        <w:spacing w:line="240" w:lineRule="auto"/>
        <w:rPr>
          <w:rFonts w:eastAsia="Times New Roman" w:cs="Arial"/>
          <w:sz w:val="28"/>
          <w:szCs w:val="28"/>
          <w:lang w:eastAsia="bg-BG"/>
        </w:rPr>
      </w:pPr>
      <w:r w:rsidRPr="00C22B3F">
        <w:rPr>
          <w:rFonts w:eastAsia="Times New Roman" w:cs="Arial"/>
          <w:color w:val="000000"/>
          <w:u w:val="single"/>
          <w:lang w:eastAsia="bg-BG"/>
        </w:rPr>
        <w:lastRenderedPageBreak/>
        <w:t>Елиминиране</w:t>
      </w:r>
    </w:p>
    <w:p w14:paraId="63F231DB" w14:textId="77777777" w:rsidR="00C22B3F" w:rsidRPr="00C22B3F" w:rsidRDefault="00C22B3F" w:rsidP="00C22B3F">
      <w:pPr>
        <w:spacing w:line="240" w:lineRule="auto"/>
        <w:rPr>
          <w:rFonts w:eastAsia="Times New Roman" w:cs="Arial"/>
          <w:sz w:val="28"/>
          <w:szCs w:val="28"/>
          <w:lang w:eastAsia="bg-BG"/>
        </w:rPr>
      </w:pPr>
      <w:r w:rsidRPr="00C22B3F">
        <w:rPr>
          <w:rFonts w:eastAsia="Times New Roman" w:cs="Arial"/>
          <w:color w:val="000000"/>
          <w:lang w:eastAsia="bg-BG"/>
        </w:rPr>
        <w:t>Неметаболизираният метронидазол се елиминира предимно чрез урината. Метаболитите, получени по време на метаболизма на метронидазол в черния дроб, също се елиминират чрез урината под формата на глюкурониди.</w:t>
      </w:r>
    </w:p>
    <w:p w14:paraId="5D6F7879" w14:textId="77777777" w:rsidR="00C22B3F" w:rsidRPr="00C22B3F" w:rsidRDefault="00C22B3F" w:rsidP="00C22B3F">
      <w:pPr>
        <w:spacing w:line="240" w:lineRule="auto"/>
        <w:rPr>
          <w:rFonts w:eastAsia="Times New Roman" w:cs="Arial"/>
          <w:sz w:val="28"/>
          <w:szCs w:val="28"/>
          <w:lang w:eastAsia="bg-BG"/>
        </w:rPr>
      </w:pPr>
      <w:r w:rsidRPr="00C22B3F">
        <w:rPr>
          <w:rFonts w:eastAsia="Times New Roman" w:cs="Arial"/>
          <w:color w:val="000000"/>
          <w:lang w:eastAsia="bg-BG"/>
        </w:rPr>
        <w:t>6% до 15% от приложената доза се екскретира с фекалиите.</w:t>
      </w:r>
    </w:p>
    <w:p w14:paraId="2E18933F" w14:textId="4145871D" w:rsidR="00C22B3F" w:rsidRDefault="00C22B3F" w:rsidP="00C22B3F">
      <w:pPr>
        <w:rPr>
          <w:rFonts w:eastAsia="Times New Roman" w:cs="Arial"/>
          <w:color w:val="000000"/>
          <w:lang w:eastAsia="bg-BG"/>
        </w:rPr>
      </w:pPr>
      <w:r w:rsidRPr="00C22B3F">
        <w:rPr>
          <w:rFonts w:eastAsia="Times New Roman" w:cs="Arial"/>
          <w:color w:val="000000"/>
          <w:lang w:eastAsia="bg-BG"/>
        </w:rPr>
        <w:t>Метронидазол и метаболитите му бързо се елиминират с хемодиализа.</w:t>
      </w:r>
    </w:p>
    <w:p w14:paraId="235D4A57" w14:textId="77777777" w:rsidR="00C22B3F" w:rsidRPr="00C22B3F" w:rsidRDefault="00C22B3F" w:rsidP="00C22B3F">
      <w:pPr>
        <w:rPr>
          <w:rFonts w:cs="Arial"/>
          <w:sz w:val="24"/>
          <w:szCs w:val="24"/>
        </w:rPr>
      </w:pPr>
    </w:p>
    <w:p w14:paraId="6925FEB0" w14:textId="4CF9A72C" w:rsidR="00F62E44" w:rsidRDefault="002C50EE" w:rsidP="00387A66">
      <w:pPr>
        <w:pStyle w:val="Heading2"/>
      </w:pPr>
      <w:r>
        <w:t>5.3. Предклинични данни за безопасност</w:t>
      </w:r>
    </w:p>
    <w:p w14:paraId="208F2C56" w14:textId="2FA4A18E" w:rsidR="00C22B3F" w:rsidRDefault="00C22B3F" w:rsidP="00C22B3F"/>
    <w:p w14:paraId="05C075A9" w14:textId="77777777" w:rsidR="00C22B3F" w:rsidRPr="00C22B3F" w:rsidRDefault="00C22B3F" w:rsidP="00C22B3F">
      <w:pPr>
        <w:rPr>
          <w:sz w:val="24"/>
          <w:szCs w:val="24"/>
          <w:lang w:eastAsia="bg-BG"/>
        </w:rPr>
      </w:pPr>
      <w:r w:rsidRPr="00C22B3F">
        <w:rPr>
          <w:lang w:eastAsia="bg-BG"/>
        </w:rPr>
        <w:t xml:space="preserve">Токсикологичните данни показват ниска токсичност на метронидазол за експерименталните животни. След перорално приложение на лекарственото вещество стойностите на </w:t>
      </w:r>
      <w:r w:rsidRPr="00C22B3F">
        <w:rPr>
          <w:lang w:val="en-US"/>
        </w:rPr>
        <w:t>LD</w:t>
      </w:r>
      <w:r w:rsidRPr="00C22B3F">
        <w:rPr>
          <w:vertAlign w:val="subscript"/>
          <w:lang w:val="en-US"/>
        </w:rPr>
        <w:t>50</w:t>
      </w:r>
      <w:r w:rsidRPr="00C22B3F">
        <w:rPr>
          <w:lang w:val="en-US"/>
        </w:rPr>
        <w:t xml:space="preserve"> </w:t>
      </w:r>
      <w:r w:rsidRPr="00C22B3F">
        <w:rPr>
          <w:lang w:eastAsia="bg-BG"/>
        </w:rPr>
        <w:t xml:space="preserve">надхвърлят 3000 </w:t>
      </w:r>
      <w:r w:rsidRPr="00C22B3F">
        <w:rPr>
          <w:lang w:val="en-US"/>
        </w:rPr>
        <w:t xml:space="preserve">mg/kg </w:t>
      </w:r>
      <w:r w:rsidRPr="00C22B3F">
        <w:rPr>
          <w:lang w:eastAsia="bg-BG"/>
        </w:rPr>
        <w:t xml:space="preserve">за мишки и плъхове. След интравенозно приложение стойностите на </w:t>
      </w:r>
      <w:r w:rsidRPr="00C22B3F">
        <w:rPr>
          <w:smallCaps/>
          <w:sz w:val="19"/>
          <w:szCs w:val="19"/>
          <w:lang w:val="en-US"/>
        </w:rPr>
        <w:t>LD</w:t>
      </w:r>
      <w:r w:rsidRPr="00C22B3F">
        <w:rPr>
          <w:smallCaps/>
          <w:sz w:val="19"/>
          <w:szCs w:val="19"/>
          <w:vertAlign w:val="subscript"/>
          <w:lang w:val="en-US"/>
        </w:rPr>
        <w:t>50</w:t>
      </w:r>
      <w:r w:rsidRPr="00C22B3F">
        <w:rPr>
          <w:lang w:val="en-US"/>
        </w:rPr>
        <w:t xml:space="preserve"> </w:t>
      </w:r>
      <w:r w:rsidRPr="00C22B3F">
        <w:rPr>
          <w:lang w:eastAsia="bg-BG"/>
        </w:rPr>
        <w:t xml:space="preserve">са над 100 </w:t>
      </w:r>
      <w:r w:rsidRPr="00C22B3F">
        <w:rPr>
          <w:lang w:val="en-US"/>
        </w:rPr>
        <w:t xml:space="preserve">mg/kg </w:t>
      </w:r>
      <w:r w:rsidRPr="00C22B3F">
        <w:rPr>
          <w:lang w:eastAsia="bg-BG"/>
        </w:rPr>
        <w:t xml:space="preserve">за мишки и над 250 </w:t>
      </w:r>
      <w:r w:rsidRPr="00C22B3F">
        <w:rPr>
          <w:lang w:val="en-US"/>
        </w:rPr>
        <w:t xml:space="preserve">mg/kg </w:t>
      </w:r>
      <w:r w:rsidRPr="00C22B3F">
        <w:rPr>
          <w:lang w:eastAsia="bg-BG"/>
        </w:rPr>
        <w:t>за плъхове.</w:t>
      </w:r>
    </w:p>
    <w:p w14:paraId="436E754A" w14:textId="77777777" w:rsidR="00C22B3F" w:rsidRPr="00C22B3F" w:rsidRDefault="00C22B3F" w:rsidP="00C22B3F">
      <w:pPr>
        <w:rPr>
          <w:sz w:val="24"/>
          <w:szCs w:val="24"/>
          <w:lang w:eastAsia="bg-BG"/>
        </w:rPr>
      </w:pPr>
      <w:r w:rsidRPr="00C22B3F">
        <w:rPr>
          <w:lang w:eastAsia="bg-BG"/>
        </w:rPr>
        <w:t>Токсикологичните изследвания след продължително приложение показват, че има разлика между отделните видове експериментални животни. Установено е, че стомашно-чревният тракт и нервната система са таргетните места за токсичното действие.</w:t>
      </w:r>
    </w:p>
    <w:p w14:paraId="7F9667C1" w14:textId="77777777" w:rsidR="00C22B3F" w:rsidRPr="00C22B3F" w:rsidRDefault="00C22B3F" w:rsidP="00C22B3F">
      <w:pPr>
        <w:rPr>
          <w:sz w:val="24"/>
          <w:szCs w:val="24"/>
          <w:lang w:eastAsia="bg-BG"/>
        </w:rPr>
      </w:pPr>
      <w:r w:rsidRPr="00C22B3F">
        <w:rPr>
          <w:lang w:eastAsia="bg-BG"/>
        </w:rPr>
        <w:t>Метронидазол предизвиква обратимо инхибиране на сперматогенезата, но няма тератогенен или фетотоксичен ефект.</w:t>
      </w:r>
    </w:p>
    <w:p w14:paraId="59D694E8" w14:textId="22744615" w:rsidR="00C22B3F" w:rsidRDefault="00C22B3F" w:rsidP="00C22B3F">
      <w:pPr>
        <w:rPr>
          <w:lang w:eastAsia="bg-BG"/>
        </w:rPr>
      </w:pPr>
      <w:r w:rsidRPr="00C22B3F">
        <w:rPr>
          <w:lang w:eastAsia="bg-BG"/>
        </w:rPr>
        <w:t xml:space="preserve">Метронидазол е показал мутагенен ефект в няколко проучвания </w:t>
      </w:r>
      <w:r w:rsidRPr="00C22B3F">
        <w:rPr>
          <w:i/>
          <w:iCs/>
          <w:lang w:val="en-US"/>
        </w:rPr>
        <w:t>in vitro,</w:t>
      </w:r>
      <w:r w:rsidRPr="00C22B3F">
        <w:rPr>
          <w:lang w:val="en-US"/>
        </w:rPr>
        <w:t xml:space="preserve"> </w:t>
      </w:r>
      <w:r w:rsidRPr="00C22B3F">
        <w:rPr>
          <w:lang w:eastAsia="bg-BG"/>
        </w:rPr>
        <w:t xml:space="preserve">но това не е потвърдено в изследвания </w:t>
      </w:r>
      <w:r w:rsidRPr="00C22B3F">
        <w:rPr>
          <w:i/>
          <w:iCs/>
          <w:lang w:val="en-US"/>
        </w:rPr>
        <w:t xml:space="preserve">in vivo. </w:t>
      </w:r>
      <w:r w:rsidRPr="00C22B3F">
        <w:rPr>
          <w:i/>
          <w:iCs/>
          <w:lang w:eastAsia="bg-BG"/>
        </w:rPr>
        <w:t>Според</w:t>
      </w:r>
      <w:r w:rsidRPr="00C22B3F">
        <w:rPr>
          <w:lang w:eastAsia="bg-BG"/>
        </w:rPr>
        <w:t xml:space="preserve"> литературата, канцерогенното действие на метронидазол в различните видове експериментални животни се различава. Приема се, че мутагенното действие на метронидазол се дължи на образуването на активен метаболит, който действа върху ДНК.</w:t>
      </w:r>
    </w:p>
    <w:p w14:paraId="61B14CDF" w14:textId="77777777" w:rsidR="00C22B3F" w:rsidRPr="00C22B3F" w:rsidRDefault="00C22B3F" w:rsidP="00C22B3F">
      <w:pPr>
        <w:rPr>
          <w:sz w:val="24"/>
          <w:szCs w:val="24"/>
          <w:lang w:eastAsia="bg-BG"/>
        </w:rPr>
      </w:pPr>
    </w:p>
    <w:p w14:paraId="357049A8" w14:textId="69DEFE85" w:rsidR="00BB22B4" w:rsidRDefault="002C50EE" w:rsidP="00471F10">
      <w:pPr>
        <w:pStyle w:val="Heading1"/>
      </w:pPr>
      <w:r>
        <w:t>7. ПРИТЕЖАТЕЛ НА РАЗРЕШЕНИЕТО ЗА УПОТРЕБА</w:t>
      </w:r>
    </w:p>
    <w:p w14:paraId="2AD729A8" w14:textId="1B65D6BE" w:rsidR="00C22B3F" w:rsidRDefault="00C22B3F" w:rsidP="00C22B3F"/>
    <w:p w14:paraId="2CEC0028" w14:textId="66FCF1BC" w:rsidR="00C22B3F" w:rsidRDefault="00C22B3F" w:rsidP="00C22B3F">
      <w:pPr>
        <w:rPr>
          <w:lang w:eastAsia="bg-BG"/>
        </w:rPr>
      </w:pPr>
      <w:r>
        <w:t xml:space="preserve">KRKA, d.d., Novo mesto. Smarjeska cesta 6, 8501 Novo mesto, </w:t>
      </w:r>
      <w:r>
        <w:rPr>
          <w:lang w:eastAsia="bg-BG"/>
        </w:rPr>
        <w:t>Словения</w:t>
      </w:r>
    </w:p>
    <w:p w14:paraId="10D2B216" w14:textId="77777777" w:rsidR="00C22B3F" w:rsidRPr="00C22B3F" w:rsidRDefault="00C22B3F" w:rsidP="00C22B3F"/>
    <w:p w14:paraId="0A53321D" w14:textId="7E06A1F9" w:rsidR="00EE6C97" w:rsidRDefault="00936AD0" w:rsidP="00A93499">
      <w:pPr>
        <w:pStyle w:val="Heading1"/>
      </w:pPr>
      <w:r>
        <w:t>8.</w:t>
      </w:r>
      <w:r w:rsidR="002C50EE">
        <w:t>НОМЕР НА РАЗРЕШЕНИЕТО ЗА УПОТРЕБА</w:t>
      </w:r>
    </w:p>
    <w:p w14:paraId="5F80BF32" w14:textId="6933D72D" w:rsidR="00C22B3F" w:rsidRDefault="00C22B3F" w:rsidP="00C22B3F"/>
    <w:p w14:paraId="04D2B66A" w14:textId="2B25CC91" w:rsidR="00C22B3F" w:rsidRPr="00C22B3F" w:rsidRDefault="00C22B3F" w:rsidP="00C22B3F">
      <w:r>
        <w:t>Per. №: 20010037</w:t>
      </w:r>
    </w:p>
    <w:p w14:paraId="7C2688F5" w14:textId="6D610EDF" w:rsidR="00F62E44" w:rsidRDefault="00F62E44" w:rsidP="00F62E44"/>
    <w:p w14:paraId="00481C21" w14:textId="6B19ACA6" w:rsidR="00F62E44" w:rsidRDefault="002C50EE" w:rsidP="00387A66">
      <w:pPr>
        <w:pStyle w:val="Heading1"/>
      </w:pPr>
      <w:r>
        <w:t>9. ДАТА НА ПЪРВО РАЗРЕШАВАНЕ/ПОДНОВЯВАНЕ НА РАЗРЕШЕНИЕТО ЗА УПОТРЕБА</w:t>
      </w:r>
    </w:p>
    <w:p w14:paraId="53015131" w14:textId="7494AC6C" w:rsidR="00C22B3F" w:rsidRDefault="00C22B3F" w:rsidP="00C22B3F"/>
    <w:p w14:paraId="2D9FA1E7" w14:textId="77777777" w:rsidR="00C22B3F" w:rsidRPr="00C22B3F" w:rsidRDefault="00C22B3F" w:rsidP="00C22B3F">
      <w:pPr>
        <w:rPr>
          <w:sz w:val="24"/>
          <w:szCs w:val="24"/>
          <w:lang w:eastAsia="bg-BG"/>
        </w:rPr>
      </w:pPr>
      <w:r w:rsidRPr="00C22B3F">
        <w:rPr>
          <w:lang w:eastAsia="bg-BG"/>
        </w:rPr>
        <w:t>Дата на първо разрешаване: 19.04.1990</w:t>
      </w:r>
    </w:p>
    <w:p w14:paraId="06A7B375" w14:textId="6012D6A2" w:rsidR="00C22B3F" w:rsidRPr="00C22B3F" w:rsidRDefault="00C22B3F" w:rsidP="00C22B3F">
      <w:r w:rsidRPr="00C22B3F">
        <w:rPr>
          <w:lang w:eastAsia="bg-BG"/>
        </w:rPr>
        <w:t>Дата на последно подновяване: 19.09.2011</w:t>
      </w:r>
    </w:p>
    <w:p w14:paraId="43FB38A2" w14:textId="0C18A683" w:rsidR="007C605B" w:rsidRDefault="002C50EE" w:rsidP="005726E3">
      <w:pPr>
        <w:pStyle w:val="Heading1"/>
      </w:pPr>
      <w:r>
        <w:t>10. ДАТА НА АКТУАЛИЗИРАНЕ НА ТЕКСТА</w:t>
      </w:r>
      <w:bookmarkEnd w:id="0"/>
    </w:p>
    <w:p w14:paraId="472617BD" w14:textId="4E52188C" w:rsidR="00BB22B4" w:rsidRPr="00BB22B4" w:rsidRDefault="00BB22B4" w:rsidP="008F7F23"/>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F133E"/>
    <w:multiLevelType w:val="hybridMultilevel"/>
    <w:tmpl w:val="BDF034C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B7F521E"/>
    <w:multiLevelType w:val="hybridMultilevel"/>
    <w:tmpl w:val="74DEC676"/>
    <w:lvl w:ilvl="0" w:tplc="376A6614">
      <w:start w:val="4"/>
      <w:numFmt w:val="bullet"/>
      <w:lvlText w:val="-"/>
      <w:lvlJc w:val="left"/>
      <w:pPr>
        <w:ind w:left="720" w:hanging="360"/>
      </w:pPr>
      <w:rPr>
        <w:rFonts w:ascii="Times New Roman" w:eastAsia="Times New Roman" w:hAnsi="Times New Roman" w:cs="Times New Roman" w:hint="default"/>
        <w:color w:val="000000"/>
        <w:sz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6"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2"/>
  </w:num>
  <w:num w:numId="2" w16cid:durableId="1612932146">
    <w:abstractNumId w:val="0"/>
  </w:num>
  <w:num w:numId="3" w16cid:durableId="1810323821">
    <w:abstractNumId w:val="17"/>
  </w:num>
  <w:num w:numId="4" w16cid:durableId="2135319613">
    <w:abstractNumId w:val="3"/>
  </w:num>
  <w:num w:numId="5" w16cid:durableId="740105516">
    <w:abstractNumId w:val="1"/>
  </w:num>
  <w:num w:numId="6" w16cid:durableId="1668363208">
    <w:abstractNumId w:val="21"/>
  </w:num>
  <w:num w:numId="7" w16cid:durableId="1241988161">
    <w:abstractNumId w:val="13"/>
  </w:num>
  <w:num w:numId="8" w16cid:durableId="2102022361">
    <w:abstractNumId w:val="20"/>
  </w:num>
  <w:num w:numId="9" w16cid:durableId="1154613663">
    <w:abstractNumId w:val="2"/>
  </w:num>
  <w:num w:numId="10" w16cid:durableId="1733848127">
    <w:abstractNumId w:val="4"/>
  </w:num>
  <w:num w:numId="11" w16cid:durableId="1861704680">
    <w:abstractNumId w:val="35"/>
  </w:num>
  <w:num w:numId="12" w16cid:durableId="1434934028">
    <w:abstractNumId w:val="18"/>
  </w:num>
  <w:num w:numId="13" w16cid:durableId="479157895">
    <w:abstractNumId w:val="24"/>
  </w:num>
  <w:num w:numId="14" w16cid:durableId="1670476636">
    <w:abstractNumId w:val="16"/>
  </w:num>
  <w:num w:numId="15" w16cid:durableId="1000155783">
    <w:abstractNumId w:val="34"/>
  </w:num>
  <w:num w:numId="16" w16cid:durableId="2056420707">
    <w:abstractNumId w:val="12"/>
  </w:num>
  <w:num w:numId="17" w16cid:durableId="1787119182">
    <w:abstractNumId w:val="29"/>
  </w:num>
  <w:num w:numId="18" w16cid:durableId="722945139">
    <w:abstractNumId w:val="9"/>
  </w:num>
  <w:num w:numId="19" w16cid:durableId="1678728408">
    <w:abstractNumId w:val="31"/>
  </w:num>
  <w:num w:numId="20" w16cid:durableId="1970816657">
    <w:abstractNumId w:val="28"/>
  </w:num>
  <w:num w:numId="21" w16cid:durableId="1531146514">
    <w:abstractNumId w:val="22"/>
  </w:num>
  <w:num w:numId="22" w16cid:durableId="1276465">
    <w:abstractNumId w:val="30"/>
  </w:num>
  <w:num w:numId="23" w16cid:durableId="1624310558">
    <w:abstractNumId w:val="23"/>
  </w:num>
  <w:num w:numId="24" w16cid:durableId="1692877547">
    <w:abstractNumId w:val="10"/>
  </w:num>
  <w:num w:numId="25" w16cid:durableId="50930855">
    <w:abstractNumId w:val="27"/>
  </w:num>
  <w:num w:numId="26" w16cid:durableId="176701536">
    <w:abstractNumId w:val="26"/>
  </w:num>
  <w:num w:numId="27" w16cid:durableId="2050564750">
    <w:abstractNumId w:val="36"/>
  </w:num>
  <w:num w:numId="28" w16cid:durableId="1820733422">
    <w:abstractNumId w:val="7"/>
  </w:num>
  <w:num w:numId="29" w16cid:durableId="973678124">
    <w:abstractNumId w:val="25"/>
  </w:num>
  <w:num w:numId="30" w16cid:durableId="154884452">
    <w:abstractNumId w:val="40"/>
  </w:num>
  <w:num w:numId="31" w16cid:durableId="1053964910">
    <w:abstractNumId w:val="5"/>
  </w:num>
  <w:num w:numId="32" w16cid:durableId="2073575793">
    <w:abstractNumId w:val="38"/>
  </w:num>
  <w:num w:numId="33" w16cid:durableId="1566643170">
    <w:abstractNumId w:val="33"/>
  </w:num>
  <w:num w:numId="34" w16cid:durableId="2060787732">
    <w:abstractNumId w:val="37"/>
  </w:num>
  <w:num w:numId="35" w16cid:durableId="34161354">
    <w:abstractNumId w:val="8"/>
  </w:num>
  <w:num w:numId="36" w16cid:durableId="1976908676">
    <w:abstractNumId w:val="11"/>
  </w:num>
  <w:num w:numId="37" w16cid:durableId="758528303">
    <w:abstractNumId w:val="19"/>
  </w:num>
  <w:num w:numId="38" w16cid:durableId="178396561">
    <w:abstractNumId w:val="39"/>
  </w:num>
  <w:num w:numId="39" w16cid:durableId="934825996">
    <w:abstractNumId w:val="14"/>
  </w:num>
  <w:num w:numId="40" w16cid:durableId="898978317">
    <w:abstractNumId w:val="6"/>
  </w:num>
  <w:num w:numId="41" w16cid:durableId="21417236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095A"/>
    <w:rsid w:val="001D1B23"/>
    <w:rsid w:val="001D4818"/>
    <w:rsid w:val="002B3C38"/>
    <w:rsid w:val="002B4DBB"/>
    <w:rsid w:val="002C50EE"/>
    <w:rsid w:val="00340A0A"/>
    <w:rsid w:val="00340E8D"/>
    <w:rsid w:val="003765DC"/>
    <w:rsid w:val="00387A66"/>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8F7F23"/>
    <w:rsid w:val="00936AD0"/>
    <w:rsid w:val="00954129"/>
    <w:rsid w:val="009773E4"/>
    <w:rsid w:val="009B171C"/>
    <w:rsid w:val="009F1313"/>
    <w:rsid w:val="009F77A4"/>
    <w:rsid w:val="00A20351"/>
    <w:rsid w:val="00A428B7"/>
    <w:rsid w:val="00A65A81"/>
    <w:rsid w:val="00A71DCF"/>
    <w:rsid w:val="00A93499"/>
    <w:rsid w:val="00AA23EC"/>
    <w:rsid w:val="00AC63CE"/>
    <w:rsid w:val="00AE2107"/>
    <w:rsid w:val="00B275A8"/>
    <w:rsid w:val="00B6672E"/>
    <w:rsid w:val="00BA5B74"/>
    <w:rsid w:val="00BB22B4"/>
    <w:rsid w:val="00BF2600"/>
    <w:rsid w:val="00C0049F"/>
    <w:rsid w:val="00C07B84"/>
    <w:rsid w:val="00C22B3F"/>
    <w:rsid w:val="00C33464"/>
    <w:rsid w:val="00C40420"/>
    <w:rsid w:val="00C809A7"/>
    <w:rsid w:val="00C83063"/>
    <w:rsid w:val="00C87E90"/>
    <w:rsid w:val="00CA1B57"/>
    <w:rsid w:val="00CF77F7"/>
    <w:rsid w:val="00D86297"/>
    <w:rsid w:val="00DB32D3"/>
    <w:rsid w:val="00DD466D"/>
    <w:rsid w:val="00E9184E"/>
    <w:rsid w:val="00EB6364"/>
    <w:rsid w:val="00EE6C97"/>
    <w:rsid w:val="00F37B64"/>
    <w:rsid w:val="00F53FB7"/>
    <w:rsid w:val="00F62E4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3288</Words>
  <Characters>18748</Characters>
  <Application>Microsoft Office Word</Application>
  <DocSecurity>0</DocSecurity>
  <Lines>156</Lines>
  <Paragraphs>43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2023-02-27T17:33:00Z</dcterms:created>
  <dcterms:modified xsi:type="dcterms:W3CDTF">2023-02-27T17:33:00Z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