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63866F1" w:rsidR="007122AD" w:rsidRDefault="00DD466D" w:rsidP="00936AD0">
      <w:pPr>
        <w:pStyle w:val="Heading1"/>
      </w:pPr>
      <w:r>
        <w:t>1.ИМЕ НА ЛЕКАРСТВЕНИЯ ПРОДУКТ</w:t>
      </w:r>
    </w:p>
    <w:p w14:paraId="0CD1DB49" w14:textId="69D627AE" w:rsidR="006B7E28" w:rsidRDefault="006B7E28" w:rsidP="006B7E28"/>
    <w:p w14:paraId="15901BF7" w14:textId="77777777" w:rsidR="006B7E28" w:rsidRPr="006B7E28" w:rsidRDefault="006B7E28" w:rsidP="006B7E28">
      <w:pPr>
        <w:rPr>
          <w:sz w:val="24"/>
          <w:szCs w:val="24"/>
        </w:rPr>
      </w:pPr>
      <w:r w:rsidRPr="006B7E28">
        <w:rPr>
          <w:lang w:eastAsia="bg-BG"/>
        </w:rPr>
        <w:t xml:space="preserve">Егитромб 75 </w:t>
      </w:r>
      <w:r w:rsidRPr="006B7E28">
        <w:rPr>
          <w:lang w:val="en-US"/>
        </w:rPr>
        <w:t>mg</w:t>
      </w:r>
      <w:r w:rsidRPr="006B7E28">
        <w:t xml:space="preserve"> </w:t>
      </w:r>
      <w:r w:rsidRPr="006B7E28">
        <w:rPr>
          <w:lang w:eastAsia="bg-BG"/>
        </w:rPr>
        <w:t>филмирани таблетки</w:t>
      </w:r>
    </w:p>
    <w:p w14:paraId="57BD25D6" w14:textId="548D8335" w:rsidR="006B7E28" w:rsidRPr="006B7E28" w:rsidRDefault="006B7E28" w:rsidP="006B7E28">
      <w:proofErr w:type="spellStart"/>
      <w:r w:rsidRPr="006B7E28">
        <w:rPr>
          <w:lang w:val="en-US"/>
        </w:rPr>
        <w:t>Egitromb</w:t>
      </w:r>
      <w:proofErr w:type="spellEnd"/>
      <w:r w:rsidRPr="006B7E28">
        <w:t xml:space="preserve"> </w:t>
      </w:r>
      <w:r w:rsidRPr="006B7E28">
        <w:rPr>
          <w:lang w:eastAsia="bg-BG"/>
        </w:rPr>
        <w:t xml:space="preserve">75 </w:t>
      </w:r>
      <w:r w:rsidRPr="006B7E28">
        <w:rPr>
          <w:lang w:val="en-US"/>
        </w:rPr>
        <w:t>mg</w:t>
      </w:r>
      <w:r w:rsidRPr="006B7E28">
        <w:t xml:space="preserve"> </w:t>
      </w:r>
      <w:r w:rsidRPr="006B7E28">
        <w:rPr>
          <w:lang w:val="en-US"/>
        </w:rPr>
        <w:t>film</w:t>
      </w:r>
      <w:r w:rsidRPr="006B7E28">
        <w:t>-</w:t>
      </w:r>
      <w:r w:rsidRPr="006B7E28">
        <w:rPr>
          <w:lang w:val="en-US"/>
        </w:rPr>
        <w:t>coated</w:t>
      </w:r>
      <w:r w:rsidRPr="006B7E28">
        <w:t xml:space="preserve"> </w:t>
      </w:r>
      <w:r w:rsidRPr="006B7E28">
        <w:rPr>
          <w:lang w:val="en-US"/>
        </w:rPr>
        <w:t>tablets</w:t>
      </w:r>
    </w:p>
    <w:p w14:paraId="6920A680" w14:textId="53EF7619" w:rsidR="00C40420" w:rsidRDefault="00DD466D" w:rsidP="004A448E">
      <w:pPr>
        <w:pStyle w:val="Heading1"/>
      </w:pPr>
      <w:r>
        <w:t>2. КАЧЕСТВЕН И КОЛИЧЕСТВЕН СЪСТАВ</w:t>
      </w:r>
    </w:p>
    <w:p w14:paraId="249281DD" w14:textId="238CBA87" w:rsidR="006B7E28" w:rsidRDefault="006B7E28" w:rsidP="006B7E28"/>
    <w:p w14:paraId="1121E851"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Всяка филмирана таблетка съдържа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клопидогрел (като хидрогенсулфат).</w:t>
      </w:r>
    </w:p>
    <w:p w14:paraId="4663FC53" w14:textId="77777777" w:rsidR="006B7E28" w:rsidRPr="006B7E28" w:rsidRDefault="006B7E28" w:rsidP="006B7E28">
      <w:pPr>
        <w:spacing w:line="240" w:lineRule="auto"/>
        <w:rPr>
          <w:rFonts w:eastAsia="Times New Roman" w:cs="Arial"/>
          <w:color w:val="000000"/>
          <w:u w:val="single"/>
          <w:lang w:eastAsia="bg-BG"/>
        </w:rPr>
      </w:pPr>
    </w:p>
    <w:p w14:paraId="5CDA2A10" w14:textId="063BFCF5" w:rsidR="006B7E28" w:rsidRPr="006B7E28" w:rsidRDefault="006B7E28" w:rsidP="006B7E28">
      <w:pPr>
        <w:spacing w:line="240" w:lineRule="auto"/>
        <w:rPr>
          <w:rFonts w:eastAsia="Times New Roman" w:cs="Arial"/>
          <w:sz w:val="24"/>
          <w:szCs w:val="24"/>
        </w:rPr>
      </w:pPr>
      <w:r w:rsidRPr="006B7E28">
        <w:rPr>
          <w:rFonts w:eastAsia="Times New Roman" w:cs="Arial"/>
          <w:color w:val="000000"/>
          <w:u w:val="single"/>
          <w:lang w:eastAsia="bg-BG"/>
        </w:rPr>
        <w:t>Помощни вещества с известен ефект</w:t>
      </w:r>
    </w:p>
    <w:p w14:paraId="388CA252"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Всяка филмирана таблетка съдържа 12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хидрогенирано рициново масло.</w:t>
      </w:r>
    </w:p>
    <w:p w14:paraId="68DC8C35" w14:textId="77777777" w:rsidR="006B7E28" w:rsidRPr="006B7E28" w:rsidRDefault="006B7E28" w:rsidP="006B7E28"/>
    <w:p w14:paraId="614984C4" w14:textId="3B5293D2" w:rsidR="008A6AF2" w:rsidRDefault="00DD466D" w:rsidP="002C50EE">
      <w:pPr>
        <w:pStyle w:val="Heading1"/>
      </w:pPr>
      <w:r>
        <w:t>3. ЛЕКАРСТВЕНА ФОРМА</w:t>
      </w:r>
    </w:p>
    <w:p w14:paraId="69FDA4E5" w14:textId="42ABDB94" w:rsidR="006B7E28" w:rsidRDefault="006B7E28" w:rsidP="006B7E28"/>
    <w:p w14:paraId="72D5B5FB" w14:textId="77777777" w:rsidR="006B7E28" w:rsidRPr="006B7E28" w:rsidRDefault="006B7E28" w:rsidP="006B7E28">
      <w:pPr>
        <w:rPr>
          <w:sz w:val="24"/>
          <w:szCs w:val="24"/>
        </w:rPr>
      </w:pPr>
      <w:r w:rsidRPr="006B7E28">
        <w:rPr>
          <w:lang w:eastAsia="bg-BG"/>
        </w:rPr>
        <w:t>Филмирана таблетка.</w:t>
      </w:r>
    </w:p>
    <w:p w14:paraId="39D93F63" w14:textId="77777777" w:rsidR="006B7E28" w:rsidRDefault="006B7E28" w:rsidP="006B7E28">
      <w:pPr>
        <w:rPr>
          <w:lang w:eastAsia="bg-BG"/>
        </w:rPr>
      </w:pPr>
    </w:p>
    <w:p w14:paraId="0BB35207" w14:textId="795E831F" w:rsidR="006B7E28" w:rsidRPr="006B7E28" w:rsidRDefault="006B7E28" w:rsidP="006B7E28">
      <w:pPr>
        <w:rPr>
          <w:sz w:val="24"/>
          <w:szCs w:val="24"/>
        </w:rPr>
      </w:pPr>
      <w:r w:rsidRPr="006B7E28">
        <w:rPr>
          <w:lang w:eastAsia="bg-BG"/>
        </w:rPr>
        <w:t>Бели до почти бели, кръгли, двойноизпъкнали филмирани таблетки, маркирани с “Е 181” от едната страна.</w:t>
      </w:r>
    </w:p>
    <w:p w14:paraId="5613964E" w14:textId="77777777" w:rsidR="006B7E28" w:rsidRPr="006B7E28" w:rsidRDefault="006B7E28" w:rsidP="006B7E28"/>
    <w:p w14:paraId="490FC2C4" w14:textId="0F4A4A75" w:rsidR="002C50EE" w:rsidRDefault="002C50EE" w:rsidP="002C50EE">
      <w:pPr>
        <w:pStyle w:val="Heading1"/>
      </w:pPr>
      <w:r>
        <w:t>4. КЛИНИЧНИ ДАННИ</w:t>
      </w:r>
    </w:p>
    <w:p w14:paraId="74330405" w14:textId="5E618E02" w:rsidR="007122AD" w:rsidRDefault="002C50EE" w:rsidP="00936AD0">
      <w:pPr>
        <w:pStyle w:val="Heading2"/>
      </w:pPr>
      <w:r>
        <w:t>4.1. Терапевтични показания</w:t>
      </w:r>
    </w:p>
    <w:p w14:paraId="5F91C2C8" w14:textId="75EA6D9C" w:rsidR="006B7E28" w:rsidRDefault="006B7E28" w:rsidP="006B7E28"/>
    <w:p w14:paraId="23072464" w14:textId="77777777"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Вторична профилактика на атеротромботични инциденти</w:t>
      </w:r>
    </w:p>
    <w:p w14:paraId="640BCD3E"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Клопидогрел е предназначен за:</w:t>
      </w:r>
    </w:p>
    <w:p w14:paraId="09EE83AB" w14:textId="77777777" w:rsidR="006B7E28" w:rsidRPr="006B7E28" w:rsidRDefault="006B7E28" w:rsidP="006B7E28">
      <w:pPr>
        <w:spacing w:line="240" w:lineRule="auto"/>
        <w:rPr>
          <w:rFonts w:eastAsia="Times New Roman" w:cs="Arial"/>
          <w:color w:val="000000"/>
          <w:lang w:eastAsia="bg-BG"/>
        </w:rPr>
      </w:pPr>
    </w:p>
    <w:p w14:paraId="2DC4A96E" w14:textId="77777777" w:rsidR="006B7E28" w:rsidRPr="006B7E28" w:rsidRDefault="006B7E28" w:rsidP="006B7E28">
      <w:pPr>
        <w:pStyle w:val="ListParagraph"/>
        <w:numPr>
          <w:ilvl w:val="0"/>
          <w:numId w:val="37"/>
        </w:numPr>
        <w:spacing w:line="240" w:lineRule="auto"/>
        <w:rPr>
          <w:rFonts w:eastAsia="Times New Roman" w:cs="Arial"/>
          <w:color w:val="000000"/>
          <w:lang w:eastAsia="bg-BG"/>
        </w:rPr>
      </w:pPr>
      <w:r w:rsidRPr="006B7E28">
        <w:rPr>
          <w:rFonts w:eastAsia="Times New Roman" w:cs="Arial"/>
          <w:color w:val="000000"/>
          <w:lang w:eastAsia="bg-BG"/>
        </w:rPr>
        <w:t>Възрастни пациенти с анамнеза на миокарден инфаркт (от няколко дни до по-малко от 35 дни), исхемичен инсулт (от 7 дни до по-малко от 6 месеца) или установено периферно артериално заболяване.</w:t>
      </w:r>
    </w:p>
    <w:p w14:paraId="75FA7DD6" w14:textId="7741AE32" w:rsidR="006B7E28" w:rsidRPr="006B7E28" w:rsidRDefault="006B7E28" w:rsidP="006B7E28">
      <w:pPr>
        <w:pStyle w:val="ListParagraph"/>
        <w:numPr>
          <w:ilvl w:val="0"/>
          <w:numId w:val="37"/>
        </w:numPr>
        <w:spacing w:line="240" w:lineRule="auto"/>
        <w:rPr>
          <w:rFonts w:eastAsia="Times New Roman" w:cs="Arial"/>
          <w:color w:val="000000"/>
          <w:lang w:eastAsia="bg-BG"/>
        </w:rPr>
      </w:pPr>
      <w:r w:rsidRPr="006B7E28">
        <w:rPr>
          <w:rFonts w:eastAsia="Times New Roman" w:cs="Arial"/>
          <w:color w:val="000000"/>
          <w:lang w:eastAsia="bg-BG"/>
        </w:rPr>
        <w:t>Възрастни пациенти, страдащи от остър коронарен синдром:</w:t>
      </w:r>
    </w:p>
    <w:p w14:paraId="5D93053F" w14:textId="77777777" w:rsidR="006B7E28" w:rsidRPr="006B7E28" w:rsidRDefault="006B7E28" w:rsidP="006B7E28">
      <w:pPr>
        <w:pStyle w:val="ListParagraph"/>
        <w:numPr>
          <w:ilvl w:val="0"/>
          <w:numId w:val="38"/>
        </w:numPr>
        <w:spacing w:line="240" w:lineRule="auto"/>
        <w:rPr>
          <w:rFonts w:eastAsia="Times New Roman" w:cs="Arial"/>
          <w:color w:val="000000"/>
          <w:lang w:eastAsia="bg-BG"/>
        </w:rPr>
      </w:pPr>
      <w:r w:rsidRPr="006B7E28">
        <w:rPr>
          <w:rFonts w:eastAsia="Times New Roman" w:cs="Arial"/>
          <w:color w:val="000000"/>
          <w:lang w:eastAsia="bg-BG"/>
        </w:rPr>
        <w:t xml:space="preserve">остър коронарен синдром без елевация на </w:t>
      </w:r>
      <w:r w:rsidRPr="006B7E28">
        <w:rPr>
          <w:rFonts w:eastAsia="Times New Roman" w:cs="Arial"/>
          <w:color w:val="000000"/>
          <w:lang w:val="en-US"/>
        </w:rPr>
        <w:t>ST</w:t>
      </w:r>
      <w:r w:rsidRPr="006B7E28">
        <w:rPr>
          <w:rFonts w:eastAsia="Times New Roman" w:cs="Arial"/>
          <w:color w:val="000000"/>
          <w:lang w:val="ru-RU"/>
        </w:rPr>
        <w:t xml:space="preserve"> </w:t>
      </w:r>
      <w:r w:rsidRPr="006B7E28">
        <w:rPr>
          <w:rFonts w:eastAsia="Times New Roman" w:cs="Arial"/>
          <w:color w:val="000000"/>
          <w:lang w:eastAsia="bg-BG"/>
        </w:rPr>
        <w:t xml:space="preserve">сегмента (нестабилна стенокардия или миокарден инфаркт без </w:t>
      </w:r>
      <w:r w:rsidRPr="006B7E28">
        <w:rPr>
          <w:rFonts w:eastAsia="Times New Roman" w:cs="Arial"/>
          <w:color w:val="000000"/>
          <w:lang w:val="en-US"/>
        </w:rPr>
        <w:t>Q</w:t>
      </w:r>
      <w:r w:rsidRPr="006B7E28">
        <w:rPr>
          <w:rFonts w:eastAsia="Times New Roman" w:cs="Arial"/>
          <w:color w:val="000000"/>
          <w:lang w:eastAsia="bg-BG"/>
        </w:rPr>
        <w:t>-зъбец), включително пациенти, на които се поставя стент след перкутанна коронарна интервенция, в комбинация с ацетилсалицилова киселина (АСК).</w:t>
      </w:r>
    </w:p>
    <w:p w14:paraId="7DA10C84" w14:textId="29C09EA6" w:rsidR="006B7E28" w:rsidRPr="006B7E28" w:rsidRDefault="006B7E28" w:rsidP="006B7E28">
      <w:pPr>
        <w:pStyle w:val="ListParagraph"/>
        <w:numPr>
          <w:ilvl w:val="0"/>
          <w:numId w:val="38"/>
        </w:numPr>
        <w:spacing w:line="240" w:lineRule="auto"/>
        <w:rPr>
          <w:rFonts w:eastAsia="Times New Roman" w:cs="Arial"/>
          <w:color w:val="000000"/>
          <w:lang w:eastAsia="bg-BG"/>
        </w:rPr>
      </w:pPr>
      <w:r w:rsidRPr="006B7E28">
        <w:rPr>
          <w:rFonts w:eastAsia="Times New Roman" w:cs="Arial"/>
          <w:color w:val="000000"/>
          <w:lang w:eastAsia="bg-BG"/>
        </w:rPr>
        <w:t xml:space="preserve">остър миокарден инфаркт с елевация на </w:t>
      </w:r>
      <w:r w:rsidRPr="006B7E28">
        <w:rPr>
          <w:rFonts w:eastAsia="Times New Roman" w:cs="Arial"/>
          <w:color w:val="000000"/>
          <w:lang w:val="en-US"/>
        </w:rPr>
        <w:t>ST</w:t>
      </w:r>
      <w:r w:rsidRPr="006B7E28">
        <w:rPr>
          <w:rFonts w:eastAsia="Times New Roman" w:cs="Arial"/>
          <w:color w:val="000000"/>
          <w:lang w:val="ru-RU"/>
        </w:rPr>
        <w:t xml:space="preserve"> </w:t>
      </w:r>
      <w:r w:rsidRPr="006B7E28">
        <w:rPr>
          <w:rFonts w:eastAsia="Times New Roman" w:cs="Arial"/>
          <w:color w:val="000000"/>
          <w:lang w:eastAsia="bg-BG"/>
        </w:rPr>
        <w:t>сегмента, в комбинация с АСК при медикаментозно лекувани пациенти, подходящи за тромболитична терапия.</w:t>
      </w:r>
    </w:p>
    <w:p w14:paraId="0063147A" w14:textId="77777777" w:rsidR="006B7E28" w:rsidRPr="006B7E28" w:rsidRDefault="006B7E28" w:rsidP="006B7E28">
      <w:pPr>
        <w:spacing w:line="240" w:lineRule="auto"/>
        <w:rPr>
          <w:rFonts w:eastAsia="Times New Roman" w:cs="Arial"/>
          <w:i/>
          <w:iCs/>
          <w:color w:val="000000"/>
          <w:lang w:eastAsia="bg-BG"/>
        </w:rPr>
      </w:pPr>
    </w:p>
    <w:p w14:paraId="266A30AC" w14:textId="59906B48" w:rsidR="006B7E28" w:rsidRPr="006B7E28" w:rsidRDefault="006B7E28" w:rsidP="006B7E28">
      <w:pPr>
        <w:spacing w:line="240" w:lineRule="auto"/>
        <w:rPr>
          <w:rFonts w:eastAsia="Times New Roman" w:cs="Arial"/>
          <w:lang w:val="ru-RU"/>
        </w:rPr>
      </w:pPr>
      <w:r w:rsidRPr="006B7E28">
        <w:rPr>
          <w:rFonts w:eastAsia="Times New Roman" w:cs="Arial"/>
          <w:i/>
          <w:iCs/>
          <w:color w:val="000000"/>
          <w:lang w:eastAsia="bg-BG"/>
        </w:rPr>
        <w:t>При пациенти с умерен до висок риск преходна исхемична атака (</w:t>
      </w:r>
      <w:r w:rsidRPr="006B7E28">
        <w:rPr>
          <w:rFonts w:eastAsia="Times New Roman" w:cs="Arial"/>
          <w:i/>
          <w:iCs/>
          <w:color w:val="000000"/>
          <w:lang w:val="en-US"/>
        </w:rPr>
        <w:t>TI</w:t>
      </w:r>
      <w:r w:rsidRPr="006B7E28">
        <w:rPr>
          <w:rFonts w:eastAsia="Times New Roman" w:cs="Arial"/>
          <w:i/>
          <w:iCs/>
          <w:color w:val="000000"/>
          <w:lang w:eastAsia="bg-BG"/>
        </w:rPr>
        <w:t xml:space="preserve">А) или лек исхемичен инсулт </w:t>
      </w:r>
      <w:r w:rsidRPr="006B7E28">
        <w:rPr>
          <w:rFonts w:eastAsia="Times New Roman" w:cs="Arial"/>
          <w:color w:val="000000"/>
          <w:lang w:eastAsia="bg-BG"/>
        </w:rPr>
        <w:t>(</w:t>
      </w:r>
      <w:r w:rsidRPr="006B7E28">
        <w:rPr>
          <w:rFonts w:eastAsia="Times New Roman" w:cs="Arial"/>
          <w:color w:val="000000"/>
          <w:lang w:val="en-US" w:eastAsia="bg-BG"/>
        </w:rPr>
        <w:t>IS</w:t>
      </w:r>
      <w:r w:rsidRPr="006B7E28">
        <w:rPr>
          <w:rFonts w:eastAsia="Times New Roman" w:cs="Arial"/>
          <w:color w:val="000000"/>
          <w:lang w:val="ru-RU" w:eastAsia="bg-BG"/>
        </w:rPr>
        <w:t>)</w:t>
      </w:r>
    </w:p>
    <w:p w14:paraId="52D9EEC1"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Клопидогрел в комбинация с АСК е показан при:</w:t>
      </w:r>
    </w:p>
    <w:p w14:paraId="0DA94BC4" w14:textId="2FB8392D" w:rsidR="006B7E28" w:rsidRPr="006B7E28" w:rsidRDefault="006B7E28" w:rsidP="006B7E28">
      <w:pPr>
        <w:pStyle w:val="ListParagraph"/>
        <w:numPr>
          <w:ilvl w:val="0"/>
          <w:numId w:val="38"/>
        </w:numPr>
        <w:spacing w:line="240" w:lineRule="auto"/>
        <w:rPr>
          <w:rFonts w:eastAsia="Times New Roman" w:cs="Arial"/>
        </w:rPr>
      </w:pPr>
      <w:r w:rsidRPr="006B7E28">
        <w:rPr>
          <w:rFonts w:eastAsia="Times New Roman" w:cs="Arial"/>
          <w:color w:val="000000"/>
          <w:lang w:eastAsia="bg-BG"/>
        </w:rPr>
        <w:t xml:space="preserve">Възрастни пациенти с умерено до високорискова </w:t>
      </w:r>
      <w:r w:rsidRPr="006B7E28">
        <w:rPr>
          <w:rFonts w:eastAsia="Times New Roman" w:cs="Arial"/>
          <w:color w:val="000000"/>
          <w:lang w:val="en-US"/>
        </w:rPr>
        <w:t>TIA</w:t>
      </w:r>
      <w:r w:rsidRPr="006B7E28">
        <w:rPr>
          <w:rFonts w:eastAsia="Times New Roman" w:cs="Arial"/>
          <w:color w:val="000000"/>
          <w:lang w:val="ru-RU"/>
        </w:rPr>
        <w:t xml:space="preserve"> </w:t>
      </w:r>
      <w:r w:rsidRPr="006B7E28">
        <w:rPr>
          <w:rFonts w:eastAsia="Times New Roman" w:cs="Arial"/>
          <w:color w:val="000000"/>
          <w:lang w:eastAsia="bg-BG"/>
        </w:rPr>
        <w:t xml:space="preserve">(резултат </w:t>
      </w:r>
      <w:r w:rsidRPr="006B7E28">
        <w:rPr>
          <w:rFonts w:eastAsia="Times New Roman" w:cs="Arial"/>
          <w:color w:val="000000"/>
          <w:lang w:val="en-US"/>
        </w:rPr>
        <w:t>ABCD</w:t>
      </w:r>
      <w:r w:rsidRPr="006B7E28">
        <w:rPr>
          <w:rFonts w:eastAsia="Times New Roman" w:cs="Arial"/>
          <w:color w:val="000000"/>
          <w:lang w:val="ru-RU"/>
        </w:rPr>
        <w:t>2</w:t>
      </w:r>
      <w:r w:rsidRPr="006B7E28">
        <w:rPr>
          <w:rFonts w:eastAsia="Times New Roman" w:cs="Arial"/>
          <w:color w:val="000000"/>
          <w:vertAlign w:val="superscript"/>
          <w:lang w:val="ru-RU"/>
        </w:rPr>
        <w:t>1</w:t>
      </w:r>
      <w:r w:rsidRPr="006B7E28">
        <w:rPr>
          <w:rFonts w:eastAsia="Times New Roman" w:cs="Arial"/>
          <w:color w:val="000000"/>
          <w:lang w:val="ru-RU"/>
        </w:rPr>
        <w:t xml:space="preserve"> </w:t>
      </w:r>
      <w:r w:rsidRPr="006B7E28">
        <w:rPr>
          <w:rFonts w:eastAsia="Times New Roman" w:cs="Arial"/>
          <w:color w:val="000000"/>
          <w:lang w:eastAsia="bg-BG"/>
        </w:rPr>
        <w:t>≥4</w:t>
      </w:r>
      <w:r w:rsidRPr="006B7E28">
        <w:rPr>
          <w:rFonts w:eastAsia="Times New Roman" w:cs="Arial"/>
          <w:color w:val="000000"/>
          <w:lang w:val="ru-RU"/>
        </w:rPr>
        <w:t xml:space="preserve"> </w:t>
      </w:r>
      <w:r w:rsidRPr="006B7E28">
        <w:rPr>
          <w:rFonts w:eastAsia="Times New Roman" w:cs="Arial"/>
          <w:color w:val="000000"/>
          <w:lang w:eastAsia="bg-BG"/>
        </w:rPr>
        <w:t xml:space="preserve">или лек </w:t>
      </w:r>
      <w:r w:rsidRPr="006B7E28">
        <w:rPr>
          <w:rFonts w:eastAsia="Times New Roman" w:cs="Arial"/>
          <w:color w:val="000000"/>
          <w:lang w:val="en-US"/>
        </w:rPr>
        <w:t>IS</w:t>
      </w:r>
      <w:r w:rsidRPr="006B7E28">
        <w:rPr>
          <w:rFonts w:eastAsia="Times New Roman" w:cs="Arial"/>
          <w:color w:val="000000"/>
          <w:lang w:val="ru-RU"/>
        </w:rPr>
        <w:t xml:space="preserve"> (</w:t>
      </w:r>
      <w:r w:rsidRPr="006B7E28">
        <w:rPr>
          <w:rFonts w:eastAsia="Times New Roman" w:cs="Arial"/>
          <w:color w:val="000000"/>
          <w:lang w:val="en-US"/>
        </w:rPr>
        <w:t>NIHSS</w:t>
      </w:r>
      <w:r w:rsidRPr="006B7E28">
        <w:rPr>
          <w:rFonts w:eastAsia="Times New Roman" w:cs="Arial"/>
          <w:color w:val="000000"/>
          <w:vertAlign w:val="superscript"/>
          <w:lang w:val="ru-RU"/>
        </w:rPr>
        <w:t>2</w:t>
      </w:r>
      <w:r w:rsidRPr="006B7E28">
        <w:rPr>
          <w:rFonts w:eastAsia="Times New Roman" w:cs="Arial"/>
          <w:color w:val="000000"/>
          <w:lang w:val="ru-RU"/>
        </w:rPr>
        <w:t xml:space="preserve"> </w:t>
      </w:r>
      <w:r w:rsidRPr="006B7E28">
        <w:rPr>
          <w:rFonts w:eastAsia="Times New Roman" w:cs="Arial"/>
          <w:color w:val="000000"/>
          <w:lang w:eastAsia="bg-BG"/>
        </w:rPr>
        <w:t xml:space="preserve">≤3) в рамките на 24 часа от събитието </w:t>
      </w:r>
      <w:r w:rsidRPr="006B7E28">
        <w:rPr>
          <w:rFonts w:eastAsia="Times New Roman" w:cs="Arial"/>
          <w:color w:val="000000"/>
          <w:lang w:val="en-US"/>
        </w:rPr>
        <w:t>TIA</w:t>
      </w:r>
      <w:r w:rsidRPr="006B7E28">
        <w:rPr>
          <w:rFonts w:eastAsia="Times New Roman" w:cs="Arial"/>
          <w:color w:val="000000"/>
          <w:lang w:val="ru-RU"/>
        </w:rPr>
        <w:t xml:space="preserve"> </w:t>
      </w:r>
      <w:r w:rsidRPr="006B7E28">
        <w:rPr>
          <w:rFonts w:eastAsia="Times New Roman" w:cs="Arial"/>
          <w:color w:val="000000"/>
          <w:lang w:eastAsia="bg-BG"/>
        </w:rPr>
        <w:t xml:space="preserve">или </w:t>
      </w:r>
      <w:r w:rsidRPr="006B7E28">
        <w:rPr>
          <w:rFonts w:eastAsia="Times New Roman" w:cs="Arial"/>
          <w:color w:val="000000"/>
          <w:lang w:val="en-US"/>
        </w:rPr>
        <w:t>IS</w:t>
      </w:r>
      <w:r w:rsidRPr="006B7E28">
        <w:rPr>
          <w:rFonts w:eastAsia="Times New Roman" w:cs="Arial"/>
          <w:color w:val="000000"/>
          <w:lang w:val="ru-RU"/>
        </w:rPr>
        <w:t>.</w:t>
      </w:r>
    </w:p>
    <w:p w14:paraId="5993E16F" w14:textId="77777777" w:rsidR="006B7E28" w:rsidRPr="006B7E28" w:rsidRDefault="006B7E28" w:rsidP="006B7E28">
      <w:pPr>
        <w:spacing w:line="240" w:lineRule="auto"/>
        <w:rPr>
          <w:rFonts w:eastAsia="Times New Roman" w:cs="Arial"/>
          <w:i/>
          <w:iCs/>
          <w:color w:val="000000"/>
          <w:lang w:eastAsia="bg-BG"/>
        </w:rPr>
      </w:pPr>
    </w:p>
    <w:p w14:paraId="32CC5607" w14:textId="19C299D3"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lastRenderedPageBreak/>
        <w:t>Профилактика на атеротромботични и тромбоемболични инциденти при</w:t>
      </w:r>
      <w:r w:rsidRPr="006B7E28">
        <w:rPr>
          <w:rFonts w:eastAsia="Times New Roman" w:cs="Arial"/>
          <w:i/>
          <w:iCs/>
          <w:color w:val="000000"/>
          <w:lang w:val="ru-RU"/>
        </w:rPr>
        <w:t xml:space="preserve"> </w:t>
      </w:r>
      <w:r w:rsidRPr="006B7E28">
        <w:rPr>
          <w:rFonts w:eastAsia="Times New Roman" w:cs="Arial"/>
          <w:i/>
          <w:iCs/>
          <w:color w:val="000000"/>
          <w:lang w:eastAsia="bg-BG"/>
        </w:rPr>
        <w:t>предсърдно</w:t>
      </w:r>
    </w:p>
    <w:p w14:paraId="640D0A61" w14:textId="77777777" w:rsidR="006B7E28" w:rsidRPr="006B7E28" w:rsidRDefault="00F962F6" w:rsidP="006B7E28">
      <w:pPr>
        <w:spacing w:line="240" w:lineRule="auto"/>
        <w:rPr>
          <w:rFonts w:eastAsia="Times New Roman" w:cs="Arial"/>
        </w:rPr>
      </w:pPr>
      <w:hyperlink w:anchor="bookmark0" w:tooltip="Current Document" w:history="1">
        <w:bookmarkStart w:id="1" w:name="bookmark0"/>
        <w:r w:rsidR="006B7E28" w:rsidRPr="006B7E28">
          <w:rPr>
            <w:rFonts w:eastAsia="Times New Roman" w:cs="Arial"/>
            <w:i/>
            <w:iCs/>
            <w:color w:val="000000"/>
            <w:lang w:eastAsia="bg-BG"/>
          </w:rPr>
          <w:t>мъждене</w:t>
        </w:r>
        <w:bookmarkEnd w:id="1"/>
      </w:hyperlink>
    </w:p>
    <w:p w14:paraId="364FF318" w14:textId="77777777" w:rsidR="006B7E28" w:rsidRPr="006B7E28" w:rsidRDefault="006B7E28" w:rsidP="006B7E28">
      <w:pPr>
        <w:spacing w:line="240" w:lineRule="auto"/>
        <w:rPr>
          <w:rFonts w:eastAsia="Times New Roman" w:cs="Arial"/>
          <w:color w:val="000000"/>
          <w:lang w:eastAsia="bg-BG"/>
        </w:rPr>
      </w:pPr>
    </w:p>
    <w:p w14:paraId="63542226" w14:textId="58F25798" w:rsidR="006B7E28" w:rsidRPr="006B7E28" w:rsidRDefault="006B7E28" w:rsidP="006B7E28">
      <w:pPr>
        <w:spacing w:line="240" w:lineRule="auto"/>
        <w:rPr>
          <w:rFonts w:eastAsia="Times New Roman" w:cs="Arial"/>
        </w:rPr>
      </w:pPr>
      <w:r w:rsidRPr="006B7E28">
        <w:rPr>
          <w:rFonts w:eastAsia="Times New Roman" w:cs="Arial"/>
          <w:color w:val="000000"/>
          <w:vertAlign w:val="superscript"/>
          <w:lang w:eastAsia="bg-BG"/>
        </w:rPr>
        <w:t>1</w:t>
      </w:r>
      <w:r w:rsidRPr="006B7E28">
        <w:rPr>
          <w:rFonts w:eastAsia="Times New Roman" w:cs="Arial"/>
          <w:color w:val="000000"/>
          <w:lang w:eastAsia="bg-BG"/>
        </w:rPr>
        <w:t>Възраст, кръвно налягане, клинични характеристики, продължителност и диагноза</w:t>
      </w:r>
    </w:p>
    <w:p w14:paraId="2DAEEFC3" w14:textId="77777777" w:rsidR="006B7E28" w:rsidRPr="006B7E28" w:rsidRDefault="006B7E28" w:rsidP="006B7E28">
      <w:pPr>
        <w:spacing w:line="240" w:lineRule="auto"/>
        <w:rPr>
          <w:rFonts w:eastAsia="Times New Roman" w:cs="Arial"/>
        </w:rPr>
      </w:pPr>
      <w:r w:rsidRPr="006B7E28">
        <w:rPr>
          <w:rFonts w:eastAsia="Times New Roman" w:cs="Arial"/>
          <w:color w:val="000000"/>
          <w:vertAlign w:val="superscript"/>
          <w:lang w:eastAsia="bg-BG"/>
        </w:rPr>
        <w:t>2</w:t>
      </w:r>
      <w:r w:rsidRPr="006B7E28">
        <w:rPr>
          <w:rFonts w:eastAsia="Times New Roman" w:cs="Arial"/>
          <w:color w:val="000000"/>
          <w:lang w:eastAsia="bg-BG"/>
        </w:rPr>
        <w:t xml:space="preserve"> </w:t>
      </w:r>
      <w:r w:rsidRPr="006B7E28">
        <w:rPr>
          <w:rFonts w:eastAsia="Times New Roman" w:cs="Arial"/>
          <w:color w:val="000000"/>
          <w:lang w:val="en-US"/>
        </w:rPr>
        <w:t>National Institutes of Health Stroke Scale</w:t>
      </w:r>
    </w:p>
    <w:p w14:paraId="3D7BFCA6" w14:textId="64174DAA" w:rsidR="006B7E28" w:rsidRPr="006B7E28" w:rsidRDefault="006B7E28" w:rsidP="006B7E28">
      <w:pPr>
        <w:rPr>
          <w:rFonts w:cs="Arial"/>
        </w:rPr>
      </w:pPr>
    </w:p>
    <w:p w14:paraId="4D6FB09D"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При възрастни пациенти с предсърдно </w:t>
      </w:r>
      <w:r w:rsidRPr="006B7E28">
        <w:rPr>
          <w:rFonts w:eastAsia="Times New Roman" w:cs="Arial"/>
          <w:i/>
          <w:iCs/>
          <w:color w:val="000000"/>
          <w:lang w:eastAsia="bg-BG"/>
        </w:rPr>
        <w:t>мъждене, които</w:t>
      </w:r>
      <w:r w:rsidRPr="006B7E28">
        <w:rPr>
          <w:rFonts w:eastAsia="Times New Roman" w:cs="Arial"/>
          <w:color w:val="000000"/>
          <w:lang w:eastAsia="bg-BG"/>
        </w:rPr>
        <w:t xml:space="preserve"> имат поне един рисков фактор за съдови инциденти, които не са подходящи за лечение с антагонист на витамин К </w:t>
      </w:r>
      <w:r w:rsidRPr="006B7E28">
        <w:rPr>
          <w:rFonts w:eastAsia="Times New Roman" w:cs="Arial"/>
          <w:color w:val="000000"/>
          <w:lang w:val="ru-RU"/>
        </w:rPr>
        <w:t>(</w:t>
      </w:r>
      <w:r w:rsidRPr="006B7E28">
        <w:rPr>
          <w:rFonts w:eastAsia="Times New Roman" w:cs="Arial"/>
          <w:color w:val="000000"/>
          <w:lang w:val="en-US"/>
        </w:rPr>
        <w:t>VKA</w:t>
      </w:r>
      <w:r w:rsidRPr="006B7E28">
        <w:rPr>
          <w:rFonts w:eastAsia="Times New Roman" w:cs="Arial"/>
          <w:color w:val="000000"/>
          <w:lang w:val="ru-RU"/>
        </w:rPr>
        <w:t xml:space="preserve">) </w:t>
      </w:r>
      <w:r w:rsidRPr="006B7E28">
        <w:rPr>
          <w:rFonts w:eastAsia="Times New Roman" w:cs="Arial"/>
          <w:color w:val="000000"/>
          <w:lang w:eastAsia="bg-BG"/>
        </w:rPr>
        <w:t>и при които има нисък риск за кървене, клопидогрел е показан в комбинация с АСК за предпазване от атеротромботични и тромбоемболични инциденти, включително инсулт.</w:t>
      </w:r>
    </w:p>
    <w:p w14:paraId="061BC3F7" w14:textId="77777777" w:rsidR="006B7E28" w:rsidRPr="006B7E28" w:rsidRDefault="006B7E28" w:rsidP="006B7E28">
      <w:pPr>
        <w:spacing w:line="240" w:lineRule="auto"/>
        <w:rPr>
          <w:rFonts w:eastAsia="Times New Roman" w:cs="Arial"/>
          <w:color w:val="000000"/>
          <w:lang w:eastAsia="bg-BG"/>
        </w:rPr>
      </w:pPr>
    </w:p>
    <w:p w14:paraId="50D7633B" w14:textId="7206B35C" w:rsidR="006B7E28" w:rsidRPr="006B7E28" w:rsidRDefault="006B7E28" w:rsidP="006B7E28">
      <w:pPr>
        <w:spacing w:line="240" w:lineRule="auto"/>
        <w:rPr>
          <w:rFonts w:eastAsia="Times New Roman" w:cs="Arial"/>
        </w:rPr>
      </w:pPr>
      <w:r w:rsidRPr="006B7E28">
        <w:rPr>
          <w:rFonts w:eastAsia="Times New Roman" w:cs="Arial"/>
          <w:color w:val="000000"/>
          <w:lang w:eastAsia="bg-BG"/>
        </w:rPr>
        <w:t>За допълнителна информация вижте точка 5.1.</w:t>
      </w:r>
    </w:p>
    <w:p w14:paraId="6D0B5EBA" w14:textId="77777777" w:rsidR="006B7E28" w:rsidRPr="006B7E28" w:rsidRDefault="006B7E28" w:rsidP="006B7E28"/>
    <w:p w14:paraId="53F5B866" w14:textId="55ABB193" w:rsidR="007122AD" w:rsidRDefault="002C50EE" w:rsidP="00936AD0">
      <w:pPr>
        <w:pStyle w:val="Heading2"/>
      </w:pPr>
      <w:r>
        <w:t>4.2. Дозировка и начин на приложение</w:t>
      </w:r>
    </w:p>
    <w:p w14:paraId="36C824E0" w14:textId="373B825D" w:rsidR="006B7E28" w:rsidRDefault="006B7E28" w:rsidP="006B7E28"/>
    <w:p w14:paraId="7BD173DB" w14:textId="77777777" w:rsidR="006B7E28" w:rsidRPr="006B7E28" w:rsidRDefault="006B7E28" w:rsidP="006B7E28">
      <w:pPr>
        <w:pStyle w:val="Heading3"/>
        <w:rPr>
          <w:rFonts w:eastAsia="Times New Roman"/>
          <w:u w:val="single"/>
        </w:rPr>
      </w:pPr>
      <w:r w:rsidRPr="006B7E28">
        <w:rPr>
          <w:rFonts w:eastAsia="Times New Roman"/>
          <w:u w:val="single"/>
          <w:lang w:eastAsia="bg-BG"/>
        </w:rPr>
        <w:t>Дозировка</w:t>
      </w:r>
    </w:p>
    <w:p w14:paraId="2D56970A" w14:textId="54422E78" w:rsidR="006B7E28" w:rsidRPr="006B7E28" w:rsidRDefault="006B7E28" w:rsidP="006B7E28">
      <w:pPr>
        <w:pStyle w:val="ListParagraph"/>
        <w:numPr>
          <w:ilvl w:val="0"/>
          <w:numId w:val="39"/>
        </w:numPr>
        <w:spacing w:line="240" w:lineRule="auto"/>
        <w:rPr>
          <w:rFonts w:eastAsia="Times New Roman" w:cs="Arial"/>
          <w:sz w:val="24"/>
          <w:szCs w:val="24"/>
        </w:rPr>
      </w:pPr>
      <w:r w:rsidRPr="006B7E28">
        <w:rPr>
          <w:rFonts w:eastAsia="Times New Roman" w:cs="Arial"/>
          <w:color w:val="000000"/>
          <w:lang w:eastAsia="bg-BG"/>
        </w:rPr>
        <w:t>Възрастни и пациенти в старческа възраст</w:t>
      </w:r>
    </w:p>
    <w:p w14:paraId="3976245C" w14:textId="77777777" w:rsidR="006B7E28" w:rsidRPr="006B7E28" w:rsidRDefault="006B7E28" w:rsidP="006B7E28">
      <w:pPr>
        <w:spacing w:line="240" w:lineRule="auto"/>
        <w:rPr>
          <w:rFonts w:eastAsia="Times New Roman" w:cs="Arial"/>
          <w:color w:val="000000"/>
          <w:lang w:eastAsia="bg-BG"/>
        </w:rPr>
      </w:pPr>
    </w:p>
    <w:p w14:paraId="6DED257C" w14:textId="6E43C8AA"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Клопидогрел следва да се прилага като единична дневна доза от 75 </w:t>
      </w:r>
      <w:r w:rsidRPr="006B7E28">
        <w:rPr>
          <w:rFonts w:eastAsia="Times New Roman" w:cs="Arial"/>
          <w:color w:val="000000"/>
          <w:lang w:val="en-US"/>
        </w:rPr>
        <w:t>mg</w:t>
      </w:r>
      <w:r w:rsidRPr="006B7E28">
        <w:rPr>
          <w:rFonts w:eastAsia="Times New Roman" w:cs="Arial"/>
          <w:color w:val="000000"/>
          <w:lang w:val="ru-RU"/>
        </w:rPr>
        <w:t>.</w:t>
      </w:r>
    </w:p>
    <w:p w14:paraId="1801F166" w14:textId="77777777" w:rsidR="006B7E28" w:rsidRPr="006B7E28" w:rsidRDefault="006B7E28" w:rsidP="006B7E28">
      <w:pPr>
        <w:spacing w:line="240" w:lineRule="auto"/>
        <w:rPr>
          <w:rFonts w:eastAsia="Times New Roman" w:cs="Arial"/>
          <w:color w:val="000000"/>
          <w:lang w:eastAsia="bg-BG"/>
        </w:rPr>
      </w:pPr>
    </w:p>
    <w:p w14:paraId="3DC3F17F" w14:textId="045DA7FB"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При пациенти с остър коронарен синдром:</w:t>
      </w:r>
    </w:p>
    <w:p w14:paraId="3F68332F" w14:textId="77777777" w:rsidR="006B7E28" w:rsidRPr="006B7E28" w:rsidRDefault="006B7E28" w:rsidP="006B7E28">
      <w:pPr>
        <w:pStyle w:val="ListParagraph"/>
        <w:numPr>
          <w:ilvl w:val="0"/>
          <w:numId w:val="2"/>
        </w:numPr>
        <w:spacing w:line="240" w:lineRule="auto"/>
        <w:rPr>
          <w:rFonts w:eastAsia="Times New Roman" w:cs="Arial"/>
          <w:color w:val="000000"/>
          <w:lang w:eastAsia="bg-BG"/>
        </w:rPr>
      </w:pPr>
      <w:r w:rsidRPr="006B7E28">
        <w:rPr>
          <w:rFonts w:eastAsia="Times New Roman" w:cs="Arial"/>
          <w:color w:val="000000"/>
          <w:lang w:eastAsia="bg-BG"/>
        </w:rPr>
        <w:t xml:space="preserve">остър коронарен синдром без елевация на </w:t>
      </w:r>
      <w:r w:rsidRPr="006B7E28">
        <w:rPr>
          <w:rFonts w:eastAsia="Times New Roman" w:cs="Arial"/>
          <w:color w:val="000000"/>
          <w:lang w:val="en-US"/>
        </w:rPr>
        <w:t>ST</w:t>
      </w:r>
      <w:r w:rsidRPr="006B7E28">
        <w:rPr>
          <w:rFonts w:eastAsia="Times New Roman" w:cs="Arial"/>
          <w:color w:val="000000"/>
          <w:lang w:val="ru-RU"/>
        </w:rPr>
        <w:t xml:space="preserve"> </w:t>
      </w:r>
      <w:r w:rsidRPr="006B7E28">
        <w:rPr>
          <w:rFonts w:eastAsia="Times New Roman" w:cs="Arial"/>
          <w:color w:val="000000"/>
          <w:lang w:eastAsia="bg-BG"/>
        </w:rPr>
        <w:t xml:space="preserve">сегмента (нестабилна стенокардия или миокарден инфаркт без </w:t>
      </w:r>
      <w:r w:rsidRPr="006B7E28">
        <w:rPr>
          <w:rFonts w:eastAsia="Times New Roman" w:cs="Arial"/>
          <w:color w:val="000000"/>
          <w:lang w:val="en-US"/>
        </w:rPr>
        <w:t>Q</w:t>
      </w:r>
      <w:r w:rsidRPr="006B7E28">
        <w:rPr>
          <w:rFonts w:eastAsia="Times New Roman" w:cs="Arial"/>
          <w:color w:val="000000"/>
          <w:lang w:eastAsia="bg-BG"/>
        </w:rPr>
        <w:t xml:space="preserve">-зъбец): лечението с клопидогрел трябва да започне с единична натоварваща доза от 300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или 600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Може да се обмисли натоварваща доза от 600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при пациенти на възраст &lt;75 години, когато се предвижда перкутанна коронарна интервенция (вж. т. 4.4). Лечението с клопидогрел трябва да продължи с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веднъж дневно (с ацетилсалицилова киселина (АСК)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- 325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дневно). Тъй като по-високите дози АСК се свързват с по-голям риск от кървене, се препоръчва дозата АСК да не бъде повече от 100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Оптималната продължителност на лечението не е официално установена. Данните от клинични изпитвания подкрепят прилагане до 12 месеца, а максималната полза се проявява на третия месец (вж. т. 5.1).</w:t>
      </w:r>
    </w:p>
    <w:p w14:paraId="24EFE127" w14:textId="54B85A2C" w:rsidR="006B7E28" w:rsidRPr="006B7E28" w:rsidRDefault="006B7E28" w:rsidP="006B7E28">
      <w:pPr>
        <w:pStyle w:val="ListParagraph"/>
        <w:numPr>
          <w:ilvl w:val="0"/>
          <w:numId w:val="2"/>
        </w:numPr>
        <w:spacing w:line="240" w:lineRule="auto"/>
        <w:rPr>
          <w:rFonts w:eastAsia="Times New Roman" w:cs="Arial"/>
          <w:color w:val="000000"/>
          <w:lang w:eastAsia="bg-BG"/>
        </w:rPr>
      </w:pPr>
      <w:r w:rsidRPr="006B7E28">
        <w:rPr>
          <w:rFonts w:eastAsia="Times New Roman" w:cs="Arial"/>
          <w:color w:val="000000"/>
          <w:lang w:eastAsia="bg-BG"/>
        </w:rPr>
        <w:t xml:space="preserve">остър миокарден инфаркт с елевация на </w:t>
      </w:r>
      <w:r w:rsidRPr="006B7E28">
        <w:rPr>
          <w:rFonts w:eastAsia="Times New Roman" w:cs="Arial"/>
          <w:color w:val="000000"/>
          <w:lang w:val="en-US"/>
        </w:rPr>
        <w:t>ST</w:t>
      </w:r>
      <w:r w:rsidRPr="006B7E28">
        <w:rPr>
          <w:rFonts w:eastAsia="Times New Roman" w:cs="Arial"/>
          <w:color w:val="000000"/>
          <w:lang w:val="ru-RU"/>
        </w:rPr>
        <w:t xml:space="preserve"> </w:t>
      </w:r>
      <w:r w:rsidRPr="006B7E28">
        <w:rPr>
          <w:rFonts w:eastAsia="Times New Roman" w:cs="Arial"/>
          <w:color w:val="000000"/>
          <w:lang w:eastAsia="bg-BG"/>
        </w:rPr>
        <w:t xml:space="preserve">сегмента: клопидогрел трябва да се прилага като единична дневна доза от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като се започва с натоварваща доза от 300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в комбинация с АСК и с или без тромболитици. При пациенти на лекарствено лечение над 75-годишна възраст прилагането на клопидогрел трябва да започва без натоварваща доза. Комбинираната терапия трябва да започне възможно най-рано след проявяване на симптомите и да продължи поне четири седмици. Ползата от комбинирането на клопидогрел с АСК след тези четири седмици не е проучвана в такава ситуация (вж. т. 5.1).</w:t>
      </w:r>
    </w:p>
    <w:p w14:paraId="28DB4021" w14:textId="77777777" w:rsidR="006B7E28" w:rsidRPr="006B7E28" w:rsidRDefault="006B7E28" w:rsidP="006B7E28">
      <w:pPr>
        <w:spacing w:line="240" w:lineRule="auto"/>
        <w:rPr>
          <w:rFonts w:eastAsia="Times New Roman" w:cs="Arial"/>
          <w:color w:val="000000"/>
          <w:lang w:eastAsia="bg-BG"/>
        </w:rPr>
      </w:pPr>
    </w:p>
    <w:p w14:paraId="219D6678" w14:textId="1B806CD1"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Възрастни пациенти с умерено до високорискова </w:t>
      </w:r>
      <w:r w:rsidRPr="006B7E28">
        <w:rPr>
          <w:rFonts w:eastAsia="Times New Roman" w:cs="Arial"/>
          <w:color w:val="000000"/>
          <w:lang w:val="en-US"/>
        </w:rPr>
        <w:t>TIA</w:t>
      </w:r>
      <w:r w:rsidRPr="006B7E28">
        <w:rPr>
          <w:rFonts w:eastAsia="Times New Roman" w:cs="Arial"/>
          <w:color w:val="000000"/>
          <w:lang w:val="ru-RU"/>
        </w:rPr>
        <w:t xml:space="preserve"> </w:t>
      </w:r>
      <w:r w:rsidRPr="006B7E28">
        <w:rPr>
          <w:rFonts w:eastAsia="Times New Roman" w:cs="Arial"/>
          <w:color w:val="000000"/>
          <w:lang w:eastAsia="bg-BG"/>
        </w:rPr>
        <w:t xml:space="preserve">или лек </w:t>
      </w:r>
      <w:r w:rsidRPr="006B7E28">
        <w:rPr>
          <w:rFonts w:eastAsia="Times New Roman" w:cs="Arial"/>
          <w:color w:val="000000"/>
          <w:lang w:val="en-US"/>
        </w:rPr>
        <w:t>IS</w:t>
      </w:r>
      <w:r w:rsidRPr="006B7E28">
        <w:rPr>
          <w:rFonts w:eastAsia="Times New Roman" w:cs="Arial"/>
          <w:color w:val="000000"/>
          <w:lang w:val="ru-RU"/>
        </w:rPr>
        <w:t>:</w:t>
      </w:r>
    </w:p>
    <w:p w14:paraId="368807E9" w14:textId="7E7A5926"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Възрастни пациенти с умерено до високорискова </w:t>
      </w:r>
      <w:r w:rsidRPr="006B7E28">
        <w:rPr>
          <w:rFonts w:eastAsia="Times New Roman" w:cs="Arial"/>
          <w:color w:val="000000"/>
          <w:lang w:val="en-US"/>
        </w:rPr>
        <w:t>TI</w:t>
      </w:r>
      <w:r w:rsidRPr="006B7E28">
        <w:rPr>
          <w:rFonts w:eastAsia="Times New Roman" w:cs="Arial"/>
          <w:color w:val="000000"/>
          <w:lang w:eastAsia="bg-BG"/>
        </w:rPr>
        <w:t xml:space="preserve">А </w:t>
      </w:r>
      <w:r w:rsidRPr="006B7E28">
        <w:rPr>
          <w:rFonts w:eastAsia="Times New Roman" w:cs="Arial"/>
          <w:color w:val="000000"/>
          <w:lang w:val="ru-RU"/>
        </w:rPr>
        <w:t>(</w:t>
      </w:r>
      <w:r w:rsidRPr="006B7E28">
        <w:rPr>
          <w:rFonts w:eastAsia="Times New Roman" w:cs="Arial"/>
          <w:color w:val="000000"/>
          <w:lang w:val="en-US"/>
        </w:rPr>
        <w:t>ABCD</w:t>
      </w:r>
      <w:r w:rsidRPr="006B7E28">
        <w:rPr>
          <w:rFonts w:eastAsia="Times New Roman" w:cs="Arial"/>
          <w:color w:val="000000"/>
          <w:lang w:val="ru-RU"/>
        </w:rPr>
        <w:t xml:space="preserve">2 </w:t>
      </w:r>
      <w:r w:rsidRPr="006B7E28">
        <w:rPr>
          <w:rFonts w:eastAsia="Times New Roman" w:cs="Arial"/>
          <w:color w:val="000000"/>
          <w:lang w:eastAsia="bg-BG"/>
        </w:rPr>
        <w:t xml:space="preserve">резултат ≥4) или лек </w:t>
      </w:r>
      <w:r w:rsidRPr="006B7E28">
        <w:rPr>
          <w:rFonts w:eastAsia="Times New Roman" w:cs="Arial"/>
          <w:color w:val="000000"/>
          <w:lang w:val="en-US"/>
        </w:rPr>
        <w:t>IS</w:t>
      </w:r>
      <w:r w:rsidRPr="006B7E28">
        <w:rPr>
          <w:rFonts w:eastAsia="Times New Roman" w:cs="Arial"/>
          <w:color w:val="000000"/>
          <w:lang w:val="ru-RU"/>
        </w:rPr>
        <w:t xml:space="preserve"> (</w:t>
      </w:r>
      <w:r w:rsidRPr="006B7E28">
        <w:rPr>
          <w:rFonts w:eastAsia="Times New Roman" w:cs="Arial"/>
          <w:color w:val="000000"/>
          <w:lang w:val="en-US"/>
        </w:rPr>
        <w:t>NIHSS</w:t>
      </w:r>
      <w:r w:rsidRPr="006B7E28">
        <w:rPr>
          <w:rFonts w:eastAsia="Times New Roman" w:cs="Arial"/>
          <w:color w:val="000000"/>
          <w:lang w:eastAsia="bg-BG"/>
        </w:rPr>
        <w:t xml:space="preserve">≤3) трябва да получат натоварваща доза от клопидогрел 300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последвана от клопидогрел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веднъж дневно и АСК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-100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веднъж дневно). Лечението с клопидогрел и АСК трябва да започне в рамките на 24 часа след събитието и да продължи</w:t>
      </w:r>
      <w:r>
        <w:rPr>
          <w:rFonts w:eastAsia="Times New Roman" w:cs="Arial"/>
          <w:color w:val="000000"/>
          <w:lang w:eastAsia="bg-BG"/>
        </w:rPr>
        <w:t xml:space="preserve"> 21 дни, последвано от единична </w:t>
      </w:r>
      <w:r w:rsidRPr="006B7E28">
        <w:rPr>
          <w:rFonts w:eastAsia="Times New Roman" w:cs="Arial"/>
          <w:color w:val="000000"/>
          <w:lang w:eastAsia="bg-BG"/>
        </w:rPr>
        <w:t>антитромбоцитна терапия.</w:t>
      </w:r>
    </w:p>
    <w:p w14:paraId="4A56D784" w14:textId="77777777" w:rsidR="006B7E28" w:rsidRPr="006B7E28" w:rsidRDefault="006B7E28" w:rsidP="006B7E28">
      <w:pPr>
        <w:spacing w:line="240" w:lineRule="auto"/>
        <w:rPr>
          <w:rFonts w:eastAsia="Times New Roman" w:cs="Arial"/>
          <w:color w:val="000000"/>
          <w:lang w:eastAsia="bg-BG"/>
        </w:rPr>
      </w:pPr>
    </w:p>
    <w:p w14:paraId="1BA43F87" w14:textId="7161A72A"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lastRenderedPageBreak/>
        <w:t xml:space="preserve">При пациенти с предсърдно мъждене клопидогрел трябва да се прилага като еднократна дневна доза от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АСК (75-100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дневно) трябва да се започне и да продължи в комбинация с клопидогрел (вж. т. 5.1).</w:t>
      </w:r>
    </w:p>
    <w:p w14:paraId="3088186C" w14:textId="77777777" w:rsidR="006B7E28" w:rsidRPr="006B7E28" w:rsidRDefault="006B7E28" w:rsidP="006B7E28">
      <w:pPr>
        <w:spacing w:line="240" w:lineRule="auto"/>
        <w:rPr>
          <w:rFonts w:eastAsia="Times New Roman" w:cs="Arial"/>
          <w:color w:val="000000"/>
          <w:lang w:eastAsia="bg-BG"/>
        </w:rPr>
      </w:pPr>
    </w:p>
    <w:p w14:paraId="0725D545" w14:textId="0096B41B"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Ако е пропуснат прием:</w:t>
      </w:r>
    </w:p>
    <w:p w14:paraId="1849B7B8" w14:textId="77777777" w:rsidR="006B7E28" w:rsidRPr="006B7E28" w:rsidRDefault="006B7E28" w:rsidP="006B7E28">
      <w:pPr>
        <w:pStyle w:val="ListParagraph"/>
        <w:numPr>
          <w:ilvl w:val="0"/>
          <w:numId w:val="2"/>
        </w:numPr>
        <w:spacing w:line="240" w:lineRule="auto"/>
        <w:rPr>
          <w:rFonts w:eastAsia="Times New Roman" w:cs="Arial"/>
          <w:color w:val="000000"/>
          <w:lang w:eastAsia="bg-BG"/>
        </w:rPr>
      </w:pPr>
      <w:r w:rsidRPr="006B7E28">
        <w:rPr>
          <w:rFonts w:eastAsia="Times New Roman" w:cs="Arial"/>
          <w:color w:val="000000"/>
          <w:lang w:eastAsia="bg-BG"/>
        </w:rPr>
        <w:t>При по-малко от 12 часа след времето за редовен прием: пациентите трябва да приемат дозата веднага, а после да приемат следващата доза в установеното време.</w:t>
      </w:r>
    </w:p>
    <w:p w14:paraId="5330EDD5" w14:textId="194C1EE3" w:rsidR="006B7E28" w:rsidRPr="006B7E28" w:rsidRDefault="006B7E28" w:rsidP="006B7E28">
      <w:pPr>
        <w:pStyle w:val="ListParagraph"/>
        <w:numPr>
          <w:ilvl w:val="0"/>
          <w:numId w:val="2"/>
        </w:numPr>
        <w:spacing w:line="240" w:lineRule="auto"/>
        <w:rPr>
          <w:rFonts w:eastAsia="Times New Roman" w:cs="Arial"/>
          <w:color w:val="000000"/>
          <w:lang w:eastAsia="bg-BG"/>
        </w:rPr>
      </w:pPr>
      <w:r w:rsidRPr="006B7E28">
        <w:rPr>
          <w:rFonts w:eastAsia="Times New Roman" w:cs="Arial"/>
          <w:color w:val="000000"/>
          <w:lang w:eastAsia="bg-BG"/>
        </w:rPr>
        <w:t>При повече от 12 часа: пациентите трябва да приемат следващата доза в установеното време и не трябва да дублират дозата.</w:t>
      </w:r>
    </w:p>
    <w:p w14:paraId="3DB810EF" w14:textId="77777777" w:rsidR="006B7E28" w:rsidRPr="006B7E28" w:rsidRDefault="006B7E28" w:rsidP="006B7E28">
      <w:pPr>
        <w:spacing w:line="240" w:lineRule="auto"/>
        <w:rPr>
          <w:rFonts w:eastAsia="Times New Roman" w:cs="Arial"/>
          <w:color w:val="000000"/>
          <w:lang w:eastAsia="bg-BG"/>
        </w:rPr>
      </w:pPr>
    </w:p>
    <w:p w14:paraId="1720E557" w14:textId="49BB9E63" w:rsidR="006B7E28" w:rsidRPr="006B7E28" w:rsidRDefault="006B7E28" w:rsidP="006B7E28">
      <w:pPr>
        <w:pStyle w:val="ListParagraph"/>
        <w:numPr>
          <w:ilvl w:val="0"/>
          <w:numId w:val="39"/>
        </w:numPr>
        <w:spacing w:line="240" w:lineRule="auto"/>
        <w:rPr>
          <w:rFonts w:eastAsia="Times New Roman" w:cs="Arial"/>
          <w:sz w:val="24"/>
          <w:szCs w:val="24"/>
        </w:rPr>
      </w:pPr>
      <w:r w:rsidRPr="006B7E28">
        <w:rPr>
          <w:rFonts w:eastAsia="Times New Roman" w:cs="Arial"/>
          <w:color w:val="000000"/>
          <w:lang w:eastAsia="bg-BG"/>
        </w:rPr>
        <w:t>Педиатрични пациенти</w:t>
      </w:r>
    </w:p>
    <w:p w14:paraId="640AEFBA"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Клопидогрел не трябва да се прилага при деца поради съображения относно</w:t>
      </w:r>
      <w:r w:rsidRPr="006B7E28">
        <w:rPr>
          <w:rFonts w:eastAsia="Times New Roman" w:cs="Arial"/>
          <w:color w:val="000000"/>
          <w:lang w:val="ru-RU"/>
        </w:rPr>
        <w:t xml:space="preserve"> </w:t>
      </w:r>
      <w:r w:rsidRPr="006B7E28">
        <w:rPr>
          <w:rFonts w:eastAsia="Times New Roman" w:cs="Arial"/>
          <w:color w:val="000000"/>
          <w:lang w:eastAsia="bg-BG"/>
        </w:rPr>
        <w:t>ефикасността</w:t>
      </w:r>
    </w:p>
    <w:p w14:paraId="54DFDBB2"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(вж. т. 5.1).</w:t>
      </w:r>
    </w:p>
    <w:p w14:paraId="3755C97A" w14:textId="77777777" w:rsidR="006B7E28" w:rsidRPr="006B7E28" w:rsidRDefault="006B7E28" w:rsidP="006B7E28">
      <w:pPr>
        <w:spacing w:line="240" w:lineRule="auto"/>
        <w:rPr>
          <w:rFonts w:eastAsia="Times New Roman" w:cs="Arial"/>
          <w:color w:val="000000"/>
          <w:lang w:eastAsia="bg-BG"/>
        </w:rPr>
      </w:pPr>
    </w:p>
    <w:p w14:paraId="2AFC20F8" w14:textId="6C52961D" w:rsidR="006B7E28" w:rsidRPr="006B7E28" w:rsidRDefault="006B7E28" w:rsidP="006B7E28">
      <w:pPr>
        <w:pStyle w:val="ListParagraph"/>
        <w:numPr>
          <w:ilvl w:val="0"/>
          <w:numId w:val="39"/>
        </w:numPr>
        <w:spacing w:line="240" w:lineRule="auto"/>
        <w:rPr>
          <w:rFonts w:eastAsia="Times New Roman" w:cs="Arial"/>
          <w:color w:val="000000"/>
          <w:lang w:eastAsia="bg-BG"/>
        </w:rPr>
      </w:pPr>
      <w:r w:rsidRPr="006B7E28">
        <w:rPr>
          <w:rFonts w:eastAsia="Times New Roman" w:cs="Arial"/>
          <w:color w:val="000000"/>
          <w:lang w:eastAsia="bg-BG"/>
        </w:rPr>
        <w:t>Бъбречно увреждане</w:t>
      </w:r>
    </w:p>
    <w:p w14:paraId="258993C0"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Терапевтичният опит е ограничен при пациенти с увреждане на бъбречната функция (вж. т. 4.4).</w:t>
      </w:r>
    </w:p>
    <w:p w14:paraId="63553296" w14:textId="77777777" w:rsidR="006B7E28" w:rsidRPr="006B7E28" w:rsidRDefault="006B7E28" w:rsidP="006B7E28">
      <w:pPr>
        <w:spacing w:line="240" w:lineRule="auto"/>
        <w:rPr>
          <w:rFonts w:eastAsia="Times New Roman" w:cs="Arial"/>
          <w:color w:val="000000"/>
          <w:lang w:eastAsia="bg-BG"/>
        </w:rPr>
      </w:pPr>
    </w:p>
    <w:p w14:paraId="29F5F56F" w14:textId="019C46CF" w:rsidR="006B7E28" w:rsidRPr="006B7E28" w:rsidRDefault="006B7E28" w:rsidP="006B7E28">
      <w:pPr>
        <w:pStyle w:val="ListParagraph"/>
        <w:numPr>
          <w:ilvl w:val="0"/>
          <w:numId w:val="39"/>
        </w:numPr>
        <w:spacing w:line="240" w:lineRule="auto"/>
        <w:rPr>
          <w:rFonts w:eastAsia="Times New Roman" w:cs="Arial"/>
          <w:color w:val="000000"/>
          <w:lang w:eastAsia="bg-BG"/>
        </w:rPr>
      </w:pPr>
      <w:r w:rsidRPr="006B7E28">
        <w:rPr>
          <w:rFonts w:eastAsia="Times New Roman" w:cs="Arial"/>
          <w:color w:val="000000"/>
          <w:lang w:eastAsia="bg-BG"/>
        </w:rPr>
        <w:t>Чернодробно увреждане</w:t>
      </w:r>
    </w:p>
    <w:p w14:paraId="5BD55E24"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Терапевтичният опит е ограничен при пациенти с умерено тежки чернодробни заболявания, които може да имат предразположеност към кървене (вж. т. 4.4).</w:t>
      </w:r>
    </w:p>
    <w:p w14:paraId="132CC046" w14:textId="77777777" w:rsidR="006B7E28" w:rsidRPr="006B7E28" w:rsidRDefault="006B7E28" w:rsidP="006B7E28">
      <w:pPr>
        <w:spacing w:line="240" w:lineRule="auto"/>
        <w:rPr>
          <w:rFonts w:eastAsia="Times New Roman" w:cs="Arial"/>
          <w:color w:val="000000"/>
          <w:u w:val="single"/>
          <w:lang w:eastAsia="bg-BG"/>
        </w:rPr>
      </w:pPr>
    </w:p>
    <w:p w14:paraId="3D0615CA" w14:textId="77777777" w:rsidR="006B7E28" w:rsidRPr="006B7E28" w:rsidRDefault="006B7E28" w:rsidP="006B7E28">
      <w:pPr>
        <w:pStyle w:val="Heading3"/>
        <w:rPr>
          <w:rFonts w:eastAsia="Times New Roman"/>
          <w:u w:val="single"/>
          <w:lang w:eastAsia="bg-BG"/>
        </w:rPr>
      </w:pPr>
      <w:r w:rsidRPr="006B7E28">
        <w:rPr>
          <w:rFonts w:eastAsia="Times New Roman"/>
          <w:u w:val="single"/>
          <w:lang w:eastAsia="bg-BG"/>
        </w:rPr>
        <w:t xml:space="preserve">Начин на приложение </w:t>
      </w:r>
    </w:p>
    <w:p w14:paraId="701A5979" w14:textId="77777777" w:rsidR="006B7E28" w:rsidRPr="006B7E28" w:rsidRDefault="006B7E28" w:rsidP="006B7E28">
      <w:pPr>
        <w:spacing w:line="240" w:lineRule="auto"/>
        <w:rPr>
          <w:rFonts w:eastAsia="Times New Roman" w:cs="Arial"/>
          <w:color w:val="000000"/>
          <w:lang w:eastAsia="bg-BG"/>
        </w:rPr>
      </w:pPr>
      <w:r w:rsidRPr="006B7E28">
        <w:rPr>
          <w:rFonts w:eastAsia="Times New Roman" w:cs="Arial"/>
          <w:color w:val="000000"/>
          <w:lang w:eastAsia="bg-BG"/>
        </w:rPr>
        <w:t xml:space="preserve">Перорално приложение </w:t>
      </w:r>
    </w:p>
    <w:p w14:paraId="23897B79" w14:textId="2D7EAF5D"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Лекарството може да се приема с или без храна.</w:t>
      </w:r>
    </w:p>
    <w:p w14:paraId="0104ED3A" w14:textId="77777777" w:rsidR="006B7E28" w:rsidRPr="006B7E28" w:rsidRDefault="006B7E28" w:rsidP="006B7E28"/>
    <w:p w14:paraId="0F253247" w14:textId="36BAFA7F" w:rsidR="007122AD" w:rsidRDefault="002C50EE" w:rsidP="00936AD0">
      <w:pPr>
        <w:pStyle w:val="Heading2"/>
      </w:pPr>
      <w:r>
        <w:t>4.3. Противопоказания</w:t>
      </w:r>
    </w:p>
    <w:p w14:paraId="3E289EFF" w14:textId="376873B4" w:rsidR="006B7E28" w:rsidRDefault="006B7E28" w:rsidP="006B7E28"/>
    <w:p w14:paraId="5EB9CF73" w14:textId="77777777" w:rsidR="006B7E28" w:rsidRPr="006B7E28" w:rsidRDefault="006B7E28" w:rsidP="006B7E28">
      <w:pPr>
        <w:pStyle w:val="ListParagraph"/>
        <w:numPr>
          <w:ilvl w:val="0"/>
          <w:numId w:val="39"/>
        </w:numPr>
        <w:rPr>
          <w:lang w:eastAsia="bg-BG"/>
        </w:rPr>
      </w:pPr>
      <w:r w:rsidRPr="006B7E28">
        <w:rPr>
          <w:lang w:eastAsia="bg-BG"/>
        </w:rPr>
        <w:t>Свръхчувствителност към активното вещество или някое от помощните вещества, изброени в т. 6.1.</w:t>
      </w:r>
    </w:p>
    <w:p w14:paraId="19585402" w14:textId="77777777" w:rsidR="006B7E28" w:rsidRPr="006B7E28" w:rsidRDefault="006B7E28" w:rsidP="006B7E28">
      <w:pPr>
        <w:pStyle w:val="ListParagraph"/>
        <w:numPr>
          <w:ilvl w:val="0"/>
          <w:numId w:val="39"/>
        </w:numPr>
        <w:rPr>
          <w:lang w:eastAsia="bg-BG"/>
        </w:rPr>
      </w:pPr>
      <w:r w:rsidRPr="006B7E28">
        <w:rPr>
          <w:lang w:eastAsia="bg-BG"/>
        </w:rPr>
        <w:t>Тежка чернодробна недостатъчност.</w:t>
      </w:r>
    </w:p>
    <w:p w14:paraId="6C9B9369" w14:textId="77777777" w:rsidR="006B7E28" w:rsidRPr="006B7E28" w:rsidRDefault="006B7E28" w:rsidP="006B7E28">
      <w:pPr>
        <w:pStyle w:val="ListParagraph"/>
        <w:numPr>
          <w:ilvl w:val="0"/>
          <w:numId w:val="39"/>
        </w:numPr>
        <w:rPr>
          <w:lang w:eastAsia="bg-BG"/>
        </w:rPr>
      </w:pPr>
      <w:r w:rsidRPr="006B7E28">
        <w:rPr>
          <w:lang w:eastAsia="bg-BG"/>
        </w:rPr>
        <w:t>Активно патологично кървене, като пептична язва или вътречерепен кръвоизлив.</w:t>
      </w:r>
    </w:p>
    <w:p w14:paraId="3D2B9CC7" w14:textId="77777777" w:rsidR="006B7E28" w:rsidRPr="006B7E28" w:rsidRDefault="006B7E28" w:rsidP="006B7E28"/>
    <w:p w14:paraId="0E0BDCC7" w14:textId="3D043007" w:rsidR="007122AD" w:rsidRDefault="002C50EE" w:rsidP="00936AD0">
      <w:pPr>
        <w:pStyle w:val="Heading2"/>
      </w:pPr>
      <w:r>
        <w:t>4.4. Специални предупреждения и предпазни мерки при употреба</w:t>
      </w:r>
    </w:p>
    <w:p w14:paraId="64B34885" w14:textId="4CF1F733" w:rsidR="006B7E28" w:rsidRDefault="006B7E28" w:rsidP="006B7E28"/>
    <w:p w14:paraId="5A4BB729" w14:textId="77777777"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Кървене и хематологични нарушения</w:t>
      </w:r>
    </w:p>
    <w:p w14:paraId="25BE753D"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Поради риска от кървене и хематологични нежелани реакции, трябва веднага да се вземе предвид определяне на броя на кръвните клетки и/или други подходящи изследвания, винаги когато в хода на лечението се появят клинични симптоми, подсказващи кървене (вж. т. 4.8). Както и при другите антитромбоцитни агенти, клопидогрел трябва да се използва с повишено внимание при пациенти, които може да са изложени на риск от увеличено кървене вследствие на травма, операция или други патологични състояния, и при пациенти, подложени на лечение с АСК, хепарин, гликопротеин </w:t>
      </w:r>
      <w:proofErr w:type="spellStart"/>
      <w:r w:rsidRPr="006B7E28">
        <w:rPr>
          <w:rFonts w:eastAsia="Times New Roman" w:cs="Arial"/>
          <w:color w:val="000000"/>
          <w:lang w:val="en-US"/>
        </w:rPr>
        <w:t>IIb</w:t>
      </w:r>
      <w:proofErr w:type="spellEnd"/>
      <w:r w:rsidRPr="006B7E28">
        <w:rPr>
          <w:rFonts w:eastAsia="Times New Roman" w:cs="Arial"/>
          <w:color w:val="000000"/>
          <w:lang w:val="ru-RU"/>
        </w:rPr>
        <w:t>/</w:t>
      </w:r>
      <w:proofErr w:type="spellStart"/>
      <w:r w:rsidRPr="006B7E28">
        <w:rPr>
          <w:rFonts w:eastAsia="Times New Roman" w:cs="Arial"/>
          <w:color w:val="000000"/>
          <w:lang w:val="en-US"/>
        </w:rPr>
        <w:t>IIIa</w:t>
      </w:r>
      <w:proofErr w:type="spellEnd"/>
      <w:r w:rsidRPr="006B7E28">
        <w:rPr>
          <w:rFonts w:eastAsia="Times New Roman" w:cs="Arial"/>
          <w:color w:val="000000"/>
          <w:lang w:val="ru-RU"/>
        </w:rPr>
        <w:t xml:space="preserve"> </w:t>
      </w:r>
      <w:r w:rsidRPr="006B7E28">
        <w:rPr>
          <w:rFonts w:eastAsia="Times New Roman" w:cs="Arial"/>
          <w:color w:val="000000"/>
          <w:lang w:eastAsia="bg-BG"/>
        </w:rPr>
        <w:t xml:space="preserve">инхибитори или нестероидни противовъзпалителни средства (НСПВЛ), включително СОХ-2 инхибитори или селективни инхибитори на обратното захващане на серотонина </w:t>
      </w:r>
      <w:r w:rsidRPr="006B7E28">
        <w:rPr>
          <w:rFonts w:eastAsia="Times New Roman" w:cs="Arial"/>
          <w:color w:val="000000"/>
          <w:lang w:val="ru-RU"/>
        </w:rPr>
        <w:t>(</w:t>
      </w:r>
      <w:r w:rsidRPr="006B7E28">
        <w:rPr>
          <w:rFonts w:eastAsia="Times New Roman" w:cs="Arial"/>
          <w:color w:val="000000"/>
          <w:lang w:val="en-US"/>
        </w:rPr>
        <w:t>SSRIs</w:t>
      </w:r>
      <w:r w:rsidRPr="006B7E28">
        <w:rPr>
          <w:rFonts w:eastAsia="Times New Roman" w:cs="Arial"/>
          <w:color w:val="000000"/>
          <w:lang w:val="ru-RU"/>
        </w:rPr>
        <w:t xml:space="preserve">), </w:t>
      </w:r>
      <w:r w:rsidRPr="006B7E28">
        <w:rPr>
          <w:rFonts w:eastAsia="Times New Roman" w:cs="Arial"/>
          <w:color w:val="000000"/>
          <w:lang w:eastAsia="bg-BG"/>
        </w:rPr>
        <w:t xml:space="preserve">или мощни </w:t>
      </w:r>
      <w:r w:rsidRPr="006B7E28">
        <w:rPr>
          <w:rFonts w:eastAsia="Times New Roman" w:cs="Arial"/>
          <w:color w:val="000000"/>
          <w:lang w:eastAsia="bg-BG"/>
        </w:rPr>
        <w:lastRenderedPageBreak/>
        <w:t>индуктори на С</w:t>
      </w:r>
      <w:r w:rsidRPr="006B7E28">
        <w:rPr>
          <w:rFonts w:eastAsia="Times New Roman" w:cs="Arial"/>
          <w:color w:val="000000"/>
          <w:lang w:val="en-US"/>
        </w:rPr>
        <w:t>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eastAsia="bg-BG"/>
        </w:rPr>
        <w:t>19 или други лекарствени продукти, свързани с риск от кървене, като пентоксифилин (вж. т. 4.5).</w:t>
      </w:r>
    </w:p>
    <w:p w14:paraId="16A47ABB"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Пациентите трябва да бъдат проследявани внимателно за всякакви признаци на кървене, включително окултно кървене, особено през първите седмици на лечението и/или след инвазивни сърдечни процедури или хирургически операции. Едновременното приложение на клопидогрел с перорални антикоагуланти не се препоръчва, тъй като това може да увеличи интензивността на кървене (вж. т. 4.5).</w:t>
      </w:r>
    </w:p>
    <w:p w14:paraId="31E909AB" w14:textId="77777777" w:rsidR="006B7E28" w:rsidRPr="006B7E28" w:rsidRDefault="006B7E28" w:rsidP="006B7E28">
      <w:pPr>
        <w:spacing w:line="240" w:lineRule="auto"/>
        <w:rPr>
          <w:rFonts w:eastAsia="Times New Roman" w:cs="Arial"/>
          <w:color w:val="000000"/>
          <w:lang w:eastAsia="bg-BG"/>
        </w:rPr>
      </w:pPr>
    </w:p>
    <w:p w14:paraId="3F051C0B" w14:textId="3B9DDB0B" w:rsidR="006B7E28" w:rsidRPr="006B7E28" w:rsidRDefault="006B7E28" w:rsidP="006B7E28">
      <w:pPr>
        <w:spacing w:line="240" w:lineRule="auto"/>
        <w:rPr>
          <w:rFonts w:eastAsia="Times New Roman" w:cs="Arial"/>
        </w:rPr>
      </w:pPr>
      <w:r w:rsidRPr="006B7E28">
        <w:rPr>
          <w:rFonts w:eastAsia="Times New Roman" w:cs="Arial"/>
          <w:color w:val="000000"/>
          <w:lang w:eastAsia="bg-BG"/>
        </w:rPr>
        <w:t>Ако на пациент предстои да претърпи планова операция и антитромбоцитният ефект временно не е желателен, приемът на клопидогрел трябва да бъде преустановен 7 дни преди хирургическата операция. Пациентите трябва да уведомяват лекарите и стоматолозите, че приемат клопидогрел преди да бъде насрочена каквато и да е операция и преди да бъде започнат прием на нов лекарствен продукт. Клопидогрел удължава времето на кървене и трябва да се използва с повишено внимание при пациенти, които имат лезии със склонност към кървене (особено стомашно-чревни и вътреочни).</w:t>
      </w:r>
    </w:p>
    <w:p w14:paraId="1C74A672" w14:textId="77777777" w:rsidR="006B7E28" w:rsidRPr="006B7E28" w:rsidRDefault="006B7E28" w:rsidP="006B7E28">
      <w:pPr>
        <w:spacing w:line="240" w:lineRule="auto"/>
        <w:rPr>
          <w:rFonts w:eastAsia="Times New Roman" w:cs="Arial"/>
          <w:color w:val="000000"/>
          <w:lang w:eastAsia="bg-BG"/>
        </w:rPr>
      </w:pPr>
    </w:p>
    <w:p w14:paraId="4211B01B" w14:textId="422217CA" w:rsidR="006B7E28" w:rsidRPr="006B7E28" w:rsidRDefault="006B7E28" w:rsidP="006B7E28">
      <w:pPr>
        <w:spacing w:line="240" w:lineRule="auto"/>
        <w:rPr>
          <w:rFonts w:eastAsia="Times New Roman" w:cs="Arial"/>
          <w:color w:val="000000"/>
          <w:lang w:eastAsia="bg-BG"/>
        </w:rPr>
      </w:pPr>
      <w:r w:rsidRPr="006B7E28">
        <w:rPr>
          <w:rFonts w:eastAsia="Times New Roman" w:cs="Arial"/>
          <w:color w:val="000000"/>
          <w:lang w:eastAsia="bg-BG"/>
        </w:rPr>
        <w:t>Пациентите трябва да бъдат уведомени, че кървенето може да продължава по-дълго от обичайното, когато приемат клопидогрел (самостоятелно или в комбинация с АСК) и че трябва да съобщават за всяко необичайно кървене (място или продължителност) на своя</w:t>
      </w:r>
      <w:r w:rsidRPr="006B7E28">
        <w:rPr>
          <w:rFonts w:eastAsia="Times New Roman" w:cs="Arial"/>
          <w:color w:val="000000"/>
          <w:lang w:val="ru-RU"/>
        </w:rPr>
        <w:t xml:space="preserve"> </w:t>
      </w:r>
      <w:r w:rsidRPr="006B7E28">
        <w:rPr>
          <w:rFonts w:eastAsia="Times New Roman" w:cs="Arial"/>
          <w:color w:val="000000"/>
          <w:lang w:eastAsia="bg-BG"/>
        </w:rPr>
        <w:t>лекар.</w:t>
      </w:r>
    </w:p>
    <w:p w14:paraId="30F778F3" w14:textId="20E7D094" w:rsidR="006B7E28" w:rsidRPr="006B7E28" w:rsidRDefault="006B7E28" w:rsidP="006B7E28">
      <w:pPr>
        <w:spacing w:line="240" w:lineRule="auto"/>
        <w:rPr>
          <w:rFonts w:eastAsia="Times New Roman" w:cs="Arial"/>
          <w:color w:val="000000"/>
          <w:lang w:eastAsia="bg-BG"/>
        </w:rPr>
      </w:pPr>
    </w:p>
    <w:p w14:paraId="41B7EA47"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Употребата на натоварваща доза клопидогрел от 600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не се препоръчва при пациенти с остър коронарен синдром с повишен сегмент </w:t>
      </w:r>
      <w:r w:rsidRPr="006B7E28">
        <w:rPr>
          <w:rFonts w:eastAsia="Times New Roman" w:cs="Arial"/>
          <w:color w:val="000000"/>
          <w:lang w:val="en-US"/>
        </w:rPr>
        <w:t>ST</w:t>
      </w:r>
      <w:r w:rsidRPr="006B7E28">
        <w:rPr>
          <w:rFonts w:eastAsia="Times New Roman" w:cs="Arial"/>
          <w:color w:val="000000"/>
          <w:lang w:val="ru-RU"/>
        </w:rPr>
        <w:t xml:space="preserve"> </w:t>
      </w:r>
      <w:r w:rsidRPr="006B7E28">
        <w:rPr>
          <w:rFonts w:eastAsia="Times New Roman" w:cs="Arial"/>
          <w:color w:val="000000"/>
          <w:lang w:eastAsia="bg-BG"/>
        </w:rPr>
        <w:t>и на възраст ≥75 години поради повишен риск от кървене при тази популация.</w:t>
      </w:r>
    </w:p>
    <w:p w14:paraId="477DD4C8" w14:textId="77777777" w:rsidR="006B7E28" w:rsidRPr="006B7E28" w:rsidRDefault="006B7E28" w:rsidP="006B7E28">
      <w:pPr>
        <w:spacing w:line="240" w:lineRule="auto"/>
        <w:rPr>
          <w:rFonts w:eastAsia="Times New Roman" w:cs="Arial"/>
          <w:i/>
          <w:iCs/>
          <w:color w:val="000000"/>
          <w:lang w:eastAsia="bg-BG"/>
        </w:rPr>
      </w:pPr>
    </w:p>
    <w:p w14:paraId="47A376B7" w14:textId="799E4303"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Тромботична тробоцитопенична пурпура (ТТП)</w:t>
      </w:r>
    </w:p>
    <w:p w14:paraId="650E2AE9"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За тромботична тромбоцитопенична пурпура (ТТП) се съобщава много рядко след прилагането на клопидогрел, понякога след кратка експозиция. Характеризира се с тромбоцитопения и микроангиопатична хемолитична анемия, придружена от неврологични изменения, бъбречна дисфункция или треска. ТТП е потенциално смъртоносно състояние, изискващо незабавно лечение, включително плазмафереза.</w:t>
      </w:r>
    </w:p>
    <w:p w14:paraId="096B8954" w14:textId="77777777" w:rsidR="006B7E28" w:rsidRPr="006B7E28" w:rsidRDefault="006B7E28" w:rsidP="006B7E28">
      <w:pPr>
        <w:spacing w:line="240" w:lineRule="auto"/>
        <w:rPr>
          <w:rFonts w:eastAsia="Times New Roman" w:cs="Arial"/>
          <w:i/>
          <w:iCs/>
          <w:color w:val="000000"/>
          <w:lang w:eastAsia="bg-BG"/>
        </w:rPr>
      </w:pPr>
    </w:p>
    <w:p w14:paraId="6B912414" w14:textId="4158DEE3"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Придобита хемофилия А</w:t>
      </w:r>
    </w:p>
    <w:p w14:paraId="3A2201A3"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Докладвана е придобита хемофилия А след употреба на клопидогрел. В случаи на потвърдено изолирано удължено активирано Парциално тромбопластиново време (аРТТ), с или без кървене, трябва да се разглежда възможността за придобита хемофилия. Пациенти с потвърдена диагноза придобита хемофилия трябва да бъдат наблюдавани и лекувани от специалист, а употребата на клопидогрел да се спре.</w:t>
      </w:r>
    </w:p>
    <w:p w14:paraId="348CBACB" w14:textId="77777777" w:rsidR="006B7E28" w:rsidRPr="006B7E28" w:rsidRDefault="006B7E28" w:rsidP="006B7E28">
      <w:pPr>
        <w:spacing w:line="240" w:lineRule="auto"/>
        <w:rPr>
          <w:rFonts w:eastAsia="Times New Roman" w:cs="Arial"/>
          <w:i/>
          <w:iCs/>
          <w:color w:val="000000"/>
          <w:lang w:eastAsia="bg-BG"/>
        </w:rPr>
      </w:pPr>
    </w:p>
    <w:p w14:paraId="45A5931F" w14:textId="7D800D57"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Скорошен исхемичен инсулт</w:t>
      </w:r>
    </w:p>
    <w:p w14:paraId="7C09DBFB" w14:textId="38D63BF3" w:rsidR="006B7E28" w:rsidRPr="006B7E28" w:rsidRDefault="006B7E28" w:rsidP="006B7E28">
      <w:pPr>
        <w:pStyle w:val="ListParagraph"/>
        <w:numPr>
          <w:ilvl w:val="0"/>
          <w:numId w:val="40"/>
        </w:numPr>
        <w:spacing w:line="240" w:lineRule="auto"/>
        <w:rPr>
          <w:rFonts w:eastAsia="Times New Roman" w:cs="Arial"/>
        </w:rPr>
      </w:pPr>
      <w:r w:rsidRPr="006B7E28">
        <w:rPr>
          <w:rFonts w:eastAsia="Times New Roman" w:cs="Arial"/>
          <w:i/>
          <w:iCs/>
          <w:color w:val="000000"/>
          <w:lang w:eastAsia="bg-BG"/>
        </w:rPr>
        <w:t>Започване на терапия</w:t>
      </w:r>
    </w:p>
    <w:p w14:paraId="341AD3C0" w14:textId="77777777" w:rsidR="006B7E28" w:rsidRPr="006B7E28" w:rsidRDefault="006B7E28" w:rsidP="006B7E28">
      <w:pPr>
        <w:pStyle w:val="ListParagraph"/>
        <w:numPr>
          <w:ilvl w:val="0"/>
          <w:numId w:val="2"/>
        </w:numPr>
        <w:spacing w:line="240" w:lineRule="auto"/>
        <w:rPr>
          <w:rFonts w:eastAsia="Times New Roman" w:cs="Arial"/>
          <w:color w:val="000000"/>
          <w:lang w:eastAsia="bg-BG"/>
        </w:rPr>
      </w:pPr>
      <w:r w:rsidRPr="006B7E28">
        <w:rPr>
          <w:rFonts w:eastAsia="Times New Roman" w:cs="Arial"/>
          <w:color w:val="000000"/>
          <w:lang w:eastAsia="bg-BG"/>
        </w:rPr>
        <w:t xml:space="preserve">При остри леки </w:t>
      </w:r>
      <w:r w:rsidRPr="006B7E28">
        <w:rPr>
          <w:rFonts w:eastAsia="Times New Roman" w:cs="Arial"/>
          <w:color w:val="000000"/>
          <w:lang w:val="en-US"/>
        </w:rPr>
        <w:t>IS</w:t>
      </w:r>
      <w:r w:rsidRPr="006B7E28">
        <w:rPr>
          <w:rFonts w:eastAsia="Times New Roman" w:cs="Arial"/>
          <w:color w:val="000000"/>
          <w:lang w:val="ru-RU"/>
        </w:rPr>
        <w:t xml:space="preserve"> </w:t>
      </w:r>
      <w:r w:rsidRPr="006B7E28">
        <w:rPr>
          <w:rFonts w:eastAsia="Times New Roman" w:cs="Arial"/>
          <w:color w:val="000000"/>
          <w:lang w:eastAsia="bg-BG"/>
        </w:rPr>
        <w:t xml:space="preserve">или пациенти с умерено до високорискова </w:t>
      </w:r>
      <w:r w:rsidRPr="006B7E28">
        <w:rPr>
          <w:rFonts w:eastAsia="Times New Roman" w:cs="Arial"/>
          <w:color w:val="000000"/>
          <w:lang w:val="en-US"/>
        </w:rPr>
        <w:t>TI</w:t>
      </w:r>
      <w:r w:rsidRPr="006B7E28">
        <w:rPr>
          <w:rFonts w:eastAsia="Times New Roman" w:cs="Arial"/>
          <w:color w:val="000000"/>
          <w:lang w:eastAsia="bg-BG"/>
        </w:rPr>
        <w:t>А, двойната антитромбоцитна терапия (клопидогрел и АСК) трябва да започне не по-късно от 24 часа след началото на събитието.</w:t>
      </w:r>
    </w:p>
    <w:p w14:paraId="6B1829DF" w14:textId="77777777" w:rsidR="006B7E28" w:rsidRPr="006B7E28" w:rsidRDefault="006B7E28" w:rsidP="006B7E28">
      <w:pPr>
        <w:pStyle w:val="ListParagraph"/>
        <w:numPr>
          <w:ilvl w:val="0"/>
          <w:numId w:val="2"/>
        </w:numPr>
        <w:spacing w:line="240" w:lineRule="auto"/>
        <w:rPr>
          <w:rFonts w:eastAsia="Times New Roman" w:cs="Arial"/>
          <w:color w:val="000000"/>
          <w:lang w:eastAsia="bg-BG"/>
        </w:rPr>
      </w:pPr>
      <w:r w:rsidRPr="006B7E28">
        <w:rPr>
          <w:rFonts w:eastAsia="Times New Roman" w:cs="Arial"/>
          <w:color w:val="000000"/>
          <w:lang w:eastAsia="bg-BG"/>
        </w:rPr>
        <w:t xml:space="preserve">Няма данни относно съотношението полза-риск от краткосрочната двойна антитромбоцитна терапия при остри леки </w:t>
      </w:r>
      <w:r w:rsidRPr="006B7E28">
        <w:rPr>
          <w:rFonts w:eastAsia="Times New Roman" w:cs="Arial"/>
          <w:color w:val="000000"/>
          <w:lang w:val="en-US"/>
        </w:rPr>
        <w:t>IS</w:t>
      </w:r>
      <w:r w:rsidRPr="006B7E28">
        <w:rPr>
          <w:rFonts w:eastAsia="Times New Roman" w:cs="Arial"/>
          <w:color w:val="000000"/>
          <w:lang w:val="ru-RU"/>
        </w:rPr>
        <w:t xml:space="preserve"> </w:t>
      </w:r>
      <w:r w:rsidRPr="006B7E28">
        <w:rPr>
          <w:rFonts w:eastAsia="Times New Roman" w:cs="Arial"/>
          <w:color w:val="000000"/>
          <w:lang w:eastAsia="bg-BG"/>
        </w:rPr>
        <w:t>или пациенти с умерено до високорискова ПА, с анамнеза за (нетравматичен) вътречерепен кръвоизлив.</w:t>
      </w:r>
    </w:p>
    <w:p w14:paraId="20559E9B" w14:textId="0E4E40C9" w:rsidR="006B7E28" w:rsidRPr="006B7E28" w:rsidRDefault="006B7E28" w:rsidP="006B7E28">
      <w:pPr>
        <w:pStyle w:val="ListParagraph"/>
        <w:numPr>
          <w:ilvl w:val="0"/>
          <w:numId w:val="2"/>
        </w:numPr>
        <w:spacing w:line="240" w:lineRule="auto"/>
        <w:rPr>
          <w:rFonts w:eastAsia="Times New Roman" w:cs="Arial"/>
          <w:color w:val="000000"/>
          <w:lang w:eastAsia="bg-BG"/>
        </w:rPr>
      </w:pPr>
      <w:r w:rsidRPr="006B7E28">
        <w:rPr>
          <w:rFonts w:eastAsia="Times New Roman" w:cs="Arial"/>
          <w:color w:val="000000"/>
          <w:lang w:eastAsia="bg-BG"/>
        </w:rPr>
        <w:t xml:space="preserve">При пациенти с </w:t>
      </w:r>
      <w:r w:rsidRPr="006B7E28">
        <w:rPr>
          <w:rFonts w:eastAsia="Times New Roman" w:cs="Arial"/>
          <w:color w:val="000000"/>
          <w:lang w:val="en-US"/>
        </w:rPr>
        <w:t>IS</w:t>
      </w:r>
      <w:r w:rsidRPr="006B7E28">
        <w:rPr>
          <w:rFonts w:eastAsia="Times New Roman" w:cs="Arial"/>
          <w:color w:val="000000"/>
          <w:lang w:val="ru-RU"/>
        </w:rPr>
        <w:t xml:space="preserve">, </w:t>
      </w:r>
      <w:r w:rsidRPr="006B7E28">
        <w:rPr>
          <w:rFonts w:eastAsia="Times New Roman" w:cs="Arial"/>
          <w:color w:val="000000"/>
          <w:lang w:eastAsia="bg-BG"/>
        </w:rPr>
        <w:t>който не е лек, монотерапията с клопидогрел трябва да започне едва след първите 7 дни от събитието.</w:t>
      </w:r>
    </w:p>
    <w:p w14:paraId="0FB27701" w14:textId="77777777" w:rsidR="006B7E28" w:rsidRPr="006B7E28" w:rsidRDefault="006B7E28" w:rsidP="006B7E28">
      <w:pPr>
        <w:pStyle w:val="ListParagraph"/>
        <w:numPr>
          <w:ilvl w:val="0"/>
          <w:numId w:val="40"/>
        </w:numPr>
        <w:spacing w:line="240" w:lineRule="auto"/>
        <w:rPr>
          <w:rFonts w:eastAsia="Times New Roman" w:cs="Arial"/>
          <w:i/>
          <w:iCs/>
          <w:color w:val="000000"/>
          <w:lang w:eastAsia="bg-BG"/>
        </w:rPr>
      </w:pPr>
      <w:r w:rsidRPr="006B7E28">
        <w:rPr>
          <w:rFonts w:eastAsia="Times New Roman" w:cs="Arial"/>
          <w:i/>
          <w:iCs/>
          <w:color w:val="000000"/>
          <w:lang w:eastAsia="bg-BG"/>
        </w:rPr>
        <w:lastRenderedPageBreak/>
        <w:t xml:space="preserve">Пациенти с </w:t>
      </w:r>
      <w:r w:rsidRPr="006B7E28">
        <w:rPr>
          <w:rFonts w:eastAsia="Times New Roman" w:cs="Arial"/>
          <w:i/>
          <w:iCs/>
          <w:color w:val="000000"/>
          <w:lang w:val="en-US"/>
        </w:rPr>
        <w:t>IS</w:t>
      </w:r>
      <w:r w:rsidRPr="006B7E28">
        <w:rPr>
          <w:rFonts w:eastAsia="Times New Roman" w:cs="Arial"/>
          <w:i/>
          <w:iCs/>
          <w:color w:val="000000"/>
          <w:lang w:val="ru-RU"/>
        </w:rPr>
        <w:t xml:space="preserve"> (</w:t>
      </w:r>
      <w:r w:rsidRPr="006B7E28">
        <w:rPr>
          <w:rFonts w:eastAsia="Times New Roman" w:cs="Arial"/>
          <w:i/>
          <w:iCs/>
          <w:color w:val="000000"/>
          <w:lang w:val="en-US"/>
        </w:rPr>
        <w:t>NIHSS</w:t>
      </w:r>
      <w:r w:rsidRPr="006B7E28">
        <w:rPr>
          <w:rFonts w:eastAsia="Times New Roman" w:cs="Arial"/>
          <w:i/>
          <w:iCs/>
          <w:color w:val="000000"/>
          <w:lang w:val="ru-RU"/>
        </w:rPr>
        <w:t xml:space="preserve">&gt; </w:t>
      </w:r>
      <w:r w:rsidRPr="006B7E28">
        <w:rPr>
          <w:rFonts w:eastAsia="Times New Roman" w:cs="Arial"/>
          <w:i/>
          <w:iCs/>
          <w:color w:val="000000"/>
          <w:lang w:eastAsia="bg-BG"/>
        </w:rPr>
        <w:t>4), който не е лек</w:t>
      </w:r>
    </w:p>
    <w:p w14:paraId="54A69DA3"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Поради липсата на данни, не се препоръчва използването на двойна антитромбоцитна терапия (вж. точка 4.1).</w:t>
      </w:r>
    </w:p>
    <w:p w14:paraId="35F1234E" w14:textId="616E0444" w:rsidR="006B7E28" w:rsidRPr="006B7E28" w:rsidRDefault="006B7E28" w:rsidP="006B7E28">
      <w:pPr>
        <w:pStyle w:val="ListParagraph"/>
        <w:numPr>
          <w:ilvl w:val="0"/>
          <w:numId w:val="40"/>
        </w:numPr>
        <w:spacing w:line="240" w:lineRule="auto"/>
        <w:rPr>
          <w:rFonts w:eastAsia="Times New Roman" w:cs="Arial"/>
        </w:rPr>
      </w:pPr>
      <w:r w:rsidRPr="006B7E28">
        <w:rPr>
          <w:rFonts w:eastAsia="Times New Roman" w:cs="Arial"/>
          <w:i/>
          <w:iCs/>
          <w:color w:val="000000"/>
          <w:lang w:eastAsia="bg-BG"/>
        </w:rPr>
        <w:t xml:space="preserve">Скорошнен лек </w:t>
      </w:r>
      <w:r w:rsidRPr="006B7E28">
        <w:rPr>
          <w:rFonts w:eastAsia="Times New Roman" w:cs="Arial"/>
          <w:i/>
          <w:iCs/>
          <w:color w:val="000000"/>
          <w:lang w:val="en-US"/>
        </w:rPr>
        <w:t>IS</w:t>
      </w:r>
      <w:r w:rsidRPr="006B7E28">
        <w:rPr>
          <w:rFonts w:eastAsia="Times New Roman" w:cs="Arial"/>
          <w:i/>
          <w:iCs/>
          <w:color w:val="000000"/>
          <w:lang w:val="ru-RU"/>
        </w:rPr>
        <w:t xml:space="preserve"> </w:t>
      </w:r>
      <w:r w:rsidRPr="006B7E28">
        <w:rPr>
          <w:rFonts w:eastAsia="Times New Roman" w:cs="Arial"/>
          <w:i/>
          <w:iCs/>
          <w:color w:val="000000"/>
          <w:lang w:eastAsia="bg-BG"/>
        </w:rPr>
        <w:t xml:space="preserve">или умерено до високорискова </w:t>
      </w:r>
      <w:r w:rsidRPr="006B7E28">
        <w:rPr>
          <w:rFonts w:eastAsia="Times New Roman" w:cs="Arial"/>
          <w:i/>
          <w:iCs/>
          <w:color w:val="000000"/>
          <w:lang w:val="en-US"/>
        </w:rPr>
        <w:t>TIA</w:t>
      </w:r>
      <w:r w:rsidRPr="006B7E28">
        <w:rPr>
          <w:rFonts w:eastAsia="Times New Roman" w:cs="Arial"/>
          <w:i/>
          <w:iCs/>
          <w:color w:val="000000"/>
          <w:lang w:val="ru-RU"/>
        </w:rPr>
        <w:t xml:space="preserve"> </w:t>
      </w:r>
      <w:r w:rsidRPr="006B7E28">
        <w:rPr>
          <w:rFonts w:eastAsia="Times New Roman" w:cs="Arial"/>
          <w:i/>
          <w:iCs/>
          <w:color w:val="000000"/>
          <w:lang w:eastAsia="bg-BG"/>
        </w:rPr>
        <w:t>при пациенти, за които е показана или планирана интервенция</w:t>
      </w:r>
    </w:p>
    <w:p w14:paraId="7EE425D3"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Няма данни в подкрепа на използването на двойна антитромбоцитна терапия при пациенти, за които е показано лечение с каротидна ендартеректомия или интраваскуларна тромбектомия, или при пациенти, планирани за тромболиза или антикоагулантна терапия. В тези ситуации не се препоръчва двойна антитромбоцитна терапия.</w:t>
      </w:r>
    </w:p>
    <w:p w14:paraId="4B161FD8" w14:textId="77777777" w:rsidR="006B7E28" w:rsidRPr="006B7E28" w:rsidRDefault="006B7E28" w:rsidP="006B7E28">
      <w:pPr>
        <w:spacing w:line="240" w:lineRule="auto"/>
        <w:rPr>
          <w:rFonts w:eastAsia="Times New Roman" w:cs="Arial"/>
          <w:i/>
          <w:iCs/>
          <w:color w:val="000000"/>
          <w:lang w:eastAsia="bg-BG"/>
        </w:rPr>
      </w:pPr>
    </w:p>
    <w:p w14:paraId="118BFC3A" w14:textId="777127F0"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 xml:space="preserve">Цитохром Р450 2С19 </w:t>
      </w:r>
      <w:r w:rsidRPr="006B7E28">
        <w:rPr>
          <w:rFonts w:eastAsia="Times New Roman" w:cs="Arial"/>
          <w:i/>
          <w:iCs/>
          <w:color w:val="000000"/>
          <w:lang w:val="ru-RU"/>
        </w:rPr>
        <w:t>(</w:t>
      </w:r>
      <w:r w:rsidRPr="006B7E28">
        <w:rPr>
          <w:rFonts w:eastAsia="Times New Roman" w:cs="Arial"/>
          <w:i/>
          <w:iCs/>
          <w:color w:val="000000"/>
          <w:lang w:val="en-US"/>
        </w:rPr>
        <w:t>CYP</w:t>
      </w:r>
      <w:r w:rsidRPr="006B7E28">
        <w:rPr>
          <w:rFonts w:eastAsia="Times New Roman" w:cs="Arial"/>
          <w:i/>
          <w:iCs/>
          <w:color w:val="000000"/>
          <w:lang w:val="ru-RU"/>
        </w:rPr>
        <w:t>2</w:t>
      </w:r>
      <w:r w:rsidRPr="006B7E28">
        <w:rPr>
          <w:rFonts w:eastAsia="Times New Roman" w:cs="Arial"/>
          <w:i/>
          <w:iCs/>
          <w:color w:val="000000"/>
          <w:lang w:val="en-US"/>
        </w:rPr>
        <w:t>C</w:t>
      </w:r>
      <w:r w:rsidRPr="006B7E28">
        <w:rPr>
          <w:rFonts w:eastAsia="Times New Roman" w:cs="Arial"/>
          <w:i/>
          <w:iCs/>
          <w:color w:val="000000"/>
          <w:lang w:val="ru-RU"/>
        </w:rPr>
        <w:t>19)</w:t>
      </w:r>
    </w:p>
    <w:p w14:paraId="4257F830"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Фармакогенетика: При пациенти, които са слаби метаболизатори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 xml:space="preserve">се образува по- малко количество на активния метаболит на клопидогрел и ефектът върху функцията на тромбоцитите е по-слаб. Има налични тестове за определяне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генотипа.</w:t>
      </w:r>
    </w:p>
    <w:p w14:paraId="18DE30FB" w14:textId="77777777" w:rsidR="006B7E28" w:rsidRPr="006B7E28" w:rsidRDefault="006B7E28" w:rsidP="006B7E28">
      <w:pPr>
        <w:spacing w:line="240" w:lineRule="auto"/>
        <w:rPr>
          <w:rFonts w:eastAsia="Times New Roman" w:cs="Arial"/>
          <w:color w:val="000000"/>
          <w:lang w:eastAsia="bg-BG"/>
        </w:rPr>
      </w:pPr>
    </w:p>
    <w:p w14:paraId="43D92F57" w14:textId="5AD31D02"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Тъй като клопидогрел се метаболизира частично до своя активен метаболит от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 xml:space="preserve">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 xml:space="preserve">инхибитори (вж. т. 4.5 за списък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инхибитори, вж. също т. 5.2).</w:t>
      </w:r>
    </w:p>
    <w:p w14:paraId="32B513F8" w14:textId="77777777" w:rsidR="006B7E28" w:rsidRPr="006B7E28" w:rsidRDefault="006B7E28" w:rsidP="006B7E28">
      <w:pPr>
        <w:spacing w:line="240" w:lineRule="auto"/>
        <w:rPr>
          <w:rFonts w:eastAsia="Times New Roman" w:cs="Arial"/>
          <w:color w:val="000000"/>
          <w:lang w:eastAsia="bg-BG"/>
        </w:rPr>
      </w:pPr>
    </w:p>
    <w:p w14:paraId="7839907C" w14:textId="67CBD93F" w:rsidR="006B7E28" w:rsidRPr="006B7E28" w:rsidRDefault="006B7E28" w:rsidP="006B7E28">
      <w:pPr>
        <w:spacing w:line="240" w:lineRule="auto"/>
        <w:rPr>
          <w:rFonts w:eastAsia="Times New Roman" w:cs="Arial"/>
          <w:color w:val="000000"/>
          <w:lang w:eastAsia="bg-BG"/>
        </w:rPr>
      </w:pPr>
      <w:r w:rsidRPr="006B7E28">
        <w:rPr>
          <w:rFonts w:eastAsia="Times New Roman" w:cs="Arial"/>
          <w:color w:val="000000"/>
          <w:lang w:eastAsia="bg-BG"/>
        </w:rPr>
        <w:t xml:space="preserve">Употребата на лекарствени продукти, които индуцират активността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eastAsia="bg-BG"/>
        </w:rPr>
        <w:t xml:space="preserve">19, очаквано може да доведе до повишени лекарствени нива на активния метаболит на клопидогрел </w:t>
      </w:r>
      <w:r w:rsidRPr="006B7E28">
        <w:rPr>
          <w:rFonts w:eastAsia="Times New Roman" w:cs="Arial"/>
          <w:color w:val="000000"/>
          <w:u w:val="single"/>
          <w:lang w:eastAsia="bg-BG"/>
        </w:rPr>
        <w:t xml:space="preserve">и да </w:t>
      </w:r>
      <w:r w:rsidRPr="006B7E28">
        <w:rPr>
          <w:rFonts w:eastAsia="Times New Roman" w:cs="Arial"/>
          <w:color w:val="000000"/>
          <w:lang w:eastAsia="bg-BG"/>
        </w:rPr>
        <w:t>потенцира риска от кървене. Като предпазна мярка едновременната употреба на</w:t>
      </w:r>
      <w:r w:rsidRPr="006B7E28">
        <w:rPr>
          <w:rFonts w:eastAsia="Times New Roman" w:cs="Arial"/>
          <w:color w:val="000000"/>
          <w:lang w:val="ru-RU"/>
        </w:rPr>
        <w:t xml:space="preserve"> </w:t>
      </w:r>
      <w:r w:rsidRPr="006B7E28">
        <w:rPr>
          <w:rFonts w:eastAsia="Times New Roman" w:cs="Arial"/>
          <w:color w:val="000000"/>
          <w:lang w:eastAsia="bg-BG"/>
        </w:rPr>
        <w:t xml:space="preserve">силни индуктори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eastAsia="bg-BG"/>
        </w:rPr>
        <w:t>19 трябва да бъде избягвана (вж. т. 4.5)</w:t>
      </w:r>
    </w:p>
    <w:p w14:paraId="125A4305" w14:textId="2BC9D755" w:rsidR="006B7E28" w:rsidRPr="006B7E28" w:rsidRDefault="006B7E28" w:rsidP="006B7E28">
      <w:pPr>
        <w:spacing w:line="240" w:lineRule="auto"/>
        <w:rPr>
          <w:rFonts w:eastAsia="Times New Roman" w:cs="Arial"/>
          <w:color w:val="000000"/>
          <w:lang w:eastAsia="bg-BG"/>
        </w:rPr>
      </w:pPr>
    </w:p>
    <w:p w14:paraId="73552C7A" w14:textId="77777777"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 xml:space="preserve">Субстрати на </w:t>
      </w:r>
      <w:r w:rsidRPr="006B7E28">
        <w:rPr>
          <w:rFonts w:eastAsia="Times New Roman" w:cs="Arial"/>
          <w:i/>
          <w:iCs/>
          <w:color w:val="000000"/>
          <w:lang w:val="en-US"/>
        </w:rPr>
        <w:t>CYP</w:t>
      </w:r>
      <w:r w:rsidRPr="006B7E28">
        <w:rPr>
          <w:rFonts w:eastAsia="Times New Roman" w:cs="Arial"/>
          <w:i/>
          <w:iCs/>
          <w:color w:val="000000"/>
          <w:lang w:val="ru-RU"/>
        </w:rPr>
        <w:t>2</w:t>
      </w:r>
      <w:r w:rsidRPr="006B7E28">
        <w:rPr>
          <w:rFonts w:eastAsia="Times New Roman" w:cs="Arial"/>
          <w:i/>
          <w:iCs/>
          <w:color w:val="000000"/>
          <w:lang w:val="en-US"/>
        </w:rPr>
        <w:t>C</w:t>
      </w:r>
      <w:r w:rsidRPr="006B7E28">
        <w:rPr>
          <w:rFonts w:eastAsia="Times New Roman" w:cs="Arial"/>
          <w:i/>
          <w:iCs/>
          <w:color w:val="000000"/>
          <w:lang w:val="ru-RU"/>
        </w:rPr>
        <w:t>8</w:t>
      </w:r>
    </w:p>
    <w:p w14:paraId="25983C0F"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Необходимо е повишено внимание при пациенти, лекувани едновременно с клопидогрел и лекарствени продукти, субстрати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8 </w:t>
      </w:r>
      <w:r w:rsidRPr="006B7E28">
        <w:rPr>
          <w:rFonts w:eastAsia="Times New Roman" w:cs="Arial"/>
          <w:color w:val="000000"/>
          <w:lang w:eastAsia="bg-BG"/>
        </w:rPr>
        <w:t>(вж. точка 4.5).</w:t>
      </w:r>
    </w:p>
    <w:p w14:paraId="55AD28F4" w14:textId="77777777" w:rsidR="006B7E28" w:rsidRPr="006B7E28" w:rsidRDefault="006B7E28" w:rsidP="006B7E28">
      <w:pPr>
        <w:spacing w:line="240" w:lineRule="auto"/>
        <w:rPr>
          <w:rFonts w:eastAsia="Times New Roman" w:cs="Arial"/>
          <w:i/>
          <w:iCs/>
          <w:color w:val="000000"/>
          <w:lang w:eastAsia="bg-BG"/>
        </w:rPr>
      </w:pPr>
    </w:p>
    <w:p w14:paraId="5C44C91D" w14:textId="166FAF84"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Кръстосани реакции между тиенопиридини</w:t>
      </w:r>
    </w:p>
    <w:p w14:paraId="55E44A2E" w14:textId="1112B9D4" w:rsidR="006B7E28" w:rsidRPr="006B7E28" w:rsidRDefault="006B7E28" w:rsidP="006B7E28">
      <w:pPr>
        <w:spacing w:line="240" w:lineRule="auto"/>
        <w:rPr>
          <w:rFonts w:eastAsia="Times New Roman" w:cs="Arial"/>
        </w:rPr>
      </w:pPr>
      <w:r w:rsidRPr="006B7E28">
        <w:rPr>
          <w:rFonts w:eastAsia="Times New Roman" w:cs="Arial"/>
          <w:color w:val="000000"/>
          <w:lang w:eastAsia="bg-BG"/>
        </w:rPr>
        <w:t>Пациентите трябва да бъдат оценени за анамнеза за свръхчувствителност към тиенопиридини (например, клопидогрел, тиклопидин, празугрел) тъй като е била докладвана кръстосана реактивност между тиенопиридините (вж. т. 4.8). Тиенопиридините могат да причинят леки до тежки алергични реакции, например обрив, ангионевротичен оток или хематологични кръстосани реакции, като тромбоцитопения и неутропения. Пациентите, които са развили предишна алергична реакция и/или хематологична реакция към един тиенопиридин може да са с увеличен риск от развиване на същата или друга реакция към друг тиенопиридин. Препоръчва се наблюдаването на признаци на свръхчувствителност при пациенти с известна алергия към тиенопиридини.</w:t>
      </w:r>
    </w:p>
    <w:p w14:paraId="45CC8489" w14:textId="77777777" w:rsidR="006B7E28" w:rsidRPr="006B7E28" w:rsidRDefault="006B7E28" w:rsidP="006B7E28">
      <w:pPr>
        <w:spacing w:line="240" w:lineRule="auto"/>
        <w:rPr>
          <w:rFonts w:eastAsia="Times New Roman" w:cs="Arial"/>
          <w:i/>
          <w:iCs/>
          <w:color w:val="000000"/>
          <w:lang w:eastAsia="bg-BG"/>
        </w:rPr>
      </w:pPr>
    </w:p>
    <w:p w14:paraId="31FEAF16" w14:textId="6F08F5D9"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Бъбречно увреждане</w:t>
      </w:r>
    </w:p>
    <w:p w14:paraId="128FB9CF"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Терапевтичният опит с клопидогрел при пациенти с бъбречно увреждане е ограничен. Следователно клопидогрел трябва да се използва с повишено внимание при тези пациенти (вж. т. 4.2).</w:t>
      </w:r>
    </w:p>
    <w:p w14:paraId="32980900" w14:textId="77777777" w:rsidR="006B7E28" w:rsidRPr="006B7E28" w:rsidRDefault="006B7E28" w:rsidP="006B7E28">
      <w:pPr>
        <w:spacing w:line="240" w:lineRule="auto"/>
        <w:rPr>
          <w:rFonts w:eastAsia="Times New Roman" w:cs="Arial"/>
          <w:i/>
          <w:iCs/>
          <w:color w:val="000000"/>
          <w:lang w:eastAsia="bg-BG"/>
        </w:rPr>
      </w:pPr>
    </w:p>
    <w:p w14:paraId="2ED7F35F" w14:textId="52055B9A"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Чернодробно увреждане</w:t>
      </w:r>
    </w:p>
    <w:p w14:paraId="2DA04DB1" w14:textId="77777777" w:rsidR="006B7E28" w:rsidRPr="006B7E28" w:rsidRDefault="006B7E28" w:rsidP="006B7E28">
      <w:pPr>
        <w:spacing w:line="240" w:lineRule="auto"/>
        <w:rPr>
          <w:rFonts w:eastAsia="Times New Roman" w:cs="Arial"/>
        </w:rPr>
      </w:pPr>
      <w:r w:rsidRPr="006B7E28">
        <w:rPr>
          <w:rFonts w:eastAsia="Times New Roman" w:cs="Arial"/>
          <w:i/>
          <w:iCs/>
          <w:smallCaps/>
          <w:color w:val="000000"/>
          <w:lang w:eastAsia="bg-BG"/>
        </w:rPr>
        <w:lastRenderedPageBreak/>
        <w:t>Опитът</w:t>
      </w:r>
      <w:r w:rsidRPr="006B7E28">
        <w:rPr>
          <w:rFonts w:eastAsia="Times New Roman" w:cs="Arial"/>
          <w:i/>
          <w:iCs/>
          <w:color w:val="000000"/>
          <w:lang w:eastAsia="bg-BG"/>
        </w:rPr>
        <w:t xml:space="preserve"> е</w:t>
      </w:r>
      <w:r w:rsidRPr="006B7E28">
        <w:rPr>
          <w:rFonts w:eastAsia="Times New Roman" w:cs="Arial"/>
          <w:color w:val="000000"/>
          <w:lang w:eastAsia="bg-BG"/>
        </w:rPr>
        <w:t xml:space="preserve"> ограничен при пациенти с умерено изразено чернодробно заболяване, които може да имат предразположеност към кървене. Следователно клопидогрел трябва да се използва с повишено внимание при такава група пациенти (вж, т. 4.2).</w:t>
      </w:r>
    </w:p>
    <w:p w14:paraId="0296D7DF" w14:textId="77777777" w:rsidR="006B7E28" w:rsidRPr="006B7E28" w:rsidRDefault="006B7E28" w:rsidP="006B7E28">
      <w:pPr>
        <w:spacing w:line="240" w:lineRule="auto"/>
        <w:rPr>
          <w:rFonts w:eastAsia="Times New Roman" w:cs="Arial"/>
          <w:i/>
          <w:iCs/>
          <w:color w:val="000000"/>
          <w:lang w:eastAsia="bg-BG"/>
        </w:rPr>
      </w:pPr>
    </w:p>
    <w:p w14:paraId="79D15265" w14:textId="0D9E079D"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Помощни вещества</w:t>
      </w:r>
    </w:p>
    <w:p w14:paraId="6E52D763"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Този лекарствен продукт съдържа хидрогенирано рициново масло, което може да причини стомашно разстройство и диария.</w:t>
      </w:r>
    </w:p>
    <w:p w14:paraId="79A5340B" w14:textId="749C71AE" w:rsidR="006B7E28" w:rsidRPr="006B7E28" w:rsidRDefault="006B7E28" w:rsidP="006B7E28"/>
    <w:p w14:paraId="0734264C" w14:textId="30C22669"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34849E9" w14:textId="2748393A" w:rsidR="006B7E28" w:rsidRDefault="006B7E28" w:rsidP="006B7E28"/>
    <w:p w14:paraId="68EB4CDE" w14:textId="77777777"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Лекарствени продукти, свързани с риск от кървене:</w:t>
      </w:r>
      <w:r w:rsidRPr="006B7E28">
        <w:rPr>
          <w:rFonts w:eastAsia="Times New Roman" w:cs="Arial"/>
          <w:color w:val="000000"/>
          <w:lang w:eastAsia="bg-BG"/>
        </w:rPr>
        <w:t xml:space="preserve"> Съществува повишен риск от кървене поради потенциалния адитивен ефект. Едновременното приложение на лекарствени продукти, свързани с риск от кървене трябва да се извършва с повишено внимание (вж. точка 4.4).</w:t>
      </w:r>
    </w:p>
    <w:p w14:paraId="087EEE31" w14:textId="77777777" w:rsidR="006B7E28" w:rsidRPr="006B7E28" w:rsidRDefault="006B7E28" w:rsidP="006B7E28">
      <w:pPr>
        <w:spacing w:line="240" w:lineRule="auto"/>
        <w:rPr>
          <w:rFonts w:eastAsia="Times New Roman" w:cs="Arial"/>
          <w:i/>
          <w:iCs/>
          <w:color w:val="000000"/>
          <w:lang w:eastAsia="bg-BG"/>
        </w:rPr>
      </w:pPr>
    </w:p>
    <w:p w14:paraId="25F0BCD0" w14:textId="1CD73E54"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Перорални антикоагуланти:</w:t>
      </w:r>
      <w:r w:rsidRPr="006B7E28">
        <w:rPr>
          <w:rFonts w:eastAsia="Times New Roman" w:cs="Arial"/>
          <w:color w:val="000000"/>
          <w:lang w:eastAsia="bg-BG"/>
        </w:rPr>
        <w:t xml:space="preserve"> едновременното прилагане на клопидогрел с перорални антикоагуланти не се препоръчва, тъй като това може да увеличи интензивността на кървене (вж. т. 4.4). Макар че приложението на клопидогрел 75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 xml:space="preserve">дневно не променя фармакокинетиката на </w:t>
      </w:r>
      <w:r w:rsidRPr="006B7E28">
        <w:rPr>
          <w:rFonts w:eastAsia="Times New Roman" w:cs="Arial"/>
          <w:color w:val="000000"/>
          <w:lang w:val="en-US"/>
        </w:rPr>
        <w:t>S</w:t>
      </w:r>
      <w:r w:rsidRPr="006B7E28">
        <w:rPr>
          <w:rFonts w:eastAsia="Times New Roman" w:cs="Arial"/>
          <w:color w:val="000000"/>
          <w:lang w:val="ru-RU"/>
        </w:rPr>
        <w:t>-</w:t>
      </w:r>
      <w:r w:rsidRPr="006B7E28">
        <w:rPr>
          <w:rFonts w:eastAsia="Times New Roman" w:cs="Arial"/>
          <w:color w:val="000000"/>
          <w:lang w:val="en-US"/>
        </w:rPr>
        <w:t>warfarin</w:t>
      </w:r>
      <w:r w:rsidRPr="006B7E28">
        <w:rPr>
          <w:rFonts w:eastAsia="Times New Roman" w:cs="Arial"/>
          <w:color w:val="000000"/>
          <w:lang w:val="ru-RU"/>
        </w:rPr>
        <w:t xml:space="preserve"> </w:t>
      </w:r>
      <w:r w:rsidRPr="006B7E28">
        <w:rPr>
          <w:rFonts w:eastAsia="Times New Roman" w:cs="Arial"/>
          <w:color w:val="000000"/>
          <w:lang w:eastAsia="bg-BG"/>
        </w:rPr>
        <w:t xml:space="preserve">или Международното нормализирано съотношение </w:t>
      </w:r>
      <w:r w:rsidRPr="006B7E28">
        <w:rPr>
          <w:rFonts w:eastAsia="Times New Roman" w:cs="Arial"/>
          <w:color w:val="000000"/>
          <w:lang w:val="ru-RU"/>
        </w:rPr>
        <w:t>(</w:t>
      </w:r>
      <w:r w:rsidRPr="006B7E28">
        <w:rPr>
          <w:rFonts w:eastAsia="Times New Roman" w:cs="Arial"/>
          <w:color w:val="000000"/>
          <w:lang w:val="en-US"/>
        </w:rPr>
        <w:t>INR</w:t>
      </w:r>
      <w:r w:rsidRPr="006B7E28">
        <w:rPr>
          <w:rFonts w:eastAsia="Times New Roman" w:cs="Arial"/>
          <w:color w:val="000000"/>
          <w:lang w:val="ru-RU"/>
        </w:rPr>
        <w:t xml:space="preserve">) </w:t>
      </w:r>
      <w:r w:rsidRPr="006B7E28">
        <w:rPr>
          <w:rFonts w:eastAsia="Times New Roman" w:cs="Arial"/>
          <w:color w:val="000000"/>
          <w:lang w:eastAsia="bg-BG"/>
        </w:rPr>
        <w:t>при пациенти, приемащи дългосрочно лечение с варфарин, едновременното приложение на клопидогрел с варфарин увеличава риска от кървене поради независими ефекти върху хемостазата.</w:t>
      </w:r>
    </w:p>
    <w:p w14:paraId="5E4F133D" w14:textId="77777777" w:rsidR="006B7E28" w:rsidRPr="006B7E28" w:rsidRDefault="006B7E28" w:rsidP="006B7E28">
      <w:pPr>
        <w:spacing w:line="240" w:lineRule="auto"/>
        <w:rPr>
          <w:rFonts w:eastAsia="Times New Roman" w:cs="Arial"/>
          <w:i/>
          <w:iCs/>
          <w:color w:val="000000"/>
          <w:lang w:eastAsia="bg-BG"/>
        </w:rPr>
      </w:pPr>
    </w:p>
    <w:p w14:paraId="1F883B13" w14:textId="088480D5"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 xml:space="preserve">Инхибитори на гликопротеин </w:t>
      </w:r>
      <w:proofErr w:type="spellStart"/>
      <w:r w:rsidRPr="006B7E28">
        <w:rPr>
          <w:rFonts w:eastAsia="Times New Roman" w:cs="Arial"/>
          <w:i/>
          <w:iCs/>
          <w:color w:val="000000"/>
          <w:lang w:val="en-US"/>
        </w:rPr>
        <w:t>IIb</w:t>
      </w:r>
      <w:proofErr w:type="spellEnd"/>
      <w:r w:rsidRPr="006B7E28">
        <w:rPr>
          <w:rFonts w:eastAsia="Times New Roman" w:cs="Arial"/>
          <w:i/>
          <w:iCs/>
          <w:color w:val="000000"/>
          <w:lang w:val="ru-RU"/>
        </w:rPr>
        <w:t>/</w:t>
      </w:r>
      <w:r w:rsidRPr="006B7E28">
        <w:rPr>
          <w:rFonts w:eastAsia="Times New Roman" w:cs="Arial"/>
          <w:i/>
          <w:iCs/>
          <w:color w:val="000000"/>
          <w:lang w:val="en-US"/>
        </w:rPr>
        <w:t>III</w:t>
      </w:r>
      <w:r w:rsidRPr="006B7E28">
        <w:rPr>
          <w:rFonts w:eastAsia="Times New Roman" w:cs="Arial"/>
          <w:i/>
          <w:iCs/>
          <w:color w:val="000000"/>
          <w:lang w:eastAsia="bg-BG"/>
        </w:rPr>
        <w:t>а:</w:t>
      </w:r>
      <w:r w:rsidRPr="006B7E28">
        <w:rPr>
          <w:rFonts w:eastAsia="Times New Roman" w:cs="Arial"/>
          <w:color w:val="000000"/>
          <w:lang w:eastAsia="bg-BG"/>
        </w:rPr>
        <w:t xml:space="preserve"> клопидогрел трябва да се използва с повишено внимание при пациенти приемащи едновременно инхибитори на гликопротеин </w:t>
      </w:r>
      <w:proofErr w:type="spellStart"/>
      <w:r w:rsidRPr="006B7E28">
        <w:rPr>
          <w:rFonts w:eastAsia="Times New Roman" w:cs="Arial"/>
          <w:color w:val="000000"/>
          <w:lang w:val="en-US"/>
        </w:rPr>
        <w:t>IIb</w:t>
      </w:r>
      <w:proofErr w:type="spellEnd"/>
      <w:r w:rsidRPr="006B7E28">
        <w:rPr>
          <w:rFonts w:eastAsia="Times New Roman" w:cs="Arial"/>
          <w:color w:val="000000"/>
          <w:lang w:eastAsia="bg-BG"/>
        </w:rPr>
        <w:t>/</w:t>
      </w:r>
      <w:r w:rsidRPr="006B7E28">
        <w:rPr>
          <w:rFonts w:eastAsia="Times New Roman" w:cs="Arial"/>
          <w:color w:val="000000"/>
          <w:lang w:val="en-US"/>
        </w:rPr>
        <w:t>III</w:t>
      </w:r>
      <w:r w:rsidRPr="006B7E28">
        <w:rPr>
          <w:rFonts w:eastAsia="Times New Roman" w:cs="Arial"/>
          <w:color w:val="000000"/>
          <w:lang w:eastAsia="bg-BG"/>
        </w:rPr>
        <w:t>а (вж. т. 4.4).</w:t>
      </w:r>
    </w:p>
    <w:p w14:paraId="537E58C5" w14:textId="77777777" w:rsidR="006B7E28" w:rsidRPr="006B7E28" w:rsidRDefault="006B7E28" w:rsidP="006B7E28">
      <w:pPr>
        <w:rPr>
          <w:rFonts w:eastAsia="Times New Roman" w:cs="Arial"/>
          <w:i/>
          <w:iCs/>
          <w:color w:val="000000"/>
          <w:lang w:eastAsia="bg-BG"/>
        </w:rPr>
      </w:pPr>
    </w:p>
    <w:p w14:paraId="18C827C9" w14:textId="31205E73" w:rsidR="006B7E28" w:rsidRPr="006B7E28" w:rsidRDefault="006B7E28" w:rsidP="006B7E28">
      <w:pPr>
        <w:rPr>
          <w:rFonts w:eastAsia="Times New Roman" w:cs="Arial"/>
          <w:color w:val="000000"/>
          <w:lang w:eastAsia="bg-BG"/>
        </w:rPr>
      </w:pPr>
      <w:r w:rsidRPr="006B7E28">
        <w:rPr>
          <w:rFonts w:eastAsia="Times New Roman" w:cs="Arial"/>
          <w:i/>
          <w:iCs/>
          <w:color w:val="000000"/>
          <w:lang w:eastAsia="bg-BG"/>
        </w:rPr>
        <w:t>Ацетилсалицилова киселина (АСК):</w:t>
      </w:r>
      <w:r w:rsidRPr="006B7E28">
        <w:rPr>
          <w:rFonts w:eastAsia="Times New Roman" w:cs="Arial"/>
          <w:color w:val="000000"/>
          <w:lang w:eastAsia="bg-BG"/>
        </w:rPr>
        <w:t xml:space="preserve"> АСК не изменя клопидогрел-медиираното инхибиране на АДФ-индуцираната тромбоцитна агрегация, но клопидогрел усилва ефекта на АСК върху колаген индуцираната тромбоцитна агрегация. Едновременното прилагане на 500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АСК два пъти дневно в продължение на един ден обаче не увеличава значително удължаването на времето на кървене, предизвикано от приема на клопидогрел. Възможно е фармакодинамично взаимодействие между клопидогрел и ацетилсалицилова киселина, водещо до повишен риск от кървене. Следователно едновременното прилагане трябва да се предприема с повишено внимание (вж. т. 4.4). Въпреки това клопидогрел и АСК са прилагани заедно за срок до една година (вж. т. 5.1).</w:t>
      </w:r>
    </w:p>
    <w:p w14:paraId="41D4364C" w14:textId="0533D742" w:rsidR="006B7E28" w:rsidRPr="006B7E28" w:rsidRDefault="006B7E28" w:rsidP="006B7E28">
      <w:pPr>
        <w:rPr>
          <w:rFonts w:eastAsia="Times New Roman" w:cs="Arial"/>
          <w:color w:val="000000"/>
          <w:lang w:eastAsia="bg-BG"/>
        </w:rPr>
      </w:pPr>
    </w:p>
    <w:p w14:paraId="287E08BE" w14:textId="77777777"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Хепарин:</w:t>
      </w:r>
      <w:r w:rsidRPr="006B7E28">
        <w:rPr>
          <w:rFonts w:eastAsia="Times New Roman" w:cs="Arial"/>
          <w:color w:val="000000"/>
          <w:lang w:eastAsia="bg-BG"/>
        </w:rPr>
        <w:t xml:space="preserve"> по време на клинично изпитване, проведено със здрави участници, клопидогрел не е довел до необходимост от изменение на дозата хепарин и не промени влиянието на хепарин върху коагулацията. Съвместното прилагане на хепарин не оказа влияние върху инхибирането на тромбоцитната агрегация, предизвикана от клопидогрел. Възможно е фармакодинамично взаимодействие между клопидогрел и хепарин, което води до увеличен риск от кървене. Следователно едновременното прилагане трябва да се предприема с повишено внимание (вж. т. 4.4).</w:t>
      </w:r>
    </w:p>
    <w:p w14:paraId="0B21DE12" w14:textId="77777777" w:rsidR="006B7E28" w:rsidRPr="006B7E28" w:rsidRDefault="006B7E28" w:rsidP="006B7E28">
      <w:pPr>
        <w:spacing w:line="240" w:lineRule="auto"/>
        <w:rPr>
          <w:rFonts w:eastAsia="Times New Roman" w:cs="Arial"/>
          <w:i/>
          <w:iCs/>
          <w:color w:val="000000"/>
          <w:lang w:eastAsia="bg-BG"/>
        </w:rPr>
      </w:pPr>
    </w:p>
    <w:p w14:paraId="06221B3F" w14:textId="47AE7741"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Тромболитици:</w:t>
      </w:r>
      <w:r w:rsidRPr="006B7E28">
        <w:rPr>
          <w:rFonts w:eastAsia="Times New Roman" w:cs="Arial"/>
          <w:color w:val="000000"/>
          <w:lang w:eastAsia="bg-BG"/>
        </w:rPr>
        <w:t xml:space="preserve"> безопасността на едновременното прилагане на клопидогрел, фибрин или нефибрин специфични тромболитични средства и хепарини е оценена при пациенти с остър миокарден инфаркт. Честотата на клинично значимото кървене е сходна с тази, </w:t>
      </w:r>
      <w:r w:rsidRPr="006B7E28">
        <w:rPr>
          <w:rFonts w:eastAsia="Times New Roman" w:cs="Arial"/>
          <w:color w:val="000000"/>
          <w:lang w:eastAsia="bg-BG"/>
        </w:rPr>
        <w:lastRenderedPageBreak/>
        <w:t>наблюдавана когато тромболитични средства и хепарин се прилагат съвместно с АСК (вж. т. 4.8).</w:t>
      </w:r>
    </w:p>
    <w:p w14:paraId="18F08B02" w14:textId="77777777" w:rsidR="006B7E28" w:rsidRPr="006B7E28" w:rsidRDefault="006B7E28" w:rsidP="006B7E28">
      <w:pPr>
        <w:spacing w:line="240" w:lineRule="auto"/>
        <w:rPr>
          <w:rFonts w:eastAsia="Times New Roman" w:cs="Arial"/>
          <w:i/>
          <w:iCs/>
          <w:color w:val="000000"/>
          <w:lang w:eastAsia="bg-BG"/>
        </w:rPr>
      </w:pPr>
    </w:p>
    <w:p w14:paraId="657BF888" w14:textId="2D5109C5"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НСПВЛ:</w:t>
      </w:r>
      <w:r w:rsidRPr="006B7E28">
        <w:rPr>
          <w:rFonts w:eastAsia="Times New Roman" w:cs="Arial"/>
          <w:color w:val="000000"/>
          <w:lang w:eastAsia="bg-BG"/>
        </w:rPr>
        <w:t xml:space="preserve"> по време на клинично изпитване, проведено със здрави доброволци, едновременното прилагане на клопидогрел и напроксен повишава окултната стомашно-чревна загуба на кръв. Поради липса на изследвания на взаимодействието с други НСПВЛ към момента не е ясно дали има повишен риск от стомашно-чревно кървене при всички НСПВЛ. Следователно НСПВЛ, включително СОХ-2 инхибитори и клопидогрел, трябва да се прилагат съвместно с повишено внимание (вж. т. 4.4).</w:t>
      </w:r>
    </w:p>
    <w:p w14:paraId="3E803198" w14:textId="77777777" w:rsidR="006B7E28" w:rsidRPr="00F962F6" w:rsidRDefault="006B7E28" w:rsidP="006B7E28">
      <w:pPr>
        <w:spacing w:line="240" w:lineRule="auto"/>
        <w:rPr>
          <w:rFonts w:eastAsia="Times New Roman" w:cs="Arial"/>
          <w:i/>
          <w:iCs/>
          <w:color w:val="000000"/>
          <w:lang w:val="ru-RU"/>
        </w:rPr>
      </w:pPr>
    </w:p>
    <w:p w14:paraId="5FFA5F88" w14:textId="5F11874B" w:rsidR="006B7E28" w:rsidRPr="006B7E28" w:rsidRDefault="006B7E28" w:rsidP="006B7E28">
      <w:pPr>
        <w:spacing w:line="240" w:lineRule="auto"/>
        <w:rPr>
          <w:rFonts w:eastAsia="Times New Roman" w:cs="Arial"/>
        </w:rPr>
      </w:pPr>
      <w:r w:rsidRPr="006B7E28">
        <w:rPr>
          <w:rFonts w:eastAsia="Times New Roman" w:cs="Arial"/>
          <w:i/>
          <w:iCs/>
          <w:color w:val="000000"/>
          <w:lang w:val="en-US"/>
        </w:rPr>
        <w:t>SSRIs</w:t>
      </w:r>
      <w:r w:rsidRPr="006B7E28">
        <w:rPr>
          <w:rFonts w:eastAsia="Times New Roman" w:cs="Arial"/>
          <w:i/>
          <w:iCs/>
          <w:color w:val="000000"/>
          <w:lang w:val="ru-RU"/>
        </w:rPr>
        <w:t>:</w:t>
      </w:r>
      <w:r w:rsidRPr="006B7E28">
        <w:rPr>
          <w:rFonts w:eastAsia="Times New Roman" w:cs="Arial"/>
          <w:color w:val="000000"/>
          <w:lang w:val="ru-RU"/>
        </w:rPr>
        <w:t xml:space="preserve"> </w:t>
      </w:r>
      <w:r w:rsidRPr="006B7E28">
        <w:rPr>
          <w:rFonts w:eastAsia="Times New Roman" w:cs="Arial"/>
          <w:color w:val="000000"/>
          <w:lang w:eastAsia="bg-BG"/>
        </w:rPr>
        <w:t xml:space="preserve">тъй като </w:t>
      </w:r>
      <w:r w:rsidRPr="006B7E28">
        <w:rPr>
          <w:rFonts w:eastAsia="Times New Roman" w:cs="Arial"/>
          <w:color w:val="000000"/>
          <w:lang w:val="en-US"/>
        </w:rPr>
        <w:t>SSRIs</w:t>
      </w:r>
      <w:r w:rsidRPr="006B7E28">
        <w:rPr>
          <w:rFonts w:eastAsia="Times New Roman" w:cs="Arial"/>
          <w:color w:val="000000"/>
          <w:lang w:val="ru-RU"/>
        </w:rPr>
        <w:t xml:space="preserve"> </w:t>
      </w:r>
      <w:r w:rsidRPr="006B7E28">
        <w:rPr>
          <w:rFonts w:eastAsia="Times New Roman" w:cs="Arial"/>
          <w:color w:val="000000"/>
          <w:lang w:eastAsia="bg-BG"/>
        </w:rPr>
        <w:t xml:space="preserve">повлияват активацията на тромбоцитите и увеличават риска от кървене, едновременното приложение на </w:t>
      </w:r>
      <w:r w:rsidRPr="006B7E28">
        <w:rPr>
          <w:rFonts w:eastAsia="Times New Roman" w:cs="Arial"/>
          <w:color w:val="000000"/>
          <w:lang w:val="en-US"/>
        </w:rPr>
        <w:t>SSRIs</w:t>
      </w:r>
      <w:r w:rsidRPr="006B7E28">
        <w:rPr>
          <w:rFonts w:eastAsia="Times New Roman" w:cs="Arial"/>
          <w:color w:val="000000"/>
          <w:lang w:val="ru-RU"/>
        </w:rPr>
        <w:t xml:space="preserve"> </w:t>
      </w:r>
      <w:r w:rsidRPr="006B7E28">
        <w:rPr>
          <w:rFonts w:eastAsia="Times New Roman" w:cs="Arial"/>
          <w:color w:val="000000"/>
          <w:lang w:eastAsia="bg-BG"/>
        </w:rPr>
        <w:t>с клопидогрел трябва да става с повишено внимание.</w:t>
      </w:r>
    </w:p>
    <w:p w14:paraId="08F32D85" w14:textId="77777777" w:rsidR="006B7E28" w:rsidRPr="006B7E28" w:rsidRDefault="006B7E28" w:rsidP="006B7E28">
      <w:pPr>
        <w:spacing w:line="240" w:lineRule="auto"/>
        <w:rPr>
          <w:rFonts w:eastAsia="Times New Roman" w:cs="Arial"/>
          <w:i/>
          <w:iCs/>
          <w:color w:val="000000"/>
          <w:lang w:eastAsia="bg-BG"/>
        </w:rPr>
      </w:pPr>
    </w:p>
    <w:p w14:paraId="232FD45A" w14:textId="56FB7CE4"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Друго съпътстващо лечение:</w:t>
      </w:r>
    </w:p>
    <w:p w14:paraId="6E75220A" w14:textId="77777777" w:rsidR="006B7E28" w:rsidRPr="006B7E28" w:rsidRDefault="006B7E28" w:rsidP="006B7E28">
      <w:pPr>
        <w:spacing w:line="240" w:lineRule="auto"/>
        <w:rPr>
          <w:rFonts w:eastAsia="Times New Roman" w:cs="Arial"/>
          <w:color w:val="000000"/>
          <w:u w:val="single"/>
          <w:lang w:eastAsia="bg-BG"/>
        </w:rPr>
      </w:pPr>
    </w:p>
    <w:p w14:paraId="7CF24267" w14:textId="7425F000" w:rsidR="006B7E28" w:rsidRPr="006B7E28" w:rsidRDefault="006B7E28" w:rsidP="006B7E28">
      <w:pPr>
        <w:spacing w:line="240" w:lineRule="auto"/>
        <w:rPr>
          <w:rFonts w:eastAsia="Times New Roman" w:cs="Arial"/>
        </w:rPr>
      </w:pPr>
      <w:r w:rsidRPr="006B7E28">
        <w:rPr>
          <w:rFonts w:eastAsia="Times New Roman" w:cs="Arial"/>
          <w:color w:val="000000"/>
          <w:u w:val="single"/>
          <w:lang w:eastAsia="bg-BG"/>
        </w:rPr>
        <w:t xml:space="preserve">Индуктори на </w:t>
      </w:r>
      <w:r w:rsidRPr="006B7E28">
        <w:rPr>
          <w:rFonts w:eastAsia="Times New Roman" w:cs="Arial"/>
          <w:color w:val="000000"/>
          <w:u w:val="single"/>
          <w:lang w:val="en-US"/>
        </w:rPr>
        <w:t>CYP</w:t>
      </w:r>
      <w:r w:rsidRPr="006B7E28">
        <w:rPr>
          <w:rFonts w:eastAsia="Times New Roman" w:cs="Arial"/>
          <w:color w:val="000000"/>
          <w:u w:val="single"/>
          <w:lang w:val="ru-RU"/>
        </w:rPr>
        <w:t>2</w:t>
      </w:r>
      <w:r w:rsidRPr="006B7E28">
        <w:rPr>
          <w:rFonts w:eastAsia="Times New Roman" w:cs="Arial"/>
          <w:color w:val="000000"/>
          <w:u w:val="single"/>
          <w:lang w:val="en-US"/>
        </w:rPr>
        <w:t>C</w:t>
      </w:r>
      <w:r w:rsidRPr="006B7E28">
        <w:rPr>
          <w:rFonts w:eastAsia="Times New Roman" w:cs="Arial"/>
          <w:color w:val="000000"/>
          <w:u w:val="single"/>
          <w:lang w:val="ru-RU"/>
        </w:rPr>
        <w:t>19</w:t>
      </w:r>
    </w:p>
    <w:p w14:paraId="74EA7515"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Тъй като клопидогрел се метаболизира до своя активен метаболит отчасти чрез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очаква се употребата на лекарствени продукти, които индуцират активността на този ензим, да доведе до повишени лекарствени нива на активния метаболит на клопидогрел.</w:t>
      </w:r>
    </w:p>
    <w:p w14:paraId="25435C2F" w14:textId="77777777" w:rsidR="006B7E28" w:rsidRPr="006B7E28" w:rsidRDefault="006B7E28" w:rsidP="006B7E28">
      <w:pPr>
        <w:spacing w:line="240" w:lineRule="auto"/>
        <w:rPr>
          <w:rFonts w:eastAsia="Times New Roman" w:cs="Arial"/>
          <w:color w:val="000000"/>
          <w:lang w:eastAsia="bg-BG"/>
        </w:rPr>
      </w:pPr>
    </w:p>
    <w:p w14:paraId="619A96A5" w14:textId="1EA7C528"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Рифампицин силно индуцира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 xml:space="preserve">което води както до повишено ниво на активен метаболит на клопидогрел, така и до инхибиране на тромбоцитите, което по-специално може да потенцира риска от кървене. Като предпазна мярка едновременната употреба на силни индуктори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трябва да бъде избягвана (вж. т. 4.4).</w:t>
      </w:r>
    </w:p>
    <w:p w14:paraId="05059EB6" w14:textId="77777777" w:rsidR="006B7E28" w:rsidRPr="006B7E28" w:rsidRDefault="006B7E28" w:rsidP="006B7E28">
      <w:pPr>
        <w:spacing w:line="240" w:lineRule="auto"/>
        <w:rPr>
          <w:rFonts w:eastAsia="Times New Roman" w:cs="Arial"/>
          <w:color w:val="000000"/>
          <w:u w:val="single"/>
          <w:lang w:eastAsia="bg-BG"/>
        </w:rPr>
      </w:pPr>
    </w:p>
    <w:p w14:paraId="02922710" w14:textId="243449F2" w:rsidR="006B7E28" w:rsidRPr="006B7E28" w:rsidRDefault="006B7E28" w:rsidP="006B7E28">
      <w:pPr>
        <w:spacing w:line="240" w:lineRule="auto"/>
        <w:rPr>
          <w:rFonts w:eastAsia="Times New Roman" w:cs="Arial"/>
        </w:rPr>
      </w:pPr>
      <w:r w:rsidRPr="006B7E28">
        <w:rPr>
          <w:rFonts w:eastAsia="Times New Roman" w:cs="Arial"/>
          <w:color w:val="000000"/>
          <w:u w:val="single"/>
          <w:lang w:eastAsia="bg-BG"/>
        </w:rPr>
        <w:t xml:space="preserve">Инхибитори на </w:t>
      </w:r>
      <w:r w:rsidRPr="006B7E28">
        <w:rPr>
          <w:rFonts w:eastAsia="Times New Roman" w:cs="Arial"/>
          <w:color w:val="000000"/>
          <w:u w:val="single"/>
          <w:lang w:val="en-US"/>
        </w:rPr>
        <w:t>CYP</w:t>
      </w:r>
      <w:r w:rsidRPr="006B7E28">
        <w:rPr>
          <w:rFonts w:eastAsia="Times New Roman" w:cs="Arial"/>
          <w:color w:val="000000"/>
          <w:u w:val="single"/>
          <w:lang w:val="ru-RU"/>
        </w:rPr>
        <w:t>2</w:t>
      </w:r>
      <w:r w:rsidRPr="006B7E28">
        <w:rPr>
          <w:rFonts w:eastAsia="Times New Roman" w:cs="Arial"/>
          <w:color w:val="000000"/>
          <w:u w:val="single"/>
          <w:lang w:val="en-US"/>
        </w:rPr>
        <w:t>C</w:t>
      </w:r>
      <w:r w:rsidRPr="006B7E28">
        <w:rPr>
          <w:rFonts w:eastAsia="Times New Roman" w:cs="Arial"/>
          <w:color w:val="000000"/>
          <w:u w:val="single"/>
          <w:lang w:val="ru-RU"/>
        </w:rPr>
        <w:t>19</w:t>
      </w:r>
    </w:p>
    <w:p w14:paraId="3BF1529A"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Тъй като клопидогрел се метаболизира частично от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 xml:space="preserve">до активния си метаболит, очаква се употребата на лекарствени продукти,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инхибитори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(вж. точки 4.4 и 5.2).</w:t>
      </w:r>
    </w:p>
    <w:p w14:paraId="608E7D50" w14:textId="77777777" w:rsidR="006B7E28" w:rsidRPr="006B7E28" w:rsidRDefault="006B7E28" w:rsidP="006B7E28">
      <w:pPr>
        <w:spacing w:line="240" w:lineRule="auto"/>
        <w:rPr>
          <w:rFonts w:eastAsia="Times New Roman" w:cs="Arial"/>
          <w:color w:val="000000"/>
          <w:lang w:eastAsia="bg-BG"/>
        </w:rPr>
      </w:pPr>
    </w:p>
    <w:p w14:paraId="33FAA3DB" w14:textId="43A65EC5"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Лекарствени продукти, които силни или умерени инхибитори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включват напр. омепразол и езомепразол, флувоксамин, флуоксетин, моклобемид, вориконазол, флуконазол, тиклопидин, карбамазепин, и ефавиренц.</w:t>
      </w:r>
    </w:p>
    <w:p w14:paraId="691C6756" w14:textId="77777777" w:rsidR="006B7E28" w:rsidRPr="006B7E28" w:rsidRDefault="006B7E28" w:rsidP="006B7E28">
      <w:pPr>
        <w:spacing w:line="240" w:lineRule="auto"/>
        <w:rPr>
          <w:rFonts w:eastAsia="Times New Roman" w:cs="Arial"/>
          <w:i/>
          <w:iCs/>
          <w:color w:val="000000"/>
          <w:lang w:eastAsia="bg-BG"/>
        </w:rPr>
      </w:pPr>
    </w:p>
    <w:p w14:paraId="316CE519" w14:textId="556A466B"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 xml:space="preserve">Инхибитори на протонната помпа </w:t>
      </w:r>
      <w:r w:rsidRPr="006B7E28">
        <w:rPr>
          <w:rFonts w:eastAsia="Times New Roman" w:cs="Arial"/>
          <w:i/>
          <w:iCs/>
          <w:color w:val="000000"/>
          <w:lang w:val="ru-RU"/>
        </w:rPr>
        <w:t>(</w:t>
      </w:r>
      <w:r w:rsidRPr="006B7E28">
        <w:rPr>
          <w:rFonts w:eastAsia="Times New Roman" w:cs="Arial"/>
          <w:i/>
          <w:iCs/>
          <w:color w:val="000000"/>
          <w:lang w:val="en-US"/>
        </w:rPr>
        <w:t>PPI</w:t>
      </w:r>
      <w:r w:rsidRPr="006B7E28">
        <w:rPr>
          <w:rFonts w:eastAsia="Times New Roman" w:cs="Arial"/>
          <w:i/>
          <w:iCs/>
          <w:color w:val="000000"/>
          <w:lang w:val="ru-RU"/>
        </w:rPr>
        <w:t>):</w:t>
      </w:r>
    </w:p>
    <w:p w14:paraId="399DB012"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Омепразол 80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веднъж дневно, приложен или по същото време както клопидогрел, или с 12 часа между приложението на двете лекарства, намалява експозицията на активния метаболит с 45% (при натоварващата доза) и 40% (поддържащата доза). Намалението е свърз</w:t>
      </w:r>
      <w:r w:rsidRPr="006B7E28">
        <w:rPr>
          <w:rFonts w:eastAsia="Times New Roman" w:cs="Arial"/>
          <w:color w:val="000000"/>
          <w:u w:val="single"/>
          <w:lang w:eastAsia="bg-BG"/>
        </w:rPr>
        <w:t>ано с</w:t>
      </w:r>
      <w:r w:rsidRPr="006B7E28">
        <w:rPr>
          <w:rFonts w:eastAsia="Times New Roman" w:cs="Arial"/>
          <w:color w:val="000000"/>
          <w:u w:val="single"/>
          <w:lang w:val="ru-RU"/>
        </w:rPr>
        <w:t xml:space="preserve"> </w:t>
      </w:r>
      <w:r w:rsidRPr="006B7E28">
        <w:rPr>
          <w:rFonts w:eastAsia="Times New Roman" w:cs="Arial"/>
          <w:color w:val="000000"/>
          <w:u w:val="single"/>
          <w:lang w:eastAsia="bg-BG"/>
        </w:rPr>
        <w:t>3</w:t>
      </w:r>
      <w:r w:rsidRPr="006B7E28">
        <w:rPr>
          <w:rFonts w:eastAsia="Times New Roman" w:cs="Arial"/>
          <w:color w:val="000000"/>
          <w:lang w:eastAsia="bg-BG"/>
        </w:rPr>
        <w:t>9% (натоварващата доза) и 21% (поддържащата доза) намаление на инхибирането</w:t>
      </w:r>
      <w:r w:rsidRPr="006B7E28">
        <w:rPr>
          <w:rFonts w:eastAsia="Times New Roman" w:cs="Arial"/>
          <w:color w:val="000000"/>
          <w:lang w:val="ru-RU"/>
        </w:rPr>
        <w:t xml:space="preserve"> </w:t>
      </w:r>
      <w:r w:rsidRPr="006B7E28">
        <w:rPr>
          <w:rFonts w:eastAsia="Times New Roman" w:cs="Arial"/>
          <w:color w:val="000000"/>
          <w:lang w:eastAsia="bg-BG"/>
        </w:rPr>
        <w:t>на тромбоцитната агрегация. Очаква се подобно взаимодействие на езомепразол с клопидогрел.</w:t>
      </w:r>
    </w:p>
    <w:p w14:paraId="71788105" w14:textId="77777777" w:rsidR="006B7E28" w:rsidRPr="006B7E28" w:rsidRDefault="006B7E28" w:rsidP="006B7E28">
      <w:pPr>
        <w:spacing w:line="240" w:lineRule="auto"/>
        <w:rPr>
          <w:rFonts w:eastAsia="Times New Roman" w:cs="Arial"/>
        </w:rPr>
      </w:pPr>
    </w:p>
    <w:p w14:paraId="30D5A3B1" w14:textId="01B540BD" w:rsidR="006B7E28" w:rsidRPr="006B7E28" w:rsidRDefault="006B7E28" w:rsidP="006B7E28">
      <w:pPr>
        <w:rPr>
          <w:rFonts w:eastAsia="Times New Roman" w:cs="Arial"/>
          <w:color w:val="000000"/>
          <w:lang w:eastAsia="bg-BG"/>
        </w:rPr>
      </w:pPr>
      <w:r w:rsidRPr="006B7E28">
        <w:rPr>
          <w:rFonts w:eastAsia="Times New Roman" w:cs="Arial"/>
          <w:color w:val="000000"/>
          <w:lang w:eastAsia="bg-BG"/>
        </w:rPr>
        <w:t>Съобщавани са противоречиви данни от клиничните заключения за това фармакокинетично</w:t>
      </w:r>
    </w:p>
    <w:p w14:paraId="50BCC866"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lastRenderedPageBreak/>
        <w:t>(ФК)/фармакодинамично (ФД) взаимодействие от гледна точка на значими сърдечно-съдови събития и от обзервационни и клинични проучвания. Като предпазна мярка не трябва да се използват едновременно омепразол или езомепразол (вж. т. 4.4).</w:t>
      </w:r>
    </w:p>
    <w:p w14:paraId="4E0BD70D" w14:textId="77777777" w:rsidR="006B7E28" w:rsidRPr="006B7E28" w:rsidRDefault="006B7E28" w:rsidP="006B7E28">
      <w:pPr>
        <w:spacing w:line="240" w:lineRule="auto"/>
        <w:rPr>
          <w:rFonts w:eastAsia="Times New Roman" w:cs="Arial"/>
          <w:color w:val="000000"/>
          <w:lang w:eastAsia="bg-BG"/>
        </w:rPr>
      </w:pPr>
    </w:p>
    <w:p w14:paraId="7560D767" w14:textId="084B5BC2" w:rsidR="006B7E28" w:rsidRPr="006B7E28" w:rsidRDefault="006B7E28" w:rsidP="006B7E28">
      <w:pPr>
        <w:spacing w:line="240" w:lineRule="auto"/>
        <w:rPr>
          <w:rFonts w:eastAsia="Times New Roman" w:cs="Arial"/>
        </w:rPr>
      </w:pPr>
      <w:r w:rsidRPr="006B7E28">
        <w:rPr>
          <w:rFonts w:eastAsia="Times New Roman" w:cs="Arial"/>
          <w:color w:val="000000"/>
          <w:lang w:eastAsia="bg-BG"/>
        </w:rPr>
        <w:t>По-слабо изразени намаления на експозицията на метаболита са наблюдавани с пантопразол или ланзопразол.</w:t>
      </w:r>
    </w:p>
    <w:p w14:paraId="1F348F45"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Плазмените нива на активния метаболит са намалени с 20% (натоварваща доза) и с 14% (поддържаща доза) при едновременното приложение с пантопразол 80 </w:t>
      </w:r>
      <w:r w:rsidRPr="006B7E28">
        <w:rPr>
          <w:rFonts w:eastAsia="Times New Roman" w:cs="Arial"/>
          <w:color w:val="000000"/>
          <w:lang w:val="en-US"/>
        </w:rPr>
        <w:t>mg</w:t>
      </w:r>
      <w:r w:rsidRPr="006B7E28">
        <w:rPr>
          <w:rFonts w:eastAsia="Times New Roman" w:cs="Arial"/>
          <w:color w:val="000000"/>
          <w:lang w:val="ru-RU"/>
        </w:rPr>
        <w:t xml:space="preserve"> </w:t>
      </w:r>
      <w:r w:rsidRPr="006B7E28">
        <w:rPr>
          <w:rFonts w:eastAsia="Times New Roman" w:cs="Arial"/>
          <w:color w:val="000000"/>
          <w:lang w:eastAsia="bg-BG"/>
        </w:rPr>
        <w:t>веднъж дневно. Това е свързано с намаление на средното инхибиране на тромбоцитната агрегация със съответно 15% и 11%. Тези резултати показват, че клопидогрел може да се прилага с пантопразол.</w:t>
      </w:r>
    </w:p>
    <w:p w14:paraId="0F167965" w14:textId="77777777" w:rsidR="006B7E28" w:rsidRPr="006B7E28" w:rsidRDefault="006B7E28" w:rsidP="006B7E28">
      <w:pPr>
        <w:spacing w:line="240" w:lineRule="auto"/>
        <w:rPr>
          <w:rFonts w:eastAsia="Times New Roman" w:cs="Arial"/>
          <w:color w:val="000000"/>
          <w:lang w:eastAsia="bg-BG"/>
        </w:rPr>
      </w:pPr>
    </w:p>
    <w:p w14:paraId="3E68FF7E" w14:textId="3745E2B1"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Няма доказателства, че други лекарствени продукти, намаляващи стомашната киселинност, като Н2 блокерите (с изключение на циметидин, който е инхибитор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или антиацидите, повлияват антитромбоцитната активност на клопидогрел.</w:t>
      </w:r>
    </w:p>
    <w:p w14:paraId="4CC2E43B" w14:textId="77777777" w:rsidR="006B7E28" w:rsidRPr="006B7E28" w:rsidRDefault="006B7E28" w:rsidP="006B7E28">
      <w:pPr>
        <w:spacing w:line="240" w:lineRule="auto"/>
        <w:rPr>
          <w:rFonts w:eastAsia="Times New Roman" w:cs="Arial"/>
          <w:i/>
          <w:iCs/>
          <w:color w:val="000000"/>
          <w:lang w:eastAsia="bg-BG"/>
        </w:rPr>
      </w:pPr>
    </w:p>
    <w:p w14:paraId="5D1E4BCE" w14:textId="6C3BCA0A"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Други лекарствени продукти:</w:t>
      </w:r>
    </w:p>
    <w:p w14:paraId="6E4EFF2A"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Няколко други клинични изпитвания са проведени с клопидогрел и други едновременно прилагани лекарствени продукти за проследяване на потенциала за фармакодинамични и фармакокинетични взаимодействия. Не са наблюдавани клинично значими фармакодинамични взаимодействия, когато клопидогрел е приложен съвместно с атенолол, нифедипин или с атенолол и нифедипин заедно. В допълнение, фармакодинамичната активност на клопидогрел не е значително повлияна от съвместното прилагане на фенобарбитал, циметидин или естроген.</w:t>
      </w:r>
    </w:p>
    <w:p w14:paraId="710CF844" w14:textId="77777777" w:rsidR="006B7E28" w:rsidRPr="006B7E28" w:rsidRDefault="006B7E28" w:rsidP="006B7E28">
      <w:pPr>
        <w:spacing w:line="240" w:lineRule="auto"/>
        <w:rPr>
          <w:rFonts w:eastAsia="Times New Roman" w:cs="Arial"/>
          <w:color w:val="000000"/>
          <w:lang w:eastAsia="bg-BG"/>
        </w:rPr>
      </w:pPr>
    </w:p>
    <w:p w14:paraId="679FEC96" w14:textId="6BBA9C59" w:rsidR="006B7E28" w:rsidRPr="006B7E28" w:rsidRDefault="006B7E28" w:rsidP="006B7E28">
      <w:pPr>
        <w:spacing w:line="240" w:lineRule="auto"/>
        <w:rPr>
          <w:rFonts w:eastAsia="Times New Roman" w:cs="Arial"/>
        </w:rPr>
      </w:pPr>
      <w:r w:rsidRPr="006B7E28">
        <w:rPr>
          <w:rFonts w:eastAsia="Times New Roman" w:cs="Arial"/>
          <w:color w:val="000000"/>
          <w:lang w:eastAsia="bg-BG"/>
        </w:rPr>
        <w:t>Фармакокинетиката на дигоксин или теофилин не е изменена от едновременното прилагане на клопидогрел. Антацидите не изменят степента на абсорбиране на клопидогрел.</w:t>
      </w:r>
    </w:p>
    <w:p w14:paraId="4178C43C" w14:textId="77777777" w:rsidR="006B7E28" w:rsidRPr="006B7E28" w:rsidRDefault="006B7E28" w:rsidP="006B7E28">
      <w:pPr>
        <w:spacing w:line="240" w:lineRule="auto"/>
        <w:rPr>
          <w:rFonts w:eastAsia="Times New Roman" w:cs="Arial"/>
          <w:color w:val="000000"/>
          <w:lang w:eastAsia="bg-BG"/>
        </w:rPr>
      </w:pPr>
    </w:p>
    <w:p w14:paraId="7D4419EB" w14:textId="199D4550"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Данните от изпитването </w:t>
      </w:r>
      <w:r w:rsidRPr="006B7E28">
        <w:rPr>
          <w:rFonts w:eastAsia="Times New Roman" w:cs="Arial"/>
          <w:color w:val="000000"/>
          <w:lang w:val="en-US"/>
        </w:rPr>
        <w:t>CAPRIE</w:t>
      </w:r>
      <w:r w:rsidRPr="006B7E28">
        <w:rPr>
          <w:rFonts w:eastAsia="Times New Roman" w:cs="Arial"/>
          <w:color w:val="000000"/>
          <w:lang w:val="ru-RU"/>
        </w:rPr>
        <w:t xml:space="preserve"> </w:t>
      </w:r>
      <w:r w:rsidRPr="006B7E28">
        <w:rPr>
          <w:rFonts w:eastAsia="Times New Roman" w:cs="Arial"/>
          <w:color w:val="000000"/>
          <w:lang w:eastAsia="bg-BG"/>
        </w:rPr>
        <w:t xml:space="preserve">показват, че фенитоин и толбутамид, които се метаболизират от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19, </w:t>
      </w:r>
      <w:r w:rsidRPr="006B7E28">
        <w:rPr>
          <w:rFonts w:eastAsia="Times New Roman" w:cs="Arial"/>
          <w:color w:val="000000"/>
          <w:lang w:eastAsia="bg-BG"/>
        </w:rPr>
        <w:t>могат безопасно да бъдат прилагани едновременно с клопидогрел.</w:t>
      </w:r>
    </w:p>
    <w:p w14:paraId="7E644849" w14:textId="77777777" w:rsidR="006B7E28" w:rsidRPr="006B7E28" w:rsidRDefault="006B7E28" w:rsidP="006B7E28">
      <w:pPr>
        <w:spacing w:line="240" w:lineRule="auto"/>
        <w:rPr>
          <w:rFonts w:eastAsia="Times New Roman" w:cs="Arial"/>
          <w:i/>
          <w:iCs/>
          <w:color w:val="000000"/>
          <w:lang w:eastAsia="bg-BG"/>
        </w:rPr>
      </w:pPr>
    </w:p>
    <w:p w14:paraId="38A34DFF" w14:textId="510D1826"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 xml:space="preserve">Лекарствени продукти, субстрати на </w:t>
      </w:r>
      <w:r w:rsidRPr="006B7E28">
        <w:rPr>
          <w:rFonts w:eastAsia="Times New Roman" w:cs="Arial"/>
          <w:i/>
          <w:iCs/>
          <w:color w:val="000000"/>
          <w:lang w:val="en-US"/>
        </w:rPr>
        <w:t>CYP</w:t>
      </w:r>
      <w:r w:rsidRPr="006B7E28">
        <w:rPr>
          <w:rFonts w:eastAsia="Times New Roman" w:cs="Arial"/>
          <w:i/>
          <w:iCs/>
          <w:color w:val="000000"/>
          <w:lang w:val="ru-RU"/>
        </w:rPr>
        <w:t>2</w:t>
      </w:r>
      <w:r w:rsidRPr="006B7E28">
        <w:rPr>
          <w:rFonts w:eastAsia="Times New Roman" w:cs="Arial"/>
          <w:i/>
          <w:iCs/>
          <w:color w:val="000000"/>
          <w:lang w:val="en-US"/>
        </w:rPr>
        <w:t>C</w:t>
      </w:r>
      <w:r w:rsidRPr="006B7E28">
        <w:rPr>
          <w:rFonts w:eastAsia="Times New Roman" w:cs="Arial"/>
          <w:i/>
          <w:iCs/>
          <w:color w:val="000000"/>
          <w:lang w:val="ru-RU"/>
        </w:rPr>
        <w:t>8:</w:t>
      </w:r>
    </w:p>
    <w:p w14:paraId="7EA71FA4" w14:textId="77777777" w:rsidR="006B7E28" w:rsidRPr="006B7E28" w:rsidRDefault="006B7E28" w:rsidP="006B7E28">
      <w:pPr>
        <w:spacing w:line="240" w:lineRule="auto"/>
        <w:rPr>
          <w:rFonts w:eastAsia="Times New Roman" w:cs="Arial"/>
          <w:color w:val="000000"/>
          <w:lang w:eastAsia="bg-BG"/>
        </w:rPr>
      </w:pPr>
      <w:r w:rsidRPr="006B7E28">
        <w:rPr>
          <w:rFonts w:eastAsia="Times New Roman" w:cs="Arial"/>
          <w:color w:val="000000"/>
          <w:lang w:eastAsia="bg-BG"/>
        </w:rPr>
        <w:t xml:space="preserve">Показано е, че клопидогрел повишава експозицията на репаглинид при здрави доброволци. </w:t>
      </w:r>
      <w:r w:rsidRPr="006B7E28">
        <w:rPr>
          <w:rFonts w:eastAsia="Times New Roman" w:cs="Arial"/>
          <w:i/>
          <w:iCs/>
          <w:color w:val="000000"/>
          <w:lang w:val="en-US"/>
        </w:rPr>
        <w:t>In</w:t>
      </w:r>
      <w:r w:rsidRPr="006B7E28">
        <w:rPr>
          <w:rFonts w:eastAsia="Times New Roman" w:cs="Arial"/>
          <w:i/>
          <w:iCs/>
          <w:color w:val="000000"/>
          <w:lang w:val="ru-RU"/>
        </w:rPr>
        <w:t xml:space="preserve"> </w:t>
      </w:r>
      <w:r w:rsidRPr="006B7E28">
        <w:rPr>
          <w:rFonts w:eastAsia="Times New Roman" w:cs="Arial"/>
          <w:i/>
          <w:iCs/>
          <w:color w:val="000000"/>
          <w:lang w:val="en-US"/>
        </w:rPr>
        <w:t>vitro</w:t>
      </w:r>
      <w:r w:rsidRPr="006B7E28">
        <w:rPr>
          <w:rFonts w:eastAsia="Times New Roman" w:cs="Arial"/>
          <w:color w:val="000000"/>
          <w:lang w:val="ru-RU"/>
        </w:rPr>
        <w:t xml:space="preserve"> </w:t>
      </w:r>
      <w:r w:rsidRPr="006B7E28">
        <w:rPr>
          <w:rFonts w:eastAsia="Times New Roman" w:cs="Arial"/>
          <w:color w:val="000000"/>
          <w:lang w:eastAsia="bg-BG"/>
        </w:rPr>
        <w:t xml:space="preserve">проучвания показват, че повишаването на експозицията на репаглинид се дължи на инхибиране на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8 </w:t>
      </w:r>
      <w:r w:rsidRPr="006B7E28">
        <w:rPr>
          <w:rFonts w:eastAsia="Times New Roman" w:cs="Arial"/>
          <w:color w:val="000000"/>
          <w:lang w:eastAsia="bg-BG"/>
        </w:rPr>
        <w:t xml:space="preserve">от глюкуроновия метаболит на клопидогрел. Поради риска от повишаване на плазмените концентрации, едновременното приложение на клопидогрел и лекарства, които се елиминират предимно чрез </w:t>
      </w:r>
      <w:r w:rsidRPr="006B7E28">
        <w:rPr>
          <w:rFonts w:eastAsia="Times New Roman" w:cs="Arial"/>
          <w:color w:val="000000"/>
          <w:lang w:val="en-US"/>
        </w:rPr>
        <w:t>CYP</w:t>
      </w:r>
      <w:r w:rsidRPr="006B7E28">
        <w:rPr>
          <w:rFonts w:eastAsia="Times New Roman" w:cs="Arial"/>
          <w:color w:val="000000"/>
          <w:lang w:val="ru-RU"/>
        </w:rPr>
        <w:t>2</w:t>
      </w:r>
      <w:r w:rsidRPr="006B7E28">
        <w:rPr>
          <w:rFonts w:eastAsia="Times New Roman" w:cs="Arial"/>
          <w:color w:val="000000"/>
          <w:lang w:val="en-US"/>
        </w:rPr>
        <w:t>C</w:t>
      </w:r>
      <w:r w:rsidRPr="006B7E28">
        <w:rPr>
          <w:rFonts w:eastAsia="Times New Roman" w:cs="Arial"/>
          <w:color w:val="000000"/>
          <w:lang w:val="ru-RU"/>
        </w:rPr>
        <w:t xml:space="preserve">8 </w:t>
      </w:r>
      <w:r w:rsidRPr="006B7E28">
        <w:rPr>
          <w:rFonts w:eastAsia="Times New Roman" w:cs="Arial"/>
          <w:color w:val="000000"/>
          <w:lang w:eastAsia="bg-BG"/>
        </w:rPr>
        <w:t xml:space="preserve">метаболизъм (налр. репаглинид, паклитаксел), трябва да се предприема с </w:t>
      </w:r>
    </w:p>
    <w:p w14:paraId="6BF412C4" w14:textId="68361A98" w:rsidR="006B7E28" w:rsidRPr="006B7E28" w:rsidRDefault="006B7E28" w:rsidP="006B7E28">
      <w:pPr>
        <w:spacing w:line="240" w:lineRule="auto"/>
        <w:rPr>
          <w:rFonts w:eastAsia="Times New Roman" w:cs="Arial"/>
        </w:rPr>
      </w:pPr>
      <w:r w:rsidRPr="006B7E28">
        <w:rPr>
          <w:rFonts w:eastAsia="Times New Roman" w:cs="Arial"/>
          <w:color w:val="000000"/>
          <w:lang w:eastAsia="bg-BG"/>
        </w:rPr>
        <w:t>повишено внимание (вж. т. 4.4)</w:t>
      </w:r>
    </w:p>
    <w:p w14:paraId="017B1470" w14:textId="77777777" w:rsidR="006B7E28" w:rsidRPr="006B7E28" w:rsidRDefault="006B7E28" w:rsidP="006B7E28">
      <w:pPr>
        <w:spacing w:line="240" w:lineRule="auto"/>
        <w:rPr>
          <w:rFonts w:eastAsia="Times New Roman" w:cs="Arial"/>
          <w:color w:val="000000"/>
          <w:lang w:eastAsia="bg-BG"/>
        </w:rPr>
      </w:pPr>
    </w:p>
    <w:p w14:paraId="0D80CEF6" w14:textId="6C75E264"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Освен описаната по-горе информация за конкретни лекарствени взаимодействия, не са извършвани изследвания на взаимодействието на клопидогрел и някои лекарствени продукти, често прилагани при пациенти с атеротромботично заболяване. Въпреки това пациентите, участвали в клиничните изпитвания с клопидогрел са получили различни съпътстващи лекарствени продукти, включително диуретици, бета блокери, АСЕ инхибитори, калциеви антагонисти, понижаващи холестерола средства, коронарни вазодилатори, антидиабетни средства (включително инсулин), антиепилептични средства и гликопротеин </w:t>
      </w:r>
      <w:proofErr w:type="spellStart"/>
      <w:r w:rsidRPr="006B7E28">
        <w:rPr>
          <w:rFonts w:eastAsia="Times New Roman" w:cs="Arial"/>
          <w:color w:val="000000"/>
          <w:lang w:val="en-US"/>
        </w:rPr>
        <w:t>IIb</w:t>
      </w:r>
      <w:proofErr w:type="spellEnd"/>
      <w:r w:rsidRPr="006B7E28">
        <w:rPr>
          <w:rFonts w:eastAsia="Times New Roman" w:cs="Arial"/>
          <w:color w:val="000000"/>
          <w:lang w:eastAsia="bg-BG"/>
        </w:rPr>
        <w:t>/</w:t>
      </w:r>
      <w:proofErr w:type="spellStart"/>
      <w:r w:rsidRPr="006B7E28">
        <w:rPr>
          <w:rFonts w:eastAsia="Times New Roman" w:cs="Arial"/>
          <w:color w:val="000000"/>
          <w:lang w:val="en-US"/>
        </w:rPr>
        <w:t>IIIa</w:t>
      </w:r>
      <w:proofErr w:type="spellEnd"/>
      <w:r w:rsidRPr="006B7E28">
        <w:rPr>
          <w:rFonts w:eastAsia="Times New Roman" w:cs="Arial"/>
          <w:color w:val="000000"/>
          <w:lang w:eastAsia="bg-BG"/>
        </w:rPr>
        <w:t xml:space="preserve"> антагонисти без доказателства за клинично значими неблагоприятни взаимодействия.</w:t>
      </w:r>
    </w:p>
    <w:p w14:paraId="46E2F097" w14:textId="77777777" w:rsidR="006B7E28" w:rsidRPr="006B7E28" w:rsidRDefault="006B7E28" w:rsidP="006B7E28">
      <w:pPr>
        <w:spacing w:line="240" w:lineRule="auto"/>
        <w:rPr>
          <w:rFonts w:eastAsia="Times New Roman" w:cs="Arial"/>
          <w:i/>
          <w:iCs/>
          <w:color w:val="000000"/>
          <w:lang w:eastAsia="bg-BG"/>
        </w:rPr>
      </w:pPr>
    </w:p>
    <w:p w14:paraId="21905A42" w14:textId="69CBB4C6" w:rsidR="006B7E28" w:rsidRPr="006B7E28" w:rsidRDefault="006B7E28" w:rsidP="006B7E28">
      <w:pPr>
        <w:spacing w:line="240" w:lineRule="auto"/>
        <w:rPr>
          <w:rFonts w:eastAsia="Times New Roman" w:cs="Arial"/>
        </w:rPr>
      </w:pPr>
      <w:r w:rsidRPr="006B7E28">
        <w:rPr>
          <w:rFonts w:eastAsia="Times New Roman" w:cs="Arial"/>
          <w:i/>
          <w:iCs/>
          <w:color w:val="000000"/>
          <w:lang w:eastAsia="bg-BG"/>
        </w:rPr>
        <w:t xml:space="preserve">Усилена антиретровирусна терапия </w:t>
      </w:r>
      <w:r w:rsidRPr="006B7E28">
        <w:rPr>
          <w:rFonts w:eastAsia="Times New Roman" w:cs="Arial"/>
          <w:i/>
          <w:iCs/>
          <w:color w:val="000000"/>
          <w:lang w:val="ru-RU"/>
        </w:rPr>
        <w:t>(</w:t>
      </w:r>
      <w:r w:rsidRPr="006B7E28">
        <w:rPr>
          <w:rFonts w:eastAsia="Times New Roman" w:cs="Arial"/>
          <w:i/>
          <w:iCs/>
          <w:color w:val="000000"/>
          <w:lang w:val="en-US"/>
        </w:rPr>
        <w:t>ART</w:t>
      </w:r>
      <w:r w:rsidRPr="006B7E28">
        <w:rPr>
          <w:rFonts w:eastAsia="Times New Roman" w:cs="Arial"/>
          <w:i/>
          <w:iCs/>
          <w:color w:val="000000"/>
          <w:lang w:val="ru-RU"/>
        </w:rPr>
        <w:t>):</w:t>
      </w:r>
    </w:p>
    <w:p w14:paraId="39E353DE"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ХИВ пациентите, лекувани с усилени антиретровирусни терапии </w:t>
      </w:r>
      <w:r w:rsidRPr="006B7E28">
        <w:rPr>
          <w:rFonts w:eastAsia="Times New Roman" w:cs="Arial"/>
          <w:color w:val="000000"/>
          <w:lang w:val="ru-RU"/>
        </w:rPr>
        <w:t>(</w:t>
      </w:r>
      <w:r w:rsidRPr="006B7E28">
        <w:rPr>
          <w:rFonts w:eastAsia="Times New Roman" w:cs="Arial"/>
          <w:color w:val="000000"/>
          <w:lang w:val="en-US"/>
        </w:rPr>
        <w:t>ART</w:t>
      </w:r>
      <w:r w:rsidRPr="006B7E28">
        <w:rPr>
          <w:rFonts w:eastAsia="Times New Roman" w:cs="Arial"/>
          <w:color w:val="000000"/>
          <w:lang w:val="ru-RU"/>
        </w:rPr>
        <w:t xml:space="preserve">), </w:t>
      </w:r>
      <w:r w:rsidRPr="006B7E28">
        <w:rPr>
          <w:rFonts w:eastAsia="Times New Roman" w:cs="Arial"/>
          <w:color w:val="000000"/>
          <w:lang w:eastAsia="bg-BG"/>
        </w:rPr>
        <w:t xml:space="preserve">са изложени на висок риск от съдови събития. При пациенти с </w:t>
      </w:r>
      <w:r w:rsidRPr="006B7E28">
        <w:rPr>
          <w:rFonts w:eastAsia="Times New Roman" w:cs="Arial"/>
          <w:color w:val="000000"/>
          <w:lang w:val="en-US"/>
        </w:rPr>
        <w:t>HIV</w:t>
      </w:r>
      <w:r w:rsidRPr="006B7E28">
        <w:rPr>
          <w:rFonts w:eastAsia="Times New Roman" w:cs="Arial"/>
          <w:color w:val="000000"/>
          <w:lang w:val="ru-RU"/>
        </w:rPr>
        <w:t xml:space="preserve"> </w:t>
      </w:r>
      <w:r w:rsidRPr="006B7E28">
        <w:rPr>
          <w:rFonts w:eastAsia="Times New Roman" w:cs="Arial"/>
          <w:color w:val="000000"/>
          <w:lang w:eastAsia="bg-BG"/>
        </w:rPr>
        <w:t xml:space="preserve">инфекция на лечение с подсилени с ритонавир или кобицистат антиретровирусни терапии </w:t>
      </w:r>
      <w:r w:rsidRPr="006B7E28">
        <w:rPr>
          <w:rFonts w:eastAsia="Times New Roman" w:cs="Arial"/>
          <w:color w:val="000000"/>
          <w:lang w:val="ru-RU"/>
        </w:rPr>
        <w:t>(</w:t>
      </w:r>
      <w:r w:rsidRPr="006B7E28">
        <w:rPr>
          <w:rFonts w:eastAsia="Times New Roman" w:cs="Arial"/>
          <w:color w:val="000000"/>
          <w:lang w:val="en-US"/>
        </w:rPr>
        <w:t>ART</w:t>
      </w:r>
      <w:r w:rsidRPr="006B7E28">
        <w:rPr>
          <w:rFonts w:eastAsia="Times New Roman" w:cs="Arial"/>
          <w:color w:val="000000"/>
          <w:lang w:val="ru-RU"/>
        </w:rPr>
        <w:t xml:space="preserve">) </w:t>
      </w:r>
      <w:r w:rsidRPr="006B7E28">
        <w:rPr>
          <w:rFonts w:eastAsia="Times New Roman" w:cs="Arial"/>
          <w:color w:val="000000"/>
          <w:lang w:eastAsia="bg-BG"/>
        </w:rPr>
        <w:t>са наблюдавани значително по-ниска ек</w:t>
      </w:r>
      <w:r w:rsidRPr="006B7E28">
        <w:rPr>
          <w:rFonts w:eastAsia="Times New Roman" w:cs="Arial"/>
          <w:color w:val="000000"/>
          <w:u w:val="single"/>
          <w:lang w:eastAsia="bg-BG"/>
        </w:rPr>
        <w:t>спози</w:t>
      </w:r>
      <w:r w:rsidRPr="006B7E28">
        <w:rPr>
          <w:rFonts w:eastAsia="Times New Roman" w:cs="Arial"/>
          <w:color w:val="000000"/>
          <w:lang w:eastAsia="bg-BG"/>
        </w:rPr>
        <w:t xml:space="preserve">ция на активния метаболит на клиподогрел и намалена тромбоцитна инхибиция. Въпреки че не е изяснено клиничното значение на тези находки, има спонтанни съобщения за пациенти с </w:t>
      </w:r>
      <w:r w:rsidRPr="006B7E28">
        <w:rPr>
          <w:rFonts w:eastAsia="Times New Roman" w:cs="Arial"/>
          <w:color w:val="000000"/>
          <w:lang w:val="en-US"/>
        </w:rPr>
        <w:t>HIV</w:t>
      </w:r>
      <w:r w:rsidRPr="006B7E28">
        <w:rPr>
          <w:rFonts w:eastAsia="Times New Roman" w:cs="Arial"/>
          <w:color w:val="000000"/>
          <w:lang w:eastAsia="bg-BG"/>
        </w:rPr>
        <w:t xml:space="preserve"> инфекция на лечение с подсилена </w:t>
      </w:r>
      <w:r w:rsidRPr="006B7E28">
        <w:rPr>
          <w:rFonts w:eastAsia="Times New Roman" w:cs="Arial"/>
          <w:color w:val="000000"/>
          <w:lang w:val="en-US"/>
        </w:rPr>
        <w:t>ART</w:t>
      </w:r>
      <w:r w:rsidRPr="006B7E28">
        <w:rPr>
          <w:rFonts w:eastAsia="Times New Roman" w:cs="Arial"/>
          <w:color w:val="000000"/>
          <w:lang w:val="ru-RU"/>
        </w:rPr>
        <w:t xml:space="preserve">, </w:t>
      </w:r>
      <w:r w:rsidRPr="006B7E28">
        <w:rPr>
          <w:rFonts w:eastAsia="Times New Roman" w:cs="Arial"/>
          <w:color w:val="000000"/>
          <w:lang w:eastAsia="bg-BG"/>
        </w:rPr>
        <w:t>при които са възникнали събития с</w:t>
      </w:r>
      <w:r w:rsidRPr="006B7E28">
        <w:rPr>
          <w:rFonts w:eastAsia="Times New Roman" w:cs="Arial"/>
          <w:color w:val="000000"/>
          <w:lang w:val="ru-RU"/>
        </w:rPr>
        <w:t xml:space="preserve"> </w:t>
      </w:r>
      <w:r w:rsidRPr="006B7E28">
        <w:rPr>
          <w:rFonts w:eastAsia="Times New Roman" w:cs="Arial"/>
          <w:color w:val="000000"/>
          <w:lang w:eastAsia="bg-BG"/>
        </w:rPr>
        <w:t>реоклузия след извършена деобструкция или които са имали тромботични събития по време на натоварваща</w:t>
      </w:r>
    </w:p>
    <w:p w14:paraId="7E05D230" w14:textId="77777777" w:rsidR="006B7E28" w:rsidRPr="006B7E28" w:rsidRDefault="006B7E28" w:rsidP="006B7E28">
      <w:pPr>
        <w:rPr>
          <w:rFonts w:eastAsia="Times New Roman" w:cs="Arial"/>
        </w:rPr>
      </w:pPr>
      <w:r w:rsidRPr="006B7E28">
        <w:rPr>
          <w:rFonts w:eastAsia="Times New Roman" w:cs="Arial"/>
          <w:color w:val="000000"/>
          <w:lang w:eastAsia="bg-BG"/>
        </w:rPr>
        <w:t xml:space="preserve">схема на лечение с клоподигрел. При съпътстващо лечение с ритонавир може да се понижи експозицията на клопидогрел и средната тромбоцитна инхибиция. Поради това не е препоръчително едновременно приложение на клопидогрел с подсилени </w:t>
      </w:r>
      <w:r w:rsidRPr="006B7E28">
        <w:rPr>
          <w:rFonts w:eastAsia="Times New Roman" w:cs="Arial"/>
          <w:color w:val="000000"/>
          <w:lang w:val="en-US"/>
        </w:rPr>
        <w:t>ART</w:t>
      </w:r>
      <w:r w:rsidRPr="006B7E28">
        <w:rPr>
          <w:rFonts w:eastAsia="Times New Roman" w:cs="Arial"/>
          <w:color w:val="000000"/>
          <w:lang w:val="ru-RU"/>
        </w:rPr>
        <w:t>.</w:t>
      </w:r>
    </w:p>
    <w:p w14:paraId="7BFD6A93" w14:textId="77777777" w:rsidR="006B7E28" w:rsidRPr="006B7E28" w:rsidRDefault="006B7E28" w:rsidP="006B7E28">
      <w:pPr>
        <w:spacing w:line="240" w:lineRule="auto"/>
        <w:rPr>
          <w:rFonts w:eastAsia="Times New Roman" w:cs="Arial"/>
          <w:color w:val="000000"/>
          <w:lang w:eastAsia="bg-BG"/>
        </w:rPr>
      </w:pPr>
    </w:p>
    <w:p w14:paraId="405D87EE" w14:textId="5F347F1D"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Както при другите перорални инхибитори на </w:t>
      </w:r>
      <w:r w:rsidRPr="006B7E28">
        <w:rPr>
          <w:rFonts w:eastAsia="Times New Roman" w:cs="Arial"/>
          <w:color w:val="000000"/>
          <w:lang w:val="en-US"/>
        </w:rPr>
        <w:t>P</w:t>
      </w:r>
      <w:r w:rsidRPr="006B7E28">
        <w:rPr>
          <w:rFonts w:eastAsia="Times New Roman" w:cs="Arial"/>
          <w:color w:val="000000"/>
          <w:lang w:val="ru-RU"/>
        </w:rPr>
        <w:t>2</w:t>
      </w:r>
      <w:r w:rsidRPr="006B7E28">
        <w:rPr>
          <w:rFonts w:eastAsia="Times New Roman" w:cs="Arial"/>
          <w:color w:val="000000"/>
          <w:lang w:val="en-US"/>
        </w:rPr>
        <w:t>Y</w:t>
      </w:r>
      <w:r w:rsidRPr="006B7E28">
        <w:rPr>
          <w:rFonts w:eastAsia="Times New Roman" w:cs="Arial"/>
          <w:color w:val="000000"/>
          <w:lang w:val="ru-RU"/>
        </w:rPr>
        <w:t xml:space="preserve">12, </w:t>
      </w:r>
      <w:r w:rsidRPr="006B7E28">
        <w:rPr>
          <w:rFonts w:eastAsia="Times New Roman" w:cs="Arial"/>
          <w:color w:val="000000"/>
          <w:lang w:eastAsia="bg-BG"/>
        </w:rPr>
        <w:t>едновременното приложение на опиоидни агонисти може да забави и намали абсорбцията на клопидогрел, вероятно поради забавено изпразване на стомаха. Клиничната значимост не е известна. Помислете за използването на парентерално антитромбоцитно средство при пациенти с остър коронарен синдром, изискващи съвместно приложение на морфин или други опиоидни агонисти.</w:t>
      </w:r>
    </w:p>
    <w:p w14:paraId="218134C1" w14:textId="0B349BF0" w:rsidR="006B7E28" w:rsidRPr="006B7E28" w:rsidRDefault="006B7E28" w:rsidP="006B7E28"/>
    <w:p w14:paraId="5D9F40EA" w14:textId="4F0E669F" w:rsidR="007122AD" w:rsidRDefault="002C50EE" w:rsidP="00936AD0">
      <w:pPr>
        <w:pStyle w:val="Heading2"/>
      </w:pPr>
      <w:r>
        <w:t>4.6. Фертилитет, бременност и кърмене</w:t>
      </w:r>
    </w:p>
    <w:p w14:paraId="7683CA5C" w14:textId="38F71B24" w:rsidR="006B7E28" w:rsidRDefault="006B7E28" w:rsidP="006B7E28"/>
    <w:p w14:paraId="2A104591" w14:textId="77777777" w:rsidR="006B7E28" w:rsidRPr="006B7E28" w:rsidRDefault="006B7E28" w:rsidP="006B7E28">
      <w:pPr>
        <w:pStyle w:val="Heading3"/>
        <w:rPr>
          <w:rFonts w:eastAsia="Times New Roman"/>
          <w:i/>
        </w:rPr>
      </w:pPr>
      <w:r w:rsidRPr="006B7E28">
        <w:rPr>
          <w:rFonts w:eastAsia="Times New Roman"/>
          <w:i/>
          <w:lang w:eastAsia="bg-BG"/>
        </w:rPr>
        <w:t>Бременност</w:t>
      </w:r>
    </w:p>
    <w:p w14:paraId="4D499C4C"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клопидогрел по време на бременност.</w:t>
      </w:r>
    </w:p>
    <w:p w14:paraId="43D2B7E5" w14:textId="77777777" w:rsidR="006B7E28" w:rsidRPr="006B7E28" w:rsidRDefault="006B7E28" w:rsidP="006B7E28">
      <w:pPr>
        <w:spacing w:line="240" w:lineRule="auto"/>
        <w:rPr>
          <w:rFonts w:eastAsia="Times New Roman" w:cs="Arial"/>
          <w:color w:val="000000"/>
          <w:lang w:eastAsia="bg-BG"/>
        </w:rPr>
      </w:pPr>
    </w:p>
    <w:p w14:paraId="1BFDFA89" w14:textId="07618908"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Изпитванията с животни не показват пряко или непряко вредно въздействие върху бременността, ембрионалното/феталното развитие, раждането или постнаталното развитие (вж. т. 5.3).</w:t>
      </w:r>
    </w:p>
    <w:p w14:paraId="56D18A8F" w14:textId="77777777" w:rsidR="006B7E28" w:rsidRPr="006B7E28" w:rsidRDefault="006B7E28" w:rsidP="006B7E28">
      <w:pPr>
        <w:spacing w:line="240" w:lineRule="auto"/>
        <w:rPr>
          <w:rFonts w:eastAsia="Times New Roman" w:cs="Arial"/>
          <w:i/>
          <w:iCs/>
          <w:color w:val="000000"/>
          <w:lang w:eastAsia="bg-BG"/>
        </w:rPr>
      </w:pPr>
    </w:p>
    <w:p w14:paraId="798114F6" w14:textId="05E5AAAE" w:rsidR="006B7E28" w:rsidRPr="006B7E28" w:rsidRDefault="006B7E28" w:rsidP="006B7E28">
      <w:pPr>
        <w:pStyle w:val="Heading3"/>
        <w:rPr>
          <w:rFonts w:eastAsia="Times New Roman"/>
          <w:i/>
        </w:rPr>
      </w:pPr>
      <w:r w:rsidRPr="006B7E28">
        <w:rPr>
          <w:rFonts w:eastAsia="Times New Roman"/>
          <w:i/>
          <w:lang w:eastAsia="bg-BG"/>
        </w:rPr>
        <w:t>Кърмене</w:t>
      </w:r>
    </w:p>
    <w:p w14:paraId="680E0E3C"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Не е известно дали клопидогрел се екскретира в кърмата при хората. Изпитванията с животни показват, че клопидогрел се екскретира </w:t>
      </w:r>
      <w:r w:rsidRPr="006B7E28">
        <w:rPr>
          <w:rFonts w:eastAsia="Times New Roman" w:cs="Arial"/>
          <w:i/>
          <w:iCs/>
          <w:color w:val="000000"/>
          <w:lang w:eastAsia="bg-BG"/>
        </w:rPr>
        <w:t>в</w:t>
      </w:r>
      <w:r w:rsidRPr="006B7E28">
        <w:rPr>
          <w:rFonts w:eastAsia="Times New Roman" w:cs="Arial"/>
          <w:color w:val="000000"/>
          <w:lang w:eastAsia="bg-BG"/>
        </w:rPr>
        <w:t xml:space="preserve"> кърмата. Като предпазна мярка, кърменето не трябва да продължава по време на лечението с Егитромб.</w:t>
      </w:r>
    </w:p>
    <w:p w14:paraId="62732653" w14:textId="77777777" w:rsidR="006B7E28" w:rsidRPr="006B7E28" w:rsidRDefault="006B7E28" w:rsidP="006B7E28">
      <w:pPr>
        <w:spacing w:line="240" w:lineRule="auto"/>
        <w:rPr>
          <w:rFonts w:eastAsia="Times New Roman" w:cs="Arial"/>
          <w:i/>
          <w:iCs/>
          <w:color w:val="000000"/>
          <w:lang w:eastAsia="bg-BG"/>
        </w:rPr>
      </w:pPr>
    </w:p>
    <w:p w14:paraId="7E451126" w14:textId="3FBD7660" w:rsidR="006B7E28" w:rsidRPr="006B7E28" w:rsidRDefault="006B7E28" w:rsidP="006B7E28">
      <w:pPr>
        <w:pStyle w:val="Heading3"/>
        <w:rPr>
          <w:rFonts w:eastAsia="Times New Roman"/>
          <w:i/>
        </w:rPr>
      </w:pPr>
      <w:r w:rsidRPr="006B7E28">
        <w:rPr>
          <w:rFonts w:eastAsia="Times New Roman"/>
          <w:i/>
          <w:lang w:eastAsia="bg-BG"/>
        </w:rPr>
        <w:t>Фертилитет</w:t>
      </w:r>
    </w:p>
    <w:p w14:paraId="3AAFDA96" w14:textId="77777777"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При проучвания с животни не е наблюдавано повлияване на фертилитета от клопидогрел.</w:t>
      </w:r>
    </w:p>
    <w:p w14:paraId="7AD90752" w14:textId="77777777" w:rsidR="006B7E28" w:rsidRPr="006B7E28" w:rsidRDefault="006B7E28" w:rsidP="006B7E28"/>
    <w:p w14:paraId="5DD7A76D" w14:textId="4755489A" w:rsidR="007122AD" w:rsidRDefault="002C50EE" w:rsidP="00936AD0">
      <w:pPr>
        <w:pStyle w:val="Heading2"/>
      </w:pPr>
      <w:r>
        <w:t>4.7. Ефекти върху способността за шофиране и работа с машини</w:t>
      </w:r>
    </w:p>
    <w:p w14:paraId="2DCF254C" w14:textId="7ED696EB" w:rsidR="006B7E28" w:rsidRDefault="006B7E28" w:rsidP="006B7E28"/>
    <w:p w14:paraId="638D3F92" w14:textId="77777777" w:rsidR="006B7E28" w:rsidRPr="006B7E28" w:rsidRDefault="006B7E28" w:rsidP="006B7E28">
      <w:pPr>
        <w:rPr>
          <w:sz w:val="24"/>
          <w:szCs w:val="24"/>
        </w:rPr>
      </w:pPr>
      <w:r w:rsidRPr="006B7E28">
        <w:rPr>
          <w:lang w:eastAsia="bg-BG"/>
        </w:rPr>
        <w:t>Клопидогрел не оказва влияние или оказва незначително влияние върху способността за шофиране и работа с машини.</w:t>
      </w:r>
    </w:p>
    <w:p w14:paraId="0968AC10" w14:textId="77777777" w:rsidR="006B7E28" w:rsidRPr="006B7E28" w:rsidRDefault="006B7E28" w:rsidP="006B7E28"/>
    <w:p w14:paraId="44CE30A3" w14:textId="3CCCC30B" w:rsidR="007122AD" w:rsidRDefault="002C50EE" w:rsidP="00936AD0">
      <w:pPr>
        <w:pStyle w:val="Heading2"/>
      </w:pPr>
      <w:r>
        <w:t>4.8. Нежелани лекарствени реакции</w:t>
      </w:r>
    </w:p>
    <w:p w14:paraId="16635244" w14:textId="7B57C94D" w:rsidR="006B7E28" w:rsidRDefault="006B7E28" w:rsidP="006B7E28"/>
    <w:p w14:paraId="1324557F" w14:textId="77777777" w:rsidR="006B7E28" w:rsidRPr="006B7E28" w:rsidRDefault="006B7E28" w:rsidP="006B7E28">
      <w:pPr>
        <w:spacing w:line="240" w:lineRule="auto"/>
        <w:rPr>
          <w:rFonts w:eastAsia="Times New Roman" w:cs="Arial"/>
          <w:sz w:val="24"/>
          <w:szCs w:val="24"/>
        </w:rPr>
      </w:pPr>
      <w:r w:rsidRPr="006B7E28">
        <w:rPr>
          <w:rFonts w:eastAsia="Times New Roman" w:cs="Arial"/>
          <w:i/>
          <w:iCs/>
          <w:color w:val="000000"/>
          <w:lang w:eastAsia="bg-BG"/>
        </w:rPr>
        <w:lastRenderedPageBreak/>
        <w:t>Обобщение на профила на безопасност</w:t>
      </w:r>
    </w:p>
    <w:p w14:paraId="37C43DDE" w14:textId="77777777" w:rsidR="006B7E28" w:rsidRPr="006B7E28" w:rsidRDefault="006B7E28" w:rsidP="006B7E28">
      <w:pPr>
        <w:spacing w:line="240" w:lineRule="auto"/>
        <w:rPr>
          <w:rFonts w:eastAsia="Times New Roman" w:cs="Arial"/>
          <w:color w:val="000000"/>
          <w:lang w:eastAsia="bg-BG"/>
        </w:rPr>
      </w:pPr>
    </w:p>
    <w:p w14:paraId="73F0A42D" w14:textId="3CA597FB"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Безопасността на клопидогрел е оценена при повече от 44 000 пациенти, които са участвали в клинични изпитвания, включващи над 12 000 пациенти, лекувани в продължение на 1 година или повече. Като цяло, клопидогрел 75 </w:t>
      </w:r>
      <w:r w:rsidRPr="006B7E28">
        <w:rPr>
          <w:rFonts w:eastAsia="Times New Roman" w:cs="Arial"/>
          <w:color w:val="000000"/>
          <w:lang w:val="en-US"/>
        </w:rPr>
        <w:t>mg</w:t>
      </w:r>
      <w:r w:rsidRPr="006B7E28">
        <w:rPr>
          <w:rFonts w:eastAsia="Times New Roman" w:cs="Arial"/>
          <w:color w:val="000000"/>
          <w:lang w:eastAsia="bg-BG"/>
        </w:rPr>
        <w:t xml:space="preserve">/дневно е сравним с АСК 325 </w:t>
      </w:r>
      <w:r w:rsidRPr="006B7E28">
        <w:rPr>
          <w:rFonts w:eastAsia="Times New Roman" w:cs="Arial"/>
          <w:color w:val="000000"/>
          <w:lang w:val="en-US"/>
        </w:rPr>
        <w:t>mg</w:t>
      </w:r>
      <w:r w:rsidRPr="006B7E28">
        <w:rPr>
          <w:rFonts w:eastAsia="Times New Roman" w:cs="Arial"/>
          <w:color w:val="000000"/>
          <w:lang w:eastAsia="bg-BG"/>
        </w:rPr>
        <w:t xml:space="preserve">/дневно в </w:t>
      </w:r>
      <w:r w:rsidRPr="006B7E28">
        <w:rPr>
          <w:rFonts w:eastAsia="Times New Roman" w:cs="Arial"/>
          <w:color w:val="000000"/>
          <w:lang w:val="en-US"/>
        </w:rPr>
        <w:t>CAPRIE</w:t>
      </w:r>
      <w:r w:rsidRPr="006B7E28">
        <w:rPr>
          <w:rFonts w:eastAsia="Times New Roman" w:cs="Arial"/>
          <w:color w:val="000000"/>
          <w:lang w:val="ru-RU"/>
        </w:rPr>
        <w:t xml:space="preserve"> </w:t>
      </w:r>
      <w:r w:rsidRPr="006B7E28">
        <w:rPr>
          <w:rFonts w:eastAsia="Times New Roman" w:cs="Arial"/>
          <w:color w:val="000000"/>
          <w:lang w:eastAsia="bg-BG"/>
        </w:rPr>
        <w:t xml:space="preserve">независимо от възрастта, пола и расата. Клинично значимите нежелани лекарствени реакции наблюдавани в проучванията </w:t>
      </w:r>
      <w:r w:rsidRPr="006B7E28">
        <w:rPr>
          <w:rFonts w:eastAsia="Times New Roman" w:cs="Arial"/>
          <w:color w:val="000000"/>
          <w:lang w:val="en-US"/>
        </w:rPr>
        <w:t>CAPRIE</w:t>
      </w:r>
      <w:r w:rsidRPr="006B7E28">
        <w:rPr>
          <w:rFonts w:eastAsia="Times New Roman" w:cs="Arial"/>
          <w:color w:val="000000"/>
          <w:lang w:val="ru-RU"/>
        </w:rPr>
        <w:t xml:space="preserve">, </w:t>
      </w:r>
      <w:r w:rsidRPr="006B7E28">
        <w:rPr>
          <w:rFonts w:eastAsia="Times New Roman" w:cs="Arial"/>
          <w:color w:val="000000"/>
          <w:lang w:val="en-US"/>
        </w:rPr>
        <w:t>CURE</w:t>
      </w:r>
      <w:r w:rsidRPr="006B7E28">
        <w:rPr>
          <w:rFonts w:eastAsia="Times New Roman" w:cs="Arial"/>
          <w:color w:val="000000"/>
          <w:lang w:val="ru-RU"/>
        </w:rPr>
        <w:t xml:space="preserve">, </w:t>
      </w:r>
      <w:r w:rsidRPr="006B7E28">
        <w:rPr>
          <w:rFonts w:eastAsia="Times New Roman" w:cs="Arial"/>
          <w:color w:val="000000"/>
          <w:lang w:val="en-US"/>
        </w:rPr>
        <w:t>CLARITY</w:t>
      </w:r>
      <w:r w:rsidRPr="006B7E28">
        <w:rPr>
          <w:rFonts w:eastAsia="Times New Roman" w:cs="Arial"/>
          <w:color w:val="000000"/>
          <w:lang w:val="ru-RU"/>
        </w:rPr>
        <w:t xml:space="preserve">, </w:t>
      </w:r>
      <w:r w:rsidRPr="006B7E28">
        <w:rPr>
          <w:rFonts w:eastAsia="Times New Roman" w:cs="Arial"/>
          <w:color w:val="000000"/>
          <w:lang w:val="en-US"/>
        </w:rPr>
        <w:t>COMMIT</w:t>
      </w:r>
      <w:r w:rsidRPr="006B7E28">
        <w:rPr>
          <w:rFonts w:eastAsia="Times New Roman" w:cs="Arial"/>
          <w:color w:val="000000"/>
          <w:lang w:val="ru-RU"/>
        </w:rPr>
        <w:t xml:space="preserve"> </w:t>
      </w:r>
      <w:r w:rsidRPr="006B7E28">
        <w:rPr>
          <w:rFonts w:eastAsia="Times New Roman" w:cs="Arial"/>
          <w:color w:val="000000"/>
          <w:lang w:eastAsia="bg-BG"/>
        </w:rPr>
        <w:t xml:space="preserve">и </w:t>
      </w:r>
      <w:r w:rsidRPr="006B7E28">
        <w:rPr>
          <w:rFonts w:eastAsia="Times New Roman" w:cs="Arial"/>
          <w:color w:val="000000"/>
          <w:lang w:val="en-US"/>
        </w:rPr>
        <w:t>ACTIVE</w:t>
      </w:r>
      <w:r w:rsidRPr="006B7E28">
        <w:rPr>
          <w:rFonts w:eastAsia="Times New Roman" w:cs="Arial"/>
          <w:color w:val="000000"/>
          <w:lang w:val="ru-RU"/>
        </w:rPr>
        <w:t>-</w:t>
      </w:r>
      <w:r w:rsidRPr="006B7E28">
        <w:rPr>
          <w:rFonts w:eastAsia="Times New Roman" w:cs="Arial"/>
          <w:color w:val="000000"/>
          <w:lang w:val="en-US"/>
        </w:rPr>
        <w:t>A</w:t>
      </w:r>
      <w:r w:rsidRPr="006B7E28">
        <w:rPr>
          <w:rFonts w:eastAsia="Times New Roman" w:cs="Arial"/>
          <w:color w:val="000000"/>
          <w:lang w:val="ru-RU"/>
        </w:rPr>
        <w:t xml:space="preserve"> </w:t>
      </w:r>
      <w:r w:rsidRPr="006B7E28">
        <w:rPr>
          <w:rFonts w:eastAsia="Times New Roman" w:cs="Arial"/>
          <w:color w:val="000000"/>
          <w:lang w:eastAsia="bg-BG"/>
        </w:rPr>
        <w:t>са обсъдени по-долу. В допълнение към опита от клиничните изпитвания, нежелани лекарствени реакции са съобщавани и спонтанно.</w:t>
      </w:r>
    </w:p>
    <w:p w14:paraId="00041D00" w14:textId="77777777" w:rsidR="006B7E28" w:rsidRPr="006B7E28" w:rsidRDefault="006B7E28" w:rsidP="006B7E28">
      <w:pPr>
        <w:spacing w:line="240" w:lineRule="auto"/>
        <w:rPr>
          <w:rFonts w:eastAsia="Times New Roman" w:cs="Arial"/>
          <w:color w:val="000000"/>
          <w:lang w:eastAsia="bg-BG"/>
        </w:rPr>
      </w:pPr>
    </w:p>
    <w:p w14:paraId="71D757A4" w14:textId="7E8644A3"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Кървенето е най-често съобщаваната реакция, както при клиничните изпитвания, така и в периода след пускането в продажба, където е съобщавана най-често през първия месец на лечението.</w:t>
      </w:r>
    </w:p>
    <w:p w14:paraId="01596158" w14:textId="77777777" w:rsidR="006B7E28" w:rsidRPr="006B7E28" w:rsidRDefault="006B7E28" w:rsidP="006B7E28">
      <w:pPr>
        <w:spacing w:line="240" w:lineRule="auto"/>
        <w:rPr>
          <w:rFonts w:eastAsia="Times New Roman" w:cs="Arial"/>
          <w:color w:val="000000"/>
          <w:lang w:eastAsia="bg-BG"/>
        </w:rPr>
      </w:pPr>
    </w:p>
    <w:p w14:paraId="6D4A342C" w14:textId="38D93F2D"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 </w:t>
      </w:r>
      <w:r w:rsidRPr="006B7E28">
        <w:rPr>
          <w:rFonts w:eastAsia="Times New Roman" w:cs="Arial"/>
          <w:color w:val="000000"/>
          <w:lang w:val="en-US"/>
        </w:rPr>
        <w:t>CAPRIE</w:t>
      </w:r>
      <w:r w:rsidRPr="006B7E28">
        <w:rPr>
          <w:rFonts w:eastAsia="Times New Roman" w:cs="Arial"/>
          <w:color w:val="000000"/>
          <w:lang w:val="ru-RU"/>
        </w:rPr>
        <w:t xml:space="preserve">, </w:t>
      </w:r>
      <w:r w:rsidRPr="006B7E28">
        <w:rPr>
          <w:rFonts w:eastAsia="Times New Roman" w:cs="Arial"/>
          <w:color w:val="000000"/>
          <w:lang w:eastAsia="bg-BG"/>
        </w:rPr>
        <w:t>при пациенти, лекувани с клопидогрел или АСК, общата честота на кървене е 9,3%. Честотата на тежките случаи е подобна при клопидогрел и АСК.</w:t>
      </w:r>
    </w:p>
    <w:p w14:paraId="3307C95C" w14:textId="77777777" w:rsidR="006B7E28" w:rsidRPr="006B7E28" w:rsidRDefault="006B7E28" w:rsidP="006B7E28">
      <w:pPr>
        <w:rPr>
          <w:rFonts w:eastAsia="Times New Roman" w:cs="Arial"/>
          <w:color w:val="000000"/>
          <w:lang w:eastAsia="bg-BG"/>
        </w:rPr>
      </w:pPr>
    </w:p>
    <w:p w14:paraId="6B94E1E0" w14:textId="77777777" w:rsidR="006B7E28" w:rsidRPr="006B7E28" w:rsidRDefault="006B7E28" w:rsidP="006B7E28">
      <w:pPr>
        <w:rPr>
          <w:rFonts w:eastAsia="Times New Roman" w:cs="Arial"/>
          <w:sz w:val="24"/>
          <w:szCs w:val="24"/>
        </w:rPr>
      </w:pPr>
      <w:r w:rsidRPr="006B7E28">
        <w:rPr>
          <w:rFonts w:eastAsia="Times New Roman" w:cs="Arial"/>
          <w:color w:val="000000"/>
          <w:lang w:eastAsia="bg-BG"/>
        </w:rPr>
        <w:t xml:space="preserve">В </w:t>
      </w:r>
      <w:r w:rsidRPr="006B7E28">
        <w:rPr>
          <w:rFonts w:eastAsia="Times New Roman" w:cs="Arial"/>
          <w:color w:val="000000"/>
          <w:lang w:val="en-US"/>
        </w:rPr>
        <w:t>CURE</w:t>
      </w:r>
      <w:r w:rsidRPr="006B7E28">
        <w:rPr>
          <w:rFonts w:eastAsia="Times New Roman" w:cs="Arial"/>
          <w:color w:val="000000"/>
          <w:lang w:val="ru-RU"/>
        </w:rPr>
        <w:t xml:space="preserve">, </w:t>
      </w:r>
      <w:r w:rsidRPr="006B7E28">
        <w:rPr>
          <w:rFonts w:eastAsia="Times New Roman" w:cs="Arial"/>
          <w:color w:val="000000"/>
          <w:lang w:eastAsia="bg-BG"/>
        </w:rPr>
        <w:t xml:space="preserve">не е наблюдаван по-голям брой на случаи на масивно кървене с клопидогрел плюс АСК през първите 7 дни след операция за поставяне на коронарен байпас при пациенти, които </w:t>
      </w:r>
      <w:r w:rsidRPr="006B7E28">
        <w:rPr>
          <w:rFonts w:eastAsia="Times New Roman" w:cs="Arial"/>
          <w:i/>
          <w:iCs/>
          <w:color w:val="000000"/>
          <w:lang w:eastAsia="bg-BG"/>
        </w:rPr>
        <w:t>са</w:t>
      </w:r>
      <w:r w:rsidRPr="006B7E28">
        <w:rPr>
          <w:rFonts w:eastAsia="Times New Roman" w:cs="Arial"/>
          <w:color w:val="000000"/>
          <w:lang w:eastAsia="bg-BG"/>
        </w:rPr>
        <w:t xml:space="preserve"> спрели терапията повече от пет дни преди операцията. При пациенти, останали на терапия в продължение на 5-те дни преди операцията за поставяне на байпас, честотата на случаите е била 9,6% за клопидогрел плюс АСК и 6,3% за плацебо плюс АСК.</w:t>
      </w:r>
    </w:p>
    <w:p w14:paraId="4CEC0348" w14:textId="77777777" w:rsidR="006B7E28" w:rsidRPr="006B7E28" w:rsidRDefault="006B7E28" w:rsidP="006B7E28">
      <w:pPr>
        <w:spacing w:line="240" w:lineRule="auto"/>
        <w:rPr>
          <w:rFonts w:eastAsia="Times New Roman" w:cs="Arial"/>
          <w:color w:val="000000"/>
          <w:lang w:eastAsia="bg-BG"/>
        </w:rPr>
      </w:pPr>
    </w:p>
    <w:p w14:paraId="49AA37CD" w14:textId="0E39728B"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 </w:t>
      </w:r>
      <w:r w:rsidRPr="006B7E28">
        <w:rPr>
          <w:rFonts w:eastAsia="Times New Roman" w:cs="Arial"/>
          <w:color w:val="000000"/>
          <w:lang w:val="en-US"/>
        </w:rPr>
        <w:t>CLARITY</w:t>
      </w:r>
      <w:r w:rsidRPr="006B7E28">
        <w:rPr>
          <w:rFonts w:eastAsia="Times New Roman" w:cs="Arial"/>
          <w:color w:val="000000"/>
          <w:lang w:val="ru-RU"/>
        </w:rPr>
        <w:t xml:space="preserve"> </w:t>
      </w:r>
      <w:r w:rsidRPr="006B7E28">
        <w:rPr>
          <w:rFonts w:eastAsia="Times New Roman" w:cs="Arial"/>
          <w:color w:val="000000"/>
          <w:lang w:eastAsia="bg-BG"/>
        </w:rPr>
        <w:t>е наблюдавано общо увеличение на кървенето в групата клопидогрел плюс АСК.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14:paraId="540AEB1F" w14:textId="77777777" w:rsidR="006B7E28" w:rsidRPr="006B7E28" w:rsidRDefault="006B7E28" w:rsidP="006B7E28">
      <w:pPr>
        <w:spacing w:line="240" w:lineRule="auto"/>
        <w:rPr>
          <w:rFonts w:eastAsia="Times New Roman" w:cs="Arial"/>
          <w:color w:val="000000"/>
          <w:lang w:eastAsia="bg-BG"/>
        </w:rPr>
      </w:pPr>
    </w:p>
    <w:p w14:paraId="222B7CD4" w14:textId="1546B142"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 </w:t>
      </w:r>
      <w:r w:rsidRPr="006B7E28">
        <w:rPr>
          <w:rFonts w:eastAsia="Times New Roman" w:cs="Arial"/>
          <w:color w:val="000000"/>
          <w:lang w:val="en-US"/>
        </w:rPr>
        <w:t>COMMIT</w:t>
      </w:r>
      <w:r w:rsidRPr="006B7E28">
        <w:rPr>
          <w:rFonts w:eastAsia="Times New Roman" w:cs="Arial"/>
          <w:color w:val="000000"/>
          <w:lang w:val="ru-RU"/>
        </w:rPr>
        <w:t xml:space="preserve"> </w:t>
      </w:r>
      <w:r w:rsidRPr="006B7E28">
        <w:rPr>
          <w:rFonts w:eastAsia="Times New Roman" w:cs="Arial"/>
          <w:color w:val="000000"/>
          <w:lang w:eastAsia="bg-BG"/>
        </w:rPr>
        <w:t>общата честота на нецеребрално масивно кървене или церебрално кървене е ниска и сходна при двете групи.</w:t>
      </w:r>
    </w:p>
    <w:p w14:paraId="6A126038" w14:textId="77777777" w:rsidR="006B7E28" w:rsidRPr="006B7E28" w:rsidRDefault="006B7E28" w:rsidP="006B7E28">
      <w:pPr>
        <w:spacing w:line="240" w:lineRule="auto"/>
        <w:rPr>
          <w:rFonts w:eastAsia="Times New Roman" w:cs="Arial"/>
          <w:color w:val="000000"/>
          <w:lang w:eastAsia="bg-BG"/>
        </w:rPr>
      </w:pPr>
    </w:p>
    <w:p w14:paraId="7960A42F" w14:textId="41EADC4D"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 xml:space="preserve">В </w:t>
      </w:r>
      <w:r w:rsidRPr="006B7E28">
        <w:rPr>
          <w:rFonts w:eastAsia="Times New Roman" w:cs="Arial"/>
          <w:color w:val="000000"/>
          <w:lang w:val="en-US"/>
        </w:rPr>
        <w:t>ACTIVE</w:t>
      </w:r>
      <w:r w:rsidRPr="006B7E28">
        <w:rPr>
          <w:rFonts w:eastAsia="Times New Roman" w:cs="Arial"/>
          <w:color w:val="000000"/>
          <w:lang w:val="ru-RU"/>
        </w:rPr>
        <w:t>-</w:t>
      </w:r>
      <w:r w:rsidRPr="006B7E28">
        <w:rPr>
          <w:rFonts w:eastAsia="Times New Roman" w:cs="Arial"/>
          <w:color w:val="000000"/>
          <w:lang w:val="en-US"/>
        </w:rPr>
        <w:t>A</w:t>
      </w:r>
      <w:r w:rsidRPr="006B7E28">
        <w:rPr>
          <w:rFonts w:eastAsia="Times New Roman" w:cs="Arial"/>
          <w:color w:val="000000"/>
          <w:lang w:val="ru-RU"/>
        </w:rPr>
        <w:t xml:space="preserve"> </w:t>
      </w:r>
      <w:r w:rsidRPr="006B7E28">
        <w:rPr>
          <w:rFonts w:eastAsia="Times New Roman" w:cs="Arial"/>
          <w:color w:val="000000"/>
          <w:lang w:eastAsia="bg-BG"/>
        </w:rPr>
        <w:t>честотата на масивно кървене е по-висока в групата на клопидогрел + АСК, отколкото в групата на плацебо + АСК (6,7% спрямо 4,3%). Масивното кървене е било главно от екстракраниален произход в двете групи (5,3% в групата на клопидогрел + АСК, 3,5% в групата на плацебо + АСК), главно от гастро-интестиналния тракт (3,5% спрямо 1,8%). Наблюдавани са повече случаи на интракраниално кървене в групата на клопидогрел + АСК спрямо групата на плацебо + АСК (1,4% спрямо 0,8%, съответно) Не е наблюдавана статистически значима разлика в честотата на фатално кървене (1,1 % в групата на клопидогрел + АСК и 0,7% в групата на плацебо + АСК) и хеморагичен инсулт (0,8% и 0,6%, съответно) между двете групи.</w:t>
      </w:r>
    </w:p>
    <w:p w14:paraId="158E5D3F" w14:textId="77777777" w:rsidR="006B7E28" w:rsidRPr="006B7E28" w:rsidRDefault="006B7E28" w:rsidP="006B7E28">
      <w:pPr>
        <w:spacing w:line="240" w:lineRule="auto"/>
        <w:rPr>
          <w:rFonts w:eastAsia="Times New Roman" w:cs="Arial"/>
          <w:i/>
          <w:iCs/>
          <w:color w:val="000000"/>
          <w:lang w:eastAsia="bg-BG"/>
        </w:rPr>
      </w:pPr>
    </w:p>
    <w:p w14:paraId="0B8790BE" w14:textId="5E0233E9" w:rsidR="006B7E28" w:rsidRPr="006B7E28" w:rsidRDefault="006B7E28" w:rsidP="006B7E28">
      <w:pPr>
        <w:spacing w:line="240" w:lineRule="auto"/>
        <w:rPr>
          <w:rFonts w:eastAsia="Times New Roman" w:cs="Arial"/>
          <w:sz w:val="24"/>
          <w:szCs w:val="24"/>
        </w:rPr>
      </w:pPr>
      <w:r w:rsidRPr="006B7E28">
        <w:rPr>
          <w:rFonts w:eastAsia="Times New Roman" w:cs="Arial"/>
          <w:i/>
          <w:iCs/>
          <w:color w:val="000000"/>
          <w:lang w:eastAsia="bg-BG"/>
        </w:rPr>
        <w:t>Списък на нежеланите реакции в табличен вид</w:t>
      </w:r>
    </w:p>
    <w:p w14:paraId="24FC6553" w14:textId="77777777" w:rsidR="006B7E28" w:rsidRPr="006B7E28" w:rsidRDefault="006B7E28" w:rsidP="006B7E28">
      <w:pPr>
        <w:spacing w:line="240" w:lineRule="auto"/>
        <w:rPr>
          <w:rFonts w:eastAsia="Times New Roman" w:cs="Arial"/>
          <w:color w:val="000000"/>
          <w:lang w:eastAsia="bg-BG"/>
        </w:rPr>
      </w:pPr>
    </w:p>
    <w:p w14:paraId="6AC891A0" w14:textId="119BE712" w:rsidR="006B7E28" w:rsidRPr="006B7E28" w:rsidRDefault="006B7E28" w:rsidP="006B7E28">
      <w:pPr>
        <w:spacing w:line="240" w:lineRule="auto"/>
        <w:rPr>
          <w:rFonts w:eastAsia="Times New Roman" w:cs="Arial"/>
          <w:sz w:val="24"/>
          <w:szCs w:val="24"/>
        </w:rPr>
      </w:pPr>
      <w:r w:rsidRPr="006B7E28">
        <w:rPr>
          <w:rFonts w:eastAsia="Times New Roman" w:cs="Arial"/>
          <w:color w:val="000000"/>
          <w:lang w:eastAsia="bg-BG"/>
        </w:rPr>
        <w:t>Нежеланите реакции, настъпили по време на клиничните изпитвания или съобщени спонтанно, са представени в таблицата по-долу. Тяхната честота е определена въз основа на следната класификация: чести (≥1/100 до &lt;1/10); нечести (≥1/1000 до &lt;1/100); редки (≥1/10 000 до &lt;1/1 000); много редки (&lt;1/10 000); с неизвестна честота (честота не може да бъде оценена от наличните данни).</w:t>
      </w:r>
    </w:p>
    <w:p w14:paraId="2B87A7B4" w14:textId="22DD31A7" w:rsidR="006B7E28" w:rsidRDefault="006B7E28" w:rsidP="006B7E28">
      <w:pPr>
        <w:spacing w:line="240" w:lineRule="auto"/>
        <w:rPr>
          <w:rFonts w:eastAsia="Times New Roman" w:cs="Arial"/>
          <w:color w:val="000000"/>
          <w:lang w:eastAsia="bg-BG"/>
        </w:rPr>
      </w:pPr>
      <w:r w:rsidRPr="006B7E28">
        <w:rPr>
          <w:rFonts w:eastAsia="Times New Roman" w:cs="Arial"/>
          <w:color w:val="000000"/>
          <w:lang w:eastAsia="bg-BG"/>
        </w:rPr>
        <w:lastRenderedPageBreak/>
        <w:t>Във всеки системо-органен клас нежеланите реакции са представени в низходящ ред по отношение на тяхната тежест.</w:t>
      </w:r>
    </w:p>
    <w:p w14:paraId="1AC697EE" w14:textId="4FBF4B25" w:rsidR="006B7E28" w:rsidRDefault="006B7E28" w:rsidP="006B7E28">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884"/>
        <w:gridCol w:w="1736"/>
        <w:gridCol w:w="2043"/>
        <w:gridCol w:w="1580"/>
        <w:gridCol w:w="2107"/>
      </w:tblGrid>
      <w:tr w:rsidR="006B7E28" w14:paraId="24E05EC6" w14:textId="77777777" w:rsidTr="006B7E28">
        <w:tc>
          <w:tcPr>
            <w:tcW w:w="1930" w:type="dxa"/>
          </w:tcPr>
          <w:p w14:paraId="75AE1047" w14:textId="6BCA759F" w:rsidR="006B7E28" w:rsidRDefault="006B7E28" w:rsidP="006B7E28">
            <w:pPr>
              <w:spacing w:line="240" w:lineRule="auto"/>
              <w:rPr>
                <w:rFonts w:eastAsia="Times New Roman" w:cs="Arial"/>
                <w:sz w:val="24"/>
                <w:szCs w:val="24"/>
              </w:rPr>
            </w:pPr>
            <w:r>
              <w:rPr>
                <w:b/>
                <w:bCs/>
              </w:rPr>
              <w:t>Системо-органен клас</w:t>
            </w:r>
          </w:p>
        </w:tc>
        <w:tc>
          <w:tcPr>
            <w:tcW w:w="1777" w:type="dxa"/>
          </w:tcPr>
          <w:p w14:paraId="31B35DBE" w14:textId="510F44B4" w:rsidR="006B7E28" w:rsidRDefault="006B7E28" w:rsidP="006B7E28">
            <w:pPr>
              <w:spacing w:line="240" w:lineRule="auto"/>
              <w:rPr>
                <w:rFonts w:eastAsia="Times New Roman" w:cs="Arial"/>
                <w:sz w:val="24"/>
                <w:szCs w:val="24"/>
              </w:rPr>
            </w:pPr>
            <w:r>
              <w:rPr>
                <w:b/>
                <w:bCs/>
              </w:rPr>
              <w:t>Чести</w:t>
            </w:r>
          </w:p>
        </w:tc>
        <w:tc>
          <w:tcPr>
            <w:tcW w:w="2093" w:type="dxa"/>
          </w:tcPr>
          <w:p w14:paraId="492015DE" w14:textId="51CB959D" w:rsidR="006B7E28" w:rsidRDefault="006B7E28" w:rsidP="006B7E28">
            <w:pPr>
              <w:spacing w:line="240" w:lineRule="auto"/>
              <w:rPr>
                <w:rFonts w:eastAsia="Times New Roman" w:cs="Arial"/>
                <w:sz w:val="24"/>
                <w:szCs w:val="24"/>
              </w:rPr>
            </w:pPr>
            <w:r>
              <w:rPr>
                <w:b/>
                <w:bCs/>
              </w:rPr>
              <w:t>Нечести</w:t>
            </w:r>
          </w:p>
        </w:tc>
        <w:tc>
          <w:tcPr>
            <w:tcW w:w="1617" w:type="dxa"/>
          </w:tcPr>
          <w:p w14:paraId="6EF3C94D" w14:textId="0A379B47" w:rsidR="006B7E28" w:rsidRDefault="006B7E28" w:rsidP="006B7E28">
            <w:pPr>
              <w:spacing w:line="240" w:lineRule="auto"/>
              <w:rPr>
                <w:rFonts w:eastAsia="Times New Roman" w:cs="Arial"/>
                <w:sz w:val="24"/>
                <w:szCs w:val="24"/>
              </w:rPr>
            </w:pPr>
            <w:r>
              <w:rPr>
                <w:b/>
                <w:bCs/>
              </w:rPr>
              <w:t>Редки</w:t>
            </w:r>
          </w:p>
        </w:tc>
        <w:tc>
          <w:tcPr>
            <w:tcW w:w="2159" w:type="dxa"/>
          </w:tcPr>
          <w:p w14:paraId="197E7F25" w14:textId="124CB435" w:rsidR="006B7E28" w:rsidRDefault="006B7E28" w:rsidP="006B7E28">
            <w:pPr>
              <w:spacing w:line="240" w:lineRule="auto"/>
              <w:rPr>
                <w:rFonts w:eastAsia="Times New Roman" w:cs="Arial"/>
                <w:sz w:val="24"/>
                <w:szCs w:val="24"/>
              </w:rPr>
            </w:pPr>
            <w:r>
              <w:rPr>
                <w:b/>
                <w:bCs/>
              </w:rPr>
              <w:t>Много редки, с неизвестна честота*</w:t>
            </w:r>
          </w:p>
        </w:tc>
      </w:tr>
      <w:tr w:rsidR="006B7E28" w14:paraId="0906E21F" w14:textId="77777777" w:rsidTr="006B7E28">
        <w:tc>
          <w:tcPr>
            <w:tcW w:w="1930" w:type="dxa"/>
          </w:tcPr>
          <w:p w14:paraId="4EA08B79" w14:textId="23AA1EB0" w:rsidR="006B7E28" w:rsidRDefault="006B7E28" w:rsidP="006B7E28">
            <w:pPr>
              <w:spacing w:line="240" w:lineRule="auto"/>
              <w:rPr>
                <w:rFonts w:eastAsia="Times New Roman" w:cs="Arial"/>
                <w:sz w:val="24"/>
                <w:szCs w:val="24"/>
              </w:rPr>
            </w:pPr>
            <w:r>
              <w:t>Нарушения на кръвта и лимфната система</w:t>
            </w:r>
          </w:p>
        </w:tc>
        <w:tc>
          <w:tcPr>
            <w:tcW w:w="1777" w:type="dxa"/>
          </w:tcPr>
          <w:p w14:paraId="00138DFB" w14:textId="77777777" w:rsidR="006B7E28" w:rsidRDefault="006B7E28" w:rsidP="006B7E28">
            <w:pPr>
              <w:spacing w:line="240" w:lineRule="auto"/>
              <w:rPr>
                <w:rFonts w:eastAsia="Times New Roman" w:cs="Arial"/>
                <w:sz w:val="24"/>
                <w:szCs w:val="24"/>
              </w:rPr>
            </w:pPr>
          </w:p>
        </w:tc>
        <w:tc>
          <w:tcPr>
            <w:tcW w:w="2093" w:type="dxa"/>
          </w:tcPr>
          <w:p w14:paraId="093A94AD" w14:textId="5067F9B6" w:rsidR="006B7E28" w:rsidRDefault="006B7E28" w:rsidP="006B7E28">
            <w:pPr>
              <w:spacing w:line="240" w:lineRule="auto"/>
              <w:rPr>
                <w:rFonts w:eastAsia="Times New Roman" w:cs="Arial"/>
                <w:sz w:val="24"/>
                <w:szCs w:val="24"/>
              </w:rPr>
            </w:pPr>
            <w:r>
              <w:t>Тромбоцитопения, левкопения, еозинофилия</w:t>
            </w:r>
          </w:p>
        </w:tc>
        <w:tc>
          <w:tcPr>
            <w:tcW w:w="1617" w:type="dxa"/>
          </w:tcPr>
          <w:p w14:paraId="2766770F" w14:textId="3FE3A8AA" w:rsidR="006B7E28" w:rsidRDefault="006B7E28" w:rsidP="006B7E28">
            <w:pPr>
              <w:spacing w:line="240" w:lineRule="auto"/>
              <w:rPr>
                <w:rFonts w:eastAsia="Times New Roman" w:cs="Arial"/>
                <w:sz w:val="24"/>
                <w:szCs w:val="24"/>
              </w:rPr>
            </w:pPr>
            <w:r>
              <w:t>Неутропения, включително тежка неутропения</w:t>
            </w:r>
          </w:p>
        </w:tc>
        <w:tc>
          <w:tcPr>
            <w:tcW w:w="2159" w:type="dxa"/>
          </w:tcPr>
          <w:p w14:paraId="20F24327" w14:textId="1BCA4AAA" w:rsidR="006B7E28" w:rsidRDefault="006B7E28" w:rsidP="006B7E28">
            <w:pPr>
              <w:spacing w:line="240" w:lineRule="auto"/>
              <w:rPr>
                <w:rFonts w:eastAsia="Times New Roman" w:cs="Arial"/>
                <w:sz w:val="24"/>
                <w:szCs w:val="24"/>
              </w:rPr>
            </w:pPr>
            <w:r>
              <w:t>Тромботична тромбоцитопе- нична пурпура (ТТП) (вж. т. 4.4), апластична анемия, панцитопения, агранулоцитоза, тежка тромбоцитопения, придобита хемофилия А, гранулоцитопения, анемия</w:t>
            </w:r>
          </w:p>
        </w:tc>
      </w:tr>
      <w:tr w:rsidR="006B7E28" w14:paraId="03CCF948" w14:textId="77777777" w:rsidTr="006B7E28">
        <w:tc>
          <w:tcPr>
            <w:tcW w:w="1930" w:type="dxa"/>
          </w:tcPr>
          <w:p w14:paraId="681D8684" w14:textId="3A9F2B7B" w:rsidR="006B7E28" w:rsidRDefault="006B7E28" w:rsidP="006B7E28">
            <w:pPr>
              <w:spacing w:line="240" w:lineRule="auto"/>
              <w:rPr>
                <w:rFonts w:eastAsia="Times New Roman" w:cs="Arial"/>
                <w:sz w:val="24"/>
                <w:szCs w:val="24"/>
              </w:rPr>
            </w:pPr>
            <w:r>
              <w:t>Нарушения на имунната система</w:t>
            </w:r>
          </w:p>
        </w:tc>
        <w:tc>
          <w:tcPr>
            <w:tcW w:w="1777" w:type="dxa"/>
          </w:tcPr>
          <w:p w14:paraId="4FBE6C30" w14:textId="77777777" w:rsidR="006B7E28" w:rsidRDefault="006B7E28" w:rsidP="006B7E28">
            <w:pPr>
              <w:spacing w:line="240" w:lineRule="auto"/>
              <w:rPr>
                <w:rFonts w:eastAsia="Times New Roman" w:cs="Arial"/>
                <w:sz w:val="24"/>
                <w:szCs w:val="24"/>
              </w:rPr>
            </w:pPr>
          </w:p>
        </w:tc>
        <w:tc>
          <w:tcPr>
            <w:tcW w:w="2093" w:type="dxa"/>
          </w:tcPr>
          <w:p w14:paraId="57495F67" w14:textId="77777777" w:rsidR="006B7E28" w:rsidRDefault="006B7E28" w:rsidP="006B7E28">
            <w:pPr>
              <w:spacing w:line="240" w:lineRule="auto"/>
              <w:rPr>
                <w:rFonts w:eastAsia="Times New Roman" w:cs="Arial"/>
                <w:sz w:val="24"/>
                <w:szCs w:val="24"/>
              </w:rPr>
            </w:pPr>
          </w:p>
        </w:tc>
        <w:tc>
          <w:tcPr>
            <w:tcW w:w="1617" w:type="dxa"/>
          </w:tcPr>
          <w:p w14:paraId="34DDD6D3" w14:textId="77777777" w:rsidR="006B7E28" w:rsidRDefault="006B7E28" w:rsidP="006B7E28">
            <w:pPr>
              <w:spacing w:line="240" w:lineRule="auto"/>
              <w:rPr>
                <w:rFonts w:eastAsia="Times New Roman" w:cs="Arial"/>
                <w:sz w:val="24"/>
                <w:szCs w:val="24"/>
              </w:rPr>
            </w:pPr>
          </w:p>
        </w:tc>
        <w:tc>
          <w:tcPr>
            <w:tcW w:w="2159" w:type="dxa"/>
          </w:tcPr>
          <w:p w14:paraId="0753F1B7" w14:textId="77777777" w:rsidR="006B7E28" w:rsidRDefault="006B7E28" w:rsidP="006B7E28">
            <w:r>
              <w:t>Серумна болест, ана</w:t>
            </w:r>
            <w:r>
              <w:rPr>
                <w:u w:val="single"/>
              </w:rPr>
              <w:t>филак</w:t>
            </w:r>
            <w:r>
              <w:t>тоидни реакции, реакции</w:t>
            </w:r>
          </w:p>
          <w:p w14:paraId="3A6CBFC4" w14:textId="77777777" w:rsidR="006B7E28" w:rsidRDefault="006B7E28" w:rsidP="006B7E28">
            <w:r>
              <w:t>на кръстосана</w:t>
            </w:r>
          </w:p>
          <w:p w14:paraId="79058436" w14:textId="77777777" w:rsidR="006B7E28" w:rsidRDefault="006B7E28" w:rsidP="006B7E28">
            <w:r>
              <w:t>лекарствена</w:t>
            </w:r>
          </w:p>
          <w:p w14:paraId="63AE0CCB" w14:textId="77777777" w:rsidR="006B7E28" w:rsidRDefault="006B7E28" w:rsidP="006B7E28">
            <w:r>
              <w:t>свръхчувствително</w:t>
            </w:r>
          </w:p>
          <w:p w14:paraId="3D871F6A" w14:textId="4782ABC4" w:rsidR="006B7E28" w:rsidRDefault="006B7E28" w:rsidP="006B7E28">
            <w:pPr>
              <w:spacing w:line="240" w:lineRule="auto"/>
              <w:rPr>
                <w:rFonts w:eastAsia="Times New Roman" w:cs="Arial"/>
                <w:sz w:val="24"/>
                <w:szCs w:val="24"/>
              </w:rPr>
            </w:pPr>
            <w:r>
              <w:t xml:space="preserve">от между тиенопиридини (като тиклопидин, празугрел) (вж. т. 4.4)*, инсулин автоимунен синдром, който може да доведе до тежка хипогликемия, особено при пациенти с </w:t>
            </w:r>
            <w:r>
              <w:rPr>
                <w:lang w:val="en-US"/>
              </w:rPr>
              <w:t>HLA</w:t>
            </w:r>
            <w:r w:rsidRPr="006B7E28">
              <w:rPr>
                <w:lang w:val="ru-RU"/>
              </w:rPr>
              <w:t xml:space="preserve"> </w:t>
            </w:r>
            <w:r>
              <w:rPr>
                <w:lang w:val="en-US"/>
              </w:rPr>
              <w:t>DRA</w:t>
            </w:r>
            <w:r w:rsidRPr="006B7E28">
              <w:rPr>
                <w:lang w:val="ru-RU"/>
              </w:rPr>
              <w:t xml:space="preserve">4 </w:t>
            </w:r>
            <w:r>
              <w:t>подтип (по</w:t>
            </w:r>
            <w:r>
              <w:softHyphen/>
              <w:t>чест при японската популация)*</w:t>
            </w:r>
          </w:p>
        </w:tc>
      </w:tr>
      <w:tr w:rsidR="006B7E28" w14:paraId="3DFC7B6D" w14:textId="77777777" w:rsidTr="006B7E28">
        <w:tc>
          <w:tcPr>
            <w:tcW w:w="1930" w:type="dxa"/>
            <w:vAlign w:val="bottom"/>
          </w:tcPr>
          <w:p w14:paraId="6983F57A" w14:textId="264EE183" w:rsidR="006B7E28" w:rsidRDefault="006B7E28" w:rsidP="006B7E28">
            <w:pPr>
              <w:spacing w:line="240" w:lineRule="auto"/>
              <w:rPr>
                <w:rFonts w:eastAsia="Times New Roman" w:cs="Arial"/>
                <w:sz w:val="24"/>
                <w:szCs w:val="24"/>
              </w:rPr>
            </w:pPr>
            <w:r>
              <w:t>Психиатрични нарушения</w:t>
            </w:r>
          </w:p>
        </w:tc>
        <w:tc>
          <w:tcPr>
            <w:tcW w:w="1777" w:type="dxa"/>
          </w:tcPr>
          <w:p w14:paraId="066D3D9D" w14:textId="77777777" w:rsidR="006B7E28" w:rsidRDefault="006B7E28" w:rsidP="006B7E28">
            <w:pPr>
              <w:spacing w:line="240" w:lineRule="auto"/>
              <w:rPr>
                <w:rFonts w:eastAsia="Times New Roman" w:cs="Arial"/>
                <w:sz w:val="24"/>
                <w:szCs w:val="24"/>
              </w:rPr>
            </w:pPr>
          </w:p>
        </w:tc>
        <w:tc>
          <w:tcPr>
            <w:tcW w:w="2093" w:type="dxa"/>
          </w:tcPr>
          <w:p w14:paraId="27E15FEB" w14:textId="77777777" w:rsidR="006B7E28" w:rsidRDefault="006B7E28" w:rsidP="006B7E28">
            <w:pPr>
              <w:spacing w:line="240" w:lineRule="auto"/>
              <w:rPr>
                <w:rFonts w:eastAsia="Times New Roman" w:cs="Arial"/>
                <w:sz w:val="24"/>
                <w:szCs w:val="24"/>
              </w:rPr>
            </w:pPr>
          </w:p>
        </w:tc>
        <w:tc>
          <w:tcPr>
            <w:tcW w:w="1617" w:type="dxa"/>
          </w:tcPr>
          <w:p w14:paraId="0C297079" w14:textId="77777777" w:rsidR="006B7E28" w:rsidRDefault="006B7E28" w:rsidP="006B7E28">
            <w:pPr>
              <w:spacing w:line="240" w:lineRule="auto"/>
              <w:rPr>
                <w:rFonts w:eastAsia="Times New Roman" w:cs="Arial"/>
                <w:sz w:val="24"/>
                <w:szCs w:val="24"/>
              </w:rPr>
            </w:pPr>
          </w:p>
        </w:tc>
        <w:tc>
          <w:tcPr>
            <w:tcW w:w="2159" w:type="dxa"/>
            <w:vAlign w:val="bottom"/>
          </w:tcPr>
          <w:p w14:paraId="2CCC8AFB" w14:textId="3B2E2AA5" w:rsidR="006B7E28" w:rsidRDefault="006B7E28" w:rsidP="006B7E28">
            <w:pPr>
              <w:spacing w:line="240" w:lineRule="auto"/>
              <w:rPr>
                <w:rFonts w:eastAsia="Times New Roman" w:cs="Arial"/>
                <w:sz w:val="24"/>
                <w:szCs w:val="24"/>
              </w:rPr>
            </w:pPr>
            <w:r>
              <w:t>Халюцинации, обърканост</w:t>
            </w:r>
          </w:p>
        </w:tc>
      </w:tr>
      <w:tr w:rsidR="006B7E28" w14:paraId="54EC5CD2" w14:textId="77777777" w:rsidTr="006B7E28">
        <w:tc>
          <w:tcPr>
            <w:tcW w:w="1930" w:type="dxa"/>
          </w:tcPr>
          <w:p w14:paraId="1A17DFF0" w14:textId="7526BD6D" w:rsidR="006B7E28" w:rsidRDefault="006B7E28" w:rsidP="006B7E28">
            <w:pPr>
              <w:spacing w:line="240" w:lineRule="auto"/>
              <w:rPr>
                <w:rFonts w:eastAsia="Times New Roman" w:cs="Arial"/>
                <w:sz w:val="24"/>
                <w:szCs w:val="24"/>
              </w:rPr>
            </w:pPr>
            <w:r>
              <w:t>Нарушения на нервната система</w:t>
            </w:r>
          </w:p>
        </w:tc>
        <w:tc>
          <w:tcPr>
            <w:tcW w:w="1777" w:type="dxa"/>
          </w:tcPr>
          <w:p w14:paraId="20F6BDC6" w14:textId="77777777" w:rsidR="006B7E28" w:rsidRDefault="006B7E28" w:rsidP="006B7E28">
            <w:pPr>
              <w:spacing w:line="240" w:lineRule="auto"/>
              <w:rPr>
                <w:rFonts w:eastAsia="Times New Roman" w:cs="Arial"/>
                <w:sz w:val="24"/>
                <w:szCs w:val="24"/>
              </w:rPr>
            </w:pPr>
          </w:p>
        </w:tc>
        <w:tc>
          <w:tcPr>
            <w:tcW w:w="2093" w:type="dxa"/>
            <w:vAlign w:val="bottom"/>
          </w:tcPr>
          <w:p w14:paraId="34DB28A0" w14:textId="6A3DF55B" w:rsidR="006B7E28" w:rsidRDefault="006B7E28" w:rsidP="006B7E28">
            <w:pPr>
              <w:spacing w:line="240" w:lineRule="auto"/>
              <w:rPr>
                <w:rFonts w:eastAsia="Times New Roman" w:cs="Arial"/>
                <w:sz w:val="24"/>
                <w:szCs w:val="24"/>
              </w:rPr>
            </w:pPr>
            <w:r>
              <w:t xml:space="preserve">Интракраниално кървене (съобщени са няколко случаи с фатален изход), </w:t>
            </w:r>
            <w:r>
              <w:lastRenderedPageBreak/>
              <w:t>главоболие, парестезия, замаяност</w:t>
            </w:r>
          </w:p>
        </w:tc>
        <w:tc>
          <w:tcPr>
            <w:tcW w:w="1617" w:type="dxa"/>
          </w:tcPr>
          <w:p w14:paraId="56B257D8" w14:textId="77777777" w:rsidR="006B7E28" w:rsidRDefault="006B7E28" w:rsidP="006B7E28">
            <w:pPr>
              <w:spacing w:line="240" w:lineRule="auto"/>
              <w:rPr>
                <w:rFonts w:eastAsia="Times New Roman" w:cs="Arial"/>
                <w:sz w:val="24"/>
                <w:szCs w:val="24"/>
              </w:rPr>
            </w:pPr>
          </w:p>
        </w:tc>
        <w:tc>
          <w:tcPr>
            <w:tcW w:w="2159" w:type="dxa"/>
          </w:tcPr>
          <w:p w14:paraId="12E0CB85" w14:textId="65FAA083" w:rsidR="006B7E28" w:rsidRDefault="006B7E28" w:rsidP="006B7E28">
            <w:pPr>
              <w:spacing w:line="240" w:lineRule="auto"/>
              <w:rPr>
                <w:rFonts w:eastAsia="Times New Roman" w:cs="Arial"/>
                <w:sz w:val="24"/>
                <w:szCs w:val="24"/>
              </w:rPr>
            </w:pPr>
            <w:r>
              <w:t>Нарушения във вкусовите възприятия, агеузия</w:t>
            </w:r>
          </w:p>
        </w:tc>
      </w:tr>
      <w:tr w:rsidR="006B7E28" w14:paraId="17B8A3E3" w14:textId="77777777" w:rsidTr="006B7E28">
        <w:tc>
          <w:tcPr>
            <w:tcW w:w="1930" w:type="dxa"/>
          </w:tcPr>
          <w:p w14:paraId="0AB1C447" w14:textId="5AECB67A" w:rsidR="006B7E28" w:rsidRDefault="006B7E28" w:rsidP="006B7E28">
            <w:pPr>
              <w:spacing w:line="240" w:lineRule="auto"/>
              <w:rPr>
                <w:rFonts w:eastAsia="Times New Roman" w:cs="Arial"/>
                <w:sz w:val="24"/>
                <w:szCs w:val="24"/>
              </w:rPr>
            </w:pPr>
            <w:r>
              <w:t>Нарушения на очите</w:t>
            </w:r>
          </w:p>
        </w:tc>
        <w:tc>
          <w:tcPr>
            <w:tcW w:w="1777" w:type="dxa"/>
          </w:tcPr>
          <w:p w14:paraId="60C37F0E" w14:textId="77777777" w:rsidR="006B7E28" w:rsidRDefault="006B7E28" w:rsidP="006B7E28">
            <w:pPr>
              <w:spacing w:line="240" w:lineRule="auto"/>
              <w:rPr>
                <w:rFonts w:eastAsia="Times New Roman" w:cs="Arial"/>
                <w:sz w:val="24"/>
                <w:szCs w:val="24"/>
              </w:rPr>
            </w:pPr>
          </w:p>
        </w:tc>
        <w:tc>
          <w:tcPr>
            <w:tcW w:w="2093" w:type="dxa"/>
            <w:vAlign w:val="bottom"/>
          </w:tcPr>
          <w:p w14:paraId="46EE1CD1" w14:textId="46214DF2" w:rsidR="006B7E28" w:rsidRDefault="006B7E28" w:rsidP="006B7E28">
            <w:pPr>
              <w:spacing w:line="240" w:lineRule="auto"/>
              <w:rPr>
                <w:rFonts w:eastAsia="Times New Roman" w:cs="Arial"/>
                <w:sz w:val="24"/>
                <w:szCs w:val="24"/>
              </w:rPr>
            </w:pPr>
            <w:r>
              <w:t>Кръвоизлив в очите (конюнктивата, окото, ретината)</w:t>
            </w:r>
          </w:p>
        </w:tc>
        <w:tc>
          <w:tcPr>
            <w:tcW w:w="1617" w:type="dxa"/>
          </w:tcPr>
          <w:p w14:paraId="37D46ADF" w14:textId="77777777" w:rsidR="006B7E28" w:rsidRDefault="006B7E28" w:rsidP="006B7E28">
            <w:pPr>
              <w:spacing w:line="240" w:lineRule="auto"/>
              <w:rPr>
                <w:rFonts w:eastAsia="Times New Roman" w:cs="Arial"/>
                <w:sz w:val="24"/>
                <w:szCs w:val="24"/>
              </w:rPr>
            </w:pPr>
          </w:p>
        </w:tc>
        <w:tc>
          <w:tcPr>
            <w:tcW w:w="2159" w:type="dxa"/>
          </w:tcPr>
          <w:p w14:paraId="6B14CAE5" w14:textId="77777777" w:rsidR="006B7E28" w:rsidRDefault="006B7E28" w:rsidP="006B7E28">
            <w:pPr>
              <w:spacing w:line="240" w:lineRule="auto"/>
              <w:rPr>
                <w:rFonts w:eastAsia="Times New Roman" w:cs="Arial"/>
                <w:sz w:val="24"/>
                <w:szCs w:val="24"/>
              </w:rPr>
            </w:pPr>
          </w:p>
        </w:tc>
      </w:tr>
      <w:tr w:rsidR="006B7E28" w14:paraId="2696A707" w14:textId="77777777" w:rsidTr="006B7E28">
        <w:tc>
          <w:tcPr>
            <w:tcW w:w="1930" w:type="dxa"/>
            <w:vAlign w:val="bottom"/>
          </w:tcPr>
          <w:p w14:paraId="2173F623" w14:textId="06B81EC6" w:rsidR="006B7E28" w:rsidRDefault="006B7E28" w:rsidP="006B7E28">
            <w:pPr>
              <w:spacing w:line="240" w:lineRule="auto"/>
              <w:rPr>
                <w:rFonts w:eastAsia="Times New Roman" w:cs="Arial"/>
                <w:sz w:val="24"/>
                <w:szCs w:val="24"/>
              </w:rPr>
            </w:pPr>
            <w:r>
              <w:t>Нарушения на ухото и лабиринта</w:t>
            </w:r>
          </w:p>
        </w:tc>
        <w:tc>
          <w:tcPr>
            <w:tcW w:w="1777" w:type="dxa"/>
          </w:tcPr>
          <w:p w14:paraId="78B658CE" w14:textId="77777777" w:rsidR="006B7E28" w:rsidRDefault="006B7E28" w:rsidP="006B7E28">
            <w:pPr>
              <w:spacing w:line="240" w:lineRule="auto"/>
              <w:rPr>
                <w:rFonts w:eastAsia="Times New Roman" w:cs="Arial"/>
                <w:sz w:val="24"/>
                <w:szCs w:val="24"/>
              </w:rPr>
            </w:pPr>
          </w:p>
        </w:tc>
        <w:tc>
          <w:tcPr>
            <w:tcW w:w="2093" w:type="dxa"/>
          </w:tcPr>
          <w:p w14:paraId="0679CA9B" w14:textId="77777777" w:rsidR="006B7E28" w:rsidRDefault="006B7E28" w:rsidP="006B7E28">
            <w:pPr>
              <w:spacing w:line="240" w:lineRule="auto"/>
              <w:rPr>
                <w:rFonts w:eastAsia="Times New Roman" w:cs="Arial"/>
                <w:sz w:val="24"/>
                <w:szCs w:val="24"/>
              </w:rPr>
            </w:pPr>
          </w:p>
        </w:tc>
        <w:tc>
          <w:tcPr>
            <w:tcW w:w="1617" w:type="dxa"/>
          </w:tcPr>
          <w:p w14:paraId="095E41DA" w14:textId="60814DF2" w:rsidR="006B7E28" w:rsidRDefault="006B7E28" w:rsidP="006B7E28">
            <w:pPr>
              <w:spacing w:line="240" w:lineRule="auto"/>
              <w:rPr>
                <w:rFonts w:eastAsia="Times New Roman" w:cs="Arial"/>
                <w:sz w:val="24"/>
                <w:szCs w:val="24"/>
              </w:rPr>
            </w:pPr>
            <w:r>
              <w:t>Вертиго</w:t>
            </w:r>
          </w:p>
        </w:tc>
        <w:tc>
          <w:tcPr>
            <w:tcW w:w="2159" w:type="dxa"/>
          </w:tcPr>
          <w:p w14:paraId="0010FBC0" w14:textId="77777777" w:rsidR="006B7E28" w:rsidRDefault="006B7E28" w:rsidP="006B7E28">
            <w:pPr>
              <w:spacing w:line="240" w:lineRule="auto"/>
              <w:rPr>
                <w:rFonts w:eastAsia="Times New Roman" w:cs="Arial"/>
                <w:sz w:val="24"/>
                <w:szCs w:val="24"/>
              </w:rPr>
            </w:pPr>
          </w:p>
        </w:tc>
      </w:tr>
      <w:tr w:rsidR="006B7E28" w14:paraId="7FB9C089" w14:textId="77777777" w:rsidTr="006B7E28">
        <w:tc>
          <w:tcPr>
            <w:tcW w:w="1930" w:type="dxa"/>
          </w:tcPr>
          <w:p w14:paraId="7C928CCF" w14:textId="5B9829B5" w:rsidR="006B7E28" w:rsidRDefault="006B7E28" w:rsidP="006B7E28">
            <w:pPr>
              <w:spacing w:line="240" w:lineRule="auto"/>
              <w:rPr>
                <w:rFonts w:eastAsia="Times New Roman" w:cs="Arial"/>
                <w:sz w:val="24"/>
                <w:szCs w:val="24"/>
              </w:rPr>
            </w:pPr>
            <w:r>
              <w:t>Сърдечни нарушения</w:t>
            </w:r>
          </w:p>
        </w:tc>
        <w:tc>
          <w:tcPr>
            <w:tcW w:w="1777" w:type="dxa"/>
          </w:tcPr>
          <w:p w14:paraId="1D30E3CD" w14:textId="77777777" w:rsidR="006B7E28" w:rsidRDefault="006B7E28" w:rsidP="006B7E28">
            <w:pPr>
              <w:spacing w:line="240" w:lineRule="auto"/>
              <w:rPr>
                <w:rFonts w:eastAsia="Times New Roman" w:cs="Arial"/>
                <w:sz w:val="24"/>
                <w:szCs w:val="24"/>
              </w:rPr>
            </w:pPr>
          </w:p>
        </w:tc>
        <w:tc>
          <w:tcPr>
            <w:tcW w:w="2093" w:type="dxa"/>
          </w:tcPr>
          <w:p w14:paraId="779FFA06" w14:textId="77777777" w:rsidR="006B7E28" w:rsidRDefault="006B7E28" w:rsidP="006B7E28">
            <w:pPr>
              <w:spacing w:line="240" w:lineRule="auto"/>
              <w:rPr>
                <w:rFonts w:eastAsia="Times New Roman" w:cs="Arial"/>
                <w:sz w:val="24"/>
                <w:szCs w:val="24"/>
              </w:rPr>
            </w:pPr>
          </w:p>
        </w:tc>
        <w:tc>
          <w:tcPr>
            <w:tcW w:w="1617" w:type="dxa"/>
          </w:tcPr>
          <w:p w14:paraId="4F47AE1E" w14:textId="77777777" w:rsidR="006B7E28" w:rsidRDefault="006B7E28" w:rsidP="006B7E28">
            <w:pPr>
              <w:spacing w:line="240" w:lineRule="auto"/>
              <w:rPr>
                <w:rFonts w:eastAsia="Times New Roman" w:cs="Arial"/>
                <w:sz w:val="24"/>
                <w:szCs w:val="24"/>
              </w:rPr>
            </w:pPr>
          </w:p>
        </w:tc>
        <w:tc>
          <w:tcPr>
            <w:tcW w:w="2159" w:type="dxa"/>
            <w:vAlign w:val="bottom"/>
          </w:tcPr>
          <w:p w14:paraId="0BEF8B25" w14:textId="7784FB10" w:rsidR="006B7E28" w:rsidRDefault="006B7E28" w:rsidP="006B7E28">
            <w:pPr>
              <w:spacing w:line="240" w:lineRule="auto"/>
              <w:rPr>
                <w:rFonts w:eastAsia="Times New Roman" w:cs="Arial"/>
                <w:sz w:val="24"/>
                <w:szCs w:val="24"/>
              </w:rPr>
            </w:pPr>
            <w:r>
              <w:t>Синдром на Кунис (вазоспастична алергична стенокардия / алергичен миокарден инфаркт) в условията на свръхчувствител</w:t>
            </w:r>
            <w:r>
              <w:softHyphen/>
              <w:t>ност към клопидогрел*</w:t>
            </w:r>
          </w:p>
        </w:tc>
      </w:tr>
      <w:tr w:rsidR="006B7E28" w14:paraId="58D680D7" w14:textId="77777777" w:rsidTr="006B7E28">
        <w:tc>
          <w:tcPr>
            <w:tcW w:w="1930" w:type="dxa"/>
          </w:tcPr>
          <w:p w14:paraId="141C4D85" w14:textId="43A08DBF" w:rsidR="006B7E28" w:rsidRDefault="006B7E28" w:rsidP="006B7E28">
            <w:pPr>
              <w:spacing w:line="240" w:lineRule="auto"/>
              <w:rPr>
                <w:rFonts w:eastAsia="Times New Roman" w:cs="Arial"/>
                <w:sz w:val="24"/>
                <w:szCs w:val="24"/>
              </w:rPr>
            </w:pPr>
            <w:r>
              <w:t>Съдови нарушения</w:t>
            </w:r>
          </w:p>
        </w:tc>
        <w:tc>
          <w:tcPr>
            <w:tcW w:w="1777" w:type="dxa"/>
          </w:tcPr>
          <w:p w14:paraId="1CD6A3A3" w14:textId="016AB8D3" w:rsidR="006B7E28" w:rsidRDefault="006B7E28" w:rsidP="006B7E28">
            <w:pPr>
              <w:spacing w:line="240" w:lineRule="auto"/>
              <w:rPr>
                <w:rFonts w:eastAsia="Times New Roman" w:cs="Arial"/>
                <w:sz w:val="24"/>
                <w:szCs w:val="24"/>
              </w:rPr>
            </w:pPr>
            <w:r>
              <w:t>Хематом</w:t>
            </w:r>
          </w:p>
        </w:tc>
        <w:tc>
          <w:tcPr>
            <w:tcW w:w="2093" w:type="dxa"/>
          </w:tcPr>
          <w:p w14:paraId="71506028" w14:textId="77777777" w:rsidR="006B7E28" w:rsidRDefault="006B7E28" w:rsidP="006B7E28">
            <w:pPr>
              <w:spacing w:line="240" w:lineRule="auto"/>
              <w:rPr>
                <w:rFonts w:eastAsia="Times New Roman" w:cs="Arial"/>
                <w:sz w:val="24"/>
                <w:szCs w:val="24"/>
              </w:rPr>
            </w:pPr>
          </w:p>
        </w:tc>
        <w:tc>
          <w:tcPr>
            <w:tcW w:w="1617" w:type="dxa"/>
          </w:tcPr>
          <w:p w14:paraId="3385C45C" w14:textId="77777777" w:rsidR="006B7E28" w:rsidRDefault="006B7E28" w:rsidP="006B7E28">
            <w:pPr>
              <w:spacing w:line="240" w:lineRule="auto"/>
              <w:rPr>
                <w:rFonts w:eastAsia="Times New Roman" w:cs="Arial"/>
                <w:sz w:val="24"/>
                <w:szCs w:val="24"/>
              </w:rPr>
            </w:pPr>
          </w:p>
        </w:tc>
        <w:tc>
          <w:tcPr>
            <w:tcW w:w="2159" w:type="dxa"/>
          </w:tcPr>
          <w:p w14:paraId="2DCAD191" w14:textId="7641215C" w:rsidR="006B7E28" w:rsidRDefault="006B7E28" w:rsidP="006B7E28">
            <w:pPr>
              <w:spacing w:line="240" w:lineRule="auto"/>
              <w:rPr>
                <w:rFonts w:eastAsia="Times New Roman" w:cs="Arial"/>
                <w:sz w:val="24"/>
                <w:szCs w:val="24"/>
              </w:rPr>
            </w:pPr>
            <w:r>
              <w:t>Сериозна хеморагия, кървене от оперативна рана, васкулит, хипотония</w:t>
            </w:r>
          </w:p>
        </w:tc>
      </w:tr>
      <w:tr w:rsidR="006B7E28" w14:paraId="47DFEC7D" w14:textId="77777777" w:rsidTr="006B7E28">
        <w:tc>
          <w:tcPr>
            <w:tcW w:w="1930" w:type="dxa"/>
          </w:tcPr>
          <w:p w14:paraId="381997CA" w14:textId="0B18A381" w:rsidR="006B7E28" w:rsidRDefault="006B7E28" w:rsidP="006B7E28">
            <w:pPr>
              <w:spacing w:line="240" w:lineRule="auto"/>
              <w:rPr>
                <w:rFonts w:eastAsia="Times New Roman" w:cs="Arial"/>
                <w:sz w:val="24"/>
                <w:szCs w:val="24"/>
              </w:rPr>
            </w:pPr>
            <w:r>
              <w:t>Респираторни, гръдни и медиастинални нарушения</w:t>
            </w:r>
          </w:p>
        </w:tc>
        <w:tc>
          <w:tcPr>
            <w:tcW w:w="1777" w:type="dxa"/>
          </w:tcPr>
          <w:p w14:paraId="48E0F880" w14:textId="4B453141" w:rsidR="006B7E28" w:rsidRDefault="006B7E28" w:rsidP="006B7E28">
            <w:pPr>
              <w:spacing w:line="240" w:lineRule="auto"/>
              <w:rPr>
                <w:rFonts w:eastAsia="Times New Roman" w:cs="Arial"/>
                <w:sz w:val="24"/>
                <w:szCs w:val="24"/>
              </w:rPr>
            </w:pPr>
            <w:r>
              <w:t>Епистаксис</w:t>
            </w:r>
          </w:p>
        </w:tc>
        <w:tc>
          <w:tcPr>
            <w:tcW w:w="2093" w:type="dxa"/>
          </w:tcPr>
          <w:p w14:paraId="79AA115A" w14:textId="77777777" w:rsidR="006B7E28" w:rsidRDefault="006B7E28" w:rsidP="006B7E28">
            <w:pPr>
              <w:spacing w:line="240" w:lineRule="auto"/>
              <w:rPr>
                <w:rFonts w:eastAsia="Times New Roman" w:cs="Arial"/>
                <w:sz w:val="24"/>
                <w:szCs w:val="24"/>
              </w:rPr>
            </w:pPr>
          </w:p>
        </w:tc>
        <w:tc>
          <w:tcPr>
            <w:tcW w:w="1617" w:type="dxa"/>
          </w:tcPr>
          <w:p w14:paraId="0C689525" w14:textId="77777777" w:rsidR="006B7E28" w:rsidRDefault="006B7E28" w:rsidP="006B7E28">
            <w:pPr>
              <w:spacing w:line="240" w:lineRule="auto"/>
              <w:rPr>
                <w:rFonts w:eastAsia="Times New Roman" w:cs="Arial"/>
                <w:sz w:val="24"/>
                <w:szCs w:val="24"/>
              </w:rPr>
            </w:pPr>
          </w:p>
        </w:tc>
        <w:tc>
          <w:tcPr>
            <w:tcW w:w="2159" w:type="dxa"/>
            <w:vAlign w:val="bottom"/>
          </w:tcPr>
          <w:p w14:paraId="232E7234" w14:textId="387F5697" w:rsidR="006B7E28" w:rsidRDefault="006B7E28" w:rsidP="006B7E28">
            <w:pPr>
              <w:spacing w:line="240" w:lineRule="auto"/>
              <w:rPr>
                <w:rFonts w:eastAsia="Times New Roman" w:cs="Arial"/>
                <w:sz w:val="24"/>
                <w:szCs w:val="24"/>
              </w:rPr>
            </w:pPr>
            <w:r>
              <w:t>Кръвоизливи в дихателната система, (хемоптиза, белодробна хеморагия), бронхоспазъм, интерстициален пневмонит, еозинофилна пневмония</w:t>
            </w:r>
          </w:p>
        </w:tc>
      </w:tr>
      <w:tr w:rsidR="006B7E28" w14:paraId="1E0ECBD0" w14:textId="77777777" w:rsidTr="006B7E28">
        <w:tc>
          <w:tcPr>
            <w:tcW w:w="1930" w:type="dxa"/>
          </w:tcPr>
          <w:p w14:paraId="748048B4" w14:textId="0829BFBE" w:rsidR="006B7E28" w:rsidRDefault="006B7E28" w:rsidP="006B7E28">
            <w:pPr>
              <w:spacing w:line="240" w:lineRule="auto"/>
              <w:rPr>
                <w:rFonts w:eastAsia="Times New Roman" w:cs="Arial"/>
                <w:sz w:val="24"/>
                <w:szCs w:val="24"/>
              </w:rPr>
            </w:pPr>
            <w:r>
              <w:t>Стомашно-чревни нарушения</w:t>
            </w:r>
          </w:p>
        </w:tc>
        <w:tc>
          <w:tcPr>
            <w:tcW w:w="1777" w:type="dxa"/>
          </w:tcPr>
          <w:p w14:paraId="787224A9" w14:textId="44AD8A2E" w:rsidR="006B7E28" w:rsidRDefault="006B7E28" w:rsidP="006B7E28">
            <w:pPr>
              <w:spacing w:line="240" w:lineRule="auto"/>
              <w:rPr>
                <w:rFonts w:eastAsia="Times New Roman" w:cs="Arial"/>
                <w:sz w:val="24"/>
                <w:szCs w:val="24"/>
              </w:rPr>
            </w:pPr>
            <w:r>
              <w:t>Стомашно- чревна хеморагия, диария, коремна болка, диспепсия</w:t>
            </w:r>
          </w:p>
        </w:tc>
        <w:tc>
          <w:tcPr>
            <w:tcW w:w="2093" w:type="dxa"/>
          </w:tcPr>
          <w:p w14:paraId="4DF57096" w14:textId="509ADC5A" w:rsidR="006B7E28" w:rsidRDefault="006B7E28" w:rsidP="006B7E28">
            <w:pPr>
              <w:spacing w:line="240" w:lineRule="auto"/>
              <w:rPr>
                <w:rFonts w:eastAsia="Times New Roman" w:cs="Arial"/>
                <w:sz w:val="24"/>
                <w:szCs w:val="24"/>
              </w:rPr>
            </w:pPr>
            <w:r>
              <w:t>Стомашна язва и дуоденална язва, гастрит, повръ</w:t>
            </w:r>
            <w:r>
              <w:softHyphen/>
              <w:t>щане, гадене, запек, флату- ленция</w:t>
            </w:r>
          </w:p>
        </w:tc>
        <w:tc>
          <w:tcPr>
            <w:tcW w:w="1617" w:type="dxa"/>
          </w:tcPr>
          <w:p w14:paraId="5BED1ACF" w14:textId="60045A23" w:rsidR="006B7E28" w:rsidRDefault="006B7E28" w:rsidP="006B7E28">
            <w:pPr>
              <w:spacing w:line="240" w:lineRule="auto"/>
              <w:rPr>
                <w:rFonts w:eastAsia="Times New Roman" w:cs="Arial"/>
                <w:sz w:val="24"/>
                <w:szCs w:val="24"/>
              </w:rPr>
            </w:pPr>
            <w:r>
              <w:t>Ретроперито- неална хеморагия</w:t>
            </w:r>
          </w:p>
        </w:tc>
        <w:tc>
          <w:tcPr>
            <w:tcW w:w="2159" w:type="dxa"/>
            <w:vAlign w:val="bottom"/>
          </w:tcPr>
          <w:p w14:paraId="322A5BC1" w14:textId="2202CAB5" w:rsidR="006B7E28" w:rsidRDefault="006B7E28" w:rsidP="006B7E28">
            <w:pPr>
              <w:spacing w:line="240" w:lineRule="auto"/>
              <w:rPr>
                <w:rFonts w:eastAsia="Times New Roman" w:cs="Arial"/>
                <w:sz w:val="24"/>
                <w:szCs w:val="24"/>
              </w:rPr>
            </w:pPr>
            <w:r>
              <w:t>Стомашно-чревна и ретроперито-неална хеморагия с фатален изход, панкреатит, колит (включително язвен или лимфоцитен колит), стоматит</w:t>
            </w:r>
          </w:p>
        </w:tc>
      </w:tr>
      <w:tr w:rsidR="006B7E28" w14:paraId="6FB95529" w14:textId="77777777" w:rsidTr="006B7E28">
        <w:tc>
          <w:tcPr>
            <w:tcW w:w="1930" w:type="dxa"/>
          </w:tcPr>
          <w:p w14:paraId="38ADB617" w14:textId="60273AFF" w:rsidR="006B7E28" w:rsidRDefault="006B7E28" w:rsidP="006B7E28">
            <w:pPr>
              <w:spacing w:line="240" w:lineRule="auto"/>
              <w:rPr>
                <w:rFonts w:eastAsia="Times New Roman" w:cs="Arial"/>
                <w:sz w:val="24"/>
                <w:szCs w:val="24"/>
              </w:rPr>
            </w:pPr>
            <w:r>
              <w:t>Хепатобилиарни нарушения</w:t>
            </w:r>
          </w:p>
        </w:tc>
        <w:tc>
          <w:tcPr>
            <w:tcW w:w="1777" w:type="dxa"/>
          </w:tcPr>
          <w:p w14:paraId="7B2F6DCA" w14:textId="77777777" w:rsidR="006B7E28" w:rsidRDefault="006B7E28" w:rsidP="006B7E28">
            <w:pPr>
              <w:spacing w:line="240" w:lineRule="auto"/>
              <w:rPr>
                <w:rFonts w:eastAsia="Times New Roman" w:cs="Arial"/>
                <w:sz w:val="24"/>
                <w:szCs w:val="24"/>
              </w:rPr>
            </w:pPr>
          </w:p>
        </w:tc>
        <w:tc>
          <w:tcPr>
            <w:tcW w:w="2093" w:type="dxa"/>
          </w:tcPr>
          <w:p w14:paraId="6593CBA0" w14:textId="77777777" w:rsidR="006B7E28" w:rsidRDefault="006B7E28" w:rsidP="006B7E28">
            <w:pPr>
              <w:spacing w:line="240" w:lineRule="auto"/>
              <w:rPr>
                <w:rFonts w:eastAsia="Times New Roman" w:cs="Arial"/>
                <w:sz w:val="24"/>
                <w:szCs w:val="24"/>
              </w:rPr>
            </w:pPr>
          </w:p>
        </w:tc>
        <w:tc>
          <w:tcPr>
            <w:tcW w:w="1617" w:type="dxa"/>
          </w:tcPr>
          <w:p w14:paraId="71F7B308" w14:textId="77777777" w:rsidR="006B7E28" w:rsidRDefault="006B7E28" w:rsidP="006B7E28">
            <w:pPr>
              <w:spacing w:line="240" w:lineRule="auto"/>
              <w:rPr>
                <w:rFonts w:eastAsia="Times New Roman" w:cs="Arial"/>
                <w:sz w:val="24"/>
                <w:szCs w:val="24"/>
              </w:rPr>
            </w:pPr>
          </w:p>
        </w:tc>
        <w:tc>
          <w:tcPr>
            <w:tcW w:w="2159" w:type="dxa"/>
            <w:vAlign w:val="bottom"/>
          </w:tcPr>
          <w:p w14:paraId="469C280D" w14:textId="5C0F4025" w:rsidR="006B7E28" w:rsidRDefault="006B7E28" w:rsidP="006B7E28">
            <w:pPr>
              <w:spacing w:line="240" w:lineRule="auto"/>
              <w:rPr>
                <w:rFonts w:eastAsia="Times New Roman" w:cs="Arial"/>
                <w:sz w:val="24"/>
                <w:szCs w:val="24"/>
              </w:rPr>
            </w:pPr>
            <w:r>
              <w:t xml:space="preserve">Остра чернодробна недостатъчност, </w:t>
            </w:r>
            <w:r>
              <w:lastRenderedPageBreak/>
              <w:t>хепатит, отклонения в изследванията на чернодробната функция</w:t>
            </w:r>
          </w:p>
        </w:tc>
      </w:tr>
      <w:tr w:rsidR="006B7E28" w14:paraId="3E58FA48" w14:textId="77777777" w:rsidTr="006B7E28">
        <w:tc>
          <w:tcPr>
            <w:tcW w:w="1930" w:type="dxa"/>
          </w:tcPr>
          <w:p w14:paraId="3404E8F3" w14:textId="501CC0C7" w:rsidR="006B7E28" w:rsidRDefault="006B7E28" w:rsidP="006B7E28">
            <w:pPr>
              <w:spacing w:line="240" w:lineRule="auto"/>
              <w:rPr>
                <w:rFonts w:eastAsia="Times New Roman" w:cs="Arial"/>
                <w:sz w:val="24"/>
                <w:szCs w:val="24"/>
              </w:rPr>
            </w:pPr>
            <w:r>
              <w:lastRenderedPageBreak/>
              <w:t>Нарушения на кожата и подкожната тъкан</w:t>
            </w:r>
          </w:p>
        </w:tc>
        <w:tc>
          <w:tcPr>
            <w:tcW w:w="1777" w:type="dxa"/>
          </w:tcPr>
          <w:p w14:paraId="3B699136" w14:textId="7A1C7D5D" w:rsidR="006B7E28" w:rsidRDefault="006B7E28" w:rsidP="006B7E28">
            <w:pPr>
              <w:spacing w:line="240" w:lineRule="auto"/>
              <w:rPr>
                <w:rFonts w:eastAsia="Times New Roman" w:cs="Arial"/>
                <w:sz w:val="24"/>
                <w:szCs w:val="24"/>
              </w:rPr>
            </w:pPr>
            <w:r>
              <w:t>Кръвонасядане</w:t>
            </w:r>
          </w:p>
        </w:tc>
        <w:tc>
          <w:tcPr>
            <w:tcW w:w="2093" w:type="dxa"/>
          </w:tcPr>
          <w:p w14:paraId="5BF4A3C6" w14:textId="32024848" w:rsidR="006B7E28" w:rsidRDefault="006B7E28" w:rsidP="006B7E28">
            <w:pPr>
              <w:spacing w:line="240" w:lineRule="auto"/>
              <w:rPr>
                <w:rFonts w:eastAsia="Times New Roman" w:cs="Arial"/>
                <w:sz w:val="24"/>
                <w:szCs w:val="24"/>
              </w:rPr>
            </w:pPr>
            <w:r>
              <w:t>Обрив, сърбеж, кожни кръвоизливи (пурпура)</w:t>
            </w:r>
          </w:p>
        </w:tc>
        <w:tc>
          <w:tcPr>
            <w:tcW w:w="1617" w:type="dxa"/>
          </w:tcPr>
          <w:p w14:paraId="533BD6FE" w14:textId="77777777" w:rsidR="006B7E28" w:rsidRDefault="006B7E28" w:rsidP="006B7E28">
            <w:pPr>
              <w:spacing w:line="240" w:lineRule="auto"/>
              <w:rPr>
                <w:rFonts w:eastAsia="Times New Roman" w:cs="Arial"/>
                <w:sz w:val="24"/>
                <w:szCs w:val="24"/>
              </w:rPr>
            </w:pPr>
          </w:p>
        </w:tc>
        <w:tc>
          <w:tcPr>
            <w:tcW w:w="2159" w:type="dxa"/>
            <w:vAlign w:val="bottom"/>
          </w:tcPr>
          <w:p w14:paraId="1C9BB06D" w14:textId="77777777" w:rsidR="006B7E28" w:rsidRDefault="006B7E28" w:rsidP="006B7E28">
            <w:r>
              <w:t xml:space="preserve">Булозен дерматит (токсична епидермална некролиза, синдром на </w:t>
            </w:r>
            <w:r>
              <w:rPr>
                <w:lang w:val="en-US"/>
              </w:rPr>
              <w:t>Stevens</w:t>
            </w:r>
            <w:r w:rsidRPr="006B7E28">
              <w:t>-</w:t>
            </w:r>
            <w:r>
              <w:rPr>
                <w:lang w:val="en-US"/>
              </w:rPr>
              <w:t>Johnson</w:t>
            </w:r>
            <w:r w:rsidRPr="006B7E28">
              <w:t xml:space="preserve">, </w:t>
            </w:r>
            <w:r>
              <w:t xml:space="preserve">еритема мултиформе, остра генерализирана екзантемна пустулоза </w:t>
            </w:r>
            <w:r w:rsidRPr="006B7E28">
              <w:t>(</w:t>
            </w:r>
            <w:r>
              <w:rPr>
                <w:lang w:val="en-US"/>
              </w:rPr>
              <w:t>AGEP</w:t>
            </w:r>
            <w:r w:rsidRPr="006B7E28">
              <w:t xml:space="preserve">)), </w:t>
            </w:r>
            <w:r>
              <w:t>ангиоедема, синдром на лекарствено индуцирана свръхчувствител</w:t>
            </w:r>
            <w:r>
              <w:softHyphen/>
              <w:t xml:space="preserve">ност, лекарствен обрив с еозинофилия и системни симптоми </w:t>
            </w:r>
            <w:r w:rsidRPr="006B7E28">
              <w:t>(</w:t>
            </w:r>
            <w:r>
              <w:rPr>
                <w:lang w:val="en-US"/>
              </w:rPr>
              <w:t>DRESS</w:t>
            </w:r>
            <w:r w:rsidRPr="006B7E28">
              <w:t xml:space="preserve">) </w:t>
            </w:r>
            <w:r>
              <w:t>еритематозен или ексфолиативен обрив, уртикария, екзема, лихен</w:t>
            </w:r>
          </w:p>
          <w:p w14:paraId="39B3B5FA" w14:textId="1BCBF6E7" w:rsidR="006B7E28" w:rsidRDefault="006B7E28" w:rsidP="006B7E28">
            <w:pPr>
              <w:spacing w:line="240" w:lineRule="auto"/>
              <w:rPr>
                <w:rFonts w:eastAsia="Times New Roman" w:cs="Arial"/>
                <w:sz w:val="24"/>
                <w:szCs w:val="24"/>
              </w:rPr>
            </w:pPr>
            <w:r>
              <w:t>планус</w:t>
            </w:r>
          </w:p>
        </w:tc>
      </w:tr>
      <w:tr w:rsidR="006B7E28" w14:paraId="7BAE31C2" w14:textId="77777777" w:rsidTr="006B7E28">
        <w:tc>
          <w:tcPr>
            <w:tcW w:w="1930" w:type="dxa"/>
          </w:tcPr>
          <w:p w14:paraId="76867A6A" w14:textId="66A3716B" w:rsidR="006B7E28" w:rsidRDefault="006B7E28" w:rsidP="006B7E28">
            <w:pPr>
              <w:spacing w:line="240" w:lineRule="auto"/>
              <w:rPr>
                <w:rFonts w:eastAsia="Times New Roman" w:cs="Arial"/>
                <w:sz w:val="24"/>
                <w:szCs w:val="24"/>
              </w:rPr>
            </w:pPr>
            <w:r>
              <w:t>Нарушения на мускулно- скелетната система и съединителната тъкан</w:t>
            </w:r>
          </w:p>
        </w:tc>
        <w:tc>
          <w:tcPr>
            <w:tcW w:w="1777" w:type="dxa"/>
          </w:tcPr>
          <w:p w14:paraId="201321AE" w14:textId="77777777" w:rsidR="006B7E28" w:rsidRDefault="006B7E28" w:rsidP="006B7E28">
            <w:pPr>
              <w:spacing w:line="240" w:lineRule="auto"/>
              <w:rPr>
                <w:rFonts w:eastAsia="Times New Roman" w:cs="Arial"/>
                <w:sz w:val="24"/>
                <w:szCs w:val="24"/>
              </w:rPr>
            </w:pPr>
          </w:p>
        </w:tc>
        <w:tc>
          <w:tcPr>
            <w:tcW w:w="2093" w:type="dxa"/>
          </w:tcPr>
          <w:p w14:paraId="18FFDCB7" w14:textId="77777777" w:rsidR="006B7E28" w:rsidRDefault="006B7E28" w:rsidP="006B7E28">
            <w:pPr>
              <w:spacing w:line="240" w:lineRule="auto"/>
              <w:rPr>
                <w:rFonts w:eastAsia="Times New Roman" w:cs="Arial"/>
                <w:sz w:val="24"/>
                <w:szCs w:val="24"/>
              </w:rPr>
            </w:pPr>
          </w:p>
        </w:tc>
        <w:tc>
          <w:tcPr>
            <w:tcW w:w="1617" w:type="dxa"/>
          </w:tcPr>
          <w:p w14:paraId="2AC31D6B" w14:textId="77777777" w:rsidR="006B7E28" w:rsidRDefault="006B7E28" w:rsidP="006B7E28">
            <w:pPr>
              <w:spacing w:line="240" w:lineRule="auto"/>
              <w:rPr>
                <w:rFonts w:eastAsia="Times New Roman" w:cs="Arial"/>
                <w:sz w:val="24"/>
                <w:szCs w:val="24"/>
              </w:rPr>
            </w:pPr>
          </w:p>
        </w:tc>
        <w:tc>
          <w:tcPr>
            <w:tcW w:w="2159" w:type="dxa"/>
          </w:tcPr>
          <w:p w14:paraId="1A4C498C" w14:textId="2742FCF9" w:rsidR="006B7E28" w:rsidRDefault="006B7E28" w:rsidP="006B7E28">
            <w:pPr>
              <w:spacing w:line="240" w:lineRule="auto"/>
              <w:rPr>
                <w:rFonts w:eastAsia="Times New Roman" w:cs="Arial"/>
                <w:sz w:val="24"/>
                <w:szCs w:val="24"/>
              </w:rPr>
            </w:pPr>
            <w:r>
              <w:t>Кръвоизливи в мускулно- скелетната система (хемартроза), артрит, артралгия, миалгия</w:t>
            </w:r>
          </w:p>
        </w:tc>
      </w:tr>
      <w:tr w:rsidR="006B7E28" w14:paraId="6B29DFA3" w14:textId="77777777" w:rsidTr="006B7E28">
        <w:tc>
          <w:tcPr>
            <w:tcW w:w="1930" w:type="dxa"/>
          </w:tcPr>
          <w:p w14:paraId="64B7DEA1" w14:textId="4FEFB3E6" w:rsidR="006B7E28" w:rsidRDefault="006B7E28" w:rsidP="006B7E28">
            <w:pPr>
              <w:spacing w:line="240" w:lineRule="auto"/>
              <w:rPr>
                <w:rFonts w:eastAsia="Times New Roman" w:cs="Arial"/>
                <w:sz w:val="24"/>
                <w:szCs w:val="24"/>
              </w:rPr>
            </w:pPr>
            <w:r>
              <w:t>Нарушения на бъбреците и пикочните пътища</w:t>
            </w:r>
          </w:p>
        </w:tc>
        <w:tc>
          <w:tcPr>
            <w:tcW w:w="1777" w:type="dxa"/>
          </w:tcPr>
          <w:p w14:paraId="7CE4A9C4" w14:textId="77777777" w:rsidR="006B7E28" w:rsidRDefault="006B7E28" w:rsidP="006B7E28">
            <w:pPr>
              <w:spacing w:line="240" w:lineRule="auto"/>
              <w:rPr>
                <w:rFonts w:eastAsia="Times New Roman" w:cs="Arial"/>
                <w:sz w:val="24"/>
                <w:szCs w:val="24"/>
              </w:rPr>
            </w:pPr>
          </w:p>
        </w:tc>
        <w:tc>
          <w:tcPr>
            <w:tcW w:w="2093" w:type="dxa"/>
          </w:tcPr>
          <w:p w14:paraId="6B51B7E4" w14:textId="39D5576C" w:rsidR="006B7E28" w:rsidRDefault="006B7E28" w:rsidP="006B7E28">
            <w:pPr>
              <w:spacing w:line="240" w:lineRule="auto"/>
              <w:rPr>
                <w:rFonts w:eastAsia="Times New Roman" w:cs="Arial"/>
                <w:sz w:val="24"/>
                <w:szCs w:val="24"/>
              </w:rPr>
            </w:pPr>
            <w:r>
              <w:t>Хематурия</w:t>
            </w:r>
          </w:p>
        </w:tc>
        <w:tc>
          <w:tcPr>
            <w:tcW w:w="1617" w:type="dxa"/>
          </w:tcPr>
          <w:p w14:paraId="3908910D" w14:textId="77777777" w:rsidR="006B7E28" w:rsidRDefault="006B7E28" w:rsidP="006B7E28">
            <w:pPr>
              <w:spacing w:line="240" w:lineRule="auto"/>
              <w:rPr>
                <w:rFonts w:eastAsia="Times New Roman" w:cs="Arial"/>
                <w:sz w:val="24"/>
                <w:szCs w:val="24"/>
              </w:rPr>
            </w:pPr>
          </w:p>
        </w:tc>
        <w:tc>
          <w:tcPr>
            <w:tcW w:w="2159" w:type="dxa"/>
          </w:tcPr>
          <w:p w14:paraId="18B176DE" w14:textId="48878E0B" w:rsidR="006B7E28" w:rsidRDefault="006B7E28" w:rsidP="006B7E28">
            <w:pPr>
              <w:spacing w:line="240" w:lineRule="auto"/>
              <w:rPr>
                <w:rFonts w:eastAsia="Times New Roman" w:cs="Arial"/>
                <w:sz w:val="24"/>
                <w:szCs w:val="24"/>
              </w:rPr>
            </w:pPr>
            <w:r>
              <w:t>Гломеруло-нефрит, повишен креатинин в кръвта</w:t>
            </w:r>
          </w:p>
        </w:tc>
      </w:tr>
      <w:tr w:rsidR="006B7E28" w14:paraId="756F1C81" w14:textId="77777777" w:rsidTr="006B7E28">
        <w:tc>
          <w:tcPr>
            <w:tcW w:w="1930" w:type="dxa"/>
          </w:tcPr>
          <w:p w14:paraId="40756ADF" w14:textId="13612499" w:rsidR="006B7E28" w:rsidRDefault="006B7E28" w:rsidP="006B7E28">
            <w:pPr>
              <w:spacing w:line="240" w:lineRule="auto"/>
              <w:rPr>
                <w:rFonts w:eastAsia="Times New Roman" w:cs="Arial"/>
                <w:sz w:val="24"/>
                <w:szCs w:val="24"/>
              </w:rPr>
            </w:pPr>
            <w:r>
              <w:t>Нарушения на репродуктивнат</w:t>
            </w:r>
            <w:r>
              <w:lastRenderedPageBreak/>
              <w:t>а система и гърдите</w:t>
            </w:r>
          </w:p>
        </w:tc>
        <w:tc>
          <w:tcPr>
            <w:tcW w:w="1777" w:type="dxa"/>
          </w:tcPr>
          <w:p w14:paraId="7391D42F" w14:textId="77777777" w:rsidR="006B7E28" w:rsidRDefault="006B7E28" w:rsidP="006B7E28">
            <w:pPr>
              <w:spacing w:line="240" w:lineRule="auto"/>
              <w:rPr>
                <w:rFonts w:eastAsia="Times New Roman" w:cs="Arial"/>
                <w:sz w:val="24"/>
                <w:szCs w:val="24"/>
              </w:rPr>
            </w:pPr>
          </w:p>
        </w:tc>
        <w:tc>
          <w:tcPr>
            <w:tcW w:w="2093" w:type="dxa"/>
          </w:tcPr>
          <w:p w14:paraId="3C8613D9" w14:textId="77777777" w:rsidR="006B7E28" w:rsidRDefault="006B7E28" w:rsidP="006B7E28">
            <w:pPr>
              <w:spacing w:line="240" w:lineRule="auto"/>
              <w:rPr>
                <w:rFonts w:eastAsia="Times New Roman" w:cs="Arial"/>
                <w:sz w:val="24"/>
                <w:szCs w:val="24"/>
              </w:rPr>
            </w:pPr>
          </w:p>
        </w:tc>
        <w:tc>
          <w:tcPr>
            <w:tcW w:w="1617" w:type="dxa"/>
          </w:tcPr>
          <w:p w14:paraId="7EB44093" w14:textId="10C5CAF1" w:rsidR="006B7E28" w:rsidRDefault="006B7E28" w:rsidP="006B7E28">
            <w:pPr>
              <w:spacing w:line="240" w:lineRule="auto"/>
              <w:rPr>
                <w:rFonts w:eastAsia="Times New Roman" w:cs="Arial"/>
                <w:sz w:val="24"/>
                <w:szCs w:val="24"/>
              </w:rPr>
            </w:pPr>
            <w:r>
              <w:t>Гинекомастия</w:t>
            </w:r>
          </w:p>
        </w:tc>
        <w:tc>
          <w:tcPr>
            <w:tcW w:w="2159" w:type="dxa"/>
          </w:tcPr>
          <w:p w14:paraId="641E31F3" w14:textId="77777777" w:rsidR="006B7E28" w:rsidRDefault="006B7E28" w:rsidP="006B7E28">
            <w:pPr>
              <w:spacing w:line="240" w:lineRule="auto"/>
              <w:rPr>
                <w:rFonts w:eastAsia="Times New Roman" w:cs="Arial"/>
                <w:sz w:val="24"/>
                <w:szCs w:val="24"/>
              </w:rPr>
            </w:pPr>
          </w:p>
        </w:tc>
      </w:tr>
      <w:tr w:rsidR="006B7E28" w14:paraId="4FBDDA64" w14:textId="77777777" w:rsidTr="006B7E28">
        <w:tc>
          <w:tcPr>
            <w:tcW w:w="1930" w:type="dxa"/>
          </w:tcPr>
          <w:p w14:paraId="42A569EA" w14:textId="0F072C5C" w:rsidR="006B7E28" w:rsidRDefault="006B7E28" w:rsidP="006B7E28">
            <w:pPr>
              <w:spacing w:line="240" w:lineRule="auto"/>
              <w:rPr>
                <w:rFonts w:eastAsia="Times New Roman" w:cs="Arial"/>
                <w:sz w:val="24"/>
                <w:szCs w:val="24"/>
              </w:rPr>
            </w:pPr>
            <w:r>
              <w:t>Общи нарушения и ефекти на мястото на приложение</w:t>
            </w:r>
          </w:p>
        </w:tc>
        <w:tc>
          <w:tcPr>
            <w:tcW w:w="1777" w:type="dxa"/>
          </w:tcPr>
          <w:p w14:paraId="5EDD02F5" w14:textId="213D90BA" w:rsidR="006B7E28" w:rsidRDefault="006B7E28" w:rsidP="006B7E28">
            <w:pPr>
              <w:spacing w:line="240" w:lineRule="auto"/>
              <w:rPr>
                <w:rFonts w:eastAsia="Times New Roman" w:cs="Arial"/>
                <w:sz w:val="24"/>
                <w:szCs w:val="24"/>
              </w:rPr>
            </w:pPr>
            <w:r>
              <w:t>Кървене на мястото на пробив</w:t>
            </w:r>
          </w:p>
        </w:tc>
        <w:tc>
          <w:tcPr>
            <w:tcW w:w="2093" w:type="dxa"/>
          </w:tcPr>
          <w:p w14:paraId="5FC75FBF" w14:textId="77777777" w:rsidR="006B7E28" w:rsidRDefault="006B7E28" w:rsidP="006B7E28">
            <w:pPr>
              <w:spacing w:line="240" w:lineRule="auto"/>
              <w:rPr>
                <w:rFonts w:eastAsia="Times New Roman" w:cs="Arial"/>
                <w:sz w:val="24"/>
                <w:szCs w:val="24"/>
              </w:rPr>
            </w:pPr>
          </w:p>
        </w:tc>
        <w:tc>
          <w:tcPr>
            <w:tcW w:w="1617" w:type="dxa"/>
          </w:tcPr>
          <w:p w14:paraId="7EB10E0E" w14:textId="77777777" w:rsidR="006B7E28" w:rsidRDefault="006B7E28" w:rsidP="006B7E28">
            <w:pPr>
              <w:spacing w:line="240" w:lineRule="auto"/>
              <w:rPr>
                <w:rFonts w:eastAsia="Times New Roman" w:cs="Arial"/>
                <w:sz w:val="24"/>
                <w:szCs w:val="24"/>
              </w:rPr>
            </w:pPr>
          </w:p>
        </w:tc>
        <w:tc>
          <w:tcPr>
            <w:tcW w:w="2159" w:type="dxa"/>
          </w:tcPr>
          <w:p w14:paraId="69752FF6" w14:textId="51E5F81A" w:rsidR="006B7E28" w:rsidRDefault="006B7E28" w:rsidP="006B7E28">
            <w:pPr>
              <w:spacing w:line="240" w:lineRule="auto"/>
              <w:rPr>
                <w:rFonts w:eastAsia="Times New Roman" w:cs="Arial"/>
                <w:sz w:val="24"/>
                <w:szCs w:val="24"/>
              </w:rPr>
            </w:pPr>
            <w:r>
              <w:t>Треска</w:t>
            </w:r>
          </w:p>
        </w:tc>
      </w:tr>
      <w:tr w:rsidR="006B7E28" w14:paraId="50247115" w14:textId="77777777" w:rsidTr="006B7E28">
        <w:tc>
          <w:tcPr>
            <w:tcW w:w="1930" w:type="dxa"/>
          </w:tcPr>
          <w:p w14:paraId="417008FE" w14:textId="7E6BD0B0" w:rsidR="006B7E28" w:rsidRDefault="006B7E28" w:rsidP="006B7E28">
            <w:pPr>
              <w:spacing w:line="240" w:lineRule="auto"/>
              <w:rPr>
                <w:rFonts w:eastAsia="Times New Roman" w:cs="Arial"/>
                <w:sz w:val="24"/>
                <w:szCs w:val="24"/>
              </w:rPr>
            </w:pPr>
            <w:r>
              <w:t>Изследвания</w:t>
            </w:r>
          </w:p>
        </w:tc>
        <w:tc>
          <w:tcPr>
            <w:tcW w:w="1777" w:type="dxa"/>
          </w:tcPr>
          <w:p w14:paraId="0215C9E0" w14:textId="77777777" w:rsidR="006B7E28" w:rsidRDefault="006B7E28" w:rsidP="006B7E28">
            <w:pPr>
              <w:spacing w:line="240" w:lineRule="auto"/>
              <w:rPr>
                <w:rFonts w:eastAsia="Times New Roman" w:cs="Arial"/>
                <w:sz w:val="24"/>
                <w:szCs w:val="24"/>
              </w:rPr>
            </w:pPr>
          </w:p>
        </w:tc>
        <w:tc>
          <w:tcPr>
            <w:tcW w:w="2093" w:type="dxa"/>
          </w:tcPr>
          <w:p w14:paraId="18EE4270" w14:textId="0931E893" w:rsidR="006B7E28" w:rsidRDefault="006B7E28" w:rsidP="006B7E28">
            <w:pPr>
              <w:spacing w:line="240" w:lineRule="auto"/>
              <w:rPr>
                <w:rFonts w:eastAsia="Times New Roman" w:cs="Arial"/>
                <w:sz w:val="24"/>
                <w:szCs w:val="24"/>
              </w:rPr>
            </w:pPr>
            <w:r>
              <w:t>Удължено време на кървене, понижен брой неутрофили, понижен брой тромбоцити</w:t>
            </w:r>
          </w:p>
        </w:tc>
        <w:tc>
          <w:tcPr>
            <w:tcW w:w="1617" w:type="dxa"/>
          </w:tcPr>
          <w:p w14:paraId="07776EAD" w14:textId="77777777" w:rsidR="006B7E28" w:rsidRDefault="006B7E28" w:rsidP="006B7E28">
            <w:pPr>
              <w:spacing w:line="240" w:lineRule="auto"/>
              <w:rPr>
                <w:rFonts w:eastAsia="Times New Roman" w:cs="Arial"/>
                <w:sz w:val="24"/>
                <w:szCs w:val="24"/>
              </w:rPr>
            </w:pPr>
          </w:p>
        </w:tc>
        <w:tc>
          <w:tcPr>
            <w:tcW w:w="2159" w:type="dxa"/>
          </w:tcPr>
          <w:p w14:paraId="0BDD9EDE" w14:textId="77777777" w:rsidR="006B7E28" w:rsidRDefault="006B7E28" w:rsidP="006B7E28">
            <w:pPr>
              <w:spacing w:line="240" w:lineRule="auto"/>
              <w:rPr>
                <w:rFonts w:eastAsia="Times New Roman" w:cs="Arial"/>
                <w:sz w:val="24"/>
                <w:szCs w:val="24"/>
              </w:rPr>
            </w:pPr>
          </w:p>
        </w:tc>
      </w:tr>
    </w:tbl>
    <w:p w14:paraId="45CD8D55" w14:textId="77777777" w:rsidR="006B7E28" w:rsidRPr="006B7E28" w:rsidRDefault="006B7E28" w:rsidP="006B7E28">
      <w:pPr>
        <w:spacing w:line="240" w:lineRule="auto"/>
        <w:rPr>
          <w:rFonts w:eastAsia="Times New Roman" w:cs="Arial"/>
        </w:rPr>
      </w:pPr>
      <w:r w:rsidRPr="006B7E28">
        <w:rPr>
          <w:rFonts w:eastAsia="Times New Roman" w:cs="Arial"/>
          <w:color w:val="000000"/>
          <w:lang w:eastAsia="bg-BG"/>
        </w:rPr>
        <w:t>*Информация, свързана с клопидогрел, с неизвестна честота</w:t>
      </w:r>
    </w:p>
    <w:p w14:paraId="25FDD430" w14:textId="77777777" w:rsidR="006B7E28" w:rsidRPr="006B7E28" w:rsidRDefault="006B7E28" w:rsidP="006B7E28">
      <w:pPr>
        <w:spacing w:line="240" w:lineRule="auto"/>
        <w:rPr>
          <w:rFonts w:eastAsia="Times New Roman" w:cs="Arial"/>
          <w:color w:val="000000"/>
          <w:u w:val="single"/>
          <w:lang w:eastAsia="bg-BG"/>
        </w:rPr>
      </w:pPr>
    </w:p>
    <w:p w14:paraId="79B3CD8B" w14:textId="38AB7D97" w:rsidR="006B7E28" w:rsidRPr="006B7E28" w:rsidRDefault="006B7E28" w:rsidP="006B7E28">
      <w:pPr>
        <w:spacing w:line="240" w:lineRule="auto"/>
        <w:rPr>
          <w:rFonts w:eastAsia="Times New Roman" w:cs="Arial"/>
        </w:rPr>
      </w:pPr>
      <w:r w:rsidRPr="006B7E28">
        <w:rPr>
          <w:rFonts w:eastAsia="Times New Roman" w:cs="Arial"/>
          <w:color w:val="000000"/>
          <w:u w:val="single"/>
          <w:lang w:eastAsia="bg-BG"/>
        </w:rPr>
        <w:t>Съобщаване на подозирани нежелани реакции</w:t>
      </w:r>
    </w:p>
    <w:p w14:paraId="78B2A16E" w14:textId="01E13B45" w:rsidR="006B7E28" w:rsidRPr="006B7E28" w:rsidRDefault="006B7E28" w:rsidP="006B7E28">
      <w:pPr>
        <w:spacing w:line="240" w:lineRule="auto"/>
        <w:rPr>
          <w:rFonts w:eastAsia="Times New Roman" w:cs="Arial"/>
        </w:rPr>
      </w:pPr>
      <w:r w:rsidRPr="006B7E2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 1303 София, Тел.: +35 928903417, уебсайт: </w:t>
      </w:r>
      <w:r w:rsidR="00F962F6">
        <w:fldChar w:fldCharType="begin"/>
      </w:r>
      <w:r w:rsidR="00F962F6">
        <w:instrText xml:space="preserve"> HYPERLINK "http://www.bda.bg" </w:instrText>
      </w:r>
      <w:r w:rsidR="00F962F6">
        <w:fldChar w:fldCharType="separate"/>
      </w:r>
      <w:r w:rsidRPr="006B7E28">
        <w:rPr>
          <w:rFonts w:eastAsia="Times New Roman" w:cs="Arial"/>
          <w:color w:val="000000"/>
          <w:lang w:val="en-US"/>
        </w:rPr>
        <w:t>www</w:t>
      </w:r>
      <w:r w:rsidRPr="00F962F6">
        <w:rPr>
          <w:rFonts w:eastAsia="Times New Roman" w:cs="Arial"/>
          <w:color w:val="000000"/>
          <w:lang w:val="ru-RU"/>
        </w:rPr>
        <w:t>.</w:t>
      </w:r>
      <w:proofErr w:type="spellStart"/>
      <w:r w:rsidRPr="006B7E28">
        <w:rPr>
          <w:rFonts w:eastAsia="Times New Roman" w:cs="Arial"/>
          <w:color w:val="000000"/>
          <w:lang w:val="en-US"/>
        </w:rPr>
        <w:t>bda</w:t>
      </w:r>
      <w:proofErr w:type="spellEnd"/>
      <w:r w:rsidRPr="00F962F6">
        <w:rPr>
          <w:rFonts w:eastAsia="Times New Roman" w:cs="Arial"/>
          <w:color w:val="000000"/>
          <w:lang w:val="ru-RU"/>
        </w:rPr>
        <w:t>.</w:t>
      </w:r>
      <w:proofErr w:type="spellStart"/>
      <w:r w:rsidRPr="006B7E28">
        <w:rPr>
          <w:rFonts w:eastAsia="Times New Roman" w:cs="Arial"/>
          <w:color w:val="000000"/>
          <w:lang w:val="en-US"/>
        </w:rPr>
        <w:t>bg</w:t>
      </w:r>
      <w:proofErr w:type="spellEnd"/>
      <w:r w:rsidR="00F962F6">
        <w:rPr>
          <w:rFonts w:eastAsia="Times New Roman" w:cs="Arial"/>
          <w:color w:val="000000"/>
          <w:lang w:val="en-US"/>
        </w:rPr>
        <w:fldChar w:fldCharType="end"/>
      </w:r>
    </w:p>
    <w:p w14:paraId="71D27D90" w14:textId="4CC49ED2" w:rsidR="006B7E28" w:rsidRPr="006B7E28" w:rsidRDefault="006B7E28" w:rsidP="006B7E28"/>
    <w:p w14:paraId="5A87DBA3" w14:textId="631B701D" w:rsidR="007122AD" w:rsidRDefault="002C50EE" w:rsidP="00936AD0">
      <w:pPr>
        <w:pStyle w:val="Heading2"/>
      </w:pPr>
      <w:r>
        <w:t>4.9. Предозиране</w:t>
      </w:r>
    </w:p>
    <w:p w14:paraId="2EA8E287" w14:textId="20070E4A" w:rsidR="006B7E28" w:rsidRDefault="006B7E28" w:rsidP="006B7E28"/>
    <w:p w14:paraId="1BD89A9E" w14:textId="77777777" w:rsidR="006B7E28" w:rsidRPr="006B7E28" w:rsidRDefault="006B7E28" w:rsidP="006B7E28">
      <w:pPr>
        <w:rPr>
          <w:sz w:val="24"/>
          <w:szCs w:val="24"/>
        </w:rPr>
      </w:pPr>
      <w:r w:rsidRPr="006B7E28">
        <w:rPr>
          <w:lang w:eastAsia="bg-BG"/>
        </w:rPr>
        <w:t>Предозирането в резултат на приложение на клопидогрел може да доведе до удължено време на кървене и последващи усложнения от кървенето. Ако възникне кървене, трябва да се приложи подходяща терапия.</w:t>
      </w:r>
    </w:p>
    <w:p w14:paraId="5FB0683A" w14:textId="77777777" w:rsidR="006B7E28" w:rsidRPr="006B7E28" w:rsidRDefault="006B7E28" w:rsidP="006B7E28">
      <w:pPr>
        <w:rPr>
          <w:sz w:val="24"/>
          <w:szCs w:val="24"/>
        </w:rPr>
      </w:pPr>
      <w:r w:rsidRPr="006B7E28">
        <w:rPr>
          <w:lang w:eastAsia="bg-BG"/>
        </w:rPr>
        <w:t>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ефекта на клопидогрел.</w:t>
      </w:r>
    </w:p>
    <w:p w14:paraId="49BBFE08" w14:textId="77777777" w:rsidR="006B7E28" w:rsidRPr="006B7E28" w:rsidRDefault="006B7E28" w:rsidP="006B7E28"/>
    <w:p w14:paraId="02081B24" w14:textId="1F46E296" w:rsidR="00395555" w:rsidRPr="00395555" w:rsidRDefault="002C50EE" w:rsidP="008A6AF2">
      <w:pPr>
        <w:pStyle w:val="Heading1"/>
      </w:pPr>
      <w:r>
        <w:t>5. ФАРМАКОЛОГИЧНИ СВОЙСТВА</w:t>
      </w:r>
    </w:p>
    <w:p w14:paraId="7DE36AC8" w14:textId="0D9B6831" w:rsidR="00B6672E" w:rsidRDefault="002C50EE" w:rsidP="00936AD0">
      <w:pPr>
        <w:pStyle w:val="Heading2"/>
      </w:pPr>
      <w:r>
        <w:t>5.1. Фармакодинамични свойства</w:t>
      </w:r>
    </w:p>
    <w:p w14:paraId="1DF8E197" w14:textId="6FF323C3" w:rsidR="006B7E28" w:rsidRDefault="006B7E28" w:rsidP="006B7E28"/>
    <w:p w14:paraId="55FB4B37" w14:textId="77777777" w:rsidR="006B7E28" w:rsidRPr="00AA1FB2" w:rsidRDefault="006B7E28" w:rsidP="006B7E28">
      <w:pPr>
        <w:spacing w:line="240" w:lineRule="auto"/>
        <w:rPr>
          <w:rFonts w:eastAsia="Times New Roman" w:cs="Arial"/>
        </w:rPr>
      </w:pPr>
      <w:r w:rsidRPr="00AA1FB2">
        <w:rPr>
          <w:rFonts w:eastAsia="Times New Roman" w:cs="Arial"/>
          <w:color w:val="000000"/>
          <w:lang w:eastAsia="bg-BG"/>
        </w:rPr>
        <w:t>Фармакотерапевтична група: Антитромботични средства, инхибитори на агрегацията на тромбоцитите, с изключение на хепарин, АТС код: В01АС04</w:t>
      </w:r>
    </w:p>
    <w:p w14:paraId="13E9E9C3" w14:textId="77777777" w:rsidR="006B7E28" w:rsidRPr="00AA1FB2" w:rsidRDefault="006B7E28" w:rsidP="006B7E28">
      <w:pPr>
        <w:spacing w:line="240" w:lineRule="auto"/>
        <w:rPr>
          <w:rFonts w:eastAsia="Times New Roman" w:cs="Arial"/>
          <w:i/>
          <w:iCs/>
          <w:color w:val="000000"/>
          <w:lang w:eastAsia="bg-BG"/>
        </w:rPr>
      </w:pPr>
    </w:p>
    <w:p w14:paraId="248164C2" w14:textId="3BF728ED" w:rsidR="006B7E28" w:rsidRPr="00AA1FB2" w:rsidRDefault="006B7E28" w:rsidP="006B7E28">
      <w:pPr>
        <w:spacing w:line="240" w:lineRule="auto"/>
        <w:rPr>
          <w:rFonts w:eastAsia="Times New Roman" w:cs="Arial"/>
        </w:rPr>
      </w:pPr>
      <w:r w:rsidRPr="00AA1FB2">
        <w:rPr>
          <w:rFonts w:eastAsia="Times New Roman" w:cs="Arial"/>
          <w:i/>
          <w:iCs/>
          <w:color w:val="000000"/>
          <w:lang w:eastAsia="bg-BG"/>
        </w:rPr>
        <w:t>Механизъм на действие</w:t>
      </w:r>
    </w:p>
    <w:p w14:paraId="7306A12C" w14:textId="0A1ADFA5" w:rsidR="006B7E28" w:rsidRPr="00AA1FB2" w:rsidRDefault="006B7E28" w:rsidP="00AA1FB2">
      <w:pPr>
        <w:spacing w:line="240" w:lineRule="auto"/>
        <w:rPr>
          <w:rFonts w:eastAsia="Times New Roman" w:cs="Arial"/>
        </w:rPr>
      </w:pPr>
      <w:r w:rsidRPr="00AA1FB2">
        <w:rPr>
          <w:rFonts w:eastAsia="Times New Roman" w:cs="Arial"/>
          <w:color w:val="000000"/>
          <w:lang w:eastAsia="bg-BG"/>
        </w:rPr>
        <w:t>Клопидогрел е прекурсор, един от чийто метаболити е инхибитор на тромбоцитната агрегация</w:t>
      </w:r>
      <w:r w:rsidR="00AA1FB2">
        <w:rPr>
          <w:rFonts w:eastAsia="Times New Roman" w:cs="Arial"/>
        </w:rPr>
        <w:t xml:space="preserve"> </w:t>
      </w:r>
      <w:r w:rsidRPr="00AA1FB2">
        <w:rPr>
          <w:rFonts w:eastAsia="Times New Roman" w:cs="Arial"/>
          <w:color w:val="000000"/>
          <w:lang w:eastAsia="bg-BG"/>
        </w:rPr>
        <w:t xml:space="preserve">Клопидогрел трябва да бъде метаболизиран от </w:t>
      </w:r>
      <w:r w:rsidRPr="00AA1FB2">
        <w:rPr>
          <w:rFonts w:eastAsia="Times New Roman" w:cs="Arial"/>
          <w:color w:val="000000"/>
          <w:lang w:val="en-US"/>
        </w:rPr>
        <w:t>CYP</w:t>
      </w:r>
      <w:r w:rsidRPr="00AA1FB2">
        <w:rPr>
          <w:rFonts w:eastAsia="Times New Roman" w:cs="Arial"/>
          <w:color w:val="000000"/>
          <w:lang w:val="ru-RU"/>
        </w:rPr>
        <w:t xml:space="preserve">450 </w:t>
      </w:r>
      <w:r w:rsidRPr="00AA1FB2">
        <w:rPr>
          <w:rFonts w:eastAsia="Times New Roman" w:cs="Arial"/>
          <w:color w:val="000000"/>
          <w:lang w:eastAsia="bg-BG"/>
        </w:rPr>
        <w:t>ензимите до получване на активния</w:t>
      </w:r>
      <w:r w:rsidR="00AA1FB2">
        <w:rPr>
          <w:rFonts w:eastAsia="Times New Roman" w:cs="Arial"/>
        </w:rPr>
        <w:t xml:space="preserve"> </w:t>
      </w:r>
      <w:r w:rsidRPr="00AA1FB2">
        <w:rPr>
          <w:rFonts w:eastAsia="Times New Roman" w:cs="Arial"/>
          <w:color w:val="000000"/>
          <w:lang w:eastAsia="bg-BG"/>
        </w:rPr>
        <w:t xml:space="preserve">метаболит, който инхибира тромбоцитната агрегация. Активният метаболит на клопидогрел селективно инхибира свързването на аденозин дифосфат (АДФ) към тромбоцитните му </w:t>
      </w:r>
      <w:r w:rsidRPr="00AA1FB2">
        <w:rPr>
          <w:rFonts w:eastAsia="Times New Roman" w:cs="Arial"/>
          <w:color w:val="000000"/>
          <w:lang w:val="en-US"/>
        </w:rPr>
        <w:t>P</w:t>
      </w:r>
      <w:r w:rsidRPr="00AA1FB2">
        <w:rPr>
          <w:rFonts w:eastAsia="Times New Roman" w:cs="Arial"/>
          <w:color w:val="000000"/>
          <w:lang w:val="ru-RU"/>
        </w:rPr>
        <w:t>2</w:t>
      </w:r>
      <w:r w:rsidRPr="00AA1FB2">
        <w:rPr>
          <w:rFonts w:eastAsia="Times New Roman" w:cs="Arial"/>
          <w:color w:val="000000"/>
          <w:lang w:val="en-US"/>
        </w:rPr>
        <w:t>Y</w:t>
      </w:r>
      <w:r w:rsidRPr="00AA1FB2">
        <w:rPr>
          <w:rFonts w:eastAsia="Times New Roman" w:cs="Arial"/>
          <w:color w:val="000000"/>
          <w:lang w:val="ru-RU"/>
        </w:rPr>
        <w:t xml:space="preserve">12 </w:t>
      </w:r>
      <w:r w:rsidRPr="00AA1FB2">
        <w:rPr>
          <w:rFonts w:eastAsia="Times New Roman" w:cs="Arial"/>
          <w:color w:val="000000"/>
          <w:lang w:eastAsia="bg-BG"/>
        </w:rPr>
        <w:t xml:space="preserve">рецептори, и последващата АДФ-медиирана активация на гликопротеин </w:t>
      </w:r>
      <w:proofErr w:type="spellStart"/>
      <w:r w:rsidRPr="00AA1FB2">
        <w:rPr>
          <w:rFonts w:eastAsia="Times New Roman" w:cs="Arial"/>
          <w:color w:val="000000"/>
          <w:lang w:val="en-US"/>
        </w:rPr>
        <w:t>GPIIb</w:t>
      </w:r>
      <w:proofErr w:type="spellEnd"/>
      <w:r w:rsidRPr="00AA1FB2">
        <w:rPr>
          <w:rFonts w:eastAsia="Times New Roman" w:cs="Arial"/>
          <w:color w:val="000000"/>
          <w:lang w:val="ru-RU"/>
        </w:rPr>
        <w:t>/</w:t>
      </w:r>
      <w:proofErr w:type="spellStart"/>
      <w:r w:rsidRPr="00AA1FB2">
        <w:rPr>
          <w:rFonts w:eastAsia="Times New Roman" w:cs="Arial"/>
          <w:color w:val="000000"/>
          <w:lang w:val="en-US"/>
        </w:rPr>
        <w:t>IIIa</w:t>
      </w:r>
      <w:proofErr w:type="spellEnd"/>
      <w:r w:rsidRPr="00AA1FB2">
        <w:rPr>
          <w:rFonts w:eastAsia="Times New Roman" w:cs="Arial"/>
          <w:color w:val="000000"/>
          <w:lang w:val="ru-RU"/>
        </w:rPr>
        <w:t xml:space="preserve"> </w:t>
      </w:r>
      <w:r w:rsidRPr="00AA1FB2">
        <w:rPr>
          <w:rFonts w:eastAsia="Times New Roman" w:cs="Arial"/>
          <w:color w:val="000000"/>
          <w:lang w:eastAsia="bg-BG"/>
        </w:rPr>
        <w:t xml:space="preserve">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w:t>
      </w:r>
      <w:r w:rsidRPr="00AA1FB2">
        <w:rPr>
          <w:rFonts w:eastAsia="Times New Roman" w:cs="Arial"/>
          <w:color w:val="000000"/>
          <w:lang w:eastAsia="bg-BG"/>
        </w:rPr>
        <w:lastRenderedPageBreak/>
        <w:t>предизвикана от други агонисти освен АДФ също се инхибира чрез блокиране на увеличената тромбоцитна активация от освободения АДФ.</w:t>
      </w:r>
    </w:p>
    <w:p w14:paraId="5764726D" w14:textId="77777777" w:rsidR="006B7E28" w:rsidRPr="00AA1FB2" w:rsidRDefault="006B7E28" w:rsidP="006B7E28">
      <w:pPr>
        <w:spacing w:line="240" w:lineRule="auto"/>
        <w:rPr>
          <w:rFonts w:eastAsia="Times New Roman" w:cs="Arial"/>
          <w:color w:val="000000"/>
          <w:lang w:eastAsia="bg-BG"/>
        </w:rPr>
      </w:pPr>
    </w:p>
    <w:p w14:paraId="6061F830" w14:textId="1BEFBE4E"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Тъй като активният метаболит се образува чрез </w:t>
      </w:r>
      <w:r w:rsidRPr="00AA1FB2">
        <w:rPr>
          <w:rFonts w:eastAsia="Times New Roman" w:cs="Arial"/>
          <w:color w:val="000000"/>
          <w:lang w:val="en-US"/>
        </w:rPr>
        <w:t>CYP</w:t>
      </w:r>
      <w:r w:rsidRPr="00AA1FB2">
        <w:rPr>
          <w:rFonts w:eastAsia="Times New Roman" w:cs="Arial"/>
          <w:color w:val="000000"/>
          <w:lang w:val="ru-RU"/>
        </w:rPr>
        <w:t xml:space="preserve">450 </w:t>
      </w:r>
      <w:r w:rsidRPr="00AA1FB2">
        <w:rPr>
          <w:rFonts w:eastAsia="Times New Roman" w:cs="Arial"/>
          <w:color w:val="000000"/>
          <w:lang w:eastAsia="bg-BG"/>
        </w:rPr>
        <w:t>ензимите, някои от които са полиморфни или са обект на инхибиране от други лекарствени продукти, не при всички пациенти ще се постигне адекватно тромбоцитно инхибиране.</w:t>
      </w:r>
    </w:p>
    <w:p w14:paraId="219BC29D" w14:textId="77777777" w:rsidR="006B7E28" w:rsidRPr="00AA1FB2" w:rsidRDefault="006B7E28" w:rsidP="006B7E28">
      <w:pPr>
        <w:spacing w:line="240" w:lineRule="auto"/>
        <w:rPr>
          <w:rFonts w:eastAsia="Times New Roman" w:cs="Arial"/>
          <w:i/>
          <w:iCs/>
          <w:color w:val="000000"/>
          <w:lang w:eastAsia="bg-BG"/>
        </w:rPr>
      </w:pPr>
    </w:p>
    <w:p w14:paraId="297B3629" w14:textId="4386B35D" w:rsidR="006B7E28" w:rsidRPr="00AA1FB2" w:rsidRDefault="006B7E28" w:rsidP="006B7E28">
      <w:pPr>
        <w:spacing w:line="240" w:lineRule="auto"/>
        <w:rPr>
          <w:rFonts w:eastAsia="Times New Roman" w:cs="Arial"/>
        </w:rPr>
      </w:pPr>
      <w:r w:rsidRPr="00AA1FB2">
        <w:rPr>
          <w:rFonts w:eastAsia="Times New Roman" w:cs="Arial"/>
          <w:i/>
          <w:iCs/>
          <w:color w:val="000000"/>
          <w:lang w:eastAsia="bg-BG"/>
        </w:rPr>
        <w:t>Фармакодинамични ефекти</w:t>
      </w:r>
    </w:p>
    <w:p w14:paraId="76D98BDF" w14:textId="77777777"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Многократното приложение на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на ден води до значително инхибиране на АДФ- индуцираната тромбоцитна агрегация от първия ден, което прогресивно нараства и достига стабилно състояние между 3-ия и 7-ия ден. При стабилното състояние средното ниво на инхибиране, постигнато с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дневно, е между 40% и 60%. Тромбоцитната агрегация и времето на кървене постепенно се възвръщат към изходните стойности обикновено до 5 дни след прекъсването на лечението.</w:t>
      </w:r>
    </w:p>
    <w:p w14:paraId="3C417A0A" w14:textId="77777777" w:rsidR="006B7E28" w:rsidRPr="00AA1FB2" w:rsidRDefault="006B7E28" w:rsidP="006B7E28">
      <w:pPr>
        <w:spacing w:line="240" w:lineRule="auto"/>
        <w:rPr>
          <w:rFonts w:eastAsia="Times New Roman" w:cs="Arial"/>
          <w:i/>
          <w:iCs/>
          <w:color w:val="000000"/>
          <w:lang w:eastAsia="bg-BG"/>
        </w:rPr>
      </w:pPr>
    </w:p>
    <w:p w14:paraId="12D7E712" w14:textId="5D3458DA" w:rsidR="006B7E28" w:rsidRPr="00AA1FB2" w:rsidRDefault="006B7E28" w:rsidP="006B7E28">
      <w:pPr>
        <w:spacing w:line="240" w:lineRule="auto"/>
        <w:rPr>
          <w:rFonts w:eastAsia="Times New Roman" w:cs="Arial"/>
        </w:rPr>
      </w:pPr>
      <w:r w:rsidRPr="00AA1FB2">
        <w:rPr>
          <w:rFonts w:eastAsia="Times New Roman" w:cs="Arial"/>
          <w:i/>
          <w:iCs/>
          <w:color w:val="000000"/>
          <w:lang w:eastAsia="bg-BG"/>
        </w:rPr>
        <w:t>Клинична ефикасност и безопасност</w:t>
      </w:r>
    </w:p>
    <w:p w14:paraId="7FC85728" w14:textId="77777777"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Безопасността и ефикасността на клопидогрел е оценена по време на 7 двойно-слепи изпитвания, включващи над 100 000 пациенти: изпитването </w:t>
      </w:r>
      <w:r w:rsidRPr="00AA1FB2">
        <w:rPr>
          <w:rFonts w:eastAsia="Times New Roman" w:cs="Arial"/>
          <w:color w:val="000000"/>
          <w:lang w:val="en-US"/>
        </w:rPr>
        <w:t>CAPRIE</w:t>
      </w:r>
      <w:r w:rsidRPr="00AA1FB2">
        <w:rPr>
          <w:rFonts w:eastAsia="Times New Roman" w:cs="Arial"/>
          <w:color w:val="000000"/>
          <w:lang w:val="ru-RU"/>
        </w:rPr>
        <w:t xml:space="preserve">, </w:t>
      </w:r>
      <w:r w:rsidRPr="00AA1FB2">
        <w:rPr>
          <w:rFonts w:eastAsia="Times New Roman" w:cs="Arial"/>
          <w:color w:val="000000"/>
          <w:lang w:eastAsia="bg-BG"/>
        </w:rPr>
        <w:t xml:space="preserve">сравнение на клопидогрел и АСК, и изпитванията </w:t>
      </w:r>
      <w:r w:rsidRPr="00AA1FB2">
        <w:rPr>
          <w:rFonts w:eastAsia="Times New Roman" w:cs="Arial"/>
          <w:color w:val="000000"/>
          <w:lang w:val="en-US"/>
        </w:rPr>
        <w:t>CURE</w:t>
      </w:r>
      <w:r w:rsidRPr="00AA1FB2">
        <w:rPr>
          <w:rFonts w:eastAsia="Times New Roman" w:cs="Arial"/>
          <w:color w:val="000000"/>
          <w:lang w:val="ru-RU"/>
        </w:rPr>
        <w:t xml:space="preserve">, </w:t>
      </w:r>
      <w:r w:rsidRPr="00AA1FB2">
        <w:rPr>
          <w:rFonts w:eastAsia="Times New Roman" w:cs="Arial"/>
          <w:color w:val="000000"/>
          <w:lang w:val="en-US"/>
        </w:rPr>
        <w:t>CLARITY</w:t>
      </w:r>
      <w:r w:rsidRPr="00AA1FB2">
        <w:rPr>
          <w:rFonts w:eastAsia="Times New Roman" w:cs="Arial"/>
          <w:color w:val="000000"/>
          <w:lang w:val="ru-RU"/>
        </w:rPr>
        <w:t xml:space="preserve">, </w:t>
      </w:r>
      <w:r w:rsidRPr="00AA1FB2">
        <w:rPr>
          <w:rFonts w:eastAsia="Times New Roman" w:cs="Arial"/>
          <w:color w:val="000000"/>
          <w:lang w:val="en-US"/>
        </w:rPr>
        <w:t>COMMIT</w:t>
      </w:r>
      <w:r w:rsidRPr="00AA1FB2">
        <w:rPr>
          <w:rFonts w:eastAsia="Times New Roman" w:cs="Arial"/>
          <w:color w:val="000000"/>
          <w:lang w:val="ru-RU"/>
        </w:rPr>
        <w:t xml:space="preserve">, </w:t>
      </w:r>
      <w:r w:rsidRPr="00AA1FB2">
        <w:rPr>
          <w:rFonts w:eastAsia="Times New Roman" w:cs="Arial"/>
          <w:color w:val="000000"/>
          <w:lang w:val="en-US"/>
        </w:rPr>
        <w:t>CHANCE</w:t>
      </w:r>
      <w:r w:rsidRPr="00AA1FB2">
        <w:rPr>
          <w:rFonts w:eastAsia="Times New Roman" w:cs="Arial"/>
          <w:color w:val="000000"/>
          <w:lang w:val="ru-RU"/>
        </w:rPr>
        <w:t xml:space="preserve">, </w:t>
      </w:r>
      <w:r w:rsidRPr="00AA1FB2">
        <w:rPr>
          <w:rFonts w:eastAsia="Times New Roman" w:cs="Arial"/>
          <w:color w:val="000000"/>
          <w:lang w:val="en-US"/>
        </w:rPr>
        <w:t>POINT</w:t>
      </w:r>
      <w:r w:rsidRPr="00AA1FB2">
        <w:rPr>
          <w:rFonts w:eastAsia="Times New Roman" w:cs="Arial"/>
          <w:color w:val="000000"/>
          <w:lang w:val="ru-RU"/>
        </w:rPr>
        <w:t xml:space="preserve"> </w:t>
      </w:r>
      <w:r w:rsidRPr="00AA1FB2">
        <w:rPr>
          <w:rFonts w:eastAsia="Times New Roman" w:cs="Arial"/>
          <w:color w:val="000000"/>
          <w:lang w:eastAsia="bg-BG"/>
        </w:rPr>
        <w:t xml:space="preserve">и </w:t>
      </w:r>
      <w:r w:rsidRPr="00AA1FB2">
        <w:rPr>
          <w:rFonts w:eastAsia="Times New Roman" w:cs="Arial"/>
          <w:color w:val="000000"/>
          <w:lang w:val="en-US"/>
        </w:rPr>
        <w:t>ACTIVE</w:t>
      </w:r>
      <w:r w:rsidRPr="00AA1FB2">
        <w:rPr>
          <w:rFonts w:eastAsia="Times New Roman" w:cs="Arial"/>
          <w:color w:val="000000"/>
          <w:lang w:val="ru-RU"/>
        </w:rPr>
        <w:t>-</w:t>
      </w:r>
      <w:r w:rsidRPr="00AA1FB2">
        <w:rPr>
          <w:rFonts w:eastAsia="Times New Roman" w:cs="Arial"/>
          <w:color w:val="000000"/>
          <w:lang w:val="en-US"/>
        </w:rPr>
        <w:t>A</w:t>
      </w:r>
      <w:r w:rsidRPr="00AA1FB2">
        <w:rPr>
          <w:rFonts w:eastAsia="Times New Roman" w:cs="Arial"/>
          <w:color w:val="000000"/>
          <w:lang w:val="ru-RU"/>
        </w:rPr>
        <w:t xml:space="preserve">, </w:t>
      </w:r>
      <w:r w:rsidRPr="00AA1FB2">
        <w:rPr>
          <w:rFonts w:eastAsia="Times New Roman" w:cs="Arial"/>
          <w:color w:val="000000"/>
          <w:lang w:eastAsia="bg-BG"/>
        </w:rPr>
        <w:t>сравняващи клопидогрел и плацебо, и двата лекарствени продукта в комбинация с АСК и друго стандартно лечение.</w:t>
      </w:r>
    </w:p>
    <w:p w14:paraId="3A45D250" w14:textId="77777777" w:rsidR="006B7E28" w:rsidRPr="00AA1FB2" w:rsidRDefault="006B7E28" w:rsidP="006B7E28">
      <w:pPr>
        <w:spacing w:line="240" w:lineRule="auto"/>
        <w:rPr>
          <w:rFonts w:eastAsia="Times New Roman" w:cs="Arial"/>
          <w:i/>
          <w:iCs/>
          <w:color w:val="000000"/>
          <w:lang w:eastAsia="bg-BG"/>
        </w:rPr>
      </w:pPr>
    </w:p>
    <w:p w14:paraId="43C48D85" w14:textId="36F3991E" w:rsidR="006B7E28" w:rsidRPr="00AA1FB2" w:rsidRDefault="006B7E28" w:rsidP="006B7E28">
      <w:pPr>
        <w:spacing w:line="240" w:lineRule="auto"/>
        <w:rPr>
          <w:rFonts w:eastAsia="Times New Roman" w:cs="Arial"/>
        </w:rPr>
      </w:pPr>
      <w:r w:rsidRPr="00AA1FB2">
        <w:rPr>
          <w:rFonts w:eastAsia="Times New Roman" w:cs="Arial"/>
          <w:i/>
          <w:iCs/>
          <w:color w:val="000000"/>
          <w:lang w:eastAsia="bg-BG"/>
        </w:rPr>
        <w:t>Пресен миокарден инфаркт (МИ), пресен мозъчен инсулт или установена периферна артериална болест</w:t>
      </w:r>
    </w:p>
    <w:p w14:paraId="1F985B4A" w14:textId="77777777" w:rsidR="006B7E28" w:rsidRPr="00AA1FB2" w:rsidRDefault="006B7E28" w:rsidP="006B7E28">
      <w:pPr>
        <w:spacing w:line="240" w:lineRule="auto"/>
        <w:rPr>
          <w:rFonts w:eastAsia="Times New Roman" w:cs="Arial"/>
          <w:color w:val="000000"/>
          <w:lang w:eastAsia="bg-BG"/>
        </w:rPr>
      </w:pPr>
    </w:p>
    <w:p w14:paraId="6676080C" w14:textId="23A22CAB"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Изпитването </w:t>
      </w:r>
      <w:r w:rsidRPr="00AA1FB2">
        <w:rPr>
          <w:rFonts w:eastAsia="Times New Roman" w:cs="Arial"/>
          <w:color w:val="000000"/>
          <w:lang w:val="en-US"/>
        </w:rPr>
        <w:t>CAPRIE</w:t>
      </w:r>
      <w:r w:rsidRPr="00AA1FB2">
        <w:rPr>
          <w:rFonts w:eastAsia="Times New Roman" w:cs="Arial"/>
          <w:color w:val="000000"/>
          <w:lang w:val="ru-RU"/>
        </w:rPr>
        <w:t xml:space="preserve"> </w:t>
      </w:r>
      <w:r w:rsidRPr="00AA1FB2">
        <w:rPr>
          <w:rFonts w:eastAsia="Times New Roman" w:cs="Arial"/>
          <w:color w:val="000000"/>
          <w:lang w:eastAsia="bg-BG"/>
        </w:rPr>
        <w:t xml:space="preserve">включва 19 185 пациенти с атеротромбоза, изявена с пресен миокарден инфаркт (&lt;35 дни), пресен исхемичен инсулт (между 7 дни и 6 месеца) или доказана периферна артериална болест (ПАБ). Пациентите са рандомизирани за прием на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клопидогрел дневно или на 325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АСК и са проследени за период от една до три години. В подгрупата с миокарден инфаркт, повечето от пациентите са получавали АСК през първите дни след острия инфаркт на миокарда.</w:t>
      </w:r>
    </w:p>
    <w:p w14:paraId="2A3E87F3" w14:textId="77777777" w:rsidR="006B7E28" w:rsidRPr="00AA1FB2" w:rsidRDefault="006B7E28" w:rsidP="006B7E28">
      <w:pPr>
        <w:spacing w:line="240" w:lineRule="auto"/>
        <w:rPr>
          <w:rFonts w:eastAsia="Times New Roman" w:cs="Arial"/>
          <w:color w:val="000000"/>
          <w:lang w:eastAsia="bg-BG"/>
        </w:rPr>
      </w:pPr>
    </w:p>
    <w:p w14:paraId="591FA14E" w14:textId="32F2DE15"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анализа с намерение за лекуване, в групата с клопидогрел са възникнали 939 инцидента, а в групата с АСК - 1 020 (редукция на относителния риск </w:t>
      </w:r>
      <w:r w:rsidRPr="00AA1FB2">
        <w:rPr>
          <w:rFonts w:eastAsia="Times New Roman" w:cs="Arial"/>
          <w:color w:val="000000"/>
          <w:lang w:val="ru-RU"/>
        </w:rPr>
        <w:t>(</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 xml:space="preserve">с 8,7%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0,2 до 16,4]; р = 0,045), което за всеки 1 000 пациенти, лекувани в продължение на две години съответства на предотвратени нови исхемични инциденти при още 10 пациенти </w:t>
      </w:r>
      <w:r w:rsidRPr="00AA1FB2">
        <w:rPr>
          <w:rFonts w:eastAsia="Times New Roman" w:cs="Arial"/>
          <w:color w:val="000000"/>
          <w:lang w:val="ru-RU"/>
        </w:rPr>
        <w:t>[</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0 до 20]. Анализът на общата смъртност като вторична крайна точка не показва значително различие между клопидогрел (5,8%) и АСК (6,0%).</w:t>
      </w:r>
    </w:p>
    <w:p w14:paraId="5557172C" w14:textId="77777777" w:rsidR="006B7E28" w:rsidRPr="00AA1FB2" w:rsidRDefault="006B7E28" w:rsidP="006B7E28">
      <w:pPr>
        <w:spacing w:line="240" w:lineRule="auto"/>
        <w:rPr>
          <w:rFonts w:eastAsia="Times New Roman" w:cs="Arial"/>
          <w:color w:val="000000"/>
          <w:lang w:eastAsia="bg-BG"/>
        </w:rPr>
      </w:pPr>
    </w:p>
    <w:p w14:paraId="2D7C0B39" w14:textId="3BF23138"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В подгрупов анализ според състоянието (миокарден инфаркт, исхемичен инсулт или ПАБ) най- благоприятен е ефектът при пациентите с ПАБ </w:t>
      </w:r>
      <w:r w:rsidRPr="00AA1FB2">
        <w:rPr>
          <w:rFonts w:eastAsia="Times New Roman" w:cs="Arial"/>
          <w:i/>
          <w:iCs/>
          <w:color w:val="000000"/>
          <w:lang w:eastAsia="bg-BG"/>
        </w:rPr>
        <w:t>(достига се</w:t>
      </w:r>
      <w:r w:rsidRPr="00AA1FB2">
        <w:rPr>
          <w:rFonts w:eastAsia="Times New Roman" w:cs="Arial"/>
          <w:color w:val="000000"/>
          <w:lang w:eastAsia="bg-BG"/>
        </w:rPr>
        <w:t xml:space="preserve"> статистическа значимост при р = 0,003), (особено тези, които са с анамнеза и за миокарден инфаркт) </w:t>
      </w:r>
      <w:r w:rsidRPr="00AA1FB2">
        <w:rPr>
          <w:rFonts w:eastAsia="Times New Roman" w:cs="Arial"/>
          <w:color w:val="000000"/>
          <w:lang w:val="ru-RU"/>
        </w:rPr>
        <w:t>(</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 xml:space="preserve">= 23,7%;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8,9 до 36,2) и по-слаб (без значима разлика спрямо АСК) при пациентите с инсулт </w:t>
      </w:r>
      <w:r w:rsidRPr="00AA1FB2">
        <w:rPr>
          <w:rFonts w:eastAsia="Times New Roman" w:cs="Arial"/>
          <w:color w:val="000000"/>
          <w:lang w:val="ru-RU"/>
        </w:rPr>
        <w:t>(</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 xml:space="preserve"> 7,3%;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-5,7 до 18,7 [р=0,258]). При пациентите, включени в изпитването само поради наскоро преживян миокарден инфаркт, клопидогрел е по-малко ефективен, но без статистическа разлика спрямо</w:t>
      </w:r>
    </w:p>
    <w:p w14:paraId="5DAFDBBC" w14:textId="0920C70F" w:rsidR="006B7E28" w:rsidRPr="00AA1FB2" w:rsidRDefault="006B7E28" w:rsidP="006B7E28">
      <w:pPr>
        <w:rPr>
          <w:rFonts w:eastAsia="Times New Roman" w:cs="Arial"/>
          <w:color w:val="000000"/>
          <w:lang w:eastAsia="bg-BG"/>
        </w:rPr>
      </w:pPr>
      <w:r w:rsidRPr="00AA1FB2">
        <w:rPr>
          <w:rFonts w:eastAsia="Times New Roman" w:cs="Arial"/>
          <w:color w:val="000000"/>
          <w:lang w:eastAsia="bg-BG"/>
        </w:rPr>
        <w:t xml:space="preserve">АСК </w:t>
      </w:r>
      <w:r w:rsidRPr="00AA1FB2">
        <w:rPr>
          <w:rFonts w:eastAsia="Times New Roman" w:cs="Arial"/>
          <w:color w:val="000000"/>
          <w:lang w:val="ru-RU"/>
        </w:rPr>
        <w:t>(</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 -4,0%;С1: -22,5 до 11,7 [р = 0,639). Допълнително чрез подгруповия анализ по отношение на възрастта се установява, че ползата от клопидогрел при пациенти на възраст над 75 години е по-слаба от тази при пациентите &lt;75 години.</w:t>
      </w:r>
    </w:p>
    <w:p w14:paraId="49813648" w14:textId="7D0C4BF5" w:rsidR="006B7E28" w:rsidRPr="00AA1FB2" w:rsidRDefault="006B7E28" w:rsidP="006B7E28">
      <w:pPr>
        <w:rPr>
          <w:rFonts w:eastAsia="Times New Roman" w:cs="Arial"/>
          <w:color w:val="000000"/>
          <w:lang w:eastAsia="bg-BG"/>
        </w:rPr>
      </w:pPr>
    </w:p>
    <w:p w14:paraId="5516331C" w14:textId="77777777"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Тъй като в изпитването </w:t>
      </w:r>
      <w:r w:rsidRPr="00AA1FB2">
        <w:rPr>
          <w:rFonts w:eastAsia="Times New Roman" w:cs="Arial"/>
          <w:color w:val="000000"/>
          <w:lang w:val="en-US"/>
        </w:rPr>
        <w:t>CAPRIE</w:t>
      </w:r>
      <w:r w:rsidRPr="00AA1FB2">
        <w:rPr>
          <w:rFonts w:eastAsia="Times New Roman" w:cs="Arial"/>
          <w:color w:val="000000"/>
          <w:lang w:val="ru-RU"/>
        </w:rPr>
        <w:t xml:space="preserve"> </w:t>
      </w:r>
      <w:r w:rsidRPr="00AA1FB2">
        <w:rPr>
          <w:rFonts w:eastAsia="Times New Roman" w:cs="Arial"/>
          <w:color w:val="000000"/>
          <w:lang w:eastAsia="bg-BG"/>
        </w:rPr>
        <w:t>не е имало възможност за оценка на ефективността в отделни подгрупи, не е ясно дали различията в редукцията на относителния риск при отделните състояния са действителни или случайни.</w:t>
      </w:r>
    </w:p>
    <w:p w14:paraId="52743244" w14:textId="77777777" w:rsidR="006B7E28" w:rsidRPr="00AA1FB2" w:rsidRDefault="006B7E28" w:rsidP="006B7E28">
      <w:pPr>
        <w:spacing w:line="240" w:lineRule="auto"/>
        <w:rPr>
          <w:rFonts w:eastAsia="Times New Roman" w:cs="Arial"/>
          <w:i/>
          <w:iCs/>
          <w:color w:val="000000"/>
          <w:lang w:eastAsia="bg-BG"/>
        </w:rPr>
      </w:pPr>
    </w:p>
    <w:p w14:paraId="4FB39076" w14:textId="479C4E49" w:rsidR="006B7E28" w:rsidRPr="00AA1FB2" w:rsidRDefault="006B7E28" w:rsidP="006B7E28">
      <w:pPr>
        <w:spacing w:line="240" w:lineRule="auto"/>
        <w:rPr>
          <w:rFonts w:eastAsia="Times New Roman" w:cs="Arial"/>
        </w:rPr>
      </w:pPr>
      <w:r w:rsidRPr="00AA1FB2">
        <w:rPr>
          <w:rFonts w:eastAsia="Times New Roman" w:cs="Arial"/>
          <w:i/>
          <w:iCs/>
          <w:color w:val="000000"/>
          <w:lang w:eastAsia="bg-BG"/>
        </w:rPr>
        <w:t>Остър коронарен синдром</w:t>
      </w:r>
    </w:p>
    <w:p w14:paraId="3346BCFA" w14:textId="77777777" w:rsidR="006B7E28" w:rsidRPr="00AA1FB2" w:rsidRDefault="006B7E28" w:rsidP="006B7E28">
      <w:pPr>
        <w:spacing w:line="240" w:lineRule="auto"/>
        <w:rPr>
          <w:rFonts w:eastAsia="Times New Roman" w:cs="Arial"/>
          <w:color w:val="000000"/>
          <w:lang w:eastAsia="bg-BG"/>
        </w:rPr>
      </w:pPr>
    </w:p>
    <w:p w14:paraId="36B9F029" w14:textId="4EB93C2F"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Изпитването </w:t>
      </w:r>
      <w:r w:rsidRPr="00AA1FB2">
        <w:rPr>
          <w:rFonts w:eastAsia="Times New Roman" w:cs="Arial"/>
          <w:color w:val="000000"/>
          <w:lang w:val="en-US"/>
        </w:rPr>
        <w:t>CURE</w:t>
      </w:r>
      <w:r w:rsidRPr="00AA1FB2">
        <w:rPr>
          <w:rFonts w:eastAsia="Times New Roman" w:cs="Arial"/>
          <w:color w:val="000000"/>
          <w:lang w:val="ru-RU"/>
        </w:rPr>
        <w:t xml:space="preserve"> </w:t>
      </w:r>
      <w:r w:rsidRPr="00AA1FB2">
        <w:rPr>
          <w:rFonts w:eastAsia="Times New Roman" w:cs="Arial"/>
          <w:color w:val="000000"/>
          <w:lang w:eastAsia="bg-BG"/>
        </w:rPr>
        <w:t xml:space="preserve">обхваща 12 562 пациенти с остър коронарен синдром без елевация на </w:t>
      </w:r>
      <w:r w:rsidRPr="00AA1FB2">
        <w:rPr>
          <w:rFonts w:eastAsia="Times New Roman" w:cs="Arial"/>
          <w:color w:val="000000"/>
          <w:lang w:val="en-US"/>
        </w:rPr>
        <w:t>ST</w:t>
      </w:r>
      <w:r w:rsidRPr="00AA1FB2">
        <w:rPr>
          <w:rFonts w:eastAsia="Times New Roman" w:cs="Arial"/>
          <w:color w:val="000000"/>
          <w:lang w:val="ru-RU"/>
        </w:rPr>
        <w:t xml:space="preserve"> </w:t>
      </w:r>
      <w:r w:rsidRPr="00AA1FB2">
        <w:rPr>
          <w:rFonts w:eastAsia="Times New Roman" w:cs="Arial"/>
          <w:color w:val="000000"/>
          <w:lang w:eastAsia="bg-BG"/>
        </w:rPr>
        <w:t xml:space="preserve">сегмента (нестабилна стенокардия или миокарден инфаркт без </w:t>
      </w:r>
      <w:r w:rsidRPr="00AA1FB2">
        <w:rPr>
          <w:rFonts w:eastAsia="Times New Roman" w:cs="Arial"/>
          <w:color w:val="000000"/>
          <w:lang w:val="en-US"/>
        </w:rPr>
        <w:t>Q</w:t>
      </w:r>
      <w:r w:rsidRPr="00AA1FB2">
        <w:rPr>
          <w:rFonts w:eastAsia="Times New Roman" w:cs="Arial"/>
          <w:color w:val="000000"/>
          <w:lang w:val="ru-RU"/>
        </w:rPr>
        <w:t xml:space="preserve"> </w:t>
      </w:r>
      <w:r w:rsidRPr="00AA1FB2">
        <w:rPr>
          <w:rFonts w:eastAsia="Times New Roman" w:cs="Arial"/>
          <w:color w:val="000000"/>
          <w:lang w:eastAsia="bg-BG"/>
        </w:rPr>
        <w:t xml:space="preserve">зъбец), включени в първите 24 часа от началото на най-скорошния епизод на гръдна болка или симптоми, сочещи исхемия. Пациентите трябва да имат ЕКГ промени, говорещи за новопоявила се исхемия или повишени сърдечни ензими или тропонин I или Т, в стойности поне два пъти по-високи от горна граница на нормата. Пациентите се рандомизират към клопидогрел (300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натоварваща доза, последвана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дневно, </w:t>
      </w:r>
      <w:r w:rsidRPr="00AA1FB2">
        <w:rPr>
          <w:rFonts w:eastAsia="Times New Roman" w:cs="Arial"/>
          <w:color w:val="000000"/>
          <w:lang w:val="en-US"/>
        </w:rPr>
        <w:t>N</w:t>
      </w:r>
      <w:r w:rsidRPr="00AA1FB2">
        <w:rPr>
          <w:rFonts w:eastAsia="Times New Roman" w:cs="Arial"/>
          <w:color w:val="000000"/>
          <w:lang w:val="ru-RU"/>
        </w:rPr>
        <w:t xml:space="preserve"> </w:t>
      </w:r>
      <w:r w:rsidRPr="00AA1FB2">
        <w:rPr>
          <w:rFonts w:eastAsia="Times New Roman" w:cs="Arial"/>
          <w:color w:val="000000"/>
          <w:lang w:eastAsia="bg-BG"/>
        </w:rPr>
        <w:t xml:space="preserve">= 6 259) или плацебо </w:t>
      </w:r>
      <w:r w:rsidRPr="00AA1FB2">
        <w:rPr>
          <w:rFonts w:eastAsia="Times New Roman" w:cs="Arial"/>
          <w:color w:val="000000"/>
          <w:lang w:val="ru-RU"/>
        </w:rPr>
        <w:t>(</w:t>
      </w:r>
      <w:r w:rsidRPr="00AA1FB2">
        <w:rPr>
          <w:rFonts w:eastAsia="Times New Roman" w:cs="Arial"/>
          <w:color w:val="000000"/>
          <w:lang w:val="en-US"/>
        </w:rPr>
        <w:t>N</w:t>
      </w:r>
      <w:r w:rsidRPr="00AA1FB2">
        <w:rPr>
          <w:rFonts w:eastAsia="Times New Roman" w:cs="Arial"/>
          <w:color w:val="000000"/>
          <w:lang w:val="ru-RU"/>
        </w:rPr>
        <w:t xml:space="preserve"> </w:t>
      </w:r>
      <w:r w:rsidRPr="00AA1FB2">
        <w:rPr>
          <w:rFonts w:eastAsia="Times New Roman" w:cs="Arial"/>
          <w:color w:val="000000"/>
          <w:lang w:eastAsia="bg-BG"/>
        </w:rPr>
        <w:t xml:space="preserve">= 6 303), и двете групи в комбинация с АСК (75-325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веднъж дневно) и други стандартни терапии. Пациентите са лекувани в продължение на до 1 година. В изпитването </w:t>
      </w:r>
      <w:r w:rsidRPr="00AA1FB2">
        <w:rPr>
          <w:rFonts w:eastAsia="Times New Roman" w:cs="Arial"/>
          <w:color w:val="000000"/>
          <w:lang w:val="en-US"/>
        </w:rPr>
        <w:t>CURE</w:t>
      </w:r>
      <w:r w:rsidRPr="00AA1FB2">
        <w:rPr>
          <w:rFonts w:eastAsia="Times New Roman" w:cs="Arial"/>
          <w:color w:val="000000"/>
          <w:lang w:val="ru-RU"/>
        </w:rPr>
        <w:t xml:space="preserve">, </w:t>
      </w:r>
      <w:r w:rsidRPr="00AA1FB2">
        <w:rPr>
          <w:rFonts w:eastAsia="Times New Roman" w:cs="Arial"/>
          <w:color w:val="000000"/>
          <w:lang w:eastAsia="bg-BG"/>
        </w:rPr>
        <w:t xml:space="preserve">823 (6,6%) пациенти получават едновременно и лечение с гликопротеин </w:t>
      </w:r>
      <w:proofErr w:type="spellStart"/>
      <w:r w:rsidRPr="00AA1FB2">
        <w:rPr>
          <w:rFonts w:eastAsia="Times New Roman" w:cs="Arial"/>
          <w:color w:val="000000"/>
          <w:lang w:val="en-US"/>
        </w:rPr>
        <w:t>IIb</w:t>
      </w:r>
      <w:proofErr w:type="spellEnd"/>
      <w:r w:rsidRPr="00AA1FB2">
        <w:rPr>
          <w:rFonts w:eastAsia="Times New Roman" w:cs="Arial"/>
          <w:color w:val="000000"/>
          <w:lang w:eastAsia="bg-BG"/>
        </w:rPr>
        <w:t>/</w:t>
      </w:r>
      <w:r w:rsidRPr="00AA1FB2">
        <w:rPr>
          <w:rFonts w:eastAsia="Times New Roman" w:cs="Arial"/>
          <w:color w:val="000000"/>
          <w:lang w:val="en-US"/>
        </w:rPr>
        <w:t>III</w:t>
      </w:r>
      <w:r w:rsidRPr="00AA1FB2">
        <w:rPr>
          <w:rFonts w:eastAsia="Times New Roman" w:cs="Arial"/>
          <w:color w:val="000000"/>
          <w:lang w:eastAsia="bg-BG"/>
        </w:rPr>
        <w:t>а рецепторни антагонисти. Хепарин е приложен при повече от 90%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14:paraId="33D0CF00" w14:textId="77777777" w:rsidR="006B7E28" w:rsidRPr="00AA1FB2" w:rsidRDefault="006B7E28" w:rsidP="006B7E28">
      <w:pPr>
        <w:spacing w:line="240" w:lineRule="auto"/>
        <w:rPr>
          <w:rFonts w:eastAsia="Times New Roman" w:cs="Arial"/>
          <w:color w:val="000000"/>
          <w:lang w:eastAsia="bg-BG"/>
        </w:rPr>
      </w:pPr>
    </w:p>
    <w:p w14:paraId="163F20F3" w14:textId="3BCC9DDC"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Броят пациенти, при които са наблюдавани състояния, отговарящи на критериите на първичната крайна точка [сърдечно-съдова (СС) смърт, миокарден инфаркт (МИ) или инсулт] са 582 (9,3%) в групата, лекувана с клопидогрел, и 719 (11,4%) в групата, лекувана с плацебо, редукция на относителния риск с 20%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10% - 28%; р = 0,00009) в групата, лекувана с клопидогрел, (17% редукция на относителния риск при консервативно лечение на пациентите, 29% при направена перкутанна транслуминална коронарна ангиопластика /РТСА/ с или без стент и 10% при направен коронарен артериален байпас </w:t>
      </w:r>
      <w:r w:rsidRPr="00AA1FB2">
        <w:rPr>
          <w:rFonts w:eastAsia="Times New Roman" w:cs="Arial"/>
          <w:color w:val="000000"/>
          <w:lang w:val="ru-RU"/>
        </w:rPr>
        <w:t>/</w:t>
      </w:r>
      <w:r w:rsidRPr="00AA1FB2">
        <w:rPr>
          <w:rFonts w:eastAsia="Times New Roman" w:cs="Arial"/>
          <w:color w:val="000000"/>
          <w:lang w:val="en-US"/>
        </w:rPr>
        <w:t>CABG</w:t>
      </w:r>
      <w:r w:rsidRPr="00AA1FB2">
        <w:rPr>
          <w:rFonts w:eastAsia="Times New Roman" w:cs="Arial"/>
          <w:color w:val="000000"/>
          <w:lang w:val="ru-RU"/>
        </w:rPr>
        <w:t xml:space="preserve">/). </w:t>
      </w:r>
      <w:r w:rsidRPr="00AA1FB2">
        <w:rPr>
          <w:rFonts w:eastAsia="Times New Roman" w:cs="Arial"/>
          <w:color w:val="000000"/>
          <w:lang w:eastAsia="bg-BG"/>
        </w:rPr>
        <w:t xml:space="preserve">Новите сърдечно-съдови инциденти (първична крайна точка) са предотвратени, с редукция на относителния риск с 22% </w:t>
      </w:r>
      <w:r w:rsidRPr="00AA1FB2">
        <w:rPr>
          <w:rFonts w:eastAsia="Times New Roman" w:cs="Arial"/>
          <w:color w:val="000000"/>
          <w:lang w:val="ru-RU"/>
        </w:rPr>
        <w:t>(</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8,6; 33,4;), 32% </w:t>
      </w:r>
      <w:r w:rsidRPr="00AA1FB2">
        <w:rPr>
          <w:rFonts w:eastAsia="Times New Roman" w:cs="Arial"/>
          <w:color w:val="000000"/>
          <w:lang w:val="ru-RU"/>
        </w:rPr>
        <w:t>(</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12,8; 46,4), 4% </w:t>
      </w:r>
      <w:r w:rsidRPr="00AA1FB2">
        <w:rPr>
          <w:rFonts w:eastAsia="Times New Roman" w:cs="Arial"/>
          <w:color w:val="000000"/>
          <w:lang w:val="ru-RU"/>
        </w:rPr>
        <w:t>(</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-26,9; 26,7), 6% </w:t>
      </w:r>
      <w:r w:rsidRPr="00AA1FB2">
        <w:rPr>
          <w:rFonts w:eastAsia="Times New Roman" w:cs="Arial"/>
          <w:color w:val="000000"/>
          <w:lang w:val="ru-RU"/>
        </w:rPr>
        <w:t>(</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-33,5; 34,3;) и 14% </w:t>
      </w:r>
      <w:r w:rsidRPr="00AA1FB2">
        <w:rPr>
          <w:rFonts w:eastAsia="Times New Roman" w:cs="Arial"/>
          <w:color w:val="000000"/>
          <w:lang w:val="ru-RU"/>
        </w:rPr>
        <w:t>(</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-31,6; 44,2) съответно през интервалите на изпитването по месеци 0-1, 1-3,3-6, 6-9 и 9-12. След третия месец на лечението благоприятният ефект, наблюдаван в групата на клопидогрел + АСК, не нараства повече, но рискът от хеморагия остава (вж. т. 4.4).</w:t>
      </w:r>
    </w:p>
    <w:p w14:paraId="1BA05626" w14:textId="77777777" w:rsidR="006B7E28" w:rsidRPr="00AA1FB2" w:rsidRDefault="006B7E28" w:rsidP="006B7E28">
      <w:pPr>
        <w:spacing w:line="240" w:lineRule="auto"/>
        <w:rPr>
          <w:rFonts w:eastAsia="Times New Roman" w:cs="Arial"/>
          <w:color w:val="000000"/>
          <w:lang w:eastAsia="bg-BG"/>
        </w:rPr>
      </w:pPr>
    </w:p>
    <w:p w14:paraId="0EDFCBC5" w14:textId="6CA1F0D0"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Употребата на клопидогрел в изпитването </w:t>
      </w:r>
      <w:r w:rsidRPr="00AA1FB2">
        <w:rPr>
          <w:rFonts w:eastAsia="Times New Roman" w:cs="Arial"/>
          <w:color w:val="000000"/>
          <w:lang w:val="en-US"/>
        </w:rPr>
        <w:t>CURE</w:t>
      </w:r>
      <w:r w:rsidRPr="00AA1FB2">
        <w:rPr>
          <w:rFonts w:eastAsia="Times New Roman" w:cs="Arial"/>
          <w:color w:val="000000"/>
          <w:lang w:val="ru-RU"/>
        </w:rPr>
        <w:t xml:space="preserve"> </w:t>
      </w:r>
      <w:r w:rsidRPr="00AA1FB2">
        <w:rPr>
          <w:rFonts w:eastAsia="Times New Roman" w:cs="Arial"/>
          <w:color w:val="000000"/>
          <w:lang w:eastAsia="bg-BG"/>
        </w:rPr>
        <w:t xml:space="preserve">е свързана с намаляване на необходимостта от тромболитична терапия </w:t>
      </w:r>
      <w:r w:rsidRPr="00AA1FB2">
        <w:rPr>
          <w:rFonts w:eastAsia="Times New Roman" w:cs="Arial"/>
          <w:color w:val="000000"/>
          <w:lang w:val="ru-RU"/>
        </w:rPr>
        <w:t>(</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 xml:space="preserve">= 43,3%;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24,3%, 57,5%) и гликопротеин </w:t>
      </w:r>
      <w:proofErr w:type="spellStart"/>
      <w:r w:rsidRPr="00AA1FB2">
        <w:rPr>
          <w:rFonts w:eastAsia="Times New Roman" w:cs="Arial"/>
          <w:color w:val="000000"/>
          <w:lang w:val="en-US"/>
        </w:rPr>
        <w:t>IIb</w:t>
      </w:r>
      <w:proofErr w:type="spellEnd"/>
      <w:r w:rsidRPr="00AA1FB2">
        <w:rPr>
          <w:rFonts w:eastAsia="Times New Roman" w:cs="Arial"/>
          <w:color w:val="000000"/>
          <w:lang w:val="ru-RU"/>
        </w:rPr>
        <w:t>/</w:t>
      </w:r>
      <w:proofErr w:type="spellStart"/>
      <w:r w:rsidRPr="00AA1FB2">
        <w:rPr>
          <w:rFonts w:eastAsia="Times New Roman" w:cs="Arial"/>
          <w:color w:val="000000"/>
          <w:lang w:val="en-US"/>
        </w:rPr>
        <w:t>IIIa</w:t>
      </w:r>
      <w:proofErr w:type="spellEnd"/>
      <w:r w:rsidRPr="00AA1FB2">
        <w:rPr>
          <w:rFonts w:eastAsia="Times New Roman" w:cs="Arial"/>
          <w:color w:val="000000"/>
          <w:lang w:val="ru-RU"/>
        </w:rPr>
        <w:t xml:space="preserve"> </w:t>
      </w:r>
      <w:r w:rsidRPr="00AA1FB2">
        <w:rPr>
          <w:rFonts w:eastAsia="Times New Roman" w:cs="Arial"/>
          <w:color w:val="000000"/>
          <w:lang w:eastAsia="bg-BG"/>
        </w:rPr>
        <w:t xml:space="preserve">инхибитори </w:t>
      </w:r>
      <w:r w:rsidRPr="00AA1FB2">
        <w:rPr>
          <w:rFonts w:eastAsia="Times New Roman" w:cs="Arial"/>
          <w:color w:val="000000"/>
          <w:lang w:val="ru-RU"/>
        </w:rPr>
        <w:t>(</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 xml:space="preserve">18,2%;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6,5%, 28,3%).</w:t>
      </w:r>
    </w:p>
    <w:p w14:paraId="7C91BCC7" w14:textId="77777777" w:rsidR="006B7E28" w:rsidRPr="00AA1FB2" w:rsidRDefault="006B7E28" w:rsidP="006B7E28">
      <w:pPr>
        <w:spacing w:line="240" w:lineRule="auto"/>
        <w:rPr>
          <w:rFonts w:eastAsia="Times New Roman" w:cs="Arial"/>
          <w:color w:val="000000"/>
          <w:lang w:eastAsia="bg-BG"/>
        </w:rPr>
      </w:pPr>
    </w:p>
    <w:p w14:paraId="671747F6" w14:textId="0330A760" w:rsidR="006B7E28" w:rsidRPr="00AA1FB2" w:rsidRDefault="006B7E28" w:rsidP="006B7E28">
      <w:pPr>
        <w:spacing w:line="240" w:lineRule="auto"/>
        <w:rPr>
          <w:rFonts w:eastAsia="Times New Roman" w:cs="Arial"/>
          <w:color w:val="000000"/>
          <w:lang w:eastAsia="bg-BG"/>
        </w:rPr>
      </w:pPr>
      <w:r w:rsidRPr="00AA1FB2">
        <w:rPr>
          <w:rFonts w:eastAsia="Times New Roman" w:cs="Arial"/>
          <w:color w:val="000000"/>
          <w:lang w:eastAsia="bg-BG"/>
        </w:rPr>
        <w:t xml:space="preserve">Броят на пациентите, при които са настъпили състояния, отговарящи на критериите за </w:t>
      </w:r>
    </w:p>
    <w:p w14:paraId="3A98EE9A" w14:textId="7115A992"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допълнителната първична крайна точка (СС смърт, МИ, мозъчен инсулт или рефрактерна исхемия) е 1 035 (16,5%) в групата лекувана с клопидогрел и 1 187 (18,8%) в групата лекувана с плацебо, редукция на относителния риск с 14%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6%-21%, р = 0,0005) в групата лекувана с клопидогрел. Този благоприятен ефект се дължи предимно на статистически значителното понижение на честотата на миокардния инфаркт [287 (4,6%) при групата, лекувана с клопидогрел и 363 (5,8%) при групата, лекувана с плацебо]. Не е наблюдаван ефект върху честотата на рехоспитализация при нестабилна стенокардия,</w:t>
      </w:r>
    </w:p>
    <w:p w14:paraId="7D63AA35" w14:textId="77777777" w:rsidR="006B7E28" w:rsidRPr="00AA1FB2" w:rsidRDefault="006B7E28" w:rsidP="006B7E28">
      <w:pPr>
        <w:spacing w:line="240" w:lineRule="auto"/>
        <w:rPr>
          <w:rFonts w:eastAsia="Times New Roman" w:cs="Arial"/>
          <w:color w:val="000000"/>
          <w:lang w:eastAsia="bg-BG"/>
        </w:rPr>
      </w:pPr>
    </w:p>
    <w:p w14:paraId="2B63BED1" w14:textId="77777777" w:rsidR="006B7E28" w:rsidRPr="00AA1FB2" w:rsidRDefault="006B7E28" w:rsidP="006B7E28">
      <w:pPr>
        <w:rPr>
          <w:rFonts w:eastAsia="Times New Roman" w:cs="Arial"/>
        </w:rPr>
      </w:pPr>
      <w:r w:rsidRPr="00AA1FB2">
        <w:rPr>
          <w:rFonts w:eastAsia="Times New Roman" w:cs="Arial"/>
          <w:color w:val="000000"/>
          <w:lang w:eastAsia="bg-BG"/>
        </w:rPr>
        <w:t xml:space="preserve">Резултатите, получени в групите с различни характеристики (например, нестабилна стенокардия или МИ без </w:t>
      </w:r>
      <w:r w:rsidRPr="00AA1FB2">
        <w:rPr>
          <w:rFonts w:eastAsia="Times New Roman" w:cs="Arial"/>
          <w:color w:val="000000"/>
          <w:lang w:val="en-US"/>
        </w:rPr>
        <w:t>Q</w:t>
      </w:r>
      <w:r w:rsidRPr="00AA1FB2">
        <w:rPr>
          <w:rFonts w:eastAsia="Times New Roman" w:cs="Arial"/>
          <w:color w:val="000000"/>
          <w:lang w:val="ru-RU"/>
        </w:rPr>
        <w:t xml:space="preserve"> </w:t>
      </w:r>
      <w:r w:rsidRPr="00AA1FB2">
        <w:rPr>
          <w:rFonts w:eastAsia="Times New Roman" w:cs="Arial"/>
          <w:color w:val="000000"/>
          <w:lang w:eastAsia="bg-BG"/>
        </w:rPr>
        <w:t xml:space="preserve">зъбец, ниска до висока степен на риск, диабет, необходимост от реваскуларизация, възраст, пол и други) са сходни с резултатите от първичните </w:t>
      </w:r>
      <w:r w:rsidRPr="00AA1FB2">
        <w:rPr>
          <w:rFonts w:eastAsia="Times New Roman" w:cs="Arial"/>
          <w:color w:val="000000"/>
          <w:lang w:eastAsia="bg-BG"/>
        </w:rPr>
        <w:lastRenderedPageBreak/>
        <w:t xml:space="preserve">анализи. По- специално, в </w:t>
      </w:r>
      <w:r w:rsidRPr="00AA1FB2">
        <w:rPr>
          <w:rFonts w:eastAsia="Times New Roman" w:cs="Arial"/>
          <w:color w:val="000000"/>
          <w:lang w:val="en-US"/>
        </w:rPr>
        <w:t>post</w:t>
      </w:r>
      <w:r w:rsidRPr="00AA1FB2">
        <w:rPr>
          <w:rFonts w:eastAsia="Times New Roman" w:cs="Arial"/>
          <w:color w:val="000000"/>
          <w:lang w:val="ru-RU"/>
        </w:rPr>
        <w:t>-</w:t>
      </w:r>
      <w:r w:rsidRPr="00AA1FB2">
        <w:rPr>
          <w:rFonts w:eastAsia="Times New Roman" w:cs="Arial"/>
          <w:color w:val="000000"/>
          <w:lang w:val="en-US"/>
        </w:rPr>
        <w:t>hoc</w:t>
      </w:r>
      <w:r w:rsidRPr="00AA1FB2">
        <w:rPr>
          <w:rFonts w:eastAsia="Times New Roman" w:cs="Arial"/>
          <w:color w:val="000000"/>
          <w:lang w:val="ru-RU"/>
        </w:rPr>
        <w:t xml:space="preserve"> </w:t>
      </w:r>
      <w:r w:rsidRPr="00AA1FB2">
        <w:rPr>
          <w:rFonts w:eastAsia="Times New Roman" w:cs="Arial"/>
          <w:color w:val="000000"/>
          <w:lang w:eastAsia="bg-BG"/>
        </w:rPr>
        <w:t xml:space="preserve">анализ при 2 172 пациенти (17% от цялата група в изпитването </w:t>
      </w:r>
      <w:r w:rsidRPr="00AA1FB2">
        <w:rPr>
          <w:rFonts w:eastAsia="Times New Roman" w:cs="Arial"/>
          <w:color w:val="000000"/>
          <w:lang w:val="en-US"/>
        </w:rPr>
        <w:t>C</w:t>
      </w:r>
      <w:r w:rsidRPr="00AA1FB2">
        <w:rPr>
          <w:rFonts w:eastAsia="Times New Roman" w:cs="Arial"/>
          <w:color w:val="000000"/>
          <w:u w:val="single"/>
          <w:lang w:val="en-US"/>
        </w:rPr>
        <w:t>URE</w:t>
      </w:r>
      <w:r w:rsidRPr="00AA1FB2">
        <w:rPr>
          <w:rFonts w:eastAsia="Times New Roman" w:cs="Arial"/>
          <w:color w:val="000000"/>
          <w:u w:val="single"/>
          <w:lang w:val="ru-RU"/>
        </w:rPr>
        <w:t xml:space="preserve">) </w:t>
      </w:r>
      <w:r w:rsidRPr="00AA1FB2">
        <w:rPr>
          <w:rFonts w:eastAsia="Times New Roman" w:cs="Arial"/>
          <w:color w:val="000000"/>
          <w:u w:val="single"/>
          <w:lang w:eastAsia="bg-BG"/>
        </w:rPr>
        <w:t>н</w:t>
      </w:r>
      <w:r w:rsidRPr="00AA1FB2">
        <w:rPr>
          <w:rFonts w:eastAsia="Times New Roman" w:cs="Arial"/>
          <w:color w:val="000000"/>
          <w:lang w:eastAsia="bg-BG"/>
        </w:rPr>
        <w:t xml:space="preserve">а които е поставен стент </w:t>
      </w:r>
      <w:r w:rsidRPr="00AA1FB2">
        <w:rPr>
          <w:rFonts w:eastAsia="Times New Roman" w:cs="Arial"/>
          <w:color w:val="000000"/>
          <w:lang w:val="ru-RU"/>
        </w:rPr>
        <w:t>(</w:t>
      </w:r>
      <w:r w:rsidRPr="00AA1FB2">
        <w:rPr>
          <w:rFonts w:eastAsia="Times New Roman" w:cs="Arial"/>
          <w:color w:val="000000"/>
          <w:lang w:val="en-US"/>
        </w:rPr>
        <w:t>Stent</w:t>
      </w:r>
      <w:r w:rsidRPr="00AA1FB2">
        <w:rPr>
          <w:rFonts w:eastAsia="Times New Roman" w:cs="Arial"/>
          <w:color w:val="000000"/>
          <w:lang w:val="ru-RU"/>
        </w:rPr>
        <w:t>-</w:t>
      </w:r>
      <w:r w:rsidRPr="00AA1FB2">
        <w:rPr>
          <w:rFonts w:eastAsia="Times New Roman" w:cs="Arial"/>
          <w:color w:val="000000"/>
          <w:lang w:val="en-US"/>
        </w:rPr>
        <w:t>CURE</w:t>
      </w:r>
      <w:r w:rsidRPr="00AA1FB2">
        <w:rPr>
          <w:rFonts w:eastAsia="Times New Roman" w:cs="Arial"/>
          <w:color w:val="000000"/>
          <w:lang w:val="ru-RU"/>
        </w:rPr>
        <w:t xml:space="preserve">), </w:t>
      </w:r>
      <w:r w:rsidRPr="00AA1FB2">
        <w:rPr>
          <w:rFonts w:eastAsia="Times New Roman" w:cs="Arial"/>
          <w:color w:val="000000"/>
          <w:lang w:eastAsia="bg-BG"/>
        </w:rPr>
        <w:t>данните показват, че клопидогрел сравнен с</w:t>
      </w:r>
      <w:r w:rsidRPr="00AA1FB2">
        <w:rPr>
          <w:rFonts w:eastAsia="Times New Roman" w:cs="Arial"/>
          <w:color w:val="000000"/>
          <w:lang w:val="ru-RU"/>
        </w:rPr>
        <w:t xml:space="preserve"> </w:t>
      </w:r>
      <w:r w:rsidRPr="00AA1FB2">
        <w:rPr>
          <w:rFonts w:eastAsia="Times New Roman" w:cs="Arial"/>
          <w:color w:val="000000"/>
          <w:lang w:eastAsia="bg-BG"/>
        </w:rPr>
        <w:t xml:space="preserve">плацебо, демонстрира значителна </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 xml:space="preserve">от 26,2% в полза на клопидогрел за допълнителната първична крайна точка (СС смърт, МИ, мозъчен инсулт) и също значителна </w:t>
      </w:r>
      <w:r w:rsidRPr="00AA1FB2">
        <w:rPr>
          <w:rFonts w:eastAsia="Times New Roman" w:cs="Arial"/>
          <w:color w:val="000000"/>
          <w:lang w:val="en-US"/>
        </w:rPr>
        <w:t>RRR</w:t>
      </w:r>
      <w:r w:rsidRPr="00AA1FB2">
        <w:rPr>
          <w:rFonts w:eastAsia="Times New Roman" w:cs="Arial"/>
          <w:color w:val="000000"/>
          <w:lang w:val="ru-RU"/>
        </w:rPr>
        <w:t xml:space="preserve"> </w:t>
      </w:r>
      <w:r w:rsidRPr="00AA1FB2">
        <w:rPr>
          <w:rFonts w:eastAsia="Times New Roman" w:cs="Arial"/>
          <w:color w:val="000000"/>
          <w:lang w:eastAsia="bg-BG"/>
        </w:rPr>
        <w:t>от 23,9% за допълнителната вторична крайна точка (СС смърт, МИ, мозъчен инсулт или рефракторна исхемия). Освен това, профилът на безопасност на клопидогрел в тази подгрупа пациенти не предизвика някакъв особен проблем. Следователно, резултатите от тази подгрупа са в съответствие с общите резултати от изпитването.</w:t>
      </w:r>
    </w:p>
    <w:p w14:paraId="07F76466" w14:textId="77777777" w:rsidR="006B7E28" w:rsidRPr="00AA1FB2" w:rsidRDefault="006B7E28" w:rsidP="006B7E28">
      <w:pPr>
        <w:spacing w:line="240" w:lineRule="auto"/>
        <w:rPr>
          <w:rFonts w:eastAsia="Times New Roman" w:cs="Arial"/>
          <w:color w:val="000000"/>
          <w:lang w:eastAsia="bg-BG"/>
        </w:rPr>
      </w:pPr>
    </w:p>
    <w:p w14:paraId="2C9C29D3" w14:textId="718B4C34" w:rsidR="006B7E28" w:rsidRPr="00AA1FB2" w:rsidRDefault="006B7E28" w:rsidP="006B7E28">
      <w:pPr>
        <w:spacing w:line="240" w:lineRule="auto"/>
        <w:rPr>
          <w:rFonts w:eastAsia="Times New Roman" w:cs="Arial"/>
        </w:rPr>
      </w:pPr>
      <w:r w:rsidRPr="00AA1FB2">
        <w:rPr>
          <w:rFonts w:eastAsia="Times New Roman" w:cs="Arial"/>
          <w:color w:val="000000"/>
          <w:lang w:eastAsia="bg-BG"/>
        </w:rPr>
        <w:t>Наблюдаваният благоприятен ефект на клопидогрел е независим от други спешни и продължителни сърдечно-съдови лечения (като хепарин</w:t>
      </w:r>
      <w:r w:rsidRPr="00AA1FB2">
        <w:rPr>
          <w:rFonts w:eastAsia="Times New Roman" w:cs="Arial"/>
          <w:color w:val="000000"/>
          <w:lang w:val="ru-RU"/>
        </w:rPr>
        <w:t>/</w:t>
      </w:r>
      <w:r w:rsidRPr="00AA1FB2">
        <w:rPr>
          <w:rFonts w:eastAsia="Times New Roman" w:cs="Arial"/>
          <w:color w:val="000000"/>
          <w:lang w:val="en-US"/>
        </w:rPr>
        <w:t>LMWH</w:t>
      </w:r>
      <w:r w:rsidRPr="00AA1FB2">
        <w:rPr>
          <w:rFonts w:eastAsia="Times New Roman" w:cs="Arial"/>
          <w:color w:val="000000"/>
          <w:lang w:val="ru-RU"/>
        </w:rPr>
        <w:t xml:space="preserve">, </w:t>
      </w:r>
      <w:r w:rsidRPr="00AA1FB2">
        <w:rPr>
          <w:rFonts w:eastAsia="Times New Roman" w:cs="Arial"/>
          <w:color w:val="000000"/>
          <w:lang w:eastAsia="bg-BG"/>
        </w:rPr>
        <w:t xml:space="preserve">гликопротеин </w:t>
      </w:r>
      <w:proofErr w:type="spellStart"/>
      <w:r w:rsidRPr="00AA1FB2">
        <w:rPr>
          <w:rFonts w:eastAsia="Times New Roman" w:cs="Arial"/>
          <w:color w:val="000000"/>
          <w:lang w:val="en-US"/>
        </w:rPr>
        <w:t>IIb</w:t>
      </w:r>
      <w:proofErr w:type="spellEnd"/>
      <w:r w:rsidRPr="00AA1FB2">
        <w:rPr>
          <w:rFonts w:eastAsia="Times New Roman" w:cs="Arial"/>
          <w:color w:val="000000"/>
          <w:lang w:eastAsia="bg-BG"/>
        </w:rPr>
        <w:t>/</w:t>
      </w:r>
      <w:r w:rsidRPr="00AA1FB2">
        <w:rPr>
          <w:rFonts w:eastAsia="Times New Roman" w:cs="Arial"/>
          <w:color w:val="000000"/>
          <w:lang w:val="en-US"/>
        </w:rPr>
        <w:t>III</w:t>
      </w:r>
      <w:r w:rsidRPr="00AA1FB2">
        <w:rPr>
          <w:rFonts w:eastAsia="Times New Roman" w:cs="Arial"/>
          <w:color w:val="000000"/>
          <w:lang w:eastAsia="bg-BG"/>
        </w:rPr>
        <w:t xml:space="preserve">а антагонисти, липидо-редуциращи лекарствени продукти, бета-блокери и АСЕ инхибитори). Ефикасността на клопидогрел се наблюдава независимо от дозата на АСК (75-325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веднъж дневно).</w:t>
      </w:r>
    </w:p>
    <w:p w14:paraId="1F353287" w14:textId="77777777" w:rsidR="006B7E28" w:rsidRPr="00AA1FB2" w:rsidRDefault="006B7E28" w:rsidP="006B7E28">
      <w:pPr>
        <w:spacing w:line="240" w:lineRule="auto"/>
        <w:rPr>
          <w:rFonts w:eastAsia="Times New Roman" w:cs="Arial"/>
          <w:color w:val="000000"/>
          <w:lang w:eastAsia="bg-BG"/>
        </w:rPr>
      </w:pPr>
    </w:p>
    <w:p w14:paraId="7DFD4B94" w14:textId="38D35A1F"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При пациенти с остър МИ с елевация на </w:t>
      </w:r>
      <w:r w:rsidRPr="00AA1FB2">
        <w:rPr>
          <w:rFonts w:eastAsia="Times New Roman" w:cs="Arial"/>
          <w:color w:val="000000"/>
          <w:lang w:val="en-US"/>
        </w:rPr>
        <w:t>ST</w:t>
      </w:r>
      <w:r w:rsidRPr="00AA1FB2">
        <w:rPr>
          <w:rFonts w:eastAsia="Times New Roman" w:cs="Arial"/>
          <w:color w:val="000000"/>
          <w:lang w:val="ru-RU"/>
        </w:rPr>
        <w:t xml:space="preserve"> </w:t>
      </w:r>
      <w:r w:rsidRPr="00AA1FB2">
        <w:rPr>
          <w:rFonts w:eastAsia="Times New Roman" w:cs="Arial"/>
          <w:color w:val="000000"/>
          <w:lang w:eastAsia="bg-BG"/>
        </w:rPr>
        <w:t xml:space="preserve">сегмента, ефективността и безопасността на клопидогрел е оценена в 2 рандомизирани, плацебо-контролирани, двойно слепи изпитвания, </w:t>
      </w:r>
      <w:r w:rsidRPr="00AA1FB2">
        <w:rPr>
          <w:rFonts w:eastAsia="Times New Roman" w:cs="Arial"/>
          <w:color w:val="000000"/>
          <w:lang w:val="en-US"/>
        </w:rPr>
        <w:t>CLARITY</w:t>
      </w:r>
      <w:r w:rsidRPr="00AA1FB2">
        <w:rPr>
          <w:rFonts w:eastAsia="Times New Roman" w:cs="Arial"/>
          <w:color w:val="000000"/>
          <w:lang w:val="ru-RU"/>
        </w:rPr>
        <w:t xml:space="preserve"> </w:t>
      </w:r>
      <w:r w:rsidRPr="00AA1FB2">
        <w:rPr>
          <w:rFonts w:eastAsia="Times New Roman" w:cs="Arial"/>
          <w:color w:val="000000"/>
          <w:lang w:eastAsia="bg-BG"/>
        </w:rPr>
        <w:t xml:space="preserve">и </w:t>
      </w:r>
      <w:r w:rsidRPr="00AA1FB2">
        <w:rPr>
          <w:rFonts w:eastAsia="Times New Roman" w:cs="Arial"/>
          <w:color w:val="000000"/>
          <w:lang w:val="en-US"/>
        </w:rPr>
        <w:t>COMMIT</w:t>
      </w:r>
      <w:r w:rsidRPr="00AA1FB2">
        <w:rPr>
          <w:rFonts w:eastAsia="Times New Roman" w:cs="Arial"/>
          <w:color w:val="000000"/>
          <w:lang w:val="ru-RU"/>
        </w:rPr>
        <w:t>.</w:t>
      </w:r>
    </w:p>
    <w:p w14:paraId="6F782835" w14:textId="77777777" w:rsidR="006B7E28" w:rsidRPr="00AA1FB2" w:rsidRDefault="006B7E28" w:rsidP="006B7E28">
      <w:pPr>
        <w:spacing w:line="240" w:lineRule="auto"/>
        <w:rPr>
          <w:rFonts w:eastAsia="Times New Roman" w:cs="Arial"/>
          <w:color w:val="000000"/>
          <w:lang w:eastAsia="bg-BG"/>
        </w:rPr>
      </w:pPr>
    </w:p>
    <w:p w14:paraId="79497B5A" w14:textId="56E021A9"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Изпитването </w:t>
      </w:r>
      <w:r w:rsidRPr="00AA1FB2">
        <w:rPr>
          <w:rFonts w:eastAsia="Times New Roman" w:cs="Arial"/>
          <w:color w:val="000000"/>
          <w:lang w:val="en-US"/>
        </w:rPr>
        <w:t>CLARITY</w:t>
      </w:r>
      <w:r w:rsidRPr="00AA1FB2">
        <w:rPr>
          <w:rFonts w:eastAsia="Times New Roman" w:cs="Arial"/>
          <w:color w:val="000000"/>
          <w:lang w:val="ru-RU"/>
        </w:rPr>
        <w:t xml:space="preserve"> </w:t>
      </w:r>
      <w:r w:rsidRPr="00AA1FB2">
        <w:rPr>
          <w:rFonts w:eastAsia="Times New Roman" w:cs="Arial"/>
          <w:color w:val="000000"/>
          <w:lang w:eastAsia="bg-BG"/>
        </w:rPr>
        <w:t xml:space="preserve">включва 3 491 пациенти с начало на МИ с елевация на </w:t>
      </w:r>
      <w:r w:rsidRPr="00AA1FB2">
        <w:rPr>
          <w:rFonts w:eastAsia="Times New Roman" w:cs="Arial"/>
          <w:color w:val="000000"/>
          <w:lang w:val="en-US"/>
        </w:rPr>
        <w:t>ST</w:t>
      </w:r>
      <w:r w:rsidRPr="00AA1FB2">
        <w:rPr>
          <w:rFonts w:eastAsia="Times New Roman" w:cs="Arial"/>
          <w:color w:val="000000"/>
          <w:lang w:val="ru-RU"/>
        </w:rPr>
        <w:t xml:space="preserve"> </w:t>
      </w:r>
      <w:r w:rsidRPr="00AA1FB2">
        <w:rPr>
          <w:rFonts w:eastAsia="Times New Roman" w:cs="Arial"/>
          <w:color w:val="000000"/>
          <w:lang w:eastAsia="bg-BG"/>
        </w:rPr>
        <w:t xml:space="preserve">сегмента в рамките на последните 12 часа и планирано тромболитично лечение. Пациентите са получили клопидогрел (300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натоварваща доза, последвана от 75 </w:t>
      </w:r>
      <w:r w:rsidRPr="00AA1FB2">
        <w:rPr>
          <w:rFonts w:eastAsia="Times New Roman" w:cs="Arial"/>
          <w:color w:val="000000"/>
          <w:lang w:val="en-US"/>
        </w:rPr>
        <w:t>mg</w:t>
      </w:r>
      <w:r w:rsidRPr="00AA1FB2">
        <w:rPr>
          <w:rFonts w:eastAsia="Times New Roman" w:cs="Arial"/>
          <w:color w:val="000000"/>
          <w:lang w:eastAsia="bg-BG"/>
        </w:rPr>
        <w:t xml:space="preserve">/ден, </w:t>
      </w:r>
      <w:r w:rsidRPr="00AA1FB2">
        <w:rPr>
          <w:rFonts w:eastAsia="Times New Roman" w:cs="Arial"/>
          <w:color w:val="000000"/>
          <w:lang w:val="en-US"/>
        </w:rPr>
        <w:t>n</w:t>
      </w:r>
      <w:r w:rsidRPr="00AA1FB2">
        <w:rPr>
          <w:rFonts w:eastAsia="Times New Roman" w:cs="Arial"/>
          <w:color w:val="000000"/>
          <w:lang w:val="ru-RU"/>
        </w:rPr>
        <w:t xml:space="preserve"> </w:t>
      </w:r>
      <w:r w:rsidRPr="00AA1FB2">
        <w:rPr>
          <w:rFonts w:eastAsia="Times New Roman" w:cs="Arial"/>
          <w:color w:val="000000"/>
          <w:lang w:eastAsia="bg-BG"/>
        </w:rPr>
        <w:t xml:space="preserve">= 1 752) или плацебо </w:t>
      </w:r>
      <w:r w:rsidRPr="00AA1FB2">
        <w:rPr>
          <w:rFonts w:eastAsia="Times New Roman" w:cs="Arial"/>
          <w:color w:val="000000"/>
          <w:lang w:val="ru-RU"/>
        </w:rPr>
        <w:t>(</w:t>
      </w:r>
      <w:r w:rsidRPr="00AA1FB2">
        <w:rPr>
          <w:rFonts w:eastAsia="Times New Roman" w:cs="Arial"/>
          <w:color w:val="000000"/>
          <w:lang w:val="en-US"/>
        </w:rPr>
        <w:t>n</w:t>
      </w:r>
      <w:r w:rsidRPr="00AA1FB2">
        <w:rPr>
          <w:rFonts w:eastAsia="Times New Roman" w:cs="Arial"/>
          <w:color w:val="000000"/>
          <w:lang w:val="ru-RU"/>
        </w:rPr>
        <w:t xml:space="preserve"> </w:t>
      </w:r>
      <w:r w:rsidRPr="00AA1FB2">
        <w:rPr>
          <w:rFonts w:eastAsia="Times New Roman" w:cs="Arial"/>
          <w:color w:val="000000"/>
          <w:lang w:eastAsia="bg-BG"/>
        </w:rPr>
        <w:t xml:space="preserve">= 1 739), и двете в комбинация с АСК (150 до 325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като натоварваща доза, последвана от 75 до 162 </w:t>
      </w:r>
      <w:r w:rsidRPr="00AA1FB2">
        <w:rPr>
          <w:rFonts w:eastAsia="Times New Roman" w:cs="Arial"/>
          <w:color w:val="000000"/>
          <w:lang w:val="en-US"/>
        </w:rPr>
        <w:t>mg</w:t>
      </w:r>
      <w:r w:rsidRPr="00AA1FB2">
        <w:rPr>
          <w:rFonts w:eastAsia="Times New Roman" w:cs="Arial"/>
          <w:color w:val="000000"/>
          <w:lang w:eastAsia="bg-BG"/>
        </w:rPr>
        <w:t>/ден), фибринолитично средство, и, когато е било подходящо, хепарин. Пациентите са проследени в продължение на 30 дни. Първичната крайна точка е комбинация от появата на запушена във връзка с инфаркта артерия на ангиограмата при изписване или смърт или повторен МИ преди коронарната ангиография. При пациенти, при които не е правена ангиография, първичната крайна точка е смърт или повторен миокарден инфаркт до Ден 8 или до изписването от болницата. Групата пациенти е включвала 19,7% жени и 29,2% пациенти &gt;65 години. Общо 99,7% от пациентите са получили фибринолитици (специфични за фибрин: 68,7%, неспецифични за фибрин: 31,1%), 89,5% хепарин, 78,7% бета-блокери, 54,7% АСЕ инхибитори и 63% статини.</w:t>
      </w:r>
    </w:p>
    <w:p w14:paraId="3B3F807B" w14:textId="77777777" w:rsidR="00AA1FB2" w:rsidRPr="00AA1FB2" w:rsidRDefault="00AA1FB2" w:rsidP="006B7E28">
      <w:pPr>
        <w:spacing w:line="240" w:lineRule="auto"/>
        <w:rPr>
          <w:rFonts w:eastAsia="Times New Roman" w:cs="Arial"/>
          <w:color w:val="000000"/>
          <w:lang w:eastAsia="bg-BG"/>
        </w:rPr>
      </w:pPr>
    </w:p>
    <w:p w14:paraId="130E1F03" w14:textId="2AEF593F"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Петнадесет процента (15,0%) от пациентите в групата на клопидогрел и 21,7% в плацебо групата са достигнали до първична крайна точка, което представлява абсолютно намаление от 6,7% и 36% намаление на вероятността в полза на клопидогрел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24; 47%; р &lt;0,001), главно свързано с намаление на запушени артерии, свързани с инфаркта. Тази полза е била налице във всички предварително определени подгрупи на пациентите по възраст и пол, локализация на инфаркта и вида на използваното фибринолитичното лечение или хепарин.</w:t>
      </w:r>
    </w:p>
    <w:p w14:paraId="00C8CB83" w14:textId="77777777" w:rsidR="00AA1FB2" w:rsidRPr="00AA1FB2" w:rsidRDefault="00AA1FB2" w:rsidP="006B7E28">
      <w:pPr>
        <w:spacing w:line="240" w:lineRule="auto"/>
        <w:rPr>
          <w:rFonts w:eastAsia="Times New Roman" w:cs="Arial"/>
          <w:color w:val="000000"/>
          <w:lang w:eastAsia="bg-BG"/>
        </w:rPr>
      </w:pPr>
    </w:p>
    <w:p w14:paraId="1FC87E8C" w14:textId="0E30CA2D" w:rsidR="006B7E28" w:rsidRPr="00AA1FB2" w:rsidRDefault="006B7E28" w:rsidP="006B7E28">
      <w:pPr>
        <w:spacing w:line="240" w:lineRule="auto"/>
        <w:rPr>
          <w:rFonts w:eastAsia="Times New Roman" w:cs="Arial"/>
        </w:rPr>
      </w:pPr>
      <w:r w:rsidRPr="00AA1FB2">
        <w:rPr>
          <w:rFonts w:eastAsia="Times New Roman" w:cs="Arial"/>
          <w:color w:val="000000"/>
          <w:lang w:eastAsia="bg-BG"/>
        </w:rPr>
        <w:t xml:space="preserve">Изпитването </w:t>
      </w:r>
      <w:r w:rsidRPr="00AA1FB2">
        <w:rPr>
          <w:rFonts w:eastAsia="Times New Roman" w:cs="Arial"/>
          <w:color w:val="000000"/>
          <w:lang w:val="en-US"/>
        </w:rPr>
        <w:t>COMMIT</w:t>
      </w:r>
      <w:r w:rsidRPr="00AA1FB2">
        <w:rPr>
          <w:rFonts w:eastAsia="Times New Roman" w:cs="Arial"/>
          <w:color w:val="000000"/>
          <w:lang w:val="ru-RU"/>
        </w:rPr>
        <w:t xml:space="preserve"> </w:t>
      </w:r>
      <w:r w:rsidRPr="00AA1FB2">
        <w:rPr>
          <w:rFonts w:eastAsia="Times New Roman" w:cs="Arial"/>
          <w:color w:val="000000"/>
          <w:lang w:eastAsia="bg-BG"/>
        </w:rPr>
        <w:t xml:space="preserve">с </w:t>
      </w:r>
      <w:r w:rsidRPr="00AA1FB2">
        <w:rPr>
          <w:rFonts w:eastAsia="Times New Roman" w:cs="Arial"/>
          <w:color w:val="000000"/>
          <w:lang w:val="ru-RU"/>
        </w:rPr>
        <w:t>2</w:t>
      </w:r>
      <w:r w:rsidRPr="00AA1FB2">
        <w:rPr>
          <w:rFonts w:eastAsia="Times New Roman" w:cs="Arial"/>
          <w:color w:val="000000"/>
          <w:lang w:val="en-US"/>
        </w:rPr>
        <w:t>x</w:t>
      </w:r>
      <w:r w:rsidRPr="00AA1FB2">
        <w:rPr>
          <w:rFonts w:eastAsia="Times New Roman" w:cs="Arial"/>
          <w:color w:val="000000"/>
          <w:lang w:val="ru-RU"/>
        </w:rPr>
        <w:t xml:space="preserve">2 </w:t>
      </w:r>
      <w:r w:rsidRPr="00AA1FB2">
        <w:rPr>
          <w:rFonts w:eastAsia="Times New Roman" w:cs="Arial"/>
          <w:color w:val="000000"/>
          <w:lang w:eastAsia="bg-BG"/>
        </w:rPr>
        <w:t xml:space="preserve">факториален дизайн е включило 45 852 пациенти с начало на симптоми, предполагащи МИ, с подкрепящи отклонения в ЕКГ (например, елевация на </w:t>
      </w:r>
      <w:r w:rsidRPr="00AA1FB2">
        <w:rPr>
          <w:rFonts w:eastAsia="Times New Roman" w:cs="Arial"/>
          <w:color w:val="000000"/>
          <w:lang w:val="en-US"/>
        </w:rPr>
        <w:t>ST</w:t>
      </w:r>
      <w:r w:rsidRPr="00AA1FB2">
        <w:rPr>
          <w:rFonts w:eastAsia="Times New Roman" w:cs="Arial"/>
          <w:color w:val="000000"/>
          <w:lang w:val="ru-RU"/>
        </w:rPr>
        <w:t xml:space="preserve"> </w:t>
      </w:r>
      <w:r w:rsidRPr="00AA1FB2">
        <w:rPr>
          <w:rFonts w:eastAsia="Times New Roman" w:cs="Arial"/>
          <w:color w:val="000000"/>
          <w:lang w:eastAsia="bg-BG"/>
        </w:rPr>
        <w:t xml:space="preserve">сегмента, депресия на </w:t>
      </w:r>
      <w:r w:rsidRPr="00AA1FB2">
        <w:rPr>
          <w:rFonts w:eastAsia="Times New Roman" w:cs="Arial"/>
          <w:color w:val="000000"/>
          <w:lang w:val="en-US"/>
        </w:rPr>
        <w:t>ST</w:t>
      </w:r>
      <w:r w:rsidRPr="00AA1FB2">
        <w:rPr>
          <w:rFonts w:eastAsia="Times New Roman" w:cs="Arial"/>
          <w:color w:val="000000"/>
          <w:lang w:val="ru-RU"/>
        </w:rPr>
        <w:t xml:space="preserve"> </w:t>
      </w:r>
      <w:r w:rsidRPr="00AA1FB2">
        <w:rPr>
          <w:rFonts w:eastAsia="Times New Roman" w:cs="Arial"/>
          <w:color w:val="000000"/>
          <w:lang w:eastAsia="bg-BG"/>
        </w:rPr>
        <w:t xml:space="preserve">сегмента или ляв бедрен блок) в рамките на последните 24 часа. Пацинетите са получавали клопидогрел (75 </w:t>
      </w:r>
      <w:r w:rsidRPr="00AA1FB2">
        <w:rPr>
          <w:rFonts w:eastAsia="Times New Roman" w:cs="Arial"/>
          <w:color w:val="000000"/>
          <w:lang w:val="en-US"/>
        </w:rPr>
        <w:t>mg</w:t>
      </w:r>
      <w:r w:rsidRPr="00AA1FB2">
        <w:rPr>
          <w:rFonts w:eastAsia="Times New Roman" w:cs="Arial"/>
          <w:color w:val="000000"/>
          <w:lang w:val="ru-RU"/>
        </w:rPr>
        <w:t>/</w:t>
      </w:r>
      <w:r w:rsidRPr="00AA1FB2">
        <w:rPr>
          <w:rFonts w:eastAsia="Times New Roman" w:cs="Arial"/>
          <w:color w:val="000000"/>
          <w:lang w:eastAsia="bg-BG"/>
        </w:rPr>
        <w:t xml:space="preserve">ден, </w:t>
      </w:r>
      <w:r w:rsidRPr="00AA1FB2">
        <w:rPr>
          <w:rFonts w:eastAsia="Times New Roman" w:cs="Arial"/>
          <w:color w:val="000000"/>
          <w:lang w:val="en-US"/>
        </w:rPr>
        <w:t>n</w:t>
      </w:r>
      <w:r w:rsidRPr="00AA1FB2">
        <w:rPr>
          <w:rFonts w:eastAsia="Times New Roman" w:cs="Arial"/>
          <w:color w:val="000000"/>
          <w:lang w:val="ru-RU"/>
        </w:rPr>
        <w:t>=</w:t>
      </w:r>
      <w:r w:rsidRPr="00AA1FB2">
        <w:rPr>
          <w:rFonts w:eastAsia="Times New Roman" w:cs="Arial"/>
          <w:color w:val="000000"/>
          <w:lang w:eastAsia="bg-BG"/>
        </w:rPr>
        <w:t xml:space="preserve"> 22 961) или плацебо (</w:t>
      </w:r>
      <w:r w:rsidRPr="00AA1FB2">
        <w:rPr>
          <w:rFonts w:eastAsia="Times New Roman" w:cs="Arial"/>
          <w:color w:val="000000"/>
          <w:lang w:val="en-US"/>
        </w:rPr>
        <w:t>n</w:t>
      </w:r>
      <w:r w:rsidRPr="00AA1FB2">
        <w:rPr>
          <w:rFonts w:eastAsia="Times New Roman" w:cs="Arial"/>
          <w:color w:val="000000"/>
          <w:lang w:eastAsia="bg-BG"/>
        </w:rPr>
        <w:t xml:space="preserve"> = 22 891), в комбинация с АСК (162 </w:t>
      </w:r>
      <w:r w:rsidRPr="00AA1FB2">
        <w:rPr>
          <w:rFonts w:eastAsia="Times New Roman" w:cs="Arial"/>
          <w:color w:val="000000"/>
          <w:lang w:val="en-US"/>
        </w:rPr>
        <w:t>mg</w:t>
      </w:r>
      <w:r w:rsidRPr="00AA1FB2">
        <w:rPr>
          <w:rFonts w:eastAsia="Times New Roman" w:cs="Arial"/>
          <w:color w:val="000000"/>
          <w:lang w:eastAsia="bg-BG"/>
        </w:rPr>
        <w:t xml:space="preserve">/ден), в продължение на 28 дни или до изписване от болницата. Допълнителните първични крайни точки са били смърт по всякаква причина и първа поява на повторен инфаркт, инсулт или смърт. Групата е включвала 27,8% жени, </w:t>
      </w:r>
      <w:r w:rsidRPr="00AA1FB2">
        <w:rPr>
          <w:rFonts w:eastAsia="Times New Roman" w:cs="Arial"/>
          <w:color w:val="000000"/>
          <w:lang w:eastAsia="bg-BG"/>
        </w:rPr>
        <w:lastRenderedPageBreak/>
        <w:t>58,4% пациенти ≥60 години (26% ≥70 години) и 54,5% пациента, които са получавали фибринолитици.</w:t>
      </w:r>
    </w:p>
    <w:p w14:paraId="10CABAAF" w14:textId="77777777" w:rsidR="00AA1FB2" w:rsidRPr="00AA1FB2" w:rsidRDefault="00AA1FB2" w:rsidP="006B7E28">
      <w:pPr>
        <w:spacing w:line="240" w:lineRule="auto"/>
        <w:rPr>
          <w:rFonts w:eastAsia="Times New Roman" w:cs="Arial"/>
          <w:color w:val="000000"/>
          <w:lang w:eastAsia="bg-BG"/>
        </w:rPr>
      </w:pPr>
    </w:p>
    <w:p w14:paraId="69AB8D22" w14:textId="323405AE" w:rsidR="006B7E28" w:rsidRPr="00AA1FB2" w:rsidRDefault="006B7E28" w:rsidP="006B7E28">
      <w:pPr>
        <w:spacing w:line="240" w:lineRule="auto"/>
        <w:rPr>
          <w:rFonts w:eastAsia="Times New Roman" w:cs="Arial"/>
        </w:rPr>
      </w:pPr>
      <w:r w:rsidRPr="00AA1FB2">
        <w:rPr>
          <w:rFonts w:eastAsia="Times New Roman" w:cs="Arial"/>
          <w:color w:val="000000"/>
          <w:lang w:eastAsia="bg-BG"/>
        </w:rPr>
        <w:t>Клопидогрел значимо намалява относителния риск от смърт по всякаква причина със 7% (р = 0,029) и относителния риск от комбинацията от повторен инфаркт, инсулт или смърт с 9% (р = 0,002), което представлява абсолютно намаление съответно с 0,5% и 0,9%. Тази полза е налице независимо от възраст, пол, с или без фибринолитици, и е наблюдавана още в първите 24 часа.</w:t>
      </w:r>
    </w:p>
    <w:p w14:paraId="5F5EFD26" w14:textId="77777777" w:rsidR="00AA1FB2" w:rsidRPr="00AA1FB2" w:rsidRDefault="00AA1FB2" w:rsidP="006B7E28">
      <w:pPr>
        <w:spacing w:line="240" w:lineRule="auto"/>
        <w:rPr>
          <w:rFonts w:eastAsia="Times New Roman" w:cs="Arial"/>
          <w:color w:val="000000"/>
          <w:u w:val="single"/>
          <w:lang w:eastAsia="bg-BG"/>
        </w:rPr>
      </w:pPr>
    </w:p>
    <w:p w14:paraId="18065FF7" w14:textId="4C687BB7" w:rsidR="006B7E28" w:rsidRPr="00AA1FB2" w:rsidRDefault="006B7E28" w:rsidP="006B7E28">
      <w:pPr>
        <w:spacing w:line="240" w:lineRule="auto"/>
        <w:rPr>
          <w:rFonts w:eastAsia="Times New Roman" w:cs="Arial"/>
        </w:rPr>
      </w:pPr>
      <w:r w:rsidRPr="00AA1FB2">
        <w:rPr>
          <w:rFonts w:eastAsia="Times New Roman" w:cs="Arial"/>
          <w:color w:val="000000"/>
          <w:u w:val="single"/>
          <w:lang w:eastAsia="bg-BG"/>
        </w:rPr>
        <w:t xml:space="preserve">Деескалация на </w:t>
      </w:r>
      <w:r w:rsidRPr="00AA1FB2">
        <w:rPr>
          <w:rFonts w:eastAsia="Times New Roman" w:cs="Arial"/>
          <w:color w:val="000000"/>
          <w:u w:val="single"/>
          <w:lang w:val="en-US"/>
        </w:rPr>
        <w:t>P</w:t>
      </w:r>
      <w:r w:rsidRPr="00AA1FB2">
        <w:rPr>
          <w:rFonts w:eastAsia="Times New Roman" w:cs="Arial"/>
          <w:color w:val="000000"/>
          <w:u w:val="single"/>
        </w:rPr>
        <w:t>2</w:t>
      </w:r>
      <w:r w:rsidRPr="00AA1FB2">
        <w:rPr>
          <w:rFonts w:eastAsia="Times New Roman" w:cs="Arial"/>
          <w:color w:val="000000"/>
          <w:u w:val="single"/>
          <w:lang w:val="en-US"/>
        </w:rPr>
        <w:t>Y</w:t>
      </w:r>
      <w:r w:rsidRPr="00AA1FB2">
        <w:rPr>
          <w:rFonts w:eastAsia="Times New Roman" w:cs="Arial"/>
          <w:color w:val="000000"/>
          <w:u w:val="single"/>
          <w:vertAlign w:val="subscript"/>
        </w:rPr>
        <w:t>12</w:t>
      </w:r>
      <w:r w:rsidRPr="00AA1FB2">
        <w:rPr>
          <w:rFonts w:eastAsia="Times New Roman" w:cs="Arial"/>
          <w:color w:val="000000"/>
          <w:u w:val="single"/>
        </w:rPr>
        <w:t xml:space="preserve"> </w:t>
      </w:r>
      <w:r w:rsidRPr="00AA1FB2">
        <w:rPr>
          <w:rFonts w:eastAsia="Times New Roman" w:cs="Arial"/>
          <w:color w:val="000000"/>
          <w:u w:val="single"/>
          <w:lang w:eastAsia="bg-BG"/>
        </w:rPr>
        <w:t xml:space="preserve">рецепторни инхибитори при остър коронарен синдром </w:t>
      </w:r>
      <w:r w:rsidRPr="00AA1FB2">
        <w:rPr>
          <w:rFonts w:eastAsia="Times New Roman" w:cs="Arial"/>
          <w:color w:val="000000"/>
          <w:u w:val="single"/>
        </w:rPr>
        <w:t>(</w:t>
      </w:r>
      <w:r w:rsidRPr="00AA1FB2">
        <w:rPr>
          <w:rFonts w:eastAsia="Times New Roman" w:cs="Arial"/>
          <w:color w:val="000000"/>
          <w:u w:val="single"/>
          <w:lang w:val="en-US"/>
        </w:rPr>
        <w:t>ACS</w:t>
      </w:r>
      <w:r w:rsidRPr="00AA1FB2">
        <w:rPr>
          <w:rFonts w:eastAsia="Times New Roman" w:cs="Arial"/>
          <w:color w:val="000000"/>
          <w:u w:val="single"/>
        </w:rPr>
        <w:t xml:space="preserve">) </w:t>
      </w:r>
      <w:r w:rsidRPr="00AA1FB2">
        <w:rPr>
          <w:rFonts w:eastAsia="Times New Roman" w:cs="Arial"/>
          <w:color w:val="000000"/>
          <w:lang w:eastAsia="bg-BG"/>
        </w:rPr>
        <w:t xml:space="preserve">Преминаването от по-мощен </w:t>
      </w:r>
      <w:r w:rsidRPr="00AA1FB2">
        <w:rPr>
          <w:rFonts w:eastAsia="Times New Roman" w:cs="Arial"/>
          <w:color w:val="000000"/>
          <w:lang w:val="en-US"/>
        </w:rPr>
        <w:t>P</w:t>
      </w:r>
      <w:r w:rsidRPr="00AA1FB2">
        <w:rPr>
          <w:rFonts w:eastAsia="Times New Roman" w:cs="Arial"/>
          <w:color w:val="000000"/>
        </w:rPr>
        <w:t>2</w:t>
      </w:r>
      <w:r w:rsidRPr="00AA1FB2">
        <w:rPr>
          <w:rFonts w:eastAsia="Times New Roman" w:cs="Arial"/>
          <w:color w:val="000000"/>
          <w:lang w:val="en-US"/>
        </w:rPr>
        <w:t>Y</w:t>
      </w:r>
      <w:r w:rsidRPr="00AA1FB2">
        <w:rPr>
          <w:rFonts w:eastAsia="Times New Roman" w:cs="Arial"/>
          <w:color w:val="000000"/>
          <w:vertAlign w:val="subscript"/>
        </w:rPr>
        <w:t>12</w:t>
      </w:r>
      <w:r w:rsidRPr="00AA1FB2">
        <w:rPr>
          <w:rFonts w:eastAsia="Times New Roman" w:cs="Arial"/>
          <w:color w:val="000000"/>
        </w:rPr>
        <w:t xml:space="preserve"> </w:t>
      </w:r>
      <w:r w:rsidRPr="00AA1FB2">
        <w:rPr>
          <w:rFonts w:eastAsia="Times New Roman" w:cs="Arial"/>
          <w:color w:val="000000"/>
          <w:lang w:eastAsia="bg-BG"/>
        </w:rPr>
        <w:t xml:space="preserve">рецепторен инхибитор към клопидогрел в комбинация с аспирин след остра фаза при </w:t>
      </w:r>
      <w:r w:rsidRPr="00AA1FB2">
        <w:rPr>
          <w:rFonts w:eastAsia="Times New Roman" w:cs="Arial"/>
          <w:color w:val="000000"/>
          <w:lang w:val="en-US"/>
        </w:rPr>
        <w:t>ACS</w:t>
      </w:r>
      <w:r w:rsidRPr="00AA1FB2">
        <w:rPr>
          <w:rFonts w:eastAsia="Times New Roman" w:cs="Arial"/>
          <w:color w:val="000000"/>
        </w:rPr>
        <w:t xml:space="preserve"> </w:t>
      </w:r>
      <w:r w:rsidRPr="00AA1FB2">
        <w:rPr>
          <w:rFonts w:eastAsia="Times New Roman" w:cs="Arial"/>
          <w:color w:val="000000"/>
          <w:lang w:eastAsia="bg-BG"/>
        </w:rPr>
        <w:t xml:space="preserve">е оценено в две рандомизирани, възложени от изследователи проучвания </w:t>
      </w:r>
      <w:r w:rsidRPr="00AA1FB2">
        <w:rPr>
          <w:rFonts w:eastAsia="Times New Roman" w:cs="Arial"/>
          <w:color w:val="000000"/>
        </w:rPr>
        <w:t>(</w:t>
      </w:r>
      <w:r w:rsidRPr="00AA1FB2">
        <w:rPr>
          <w:rFonts w:eastAsia="Times New Roman" w:cs="Arial"/>
          <w:color w:val="000000"/>
          <w:lang w:val="en-US"/>
        </w:rPr>
        <w:t>investigator</w:t>
      </w:r>
      <w:r w:rsidRPr="00AA1FB2">
        <w:rPr>
          <w:rFonts w:eastAsia="Times New Roman" w:cs="Arial"/>
          <w:color w:val="000000"/>
        </w:rPr>
        <w:t>-</w:t>
      </w:r>
      <w:r w:rsidRPr="00AA1FB2">
        <w:rPr>
          <w:rFonts w:eastAsia="Times New Roman" w:cs="Arial"/>
          <w:color w:val="000000"/>
          <w:lang w:val="en-US"/>
        </w:rPr>
        <w:t>sponsored</w:t>
      </w:r>
      <w:r w:rsidRPr="00AA1FB2">
        <w:rPr>
          <w:rFonts w:eastAsia="Times New Roman" w:cs="Arial"/>
          <w:color w:val="000000"/>
        </w:rPr>
        <w:t xml:space="preserve"> </w:t>
      </w:r>
      <w:r w:rsidRPr="00AA1FB2">
        <w:rPr>
          <w:rFonts w:eastAsia="Times New Roman" w:cs="Arial"/>
          <w:color w:val="000000"/>
          <w:lang w:val="en-US"/>
        </w:rPr>
        <w:t>studies</w:t>
      </w:r>
      <w:r w:rsidRPr="00AA1FB2">
        <w:rPr>
          <w:rFonts w:eastAsia="Times New Roman" w:cs="Arial"/>
          <w:color w:val="000000"/>
        </w:rPr>
        <w:t xml:space="preserve">, </w:t>
      </w:r>
      <w:r w:rsidRPr="00AA1FB2">
        <w:rPr>
          <w:rFonts w:eastAsia="Times New Roman" w:cs="Arial"/>
          <w:color w:val="000000"/>
          <w:lang w:val="en-US"/>
        </w:rPr>
        <w:t>ISS</w:t>
      </w:r>
      <w:r w:rsidRPr="00AA1FB2">
        <w:rPr>
          <w:rFonts w:eastAsia="Times New Roman" w:cs="Arial"/>
          <w:color w:val="000000"/>
        </w:rPr>
        <w:t xml:space="preserve">) </w:t>
      </w:r>
      <w:r w:rsidRPr="00AA1FB2">
        <w:rPr>
          <w:rFonts w:eastAsia="Times New Roman" w:cs="Arial"/>
          <w:color w:val="000000"/>
          <w:lang w:eastAsia="bg-BG"/>
        </w:rPr>
        <w:t xml:space="preserve">- </w:t>
      </w:r>
      <w:r w:rsidRPr="00AA1FB2">
        <w:rPr>
          <w:rFonts w:eastAsia="Times New Roman" w:cs="Arial"/>
          <w:color w:val="000000"/>
          <w:lang w:val="en-US"/>
        </w:rPr>
        <w:t>TOPIC</w:t>
      </w:r>
      <w:r w:rsidRPr="00AA1FB2">
        <w:rPr>
          <w:rFonts w:eastAsia="Times New Roman" w:cs="Arial"/>
          <w:color w:val="000000"/>
        </w:rPr>
        <w:t xml:space="preserve"> </w:t>
      </w:r>
      <w:r w:rsidRPr="00AA1FB2">
        <w:rPr>
          <w:rFonts w:eastAsia="Times New Roman" w:cs="Arial"/>
          <w:color w:val="000000"/>
          <w:lang w:eastAsia="bg-BG"/>
        </w:rPr>
        <w:t xml:space="preserve">и </w:t>
      </w:r>
      <w:r w:rsidRPr="00AA1FB2">
        <w:rPr>
          <w:rFonts w:eastAsia="Times New Roman" w:cs="Arial"/>
          <w:color w:val="000000"/>
          <w:lang w:val="en-US"/>
        </w:rPr>
        <w:t>TROPICAL</w:t>
      </w:r>
      <w:r w:rsidRPr="00AA1FB2">
        <w:rPr>
          <w:rFonts w:eastAsia="Times New Roman" w:cs="Arial"/>
          <w:color w:val="000000"/>
        </w:rPr>
        <w:t xml:space="preserve">- </w:t>
      </w:r>
      <w:r w:rsidRPr="00AA1FB2">
        <w:rPr>
          <w:rFonts w:eastAsia="Times New Roman" w:cs="Arial"/>
          <w:color w:val="000000"/>
          <w:lang w:val="en-US"/>
        </w:rPr>
        <w:t>ACS</w:t>
      </w:r>
      <w:r w:rsidRPr="00AA1FB2">
        <w:rPr>
          <w:rFonts w:eastAsia="Times New Roman" w:cs="Arial"/>
          <w:color w:val="000000"/>
        </w:rPr>
        <w:t xml:space="preserve"> </w:t>
      </w:r>
      <w:r w:rsidRPr="00AA1FB2">
        <w:rPr>
          <w:rFonts w:eastAsia="Times New Roman" w:cs="Arial"/>
          <w:color w:val="000000"/>
          <w:lang w:val="en-US"/>
        </w:rPr>
        <w:t>c</w:t>
      </w:r>
      <w:r w:rsidRPr="00AA1FB2">
        <w:rPr>
          <w:rFonts w:eastAsia="Times New Roman" w:cs="Arial"/>
          <w:color w:val="000000"/>
        </w:rPr>
        <w:t xml:space="preserve"> </w:t>
      </w:r>
      <w:r w:rsidRPr="00AA1FB2">
        <w:rPr>
          <w:rFonts w:eastAsia="Times New Roman" w:cs="Arial"/>
          <w:color w:val="000000"/>
          <w:lang w:eastAsia="bg-BG"/>
        </w:rPr>
        <w:t>данни за клиничен резултат.</w:t>
      </w:r>
    </w:p>
    <w:p w14:paraId="5BCAF41B" w14:textId="5A227EE8" w:rsidR="006B7E28" w:rsidRPr="00AA1FB2" w:rsidRDefault="006B7E28" w:rsidP="006B7E28">
      <w:pPr>
        <w:rPr>
          <w:rFonts w:cs="Arial"/>
        </w:rPr>
      </w:pPr>
    </w:p>
    <w:p w14:paraId="2865AF82" w14:textId="77777777"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Клиничната полза, която показват по-мощните </w:t>
      </w:r>
      <w:r w:rsidRPr="00AA1FB2">
        <w:rPr>
          <w:rFonts w:eastAsia="Times New Roman" w:cs="Arial"/>
          <w:color w:val="000000"/>
          <w:lang w:val="en-US"/>
        </w:rPr>
        <w:t>P</w:t>
      </w:r>
      <w:r w:rsidRPr="00AA1FB2">
        <w:rPr>
          <w:rFonts w:eastAsia="Times New Roman" w:cs="Arial"/>
          <w:color w:val="000000"/>
          <w:lang w:val="ru-RU"/>
        </w:rPr>
        <w:t>2</w:t>
      </w:r>
      <w:r w:rsidRPr="00AA1FB2">
        <w:rPr>
          <w:rFonts w:eastAsia="Times New Roman" w:cs="Arial"/>
          <w:color w:val="000000"/>
          <w:lang w:val="en-US"/>
        </w:rPr>
        <w:t>Y</w:t>
      </w:r>
      <w:r w:rsidRPr="00AA1FB2">
        <w:rPr>
          <w:rFonts w:eastAsia="Times New Roman" w:cs="Arial"/>
          <w:color w:val="000000"/>
          <w:vertAlign w:val="subscript"/>
          <w:lang w:val="ru-RU"/>
        </w:rPr>
        <w:t>12</w:t>
      </w:r>
      <w:r w:rsidRPr="00AA1FB2">
        <w:rPr>
          <w:rFonts w:eastAsia="Times New Roman" w:cs="Arial"/>
          <w:color w:val="000000"/>
          <w:lang w:val="ru-RU"/>
        </w:rPr>
        <w:t xml:space="preserve"> </w:t>
      </w:r>
      <w:r w:rsidRPr="00AA1FB2">
        <w:rPr>
          <w:rFonts w:eastAsia="Times New Roman" w:cs="Arial"/>
          <w:color w:val="000000"/>
          <w:lang w:eastAsia="bg-BG"/>
        </w:rPr>
        <w:t xml:space="preserve">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подостря тромбоза на стента - </w:t>
      </w:r>
      <w:r w:rsidRPr="00AA1FB2">
        <w:rPr>
          <w:rFonts w:eastAsia="Times New Roman" w:cs="Arial"/>
          <w:color w:val="000000"/>
          <w:lang w:val="en-US"/>
        </w:rPr>
        <w:t>ST</w:t>
      </w:r>
      <w:r w:rsidRPr="00AA1FB2">
        <w:rPr>
          <w:rFonts w:eastAsia="Times New Roman" w:cs="Arial"/>
          <w:color w:val="000000"/>
          <w:lang w:val="ru-RU"/>
        </w:rPr>
        <w:t xml:space="preserve">, </w:t>
      </w:r>
      <w:r w:rsidRPr="00AA1FB2">
        <w:rPr>
          <w:rFonts w:eastAsia="Times New Roman" w:cs="Arial"/>
          <w:color w:val="000000"/>
          <w:lang w:eastAsia="bg-BG"/>
        </w:rPr>
        <w:t xml:space="preserve">миокарден инфаркт - МИ и спешна реваскуларизация). Въпреки, че исхемичната полза е последователна през първата година, по-голямо намаление на исхемичните рецидиви след </w:t>
      </w:r>
      <w:r w:rsidRPr="00AA1FB2">
        <w:rPr>
          <w:rFonts w:eastAsia="Times New Roman" w:cs="Arial"/>
          <w:color w:val="000000"/>
          <w:lang w:val="en-US"/>
        </w:rPr>
        <w:t>ACS</w:t>
      </w:r>
      <w:r w:rsidRPr="00AA1FB2">
        <w:rPr>
          <w:rFonts w:eastAsia="Times New Roman" w:cs="Arial"/>
          <w:color w:val="000000"/>
          <w:lang w:val="ru-RU"/>
        </w:rPr>
        <w:t xml:space="preserve"> </w:t>
      </w:r>
      <w:r w:rsidRPr="00AA1FB2">
        <w:rPr>
          <w:rFonts w:eastAsia="Times New Roman" w:cs="Arial"/>
          <w:color w:val="000000"/>
          <w:lang w:eastAsia="bg-BG"/>
        </w:rPr>
        <w:t xml:space="preserve">е наблюдавано през първите дни след започване на лечението. Обратно, ретроспективните </w:t>
      </w:r>
      <w:r w:rsidRPr="00AA1FB2">
        <w:rPr>
          <w:rFonts w:eastAsia="Times New Roman" w:cs="Arial"/>
          <w:color w:val="000000"/>
          <w:lang w:val="ru-RU"/>
        </w:rPr>
        <w:t>(</w:t>
      </w:r>
      <w:r w:rsidRPr="00AA1FB2">
        <w:rPr>
          <w:rFonts w:eastAsia="Times New Roman" w:cs="Arial"/>
          <w:color w:val="000000"/>
          <w:lang w:val="en-US"/>
        </w:rPr>
        <w:t>post</w:t>
      </w:r>
      <w:r w:rsidRPr="00AA1FB2">
        <w:rPr>
          <w:rFonts w:eastAsia="Times New Roman" w:cs="Arial"/>
          <w:color w:val="000000"/>
          <w:lang w:val="ru-RU"/>
        </w:rPr>
        <w:t xml:space="preserve">- </w:t>
      </w:r>
      <w:r w:rsidRPr="00AA1FB2">
        <w:rPr>
          <w:rFonts w:eastAsia="Times New Roman" w:cs="Arial"/>
          <w:color w:val="000000"/>
          <w:lang w:val="en-US"/>
        </w:rPr>
        <w:t>hoc</w:t>
      </w:r>
      <w:r w:rsidRPr="00AA1FB2">
        <w:rPr>
          <w:rFonts w:eastAsia="Times New Roman" w:cs="Arial"/>
          <w:color w:val="000000"/>
          <w:lang w:val="ru-RU"/>
        </w:rPr>
        <w:t xml:space="preserve">) </w:t>
      </w:r>
      <w:r w:rsidRPr="00AA1FB2">
        <w:rPr>
          <w:rFonts w:eastAsia="Times New Roman" w:cs="Arial"/>
          <w:color w:val="000000"/>
          <w:lang w:eastAsia="bg-BG"/>
        </w:rPr>
        <w:t>анализи показват статистически значимо повишение на риска от кървене при по-мощните Р2</w:t>
      </w:r>
      <w:r w:rsidRPr="00AA1FB2">
        <w:rPr>
          <w:rFonts w:eastAsia="Times New Roman" w:cs="Arial"/>
          <w:color w:val="000000"/>
          <w:lang w:val="en-US"/>
        </w:rPr>
        <w:t>Y</w:t>
      </w:r>
      <w:r w:rsidRPr="00AA1FB2">
        <w:rPr>
          <w:rFonts w:eastAsia="Times New Roman" w:cs="Arial"/>
          <w:color w:val="000000"/>
          <w:vertAlign w:val="subscript"/>
          <w:lang w:val="ru-RU"/>
        </w:rPr>
        <w:t>12</w:t>
      </w:r>
      <w:r w:rsidRPr="00AA1FB2">
        <w:rPr>
          <w:rFonts w:eastAsia="Times New Roman" w:cs="Arial"/>
          <w:color w:val="000000"/>
          <w:lang w:val="ru-RU"/>
        </w:rPr>
        <w:t xml:space="preserve"> </w:t>
      </w:r>
      <w:r w:rsidRPr="00AA1FB2">
        <w:rPr>
          <w:rFonts w:eastAsia="Times New Roman" w:cs="Arial"/>
          <w:color w:val="000000"/>
          <w:lang w:eastAsia="bg-BG"/>
        </w:rPr>
        <w:t xml:space="preserve">рецепторни инхибитори, което възниква предимно по време на поддържащата фаза, след първия месец след </w:t>
      </w:r>
      <w:r w:rsidRPr="00AA1FB2">
        <w:rPr>
          <w:rFonts w:eastAsia="Times New Roman" w:cs="Arial"/>
          <w:color w:val="000000"/>
          <w:lang w:val="en-US"/>
        </w:rPr>
        <w:t>ACS</w:t>
      </w:r>
      <w:r w:rsidRPr="00AA1FB2">
        <w:rPr>
          <w:rFonts w:eastAsia="Times New Roman" w:cs="Arial"/>
          <w:color w:val="000000"/>
          <w:lang w:val="ru-RU"/>
        </w:rPr>
        <w:t xml:space="preserve">. </w:t>
      </w:r>
      <w:r w:rsidRPr="00AA1FB2">
        <w:rPr>
          <w:rFonts w:eastAsia="Times New Roman" w:cs="Arial"/>
          <w:color w:val="000000"/>
          <w:lang w:eastAsia="bg-BG"/>
        </w:rPr>
        <w:t xml:space="preserve">Целта на </w:t>
      </w:r>
      <w:r w:rsidRPr="00AA1FB2">
        <w:rPr>
          <w:rFonts w:eastAsia="Times New Roman" w:cs="Arial"/>
          <w:color w:val="000000"/>
          <w:lang w:val="en-US"/>
        </w:rPr>
        <w:t>TOPIC</w:t>
      </w:r>
      <w:r w:rsidRPr="00AA1FB2">
        <w:rPr>
          <w:rFonts w:eastAsia="Times New Roman" w:cs="Arial"/>
          <w:color w:val="000000"/>
          <w:lang w:val="ru-RU"/>
        </w:rPr>
        <w:t xml:space="preserve"> </w:t>
      </w:r>
      <w:r w:rsidRPr="00AA1FB2">
        <w:rPr>
          <w:rFonts w:eastAsia="Times New Roman" w:cs="Arial"/>
          <w:color w:val="000000"/>
          <w:lang w:eastAsia="bg-BG"/>
        </w:rPr>
        <w:t xml:space="preserve">и </w:t>
      </w:r>
      <w:r w:rsidRPr="00AA1FB2">
        <w:rPr>
          <w:rFonts w:eastAsia="Times New Roman" w:cs="Arial"/>
          <w:color w:val="000000"/>
          <w:lang w:val="en-US"/>
        </w:rPr>
        <w:t>TROPICAL</w:t>
      </w:r>
      <w:r w:rsidRPr="00AA1FB2">
        <w:rPr>
          <w:rFonts w:eastAsia="Times New Roman" w:cs="Arial"/>
          <w:color w:val="000000"/>
          <w:lang w:val="ru-RU"/>
        </w:rPr>
        <w:t>-</w:t>
      </w:r>
      <w:r w:rsidRPr="00AA1FB2">
        <w:rPr>
          <w:rFonts w:eastAsia="Times New Roman" w:cs="Arial"/>
          <w:color w:val="000000"/>
          <w:lang w:val="en-US"/>
        </w:rPr>
        <w:t>ACS</w:t>
      </w:r>
      <w:r w:rsidRPr="00AA1FB2">
        <w:rPr>
          <w:rFonts w:eastAsia="Times New Roman" w:cs="Arial"/>
          <w:color w:val="000000"/>
          <w:lang w:val="ru-RU"/>
        </w:rPr>
        <w:t xml:space="preserve"> </w:t>
      </w:r>
      <w:r w:rsidRPr="00AA1FB2">
        <w:rPr>
          <w:rFonts w:eastAsia="Times New Roman" w:cs="Arial"/>
          <w:color w:val="000000"/>
          <w:lang w:eastAsia="bg-BG"/>
        </w:rPr>
        <w:t>е да проучат как да се намалят събитията на кървене при запазване на ефикасността.</w:t>
      </w:r>
    </w:p>
    <w:p w14:paraId="15284AB0" w14:textId="77777777" w:rsidR="00AA1FB2" w:rsidRPr="00F962F6" w:rsidRDefault="00AA1FB2" w:rsidP="00AA1FB2">
      <w:pPr>
        <w:spacing w:line="240" w:lineRule="auto"/>
        <w:rPr>
          <w:rFonts w:eastAsia="Times New Roman" w:cs="Arial"/>
          <w:b/>
          <w:bCs/>
          <w:color w:val="000000"/>
          <w:lang w:val="ru-RU"/>
        </w:rPr>
      </w:pPr>
    </w:p>
    <w:p w14:paraId="600ACD8A" w14:textId="0E455706" w:rsidR="00AA1FB2" w:rsidRPr="00AA1FB2" w:rsidRDefault="00AA1FB2" w:rsidP="00AA1FB2">
      <w:pPr>
        <w:spacing w:line="240" w:lineRule="auto"/>
        <w:rPr>
          <w:rFonts w:eastAsia="Times New Roman" w:cs="Arial"/>
        </w:rPr>
      </w:pPr>
      <w:r w:rsidRPr="00AA1FB2">
        <w:rPr>
          <w:rFonts w:eastAsia="Times New Roman" w:cs="Arial"/>
          <w:b/>
          <w:bCs/>
          <w:color w:val="000000"/>
          <w:lang w:val="en-US"/>
        </w:rPr>
        <w:t>TOPIC</w:t>
      </w:r>
      <w:r w:rsidRPr="00AA1FB2">
        <w:rPr>
          <w:rFonts w:eastAsia="Times New Roman" w:cs="Arial"/>
          <w:b/>
          <w:bCs/>
          <w:color w:val="000000"/>
        </w:rPr>
        <w:t xml:space="preserve"> </w:t>
      </w:r>
      <w:r w:rsidRPr="00AA1FB2">
        <w:rPr>
          <w:rFonts w:eastAsia="Times New Roman" w:cs="Arial"/>
          <w:color w:val="000000"/>
          <w:lang w:eastAsia="bg-BG"/>
        </w:rPr>
        <w:t xml:space="preserve">(Време на тромбоцитна инхибиция след остър коронарен синдром - </w:t>
      </w:r>
      <w:r w:rsidRPr="00AA1FB2">
        <w:rPr>
          <w:rFonts w:eastAsia="Times New Roman" w:cs="Arial"/>
          <w:i/>
          <w:iCs/>
          <w:color w:val="000000"/>
          <w:lang w:val="en-US"/>
        </w:rPr>
        <w:t>Timing</w:t>
      </w:r>
      <w:r w:rsidRPr="00AA1FB2">
        <w:rPr>
          <w:rFonts w:eastAsia="Times New Roman" w:cs="Arial"/>
          <w:i/>
          <w:iCs/>
          <w:color w:val="000000"/>
        </w:rPr>
        <w:t xml:space="preserve"> </w:t>
      </w:r>
      <w:proofErr w:type="gramStart"/>
      <w:r w:rsidRPr="00AA1FB2">
        <w:rPr>
          <w:rFonts w:eastAsia="Times New Roman" w:cs="Arial"/>
          <w:i/>
          <w:iCs/>
          <w:color w:val="000000"/>
          <w:lang w:val="en-US"/>
        </w:rPr>
        <w:t>Of</w:t>
      </w:r>
      <w:proofErr w:type="gramEnd"/>
      <w:r w:rsidRPr="00AA1FB2">
        <w:rPr>
          <w:rFonts w:eastAsia="Times New Roman" w:cs="Arial"/>
          <w:i/>
          <w:iCs/>
          <w:color w:val="000000"/>
        </w:rPr>
        <w:t xml:space="preserve"> </w:t>
      </w:r>
      <w:r w:rsidRPr="00AA1FB2">
        <w:rPr>
          <w:rFonts w:eastAsia="Times New Roman" w:cs="Arial"/>
          <w:i/>
          <w:iCs/>
          <w:color w:val="000000"/>
          <w:lang w:val="en-US"/>
        </w:rPr>
        <w:t>Platelet</w:t>
      </w:r>
      <w:r w:rsidRPr="00AA1FB2">
        <w:rPr>
          <w:rFonts w:eastAsia="Times New Roman" w:cs="Arial"/>
          <w:i/>
          <w:iCs/>
          <w:color w:val="000000"/>
        </w:rPr>
        <w:t xml:space="preserve"> </w:t>
      </w:r>
      <w:r w:rsidRPr="00AA1FB2">
        <w:rPr>
          <w:rFonts w:eastAsia="Times New Roman" w:cs="Arial"/>
          <w:i/>
          <w:iCs/>
          <w:color w:val="000000"/>
          <w:lang w:val="en-US"/>
        </w:rPr>
        <w:t>Inhibition</w:t>
      </w:r>
      <w:r w:rsidRPr="00AA1FB2">
        <w:rPr>
          <w:rFonts w:eastAsia="Times New Roman" w:cs="Arial"/>
          <w:i/>
          <w:iCs/>
          <w:color w:val="000000"/>
        </w:rPr>
        <w:t xml:space="preserve"> </w:t>
      </w:r>
      <w:r w:rsidRPr="00AA1FB2">
        <w:rPr>
          <w:rFonts w:eastAsia="Times New Roman" w:cs="Arial"/>
          <w:i/>
          <w:iCs/>
          <w:color w:val="000000"/>
          <w:lang w:val="en-US"/>
        </w:rPr>
        <w:t>after</w:t>
      </w:r>
      <w:r w:rsidRPr="00AA1FB2">
        <w:rPr>
          <w:rFonts w:eastAsia="Times New Roman" w:cs="Arial"/>
          <w:i/>
          <w:iCs/>
          <w:color w:val="000000"/>
        </w:rPr>
        <w:t xml:space="preserve"> </w:t>
      </w:r>
      <w:r w:rsidRPr="00AA1FB2">
        <w:rPr>
          <w:rFonts w:eastAsia="Times New Roman" w:cs="Arial"/>
          <w:i/>
          <w:iCs/>
          <w:color w:val="000000"/>
          <w:lang w:val="en-US"/>
        </w:rPr>
        <w:t>acute</w:t>
      </w:r>
      <w:r w:rsidRPr="00AA1FB2">
        <w:rPr>
          <w:rFonts w:eastAsia="Times New Roman" w:cs="Arial"/>
          <w:i/>
          <w:iCs/>
          <w:color w:val="000000"/>
        </w:rPr>
        <w:t xml:space="preserve"> </w:t>
      </w:r>
      <w:r w:rsidRPr="00AA1FB2">
        <w:rPr>
          <w:rFonts w:eastAsia="Times New Roman" w:cs="Arial"/>
          <w:i/>
          <w:iCs/>
          <w:color w:val="000000"/>
          <w:lang w:val="en-US"/>
        </w:rPr>
        <w:t>Coronary</w:t>
      </w:r>
      <w:r w:rsidRPr="00AA1FB2">
        <w:rPr>
          <w:rFonts w:eastAsia="Times New Roman" w:cs="Arial"/>
          <w:i/>
          <w:iCs/>
          <w:color w:val="000000"/>
        </w:rPr>
        <w:t xml:space="preserve"> </w:t>
      </w:r>
      <w:r w:rsidRPr="00AA1FB2">
        <w:rPr>
          <w:rFonts w:eastAsia="Times New Roman" w:cs="Arial"/>
          <w:i/>
          <w:iCs/>
          <w:color w:val="000000"/>
          <w:lang w:val="en-US"/>
        </w:rPr>
        <w:t>syndrome</w:t>
      </w:r>
      <w:r w:rsidRPr="00AA1FB2">
        <w:rPr>
          <w:rFonts w:eastAsia="Times New Roman" w:cs="Arial"/>
          <w:i/>
          <w:iCs/>
          <w:color w:val="000000"/>
        </w:rPr>
        <w:t>)</w:t>
      </w:r>
    </w:p>
    <w:p w14:paraId="197C13A2" w14:textId="77777777"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Това рандомизирано, открито изпитване включва пациенти с </w:t>
      </w:r>
      <w:r w:rsidRPr="00AA1FB2">
        <w:rPr>
          <w:rFonts w:eastAsia="Times New Roman" w:cs="Arial"/>
          <w:color w:val="000000"/>
          <w:lang w:val="en-US"/>
        </w:rPr>
        <w:t>ACS</w:t>
      </w:r>
      <w:r w:rsidRPr="00AA1FB2">
        <w:rPr>
          <w:rFonts w:eastAsia="Times New Roman" w:cs="Arial"/>
          <w:color w:val="000000"/>
          <w:lang w:val="ru-RU"/>
        </w:rPr>
        <w:t xml:space="preserve">, </w:t>
      </w:r>
      <w:r w:rsidRPr="00AA1FB2">
        <w:rPr>
          <w:rFonts w:eastAsia="Times New Roman" w:cs="Arial"/>
          <w:color w:val="000000"/>
          <w:lang w:eastAsia="bg-BG"/>
        </w:rPr>
        <w:t xml:space="preserve">които се нуждаят от </w:t>
      </w:r>
      <w:r w:rsidRPr="00AA1FB2">
        <w:rPr>
          <w:rFonts w:eastAsia="Times New Roman" w:cs="Arial"/>
          <w:color w:val="000000"/>
          <w:lang w:val="en-US"/>
        </w:rPr>
        <w:t>PCI</w:t>
      </w:r>
      <w:r w:rsidRPr="00AA1FB2">
        <w:rPr>
          <w:rFonts w:eastAsia="Times New Roman" w:cs="Arial"/>
          <w:color w:val="000000"/>
          <w:lang w:val="ru-RU"/>
        </w:rPr>
        <w:t xml:space="preserve">. </w:t>
      </w:r>
      <w:r w:rsidRPr="00AA1FB2">
        <w:rPr>
          <w:rFonts w:eastAsia="Times New Roman" w:cs="Arial"/>
          <w:color w:val="000000"/>
          <w:lang w:eastAsia="bg-BG"/>
        </w:rPr>
        <w:t xml:space="preserve">Пациентите на аспирин и по-мощен </w:t>
      </w:r>
      <w:r w:rsidRPr="00AA1FB2">
        <w:rPr>
          <w:rFonts w:eastAsia="Times New Roman" w:cs="Arial"/>
          <w:color w:val="000000"/>
          <w:lang w:val="en-US"/>
        </w:rPr>
        <w:t>P</w:t>
      </w:r>
      <w:r w:rsidRPr="00AA1FB2">
        <w:rPr>
          <w:rFonts w:eastAsia="Times New Roman" w:cs="Arial"/>
          <w:color w:val="000000"/>
          <w:lang w:val="ru-RU"/>
        </w:rPr>
        <w:t>2</w:t>
      </w:r>
      <w:r w:rsidRPr="00AA1FB2">
        <w:rPr>
          <w:rFonts w:eastAsia="Times New Roman" w:cs="Arial"/>
          <w:color w:val="000000"/>
          <w:lang w:val="en-US"/>
        </w:rPr>
        <w:t>Y</w:t>
      </w:r>
      <w:r w:rsidRPr="00AA1FB2">
        <w:rPr>
          <w:rFonts w:eastAsia="Times New Roman" w:cs="Arial"/>
          <w:color w:val="000000"/>
          <w:vertAlign w:val="subscript"/>
          <w:lang w:val="ru-RU"/>
        </w:rPr>
        <w:t>12</w:t>
      </w:r>
      <w:r w:rsidRPr="00AA1FB2">
        <w:rPr>
          <w:rFonts w:eastAsia="Times New Roman" w:cs="Arial"/>
          <w:color w:val="000000"/>
          <w:lang w:eastAsia="bg-BG"/>
        </w:rPr>
        <w:t xml:space="preserve"> 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w:t>
      </w:r>
      <w:r w:rsidRPr="00AA1FB2">
        <w:rPr>
          <w:rFonts w:eastAsia="Times New Roman" w:cs="Arial"/>
          <w:color w:val="000000"/>
          <w:lang w:val="en-US"/>
        </w:rPr>
        <w:t>de</w:t>
      </w:r>
      <w:r w:rsidRPr="00AA1FB2">
        <w:rPr>
          <w:rFonts w:eastAsia="Times New Roman" w:cs="Arial"/>
          <w:color w:val="000000"/>
          <w:lang w:val="ru-RU"/>
        </w:rPr>
        <w:t>-</w:t>
      </w:r>
      <w:r w:rsidRPr="00AA1FB2">
        <w:rPr>
          <w:rFonts w:eastAsia="Times New Roman" w:cs="Arial"/>
          <w:color w:val="000000"/>
          <w:lang w:val="en-US"/>
        </w:rPr>
        <w:t>escalated</w:t>
      </w:r>
      <w:r w:rsidRPr="00AA1FB2">
        <w:rPr>
          <w:rFonts w:eastAsia="Times New Roman" w:cs="Arial"/>
          <w:color w:val="000000"/>
          <w:lang w:val="ru-RU"/>
        </w:rPr>
        <w:t xml:space="preserve"> </w:t>
      </w:r>
      <w:r w:rsidRPr="00AA1FB2">
        <w:rPr>
          <w:rFonts w:eastAsia="Times New Roman" w:cs="Arial"/>
          <w:color w:val="000000"/>
          <w:lang w:val="en-US"/>
        </w:rPr>
        <w:t>dual</w:t>
      </w:r>
      <w:r w:rsidRPr="00AA1FB2">
        <w:rPr>
          <w:rFonts w:eastAsia="Times New Roman" w:cs="Arial"/>
          <w:color w:val="000000"/>
          <w:lang w:val="ru-RU"/>
        </w:rPr>
        <w:t xml:space="preserve"> </w:t>
      </w:r>
      <w:r w:rsidRPr="00AA1FB2">
        <w:rPr>
          <w:rFonts w:eastAsia="Times New Roman" w:cs="Arial"/>
          <w:color w:val="000000"/>
          <w:lang w:val="en-US"/>
        </w:rPr>
        <w:t>antiplatelet</w:t>
      </w:r>
      <w:r w:rsidRPr="00AA1FB2">
        <w:rPr>
          <w:rFonts w:eastAsia="Times New Roman" w:cs="Arial"/>
          <w:color w:val="000000"/>
          <w:lang w:val="ru-RU"/>
        </w:rPr>
        <w:t xml:space="preserve"> </w:t>
      </w:r>
      <w:r w:rsidRPr="00AA1FB2">
        <w:rPr>
          <w:rFonts w:eastAsia="Times New Roman" w:cs="Arial"/>
          <w:color w:val="000000"/>
          <w:lang w:val="en-US"/>
        </w:rPr>
        <w:t>therapy</w:t>
      </w:r>
      <w:r w:rsidRPr="00AA1FB2">
        <w:rPr>
          <w:rFonts w:eastAsia="Times New Roman" w:cs="Arial"/>
          <w:color w:val="000000"/>
          <w:lang w:val="ru-RU"/>
        </w:rPr>
        <w:t xml:space="preserve">,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или да продължат своята лекарствена схема (непроменена </w:t>
      </w:r>
      <w:r w:rsidRPr="00AA1FB2">
        <w:rPr>
          <w:rFonts w:eastAsia="Times New Roman" w:cs="Arial"/>
          <w:color w:val="000000"/>
          <w:lang w:val="en-US"/>
        </w:rPr>
        <w:t>DAPT</w:t>
      </w:r>
      <w:r w:rsidRPr="00AA1FB2">
        <w:rPr>
          <w:rFonts w:eastAsia="Times New Roman" w:cs="Arial"/>
          <w:color w:val="000000"/>
          <w:lang w:val="ru-RU"/>
        </w:rPr>
        <w:t>).</w:t>
      </w:r>
    </w:p>
    <w:p w14:paraId="7CA55A0F" w14:textId="77777777" w:rsidR="00AA1FB2" w:rsidRPr="00AA1FB2" w:rsidRDefault="00AA1FB2" w:rsidP="00AA1FB2">
      <w:pPr>
        <w:spacing w:line="240" w:lineRule="auto"/>
        <w:rPr>
          <w:rFonts w:eastAsia="Times New Roman" w:cs="Arial"/>
          <w:color w:val="000000"/>
          <w:lang w:eastAsia="bg-BG"/>
        </w:rPr>
      </w:pPr>
    </w:p>
    <w:p w14:paraId="4809E1ED" w14:textId="11E0EB08"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Анализирани са общо 645 от 646 пациенти със </w:t>
      </w:r>
      <w:r w:rsidRPr="00AA1FB2">
        <w:rPr>
          <w:rFonts w:eastAsia="Times New Roman" w:cs="Arial"/>
          <w:color w:val="000000"/>
          <w:lang w:val="en-US"/>
        </w:rPr>
        <w:t>STEMI</w:t>
      </w:r>
      <w:r w:rsidRPr="00AA1FB2">
        <w:rPr>
          <w:rFonts w:eastAsia="Times New Roman" w:cs="Arial"/>
          <w:color w:val="000000"/>
          <w:lang w:val="ru-RU"/>
        </w:rPr>
        <w:t xml:space="preserve"> </w:t>
      </w:r>
      <w:r w:rsidRPr="00AA1FB2">
        <w:rPr>
          <w:rFonts w:eastAsia="Times New Roman" w:cs="Arial"/>
          <w:color w:val="000000"/>
          <w:lang w:eastAsia="bg-BG"/>
        </w:rPr>
        <w:t xml:space="preserve">или </w:t>
      </w:r>
      <w:r w:rsidRPr="00AA1FB2">
        <w:rPr>
          <w:rFonts w:eastAsia="Times New Roman" w:cs="Arial"/>
          <w:color w:val="000000"/>
          <w:lang w:val="en-US"/>
        </w:rPr>
        <w:t>NSTEMI</w:t>
      </w:r>
      <w:r w:rsidRPr="00AA1FB2">
        <w:rPr>
          <w:rFonts w:eastAsia="Times New Roman" w:cs="Arial"/>
          <w:color w:val="000000"/>
          <w:lang w:val="ru-RU"/>
        </w:rPr>
        <w:t xml:space="preserve">, </w:t>
      </w:r>
      <w:r w:rsidRPr="00AA1FB2">
        <w:rPr>
          <w:rFonts w:eastAsia="Times New Roman" w:cs="Arial"/>
          <w:color w:val="000000"/>
          <w:lang w:eastAsia="bg-BG"/>
        </w:rPr>
        <w:t xml:space="preserve">или нестабилна стенокардия (деескалирана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w:t>
      </w:r>
      <w:r w:rsidRPr="00AA1FB2">
        <w:rPr>
          <w:rFonts w:eastAsia="Times New Roman" w:cs="Arial"/>
          <w:color w:val="000000"/>
          <w:lang w:val="en-US"/>
        </w:rPr>
        <w:t>n</w:t>
      </w:r>
      <w:r w:rsidRPr="00AA1FB2">
        <w:rPr>
          <w:rFonts w:eastAsia="Times New Roman" w:cs="Arial"/>
          <w:color w:val="000000"/>
          <w:lang w:eastAsia="bg-BG"/>
        </w:rPr>
        <w:t xml:space="preserve">= 322/; непроменена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w:t>
      </w:r>
      <w:r w:rsidRPr="00AA1FB2">
        <w:rPr>
          <w:rFonts w:eastAsia="Times New Roman" w:cs="Arial"/>
          <w:color w:val="000000"/>
          <w:lang w:val="en-US"/>
        </w:rPr>
        <w:t>n</w:t>
      </w:r>
      <w:r w:rsidRPr="00AA1FB2">
        <w:rPr>
          <w:rFonts w:eastAsia="Times New Roman" w:cs="Arial"/>
          <w:color w:val="000000"/>
          <w:lang w:eastAsia="bg-BG"/>
        </w:rPr>
        <w:t xml:space="preserve"> = 323/). Проследяване на първата година е извършено при 316 пациенти (98,1 %) в групата на деескалирана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и 318 пациенти (98,5%) в групата на непроменена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Медианата на проследяване за двете групи е 359 дни. Характеристиките на изследваната кохорта са сходни в двете групи.</w:t>
      </w:r>
    </w:p>
    <w:p w14:paraId="590E3A56" w14:textId="77777777" w:rsidR="00AA1FB2" w:rsidRPr="00AA1FB2" w:rsidRDefault="00AA1FB2" w:rsidP="00AA1FB2">
      <w:pPr>
        <w:spacing w:line="240" w:lineRule="auto"/>
        <w:rPr>
          <w:rFonts w:eastAsia="Times New Roman" w:cs="Arial"/>
          <w:color w:val="000000"/>
          <w:lang w:eastAsia="bg-BG"/>
        </w:rPr>
      </w:pPr>
    </w:p>
    <w:p w14:paraId="3E2D2427" w14:textId="39359E7F"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Първичният резултат, съставна точка от сърдечносъдова смърт, инсулт, спешна реваскуларизация и кървене по </w:t>
      </w:r>
      <w:r w:rsidRPr="00AA1FB2">
        <w:rPr>
          <w:rFonts w:eastAsia="Times New Roman" w:cs="Arial"/>
          <w:color w:val="000000"/>
          <w:lang w:val="en-US"/>
        </w:rPr>
        <w:t>BARC</w:t>
      </w:r>
      <w:r w:rsidRPr="00AA1FB2">
        <w:rPr>
          <w:rFonts w:eastAsia="Times New Roman" w:cs="Arial"/>
          <w:color w:val="000000"/>
        </w:rPr>
        <w:t xml:space="preserve"> </w:t>
      </w:r>
      <w:r w:rsidRPr="00AA1FB2">
        <w:rPr>
          <w:rFonts w:eastAsia="Times New Roman" w:cs="Arial"/>
          <w:color w:val="000000"/>
          <w:lang w:eastAsia="bg-BG"/>
        </w:rPr>
        <w:t xml:space="preserve">(академичен изследователски консорциум по кървене - </w:t>
      </w:r>
      <w:r w:rsidRPr="00AA1FB2">
        <w:rPr>
          <w:rFonts w:eastAsia="Times New Roman" w:cs="Arial"/>
          <w:color w:val="000000"/>
          <w:lang w:val="en-US"/>
        </w:rPr>
        <w:t>Bleeding</w:t>
      </w:r>
      <w:r w:rsidRPr="00AA1FB2">
        <w:rPr>
          <w:rFonts w:eastAsia="Times New Roman" w:cs="Arial"/>
          <w:color w:val="000000"/>
        </w:rPr>
        <w:t xml:space="preserve"> </w:t>
      </w:r>
      <w:r w:rsidRPr="00AA1FB2">
        <w:rPr>
          <w:rFonts w:eastAsia="Times New Roman" w:cs="Arial"/>
          <w:color w:val="000000"/>
          <w:lang w:val="en-US"/>
        </w:rPr>
        <w:t>Academic</w:t>
      </w:r>
      <w:r w:rsidRPr="00AA1FB2">
        <w:rPr>
          <w:rFonts w:eastAsia="Times New Roman" w:cs="Arial"/>
          <w:color w:val="000000"/>
        </w:rPr>
        <w:t xml:space="preserve"> </w:t>
      </w:r>
      <w:r w:rsidRPr="00AA1FB2">
        <w:rPr>
          <w:rFonts w:eastAsia="Times New Roman" w:cs="Arial"/>
          <w:color w:val="000000"/>
          <w:lang w:val="en-US"/>
        </w:rPr>
        <w:t>Research</w:t>
      </w:r>
      <w:r w:rsidRPr="00AA1FB2">
        <w:rPr>
          <w:rFonts w:eastAsia="Times New Roman" w:cs="Arial"/>
          <w:color w:val="000000"/>
        </w:rPr>
        <w:t xml:space="preserve"> </w:t>
      </w:r>
      <w:r w:rsidRPr="00AA1FB2">
        <w:rPr>
          <w:rFonts w:eastAsia="Times New Roman" w:cs="Arial"/>
          <w:color w:val="000000"/>
          <w:lang w:val="en-US"/>
        </w:rPr>
        <w:t>Consortium</w:t>
      </w:r>
      <w:r w:rsidRPr="00AA1FB2">
        <w:rPr>
          <w:rFonts w:eastAsia="Times New Roman" w:cs="Arial"/>
          <w:color w:val="000000"/>
        </w:rPr>
        <w:t xml:space="preserve">) </w:t>
      </w:r>
      <w:r w:rsidRPr="00AA1FB2">
        <w:rPr>
          <w:rFonts w:eastAsia="Times New Roman" w:cs="Arial"/>
          <w:color w:val="000000"/>
          <w:lang w:eastAsia="bg-BG"/>
        </w:rPr>
        <w:t>≥</w:t>
      </w:r>
      <w:r w:rsidRPr="00AA1FB2">
        <w:rPr>
          <w:rFonts w:eastAsia="Times New Roman" w:cs="Arial"/>
          <w:color w:val="000000"/>
        </w:rPr>
        <w:t xml:space="preserve">2 </w:t>
      </w:r>
      <w:r w:rsidRPr="00AA1FB2">
        <w:rPr>
          <w:rFonts w:eastAsia="Times New Roman" w:cs="Arial"/>
          <w:color w:val="000000"/>
          <w:lang w:eastAsia="bg-BG"/>
        </w:rPr>
        <w:t xml:space="preserve">на 1-та година след </w:t>
      </w:r>
      <w:r w:rsidRPr="00AA1FB2">
        <w:rPr>
          <w:rFonts w:eastAsia="Times New Roman" w:cs="Arial"/>
          <w:color w:val="000000"/>
          <w:lang w:val="en-US"/>
        </w:rPr>
        <w:t>ACS</w:t>
      </w:r>
      <w:r w:rsidRPr="00AA1FB2">
        <w:rPr>
          <w:rFonts w:eastAsia="Times New Roman" w:cs="Arial"/>
          <w:color w:val="000000"/>
        </w:rPr>
        <w:t xml:space="preserve">, </w:t>
      </w:r>
      <w:r w:rsidRPr="00AA1FB2">
        <w:rPr>
          <w:rFonts w:eastAsia="Times New Roman" w:cs="Arial"/>
          <w:color w:val="000000"/>
          <w:lang w:eastAsia="bg-BG"/>
        </w:rPr>
        <w:t xml:space="preserve">е настъпил при 43 пациенти (13,4%) в групата на деескалирана </w:t>
      </w:r>
      <w:r w:rsidRPr="00AA1FB2">
        <w:rPr>
          <w:rFonts w:eastAsia="Times New Roman" w:cs="Arial"/>
          <w:color w:val="000000"/>
          <w:lang w:val="en-US"/>
        </w:rPr>
        <w:t>DAPT</w:t>
      </w:r>
      <w:r w:rsidRPr="00AA1FB2">
        <w:rPr>
          <w:rFonts w:eastAsia="Times New Roman" w:cs="Arial"/>
          <w:color w:val="000000"/>
        </w:rPr>
        <w:t xml:space="preserve"> </w:t>
      </w:r>
      <w:r w:rsidRPr="00AA1FB2">
        <w:rPr>
          <w:rFonts w:eastAsia="Times New Roman" w:cs="Arial"/>
          <w:color w:val="000000"/>
          <w:lang w:eastAsia="bg-BG"/>
        </w:rPr>
        <w:t xml:space="preserve">и 85 пациенти (26,3%) в групата на 16 непроменена </w:t>
      </w:r>
      <w:r w:rsidRPr="00AA1FB2">
        <w:rPr>
          <w:rFonts w:eastAsia="Times New Roman" w:cs="Arial"/>
          <w:color w:val="000000"/>
          <w:lang w:val="en-US"/>
        </w:rPr>
        <w:t>DAPT</w:t>
      </w:r>
      <w:r w:rsidRPr="00AA1FB2">
        <w:rPr>
          <w:rFonts w:eastAsia="Times New Roman" w:cs="Arial"/>
          <w:color w:val="000000"/>
        </w:rPr>
        <w:t xml:space="preserve"> </w:t>
      </w:r>
      <w:r w:rsidRPr="00AA1FB2">
        <w:rPr>
          <w:rFonts w:eastAsia="Times New Roman" w:cs="Arial"/>
          <w:color w:val="000000"/>
          <w:lang w:eastAsia="bg-BG"/>
        </w:rPr>
        <w:t xml:space="preserve">(р&lt;0,01). Тази статистически значима разлика се дължи основно на по- малко събития на кървене, без да се наблюдава разлика при крайните точки за исхемия (р = 0,36), докато кървене по </w:t>
      </w:r>
      <w:r w:rsidRPr="00AA1FB2">
        <w:rPr>
          <w:rFonts w:eastAsia="Times New Roman" w:cs="Arial"/>
          <w:color w:val="000000"/>
          <w:lang w:val="en-US"/>
        </w:rPr>
        <w:t>BARC</w:t>
      </w:r>
      <w:r w:rsidRPr="00AA1FB2">
        <w:rPr>
          <w:rFonts w:eastAsia="Times New Roman" w:cs="Arial"/>
          <w:color w:val="000000"/>
          <w:lang w:val="ru-RU"/>
        </w:rPr>
        <w:t xml:space="preserve"> </w:t>
      </w:r>
      <w:r w:rsidRPr="00AA1FB2">
        <w:rPr>
          <w:rFonts w:eastAsia="Times New Roman" w:cs="Arial"/>
          <w:color w:val="000000"/>
          <w:lang w:eastAsia="bg-BG"/>
        </w:rPr>
        <w:t xml:space="preserve">≥2 се наблюдава по-рядко в групата на деескалирана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(4,0%), спрямо 14,9% в групата на непроменена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(р&lt;0,01). </w:t>
      </w:r>
      <w:r w:rsidRPr="00AA1FB2">
        <w:rPr>
          <w:rFonts w:eastAsia="Times New Roman" w:cs="Arial"/>
          <w:color w:val="000000"/>
          <w:lang w:eastAsia="bg-BG"/>
        </w:rPr>
        <w:lastRenderedPageBreak/>
        <w:t xml:space="preserve">Събития на кървене, определени като всички степени по </w:t>
      </w:r>
      <w:r w:rsidRPr="00AA1FB2">
        <w:rPr>
          <w:rFonts w:eastAsia="Times New Roman" w:cs="Arial"/>
          <w:color w:val="000000"/>
          <w:lang w:val="en-US"/>
        </w:rPr>
        <w:t>BARC</w:t>
      </w:r>
      <w:r w:rsidRPr="00AA1FB2">
        <w:rPr>
          <w:rFonts w:eastAsia="Times New Roman" w:cs="Arial"/>
          <w:color w:val="000000"/>
          <w:lang w:val="ru-RU"/>
        </w:rPr>
        <w:t xml:space="preserve"> </w:t>
      </w:r>
      <w:r w:rsidRPr="00AA1FB2">
        <w:rPr>
          <w:rFonts w:eastAsia="Times New Roman" w:cs="Arial"/>
          <w:color w:val="000000"/>
          <w:lang w:eastAsia="bg-BG"/>
        </w:rPr>
        <w:t xml:space="preserve">се наблюдават при 30 пациенти (9,3%) в групата на деескалирана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и 76 пациенти (23,5%) в групата на непроменена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(р&lt;0,01).</w:t>
      </w:r>
    </w:p>
    <w:p w14:paraId="577B88A2" w14:textId="77777777" w:rsidR="00AA1FB2" w:rsidRPr="00F962F6" w:rsidRDefault="00AA1FB2" w:rsidP="00AA1FB2">
      <w:pPr>
        <w:spacing w:line="240" w:lineRule="auto"/>
        <w:rPr>
          <w:rFonts w:eastAsia="Times New Roman" w:cs="Arial"/>
          <w:b/>
          <w:bCs/>
          <w:color w:val="000000"/>
          <w:lang w:val="ru-RU"/>
        </w:rPr>
      </w:pPr>
    </w:p>
    <w:p w14:paraId="64D0CAF3" w14:textId="45C5FCAE" w:rsidR="00AA1FB2" w:rsidRPr="00AA1FB2" w:rsidRDefault="00AA1FB2" w:rsidP="00AA1FB2">
      <w:pPr>
        <w:spacing w:line="240" w:lineRule="auto"/>
        <w:rPr>
          <w:rFonts w:eastAsia="Times New Roman" w:cs="Arial"/>
        </w:rPr>
      </w:pPr>
      <w:r w:rsidRPr="00AA1FB2">
        <w:rPr>
          <w:rFonts w:eastAsia="Times New Roman" w:cs="Arial"/>
          <w:b/>
          <w:bCs/>
          <w:color w:val="000000"/>
          <w:lang w:val="en-US"/>
        </w:rPr>
        <w:t>TROPICAL</w:t>
      </w:r>
      <w:r w:rsidRPr="00AA1FB2">
        <w:rPr>
          <w:rFonts w:eastAsia="Times New Roman" w:cs="Arial"/>
          <w:b/>
          <w:bCs/>
          <w:color w:val="000000"/>
        </w:rPr>
        <w:t>-</w:t>
      </w:r>
      <w:r w:rsidRPr="00AA1FB2">
        <w:rPr>
          <w:rFonts w:eastAsia="Times New Roman" w:cs="Arial"/>
          <w:b/>
          <w:bCs/>
          <w:color w:val="000000"/>
          <w:lang w:val="en-US"/>
        </w:rPr>
        <w:t>ACS</w:t>
      </w:r>
      <w:r w:rsidRPr="00AA1FB2">
        <w:rPr>
          <w:rFonts w:eastAsia="Times New Roman" w:cs="Arial"/>
          <w:b/>
          <w:bCs/>
          <w:color w:val="000000"/>
        </w:rPr>
        <w:t xml:space="preserve"> </w:t>
      </w:r>
      <w:r w:rsidRPr="00AA1FB2">
        <w:rPr>
          <w:rFonts w:eastAsia="Times New Roman" w:cs="Arial"/>
          <w:color w:val="000000"/>
          <w:lang w:eastAsia="bg-BG"/>
        </w:rPr>
        <w:t xml:space="preserve">(Изследване на отговора към тромбоцитна инхибиция при хронична антитромбоцитна терапия за остър коронарен синдром - </w:t>
      </w:r>
      <w:r w:rsidRPr="00AA1FB2">
        <w:rPr>
          <w:rFonts w:eastAsia="Times New Roman" w:cs="Arial"/>
          <w:i/>
          <w:iCs/>
          <w:color w:val="000000"/>
          <w:lang w:val="en-US"/>
        </w:rPr>
        <w:t>Testing</w:t>
      </w:r>
      <w:r w:rsidRPr="00AA1FB2">
        <w:rPr>
          <w:rFonts w:eastAsia="Times New Roman" w:cs="Arial"/>
          <w:i/>
          <w:iCs/>
          <w:color w:val="000000"/>
        </w:rPr>
        <w:t xml:space="preserve"> </w:t>
      </w:r>
      <w:r w:rsidRPr="00AA1FB2">
        <w:rPr>
          <w:rFonts w:eastAsia="Times New Roman" w:cs="Arial"/>
          <w:i/>
          <w:iCs/>
          <w:color w:val="000000"/>
          <w:lang w:val="en-US"/>
        </w:rPr>
        <w:t>Responsiveness</w:t>
      </w:r>
      <w:r w:rsidRPr="00AA1FB2">
        <w:rPr>
          <w:rFonts w:eastAsia="Times New Roman" w:cs="Arial"/>
          <w:i/>
          <w:iCs/>
          <w:color w:val="000000"/>
        </w:rPr>
        <w:t xml:space="preserve"> </w:t>
      </w:r>
      <w:r w:rsidRPr="00AA1FB2">
        <w:rPr>
          <w:rFonts w:eastAsia="Times New Roman" w:cs="Arial"/>
          <w:i/>
          <w:iCs/>
          <w:color w:val="000000"/>
          <w:lang w:val="en-US"/>
        </w:rPr>
        <w:t>to</w:t>
      </w:r>
      <w:r w:rsidRPr="00AA1FB2">
        <w:rPr>
          <w:rFonts w:eastAsia="Times New Roman" w:cs="Arial"/>
          <w:i/>
          <w:iCs/>
          <w:color w:val="000000"/>
        </w:rPr>
        <w:t xml:space="preserve"> </w:t>
      </w:r>
      <w:r w:rsidRPr="00AA1FB2">
        <w:rPr>
          <w:rFonts w:eastAsia="Times New Roman" w:cs="Arial"/>
          <w:i/>
          <w:iCs/>
          <w:color w:val="000000"/>
          <w:lang w:val="en-US"/>
        </w:rPr>
        <w:t>Platelet</w:t>
      </w:r>
      <w:r w:rsidRPr="00AA1FB2">
        <w:rPr>
          <w:rFonts w:eastAsia="Times New Roman" w:cs="Arial"/>
          <w:i/>
          <w:iCs/>
          <w:color w:val="000000"/>
        </w:rPr>
        <w:t xml:space="preserve"> </w:t>
      </w:r>
      <w:r w:rsidRPr="00AA1FB2">
        <w:rPr>
          <w:rFonts w:eastAsia="Times New Roman" w:cs="Arial"/>
          <w:i/>
          <w:iCs/>
          <w:color w:val="000000"/>
          <w:lang w:val="en-US"/>
        </w:rPr>
        <w:t>Inhibition</w:t>
      </w:r>
      <w:r w:rsidRPr="00AA1FB2">
        <w:rPr>
          <w:rFonts w:eastAsia="Times New Roman" w:cs="Arial"/>
          <w:i/>
          <w:iCs/>
          <w:color w:val="000000"/>
        </w:rPr>
        <w:t xml:space="preserve"> </w:t>
      </w:r>
      <w:r w:rsidRPr="00AA1FB2">
        <w:rPr>
          <w:rFonts w:eastAsia="Times New Roman" w:cs="Arial"/>
          <w:i/>
          <w:iCs/>
          <w:color w:val="000000"/>
          <w:lang w:val="en-US"/>
        </w:rPr>
        <w:t>on</w:t>
      </w:r>
      <w:r w:rsidRPr="00AA1FB2">
        <w:rPr>
          <w:rFonts w:eastAsia="Times New Roman" w:cs="Arial"/>
          <w:i/>
          <w:iCs/>
          <w:color w:val="000000"/>
        </w:rPr>
        <w:t xml:space="preserve"> </w:t>
      </w:r>
      <w:r w:rsidRPr="00AA1FB2">
        <w:rPr>
          <w:rFonts w:eastAsia="Times New Roman" w:cs="Arial"/>
          <w:i/>
          <w:iCs/>
          <w:color w:val="000000"/>
          <w:lang w:val="en-US"/>
        </w:rPr>
        <w:t>Chronic</w:t>
      </w:r>
      <w:r w:rsidRPr="00AA1FB2">
        <w:rPr>
          <w:rFonts w:eastAsia="Times New Roman" w:cs="Arial"/>
          <w:i/>
          <w:iCs/>
          <w:color w:val="000000"/>
        </w:rPr>
        <w:t xml:space="preserve"> </w:t>
      </w:r>
      <w:r w:rsidRPr="00AA1FB2">
        <w:rPr>
          <w:rFonts w:eastAsia="Times New Roman" w:cs="Arial"/>
          <w:i/>
          <w:iCs/>
          <w:color w:val="000000"/>
          <w:lang w:val="en-US"/>
        </w:rPr>
        <w:t>Antiplatelet</w:t>
      </w:r>
      <w:r w:rsidRPr="00AA1FB2">
        <w:rPr>
          <w:rFonts w:eastAsia="Times New Roman" w:cs="Arial"/>
          <w:i/>
          <w:iCs/>
          <w:color w:val="000000"/>
        </w:rPr>
        <w:t xml:space="preserve"> </w:t>
      </w:r>
      <w:r w:rsidRPr="00AA1FB2">
        <w:rPr>
          <w:rFonts w:eastAsia="Times New Roman" w:cs="Arial"/>
          <w:i/>
          <w:iCs/>
          <w:color w:val="000000"/>
          <w:lang w:val="en-US"/>
        </w:rPr>
        <w:t>Treatment</w:t>
      </w:r>
      <w:r w:rsidRPr="00AA1FB2">
        <w:rPr>
          <w:rFonts w:eastAsia="Times New Roman" w:cs="Arial"/>
          <w:i/>
          <w:iCs/>
          <w:color w:val="000000"/>
        </w:rPr>
        <w:t xml:space="preserve"> </w:t>
      </w:r>
      <w:r w:rsidRPr="00AA1FB2">
        <w:rPr>
          <w:rFonts w:eastAsia="Times New Roman" w:cs="Arial"/>
          <w:i/>
          <w:iCs/>
          <w:color w:val="000000"/>
          <w:lang w:val="en-US"/>
        </w:rPr>
        <w:t>for</w:t>
      </w:r>
      <w:r w:rsidRPr="00AA1FB2">
        <w:rPr>
          <w:rFonts w:eastAsia="Times New Roman" w:cs="Arial"/>
          <w:i/>
          <w:iCs/>
          <w:color w:val="000000"/>
        </w:rPr>
        <w:t xml:space="preserve"> </w:t>
      </w:r>
      <w:r w:rsidRPr="00AA1FB2">
        <w:rPr>
          <w:rFonts w:eastAsia="Times New Roman" w:cs="Arial"/>
          <w:i/>
          <w:iCs/>
          <w:color w:val="000000"/>
          <w:lang w:val="en-US"/>
        </w:rPr>
        <w:t>Acute</w:t>
      </w:r>
      <w:r w:rsidRPr="00AA1FB2">
        <w:rPr>
          <w:rFonts w:eastAsia="Times New Roman" w:cs="Arial"/>
          <w:i/>
          <w:iCs/>
          <w:color w:val="000000"/>
        </w:rPr>
        <w:t xml:space="preserve"> </w:t>
      </w:r>
      <w:r w:rsidRPr="00AA1FB2">
        <w:rPr>
          <w:rFonts w:eastAsia="Times New Roman" w:cs="Arial"/>
          <w:i/>
          <w:iCs/>
          <w:color w:val="000000"/>
          <w:lang w:val="en-US"/>
        </w:rPr>
        <w:t>Coronary</w:t>
      </w:r>
      <w:r w:rsidRPr="00AA1FB2">
        <w:rPr>
          <w:rFonts w:eastAsia="Times New Roman" w:cs="Arial"/>
          <w:i/>
          <w:iCs/>
          <w:color w:val="000000"/>
        </w:rPr>
        <w:t xml:space="preserve"> </w:t>
      </w:r>
      <w:r w:rsidRPr="00AA1FB2">
        <w:rPr>
          <w:rFonts w:eastAsia="Times New Roman" w:cs="Arial"/>
          <w:i/>
          <w:iCs/>
          <w:color w:val="000000"/>
          <w:lang w:val="en-US"/>
        </w:rPr>
        <w:t>Syndromes</w:t>
      </w:r>
      <w:r w:rsidRPr="00AA1FB2">
        <w:rPr>
          <w:rFonts w:eastAsia="Times New Roman" w:cs="Arial"/>
          <w:i/>
          <w:iCs/>
          <w:color w:val="000000"/>
        </w:rPr>
        <w:t>)</w:t>
      </w:r>
    </w:p>
    <w:p w14:paraId="3906C3DD" w14:textId="77777777"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Това рандомизирано, открито изпитване включва 2 610 положителни за биомаркер пациенти с </w:t>
      </w:r>
      <w:r w:rsidRPr="00AA1FB2">
        <w:rPr>
          <w:rFonts w:eastAsia="Times New Roman" w:cs="Arial"/>
          <w:color w:val="000000"/>
          <w:lang w:val="en-US"/>
        </w:rPr>
        <w:t>ACS</w:t>
      </w:r>
      <w:r w:rsidRPr="00AA1FB2">
        <w:rPr>
          <w:rFonts w:eastAsia="Times New Roman" w:cs="Arial"/>
          <w:color w:val="000000"/>
          <w:lang w:val="ru-RU"/>
        </w:rPr>
        <w:t xml:space="preserve"> </w:t>
      </w:r>
      <w:r w:rsidRPr="00AA1FB2">
        <w:rPr>
          <w:rFonts w:eastAsia="Times New Roman" w:cs="Arial"/>
          <w:color w:val="000000"/>
          <w:lang w:eastAsia="bg-BG"/>
        </w:rPr>
        <w:t xml:space="preserve">след успешна </w:t>
      </w:r>
      <w:r w:rsidRPr="00AA1FB2">
        <w:rPr>
          <w:rFonts w:eastAsia="Times New Roman" w:cs="Arial"/>
          <w:color w:val="000000"/>
          <w:lang w:val="en-US"/>
        </w:rPr>
        <w:t>PCI</w:t>
      </w:r>
      <w:r w:rsidRPr="00AA1FB2">
        <w:rPr>
          <w:rFonts w:eastAsia="Times New Roman" w:cs="Arial"/>
          <w:color w:val="000000"/>
          <w:lang w:val="ru-RU"/>
        </w:rPr>
        <w:t xml:space="preserve">. </w:t>
      </w:r>
      <w:r w:rsidRPr="00AA1FB2">
        <w:rPr>
          <w:rFonts w:eastAsia="Times New Roman" w:cs="Arial"/>
          <w:color w:val="000000"/>
          <w:lang w:eastAsia="bg-BG"/>
        </w:rPr>
        <w:t xml:space="preserve">Пациентите са рандомизирани да получават празугрел 5 или 10 </w:t>
      </w:r>
      <w:r w:rsidRPr="00AA1FB2">
        <w:rPr>
          <w:rFonts w:eastAsia="Times New Roman" w:cs="Arial"/>
          <w:color w:val="000000"/>
          <w:lang w:val="en-US"/>
        </w:rPr>
        <w:t>mg</w:t>
      </w:r>
      <w:r w:rsidRPr="00AA1FB2">
        <w:rPr>
          <w:rFonts w:eastAsia="Times New Roman" w:cs="Arial"/>
          <w:color w:val="000000"/>
          <w:lang w:eastAsia="bg-BG"/>
        </w:rPr>
        <w:t>/ден (Дни 0-14) (</w:t>
      </w:r>
      <w:r w:rsidRPr="00AA1FB2">
        <w:rPr>
          <w:rFonts w:eastAsia="Times New Roman" w:cs="Arial"/>
          <w:color w:val="000000"/>
          <w:lang w:val="en-US"/>
        </w:rPr>
        <w:t>n</w:t>
      </w:r>
      <w:r w:rsidRPr="00AA1FB2">
        <w:rPr>
          <w:rFonts w:eastAsia="Times New Roman" w:cs="Arial"/>
          <w:color w:val="000000"/>
          <w:lang w:eastAsia="bg-BG"/>
        </w:rPr>
        <w:t xml:space="preserve"> = 1306), или празугрел 5 или 10 </w:t>
      </w:r>
      <w:r w:rsidRPr="00AA1FB2">
        <w:rPr>
          <w:rFonts w:eastAsia="Times New Roman" w:cs="Arial"/>
          <w:color w:val="000000"/>
          <w:lang w:val="en-US"/>
        </w:rPr>
        <w:t>mg</w:t>
      </w:r>
      <w:r w:rsidRPr="00AA1FB2">
        <w:rPr>
          <w:rFonts w:eastAsia="Times New Roman" w:cs="Arial"/>
          <w:color w:val="000000"/>
          <w:lang w:eastAsia="bg-BG"/>
        </w:rPr>
        <w:t xml:space="preserve">/ден (Дни 0-7), след което са деескалирани на клопидогрел 75 </w:t>
      </w:r>
      <w:r w:rsidRPr="00AA1FB2">
        <w:rPr>
          <w:rFonts w:eastAsia="Times New Roman" w:cs="Arial"/>
          <w:color w:val="000000"/>
          <w:lang w:val="en-US"/>
        </w:rPr>
        <w:t>mg</w:t>
      </w:r>
      <w:r w:rsidRPr="00AA1FB2">
        <w:rPr>
          <w:rFonts w:eastAsia="Times New Roman" w:cs="Arial"/>
          <w:color w:val="000000"/>
          <w:lang w:eastAsia="bg-BG"/>
        </w:rPr>
        <w:t>/ден (Дни 8-14) (</w:t>
      </w:r>
      <w:r w:rsidRPr="00AA1FB2">
        <w:rPr>
          <w:rFonts w:eastAsia="Times New Roman" w:cs="Arial"/>
          <w:color w:val="000000"/>
          <w:lang w:val="en-US"/>
        </w:rPr>
        <w:t>n</w:t>
      </w:r>
      <w:r w:rsidRPr="00AA1FB2">
        <w:rPr>
          <w:rFonts w:eastAsia="Times New Roman" w:cs="Arial"/>
          <w:color w:val="000000"/>
          <w:lang w:eastAsia="bg-BG"/>
        </w:rPr>
        <w:t xml:space="preserve"> = 1304), в комбинация с АСК (&lt;100 </w:t>
      </w:r>
      <w:r w:rsidRPr="00AA1FB2">
        <w:rPr>
          <w:rFonts w:eastAsia="Times New Roman" w:cs="Arial"/>
          <w:color w:val="000000"/>
          <w:lang w:val="en-US"/>
        </w:rPr>
        <w:t>mg</w:t>
      </w:r>
      <w:r w:rsidRPr="00AA1FB2">
        <w:rPr>
          <w:rFonts w:eastAsia="Times New Roman" w:cs="Arial"/>
          <w:color w:val="000000"/>
          <w:lang w:eastAsia="bg-BG"/>
        </w:rPr>
        <w:t xml:space="preserve">/ден). На 14-ия ден е проведено изследване на тромбоцитната функция </w:t>
      </w:r>
      <w:r w:rsidRPr="00AA1FB2">
        <w:rPr>
          <w:rFonts w:eastAsia="Times New Roman" w:cs="Arial"/>
          <w:color w:val="000000"/>
          <w:lang w:val="ru-RU"/>
        </w:rPr>
        <w:t>(</w:t>
      </w:r>
      <w:r w:rsidRPr="00AA1FB2">
        <w:rPr>
          <w:rFonts w:eastAsia="Times New Roman" w:cs="Arial"/>
          <w:color w:val="000000"/>
          <w:lang w:val="en-US"/>
        </w:rPr>
        <w:t>platelet</w:t>
      </w:r>
      <w:r w:rsidRPr="00AA1FB2">
        <w:rPr>
          <w:rFonts w:eastAsia="Times New Roman" w:cs="Arial"/>
          <w:color w:val="000000"/>
          <w:lang w:val="ru-RU"/>
        </w:rPr>
        <w:t xml:space="preserve"> </w:t>
      </w:r>
      <w:r w:rsidRPr="00AA1FB2">
        <w:rPr>
          <w:rFonts w:eastAsia="Times New Roman" w:cs="Arial"/>
          <w:color w:val="000000"/>
          <w:lang w:val="en-US"/>
        </w:rPr>
        <w:t>function</w:t>
      </w:r>
      <w:r w:rsidRPr="00AA1FB2">
        <w:rPr>
          <w:rFonts w:eastAsia="Times New Roman" w:cs="Arial"/>
          <w:color w:val="000000"/>
          <w:lang w:val="ru-RU"/>
        </w:rPr>
        <w:t xml:space="preserve"> </w:t>
      </w:r>
      <w:r w:rsidRPr="00AA1FB2">
        <w:rPr>
          <w:rFonts w:eastAsia="Times New Roman" w:cs="Arial"/>
          <w:color w:val="000000"/>
          <w:lang w:val="en-US"/>
        </w:rPr>
        <w:t>testing</w:t>
      </w:r>
      <w:r w:rsidRPr="00AA1FB2">
        <w:rPr>
          <w:rFonts w:eastAsia="Times New Roman" w:cs="Arial"/>
          <w:color w:val="000000"/>
          <w:lang w:val="ru-RU"/>
        </w:rPr>
        <w:t xml:space="preserve">, </w:t>
      </w:r>
      <w:r w:rsidRPr="00AA1FB2">
        <w:rPr>
          <w:rFonts w:eastAsia="Times New Roman" w:cs="Arial"/>
          <w:color w:val="000000"/>
          <w:lang w:val="en-US"/>
        </w:rPr>
        <w:t>PFT</w:t>
      </w:r>
      <w:r w:rsidRPr="00AA1FB2">
        <w:rPr>
          <w:rFonts w:eastAsia="Times New Roman" w:cs="Arial"/>
          <w:color w:val="000000"/>
          <w:lang w:val="ru-RU"/>
        </w:rPr>
        <w:t xml:space="preserve">). </w:t>
      </w:r>
      <w:r w:rsidRPr="00AA1FB2">
        <w:rPr>
          <w:rFonts w:eastAsia="Times New Roman" w:cs="Arial"/>
          <w:color w:val="000000"/>
          <w:lang w:eastAsia="bg-BG"/>
        </w:rPr>
        <w:t>Пациентите, лекувани само с празугрел са продължили лечение с празугрел в продължение на 11,5 месеца.</w:t>
      </w:r>
    </w:p>
    <w:p w14:paraId="49D98ACB" w14:textId="77777777" w:rsidR="00AA1FB2" w:rsidRPr="00AA1FB2" w:rsidRDefault="00AA1FB2" w:rsidP="00AA1FB2">
      <w:pPr>
        <w:rPr>
          <w:rFonts w:eastAsia="Times New Roman" w:cs="Arial"/>
          <w:color w:val="000000"/>
          <w:lang w:eastAsia="bg-BG"/>
        </w:rPr>
      </w:pPr>
    </w:p>
    <w:p w14:paraId="786B7DE4" w14:textId="39AE5E4B" w:rsidR="00AA1FB2" w:rsidRPr="00AA1FB2" w:rsidRDefault="00AA1FB2" w:rsidP="00AA1FB2">
      <w:pPr>
        <w:rPr>
          <w:rFonts w:eastAsia="Times New Roman" w:cs="Arial"/>
          <w:color w:val="000000"/>
          <w:lang w:eastAsia="bg-BG"/>
        </w:rPr>
      </w:pPr>
      <w:r w:rsidRPr="00AA1FB2">
        <w:rPr>
          <w:rFonts w:eastAsia="Times New Roman" w:cs="Arial"/>
          <w:color w:val="000000"/>
          <w:lang w:eastAsia="bg-BG"/>
        </w:rPr>
        <w:t xml:space="preserve">Деескалираните пациенти са били подложени на високочувствителен тест на тромбоцитна реактивност </w:t>
      </w:r>
      <w:r w:rsidRPr="00AA1FB2">
        <w:rPr>
          <w:rFonts w:eastAsia="Times New Roman" w:cs="Arial"/>
          <w:color w:val="000000"/>
          <w:lang w:val="ru-RU"/>
        </w:rPr>
        <w:t>(</w:t>
      </w:r>
      <w:r w:rsidRPr="00AA1FB2">
        <w:rPr>
          <w:rFonts w:eastAsia="Times New Roman" w:cs="Arial"/>
          <w:color w:val="000000"/>
          <w:lang w:val="en-US"/>
        </w:rPr>
        <w:t>high</w:t>
      </w:r>
      <w:r w:rsidRPr="00AA1FB2">
        <w:rPr>
          <w:rFonts w:eastAsia="Times New Roman" w:cs="Arial"/>
          <w:color w:val="000000"/>
          <w:lang w:val="ru-RU"/>
        </w:rPr>
        <w:t xml:space="preserve"> </w:t>
      </w:r>
      <w:r w:rsidRPr="00AA1FB2">
        <w:rPr>
          <w:rFonts w:eastAsia="Times New Roman" w:cs="Arial"/>
          <w:color w:val="000000"/>
          <w:lang w:val="en-US"/>
        </w:rPr>
        <w:t>platelet</w:t>
      </w:r>
      <w:r w:rsidRPr="00AA1FB2">
        <w:rPr>
          <w:rFonts w:eastAsia="Times New Roman" w:cs="Arial"/>
          <w:color w:val="000000"/>
          <w:lang w:val="ru-RU"/>
        </w:rPr>
        <w:t xml:space="preserve"> </w:t>
      </w:r>
      <w:r w:rsidRPr="00AA1FB2">
        <w:rPr>
          <w:rFonts w:eastAsia="Times New Roman" w:cs="Arial"/>
          <w:color w:val="000000"/>
          <w:lang w:val="en-US"/>
        </w:rPr>
        <w:t>reactivity</w:t>
      </w:r>
      <w:r w:rsidRPr="00AA1FB2">
        <w:rPr>
          <w:rFonts w:eastAsia="Times New Roman" w:cs="Arial"/>
          <w:color w:val="000000"/>
          <w:lang w:val="ru-RU"/>
        </w:rPr>
        <w:t xml:space="preserve">, </w:t>
      </w:r>
      <w:r w:rsidRPr="00AA1FB2">
        <w:rPr>
          <w:rFonts w:eastAsia="Times New Roman" w:cs="Arial"/>
          <w:color w:val="000000"/>
          <w:lang w:val="en-US"/>
        </w:rPr>
        <w:t>HPR</w:t>
      </w:r>
      <w:r w:rsidRPr="00AA1FB2">
        <w:rPr>
          <w:rFonts w:eastAsia="Times New Roman" w:cs="Arial"/>
          <w:color w:val="000000"/>
          <w:lang w:val="ru-RU"/>
        </w:rPr>
        <w:t xml:space="preserve">). </w:t>
      </w:r>
      <w:r w:rsidRPr="00AA1FB2">
        <w:rPr>
          <w:rFonts w:eastAsia="Times New Roman" w:cs="Arial"/>
          <w:color w:val="000000"/>
          <w:lang w:eastAsia="bg-BG"/>
        </w:rPr>
        <w:t xml:space="preserve">Ако </w:t>
      </w:r>
      <w:r w:rsidRPr="00AA1FB2">
        <w:rPr>
          <w:rFonts w:eastAsia="Times New Roman" w:cs="Arial"/>
          <w:color w:val="000000"/>
          <w:lang w:val="en-US"/>
        </w:rPr>
        <w:t>HPR</w:t>
      </w:r>
      <w:r w:rsidRPr="00AA1FB2">
        <w:rPr>
          <w:rFonts w:eastAsia="Times New Roman" w:cs="Arial"/>
          <w:color w:val="000000"/>
          <w:lang w:val="ru-RU"/>
        </w:rPr>
        <w:t xml:space="preserve"> </w:t>
      </w:r>
      <w:r w:rsidRPr="00AA1FB2">
        <w:rPr>
          <w:rFonts w:eastAsia="Times New Roman" w:cs="Arial"/>
          <w:color w:val="000000"/>
          <w:lang w:eastAsia="bg-BG"/>
        </w:rPr>
        <w:t>е ≥</w:t>
      </w:r>
      <w:r w:rsidRPr="00AA1FB2">
        <w:rPr>
          <w:rFonts w:eastAsia="Times New Roman" w:cs="Arial"/>
          <w:color w:val="000000"/>
          <w:lang w:val="ru-RU"/>
        </w:rPr>
        <w:t xml:space="preserve">46 </w:t>
      </w:r>
      <w:r w:rsidRPr="00AA1FB2">
        <w:rPr>
          <w:rFonts w:eastAsia="Times New Roman" w:cs="Arial"/>
          <w:color w:val="000000"/>
          <w:lang w:eastAsia="bg-BG"/>
        </w:rPr>
        <w:t xml:space="preserve">единици, пациентите са били ескалирани обратно на празугрел 5 или 10 </w:t>
      </w:r>
      <w:r w:rsidRPr="00AA1FB2">
        <w:rPr>
          <w:rFonts w:eastAsia="Times New Roman" w:cs="Arial"/>
          <w:color w:val="000000"/>
          <w:lang w:val="en-US"/>
        </w:rPr>
        <w:t>mg</w:t>
      </w:r>
      <w:r w:rsidRPr="00AA1FB2">
        <w:rPr>
          <w:rFonts w:eastAsia="Times New Roman" w:cs="Arial"/>
          <w:color w:val="000000"/>
          <w:lang w:eastAsia="bg-BG"/>
        </w:rPr>
        <w:t xml:space="preserve">/ден за 11,5 месеца; ако </w:t>
      </w:r>
      <w:r w:rsidRPr="00AA1FB2">
        <w:rPr>
          <w:rFonts w:eastAsia="Times New Roman" w:cs="Arial"/>
          <w:color w:val="000000"/>
          <w:lang w:val="en-US"/>
        </w:rPr>
        <w:t>HPR</w:t>
      </w:r>
      <w:r w:rsidRPr="00AA1FB2">
        <w:rPr>
          <w:rFonts w:eastAsia="Times New Roman" w:cs="Arial"/>
          <w:color w:val="000000"/>
          <w:lang w:val="ru-RU"/>
        </w:rPr>
        <w:t xml:space="preserve"> </w:t>
      </w:r>
      <w:r w:rsidRPr="00AA1FB2">
        <w:rPr>
          <w:rFonts w:eastAsia="Times New Roman" w:cs="Arial"/>
          <w:color w:val="000000"/>
          <w:lang w:eastAsia="bg-BG"/>
        </w:rPr>
        <w:t xml:space="preserve">е &lt;46 единици, пациентите са продължили на клопидогрел 75 </w:t>
      </w:r>
      <w:r w:rsidRPr="00AA1FB2">
        <w:rPr>
          <w:rFonts w:eastAsia="Times New Roman" w:cs="Arial"/>
          <w:color w:val="000000"/>
          <w:lang w:val="en-US"/>
        </w:rPr>
        <w:t>mg</w:t>
      </w:r>
      <w:r w:rsidRPr="00AA1FB2">
        <w:rPr>
          <w:rFonts w:eastAsia="Times New Roman" w:cs="Arial"/>
          <w:color w:val="000000"/>
          <w:lang w:eastAsia="bg-BG"/>
        </w:rPr>
        <w:t>/ден за 11,5 месеца. Следователно водещата група на деескалация включва пациенти на празугрел (40%) или клопидогрел (60%).</w:t>
      </w:r>
      <w:r w:rsidRPr="00AA1FB2">
        <w:rPr>
          <w:rFonts w:eastAsia="Times New Roman" w:cs="Arial"/>
          <w:color w:val="000000"/>
          <w:lang w:val="ru-RU"/>
        </w:rPr>
        <w:t xml:space="preserve"> </w:t>
      </w:r>
      <w:r w:rsidRPr="00AA1FB2">
        <w:rPr>
          <w:rFonts w:eastAsia="Times New Roman" w:cs="Arial"/>
          <w:color w:val="000000"/>
          <w:lang w:eastAsia="bg-BG"/>
        </w:rPr>
        <w:t>Всички пациенти са продължили на аспирин и са проследени в продължение на една година.</w:t>
      </w:r>
    </w:p>
    <w:p w14:paraId="71644733" w14:textId="2F0C5535" w:rsidR="00AA1FB2" w:rsidRPr="00AA1FB2" w:rsidRDefault="00AA1FB2" w:rsidP="00AA1FB2">
      <w:pPr>
        <w:rPr>
          <w:rFonts w:eastAsia="Times New Roman" w:cs="Arial"/>
          <w:color w:val="000000"/>
          <w:lang w:eastAsia="bg-BG"/>
        </w:rPr>
      </w:pPr>
    </w:p>
    <w:p w14:paraId="20E2DC1C" w14:textId="77777777"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Първичната крайна точка (комбинирана честота на сърдечносъдова смърт, МИ, инсулт и кървене по </w:t>
      </w:r>
      <w:r w:rsidRPr="00AA1FB2">
        <w:rPr>
          <w:rFonts w:eastAsia="Times New Roman" w:cs="Arial"/>
          <w:color w:val="000000"/>
          <w:lang w:val="en-US"/>
        </w:rPr>
        <w:t>BARC</w:t>
      </w:r>
      <w:r w:rsidRPr="00AA1FB2">
        <w:rPr>
          <w:rFonts w:eastAsia="Times New Roman" w:cs="Arial"/>
          <w:color w:val="000000"/>
          <w:lang w:val="ru-RU"/>
        </w:rPr>
        <w:t xml:space="preserve"> </w:t>
      </w:r>
      <w:r w:rsidRPr="00AA1FB2">
        <w:rPr>
          <w:rFonts w:eastAsia="Times New Roman" w:cs="Arial"/>
          <w:color w:val="000000"/>
          <w:lang w:eastAsia="bg-BG"/>
        </w:rPr>
        <w:t xml:space="preserve">≥2 степен на 12 месеца) е изпълнена, което показва не по-малка ефикасност. Деветдесет и пет пациенти (7%) във водещата група на деескалация и 118 пациенти (9%) в контролната група (р на неинфериорност = 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р на неинфериорност = 0,0115), нито на основната вторична крайна точка кървене по </w:t>
      </w:r>
      <w:r w:rsidRPr="00AA1FB2">
        <w:rPr>
          <w:rFonts w:eastAsia="Times New Roman" w:cs="Arial"/>
          <w:color w:val="000000"/>
          <w:lang w:val="en-US"/>
        </w:rPr>
        <w:t>BARC</w:t>
      </w:r>
      <w:r w:rsidRPr="00AA1FB2">
        <w:rPr>
          <w:rFonts w:eastAsia="Times New Roman" w:cs="Arial"/>
          <w:color w:val="000000"/>
          <w:lang w:val="ru-RU"/>
        </w:rPr>
        <w:t xml:space="preserve"> </w:t>
      </w:r>
      <w:r w:rsidRPr="00AA1FB2">
        <w:rPr>
          <w:rFonts w:eastAsia="Times New Roman" w:cs="Arial"/>
          <w:color w:val="000000"/>
          <w:lang w:eastAsia="bg-BG"/>
        </w:rPr>
        <w:t xml:space="preserve">≥2 степен ((5%) в групата на деескалация спрямо 6% в контролната група (р = 0,23)). Кумулативната честота на събития на кървене от всички степени (клас по </w:t>
      </w:r>
      <w:r w:rsidRPr="00AA1FB2">
        <w:rPr>
          <w:rFonts w:eastAsia="Times New Roman" w:cs="Arial"/>
          <w:color w:val="000000"/>
          <w:lang w:val="en-US"/>
        </w:rPr>
        <w:t>BARC</w:t>
      </w:r>
      <w:r w:rsidRPr="00AA1FB2">
        <w:rPr>
          <w:rFonts w:eastAsia="Times New Roman" w:cs="Arial"/>
          <w:color w:val="000000"/>
          <w:lang w:val="ru-RU"/>
        </w:rPr>
        <w:t xml:space="preserve"> </w:t>
      </w:r>
      <w:r w:rsidRPr="00AA1FB2">
        <w:rPr>
          <w:rFonts w:eastAsia="Times New Roman" w:cs="Arial"/>
          <w:color w:val="000000"/>
          <w:lang w:eastAsia="bg-BG"/>
        </w:rPr>
        <w:t>1 до 5) е 9% (114 събития) във водещата група на деескалация, спрямо 11% (137 събития) в контролната група (р = 0,14).</w:t>
      </w:r>
    </w:p>
    <w:p w14:paraId="45B2B45C" w14:textId="77777777" w:rsidR="00AA1FB2" w:rsidRPr="00AA1FB2" w:rsidRDefault="00AA1FB2" w:rsidP="00AA1FB2">
      <w:pPr>
        <w:spacing w:line="240" w:lineRule="auto"/>
        <w:rPr>
          <w:rFonts w:eastAsia="Times New Roman" w:cs="Arial"/>
          <w:color w:val="000000"/>
          <w:lang w:eastAsia="bg-BG"/>
        </w:rPr>
      </w:pPr>
    </w:p>
    <w:p w14:paraId="3A22E355" w14:textId="3762004F"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Двойна антиагрегантна терапия </w:t>
      </w:r>
      <w:r w:rsidRPr="00AA1FB2">
        <w:rPr>
          <w:rFonts w:eastAsia="Times New Roman" w:cs="Arial"/>
          <w:color w:val="000000"/>
          <w:lang w:val="ru-RU"/>
        </w:rPr>
        <w:t>(</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при остър лек </w:t>
      </w:r>
      <w:r w:rsidRPr="00AA1FB2">
        <w:rPr>
          <w:rFonts w:eastAsia="Times New Roman" w:cs="Arial"/>
          <w:color w:val="000000"/>
          <w:lang w:val="en-US"/>
        </w:rPr>
        <w:t>IS</w:t>
      </w:r>
      <w:r w:rsidRPr="00AA1FB2">
        <w:rPr>
          <w:rFonts w:eastAsia="Times New Roman" w:cs="Arial"/>
          <w:color w:val="000000"/>
          <w:lang w:val="ru-RU"/>
        </w:rPr>
        <w:t xml:space="preserve"> </w:t>
      </w:r>
      <w:r w:rsidRPr="00AA1FB2">
        <w:rPr>
          <w:rFonts w:eastAsia="Times New Roman" w:cs="Arial"/>
          <w:color w:val="000000"/>
          <w:lang w:eastAsia="bg-BG"/>
        </w:rPr>
        <w:t xml:space="preserve">или умерено до високорискова </w:t>
      </w:r>
      <w:r w:rsidRPr="00AA1FB2">
        <w:rPr>
          <w:rFonts w:eastAsia="Times New Roman" w:cs="Arial"/>
          <w:color w:val="000000"/>
          <w:lang w:val="en-US"/>
        </w:rPr>
        <w:t>TI</w:t>
      </w:r>
      <w:r w:rsidRPr="00AA1FB2">
        <w:rPr>
          <w:rFonts w:eastAsia="Times New Roman" w:cs="Arial"/>
          <w:color w:val="000000"/>
          <w:lang w:eastAsia="bg-BG"/>
        </w:rPr>
        <w:t>А</w:t>
      </w:r>
    </w:p>
    <w:p w14:paraId="5C7423A6" w14:textId="77777777" w:rsidR="00AA1FB2" w:rsidRPr="00F962F6" w:rsidRDefault="00AA1FB2" w:rsidP="00AA1FB2">
      <w:pPr>
        <w:spacing w:line="240" w:lineRule="auto"/>
        <w:rPr>
          <w:rFonts w:eastAsia="Times New Roman" w:cs="Arial"/>
          <w:color w:val="000000"/>
          <w:lang w:val="ru-RU"/>
        </w:rPr>
      </w:pPr>
    </w:p>
    <w:p w14:paraId="67780074" w14:textId="73BE0935" w:rsidR="00AA1FB2" w:rsidRPr="00AA1FB2" w:rsidRDefault="00AA1FB2" w:rsidP="00AA1FB2">
      <w:pPr>
        <w:spacing w:line="240" w:lineRule="auto"/>
        <w:rPr>
          <w:rFonts w:eastAsia="Times New Roman" w:cs="Arial"/>
        </w:rPr>
      </w:pP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с комбинация клопидогрел и АСК като лечение за предотвратяване на инсулт след остър лек </w:t>
      </w:r>
      <w:r w:rsidRPr="00AA1FB2">
        <w:rPr>
          <w:rFonts w:eastAsia="Times New Roman" w:cs="Arial"/>
          <w:color w:val="000000"/>
          <w:lang w:val="en-US"/>
        </w:rPr>
        <w:t>IS</w:t>
      </w:r>
      <w:r w:rsidRPr="00AA1FB2">
        <w:rPr>
          <w:rFonts w:eastAsia="Times New Roman" w:cs="Arial"/>
          <w:color w:val="000000"/>
          <w:lang w:val="ru-RU"/>
        </w:rPr>
        <w:t xml:space="preserve"> </w:t>
      </w:r>
      <w:r w:rsidRPr="00AA1FB2">
        <w:rPr>
          <w:rFonts w:eastAsia="Times New Roman" w:cs="Arial"/>
          <w:color w:val="000000"/>
          <w:lang w:eastAsia="bg-BG"/>
        </w:rPr>
        <w:t xml:space="preserve">или умерено до високорискова </w:t>
      </w:r>
      <w:r w:rsidRPr="00AA1FB2">
        <w:rPr>
          <w:rFonts w:eastAsia="Times New Roman" w:cs="Arial"/>
          <w:color w:val="000000"/>
          <w:lang w:val="en-US"/>
        </w:rPr>
        <w:t>TIA</w:t>
      </w:r>
      <w:r w:rsidRPr="00AA1FB2">
        <w:rPr>
          <w:rFonts w:eastAsia="Times New Roman" w:cs="Arial"/>
          <w:color w:val="000000"/>
          <w:lang w:val="ru-RU"/>
        </w:rPr>
        <w:t xml:space="preserve"> </w:t>
      </w:r>
      <w:r w:rsidRPr="00AA1FB2">
        <w:rPr>
          <w:rFonts w:eastAsia="Times New Roman" w:cs="Arial"/>
          <w:color w:val="000000"/>
          <w:lang w:eastAsia="bg-BG"/>
        </w:rPr>
        <w:t xml:space="preserve">е оценена в две рандомизирани проучвания, спонсорирани от изследователи </w:t>
      </w:r>
      <w:r w:rsidRPr="00AA1FB2">
        <w:rPr>
          <w:rFonts w:eastAsia="Times New Roman" w:cs="Arial"/>
          <w:color w:val="000000"/>
          <w:lang w:val="ru-RU"/>
        </w:rPr>
        <w:t>(</w:t>
      </w:r>
      <w:r w:rsidRPr="00AA1FB2">
        <w:rPr>
          <w:rFonts w:eastAsia="Times New Roman" w:cs="Arial"/>
          <w:color w:val="000000"/>
          <w:lang w:val="en-US"/>
        </w:rPr>
        <w:t>ISS</w:t>
      </w:r>
      <w:r w:rsidRPr="00AA1FB2">
        <w:rPr>
          <w:rFonts w:eastAsia="Times New Roman" w:cs="Arial"/>
          <w:color w:val="000000"/>
          <w:lang w:val="ru-RU"/>
        </w:rPr>
        <w:t xml:space="preserve">) </w:t>
      </w:r>
      <w:r w:rsidRPr="00AA1FB2">
        <w:rPr>
          <w:rFonts w:eastAsia="Times New Roman" w:cs="Arial"/>
          <w:color w:val="000000"/>
          <w:lang w:eastAsia="bg-BG"/>
        </w:rPr>
        <w:t xml:space="preserve">- </w:t>
      </w:r>
      <w:r w:rsidRPr="00AA1FB2">
        <w:rPr>
          <w:rFonts w:eastAsia="Times New Roman" w:cs="Arial"/>
          <w:color w:val="000000"/>
          <w:lang w:val="en-US"/>
        </w:rPr>
        <w:t>CHANCE</w:t>
      </w:r>
      <w:r w:rsidRPr="00AA1FB2">
        <w:rPr>
          <w:rFonts w:eastAsia="Times New Roman" w:cs="Arial"/>
          <w:color w:val="000000"/>
          <w:lang w:val="ru-RU"/>
        </w:rPr>
        <w:t xml:space="preserve"> </w:t>
      </w:r>
      <w:r w:rsidRPr="00AA1FB2">
        <w:rPr>
          <w:rFonts w:eastAsia="Times New Roman" w:cs="Arial"/>
          <w:color w:val="000000"/>
          <w:lang w:eastAsia="bg-BG"/>
        </w:rPr>
        <w:t xml:space="preserve">и </w:t>
      </w:r>
      <w:r w:rsidRPr="00AA1FB2">
        <w:rPr>
          <w:rFonts w:eastAsia="Times New Roman" w:cs="Arial"/>
          <w:color w:val="000000"/>
          <w:lang w:val="en-US"/>
        </w:rPr>
        <w:t>POINT</w:t>
      </w:r>
      <w:r w:rsidRPr="00AA1FB2">
        <w:rPr>
          <w:rFonts w:eastAsia="Times New Roman" w:cs="Arial"/>
          <w:color w:val="000000"/>
          <w:lang w:val="ru-RU"/>
        </w:rPr>
        <w:t xml:space="preserve"> </w:t>
      </w:r>
      <w:r w:rsidRPr="00AA1FB2">
        <w:rPr>
          <w:rFonts w:eastAsia="Times New Roman" w:cs="Arial"/>
          <w:color w:val="000000"/>
          <w:lang w:eastAsia="bg-BG"/>
        </w:rPr>
        <w:t>- с данни за клиничната безопасност и ефикасност.</w:t>
      </w:r>
    </w:p>
    <w:p w14:paraId="0488DD2F" w14:textId="77777777" w:rsidR="00AA1FB2" w:rsidRPr="00F962F6" w:rsidRDefault="00AA1FB2" w:rsidP="00AA1FB2">
      <w:pPr>
        <w:spacing w:line="240" w:lineRule="auto"/>
        <w:rPr>
          <w:rFonts w:eastAsia="Times New Roman" w:cs="Arial"/>
          <w:b/>
          <w:bCs/>
          <w:color w:val="000000"/>
          <w:lang w:val="ru-RU"/>
        </w:rPr>
      </w:pPr>
    </w:p>
    <w:p w14:paraId="01B65469" w14:textId="6E8878A2" w:rsidR="00AA1FB2" w:rsidRPr="00AA1FB2" w:rsidRDefault="00AA1FB2" w:rsidP="00AA1FB2">
      <w:pPr>
        <w:spacing w:line="240" w:lineRule="auto"/>
        <w:rPr>
          <w:rFonts w:eastAsia="Times New Roman" w:cs="Arial"/>
        </w:rPr>
      </w:pPr>
      <w:r w:rsidRPr="00AA1FB2">
        <w:rPr>
          <w:rFonts w:eastAsia="Times New Roman" w:cs="Arial"/>
          <w:b/>
          <w:bCs/>
          <w:color w:val="000000"/>
          <w:lang w:val="en-US"/>
        </w:rPr>
        <w:t>CHANCE</w:t>
      </w:r>
      <w:r w:rsidRPr="00AA1FB2">
        <w:rPr>
          <w:rFonts w:eastAsia="Times New Roman" w:cs="Arial"/>
          <w:b/>
          <w:bCs/>
          <w:color w:val="000000"/>
        </w:rPr>
        <w:t xml:space="preserve"> </w:t>
      </w:r>
      <w:r w:rsidRPr="00AA1FB2">
        <w:rPr>
          <w:rFonts w:eastAsia="Times New Roman" w:cs="Arial"/>
          <w:color w:val="000000"/>
          <w:lang w:eastAsia="bg-BG"/>
        </w:rPr>
        <w:t xml:space="preserve">(Клопидогрел при високорискови пациенти с остри мозъчно-съдови събития без увреждания - </w:t>
      </w:r>
      <w:proofErr w:type="spellStart"/>
      <w:r w:rsidRPr="00AA1FB2">
        <w:rPr>
          <w:rFonts w:eastAsia="Times New Roman" w:cs="Arial"/>
          <w:i/>
          <w:iCs/>
          <w:color w:val="000000"/>
          <w:lang w:val="en-US"/>
        </w:rPr>
        <w:t>Clopidogrel</w:t>
      </w:r>
      <w:proofErr w:type="spellEnd"/>
      <w:r w:rsidRPr="00AA1FB2">
        <w:rPr>
          <w:rFonts w:eastAsia="Times New Roman" w:cs="Arial"/>
          <w:i/>
          <w:iCs/>
          <w:color w:val="000000"/>
        </w:rPr>
        <w:t xml:space="preserve"> </w:t>
      </w:r>
      <w:r w:rsidRPr="00AA1FB2">
        <w:rPr>
          <w:rFonts w:eastAsia="Times New Roman" w:cs="Arial"/>
          <w:i/>
          <w:iCs/>
          <w:color w:val="000000"/>
          <w:lang w:val="en-US"/>
        </w:rPr>
        <w:t>in</w:t>
      </w:r>
      <w:r w:rsidRPr="00AA1FB2">
        <w:rPr>
          <w:rFonts w:eastAsia="Times New Roman" w:cs="Arial"/>
          <w:i/>
          <w:iCs/>
          <w:color w:val="000000"/>
        </w:rPr>
        <w:t xml:space="preserve"> </w:t>
      </w:r>
      <w:r w:rsidRPr="00AA1FB2">
        <w:rPr>
          <w:rFonts w:eastAsia="Times New Roman" w:cs="Arial"/>
          <w:i/>
          <w:iCs/>
          <w:color w:val="000000"/>
          <w:lang w:val="en-US"/>
        </w:rPr>
        <w:t>High</w:t>
      </w:r>
      <w:r w:rsidRPr="00AA1FB2">
        <w:rPr>
          <w:rFonts w:eastAsia="Times New Roman" w:cs="Arial"/>
          <w:i/>
          <w:iCs/>
          <w:color w:val="000000"/>
        </w:rPr>
        <w:t>-</w:t>
      </w:r>
      <w:r w:rsidRPr="00AA1FB2">
        <w:rPr>
          <w:rFonts w:eastAsia="Times New Roman" w:cs="Arial"/>
          <w:i/>
          <w:iCs/>
          <w:color w:val="000000"/>
          <w:lang w:val="en-US"/>
        </w:rPr>
        <w:t>risk</w:t>
      </w:r>
      <w:r w:rsidRPr="00AA1FB2">
        <w:rPr>
          <w:rFonts w:eastAsia="Times New Roman" w:cs="Arial"/>
          <w:i/>
          <w:iCs/>
          <w:color w:val="000000"/>
        </w:rPr>
        <w:t xml:space="preserve"> </w:t>
      </w:r>
      <w:r w:rsidRPr="00AA1FB2">
        <w:rPr>
          <w:rFonts w:eastAsia="Times New Roman" w:cs="Arial"/>
          <w:i/>
          <w:iCs/>
          <w:color w:val="000000"/>
          <w:lang w:val="en-US"/>
        </w:rPr>
        <w:t>patients</w:t>
      </w:r>
      <w:r w:rsidRPr="00AA1FB2">
        <w:rPr>
          <w:rFonts w:eastAsia="Times New Roman" w:cs="Arial"/>
          <w:i/>
          <w:iCs/>
          <w:color w:val="000000"/>
        </w:rPr>
        <w:t xml:space="preserve"> </w:t>
      </w:r>
      <w:r w:rsidRPr="00AA1FB2">
        <w:rPr>
          <w:rFonts w:eastAsia="Times New Roman" w:cs="Arial"/>
          <w:i/>
          <w:iCs/>
          <w:color w:val="000000"/>
          <w:lang w:val="en-US"/>
        </w:rPr>
        <w:t>with</w:t>
      </w:r>
      <w:r w:rsidRPr="00AA1FB2">
        <w:rPr>
          <w:rFonts w:eastAsia="Times New Roman" w:cs="Arial"/>
          <w:i/>
          <w:iCs/>
          <w:color w:val="000000"/>
        </w:rPr>
        <w:t xml:space="preserve"> </w:t>
      </w:r>
      <w:r w:rsidRPr="00AA1FB2">
        <w:rPr>
          <w:rFonts w:eastAsia="Times New Roman" w:cs="Arial"/>
          <w:i/>
          <w:iCs/>
          <w:color w:val="000000"/>
          <w:lang w:val="en-US"/>
        </w:rPr>
        <w:t>Acute</w:t>
      </w:r>
      <w:r w:rsidRPr="00AA1FB2">
        <w:rPr>
          <w:rFonts w:eastAsia="Times New Roman" w:cs="Arial"/>
          <w:i/>
          <w:iCs/>
          <w:color w:val="000000"/>
        </w:rPr>
        <w:t xml:space="preserve"> </w:t>
      </w:r>
      <w:r w:rsidRPr="00AA1FB2">
        <w:rPr>
          <w:rFonts w:eastAsia="Times New Roman" w:cs="Arial"/>
          <w:i/>
          <w:iCs/>
          <w:color w:val="000000"/>
          <w:lang w:val="en-US"/>
        </w:rPr>
        <w:t>Non</w:t>
      </w:r>
      <w:r w:rsidRPr="00AA1FB2">
        <w:rPr>
          <w:rFonts w:eastAsia="Times New Roman" w:cs="Arial"/>
          <w:i/>
          <w:iCs/>
          <w:color w:val="000000"/>
        </w:rPr>
        <w:t>-</w:t>
      </w:r>
      <w:r w:rsidRPr="00AA1FB2">
        <w:rPr>
          <w:rFonts w:eastAsia="Times New Roman" w:cs="Arial"/>
          <w:i/>
          <w:iCs/>
          <w:color w:val="000000"/>
          <w:lang w:val="en-US"/>
        </w:rPr>
        <w:t>disabling</w:t>
      </w:r>
      <w:r w:rsidRPr="00AA1FB2">
        <w:rPr>
          <w:rFonts w:eastAsia="Times New Roman" w:cs="Arial"/>
          <w:i/>
          <w:iCs/>
          <w:color w:val="000000"/>
        </w:rPr>
        <w:t xml:space="preserve"> </w:t>
      </w:r>
      <w:r w:rsidRPr="00AA1FB2">
        <w:rPr>
          <w:rFonts w:eastAsia="Times New Roman" w:cs="Arial"/>
          <w:i/>
          <w:iCs/>
          <w:color w:val="000000"/>
          <w:lang w:val="en-US"/>
        </w:rPr>
        <w:t>Cerebrovascular</w:t>
      </w:r>
      <w:r w:rsidRPr="00AA1FB2">
        <w:rPr>
          <w:rFonts w:eastAsia="Times New Roman" w:cs="Arial"/>
          <w:i/>
          <w:iCs/>
          <w:color w:val="000000"/>
        </w:rPr>
        <w:t xml:space="preserve"> </w:t>
      </w:r>
      <w:r w:rsidRPr="00AA1FB2">
        <w:rPr>
          <w:rFonts w:eastAsia="Times New Roman" w:cs="Arial"/>
          <w:i/>
          <w:iCs/>
          <w:color w:val="000000"/>
          <w:lang w:val="en-US"/>
        </w:rPr>
        <w:t>Events</w:t>
      </w:r>
      <w:r w:rsidRPr="00AA1FB2">
        <w:rPr>
          <w:rFonts w:eastAsia="Times New Roman" w:cs="Arial"/>
          <w:i/>
          <w:iCs/>
          <w:color w:val="000000"/>
        </w:rPr>
        <w:t xml:space="preserve">) </w:t>
      </w:r>
      <w:r w:rsidRPr="00AA1FB2">
        <w:rPr>
          <w:rFonts w:eastAsia="Times New Roman" w:cs="Arial"/>
          <w:color w:val="000000"/>
          <w:lang w:eastAsia="bg-BG"/>
        </w:rPr>
        <w:t xml:space="preserve">Това рандомизирано, двойно-сляпо, многоцентрово, плацебо-контролирано клинично изследване включва 5 170 китайски пациенти с остра </w:t>
      </w:r>
      <w:r w:rsidRPr="00AA1FB2">
        <w:rPr>
          <w:rFonts w:eastAsia="Times New Roman" w:cs="Arial"/>
          <w:color w:val="000000"/>
          <w:lang w:val="en-US"/>
        </w:rPr>
        <w:t>TIA</w:t>
      </w:r>
      <w:r w:rsidRPr="00AA1FB2">
        <w:rPr>
          <w:rFonts w:eastAsia="Times New Roman" w:cs="Arial"/>
          <w:color w:val="000000"/>
        </w:rPr>
        <w:t xml:space="preserve"> (</w:t>
      </w:r>
      <w:r w:rsidRPr="00AA1FB2">
        <w:rPr>
          <w:rFonts w:eastAsia="Times New Roman" w:cs="Arial"/>
          <w:color w:val="000000"/>
          <w:lang w:val="en-US"/>
        </w:rPr>
        <w:t>ABCD</w:t>
      </w:r>
      <w:r w:rsidRPr="00AA1FB2">
        <w:rPr>
          <w:rFonts w:eastAsia="Times New Roman" w:cs="Arial"/>
          <w:color w:val="000000"/>
        </w:rPr>
        <w:t xml:space="preserve">2 </w:t>
      </w:r>
      <w:r w:rsidRPr="00AA1FB2">
        <w:rPr>
          <w:rFonts w:eastAsia="Times New Roman" w:cs="Arial"/>
          <w:color w:val="000000"/>
          <w:lang w:eastAsia="bg-BG"/>
        </w:rPr>
        <w:t xml:space="preserve">оценка ≥4) или остър лек инсулт </w:t>
      </w:r>
      <w:r w:rsidRPr="00AA1FB2">
        <w:rPr>
          <w:rFonts w:eastAsia="Times New Roman" w:cs="Arial"/>
          <w:color w:val="000000"/>
        </w:rPr>
        <w:t>(</w:t>
      </w:r>
      <w:r w:rsidRPr="00AA1FB2">
        <w:rPr>
          <w:rFonts w:eastAsia="Times New Roman" w:cs="Arial"/>
          <w:color w:val="000000"/>
          <w:lang w:val="en-US"/>
        </w:rPr>
        <w:t>NIHSS</w:t>
      </w:r>
      <w:r w:rsidRPr="00AA1FB2">
        <w:rPr>
          <w:rFonts w:eastAsia="Times New Roman" w:cs="Arial"/>
          <w:color w:val="000000"/>
        </w:rPr>
        <w:t xml:space="preserve"> </w:t>
      </w:r>
      <w:r w:rsidRPr="00AA1FB2">
        <w:rPr>
          <w:rFonts w:eastAsia="Times New Roman" w:cs="Arial"/>
          <w:color w:val="000000"/>
          <w:lang w:eastAsia="bg-BG"/>
        </w:rPr>
        <w:t xml:space="preserve">&lt;3). Пациентите и в двете групи получават открито АСК на ден 1-ви (с доза варираща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до 300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по преценка на лекуващия лекар). Пациентите, разпределени на случаен принцип в групата на клопидогрел—АСК, </w:t>
      </w:r>
      <w:r w:rsidRPr="00AA1FB2">
        <w:rPr>
          <w:rFonts w:eastAsia="Times New Roman" w:cs="Arial"/>
          <w:color w:val="000000"/>
          <w:lang w:eastAsia="bg-BG"/>
        </w:rPr>
        <w:lastRenderedPageBreak/>
        <w:t xml:space="preserve">получават натоварваща доза от 300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клопидогрел на ден 1-ви, последван от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клопидогрел дневно от ден 2-ри до 90-ти и АСК в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дневно от ден 2-ри до 21 -ви. Пациентите, произволно разпределени в групата на АСК, получават плацебо версия на клопидогрел от ден 1-ви до 90-ти и АСК в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дневно от ден 2-ри до 90-ти.</w:t>
      </w:r>
    </w:p>
    <w:p w14:paraId="5E906D57" w14:textId="77777777" w:rsidR="00AA1FB2" w:rsidRPr="00AA1FB2" w:rsidRDefault="00AA1FB2" w:rsidP="00AA1FB2">
      <w:pPr>
        <w:spacing w:line="240" w:lineRule="auto"/>
        <w:rPr>
          <w:rFonts w:eastAsia="Times New Roman" w:cs="Arial"/>
          <w:color w:val="000000"/>
          <w:lang w:eastAsia="bg-BG"/>
        </w:rPr>
      </w:pPr>
    </w:p>
    <w:p w14:paraId="4AD0F3B2" w14:textId="119A1125"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Първичният резултат по отношение на ефикасността е всеки нов случай на инсулт (исхемичен и хеморагичен) през първите 90 дни след остър лек </w:t>
      </w:r>
      <w:r w:rsidRPr="00AA1FB2">
        <w:rPr>
          <w:rFonts w:eastAsia="Times New Roman" w:cs="Arial"/>
          <w:color w:val="000000"/>
          <w:lang w:val="en-US"/>
        </w:rPr>
        <w:t>IS</w:t>
      </w:r>
      <w:r w:rsidRPr="00AA1FB2">
        <w:rPr>
          <w:rFonts w:eastAsia="Times New Roman" w:cs="Arial"/>
          <w:color w:val="000000"/>
          <w:lang w:val="ru-RU"/>
        </w:rPr>
        <w:t xml:space="preserve"> </w:t>
      </w:r>
      <w:r w:rsidRPr="00AA1FB2">
        <w:rPr>
          <w:rFonts w:eastAsia="Times New Roman" w:cs="Arial"/>
          <w:color w:val="000000"/>
          <w:lang w:eastAsia="bg-BG"/>
        </w:rPr>
        <w:t xml:space="preserve">или високорискова </w:t>
      </w:r>
      <w:r w:rsidRPr="00AA1FB2">
        <w:rPr>
          <w:rFonts w:eastAsia="Times New Roman" w:cs="Arial"/>
          <w:color w:val="000000"/>
          <w:lang w:val="en-US"/>
        </w:rPr>
        <w:t>TI</w:t>
      </w:r>
      <w:r w:rsidRPr="00AA1FB2">
        <w:rPr>
          <w:rFonts w:eastAsia="Times New Roman" w:cs="Arial"/>
          <w:color w:val="000000"/>
          <w:lang w:eastAsia="bg-BG"/>
        </w:rPr>
        <w:t xml:space="preserve">А. Това се е случило при 212 пациенти (8,2%) в групата на клопидогрел-АСК в сравнение с 303 пациенти (11,7%) в групата на АСК (съотношение на риск </w:t>
      </w:r>
      <w:r w:rsidRPr="00AA1FB2">
        <w:rPr>
          <w:rFonts w:eastAsia="Times New Roman" w:cs="Arial"/>
          <w:color w:val="000000"/>
          <w:lang w:val="ru-RU"/>
        </w:rPr>
        <w:t>[</w:t>
      </w:r>
      <w:r w:rsidRPr="00AA1FB2">
        <w:rPr>
          <w:rFonts w:eastAsia="Times New Roman" w:cs="Arial"/>
          <w:color w:val="000000"/>
          <w:lang w:val="en-US"/>
        </w:rPr>
        <w:t>HR</w:t>
      </w:r>
      <w:r w:rsidRPr="00AA1FB2">
        <w:rPr>
          <w:rFonts w:eastAsia="Times New Roman" w:cs="Arial"/>
          <w:color w:val="000000"/>
          <w:lang w:val="ru-RU"/>
        </w:rPr>
        <w:t xml:space="preserve">], </w:t>
      </w:r>
      <w:r w:rsidRPr="00AA1FB2">
        <w:rPr>
          <w:rFonts w:eastAsia="Times New Roman" w:cs="Arial"/>
          <w:color w:val="000000"/>
          <w:lang w:eastAsia="bg-BG"/>
        </w:rPr>
        <w:t xml:space="preserve">0,68; 95%доверителен интервал </w:t>
      </w:r>
      <w:r w:rsidRPr="00AA1FB2">
        <w:rPr>
          <w:rFonts w:eastAsia="Times New Roman" w:cs="Arial"/>
          <w:color w:val="000000"/>
          <w:lang w:val="ru-RU"/>
        </w:rPr>
        <w:t>[</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0,57 до 0,81; р &lt;0,001 ). </w:t>
      </w:r>
      <w:r w:rsidRPr="00AA1FB2">
        <w:rPr>
          <w:rFonts w:eastAsia="Times New Roman" w:cs="Arial"/>
          <w:color w:val="000000"/>
          <w:lang w:val="en-US"/>
        </w:rPr>
        <w:t>IS</w:t>
      </w:r>
      <w:r w:rsidRPr="00AA1FB2">
        <w:rPr>
          <w:rFonts w:eastAsia="Times New Roman" w:cs="Arial"/>
          <w:color w:val="000000"/>
          <w:lang w:val="ru-RU"/>
        </w:rPr>
        <w:t xml:space="preserve"> </w:t>
      </w:r>
      <w:r w:rsidRPr="00AA1FB2">
        <w:rPr>
          <w:rFonts w:eastAsia="Times New Roman" w:cs="Arial"/>
          <w:color w:val="000000"/>
          <w:lang w:eastAsia="bg-BG"/>
        </w:rPr>
        <w:t>се наблюдава при 204 пациенти (7</w:t>
      </w:r>
      <w:proofErr w:type="gramStart"/>
      <w:r w:rsidRPr="00AA1FB2">
        <w:rPr>
          <w:rFonts w:eastAsia="Times New Roman" w:cs="Arial"/>
          <w:color w:val="000000"/>
          <w:lang w:eastAsia="bg-BG"/>
        </w:rPr>
        <w:t>,9</w:t>
      </w:r>
      <w:proofErr w:type="gramEnd"/>
      <w:r w:rsidRPr="00AA1FB2">
        <w:rPr>
          <w:rFonts w:eastAsia="Times New Roman" w:cs="Arial"/>
          <w:color w:val="000000"/>
          <w:lang w:eastAsia="bg-BG"/>
        </w:rPr>
        <w:t xml:space="preserve">%) в групата на клопидогрел-АСК в сравнение с 295 (11,4%) в групата на АСК </w:t>
      </w:r>
      <w:r w:rsidRPr="00AA1FB2">
        <w:rPr>
          <w:rFonts w:eastAsia="Times New Roman" w:cs="Arial"/>
          <w:color w:val="000000"/>
          <w:lang w:val="ru-RU"/>
        </w:rPr>
        <w:t>(</w:t>
      </w:r>
      <w:r w:rsidRPr="00AA1FB2">
        <w:rPr>
          <w:rFonts w:eastAsia="Times New Roman" w:cs="Arial"/>
          <w:color w:val="000000"/>
          <w:lang w:val="en-US"/>
        </w:rPr>
        <w:t>HR</w:t>
      </w:r>
      <w:r w:rsidRPr="00AA1FB2">
        <w:rPr>
          <w:rFonts w:eastAsia="Times New Roman" w:cs="Arial"/>
          <w:color w:val="000000"/>
          <w:lang w:val="ru-RU"/>
        </w:rPr>
        <w:t xml:space="preserve">, </w:t>
      </w:r>
      <w:r w:rsidRPr="00AA1FB2">
        <w:rPr>
          <w:rFonts w:eastAsia="Times New Roman" w:cs="Arial"/>
          <w:color w:val="000000"/>
          <w:lang w:eastAsia="bg-BG"/>
        </w:rPr>
        <w:t xml:space="preserve">0,67;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0,56 до 0,81; р &lt;0,001). Хеморагичен инсулт се наблюдава при 8 пациенти във всяка от двете проучвани групи (0,3% от всяка група). Умерен или тежък кръвоизлив се наблюдава при седем пациенти (0.3%) в групата на клопидогрел-АСК и при осем (0.3%) в групата на АСК (р = 0.73). Честотата на всяко кървене е била 2,3% в групата на клопидогрел-АСК в сравнение с 1,6% в групата на АСК </w:t>
      </w:r>
      <w:r w:rsidRPr="00AA1FB2">
        <w:rPr>
          <w:rFonts w:eastAsia="Times New Roman" w:cs="Arial"/>
          <w:color w:val="000000"/>
          <w:lang w:val="ru-RU"/>
        </w:rPr>
        <w:t>(</w:t>
      </w:r>
      <w:r w:rsidRPr="00AA1FB2">
        <w:rPr>
          <w:rFonts w:eastAsia="Times New Roman" w:cs="Arial"/>
          <w:color w:val="000000"/>
          <w:lang w:val="en-US"/>
        </w:rPr>
        <w:t>HR</w:t>
      </w:r>
      <w:r w:rsidRPr="00AA1FB2">
        <w:rPr>
          <w:rFonts w:eastAsia="Times New Roman" w:cs="Arial"/>
          <w:color w:val="000000"/>
          <w:lang w:val="ru-RU"/>
        </w:rPr>
        <w:t xml:space="preserve">, </w:t>
      </w:r>
      <w:r w:rsidRPr="00AA1FB2">
        <w:rPr>
          <w:rFonts w:eastAsia="Times New Roman" w:cs="Arial"/>
          <w:color w:val="000000"/>
          <w:lang w:eastAsia="bg-BG"/>
        </w:rPr>
        <w:t xml:space="preserve">1,41;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0,95 до 2,10; р = 0,09).</w:t>
      </w:r>
    </w:p>
    <w:p w14:paraId="7F74A34E" w14:textId="77777777" w:rsidR="00AA1FB2" w:rsidRPr="00F962F6" w:rsidRDefault="00AA1FB2" w:rsidP="00AA1FB2">
      <w:pPr>
        <w:spacing w:line="240" w:lineRule="auto"/>
        <w:rPr>
          <w:rFonts w:eastAsia="Times New Roman" w:cs="Arial"/>
          <w:b/>
          <w:bCs/>
          <w:color w:val="000000"/>
          <w:lang w:val="ru-RU"/>
        </w:rPr>
      </w:pPr>
    </w:p>
    <w:p w14:paraId="4D21CC4E" w14:textId="65BF8595" w:rsidR="00AA1FB2" w:rsidRPr="00AA1FB2" w:rsidRDefault="00AA1FB2" w:rsidP="00AA1FB2">
      <w:pPr>
        <w:spacing w:line="240" w:lineRule="auto"/>
        <w:rPr>
          <w:rFonts w:eastAsia="Times New Roman" w:cs="Arial"/>
        </w:rPr>
      </w:pPr>
      <w:r w:rsidRPr="00AA1FB2">
        <w:rPr>
          <w:rFonts w:eastAsia="Times New Roman" w:cs="Arial"/>
          <w:b/>
          <w:bCs/>
          <w:color w:val="000000"/>
          <w:lang w:val="en-US"/>
        </w:rPr>
        <w:t>POINT</w:t>
      </w:r>
      <w:r w:rsidRPr="00AA1FB2">
        <w:rPr>
          <w:rFonts w:eastAsia="Times New Roman" w:cs="Arial"/>
          <w:b/>
          <w:bCs/>
          <w:color w:val="000000"/>
        </w:rPr>
        <w:t xml:space="preserve"> </w:t>
      </w:r>
      <w:r w:rsidRPr="00AA1FB2">
        <w:rPr>
          <w:rFonts w:eastAsia="Times New Roman" w:cs="Arial"/>
          <w:color w:val="000000"/>
          <w:lang w:eastAsia="bg-BG"/>
        </w:rPr>
        <w:t xml:space="preserve">(Ориентирано към тромбоцитно инхибиране при нова </w:t>
      </w:r>
      <w:r w:rsidRPr="00AA1FB2">
        <w:rPr>
          <w:rFonts w:eastAsia="Times New Roman" w:cs="Arial"/>
          <w:color w:val="000000"/>
          <w:lang w:val="en-US"/>
        </w:rPr>
        <w:t>TIA</w:t>
      </w:r>
      <w:r w:rsidRPr="00AA1FB2">
        <w:rPr>
          <w:rFonts w:eastAsia="Times New Roman" w:cs="Arial"/>
          <w:color w:val="000000"/>
        </w:rPr>
        <w:t xml:space="preserve"> </w:t>
      </w:r>
      <w:r w:rsidRPr="00AA1FB2">
        <w:rPr>
          <w:rFonts w:eastAsia="Times New Roman" w:cs="Arial"/>
          <w:color w:val="000000"/>
          <w:lang w:eastAsia="bg-BG"/>
        </w:rPr>
        <w:t xml:space="preserve">и лек исхемичен инсулт - </w:t>
      </w:r>
      <w:r w:rsidRPr="00AA1FB2">
        <w:rPr>
          <w:rFonts w:eastAsia="Times New Roman" w:cs="Arial"/>
          <w:i/>
          <w:iCs/>
          <w:color w:val="000000"/>
          <w:lang w:val="en-US"/>
        </w:rPr>
        <w:t>Platelet</w:t>
      </w:r>
      <w:r w:rsidRPr="00AA1FB2">
        <w:rPr>
          <w:rFonts w:eastAsia="Times New Roman" w:cs="Arial"/>
          <w:i/>
          <w:iCs/>
          <w:color w:val="000000"/>
        </w:rPr>
        <w:t>-</w:t>
      </w:r>
      <w:r w:rsidRPr="00AA1FB2">
        <w:rPr>
          <w:rFonts w:eastAsia="Times New Roman" w:cs="Arial"/>
          <w:i/>
          <w:iCs/>
          <w:color w:val="000000"/>
          <w:lang w:val="en-US"/>
        </w:rPr>
        <w:t>Oriented</w:t>
      </w:r>
      <w:r w:rsidRPr="00AA1FB2">
        <w:rPr>
          <w:rFonts w:eastAsia="Times New Roman" w:cs="Arial"/>
          <w:i/>
          <w:iCs/>
          <w:color w:val="000000"/>
        </w:rPr>
        <w:t xml:space="preserve"> </w:t>
      </w:r>
      <w:r w:rsidRPr="00AA1FB2">
        <w:rPr>
          <w:rFonts w:eastAsia="Times New Roman" w:cs="Arial"/>
          <w:i/>
          <w:iCs/>
          <w:color w:val="000000"/>
          <w:lang w:val="en-US"/>
        </w:rPr>
        <w:t>Inhibition</w:t>
      </w:r>
      <w:r w:rsidRPr="00AA1FB2">
        <w:rPr>
          <w:rFonts w:eastAsia="Times New Roman" w:cs="Arial"/>
          <w:i/>
          <w:iCs/>
          <w:color w:val="000000"/>
        </w:rPr>
        <w:t xml:space="preserve"> </w:t>
      </w:r>
      <w:r w:rsidRPr="00AA1FB2">
        <w:rPr>
          <w:rFonts w:eastAsia="Times New Roman" w:cs="Arial"/>
          <w:i/>
          <w:iCs/>
          <w:color w:val="000000"/>
          <w:lang w:val="en-US"/>
        </w:rPr>
        <w:t>in</w:t>
      </w:r>
      <w:r w:rsidRPr="00AA1FB2">
        <w:rPr>
          <w:rFonts w:eastAsia="Times New Roman" w:cs="Arial"/>
          <w:i/>
          <w:iCs/>
          <w:color w:val="000000"/>
        </w:rPr>
        <w:t xml:space="preserve"> </w:t>
      </w:r>
      <w:r w:rsidRPr="00AA1FB2">
        <w:rPr>
          <w:rFonts w:eastAsia="Times New Roman" w:cs="Arial"/>
          <w:i/>
          <w:iCs/>
          <w:color w:val="000000"/>
          <w:lang w:val="en-US"/>
        </w:rPr>
        <w:t>New</w:t>
      </w:r>
      <w:r w:rsidRPr="00AA1FB2">
        <w:rPr>
          <w:rFonts w:eastAsia="Times New Roman" w:cs="Arial"/>
          <w:i/>
          <w:iCs/>
          <w:color w:val="000000"/>
        </w:rPr>
        <w:t xml:space="preserve"> </w:t>
      </w:r>
      <w:r w:rsidRPr="00AA1FB2">
        <w:rPr>
          <w:rFonts w:eastAsia="Times New Roman" w:cs="Arial"/>
          <w:i/>
          <w:iCs/>
          <w:color w:val="000000"/>
          <w:lang w:val="en-US"/>
        </w:rPr>
        <w:t>TIA</w:t>
      </w:r>
      <w:r w:rsidRPr="00AA1FB2">
        <w:rPr>
          <w:rFonts w:eastAsia="Times New Roman" w:cs="Arial"/>
          <w:i/>
          <w:iCs/>
          <w:color w:val="000000"/>
        </w:rPr>
        <w:t xml:space="preserve"> </w:t>
      </w:r>
      <w:r w:rsidRPr="00AA1FB2">
        <w:rPr>
          <w:rFonts w:eastAsia="Times New Roman" w:cs="Arial"/>
          <w:i/>
          <w:iCs/>
          <w:color w:val="000000"/>
          <w:lang w:val="en-US"/>
        </w:rPr>
        <w:t>and</w:t>
      </w:r>
      <w:r w:rsidRPr="00AA1FB2">
        <w:rPr>
          <w:rFonts w:eastAsia="Times New Roman" w:cs="Arial"/>
          <w:i/>
          <w:iCs/>
          <w:color w:val="000000"/>
        </w:rPr>
        <w:t xml:space="preserve"> </w:t>
      </w:r>
      <w:r w:rsidRPr="00AA1FB2">
        <w:rPr>
          <w:rFonts w:eastAsia="Times New Roman" w:cs="Arial"/>
          <w:i/>
          <w:iCs/>
          <w:color w:val="000000"/>
          <w:lang w:val="en-US"/>
        </w:rPr>
        <w:t>Minor</w:t>
      </w:r>
      <w:r w:rsidRPr="00AA1FB2">
        <w:rPr>
          <w:rFonts w:eastAsia="Times New Roman" w:cs="Arial"/>
          <w:i/>
          <w:iCs/>
          <w:color w:val="000000"/>
        </w:rPr>
        <w:t xml:space="preserve"> </w:t>
      </w:r>
      <w:proofErr w:type="spellStart"/>
      <w:r w:rsidRPr="00AA1FB2">
        <w:rPr>
          <w:rFonts w:eastAsia="Times New Roman" w:cs="Arial"/>
          <w:i/>
          <w:iCs/>
          <w:color w:val="000000"/>
          <w:lang w:val="en-US"/>
        </w:rPr>
        <w:t>Ischaemic</w:t>
      </w:r>
      <w:proofErr w:type="spellEnd"/>
      <w:r w:rsidRPr="00AA1FB2">
        <w:rPr>
          <w:rFonts w:eastAsia="Times New Roman" w:cs="Arial"/>
          <w:i/>
          <w:iCs/>
          <w:color w:val="000000"/>
        </w:rPr>
        <w:t xml:space="preserve"> </w:t>
      </w:r>
      <w:r w:rsidRPr="00AA1FB2">
        <w:rPr>
          <w:rFonts w:eastAsia="Times New Roman" w:cs="Arial"/>
          <w:i/>
          <w:iCs/>
          <w:color w:val="000000"/>
          <w:lang w:val="en-US"/>
        </w:rPr>
        <w:t>Stroke</w:t>
      </w:r>
      <w:r w:rsidRPr="00AA1FB2">
        <w:rPr>
          <w:rFonts w:eastAsia="Times New Roman" w:cs="Arial"/>
          <w:i/>
          <w:iCs/>
          <w:color w:val="000000"/>
        </w:rPr>
        <w:t>)</w:t>
      </w:r>
    </w:p>
    <w:p w14:paraId="24A7B89C" w14:textId="77777777"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Това рандомизирано, двойно-сляпо, многоцентрово, плацебо-контролирано клинично изпитване включва 4 881 пациенти от цял свят с остра </w:t>
      </w:r>
      <w:r w:rsidRPr="00AA1FB2">
        <w:rPr>
          <w:rFonts w:eastAsia="Times New Roman" w:cs="Arial"/>
          <w:color w:val="000000"/>
          <w:lang w:val="en-US"/>
        </w:rPr>
        <w:t>TIA</w:t>
      </w:r>
      <w:r w:rsidRPr="00AA1FB2">
        <w:rPr>
          <w:rFonts w:eastAsia="Times New Roman" w:cs="Arial"/>
          <w:color w:val="000000"/>
          <w:lang w:val="ru-RU"/>
        </w:rPr>
        <w:t xml:space="preserve"> (</w:t>
      </w:r>
      <w:r w:rsidRPr="00AA1FB2">
        <w:rPr>
          <w:rFonts w:eastAsia="Times New Roman" w:cs="Arial"/>
          <w:color w:val="000000"/>
          <w:lang w:val="en-US"/>
        </w:rPr>
        <w:t>ABCD</w:t>
      </w:r>
      <w:r w:rsidRPr="00AA1FB2">
        <w:rPr>
          <w:rFonts w:eastAsia="Times New Roman" w:cs="Arial"/>
          <w:color w:val="000000"/>
          <w:lang w:val="ru-RU"/>
        </w:rPr>
        <w:t xml:space="preserve">2 </w:t>
      </w:r>
      <w:r w:rsidRPr="00AA1FB2">
        <w:rPr>
          <w:rFonts w:eastAsia="Times New Roman" w:cs="Arial"/>
          <w:color w:val="000000"/>
          <w:lang w:eastAsia="bg-BG"/>
        </w:rPr>
        <w:t xml:space="preserve">оценка ≥4) или лек инсулт </w:t>
      </w:r>
      <w:r w:rsidRPr="00AA1FB2">
        <w:rPr>
          <w:rFonts w:eastAsia="Times New Roman" w:cs="Arial"/>
          <w:color w:val="000000"/>
          <w:lang w:val="ru-RU"/>
        </w:rPr>
        <w:t>(</w:t>
      </w:r>
      <w:r w:rsidRPr="00AA1FB2">
        <w:rPr>
          <w:rFonts w:eastAsia="Times New Roman" w:cs="Arial"/>
          <w:color w:val="000000"/>
          <w:lang w:val="en-US"/>
        </w:rPr>
        <w:t>NIHSS</w:t>
      </w:r>
      <w:r w:rsidRPr="00AA1FB2">
        <w:rPr>
          <w:rFonts w:eastAsia="Times New Roman" w:cs="Arial"/>
          <w:color w:val="000000"/>
          <w:lang w:val="ru-RU"/>
        </w:rPr>
        <w:t xml:space="preserve"> </w:t>
      </w:r>
      <w:r w:rsidRPr="00AA1FB2">
        <w:rPr>
          <w:rFonts w:eastAsia="Times New Roman" w:cs="Arial"/>
          <w:color w:val="000000"/>
          <w:lang w:eastAsia="bg-BG"/>
        </w:rPr>
        <w:t xml:space="preserve">≤3). Всички пациенти и в двете групи са получавали открито АСК от ден 1-ви до 90-ти (50-325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в зависимост от преценката на лекуващия лекар). Пациентите, разпределени на случаен принцип в групата на клопидогрел, получават натоварваща доза от 600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клопидогрел </w:t>
      </w:r>
      <w:r w:rsidRPr="00AA1FB2">
        <w:rPr>
          <w:rFonts w:eastAsia="Times New Roman" w:cs="Arial"/>
          <w:i/>
          <w:iCs/>
          <w:color w:val="000000"/>
          <w:lang w:eastAsia="bg-BG"/>
        </w:rPr>
        <w:t>на</w:t>
      </w:r>
      <w:r w:rsidRPr="00AA1FB2">
        <w:rPr>
          <w:rFonts w:eastAsia="Times New Roman" w:cs="Arial"/>
          <w:color w:val="000000"/>
          <w:lang w:eastAsia="bg-BG"/>
        </w:rPr>
        <w:t xml:space="preserve"> ден 1 -ви, последвана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клопидогрел дневно от ден 2-ри до 90-ти. Пациентите, производно разпределени в плацебо групата, получават клопидогрел плацебо от ден </w:t>
      </w:r>
      <w:r w:rsidRPr="00AA1FB2">
        <w:rPr>
          <w:rFonts w:eastAsia="Times New Roman" w:cs="Arial"/>
          <w:color w:val="000000"/>
          <w:lang w:val="en-US"/>
        </w:rPr>
        <w:t>l</w:t>
      </w:r>
      <w:r w:rsidRPr="00AA1FB2">
        <w:rPr>
          <w:rFonts w:eastAsia="Times New Roman" w:cs="Arial"/>
          <w:color w:val="000000"/>
          <w:lang w:eastAsia="bg-BG"/>
        </w:rPr>
        <w:t>-ви до 90</w:t>
      </w:r>
    </w:p>
    <w:p w14:paraId="6877F2A3" w14:textId="77777777" w:rsidR="00AA1FB2" w:rsidRPr="00AA1FB2" w:rsidRDefault="00AA1FB2" w:rsidP="00AA1FB2">
      <w:pPr>
        <w:rPr>
          <w:rFonts w:eastAsia="Times New Roman" w:cs="Arial"/>
          <w:color w:val="000000"/>
          <w:lang w:eastAsia="bg-BG"/>
        </w:rPr>
      </w:pPr>
    </w:p>
    <w:p w14:paraId="249FC1CD" w14:textId="77777777" w:rsidR="00AA1FB2" w:rsidRPr="00AA1FB2" w:rsidRDefault="00AA1FB2" w:rsidP="00AA1FB2">
      <w:pPr>
        <w:rPr>
          <w:rFonts w:eastAsia="Times New Roman" w:cs="Arial"/>
        </w:rPr>
      </w:pPr>
      <w:r w:rsidRPr="00AA1FB2">
        <w:rPr>
          <w:rFonts w:eastAsia="Times New Roman" w:cs="Arial"/>
          <w:color w:val="000000"/>
          <w:lang w:eastAsia="bg-BG"/>
        </w:rPr>
        <w:t xml:space="preserve">Първичният резултат по отношение на ефикасността е съставен от големи исхемични събития </w:t>
      </w:r>
      <w:r w:rsidRPr="00AA1FB2">
        <w:rPr>
          <w:rFonts w:eastAsia="Times New Roman" w:cs="Arial"/>
          <w:color w:val="000000"/>
          <w:lang w:val="ru-RU"/>
        </w:rPr>
        <w:t>(</w:t>
      </w:r>
      <w:r w:rsidRPr="00AA1FB2">
        <w:rPr>
          <w:rFonts w:eastAsia="Times New Roman" w:cs="Arial"/>
          <w:color w:val="000000"/>
          <w:lang w:val="en-US"/>
        </w:rPr>
        <w:t>IS</w:t>
      </w:r>
      <w:r w:rsidRPr="00AA1FB2">
        <w:rPr>
          <w:rFonts w:eastAsia="Times New Roman" w:cs="Arial"/>
          <w:color w:val="000000"/>
          <w:lang w:val="ru-RU"/>
        </w:rPr>
        <w:t xml:space="preserve">, </w:t>
      </w:r>
      <w:r w:rsidRPr="00AA1FB2">
        <w:rPr>
          <w:rFonts w:eastAsia="Times New Roman" w:cs="Arial"/>
          <w:color w:val="000000"/>
          <w:lang w:val="en-US"/>
        </w:rPr>
        <w:t>MI</w:t>
      </w:r>
      <w:r w:rsidRPr="00AA1FB2">
        <w:rPr>
          <w:rFonts w:eastAsia="Times New Roman" w:cs="Arial"/>
          <w:color w:val="000000"/>
          <w:lang w:val="ru-RU"/>
        </w:rPr>
        <w:t xml:space="preserve"> </w:t>
      </w:r>
      <w:r w:rsidRPr="00AA1FB2">
        <w:rPr>
          <w:rFonts w:eastAsia="Times New Roman" w:cs="Arial"/>
          <w:color w:val="000000"/>
          <w:lang w:eastAsia="bg-BG"/>
        </w:rPr>
        <w:t xml:space="preserve">или смърт от исхемично съдово събитие) на 90-ия ден. Това се случва при 121 пациенти (5,0%), получаващи клопидогрел плюс АСК, в сравнение със 160 пациенти (6,5%), получаващи АСК самостоятелно </w:t>
      </w:r>
      <w:r w:rsidRPr="00AA1FB2">
        <w:rPr>
          <w:rFonts w:eastAsia="Times New Roman" w:cs="Arial"/>
          <w:color w:val="000000"/>
          <w:lang w:val="ru-RU"/>
        </w:rPr>
        <w:t>(</w:t>
      </w:r>
      <w:r w:rsidRPr="00AA1FB2">
        <w:rPr>
          <w:rFonts w:eastAsia="Times New Roman" w:cs="Arial"/>
          <w:color w:val="000000"/>
          <w:lang w:val="en-US"/>
        </w:rPr>
        <w:t>HR</w:t>
      </w:r>
      <w:r w:rsidRPr="00AA1FB2">
        <w:rPr>
          <w:rFonts w:eastAsia="Times New Roman" w:cs="Arial"/>
          <w:color w:val="000000"/>
          <w:lang w:val="ru-RU"/>
        </w:rPr>
        <w:t xml:space="preserve">, </w:t>
      </w:r>
      <w:r w:rsidRPr="00AA1FB2">
        <w:rPr>
          <w:rFonts w:eastAsia="Times New Roman" w:cs="Arial"/>
          <w:color w:val="000000"/>
          <w:lang w:eastAsia="bg-BG"/>
        </w:rPr>
        <w:t xml:space="preserve">0,75;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0,59 до 0,95; р = 0,02). Вторичният резултат </w:t>
      </w:r>
      <w:r w:rsidRPr="00AA1FB2">
        <w:rPr>
          <w:rFonts w:eastAsia="Times New Roman" w:cs="Arial"/>
          <w:color w:val="000000"/>
          <w:lang w:val="en-US"/>
        </w:rPr>
        <w:t>IS</w:t>
      </w:r>
      <w:r w:rsidRPr="00AA1FB2">
        <w:rPr>
          <w:rFonts w:eastAsia="Times New Roman" w:cs="Arial"/>
          <w:color w:val="000000"/>
          <w:lang w:val="ru-RU"/>
        </w:rPr>
        <w:t xml:space="preserve"> </w:t>
      </w:r>
      <w:r w:rsidRPr="00AA1FB2">
        <w:rPr>
          <w:rFonts w:eastAsia="Times New Roman" w:cs="Arial"/>
          <w:color w:val="000000"/>
          <w:lang w:eastAsia="bg-BG"/>
        </w:rPr>
        <w:t xml:space="preserve">е настъпил при 112 пациенти (4,6%), получаващи клопидогрел плюс АСК, в сравнение със 155 пациенти (6,3%), получаващи само АСК </w:t>
      </w:r>
      <w:r w:rsidRPr="00AA1FB2">
        <w:rPr>
          <w:rFonts w:eastAsia="Times New Roman" w:cs="Arial"/>
          <w:color w:val="000000"/>
          <w:lang w:val="ru-RU"/>
        </w:rPr>
        <w:t>(</w:t>
      </w:r>
      <w:r w:rsidRPr="00AA1FB2">
        <w:rPr>
          <w:rFonts w:eastAsia="Times New Roman" w:cs="Arial"/>
          <w:color w:val="000000"/>
          <w:lang w:val="en-US"/>
        </w:rPr>
        <w:t>HR</w:t>
      </w:r>
      <w:r w:rsidRPr="00AA1FB2">
        <w:rPr>
          <w:rFonts w:eastAsia="Times New Roman" w:cs="Arial"/>
          <w:color w:val="000000"/>
          <w:lang w:val="ru-RU"/>
        </w:rPr>
        <w:t xml:space="preserve">, </w:t>
      </w:r>
      <w:r w:rsidRPr="00AA1FB2">
        <w:rPr>
          <w:rFonts w:eastAsia="Times New Roman" w:cs="Arial"/>
          <w:color w:val="000000"/>
          <w:lang w:eastAsia="bg-BG"/>
        </w:rPr>
        <w:t xml:space="preserve">0,72;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0,56 до 0,92; р = 0,01). Първичният резултат по отношение безопасност за тежък кръвоизлив е настъпил при 23 от 2 432 пациенти (0,9%), получаващи клопидогрел плюс АСК и при 10 от 2 449 пациенти (0,4%), получаващи само АСК </w:t>
      </w:r>
      <w:r w:rsidRPr="00AA1FB2">
        <w:rPr>
          <w:rFonts w:eastAsia="Times New Roman" w:cs="Arial"/>
          <w:color w:val="000000"/>
          <w:lang w:val="ru-RU"/>
        </w:rPr>
        <w:t>(</w:t>
      </w:r>
      <w:r w:rsidRPr="00AA1FB2">
        <w:rPr>
          <w:rFonts w:eastAsia="Times New Roman" w:cs="Arial"/>
          <w:color w:val="000000"/>
          <w:lang w:val="en-US"/>
        </w:rPr>
        <w:t>HR</w:t>
      </w:r>
      <w:r w:rsidRPr="00AA1FB2">
        <w:rPr>
          <w:rFonts w:eastAsia="Times New Roman" w:cs="Arial"/>
          <w:color w:val="000000"/>
          <w:lang w:val="ru-RU"/>
        </w:rPr>
        <w:t xml:space="preserve">, </w:t>
      </w:r>
      <w:r w:rsidRPr="00AA1FB2">
        <w:rPr>
          <w:rFonts w:eastAsia="Times New Roman" w:cs="Arial"/>
          <w:color w:val="000000"/>
          <w:lang w:eastAsia="bg-BG"/>
        </w:rPr>
        <w:t xml:space="preserve">2,32;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1,10 до 4,87; р = 0,02). Малък кръвоизлив се наблюдава при 40 пациенти (1,6%), получаващи клопидогрел плюс АСК и при 13 (0,5%), получаващи самостоятелно АСК </w:t>
      </w:r>
      <w:r w:rsidRPr="00AA1FB2">
        <w:rPr>
          <w:rFonts w:eastAsia="Times New Roman" w:cs="Arial"/>
          <w:color w:val="000000"/>
          <w:lang w:val="ru-RU"/>
        </w:rPr>
        <w:t>(</w:t>
      </w:r>
      <w:r w:rsidRPr="00AA1FB2">
        <w:rPr>
          <w:rFonts w:eastAsia="Times New Roman" w:cs="Arial"/>
          <w:color w:val="000000"/>
          <w:lang w:val="en-US"/>
        </w:rPr>
        <w:t>HR</w:t>
      </w:r>
      <w:r w:rsidRPr="00AA1FB2">
        <w:rPr>
          <w:rFonts w:eastAsia="Times New Roman" w:cs="Arial"/>
          <w:color w:val="000000"/>
          <w:lang w:val="ru-RU"/>
        </w:rPr>
        <w:t xml:space="preserve">, </w:t>
      </w:r>
      <w:r w:rsidRPr="00AA1FB2">
        <w:rPr>
          <w:rFonts w:eastAsia="Times New Roman" w:cs="Arial"/>
          <w:color w:val="000000"/>
          <w:lang w:eastAsia="bg-BG"/>
        </w:rPr>
        <w:t xml:space="preserve">3,12;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1,67 до 5,83; р &lt;0,001).</w:t>
      </w:r>
    </w:p>
    <w:p w14:paraId="0C2CDA5B" w14:textId="77777777" w:rsidR="00AA1FB2" w:rsidRPr="00AA1FB2" w:rsidRDefault="00AA1FB2" w:rsidP="00AA1FB2">
      <w:pPr>
        <w:spacing w:line="240" w:lineRule="auto"/>
        <w:rPr>
          <w:rFonts w:eastAsia="Times New Roman" w:cs="Arial"/>
          <w:color w:val="000000"/>
          <w:lang w:eastAsia="bg-BG"/>
        </w:rPr>
      </w:pPr>
    </w:p>
    <w:p w14:paraId="1FDA9085" w14:textId="41D464D3"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Анализ във времето на проучванията </w:t>
      </w:r>
      <w:r w:rsidRPr="00AA1FB2">
        <w:rPr>
          <w:rFonts w:eastAsia="Times New Roman" w:cs="Arial"/>
          <w:color w:val="000000"/>
          <w:lang w:val="en-US"/>
        </w:rPr>
        <w:t>CHANCE</w:t>
      </w:r>
      <w:r w:rsidRPr="00AA1FB2">
        <w:rPr>
          <w:rFonts w:eastAsia="Times New Roman" w:cs="Arial"/>
          <w:color w:val="000000"/>
          <w:lang w:val="ru-RU"/>
        </w:rPr>
        <w:t xml:space="preserve"> </w:t>
      </w:r>
      <w:r w:rsidRPr="00AA1FB2">
        <w:rPr>
          <w:rFonts w:eastAsia="Times New Roman" w:cs="Arial"/>
          <w:color w:val="000000"/>
          <w:lang w:eastAsia="bg-BG"/>
        </w:rPr>
        <w:t xml:space="preserve">и </w:t>
      </w:r>
      <w:r w:rsidRPr="00AA1FB2">
        <w:rPr>
          <w:rFonts w:eastAsia="Times New Roman" w:cs="Arial"/>
          <w:color w:val="000000"/>
          <w:lang w:val="en-US"/>
        </w:rPr>
        <w:t>POINT</w:t>
      </w:r>
    </w:p>
    <w:p w14:paraId="1EE6F6E4" w14:textId="77777777"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Няма полза по отношение на ефикасността от продължаването на </w:t>
      </w:r>
      <w:r w:rsidRPr="00AA1FB2">
        <w:rPr>
          <w:rFonts w:eastAsia="Times New Roman" w:cs="Arial"/>
          <w:color w:val="000000"/>
          <w:lang w:val="en-US"/>
        </w:rPr>
        <w:t>DAPT</w:t>
      </w:r>
      <w:r w:rsidRPr="00AA1FB2">
        <w:rPr>
          <w:rFonts w:eastAsia="Times New Roman" w:cs="Arial"/>
          <w:color w:val="000000"/>
          <w:lang w:val="ru-RU"/>
        </w:rPr>
        <w:t xml:space="preserve"> </w:t>
      </w:r>
      <w:r w:rsidRPr="00AA1FB2">
        <w:rPr>
          <w:rFonts w:eastAsia="Times New Roman" w:cs="Arial"/>
          <w:color w:val="000000"/>
          <w:lang w:eastAsia="bg-BG"/>
        </w:rPr>
        <w:t xml:space="preserve">след 21 дни. Направено е разпределение във времето на големите исхемични събития и големи кръвоизливи според назначеното лечение, за да се анализира влиянието на краткосрочния курс на </w:t>
      </w:r>
      <w:r w:rsidRPr="00AA1FB2">
        <w:rPr>
          <w:rFonts w:eastAsia="Times New Roman" w:cs="Arial"/>
          <w:color w:val="000000"/>
          <w:lang w:val="en-US"/>
        </w:rPr>
        <w:t>DAPT</w:t>
      </w:r>
      <w:r w:rsidRPr="00AA1FB2">
        <w:rPr>
          <w:rFonts w:eastAsia="Times New Roman" w:cs="Arial"/>
          <w:color w:val="000000"/>
          <w:lang w:val="ru-RU"/>
        </w:rPr>
        <w:t>.</w:t>
      </w:r>
    </w:p>
    <w:p w14:paraId="30DEA794" w14:textId="77777777" w:rsidR="00AA1FB2" w:rsidRPr="00AA1FB2" w:rsidRDefault="00AA1FB2" w:rsidP="00AA1FB2">
      <w:pPr>
        <w:spacing w:line="240" w:lineRule="auto"/>
        <w:rPr>
          <w:rFonts w:eastAsia="Times New Roman" w:cs="Arial"/>
          <w:b/>
          <w:bCs/>
          <w:color w:val="000000"/>
          <w:lang w:eastAsia="bg-BG"/>
        </w:rPr>
      </w:pPr>
    </w:p>
    <w:p w14:paraId="1D9A41A0" w14:textId="44027B82" w:rsidR="00AA1FB2" w:rsidRPr="00F962F6" w:rsidRDefault="00AA1FB2" w:rsidP="00AA1FB2">
      <w:pPr>
        <w:spacing w:line="240" w:lineRule="auto"/>
        <w:jc w:val="center"/>
        <w:rPr>
          <w:rFonts w:eastAsia="Times New Roman" w:cs="Arial"/>
          <w:b/>
          <w:bCs/>
          <w:color w:val="000000"/>
          <w:lang w:val="ru-RU"/>
        </w:rPr>
      </w:pPr>
      <w:r w:rsidRPr="00AA1FB2">
        <w:rPr>
          <w:rFonts w:eastAsia="Times New Roman" w:cs="Arial"/>
          <w:b/>
          <w:bCs/>
          <w:color w:val="000000"/>
          <w:lang w:eastAsia="bg-BG"/>
        </w:rPr>
        <w:t xml:space="preserve">Таблица 1. Разпределение по време на големи исхемични събития и големи кръвоизливи при назначено лечение в </w:t>
      </w:r>
      <w:r w:rsidRPr="00AA1FB2">
        <w:rPr>
          <w:rFonts w:eastAsia="Times New Roman" w:cs="Arial"/>
          <w:b/>
          <w:bCs/>
          <w:color w:val="000000"/>
          <w:lang w:val="en-US"/>
        </w:rPr>
        <w:t>CHANCE</w:t>
      </w:r>
      <w:r w:rsidRPr="00AA1FB2">
        <w:rPr>
          <w:rFonts w:eastAsia="Times New Roman" w:cs="Arial"/>
          <w:b/>
          <w:bCs/>
          <w:color w:val="000000"/>
          <w:lang w:val="ru-RU"/>
        </w:rPr>
        <w:t xml:space="preserve"> </w:t>
      </w:r>
      <w:r w:rsidRPr="00AA1FB2">
        <w:rPr>
          <w:rFonts w:eastAsia="Times New Roman" w:cs="Arial"/>
          <w:b/>
          <w:bCs/>
          <w:color w:val="000000"/>
          <w:lang w:eastAsia="bg-BG"/>
        </w:rPr>
        <w:t xml:space="preserve">и </w:t>
      </w:r>
      <w:r w:rsidRPr="00AA1FB2">
        <w:rPr>
          <w:rFonts w:eastAsia="Times New Roman" w:cs="Arial"/>
          <w:b/>
          <w:bCs/>
          <w:color w:val="000000"/>
          <w:lang w:val="en-US"/>
        </w:rPr>
        <w:t>POINT</w:t>
      </w:r>
    </w:p>
    <w:tbl>
      <w:tblPr>
        <w:tblStyle w:val="TableGrid"/>
        <w:tblW w:w="0" w:type="auto"/>
        <w:tblLook w:val="04A0" w:firstRow="1" w:lastRow="0" w:firstColumn="1" w:lastColumn="0" w:noHBand="0" w:noVBand="1"/>
      </w:tblPr>
      <w:tblGrid>
        <w:gridCol w:w="1516"/>
        <w:gridCol w:w="2320"/>
        <w:gridCol w:w="978"/>
        <w:gridCol w:w="1521"/>
        <w:gridCol w:w="1521"/>
        <w:gridCol w:w="1494"/>
      </w:tblGrid>
      <w:tr w:rsidR="00AA1FB2" w14:paraId="255EA82C" w14:textId="77777777" w:rsidTr="006F01EB">
        <w:tc>
          <w:tcPr>
            <w:tcW w:w="9576" w:type="dxa"/>
            <w:gridSpan w:val="6"/>
          </w:tcPr>
          <w:p w14:paraId="17369E2B" w14:textId="5234A11D" w:rsidR="00AA1FB2" w:rsidRDefault="00AA1FB2" w:rsidP="00AA1FB2">
            <w:pPr>
              <w:spacing w:line="240" w:lineRule="auto"/>
              <w:jc w:val="center"/>
              <w:rPr>
                <w:rFonts w:eastAsia="Times New Roman" w:cs="Arial"/>
              </w:rPr>
            </w:pPr>
            <w:r>
              <w:lastRenderedPageBreak/>
              <w:t>Брой събития</w:t>
            </w:r>
          </w:p>
        </w:tc>
      </w:tr>
      <w:tr w:rsidR="00AA1FB2" w14:paraId="68E6235D" w14:textId="77777777" w:rsidTr="00AA1FB2">
        <w:tc>
          <w:tcPr>
            <w:tcW w:w="1526" w:type="dxa"/>
          </w:tcPr>
          <w:p w14:paraId="3B665D93" w14:textId="7FC3DC83" w:rsidR="00AA1FB2" w:rsidRDefault="00AA1FB2" w:rsidP="00AA1FB2">
            <w:pPr>
              <w:spacing w:line="240" w:lineRule="auto"/>
              <w:rPr>
                <w:rFonts w:eastAsia="Times New Roman" w:cs="Arial"/>
              </w:rPr>
            </w:pPr>
            <w:r>
              <w:t xml:space="preserve">Резултати от </w:t>
            </w:r>
            <w:r>
              <w:rPr>
                <w:lang w:val="en-US"/>
              </w:rPr>
              <w:t>CHANCE</w:t>
            </w:r>
            <w:r w:rsidRPr="00AA1FB2">
              <w:rPr>
                <w:lang w:val="ru-RU"/>
              </w:rPr>
              <w:t xml:space="preserve"> </w:t>
            </w:r>
            <w:r>
              <w:t xml:space="preserve">и </w:t>
            </w:r>
            <w:r>
              <w:rPr>
                <w:lang w:val="en-US"/>
              </w:rPr>
              <w:t>POINT</w:t>
            </w:r>
          </w:p>
        </w:tc>
        <w:tc>
          <w:tcPr>
            <w:tcW w:w="2410" w:type="dxa"/>
          </w:tcPr>
          <w:p w14:paraId="6120B614" w14:textId="17EF8900" w:rsidR="00AA1FB2" w:rsidRDefault="00AA1FB2" w:rsidP="00AA1FB2">
            <w:pPr>
              <w:spacing w:line="240" w:lineRule="auto"/>
              <w:rPr>
                <w:rFonts w:eastAsia="Times New Roman" w:cs="Arial"/>
              </w:rPr>
            </w:pPr>
            <w:r>
              <w:t>Назначено на лечение</w:t>
            </w:r>
          </w:p>
        </w:tc>
        <w:tc>
          <w:tcPr>
            <w:tcW w:w="992" w:type="dxa"/>
          </w:tcPr>
          <w:p w14:paraId="3EF609C3" w14:textId="5B677EC5" w:rsidR="00AA1FB2" w:rsidRDefault="00AA1FB2" w:rsidP="00AA1FB2">
            <w:pPr>
              <w:spacing w:line="240" w:lineRule="auto"/>
              <w:rPr>
                <w:rFonts w:eastAsia="Times New Roman" w:cs="Arial"/>
              </w:rPr>
            </w:pPr>
            <w:r>
              <w:t>Общо</w:t>
            </w:r>
          </w:p>
        </w:tc>
        <w:tc>
          <w:tcPr>
            <w:tcW w:w="1559" w:type="dxa"/>
          </w:tcPr>
          <w:p w14:paraId="7FE15846" w14:textId="2C772721" w:rsidR="00AA1FB2" w:rsidRDefault="00AA1FB2" w:rsidP="00AA1FB2">
            <w:pPr>
              <w:spacing w:line="240" w:lineRule="auto"/>
              <w:rPr>
                <w:rFonts w:eastAsia="Times New Roman" w:cs="Arial"/>
              </w:rPr>
            </w:pPr>
            <w:r>
              <w:t>1</w:t>
            </w:r>
            <w:r>
              <w:rPr>
                <w:vertAlign w:val="superscript"/>
              </w:rPr>
              <w:t>-ва</w:t>
            </w:r>
            <w:r>
              <w:t xml:space="preserve"> седмица</w:t>
            </w:r>
          </w:p>
        </w:tc>
        <w:tc>
          <w:tcPr>
            <w:tcW w:w="1559" w:type="dxa"/>
          </w:tcPr>
          <w:p w14:paraId="03047EDA" w14:textId="7224F57A" w:rsidR="00AA1FB2" w:rsidRDefault="00AA1FB2" w:rsidP="00AA1FB2">
            <w:pPr>
              <w:spacing w:line="240" w:lineRule="auto"/>
              <w:rPr>
                <w:rFonts w:eastAsia="Times New Roman" w:cs="Arial"/>
              </w:rPr>
            </w:pPr>
            <w:r>
              <w:t>2</w:t>
            </w:r>
            <w:r>
              <w:rPr>
                <w:vertAlign w:val="superscript"/>
              </w:rPr>
              <w:t>-ра</w:t>
            </w:r>
            <w:r>
              <w:t xml:space="preserve"> седмица</w:t>
            </w:r>
          </w:p>
        </w:tc>
        <w:tc>
          <w:tcPr>
            <w:tcW w:w="1530" w:type="dxa"/>
          </w:tcPr>
          <w:p w14:paraId="5E8329C4" w14:textId="0EEA3705" w:rsidR="00AA1FB2" w:rsidRDefault="00AA1FB2" w:rsidP="00AA1FB2">
            <w:pPr>
              <w:spacing w:line="240" w:lineRule="auto"/>
              <w:rPr>
                <w:rFonts w:eastAsia="Times New Roman" w:cs="Arial"/>
              </w:rPr>
            </w:pPr>
            <w:r>
              <w:t>З</w:t>
            </w:r>
            <w:r>
              <w:rPr>
                <w:vertAlign w:val="superscript"/>
              </w:rPr>
              <w:t>-та</w:t>
            </w:r>
            <w:r>
              <w:t xml:space="preserve"> седмица</w:t>
            </w:r>
          </w:p>
        </w:tc>
      </w:tr>
      <w:tr w:rsidR="00AA1FB2" w14:paraId="2BD16E45" w14:textId="77777777" w:rsidTr="00AA1FB2">
        <w:tc>
          <w:tcPr>
            <w:tcW w:w="1526" w:type="dxa"/>
            <w:vMerge w:val="restart"/>
          </w:tcPr>
          <w:p w14:paraId="5FE78B7D" w14:textId="4A4D6B4B" w:rsidR="00AA1FB2" w:rsidRDefault="00AA1FB2" w:rsidP="00AA1FB2">
            <w:pPr>
              <w:spacing w:line="240" w:lineRule="auto"/>
              <w:rPr>
                <w:rFonts w:eastAsia="Times New Roman" w:cs="Arial"/>
              </w:rPr>
            </w:pPr>
            <w:r>
              <w:t>Големи исхемични събития</w:t>
            </w:r>
          </w:p>
        </w:tc>
        <w:tc>
          <w:tcPr>
            <w:tcW w:w="2410" w:type="dxa"/>
          </w:tcPr>
          <w:p w14:paraId="50DF190B" w14:textId="171A0A18" w:rsidR="00AA1FB2" w:rsidRDefault="00AA1FB2" w:rsidP="00AA1FB2">
            <w:pPr>
              <w:spacing w:line="240" w:lineRule="auto"/>
              <w:rPr>
                <w:rFonts w:eastAsia="Times New Roman" w:cs="Arial"/>
              </w:rPr>
            </w:pPr>
            <w:r>
              <w:t>АСК (</w:t>
            </w:r>
            <w:r>
              <w:rPr>
                <w:lang w:val="en-US"/>
              </w:rPr>
              <w:t>n=</w:t>
            </w:r>
            <w:r>
              <w:t xml:space="preserve"> 5 035)</w:t>
            </w:r>
          </w:p>
        </w:tc>
        <w:tc>
          <w:tcPr>
            <w:tcW w:w="992" w:type="dxa"/>
          </w:tcPr>
          <w:p w14:paraId="19D0A4A6" w14:textId="5D01F922" w:rsidR="00AA1FB2" w:rsidRDefault="00AA1FB2" w:rsidP="00AA1FB2">
            <w:pPr>
              <w:spacing w:line="240" w:lineRule="auto"/>
              <w:rPr>
                <w:rFonts w:eastAsia="Times New Roman" w:cs="Arial"/>
              </w:rPr>
            </w:pPr>
            <w:r>
              <w:t>458</w:t>
            </w:r>
          </w:p>
        </w:tc>
        <w:tc>
          <w:tcPr>
            <w:tcW w:w="1559" w:type="dxa"/>
          </w:tcPr>
          <w:p w14:paraId="74492C20" w14:textId="2FBF72F5" w:rsidR="00AA1FB2" w:rsidRDefault="00AA1FB2" w:rsidP="00AA1FB2">
            <w:pPr>
              <w:spacing w:line="240" w:lineRule="auto"/>
              <w:rPr>
                <w:rFonts w:eastAsia="Times New Roman" w:cs="Arial"/>
              </w:rPr>
            </w:pPr>
            <w:r>
              <w:t>330</w:t>
            </w:r>
          </w:p>
        </w:tc>
        <w:tc>
          <w:tcPr>
            <w:tcW w:w="1559" w:type="dxa"/>
          </w:tcPr>
          <w:p w14:paraId="362EADD4" w14:textId="5EA9E02B" w:rsidR="00AA1FB2" w:rsidRDefault="00AA1FB2" w:rsidP="00AA1FB2">
            <w:pPr>
              <w:spacing w:line="240" w:lineRule="auto"/>
              <w:rPr>
                <w:rFonts w:eastAsia="Times New Roman" w:cs="Arial"/>
              </w:rPr>
            </w:pPr>
            <w:r>
              <w:t>36</w:t>
            </w:r>
          </w:p>
        </w:tc>
        <w:tc>
          <w:tcPr>
            <w:tcW w:w="1530" w:type="dxa"/>
          </w:tcPr>
          <w:p w14:paraId="37CF6E90" w14:textId="3609B02E" w:rsidR="00AA1FB2" w:rsidRDefault="00AA1FB2" w:rsidP="00AA1FB2">
            <w:pPr>
              <w:spacing w:line="240" w:lineRule="auto"/>
              <w:rPr>
                <w:rFonts w:eastAsia="Times New Roman" w:cs="Arial"/>
              </w:rPr>
            </w:pPr>
            <w:r>
              <w:t>21</w:t>
            </w:r>
          </w:p>
        </w:tc>
      </w:tr>
      <w:tr w:rsidR="00AA1FB2" w14:paraId="7B15EE6C" w14:textId="77777777" w:rsidTr="00AA1FB2">
        <w:tc>
          <w:tcPr>
            <w:tcW w:w="1526" w:type="dxa"/>
            <w:vMerge/>
          </w:tcPr>
          <w:p w14:paraId="1C800C62" w14:textId="77777777" w:rsidR="00AA1FB2" w:rsidRDefault="00AA1FB2" w:rsidP="00AA1FB2">
            <w:pPr>
              <w:spacing w:line="240" w:lineRule="auto"/>
              <w:rPr>
                <w:rFonts w:eastAsia="Times New Roman" w:cs="Arial"/>
              </w:rPr>
            </w:pPr>
          </w:p>
        </w:tc>
        <w:tc>
          <w:tcPr>
            <w:tcW w:w="2410" w:type="dxa"/>
          </w:tcPr>
          <w:p w14:paraId="7767D1BB" w14:textId="2CB8B765" w:rsidR="00AA1FB2" w:rsidRDefault="00AA1FB2" w:rsidP="00AA1FB2">
            <w:pPr>
              <w:spacing w:line="240" w:lineRule="auto"/>
              <w:rPr>
                <w:rFonts w:eastAsia="Times New Roman" w:cs="Arial"/>
              </w:rPr>
            </w:pPr>
            <w:r>
              <w:rPr>
                <w:lang w:val="en-US"/>
              </w:rPr>
              <w:t xml:space="preserve">CLP </w:t>
            </w:r>
            <w:r>
              <w:t>+ АСК (</w:t>
            </w:r>
            <w:r>
              <w:rPr>
                <w:lang w:val="en-US"/>
              </w:rPr>
              <w:t>n</w:t>
            </w:r>
            <w:r>
              <w:t xml:space="preserve"> = 5 016)</w:t>
            </w:r>
          </w:p>
        </w:tc>
        <w:tc>
          <w:tcPr>
            <w:tcW w:w="992" w:type="dxa"/>
          </w:tcPr>
          <w:p w14:paraId="64E5F3BC" w14:textId="456059A2" w:rsidR="00AA1FB2" w:rsidRDefault="00AA1FB2" w:rsidP="00AA1FB2">
            <w:pPr>
              <w:spacing w:line="240" w:lineRule="auto"/>
              <w:rPr>
                <w:rFonts w:eastAsia="Times New Roman" w:cs="Arial"/>
              </w:rPr>
            </w:pPr>
            <w:r>
              <w:t>328</w:t>
            </w:r>
          </w:p>
        </w:tc>
        <w:tc>
          <w:tcPr>
            <w:tcW w:w="1559" w:type="dxa"/>
          </w:tcPr>
          <w:p w14:paraId="64C4566D" w14:textId="1C5B81AE" w:rsidR="00AA1FB2" w:rsidRDefault="00AA1FB2" w:rsidP="00AA1FB2">
            <w:pPr>
              <w:spacing w:line="240" w:lineRule="auto"/>
              <w:rPr>
                <w:rFonts w:eastAsia="Times New Roman" w:cs="Arial"/>
              </w:rPr>
            </w:pPr>
            <w:r>
              <w:t>217</w:t>
            </w:r>
          </w:p>
        </w:tc>
        <w:tc>
          <w:tcPr>
            <w:tcW w:w="1559" w:type="dxa"/>
          </w:tcPr>
          <w:p w14:paraId="5B347959" w14:textId="7D8AC447" w:rsidR="00AA1FB2" w:rsidRDefault="00AA1FB2" w:rsidP="00AA1FB2">
            <w:pPr>
              <w:spacing w:line="240" w:lineRule="auto"/>
              <w:rPr>
                <w:rFonts w:eastAsia="Times New Roman" w:cs="Arial"/>
              </w:rPr>
            </w:pPr>
            <w:r>
              <w:t>30</w:t>
            </w:r>
          </w:p>
        </w:tc>
        <w:tc>
          <w:tcPr>
            <w:tcW w:w="1530" w:type="dxa"/>
          </w:tcPr>
          <w:p w14:paraId="07203ECD" w14:textId="4F98D05A" w:rsidR="00AA1FB2" w:rsidRDefault="00AA1FB2" w:rsidP="00AA1FB2">
            <w:pPr>
              <w:spacing w:line="240" w:lineRule="auto"/>
              <w:rPr>
                <w:rFonts w:eastAsia="Times New Roman" w:cs="Arial"/>
              </w:rPr>
            </w:pPr>
            <w:r>
              <w:t>14</w:t>
            </w:r>
          </w:p>
        </w:tc>
      </w:tr>
      <w:tr w:rsidR="00AA1FB2" w14:paraId="1D6C86DD" w14:textId="77777777" w:rsidTr="00AA1FB2">
        <w:tc>
          <w:tcPr>
            <w:tcW w:w="1526" w:type="dxa"/>
            <w:vMerge/>
          </w:tcPr>
          <w:p w14:paraId="1368AF08" w14:textId="77777777" w:rsidR="00AA1FB2" w:rsidRDefault="00AA1FB2" w:rsidP="00AA1FB2">
            <w:pPr>
              <w:spacing w:line="240" w:lineRule="auto"/>
              <w:rPr>
                <w:rFonts w:eastAsia="Times New Roman" w:cs="Arial"/>
              </w:rPr>
            </w:pPr>
          </w:p>
        </w:tc>
        <w:tc>
          <w:tcPr>
            <w:tcW w:w="2410" w:type="dxa"/>
          </w:tcPr>
          <w:p w14:paraId="320F7AE2" w14:textId="347DF093" w:rsidR="00AA1FB2" w:rsidRDefault="00AA1FB2" w:rsidP="00AA1FB2">
            <w:pPr>
              <w:spacing w:line="240" w:lineRule="auto"/>
              <w:rPr>
                <w:rFonts w:eastAsia="Times New Roman" w:cs="Arial"/>
              </w:rPr>
            </w:pPr>
            <w:r>
              <w:t>Разлика</w:t>
            </w:r>
          </w:p>
        </w:tc>
        <w:tc>
          <w:tcPr>
            <w:tcW w:w="992" w:type="dxa"/>
          </w:tcPr>
          <w:p w14:paraId="16E9F3B1" w14:textId="5E83161C" w:rsidR="00AA1FB2" w:rsidRDefault="00AA1FB2" w:rsidP="00AA1FB2">
            <w:pPr>
              <w:spacing w:line="240" w:lineRule="auto"/>
              <w:rPr>
                <w:rFonts w:eastAsia="Times New Roman" w:cs="Arial"/>
              </w:rPr>
            </w:pPr>
            <w:r>
              <w:t>130</w:t>
            </w:r>
          </w:p>
        </w:tc>
        <w:tc>
          <w:tcPr>
            <w:tcW w:w="1559" w:type="dxa"/>
          </w:tcPr>
          <w:p w14:paraId="28367AA2" w14:textId="65F420C9" w:rsidR="00AA1FB2" w:rsidRDefault="00AA1FB2" w:rsidP="00AA1FB2">
            <w:pPr>
              <w:spacing w:line="240" w:lineRule="auto"/>
              <w:rPr>
                <w:rFonts w:eastAsia="Times New Roman" w:cs="Arial"/>
              </w:rPr>
            </w:pPr>
            <w:r>
              <w:t>113</w:t>
            </w:r>
          </w:p>
        </w:tc>
        <w:tc>
          <w:tcPr>
            <w:tcW w:w="1559" w:type="dxa"/>
          </w:tcPr>
          <w:p w14:paraId="4D0B6E92" w14:textId="619ABF72" w:rsidR="00AA1FB2" w:rsidRDefault="00AA1FB2" w:rsidP="00AA1FB2">
            <w:pPr>
              <w:spacing w:line="240" w:lineRule="auto"/>
              <w:rPr>
                <w:rFonts w:eastAsia="Times New Roman" w:cs="Arial"/>
              </w:rPr>
            </w:pPr>
            <w:r>
              <w:t>6</w:t>
            </w:r>
          </w:p>
        </w:tc>
        <w:tc>
          <w:tcPr>
            <w:tcW w:w="1530" w:type="dxa"/>
          </w:tcPr>
          <w:p w14:paraId="4A9DA916" w14:textId="08AF5EFF" w:rsidR="00AA1FB2" w:rsidRDefault="00AA1FB2" w:rsidP="00AA1FB2">
            <w:pPr>
              <w:spacing w:line="240" w:lineRule="auto"/>
              <w:rPr>
                <w:rFonts w:eastAsia="Times New Roman" w:cs="Arial"/>
              </w:rPr>
            </w:pPr>
            <w:r>
              <w:t>7</w:t>
            </w:r>
          </w:p>
        </w:tc>
      </w:tr>
      <w:tr w:rsidR="00AA1FB2" w14:paraId="3183390C" w14:textId="77777777" w:rsidTr="00AA1FB2">
        <w:tc>
          <w:tcPr>
            <w:tcW w:w="1526" w:type="dxa"/>
            <w:vMerge w:val="restart"/>
          </w:tcPr>
          <w:p w14:paraId="677E85E7" w14:textId="4ADC034D" w:rsidR="00AA1FB2" w:rsidRDefault="00AA1FB2" w:rsidP="00AA1FB2">
            <w:pPr>
              <w:spacing w:line="240" w:lineRule="auto"/>
              <w:rPr>
                <w:rFonts w:eastAsia="Times New Roman" w:cs="Arial"/>
              </w:rPr>
            </w:pPr>
            <w:r>
              <w:t>Голям кръвоизлив</w:t>
            </w:r>
          </w:p>
        </w:tc>
        <w:tc>
          <w:tcPr>
            <w:tcW w:w="2410" w:type="dxa"/>
          </w:tcPr>
          <w:p w14:paraId="7BE3E2E7" w14:textId="75777052" w:rsidR="00AA1FB2" w:rsidRDefault="00AA1FB2" w:rsidP="00AA1FB2">
            <w:pPr>
              <w:spacing w:line="240" w:lineRule="auto"/>
              <w:rPr>
                <w:rFonts w:eastAsia="Times New Roman" w:cs="Arial"/>
              </w:rPr>
            </w:pPr>
            <w:r>
              <w:t>АСК (п-5 035)</w:t>
            </w:r>
          </w:p>
        </w:tc>
        <w:tc>
          <w:tcPr>
            <w:tcW w:w="992" w:type="dxa"/>
          </w:tcPr>
          <w:p w14:paraId="7084BF03" w14:textId="021CE158" w:rsidR="00AA1FB2" w:rsidRDefault="00AA1FB2" w:rsidP="00AA1FB2">
            <w:pPr>
              <w:spacing w:line="240" w:lineRule="auto"/>
              <w:rPr>
                <w:rFonts w:eastAsia="Times New Roman" w:cs="Arial"/>
              </w:rPr>
            </w:pPr>
            <w:r>
              <w:t>18</w:t>
            </w:r>
          </w:p>
        </w:tc>
        <w:tc>
          <w:tcPr>
            <w:tcW w:w="1559" w:type="dxa"/>
          </w:tcPr>
          <w:p w14:paraId="2FA0C31D" w14:textId="28FDA1A5" w:rsidR="00AA1FB2" w:rsidRDefault="00AA1FB2" w:rsidP="00AA1FB2">
            <w:pPr>
              <w:spacing w:line="240" w:lineRule="auto"/>
              <w:rPr>
                <w:rFonts w:eastAsia="Times New Roman" w:cs="Arial"/>
              </w:rPr>
            </w:pPr>
            <w:r>
              <w:t>4</w:t>
            </w:r>
          </w:p>
        </w:tc>
        <w:tc>
          <w:tcPr>
            <w:tcW w:w="1559" w:type="dxa"/>
          </w:tcPr>
          <w:p w14:paraId="4569EE1A" w14:textId="252F0505" w:rsidR="00AA1FB2" w:rsidRDefault="00AA1FB2" w:rsidP="00AA1FB2">
            <w:pPr>
              <w:spacing w:line="240" w:lineRule="auto"/>
              <w:rPr>
                <w:rFonts w:eastAsia="Times New Roman" w:cs="Arial"/>
              </w:rPr>
            </w:pPr>
            <w:r>
              <w:t>2</w:t>
            </w:r>
          </w:p>
        </w:tc>
        <w:tc>
          <w:tcPr>
            <w:tcW w:w="1530" w:type="dxa"/>
          </w:tcPr>
          <w:p w14:paraId="0BE028A0" w14:textId="17E065A3" w:rsidR="00AA1FB2" w:rsidRDefault="00AA1FB2" w:rsidP="00AA1FB2">
            <w:pPr>
              <w:spacing w:line="240" w:lineRule="auto"/>
              <w:rPr>
                <w:rFonts w:eastAsia="Times New Roman" w:cs="Arial"/>
              </w:rPr>
            </w:pPr>
            <w:r>
              <w:t>1</w:t>
            </w:r>
          </w:p>
        </w:tc>
      </w:tr>
      <w:tr w:rsidR="00AA1FB2" w14:paraId="5B0F2B80" w14:textId="77777777" w:rsidTr="00AA1FB2">
        <w:tc>
          <w:tcPr>
            <w:tcW w:w="1526" w:type="dxa"/>
            <w:vMerge/>
          </w:tcPr>
          <w:p w14:paraId="123060AC" w14:textId="77777777" w:rsidR="00AA1FB2" w:rsidRDefault="00AA1FB2" w:rsidP="00AA1FB2">
            <w:pPr>
              <w:spacing w:line="240" w:lineRule="auto"/>
              <w:rPr>
                <w:rFonts w:eastAsia="Times New Roman" w:cs="Arial"/>
              </w:rPr>
            </w:pPr>
          </w:p>
        </w:tc>
        <w:tc>
          <w:tcPr>
            <w:tcW w:w="2410" w:type="dxa"/>
          </w:tcPr>
          <w:p w14:paraId="64F95BC2" w14:textId="16A7E95F" w:rsidR="00AA1FB2" w:rsidRDefault="00AA1FB2" w:rsidP="00AA1FB2">
            <w:pPr>
              <w:spacing w:line="240" w:lineRule="auto"/>
              <w:rPr>
                <w:rFonts w:eastAsia="Times New Roman" w:cs="Arial"/>
              </w:rPr>
            </w:pPr>
            <w:r>
              <w:rPr>
                <w:lang w:val="en-US"/>
              </w:rPr>
              <w:t xml:space="preserve">CLP </w:t>
            </w:r>
            <w:r>
              <w:t>+ АСК (</w:t>
            </w:r>
            <w:r>
              <w:rPr>
                <w:lang w:val="en-US"/>
              </w:rPr>
              <w:t>n</w:t>
            </w:r>
            <w:r>
              <w:t>=5 016)</w:t>
            </w:r>
          </w:p>
        </w:tc>
        <w:tc>
          <w:tcPr>
            <w:tcW w:w="992" w:type="dxa"/>
          </w:tcPr>
          <w:p w14:paraId="4D4200EF" w14:textId="42B09C1B" w:rsidR="00AA1FB2" w:rsidRDefault="00AA1FB2" w:rsidP="00AA1FB2">
            <w:pPr>
              <w:spacing w:line="240" w:lineRule="auto"/>
              <w:rPr>
                <w:rFonts w:eastAsia="Times New Roman" w:cs="Arial"/>
              </w:rPr>
            </w:pPr>
            <w:r>
              <w:t>30</w:t>
            </w:r>
          </w:p>
        </w:tc>
        <w:tc>
          <w:tcPr>
            <w:tcW w:w="1559" w:type="dxa"/>
          </w:tcPr>
          <w:p w14:paraId="782ABA65" w14:textId="0C61934D" w:rsidR="00AA1FB2" w:rsidRDefault="00AA1FB2" w:rsidP="00AA1FB2">
            <w:pPr>
              <w:spacing w:line="240" w:lineRule="auto"/>
              <w:rPr>
                <w:rFonts w:eastAsia="Times New Roman" w:cs="Arial"/>
              </w:rPr>
            </w:pPr>
            <w:r>
              <w:t>10</w:t>
            </w:r>
          </w:p>
        </w:tc>
        <w:tc>
          <w:tcPr>
            <w:tcW w:w="1559" w:type="dxa"/>
          </w:tcPr>
          <w:p w14:paraId="1A3DB246" w14:textId="165C9C22" w:rsidR="00AA1FB2" w:rsidRDefault="00AA1FB2" w:rsidP="00AA1FB2">
            <w:pPr>
              <w:spacing w:line="240" w:lineRule="auto"/>
              <w:rPr>
                <w:rFonts w:eastAsia="Times New Roman" w:cs="Arial"/>
              </w:rPr>
            </w:pPr>
            <w:r>
              <w:t>4</w:t>
            </w:r>
          </w:p>
        </w:tc>
        <w:tc>
          <w:tcPr>
            <w:tcW w:w="1530" w:type="dxa"/>
          </w:tcPr>
          <w:p w14:paraId="4BECEB64" w14:textId="79DE8FCD" w:rsidR="00AA1FB2" w:rsidRDefault="00AA1FB2" w:rsidP="00AA1FB2">
            <w:pPr>
              <w:spacing w:line="240" w:lineRule="auto"/>
              <w:rPr>
                <w:rFonts w:eastAsia="Times New Roman" w:cs="Arial"/>
              </w:rPr>
            </w:pPr>
            <w:r>
              <w:t>2</w:t>
            </w:r>
          </w:p>
        </w:tc>
      </w:tr>
      <w:tr w:rsidR="00AA1FB2" w14:paraId="2C7E130F" w14:textId="77777777" w:rsidTr="00AA1FB2">
        <w:tc>
          <w:tcPr>
            <w:tcW w:w="1526" w:type="dxa"/>
            <w:vMerge/>
          </w:tcPr>
          <w:p w14:paraId="7004B4F9" w14:textId="77777777" w:rsidR="00AA1FB2" w:rsidRDefault="00AA1FB2" w:rsidP="00AA1FB2">
            <w:pPr>
              <w:spacing w:line="240" w:lineRule="auto"/>
              <w:rPr>
                <w:rFonts w:eastAsia="Times New Roman" w:cs="Arial"/>
              </w:rPr>
            </w:pPr>
          </w:p>
        </w:tc>
        <w:tc>
          <w:tcPr>
            <w:tcW w:w="2410" w:type="dxa"/>
          </w:tcPr>
          <w:p w14:paraId="7F9FAEBD" w14:textId="6A3FA84D" w:rsidR="00AA1FB2" w:rsidRDefault="00AA1FB2" w:rsidP="00AA1FB2">
            <w:pPr>
              <w:spacing w:line="240" w:lineRule="auto"/>
              <w:rPr>
                <w:rFonts w:eastAsia="Times New Roman" w:cs="Arial"/>
              </w:rPr>
            </w:pPr>
            <w:r>
              <w:t>Разлика</w:t>
            </w:r>
          </w:p>
        </w:tc>
        <w:tc>
          <w:tcPr>
            <w:tcW w:w="992" w:type="dxa"/>
          </w:tcPr>
          <w:p w14:paraId="2BFF7349" w14:textId="2728837E" w:rsidR="00AA1FB2" w:rsidRDefault="00AA1FB2" w:rsidP="00AA1FB2">
            <w:pPr>
              <w:spacing w:line="240" w:lineRule="auto"/>
              <w:rPr>
                <w:rFonts w:eastAsia="Times New Roman" w:cs="Arial"/>
              </w:rPr>
            </w:pPr>
            <w:r>
              <w:t>-12</w:t>
            </w:r>
          </w:p>
        </w:tc>
        <w:tc>
          <w:tcPr>
            <w:tcW w:w="1559" w:type="dxa"/>
          </w:tcPr>
          <w:p w14:paraId="01F67D48" w14:textId="5849335E" w:rsidR="00AA1FB2" w:rsidRDefault="00AA1FB2" w:rsidP="00AA1FB2">
            <w:pPr>
              <w:spacing w:line="240" w:lineRule="auto"/>
              <w:rPr>
                <w:rFonts w:eastAsia="Times New Roman" w:cs="Arial"/>
              </w:rPr>
            </w:pPr>
            <w:r>
              <w:t>-6</w:t>
            </w:r>
          </w:p>
        </w:tc>
        <w:tc>
          <w:tcPr>
            <w:tcW w:w="1559" w:type="dxa"/>
          </w:tcPr>
          <w:p w14:paraId="6830EAC0" w14:textId="0B4478A4" w:rsidR="00AA1FB2" w:rsidRDefault="00AA1FB2" w:rsidP="00AA1FB2">
            <w:pPr>
              <w:spacing w:line="240" w:lineRule="auto"/>
              <w:rPr>
                <w:rFonts w:eastAsia="Times New Roman" w:cs="Arial"/>
              </w:rPr>
            </w:pPr>
            <w:r>
              <w:t>-2</w:t>
            </w:r>
          </w:p>
        </w:tc>
        <w:tc>
          <w:tcPr>
            <w:tcW w:w="1530" w:type="dxa"/>
          </w:tcPr>
          <w:p w14:paraId="37AABF6A" w14:textId="5CD4D6BC" w:rsidR="00AA1FB2" w:rsidRDefault="00AA1FB2" w:rsidP="00AA1FB2">
            <w:pPr>
              <w:spacing w:line="240" w:lineRule="auto"/>
              <w:rPr>
                <w:rFonts w:eastAsia="Times New Roman" w:cs="Arial"/>
              </w:rPr>
            </w:pPr>
            <w:r>
              <w:t>-1</w:t>
            </w:r>
          </w:p>
        </w:tc>
      </w:tr>
    </w:tbl>
    <w:p w14:paraId="2E48F767" w14:textId="1F6D681B" w:rsidR="00AA1FB2" w:rsidRDefault="00AA1FB2" w:rsidP="00AA1FB2">
      <w:pPr>
        <w:spacing w:line="240" w:lineRule="auto"/>
        <w:rPr>
          <w:rFonts w:eastAsia="Times New Roman" w:cs="Arial"/>
        </w:rPr>
      </w:pPr>
    </w:p>
    <w:p w14:paraId="68BCE80B" w14:textId="77777777" w:rsidR="00AA1FB2" w:rsidRPr="00AA1FB2" w:rsidRDefault="00AA1FB2" w:rsidP="00AA1FB2">
      <w:pPr>
        <w:spacing w:line="240" w:lineRule="auto"/>
        <w:rPr>
          <w:rFonts w:eastAsia="Times New Roman" w:cs="Arial"/>
          <w:sz w:val="24"/>
          <w:szCs w:val="24"/>
        </w:rPr>
      </w:pPr>
      <w:r w:rsidRPr="00AA1FB2">
        <w:rPr>
          <w:rFonts w:eastAsia="Times New Roman" w:cs="Arial"/>
          <w:i/>
          <w:iCs/>
          <w:color w:val="000000"/>
          <w:lang w:eastAsia="bg-BG"/>
        </w:rPr>
        <w:t>Предсърдно мъждене</w:t>
      </w:r>
    </w:p>
    <w:p w14:paraId="2D80F49E" w14:textId="77777777" w:rsidR="00AA1FB2" w:rsidRPr="00AA1FB2" w:rsidRDefault="00AA1FB2" w:rsidP="00AA1FB2">
      <w:pPr>
        <w:spacing w:line="240" w:lineRule="auto"/>
        <w:rPr>
          <w:rFonts w:eastAsia="Times New Roman" w:cs="Arial"/>
          <w:color w:val="000000"/>
          <w:lang w:eastAsia="bg-BG"/>
        </w:rPr>
      </w:pPr>
    </w:p>
    <w:p w14:paraId="321EDDDD" w14:textId="0053E4E6"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Проучванията </w:t>
      </w:r>
      <w:r w:rsidRPr="00AA1FB2">
        <w:rPr>
          <w:rFonts w:eastAsia="Times New Roman" w:cs="Arial"/>
          <w:color w:val="000000"/>
          <w:lang w:val="en-US"/>
        </w:rPr>
        <w:t>ACTIVE</w:t>
      </w:r>
      <w:r w:rsidRPr="00AA1FB2">
        <w:rPr>
          <w:rFonts w:eastAsia="Times New Roman" w:cs="Arial"/>
          <w:color w:val="000000"/>
        </w:rPr>
        <w:t>-</w:t>
      </w:r>
      <w:r w:rsidRPr="00AA1FB2">
        <w:rPr>
          <w:rFonts w:eastAsia="Times New Roman" w:cs="Arial"/>
          <w:color w:val="000000"/>
          <w:lang w:val="en-US"/>
        </w:rPr>
        <w:t>W</w:t>
      </w:r>
      <w:r w:rsidRPr="00AA1FB2">
        <w:rPr>
          <w:rFonts w:eastAsia="Times New Roman" w:cs="Arial"/>
          <w:color w:val="000000"/>
        </w:rPr>
        <w:t xml:space="preserve"> </w:t>
      </w:r>
      <w:r w:rsidRPr="00AA1FB2">
        <w:rPr>
          <w:rFonts w:eastAsia="Times New Roman" w:cs="Arial"/>
          <w:color w:val="000000"/>
          <w:lang w:eastAsia="bg-BG"/>
        </w:rPr>
        <w:t xml:space="preserve">и </w:t>
      </w:r>
      <w:r w:rsidRPr="00AA1FB2">
        <w:rPr>
          <w:rFonts w:eastAsia="Times New Roman" w:cs="Arial"/>
          <w:color w:val="000000"/>
          <w:lang w:val="en-US"/>
        </w:rPr>
        <w:t>ACTIVE</w:t>
      </w:r>
      <w:r w:rsidRPr="00AA1FB2">
        <w:rPr>
          <w:rFonts w:eastAsia="Times New Roman" w:cs="Arial"/>
          <w:color w:val="000000"/>
        </w:rPr>
        <w:t>-</w:t>
      </w:r>
      <w:r w:rsidRPr="00AA1FB2">
        <w:rPr>
          <w:rFonts w:eastAsia="Times New Roman" w:cs="Arial"/>
          <w:color w:val="000000"/>
          <w:lang w:val="en-US"/>
        </w:rPr>
        <w:t>A</w:t>
      </w:r>
      <w:r w:rsidRPr="00AA1FB2">
        <w:rPr>
          <w:rFonts w:eastAsia="Times New Roman" w:cs="Arial"/>
          <w:color w:val="000000"/>
        </w:rPr>
        <w:t xml:space="preserve">, </w:t>
      </w:r>
      <w:r w:rsidRPr="00AA1FB2">
        <w:rPr>
          <w:rFonts w:eastAsia="Times New Roman" w:cs="Arial"/>
          <w:color w:val="000000"/>
          <w:lang w:eastAsia="bg-BG"/>
        </w:rPr>
        <w:t xml:space="preserve">отделни проучвания в програмата </w:t>
      </w:r>
      <w:r w:rsidRPr="00AA1FB2">
        <w:rPr>
          <w:rFonts w:eastAsia="Times New Roman" w:cs="Arial"/>
          <w:color w:val="000000"/>
          <w:lang w:val="en-US"/>
        </w:rPr>
        <w:t>ACTIVE</w:t>
      </w:r>
      <w:r w:rsidRPr="00AA1FB2">
        <w:rPr>
          <w:rFonts w:eastAsia="Times New Roman" w:cs="Arial"/>
          <w:color w:val="000000"/>
        </w:rPr>
        <w:t xml:space="preserve">, </w:t>
      </w:r>
      <w:r w:rsidRPr="00AA1FB2">
        <w:rPr>
          <w:rFonts w:eastAsia="Times New Roman" w:cs="Arial"/>
          <w:color w:val="000000"/>
          <w:lang w:eastAsia="bg-BG"/>
        </w:rPr>
        <w:t xml:space="preserve">включват пациенти с предсърдно мъждене </w:t>
      </w:r>
      <w:r w:rsidRPr="00AA1FB2">
        <w:rPr>
          <w:rFonts w:eastAsia="Times New Roman" w:cs="Arial"/>
          <w:color w:val="000000"/>
        </w:rPr>
        <w:t>(</w:t>
      </w:r>
      <w:r w:rsidRPr="00AA1FB2">
        <w:rPr>
          <w:rFonts w:eastAsia="Times New Roman" w:cs="Arial"/>
          <w:color w:val="000000"/>
          <w:lang w:val="en-US"/>
        </w:rPr>
        <w:t>AF</w:t>
      </w:r>
      <w:r w:rsidRPr="00AA1FB2">
        <w:rPr>
          <w:rFonts w:eastAsia="Times New Roman" w:cs="Arial"/>
          <w:color w:val="000000"/>
        </w:rPr>
        <w:t xml:space="preserve">), </w:t>
      </w:r>
      <w:r w:rsidRPr="00AA1FB2">
        <w:rPr>
          <w:rFonts w:eastAsia="Times New Roman" w:cs="Arial"/>
          <w:color w:val="000000"/>
          <w:lang w:eastAsia="bg-BG"/>
        </w:rPr>
        <w:t xml:space="preserve">които имат поне един рисков фактор за съдови инциденти. Въз основа на включващите критерии, лекарите са включвали в </w:t>
      </w:r>
      <w:r w:rsidRPr="00AA1FB2">
        <w:rPr>
          <w:rFonts w:eastAsia="Times New Roman" w:cs="Arial"/>
          <w:color w:val="000000"/>
          <w:lang w:val="en-US"/>
        </w:rPr>
        <w:t>ACTIVE</w:t>
      </w:r>
      <w:r w:rsidRPr="00AA1FB2">
        <w:rPr>
          <w:rFonts w:eastAsia="Times New Roman" w:cs="Arial"/>
          <w:color w:val="000000"/>
          <w:lang w:val="ru-RU"/>
        </w:rPr>
        <w:t>-</w:t>
      </w:r>
      <w:r w:rsidRPr="00AA1FB2">
        <w:rPr>
          <w:rFonts w:eastAsia="Times New Roman" w:cs="Arial"/>
          <w:color w:val="000000"/>
          <w:lang w:val="en-US"/>
        </w:rPr>
        <w:t>W</w:t>
      </w:r>
      <w:r w:rsidRPr="00AA1FB2">
        <w:rPr>
          <w:rFonts w:eastAsia="Times New Roman" w:cs="Arial"/>
          <w:color w:val="000000"/>
          <w:lang w:val="ru-RU"/>
        </w:rPr>
        <w:t xml:space="preserve"> </w:t>
      </w:r>
      <w:r w:rsidRPr="00AA1FB2">
        <w:rPr>
          <w:rFonts w:eastAsia="Times New Roman" w:cs="Arial"/>
          <w:color w:val="000000"/>
          <w:lang w:eastAsia="bg-BG"/>
        </w:rPr>
        <w:t xml:space="preserve">пациенти, ако са кандидати за терапия с антагонист на витамин К </w:t>
      </w:r>
      <w:r w:rsidRPr="00AA1FB2">
        <w:rPr>
          <w:rFonts w:eastAsia="Times New Roman" w:cs="Arial"/>
          <w:color w:val="000000"/>
          <w:lang w:val="ru-RU"/>
        </w:rPr>
        <w:t>(</w:t>
      </w:r>
      <w:r w:rsidRPr="00AA1FB2">
        <w:rPr>
          <w:rFonts w:eastAsia="Times New Roman" w:cs="Arial"/>
          <w:color w:val="000000"/>
          <w:lang w:val="en-US"/>
        </w:rPr>
        <w:t>VKA</w:t>
      </w:r>
      <w:r w:rsidRPr="00AA1FB2">
        <w:rPr>
          <w:rFonts w:eastAsia="Times New Roman" w:cs="Arial"/>
          <w:color w:val="000000"/>
          <w:lang w:val="ru-RU"/>
        </w:rPr>
        <w:t xml:space="preserve">) </w:t>
      </w:r>
      <w:r w:rsidRPr="00AA1FB2">
        <w:rPr>
          <w:rFonts w:eastAsia="Times New Roman" w:cs="Arial"/>
          <w:color w:val="000000"/>
          <w:lang w:eastAsia="bg-BG"/>
        </w:rPr>
        <w:t xml:space="preserve">(като варфарин). Проучването </w:t>
      </w:r>
      <w:r w:rsidRPr="00AA1FB2">
        <w:rPr>
          <w:rFonts w:eastAsia="Times New Roman" w:cs="Arial"/>
          <w:color w:val="000000"/>
          <w:lang w:val="en-US"/>
        </w:rPr>
        <w:t>ACTIVE</w:t>
      </w:r>
      <w:r w:rsidRPr="00AA1FB2">
        <w:rPr>
          <w:rFonts w:eastAsia="Times New Roman" w:cs="Arial"/>
          <w:color w:val="000000"/>
          <w:lang w:val="ru-RU"/>
        </w:rPr>
        <w:t>-</w:t>
      </w:r>
      <w:r w:rsidRPr="00AA1FB2">
        <w:rPr>
          <w:rFonts w:eastAsia="Times New Roman" w:cs="Arial"/>
          <w:color w:val="000000"/>
          <w:lang w:val="en-US"/>
        </w:rPr>
        <w:t>A</w:t>
      </w:r>
      <w:r w:rsidRPr="00AA1FB2">
        <w:rPr>
          <w:rFonts w:eastAsia="Times New Roman" w:cs="Arial"/>
          <w:color w:val="000000"/>
          <w:lang w:val="ru-RU"/>
        </w:rPr>
        <w:t xml:space="preserve"> </w:t>
      </w:r>
      <w:r w:rsidRPr="00AA1FB2">
        <w:rPr>
          <w:rFonts w:eastAsia="Times New Roman" w:cs="Arial"/>
          <w:color w:val="000000"/>
          <w:lang w:eastAsia="bg-BG"/>
        </w:rPr>
        <w:t xml:space="preserve">включва пациенти, които не могат да получават лечение с </w:t>
      </w:r>
      <w:r w:rsidRPr="00AA1FB2">
        <w:rPr>
          <w:rFonts w:eastAsia="Times New Roman" w:cs="Arial"/>
          <w:color w:val="000000"/>
          <w:lang w:val="en-US"/>
        </w:rPr>
        <w:t>VKA</w:t>
      </w:r>
      <w:r w:rsidRPr="00AA1FB2">
        <w:rPr>
          <w:rFonts w:eastAsia="Times New Roman" w:cs="Arial"/>
          <w:color w:val="000000"/>
          <w:lang w:val="ru-RU"/>
        </w:rPr>
        <w:t xml:space="preserve"> </w:t>
      </w:r>
      <w:r w:rsidRPr="00AA1FB2">
        <w:rPr>
          <w:rFonts w:eastAsia="Times New Roman" w:cs="Arial"/>
          <w:color w:val="000000"/>
          <w:lang w:eastAsia="bg-BG"/>
        </w:rPr>
        <w:t>поради невъзможност или нежелание.</w:t>
      </w:r>
    </w:p>
    <w:p w14:paraId="5B2241BD" w14:textId="77777777" w:rsidR="00AA1FB2" w:rsidRPr="00AA1FB2" w:rsidRDefault="00AA1FB2" w:rsidP="00AA1FB2">
      <w:pPr>
        <w:spacing w:line="240" w:lineRule="auto"/>
        <w:rPr>
          <w:rFonts w:eastAsia="Times New Roman" w:cs="Arial"/>
          <w:color w:val="000000"/>
          <w:lang w:eastAsia="bg-BG"/>
        </w:rPr>
      </w:pPr>
    </w:p>
    <w:p w14:paraId="65324864" w14:textId="4735198E"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Проучването </w:t>
      </w:r>
      <w:r w:rsidRPr="00AA1FB2">
        <w:rPr>
          <w:rFonts w:eastAsia="Times New Roman" w:cs="Arial"/>
          <w:color w:val="000000"/>
          <w:lang w:val="en-US"/>
        </w:rPr>
        <w:t>ACTIVE</w:t>
      </w:r>
      <w:r w:rsidRPr="00AA1FB2">
        <w:rPr>
          <w:rFonts w:eastAsia="Times New Roman" w:cs="Arial"/>
          <w:color w:val="000000"/>
          <w:lang w:val="ru-RU"/>
        </w:rPr>
        <w:t>-</w:t>
      </w:r>
      <w:r w:rsidRPr="00AA1FB2">
        <w:rPr>
          <w:rFonts w:eastAsia="Times New Roman" w:cs="Arial"/>
          <w:color w:val="000000"/>
          <w:lang w:val="en-US"/>
        </w:rPr>
        <w:t>W</w:t>
      </w:r>
      <w:r w:rsidRPr="00AA1FB2">
        <w:rPr>
          <w:rFonts w:eastAsia="Times New Roman" w:cs="Arial"/>
          <w:color w:val="000000"/>
          <w:lang w:val="ru-RU"/>
        </w:rPr>
        <w:t xml:space="preserve"> </w:t>
      </w:r>
      <w:r w:rsidRPr="00AA1FB2">
        <w:rPr>
          <w:rFonts w:eastAsia="Times New Roman" w:cs="Arial"/>
          <w:color w:val="000000"/>
          <w:lang w:eastAsia="bg-BG"/>
        </w:rPr>
        <w:t>показва, че лечението с антагонист на витамин К е по-ефективно от това с клопидогрел и АСК.</w:t>
      </w:r>
    </w:p>
    <w:p w14:paraId="6DBB36F2" w14:textId="77777777" w:rsidR="00AA1FB2" w:rsidRPr="00AA1FB2" w:rsidRDefault="00AA1FB2" w:rsidP="00AA1FB2">
      <w:pPr>
        <w:spacing w:line="240" w:lineRule="auto"/>
        <w:rPr>
          <w:rFonts w:eastAsia="Times New Roman" w:cs="Arial"/>
          <w:color w:val="000000"/>
          <w:lang w:eastAsia="bg-BG"/>
        </w:rPr>
      </w:pPr>
    </w:p>
    <w:p w14:paraId="55100DC0" w14:textId="4C40D1BE"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Проучването </w:t>
      </w:r>
      <w:r w:rsidRPr="00AA1FB2">
        <w:rPr>
          <w:rFonts w:eastAsia="Times New Roman" w:cs="Arial"/>
          <w:color w:val="000000"/>
          <w:lang w:val="en-US"/>
        </w:rPr>
        <w:t>ACTIVE</w:t>
      </w:r>
      <w:r w:rsidRPr="00AA1FB2">
        <w:rPr>
          <w:rFonts w:eastAsia="Times New Roman" w:cs="Arial"/>
          <w:color w:val="000000"/>
          <w:lang w:val="ru-RU"/>
        </w:rPr>
        <w:t>-</w:t>
      </w:r>
      <w:r w:rsidRPr="00AA1FB2">
        <w:rPr>
          <w:rFonts w:eastAsia="Times New Roman" w:cs="Arial"/>
          <w:color w:val="000000"/>
          <w:lang w:val="en-US"/>
        </w:rPr>
        <w:t>A</w:t>
      </w:r>
      <w:r w:rsidRPr="00AA1FB2">
        <w:rPr>
          <w:rFonts w:eastAsia="Times New Roman" w:cs="Arial"/>
          <w:color w:val="000000"/>
          <w:lang w:val="ru-RU"/>
        </w:rPr>
        <w:t xml:space="preserve"> (</w:t>
      </w:r>
      <w:r w:rsidRPr="00AA1FB2">
        <w:rPr>
          <w:rFonts w:eastAsia="Times New Roman" w:cs="Arial"/>
          <w:color w:val="000000"/>
          <w:lang w:val="en-US"/>
        </w:rPr>
        <w:t>N</w:t>
      </w:r>
      <w:r w:rsidRPr="00AA1FB2">
        <w:rPr>
          <w:rFonts w:eastAsia="Times New Roman" w:cs="Arial"/>
          <w:color w:val="000000"/>
          <w:lang w:val="ru-RU"/>
        </w:rPr>
        <w:t xml:space="preserve"> </w:t>
      </w:r>
      <w:r w:rsidRPr="00AA1FB2">
        <w:rPr>
          <w:rFonts w:eastAsia="Times New Roman" w:cs="Arial"/>
          <w:color w:val="000000"/>
          <w:lang w:eastAsia="bg-BG"/>
        </w:rPr>
        <w:t xml:space="preserve">= 7 554) е многоцентрово, рандомизирано, двойно-сляпо, плацебо- контролирано проучване, което сравнява клопидогрел 75 </w:t>
      </w:r>
      <w:r w:rsidRPr="00AA1FB2">
        <w:rPr>
          <w:rFonts w:eastAsia="Times New Roman" w:cs="Arial"/>
          <w:color w:val="000000"/>
          <w:lang w:val="en-US"/>
        </w:rPr>
        <w:t>mg</w:t>
      </w:r>
      <w:r w:rsidRPr="00AA1FB2">
        <w:rPr>
          <w:rFonts w:eastAsia="Times New Roman" w:cs="Arial"/>
          <w:color w:val="000000"/>
          <w:lang w:eastAsia="bg-BG"/>
        </w:rPr>
        <w:t xml:space="preserve">/дневно + АСК </w:t>
      </w:r>
      <w:r w:rsidRPr="00AA1FB2">
        <w:rPr>
          <w:rFonts w:eastAsia="Times New Roman" w:cs="Arial"/>
          <w:color w:val="000000"/>
          <w:lang w:val="ru-RU"/>
        </w:rPr>
        <w:t>(</w:t>
      </w:r>
      <w:r w:rsidRPr="00AA1FB2">
        <w:rPr>
          <w:rFonts w:eastAsia="Times New Roman" w:cs="Arial"/>
          <w:color w:val="000000"/>
          <w:lang w:val="en-US"/>
        </w:rPr>
        <w:t>N</w:t>
      </w:r>
      <w:r w:rsidRPr="00AA1FB2">
        <w:rPr>
          <w:rFonts w:eastAsia="Times New Roman" w:cs="Arial"/>
          <w:color w:val="000000"/>
          <w:lang w:val="ru-RU"/>
        </w:rPr>
        <w:t xml:space="preserve"> </w:t>
      </w:r>
      <w:r w:rsidRPr="00AA1FB2">
        <w:rPr>
          <w:rFonts w:eastAsia="Times New Roman" w:cs="Arial"/>
          <w:color w:val="000000"/>
          <w:lang w:eastAsia="bg-BG"/>
        </w:rPr>
        <w:t xml:space="preserve">= 3 772) с плацебо + АСК </w:t>
      </w:r>
      <w:r w:rsidRPr="00AA1FB2">
        <w:rPr>
          <w:rFonts w:eastAsia="Times New Roman" w:cs="Arial"/>
          <w:color w:val="000000"/>
          <w:lang w:val="ru-RU"/>
        </w:rPr>
        <w:t>(</w:t>
      </w:r>
      <w:r w:rsidRPr="00AA1FB2">
        <w:rPr>
          <w:rFonts w:eastAsia="Times New Roman" w:cs="Arial"/>
          <w:color w:val="000000"/>
          <w:lang w:val="en-US"/>
        </w:rPr>
        <w:t>N</w:t>
      </w:r>
      <w:r w:rsidRPr="00AA1FB2">
        <w:rPr>
          <w:rFonts w:eastAsia="Times New Roman" w:cs="Arial"/>
          <w:color w:val="000000"/>
          <w:lang w:val="ru-RU"/>
        </w:rPr>
        <w:t xml:space="preserve"> </w:t>
      </w:r>
      <w:r w:rsidRPr="00AA1FB2">
        <w:rPr>
          <w:rFonts w:eastAsia="Times New Roman" w:cs="Arial"/>
          <w:color w:val="000000"/>
          <w:lang w:eastAsia="bg-BG"/>
        </w:rPr>
        <w:t xml:space="preserve">= 3 782). Препоръчителната доза за АСК е 75 до 100 </w:t>
      </w:r>
      <w:r w:rsidRPr="00AA1FB2">
        <w:rPr>
          <w:rFonts w:eastAsia="Times New Roman" w:cs="Arial"/>
          <w:color w:val="000000"/>
          <w:lang w:val="en-US"/>
        </w:rPr>
        <w:t>mg</w:t>
      </w:r>
      <w:r w:rsidRPr="00AA1FB2">
        <w:rPr>
          <w:rFonts w:eastAsia="Times New Roman" w:cs="Arial"/>
          <w:color w:val="000000"/>
          <w:lang w:eastAsia="bg-BG"/>
        </w:rPr>
        <w:t>/дневно. Пациентите са лекувани в продължение на до 5 години.</w:t>
      </w:r>
    </w:p>
    <w:p w14:paraId="7027A17A" w14:textId="77777777" w:rsidR="00AA1FB2" w:rsidRPr="00AA1FB2" w:rsidRDefault="00AA1FB2" w:rsidP="00AA1FB2">
      <w:pPr>
        <w:spacing w:line="240" w:lineRule="auto"/>
        <w:rPr>
          <w:rFonts w:eastAsia="Times New Roman" w:cs="Arial"/>
          <w:color w:val="000000"/>
          <w:lang w:eastAsia="bg-BG"/>
        </w:rPr>
      </w:pPr>
    </w:p>
    <w:p w14:paraId="09371926" w14:textId="42891CCA"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Пациентите, рандомизирани в програмата </w:t>
      </w:r>
      <w:r w:rsidRPr="00AA1FB2">
        <w:rPr>
          <w:rFonts w:eastAsia="Times New Roman" w:cs="Arial"/>
          <w:color w:val="000000"/>
          <w:lang w:val="en-US"/>
        </w:rPr>
        <w:t>ACTIVE</w:t>
      </w:r>
      <w:r w:rsidRPr="00AA1FB2">
        <w:rPr>
          <w:rFonts w:eastAsia="Times New Roman" w:cs="Arial"/>
          <w:color w:val="000000"/>
          <w:lang w:val="ru-RU"/>
        </w:rPr>
        <w:t xml:space="preserve">, </w:t>
      </w:r>
      <w:r w:rsidRPr="00AA1FB2">
        <w:rPr>
          <w:rFonts w:eastAsia="Times New Roman" w:cs="Arial"/>
          <w:color w:val="000000"/>
          <w:lang w:eastAsia="bg-BG"/>
        </w:rPr>
        <w:t xml:space="preserve">са били пациенти с документирано ПМ (предсърдно мъждене), т.е. или персистиращо </w:t>
      </w:r>
      <w:r w:rsidRPr="00AA1FB2">
        <w:rPr>
          <w:rFonts w:eastAsia="Times New Roman" w:cs="Arial"/>
          <w:color w:val="000000"/>
          <w:lang w:val="en-US"/>
        </w:rPr>
        <w:t>TI</w:t>
      </w:r>
      <w:r w:rsidRPr="00AA1FB2">
        <w:rPr>
          <w:rFonts w:eastAsia="Times New Roman" w:cs="Arial"/>
          <w:color w:val="000000"/>
          <w:lang w:eastAsia="bg-BG"/>
        </w:rPr>
        <w:t>М, или най-малко 2 епизода на интермитентно ПМ през последните 6 месеца, и са имали поне един от следните рискови фактори: възраст ≥75 години или възраст 55 до 74 години; захарен диабет, изискващ лечение, или документиран</w:t>
      </w:r>
      <w:r w:rsidRPr="00AA1FB2">
        <w:rPr>
          <w:rFonts w:eastAsia="Times New Roman" w:cs="Arial"/>
          <w:color w:val="000000"/>
          <w:u w:val="single"/>
          <w:lang w:eastAsia="bg-BG"/>
        </w:rPr>
        <w:t xml:space="preserve"> </w:t>
      </w:r>
      <w:r w:rsidRPr="00AA1FB2">
        <w:rPr>
          <w:rFonts w:eastAsia="Times New Roman" w:cs="Arial"/>
          <w:color w:val="000000"/>
          <w:lang w:eastAsia="bg-BG"/>
        </w:rPr>
        <w:t xml:space="preserve">прекаран МИ или документирано коронарно артериално заболяване; лекувани за системна хипертония; прекаран инсулт, преходна исхемична атака </w:t>
      </w:r>
      <w:r w:rsidRPr="00AA1FB2">
        <w:rPr>
          <w:rFonts w:eastAsia="Times New Roman" w:cs="Arial"/>
          <w:color w:val="000000"/>
          <w:lang w:val="ru-RU"/>
        </w:rPr>
        <w:t>(</w:t>
      </w:r>
      <w:r w:rsidRPr="00AA1FB2">
        <w:rPr>
          <w:rFonts w:eastAsia="Times New Roman" w:cs="Arial"/>
          <w:color w:val="000000"/>
          <w:lang w:val="en-US"/>
        </w:rPr>
        <w:t>TIA</w:t>
      </w:r>
      <w:r w:rsidRPr="00AA1FB2">
        <w:rPr>
          <w:rFonts w:eastAsia="Times New Roman" w:cs="Arial"/>
          <w:color w:val="000000"/>
          <w:lang w:val="ru-RU"/>
        </w:rPr>
        <w:t xml:space="preserve">), </w:t>
      </w:r>
      <w:r w:rsidRPr="00AA1FB2">
        <w:rPr>
          <w:rFonts w:eastAsia="Times New Roman" w:cs="Arial"/>
          <w:color w:val="000000"/>
          <w:lang w:eastAsia="bg-BG"/>
        </w:rPr>
        <w:t>или системен ембол. който не засяга ЦНС; левокамерна дисфункция с фракция на изтласкване на лява камера &lt;45% или документирана периферна съдова болест. Средният резултат по скалата СН</w:t>
      </w:r>
      <w:r w:rsidRPr="00AA1FB2">
        <w:rPr>
          <w:rFonts w:eastAsia="Times New Roman" w:cs="Arial"/>
          <w:color w:val="000000"/>
          <w:lang w:val="en-US"/>
        </w:rPr>
        <w:t>ADS</w:t>
      </w:r>
      <w:r w:rsidRPr="00AA1FB2">
        <w:rPr>
          <w:rFonts w:eastAsia="Times New Roman" w:cs="Arial"/>
          <w:color w:val="000000"/>
          <w:lang w:val="ru-RU"/>
        </w:rPr>
        <w:t xml:space="preserve">2 </w:t>
      </w:r>
      <w:r w:rsidRPr="00AA1FB2">
        <w:rPr>
          <w:rFonts w:eastAsia="Times New Roman" w:cs="Arial"/>
          <w:color w:val="000000"/>
          <w:lang w:eastAsia="bg-BG"/>
        </w:rPr>
        <w:t xml:space="preserve">е </w:t>
      </w:r>
      <w:r w:rsidR="00F962F6" w:rsidRPr="00F962F6">
        <w:t>2.0</w:t>
      </w:r>
      <w:r w:rsidR="00F962F6">
        <w:rPr>
          <w:rFonts w:eastAsia="Times New Roman" w:cs="Arial"/>
          <w:sz w:val="24"/>
          <w:szCs w:val="24"/>
        </w:rPr>
        <w:t xml:space="preserve"> </w:t>
      </w:r>
      <w:bookmarkStart w:id="2" w:name="_GoBack"/>
      <w:bookmarkEnd w:id="2"/>
      <w:r w:rsidRPr="00AA1FB2">
        <w:rPr>
          <w:rFonts w:eastAsia="Times New Roman" w:cs="Arial"/>
          <w:color w:val="000000"/>
          <w:lang w:eastAsia="bg-BG"/>
        </w:rPr>
        <w:t>(граници 0-6).</w:t>
      </w:r>
    </w:p>
    <w:p w14:paraId="30320B25" w14:textId="77777777" w:rsidR="00AA1FB2" w:rsidRPr="00AA1FB2" w:rsidRDefault="00AA1FB2" w:rsidP="00AA1FB2">
      <w:pPr>
        <w:spacing w:line="240" w:lineRule="auto"/>
        <w:rPr>
          <w:rFonts w:eastAsia="Times New Roman" w:cs="Arial"/>
          <w:color w:val="000000"/>
          <w:lang w:eastAsia="bg-BG"/>
        </w:rPr>
      </w:pPr>
    </w:p>
    <w:p w14:paraId="21CC8EAA" w14:textId="548C94B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Главните изключващи критерии за пациентите са били документирана пептична язвена болест в рамките на предходните 6 месеца, предшестващ интрацеребрален кръвоизлив, значима громбоцитопения (брой тромбоцити &lt;50</w:t>
      </w:r>
      <w:r w:rsidRPr="00AA1FB2">
        <w:rPr>
          <w:rFonts w:eastAsia="Times New Roman" w:cs="Arial"/>
          <w:color w:val="000000"/>
          <w:lang w:val="en-US"/>
        </w:rPr>
        <w:t>x</w:t>
      </w:r>
      <w:r w:rsidRPr="00AA1FB2">
        <w:rPr>
          <w:rFonts w:eastAsia="Times New Roman" w:cs="Arial"/>
          <w:color w:val="000000"/>
          <w:lang w:eastAsia="bg-BG"/>
        </w:rPr>
        <w:t>10</w:t>
      </w:r>
      <w:r w:rsidRPr="00AA1FB2">
        <w:rPr>
          <w:rFonts w:eastAsia="Times New Roman" w:cs="Arial"/>
          <w:color w:val="000000"/>
          <w:vertAlign w:val="superscript"/>
          <w:lang w:eastAsia="bg-BG"/>
        </w:rPr>
        <w:t>9</w:t>
      </w:r>
      <w:r w:rsidRPr="00AA1FB2">
        <w:rPr>
          <w:rFonts w:eastAsia="Times New Roman" w:cs="Arial"/>
          <w:color w:val="000000"/>
          <w:lang w:eastAsia="bg-BG"/>
        </w:rPr>
        <w:t>/1), необходимост от клопидогрел или перорални антикоагуланти (ОДС) или непоносимост към някое от двете съединения.</w:t>
      </w:r>
    </w:p>
    <w:p w14:paraId="28F1BE0E" w14:textId="77777777" w:rsidR="00AA1FB2" w:rsidRPr="00AA1FB2" w:rsidRDefault="00AA1FB2" w:rsidP="00AA1FB2">
      <w:pPr>
        <w:spacing w:line="240" w:lineRule="auto"/>
        <w:rPr>
          <w:rFonts w:eastAsia="Times New Roman" w:cs="Arial"/>
          <w:color w:val="000000"/>
          <w:lang w:eastAsia="bg-BG"/>
        </w:rPr>
      </w:pPr>
    </w:p>
    <w:p w14:paraId="3F89CAA7" w14:textId="0AE25C0B"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Седемдесет и три процента (73%) от пациентите, включени в проучването </w:t>
      </w:r>
      <w:r w:rsidRPr="00AA1FB2">
        <w:rPr>
          <w:rFonts w:eastAsia="Times New Roman" w:cs="Arial"/>
          <w:color w:val="000000"/>
          <w:lang w:val="en-US"/>
        </w:rPr>
        <w:t>ACTIVE</w:t>
      </w:r>
      <w:r w:rsidRPr="00AA1FB2">
        <w:rPr>
          <w:rFonts w:eastAsia="Times New Roman" w:cs="Arial"/>
          <w:color w:val="000000"/>
          <w:lang w:val="ru-RU"/>
        </w:rPr>
        <w:t>-</w:t>
      </w:r>
      <w:r w:rsidRPr="00AA1FB2">
        <w:rPr>
          <w:rFonts w:eastAsia="Times New Roman" w:cs="Arial"/>
          <w:color w:val="000000"/>
          <w:lang w:val="en-US"/>
        </w:rPr>
        <w:t>A</w:t>
      </w:r>
      <w:r w:rsidRPr="00AA1FB2">
        <w:rPr>
          <w:rFonts w:eastAsia="Times New Roman" w:cs="Arial"/>
          <w:color w:val="000000"/>
          <w:lang w:val="ru-RU"/>
        </w:rPr>
        <w:t xml:space="preserve">, </w:t>
      </w:r>
      <w:r w:rsidRPr="00AA1FB2">
        <w:rPr>
          <w:rFonts w:eastAsia="Times New Roman" w:cs="Arial"/>
          <w:color w:val="000000"/>
          <w:lang w:eastAsia="bg-BG"/>
        </w:rPr>
        <w:t xml:space="preserve">не са били в състояние да приемат </w:t>
      </w:r>
      <w:r w:rsidRPr="00AA1FB2">
        <w:rPr>
          <w:rFonts w:eastAsia="Times New Roman" w:cs="Arial"/>
          <w:color w:val="000000"/>
          <w:lang w:val="en-US"/>
        </w:rPr>
        <w:t>VKA</w:t>
      </w:r>
      <w:r w:rsidRPr="00AA1FB2">
        <w:rPr>
          <w:rFonts w:eastAsia="Times New Roman" w:cs="Arial"/>
          <w:color w:val="000000"/>
          <w:lang w:val="ru-RU"/>
        </w:rPr>
        <w:t xml:space="preserve"> </w:t>
      </w:r>
      <w:r w:rsidRPr="00AA1FB2">
        <w:rPr>
          <w:rFonts w:eastAsia="Times New Roman" w:cs="Arial"/>
          <w:color w:val="000000"/>
          <w:lang w:eastAsia="bg-BG"/>
        </w:rPr>
        <w:t xml:space="preserve">поради преценка на лекаря, невъзможност за мониториране на </w:t>
      </w:r>
      <w:r w:rsidRPr="00AA1FB2">
        <w:rPr>
          <w:rFonts w:eastAsia="Times New Roman" w:cs="Arial"/>
          <w:color w:val="000000"/>
          <w:lang w:val="en-US"/>
        </w:rPr>
        <w:t>INR</w:t>
      </w:r>
      <w:r w:rsidRPr="00AA1FB2">
        <w:rPr>
          <w:rFonts w:eastAsia="Times New Roman" w:cs="Arial"/>
          <w:color w:val="000000"/>
          <w:lang w:val="ru-RU"/>
        </w:rPr>
        <w:t xml:space="preserve"> </w:t>
      </w:r>
      <w:r w:rsidRPr="00AA1FB2">
        <w:rPr>
          <w:rFonts w:eastAsia="Times New Roman" w:cs="Arial"/>
          <w:color w:val="000000"/>
          <w:lang w:eastAsia="bg-BG"/>
        </w:rPr>
        <w:t xml:space="preserve">(международно нормализирано съотношение), предразположение към падане или травма на главата, или специфичен риск от кървене; при 26% от </w:t>
      </w:r>
      <w:r w:rsidRPr="00AA1FB2">
        <w:rPr>
          <w:rFonts w:eastAsia="Times New Roman" w:cs="Arial"/>
          <w:color w:val="000000"/>
          <w:lang w:eastAsia="bg-BG"/>
        </w:rPr>
        <w:lastRenderedPageBreak/>
        <w:t xml:space="preserve">пациентите решението на лекаря е било основано на нежеланието на пациента да приема </w:t>
      </w:r>
      <w:r w:rsidRPr="00AA1FB2">
        <w:rPr>
          <w:rFonts w:eastAsia="Times New Roman" w:cs="Arial"/>
          <w:color w:val="000000"/>
          <w:lang w:val="en-US"/>
        </w:rPr>
        <w:t>VKA</w:t>
      </w:r>
      <w:r w:rsidRPr="00AA1FB2">
        <w:rPr>
          <w:rFonts w:eastAsia="Times New Roman" w:cs="Arial"/>
          <w:color w:val="000000"/>
          <w:lang w:val="ru-RU"/>
        </w:rPr>
        <w:t>.</w:t>
      </w:r>
    </w:p>
    <w:p w14:paraId="077EFAB5" w14:textId="77777777" w:rsidR="00AA1FB2" w:rsidRPr="00AA1FB2" w:rsidRDefault="00AA1FB2" w:rsidP="00AA1FB2">
      <w:pPr>
        <w:spacing w:line="240" w:lineRule="auto"/>
        <w:rPr>
          <w:rFonts w:eastAsia="Times New Roman" w:cs="Arial"/>
          <w:color w:val="000000"/>
          <w:lang w:eastAsia="bg-BG"/>
        </w:rPr>
      </w:pPr>
    </w:p>
    <w:p w14:paraId="243039AB" w14:textId="5D14F16E"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Популацията пациенти е включвала 41,8% жени. Средната възраст е била 71 години, 41,6% от пациентите са били ≥75 години. Общо 23,0% от пациентите са получавали антиаритмици, 52,1% бета-блокери, 54,6% АСЕ-инхибитори, и 25,4% статини.</w:t>
      </w:r>
    </w:p>
    <w:p w14:paraId="0796EBF5" w14:textId="77777777" w:rsidR="00AA1FB2" w:rsidRPr="00AA1FB2" w:rsidRDefault="00AA1FB2" w:rsidP="00AA1FB2">
      <w:pPr>
        <w:spacing w:line="240" w:lineRule="auto"/>
        <w:rPr>
          <w:rFonts w:eastAsia="Times New Roman" w:cs="Arial"/>
          <w:color w:val="000000"/>
          <w:lang w:eastAsia="bg-BG"/>
        </w:rPr>
      </w:pPr>
    </w:p>
    <w:p w14:paraId="69211628" w14:textId="2D649AE4"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Броят на пациентите, които са достигнали първичната крайна точка (време до първа поява на инсулт, МИ, системен емболизъм, който не засяга ЦНС, или съдова смърт) е бил 832 (22,1%) в групата, </w:t>
      </w:r>
      <w:r w:rsidRPr="00AA1FB2">
        <w:rPr>
          <w:rFonts w:eastAsia="Times New Roman" w:cs="Arial"/>
          <w:i/>
          <w:iCs/>
          <w:color w:val="000000"/>
          <w:lang w:eastAsia="bg-BG"/>
        </w:rPr>
        <w:t>лекувана с</w:t>
      </w:r>
      <w:r w:rsidRPr="00AA1FB2">
        <w:rPr>
          <w:rFonts w:eastAsia="Times New Roman" w:cs="Arial"/>
          <w:color w:val="000000"/>
          <w:lang w:eastAsia="bg-BG"/>
        </w:rPr>
        <w:t xml:space="preserve"> клопидогрел + АСК, и 924 (24,4%) в групата на плацебо + АСК (11,1% намаляване на относителния риск;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 xml:space="preserve">от 2,4% на 19,1%; р = 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 95% </w:t>
      </w:r>
      <w:r w:rsidRPr="00AA1FB2">
        <w:rPr>
          <w:rFonts w:eastAsia="Times New Roman" w:cs="Arial"/>
          <w:color w:val="000000"/>
          <w:lang w:val="en-US"/>
        </w:rPr>
        <w:t>CI</w:t>
      </w:r>
      <w:r w:rsidRPr="00AA1FB2">
        <w:rPr>
          <w:rFonts w:eastAsia="Times New Roman" w:cs="Arial"/>
          <w:color w:val="000000"/>
          <w:lang w:val="ru-RU"/>
        </w:rPr>
        <w:t xml:space="preserve">, </w:t>
      </w:r>
      <w:r w:rsidRPr="00AA1FB2">
        <w:rPr>
          <w:rFonts w:eastAsia="Times New Roman" w:cs="Arial"/>
          <w:color w:val="000000"/>
          <w:lang w:eastAsia="bg-BG"/>
        </w:rPr>
        <w:t>от 16,8% на 38,3%; р = 0,00001).</w:t>
      </w:r>
    </w:p>
    <w:p w14:paraId="06B851C6" w14:textId="77777777" w:rsidR="00AA1FB2" w:rsidRPr="00AA1FB2" w:rsidRDefault="00AA1FB2" w:rsidP="00AA1FB2">
      <w:pPr>
        <w:spacing w:line="240" w:lineRule="auto"/>
        <w:rPr>
          <w:rFonts w:eastAsia="Times New Roman" w:cs="Arial"/>
          <w:i/>
          <w:iCs/>
          <w:color w:val="000000"/>
          <w:lang w:eastAsia="bg-BG"/>
        </w:rPr>
      </w:pPr>
    </w:p>
    <w:p w14:paraId="355BEFD9" w14:textId="43E6C249" w:rsidR="00AA1FB2" w:rsidRPr="00AA1FB2" w:rsidRDefault="00AA1FB2" w:rsidP="00AA1FB2">
      <w:pPr>
        <w:spacing w:line="240" w:lineRule="auto"/>
        <w:rPr>
          <w:rFonts w:eastAsia="Times New Roman" w:cs="Arial"/>
          <w:sz w:val="24"/>
          <w:szCs w:val="24"/>
        </w:rPr>
      </w:pPr>
      <w:r w:rsidRPr="00AA1FB2">
        <w:rPr>
          <w:rFonts w:eastAsia="Times New Roman" w:cs="Arial"/>
          <w:i/>
          <w:iCs/>
          <w:color w:val="000000"/>
          <w:lang w:eastAsia="bg-BG"/>
        </w:rPr>
        <w:t>Педиатрична популация</w:t>
      </w:r>
    </w:p>
    <w:p w14:paraId="230D2037"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 проучване с повишаване на дозата при 86 новородени или деца до 24 месеца с риск за тромбоза </w:t>
      </w:r>
      <w:r w:rsidRPr="00AA1FB2">
        <w:rPr>
          <w:rFonts w:eastAsia="Times New Roman" w:cs="Arial"/>
          <w:color w:val="000000"/>
          <w:lang w:val="ru-RU"/>
        </w:rPr>
        <w:t>(</w:t>
      </w:r>
      <w:r w:rsidRPr="00AA1FB2">
        <w:rPr>
          <w:rFonts w:eastAsia="Times New Roman" w:cs="Arial"/>
          <w:color w:val="000000"/>
          <w:lang w:val="en-US"/>
        </w:rPr>
        <w:t>PICOLO</w:t>
      </w:r>
      <w:r w:rsidRPr="00AA1FB2">
        <w:rPr>
          <w:rFonts w:eastAsia="Times New Roman" w:cs="Arial"/>
          <w:color w:val="000000"/>
          <w:lang w:val="ru-RU"/>
        </w:rPr>
        <w:t xml:space="preserve">), </w:t>
      </w:r>
      <w:r w:rsidRPr="00AA1FB2">
        <w:rPr>
          <w:rFonts w:eastAsia="Times New Roman" w:cs="Arial"/>
          <w:color w:val="000000"/>
          <w:lang w:eastAsia="bg-BG"/>
        </w:rPr>
        <w:t xml:space="preserve">клопидогрел е оценяван в последователни дози от 0,01,0,1 и 0,2 </w:t>
      </w:r>
      <w:r w:rsidRPr="00AA1FB2">
        <w:rPr>
          <w:rFonts w:eastAsia="Times New Roman" w:cs="Arial"/>
          <w:color w:val="000000"/>
          <w:lang w:val="en-US"/>
        </w:rPr>
        <w:t>mg</w:t>
      </w:r>
      <w:r w:rsidRPr="00AA1FB2">
        <w:rPr>
          <w:rFonts w:eastAsia="Times New Roman" w:cs="Arial"/>
          <w:color w:val="000000"/>
          <w:lang w:val="ru-RU"/>
        </w:rPr>
        <w:t>/</w:t>
      </w:r>
      <w:r w:rsidRPr="00AA1FB2">
        <w:rPr>
          <w:rFonts w:eastAsia="Times New Roman" w:cs="Arial"/>
          <w:color w:val="000000"/>
          <w:lang w:val="en-US"/>
        </w:rPr>
        <w:t>kg</w:t>
      </w:r>
      <w:r w:rsidRPr="00AA1FB2">
        <w:rPr>
          <w:rFonts w:eastAsia="Times New Roman" w:cs="Arial"/>
          <w:color w:val="000000"/>
          <w:lang w:val="ru-RU"/>
        </w:rPr>
        <w:t xml:space="preserve"> </w:t>
      </w:r>
      <w:r w:rsidRPr="00AA1FB2">
        <w:rPr>
          <w:rFonts w:eastAsia="Times New Roman" w:cs="Arial"/>
          <w:color w:val="000000"/>
          <w:lang w:eastAsia="bg-BG"/>
        </w:rPr>
        <w:t xml:space="preserve">при новородени и деца и 0,15 </w:t>
      </w:r>
      <w:r w:rsidRPr="00AA1FB2">
        <w:rPr>
          <w:rFonts w:eastAsia="Times New Roman" w:cs="Arial"/>
          <w:color w:val="000000"/>
          <w:lang w:val="en-US"/>
        </w:rPr>
        <w:t>mg</w:t>
      </w:r>
      <w:r w:rsidRPr="00AA1FB2">
        <w:rPr>
          <w:rFonts w:eastAsia="Times New Roman" w:cs="Arial"/>
          <w:color w:val="000000"/>
          <w:lang w:val="ru-RU"/>
        </w:rPr>
        <w:t>/</w:t>
      </w:r>
      <w:r w:rsidRPr="00AA1FB2">
        <w:rPr>
          <w:rFonts w:eastAsia="Times New Roman" w:cs="Arial"/>
          <w:color w:val="000000"/>
          <w:lang w:val="en-US"/>
        </w:rPr>
        <w:t>kg</w:t>
      </w:r>
      <w:r w:rsidRPr="00AA1FB2">
        <w:rPr>
          <w:rFonts w:eastAsia="Times New Roman" w:cs="Arial"/>
          <w:color w:val="000000"/>
          <w:lang w:val="ru-RU"/>
        </w:rPr>
        <w:t xml:space="preserve"> </w:t>
      </w:r>
      <w:r w:rsidRPr="00AA1FB2">
        <w:rPr>
          <w:rFonts w:eastAsia="Times New Roman" w:cs="Arial"/>
          <w:color w:val="000000"/>
          <w:lang w:eastAsia="bg-BG"/>
        </w:rPr>
        <w:t xml:space="preserve">само при новородени. Дозата от 0,2 </w:t>
      </w:r>
      <w:r w:rsidRPr="00AA1FB2">
        <w:rPr>
          <w:rFonts w:eastAsia="Times New Roman" w:cs="Arial"/>
          <w:color w:val="000000"/>
          <w:lang w:val="en-US"/>
        </w:rPr>
        <w:t>mg</w:t>
      </w:r>
      <w:r w:rsidRPr="00AA1FB2">
        <w:rPr>
          <w:rFonts w:eastAsia="Times New Roman" w:cs="Arial"/>
          <w:color w:val="000000"/>
          <w:lang w:val="ru-RU"/>
        </w:rPr>
        <w:t>/</w:t>
      </w:r>
      <w:r w:rsidRPr="00AA1FB2">
        <w:rPr>
          <w:rFonts w:eastAsia="Times New Roman" w:cs="Arial"/>
          <w:color w:val="000000"/>
          <w:lang w:val="en-US"/>
        </w:rPr>
        <w:t>kg</w:t>
      </w:r>
      <w:r w:rsidRPr="00AA1FB2">
        <w:rPr>
          <w:rFonts w:eastAsia="Times New Roman" w:cs="Arial"/>
          <w:color w:val="000000"/>
          <w:lang w:val="ru-RU"/>
        </w:rPr>
        <w:t xml:space="preserve"> </w:t>
      </w:r>
      <w:r w:rsidRPr="00AA1FB2">
        <w:rPr>
          <w:rFonts w:eastAsia="Times New Roman" w:cs="Arial"/>
          <w:color w:val="000000"/>
          <w:lang w:eastAsia="bg-BG"/>
        </w:rPr>
        <w:t xml:space="preserve">достига среден процент на инхибиране 49,3% (5 μМ АДФ-индуцирана тромбоцитна агрегация), който е сравним с този при възрастни, приемащи клопидогрел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дневно.</w:t>
      </w:r>
    </w:p>
    <w:p w14:paraId="0EDA2F8A" w14:textId="77777777" w:rsidR="00AA1FB2" w:rsidRPr="00AA1FB2" w:rsidRDefault="00AA1FB2" w:rsidP="00AA1FB2">
      <w:pPr>
        <w:spacing w:line="240" w:lineRule="auto"/>
        <w:rPr>
          <w:rFonts w:eastAsia="Times New Roman" w:cs="Arial"/>
          <w:color w:val="000000"/>
          <w:lang w:eastAsia="bg-BG"/>
        </w:rPr>
      </w:pPr>
    </w:p>
    <w:p w14:paraId="4999A34A" w14:textId="6825D7F1"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 рандомизирано, двойно-сляпо, паралелно групово проучване </w:t>
      </w:r>
      <w:r w:rsidRPr="00AA1FB2">
        <w:rPr>
          <w:rFonts w:eastAsia="Times New Roman" w:cs="Arial"/>
          <w:color w:val="000000"/>
          <w:lang w:val="ru-RU"/>
        </w:rPr>
        <w:t>(</w:t>
      </w:r>
      <w:r w:rsidRPr="00AA1FB2">
        <w:rPr>
          <w:rFonts w:eastAsia="Times New Roman" w:cs="Arial"/>
          <w:color w:val="000000"/>
          <w:lang w:val="en-US"/>
        </w:rPr>
        <w:t>CLARINET</w:t>
      </w:r>
      <w:r w:rsidRPr="00AA1FB2">
        <w:rPr>
          <w:rFonts w:eastAsia="Times New Roman" w:cs="Arial"/>
          <w:color w:val="000000"/>
          <w:lang w:val="ru-RU"/>
        </w:rPr>
        <w:t xml:space="preserve">) </w:t>
      </w:r>
      <w:r w:rsidRPr="00AA1FB2">
        <w:rPr>
          <w:rFonts w:eastAsia="Times New Roman" w:cs="Arial"/>
          <w:color w:val="000000"/>
          <w:lang w:eastAsia="bg-BG"/>
        </w:rPr>
        <w:t xml:space="preserve">906 педиатрични пациенти (новородени и деца), с цианотично вродено сърдечно заболяване, с палиативно поставен системно-белодробен артериален шънт, са рандомизирани да приемат клопидогрел 0,2 </w:t>
      </w:r>
      <w:r w:rsidRPr="00AA1FB2">
        <w:rPr>
          <w:rFonts w:eastAsia="Times New Roman" w:cs="Arial"/>
          <w:color w:val="000000"/>
          <w:lang w:val="en-US"/>
        </w:rPr>
        <w:t>mg</w:t>
      </w:r>
      <w:r w:rsidRPr="00AA1FB2">
        <w:rPr>
          <w:rFonts w:eastAsia="Times New Roman" w:cs="Arial"/>
          <w:color w:val="000000"/>
          <w:lang w:val="ru-RU"/>
        </w:rPr>
        <w:t>/</w:t>
      </w:r>
      <w:r w:rsidRPr="00AA1FB2">
        <w:rPr>
          <w:rFonts w:eastAsia="Times New Roman" w:cs="Arial"/>
          <w:color w:val="000000"/>
          <w:lang w:val="en-US"/>
        </w:rPr>
        <w:t>kg</w:t>
      </w:r>
      <w:r w:rsidRPr="00AA1FB2">
        <w:rPr>
          <w:rFonts w:eastAsia="Times New Roman" w:cs="Arial"/>
          <w:color w:val="000000"/>
          <w:lang w:val="ru-RU"/>
        </w:rPr>
        <w:t xml:space="preserve"> </w:t>
      </w:r>
      <w:r w:rsidRPr="00AA1FB2">
        <w:rPr>
          <w:rFonts w:eastAsia="Times New Roman" w:cs="Arial"/>
          <w:color w:val="000000"/>
          <w:lang w:eastAsia="bg-BG"/>
        </w:rPr>
        <w:t>(</w:t>
      </w:r>
      <w:r w:rsidRPr="00AA1FB2">
        <w:rPr>
          <w:rFonts w:eastAsia="Times New Roman" w:cs="Arial"/>
          <w:color w:val="000000"/>
          <w:lang w:val="en-US"/>
        </w:rPr>
        <w:t>n</w:t>
      </w:r>
      <w:r w:rsidRPr="00AA1FB2">
        <w:rPr>
          <w:rFonts w:eastAsia="Times New Roman" w:cs="Arial"/>
          <w:color w:val="000000"/>
          <w:lang w:eastAsia="bg-BG"/>
        </w:rPr>
        <w:t xml:space="preserve"> = 467) или плацебо (</w:t>
      </w:r>
      <w:r w:rsidRPr="00AA1FB2">
        <w:rPr>
          <w:rFonts w:eastAsia="Times New Roman" w:cs="Arial"/>
          <w:color w:val="000000"/>
          <w:lang w:val="en-US"/>
        </w:rPr>
        <w:t>n</w:t>
      </w:r>
      <w:r w:rsidRPr="00AA1FB2">
        <w:rPr>
          <w:rFonts w:eastAsia="Times New Roman" w:cs="Arial"/>
          <w:color w:val="000000"/>
          <w:lang w:eastAsia="bg-BG"/>
        </w:rPr>
        <w:t xml:space="preserve"> = 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sidRPr="00AA1FB2">
        <w:rPr>
          <w:rFonts w:eastAsia="Times New Roman" w:cs="Arial"/>
          <w:color w:val="000000"/>
          <w:lang w:val="en-US"/>
        </w:rPr>
        <w:t>mg</w:t>
      </w:r>
      <w:r w:rsidRPr="00AA1FB2">
        <w:rPr>
          <w:rFonts w:eastAsia="Times New Roman" w:cs="Arial"/>
          <w:color w:val="000000"/>
          <w:lang w:val="ru-RU"/>
        </w:rPr>
        <w:t>/</w:t>
      </w:r>
      <w:r w:rsidRPr="00AA1FB2">
        <w:rPr>
          <w:rFonts w:eastAsia="Times New Roman" w:cs="Arial"/>
          <w:color w:val="000000"/>
          <w:lang w:val="en-US"/>
        </w:rPr>
        <w:t>kg</w:t>
      </w:r>
      <w:r w:rsidRPr="00AA1FB2">
        <w:rPr>
          <w:rFonts w:eastAsia="Times New Roman" w:cs="Arial"/>
          <w:color w:val="000000"/>
          <w:lang w:val="ru-RU"/>
        </w:rPr>
        <w:t xml:space="preserve"> </w:t>
      </w:r>
      <w:r w:rsidRPr="00AA1FB2">
        <w:rPr>
          <w:rFonts w:eastAsia="Times New Roman" w:cs="Arial"/>
          <w:color w:val="000000"/>
          <w:lang w:eastAsia="bg-BG"/>
        </w:rPr>
        <w:t>дневно). Не е наблюдавана значима разлика между групите по отношение на първичната съставна крайна точка на смърт, тромбоза на шънта или сърдечна интервенция по-рано от 120-дневна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18-месечна възраст. Не са наблюдавани нови съображения относно безопасността по време на това дългосрочно проследяване.</w:t>
      </w:r>
    </w:p>
    <w:p w14:paraId="3C3BB8DC" w14:textId="77777777" w:rsidR="00AA1FB2" w:rsidRPr="00AA1FB2" w:rsidRDefault="00AA1FB2" w:rsidP="00AA1FB2">
      <w:pPr>
        <w:spacing w:line="240" w:lineRule="auto"/>
        <w:rPr>
          <w:rFonts w:eastAsia="Times New Roman" w:cs="Arial"/>
          <w:color w:val="000000"/>
          <w:lang w:eastAsia="bg-BG"/>
        </w:rPr>
      </w:pPr>
    </w:p>
    <w:p w14:paraId="433FA2B5" w14:textId="635E85B1" w:rsidR="00AA1FB2" w:rsidRPr="00AA1FB2" w:rsidRDefault="00AA1FB2" w:rsidP="00AA1FB2">
      <w:pPr>
        <w:spacing w:line="240" w:lineRule="auto"/>
        <w:rPr>
          <w:rFonts w:eastAsia="Times New Roman" w:cs="Arial"/>
        </w:rPr>
      </w:pPr>
      <w:r w:rsidRPr="00AA1FB2">
        <w:rPr>
          <w:rFonts w:eastAsia="Times New Roman" w:cs="Arial"/>
          <w:color w:val="000000"/>
          <w:lang w:eastAsia="bg-BG"/>
        </w:rPr>
        <w:t xml:space="preserve">Изпитванията </w:t>
      </w:r>
      <w:r w:rsidRPr="00AA1FB2">
        <w:rPr>
          <w:rFonts w:eastAsia="Times New Roman" w:cs="Arial"/>
          <w:color w:val="000000"/>
          <w:lang w:val="en-US"/>
        </w:rPr>
        <w:t>CLARINET</w:t>
      </w:r>
      <w:r w:rsidRPr="00AA1FB2">
        <w:rPr>
          <w:rFonts w:eastAsia="Times New Roman" w:cs="Arial"/>
          <w:color w:val="000000"/>
          <w:lang w:val="ru-RU"/>
        </w:rPr>
        <w:t xml:space="preserve"> </w:t>
      </w:r>
      <w:r w:rsidRPr="00AA1FB2">
        <w:rPr>
          <w:rFonts w:eastAsia="Times New Roman" w:cs="Arial"/>
          <w:color w:val="000000"/>
          <w:lang w:eastAsia="bg-BG"/>
        </w:rPr>
        <w:t xml:space="preserve">и </w:t>
      </w:r>
      <w:r w:rsidRPr="00AA1FB2">
        <w:rPr>
          <w:rFonts w:eastAsia="Times New Roman" w:cs="Arial"/>
          <w:color w:val="000000"/>
          <w:lang w:val="en-US"/>
        </w:rPr>
        <w:t>P</w:t>
      </w:r>
      <w:r w:rsidRPr="00AA1FB2">
        <w:rPr>
          <w:rFonts w:eastAsia="Times New Roman" w:cs="Arial"/>
          <w:color w:val="000000"/>
          <w:lang w:val="ru-RU"/>
        </w:rPr>
        <w:t>1</w:t>
      </w:r>
      <w:r w:rsidRPr="00AA1FB2">
        <w:rPr>
          <w:rFonts w:eastAsia="Times New Roman" w:cs="Arial"/>
          <w:color w:val="000000"/>
          <w:lang w:val="en-US"/>
        </w:rPr>
        <w:t>COLO</w:t>
      </w:r>
      <w:r w:rsidRPr="00AA1FB2">
        <w:rPr>
          <w:rFonts w:eastAsia="Times New Roman" w:cs="Arial"/>
          <w:color w:val="000000"/>
          <w:lang w:val="ru-RU"/>
        </w:rPr>
        <w:t xml:space="preserve"> </w:t>
      </w:r>
      <w:r w:rsidRPr="00AA1FB2">
        <w:rPr>
          <w:rFonts w:eastAsia="Times New Roman" w:cs="Arial"/>
          <w:color w:val="000000"/>
          <w:lang w:eastAsia="bg-BG"/>
        </w:rPr>
        <w:t xml:space="preserve">са проведени с използване на приготвен разтвор </w:t>
      </w:r>
      <w:r w:rsidRPr="00AA1FB2">
        <w:rPr>
          <w:rFonts w:eastAsia="Times New Roman" w:cs="Arial"/>
          <w:color w:val="000000"/>
          <w:u w:val="single"/>
          <w:lang w:eastAsia="bg-BG"/>
        </w:rPr>
        <w:t xml:space="preserve">на </w:t>
      </w:r>
      <w:r w:rsidRPr="00AA1FB2">
        <w:rPr>
          <w:rFonts w:eastAsia="Times New Roman" w:cs="Arial"/>
          <w:color w:val="000000"/>
          <w:lang w:eastAsia="bg-BG"/>
        </w:rPr>
        <w:t>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14:paraId="072D9877" w14:textId="5CA448A8" w:rsidR="00AA1FB2" w:rsidRPr="006B7E28" w:rsidRDefault="00AA1FB2" w:rsidP="00AA1FB2"/>
    <w:p w14:paraId="78DD93AA" w14:textId="22552E92" w:rsidR="00B6672E" w:rsidRDefault="002C50EE" w:rsidP="00936AD0">
      <w:pPr>
        <w:pStyle w:val="Heading2"/>
      </w:pPr>
      <w:r>
        <w:t>5.2. Фармакокинетични свойства</w:t>
      </w:r>
    </w:p>
    <w:p w14:paraId="38E84E90" w14:textId="431AB4A4" w:rsidR="00AA1FB2" w:rsidRDefault="00AA1FB2" w:rsidP="00AA1FB2"/>
    <w:p w14:paraId="20341464" w14:textId="77777777" w:rsidR="00AA1FB2" w:rsidRPr="00AA1FB2" w:rsidRDefault="00AA1FB2" w:rsidP="00AA1FB2">
      <w:pPr>
        <w:pStyle w:val="Heading3"/>
        <w:rPr>
          <w:rFonts w:eastAsia="Times New Roman"/>
          <w:i/>
        </w:rPr>
      </w:pPr>
      <w:r w:rsidRPr="00AA1FB2">
        <w:rPr>
          <w:rFonts w:eastAsia="Times New Roman"/>
          <w:i/>
          <w:lang w:eastAsia="bg-BG"/>
        </w:rPr>
        <w:lastRenderedPageBreak/>
        <w:t>Абсорбция</w:t>
      </w:r>
    </w:p>
    <w:p w14:paraId="08FF14ED" w14:textId="77777777" w:rsidR="00AA1FB2" w:rsidRPr="00AA1FB2" w:rsidRDefault="00AA1FB2" w:rsidP="00AA1FB2">
      <w:pPr>
        <w:spacing w:line="240" w:lineRule="auto"/>
        <w:rPr>
          <w:rFonts w:eastAsia="Times New Roman" w:cs="Arial"/>
          <w:sz w:val="24"/>
          <w:szCs w:val="24"/>
        </w:rPr>
      </w:pPr>
      <w:r w:rsidRPr="00AA1FB2">
        <w:rPr>
          <w:rFonts w:eastAsia="Times New Roman" w:cs="Arial"/>
          <w:i/>
          <w:iCs/>
          <w:color w:val="000000"/>
          <w:lang w:eastAsia="bg-BG"/>
        </w:rPr>
        <w:t>След</w:t>
      </w:r>
      <w:r w:rsidRPr="00AA1FB2">
        <w:rPr>
          <w:rFonts w:eastAsia="Times New Roman" w:cs="Arial"/>
          <w:color w:val="000000"/>
          <w:lang w:eastAsia="bg-BG"/>
        </w:rPr>
        <w:t xml:space="preserve"> еднократно и многократно перорално приложение на дози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на ден, клопидогрел се абсорбира бързо. Средните пикови плазмени нива на непроменен клопидогрел (приблизително 2.2-2.5 </w:t>
      </w:r>
      <w:r w:rsidRPr="00AA1FB2">
        <w:rPr>
          <w:rFonts w:eastAsia="Times New Roman" w:cs="Arial"/>
          <w:color w:val="000000"/>
          <w:lang w:val="en-US"/>
        </w:rPr>
        <w:t>ng</w:t>
      </w:r>
      <w:r w:rsidRPr="00AA1FB2">
        <w:rPr>
          <w:rFonts w:eastAsia="Times New Roman" w:cs="Arial"/>
          <w:color w:val="000000"/>
          <w:lang w:val="ru-RU"/>
        </w:rPr>
        <w:t>/</w:t>
      </w:r>
      <w:r w:rsidRPr="00AA1FB2">
        <w:rPr>
          <w:rFonts w:eastAsia="Times New Roman" w:cs="Arial"/>
          <w:color w:val="000000"/>
          <w:lang w:val="en-US"/>
        </w:rPr>
        <w:t>ml</w:t>
      </w:r>
      <w:r w:rsidRPr="00AA1FB2">
        <w:rPr>
          <w:rFonts w:eastAsia="Times New Roman" w:cs="Arial"/>
          <w:color w:val="000000"/>
          <w:lang w:val="ru-RU"/>
        </w:rPr>
        <w:t xml:space="preserve"> </w:t>
      </w:r>
      <w:r w:rsidRPr="00AA1FB2">
        <w:rPr>
          <w:rFonts w:eastAsia="Times New Roman" w:cs="Arial"/>
          <w:color w:val="000000"/>
          <w:lang w:eastAsia="bg-BG"/>
        </w:rPr>
        <w:t xml:space="preserve">след еднократна перорална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се отчитат около 45 минути след приложението. Абсорбцията е най-малко 50%, въз основа на екскрецията с урината на метаболитите на клопидогрел.</w:t>
      </w:r>
    </w:p>
    <w:p w14:paraId="77A6FB19" w14:textId="77777777" w:rsidR="00AA1FB2" w:rsidRPr="00AA1FB2" w:rsidRDefault="00AA1FB2" w:rsidP="00AA1FB2">
      <w:pPr>
        <w:spacing w:line="240" w:lineRule="auto"/>
        <w:rPr>
          <w:rFonts w:eastAsia="Times New Roman" w:cs="Arial"/>
          <w:i/>
          <w:iCs/>
          <w:color w:val="000000"/>
          <w:lang w:eastAsia="bg-BG"/>
        </w:rPr>
      </w:pPr>
    </w:p>
    <w:p w14:paraId="3CD27E59" w14:textId="382B7EA9" w:rsidR="00AA1FB2" w:rsidRPr="00AA1FB2" w:rsidRDefault="00AA1FB2" w:rsidP="00AA1FB2">
      <w:pPr>
        <w:pStyle w:val="Heading3"/>
        <w:rPr>
          <w:rFonts w:eastAsia="Times New Roman"/>
          <w:i/>
        </w:rPr>
      </w:pPr>
      <w:r w:rsidRPr="00AA1FB2">
        <w:rPr>
          <w:rFonts w:eastAsia="Times New Roman"/>
          <w:i/>
          <w:lang w:eastAsia="bg-BG"/>
        </w:rPr>
        <w:t>Разпределение</w:t>
      </w:r>
    </w:p>
    <w:p w14:paraId="7245E349"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Клопидогрел и главният циркулиращ (неактивен) метаболит се свързват обратимо при ин витро условия с човешките плазмени протеини (съответно 98% и 94%). При </w:t>
      </w:r>
      <w:r w:rsidRPr="00AA1FB2">
        <w:rPr>
          <w:rFonts w:eastAsia="Times New Roman" w:cs="Arial"/>
          <w:i/>
          <w:iCs/>
          <w:color w:val="000000"/>
          <w:lang w:eastAsia="bg-BG"/>
        </w:rPr>
        <w:t>ин витро</w:t>
      </w:r>
      <w:r w:rsidRPr="00AA1FB2">
        <w:rPr>
          <w:rFonts w:eastAsia="Times New Roman" w:cs="Arial"/>
          <w:color w:val="000000"/>
          <w:lang w:eastAsia="bg-BG"/>
        </w:rPr>
        <w:t xml:space="preserve"> условия свързването не зависи от степента на насищане, при широки граници на концентрацията.</w:t>
      </w:r>
    </w:p>
    <w:p w14:paraId="6A224193" w14:textId="77777777" w:rsidR="00AA1FB2" w:rsidRPr="00AA1FB2" w:rsidRDefault="00AA1FB2" w:rsidP="00AA1FB2">
      <w:pPr>
        <w:spacing w:line="240" w:lineRule="auto"/>
        <w:rPr>
          <w:rFonts w:eastAsia="Times New Roman" w:cs="Arial"/>
          <w:i/>
          <w:iCs/>
          <w:color w:val="000000"/>
          <w:lang w:eastAsia="bg-BG"/>
        </w:rPr>
      </w:pPr>
    </w:p>
    <w:p w14:paraId="7E2D683E" w14:textId="5BFBE8E3" w:rsidR="00AA1FB2" w:rsidRPr="00AA1FB2" w:rsidRDefault="00AA1FB2" w:rsidP="00AA1FB2">
      <w:pPr>
        <w:pStyle w:val="Heading3"/>
        <w:rPr>
          <w:rFonts w:eastAsia="Times New Roman"/>
          <w:i/>
        </w:rPr>
      </w:pPr>
      <w:r w:rsidRPr="00AA1FB2">
        <w:rPr>
          <w:rFonts w:eastAsia="Times New Roman"/>
          <w:i/>
          <w:lang w:eastAsia="bg-BG"/>
        </w:rPr>
        <w:t>Биотрансформация</w:t>
      </w:r>
    </w:p>
    <w:p w14:paraId="2F051520"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Клопидогрел екстензивно се метаболизира от черния дроб. При ин витро и ин виво </w:t>
      </w:r>
      <w:r w:rsidRPr="00AA1FB2">
        <w:rPr>
          <w:rFonts w:eastAsia="Times New Roman" w:cs="Arial"/>
          <w:i/>
          <w:iCs/>
          <w:color w:val="000000"/>
          <w:lang w:eastAsia="bg-BG"/>
        </w:rPr>
        <w:t xml:space="preserve">условия, </w:t>
      </w:r>
      <w:r w:rsidRPr="00AA1FB2">
        <w:rPr>
          <w:rFonts w:eastAsia="Times New Roman" w:cs="Arial"/>
          <w:color w:val="000000"/>
          <w:lang w:eastAsia="bg-BG"/>
        </w:rPr>
        <w:t xml:space="preserve">клопидогрел се метаболизира по два основни метаболитни пътя: единият - медииран от естеразите и чрез хидролиза до неговия неактивен дериват на карбоксиловата киселина (представлява 85% от циркулиращите метаболити), а вторият - медииран от различни цитохром Р450. Клопидогрел се разгражда най-напред до интермедиерния метаболит 2-оксо-клопидогрел. Следващият метаболизъм на 2-оксо-клопвдогрел води до образуването на активния метаболит, един тиолов дериват на клопидогрел. Активният метаболит се образува предимно от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 xml:space="preserve">с участието на няколко други </w:t>
      </w:r>
      <w:r w:rsidRPr="00AA1FB2">
        <w:rPr>
          <w:rFonts w:eastAsia="Times New Roman" w:cs="Arial"/>
          <w:color w:val="000000"/>
          <w:lang w:val="en-US"/>
        </w:rPr>
        <w:t>CYP</w:t>
      </w:r>
      <w:r w:rsidRPr="00AA1FB2">
        <w:rPr>
          <w:rFonts w:eastAsia="Times New Roman" w:cs="Arial"/>
          <w:color w:val="000000"/>
          <w:lang w:val="ru-RU"/>
        </w:rPr>
        <w:t xml:space="preserve"> </w:t>
      </w:r>
      <w:r w:rsidRPr="00AA1FB2">
        <w:rPr>
          <w:rFonts w:eastAsia="Times New Roman" w:cs="Arial"/>
          <w:color w:val="000000"/>
          <w:lang w:eastAsia="bg-BG"/>
        </w:rPr>
        <w:t xml:space="preserve">ензими, включително </w:t>
      </w:r>
      <w:r w:rsidRPr="00AA1FB2">
        <w:rPr>
          <w:rFonts w:eastAsia="Times New Roman" w:cs="Arial"/>
          <w:color w:val="000000"/>
          <w:lang w:val="en-US"/>
        </w:rPr>
        <w:t>CYP</w:t>
      </w:r>
      <w:r w:rsidRPr="00AA1FB2">
        <w:rPr>
          <w:rFonts w:eastAsia="Times New Roman" w:cs="Arial"/>
          <w:color w:val="000000"/>
          <w:lang w:val="ru-RU"/>
        </w:rPr>
        <w:t>1</w:t>
      </w:r>
      <w:r w:rsidRPr="00AA1FB2">
        <w:rPr>
          <w:rFonts w:eastAsia="Times New Roman" w:cs="Arial"/>
          <w:color w:val="000000"/>
          <w:lang w:eastAsia="bg-BG"/>
        </w:rPr>
        <w:t xml:space="preserve">А2,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B</w:t>
      </w:r>
      <w:r w:rsidRPr="00AA1FB2">
        <w:rPr>
          <w:rFonts w:eastAsia="Times New Roman" w:cs="Arial"/>
          <w:color w:val="000000"/>
          <w:lang w:val="ru-RU"/>
        </w:rPr>
        <w:t xml:space="preserve">6 </w:t>
      </w:r>
      <w:r w:rsidRPr="00AA1FB2">
        <w:rPr>
          <w:rFonts w:eastAsia="Times New Roman" w:cs="Arial"/>
          <w:color w:val="000000"/>
          <w:lang w:eastAsia="bg-BG"/>
        </w:rPr>
        <w:t xml:space="preserve">и </w:t>
      </w:r>
      <w:r w:rsidRPr="00AA1FB2">
        <w:rPr>
          <w:rFonts w:eastAsia="Times New Roman" w:cs="Arial"/>
          <w:color w:val="000000"/>
          <w:lang w:val="en-US"/>
        </w:rPr>
        <w:t>CYP</w:t>
      </w:r>
      <w:r w:rsidRPr="00AA1FB2">
        <w:rPr>
          <w:rFonts w:eastAsia="Times New Roman" w:cs="Arial"/>
          <w:color w:val="000000"/>
          <w:lang w:val="ru-RU"/>
        </w:rPr>
        <w:t>3</w:t>
      </w:r>
      <w:r w:rsidRPr="00AA1FB2">
        <w:rPr>
          <w:rFonts w:eastAsia="Times New Roman" w:cs="Arial"/>
          <w:color w:val="000000"/>
          <w:lang w:val="en-US"/>
        </w:rPr>
        <w:t>A</w:t>
      </w:r>
      <w:r w:rsidRPr="00AA1FB2">
        <w:rPr>
          <w:rFonts w:eastAsia="Times New Roman" w:cs="Arial"/>
          <w:color w:val="000000"/>
          <w:lang w:val="ru-RU"/>
        </w:rPr>
        <w:t xml:space="preserve">4. </w:t>
      </w:r>
      <w:r w:rsidRPr="00AA1FB2">
        <w:rPr>
          <w:rFonts w:eastAsia="Times New Roman" w:cs="Arial"/>
          <w:color w:val="000000"/>
          <w:lang w:eastAsia="bg-BG"/>
        </w:rPr>
        <w:t xml:space="preserve">Активният тиолов метаболит, който е изолиран </w:t>
      </w:r>
      <w:r w:rsidRPr="00AA1FB2">
        <w:rPr>
          <w:rFonts w:eastAsia="Times New Roman" w:cs="Arial"/>
          <w:i/>
          <w:iCs/>
          <w:color w:val="000000"/>
          <w:lang w:eastAsia="bg-BG"/>
        </w:rPr>
        <w:t>ин витро</w:t>
      </w:r>
      <w:r w:rsidRPr="00AA1FB2">
        <w:rPr>
          <w:rFonts w:eastAsia="Times New Roman" w:cs="Arial"/>
          <w:color w:val="000000"/>
          <w:lang w:eastAsia="bg-BG"/>
        </w:rPr>
        <w:t xml:space="preserve"> се свързва бързо и необратимо с тромбоцитните рецептори, като потиска тромбоцитната агрегация.</w:t>
      </w:r>
    </w:p>
    <w:p w14:paraId="473CC651" w14:textId="77777777" w:rsidR="00AA1FB2" w:rsidRPr="00AA1FB2" w:rsidRDefault="00AA1FB2" w:rsidP="00AA1FB2">
      <w:pPr>
        <w:spacing w:line="240" w:lineRule="auto"/>
        <w:rPr>
          <w:rFonts w:eastAsia="Times New Roman" w:cs="Arial"/>
          <w:color w:val="000000"/>
          <w:lang w:eastAsia="bg-BG"/>
        </w:rPr>
      </w:pPr>
    </w:p>
    <w:p w14:paraId="7108372D" w14:textId="3F3AA0EF"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Максималната концентрация (С</w:t>
      </w:r>
      <w:r w:rsidRPr="00AA1FB2">
        <w:rPr>
          <w:rFonts w:eastAsia="Times New Roman" w:cs="Arial"/>
          <w:color w:val="000000"/>
          <w:vertAlign w:val="subscript"/>
          <w:lang w:val="en-US"/>
        </w:rPr>
        <w:t>max</w:t>
      </w:r>
      <w:r w:rsidRPr="00AA1FB2">
        <w:rPr>
          <w:rFonts w:eastAsia="Times New Roman" w:cs="Arial"/>
          <w:color w:val="000000"/>
          <w:lang w:eastAsia="bg-BG"/>
        </w:rPr>
        <w:t xml:space="preserve">) на активния метаболит е два пъти по-висока след еднократна натоварваща доза клопидогрел от 300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отколкото след четири дни по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поддържаща доза. Тя се постига приблизително 30 до 60 минути след приложението.</w:t>
      </w:r>
    </w:p>
    <w:p w14:paraId="311130B1" w14:textId="77777777" w:rsidR="00AA1FB2" w:rsidRPr="00AA1FB2" w:rsidRDefault="00AA1FB2" w:rsidP="00AA1FB2">
      <w:pPr>
        <w:spacing w:line="240" w:lineRule="auto"/>
        <w:rPr>
          <w:rFonts w:eastAsia="Times New Roman" w:cs="Arial"/>
          <w:i/>
          <w:iCs/>
          <w:color w:val="000000"/>
          <w:lang w:eastAsia="bg-BG"/>
        </w:rPr>
      </w:pPr>
    </w:p>
    <w:p w14:paraId="6339AF48" w14:textId="0190F4EF" w:rsidR="00AA1FB2" w:rsidRPr="00AA1FB2" w:rsidRDefault="00AA1FB2" w:rsidP="00AA1FB2">
      <w:pPr>
        <w:pStyle w:val="Heading3"/>
        <w:rPr>
          <w:rFonts w:eastAsia="Times New Roman"/>
          <w:i/>
        </w:rPr>
      </w:pPr>
      <w:r w:rsidRPr="00AA1FB2">
        <w:rPr>
          <w:rFonts w:eastAsia="Times New Roman"/>
          <w:i/>
          <w:lang w:eastAsia="bg-BG"/>
        </w:rPr>
        <w:t>Елиминиране</w:t>
      </w:r>
    </w:p>
    <w:p w14:paraId="370659C3"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След перорален прием на маркиран с </w:t>
      </w:r>
      <w:r w:rsidRPr="00AA1FB2">
        <w:rPr>
          <w:rFonts w:eastAsia="Times New Roman" w:cs="Arial"/>
          <w:color w:val="000000"/>
          <w:vertAlign w:val="superscript"/>
          <w:lang w:eastAsia="bg-BG"/>
        </w:rPr>
        <w:t>14</w:t>
      </w:r>
      <w:r w:rsidRPr="00AA1FB2">
        <w:rPr>
          <w:rFonts w:eastAsia="Times New Roman" w:cs="Arial"/>
          <w:color w:val="000000"/>
          <w:lang w:eastAsia="bg-BG"/>
        </w:rPr>
        <w:t xml:space="preserve">С клопидогрел при хора приблизително 50% се екскретира в урината и около 46% през фекалиите през 120-часовия интервал след приема. След еднократна перорална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14:paraId="584F6996" w14:textId="77777777" w:rsidR="00AA1FB2" w:rsidRPr="00AA1FB2" w:rsidRDefault="00AA1FB2" w:rsidP="00AA1FB2">
      <w:pPr>
        <w:spacing w:line="240" w:lineRule="auto"/>
        <w:rPr>
          <w:rFonts w:eastAsia="Times New Roman" w:cs="Arial"/>
          <w:i/>
          <w:iCs/>
          <w:color w:val="000000"/>
          <w:lang w:eastAsia="bg-BG"/>
        </w:rPr>
      </w:pPr>
    </w:p>
    <w:p w14:paraId="09AE6A4E" w14:textId="7B85D528" w:rsidR="00AA1FB2" w:rsidRPr="00AA1FB2" w:rsidRDefault="00AA1FB2" w:rsidP="00AA1FB2">
      <w:pPr>
        <w:pStyle w:val="Heading3"/>
        <w:rPr>
          <w:rFonts w:eastAsia="Times New Roman"/>
          <w:i/>
        </w:rPr>
      </w:pPr>
      <w:r w:rsidRPr="00AA1FB2">
        <w:rPr>
          <w:rFonts w:eastAsia="Times New Roman"/>
          <w:i/>
          <w:lang w:eastAsia="bg-BG"/>
        </w:rPr>
        <w:t>Фармакогенетика</w:t>
      </w:r>
    </w:p>
    <w:p w14:paraId="0330EB5C"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С</w:t>
      </w:r>
      <w:r w:rsidRPr="00AA1FB2">
        <w:rPr>
          <w:rFonts w:eastAsia="Times New Roman" w:cs="Arial"/>
          <w:color w:val="000000"/>
          <w:lang w:val="en-US"/>
        </w:rPr>
        <w:t>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eastAsia="bg-BG"/>
        </w:rPr>
        <w:t xml:space="preserve">19 катализира образуването на активния метаболит и на 2-оксо-клопидогрел интермедиерен метаболит. Фармакокинетиката и антитромбоцитните ефекти на активния метаболит, оценени в екс виво условия с проби за тромбоцитна агрегация, са различни в зависимост от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генотипа.</w:t>
      </w:r>
    </w:p>
    <w:p w14:paraId="044837EA" w14:textId="77777777" w:rsidR="00AA1FB2" w:rsidRPr="00AA1FB2" w:rsidRDefault="00AA1FB2" w:rsidP="00AA1FB2">
      <w:pPr>
        <w:spacing w:line="240" w:lineRule="auto"/>
        <w:rPr>
          <w:rFonts w:eastAsia="Times New Roman" w:cs="Arial"/>
          <w:color w:val="000000"/>
          <w:lang w:eastAsia="bg-BG"/>
        </w:rPr>
      </w:pPr>
    </w:p>
    <w:p w14:paraId="06C1E4AB" w14:textId="79928012"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Алелът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 xml:space="preserve">кореспондира на напълно функциониращ метаболизъм, докато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19*2 </w:t>
      </w:r>
      <w:r w:rsidRPr="00AA1FB2">
        <w:rPr>
          <w:rFonts w:eastAsia="Times New Roman" w:cs="Arial"/>
          <w:color w:val="000000"/>
          <w:lang w:eastAsia="bg-BG"/>
        </w:rPr>
        <w:t xml:space="preserve">и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19*3 </w:t>
      </w:r>
      <w:r w:rsidRPr="00AA1FB2">
        <w:rPr>
          <w:rFonts w:eastAsia="Times New Roman" w:cs="Arial"/>
          <w:color w:val="000000"/>
          <w:lang w:eastAsia="bg-BG"/>
        </w:rPr>
        <w:t xml:space="preserve">са нефункциониращи. Алелите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19*2 </w:t>
      </w:r>
      <w:r w:rsidRPr="00AA1FB2">
        <w:rPr>
          <w:rFonts w:eastAsia="Times New Roman" w:cs="Arial"/>
          <w:color w:val="000000"/>
          <w:lang w:eastAsia="bg-BG"/>
        </w:rPr>
        <w:t xml:space="preserve">и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19*3 </w:t>
      </w:r>
      <w:r w:rsidRPr="00AA1FB2">
        <w:rPr>
          <w:rFonts w:eastAsia="Times New Roman" w:cs="Arial"/>
          <w:color w:val="000000"/>
          <w:lang w:eastAsia="bg-BG"/>
        </w:rPr>
        <w:t xml:space="preserve">са отговорни за повечето от намалената функция при слаби метаболизатори от бялата раса (85%) и азиатци (99%). Други алели, свързани с липсващ или намален метаболизъм са по-редки и включват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19*4, </w:t>
      </w:r>
      <w:r w:rsidRPr="00AA1FB2">
        <w:rPr>
          <w:rFonts w:eastAsia="Times New Roman" w:cs="Arial"/>
          <w:color w:val="000000"/>
          <w:lang w:eastAsia="bg-BG"/>
        </w:rPr>
        <w:t xml:space="preserve">*5,*6, *7и*8. Пациент, със статус на слаб метаболизатор, би притежавал два загубили функцията си алела, както е дефинирано по-горе. </w:t>
      </w:r>
      <w:r w:rsidRPr="00AA1FB2">
        <w:rPr>
          <w:rFonts w:eastAsia="Times New Roman" w:cs="Arial"/>
          <w:color w:val="000000"/>
          <w:lang w:eastAsia="bg-BG"/>
        </w:rPr>
        <w:lastRenderedPageBreak/>
        <w:t xml:space="preserve">Публикуваните честоти на слабите метаболизатори на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генотипове са приблизително 2% за бялата раса, 4% за че</w:t>
      </w:r>
      <w:r w:rsidRPr="00AA1FB2">
        <w:rPr>
          <w:rFonts w:eastAsia="Times New Roman" w:cs="Arial"/>
          <w:color w:val="000000"/>
          <w:u w:val="single"/>
          <w:lang w:eastAsia="bg-BG"/>
        </w:rPr>
        <w:t>рноко</w:t>
      </w:r>
      <w:r w:rsidRPr="00AA1FB2">
        <w:rPr>
          <w:rFonts w:eastAsia="Times New Roman" w:cs="Arial"/>
          <w:color w:val="000000"/>
          <w:lang w:eastAsia="bg-BG"/>
        </w:rPr>
        <w:t xml:space="preserve">си и 14% за китайците. Налични са тестове за определяне на </w:t>
      </w:r>
      <w:r w:rsidRPr="00AA1FB2">
        <w:rPr>
          <w:rFonts w:eastAsia="Times New Roman" w:cs="Arial"/>
          <w:color w:val="000000"/>
          <w:lang w:val="en-US"/>
        </w:rPr>
        <w:t>CYP</w:t>
      </w:r>
      <w:r w:rsidRPr="00F962F6">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eastAsia="bg-BG"/>
        </w:rPr>
        <w:t>19 генотипа.</w:t>
      </w:r>
    </w:p>
    <w:p w14:paraId="4AB73482" w14:textId="77777777" w:rsidR="00AA1FB2" w:rsidRPr="00AA1FB2" w:rsidRDefault="00AA1FB2" w:rsidP="00AA1FB2">
      <w:pPr>
        <w:rPr>
          <w:rFonts w:eastAsia="Times New Roman" w:cs="Arial"/>
          <w:color w:val="000000"/>
          <w:lang w:eastAsia="bg-BG"/>
        </w:rPr>
      </w:pPr>
    </w:p>
    <w:p w14:paraId="7DE98C8E" w14:textId="77777777" w:rsidR="00AA1FB2" w:rsidRPr="00AA1FB2" w:rsidRDefault="00AA1FB2" w:rsidP="00AA1FB2">
      <w:pPr>
        <w:rPr>
          <w:rFonts w:eastAsia="Times New Roman" w:cs="Arial"/>
          <w:sz w:val="24"/>
          <w:szCs w:val="24"/>
        </w:rPr>
      </w:pPr>
      <w:r w:rsidRPr="00AA1FB2">
        <w:rPr>
          <w:rFonts w:eastAsia="Times New Roman" w:cs="Arial"/>
          <w:color w:val="000000"/>
          <w:lang w:eastAsia="bg-BG"/>
        </w:rPr>
        <w:t xml:space="preserve">В кръстосано проучване при 40 здрави изследвани лица, по 10 във всяка от четирите групи на метаболизатори (ултрасилни, екстензивни, умерени и слаби), се оценяват фармакокинетиката и степента на повлияване на антитромобоцитната активност, с 300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последвани от 75 </w:t>
      </w:r>
      <w:r w:rsidRPr="00AA1FB2">
        <w:rPr>
          <w:rFonts w:eastAsia="Times New Roman" w:cs="Arial"/>
          <w:color w:val="000000"/>
          <w:lang w:val="en-US"/>
        </w:rPr>
        <w:t>mg</w:t>
      </w:r>
      <w:r w:rsidRPr="00AA1FB2">
        <w:rPr>
          <w:rFonts w:eastAsia="Times New Roman" w:cs="Arial"/>
          <w:color w:val="000000"/>
        </w:rPr>
        <w:t xml:space="preserve"> </w:t>
      </w:r>
      <w:r w:rsidRPr="00AA1FB2">
        <w:rPr>
          <w:rFonts w:eastAsia="Times New Roman" w:cs="Arial"/>
          <w:color w:val="000000"/>
          <w:lang w:eastAsia="bg-BG"/>
        </w:rPr>
        <w:t xml:space="preserve">дневно и 600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последвани от 150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дневно, в продължение на общо 5 дни (стационарно състояние).</w:t>
      </w:r>
    </w:p>
    <w:p w14:paraId="03C2284A"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Не са установени съществени разлики в експозицията на активния метаболит и средното инхибиране на тромбоцитната агрегация </w:t>
      </w:r>
      <w:r w:rsidRPr="00AA1FB2">
        <w:rPr>
          <w:rFonts w:eastAsia="Times New Roman" w:cs="Arial"/>
          <w:color w:val="000000"/>
          <w:lang w:val="ru-RU"/>
        </w:rPr>
        <w:t>(</w:t>
      </w:r>
      <w:r w:rsidRPr="00AA1FB2">
        <w:rPr>
          <w:rFonts w:eastAsia="Times New Roman" w:cs="Arial"/>
          <w:color w:val="000000"/>
          <w:lang w:val="en-US"/>
        </w:rPr>
        <w:t>IPA</w:t>
      </w:r>
      <w:r w:rsidRPr="00AA1FB2">
        <w:rPr>
          <w:rFonts w:eastAsia="Times New Roman" w:cs="Arial"/>
          <w:color w:val="000000"/>
          <w:lang w:val="ru-RU"/>
        </w:rPr>
        <w:t xml:space="preserve">) </w:t>
      </w:r>
      <w:r w:rsidRPr="00AA1FB2">
        <w:rPr>
          <w:rFonts w:eastAsia="Times New Roman" w:cs="Arial"/>
          <w:color w:val="000000"/>
          <w:lang w:eastAsia="bg-BG"/>
        </w:rPr>
        <w:t xml:space="preserve">между ултрасилните, екстензивните и умерените метаболизатори. При слабите метаболизатори експозицията на активния метаболит е намалена с 63-71% в сравнение с екстензивните метаболизатори. При изследването с 300 </w:t>
      </w:r>
      <w:r w:rsidRPr="00AA1FB2">
        <w:rPr>
          <w:rFonts w:eastAsia="Times New Roman" w:cs="Arial"/>
          <w:color w:val="000000"/>
          <w:lang w:val="en-US"/>
        </w:rPr>
        <w:t>mg</w:t>
      </w:r>
      <w:r w:rsidRPr="00AA1FB2">
        <w:rPr>
          <w:rFonts w:eastAsia="Times New Roman" w:cs="Arial"/>
          <w:color w:val="000000"/>
          <w:lang w:val="ru-RU"/>
        </w:rPr>
        <w:t xml:space="preserve">/75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степента на повлияване на антитромбоцитната активност е намалена при слабите метаболизатори със средно </w:t>
      </w:r>
      <w:r w:rsidRPr="00AA1FB2">
        <w:rPr>
          <w:rFonts w:eastAsia="Times New Roman" w:cs="Arial"/>
          <w:color w:val="000000"/>
          <w:lang w:val="en-US"/>
        </w:rPr>
        <w:t>IPA</w:t>
      </w:r>
      <w:r w:rsidRPr="00AA1FB2">
        <w:rPr>
          <w:rFonts w:eastAsia="Times New Roman" w:cs="Arial"/>
          <w:color w:val="000000"/>
          <w:lang w:val="ru-RU"/>
        </w:rPr>
        <w:t xml:space="preserve"> </w:t>
      </w:r>
      <w:r w:rsidRPr="00AA1FB2">
        <w:rPr>
          <w:rFonts w:eastAsia="Times New Roman" w:cs="Arial"/>
          <w:color w:val="000000"/>
          <w:lang w:eastAsia="bg-BG"/>
        </w:rPr>
        <w:t>(5 μ</w:t>
      </w:r>
      <w:r w:rsidRPr="00AA1FB2">
        <w:rPr>
          <w:rFonts w:eastAsia="Times New Roman" w:cs="Arial"/>
          <w:color w:val="000000"/>
          <w:lang w:val="en-US"/>
        </w:rPr>
        <w:t>M</w:t>
      </w:r>
      <w:r w:rsidRPr="00AA1FB2">
        <w:rPr>
          <w:rFonts w:eastAsia="Times New Roman" w:cs="Arial"/>
          <w:color w:val="000000"/>
          <w:lang w:val="ru-RU"/>
        </w:rPr>
        <w:t xml:space="preserve"> </w:t>
      </w:r>
      <w:r w:rsidRPr="00AA1FB2">
        <w:rPr>
          <w:rFonts w:eastAsia="Times New Roman" w:cs="Arial"/>
          <w:color w:val="000000"/>
          <w:lang w:val="en-US"/>
        </w:rPr>
        <w:t>ADP</w:t>
      </w:r>
      <w:r w:rsidRPr="00AA1FB2">
        <w:rPr>
          <w:rFonts w:eastAsia="Times New Roman" w:cs="Arial"/>
          <w:color w:val="000000"/>
          <w:lang w:val="ru-RU"/>
        </w:rPr>
        <w:t xml:space="preserve">) </w:t>
      </w:r>
      <w:r w:rsidRPr="00AA1FB2">
        <w:rPr>
          <w:rFonts w:eastAsia="Times New Roman" w:cs="Arial"/>
          <w:color w:val="000000"/>
          <w:lang w:eastAsia="bg-BG"/>
        </w:rPr>
        <w:t xml:space="preserve">с 24% (24 часа) и 37% (Ден 5), в сравнение с </w:t>
      </w:r>
      <w:r w:rsidRPr="00AA1FB2">
        <w:rPr>
          <w:rFonts w:eastAsia="Times New Roman" w:cs="Arial"/>
          <w:color w:val="000000"/>
          <w:lang w:val="en-US"/>
        </w:rPr>
        <w:t>IPA</w:t>
      </w:r>
      <w:r w:rsidRPr="00AA1FB2">
        <w:rPr>
          <w:rFonts w:eastAsia="Times New Roman" w:cs="Arial"/>
          <w:color w:val="000000"/>
          <w:lang w:val="ru-RU"/>
        </w:rPr>
        <w:t xml:space="preserve"> </w:t>
      </w:r>
      <w:r w:rsidRPr="00AA1FB2">
        <w:rPr>
          <w:rFonts w:eastAsia="Times New Roman" w:cs="Arial"/>
          <w:color w:val="000000"/>
          <w:lang w:eastAsia="bg-BG"/>
        </w:rPr>
        <w:t xml:space="preserve">от 39% (24 часа) и 58% (Ден 5), при екстензивни метаболизатори и 37% (24 часа) и 60% (Ден 5) при умерените метаболизатори. Когато слабите метаболизатори получават 600 </w:t>
      </w:r>
      <w:r w:rsidRPr="00AA1FB2">
        <w:rPr>
          <w:rFonts w:eastAsia="Times New Roman" w:cs="Arial"/>
          <w:color w:val="000000"/>
          <w:lang w:val="en-US"/>
        </w:rPr>
        <w:t>mg</w:t>
      </w:r>
      <w:r w:rsidRPr="00AA1FB2">
        <w:rPr>
          <w:rFonts w:eastAsia="Times New Roman" w:cs="Arial"/>
          <w:color w:val="000000"/>
          <w:lang w:val="ru-RU"/>
        </w:rPr>
        <w:t xml:space="preserve">/150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експозицията на активния метаболит е по-голяма в сравнение със схемата 300 </w:t>
      </w:r>
      <w:r w:rsidRPr="00AA1FB2">
        <w:rPr>
          <w:rFonts w:eastAsia="Times New Roman" w:cs="Arial"/>
          <w:color w:val="000000"/>
          <w:lang w:val="en-US"/>
        </w:rPr>
        <w:t>mg</w:t>
      </w:r>
      <w:r w:rsidRPr="00AA1FB2">
        <w:rPr>
          <w:rFonts w:eastAsia="Times New Roman" w:cs="Arial"/>
          <w:color w:val="000000"/>
          <w:lang w:val="ru-RU"/>
        </w:rPr>
        <w:t xml:space="preserve">/75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Освен това, </w:t>
      </w:r>
      <w:r w:rsidRPr="00AA1FB2">
        <w:rPr>
          <w:rFonts w:eastAsia="Times New Roman" w:cs="Arial"/>
          <w:color w:val="000000"/>
          <w:lang w:val="en-US"/>
        </w:rPr>
        <w:t>IPA</w:t>
      </w:r>
      <w:r w:rsidRPr="00AA1FB2">
        <w:rPr>
          <w:rFonts w:eastAsia="Times New Roman" w:cs="Arial"/>
          <w:color w:val="000000"/>
          <w:lang w:val="ru-RU"/>
        </w:rPr>
        <w:t xml:space="preserve"> </w:t>
      </w:r>
      <w:r w:rsidRPr="00AA1FB2">
        <w:rPr>
          <w:rFonts w:eastAsia="Times New Roman" w:cs="Arial"/>
          <w:color w:val="000000"/>
          <w:lang w:eastAsia="bg-BG"/>
        </w:rPr>
        <w:t xml:space="preserve">е 32% (24 часа) и 61% (Ден 5), което е повече отколкото при слабите метаболизатори, получаващи схема 300 </w:t>
      </w:r>
      <w:r w:rsidRPr="00AA1FB2">
        <w:rPr>
          <w:rFonts w:eastAsia="Times New Roman" w:cs="Arial"/>
          <w:color w:val="000000"/>
          <w:lang w:val="en-US"/>
        </w:rPr>
        <w:t>mg</w:t>
      </w:r>
      <w:r w:rsidRPr="00AA1FB2">
        <w:rPr>
          <w:rFonts w:eastAsia="Times New Roman" w:cs="Arial"/>
          <w:color w:val="000000"/>
          <w:lang w:val="ru-RU"/>
        </w:rPr>
        <w:t xml:space="preserve">/75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и е подобно на другите групи метаболизатори на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 xml:space="preserve">получаващи 300 </w:t>
      </w:r>
      <w:r w:rsidRPr="00AA1FB2">
        <w:rPr>
          <w:rFonts w:eastAsia="Times New Roman" w:cs="Arial"/>
          <w:color w:val="000000"/>
          <w:lang w:val="en-US"/>
        </w:rPr>
        <w:t>mg</w:t>
      </w:r>
      <w:r w:rsidRPr="00AA1FB2">
        <w:rPr>
          <w:rFonts w:eastAsia="Times New Roman" w:cs="Arial"/>
          <w:color w:val="000000"/>
          <w:lang w:val="ru-RU"/>
        </w:rPr>
        <w:t xml:space="preserve">/75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Подходящ дозов режим за тези пациенти не е установен в клинични проучвания.</w:t>
      </w:r>
    </w:p>
    <w:p w14:paraId="61250F67" w14:textId="77777777" w:rsidR="00AA1FB2" w:rsidRPr="00AA1FB2" w:rsidRDefault="00AA1FB2" w:rsidP="00AA1FB2">
      <w:pPr>
        <w:spacing w:line="240" w:lineRule="auto"/>
        <w:rPr>
          <w:rFonts w:eastAsia="Times New Roman" w:cs="Arial"/>
          <w:color w:val="000000"/>
          <w:lang w:eastAsia="bg-BG"/>
        </w:rPr>
      </w:pPr>
    </w:p>
    <w:p w14:paraId="4A90465F" w14:textId="1DD7214B"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 съответствие с горните резултати един мета-анализ на 6 проучвания с 335 лекувани с клопидогрел пациенти в стационарно състояние, е показано, че експозицията на активния метаболит е намалена с 28% при умерени метаболизатори и 72% при слаби, докато инхибирането на тромбоцитната агрегация (5 μМ </w:t>
      </w:r>
      <w:r w:rsidRPr="00AA1FB2">
        <w:rPr>
          <w:rFonts w:eastAsia="Times New Roman" w:cs="Arial"/>
          <w:color w:val="000000"/>
          <w:lang w:val="en-US"/>
        </w:rPr>
        <w:t>ADP</w:t>
      </w:r>
      <w:r w:rsidRPr="00AA1FB2">
        <w:rPr>
          <w:rFonts w:eastAsia="Times New Roman" w:cs="Arial"/>
          <w:color w:val="000000"/>
          <w:lang w:val="ru-RU"/>
        </w:rPr>
        <w:t xml:space="preserve">) </w:t>
      </w:r>
      <w:r w:rsidRPr="00AA1FB2">
        <w:rPr>
          <w:rFonts w:eastAsia="Times New Roman" w:cs="Arial"/>
          <w:color w:val="000000"/>
          <w:lang w:eastAsia="bg-BG"/>
        </w:rPr>
        <w:t xml:space="preserve">е намалена с разлика в </w:t>
      </w:r>
      <w:r w:rsidRPr="00AA1FB2">
        <w:rPr>
          <w:rFonts w:eastAsia="Times New Roman" w:cs="Arial"/>
          <w:color w:val="000000"/>
          <w:lang w:val="en-US"/>
        </w:rPr>
        <w:t>IPA</w:t>
      </w:r>
      <w:r w:rsidRPr="00AA1FB2">
        <w:rPr>
          <w:rFonts w:eastAsia="Times New Roman" w:cs="Arial"/>
          <w:color w:val="000000"/>
          <w:lang w:val="ru-RU"/>
        </w:rPr>
        <w:t xml:space="preserve"> </w:t>
      </w:r>
      <w:r w:rsidRPr="00AA1FB2">
        <w:rPr>
          <w:rFonts w:eastAsia="Times New Roman" w:cs="Arial"/>
          <w:color w:val="000000"/>
          <w:lang w:eastAsia="bg-BG"/>
        </w:rPr>
        <w:t>от съответно 5,9% и 21,4%, в сравнение с екстензивните метаболизатори.</w:t>
      </w:r>
    </w:p>
    <w:p w14:paraId="79FEB5F1" w14:textId="77777777" w:rsidR="00AA1FB2" w:rsidRPr="00AA1FB2" w:rsidRDefault="00AA1FB2" w:rsidP="00AA1FB2">
      <w:pPr>
        <w:spacing w:line="240" w:lineRule="auto"/>
        <w:rPr>
          <w:rFonts w:eastAsia="Times New Roman" w:cs="Arial"/>
          <w:color w:val="000000"/>
          <w:lang w:eastAsia="bg-BG"/>
        </w:rPr>
      </w:pPr>
    </w:p>
    <w:p w14:paraId="1BE879CA" w14:textId="65CCB9BF"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Влиянието на генотипа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 xml:space="preserve">върху клиничните резултати при пациенти, лекувани с клопидогрел, не е оценявано в проспективни, рандомизирани, контролирани проучвания. Има няколко ретроспективни анализа обаче, които оценяват ефекта при пациенти, лекувани с клопидогрел, за които има генно типизиране: </w:t>
      </w:r>
      <w:r w:rsidRPr="00AA1FB2">
        <w:rPr>
          <w:rFonts w:eastAsia="Times New Roman" w:cs="Arial"/>
          <w:color w:val="000000"/>
          <w:lang w:val="en-US"/>
        </w:rPr>
        <w:t>CURE</w:t>
      </w:r>
      <w:r w:rsidRPr="00AA1FB2">
        <w:rPr>
          <w:rFonts w:eastAsia="Times New Roman" w:cs="Arial"/>
          <w:color w:val="000000"/>
        </w:rPr>
        <w:t xml:space="preserve"> (</w:t>
      </w:r>
      <w:r w:rsidRPr="00AA1FB2">
        <w:rPr>
          <w:rFonts w:eastAsia="Times New Roman" w:cs="Arial"/>
          <w:color w:val="000000"/>
          <w:lang w:val="en-US"/>
        </w:rPr>
        <w:t>n</w:t>
      </w:r>
      <w:r w:rsidRPr="00AA1FB2">
        <w:rPr>
          <w:rFonts w:eastAsia="Times New Roman" w:cs="Arial"/>
          <w:color w:val="000000"/>
        </w:rPr>
        <w:t xml:space="preserve">=2721), </w:t>
      </w:r>
      <w:r w:rsidRPr="00AA1FB2">
        <w:rPr>
          <w:rFonts w:eastAsia="Times New Roman" w:cs="Arial"/>
          <w:color w:val="000000"/>
          <w:lang w:val="en-US"/>
        </w:rPr>
        <w:t>CHARISMA</w:t>
      </w:r>
      <w:r w:rsidRPr="00AA1FB2">
        <w:rPr>
          <w:rFonts w:eastAsia="Times New Roman" w:cs="Arial"/>
          <w:color w:val="000000"/>
        </w:rPr>
        <w:t xml:space="preserve"> </w:t>
      </w:r>
      <w:r w:rsidRPr="00AA1FB2">
        <w:rPr>
          <w:rFonts w:eastAsia="Times New Roman" w:cs="Arial"/>
          <w:color w:val="000000"/>
          <w:lang w:eastAsia="bg-BG"/>
        </w:rPr>
        <w:t>(</w:t>
      </w:r>
      <w:r w:rsidRPr="00AA1FB2">
        <w:rPr>
          <w:rFonts w:eastAsia="Times New Roman" w:cs="Arial"/>
          <w:color w:val="000000"/>
          <w:lang w:val="en-US"/>
        </w:rPr>
        <w:t>n</w:t>
      </w:r>
      <w:r w:rsidRPr="00AA1FB2">
        <w:rPr>
          <w:rFonts w:eastAsia="Times New Roman" w:cs="Arial"/>
          <w:color w:val="000000"/>
        </w:rPr>
        <w:t>=</w:t>
      </w:r>
      <w:r w:rsidRPr="00AA1FB2">
        <w:rPr>
          <w:rFonts w:eastAsia="Times New Roman" w:cs="Arial"/>
          <w:color w:val="000000"/>
          <w:lang w:eastAsia="bg-BG"/>
        </w:rPr>
        <w:t xml:space="preserve">2428), </w:t>
      </w:r>
      <w:r w:rsidRPr="00AA1FB2">
        <w:rPr>
          <w:rFonts w:eastAsia="Times New Roman" w:cs="Arial"/>
          <w:color w:val="000000"/>
          <w:lang w:val="en-US"/>
        </w:rPr>
        <w:t>CLARITY</w:t>
      </w:r>
      <w:r w:rsidRPr="00AA1FB2">
        <w:rPr>
          <w:rFonts w:eastAsia="Times New Roman" w:cs="Arial"/>
          <w:color w:val="000000"/>
        </w:rPr>
        <w:t>-</w:t>
      </w:r>
      <w:r w:rsidRPr="00AA1FB2">
        <w:rPr>
          <w:rFonts w:eastAsia="Times New Roman" w:cs="Arial"/>
          <w:color w:val="000000"/>
          <w:lang w:val="en-US"/>
        </w:rPr>
        <w:t>TIMI</w:t>
      </w:r>
      <w:r w:rsidRPr="00AA1FB2">
        <w:rPr>
          <w:rFonts w:eastAsia="Times New Roman" w:cs="Arial"/>
          <w:color w:val="000000"/>
        </w:rPr>
        <w:t xml:space="preserve"> </w:t>
      </w:r>
      <w:r w:rsidRPr="00AA1FB2">
        <w:rPr>
          <w:rFonts w:eastAsia="Times New Roman" w:cs="Arial"/>
          <w:color w:val="000000"/>
          <w:lang w:eastAsia="bg-BG"/>
        </w:rPr>
        <w:t xml:space="preserve">28 </w:t>
      </w:r>
      <w:r w:rsidRPr="00AA1FB2">
        <w:rPr>
          <w:rFonts w:eastAsia="Times New Roman" w:cs="Arial"/>
          <w:color w:val="000000"/>
        </w:rPr>
        <w:t>(</w:t>
      </w:r>
      <w:r w:rsidRPr="00AA1FB2">
        <w:rPr>
          <w:rFonts w:eastAsia="Times New Roman" w:cs="Arial"/>
          <w:color w:val="000000"/>
          <w:lang w:val="en-US"/>
        </w:rPr>
        <w:t>n</w:t>
      </w:r>
      <w:r w:rsidRPr="00AA1FB2">
        <w:rPr>
          <w:rFonts w:eastAsia="Times New Roman" w:cs="Arial"/>
          <w:color w:val="000000"/>
        </w:rPr>
        <w:t xml:space="preserve">=227), </w:t>
      </w:r>
      <w:r w:rsidRPr="00AA1FB2">
        <w:rPr>
          <w:rFonts w:eastAsia="Times New Roman" w:cs="Arial"/>
          <w:color w:val="000000"/>
          <w:lang w:val="en-US"/>
        </w:rPr>
        <w:t>TRITON</w:t>
      </w:r>
      <w:r w:rsidRPr="00AA1FB2">
        <w:rPr>
          <w:rFonts w:eastAsia="Times New Roman" w:cs="Arial"/>
          <w:color w:val="000000"/>
        </w:rPr>
        <w:t>-</w:t>
      </w:r>
      <w:r w:rsidRPr="00AA1FB2">
        <w:rPr>
          <w:rFonts w:eastAsia="Times New Roman" w:cs="Arial"/>
          <w:color w:val="000000"/>
          <w:lang w:val="en-US"/>
        </w:rPr>
        <w:t>TIMI</w:t>
      </w:r>
      <w:r w:rsidRPr="00AA1FB2">
        <w:rPr>
          <w:rFonts w:eastAsia="Times New Roman" w:cs="Arial"/>
          <w:color w:val="000000"/>
          <w:lang w:eastAsia="bg-BG"/>
        </w:rPr>
        <w:t>38 (</w:t>
      </w:r>
      <w:r w:rsidRPr="00AA1FB2">
        <w:rPr>
          <w:rFonts w:eastAsia="Times New Roman" w:cs="Arial"/>
          <w:color w:val="000000"/>
          <w:lang w:val="en-US"/>
        </w:rPr>
        <w:t>n</w:t>
      </w:r>
      <w:r w:rsidRPr="00AA1FB2">
        <w:rPr>
          <w:rFonts w:eastAsia="Times New Roman" w:cs="Arial"/>
          <w:color w:val="000000"/>
          <w:lang w:eastAsia="bg-BG"/>
        </w:rPr>
        <w:t xml:space="preserve">=1477) и </w:t>
      </w:r>
      <w:r w:rsidRPr="00AA1FB2">
        <w:rPr>
          <w:rFonts w:eastAsia="Times New Roman" w:cs="Arial"/>
          <w:color w:val="000000"/>
          <w:lang w:val="en-US"/>
        </w:rPr>
        <w:t>ACTIVE</w:t>
      </w:r>
      <w:r w:rsidRPr="00AA1FB2">
        <w:rPr>
          <w:rFonts w:eastAsia="Times New Roman" w:cs="Arial"/>
          <w:color w:val="000000"/>
        </w:rPr>
        <w:t>-</w:t>
      </w:r>
      <w:r w:rsidRPr="00AA1FB2">
        <w:rPr>
          <w:rFonts w:eastAsia="Times New Roman" w:cs="Arial"/>
          <w:color w:val="000000"/>
          <w:lang w:val="en-US"/>
        </w:rPr>
        <w:t>A</w:t>
      </w:r>
      <w:r w:rsidRPr="00AA1FB2">
        <w:rPr>
          <w:rFonts w:eastAsia="Times New Roman" w:cs="Arial"/>
          <w:color w:val="000000"/>
        </w:rPr>
        <w:t xml:space="preserve"> </w:t>
      </w:r>
      <w:r w:rsidRPr="00AA1FB2">
        <w:rPr>
          <w:rFonts w:eastAsia="Times New Roman" w:cs="Arial"/>
          <w:color w:val="000000"/>
          <w:lang w:eastAsia="bg-BG"/>
        </w:rPr>
        <w:t>(</w:t>
      </w:r>
      <w:r w:rsidRPr="00AA1FB2">
        <w:rPr>
          <w:rFonts w:eastAsia="Times New Roman" w:cs="Arial"/>
          <w:color w:val="000000"/>
          <w:lang w:val="en-US"/>
        </w:rPr>
        <w:t>n</w:t>
      </w:r>
      <w:r w:rsidRPr="00AA1FB2">
        <w:rPr>
          <w:rFonts w:eastAsia="Times New Roman" w:cs="Arial"/>
          <w:color w:val="000000"/>
          <w:lang w:eastAsia="bg-BG"/>
        </w:rPr>
        <w:t>=601), както и известен брой публикувани кохортни проучвания.</w:t>
      </w:r>
    </w:p>
    <w:p w14:paraId="4094F49A"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 проучването </w:t>
      </w:r>
      <w:r w:rsidRPr="00AA1FB2">
        <w:rPr>
          <w:rFonts w:eastAsia="Times New Roman" w:cs="Arial"/>
          <w:color w:val="000000"/>
          <w:lang w:val="en-US"/>
        </w:rPr>
        <w:t>TRITON</w:t>
      </w:r>
      <w:r w:rsidRPr="00AA1FB2">
        <w:rPr>
          <w:rFonts w:eastAsia="Times New Roman" w:cs="Arial"/>
          <w:color w:val="000000"/>
          <w:lang w:val="ru-RU"/>
        </w:rPr>
        <w:t>-</w:t>
      </w:r>
      <w:r w:rsidRPr="00AA1FB2">
        <w:rPr>
          <w:rFonts w:eastAsia="Times New Roman" w:cs="Arial"/>
          <w:color w:val="000000"/>
          <w:lang w:val="en-US"/>
        </w:rPr>
        <w:t>TIMI</w:t>
      </w:r>
      <w:r w:rsidRPr="00AA1FB2">
        <w:rPr>
          <w:rFonts w:eastAsia="Times New Roman" w:cs="Arial"/>
          <w:color w:val="000000"/>
          <w:lang w:val="ru-RU"/>
        </w:rPr>
        <w:t xml:space="preserve"> </w:t>
      </w:r>
      <w:r w:rsidRPr="00AA1FB2">
        <w:rPr>
          <w:rFonts w:eastAsia="Times New Roman" w:cs="Arial"/>
          <w:color w:val="000000"/>
          <w:lang w:eastAsia="bg-BG"/>
        </w:rPr>
        <w:t xml:space="preserve">38 и 3 от кохортните проучвания </w:t>
      </w:r>
      <w:r w:rsidRPr="00AA1FB2">
        <w:rPr>
          <w:rFonts w:eastAsia="Times New Roman" w:cs="Arial"/>
          <w:color w:val="000000"/>
          <w:lang w:val="ru-RU"/>
        </w:rPr>
        <w:t>(</w:t>
      </w:r>
      <w:r w:rsidRPr="00AA1FB2">
        <w:rPr>
          <w:rFonts w:eastAsia="Times New Roman" w:cs="Arial"/>
          <w:color w:val="000000"/>
          <w:lang w:val="en-US"/>
        </w:rPr>
        <w:t>Collet</w:t>
      </w:r>
      <w:r w:rsidRPr="00AA1FB2">
        <w:rPr>
          <w:rFonts w:eastAsia="Times New Roman" w:cs="Arial"/>
          <w:color w:val="000000"/>
          <w:lang w:val="ru-RU"/>
        </w:rPr>
        <w:t xml:space="preserve">, </w:t>
      </w:r>
      <w:proofErr w:type="spellStart"/>
      <w:r w:rsidRPr="00AA1FB2">
        <w:rPr>
          <w:rFonts w:eastAsia="Times New Roman" w:cs="Arial"/>
          <w:color w:val="000000"/>
          <w:lang w:val="en-US"/>
        </w:rPr>
        <w:t>Sibbing</w:t>
      </w:r>
      <w:proofErr w:type="spellEnd"/>
      <w:r w:rsidRPr="00AA1FB2">
        <w:rPr>
          <w:rFonts w:eastAsia="Times New Roman" w:cs="Arial"/>
          <w:color w:val="000000"/>
          <w:lang w:val="ru-RU"/>
        </w:rPr>
        <w:t xml:space="preserve">, </w:t>
      </w:r>
      <w:proofErr w:type="spellStart"/>
      <w:r w:rsidRPr="00AA1FB2">
        <w:rPr>
          <w:rFonts w:eastAsia="Times New Roman" w:cs="Arial"/>
          <w:color w:val="000000"/>
          <w:lang w:val="en-US"/>
        </w:rPr>
        <w:t>Giusti</w:t>
      </w:r>
      <w:proofErr w:type="spellEnd"/>
      <w:r w:rsidRPr="00AA1FB2">
        <w:rPr>
          <w:rFonts w:eastAsia="Times New Roman" w:cs="Arial"/>
          <w:color w:val="000000"/>
          <w:lang w:val="ru-RU"/>
        </w:rPr>
        <w:t xml:space="preserve">) </w:t>
      </w:r>
      <w:r w:rsidRPr="00AA1FB2">
        <w:rPr>
          <w:rFonts w:eastAsia="Times New Roman" w:cs="Arial"/>
          <w:color w:val="000000"/>
          <w:lang w:eastAsia="bg-BG"/>
        </w:rPr>
        <w:t>при комбинираните групи пациенти на средни или слаби метаболизатори има повече сърдечно</w:t>
      </w:r>
      <w:r w:rsidRPr="00AA1FB2">
        <w:rPr>
          <w:rFonts w:eastAsia="Times New Roman" w:cs="Arial"/>
          <w:color w:val="000000"/>
          <w:lang w:eastAsia="bg-BG"/>
        </w:rPr>
        <w:softHyphen/>
        <w:t>съдови инциденти (смърт, миокарден инфаркт и мозъчен инсулт) или тромбози със стент, в сравнение с екстензивните метаболизатори.</w:t>
      </w:r>
    </w:p>
    <w:p w14:paraId="2306C53A" w14:textId="77777777" w:rsidR="00AA1FB2" w:rsidRPr="00AA1FB2" w:rsidRDefault="00AA1FB2" w:rsidP="00AA1FB2">
      <w:pPr>
        <w:spacing w:line="240" w:lineRule="auto"/>
        <w:rPr>
          <w:rFonts w:eastAsia="Times New Roman" w:cs="Arial"/>
          <w:color w:val="000000"/>
          <w:lang w:eastAsia="bg-BG"/>
        </w:rPr>
      </w:pPr>
    </w:p>
    <w:p w14:paraId="2D7896F5" w14:textId="3B96CB6C"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 проучването </w:t>
      </w:r>
      <w:r w:rsidRPr="00AA1FB2">
        <w:rPr>
          <w:rFonts w:eastAsia="Times New Roman" w:cs="Arial"/>
          <w:color w:val="000000"/>
          <w:lang w:val="en-US"/>
        </w:rPr>
        <w:t>CHARISMA</w:t>
      </w:r>
      <w:r w:rsidRPr="00AA1FB2">
        <w:rPr>
          <w:rFonts w:eastAsia="Times New Roman" w:cs="Arial"/>
          <w:color w:val="000000"/>
          <w:lang w:val="ru-RU"/>
        </w:rPr>
        <w:t xml:space="preserve"> </w:t>
      </w:r>
      <w:r w:rsidRPr="00AA1FB2">
        <w:rPr>
          <w:rFonts w:eastAsia="Times New Roman" w:cs="Arial"/>
          <w:color w:val="000000"/>
          <w:lang w:eastAsia="bg-BG"/>
        </w:rPr>
        <w:t xml:space="preserve">и едно кохортно проучване </w:t>
      </w:r>
      <w:r w:rsidRPr="00AA1FB2">
        <w:rPr>
          <w:rFonts w:eastAsia="Times New Roman" w:cs="Arial"/>
          <w:color w:val="000000"/>
          <w:lang w:val="ru-RU"/>
        </w:rPr>
        <w:t>(</w:t>
      </w:r>
      <w:r w:rsidRPr="00AA1FB2">
        <w:rPr>
          <w:rFonts w:eastAsia="Times New Roman" w:cs="Arial"/>
          <w:color w:val="000000"/>
          <w:lang w:val="en-US"/>
        </w:rPr>
        <w:t>Simon</w:t>
      </w:r>
      <w:r w:rsidRPr="00AA1FB2">
        <w:rPr>
          <w:rFonts w:eastAsia="Times New Roman" w:cs="Arial"/>
          <w:color w:val="000000"/>
          <w:lang w:val="ru-RU"/>
        </w:rPr>
        <w:t xml:space="preserve">) </w:t>
      </w:r>
      <w:r w:rsidRPr="00AA1FB2">
        <w:rPr>
          <w:rFonts w:eastAsia="Times New Roman" w:cs="Arial"/>
          <w:color w:val="000000"/>
          <w:lang w:eastAsia="bg-BG"/>
        </w:rPr>
        <w:t>е установена увеличена честота на инцидентите само при слабите метаболизатори в сравнение с умерените.</w:t>
      </w:r>
    </w:p>
    <w:p w14:paraId="1E96F2F3" w14:textId="77777777" w:rsidR="00AA1FB2" w:rsidRPr="00AA1FB2" w:rsidRDefault="00AA1FB2" w:rsidP="00AA1FB2">
      <w:pPr>
        <w:spacing w:line="240" w:lineRule="auto"/>
        <w:rPr>
          <w:rFonts w:eastAsia="Times New Roman" w:cs="Arial"/>
          <w:color w:val="000000"/>
          <w:lang w:eastAsia="bg-BG"/>
        </w:rPr>
      </w:pPr>
    </w:p>
    <w:p w14:paraId="0643F4C6" w14:textId="55C9177D"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 проучванията </w:t>
      </w:r>
      <w:r w:rsidRPr="00AA1FB2">
        <w:rPr>
          <w:rFonts w:eastAsia="Times New Roman" w:cs="Arial"/>
          <w:color w:val="000000"/>
          <w:lang w:val="en-US"/>
        </w:rPr>
        <w:t>CURE</w:t>
      </w:r>
      <w:r w:rsidRPr="00AA1FB2">
        <w:rPr>
          <w:rFonts w:eastAsia="Times New Roman" w:cs="Arial"/>
          <w:color w:val="000000"/>
          <w:lang w:val="ru-RU"/>
        </w:rPr>
        <w:t xml:space="preserve">, </w:t>
      </w:r>
      <w:r w:rsidRPr="00AA1FB2">
        <w:rPr>
          <w:rFonts w:eastAsia="Times New Roman" w:cs="Arial"/>
          <w:color w:val="000000"/>
          <w:lang w:val="en-US"/>
        </w:rPr>
        <w:t>CLARITY</w:t>
      </w:r>
      <w:r w:rsidRPr="00AA1FB2">
        <w:rPr>
          <w:rFonts w:eastAsia="Times New Roman" w:cs="Arial"/>
          <w:color w:val="000000"/>
          <w:lang w:val="ru-RU"/>
        </w:rPr>
        <w:t xml:space="preserve">, </w:t>
      </w:r>
      <w:r w:rsidRPr="00AA1FB2">
        <w:rPr>
          <w:rFonts w:eastAsia="Times New Roman" w:cs="Arial"/>
          <w:color w:val="000000"/>
          <w:lang w:val="en-US"/>
        </w:rPr>
        <w:t>ACTIVE</w:t>
      </w:r>
      <w:r w:rsidRPr="00AA1FB2">
        <w:rPr>
          <w:rFonts w:eastAsia="Times New Roman" w:cs="Arial"/>
          <w:color w:val="000000"/>
          <w:lang w:val="ru-RU"/>
        </w:rPr>
        <w:t>-</w:t>
      </w:r>
      <w:r w:rsidRPr="00AA1FB2">
        <w:rPr>
          <w:rFonts w:eastAsia="Times New Roman" w:cs="Arial"/>
          <w:color w:val="000000"/>
          <w:lang w:val="en-US"/>
        </w:rPr>
        <w:t>A</w:t>
      </w:r>
      <w:r w:rsidRPr="00AA1FB2">
        <w:rPr>
          <w:rFonts w:eastAsia="Times New Roman" w:cs="Arial"/>
          <w:color w:val="000000"/>
          <w:lang w:val="ru-RU"/>
        </w:rPr>
        <w:t xml:space="preserve"> </w:t>
      </w:r>
      <w:r w:rsidRPr="00AA1FB2">
        <w:rPr>
          <w:rFonts w:eastAsia="Times New Roman" w:cs="Arial"/>
          <w:color w:val="000000"/>
          <w:lang w:eastAsia="bg-BG"/>
        </w:rPr>
        <w:t xml:space="preserve">и едно от кохортните проучвания </w:t>
      </w:r>
      <w:r w:rsidRPr="00AA1FB2">
        <w:rPr>
          <w:rFonts w:eastAsia="Times New Roman" w:cs="Arial"/>
          <w:color w:val="000000"/>
          <w:lang w:val="ru-RU"/>
        </w:rPr>
        <w:t>(</w:t>
      </w:r>
      <w:proofErr w:type="spellStart"/>
      <w:r w:rsidRPr="00AA1FB2">
        <w:rPr>
          <w:rFonts w:eastAsia="Times New Roman" w:cs="Arial"/>
          <w:color w:val="000000"/>
          <w:lang w:val="en-US"/>
        </w:rPr>
        <w:t>Trenk</w:t>
      </w:r>
      <w:proofErr w:type="spellEnd"/>
      <w:r w:rsidRPr="00AA1FB2">
        <w:rPr>
          <w:rFonts w:eastAsia="Times New Roman" w:cs="Arial"/>
          <w:color w:val="000000"/>
          <w:lang w:val="ru-RU"/>
        </w:rPr>
        <w:t xml:space="preserve">) </w:t>
      </w:r>
      <w:r w:rsidRPr="00AA1FB2">
        <w:rPr>
          <w:rFonts w:eastAsia="Times New Roman" w:cs="Arial"/>
          <w:color w:val="000000"/>
          <w:lang w:eastAsia="bg-BG"/>
        </w:rPr>
        <w:t>не е установена увеличена честота на инцидентите при различните метаболизатори.</w:t>
      </w:r>
    </w:p>
    <w:p w14:paraId="4B5D5330" w14:textId="77777777" w:rsidR="00AA1FB2" w:rsidRPr="00AA1FB2" w:rsidRDefault="00AA1FB2" w:rsidP="00AA1FB2">
      <w:pPr>
        <w:spacing w:line="240" w:lineRule="auto"/>
        <w:rPr>
          <w:rFonts w:eastAsia="Times New Roman" w:cs="Arial"/>
          <w:color w:val="000000"/>
          <w:lang w:eastAsia="bg-BG"/>
        </w:rPr>
      </w:pPr>
    </w:p>
    <w:p w14:paraId="7811F325" w14:textId="1FF31445"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Никои от тези анализи не е адекватно оразмерен, за да открива разлики в изхода при слабите метаболизатори.</w:t>
      </w:r>
    </w:p>
    <w:p w14:paraId="6AD67C3B" w14:textId="77777777" w:rsidR="00AA1FB2" w:rsidRPr="00AA1FB2" w:rsidRDefault="00AA1FB2" w:rsidP="00AA1FB2">
      <w:pPr>
        <w:spacing w:line="240" w:lineRule="auto"/>
        <w:rPr>
          <w:rFonts w:eastAsia="Times New Roman" w:cs="Arial"/>
          <w:color w:val="000000"/>
          <w:u w:val="single"/>
          <w:lang w:eastAsia="bg-BG"/>
        </w:rPr>
      </w:pPr>
    </w:p>
    <w:p w14:paraId="63A9BA84" w14:textId="564D3426" w:rsidR="00AA1FB2" w:rsidRPr="00AA1FB2" w:rsidRDefault="00AA1FB2" w:rsidP="00AA1FB2">
      <w:pPr>
        <w:spacing w:line="240" w:lineRule="auto"/>
        <w:rPr>
          <w:rFonts w:eastAsia="Times New Roman" w:cs="Arial"/>
          <w:sz w:val="24"/>
          <w:szCs w:val="24"/>
        </w:rPr>
      </w:pPr>
      <w:r w:rsidRPr="00AA1FB2">
        <w:rPr>
          <w:rFonts w:eastAsia="Times New Roman" w:cs="Arial"/>
          <w:color w:val="000000"/>
          <w:u w:val="single"/>
          <w:lang w:eastAsia="bg-BG"/>
        </w:rPr>
        <w:lastRenderedPageBreak/>
        <w:t>Особени групи пациенти</w:t>
      </w:r>
    </w:p>
    <w:p w14:paraId="6BEF8434" w14:textId="77777777" w:rsidR="00AA1FB2" w:rsidRPr="00AA1FB2" w:rsidRDefault="00AA1FB2" w:rsidP="00AA1FB2">
      <w:pPr>
        <w:spacing w:line="240" w:lineRule="auto"/>
        <w:rPr>
          <w:rFonts w:eastAsia="Times New Roman" w:cs="Arial"/>
          <w:color w:val="000000"/>
          <w:lang w:eastAsia="bg-BG"/>
        </w:rPr>
      </w:pPr>
    </w:p>
    <w:p w14:paraId="01653F56" w14:textId="4168C8E3"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Фармакокинетиката на активния метаболит на клопидогрел не е известна в тези популации.</w:t>
      </w:r>
    </w:p>
    <w:p w14:paraId="158B0155" w14:textId="77777777" w:rsidR="00AA1FB2" w:rsidRPr="00AA1FB2" w:rsidRDefault="00AA1FB2" w:rsidP="00AA1FB2">
      <w:pPr>
        <w:spacing w:line="240" w:lineRule="auto"/>
        <w:rPr>
          <w:rFonts w:eastAsia="Times New Roman" w:cs="Arial"/>
          <w:i/>
          <w:iCs/>
          <w:color w:val="000000"/>
          <w:lang w:eastAsia="bg-BG"/>
        </w:rPr>
      </w:pPr>
    </w:p>
    <w:p w14:paraId="243B7081" w14:textId="5EAFB3A1" w:rsidR="00AA1FB2" w:rsidRPr="00AA1FB2" w:rsidRDefault="00AA1FB2" w:rsidP="00AA1FB2">
      <w:pPr>
        <w:spacing w:line="240" w:lineRule="auto"/>
        <w:rPr>
          <w:rFonts w:eastAsia="Times New Roman" w:cs="Arial"/>
          <w:sz w:val="24"/>
          <w:szCs w:val="24"/>
        </w:rPr>
      </w:pPr>
      <w:r w:rsidRPr="00AA1FB2">
        <w:rPr>
          <w:rFonts w:eastAsia="Times New Roman" w:cs="Arial"/>
          <w:i/>
          <w:iCs/>
          <w:color w:val="000000"/>
          <w:lang w:eastAsia="bg-BG"/>
        </w:rPr>
        <w:t>Бъбречно увреждане</w:t>
      </w:r>
    </w:p>
    <w:p w14:paraId="7290D89C" w14:textId="10BEC531" w:rsidR="00AA1FB2" w:rsidRPr="00AA1FB2" w:rsidRDefault="00AA1FB2" w:rsidP="00AA1FB2">
      <w:pPr>
        <w:rPr>
          <w:rFonts w:eastAsia="Times New Roman" w:cs="Arial"/>
          <w:color w:val="000000"/>
          <w:lang w:eastAsia="bg-BG"/>
        </w:rPr>
      </w:pPr>
      <w:r w:rsidRPr="00AA1FB2">
        <w:rPr>
          <w:rFonts w:eastAsia="Times New Roman" w:cs="Arial"/>
          <w:color w:val="000000"/>
          <w:lang w:eastAsia="bg-BG"/>
        </w:rPr>
        <w:t xml:space="preserve">След многократно приложение на дози клопидогрел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 xml:space="preserve">на ден при пациенти с тежко бъбречно заболяване (креатининов клирънс между 5 и 15 </w:t>
      </w:r>
      <w:r w:rsidRPr="00AA1FB2">
        <w:rPr>
          <w:rFonts w:eastAsia="Times New Roman" w:cs="Arial"/>
          <w:color w:val="000000"/>
          <w:lang w:val="en-US"/>
        </w:rPr>
        <w:t>ml</w:t>
      </w:r>
      <w:r w:rsidRPr="00AA1FB2">
        <w:rPr>
          <w:rFonts w:eastAsia="Times New Roman" w:cs="Arial"/>
          <w:color w:val="000000"/>
          <w:lang w:val="ru-RU"/>
        </w:rPr>
        <w:t>/</w:t>
      </w:r>
      <w:r w:rsidRPr="00AA1FB2">
        <w:rPr>
          <w:rFonts w:eastAsia="Times New Roman" w:cs="Arial"/>
          <w:color w:val="000000"/>
          <w:lang w:val="en-US"/>
        </w:rPr>
        <w:t>min</w:t>
      </w:r>
      <w:r w:rsidRPr="00AA1FB2">
        <w:rPr>
          <w:rFonts w:eastAsia="Times New Roman" w:cs="Arial"/>
          <w:color w:val="000000"/>
          <w:lang w:val="ru-RU"/>
        </w:rPr>
        <w:t xml:space="preserve">) </w:t>
      </w:r>
      <w:r w:rsidRPr="00AA1FB2">
        <w:rPr>
          <w:rFonts w:eastAsia="Times New Roman" w:cs="Arial"/>
          <w:color w:val="000000"/>
          <w:lang w:eastAsia="bg-BG"/>
        </w:rPr>
        <w:t>инхибирането н</w:t>
      </w:r>
      <w:r w:rsidRPr="00AA1FB2">
        <w:rPr>
          <w:rFonts w:eastAsia="Times New Roman" w:cs="Arial"/>
          <w:color w:val="000000"/>
          <w:u w:val="single"/>
          <w:lang w:eastAsia="bg-BG"/>
        </w:rPr>
        <w:t xml:space="preserve">а АДФ- </w:t>
      </w:r>
      <w:r w:rsidRPr="00AA1FB2">
        <w:rPr>
          <w:rFonts w:eastAsia="Times New Roman" w:cs="Arial"/>
          <w:color w:val="000000"/>
          <w:lang w:eastAsia="bg-BG"/>
        </w:rPr>
        <w:t xml:space="preserve">индуцираната тромбоцитна агрегация е по-ниско (25%) отколкото при здрави индивиди, но удължаването на времето на кървене е сходно с това, наблюдавано при здрави индивиди, приемащи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клопидогрел дневно. Освен това, при всички пациенти клиничната поносимост е била добра.</w:t>
      </w:r>
    </w:p>
    <w:p w14:paraId="019F9BD5" w14:textId="6329E23D" w:rsidR="00AA1FB2" w:rsidRPr="00AA1FB2" w:rsidRDefault="00AA1FB2" w:rsidP="00AA1FB2">
      <w:pPr>
        <w:rPr>
          <w:rFonts w:eastAsia="Times New Roman" w:cs="Arial"/>
          <w:color w:val="000000"/>
          <w:lang w:eastAsia="bg-BG"/>
        </w:rPr>
      </w:pPr>
    </w:p>
    <w:p w14:paraId="5595BDEC" w14:textId="77777777" w:rsidR="00AA1FB2" w:rsidRPr="00AA1FB2" w:rsidRDefault="00AA1FB2" w:rsidP="00AA1FB2">
      <w:pPr>
        <w:spacing w:line="240" w:lineRule="auto"/>
        <w:rPr>
          <w:rFonts w:eastAsia="Times New Roman" w:cs="Arial"/>
          <w:sz w:val="24"/>
          <w:szCs w:val="24"/>
        </w:rPr>
      </w:pPr>
      <w:r w:rsidRPr="00AA1FB2">
        <w:rPr>
          <w:rFonts w:eastAsia="Times New Roman" w:cs="Arial"/>
          <w:i/>
          <w:iCs/>
          <w:color w:val="000000"/>
          <w:lang w:eastAsia="bg-BG"/>
        </w:rPr>
        <w:t>Чернодробно увреждане</w:t>
      </w:r>
    </w:p>
    <w:p w14:paraId="6CA3DC13"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След многократно приложение на дози клопидогрел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на ден в продължение на 10 дни при пациенти с тежко чернодробно увреждане, потискането на АДФ индуцираната тромбоцитна агрегация е подобно на това, наблюдавано при здрави доброволци. Средното удължаване на времето на кървене също е подобно при двете групи.</w:t>
      </w:r>
    </w:p>
    <w:p w14:paraId="3434255A" w14:textId="77777777" w:rsidR="00AA1FB2" w:rsidRPr="00AA1FB2" w:rsidRDefault="00AA1FB2" w:rsidP="00AA1FB2">
      <w:pPr>
        <w:spacing w:line="240" w:lineRule="auto"/>
        <w:rPr>
          <w:rFonts w:eastAsia="Times New Roman" w:cs="Arial"/>
          <w:i/>
          <w:iCs/>
          <w:color w:val="000000"/>
          <w:lang w:eastAsia="bg-BG"/>
        </w:rPr>
      </w:pPr>
    </w:p>
    <w:p w14:paraId="653EC0D5" w14:textId="341F6A0C" w:rsidR="00AA1FB2" w:rsidRPr="00AA1FB2" w:rsidRDefault="00AA1FB2" w:rsidP="00AA1FB2">
      <w:pPr>
        <w:spacing w:line="240" w:lineRule="auto"/>
        <w:rPr>
          <w:rFonts w:eastAsia="Times New Roman" w:cs="Arial"/>
          <w:sz w:val="24"/>
          <w:szCs w:val="24"/>
        </w:rPr>
      </w:pPr>
      <w:r w:rsidRPr="00AA1FB2">
        <w:rPr>
          <w:rFonts w:eastAsia="Times New Roman" w:cs="Arial"/>
          <w:i/>
          <w:iCs/>
          <w:color w:val="000000"/>
          <w:lang w:eastAsia="bg-BG"/>
        </w:rPr>
        <w:t>Раса</w:t>
      </w:r>
    </w:p>
    <w:p w14:paraId="33789601"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Честотата на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 xml:space="preserve">алелите, които водят до умерен и слаб </w:t>
      </w:r>
      <w:r w:rsidRPr="00AA1FB2">
        <w:rPr>
          <w:rFonts w:eastAsia="Times New Roman" w:cs="Arial"/>
          <w:color w:val="000000"/>
          <w:lang w:val="en-US"/>
        </w:rPr>
        <w:t>CYP</w:t>
      </w:r>
      <w:r w:rsidRPr="00AA1FB2">
        <w:rPr>
          <w:rFonts w:eastAsia="Times New Roman" w:cs="Arial"/>
          <w:color w:val="000000"/>
          <w:lang w:val="ru-RU"/>
        </w:rPr>
        <w:t>2</w:t>
      </w:r>
      <w:r w:rsidRPr="00AA1FB2">
        <w:rPr>
          <w:rFonts w:eastAsia="Times New Roman" w:cs="Arial"/>
          <w:color w:val="000000"/>
          <w:lang w:val="en-US"/>
        </w:rPr>
        <w:t>C</w:t>
      </w:r>
      <w:r w:rsidRPr="00AA1FB2">
        <w:rPr>
          <w:rFonts w:eastAsia="Times New Roman" w:cs="Arial"/>
          <w:color w:val="000000"/>
          <w:lang w:val="ru-RU"/>
        </w:rPr>
        <w:t xml:space="preserve">19 </w:t>
      </w:r>
      <w:r w:rsidRPr="00AA1FB2">
        <w:rPr>
          <w:rFonts w:eastAsia="Times New Roman" w:cs="Arial"/>
          <w:color w:val="000000"/>
          <w:lang w:eastAsia="bg-BG"/>
        </w:rPr>
        <w:t xml:space="preserve">метаболизъм се различава в зависимост от расата/етническия произход (вж. Фармакогенетика). В литературата има прекалено малко данни относно азиатската популация, за да може да се установи клиничното приложение на генотипизирането на ензим </w:t>
      </w:r>
      <w:r w:rsidRPr="00AA1FB2">
        <w:rPr>
          <w:rFonts w:eastAsia="Times New Roman" w:cs="Arial"/>
          <w:color w:val="000000"/>
          <w:lang w:val="en-US"/>
        </w:rPr>
        <w:t>CYP</w:t>
      </w:r>
      <w:r w:rsidRPr="00AA1FB2">
        <w:rPr>
          <w:rFonts w:eastAsia="Times New Roman" w:cs="Arial"/>
          <w:color w:val="000000"/>
          <w:lang w:val="ru-RU"/>
        </w:rPr>
        <w:t xml:space="preserve"> </w:t>
      </w:r>
      <w:r w:rsidRPr="00AA1FB2">
        <w:rPr>
          <w:rFonts w:eastAsia="Times New Roman" w:cs="Arial"/>
          <w:color w:val="000000"/>
          <w:lang w:eastAsia="bg-BG"/>
        </w:rPr>
        <w:t>при клинични проучвания за изхода от клинични събития.</w:t>
      </w:r>
    </w:p>
    <w:p w14:paraId="58D93047" w14:textId="77777777" w:rsidR="00AA1FB2" w:rsidRPr="00AA1FB2" w:rsidRDefault="00AA1FB2" w:rsidP="00AA1FB2"/>
    <w:p w14:paraId="4FB791BE" w14:textId="234EF4E5" w:rsidR="00B6672E" w:rsidRDefault="002C50EE" w:rsidP="00936AD0">
      <w:pPr>
        <w:pStyle w:val="Heading2"/>
      </w:pPr>
      <w:r>
        <w:t>5.3. Предклинични данни за безопасност</w:t>
      </w:r>
    </w:p>
    <w:p w14:paraId="2715AD77" w14:textId="05AC7185" w:rsidR="00AA1FB2" w:rsidRDefault="00AA1FB2" w:rsidP="00AA1FB2"/>
    <w:p w14:paraId="68881048" w14:textId="77777777"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В неклинични изпитвания при плъхове и маймуни най-често наблюдаваните реакции са чернодробни промени. Те възникват при дози, представляващи най-малко 25 пъти експозицията при хора, получаващи клиничната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дневно, и са в резултат на ефект върху чернодробните метаболизиращи ензими. Ефект върху чернодробните метаболизиращи ензими не е установен при хора, приемащи терапевтична доза клопидогрел.</w:t>
      </w:r>
    </w:p>
    <w:p w14:paraId="1B958737" w14:textId="77777777" w:rsidR="00AA1FB2" w:rsidRPr="00AA1FB2" w:rsidRDefault="00AA1FB2" w:rsidP="00AA1FB2">
      <w:pPr>
        <w:spacing w:line="240" w:lineRule="auto"/>
        <w:rPr>
          <w:rFonts w:eastAsia="Times New Roman" w:cs="Arial"/>
          <w:color w:val="000000"/>
          <w:lang w:eastAsia="bg-BG"/>
        </w:rPr>
      </w:pPr>
    </w:p>
    <w:p w14:paraId="46E5824E" w14:textId="2CB44A5C"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При много високи дози при плъховете и маймуни е установена и нарушена стомашна поносимост (гастрит, ерозия на стомашната лигавица и/или повръщане) към клопидогрел.</w:t>
      </w:r>
    </w:p>
    <w:p w14:paraId="52E84DCE" w14:textId="77777777" w:rsidR="00AA1FB2" w:rsidRPr="00AA1FB2" w:rsidRDefault="00AA1FB2" w:rsidP="00AA1FB2">
      <w:pPr>
        <w:spacing w:line="240" w:lineRule="auto"/>
        <w:rPr>
          <w:rFonts w:eastAsia="Times New Roman" w:cs="Arial"/>
          <w:color w:val="000000"/>
          <w:lang w:eastAsia="bg-BG"/>
        </w:rPr>
      </w:pPr>
    </w:p>
    <w:p w14:paraId="6DC4D69B" w14:textId="5270F809"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Няма доказателства за карциногенен ефект при прилагане на клопидогрел в продължение на 78 седмици при мишки и 104 седмици при плъхове в дози до 77 </w:t>
      </w:r>
      <w:r w:rsidRPr="00AA1FB2">
        <w:rPr>
          <w:rFonts w:eastAsia="Times New Roman" w:cs="Arial"/>
          <w:color w:val="000000"/>
          <w:lang w:val="en-US"/>
        </w:rPr>
        <w:t>mg</w:t>
      </w:r>
      <w:r w:rsidRPr="00AA1FB2">
        <w:rPr>
          <w:rFonts w:eastAsia="Times New Roman" w:cs="Arial"/>
          <w:color w:val="000000"/>
          <w:lang w:val="ru-RU"/>
        </w:rPr>
        <w:t>/</w:t>
      </w:r>
      <w:r w:rsidRPr="00AA1FB2">
        <w:rPr>
          <w:rFonts w:eastAsia="Times New Roman" w:cs="Arial"/>
          <w:color w:val="000000"/>
          <w:lang w:val="en-US"/>
        </w:rPr>
        <w:t>kg</w:t>
      </w:r>
      <w:r w:rsidRPr="00AA1FB2">
        <w:rPr>
          <w:rFonts w:eastAsia="Times New Roman" w:cs="Arial"/>
          <w:color w:val="000000"/>
          <w:lang w:val="ru-RU"/>
        </w:rPr>
        <w:t xml:space="preserve"> </w:t>
      </w:r>
      <w:r w:rsidRPr="00AA1FB2">
        <w:rPr>
          <w:rFonts w:eastAsia="Times New Roman" w:cs="Arial"/>
          <w:color w:val="000000"/>
          <w:lang w:eastAsia="bg-BG"/>
        </w:rPr>
        <w:t xml:space="preserve">дневно (което съответства на най-малко 25 пъти експозицията при хора, получаващи клиничната доза от 75 </w:t>
      </w:r>
      <w:r w:rsidRPr="00AA1FB2">
        <w:rPr>
          <w:rFonts w:eastAsia="Times New Roman" w:cs="Arial"/>
          <w:color w:val="000000"/>
          <w:lang w:val="en-US"/>
        </w:rPr>
        <w:t>mg</w:t>
      </w:r>
      <w:r w:rsidRPr="00AA1FB2">
        <w:rPr>
          <w:rFonts w:eastAsia="Times New Roman" w:cs="Arial"/>
          <w:color w:val="000000"/>
          <w:lang w:val="ru-RU"/>
        </w:rPr>
        <w:t xml:space="preserve"> </w:t>
      </w:r>
      <w:r w:rsidRPr="00AA1FB2">
        <w:rPr>
          <w:rFonts w:eastAsia="Times New Roman" w:cs="Arial"/>
          <w:color w:val="000000"/>
          <w:lang w:eastAsia="bg-BG"/>
        </w:rPr>
        <w:t>на ден).</w:t>
      </w:r>
    </w:p>
    <w:p w14:paraId="057615ED" w14:textId="77777777" w:rsidR="00AA1FB2" w:rsidRPr="00AA1FB2" w:rsidRDefault="00AA1FB2" w:rsidP="00AA1FB2">
      <w:pPr>
        <w:spacing w:line="240" w:lineRule="auto"/>
        <w:rPr>
          <w:rFonts w:eastAsia="Times New Roman" w:cs="Arial"/>
          <w:color w:val="000000"/>
          <w:lang w:eastAsia="bg-BG"/>
        </w:rPr>
      </w:pPr>
    </w:p>
    <w:p w14:paraId="3369E435" w14:textId="34FDBE30" w:rsidR="00AA1FB2" w:rsidRPr="00AA1FB2" w:rsidRDefault="00AA1FB2" w:rsidP="00AA1FB2">
      <w:pPr>
        <w:spacing w:line="240" w:lineRule="auto"/>
        <w:rPr>
          <w:rFonts w:eastAsia="Times New Roman" w:cs="Arial"/>
          <w:sz w:val="24"/>
          <w:szCs w:val="24"/>
        </w:rPr>
      </w:pPr>
      <w:r w:rsidRPr="00AA1FB2">
        <w:rPr>
          <w:rFonts w:eastAsia="Times New Roman" w:cs="Arial"/>
          <w:color w:val="000000"/>
          <w:lang w:eastAsia="bg-BG"/>
        </w:rPr>
        <w:t xml:space="preserve">Клопидогрел е изпитван в множество </w:t>
      </w:r>
      <w:r w:rsidRPr="00AA1FB2">
        <w:rPr>
          <w:rFonts w:eastAsia="Times New Roman" w:cs="Arial"/>
          <w:i/>
          <w:iCs/>
          <w:color w:val="000000"/>
          <w:lang w:val="en-US"/>
        </w:rPr>
        <w:t>in</w:t>
      </w:r>
      <w:r w:rsidRPr="00AA1FB2">
        <w:rPr>
          <w:rFonts w:eastAsia="Times New Roman" w:cs="Arial"/>
          <w:i/>
          <w:iCs/>
          <w:color w:val="000000"/>
          <w:lang w:val="ru-RU"/>
        </w:rPr>
        <w:t xml:space="preserve"> </w:t>
      </w:r>
      <w:r w:rsidRPr="00AA1FB2">
        <w:rPr>
          <w:rFonts w:eastAsia="Times New Roman" w:cs="Arial"/>
          <w:i/>
          <w:iCs/>
          <w:color w:val="000000"/>
          <w:lang w:val="en-US"/>
        </w:rPr>
        <w:t>vitro</w:t>
      </w:r>
      <w:r w:rsidRPr="00AA1FB2">
        <w:rPr>
          <w:rFonts w:eastAsia="Times New Roman" w:cs="Arial"/>
          <w:color w:val="000000"/>
          <w:lang w:val="ru-RU"/>
        </w:rPr>
        <w:t xml:space="preserve"> </w:t>
      </w:r>
      <w:r w:rsidRPr="00AA1FB2">
        <w:rPr>
          <w:rFonts w:eastAsia="Times New Roman" w:cs="Arial"/>
          <w:color w:val="000000"/>
          <w:lang w:val="en-US"/>
        </w:rPr>
        <w:t>u</w:t>
      </w:r>
      <w:r w:rsidRPr="00AA1FB2">
        <w:rPr>
          <w:rFonts w:eastAsia="Times New Roman" w:cs="Arial"/>
          <w:color w:val="000000"/>
          <w:lang w:val="ru-RU"/>
        </w:rPr>
        <w:t xml:space="preserve"> </w:t>
      </w:r>
      <w:r w:rsidRPr="00AA1FB2">
        <w:rPr>
          <w:rFonts w:eastAsia="Times New Roman" w:cs="Arial"/>
          <w:i/>
          <w:iCs/>
          <w:color w:val="000000"/>
          <w:lang w:val="en-US"/>
        </w:rPr>
        <w:t>in</w:t>
      </w:r>
      <w:r w:rsidRPr="00AA1FB2">
        <w:rPr>
          <w:rFonts w:eastAsia="Times New Roman" w:cs="Arial"/>
          <w:i/>
          <w:iCs/>
          <w:color w:val="000000"/>
          <w:lang w:val="ru-RU"/>
        </w:rPr>
        <w:t xml:space="preserve"> </w:t>
      </w:r>
      <w:r w:rsidRPr="00AA1FB2">
        <w:rPr>
          <w:rFonts w:eastAsia="Times New Roman" w:cs="Arial"/>
          <w:i/>
          <w:iCs/>
          <w:color w:val="000000"/>
          <w:lang w:val="en-US"/>
        </w:rPr>
        <w:t>vivo</w:t>
      </w:r>
      <w:r w:rsidRPr="00AA1FB2">
        <w:rPr>
          <w:rFonts w:eastAsia="Times New Roman" w:cs="Arial"/>
          <w:color w:val="000000"/>
          <w:lang w:val="ru-RU"/>
        </w:rPr>
        <w:t xml:space="preserve"> </w:t>
      </w:r>
      <w:r w:rsidRPr="00AA1FB2">
        <w:rPr>
          <w:rFonts w:eastAsia="Times New Roman" w:cs="Arial"/>
          <w:color w:val="000000"/>
          <w:lang w:eastAsia="bg-BG"/>
        </w:rPr>
        <w:t>проучвания за генотоксичност и не е показал генотоксичен ефект.</w:t>
      </w:r>
    </w:p>
    <w:p w14:paraId="46502DD7" w14:textId="77777777" w:rsidR="00AA1FB2" w:rsidRPr="00AA1FB2" w:rsidRDefault="00AA1FB2" w:rsidP="00AA1FB2">
      <w:pPr>
        <w:rPr>
          <w:rFonts w:eastAsia="Times New Roman" w:cs="Arial"/>
          <w:color w:val="000000"/>
          <w:lang w:eastAsia="bg-BG"/>
        </w:rPr>
      </w:pPr>
    </w:p>
    <w:p w14:paraId="438BB323" w14:textId="1E33DA73" w:rsidR="00AA1FB2" w:rsidRPr="00AA1FB2" w:rsidRDefault="00AA1FB2" w:rsidP="00AA1FB2">
      <w:r w:rsidRPr="00AA1FB2">
        <w:rPr>
          <w:rFonts w:eastAsia="Times New Roman" w:cs="Arial"/>
          <w:color w:val="000000"/>
          <w:lang w:eastAsia="bg-BG"/>
        </w:rPr>
        <w:t xml:space="preserve">Установено е, че клопидогрел не влияе върху фертилитета на мъжки и женски плъхове и няма тератогенен ефект върху плъхове и зайци. Когато се прилага при кърмещи плъхове, клопидогрел предизвиква слабо забавяне на развитието на поколението. Специални </w:t>
      </w:r>
      <w:r w:rsidRPr="00AA1FB2">
        <w:rPr>
          <w:rFonts w:eastAsia="Times New Roman" w:cs="Arial"/>
          <w:color w:val="000000"/>
          <w:lang w:eastAsia="bg-BG"/>
        </w:rPr>
        <w:lastRenderedPageBreak/>
        <w:t>проучвания на фармакокинетиката с клопидогрел, маркиран с радиоактивен изотоп, показват, че изходното съединение или негови метаболити се екскретират в млякото. Следователно пряк (слаба токсичност) или косвен ефект (леко вкусово усещане) не може да се изключи.</w:t>
      </w:r>
    </w:p>
    <w:p w14:paraId="1BA6531D" w14:textId="6C406289" w:rsidR="00B6672E" w:rsidRDefault="002C50EE" w:rsidP="00936AD0">
      <w:pPr>
        <w:pStyle w:val="Heading1"/>
      </w:pPr>
      <w:r>
        <w:t>7. ПРИТЕЖАТЕЛ НА РАЗРЕШЕНИЕТО ЗА УПОТРЕБА</w:t>
      </w:r>
    </w:p>
    <w:p w14:paraId="7D11117C" w14:textId="12D8BBA9" w:rsidR="00AA1FB2" w:rsidRDefault="00AA1FB2" w:rsidP="00AA1FB2"/>
    <w:p w14:paraId="4351A290" w14:textId="77777777" w:rsidR="00AA1FB2" w:rsidRPr="00F962F6" w:rsidRDefault="00AA1FB2" w:rsidP="00AA1FB2">
      <w:pPr>
        <w:rPr>
          <w:sz w:val="24"/>
          <w:szCs w:val="24"/>
          <w:lang w:val="ru-RU"/>
        </w:rPr>
      </w:pPr>
      <w:r w:rsidRPr="00AA1FB2">
        <w:rPr>
          <w:lang w:val="en-US"/>
        </w:rPr>
        <w:t>Egis</w:t>
      </w:r>
      <w:r w:rsidRPr="00F962F6">
        <w:rPr>
          <w:lang w:val="ru-RU"/>
        </w:rPr>
        <w:t xml:space="preserve"> </w:t>
      </w:r>
      <w:r w:rsidRPr="00AA1FB2">
        <w:rPr>
          <w:lang w:val="en-US"/>
        </w:rPr>
        <w:t>Pharmaceuticals</w:t>
      </w:r>
      <w:r w:rsidRPr="00F962F6">
        <w:rPr>
          <w:lang w:val="ru-RU"/>
        </w:rPr>
        <w:t xml:space="preserve"> </w:t>
      </w:r>
      <w:r w:rsidRPr="00AA1FB2">
        <w:rPr>
          <w:lang w:val="en-US"/>
        </w:rPr>
        <w:t>PLC</w:t>
      </w:r>
    </w:p>
    <w:p w14:paraId="2DD65378" w14:textId="77777777" w:rsidR="00AA1FB2" w:rsidRPr="00F962F6" w:rsidRDefault="00AA1FB2" w:rsidP="00AA1FB2">
      <w:pPr>
        <w:rPr>
          <w:sz w:val="24"/>
          <w:szCs w:val="24"/>
          <w:lang w:val="ru-RU"/>
        </w:rPr>
      </w:pPr>
      <w:r w:rsidRPr="00AA1FB2">
        <w:rPr>
          <w:lang w:eastAsia="bg-BG"/>
        </w:rPr>
        <w:t xml:space="preserve">1106 </w:t>
      </w:r>
      <w:r w:rsidRPr="00AA1FB2">
        <w:rPr>
          <w:lang w:val="en-US"/>
        </w:rPr>
        <w:t>Budapest</w:t>
      </w:r>
      <w:r w:rsidRPr="00F962F6">
        <w:rPr>
          <w:lang w:val="ru-RU"/>
        </w:rPr>
        <w:t xml:space="preserve">, </w:t>
      </w:r>
      <w:proofErr w:type="spellStart"/>
      <w:r w:rsidRPr="00AA1FB2">
        <w:rPr>
          <w:lang w:val="en-US"/>
        </w:rPr>
        <w:t>Kereszturi</w:t>
      </w:r>
      <w:proofErr w:type="spellEnd"/>
      <w:r w:rsidRPr="00F962F6">
        <w:rPr>
          <w:lang w:val="ru-RU"/>
        </w:rPr>
        <w:t xml:space="preserve"> </w:t>
      </w:r>
      <w:proofErr w:type="spellStart"/>
      <w:r w:rsidRPr="00AA1FB2">
        <w:rPr>
          <w:lang w:val="en-US"/>
        </w:rPr>
        <w:t>ut</w:t>
      </w:r>
      <w:proofErr w:type="spellEnd"/>
      <w:r w:rsidRPr="00F962F6">
        <w:rPr>
          <w:lang w:val="ru-RU"/>
        </w:rPr>
        <w:t xml:space="preserve"> 30-38.</w:t>
      </w:r>
    </w:p>
    <w:p w14:paraId="1FA3EE61" w14:textId="124CDE51" w:rsidR="00AA1FB2" w:rsidRPr="00AA1FB2" w:rsidRDefault="00AA1FB2" w:rsidP="00AA1FB2">
      <w:r w:rsidRPr="00AA1FB2">
        <w:rPr>
          <w:lang w:eastAsia="bg-BG"/>
        </w:rPr>
        <w:t>Унгария</w:t>
      </w:r>
    </w:p>
    <w:p w14:paraId="508F3A54" w14:textId="29F973FD" w:rsidR="00B6672E" w:rsidRDefault="00936AD0" w:rsidP="00936AD0">
      <w:pPr>
        <w:pStyle w:val="Heading1"/>
      </w:pPr>
      <w:r>
        <w:t>8.</w:t>
      </w:r>
      <w:r w:rsidR="002C50EE">
        <w:t>НОМЕР НА РАЗРЕШЕНИЕТО ЗА УПОТРЕБА</w:t>
      </w:r>
    </w:p>
    <w:p w14:paraId="61E36AFA" w14:textId="6C8BF041" w:rsidR="00AA1FB2" w:rsidRDefault="00AA1FB2" w:rsidP="00AA1FB2"/>
    <w:p w14:paraId="4F8CDBFB" w14:textId="367EC461" w:rsidR="00AA1FB2" w:rsidRPr="00AA1FB2" w:rsidRDefault="00AA1FB2" w:rsidP="00AA1FB2">
      <w:pPr>
        <w:rPr>
          <w:sz w:val="24"/>
          <w:szCs w:val="24"/>
        </w:rPr>
      </w:pPr>
      <w:r w:rsidRPr="00AA1FB2">
        <w:rPr>
          <w:lang w:eastAsia="bg-BG"/>
        </w:rPr>
        <w:t xml:space="preserve">Егитромб 75 </w:t>
      </w:r>
      <w:r w:rsidRPr="00AA1FB2">
        <w:rPr>
          <w:lang w:val="en-US"/>
        </w:rPr>
        <w:t>mg</w:t>
      </w:r>
      <w:r w:rsidRPr="00AA1FB2">
        <w:rPr>
          <w:lang w:val="ru-RU"/>
        </w:rPr>
        <w:t xml:space="preserve"> </w:t>
      </w:r>
      <w:r w:rsidRPr="00AA1FB2">
        <w:rPr>
          <w:lang w:eastAsia="bg-BG"/>
        </w:rPr>
        <w:t xml:space="preserve">филмирани таблетки: </w:t>
      </w:r>
      <w:r w:rsidRPr="00AA1FB2">
        <w:rPr>
          <w:lang w:val="en-US"/>
        </w:rPr>
        <w:t>Per</w:t>
      </w:r>
      <w:r w:rsidRPr="00AA1FB2">
        <w:rPr>
          <w:lang w:val="ru-RU"/>
        </w:rPr>
        <w:t xml:space="preserve">. </w:t>
      </w:r>
      <w:r w:rsidRPr="00AA1FB2">
        <w:rPr>
          <w:lang w:eastAsia="bg-BG"/>
        </w:rPr>
        <w:t>№ 20090357</w:t>
      </w:r>
    </w:p>
    <w:p w14:paraId="2CCB5832" w14:textId="38408F36" w:rsidR="007C605B" w:rsidRDefault="002C50EE" w:rsidP="007C605B">
      <w:pPr>
        <w:pStyle w:val="Heading1"/>
      </w:pPr>
      <w:r>
        <w:t>9. ДАТА НА ПЪРВО РАЗРЕШАВАНЕ/ПОДНОВЯВАНЕ НА РАЗРЕШЕНИЕТО ЗА УПОТРЕБА</w:t>
      </w:r>
    </w:p>
    <w:p w14:paraId="1FC2D985" w14:textId="111F810F" w:rsidR="00AA1FB2" w:rsidRDefault="00AA1FB2" w:rsidP="00AA1FB2"/>
    <w:p w14:paraId="45355268" w14:textId="77777777" w:rsidR="00AA1FB2" w:rsidRPr="00AA1FB2" w:rsidRDefault="00AA1FB2" w:rsidP="00AA1FB2">
      <w:pPr>
        <w:rPr>
          <w:sz w:val="24"/>
          <w:szCs w:val="24"/>
        </w:rPr>
      </w:pPr>
      <w:r w:rsidRPr="00AA1FB2">
        <w:rPr>
          <w:lang w:eastAsia="bg-BG"/>
        </w:rPr>
        <w:t>Дата на първо разрешаване за употреба: 10.08.2009 г.</w:t>
      </w:r>
    </w:p>
    <w:p w14:paraId="29A72A90" w14:textId="77777777" w:rsidR="00AA1FB2" w:rsidRPr="00AA1FB2" w:rsidRDefault="00AA1FB2" w:rsidP="00AA1FB2">
      <w:pPr>
        <w:rPr>
          <w:sz w:val="24"/>
          <w:szCs w:val="24"/>
        </w:rPr>
      </w:pPr>
      <w:r w:rsidRPr="00AA1FB2">
        <w:rPr>
          <w:lang w:eastAsia="bg-BG"/>
        </w:rPr>
        <w:t>Дата на последно подновяване: 11.12.2014 г.</w:t>
      </w:r>
    </w:p>
    <w:p w14:paraId="00A6E9B4" w14:textId="77777777" w:rsidR="00AA1FB2" w:rsidRPr="00AA1FB2" w:rsidRDefault="00AA1FB2" w:rsidP="00AA1FB2"/>
    <w:p w14:paraId="0E9D0119" w14:textId="0245C6D7" w:rsidR="002C50EE" w:rsidRDefault="002C50EE" w:rsidP="002C50EE">
      <w:pPr>
        <w:pStyle w:val="Heading1"/>
      </w:pPr>
      <w:r>
        <w:t>10. ДАТА НА АКТУАЛИЗИРАНЕ НА ТЕКСТА</w:t>
      </w:r>
    </w:p>
    <w:bookmarkEnd w:id="0"/>
    <w:p w14:paraId="43FB38A2" w14:textId="4C178FBF" w:rsidR="007C605B" w:rsidRPr="003E3126" w:rsidRDefault="00AA1FB2" w:rsidP="00AA1FB2">
      <w:r>
        <w:t>Октомври, 2021 г.</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D4874"/>
    <w:multiLevelType w:val="hybridMultilevel"/>
    <w:tmpl w:val="83F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7F04B9B"/>
    <w:multiLevelType w:val="hybridMultilevel"/>
    <w:tmpl w:val="2DF4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B0443"/>
    <w:multiLevelType w:val="hybridMultilevel"/>
    <w:tmpl w:val="4EE4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E631D"/>
    <w:multiLevelType w:val="hybridMultilevel"/>
    <w:tmpl w:val="13FAC4CC"/>
    <w:lvl w:ilvl="0" w:tplc="4CE419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6"/>
  </w:num>
  <w:num w:numId="4">
    <w:abstractNumId w:val="3"/>
  </w:num>
  <w:num w:numId="5">
    <w:abstractNumId w:val="1"/>
  </w:num>
  <w:num w:numId="6">
    <w:abstractNumId w:val="19"/>
  </w:num>
  <w:num w:numId="7">
    <w:abstractNumId w:val="13"/>
  </w:num>
  <w:num w:numId="8">
    <w:abstractNumId w:val="18"/>
  </w:num>
  <w:num w:numId="9">
    <w:abstractNumId w:val="2"/>
  </w:num>
  <w:num w:numId="10">
    <w:abstractNumId w:val="4"/>
  </w:num>
  <w:num w:numId="11">
    <w:abstractNumId w:val="34"/>
  </w:num>
  <w:num w:numId="12">
    <w:abstractNumId w:val="17"/>
  </w:num>
  <w:num w:numId="13">
    <w:abstractNumId w:val="22"/>
  </w:num>
  <w:num w:numId="14">
    <w:abstractNumId w:val="15"/>
  </w:num>
  <w:num w:numId="15">
    <w:abstractNumId w:val="33"/>
  </w:num>
  <w:num w:numId="16">
    <w:abstractNumId w:val="12"/>
  </w:num>
  <w:num w:numId="17">
    <w:abstractNumId w:val="27"/>
  </w:num>
  <w:num w:numId="18">
    <w:abstractNumId w:val="8"/>
  </w:num>
  <w:num w:numId="19">
    <w:abstractNumId w:val="30"/>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6"/>
  </w:num>
  <w:num w:numId="28">
    <w:abstractNumId w:val="6"/>
  </w:num>
  <w:num w:numId="29">
    <w:abstractNumId w:val="23"/>
  </w:num>
  <w:num w:numId="30">
    <w:abstractNumId w:val="39"/>
  </w:num>
  <w:num w:numId="31">
    <w:abstractNumId w:val="5"/>
  </w:num>
  <w:num w:numId="32">
    <w:abstractNumId w:val="38"/>
  </w:num>
  <w:num w:numId="33">
    <w:abstractNumId w:val="32"/>
  </w:num>
  <w:num w:numId="34">
    <w:abstractNumId w:val="37"/>
  </w:num>
  <w:num w:numId="35">
    <w:abstractNumId w:val="7"/>
  </w:num>
  <w:num w:numId="36">
    <w:abstractNumId w:val="10"/>
  </w:num>
  <w:num w:numId="37">
    <w:abstractNumId w:val="11"/>
  </w:num>
  <w:num w:numId="38">
    <w:abstractNumId w:val="35"/>
  </w:num>
  <w:num w:numId="39">
    <w:abstractNumId w:val="2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B7E28"/>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1FB2"/>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962F6"/>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9777</Words>
  <Characters>55731</Characters>
  <Application>Microsoft Office Word</Application>
  <DocSecurity>0</DocSecurity>
  <Lines>464</Lines>
  <Paragraphs>130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2022-07-30T10:45:00Z</dcterms:created>
  <dcterms:modified xsi:type="dcterms:W3CDTF">2022-07-30T13:06:00Z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