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3B2C43D4" w:rsidR="007122AD" w:rsidRDefault="00DD466D" w:rsidP="00936AD0">
      <w:pPr>
        <w:pStyle w:val="Heading1"/>
      </w:pPr>
      <w:r>
        <w:t>1.ИМЕ НА ЛЕКАРСТВЕНИЯ ПРОДУКТ</w:t>
      </w:r>
    </w:p>
    <w:p w14:paraId="2C32ECA4" w14:textId="38AD1423" w:rsidR="00120AB6" w:rsidRDefault="00120AB6" w:rsidP="00120AB6"/>
    <w:p w14:paraId="7E321C3C" w14:textId="77777777" w:rsidR="00120AB6" w:rsidRPr="00120AB6" w:rsidRDefault="00120AB6" w:rsidP="00120AB6">
      <w:pPr>
        <w:rPr>
          <w:rFonts w:ascii="Times New Roman" w:hAnsi="Times New Roman" w:cs="Times New Roman"/>
          <w:sz w:val="24"/>
          <w:szCs w:val="24"/>
          <w:lang w:val="ru-RU"/>
        </w:rPr>
      </w:pPr>
      <w:r w:rsidRPr="00120AB6">
        <w:rPr>
          <w:lang w:eastAsia="bg-BG"/>
        </w:rPr>
        <w:t xml:space="preserve">Еголанза </w:t>
      </w:r>
      <w:r w:rsidRPr="00120AB6">
        <w:rPr>
          <w:lang w:val="ru-RU"/>
        </w:rPr>
        <w:t xml:space="preserve">5 </w:t>
      </w:r>
      <w:r w:rsidRPr="00120AB6">
        <w:rPr>
          <w:lang w:val="en-US"/>
        </w:rPr>
        <w:t>mg</w:t>
      </w:r>
      <w:r w:rsidRPr="00120AB6">
        <w:rPr>
          <w:lang w:val="ru-RU"/>
        </w:rPr>
        <w:t xml:space="preserve"> </w:t>
      </w:r>
      <w:r w:rsidRPr="00120AB6">
        <w:rPr>
          <w:lang w:eastAsia="bg-BG"/>
        </w:rPr>
        <w:t>филмирани таблетки</w:t>
      </w:r>
    </w:p>
    <w:p w14:paraId="63722B20" w14:textId="77777777" w:rsidR="00120AB6" w:rsidRPr="00120AB6" w:rsidRDefault="00120AB6" w:rsidP="00120AB6">
      <w:pPr>
        <w:rPr>
          <w:rFonts w:ascii="Times New Roman" w:hAnsi="Times New Roman" w:cs="Times New Roman"/>
          <w:sz w:val="24"/>
          <w:szCs w:val="24"/>
          <w:lang w:val="ru-RU"/>
        </w:rPr>
      </w:pPr>
      <w:r w:rsidRPr="00120AB6">
        <w:rPr>
          <w:lang w:eastAsia="bg-BG"/>
        </w:rPr>
        <w:t xml:space="preserve">Еголанза 10 </w:t>
      </w:r>
      <w:r w:rsidRPr="00120AB6">
        <w:rPr>
          <w:lang w:val="en-US"/>
        </w:rPr>
        <w:t>mg</w:t>
      </w:r>
      <w:r w:rsidRPr="00120AB6">
        <w:rPr>
          <w:lang w:val="ru-RU"/>
        </w:rPr>
        <w:t xml:space="preserve"> </w:t>
      </w:r>
      <w:r w:rsidRPr="00120AB6">
        <w:rPr>
          <w:lang w:eastAsia="bg-BG"/>
        </w:rPr>
        <w:t>филмирани таблетки</w:t>
      </w:r>
    </w:p>
    <w:p w14:paraId="2DED48D0" w14:textId="77777777" w:rsidR="00120AB6" w:rsidRPr="00120AB6" w:rsidRDefault="00120AB6" w:rsidP="00120AB6">
      <w:pPr>
        <w:rPr>
          <w:rFonts w:ascii="Times New Roman" w:hAnsi="Times New Roman" w:cs="Times New Roman"/>
          <w:sz w:val="24"/>
          <w:szCs w:val="24"/>
          <w:lang w:val="ru-RU"/>
        </w:rPr>
      </w:pPr>
      <w:r w:rsidRPr="00120AB6">
        <w:rPr>
          <w:lang w:eastAsia="bg-BG"/>
        </w:rPr>
        <w:t xml:space="preserve">Еголанза 15 </w:t>
      </w:r>
      <w:r w:rsidRPr="00120AB6">
        <w:rPr>
          <w:lang w:val="en-US"/>
        </w:rPr>
        <w:t>mg</w:t>
      </w:r>
      <w:r w:rsidRPr="00120AB6">
        <w:rPr>
          <w:lang w:val="ru-RU"/>
        </w:rPr>
        <w:t xml:space="preserve"> </w:t>
      </w:r>
      <w:r w:rsidRPr="00120AB6">
        <w:rPr>
          <w:lang w:eastAsia="bg-BG"/>
        </w:rPr>
        <w:t>филмирани таблетки</w:t>
      </w:r>
    </w:p>
    <w:p w14:paraId="030F1368" w14:textId="77777777" w:rsidR="00120AB6" w:rsidRPr="00120AB6" w:rsidRDefault="00120AB6" w:rsidP="00120AB6">
      <w:pPr>
        <w:rPr>
          <w:rFonts w:ascii="Times New Roman" w:hAnsi="Times New Roman" w:cs="Times New Roman"/>
          <w:sz w:val="24"/>
          <w:szCs w:val="24"/>
          <w:lang w:val="ru-RU"/>
        </w:rPr>
      </w:pPr>
      <w:r w:rsidRPr="00120AB6">
        <w:rPr>
          <w:lang w:eastAsia="bg-BG"/>
        </w:rPr>
        <w:t xml:space="preserve">Еголанза 20 </w:t>
      </w:r>
      <w:r w:rsidRPr="00120AB6">
        <w:rPr>
          <w:lang w:val="en-US"/>
        </w:rPr>
        <w:t>mg</w:t>
      </w:r>
      <w:r w:rsidRPr="00120AB6">
        <w:rPr>
          <w:lang w:val="ru-RU"/>
        </w:rPr>
        <w:t xml:space="preserve"> </w:t>
      </w:r>
      <w:r w:rsidRPr="00120AB6">
        <w:rPr>
          <w:lang w:eastAsia="bg-BG"/>
        </w:rPr>
        <w:t>филмирани таблетки</w:t>
      </w:r>
    </w:p>
    <w:p w14:paraId="1A65302A" w14:textId="77777777" w:rsidR="00120AB6" w:rsidRPr="00120AB6" w:rsidRDefault="00120AB6" w:rsidP="00120AB6">
      <w:pPr>
        <w:rPr>
          <w:lang w:val="ru-RU"/>
        </w:rPr>
      </w:pPr>
    </w:p>
    <w:p w14:paraId="746826F7" w14:textId="64DD5726" w:rsidR="00120AB6" w:rsidRPr="00120AB6" w:rsidRDefault="00120AB6" w:rsidP="00120AB6">
      <w:pPr>
        <w:rPr>
          <w:rFonts w:ascii="Times New Roman" w:hAnsi="Times New Roman" w:cs="Times New Roman"/>
          <w:sz w:val="24"/>
          <w:szCs w:val="24"/>
          <w:lang w:val="en-US"/>
        </w:rPr>
      </w:pPr>
      <w:proofErr w:type="spellStart"/>
      <w:r w:rsidRPr="00120AB6">
        <w:rPr>
          <w:lang w:val="en-US"/>
        </w:rPr>
        <w:t>Egolanza</w:t>
      </w:r>
      <w:proofErr w:type="spellEnd"/>
      <w:r w:rsidRPr="00120AB6">
        <w:rPr>
          <w:lang w:val="en-US"/>
        </w:rPr>
        <w:t xml:space="preserve"> </w:t>
      </w:r>
      <w:r w:rsidRPr="00120AB6">
        <w:rPr>
          <w:lang w:eastAsia="bg-BG"/>
        </w:rPr>
        <w:t xml:space="preserve">5 </w:t>
      </w:r>
      <w:r w:rsidRPr="00120AB6">
        <w:rPr>
          <w:lang w:val="en-US"/>
        </w:rPr>
        <w:t>mg film-coated tablets</w:t>
      </w:r>
    </w:p>
    <w:p w14:paraId="5AABB5B0" w14:textId="77777777" w:rsidR="00120AB6" w:rsidRPr="00120AB6" w:rsidRDefault="00120AB6" w:rsidP="00120AB6">
      <w:pPr>
        <w:rPr>
          <w:rFonts w:ascii="Times New Roman" w:hAnsi="Times New Roman" w:cs="Times New Roman"/>
          <w:sz w:val="24"/>
          <w:szCs w:val="24"/>
          <w:lang w:val="en-US"/>
        </w:rPr>
      </w:pPr>
      <w:proofErr w:type="spellStart"/>
      <w:r w:rsidRPr="00120AB6">
        <w:rPr>
          <w:lang w:val="en-US"/>
        </w:rPr>
        <w:t>Egolanza</w:t>
      </w:r>
      <w:proofErr w:type="spellEnd"/>
      <w:r w:rsidRPr="00120AB6">
        <w:rPr>
          <w:lang w:val="en-US"/>
        </w:rPr>
        <w:t xml:space="preserve"> 10 mg film-coated tablets</w:t>
      </w:r>
    </w:p>
    <w:p w14:paraId="0865F755" w14:textId="77777777" w:rsidR="00120AB6" w:rsidRPr="00120AB6" w:rsidRDefault="00120AB6" w:rsidP="00120AB6">
      <w:pPr>
        <w:rPr>
          <w:rFonts w:ascii="Times New Roman" w:hAnsi="Times New Roman" w:cs="Times New Roman"/>
          <w:sz w:val="24"/>
          <w:szCs w:val="24"/>
          <w:lang w:val="en-US"/>
        </w:rPr>
      </w:pPr>
      <w:proofErr w:type="spellStart"/>
      <w:r w:rsidRPr="00120AB6">
        <w:rPr>
          <w:lang w:val="en-US"/>
        </w:rPr>
        <w:t>Egolanza</w:t>
      </w:r>
      <w:proofErr w:type="spellEnd"/>
      <w:r w:rsidRPr="00120AB6">
        <w:rPr>
          <w:lang w:val="en-US"/>
        </w:rPr>
        <w:t xml:space="preserve"> 15 mg film-coated tablets</w:t>
      </w:r>
    </w:p>
    <w:p w14:paraId="62EA6445" w14:textId="4ACE3BEA" w:rsidR="00120AB6" w:rsidRPr="00120AB6" w:rsidRDefault="00120AB6" w:rsidP="00120AB6">
      <w:proofErr w:type="spellStart"/>
      <w:r w:rsidRPr="00120AB6">
        <w:rPr>
          <w:lang w:val="en-US"/>
        </w:rPr>
        <w:t>Egolanza</w:t>
      </w:r>
      <w:proofErr w:type="spellEnd"/>
      <w:r w:rsidRPr="00120AB6">
        <w:rPr>
          <w:lang w:val="en-US"/>
        </w:rPr>
        <w:t xml:space="preserve"> 20 mg film-coated tablets</w:t>
      </w:r>
    </w:p>
    <w:p w14:paraId="6920A680" w14:textId="36F56931" w:rsidR="00C40420" w:rsidRDefault="00DD466D" w:rsidP="004A448E">
      <w:pPr>
        <w:pStyle w:val="Heading1"/>
      </w:pPr>
      <w:r>
        <w:t>2. КАЧЕСТВЕН И КОЛИЧЕСТВЕН СЪСТАВ</w:t>
      </w:r>
    </w:p>
    <w:p w14:paraId="7FD13D89" w14:textId="1932AE94" w:rsidR="00120AB6" w:rsidRDefault="00120AB6" w:rsidP="00120AB6"/>
    <w:p w14:paraId="7ECFB811" w14:textId="77777777"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 xml:space="preserve">Еголанза 5 </w:t>
      </w:r>
      <w:r w:rsidRPr="00120AB6">
        <w:rPr>
          <w:rFonts w:eastAsia="Times New Roman" w:cs="Arial"/>
          <w:bCs/>
          <w:i/>
          <w:iCs/>
          <w:color w:val="000000"/>
          <w:szCs w:val="18"/>
          <w:lang w:val="en-US"/>
        </w:rPr>
        <w:t>mg</w:t>
      </w:r>
      <w:r w:rsidRPr="00120AB6">
        <w:rPr>
          <w:rFonts w:eastAsia="Times New Roman" w:cs="Arial"/>
          <w:bCs/>
          <w:i/>
          <w:iCs/>
          <w:color w:val="000000"/>
          <w:szCs w:val="18"/>
        </w:rPr>
        <w:t xml:space="preserve"> </w:t>
      </w:r>
      <w:r w:rsidRPr="00120AB6">
        <w:rPr>
          <w:rFonts w:eastAsia="Times New Roman" w:cs="Arial"/>
          <w:bCs/>
          <w:i/>
          <w:iCs/>
          <w:color w:val="000000"/>
          <w:szCs w:val="18"/>
          <w:lang w:eastAsia="bg-BG"/>
        </w:rPr>
        <w:t>филмирани таблетки</w:t>
      </w:r>
    </w:p>
    <w:p w14:paraId="01D566DB"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Всяка филмирана таблетка съдържа 5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 xml:space="preserve">оланзапин (под формата на 7,03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оланзапинов дихидрохлорид трихидрат).</w:t>
      </w:r>
    </w:p>
    <w:p w14:paraId="69A4CBCA" w14:textId="77777777" w:rsidR="00120AB6" w:rsidRPr="00120AB6" w:rsidRDefault="00120AB6" w:rsidP="00120AB6">
      <w:pPr>
        <w:spacing w:line="240" w:lineRule="auto"/>
        <w:rPr>
          <w:rFonts w:eastAsia="Times New Roman" w:cs="Arial"/>
          <w:bCs/>
          <w:i/>
          <w:iCs/>
          <w:color w:val="000000"/>
          <w:szCs w:val="18"/>
          <w:lang w:eastAsia="bg-BG"/>
        </w:rPr>
      </w:pPr>
    </w:p>
    <w:p w14:paraId="72D78AA4" w14:textId="3BB6AA01"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 xml:space="preserve">Еголанза 10 </w:t>
      </w:r>
      <w:r w:rsidRPr="00120AB6">
        <w:rPr>
          <w:rFonts w:eastAsia="Times New Roman" w:cs="Arial"/>
          <w:bCs/>
          <w:i/>
          <w:iCs/>
          <w:color w:val="000000"/>
          <w:szCs w:val="18"/>
          <w:lang w:val="en-US"/>
        </w:rPr>
        <w:t>mg</w:t>
      </w:r>
      <w:r w:rsidRPr="00120AB6">
        <w:rPr>
          <w:rFonts w:eastAsia="Times New Roman" w:cs="Arial"/>
          <w:bCs/>
          <w:i/>
          <w:iCs/>
          <w:color w:val="000000"/>
          <w:szCs w:val="18"/>
        </w:rPr>
        <w:t xml:space="preserve"> </w:t>
      </w:r>
      <w:r w:rsidRPr="00120AB6">
        <w:rPr>
          <w:rFonts w:eastAsia="Times New Roman" w:cs="Arial"/>
          <w:bCs/>
          <w:i/>
          <w:iCs/>
          <w:color w:val="000000"/>
          <w:szCs w:val="18"/>
          <w:lang w:eastAsia="bg-BG"/>
        </w:rPr>
        <w:t>филмирани таблетки</w:t>
      </w:r>
    </w:p>
    <w:p w14:paraId="51EEA06D"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Всяка филмирана таблетка съдържа 10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 xml:space="preserve">оланзапин (под формата на 14,06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оланзапинов дихидрохлорид трихидрат).</w:t>
      </w:r>
    </w:p>
    <w:p w14:paraId="77925DB4" w14:textId="77777777" w:rsidR="00120AB6" w:rsidRPr="00120AB6" w:rsidRDefault="00120AB6" w:rsidP="00120AB6">
      <w:pPr>
        <w:spacing w:line="240" w:lineRule="auto"/>
        <w:rPr>
          <w:rFonts w:eastAsia="Times New Roman" w:cs="Arial"/>
          <w:bCs/>
          <w:i/>
          <w:iCs/>
          <w:color w:val="000000"/>
          <w:szCs w:val="18"/>
          <w:lang w:eastAsia="bg-BG"/>
        </w:rPr>
      </w:pPr>
    </w:p>
    <w:p w14:paraId="4A8D6743" w14:textId="722B0602"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 xml:space="preserve">Еголанза 15 </w:t>
      </w:r>
      <w:r w:rsidRPr="00120AB6">
        <w:rPr>
          <w:rFonts w:eastAsia="Times New Roman" w:cs="Arial"/>
          <w:bCs/>
          <w:i/>
          <w:iCs/>
          <w:color w:val="000000"/>
          <w:szCs w:val="18"/>
          <w:lang w:val="en-US"/>
        </w:rPr>
        <w:t>mg</w:t>
      </w:r>
      <w:r w:rsidRPr="00120AB6">
        <w:rPr>
          <w:rFonts w:eastAsia="Times New Roman" w:cs="Arial"/>
          <w:bCs/>
          <w:i/>
          <w:iCs/>
          <w:color w:val="000000"/>
          <w:szCs w:val="18"/>
        </w:rPr>
        <w:t xml:space="preserve"> </w:t>
      </w:r>
      <w:r w:rsidRPr="00120AB6">
        <w:rPr>
          <w:rFonts w:eastAsia="Times New Roman" w:cs="Arial"/>
          <w:bCs/>
          <w:i/>
          <w:iCs/>
          <w:color w:val="000000"/>
          <w:szCs w:val="18"/>
          <w:lang w:eastAsia="bg-BG"/>
        </w:rPr>
        <w:t>филмирани таблетки</w:t>
      </w:r>
    </w:p>
    <w:p w14:paraId="2DBF643C"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Всяка филмирана таблетка съдържа 15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 xml:space="preserve">оланзапин (под формата на 21,09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оланзапинов дихидрохлорид трихидрат).</w:t>
      </w:r>
    </w:p>
    <w:p w14:paraId="3AE85654" w14:textId="77777777" w:rsidR="00120AB6" w:rsidRPr="00120AB6" w:rsidRDefault="00120AB6" w:rsidP="00120AB6">
      <w:pPr>
        <w:spacing w:line="240" w:lineRule="auto"/>
        <w:rPr>
          <w:rFonts w:eastAsia="Times New Roman" w:cs="Arial"/>
          <w:bCs/>
          <w:i/>
          <w:iCs/>
          <w:color w:val="000000"/>
          <w:szCs w:val="18"/>
          <w:lang w:eastAsia="bg-BG"/>
        </w:rPr>
      </w:pPr>
    </w:p>
    <w:p w14:paraId="2275250B" w14:textId="4521C0A5"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 xml:space="preserve">Еголанза 20 </w:t>
      </w:r>
      <w:r w:rsidRPr="00120AB6">
        <w:rPr>
          <w:rFonts w:eastAsia="Times New Roman" w:cs="Arial"/>
          <w:bCs/>
          <w:i/>
          <w:iCs/>
          <w:color w:val="000000"/>
          <w:szCs w:val="18"/>
          <w:lang w:val="en-US"/>
        </w:rPr>
        <w:t>mg</w:t>
      </w:r>
      <w:r w:rsidRPr="00120AB6">
        <w:rPr>
          <w:rFonts w:eastAsia="Times New Roman" w:cs="Arial"/>
          <w:bCs/>
          <w:i/>
          <w:iCs/>
          <w:color w:val="000000"/>
          <w:szCs w:val="18"/>
        </w:rPr>
        <w:t xml:space="preserve"> </w:t>
      </w:r>
      <w:r w:rsidRPr="00120AB6">
        <w:rPr>
          <w:rFonts w:eastAsia="Times New Roman" w:cs="Arial"/>
          <w:bCs/>
          <w:i/>
          <w:iCs/>
          <w:color w:val="000000"/>
          <w:szCs w:val="18"/>
          <w:lang w:eastAsia="bg-BG"/>
        </w:rPr>
        <w:t>филмирани таблетки</w:t>
      </w:r>
    </w:p>
    <w:p w14:paraId="031AE945"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Всяка филмирана таблетка съдържа 20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 xml:space="preserve">оланзапин (под формата на 28,12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оланзапинов дихидрохлорид трихидрат).</w:t>
      </w:r>
    </w:p>
    <w:p w14:paraId="2BAB0D30" w14:textId="77777777" w:rsidR="00120AB6" w:rsidRPr="00120AB6" w:rsidRDefault="00120AB6" w:rsidP="00120AB6">
      <w:pPr>
        <w:spacing w:line="240" w:lineRule="auto"/>
        <w:rPr>
          <w:rFonts w:eastAsia="Times New Roman" w:cs="Arial"/>
          <w:bCs/>
          <w:color w:val="000000"/>
          <w:szCs w:val="18"/>
          <w:u w:val="single"/>
          <w:lang w:eastAsia="bg-BG"/>
        </w:rPr>
      </w:pPr>
    </w:p>
    <w:p w14:paraId="3A73C07A" w14:textId="7E44ACED"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u w:val="single"/>
          <w:lang w:eastAsia="bg-BG"/>
        </w:rPr>
        <w:t>Помощни вещества с известно действие:</w:t>
      </w:r>
    </w:p>
    <w:p w14:paraId="05ABDBF2"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Всяка филмирана таблетка Еголанза 5 </w:t>
      </w:r>
      <w:r w:rsidRPr="00120AB6">
        <w:rPr>
          <w:rFonts w:eastAsia="Times New Roman" w:cs="Arial"/>
          <w:bCs/>
          <w:color w:val="000000"/>
          <w:szCs w:val="18"/>
          <w:lang w:val="en-US"/>
        </w:rPr>
        <w:t>mg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 xml:space="preserve">съдържа 40,98 </w:t>
      </w:r>
      <w:r w:rsidRPr="00120AB6">
        <w:rPr>
          <w:rFonts w:eastAsia="Times New Roman" w:cs="Arial"/>
          <w:bCs/>
          <w:color w:val="000000"/>
          <w:szCs w:val="18"/>
          <w:lang w:val="en-US"/>
        </w:rPr>
        <w:t>mg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лактоза монохидрат</w:t>
      </w:r>
    </w:p>
    <w:p w14:paraId="2D21924E"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Всяка филмирана таблетка Еголанза 10 </w:t>
      </w:r>
      <w:r w:rsidRPr="00120AB6">
        <w:rPr>
          <w:rFonts w:eastAsia="Times New Roman" w:cs="Arial"/>
          <w:bCs/>
          <w:color w:val="000000"/>
          <w:szCs w:val="18"/>
          <w:lang w:val="en-US"/>
        </w:rPr>
        <w:t>mg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 xml:space="preserve">съдържа 81,97 </w:t>
      </w:r>
      <w:r w:rsidRPr="00120AB6">
        <w:rPr>
          <w:rFonts w:eastAsia="Times New Roman" w:cs="Arial"/>
          <w:bCs/>
          <w:color w:val="000000"/>
          <w:szCs w:val="18"/>
          <w:lang w:val="en-US"/>
        </w:rPr>
        <w:t>mg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лактоза монохидрат</w:t>
      </w:r>
    </w:p>
    <w:p w14:paraId="48601658" w14:textId="7BF6876F" w:rsidR="00120AB6" w:rsidRPr="00120AB6" w:rsidRDefault="00120AB6" w:rsidP="00120AB6">
      <w:pPr>
        <w:rPr>
          <w:rFonts w:cs="Arial"/>
          <w:sz w:val="28"/>
        </w:rPr>
      </w:pPr>
      <w:r w:rsidRPr="00120AB6">
        <w:rPr>
          <w:rFonts w:eastAsia="Times New Roman" w:cs="Arial"/>
          <w:bCs/>
          <w:color w:val="000000"/>
          <w:szCs w:val="18"/>
          <w:lang w:eastAsia="bg-BG"/>
        </w:rPr>
        <w:t xml:space="preserve">Всяка филмирана таблетка Еголанза 15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 xml:space="preserve">съдържа 122,95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 xml:space="preserve">лактоза монохидрат Всяка филмирана таблетка Еголанза 20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 xml:space="preserve">съдържа 163,94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лактоза монохидрат</w:t>
      </w:r>
    </w:p>
    <w:p w14:paraId="614984C4" w14:textId="4B8F9391" w:rsidR="008A6AF2" w:rsidRDefault="00DD466D" w:rsidP="002C50EE">
      <w:pPr>
        <w:pStyle w:val="Heading1"/>
      </w:pPr>
      <w:r>
        <w:t>3. ЛЕКАРСТВЕНА ФОРМА</w:t>
      </w:r>
    </w:p>
    <w:p w14:paraId="5E1CFD50" w14:textId="192EC586" w:rsidR="00120AB6" w:rsidRDefault="00120AB6" w:rsidP="00120AB6"/>
    <w:p w14:paraId="42A02B8A"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Филмирана таблетка.</w:t>
      </w:r>
    </w:p>
    <w:p w14:paraId="3F6A4B3E" w14:textId="77777777" w:rsidR="00120AB6" w:rsidRPr="00120AB6" w:rsidRDefault="00120AB6" w:rsidP="00120AB6">
      <w:pPr>
        <w:spacing w:line="240" w:lineRule="auto"/>
        <w:rPr>
          <w:rFonts w:eastAsia="Times New Roman" w:cs="Arial"/>
          <w:bCs/>
          <w:i/>
          <w:iCs/>
          <w:color w:val="000000"/>
          <w:szCs w:val="18"/>
          <w:lang w:eastAsia="bg-BG"/>
        </w:rPr>
      </w:pPr>
    </w:p>
    <w:p w14:paraId="15B32D1E" w14:textId="12CC3718"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 xml:space="preserve">Еголанза 5 </w:t>
      </w:r>
      <w:r w:rsidRPr="00120AB6">
        <w:rPr>
          <w:rFonts w:eastAsia="Times New Roman" w:cs="Arial"/>
          <w:bCs/>
          <w:i/>
          <w:iCs/>
          <w:color w:val="000000"/>
          <w:szCs w:val="18"/>
          <w:lang w:val="en-US"/>
        </w:rPr>
        <w:t>mg</w:t>
      </w:r>
      <w:r w:rsidRPr="00120AB6">
        <w:rPr>
          <w:rFonts w:eastAsia="Times New Roman" w:cs="Arial"/>
          <w:bCs/>
          <w:i/>
          <w:iCs/>
          <w:color w:val="000000"/>
          <w:szCs w:val="18"/>
          <w:lang w:val="ru-RU"/>
        </w:rPr>
        <w:t xml:space="preserve"> </w:t>
      </w:r>
      <w:r w:rsidRPr="00120AB6">
        <w:rPr>
          <w:rFonts w:eastAsia="Times New Roman" w:cs="Arial"/>
          <w:bCs/>
          <w:i/>
          <w:iCs/>
          <w:color w:val="000000"/>
          <w:szCs w:val="18"/>
          <w:lang w:eastAsia="bg-BG"/>
        </w:rPr>
        <w:t>филмирани таблетки</w:t>
      </w:r>
    </w:p>
    <w:p w14:paraId="15D6A587"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Жълти, продълговати, двойно изпъкнали филмирани таблетки с делителна черта от едната страна и със стилизирано „Е“ и код „402“ от другата страна.</w:t>
      </w:r>
    </w:p>
    <w:p w14:paraId="6698E669"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Таблетката може да бъде разделена на две равни дози.</w:t>
      </w:r>
    </w:p>
    <w:p w14:paraId="325C68E4" w14:textId="6BD553DA" w:rsidR="00120AB6" w:rsidRPr="00120AB6" w:rsidRDefault="00120AB6" w:rsidP="00120AB6">
      <w:pPr>
        <w:rPr>
          <w:rFonts w:cs="Arial"/>
          <w:sz w:val="28"/>
        </w:rPr>
      </w:pPr>
    </w:p>
    <w:p w14:paraId="6365D0CF" w14:textId="77777777"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 xml:space="preserve">Еголанза 10 </w:t>
      </w:r>
      <w:r w:rsidRPr="00120AB6">
        <w:rPr>
          <w:rFonts w:eastAsia="Times New Roman" w:cs="Arial"/>
          <w:bCs/>
          <w:i/>
          <w:iCs/>
          <w:color w:val="000000"/>
          <w:szCs w:val="18"/>
          <w:lang w:val="en-US"/>
        </w:rPr>
        <w:t>mg</w:t>
      </w:r>
      <w:r w:rsidRPr="00120AB6">
        <w:rPr>
          <w:rFonts w:eastAsia="Times New Roman" w:cs="Arial"/>
          <w:bCs/>
          <w:i/>
          <w:iCs/>
          <w:color w:val="000000"/>
          <w:szCs w:val="18"/>
          <w:lang w:val="ru-RU"/>
        </w:rPr>
        <w:t xml:space="preserve"> </w:t>
      </w:r>
      <w:r w:rsidRPr="00120AB6">
        <w:rPr>
          <w:rFonts w:eastAsia="Times New Roman" w:cs="Arial"/>
          <w:bCs/>
          <w:i/>
          <w:iCs/>
          <w:color w:val="000000"/>
          <w:szCs w:val="18"/>
          <w:lang w:eastAsia="bg-BG"/>
        </w:rPr>
        <w:t>филмирани таблетки</w:t>
      </w:r>
    </w:p>
    <w:p w14:paraId="5408819F"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Жълти, кръгли, двойно изпъкнали филмирани таблетки, със стилизирано „Е“ и код „404“ от едната страна.</w:t>
      </w:r>
    </w:p>
    <w:p w14:paraId="4F81B313" w14:textId="77777777" w:rsidR="00120AB6" w:rsidRPr="00120AB6" w:rsidRDefault="00120AB6" w:rsidP="00120AB6">
      <w:pPr>
        <w:spacing w:line="240" w:lineRule="auto"/>
        <w:rPr>
          <w:rFonts w:eastAsia="Times New Roman" w:cs="Arial"/>
          <w:bCs/>
          <w:i/>
          <w:iCs/>
          <w:color w:val="000000"/>
          <w:szCs w:val="18"/>
          <w:lang w:eastAsia="bg-BG"/>
        </w:rPr>
      </w:pPr>
    </w:p>
    <w:p w14:paraId="6561843B" w14:textId="2F14E429"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 xml:space="preserve">Еголанза 15 </w:t>
      </w:r>
      <w:r w:rsidRPr="00120AB6">
        <w:rPr>
          <w:rFonts w:eastAsia="Times New Roman" w:cs="Arial"/>
          <w:bCs/>
          <w:i/>
          <w:iCs/>
          <w:color w:val="000000"/>
          <w:szCs w:val="18"/>
          <w:lang w:val="en-US"/>
        </w:rPr>
        <w:t>mg</w:t>
      </w:r>
      <w:r w:rsidRPr="00120AB6">
        <w:rPr>
          <w:rFonts w:eastAsia="Times New Roman" w:cs="Arial"/>
          <w:bCs/>
          <w:i/>
          <w:iCs/>
          <w:color w:val="000000"/>
          <w:szCs w:val="18"/>
          <w:lang w:val="ru-RU"/>
        </w:rPr>
        <w:t xml:space="preserve"> </w:t>
      </w:r>
      <w:r w:rsidRPr="00120AB6">
        <w:rPr>
          <w:rFonts w:eastAsia="Times New Roman" w:cs="Arial"/>
          <w:bCs/>
          <w:i/>
          <w:iCs/>
          <w:color w:val="000000"/>
          <w:szCs w:val="18"/>
          <w:lang w:eastAsia="bg-BG"/>
        </w:rPr>
        <w:t>филмирани таблетки</w:t>
      </w:r>
    </w:p>
    <w:p w14:paraId="691AB29C"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Жълти, кръгли, двойно изпъкнали филмирани таблетки, със стилизирано „Е“ и код „405“ от едната страна.</w:t>
      </w:r>
    </w:p>
    <w:p w14:paraId="1F2A2688" w14:textId="77777777" w:rsidR="00120AB6" w:rsidRPr="00120AB6" w:rsidRDefault="00120AB6" w:rsidP="00120AB6">
      <w:pPr>
        <w:spacing w:line="240" w:lineRule="auto"/>
        <w:rPr>
          <w:rFonts w:eastAsia="Times New Roman" w:cs="Arial"/>
          <w:bCs/>
          <w:i/>
          <w:iCs/>
          <w:color w:val="000000"/>
          <w:szCs w:val="18"/>
          <w:lang w:eastAsia="bg-BG"/>
        </w:rPr>
      </w:pPr>
    </w:p>
    <w:p w14:paraId="4042E915" w14:textId="0092EA10"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 xml:space="preserve">Еголанза 20 </w:t>
      </w:r>
      <w:r w:rsidRPr="00120AB6">
        <w:rPr>
          <w:rFonts w:eastAsia="Times New Roman" w:cs="Arial"/>
          <w:bCs/>
          <w:i/>
          <w:iCs/>
          <w:color w:val="000000"/>
          <w:szCs w:val="18"/>
          <w:lang w:val="en-US"/>
        </w:rPr>
        <w:t>mg</w:t>
      </w:r>
      <w:r w:rsidRPr="00120AB6">
        <w:rPr>
          <w:rFonts w:eastAsia="Times New Roman" w:cs="Arial"/>
          <w:bCs/>
          <w:i/>
          <w:iCs/>
          <w:color w:val="000000"/>
          <w:szCs w:val="18"/>
          <w:lang w:val="ru-RU"/>
        </w:rPr>
        <w:t xml:space="preserve"> </w:t>
      </w:r>
      <w:r w:rsidRPr="00120AB6">
        <w:rPr>
          <w:rFonts w:eastAsia="Times New Roman" w:cs="Arial"/>
          <w:bCs/>
          <w:i/>
          <w:iCs/>
          <w:color w:val="000000"/>
          <w:szCs w:val="18"/>
          <w:lang w:eastAsia="bg-BG"/>
        </w:rPr>
        <w:t>филмирани таблетки</w:t>
      </w:r>
    </w:p>
    <w:p w14:paraId="61F49F5F" w14:textId="77777777" w:rsidR="00120AB6" w:rsidRPr="00120AB6" w:rsidRDefault="00120AB6" w:rsidP="00120AB6">
      <w:pPr>
        <w:spacing w:line="240" w:lineRule="auto"/>
        <w:rPr>
          <w:rFonts w:ascii="Times New Roman" w:eastAsia="Times New Roman" w:hAnsi="Times New Roman" w:cs="Times New Roman"/>
          <w:sz w:val="24"/>
          <w:szCs w:val="24"/>
        </w:rPr>
      </w:pPr>
      <w:r w:rsidRPr="00120AB6">
        <w:rPr>
          <w:rFonts w:eastAsia="Times New Roman" w:cs="Arial"/>
          <w:bCs/>
          <w:color w:val="000000"/>
          <w:szCs w:val="18"/>
          <w:lang w:eastAsia="bg-BG"/>
        </w:rPr>
        <w:t>Жълти, кръгли, двойно изпъкнали филмирани таблетки, със стилизирано „Е“ и код „406“ от едната страна.</w:t>
      </w:r>
    </w:p>
    <w:p w14:paraId="71FEB33A" w14:textId="77777777" w:rsidR="00120AB6" w:rsidRPr="00120AB6" w:rsidRDefault="00120AB6" w:rsidP="00120AB6"/>
    <w:p w14:paraId="490FC2C4" w14:textId="0F4A4A75" w:rsidR="002C50EE" w:rsidRDefault="002C50EE" w:rsidP="002C50EE">
      <w:pPr>
        <w:pStyle w:val="Heading1"/>
      </w:pPr>
      <w:r>
        <w:t>4. КЛИНИЧНИ ДАННИ</w:t>
      </w:r>
    </w:p>
    <w:p w14:paraId="74330405" w14:textId="08AA9FFC" w:rsidR="007122AD" w:rsidRDefault="002C50EE" w:rsidP="00936AD0">
      <w:pPr>
        <w:pStyle w:val="Heading2"/>
      </w:pPr>
      <w:r>
        <w:t>4.1. Терапевтични показания</w:t>
      </w:r>
    </w:p>
    <w:p w14:paraId="14C8481D" w14:textId="62833189" w:rsidR="00120AB6" w:rsidRDefault="00120AB6" w:rsidP="00120AB6"/>
    <w:p w14:paraId="4ABC5B35" w14:textId="77777777"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Възрастни</w:t>
      </w:r>
    </w:p>
    <w:p w14:paraId="28B7F419" w14:textId="77777777" w:rsidR="00120AB6" w:rsidRPr="00120AB6" w:rsidRDefault="00120AB6" w:rsidP="00120AB6">
      <w:pPr>
        <w:spacing w:line="240" w:lineRule="auto"/>
        <w:rPr>
          <w:rFonts w:eastAsia="Times New Roman" w:cs="Arial"/>
          <w:bCs/>
          <w:color w:val="000000"/>
          <w:szCs w:val="18"/>
          <w:lang w:eastAsia="bg-BG"/>
        </w:rPr>
      </w:pPr>
    </w:p>
    <w:p w14:paraId="3703E568" w14:textId="0F180D03"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Оланзапин е показан за лечение на шизофрения.</w:t>
      </w:r>
    </w:p>
    <w:p w14:paraId="37CD78C4" w14:textId="77777777" w:rsidR="00120AB6" w:rsidRPr="00120AB6" w:rsidRDefault="00120AB6" w:rsidP="00120AB6">
      <w:pPr>
        <w:spacing w:line="240" w:lineRule="auto"/>
        <w:rPr>
          <w:rFonts w:eastAsia="Times New Roman" w:cs="Arial"/>
          <w:bCs/>
          <w:color w:val="000000"/>
          <w:szCs w:val="18"/>
          <w:lang w:eastAsia="bg-BG"/>
        </w:rPr>
      </w:pPr>
    </w:p>
    <w:p w14:paraId="2B84A8DD" w14:textId="341C2BEA"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Оланзапин е ефективен за поддържане на клинично подобрение по време на продължителната терапия при пациенти, които са показали начален терапевтичен отговор.</w:t>
      </w:r>
    </w:p>
    <w:p w14:paraId="442BAE2E" w14:textId="77777777" w:rsidR="00120AB6" w:rsidRPr="00120AB6" w:rsidRDefault="00120AB6" w:rsidP="00120AB6">
      <w:pPr>
        <w:spacing w:line="240" w:lineRule="auto"/>
        <w:rPr>
          <w:rFonts w:eastAsia="Times New Roman" w:cs="Arial"/>
          <w:bCs/>
          <w:color w:val="000000"/>
          <w:szCs w:val="18"/>
          <w:lang w:eastAsia="bg-BG"/>
        </w:rPr>
      </w:pPr>
    </w:p>
    <w:p w14:paraId="1B4EF736" w14:textId="609EB8FD"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Оланзапин е показан за лечение на умерени до тежки манийни епизоди.</w:t>
      </w:r>
    </w:p>
    <w:p w14:paraId="79F857B9" w14:textId="77777777" w:rsidR="00120AB6" w:rsidRPr="00120AB6" w:rsidRDefault="00120AB6" w:rsidP="00120AB6">
      <w:pPr>
        <w:spacing w:line="240" w:lineRule="auto"/>
        <w:rPr>
          <w:rFonts w:eastAsia="Times New Roman" w:cs="Arial"/>
          <w:bCs/>
          <w:color w:val="000000"/>
          <w:szCs w:val="18"/>
          <w:lang w:eastAsia="bg-BG"/>
        </w:rPr>
      </w:pPr>
    </w:p>
    <w:p w14:paraId="3F6E8CB0" w14:textId="5AC6069B"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Оланзапин е показан за профилактика на рецидиви на маниен епизод при пациенти с биполярни разстройства, при които по време на маниен епизод е бил постигнат клиничен отговор с оланзапин (вж. т. 5.1).</w:t>
      </w:r>
    </w:p>
    <w:p w14:paraId="5E104D07" w14:textId="77777777" w:rsidR="00120AB6" w:rsidRPr="00120AB6" w:rsidRDefault="00120AB6" w:rsidP="00120AB6"/>
    <w:p w14:paraId="53F5B866" w14:textId="2E3CFFA5" w:rsidR="007122AD" w:rsidRDefault="002C50EE" w:rsidP="00936AD0">
      <w:pPr>
        <w:pStyle w:val="Heading2"/>
      </w:pPr>
      <w:r>
        <w:t>4.2. Дозировка и начин на приложение</w:t>
      </w:r>
    </w:p>
    <w:p w14:paraId="7528392D" w14:textId="23266431" w:rsidR="00120AB6" w:rsidRDefault="00120AB6" w:rsidP="00120AB6"/>
    <w:p w14:paraId="38BEE7C9" w14:textId="77777777" w:rsidR="00120AB6" w:rsidRPr="00120AB6" w:rsidRDefault="00120AB6" w:rsidP="00120AB6">
      <w:pPr>
        <w:pStyle w:val="Heading3"/>
        <w:rPr>
          <w:rFonts w:eastAsia="Times New Roman"/>
          <w:sz w:val="32"/>
          <w:u w:val="single"/>
        </w:rPr>
      </w:pPr>
      <w:r w:rsidRPr="00120AB6">
        <w:rPr>
          <w:rFonts w:eastAsia="Times New Roman"/>
          <w:u w:val="single"/>
          <w:lang w:eastAsia="bg-BG"/>
        </w:rPr>
        <w:t>Дозировка</w:t>
      </w:r>
    </w:p>
    <w:p w14:paraId="2C92EA9C" w14:textId="77777777" w:rsidR="00120AB6" w:rsidRPr="00120AB6" w:rsidRDefault="00120AB6" w:rsidP="00120AB6">
      <w:pPr>
        <w:spacing w:line="240" w:lineRule="auto"/>
        <w:rPr>
          <w:rFonts w:eastAsia="Times New Roman" w:cs="Arial"/>
          <w:bCs/>
          <w:i/>
          <w:iCs/>
          <w:color w:val="000000"/>
          <w:szCs w:val="18"/>
          <w:u w:val="single"/>
          <w:lang w:eastAsia="bg-BG"/>
        </w:rPr>
      </w:pPr>
    </w:p>
    <w:p w14:paraId="0ECED52D" w14:textId="4F773E03"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Възрастни</w:t>
      </w:r>
    </w:p>
    <w:p w14:paraId="2FD4D9F1" w14:textId="7CD1122A"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Шизофрения:</w:t>
      </w:r>
      <w:r w:rsidRPr="00120AB6">
        <w:rPr>
          <w:rFonts w:eastAsia="Times New Roman" w:cs="Arial"/>
          <w:bCs/>
          <w:color w:val="000000"/>
          <w:szCs w:val="18"/>
          <w:lang w:eastAsia="bg-BG"/>
        </w:rPr>
        <w:t xml:space="preserve"> Препоръчваната начална доза оланзапин е 10 </w:t>
      </w:r>
      <w:r w:rsidRPr="00120AB6">
        <w:rPr>
          <w:rFonts w:eastAsia="Times New Roman" w:cs="Arial"/>
          <w:bCs/>
          <w:color w:val="000000"/>
          <w:szCs w:val="18"/>
          <w:lang w:val="en-US"/>
        </w:rPr>
        <w:t>mg</w:t>
      </w:r>
      <w:r w:rsidRPr="00120AB6">
        <w:rPr>
          <w:rFonts w:eastAsia="Times New Roman" w:cs="Arial"/>
          <w:bCs/>
          <w:color w:val="000000"/>
          <w:szCs w:val="18"/>
          <w:lang w:eastAsia="bg-BG"/>
        </w:rPr>
        <w:t>/дневно.</w:t>
      </w:r>
    </w:p>
    <w:p w14:paraId="5F529530" w14:textId="77777777" w:rsidR="00120AB6" w:rsidRPr="00120AB6" w:rsidRDefault="00120AB6" w:rsidP="00120AB6">
      <w:pPr>
        <w:spacing w:line="240" w:lineRule="auto"/>
        <w:rPr>
          <w:rFonts w:eastAsia="Times New Roman" w:cs="Arial"/>
          <w:bCs/>
          <w:i/>
          <w:iCs/>
          <w:color w:val="000000"/>
          <w:szCs w:val="18"/>
          <w:lang w:eastAsia="bg-BG"/>
        </w:rPr>
      </w:pPr>
    </w:p>
    <w:p w14:paraId="13B9CE0B" w14:textId="1B3F1D45"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Маниен епизод:</w:t>
      </w:r>
      <w:r w:rsidRPr="00120AB6">
        <w:rPr>
          <w:rFonts w:eastAsia="Times New Roman" w:cs="Arial"/>
          <w:bCs/>
          <w:color w:val="000000"/>
          <w:szCs w:val="18"/>
          <w:lang w:eastAsia="bg-BG"/>
        </w:rPr>
        <w:t xml:space="preserve"> Началната доза е 15 </w:t>
      </w:r>
      <w:r w:rsidRPr="00120AB6">
        <w:rPr>
          <w:rFonts w:eastAsia="Times New Roman" w:cs="Arial"/>
          <w:bCs/>
          <w:color w:val="000000"/>
          <w:szCs w:val="18"/>
          <w:lang w:val="en-US"/>
        </w:rPr>
        <w:t>mg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 xml:space="preserve">еднократно дневно при монотерапия или 10 </w:t>
      </w:r>
      <w:r w:rsidRPr="00120AB6">
        <w:rPr>
          <w:rFonts w:eastAsia="Times New Roman" w:cs="Arial"/>
          <w:bCs/>
          <w:color w:val="000000"/>
          <w:szCs w:val="18"/>
          <w:lang w:val="en-US"/>
        </w:rPr>
        <w:t>mg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дневно при комбинирано лечение (вж. т. 5.1).</w:t>
      </w:r>
    </w:p>
    <w:p w14:paraId="15103480" w14:textId="77777777" w:rsidR="00120AB6" w:rsidRPr="00120AB6" w:rsidRDefault="00120AB6" w:rsidP="00120AB6">
      <w:pPr>
        <w:spacing w:line="240" w:lineRule="auto"/>
        <w:rPr>
          <w:rFonts w:eastAsia="Times New Roman" w:cs="Arial"/>
          <w:bCs/>
          <w:i/>
          <w:iCs/>
          <w:color w:val="000000"/>
          <w:szCs w:val="18"/>
          <w:lang w:eastAsia="bg-BG"/>
        </w:rPr>
      </w:pPr>
    </w:p>
    <w:p w14:paraId="5A222727" w14:textId="7BB2CA84"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Профилактика на рецидив при биполярно разстройство:</w:t>
      </w:r>
      <w:r w:rsidRPr="00120AB6">
        <w:rPr>
          <w:rFonts w:eastAsia="Times New Roman" w:cs="Arial"/>
          <w:bCs/>
          <w:color w:val="000000"/>
          <w:szCs w:val="18"/>
          <w:lang w:eastAsia="bg-BG"/>
        </w:rPr>
        <w:t xml:space="preserve"> Препоръчваната начална доза е 10 </w:t>
      </w:r>
      <w:r w:rsidRPr="00120AB6">
        <w:rPr>
          <w:rFonts w:eastAsia="Times New Roman" w:cs="Arial"/>
          <w:bCs/>
          <w:color w:val="000000"/>
          <w:szCs w:val="18"/>
          <w:lang w:val="en-US"/>
        </w:rPr>
        <w:t>mg</w:t>
      </w:r>
      <w:r w:rsidRPr="00120AB6">
        <w:rPr>
          <w:rFonts w:eastAsia="Times New Roman" w:cs="Arial"/>
          <w:bCs/>
          <w:color w:val="000000"/>
          <w:szCs w:val="18"/>
          <w:lang w:eastAsia="bg-BG"/>
        </w:rPr>
        <w:t>/дневно. За пациентите, които получават оланзапин за лечение на манийни епизоди, се препоръчва продължаване на терапията за предотвратяване на рецидив при същата доза. Ако настъпи нов маниен, комбиниран или депресивен епизод, лечението с оланзапин трябва да бъде продължено (с оптимизиране на дозата, ако е необходимо) с допълнителна терапия за лечение на промените в настроението ако е клинично показано.</w:t>
      </w:r>
    </w:p>
    <w:p w14:paraId="7C75230F" w14:textId="77777777" w:rsidR="00120AB6" w:rsidRPr="00120AB6" w:rsidRDefault="00120AB6" w:rsidP="00120AB6">
      <w:pPr>
        <w:rPr>
          <w:rFonts w:eastAsia="Times New Roman" w:cs="Arial"/>
          <w:bCs/>
          <w:color w:val="000000"/>
          <w:szCs w:val="18"/>
          <w:lang w:eastAsia="bg-BG"/>
        </w:rPr>
      </w:pPr>
    </w:p>
    <w:p w14:paraId="2FAC6119" w14:textId="77777777" w:rsidR="00120AB6" w:rsidRPr="00120AB6" w:rsidRDefault="00120AB6" w:rsidP="00120AB6">
      <w:pPr>
        <w:rPr>
          <w:rFonts w:eastAsia="Times New Roman" w:cs="Arial"/>
          <w:sz w:val="32"/>
          <w:szCs w:val="24"/>
        </w:rPr>
      </w:pPr>
      <w:r w:rsidRPr="00120AB6">
        <w:rPr>
          <w:rFonts w:eastAsia="Times New Roman" w:cs="Arial"/>
          <w:bCs/>
          <w:color w:val="000000"/>
          <w:szCs w:val="18"/>
          <w:lang w:eastAsia="bg-BG"/>
        </w:rPr>
        <w:lastRenderedPageBreak/>
        <w:t xml:space="preserve">По време на лечението на шизофрения, маниен епизод или превенция на рецидив при биполярно разстройство дневната доза може постепенно да бъде коригирана въз основа на индивидуалното клинично състояние в рамките на 5-20 </w:t>
      </w:r>
      <w:r w:rsidRPr="00120AB6">
        <w:rPr>
          <w:rFonts w:eastAsia="Times New Roman" w:cs="Arial"/>
          <w:bCs/>
          <w:color w:val="000000"/>
          <w:szCs w:val="18"/>
          <w:lang w:val="en-US"/>
        </w:rPr>
        <w:t>mg</w:t>
      </w:r>
      <w:r w:rsidRPr="00120AB6">
        <w:rPr>
          <w:rFonts w:eastAsia="Times New Roman" w:cs="Arial"/>
          <w:bCs/>
          <w:color w:val="000000"/>
          <w:szCs w:val="18"/>
          <w:lang w:eastAsia="bg-BG"/>
        </w:rPr>
        <w:t>/дневно. Увеличение на дозата над препоръчителната начална доза се препоръчва само след съответната клинична преоценка и това трябва да се направи на интервали не по-малки от 24 часа. При преустановяване на лечението с оланзапин трябва да се има предвид постепенно намаляване на дозата.</w:t>
      </w:r>
    </w:p>
    <w:p w14:paraId="40135B39" w14:textId="77777777" w:rsidR="00120AB6" w:rsidRPr="00120AB6" w:rsidRDefault="00120AB6" w:rsidP="00120AB6">
      <w:pPr>
        <w:spacing w:line="240" w:lineRule="auto"/>
        <w:rPr>
          <w:rFonts w:eastAsia="Times New Roman" w:cs="Arial"/>
          <w:bCs/>
          <w:i/>
          <w:iCs/>
          <w:color w:val="000000"/>
          <w:szCs w:val="18"/>
          <w:lang w:eastAsia="bg-BG"/>
        </w:rPr>
      </w:pPr>
    </w:p>
    <w:p w14:paraId="0315D7E0" w14:textId="1DD99AC6"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Специални популации</w:t>
      </w:r>
    </w:p>
    <w:p w14:paraId="1AB96F36" w14:textId="77777777" w:rsidR="00120AB6" w:rsidRPr="00120AB6" w:rsidRDefault="00120AB6" w:rsidP="00120AB6">
      <w:pPr>
        <w:spacing w:line="240" w:lineRule="auto"/>
        <w:rPr>
          <w:rFonts w:eastAsia="Times New Roman" w:cs="Arial"/>
          <w:bCs/>
          <w:i/>
          <w:iCs/>
          <w:color w:val="000000"/>
          <w:szCs w:val="18"/>
          <w:u w:val="single"/>
          <w:lang w:eastAsia="bg-BG"/>
        </w:rPr>
      </w:pPr>
    </w:p>
    <w:p w14:paraId="78074D0A" w14:textId="419F6383"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Старческа възраст</w:t>
      </w:r>
    </w:p>
    <w:p w14:paraId="4B238054"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По-ниска начална доза (5 </w:t>
      </w:r>
      <w:r w:rsidRPr="00120AB6">
        <w:rPr>
          <w:rFonts w:eastAsia="Times New Roman" w:cs="Arial"/>
          <w:bCs/>
          <w:color w:val="000000"/>
          <w:szCs w:val="18"/>
          <w:lang w:val="en-US"/>
        </w:rPr>
        <w:t>mg</w:t>
      </w:r>
      <w:r w:rsidRPr="00120AB6">
        <w:rPr>
          <w:rFonts w:eastAsia="Times New Roman" w:cs="Arial"/>
          <w:bCs/>
          <w:color w:val="000000"/>
          <w:szCs w:val="18"/>
          <w:lang w:eastAsia="bg-BG"/>
        </w:rPr>
        <w:t>/дневно) не е показана в обичайната практика, но трябва да се обмисли при пациенти над 65-годишна възраст, когато клиничните фактори дават основание за това (вж. точка 4.4).</w:t>
      </w:r>
    </w:p>
    <w:p w14:paraId="3B28D1F1" w14:textId="77777777" w:rsidR="00120AB6" w:rsidRPr="00120AB6" w:rsidRDefault="00120AB6" w:rsidP="00120AB6">
      <w:pPr>
        <w:spacing w:line="240" w:lineRule="auto"/>
        <w:rPr>
          <w:rFonts w:eastAsia="Times New Roman" w:cs="Arial"/>
          <w:bCs/>
          <w:i/>
          <w:iCs/>
          <w:color w:val="000000"/>
          <w:szCs w:val="18"/>
          <w:u w:val="single"/>
          <w:lang w:eastAsia="bg-BG"/>
        </w:rPr>
      </w:pPr>
    </w:p>
    <w:p w14:paraId="2BFF057C" w14:textId="56EC1D31"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Бъбречни и/или чернодробни увреждания</w:t>
      </w:r>
    </w:p>
    <w:p w14:paraId="71824042"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При тези пациенти трябва да се има предвид по-ниска начална доза (5 </w:t>
      </w:r>
      <w:r w:rsidRPr="00120AB6">
        <w:rPr>
          <w:rFonts w:eastAsia="Times New Roman" w:cs="Arial"/>
          <w:bCs/>
          <w:color w:val="000000"/>
          <w:szCs w:val="18"/>
          <w:lang w:val="en-US"/>
        </w:rPr>
        <w:t>mg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 xml:space="preserve">В случаите на умерена чернодробна недостатъчност (цироза, клас А или В по </w:t>
      </w:r>
      <w:r w:rsidRPr="00120AB6">
        <w:rPr>
          <w:rFonts w:eastAsia="Times New Roman" w:cs="Arial"/>
          <w:bCs/>
          <w:color w:val="000000"/>
          <w:szCs w:val="18"/>
          <w:lang w:val="en-US"/>
        </w:rPr>
        <w:t>Child</w:t>
      </w:r>
      <w:r w:rsidRPr="00120AB6">
        <w:rPr>
          <w:rFonts w:eastAsia="Times New Roman" w:cs="Arial"/>
          <w:bCs/>
          <w:color w:val="000000"/>
          <w:szCs w:val="18"/>
          <w:lang w:val="ru-RU"/>
        </w:rPr>
        <w:t>-</w:t>
      </w:r>
      <w:r w:rsidRPr="00120AB6">
        <w:rPr>
          <w:rFonts w:eastAsia="Times New Roman" w:cs="Arial"/>
          <w:bCs/>
          <w:color w:val="000000"/>
          <w:szCs w:val="18"/>
          <w:lang w:val="en-US"/>
        </w:rPr>
        <w:t>Pugh</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 xml:space="preserve">началната доза трябва да бъде 5 </w:t>
      </w:r>
      <w:r w:rsidRPr="00120AB6">
        <w:rPr>
          <w:rFonts w:eastAsia="Times New Roman" w:cs="Arial"/>
          <w:bCs/>
          <w:color w:val="000000"/>
          <w:szCs w:val="18"/>
          <w:lang w:val="en-US"/>
        </w:rPr>
        <w:t>mg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и да се увеличава с повишено внимание.</w:t>
      </w:r>
    </w:p>
    <w:p w14:paraId="4680CFA3" w14:textId="77777777" w:rsidR="00120AB6" w:rsidRPr="00120AB6" w:rsidRDefault="00120AB6" w:rsidP="00120AB6">
      <w:pPr>
        <w:spacing w:line="240" w:lineRule="auto"/>
        <w:rPr>
          <w:rFonts w:eastAsia="Times New Roman" w:cs="Arial"/>
          <w:bCs/>
          <w:i/>
          <w:iCs/>
          <w:color w:val="000000"/>
          <w:szCs w:val="18"/>
          <w:u w:val="single"/>
          <w:lang w:eastAsia="bg-BG"/>
        </w:rPr>
      </w:pPr>
    </w:p>
    <w:p w14:paraId="2CE8187E" w14:textId="280AEF08"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Пушачи</w:t>
      </w:r>
    </w:p>
    <w:p w14:paraId="5F005EA2"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Началната доза и дозовият диапазон обикновено не е необходимо да се променят при непушачи спрямо пушачи. Пушенето може да индуцира метаболизма на оланзапин. Препоръчва се клинично монигориране и може да се има предвид повишаване на дозата на оланзапин, ако е необходимо (вж. точка 4.5).</w:t>
      </w:r>
    </w:p>
    <w:p w14:paraId="63924E58" w14:textId="77777777" w:rsidR="00120AB6" w:rsidRPr="00120AB6" w:rsidRDefault="00120AB6" w:rsidP="00120AB6">
      <w:pPr>
        <w:spacing w:line="240" w:lineRule="auto"/>
        <w:rPr>
          <w:rFonts w:eastAsia="Times New Roman" w:cs="Arial"/>
          <w:bCs/>
          <w:color w:val="000000"/>
          <w:szCs w:val="18"/>
          <w:lang w:eastAsia="bg-BG"/>
        </w:rPr>
      </w:pPr>
    </w:p>
    <w:p w14:paraId="2C3B43EB" w14:textId="56AA6FDD"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Когато са налице повече от един фактор, който може да доведе до забавяне на метаболизма (женски пол, старческа възраст, непушач), трябва да се обмисли намаляване на началната доза. Увеличаването на дозата, когато е показано, трябва да става постепенно при такива пациенти.</w:t>
      </w:r>
    </w:p>
    <w:p w14:paraId="78A96AC1"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(Вж. точки 4.5 и 5.2).</w:t>
      </w:r>
    </w:p>
    <w:p w14:paraId="37DBF24C" w14:textId="77777777" w:rsidR="00120AB6" w:rsidRPr="00120AB6" w:rsidRDefault="00120AB6" w:rsidP="00120AB6">
      <w:pPr>
        <w:spacing w:line="240" w:lineRule="auto"/>
        <w:rPr>
          <w:rFonts w:eastAsia="Times New Roman" w:cs="Arial"/>
          <w:bCs/>
          <w:i/>
          <w:iCs/>
          <w:color w:val="000000"/>
          <w:szCs w:val="18"/>
          <w:u w:val="single"/>
          <w:lang w:eastAsia="bg-BG"/>
        </w:rPr>
      </w:pPr>
    </w:p>
    <w:p w14:paraId="16716CE5" w14:textId="7ED476BB"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Педиатрична популаиия</w:t>
      </w:r>
    </w:p>
    <w:p w14:paraId="186B4D8F"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Оланзапин не се препоръчва за употреба от деца и юноши под 18-годишна възраст поради недостатъчни данни за безопасност и ефикасност. При краткосрочни проучвания при пациенти в юношеска възраст е докладвано значимо увеличение на телесното тегло, изменения в нивата на липидите и пролактина в сравнение с проучвания при възрастни пациенти (вж. точки 4.4, 4.8, 5.1 и 5.2).</w:t>
      </w:r>
    </w:p>
    <w:p w14:paraId="5801B0B0" w14:textId="77777777" w:rsidR="00120AB6" w:rsidRPr="00120AB6" w:rsidRDefault="00120AB6" w:rsidP="00120AB6">
      <w:pPr>
        <w:spacing w:line="240" w:lineRule="auto"/>
        <w:rPr>
          <w:rFonts w:eastAsia="Times New Roman" w:cs="Arial"/>
          <w:bCs/>
          <w:color w:val="000000"/>
          <w:szCs w:val="18"/>
          <w:u w:val="single"/>
          <w:lang w:eastAsia="bg-BG"/>
        </w:rPr>
      </w:pPr>
    </w:p>
    <w:p w14:paraId="678B1B8C" w14:textId="0BEB2BF3" w:rsidR="00120AB6" w:rsidRPr="00120AB6" w:rsidRDefault="00120AB6" w:rsidP="00120AB6">
      <w:pPr>
        <w:pStyle w:val="Heading3"/>
        <w:rPr>
          <w:rFonts w:eastAsia="Times New Roman"/>
          <w:sz w:val="32"/>
          <w:u w:val="single"/>
        </w:rPr>
      </w:pPr>
      <w:r w:rsidRPr="00120AB6">
        <w:rPr>
          <w:rFonts w:eastAsia="Times New Roman"/>
          <w:u w:val="single"/>
          <w:lang w:eastAsia="bg-BG"/>
        </w:rPr>
        <w:t>Начин на приложение</w:t>
      </w:r>
    </w:p>
    <w:p w14:paraId="5EACB754"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За перорално приложение.</w:t>
      </w:r>
    </w:p>
    <w:p w14:paraId="2301F9D1"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Оланзапин може да се дава независимо от храненето, тъй като абсорбцията му не зависи от храната.</w:t>
      </w:r>
    </w:p>
    <w:p w14:paraId="12DE748F" w14:textId="34CEF441" w:rsidR="00120AB6" w:rsidRPr="00120AB6" w:rsidRDefault="00120AB6" w:rsidP="00120AB6"/>
    <w:p w14:paraId="0F253247" w14:textId="16E098A7" w:rsidR="007122AD" w:rsidRDefault="002C50EE" w:rsidP="00936AD0">
      <w:pPr>
        <w:pStyle w:val="Heading2"/>
      </w:pPr>
      <w:r>
        <w:t>4.3. Противопоказания</w:t>
      </w:r>
    </w:p>
    <w:p w14:paraId="414CF225" w14:textId="3FF2471D" w:rsidR="00120AB6" w:rsidRDefault="00120AB6" w:rsidP="00120AB6"/>
    <w:p w14:paraId="5FF966CD" w14:textId="77777777" w:rsidR="00120AB6" w:rsidRPr="00120AB6" w:rsidRDefault="00120AB6" w:rsidP="00120AB6">
      <w:pPr>
        <w:rPr>
          <w:rFonts w:ascii="Times New Roman" w:hAnsi="Times New Roman" w:cs="Times New Roman"/>
          <w:sz w:val="24"/>
          <w:szCs w:val="24"/>
        </w:rPr>
      </w:pPr>
      <w:r w:rsidRPr="00120AB6">
        <w:rPr>
          <w:lang w:eastAsia="bg-BG"/>
        </w:rPr>
        <w:t>Свръхчувствителност към лекарственото вещество или към някое от помощните вещества, изброени в т. 6.1.</w:t>
      </w:r>
    </w:p>
    <w:p w14:paraId="4C9EFCED" w14:textId="7DE9B849" w:rsidR="00120AB6" w:rsidRPr="00120AB6" w:rsidRDefault="00120AB6" w:rsidP="00120AB6">
      <w:r w:rsidRPr="00120AB6">
        <w:rPr>
          <w:lang w:eastAsia="bg-BG"/>
        </w:rPr>
        <w:t>Пациенти, при които е известно, че има риск от закритоъгълна глаукома.</w:t>
      </w:r>
    </w:p>
    <w:p w14:paraId="0E0BDCC7" w14:textId="0A4FC55B" w:rsidR="007122AD" w:rsidRDefault="002C50EE" w:rsidP="00936AD0">
      <w:pPr>
        <w:pStyle w:val="Heading2"/>
      </w:pPr>
      <w:r>
        <w:lastRenderedPageBreak/>
        <w:t>4.4. Специални предупреждения и предпазни мерки при употреба</w:t>
      </w:r>
    </w:p>
    <w:p w14:paraId="3152D8DA" w14:textId="5255DDCA" w:rsidR="00120AB6" w:rsidRDefault="00120AB6" w:rsidP="00120AB6"/>
    <w:p w14:paraId="12CEE137" w14:textId="77777777"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По време на антипсихотичното лечение, подобрението в клиничното състояние на</w:t>
      </w:r>
    </w:p>
    <w:p w14:paraId="432A69DF" w14:textId="707568DC" w:rsidR="00120AB6" w:rsidRPr="00120AB6" w:rsidRDefault="00120AB6" w:rsidP="00120AB6">
      <w:pPr>
        <w:rPr>
          <w:rFonts w:eastAsia="Times New Roman" w:cs="Arial"/>
          <w:bCs/>
          <w:color w:val="000000"/>
          <w:lang w:eastAsia="bg-BG"/>
        </w:rPr>
      </w:pPr>
      <w:r w:rsidRPr="00120AB6">
        <w:rPr>
          <w:rFonts w:eastAsia="Times New Roman" w:cs="Arial"/>
          <w:bCs/>
          <w:color w:val="000000"/>
          <w:lang w:eastAsia="bg-BG"/>
        </w:rPr>
        <w:t>пациента може да отнеме от няколко дни до няколко седмици. Пациентите трябва да се проследяват внимателно през този период.</w:t>
      </w:r>
    </w:p>
    <w:p w14:paraId="6344A67F" w14:textId="5BB4499A" w:rsidR="00120AB6" w:rsidRPr="00120AB6" w:rsidRDefault="00120AB6" w:rsidP="00120AB6">
      <w:pPr>
        <w:rPr>
          <w:rFonts w:eastAsia="Times New Roman" w:cs="Arial"/>
          <w:bCs/>
          <w:color w:val="000000"/>
          <w:lang w:eastAsia="bg-BG"/>
        </w:rPr>
      </w:pPr>
    </w:p>
    <w:p w14:paraId="38A949AE" w14:textId="77777777"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Психози, свързани с деменция и/или поведенчески нарушения</w:t>
      </w:r>
    </w:p>
    <w:p w14:paraId="4EFC2FC8" w14:textId="77777777" w:rsidR="00120AB6" w:rsidRPr="00120AB6" w:rsidRDefault="00120AB6" w:rsidP="00120AB6">
      <w:pPr>
        <w:spacing w:line="240" w:lineRule="auto"/>
        <w:rPr>
          <w:rFonts w:eastAsia="Times New Roman" w:cs="Arial"/>
          <w:bCs/>
          <w:color w:val="000000"/>
          <w:lang w:eastAsia="bg-BG"/>
        </w:rPr>
      </w:pPr>
    </w:p>
    <w:p w14:paraId="17F5B1AA" w14:textId="77777777" w:rsidR="00120AB6" w:rsidRPr="00120AB6" w:rsidRDefault="00120AB6" w:rsidP="00120AB6">
      <w:pPr>
        <w:spacing w:line="240" w:lineRule="auto"/>
        <w:rPr>
          <w:rFonts w:eastAsia="Times New Roman" w:cs="Arial"/>
          <w:bCs/>
          <w:color w:val="000000"/>
          <w:lang w:eastAsia="bg-BG"/>
        </w:rPr>
      </w:pPr>
      <w:r w:rsidRPr="00120AB6">
        <w:rPr>
          <w:rFonts w:eastAsia="Times New Roman" w:cs="Arial"/>
          <w:bCs/>
          <w:color w:val="000000"/>
          <w:lang w:eastAsia="bg-BG"/>
        </w:rPr>
        <w:t xml:space="preserve">Оланзапин не се препоръчва за употреба при пациенти с психози, свързани с деменция и/или поведенчески нарушения, поради увеличение в смъртността и риска за мозъчно- съдови инциденти. При плацебо-контролирани клинични проучвания (с продължителност 6-12 седмици) при пациенти в старческа възраст (средна възраст 78 години) с психози, свързани с деменция и/или нарушено поведение, се наблюдава двукратно увеличение в честотата на смъртен изход при лекуваните с оланзапин пациенти в сравнение с пациентите на плацебо (съответно 3,5% спрямо 1,5%). По- високата честота на летален изход не е била свързана с дозата на оланзапин (средна дневна доза 4,4 </w:t>
      </w:r>
      <w:r w:rsidRPr="00120AB6">
        <w:rPr>
          <w:rFonts w:eastAsia="Times New Roman" w:cs="Arial"/>
          <w:bCs/>
          <w:color w:val="000000"/>
          <w:lang w:val="en-US"/>
        </w:rPr>
        <w:t>mg</w:t>
      </w:r>
      <w:r w:rsidRPr="00120AB6">
        <w:rPr>
          <w:rFonts w:eastAsia="Times New Roman" w:cs="Arial"/>
          <w:bCs/>
          <w:color w:val="000000"/>
          <w:lang w:val="ru-RU"/>
        </w:rPr>
        <w:t xml:space="preserve">) </w:t>
      </w:r>
      <w:r w:rsidRPr="00120AB6">
        <w:rPr>
          <w:rFonts w:eastAsia="Times New Roman" w:cs="Arial"/>
          <w:bCs/>
          <w:color w:val="000000"/>
          <w:lang w:eastAsia="bg-BG"/>
        </w:rPr>
        <w:t xml:space="preserve">или продължителността на лечението. Рисковите фактори, които могат да предразположат тази популация пациенти към увеличена смъртност включват възраст &gt;65 години, дисфагия, седиране, малнутриция и дехидратация, белодробни състояния (например, пневмония с или без аспирация) или едновременна употреба на бензодиазепини. </w:t>
      </w:r>
    </w:p>
    <w:p w14:paraId="517C74AC" w14:textId="3BC1E186"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Въпреки това, честотата на смъртните случаи е била по-висока при пациентите, лекувани с оланзапин в сравнение с третираните с плацебо пациенти, независимо от тези рискови фактори.</w:t>
      </w:r>
    </w:p>
    <w:p w14:paraId="69225455" w14:textId="77777777" w:rsidR="00120AB6" w:rsidRPr="00120AB6" w:rsidRDefault="00120AB6" w:rsidP="00120AB6">
      <w:pPr>
        <w:spacing w:line="240" w:lineRule="auto"/>
        <w:rPr>
          <w:rFonts w:eastAsia="Times New Roman" w:cs="Arial"/>
          <w:bCs/>
          <w:color w:val="000000"/>
          <w:lang w:eastAsia="bg-BG"/>
        </w:rPr>
      </w:pPr>
    </w:p>
    <w:p w14:paraId="2E94C9DF" w14:textId="47AD9462"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В същите клинични проучвания са съобщавани мозъчно-съдови нежелани събития (МСНС, например инсулт, преходна исхемична атака), включително с фатален край. Налице е трикратно увеличение на МСНС при пациенти, лекувани с оланзапин в сравнение с пациенти на плацебо (съответно 1,3% спрямо 0,4%). При всички пациенти, лекувани с оланзапин и плацебо, които са получили мозъчно-съдов инцидент е имало предшестващи рискови фактори. Възраст &gt;75 години и съдова деменция или деменция от смесен тип са установени като рискови фактори за МСНС във връзка с лечението с оланзапин. Ефективността на оланзапин не е установена в тези проучвания.</w:t>
      </w:r>
    </w:p>
    <w:p w14:paraId="528CD589" w14:textId="77777777" w:rsidR="00120AB6" w:rsidRPr="00120AB6" w:rsidRDefault="00120AB6" w:rsidP="00120AB6">
      <w:pPr>
        <w:spacing w:line="240" w:lineRule="auto"/>
        <w:rPr>
          <w:rFonts w:eastAsia="Times New Roman" w:cs="Arial"/>
          <w:bCs/>
          <w:i/>
          <w:iCs/>
          <w:color w:val="000000"/>
          <w:u w:val="single"/>
          <w:lang w:eastAsia="bg-BG"/>
        </w:rPr>
      </w:pPr>
    </w:p>
    <w:p w14:paraId="1D112C42" w14:textId="650A2DD3"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Болест на Паркинсон</w:t>
      </w:r>
    </w:p>
    <w:p w14:paraId="22EB64E7" w14:textId="77777777" w:rsidR="00120AB6" w:rsidRPr="00120AB6" w:rsidRDefault="00120AB6" w:rsidP="00120AB6">
      <w:pPr>
        <w:spacing w:line="240" w:lineRule="auto"/>
        <w:rPr>
          <w:rFonts w:eastAsia="Times New Roman" w:cs="Arial"/>
          <w:bCs/>
          <w:color w:val="000000"/>
          <w:lang w:eastAsia="bg-BG"/>
        </w:rPr>
      </w:pPr>
    </w:p>
    <w:p w14:paraId="36DB94F4" w14:textId="7FE8D975"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 xml:space="preserve">Не се препоръчва приложението на оланзапин при лечение на психози, свързани с допаминовите агонисти при пациенти, страдащи от болестта на Паркинсон. В клинични проучвания влошаване на Паркинсоновата симптоматика и халюцинации са съобщавани много често и по-често в сравнение с плацебо (вж. точка 4.8) и оланзапин не е бил по-ефективен от плацебо в лечението на психотични симптоми. В тези проучвания пациентите първоначално са стабилизирани с най-ниската ефективна доза от антипаркинсоновия лекарствен продукт (допаминов агонист) и са продължили приема на същия антипаркинсонов продукт и дозировки по време на цялото проучване. Приложението на оланзапин е започнато в доза 2,5 </w:t>
      </w:r>
      <w:r w:rsidRPr="00120AB6">
        <w:rPr>
          <w:rFonts w:eastAsia="Times New Roman" w:cs="Arial"/>
          <w:bCs/>
          <w:color w:val="000000"/>
          <w:lang w:val="en-US"/>
        </w:rPr>
        <w:t>mg</w:t>
      </w:r>
      <w:r w:rsidRPr="00120AB6">
        <w:rPr>
          <w:rFonts w:eastAsia="Times New Roman" w:cs="Arial"/>
          <w:bCs/>
          <w:color w:val="000000"/>
          <w:lang w:eastAsia="bg-BG"/>
        </w:rPr>
        <w:t xml:space="preserve">/дневно, след което е бил титриран до максимум 15 </w:t>
      </w:r>
      <w:r w:rsidRPr="00120AB6">
        <w:rPr>
          <w:rFonts w:eastAsia="Times New Roman" w:cs="Arial"/>
          <w:bCs/>
          <w:color w:val="000000"/>
          <w:lang w:val="en-US"/>
        </w:rPr>
        <w:t>mg</w:t>
      </w:r>
      <w:r w:rsidRPr="00120AB6">
        <w:rPr>
          <w:rFonts w:eastAsia="Times New Roman" w:cs="Arial"/>
          <w:bCs/>
          <w:color w:val="000000"/>
          <w:lang w:eastAsia="bg-BG"/>
        </w:rPr>
        <w:t>/дневно по преценка на изследователя.</w:t>
      </w:r>
    </w:p>
    <w:p w14:paraId="5DECB618" w14:textId="77777777" w:rsidR="00120AB6" w:rsidRPr="00120AB6" w:rsidRDefault="00120AB6" w:rsidP="00120AB6">
      <w:pPr>
        <w:spacing w:line="240" w:lineRule="auto"/>
        <w:rPr>
          <w:rFonts w:eastAsia="Times New Roman" w:cs="Arial"/>
          <w:bCs/>
          <w:i/>
          <w:iCs/>
          <w:color w:val="000000"/>
          <w:u w:val="single"/>
          <w:lang w:eastAsia="bg-BG"/>
        </w:rPr>
      </w:pPr>
    </w:p>
    <w:p w14:paraId="20EE183A" w14:textId="490EF57E"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Малигнен невролептичен синдром (МНС)</w:t>
      </w:r>
    </w:p>
    <w:p w14:paraId="5245565C" w14:textId="77777777" w:rsidR="00120AB6" w:rsidRPr="00120AB6" w:rsidRDefault="00120AB6" w:rsidP="00120AB6">
      <w:pPr>
        <w:rPr>
          <w:rFonts w:eastAsia="Times New Roman" w:cs="Arial"/>
          <w:bCs/>
          <w:color w:val="000000"/>
          <w:lang w:eastAsia="bg-BG"/>
        </w:rPr>
      </w:pPr>
    </w:p>
    <w:p w14:paraId="56E5BD3F" w14:textId="77777777" w:rsidR="00120AB6" w:rsidRPr="00120AB6" w:rsidRDefault="00120AB6" w:rsidP="00120AB6">
      <w:pPr>
        <w:rPr>
          <w:rFonts w:eastAsia="Times New Roman" w:cs="Arial"/>
        </w:rPr>
      </w:pPr>
      <w:r w:rsidRPr="00120AB6">
        <w:rPr>
          <w:rFonts w:eastAsia="Times New Roman" w:cs="Arial"/>
          <w:bCs/>
          <w:color w:val="000000"/>
          <w:lang w:eastAsia="bg-BG"/>
        </w:rPr>
        <w:t>МНС е потенциално животозастр</w:t>
      </w:r>
      <w:r w:rsidRPr="00120AB6">
        <w:rPr>
          <w:rFonts w:eastAsia="Times New Roman" w:cs="Arial"/>
          <w:bCs/>
          <w:color w:val="000000"/>
          <w:u w:val="single"/>
          <w:lang w:eastAsia="bg-BG"/>
        </w:rPr>
        <w:t>ашаващ</w:t>
      </w:r>
      <w:r w:rsidRPr="00120AB6">
        <w:rPr>
          <w:rFonts w:eastAsia="Times New Roman" w:cs="Arial"/>
          <w:bCs/>
          <w:color w:val="000000"/>
          <w:lang w:eastAsia="bg-BG"/>
        </w:rPr>
        <w:t>о състояние, свързано с лечението с антипсихотици. Рядко са съоб</w:t>
      </w:r>
      <w:r w:rsidRPr="00120AB6">
        <w:rPr>
          <w:rFonts w:eastAsia="Times New Roman" w:cs="Arial"/>
          <w:bCs/>
          <w:color w:val="000000"/>
          <w:u w:val="single"/>
          <w:lang w:eastAsia="bg-BG"/>
        </w:rPr>
        <w:t>щавани</w:t>
      </w:r>
      <w:r w:rsidRPr="00120AB6">
        <w:rPr>
          <w:rFonts w:eastAsia="Times New Roman" w:cs="Arial"/>
          <w:bCs/>
          <w:color w:val="000000"/>
          <w:lang w:eastAsia="bg-BG"/>
        </w:rPr>
        <w:t xml:space="preserve"> случаи на МНС и във връзка с приложението на </w:t>
      </w:r>
      <w:r w:rsidRPr="00120AB6">
        <w:rPr>
          <w:rFonts w:eastAsia="Times New Roman" w:cs="Arial"/>
          <w:bCs/>
          <w:color w:val="000000"/>
          <w:lang w:eastAsia="bg-BG"/>
        </w:rPr>
        <w:lastRenderedPageBreak/>
        <w:t>оланзапин. Клиничните изяви на МНС са хиперпирексия, мускулна ригидност, променен ментален статус и обективни данни за автономна нестабилност (неправилен пулс или кръвно налягане, тахикардия, диафореза и аритмия). Допълнителни пр</w:t>
      </w:r>
      <w:r w:rsidRPr="00120AB6">
        <w:rPr>
          <w:rFonts w:eastAsia="Times New Roman" w:cs="Arial"/>
          <w:bCs/>
          <w:color w:val="000000"/>
          <w:u w:val="single"/>
          <w:lang w:eastAsia="bg-BG"/>
        </w:rPr>
        <w:t xml:space="preserve">изнаци </w:t>
      </w:r>
      <w:r w:rsidRPr="00120AB6">
        <w:rPr>
          <w:rFonts w:eastAsia="Times New Roman" w:cs="Arial"/>
          <w:bCs/>
          <w:color w:val="000000"/>
          <w:lang w:eastAsia="bg-BG"/>
        </w:rPr>
        <w:t>може да включват увеличена креатин фосфокиназа, миоглобинурия (рабдомиолиза) и остра бъбречна недостатъчност. Ако пациентът развие признаци или симпоми, които са показателни за МНС или прояви необяснима висока температура без допълнителни клинични изяви на МНС, приемът на всички антипсихотични лекарства, включително оланзапин трябва да бъде спрян.</w:t>
      </w:r>
    </w:p>
    <w:p w14:paraId="3DB82C81" w14:textId="77777777" w:rsidR="00120AB6" w:rsidRPr="00120AB6" w:rsidRDefault="00120AB6" w:rsidP="00120AB6">
      <w:pPr>
        <w:spacing w:line="240" w:lineRule="auto"/>
        <w:rPr>
          <w:rFonts w:eastAsia="Times New Roman" w:cs="Arial"/>
          <w:bCs/>
          <w:i/>
          <w:iCs/>
          <w:color w:val="000000"/>
          <w:u w:val="single"/>
          <w:lang w:eastAsia="bg-BG"/>
        </w:rPr>
      </w:pPr>
    </w:p>
    <w:p w14:paraId="4699ED48" w14:textId="3948ECFB"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Хипергликемия и диабет</w:t>
      </w:r>
    </w:p>
    <w:p w14:paraId="7EAC0E18" w14:textId="77777777" w:rsidR="00120AB6" w:rsidRPr="00120AB6" w:rsidRDefault="00120AB6" w:rsidP="00120AB6">
      <w:pPr>
        <w:spacing w:line="240" w:lineRule="auto"/>
        <w:rPr>
          <w:rFonts w:eastAsia="Times New Roman" w:cs="Arial"/>
          <w:bCs/>
          <w:color w:val="000000"/>
          <w:lang w:eastAsia="bg-BG"/>
        </w:rPr>
      </w:pPr>
    </w:p>
    <w:p w14:paraId="1A30C35E" w14:textId="5D902A1A"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Хипергликемия и/или развитие или обостряне на диабет, понякога свързан с кетоацидоза или кома, се съобщава нечесто, включително няколко фатални случая (вж. точка 4.8). В някои случаи се съобщава за предходно увеличение на телесното тегло, което може да бъде предразполагащ фактор. Препоръчва се подходящо клинично проследяване в съответствие с използваните антипсихотични ръководства, например измерване на нивото на глюкозата в началото на лечението, 12 седмици след началото и след това - веднъж годишно. Пациентите, лекувани с антипсихотични лекарства, включително оланзапин, трябва да бъдат наблюдавани за поява на признаци и симптоми на хипергликемия (като например полидипсия, полиурия, полифагия и слабост), а пациентите със захарен диабет или с рискови фактори за развитие на захарен диабет трябва редовно да бъдат проследявани за влошаване на глюкозния контрол. Теглото трябва да се проследява редовно, например в началото на лечението, 4, 8 и 12 седмици след началото, а след това - всяко тримесечие.</w:t>
      </w:r>
    </w:p>
    <w:p w14:paraId="53542F91" w14:textId="77777777" w:rsidR="00120AB6" w:rsidRPr="00120AB6" w:rsidRDefault="00120AB6" w:rsidP="00120AB6">
      <w:pPr>
        <w:spacing w:line="240" w:lineRule="auto"/>
        <w:rPr>
          <w:rFonts w:eastAsia="Times New Roman" w:cs="Arial"/>
          <w:bCs/>
          <w:i/>
          <w:iCs/>
          <w:color w:val="000000"/>
          <w:u w:val="single"/>
          <w:lang w:eastAsia="bg-BG"/>
        </w:rPr>
      </w:pPr>
    </w:p>
    <w:p w14:paraId="5BC3A951" w14:textId="29A5A914"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Промени в липидните нива</w:t>
      </w:r>
    </w:p>
    <w:p w14:paraId="409C0049" w14:textId="77777777" w:rsidR="00120AB6" w:rsidRPr="00120AB6" w:rsidRDefault="00120AB6" w:rsidP="00120AB6">
      <w:pPr>
        <w:spacing w:line="240" w:lineRule="auto"/>
        <w:rPr>
          <w:rFonts w:eastAsia="Times New Roman" w:cs="Arial"/>
          <w:bCs/>
          <w:color w:val="000000"/>
          <w:lang w:eastAsia="bg-BG"/>
        </w:rPr>
      </w:pPr>
    </w:p>
    <w:p w14:paraId="7C435CCB" w14:textId="5FB1BC91"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Нежелани промени в липидите може да се наблюдават при пациентите, лекувани с оланзапин при плацебо-контролирани клинични проучвания (вж. точка 4.8). Липидните промени трябва да се третират с подходящи клинични мерки, особено при дислипидемични пациенти и пациенти с рискови фактори за развитие на липидни нарушения. При пациентите, лекувани с антипсихотични лекарства, включително с Еголанза, трябва редовно да се проследяват нивата на липиди в съответствие с използваните антипсихотични ръководства, например в началото на лечението, 12 седмици след началото, а след това - на всеки 5 години.</w:t>
      </w:r>
    </w:p>
    <w:p w14:paraId="6014AA27" w14:textId="77777777" w:rsidR="00120AB6" w:rsidRPr="00120AB6" w:rsidRDefault="00120AB6" w:rsidP="00120AB6">
      <w:pPr>
        <w:spacing w:line="240" w:lineRule="auto"/>
        <w:rPr>
          <w:rFonts w:eastAsia="Times New Roman" w:cs="Arial"/>
          <w:bCs/>
          <w:i/>
          <w:iCs/>
          <w:color w:val="000000"/>
          <w:u w:val="single"/>
          <w:lang w:eastAsia="bg-BG"/>
        </w:rPr>
      </w:pPr>
    </w:p>
    <w:p w14:paraId="3F4BC5D1" w14:textId="3BC3C2CB"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Антихолинергична активност</w:t>
      </w:r>
    </w:p>
    <w:p w14:paraId="43D06AEB" w14:textId="77777777" w:rsidR="00120AB6" w:rsidRPr="00120AB6" w:rsidRDefault="00120AB6" w:rsidP="00120AB6">
      <w:pPr>
        <w:spacing w:line="240" w:lineRule="auto"/>
        <w:rPr>
          <w:rFonts w:eastAsia="Times New Roman" w:cs="Arial"/>
          <w:bCs/>
          <w:color w:val="000000"/>
          <w:lang w:eastAsia="bg-BG"/>
        </w:rPr>
      </w:pPr>
    </w:p>
    <w:p w14:paraId="58F0B652" w14:textId="13D09427"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 xml:space="preserve">Докато оланзапин показва антихолиергична активност </w:t>
      </w:r>
      <w:r w:rsidRPr="00120AB6">
        <w:rPr>
          <w:rFonts w:eastAsia="Times New Roman" w:cs="Arial"/>
          <w:bCs/>
          <w:i/>
          <w:iCs/>
          <w:color w:val="000000"/>
          <w:lang w:val="en-US"/>
        </w:rPr>
        <w:t>in</w:t>
      </w:r>
      <w:r w:rsidRPr="00120AB6">
        <w:rPr>
          <w:rFonts w:eastAsia="Times New Roman" w:cs="Arial"/>
          <w:bCs/>
          <w:i/>
          <w:iCs/>
          <w:color w:val="000000"/>
          <w:lang w:val="ru-RU"/>
        </w:rPr>
        <w:t xml:space="preserve"> </w:t>
      </w:r>
      <w:r w:rsidRPr="00120AB6">
        <w:rPr>
          <w:rFonts w:eastAsia="Times New Roman" w:cs="Arial"/>
          <w:bCs/>
          <w:i/>
          <w:iCs/>
          <w:color w:val="000000"/>
          <w:lang w:val="en-US"/>
        </w:rPr>
        <w:t>vitro</w:t>
      </w:r>
      <w:r w:rsidRPr="00120AB6">
        <w:rPr>
          <w:rFonts w:eastAsia="Times New Roman" w:cs="Arial"/>
          <w:bCs/>
          <w:i/>
          <w:iCs/>
          <w:color w:val="000000"/>
          <w:lang w:val="ru-RU"/>
        </w:rPr>
        <w:t>,</w:t>
      </w:r>
      <w:r w:rsidRPr="00120AB6">
        <w:rPr>
          <w:rFonts w:eastAsia="Times New Roman" w:cs="Arial"/>
          <w:bCs/>
          <w:color w:val="000000"/>
          <w:lang w:val="ru-RU"/>
        </w:rPr>
        <w:t xml:space="preserve"> </w:t>
      </w:r>
      <w:r w:rsidRPr="00120AB6">
        <w:rPr>
          <w:rFonts w:eastAsia="Times New Roman" w:cs="Arial"/>
          <w:bCs/>
          <w:color w:val="000000"/>
          <w:lang w:eastAsia="bg-BG"/>
        </w:rPr>
        <w:t>опитът по време на клиничните проучвания показва ниска честота на свързаните събития. Но тъй като клиничният опит с оланзапин при пациенти със съпътстващо заболяване е ограничен, трябва да се внимава когато се предписва на пациенти с простатна хипертрофия или паралитичен илеус и свързани състояния.</w:t>
      </w:r>
    </w:p>
    <w:p w14:paraId="506976A0" w14:textId="77777777" w:rsidR="00120AB6" w:rsidRPr="00120AB6" w:rsidRDefault="00120AB6" w:rsidP="00120AB6">
      <w:pPr>
        <w:spacing w:line="240" w:lineRule="auto"/>
        <w:rPr>
          <w:rFonts w:eastAsia="Times New Roman" w:cs="Arial"/>
          <w:bCs/>
          <w:i/>
          <w:iCs/>
          <w:color w:val="000000"/>
          <w:u w:val="single"/>
          <w:lang w:eastAsia="bg-BG"/>
        </w:rPr>
      </w:pPr>
    </w:p>
    <w:p w14:paraId="258F4800" w14:textId="2DA28F8A"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Чернодробна функция</w:t>
      </w:r>
    </w:p>
    <w:p w14:paraId="7942F1B7" w14:textId="77777777" w:rsidR="00120AB6" w:rsidRPr="00120AB6" w:rsidRDefault="00120AB6" w:rsidP="00120AB6">
      <w:pPr>
        <w:spacing w:line="240" w:lineRule="auto"/>
        <w:rPr>
          <w:rFonts w:eastAsia="Times New Roman" w:cs="Arial"/>
          <w:bCs/>
          <w:color w:val="000000"/>
          <w:lang w:eastAsia="bg-BG"/>
        </w:rPr>
      </w:pPr>
    </w:p>
    <w:p w14:paraId="04C9E42C" w14:textId="78F8BBA0"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 xml:space="preserve">Преходни, асимптоматични повишения на чернодробните аминотрансферази, (АЛАТ), (АСАТ) се наблюдава често, особено в началото на лечението. Необходимо е повишено внимание и последващо проследяване при пациенти с повишени стойности на АЛАТ и/или АСАТ, при пациенти с признаци и симптоми на чернодробно увреждане, при </w:t>
      </w:r>
      <w:r w:rsidRPr="00120AB6">
        <w:rPr>
          <w:rFonts w:eastAsia="Times New Roman" w:cs="Arial"/>
          <w:bCs/>
          <w:color w:val="000000"/>
          <w:lang w:eastAsia="bg-BG"/>
        </w:rPr>
        <w:lastRenderedPageBreak/>
        <w:t>пациенти с предшестващи състояния, свързани с ограничен чернодробен функционален резерв и при пациенти, които са лекувани с потенциално хепатотоксични лекарства. В случаите на диагностициран хепатит (включително хепатоцелуларно, холестатично или чернодробно нарушение от смесен тип), лечението с оланзапин трябва да се преустанови.</w:t>
      </w:r>
    </w:p>
    <w:p w14:paraId="6A1DF786" w14:textId="77777777" w:rsidR="00120AB6" w:rsidRPr="00120AB6" w:rsidRDefault="00120AB6" w:rsidP="00120AB6">
      <w:pPr>
        <w:spacing w:line="240" w:lineRule="auto"/>
        <w:rPr>
          <w:rFonts w:eastAsia="Times New Roman" w:cs="Arial"/>
          <w:bCs/>
          <w:i/>
          <w:iCs/>
          <w:color w:val="000000"/>
          <w:u w:val="single"/>
          <w:lang w:eastAsia="bg-BG"/>
        </w:rPr>
      </w:pPr>
    </w:p>
    <w:p w14:paraId="504319FD" w14:textId="183FFEC8"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Неутропения</w:t>
      </w:r>
    </w:p>
    <w:p w14:paraId="37B46AA3" w14:textId="77777777"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Повишено внимание е необходимо при пациенти с намален брой на левкоцитите и/или неутрофилите поради някаква причина, при пациенти, които приемат лекарства, за които е известно, че причиняват неутропения, при пациенти с анамнеза за лекарствено- индуцирана депресия на костния мозък/токсичност, при пациенти с депресия на костния мозък, причинена от съпътстващо заболяване, лъчелечение или химиотерапия и при пациенти с хипереозинофилни състояния или с миелопролиферативно заболяване. Неутропенията обикновено се наблюдава често когато едновременно се прилагат оланзапин и валпроат (вж. точка 4.8).</w:t>
      </w:r>
    </w:p>
    <w:p w14:paraId="2184D6C2" w14:textId="77777777" w:rsidR="00120AB6" w:rsidRPr="00120AB6" w:rsidRDefault="00120AB6" w:rsidP="00120AB6">
      <w:pPr>
        <w:spacing w:line="240" w:lineRule="auto"/>
        <w:rPr>
          <w:rFonts w:eastAsia="Times New Roman" w:cs="Arial"/>
          <w:bCs/>
          <w:i/>
          <w:iCs/>
          <w:color w:val="000000"/>
          <w:u w:val="single"/>
          <w:lang w:eastAsia="bg-BG"/>
        </w:rPr>
      </w:pPr>
    </w:p>
    <w:p w14:paraId="1F6BC190" w14:textId="669948A5"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Преустановяване на лечението</w:t>
      </w:r>
    </w:p>
    <w:p w14:paraId="3AEB8D8B" w14:textId="77777777" w:rsidR="00120AB6" w:rsidRPr="00120AB6" w:rsidRDefault="00120AB6" w:rsidP="00120AB6">
      <w:pPr>
        <w:spacing w:line="240" w:lineRule="auto"/>
        <w:rPr>
          <w:rFonts w:eastAsia="Times New Roman" w:cs="Arial"/>
          <w:bCs/>
          <w:color w:val="000000"/>
          <w:lang w:eastAsia="bg-BG"/>
        </w:rPr>
      </w:pPr>
    </w:p>
    <w:p w14:paraId="03ED7CB2" w14:textId="002F8AC6"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Остри симптоми като потене, безсъние, тремор, безпокойство, гадене или повръщане са съобщавани рядко (≥0,01% и &lt;0,1%) при внезапно спиране приема на оланзапин.</w:t>
      </w:r>
    </w:p>
    <w:p w14:paraId="546E0034" w14:textId="77777777" w:rsidR="00120AB6" w:rsidRPr="00120AB6" w:rsidRDefault="00120AB6" w:rsidP="00120AB6">
      <w:pPr>
        <w:spacing w:line="240" w:lineRule="auto"/>
        <w:rPr>
          <w:rFonts w:eastAsia="Times New Roman" w:cs="Arial"/>
          <w:bCs/>
          <w:i/>
          <w:iCs/>
          <w:color w:val="000000"/>
          <w:u w:val="single"/>
          <w:lang w:eastAsia="bg-BG"/>
        </w:rPr>
      </w:pPr>
    </w:p>
    <w:p w14:paraId="48D561CD" w14:textId="0B6F6CF8"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val="en-US" w:eastAsia="bg-BG"/>
        </w:rPr>
        <w:t>Q</w:t>
      </w:r>
      <w:r w:rsidRPr="00120AB6">
        <w:rPr>
          <w:rFonts w:eastAsia="Times New Roman" w:cs="Arial"/>
          <w:bCs/>
          <w:i/>
          <w:iCs/>
          <w:color w:val="000000"/>
          <w:u w:val="single"/>
          <w:lang w:eastAsia="bg-BG"/>
        </w:rPr>
        <w:t>Т интервал</w:t>
      </w:r>
    </w:p>
    <w:p w14:paraId="03446143" w14:textId="77777777" w:rsidR="00120AB6" w:rsidRPr="00120AB6" w:rsidRDefault="00120AB6" w:rsidP="00120AB6">
      <w:pPr>
        <w:spacing w:line="240" w:lineRule="auto"/>
        <w:rPr>
          <w:rFonts w:eastAsia="Times New Roman" w:cs="Arial"/>
          <w:bCs/>
          <w:color w:val="000000"/>
          <w:lang w:eastAsia="bg-BG"/>
        </w:rPr>
      </w:pPr>
    </w:p>
    <w:p w14:paraId="3D15C499" w14:textId="1B0AAABA"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 xml:space="preserve">В клинични проучвания клинично значимите удължавания на </w:t>
      </w:r>
      <w:proofErr w:type="spellStart"/>
      <w:r w:rsidRPr="00120AB6">
        <w:rPr>
          <w:rFonts w:eastAsia="Times New Roman" w:cs="Arial"/>
          <w:bCs/>
          <w:color w:val="000000"/>
          <w:lang w:val="en-US"/>
        </w:rPr>
        <w:t>QTc</w:t>
      </w:r>
      <w:proofErr w:type="spellEnd"/>
      <w:r w:rsidRPr="00120AB6">
        <w:rPr>
          <w:rFonts w:eastAsia="Times New Roman" w:cs="Arial"/>
          <w:bCs/>
          <w:color w:val="000000"/>
          <w:lang w:val="ru-RU"/>
        </w:rPr>
        <w:t xml:space="preserve"> </w:t>
      </w:r>
      <w:r w:rsidRPr="00120AB6">
        <w:rPr>
          <w:rFonts w:eastAsia="Times New Roman" w:cs="Arial"/>
          <w:bCs/>
          <w:color w:val="000000"/>
          <w:lang w:eastAsia="bg-BG"/>
        </w:rPr>
        <w:t xml:space="preserve">интервала (корекция на </w:t>
      </w:r>
      <w:proofErr w:type="spellStart"/>
      <w:r w:rsidRPr="00120AB6">
        <w:rPr>
          <w:rFonts w:eastAsia="Times New Roman" w:cs="Arial"/>
          <w:bCs/>
          <w:color w:val="000000"/>
          <w:lang w:val="en-US"/>
        </w:rPr>
        <w:t>Fridericia</w:t>
      </w:r>
      <w:proofErr w:type="spellEnd"/>
      <w:r w:rsidRPr="00120AB6">
        <w:rPr>
          <w:rFonts w:eastAsia="Times New Roman" w:cs="Arial"/>
          <w:bCs/>
          <w:color w:val="000000"/>
          <w:lang w:val="ru-RU"/>
        </w:rPr>
        <w:t xml:space="preserve"> </w:t>
      </w:r>
      <w:r w:rsidRPr="00120AB6">
        <w:rPr>
          <w:rFonts w:eastAsia="Times New Roman" w:cs="Arial"/>
          <w:bCs/>
          <w:color w:val="000000"/>
          <w:lang w:eastAsia="bg-BG"/>
        </w:rPr>
        <w:t xml:space="preserve">за </w:t>
      </w:r>
      <w:r w:rsidRPr="00120AB6">
        <w:rPr>
          <w:rFonts w:eastAsia="Times New Roman" w:cs="Arial"/>
          <w:bCs/>
          <w:color w:val="000000"/>
          <w:lang w:val="en-US"/>
        </w:rPr>
        <w:t>QT</w:t>
      </w:r>
      <w:r w:rsidRPr="00120AB6">
        <w:rPr>
          <w:rFonts w:eastAsia="Times New Roman" w:cs="Arial"/>
          <w:bCs/>
          <w:color w:val="000000"/>
          <w:lang w:val="ru-RU"/>
        </w:rPr>
        <w:t xml:space="preserve"> [</w:t>
      </w:r>
      <w:proofErr w:type="spellStart"/>
      <w:r w:rsidRPr="00120AB6">
        <w:rPr>
          <w:rFonts w:eastAsia="Times New Roman" w:cs="Arial"/>
          <w:bCs/>
          <w:color w:val="000000"/>
          <w:lang w:val="en-US"/>
        </w:rPr>
        <w:t>QTcF</w:t>
      </w:r>
      <w:proofErr w:type="spellEnd"/>
      <w:r w:rsidRPr="00120AB6">
        <w:rPr>
          <w:rFonts w:eastAsia="Times New Roman" w:cs="Arial"/>
          <w:bCs/>
          <w:color w:val="000000"/>
          <w:lang w:val="ru-RU"/>
        </w:rPr>
        <w:t xml:space="preserve">] </w:t>
      </w:r>
      <w:r w:rsidRPr="00120AB6">
        <w:rPr>
          <w:rFonts w:eastAsia="Times New Roman" w:cs="Arial"/>
          <w:bCs/>
          <w:color w:val="000000"/>
          <w:lang w:eastAsia="bg-BG"/>
        </w:rPr>
        <w:t xml:space="preserve">&gt;500 милисекунди </w:t>
      </w:r>
      <w:r w:rsidRPr="00120AB6">
        <w:rPr>
          <w:rFonts w:eastAsia="Times New Roman" w:cs="Arial"/>
          <w:bCs/>
          <w:color w:val="000000"/>
          <w:lang w:val="ru-RU"/>
        </w:rPr>
        <w:t>[</w:t>
      </w:r>
      <w:proofErr w:type="spellStart"/>
      <w:r w:rsidRPr="00120AB6">
        <w:rPr>
          <w:rFonts w:eastAsia="Times New Roman" w:cs="Arial"/>
          <w:bCs/>
          <w:color w:val="000000"/>
          <w:lang w:val="en-US"/>
        </w:rPr>
        <w:t>msec</w:t>
      </w:r>
      <w:proofErr w:type="spellEnd"/>
      <w:r w:rsidRPr="00120AB6">
        <w:rPr>
          <w:rFonts w:eastAsia="Times New Roman" w:cs="Arial"/>
          <w:bCs/>
          <w:color w:val="000000"/>
          <w:lang w:val="ru-RU"/>
        </w:rPr>
        <w:t xml:space="preserve">] </w:t>
      </w:r>
      <w:r w:rsidRPr="00120AB6">
        <w:rPr>
          <w:rFonts w:eastAsia="Times New Roman" w:cs="Arial"/>
          <w:bCs/>
          <w:color w:val="000000"/>
          <w:lang w:eastAsia="bg-BG"/>
        </w:rPr>
        <w:t xml:space="preserve">по всяко време след първоначалната изходна стойност при пациенти с изходен </w:t>
      </w:r>
      <w:proofErr w:type="spellStart"/>
      <w:r w:rsidRPr="00120AB6">
        <w:rPr>
          <w:rFonts w:eastAsia="Times New Roman" w:cs="Arial"/>
          <w:bCs/>
          <w:color w:val="000000"/>
          <w:lang w:val="en-US"/>
        </w:rPr>
        <w:t>QTcF</w:t>
      </w:r>
      <w:proofErr w:type="spellEnd"/>
      <w:r w:rsidRPr="00120AB6">
        <w:rPr>
          <w:rFonts w:eastAsia="Times New Roman" w:cs="Arial"/>
          <w:bCs/>
          <w:color w:val="000000"/>
          <w:lang w:val="ru-RU"/>
        </w:rPr>
        <w:t xml:space="preserve">&lt;500 </w:t>
      </w:r>
      <w:proofErr w:type="spellStart"/>
      <w:r w:rsidRPr="00120AB6">
        <w:rPr>
          <w:rFonts w:eastAsia="Times New Roman" w:cs="Arial"/>
          <w:bCs/>
          <w:color w:val="000000"/>
          <w:lang w:val="en-US"/>
        </w:rPr>
        <w:t>msec</w:t>
      </w:r>
      <w:proofErr w:type="spellEnd"/>
      <w:r w:rsidRPr="00120AB6">
        <w:rPr>
          <w:rFonts w:eastAsia="Times New Roman" w:cs="Arial"/>
          <w:bCs/>
          <w:color w:val="000000"/>
          <w:lang w:val="ru-RU"/>
        </w:rPr>
        <w:t xml:space="preserve">) </w:t>
      </w:r>
      <w:r w:rsidRPr="00120AB6">
        <w:rPr>
          <w:rFonts w:eastAsia="Times New Roman" w:cs="Arial"/>
          <w:bCs/>
          <w:color w:val="000000"/>
          <w:lang w:eastAsia="bg-BG"/>
        </w:rPr>
        <w:t xml:space="preserve">са били нечести (0,1% до 1%) при пациенти, лекувани с оланзапин без значими разлики, свързани с кардиологични събития в сравнение с плацебо. Необходимо е обаче да се внимава когато се предписва оланзапин с лекарства, за които е известно, че удължават </w:t>
      </w:r>
      <w:proofErr w:type="spellStart"/>
      <w:r w:rsidRPr="00120AB6">
        <w:rPr>
          <w:rFonts w:eastAsia="Times New Roman" w:cs="Arial"/>
          <w:bCs/>
          <w:color w:val="000000"/>
          <w:lang w:val="en-US"/>
        </w:rPr>
        <w:t>QTc</w:t>
      </w:r>
      <w:proofErr w:type="spellEnd"/>
      <w:r w:rsidRPr="00120AB6">
        <w:rPr>
          <w:rFonts w:eastAsia="Times New Roman" w:cs="Arial"/>
          <w:bCs/>
          <w:color w:val="000000"/>
          <w:lang w:val="ru-RU"/>
        </w:rPr>
        <w:t xml:space="preserve"> </w:t>
      </w:r>
      <w:r w:rsidRPr="00120AB6">
        <w:rPr>
          <w:rFonts w:eastAsia="Times New Roman" w:cs="Arial"/>
          <w:bCs/>
          <w:color w:val="000000"/>
          <w:lang w:eastAsia="bg-BG"/>
        </w:rPr>
        <w:t xml:space="preserve">интервала, особено при пациенти в старческа възраст, при пациенти с наследствен синдром на удължения </w:t>
      </w:r>
      <w:r w:rsidRPr="00120AB6">
        <w:rPr>
          <w:rFonts w:eastAsia="Times New Roman" w:cs="Arial"/>
          <w:bCs/>
          <w:color w:val="000000"/>
          <w:lang w:val="en-US"/>
        </w:rPr>
        <w:t>QT</w:t>
      </w:r>
      <w:r w:rsidRPr="00120AB6">
        <w:rPr>
          <w:rFonts w:eastAsia="Times New Roman" w:cs="Arial"/>
          <w:bCs/>
          <w:color w:val="000000"/>
          <w:lang w:val="ru-RU"/>
        </w:rPr>
        <w:t xml:space="preserve"> </w:t>
      </w:r>
      <w:r w:rsidRPr="00120AB6">
        <w:rPr>
          <w:rFonts w:eastAsia="Times New Roman" w:cs="Arial"/>
          <w:bCs/>
          <w:color w:val="000000"/>
          <w:lang w:eastAsia="bg-BG"/>
        </w:rPr>
        <w:t>интервал, застойна сърдечна недостатъчност, сърдечна хипертрофия, хипокалиемия или хипомагнезиемия.</w:t>
      </w:r>
    </w:p>
    <w:p w14:paraId="320F8130" w14:textId="77777777" w:rsidR="00120AB6" w:rsidRPr="00120AB6" w:rsidRDefault="00120AB6" w:rsidP="00120AB6">
      <w:pPr>
        <w:spacing w:line="240" w:lineRule="auto"/>
        <w:rPr>
          <w:rFonts w:eastAsia="Times New Roman" w:cs="Arial"/>
          <w:bCs/>
          <w:i/>
          <w:iCs/>
          <w:color w:val="000000"/>
          <w:u w:val="single"/>
          <w:lang w:eastAsia="bg-BG"/>
        </w:rPr>
      </w:pPr>
    </w:p>
    <w:p w14:paraId="0723F43B" w14:textId="4CB40ACF"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Тромбоемболизъм</w:t>
      </w:r>
    </w:p>
    <w:p w14:paraId="6B481381" w14:textId="77777777" w:rsidR="00120AB6" w:rsidRPr="00120AB6" w:rsidRDefault="00120AB6" w:rsidP="00120AB6">
      <w:pPr>
        <w:spacing w:line="240" w:lineRule="auto"/>
        <w:rPr>
          <w:rFonts w:eastAsia="Times New Roman" w:cs="Arial"/>
          <w:bCs/>
          <w:color w:val="000000"/>
          <w:lang w:eastAsia="bg-BG"/>
        </w:rPr>
      </w:pPr>
    </w:p>
    <w:p w14:paraId="095D3C53" w14:textId="17DBEE0C"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Нечесто (≥0.1% и &lt;1%) се съобщава за временна връзка между лечението с оланзапин и венозен тромбемболизъм. Причинно-следствена връзка между появата на венозен тромбоемболизъм и лечението с оланзапин не е установена. Но тъй като пациентите с шизофрения често се представят с придобити рискови фактори за венозен тромбоемболизъм, всички възможни рискови фактори за ВТЕ, например обездвижване на пациентите, трябва да се установят и да се вземат предпазни мерки.</w:t>
      </w:r>
    </w:p>
    <w:p w14:paraId="5F695CC0" w14:textId="77777777" w:rsidR="00120AB6" w:rsidRPr="00120AB6" w:rsidRDefault="00120AB6" w:rsidP="00120AB6">
      <w:pPr>
        <w:spacing w:line="240" w:lineRule="auto"/>
        <w:rPr>
          <w:rFonts w:eastAsia="Times New Roman" w:cs="Arial"/>
          <w:bCs/>
          <w:i/>
          <w:iCs/>
          <w:color w:val="000000"/>
          <w:u w:val="single"/>
          <w:lang w:eastAsia="bg-BG"/>
        </w:rPr>
      </w:pPr>
    </w:p>
    <w:p w14:paraId="58DFFB2A" w14:textId="47213133"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Обша активност на ЦНС</w:t>
      </w:r>
    </w:p>
    <w:p w14:paraId="7D17164F" w14:textId="77777777" w:rsidR="00120AB6" w:rsidRPr="00120AB6" w:rsidRDefault="00120AB6" w:rsidP="00120AB6">
      <w:pPr>
        <w:spacing w:line="240" w:lineRule="auto"/>
        <w:rPr>
          <w:rFonts w:eastAsia="Times New Roman" w:cs="Arial"/>
          <w:bCs/>
          <w:color w:val="000000"/>
          <w:lang w:eastAsia="bg-BG"/>
        </w:rPr>
      </w:pPr>
    </w:p>
    <w:p w14:paraId="23B3713F" w14:textId="681808D1"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 xml:space="preserve">Предвид на първичните ефекти на оланзапин върху ЦНС, повишено внимание е необходимо когато се приема в комбинация с други централно действащи лекарства и алкохол. Тъй като оланзапин показва допаминов антагонизъм </w:t>
      </w:r>
      <w:r w:rsidRPr="00120AB6">
        <w:rPr>
          <w:rFonts w:eastAsia="Times New Roman" w:cs="Arial"/>
          <w:bCs/>
          <w:i/>
          <w:iCs/>
          <w:color w:val="000000"/>
          <w:lang w:val="en-US"/>
        </w:rPr>
        <w:t>in</w:t>
      </w:r>
      <w:r w:rsidRPr="00120AB6">
        <w:rPr>
          <w:rFonts w:eastAsia="Times New Roman" w:cs="Arial"/>
          <w:bCs/>
          <w:i/>
          <w:iCs/>
          <w:color w:val="000000"/>
          <w:lang w:val="ru-RU"/>
        </w:rPr>
        <w:t xml:space="preserve"> </w:t>
      </w:r>
      <w:r w:rsidRPr="00120AB6">
        <w:rPr>
          <w:rFonts w:eastAsia="Times New Roman" w:cs="Arial"/>
          <w:bCs/>
          <w:i/>
          <w:iCs/>
          <w:color w:val="000000"/>
          <w:lang w:val="en-US"/>
        </w:rPr>
        <w:t>vitro</w:t>
      </w:r>
      <w:r w:rsidRPr="00120AB6">
        <w:rPr>
          <w:rFonts w:eastAsia="Times New Roman" w:cs="Arial"/>
          <w:bCs/>
          <w:i/>
          <w:iCs/>
          <w:color w:val="000000"/>
          <w:lang w:val="ru-RU"/>
        </w:rPr>
        <w:t>,</w:t>
      </w:r>
      <w:r w:rsidRPr="00120AB6">
        <w:rPr>
          <w:rFonts w:eastAsia="Times New Roman" w:cs="Arial"/>
          <w:bCs/>
          <w:color w:val="000000"/>
          <w:lang w:val="ru-RU"/>
        </w:rPr>
        <w:t xml:space="preserve"> </w:t>
      </w:r>
      <w:r w:rsidRPr="00120AB6">
        <w:rPr>
          <w:rFonts w:eastAsia="Times New Roman" w:cs="Arial"/>
          <w:bCs/>
          <w:color w:val="000000"/>
          <w:lang w:eastAsia="bg-BG"/>
        </w:rPr>
        <w:t>той може да антагонизира ефектите на преките и непреките допаминови агонисти.</w:t>
      </w:r>
    </w:p>
    <w:p w14:paraId="4F20D60C" w14:textId="77777777" w:rsidR="00120AB6" w:rsidRPr="00120AB6" w:rsidRDefault="00120AB6" w:rsidP="00120AB6">
      <w:pPr>
        <w:spacing w:line="240" w:lineRule="auto"/>
        <w:rPr>
          <w:rFonts w:eastAsia="Times New Roman" w:cs="Arial"/>
          <w:bCs/>
          <w:i/>
          <w:iCs/>
          <w:color w:val="000000"/>
          <w:u w:val="single"/>
          <w:lang w:eastAsia="bg-BG"/>
        </w:rPr>
      </w:pPr>
    </w:p>
    <w:p w14:paraId="360C4272" w14:textId="79BFD37A"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Припадъии</w:t>
      </w:r>
    </w:p>
    <w:p w14:paraId="24FEC822" w14:textId="77777777" w:rsidR="00120AB6" w:rsidRPr="00120AB6" w:rsidRDefault="00120AB6" w:rsidP="00120AB6">
      <w:pPr>
        <w:spacing w:line="240" w:lineRule="auto"/>
        <w:rPr>
          <w:rFonts w:eastAsia="Times New Roman" w:cs="Arial"/>
          <w:bCs/>
          <w:color w:val="000000"/>
          <w:lang w:eastAsia="bg-BG"/>
        </w:rPr>
      </w:pPr>
    </w:p>
    <w:p w14:paraId="0F5DF0F9" w14:textId="39C06566"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lastRenderedPageBreak/>
        <w:t>Оланзапин трябва да се прилага с повишено внимание при пациенти с анамнеза за гърчове или фактори, които могат да понижат  гърчовия праг. Нечесто е съобщавана поява на гърчове при пациенти, лекувани с оланзапин. В повечето от тези случаи са съобщавани анамнеза за гърчове или рискови фактори за гърчове.</w:t>
      </w:r>
    </w:p>
    <w:p w14:paraId="74050BD6" w14:textId="77777777" w:rsidR="00120AB6" w:rsidRPr="00120AB6" w:rsidRDefault="00120AB6" w:rsidP="00120AB6">
      <w:pPr>
        <w:spacing w:line="240" w:lineRule="auto"/>
        <w:rPr>
          <w:rFonts w:eastAsia="Times New Roman" w:cs="Arial"/>
          <w:bCs/>
          <w:i/>
          <w:iCs/>
          <w:color w:val="000000"/>
          <w:u w:val="single"/>
          <w:lang w:eastAsia="bg-BG"/>
        </w:rPr>
      </w:pPr>
    </w:p>
    <w:p w14:paraId="21F246F7" w14:textId="5D507E2A"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Тардивна дискинезия</w:t>
      </w:r>
    </w:p>
    <w:p w14:paraId="2E786F44" w14:textId="00A4173E" w:rsidR="00120AB6" w:rsidRPr="00120AB6" w:rsidRDefault="00120AB6" w:rsidP="00120AB6">
      <w:pPr>
        <w:rPr>
          <w:rFonts w:cs="Arial"/>
        </w:rPr>
      </w:pPr>
    </w:p>
    <w:p w14:paraId="7A0CA8E4" w14:textId="77777777"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В сравнителни проучвания в рамките на една година или по-малко, оланзапин е бил свързан със статистически значимо по-малка честота на дискинезия, провокирана от лечението. Но рискът от тардивна дискинезия се увеличава при по-продължителен прием и поради това, ако се появят признаци или симптоми за това при пациенти на оланзапин, трябва да се обмисли намаляване на дозата или прекъсване на лечението. Тези симптоми може временно да се влошат или дори да възникнат след прекъсване на лечението.</w:t>
      </w:r>
    </w:p>
    <w:p w14:paraId="2484A551" w14:textId="77777777" w:rsidR="00120AB6" w:rsidRPr="00120AB6" w:rsidRDefault="00120AB6" w:rsidP="00120AB6">
      <w:pPr>
        <w:spacing w:line="240" w:lineRule="auto"/>
        <w:rPr>
          <w:rFonts w:eastAsia="Times New Roman" w:cs="Arial"/>
          <w:bCs/>
          <w:i/>
          <w:iCs/>
          <w:color w:val="000000"/>
          <w:u w:val="single"/>
          <w:lang w:eastAsia="bg-BG"/>
        </w:rPr>
      </w:pPr>
    </w:p>
    <w:p w14:paraId="52B83D72" w14:textId="5EB6C3DC"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Постурална хипотония</w:t>
      </w:r>
    </w:p>
    <w:p w14:paraId="5A6AFE02" w14:textId="77777777" w:rsidR="00120AB6" w:rsidRPr="00120AB6" w:rsidRDefault="00120AB6" w:rsidP="00120AB6">
      <w:pPr>
        <w:spacing w:line="240" w:lineRule="auto"/>
        <w:rPr>
          <w:rFonts w:eastAsia="Times New Roman" w:cs="Arial"/>
          <w:bCs/>
          <w:color w:val="000000"/>
          <w:lang w:eastAsia="bg-BG"/>
        </w:rPr>
      </w:pPr>
    </w:p>
    <w:p w14:paraId="011A19C1" w14:textId="0FC6D877"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Постурална хипотония е наблюдавана нечесто при пациенти в старческа възраст в клинични проучвания с оланзапин. Препоръчва се периодично измерване на кръвното налягане при пациенти над 65-годишна възраст.</w:t>
      </w:r>
    </w:p>
    <w:p w14:paraId="6181D7EC" w14:textId="77777777" w:rsidR="00120AB6" w:rsidRPr="00120AB6" w:rsidRDefault="00120AB6" w:rsidP="00120AB6">
      <w:pPr>
        <w:spacing w:line="240" w:lineRule="auto"/>
        <w:rPr>
          <w:rFonts w:eastAsia="Times New Roman" w:cs="Arial"/>
          <w:bCs/>
          <w:i/>
          <w:iCs/>
          <w:color w:val="000000"/>
          <w:u w:val="single"/>
          <w:lang w:eastAsia="bg-BG"/>
        </w:rPr>
      </w:pPr>
    </w:p>
    <w:p w14:paraId="615AC4B2" w14:textId="559F7615"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Внезапна сърдечна смърт</w:t>
      </w:r>
    </w:p>
    <w:p w14:paraId="797A6C2E" w14:textId="77777777" w:rsidR="00120AB6" w:rsidRPr="00120AB6" w:rsidRDefault="00120AB6" w:rsidP="00120AB6">
      <w:pPr>
        <w:spacing w:line="240" w:lineRule="auto"/>
        <w:rPr>
          <w:rFonts w:eastAsia="Times New Roman" w:cs="Arial"/>
          <w:bCs/>
          <w:color w:val="000000"/>
          <w:lang w:eastAsia="bg-BG"/>
        </w:rPr>
      </w:pPr>
    </w:p>
    <w:p w14:paraId="7238DAB8" w14:textId="4D455FD6"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В постмаркетинговите проучвания за оланзапин са съобщавани случаи на внезапна сърдечна смърт при пациенти на оланзапин. В едно ретроспективно наблюдателно кохортно проучване рискът за предполагаема внезапна сърдечна смърт при пациенти, лекувани с оланзапин е бил приблизително два пъти по-висок от риска при пациенти, които не употребяват антипсихотици. В проучването рискът с оланзапин е бил сравним с риска при атипични антипсихотици, включени в обобщения анализ.</w:t>
      </w:r>
    </w:p>
    <w:p w14:paraId="2D587151" w14:textId="77777777" w:rsidR="00120AB6" w:rsidRPr="00120AB6" w:rsidRDefault="00120AB6" w:rsidP="00120AB6">
      <w:pPr>
        <w:spacing w:line="240" w:lineRule="auto"/>
        <w:rPr>
          <w:rFonts w:eastAsia="Times New Roman" w:cs="Arial"/>
          <w:bCs/>
          <w:i/>
          <w:iCs/>
          <w:color w:val="000000"/>
          <w:u w:val="single"/>
          <w:lang w:eastAsia="bg-BG"/>
        </w:rPr>
      </w:pPr>
    </w:p>
    <w:p w14:paraId="0A2BCC65" w14:textId="134085C4"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Педиатрична популация</w:t>
      </w:r>
    </w:p>
    <w:p w14:paraId="3BF72483" w14:textId="77777777" w:rsidR="00120AB6" w:rsidRPr="00120AB6" w:rsidRDefault="00120AB6" w:rsidP="00120AB6">
      <w:pPr>
        <w:spacing w:line="240" w:lineRule="auto"/>
        <w:rPr>
          <w:rFonts w:eastAsia="Times New Roman" w:cs="Arial"/>
          <w:bCs/>
          <w:color w:val="000000"/>
          <w:lang w:eastAsia="bg-BG"/>
        </w:rPr>
      </w:pPr>
    </w:p>
    <w:p w14:paraId="4D4CE26F" w14:textId="68951FF0"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Оланзапин не е показан за лечение на деца и юноши. Проучванията при пациенти на възраст 13 и 17 години са показали различни нежелани реакции, включително покачване на теглото, промени в метаболитните параметри и увеличени нива на пролактина (вж. точка 4.8 и 5.1).</w:t>
      </w:r>
    </w:p>
    <w:p w14:paraId="5CB38E97" w14:textId="77777777" w:rsidR="00120AB6" w:rsidRPr="00120AB6" w:rsidRDefault="00120AB6" w:rsidP="00120AB6">
      <w:pPr>
        <w:spacing w:line="240" w:lineRule="auto"/>
        <w:rPr>
          <w:rFonts w:eastAsia="Times New Roman" w:cs="Arial"/>
          <w:bCs/>
          <w:i/>
          <w:iCs/>
          <w:color w:val="000000"/>
          <w:u w:val="single"/>
          <w:lang w:eastAsia="bg-BG"/>
        </w:rPr>
      </w:pPr>
    </w:p>
    <w:p w14:paraId="19978874" w14:textId="35000459"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Лактоза</w:t>
      </w:r>
    </w:p>
    <w:p w14:paraId="08B1CEEA" w14:textId="77777777" w:rsidR="00120AB6" w:rsidRPr="00120AB6" w:rsidRDefault="00120AB6" w:rsidP="00120AB6">
      <w:pPr>
        <w:spacing w:line="240" w:lineRule="auto"/>
        <w:rPr>
          <w:rFonts w:eastAsia="Times New Roman" w:cs="Arial"/>
          <w:bCs/>
          <w:color w:val="000000"/>
          <w:lang w:eastAsia="bg-BG"/>
        </w:rPr>
      </w:pPr>
    </w:p>
    <w:p w14:paraId="655A9298" w14:textId="6F7222E6"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Таблетките Еголанза съдържат лактоза. Пациенти с редки наследствени заболявалия, като галактозна непоносимост, тотална лактазна недостатъчност или глюкозо- галактозна малабсорбция не трябва да приемат това лекарство.</w:t>
      </w:r>
    </w:p>
    <w:p w14:paraId="321C5ACC" w14:textId="77777777" w:rsidR="00120AB6" w:rsidRPr="00120AB6" w:rsidRDefault="00120AB6" w:rsidP="00120AB6"/>
    <w:p w14:paraId="0734264C" w14:textId="1B548688"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4B9E13B" w14:textId="3A025566" w:rsidR="00120AB6" w:rsidRDefault="00120AB6" w:rsidP="00120AB6"/>
    <w:p w14:paraId="34500744" w14:textId="77777777"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Педиатрична популация</w:t>
      </w:r>
    </w:p>
    <w:p w14:paraId="02817D2C" w14:textId="77777777" w:rsidR="00120AB6" w:rsidRPr="00120AB6" w:rsidRDefault="00120AB6" w:rsidP="00120AB6">
      <w:pPr>
        <w:spacing w:line="240" w:lineRule="auto"/>
        <w:rPr>
          <w:rFonts w:eastAsia="Times New Roman" w:cs="Arial"/>
          <w:bCs/>
          <w:color w:val="000000"/>
          <w:szCs w:val="18"/>
          <w:lang w:eastAsia="bg-BG"/>
        </w:rPr>
      </w:pPr>
    </w:p>
    <w:p w14:paraId="7D337A7D" w14:textId="2CF307DD"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Проучвания на взаимодействията са провеждани само при възрастни.</w:t>
      </w:r>
    </w:p>
    <w:p w14:paraId="21553EB2" w14:textId="77777777" w:rsidR="00120AB6" w:rsidRPr="00120AB6" w:rsidRDefault="00120AB6" w:rsidP="00120AB6">
      <w:pPr>
        <w:spacing w:line="240" w:lineRule="auto"/>
        <w:rPr>
          <w:rFonts w:eastAsia="Times New Roman" w:cs="Arial"/>
          <w:bCs/>
          <w:i/>
          <w:iCs/>
          <w:color w:val="000000"/>
          <w:szCs w:val="18"/>
          <w:u w:val="single"/>
          <w:lang w:eastAsia="bg-BG"/>
        </w:rPr>
      </w:pPr>
    </w:p>
    <w:p w14:paraId="3AEF15DB" w14:textId="3CABAE94"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lastRenderedPageBreak/>
        <w:t>Потенциални взаимодействия, повлияващи оланзапин</w:t>
      </w:r>
    </w:p>
    <w:p w14:paraId="3050625A" w14:textId="77777777" w:rsidR="00120AB6" w:rsidRPr="00120AB6" w:rsidRDefault="00120AB6" w:rsidP="00120AB6">
      <w:pPr>
        <w:spacing w:line="240" w:lineRule="auto"/>
        <w:rPr>
          <w:rFonts w:eastAsia="Times New Roman" w:cs="Arial"/>
          <w:bCs/>
          <w:color w:val="000000"/>
          <w:szCs w:val="18"/>
          <w:lang w:eastAsia="bg-BG"/>
        </w:rPr>
      </w:pPr>
    </w:p>
    <w:p w14:paraId="0126438F" w14:textId="5E52FA12"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Тъй като оланзапин се метаболизира от </w:t>
      </w:r>
      <w:r w:rsidRPr="00120AB6">
        <w:rPr>
          <w:rFonts w:eastAsia="Times New Roman" w:cs="Arial"/>
          <w:bCs/>
          <w:color w:val="000000"/>
          <w:szCs w:val="18"/>
          <w:lang w:val="en-US"/>
        </w:rPr>
        <w:t>CYP</w:t>
      </w:r>
      <w:r w:rsidRPr="00120AB6">
        <w:rPr>
          <w:rFonts w:eastAsia="Times New Roman" w:cs="Arial"/>
          <w:bCs/>
          <w:color w:val="000000"/>
          <w:szCs w:val="18"/>
          <w:lang w:val="ru-RU"/>
        </w:rPr>
        <w:t>1</w:t>
      </w:r>
      <w:r w:rsidRPr="00120AB6">
        <w:rPr>
          <w:rFonts w:eastAsia="Times New Roman" w:cs="Arial"/>
          <w:bCs/>
          <w:color w:val="000000"/>
          <w:szCs w:val="18"/>
          <w:lang w:eastAsia="bg-BG"/>
        </w:rPr>
        <w:t>А2, веществата, които могат специфично да индуцират или инхибират този изоензим, могат да повлияят неговата фармакокинетика.</w:t>
      </w:r>
    </w:p>
    <w:p w14:paraId="3E8F303D" w14:textId="77777777" w:rsidR="00120AB6" w:rsidRPr="00120AB6" w:rsidRDefault="00120AB6" w:rsidP="00120AB6">
      <w:pPr>
        <w:spacing w:line="240" w:lineRule="auto"/>
        <w:rPr>
          <w:rFonts w:eastAsia="Times New Roman" w:cs="Arial"/>
          <w:bCs/>
          <w:i/>
          <w:iCs/>
          <w:color w:val="000000"/>
          <w:szCs w:val="18"/>
          <w:u w:val="single"/>
          <w:lang w:eastAsia="bg-BG"/>
        </w:rPr>
      </w:pPr>
    </w:p>
    <w:p w14:paraId="33FA85FD" w14:textId="16D9DA0F"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 xml:space="preserve">Индукция на </w:t>
      </w:r>
      <w:r w:rsidRPr="00120AB6">
        <w:rPr>
          <w:rFonts w:eastAsia="Times New Roman" w:cs="Arial"/>
          <w:bCs/>
          <w:i/>
          <w:iCs/>
          <w:color w:val="000000"/>
          <w:szCs w:val="18"/>
          <w:u w:val="single"/>
          <w:lang w:val="en-US"/>
        </w:rPr>
        <w:t>CYP</w:t>
      </w:r>
      <w:r w:rsidRPr="00120AB6">
        <w:rPr>
          <w:rFonts w:eastAsia="Times New Roman" w:cs="Arial"/>
          <w:bCs/>
          <w:i/>
          <w:iCs/>
          <w:color w:val="000000"/>
          <w:szCs w:val="18"/>
          <w:u w:val="single"/>
          <w:lang w:val="ru-RU"/>
        </w:rPr>
        <w:t>1</w:t>
      </w:r>
      <w:r w:rsidRPr="00120AB6">
        <w:rPr>
          <w:rFonts w:eastAsia="Times New Roman" w:cs="Arial"/>
          <w:bCs/>
          <w:i/>
          <w:iCs/>
          <w:color w:val="000000"/>
          <w:szCs w:val="18"/>
          <w:u w:val="single"/>
          <w:lang w:val="en-US"/>
        </w:rPr>
        <w:t>A</w:t>
      </w:r>
      <w:r w:rsidRPr="00120AB6">
        <w:rPr>
          <w:rFonts w:eastAsia="Times New Roman" w:cs="Arial"/>
          <w:bCs/>
          <w:i/>
          <w:iCs/>
          <w:color w:val="000000"/>
          <w:szCs w:val="18"/>
          <w:u w:val="single"/>
          <w:lang w:val="ru-RU"/>
        </w:rPr>
        <w:t>2</w:t>
      </w:r>
    </w:p>
    <w:p w14:paraId="0692F00B" w14:textId="163A763F" w:rsidR="00120AB6" w:rsidRPr="00120AB6" w:rsidRDefault="00120AB6" w:rsidP="00120AB6">
      <w:pPr>
        <w:rPr>
          <w:rFonts w:cs="Arial"/>
          <w:sz w:val="28"/>
        </w:rPr>
      </w:pPr>
    </w:p>
    <w:p w14:paraId="38B4612B"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Метаболизмът на оланзапин може да бъде индуциран от тютюнопушене и карбамазепин, което може да доведе до намаляване концентрациите на оланзапин. Наблюдава се само леко до умерено увеличение на клирънса на оланзапин. Клиничните последствия вероятно са ограничени, но се препоръчва клинично проследяване и може да се обмисли увеличаване на дозата оланзапин, ако е необходимо (вж. точка 4.2).</w:t>
      </w:r>
    </w:p>
    <w:p w14:paraId="782993A7" w14:textId="77777777" w:rsidR="00120AB6" w:rsidRPr="00120AB6" w:rsidRDefault="00120AB6" w:rsidP="00120AB6">
      <w:pPr>
        <w:spacing w:line="240" w:lineRule="auto"/>
        <w:rPr>
          <w:rFonts w:eastAsia="Times New Roman" w:cs="Arial"/>
          <w:bCs/>
          <w:i/>
          <w:iCs/>
          <w:color w:val="000000"/>
          <w:szCs w:val="18"/>
          <w:u w:val="single"/>
          <w:lang w:eastAsia="bg-BG"/>
        </w:rPr>
      </w:pPr>
    </w:p>
    <w:p w14:paraId="7B007C3E" w14:textId="211D3290"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 xml:space="preserve">Инхибиране на </w:t>
      </w:r>
      <w:r w:rsidRPr="00120AB6">
        <w:rPr>
          <w:rFonts w:eastAsia="Times New Roman" w:cs="Arial"/>
          <w:bCs/>
          <w:i/>
          <w:iCs/>
          <w:color w:val="000000"/>
          <w:szCs w:val="18"/>
          <w:u w:val="single"/>
          <w:lang w:val="en-US"/>
        </w:rPr>
        <w:t>CYP</w:t>
      </w:r>
      <w:r w:rsidRPr="00120AB6">
        <w:rPr>
          <w:rFonts w:eastAsia="Times New Roman" w:cs="Arial"/>
          <w:bCs/>
          <w:i/>
          <w:iCs/>
          <w:color w:val="000000"/>
          <w:szCs w:val="18"/>
          <w:u w:val="single"/>
          <w:lang w:val="ru-RU"/>
        </w:rPr>
        <w:t>1</w:t>
      </w:r>
      <w:r w:rsidRPr="00120AB6">
        <w:rPr>
          <w:rFonts w:eastAsia="Times New Roman" w:cs="Arial"/>
          <w:bCs/>
          <w:i/>
          <w:iCs/>
          <w:color w:val="000000"/>
          <w:szCs w:val="18"/>
          <w:u w:val="single"/>
          <w:lang w:val="en-US"/>
        </w:rPr>
        <w:t>A</w:t>
      </w:r>
      <w:r w:rsidRPr="00120AB6">
        <w:rPr>
          <w:rFonts w:eastAsia="Times New Roman" w:cs="Arial"/>
          <w:bCs/>
          <w:i/>
          <w:iCs/>
          <w:color w:val="000000"/>
          <w:szCs w:val="18"/>
          <w:u w:val="single"/>
          <w:lang w:val="ru-RU"/>
        </w:rPr>
        <w:t>2</w:t>
      </w:r>
    </w:p>
    <w:p w14:paraId="5369FD34" w14:textId="77777777" w:rsidR="00120AB6" w:rsidRPr="00120AB6" w:rsidRDefault="00120AB6" w:rsidP="00120AB6">
      <w:pPr>
        <w:spacing w:line="240" w:lineRule="auto"/>
        <w:rPr>
          <w:rFonts w:eastAsia="Times New Roman" w:cs="Arial"/>
          <w:bCs/>
          <w:color w:val="000000"/>
          <w:szCs w:val="18"/>
          <w:lang w:eastAsia="bg-BG"/>
        </w:rPr>
      </w:pPr>
    </w:p>
    <w:p w14:paraId="5CAB5D9E" w14:textId="6E126999"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Флувоксамин, специфичен инхибитор на </w:t>
      </w:r>
      <w:r w:rsidRPr="00120AB6">
        <w:rPr>
          <w:rFonts w:eastAsia="Times New Roman" w:cs="Arial"/>
          <w:bCs/>
          <w:color w:val="000000"/>
          <w:szCs w:val="18"/>
          <w:lang w:val="en-US"/>
        </w:rPr>
        <w:t>CYP</w:t>
      </w:r>
      <w:r w:rsidRPr="00120AB6">
        <w:rPr>
          <w:rFonts w:eastAsia="Times New Roman" w:cs="Arial"/>
          <w:bCs/>
          <w:color w:val="000000"/>
          <w:szCs w:val="18"/>
          <w:lang w:val="ru-RU"/>
        </w:rPr>
        <w:t>1</w:t>
      </w:r>
      <w:r w:rsidRPr="00120AB6">
        <w:rPr>
          <w:rFonts w:eastAsia="Times New Roman" w:cs="Arial"/>
          <w:bCs/>
          <w:color w:val="000000"/>
          <w:szCs w:val="18"/>
          <w:lang w:val="en-US"/>
        </w:rPr>
        <w:t>A</w:t>
      </w:r>
      <w:r w:rsidRPr="00120AB6">
        <w:rPr>
          <w:rFonts w:eastAsia="Times New Roman" w:cs="Arial"/>
          <w:bCs/>
          <w:color w:val="000000"/>
          <w:szCs w:val="18"/>
          <w:lang w:val="ru-RU"/>
        </w:rPr>
        <w:t xml:space="preserve">2, </w:t>
      </w:r>
      <w:r w:rsidRPr="00120AB6">
        <w:rPr>
          <w:rFonts w:eastAsia="Times New Roman" w:cs="Arial"/>
          <w:bCs/>
          <w:color w:val="000000"/>
          <w:szCs w:val="18"/>
          <w:lang w:eastAsia="bg-BG"/>
        </w:rPr>
        <w:t>е показал значително инхибиране на метаболизма на оланзапин. Средното увеличение на С</w:t>
      </w:r>
      <w:r w:rsidRPr="00120AB6">
        <w:rPr>
          <w:rFonts w:eastAsia="Times New Roman" w:cs="Arial"/>
          <w:bCs/>
          <w:color w:val="000000"/>
          <w:szCs w:val="18"/>
          <w:vertAlign w:val="subscript"/>
          <w:lang w:val="en-US"/>
        </w:rPr>
        <w:t>max</w:t>
      </w:r>
      <w:r w:rsidRPr="00120AB6">
        <w:rPr>
          <w:rFonts w:eastAsia="Times New Roman" w:cs="Arial"/>
          <w:bCs/>
          <w:color w:val="000000"/>
          <w:szCs w:val="18"/>
          <w:lang w:eastAsia="bg-BG"/>
        </w:rPr>
        <w:t xml:space="preserve"> на оланзапин след флувоксамин е 54% при жени непушачки и 77% при мъже пушачи. Средното увеличение в </w:t>
      </w:r>
      <w:r w:rsidRPr="00120AB6">
        <w:rPr>
          <w:rFonts w:eastAsia="Times New Roman" w:cs="Arial"/>
          <w:bCs/>
          <w:color w:val="000000"/>
          <w:szCs w:val="18"/>
          <w:lang w:val="en-US"/>
        </w:rPr>
        <w:t>AUC</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 xml:space="preserve">на оланзапин е съответно 52% и 108%. Трябва да се обмисли по- ниска начална доза на оланзапин при пациенти, които приемат флувоксамин или някой друг инхибитор на </w:t>
      </w:r>
      <w:r w:rsidRPr="00120AB6">
        <w:rPr>
          <w:rFonts w:eastAsia="Times New Roman" w:cs="Arial"/>
          <w:bCs/>
          <w:color w:val="000000"/>
          <w:szCs w:val="18"/>
          <w:lang w:val="en-US"/>
        </w:rPr>
        <w:t>CYP</w:t>
      </w:r>
      <w:r w:rsidRPr="00120AB6">
        <w:rPr>
          <w:rFonts w:eastAsia="Times New Roman" w:cs="Arial"/>
          <w:bCs/>
          <w:color w:val="000000"/>
          <w:szCs w:val="18"/>
          <w:lang w:val="ru-RU"/>
        </w:rPr>
        <w:t>1</w:t>
      </w:r>
      <w:r w:rsidRPr="00120AB6">
        <w:rPr>
          <w:rFonts w:eastAsia="Times New Roman" w:cs="Arial"/>
          <w:bCs/>
          <w:color w:val="000000"/>
          <w:szCs w:val="18"/>
          <w:lang w:val="en-US"/>
        </w:rPr>
        <w:t>A</w:t>
      </w:r>
      <w:r w:rsidRPr="00120AB6">
        <w:rPr>
          <w:rFonts w:eastAsia="Times New Roman" w:cs="Arial"/>
          <w:bCs/>
          <w:color w:val="000000"/>
          <w:szCs w:val="18"/>
          <w:lang w:val="ru-RU"/>
        </w:rPr>
        <w:t xml:space="preserve">2, </w:t>
      </w:r>
      <w:r w:rsidRPr="00120AB6">
        <w:rPr>
          <w:rFonts w:eastAsia="Times New Roman" w:cs="Arial"/>
          <w:bCs/>
          <w:color w:val="000000"/>
          <w:szCs w:val="18"/>
          <w:lang w:eastAsia="bg-BG"/>
        </w:rPr>
        <w:t xml:space="preserve">например ципрофлоксацин. Намаляване в дозата на оланзапин трябва да се обмисли, ако се започва лечение с инхибитор на </w:t>
      </w:r>
      <w:r w:rsidRPr="00120AB6">
        <w:rPr>
          <w:rFonts w:eastAsia="Times New Roman" w:cs="Arial"/>
          <w:bCs/>
          <w:color w:val="000000"/>
          <w:szCs w:val="18"/>
          <w:lang w:val="en-US"/>
        </w:rPr>
        <w:t>CYP</w:t>
      </w:r>
      <w:r w:rsidRPr="00120AB6">
        <w:rPr>
          <w:rFonts w:eastAsia="Times New Roman" w:cs="Arial"/>
          <w:bCs/>
          <w:color w:val="000000"/>
          <w:szCs w:val="18"/>
          <w:lang w:val="ru-RU"/>
        </w:rPr>
        <w:t>1</w:t>
      </w:r>
      <w:r w:rsidRPr="00120AB6">
        <w:rPr>
          <w:rFonts w:eastAsia="Times New Roman" w:cs="Arial"/>
          <w:bCs/>
          <w:color w:val="000000"/>
          <w:szCs w:val="18"/>
          <w:lang w:eastAsia="bg-BG"/>
        </w:rPr>
        <w:t>А2.</w:t>
      </w:r>
    </w:p>
    <w:p w14:paraId="05BE710E" w14:textId="77777777" w:rsidR="00120AB6" w:rsidRPr="00120AB6" w:rsidRDefault="00120AB6" w:rsidP="00120AB6">
      <w:pPr>
        <w:spacing w:line="240" w:lineRule="auto"/>
        <w:rPr>
          <w:rFonts w:eastAsia="Times New Roman" w:cs="Arial"/>
          <w:bCs/>
          <w:i/>
          <w:iCs/>
          <w:color w:val="000000"/>
          <w:szCs w:val="18"/>
          <w:u w:val="single"/>
          <w:lang w:eastAsia="bg-BG"/>
        </w:rPr>
      </w:pPr>
    </w:p>
    <w:p w14:paraId="3533636C" w14:textId="2423A004"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Намаляване на бионаличността</w:t>
      </w:r>
    </w:p>
    <w:p w14:paraId="0B7689BB" w14:textId="77777777" w:rsidR="00120AB6" w:rsidRPr="00120AB6" w:rsidRDefault="00120AB6" w:rsidP="00120AB6">
      <w:pPr>
        <w:spacing w:line="240" w:lineRule="auto"/>
        <w:rPr>
          <w:rFonts w:eastAsia="Times New Roman" w:cs="Arial"/>
          <w:bCs/>
          <w:color w:val="000000"/>
          <w:szCs w:val="18"/>
          <w:lang w:eastAsia="bg-BG"/>
        </w:rPr>
      </w:pPr>
    </w:p>
    <w:p w14:paraId="0F79E4BA" w14:textId="7603D104"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Активният въглен намалява бионаличността на пероралния оланзапин с 50 до 60% и трябва да се приема поне 2 часа преди или след оланзапин.</w:t>
      </w:r>
    </w:p>
    <w:p w14:paraId="3FED444C" w14:textId="77777777" w:rsidR="00120AB6" w:rsidRPr="00120AB6" w:rsidRDefault="00120AB6" w:rsidP="00120AB6">
      <w:pPr>
        <w:spacing w:line="240" w:lineRule="auto"/>
        <w:rPr>
          <w:rFonts w:eastAsia="Times New Roman" w:cs="Arial"/>
          <w:bCs/>
          <w:color w:val="000000"/>
          <w:szCs w:val="18"/>
          <w:lang w:eastAsia="bg-BG"/>
        </w:rPr>
      </w:pPr>
    </w:p>
    <w:p w14:paraId="524879C7" w14:textId="5D8E8766"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Няма данни, че флуоксетин (инхибитор на </w:t>
      </w:r>
      <w:r w:rsidRPr="00120AB6">
        <w:rPr>
          <w:rFonts w:eastAsia="Times New Roman" w:cs="Arial"/>
          <w:bCs/>
          <w:color w:val="000000"/>
          <w:szCs w:val="18"/>
          <w:lang w:val="en-US"/>
        </w:rPr>
        <w:t>CYP</w:t>
      </w:r>
      <w:r w:rsidRPr="00120AB6">
        <w:rPr>
          <w:rFonts w:eastAsia="Times New Roman" w:cs="Arial"/>
          <w:bCs/>
          <w:color w:val="000000"/>
          <w:szCs w:val="18"/>
          <w:lang w:val="ru-RU"/>
        </w:rPr>
        <w:t>2</w:t>
      </w:r>
      <w:r w:rsidRPr="00120AB6">
        <w:rPr>
          <w:rFonts w:eastAsia="Times New Roman" w:cs="Arial"/>
          <w:bCs/>
          <w:color w:val="000000"/>
          <w:szCs w:val="18"/>
          <w:lang w:val="en-US"/>
        </w:rPr>
        <w:t>D</w:t>
      </w:r>
      <w:r w:rsidRPr="00120AB6">
        <w:rPr>
          <w:rFonts w:eastAsia="Times New Roman" w:cs="Arial"/>
          <w:bCs/>
          <w:color w:val="000000"/>
          <w:szCs w:val="18"/>
          <w:lang w:val="ru-RU"/>
        </w:rPr>
        <w:t xml:space="preserve">6), </w:t>
      </w:r>
      <w:r w:rsidRPr="00120AB6">
        <w:rPr>
          <w:rFonts w:eastAsia="Times New Roman" w:cs="Arial"/>
          <w:bCs/>
          <w:color w:val="000000"/>
          <w:szCs w:val="18"/>
          <w:lang w:eastAsia="bg-BG"/>
        </w:rPr>
        <w:t>единични дози антиацид (алуминий, магнезий) или циметидин значимо повлияват фармакокинетиката на оланзапин.</w:t>
      </w:r>
    </w:p>
    <w:p w14:paraId="250853FC" w14:textId="77777777" w:rsidR="00120AB6" w:rsidRPr="00120AB6" w:rsidRDefault="00120AB6" w:rsidP="00120AB6">
      <w:pPr>
        <w:spacing w:line="240" w:lineRule="auto"/>
        <w:rPr>
          <w:rFonts w:eastAsia="Times New Roman" w:cs="Arial"/>
          <w:bCs/>
          <w:i/>
          <w:iCs/>
          <w:color w:val="000000"/>
          <w:szCs w:val="18"/>
          <w:u w:val="single"/>
          <w:lang w:eastAsia="bg-BG"/>
        </w:rPr>
      </w:pPr>
    </w:p>
    <w:p w14:paraId="4174A8B3" w14:textId="0C61F533"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Потенциално влияние на оланзапин върху други лекарствени продукти</w:t>
      </w:r>
    </w:p>
    <w:p w14:paraId="236974FD" w14:textId="77777777" w:rsidR="00120AB6" w:rsidRPr="00120AB6" w:rsidRDefault="00120AB6" w:rsidP="00120AB6">
      <w:pPr>
        <w:spacing w:line="240" w:lineRule="auto"/>
        <w:rPr>
          <w:rFonts w:eastAsia="Times New Roman" w:cs="Arial"/>
          <w:bCs/>
          <w:color w:val="000000"/>
          <w:szCs w:val="18"/>
          <w:lang w:eastAsia="bg-BG"/>
        </w:rPr>
      </w:pPr>
    </w:p>
    <w:p w14:paraId="3378B9F6" w14:textId="4B8AB5B3"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Оланзапин може да антагонизира ефектите на преките и непреките допаминови агонисти.</w:t>
      </w:r>
    </w:p>
    <w:p w14:paraId="347C01CB" w14:textId="77777777" w:rsidR="00120AB6" w:rsidRPr="00120AB6" w:rsidRDefault="00120AB6" w:rsidP="00120AB6">
      <w:pPr>
        <w:spacing w:line="240" w:lineRule="auto"/>
        <w:rPr>
          <w:rFonts w:eastAsia="Times New Roman" w:cs="Arial"/>
          <w:bCs/>
          <w:color w:val="000000"/>
          <w:szCs w:val="18"/>
          <w:lang w:eastAsia="bg-BG"/>
        </w:rPr>
      </w:pPr>
    </w:p>
    <w:p w14:paraId="3982F187" w14:textId="1FB9C309"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Оланзапин не инхибира основните ензими на </w:t>
      </w:r>
      <w:r w:rsidRPr="00120AB6">
        <w:rPr>
          <w:rFonts w:eastAsia="Times New Roman" w:cs="Arial"/>
          <w:bCs/>
          <w:color w:val="000000"/>
          <w:szCs w:val="18"/>
          <w:lang w:val="en-US"/>
        </w:rPr>
        <w:t>CYP</w:t>
      </w:r>
      <w:r w:rsidRPr="00120AB6">
        <w:rPr>
          <w:rFonts w:eastAsia="Times New Roman" w:cs="Arial"/>
          <w:bCs/>
          <w:color w:val="000000"/>
          <w:szCs w:val="18"/>
          <w:lang w:val="ru-RU"/>
        </w:rPr>
        <w:t xml:space="preserve">450 </w:t>
      </w:r>
      <w:r w:rsidRPr="00120AB6">
        <w:rPr>
          <w:rFonts w:eastAsia="Times New Roman" w:cs="Arial"/>
          <w:bCs/>
          <w:i/>
          <w:iCs/>
          <w:color w:val="000000"/>
          <w:szCs w:val="18"/>
          <w:lang w:val="en-US"/>
        </w:rPr>
        <w:t>in</w:t>
      </w:r>
      <w:r w:rsidRPr="00120AB6">
        <w:rPr>
          <w:rFonts w:eastAsia="Times New Roman" w:cs="Arial"/>
          <w:bCs/>
          <w:i/>
          <w:iCs/>
          <w:color w:val="000000"/>
          <w:szCs w:val="18"/>
          <w:lang w:val="ru-RU"/>
        </w:rPr>
        <w:t xml:space="preserve"> </w:t>
      </w:r>
      <w:r w:rsidRPr="00120AB6">
        <w:rPr>
          <w:rFonts w:eastAsia="Times New Roman" w:cs="Arial"/>
          <w:bCs/>
          <w:i/>
          <w:iCs/>
          <w:color w:val="000000"/>
          <w:szCs w:val="18"/>
          <w:lang w:val="en-US"/>
        </w:rPr>
        <w:t>vitro</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(например 1А2,</w:t>
      </w:r>
      <w:r w:rsidRPr="00120AB6">
        <w:rPr>
          <w:rFonts w:eastAsia="Times New Roman" w:cs="Arial"/>
          <w:bCs/>
          <w:color w:val="000000"/>
          <w:szCs w:val="18"/>
          <w:lang w:val="ru-RU"/>
        </w:rPr>
        <w:t>2</w:t>
      </w:r>
      <w:r w:rsidRPr="00120AB6">
        <w:rPr>
          <w:rFonts w:eastAsia="Times New Roman" w:cs="Arial"/>
          <w:bCs/>
          <w:color w:val="000000"/>
          <w:szCs w:val="18"/>
          <w:lang w:val="en-US"/>
        </w:rPr>
        <w:t>D</w:t>
      </w:r>
      <w:r w:rsidRPr="00120AB6">
        <w:rPr>
          <w:rFonts w:eastAsia="Times New Roman" w:cs="Arial"/>
          <w:bCs/>
          <w:color w:val="000000"/>
          <w:szCs w:val="18"/>
          <w:lang w:val="ru-RU"/>
        </w:rPr>
        <w:t>6,</w:t>
      </w:r>
      <w:r w:rsidRPr="00120AB6">
        <w:rPr>
          <w:rFonts w:eastAsia="Times New Roman" w:cs="Arial"/>
          <w:bCs/>
          <w:color w:val="000000"/>
          <w:szCs w:val="18"/>
          <w:lang w:eastAsia="bg-BG"/>
        </w:rPr>
        <w:t xml:space="preserve">2С9, 2С19, ЗА4). Поради това никакви по-особени взаимодействия не се очакват, както и се доказва чрез проучванията </w:t>
      </w:r>
      <w:r w:rsidRPr="00120AB6">
        <w:rPr>
          <w:rFonts w:eastAsia="Times New Roman" w:cs="Arial"/>
          <w:bCs/>
          <w:i/>
          <w:iCs/>
          <w:color w:val="000000"/>
          <w:szCs w:val="18"/>
          <w:lang w:val="en-US"/>
        </w:rPr>
        <w:t>in</w:t>
      </w:r>
      <w:r w:rsidRPr="00120AB6">
        <w:rPr>
          <w:rFonts w:eastAsia="Times New Roman" w:cs="Arial"/>
          <w:bCs/>
          <w:i/>
          <w:iCs/>
          <w:color w:val="000000"/>
          <w:szCs w:val="18"/>
          <w:lang w:val="ru-RU"/>
        </w:rPr>
        <w:t xml:space="preserve"> </w:t>
      </w:r>
      <w:r w:rsidRPr="00120AB6">
        <w:rPr>
          <w:rFonts w:eastAsia="Times New Roman" w:cs="Arial"/>
          <w:bCs/>
          <w:i/>
          <w:iCs/>
          <w:color w:val="000000"/>
          <w:szCs w:val="18"/>
          <w:lang w:val="en-US"/>
        </w:rPr>
        <w:t>vivo</w:t>
      </w:r>
      <w:r w:rsidRPr="00120AB6">
        <w:rPr>
          <w:rFonts w:eastAsia="Times New Roman" w:cs="Arial"/>
          <w:bCs/>
          <w:i/>
          <w:iCs/>
          <w:color w:val="000000"/>
          <w:szCs w:val="18"/>
          <w:lang w:val="ru-RU"/>
        </w:rPr>
        <w:t>,</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 xml:space="preserve">където не се установява инхибиране на метаболизма на следните активни вещества: трициклични антидепресанти (представени основно от пътя на </w:t>
      </w:r>
      <w:r w:rsidRPr="00120AB6">
        <w:rPr>
          <w:rFonts w:eastAsia="Times New Roman" w:cs="Arial"/>
          <w:bCs/>
          <w:color w:val="000000"/>
          <w:szCs w:val="18"/>
          <w:lang w:val="en-US"/>
        </w:rPr>
        <w:t>CYP</w:t>
      </w:r>
      <w:r w:rsidRPr="00120AB6">
        <w:rPr>
          <w:rFonts w:eastAsia="Times New Roman" w:cs="Arial"/>
          <w:bCs/>
          <w:color w:val="000000"/>
          <w:szCs w:val="18"/>
          <w:lang w:val="ru-RU"/>
        </w:rPr>
        <w:t>2</w:t>
      </w:r>
      <w:r w:rsidRPr="00120AB6">
        <w:rPr>
          <w:rFonts w:eastAsia="Times New Roman" w:cs="Arial"/>
          <w:bCs/>
          <w:color w:val="000000"/>
          <w:szCs w:val="18"/>
          <w:lang w:val="en-US"/>
        </w:rPr>
        <w:t>D</w:t>
      </w:r>
      <w:r w:rsidRPr="00120AB6">
        <w:rPr>
          <w:rFonts w:eastAsia="Times New Roman" w:cs="Arial"/>
          <w:bCs/>
          <w:color w:val="000000"/>
          <w:szCs w:val="18"/>
          <w:lang w:val="ru-RU"/>
        </w:rPr>
        <w:t xml:space="preserve">6), </w:t>
      </w:r>
      <w:r w:rsidRPr="00120AB6">
        <w:rPr>
          <w:rFonts w:eastAsia="Times New Roman" w:cs="Arial"/>
          <w:bCs/>
          <w:color w:val="000000"/>
          <w:szCs w:val="18"/>
          <w:lang w:eastAsia="bg-BG"/>
        </w:rPr>
        <w:t xml:space="preserve">варфарин </w:t>
      </w:r>
      <w:r w:rsidRPr="00120AB6">
        <w:rPr>
          <w:rFonts w:eastAsia="Times New Roman" w:cs="Arial"/>
          <w:bCs/>
          <w:color w:val="000000"/>
          <w:szCs w:val="18"/>
          <w:lang w:val="ru-RU"/>
        </w:rPr>
        <w:t>(</w:t>
      </w:r>
      <w:r w:rsidRPr="00120AB6">
        <w:rPr>
          <w:rFonts w:eastAsia="Times New Roman" w:cs="Arial"/>
          <w:bCs/>
          <w:color w:val="000000"/>
          <w:szCs w:val="18"/>
          <w:lang w:val="en-US"/>
        </w:rPr>
        <w:t>CYP</w:t>
      </w:r>
      <w:r w:rsidRPr="00120AB6">
        <w:rPr>
          <w:rFonts w:eastAsia="Times New Roman" w:cs="Arial"/>
          <w:bCs/>
          <w:color w:val="000000"/>
          <w:szCs w:val="18"/>
          <w:lang w:val="ru-RU"/>
        </w:rPr>
        <w:t>2</w:t>
      </w:r>
      <w:r w:rsidRPr="00120AB6">
        <w:rPr>
          <w:rFonts w:eastAsia="Times New Roman" w:cs="Arial"/>
          <w:bCs/>
          <w:color w:val="000000"/>
          <w:szCs w:val="18"/>
          <w:lang w:val="en-US"/>
        </w:rPr>
        <w:t>C</w:t>
      </w:r>
      <w:r w:rsidRPr="00120AB6">
        <w:rPr>
          <w:rFonts w:eastAsia="Times New Roman" w:cs="Arial"/>
          <w:bCs/>
          <w:color w:val="000000"/>
          <w:szCs w:val="18"/>
          <w:lang w:val="ru-RU"/>
        </w:rPr>
        <w:t xml:space="preserve">9), </w:t>
      </w:r>
      <w:r w:rsidRPr="00120AB6">
        <w:rPr>
          <w:rFonts w:eastAsia="Times New Roman" w:cs="Arial"/>
          <w:bCs/>
          <w:color w:val="000000"/>
          <w:szCs w:val="18"/>
          <w:lang w:eastAsia="bg-BG"/>
        </w:rPr>
        <w:t xml:space="preserve">теофилин </w:t>
      </w:r>
      <w:r w:rsidRPr="00120AB6">
        <w:rPr>
          <w:rFonts w:eastAsia="Times New Roman" w:cs="Arial"/>
          <w:bCs/>
          <w:color w:val="000000"/>
          <w:szCs w:val="18"/>
          <w:lang w:val="ru-RU"/>
        </w:rPr>
        <w:t>(</w:t>
      </w:r>
      <w:r w:rsidRPr="00120AB6">
        <w:rPr>
          <w:rFonts w:eastAsia="Times New Roman" w:cs="Arial"/>
          <w:bCs/>
          <w:color w:val="000000"/>
          <w:szCs w:val="18"/>
          <w:lang w:val="en-US"/>
        </w:rPr>
        <w:t>CYP</w:t>
      </w:r>
      <w:r w:rsidRPr="00120AB6">
        <w:rPr>
          <w:rFonts w:eastAsia="Times New Roman" w:cs="Arial"/>
          <w:bCs/>
          <w:color w:val="000000"/>
          <w:szCs w:val="18"/>
          <w:lang w:val="ru-RU"/>
        </w:rPr>
        <w:t>1</w:t>
      </w:r>
      <w:r w:rsidRPr="00120AB6">
        <w:rPr>
          <w:rFonts w:eastAsia="Times New Roman" w:cs="Arial"/>
          <w:bCs/>
          <w:color w:val="000000"/>
          <w:szCs w:val="18"/>
          <w:lang w:val="en-US"/>
        </w:rPr>
        <w:t>A</w:t>
      </w:r>
      <w:r w:rsidRPr="00120AB6">
        <w:rPr>
          <w:rFonts w:eastAsia="Times New Roman" w:cs="Arial"/>
          <w:bCs/>
          <w:color w:val="000000"/>
          <w:szCs w:val="18"/>
          <w:lang w:val="ru-RU"/>
        </w:rPr>
        <w:t xml:space="preserve">2) </w:t>
      </w:r>
      <w:r w:rsidRPr="00120AB6">
        <w:rPr>
          <w:rFonts w:eastAsia="Times New Roman" w:cs="Arial"/>
          <w:bCs/>
          <w:color w:val="000000"/>
          <w:szCs w:val="18"/>
          <w:lang w:eastAsia="bg-BG"/>
        </w:rPr>
        <w:t xml:space="preserve">или диазепам </w:t>
      </w:r>
      <w:r w:rsidRPr="00120AB6">
        <w:rPr>
          <w:rFonts w:eastAsia="Times New Roman" w:cs="Arial"/>
          <w:bCs/>
          <w:color w:val="000000"/>
          <w:szCs w:val="18"/>
          <w:lang w:val="ru-RU"/>
        </w:rPr>
        <w:t>(</w:t>
      </w:r>
      <w:r w:rsidRPr="00120AB6">
        <w:rPr>
          <w:rFonts w:eastAsia="Times New Roman" w:cs="Arial"/>
          <w:bCs/>
          <w:color w:val="000000"/>
          <w:szCs w:val="18"/>
          <w:lang w:val="en-US"/>
        </w:rPr>
        <w:t>CYP</w:t>
      </w:r>
      <w:r w:rsidRPr="00120AB6">
        <w:rPr>
          <w:rFonts w:eastAsia="Times New Roman" w:cs="Arial"/>
          <w:bCs/>
          <w:color w:val="000000"/>
          <w:szCs w:val="18"/>
          <w:lang w:val="ru-RU"/>
        </w:rPr>
        <w:t>3</w:t>
      </w:r>
      <w:r w:rsidRPr="00120AB6">
        <w:rPr>
          <w:rFonts w:eastAsia="Times New Roman" w:cs="Arial"/>
          <w:bCs/>
          <w:color w:val="000000"/>
          <w:szCs w:val="18"/>
          <w:lang w:val="en-US"/>
        </w:rPr>
        <w:t>A</w:t>
      </w:r>
      <w:r w:rsidRPr="00120AB6">
        <w:rPr>
          <w:rFonts w:eastAsia="Times New Roman" w:cs="Arial"/>
          <w:bCs/>
          <w:color w:val="000000"/>
          <w:szCs w:val="18"/>
          <w:lang w:val="ru-RU"/>
        </w:rPr>
        <w:t xml:space="preserve">4 </w:t>
      </w:r>
      <w:r w:rsidRPr="00120AB6">
        <w:rPr>
          <w:rFonts w:eastAsia="Times New Roman" w:cs="Arial"/>
          <w:bCs/>
          <w:color w:val="000000"/>
          <w:szCs w:val="18"/>
          <w:lang w:eastAsia="bg-BG"/>
        </w:rPr>
        <w:t>и 2С19).</w:t>
      </w:r>
    </w:p>
    <w:p w14:paraId="650B3EFE" w14:textId="77777777" w:rsidR="00120AB6" w:rsidRPr="00120AB6" w:rsidRDefault="00120AB6" w:rsidP="00120AB6">
      <w:pPr>
        <w:spacing w:line="240" w:lineRule="auto"/>
        <w:rPr>
          <w:rFonts w:eastAsia="Times New Roman" w:cs="Arial"/>
          <w:bCs/>
          <w:color w:val="000000"/>
          <w:szCs w:val="18"/>
          <w:lang w:eastAsia="bg-BG"/>
        </w:rPr>
      </w:pPr>
    </w:p>
    <w:p w14:paraId="6F7895BE" w14:textId="145D9434"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Оланзапин не показва взаимодействие когато се прилага едновременно с литий или бипериден.</w:t>
      </w:r>
    </w:p>
    <w:p w14:paraId="736C7199" w14:textId="77777777" w:rsidR="00120AB6" w:rsidRPr="00120AB6" w:rsidRDefault="00120AB6" w:rsidP="00120AB6">
      <w:pPr>
        <w:spacing w:line="240" w:lineRule="auto"/>
        <w:rPr>
          <w:rFonts w:eastAsia="Times New Roman" w:cs="Arial"/>
          <w:bCs/>
          <w:color w:val="000000"/>
          <w:szCs w:val="18"/>
          <w:lang w:eastAsia="bg-BG"/>
        </w:rPr>
      </w:pPr>
    </w:p>
    <w:p w14:paraId="001581BA" w14:textId="7B7C87A3"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Терапевтичното проследяване на плазмените нива на валпроат не показват, че се налага коригиране на дозата валпроат след едновременното приложение с оланзапин.</w:t>
      </w:r>
    </w:p>
    <w:p w14:paraId="46B373E9" w14:textId="77777777" w:rsidR="00120AB6" w:rsidRPr="00120AB6" w:rsidRDefault="00120AB6" w:rsidP="00120AB6">
      <w:pPr>
        <w:spacing w:line="240" w:lineRule="auto"/>
        <w:rPr>
          <w:rFonts w:eastAsia="Times New Roman" w:cs="Arial"/>
          <w:bCs/>
          <w:i/>
          <w:iCs/>
          <w:color w:val="000000"/>
          <w:szCs w:val="18"/>
          <w:u w:val="single"/>
          <w:lang w:eastAsia="bg-BG"/>
        </w:rPr>
      </w:pPr>
    </w:p>
    <w:p w14:paraId="541E7F08" w14:textId="224EDE50"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Общо действие върху ЦНС</w:t>
      </w:r>
    </w:p>
    <w:p w14:paraId="5E4F865D" w14:textId="77777777" w:rsidR="00120AB6" w:rsidRPr="00120AB6" w:rsidRDefault="00120AB6" w:rsidP="00120AB6">
      <w:pPr>
        <w:spacing w:line="240" w:lineRule="auto"/>
        <w:rPr>
          <w:rFonts w:eastAsia="Times New Roman" w:cs="Arial"/>
          <w:bCs/>
          <w:color w:val="000000"/>
          <w:szCs w:val="18"/>
          <w:lang w:eastAsia="bg-BG"/>
        </w:rPr>
      </w:pPr>
    </w:p>
    <w:p w14:paraId="30FC342B" w14:textId="6D728B1B"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lastRenderedPageBreak/>
        <w:t>Трябва да се проявява повишено внимание при пациенти, които консумират алкохол или приемат лекарствени продукти с потискащо действие върху централната нервна система.</w:t>
      </w:r>
    </w:p>
    <w:p w14:paraId="2D1C23E1" w14:textId="77777777" w:rsidR="00120AB6" w:rsidRPr="00120AB6" w:rsidRDefault="00120AB6" w:rsidP="00120AB6">
      <w:pPr>
        <w:rPr>
          <w:rFonts w:eastAsia="Times New Roman" w:cs="Arial"/>
          <w:bCs/>
          <w:color w:val="000000"/>
          <w:szCs w:val="18"/>
          <w:lang w:eastAsia="bg-BG"/>
        </w:rPr>
      </w:pPr>
    </w:p>
    <w:p w14:paraId="5BD6F972" w14:textId="2B9947FB" w:rsidR="00120AB6" w:rsidRPr="00120AB6" w:rsidRDefault="00120AB6" w:rsidP="00120AB6">
      <w:pPr>
        <w:rPr>
          <w:rFonts w:eastAsia="Times New Roman" w:cs="Arial"/>
          <w:bCs/>
          <w:color w:val="000000"/>
          <w:szCs w:val="18"/>
          <w:lang w:eastAsia="bg-BG"/>
        </w:rPr>
      </w:pPr>
      <w:r w:rsidRPr="00120AB6">
        <w:rPr>
          <w:rFonts w:eastAsia="Times New Roman" w:cs="Arial"/>
          <w:bCs/>
          <w:color w:val="000000"/>
          <w:szCs w:val="18"/>
          <w:lang w:eastAsia="bg-BG"/>
        </w:rPr>
        <w:t>Не се препоръчва едновременно приложение на оланзапин с антипаркинсонови</w:t>
      </w:r>
      <w:r w:rsidRPr="00120AB6">
        <w:rPr>
          <w:rFonts w:eastAsia="Times New Roman" w:cs="Arial"/>
          <w:bCs/>
          <w:color w:val="000000"/>
          <w:szCs w:val="18"/>
          <w:vertAlign w:val="subscript"/>
          <w:lang w:eastAsia="bg-BG"/>
        </w:rPr>
        <w:t xml:space="preserve"> </w:t>
      </w:r>
      <w:r w:rsidRPr="00120AB6">
        <w:rPr>
          <w:rFonts w:eastAsia="Times New Roman" w:cs="Arial"/>
          <w:bCs/>
          <w:color w:val="000000"/>
          <w:szCs w:val="18"/>
          <w:lang w:eastAsia="bg-BG"/>
        </w:rPr>
        <w:t xml:space="preserve">лекарствени продукти при пациенти с болест на Паркинсон и деменция </w:t>
      </w:r>
      <w:r w:rsidRPr="00120AB6">
        <w:rPr>
          <w:rFonts w:eastAsia="Times New Roman" w:cs="Arial"/>
          <w:bCs/>
          <w:color w:val="000000"/>
          <w:szCs w:val="18"/>
          <w:lang w:val="ru-RU"/>
        </w:rPr>
        <w:t>(</w:t>
      </w:r>
      <w:r w:rsidRPr="00120AB6">
        <w:rPr>
          <w:rFonts w:eastAsia="Times New Roman" w:cs="Arial"/>
          <w:bCs/>
          <w:color w:val="000000"/>
          <w:szCs w:val="18"/>
          <w:lang w:eastAsia="bg-BG"/>
        </w:rPr>
        <w:t>вж. точка 4.4).</w:t>
      </w:r>
    </w:p>
    <w:p w14:paraId="326B2879" w14:textId="53FC7DF3" w:rsidR="00120AB6" w:rsidRPr="00120AB6" w:rsidRDefault="00120AB6" w:rsidP="00120AB6">
      <w:pPr>
        <w:rPr>
          <w:rFonts w:eastAsia="Times New Roman" w:cs="Arial"/>
          <w:bCs/>
          <w:color w:val="000000"/>
          <w:szCs w:val="18"/>
          <w:lang w:eastAsia="bg-BG"/>
        </w:rPr>
      </w:pPr>
    </w:p>
    <w:p w14:paraId="0F10C57E" w14:textId="77777777"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val="en-US"/>
        </w:rPr>
        <w:t>Q</w:t>
      </w:r>
      <w:r w:rsidRPr="00120AB6">
        <w:rPr>
          <w:rFonts w:eastAsia="Times New Roman" w:cs="Arial"/>
          <w:bCs/>
          <w:i/>
          <w:iCs/>
          <w:color w:val="000000"/>
          <w:szCs w:val="18"/>
          <w:u w:val="single"/>
          <w:lang w:eastAsia="bg-BG"/>
        </w:rPr>
        <w:t>Тс интервал</w:t>
      </w:r>
    </w:p>
    <w:p w14:paraId="015479D1" w14:textId="77777777" w:rsidR="00120AB6" w:rsidRPr="00120AB6" w:rsidRDefault="00120AB6" w:rsidP="00120AB6">
      <w:pPr>
        <w:rPr>
          <w:rFonts w:eastAsia="Times New Roman" w:cs="Arial"/>
          <w:bCs/>
          <w:color w:val="000000"/>
          <w:szCs w:val="18"/>
          <w:lang w:eastAsia="bg-BG"/>
        </w:rPr>
      </w:pPr>
    </w:p>
    <w:p w14:paraId="1878C4DF" w14:textId="17F8B4BA" w:rsidR="00120AB6" w:rsidRDefault="00120AB6" w:rsidP="00120AB6">
      <w:pPr>
        <w:rPr>
          <w:rFonts w:eastAsia="Times New Roman" w:cs="Arial"/>
          <w:bCs/>
          <w:color w:val="000000"/>
          <w:szCs w:val="18"/>
          <w:lang w:eastAsia="bg-BG"/>
        </w:rPr>
      </w:pPr>
      <w:r w:rsidRPr="00120AB6">
        <w:rPr>
          <w:rFonts w:eastAsia="Times New Roman" w:cs="Arial"/>
          <w:bCs/>
          <w:color w:val="000000"/>
          <w:szCs w:val="18"/>
          <w:lang w:eastAsia="bg-BG"/>
        </w:rPr>
        <w:t xml:space="preserve">Повишено внимание е необходимо при приложение на оланзапин едновременно с лекарствени продукти, за които е известно, че удължават </w:t>
      </w:r>
      <w:proofErr w:type="spellStart"/>
      <w:r w:rsidRPr="00120AB6">
        <w:rPr>
          <w:rFonts w:eastAsia="Times New Roman" w:cs="Arial"/>
          <w:bCs/>
          <w:color w:val="000000"/>
          <w:szCs w:val="18"/>
          <w:lang w:val="en-US"/>
        </w:rPr>
        <w:t>QTc</w:t>
      </w:r>
      <w:proofErr w:type="spellEnd"/>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интервала (вж. точка 4.4).</w:t>
      </w:r>
    </w:p>
    <w:p w14:paraId="3B3A0F5C" w14:textId="77777777" w:rsidR="00120AB6" w:rsidRPr="00120AB6" w:rsidRDefault="00120AB6" w:rsidP="00120AB6">
      <w:pPr>
        <w:rPr>
          <w:rFonts w:cs="Arial"/>
          <w:sz w:val="28"/>
        </w:rPr>
      </w:pPr>
    </w:p>
    <w:p w14:paraId="5D9F40EA" w14:textId="3D6C1F11" w:rsidR="007122AD" w:rsidRDefault="002C50EE" w:rsidP="00936AD0">
      <w:pPr>
        <w:pStyle w:val="Heading2"/>
      </w:pPr>
      <w:r>
        <w:t>4.6. Фертилитет, бременност и кърмене</w:t>
      </w:r>
    </w:p>
    <w:p w14:paraId="77F09ADA" w14:textId="64718891" w:rsidR="00120AB6" w:rsidRDefault="00120AB6" w:rsidP="00120AB6"/>
    <w:p w14:paraId="78350C5F" w14:textId="77777777" w:rsidR="00120AB6" w:rsidRPr="00120AB6" w:rsidRDefault="00120AB6" w:rsidP="00120AB6">
      <w:pPr>
        <w:pStyle w:val="Heading3"/>
        <w:rPr>
          <w:rFonts w:eastAsia="Times New Roman"/>
          <w:i/>
          <w:sz w:val="32"/>
        </w:rPr>
      </w:pPr>
      <w:r w:rsidRPr="00120AB6">
        <w:rPr>
          <w:rFonts w:eastAsia="Times New Roman"/>
          <w:i/>
          <w:lang w:eastAsia="bg-BG"/>
        </w:rPr>
        <w:t>Бременност</w:t>
      </w:r>
    </w:p>
    <w:p w14:paraId="4F6D83D6" w14:textId="77777777" w:rsidR="00120AB6" w:rsidRPr="00120AB6" w:rsidRDefault="00120AB6" w:rsidP="00120AB6">
      <w:pPr>
        <w:spacing w:line="240" w:lineRule="auto"/>
        <w:rPr>
          <w:rFonts w:eastAsia="Times New Roman" w:cs="Arial"/>
          <w:bCs/>
          <w:color w:val="000000"/>
          <w:szCs w:val="18"/>
          <w:lang w:eastAsia="bg-BG"/>
        </w:rPr>
      </w:pPr>
    </w:p>
    <w:p w14:paraId="26288409" w14:textId="0086D387" w:rsidR="00120AB6" w:rsidRPr="00120AB6" w:rsidRDefault="00120AB6" w:rsidP="00120AB6">
      <w:pPr>
        <w:spacing w:line="240" w:lineRule="auto"/>
        <w:rPr>
          <w:rFonts w:eastAsia="Times New Roman" w:cs="Arial"/>
          <w:bCs/>
          <w:color w:val="000000"/>
          <w:szCs w:val="18"/>
          <w:lang w:eastAsia="bg-BG"/>
        </w:rPr>
      </w:pPr>
      <w:r w:rsidRPr="00120AB6">
        <w:rPr>
          <w:rFonts w:eastAsia="Times New Roman" w:cs="Arial"/>
          <w:bCs/>
          <w:color w:val="000000"/>
          <w:szCs w:val="18"/>
          <w:lang w:eastAsia="bg-BG"/>
        </w:rPr>
        <w:t>Няма адекватни и добре контролирани проучвания при бременни жени. Пациентите трябва да бъдат посъветвани да уведомят своя лекар, ако забременеят или възнамеряват да забременяват по време на лечението с оланзапин. Но поради това, че клиничният опит е ограничен, оланзапин трябва да се прилага по време на бременност само ако потенциалната полза надвишава потенциалния риск за плода.</w:t>
      </w:r>
    </w:p>
    <w:p w14:paraId="18939092" w14:textId="77777777" w:rsidR="00120AB6" w:rsidRPr="00120AB6" w:rsidRDefault="00120AB6" w:rsidP="00120AB6">
      <w:pPr>
        <w:spacing w:line="240" w:lineRule="auto"/>
        <w:rPr>
          <w:rFonts w:eastAsia="Times New Roman" w:cs="Arial"/>
          <w:bCs/>
          <w:color w:val="000000"/>
          <w:szCs w:val="18"/>
          <w:lang w:eastAsia="bg-BG"/>
        </w:rPr>
      </w:pPr>
    </w:p>
    <w:p w14:paraId="7B5E19EB" w14:textId="37677F83"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При новородени бебета, изложени на антипсихотици (включително оланзапин) през третия триместър от бременността има риск от нежелани лекарствени реакции, включващи екстрапирамидни симптоми и/или симптоми на отнемане след раждането, които могат да варират по тежест и продължителност. Съобщавани са случаи на възбуда, хипертония, хипотония, тремор, сомнолентност, респираторен дистерс или хранителни разстройства. Затова, новородените трябва да бъдат внимателно мониторирани.</w:t>
      </w:r>
    </w:p>
    <w:p w14:paraId="46E2A178" w14:textId="77777777" w:rsidR="00120AB6" w:rsidRPr="00120AB6" w:rsidRDefault="00120AB6" w:rsidP="00120AB6">
      <w:pPr>
        <w:spacing w:line="240" w:lineRule="auto"/>
        <w:rPr>
          <w:rFonts w:eastAsia="Times New Roman" w:cs="Arial"/>
          <w:bCs/>
          <w:i/>
          <w:iCs/>
          <w:color w:val="000000"/>
          <w:szCs w:val="18"/>
          <w:lang w:eastAsia="bg-BG"/>
        </w:rPr>
      </w:pPr>
    </w:p>
    <w:p w14:paraId="6415459A" w14:textId="701DEB8E" w:rsidR="00120AB6" w:rsidRPr="00120AB6" w:rsidRDefault="00120AB6" w:rsidP="00120AB6">
      <w:pPr>
        <w:pStyle w:val="Heading3"/>
        <w:rPr>
          <w:rFonts w:eastAsia="Times New Roman"/>
          <w:i/>
          <w:sz w:val="32"/>
        </w:rPr>
      </w:pPr>
      <w:r w:rsidRPr="00120AB6">
        <w:rPr>
          <w:rFonts w:eastAsia="Times New Roman"/>
          <w:i/>
          <w:lang w:eastAsia="bg-BG"/>
        </w:rPr>
        <w:t>Кърмене</w:t>
      </w:r>
    </w:p>
    <w:p w14:paraId="201B453E" w14:textId="77777777" w:rsidR="00120AB6" w:rsidRPr="00120AB6" w:rsidRDefault="00120AB6" w:rsidP="00120AB6">
      <w:pPr>
        <w:spacing w:line="240" w:lineRule="auto"/>
        <w:rPr>
          <w:rFonts w:eastAsia="Times New Roman" w:cs="Arial"/>
          <w:bCs/>
          <w:color w:val="000000"/>
          <w:szCs w:val="18"/>
          <w:lang w:eastAsia="bg-BG"/>
        </w:rPr>
      </w:pPr>
    </w:p>
    <w:p w14:paraId="1F1C2141" w14:textId="7F594E3C"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В проучване при кърмещи здрави жени оланзапин се излъчва с майчиното мляко. Средната експозиция на новородено </w:t>
      </w:r>
      <w:r w:rsidRPr="00120AB6">
        <w:rPr>
          <w:rFonts w:eastAsia="Times New Roman" w:cs="Arial"/>
          <w:bCs/>
          <w:color w:val="000000"/>
          <w:szCs w:val="18"/>
          <w:lang w:val="ru-RU"/>
        </w:rPr>
        <w:t>(</w:t>
      </w:r>
      <w:r w:rsidRPr="00120AB6">
        <w:rPr>
          <w:rFonts w:eastAsia="Times New Roman" w:cs="Arial"/>
          <w:bCs/>
          <w:color w:val="000000"/>
          <w:szCs w:val="18"/>
          <w:lang w:val="en-US"/>
        </w:rPr>
        <w:t>mg</w:t>
      </w:r>
      <w:r w:rsidRPr="00120AB6">
        <w:rPr>
          <w:rFonts w:eastAsia="Times New Roman" w:cs="Arial"/>
          <w:bCs/>
          <w:color w:val="000000"/>
          <w:szCs w:val="18"/>
          <w:lang w:val="ru-RU"/>
        </w:rPr>
        <w:t>/</w:t>
      </w:r>
      <w:r w:rsidRPr="00120AB6">
        <w:rPr>
          <w:rFonts w:eastAsia="Times New Roman" w:cs="Arial"/>
          <w:bCs/>
          <w:color w:val="000000"/>
          <w:szCs w:val="18"/>
          <w:lang w:val="en-US"/>
        </w:rPr>
        <w:t>kg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 xml:space="preserve">в равновесно състояние се изчислява на 1,8% от майчината доза оланзапин </w:t>
      </w:r>
      <w:r w:rsidRPr="00120AB6">
        <w:rPr>
          <w:rFonts w:eastAsia="Times New Roman" w:cs="Arial"/>
          <w:bCs/>
          <w:color w:val="000000"/>
          <w:szCs w:val="18"/>
          <w:lang w:val="ru-RU"/>
        </w:rPr>
        <w:t>(</w:t>
      </w:r>
      <w:r w:rsidRPr="00120AB6">
        <w:rPr>
          <w:rFonts w:eastAsia="Times New Roman" w:cs="Arial"/>
          <w:bCs/>
          <w:color w:val="000000"/>
          <w:szCs w:val="18"/>
          <w:lang w:val="en-US"/>
        </w:rPr>
        <w:t>mg</w:t>
      </w:r>
      <w:r w:rsidRPr="00120AB6">
        <w:rPr>
          <w:rFonts w:eastAsia="Times New Roman" w:cs="Arial"/>
          <w:bCs/>
          <w:color w:val="000000"/>
          <w:szCs w:val="18"/>
          <w:lang w:val="ru-RU"/>
        </w:rPr>
        <w:t>/</w:t>
      </w:r>
      <w:r w:rsidRPr="00120AB6">
        <w:rPr>
          <w:rFonts w:eastAsia="Times New Roman" w:cs="Arial"/>
          <w:bCs/>
          <w:color w:val="000000"/>
          <w:szCs w:val="18"/>
          <w:lang w:val="en-US"/>
        </w:rPr>
        <w:t>kg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Пациентките трябва да бъдат съветвани да не кърмят новородените, ако приемат оланзапин.</w:t>
      </w:r>
    </w:p>
    <w:p w14:paraId="0823C429" w14:textId="77777777" w:rsidR="00120AB6" w:rsidRPr="00120AB6" w:rsidRDefault="00120AB6" w:rsidP="00120AB6">
      <w:pPr>
        <w:spacing w:line="240" w:lineRule="auto"/>
        <w:rPr>
          <w:rFonts w:eastAsia="Times New Roman" w:cs="Arial"/>
          <w:bCs/>
          <w:i/>
          <w:iCs/>
          <w:color w:val="000000"/>
          <w:szCs w:val="18"/>
          <w:lang w:eastAsia="bg-BG"/>
        </w:rPr>
      </w:pPr>
    </w:p>
    <w:p w14:paraId="15347B34" w14:textId="513C0F4C" w:rsidR="00120AB6" w:rsidRPr="00120AB6" w:rsidRDefault="00120AB6" w:rsidP="00120AB6">
      <w:pPr>
        <w:pStyle w:val="Heading3"/>
        <w:rPr>
          <w:rFonts w:eastAsia="Times New Roman"/>
          <w:i/>
          <w:sz w:val="32"/>
        </w:rPr>
      </w:pPr>
      <w:r w:rsidRPr="00120AB6">
        <w:rPr>
          <w:rFonts w:eastAsia="Times New Roman"/>
          <w:i/>
          <w:lang w:eastAsia="bg-BG"/>
        </w:rPr>
        <w:t>Фертнлитет</w:t>
      </w:r>
    </w:p>
    <w:p w14:paraId="4242C769" w14:textId="77777777" w:rsidR="00120AB6" w:rsidRPr="00120AB6" w:rsidRDefault="00120AB6" w:rsidP="00120AB6">
      <w:pPr>
        <w:rPr>
          <w:rFonts w:eastAsia="Times New Roman" w:cs="Arial"/>
          <w:bCs/>
          <w:color w:val="000000"/>
          <w:szCs w:val="18"/>
          <w:lang w:eastAsia="bg-BG"/>
        </w:rPr>
      </w:pPr>
    </w:p>
    <w:p w14:paraId="729107C0" w14:textId="3C652287" w:rsidR="00120AB6" w:rsidRDefault="00120AB6" w:rsidP="00120AB6">
      <w:pPr>
        <w:rPr>
          <w:rFonts w:eastAsia="Times New Roman" w:cs="Arial"/>
          <w:bCs/>
          <w:color w:val="000000"/>
          <w:szCs w:val="18"/>
          <w:lang w:eastAsia="bg-BG"/>
        </w:rPr>
      </w:pPr>
      <w:r w:rsidRPr="00120AB6">
        <w:rPr>
          <w:rFonts w:eastAsia="Times New Roman" w:cs="Arial"/>
          <w:bCs/>
          <w:color w:val="000000"/>
          <w:szCs w:val="18"/>
          <w:lang w:eastAsia="bg-BG"/>
        </w:rPr>
        <w:t>Ефекти върху фертилитета не са известни (вж. точка 5.3 за предклинична информация).</w:t>
      </w:r>
    </w:p>
    <w:p w14:paraId="0EEA6418" w14:textId="77777777" w:rsidR="00120AB6" w:rsidRPr="00120AB6" w:rsidRDefault="00120AB6" w:rsidP="00120AB6">
      <w:pPr>
        <w:rPr>
          <w:rFonts w:cs="Arial"/>
          <w:sz w:val="28"/>
        </w:rPr>
      </w:pPr>
    </w:p>
    <w:p w14:paraId="5DD7A76D" w14:textId="49EBD61E" w:rsidR="007122AD" w:rsidRDefault="002C50EE" w:rsidP="00936AD0">
      <w:pPr>
        <w:pStyle w:val="Heading2"/>
      </w:pPr>
      <w:r>
        <w:t>4.7. Ефекти върху способността за шофиране и работа с машини</w:t>
      </w:r>
    </w:p>
    <w:p w14:paraId="778215C3" w14:textId="5489C403" w:rsidR="00120AB6" w:rsidRDefault="00120AB6" w:rsidP="00120AB6"/>
    <w:p w14:paraId="0ABB2038" w14:textId="77777777" w:rsidR="00120AB6" w:rsidRPr="00120AB6" w:rsidRDefault="00120AB6" w:rsidP="00120AB6">
      <w:pPr>
        <w:rPr>
          <w:rFonts w:ascii="Times New Roman" w:hAnsi="Times New Roman" w:cs="Times New Roman"/>
          <w:sz w:val="24"/>
          <w:szCs w:val="24"/>
        </w:rPr>
      </w:pPr>
      <w:r w:rsidRPr="00120AB6">
        <w:rPr>
          <w:lang w:eastAsia="bg-BG"/>
        </w:rPr>
        <w:t>Не са правени проучвания за ефектите върху способността за шофиране и работа с машини. Поради това, че оланзапин може да причини сомнолентност и замаяност, пациентите трябва бъдат предупредени в случай че им са налага да управляват машини, включително моторни превозни средства.</w:t>
      </w:r>
    </w:p>
    <w:p w14:paraId="44318FC4" w14:textId="77777777" w:rsidR="00120AB6" w:rsidRPr="00120AB6" w:rsidRDefault="00120AB6" w:rsidP="00120AB6"/>
    <w:p w14:paraId="44CE30A3" w14:textId="47CFC202" w:rsidR="007122AD" w:rsidRDefault="002C50EE" w:rsidP="00936AD0">
      <w:pPr>
        <w:pStyle w:val="Heading2"/>
      </w:pPr>
      <w:r>
        <w:lastRenderedPageBreak/>
        <w:t>4.8. Нежелани лекарствени реакции</w:t>
      </w:r>
    </w:p>
    <w:p w14:paraId="0852B360" w14:textId="67B82BE2" w:rsidR="00120AB6" w:rsidRDefault="00120AB6" w:rsidP="00120AB6"/>
    <w:p w14:paraId="1AA80DCB" w14:textId="77777777"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Резюме на профила на безопасност</w:t>
      </w:r>
    </w:p>
    <w:p w14:paraId="3C25F2E6" w14:textId="28844399"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Възрастни</w:t>
      </w:r>
    </w:p>
    <w:p w14:paraId="35ABACCD" w14:textId="77777777" w:rsidR="00120AB6" w:rsidRPr="00120AB6" w:rsidRDefault="00120AB6" w:rsidP="00120AB6">
      <w:pPr>
        <w:rPr>
          <w:rFonts w:eastAsia="Times New Roman" w:cs="Arial"/>
          <w:bCs/>
          <w:color w:val="000000"/>
          <w:szCs w:val="18"/>
          <w:lang w:eastAsia="bg-BG"/>
        </w:rPr>
      </w:pPr>
    </w:p>
    <w:p w14:paraId="2201CC42" w14:textId="77777777" w:rsidR="00120AB6" w:rsidRPr="00120AB6" w:rsidRDefault="00120AB6" w:rsidP="00120AB6">
      <w:pPr>
        <w:rPr>
          <w:rFonts w:eastAsia="Times New Roman" w:cs="Arial"/>
          <w:sz w:val="32"/>
          <w:szCs w:val="24"/>
        </w:rPr>
      </w:pPr>
      <w:r w:rsidRPr="00120AB6">
        <w:rPr>
          <w:rFonts w:eastAsia="Times New Roman" w:cs="Arial"/>
          <w:bCs/>
          <w:color w:val="000000"/>
          <w:szCs w:val="18"/>
          <w:lang w:eastAsia="bg-BG"/>
        </w:rPr>
        <w:t>Най-честите (наблюдавани при ≥1% от пациентите) съобщавани нежелани реакции, свързани с приложението на оланзапин в клинични проучвания, са сомнолентност, наддаване на тегло, еозинофилия, повишени стойности на пролакгина, холестерола, глюкозата и триглицеридите (вж. точка 4.4), глюкозурия, повишен апетит, замаяност, акатизия, паркинсонизъм, левкопения, неутропения (вж. точка 4.4), дискинезия, ортостатична хипотония, антихолинергични ефекти, преходно асимптоматично</w:t>
      </w:r>
      <w:r w:rsidRPr="00120AB6">
        <w:rPr>
          <w:rFonts w:eastAsia="Times New Roman" w:cs="Arial"/>
          <w:bCs/>
          <w:color w:val="000000"/>
          <w:szCs w:val="18"/>
          <w:lang w:val="ru-RU" w:eastAsia="bg-BG"/>
        </w:rPr>
        <w:t xml:space="preserve"> </w:t>
      </w:r>
      <w:r w:rsidRPr="00120AB6">
        <w:rPr>
          <w:rFonts w:eastAsia="Times New Roman" w:cs="Arial"/>
          <w:bCs/>
          <w:color w:val="000000"/>
          <w:szCs w:val="18"/>
          <w:lang w:eastAsia="bg-BG"/>
        </w:rPr>
        <w:t>увеличение на чернодробните аминотрансферази (вж. точка 4.4), обрив, астения, умора, пирексия, артралгия, увеличена алкална фосфатаза, увеличена гама глутамилтрансфераза, увеличена пикочна киселина, увеличена креатинин фосфокиназа и оток.</w:t>
      </w:r>
    </w:p>
    <w:p w14:paraId="74FA2EC3" w14:textId="77777777" w:rsidR="00120AB6" w:rsidRPr="00120AB6" w:rsidRDefault="00120AB6" w:rsidP="00120AB6">
      <w:pPr>
        <w:spacing w:line="240" w:lineRule="auto"/>
        <w:rPr>
          <w:rFonts w:eastAsia="Times New Roman" w:cs="Arial"/>
          <w:bCs/>
          <w:i/>
          <w:iCs/>
          <w:color w:val="000000"/>
          <w:szCs w:val="18"/>
          <w:lang w:eastAsia="bg-BG"/>
        </w:rPr>
      </w:pPr>
    </w:p>
    <w:p w14:paraId="3A05CBCE" w14:textId="40BB856B"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Списък на нежеланите реакции в табличен вид</w:t>
      </w:r>
    </w:p>
    <w:p w14:paraId="0B6870C9"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В представената таблица са изброени нежеланите реакции и лабораторните изследвания, които са били наблюдавани в спонтанните съобщения и в клиничните проучвания. В рамките на всяка група по честота, нежеланите реакции се представят в низходящ ред по отношение на сериозността им. Изброените термини за честота се дефинират както следва: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1F787E48" w14:textId="184E3CAD" w:rsidR="00120AB6" w:rsidRDefault="00120AB6" w:rsidP="00120AB6"/>
    <w:tbl>
      <w:tblPr>
        <w:tblStyle w:val="TableGrid"/>
        <w:tblW w:w="0" w:type="auto"/>
        <w:tblLook w:val="04A0" w:firstRow="1" w:lastRow="0" w:firstColumn="1" w:lastColumn="0" w:noHBand="0" w:noVBand="1"/>
      </w:tblPr>
      <w:tblGrid>
        <w:gridCol w:w="1662"/>
        <w:gridCol w:w="2009"/>
        <w:gridCol w:w="2131"/>
        <w:gridCol w:w="2029"/>
        <w:gridCol w:w="1519"/>
      </w:tblGrid>
      <w:tr w:rsidR="00120AB6" w14:paraId="5ED81A00" w14:textId="77777777" w:rsidTr="00120AB6">
        <w:tc>
          <w:tcPr>
            <w:tcW w:w="1701" w:type="dxa"/>
          </w:tcPr>
          <w:p w14:paraId="294B0943" w14:textId="0B4CF13E" w:rsidR="00120AB6" w:rsidRPr="00120AB6" w:rsidRDefault="00120AB6" w:rsidP="00120AB6">
            <w:pPr>
              <w:rPr>
                <w:b/>
              </w:rPr>
            </w:pPr>
            <w:r w:rsidRPr="00120AB6">
              <w:rPr>
                <w:b/>
              </w:rPr>
              <w:t>Много чести</w:t>
            </w:r>
          </w:p>
        </w:tc>
        <w:tc>
          <w:tcPr>
            <w:tcW w:w="2058" w:type="dxa"/>
          </w:tcPr>
          <w:p w14:paraId="3EAF2AC1" w14:textId="21CF9C03" w:rsidR="00120AB6" w:rsidRPr="00120AB6" w:rsidRDefault="00120AB6" w:rsidP="00120AB6">
            <w:pPr>
              <w:rPr>
                <w:b/>
              </w:rPr>
            </w:pPr>
            <w:r w:rsidRPr="00120AB6">
              <w:rPr>
                <w:b/>
              </w:rPr>
              <w:t>Чести</w:t>
            </w:r>
          </w:p>
        </w:tc>
        <w:tc>
          <w:tcPr>
            <w:tcW w:w="2183" w:type="dxa"/>
          </w:tcPr>
          <w:p w14:paraId="6107F8AA" w14:textId="34A0D351" w:rsidR="00120AB6" w:rsidRPr="00120AB6" w:rsidRDefault="00120AB6" w:rsidP="00120AB6">
            <w:pPr>
              <w:rPr>
                <w:b/>
              </w:rPr>
            </w:pPr>
            <w:r w:rsidRPr="00120AB6">
              <w:rPr>
                <w:b/>
              </w:rPr>
              <w:t>Нечести</w:t>
            </w:r>
          </w:p>
        </w:tc>
        <w:tc>
          <w:tcPr>
            <w:tcW w:w="2079" w:type="dxa"/>
          </w:tcPr>
          <w:p w14:paraId="09DB87B3" w14:textId="18D7950F" w:rsidR="00120AB6" w:rsidRPr="00120AB6" w:rsidRDefault="00120AB6" w:rsidP="00120AB6">
            <w:pPr>
              <w:rPr>
                <w:b/>
              </w:rPr>
            </w:pPr>
            <w:r w:rsidRPr="00120AB6">
              <w:rPr>
                <w:b/>
              </w:rPr>
              <w:t>Редки</w:t>
            </w:r>
          </w:p>
        </w:tc>
        <w:tc>
          <w:tcPr>
            <w:tcW w:w="1555" w:type="dxa"/>
          </w:tcPr>
          <w:p w14:paraId="45F18DC2" w14:textId="217E10A1" w:rsidR="00120AB6" w:rsidRPr="00120AB6" w:rsidRDefault="00120AB6" w:rsidP="00120AB6">
            <w:pPr>
              <w:rPr>
                <w:b/>
              </w:rPr>
            </w:pPr>
            <w:r w:rsidRPr="00120AB6">
              <w:rPr>
                <w:b/>
              </w:rPr>
              <w:t>С неизвестна честота</w:t>
            </w:r>
          </w:p>
        </w:tc>
      </w:tr>
      <w:tr w:rsidR="00120AB6" w14:paraId="631825D5" w14:textId="77777777" w:rsidTr="00A20DC3">
        <w:tc>
          <w:tcPr>
            <w:tcW w:w="9576" w:type="dxa"/>
            <w:gridSpan w:val="5"/>
          </w:tcPr>
          <w:p w14:paraId="209A861F" w14:textId="48450708" w:rsidR="00120AB6" w:rsidRPr="00120AB6" w:rsidRDefault="00120AB6" w:rsidP="00120AB6">
            <w:pPr>
              <w:rPr>
                <w:b/>
              </w:rPr>
            </w:pPr>
            <w:r w:rsidRPr="00120AB6">
              <w:rPr>
                <w:b/>
              </w:rPr>
              <w:t>Нарушения на кръвта и лимфната система</w:t>
            </w:r>
          </w:p>
        </w:tc>
      </w:tr>
      <w:tr w:rsidR="00120AB6" w14:paraId="0179C0CE" w14:textId="77777777" w:rsidTr="00120AB6">
        <w:tc>
          <w:tcPr>
            <w:tcW w:w="1701" w:type="dxa"/>
          </w:tcPr>
          <w:p w14:paraId="30703CAA" w14:textId="77777777" w:rsidR="00120AB6" w:rsidRPr="00120AB6" w:rsidRDefault="00120AB6" w:rsidP="00120AB6">
            <w:pPr>
              <w:rPr>
                <w:rFonts w:cs="Arial"/>
              </w:rPr>
            </w:pPr>
          </w:p>
        </w:tc>
        <w:tc>
          <w:tcPr>
            <w:tcW w:w="2058" w:type="dxa"/>
          </w:tcPr>
          <w:p w14:paraId="5CD408E4" w14:textId="211F8F8C" w:rsidR="00120AB6" w:rsidRPr="00120AB6" w:rsidRDefault="00120AB6" w:rsidP="00120AB6">
            <w:pPr>
              <w:rPr>
                <w:rFonts w:cs="Arial"/>
              </w:rPr>
            </w:pPr>
            <w:r w:rsidRPr="00120AB6">
              <w:rPr>
                <w:rFonts w:cs="Arial"/>
                <w:bCs/>
                <w:szCs w:val="18"/>
              </w:rPr>
              <w:t>Еозинофилия Левкопения</w:t>
            </w:r>
            <w:r w:rsidRPr="00120AB6">
              <w:rPr>
                <w:rFonts w:cs="Arial"/>
                <w:bCs/>
                <w:szCs w:val="18"/>
                <w:vertAlign w:val="superscript"/>
              </w:rPr>
              <w:t xml:space="preserve">10 </w:t>
            </w:r>
            <w:r w:rsidRPr="00120AB6">
              <w:rPr>
                <w:rFonts w:cs="Arial"/>
                <w:bCs/>
                <w:szCs w:val="18"/>
              </w:rPr>
              <w:t>Неутропения</w:t>
            </w:r>
            <w:r w:rsidRPr="00120AB6">
              <w:rPr>
                <w:rFonts w:cs="Arial"/>
                <w:bCs/>
                <w:szCs w:val="18"/>
                <w:vertAlign w:val="superscript"/>
              </w:rPr>
              <w:t>10</w:t>
            </w:r>
          </w:p>
        </w:tc>
        <w:tc>
          <w:tcPr>
            <w:tcW w:w="2183" w:type="dxa"/>
          </w:tcPr>
          <w:p w14:paraId="4D660970" w14:textId="77777777" w:rsidR="00120AB6" w:rsidRPr="00120AB6" w:rsidRDefault="00120AB6" w:rsidP="00120AB6">
            <w:pPr>
              <w:rPr>
                <w:rFonts w:cs="Arial"/>
              </w:rPr>
            </w:pPr>
          </w:p>
        </w:tc>
        <w:tc>
          <w:tcPr>
            <w:tcW w:w="2079" w:type="dxa"/>
          </w:tcPr>
          <w:p w14:paraId="5E84FC21" w14:textId="52D2BB09" w:rsidR="00120AB6" w:rsidRPr="00120AB6" w:rsidRDefault="00120AB6" w:rsidP="00120AB6">
            <w:pPr>
              <w:rPr>
                <w:rFonts w:cs="Arial"/>
              </w:rPr>
            </w:pPr>
            <w:r w:rsidRPr="00120AB6">
              <w:rPr>
                <w:rFonts w:cs="Arial"/>
                <w:bCs/>
                <w:szCs w:val="18"/>
              </w:rPr>
              <w:t>Тромбоцитопения</w:t>
            </w:r>
            <w:r w:rsidRPr="00120AB6">
              <w:rPr>
                <w:rFonts w:cs="Arial"/>
                <w:bCs/>
                <w:szCs w:val="18"/>
                <w:vertAlign w:val="superscript"/>
              </w:rPr>
              <w:t>11</w:t>
            </w:r>
          </w:p>
        </w:tc>
        <w:tc>
          <w:tcPr>
            <w:tcW w:w="1555" w:type="dxa"/>
          </w:tcPr>
          <w:p w14:paraId="2EC97427" w14:textId="77777777" w:rsidR="00120AB6" w:rsidRPr="00120AB6" w:rsidRDefault="00120AB6" w:rsidP="00120AB6">
            <w:pPr>
              <w:rPr>
                <w:rFonts w:cs="Arial"/>
              </w:rPr>
            </w:pPr>
          </w:p>
        </w:tc>
      </w:tr>
      <w:tr w:rsidR="00120AB6" w14:paraId="7E5011C0" w14:textId="77777777" w:rsidTr="00A20DC3">
        <w:tc>
          <w:tcPr>
            <w:tcW w:w="9576" w:type="dxa"/>
            <w:gridSpan w:val="5"/>
          </w:tcPr>
          <w:p w14:paraId="0AB5DF9C" w14:textId="5F43D69D" w:rsidR="00120AB6" w:rsidRPr="00120AB6" w:rsidRDefault="00120AB6" w:rsidP="00120AB6">
            <w:pPr>
              <w:rPr>
                <w:b/>
              </w:rPr>
            </w:pPr>
            <w:r w:rsidRPr="00120AB6">
              <w:rPr>
                <w:b/>
              </w:rPr>
              <w:t>Нарушения на имунната система</w:t>
            </w:r>
          </w:p>
        </w:tc>
      </w:tr>
      <w:tr w:rsidR="00120AB6" w14:paraId="529DCE93" w14:textId="77777777" w:rsidTr="00120AB6">
        <w:tc>
          <w:tcPr>
            <w:tcW w:w="1701" w:type="dxa"/>
          </w:tcPr>
          <w:p w14:paraId="60C5E7C9" w14:textId="77777777" w:rsidR="00120AB6" w:rsidRDefault="00120AB6" w:rsidP="00120AB6"/>
        </w:tc>
        <w:tc>
          <w:tcPr>
            <w:tcW w:w="2058" w:type="dxa"/>
          </w:tcPr>
          <w:p w14:paraId="2359FFBC" w14:textId="77777777" w:rsidR="00120AB6" w:rsidRDefault="00120AB6" w:rsidP="00120AB6"/>
        </w:tc>
        <w:tc>
          <w:tcPr>
            <w:tcW w:w="2183" w:type="dxa"/>
          </w:tcPr>
          <w:p w14:paraId="4EB4907C" w14:textId="73D2EDDD" w:rsidR="00120AB6" w:rsidRPr="00120AB6" w:rsidRDefault="00120AB6" w:rsidP="00120AB6">
            <w:pPr>
              <w:rPr>
                <w:rFonts w:ascii="Times New Roman" w:hAnsi="Times New Roman" w:cs="Times New Roman"/>
                <w:sz w:val="24"/>
                <w:szCs w:val="24"/>
              </w:rPr>
            </w:pPr>
            <w:r w:rsidRPr="00120AB6">
              <w:rPr>
                <w:lang w:eastAsia="bg-BG"/>
              </w:rPr>
              <w:t>Свръхчувствител</w:t>
            </w:r>
            <w:r w:rsidRPr="00120AB6">
              <w:rPr>
                <w:lang w:eastAsia="bg-BG"/>
              </w:rPr>
              <w:softHyphen/>
              <w:t>ност</w:t>
            </w:r>
            <w:r w:rsidRPr="00120AB6">
              <w:rPr>
                <w:vertAlign w:val="superscript"/>
                <w:lang w:eastAsia="bg-BG"/>
              </w:rPr>
              <w:t>11</w:t>
            </w:r>
          </w:p>
        </w:tc>
        <w:tc>
          <w:tcPr>
            <w:tcW w:w="2079" w:type="dxa"/>
          </w:tcPr>
          <w:p w14:paraId="0017BFF0" w14:textId="77777777" w:rsidR="00120AB6" w:rsidRDefault="00120AB6" w:rsidP="00120AB6"/>
        </w:tc>
        <w:tc>
          <w:tcPr>
            <w:tcW w:w="1555" w:type="dxa"/>
          </w:tcPr>
          <w:p w14:paraId="2A2B1A54" w14:textId="77777777" w:rsidR="00120AB6" w:rsidRDefault="00120AB6" w:rsidP="00120AB6"/>
        </w:tc>
      </w:tr>
      <w:tr w:rsidR="00120AB6" w14:paraId="2DBC7B54" w14:textId="77777777" w:rsidTr="00A20DC3">
        <w:tc>
          <w:tcPr>
            <w:tcW w:w="9576" w:type="dxa"/>
            <w:gridSpan w:val="5"/>
          </w:tcPr>
          <w:p w14:paraId="4D7F751B" w14:textId="51A4610B" w:rsidR="00120AB6" w:rsidRPr="00120AB6" w:rsidRDefault="00120AB6" w:rsidP="00120AB6">
            <w:pPr>
              <w:rPr>
                <w:b/>
              </w:rPr>
            </w:pPr>
            <w:r w:rsidRPr="00120AB6">
              <w:rPr>
                <w:b/>
              </w:rPr>
              <w:t>Нарушения на метаболизма и храненето</w:t>
            </w:r>
          </w:p>
        </w:tc>
      </w:tr>
      <w:tr w:rsidR="00120AB6" w14:paraId="053D1917" w14:textId="77777777" w:rsidTr="00120AB6">
        <w:tc>
          <w:tcPr>
            <w:tcW w:w="1701" w:type="dxa"/>
          </w:tcPr>
          <w:p w14:paraId="32D41C49" w14:textId="1DC0D5E1" w:rsidR="00120AB6" w:rsidRDefault="00120AB6" w:rsidP="00120AB6">
            <w:r>
              <w:t>Повишение на теглото</w:t>
            </w:r>
            <w:r>
              <w:rPr>
                <w:vertAlign w:val="superscript"/>
              </w:rPr>
              <w:t>1</w:t>
            </w:r>
          </w:p>
        </w:tc>
        <w:tc>
          <w:tcPr>
            <w:tcW w:w="2058" w:type="dxa"/>
          </w:tcPr>
          <w:p w14:paraId="0E4DDD09" w14:textId="09D9D1C3" w:rsidR="00120AB6" w:rsidRDefault="00120AB6" w:rsidP="00120AB6">
            <w:r>
              <w:t>Повишени нива на холестерол</w:t>
            </w:r>
            <w:r>
              <w:rPr>
                <w:vertAlign w:val="superscript"/>
              </w:rPr>
              <w:t xml:space="preserve">2,3 </w:t>
            </w:r>
            <w:r>
              <w:t>Повишени нива на глюкоза</w:t>
            </w:r>
            <w:r>
              <w:rPr>
                <w:vertAlign w:val="superscript"/>
              </w:rPr>
              <w:t xml:space="preserve">4 </w:t>
            </w:r>
            <w:r>
              <w:t>Повишени нива на триглицеридите</w:t>
            </w:r>
            <w:r>
              <w:rPr>
                <w:vertAlign w:val="superscript"/>
              </w:rPr>
              <w:t xml:space="preserve">2 5 </w:t>
            </w:r>
            <w:r>
              <w:t>Глюкозурия Повишен апетит</w:t>
            </w:r>
          </w:p>
        </w:tc>
        <w:tc>
          <w:tcPr>
            <w:tcW w:w="2183" w:type="dxa"/>
          </w:tcPr>
          <w:p w14:paraId="5C2564CE" w14:textId="0450E216" w:rsidR="00120AB6" w:rsidRDefault="00120AB6" w:rsidP="00120AB6">
            <w:r>
              <w:t>Развитие или обостряне на диабета, понякога свързано с кетоацидоза или кома, включително някои фатални случаи (вж. т. 4.4)</w:t>
            </w:r>
            <w:r>
              <w:rPr>
                <w:vertAlign w:val="superscript"/>
              </w:rPr>
              <w:t>11</w:t>
            </w:r>
          </w:p>
        </w:tc>
        <w:tc>
          <w:tcPr>
            <w:tcW w:w="2079" w:type="dxa"/>
          </w:tcPr>
          <w:p w14:paraId="21991811" w14:textId="2DFE1AF8" w:rsidR="00120AB6" w:rsidRDefault="00120AB6" w:rsidP="00120AB6">
            <w:r>
              <w:t>Хипотермия</w:t>
            </w:r>
            <w:r>
              <w:rPr>
                <w:vertAlign w:val="superscript"/>
              </w:rPr>
              <w:t>12</w:t>
            </w:r>
          </w:p>
        </w:tc>
        <w:tc>
          <w:tcPr>
            <w:tcW w:w="1555" w:type="dxa"/>
          </w:tcPr>
          <w:p w14:paraId="093D06DE" w14:textId="77777777" w:rsidR="00120AB6" w:rsidRDefault="00120AB6" w:rsidP="00120AB6"/>
        </w:tc>
      </w:tr>
      <w:tr w:rsidR="00120AB6" w14:paraId="044B2680" w14:textId="77777777" w:rsidTr="00A20DC3">
        <w:tc>
          <w:tcPr>
            <w:tcW w:w="9576" w:type="dxa"/>
            <w:gridSpan w:val="5"/>
          </w:tcPr>
          <w:p w14:paraId="733646E8" w14:textId="334E9B97" w:rsidR="00120AB6" w:rsidRPr="00120AB6" w:rsidRDefault="00120AB6" w:rsidP="00120AB6">
            <w:pPr>
              <w:rPr>
                <w:b/>
              </w:rPr>
            </w:pPr>
            <w:r w:rsidRPr="00120AB6">
              <w:rPr>
                <w:b/>
              </w:rPr>
              <w:t>Нарушения на нервната система</w:t>
            </w:r>
          </w:p>
        </w:tc>
      </w:tr>
      <w:tr w:rsidR="00120AB6" w14:paraId="1609E0A0" w14:textId="77777777" w:rsidTr="00120AB6">
        <w:tc>
          <w:tcPr>
            <w:tcW w:w="1701" w:type="dxa"/>
          </w:tcPr>
          <w:p w14:paraId="5210A57C" w14:textId="3EA0DD9B" w:rsidR="00120AB6" w:rsidRDefault="00120AB6" w:rsidP="00120AB6">
            <w:r>
              <w:lastRenderedPageBreak/>
              <w:t>Сомнолентност</w:t>
            </w:r>
          </w:p>
        </w:tc>
        <w:tc>
          <w:tcPr>
            <w:tcW w:w="2058" w:type="dxa"/>
          </w:tcPr>
          <w:p w14:paraId="3C626444" w14:textId="77777777" w:rsidR="00120AB6" w:rsidRDefault="00120AB6" w:rsidP="00120AB6">
            <w:r>
              <w:t>Замаяност</w:t>
            </w:r>
          </w:p>
          <w:p w14:paraId="63A96D99" w14:textId="25AD6031" w:rsidR="00120AB6" w:rsidRDefault="00120AB6" w:rsidP="00120AB6">
            <w:r>
              <w:t>Акатизия</w:t>
            </w:r>
            <w:r>
              <w:rPr>
                <w:vertAlign w:val="superscript"/>
              </w:rPr>
              <w:t xml:space="preserve">6 </w:t>
            </w:r>
            <w:r>
              <w:t>Паркинсонизъм</w:t>
            </w:r>
            <w:r>
              <w:rPr>
                <w:vertAlign w:val="superscript"/>
              </w:rPr>
              <w:t xml:space="preserve">6 </w:t>
            </w:r>
            <w:r>
              <w:t>Дискинезия</w:t>
            </w:r>
            <w:r>
              <w:rPr>
                <w:vertAlign w:val="superscript"/>
              </w:rPr>
              <w:t>6</w:t>
            </w:r>
          </w:p>
        </w:tc>
        <w:tc>
          <w:tcPr>
            <w:tcW w:w="2183" w:type="dxa"/>
          </w:tcPr>
          <w:p w14:paraId="75DE6178" w14:textId="07500954" w:rsidR="00120AB6" w:rsidRDefault="00120AB6" w:rsidP="00120AB6">
            <w:r>
              <w:t>Гърчове, за които в повечето случаи са съобщавани анамнеза за гърчове или рискови фактори за гърчове</w:t>
            </w:r>
            <w:r>
              <w:rPr>
                <w:vertAlign w:val="superscript"/>
              </w:rPr>
              <w:t xml:space="preserve">11 </w:t>
            </w:r>
            <w:r>
              <w:t>Дистония (включително окулогирация)</w:t>
            </w:r>
            <w:r>
              <w:rPr>
                <w:vertAlign w:val="superscript"/>
              </w:rPr>
              <w:t xml:space="preserve">11 </w:t>
            </w:r>
            <w:r>
              <w:rPr>
                <w:lang w:val="en-US"/>
              </w:rPr>
              <w:t>Tap</w:t>
            </w:r>
            <w:r>
              <w:t>дивна дискинезия</w:t>
            </w:r>
            <w:r>
              <w:rPr>
                <w:vertAlign w:val="superscript"/>
              </w:rPr>
              <w:t xml:space="preserve">11 </w:t>
            </w:r>
            <w:r>
              <w:t>Амнезия</w:t>
            </w:r>
            <w:r>
              <w:rPr>
                <w:vertAlign w:val="superscript"/>
              </w:rPr>
              <w:t xml:space="preserve">9 </w:t>
            </w:r>
            <w:r>
              <w:t>Дизартрия Заекване</w:t>
            </w:r>
            <w:r>
              <w:rPr>
                <w:vertAlign w:val="superscript"/>
              </w:rPr>
              <w:t xml:space="preserve">11,13 </w:t>
            </w:r>
            <w:r>
              <w:t>Синдром на неспокойните крака</w:t>
            </w:r>
            <w:r>
              <w:rPr>
                <w:vertAlign w:val="superscript"/>
              </w:rPr>
              <w:t>11</w:t>
            </w:r>
          </w:p>
        </w:tc>
        <w:tc>
          <w:tcPr>
            <w:tcW w:w="2079" w:type="dxa"/>
          </w:tcPr>
          <w:p w14:paraId="6F4E1F18" w14:textId="2482809B" w:rsidR="00120AB6" w:rsidRDefault="00120AB6" w:rsidP="00120AB6">
            <w:r>
              <w:t>Невролептичен малигнен синдром (вж. т. 4.4)</w:t>
            </w:r>
            <w:r>
              <w:rPr>
                <w:vertAlign w:val="superscript"/>
              </w:rPr>
              <w:t xml:space="preserve">12 </w:t>
            </w:r>
            <w:r>
              <w:t>Симптоми при прекъсване на лечението</w:t>
            </w:r>
            <w:r>
              <w:rPr>
                <w:vertAlign w:val="superscript"/>
              </w:rPr>
              <w:t>7,12</w:t>
            </w:r>
          </w:p>
        </w:tc>
        <w:tc>
          <w:tcPr>
            <w:tcW w:w="1555" w:type="dxa"/>
          </w:tcPr>
          <w:p w14:paraId="230BC824" w14:textId="77777777" w:rsidR="00120AB6" w:rsidRDefault="00120AB6" w:rsidP="00120AB6"/>
        </w:tc>
      </w:tr>
      <w:tr w:rsidR="00120AB6" w14:paraId="37B17839" w14:textId="77777777" w:rsidTr="00A20DC3">
        <w:tc>
          <w:tcPr>
            <w:tcW w:w="9576" w:type="dxa"/>
            <w:gridSpan w:val="5"/>
          </w:tcPr>
          <w:p w14:paraId="67475C6C" w14:textId="6BF31C08" w:rsidR="00120AB6" w:rsidRPr="00120AB6" w:rsidRDefault="00120AB6" w:rsidP="00120AB6">
            <w:pPr>
              <w:rPr>
                <w:b/>
              </w:rPr>
            </w:pPr>
            <w:r w:rsidRPr="00120AB6">
              <w:rPr>
                <w:b/>
              </w:rPr>
              <w:t>Сърдечни нарушения</w:t>
            </w:r>
          </w:p>
        </w:tc>
      </w:tr>
      <w:tr w:rsidR="00120AB6" w14:paraId="73904D75" w14:textId="77777777" w:rsidTr="00120AB6">
        <w:tc>
          <w:tcPr>
            <w:tcW w:w="1701" w:type="dxa"/>
          </w:tcPr>
          <w:p w14:paraId="2E5DE625" w14:textId="77777777" w:rsidR="00120AB6" w:rsidRPr="00120AB6" w:rsidRDefault="00120AB6" w:rsidP="00120AB6">
            <w:pPr>
              <w:rPr>
                <w:rFonts w:cs="Arial"/>
              </w:rPr>
            </w:pPr>
          </w:p>
        </w:tc>
        <w:tc>
          <w:tcPr>
            <w:tcW w:w="2058" w:type="dxa"/>
          </w:tcPr>
          <w:p w14:paraId="6352DF33" w14:textId="77777777" w:rsidR="00120AB6" w:rsidRPr="00120AB6" w:rsidRDefault="00120AB6" w:rsidP="00120AB6">
            <w:pPr>
              <w:rPr>
                <w:rFonts w:cs="Arial"/>
              </w:rPr>
            </w:pPr>
          </w:p>
        </w:tc>
        <w:tc>
          <w:tcPr>
            <w:tcW w:w="2183" w:type="dxa"/>
          </w:tcPr>
          <w:p w14:paraId="2A7FB72B" w14:textId="77777777" w:rsidR="00120AB6" w:rsidRPr="00120AB6" w:rsidRDefault="00120AB6" w:rsidP="00120AB6">
            <w:pPr>
              <w:rPr>
                <w:rFonts w:cs="Arial"/>
              </w:rPr>
            </w:pPr>
            <w:r w:rsidRPr="00120AB6">
              <w:rPr>
                <w:rFonts w:cs="Arial"/>
                <w:bCs/>
                <w:szCs w:val="18"/>
              </w:rPr>
              <w:t>Брадикрадия</w:t>
            </w:r>
          </w:p>
          <w:p w14:paraId="7D49857C" w14:textId="00A2A439" w:rsidR="00120AB6" w:rsidRPr="00120AB6" w:rsidRDefault="00120AB6" w:rsidP="00120AB6">
            <w:pPr>
              <w:rPr>
                <w:rFonts w:cs="Arial"/>
              </w:rPr>
            </w:pPr>
            <w:r w:rsidRPr="00120AB6">
              <w:rPr>
                <w:rFonts w:cs="Arial"/>
                <w:bCs/>
                <w:szCs w:val="18"/>
              </w:rPr>
              <w:t xml:space="preserve">Удължаване на </w:t>
            </w:r>
            <w:proofErr w:type="spellStart"/>
            <w:r w:rsidRPr="00120AB6">
              <w:rPr>
                <w:rFonts w:cs="Arial"/>
                <w:bCs/>
                <w:szCs w:val="18"/>
                <w:lang w:val="en-US"/>
              </w:rPr>
              <w:t>QTc</w:t>
            </w:r>
            <w:proofErr w:type="spellEnd"/>
            <w:r w:rsidRPr="00120AB6">
              <w:rPr>
                <w:rFonts w:cs="Arial"/>
                <w:bCs/>
                <w:szCs w:val="18"/>
                <w:vertAlign w:val="subscript"/>
                <w:lang w:val="ru-RU"/>
              </w:rPr>
              <w:t xml:space="preserve"> </w:t>
            </w:r>
            <w:r w:rsidRPr="00120AB6">
              <w:rPr>
                <w:rFonts w:cs="Arial"/>
                <w:bCs/>
                <w:szCs w:val="18"/>
              </w:rPr>
              <w:t>интервала (вж. т. 4.4)</w:t>
            </w:r>
          </w:p>
        </w:tc>
        <w:tc>
          <w:tcPr>
            <w:tcW w:w="2079" w:type="dxa"/>
            <w:vAlign w:val="bottom"/>
          </w:tcPr>
          <w:p w14:paraId="0892DDB6" w14:textId="7A82C9A3" w:rsidR="00120AB6" w:rsidRPr="00120AB6" w:rsidRDefault="00120AB6" w:rsidP="00120AB6">
            <w:pPr>
              <w:rPr>
                <w:rFonts w:cs="Arial"/>
              </w:rPr>
            </w:pPr>
            <w:r w:rsidRPr="00120AB6">
              <w:rPr>
                <w:rFonts w:cs="Arial"/>
                <w:bCs/>
                <w:szCs w:val="18"/>
              </w:rPr>
              <w:t>Камерна тахикардия/фибри- лация, внезапна смърт (вж. т. 4.4)</w:t>
            </w:r>
            <w:r w:rsidRPr="00120AB6">
              <w:rPr>
                <w:rFonts w:cs="Arial"/>
                <w:bCs/>
                <w:szCs w:val="18"/>
                <w:vertAlign w:val="superscript"/>
              </w:rPr>
              <w:t>11</w:t>
            </w:r>
          </w:p>
        </w:tc>
        <w:tc>
          <w:tcPr>
            <w:tcW w:w="1555" w:type="dxa"/>
          </w:tcPr>
          <w:p w14:paraId="055045BE" w14:textId="77777777" w:rsidR="00120AB6" w:rsidRPr="00120AB6" w:rsidRDefault="00120AB6" w:rsidP="00120AB6">
            <w:pPr>
              <w:rPr>
                <w:rFonts w:cs="Arial"/>
              </w:rPr>
            </w:pPr>
          </w:p>
        </w:tc>
      </w:tr>
      <w:tr w:rsidR="00120AB6" w14:paraId="47B6BE73" w14:textId="77777777" w:rsidTr="00A20DC3">
        <w:tc>
          <w:tcPr>
            <w:tcW w:w="9576" w:type="dxa"/>
            <w:gridSpan w:val="5"/>
          </w:tcPr>
          <w:p w14:paraId="57E35813" w14:textId="490598D5" w:rsidR="00120AB6" w:rsidRPr="00120AB6" w:rsidRDefault="00120AB6" w:rsidP="00120AB6">
            <w:pPr>
              <w:rPr>
                <w:b/>
              </w:rPr>
            </w:pPr>
            <w:r w:rsidRPr="00120AB6">
              <w:rPr>
                <w:b/>
              </w:rPr>
              <w:t>Съдови нарушения</w:t>
            </w:r>
          </w:p>
        </w:tc>
      </w:tr>
      <w:tr w:rsidR="00120AB6" w14:paraId="26713D2B" w14:textId="77777777" w:rsidTr="00120AB6">
        <w:tc>
          <w:tcPr>
            <w:tcW w:w="1701" w:type="dxa"/>
          </w:tcPr>
          <w:p w14:paraId="48B50AAF" w14:textId="31895E32" w:rsidR="00120AB6" w:rsidRDefault="00120AB6" w:rsidP="00120AB6">
            <w:r>
              <w:t>Ортостатична хипотония</w:t>
            </w:r>
            <w:r>
              <w:rPr>
                <w:vertAlign w:val="superscript"/>
              </w:rPr>
              <w:t>10</w:t>
            </w:r>
          </w:p>
        </w:tc>
        <w:tc>
          <w:tcPr>
            <w:tcW w:w="2058" w:type="dxa"/>
          </w:tcPr>
          <w:p w14:paraId="6467AB4C" w14:textId="77777777" w:rsidR="00120AB6" w:rsidRDefault="00120AB6" w:rsidP="00120AB6"/>
        </w:tc>
        <w:tc>
          <w:tcPr>
            <w:tcW w:w="2183" w:type="dxa"/>
            <w:vAlign w:val="bottom"/>
          </w:tcPr>
          <w:p w14:paraId="782366A3" w14:textId="7DEF6FC3" w:rsidR="00120AB6" w:rsidRDefault="00120AB6" w:rsidP="00120AB6">
            <w:r>
              <w:t>Тромбоемболизъм (включително белодробен емболизъм и дълбока венозна тромбоза, (вж. т. 4.4)</w:t>
            </w:r>
          </w:p>
        </w:tc>
        <w:tc>
          <w:tcPr>
            <w:tcW w:w="2079" w:type="dxa"/>
          </w:tcPr>
          <w:p w14:paraId="012567DD" w14:textId="77777777" w:rsidR="00120AB6" w:rsidRDefault="00120AB6" w:rsidP="00120AB6"/>
        </w:tc>
        <w:tc>
          <w:tcPr>
            <w:tcW w:w="1555" w:type="dxa"/>
          </w:tcPr>
          <w:p w14:paraId="130E4B73" w14:textId="77777777" w:rsidR="00120AB6" w:rsidRDefault="00120AB6" w:rsidP="00120AB6"/>
        </w:tc>
      </w:tr>
      <w:tr w:rsidR="00120AB6" w14:paraId="0B06B185" w14:textId="77777777" w:rsidTr="00A20DC3">
        <w:tc>
          <w:tcPr>
            <w:tcW w:w="9576" w:type="dxa"/>
            <w:gridSpan w:val="5"/>
          </w:tcPr>
          <w:p w14:paraId="0D1573C3" w14:textId="53A8F7CA" w:rsidR="00120AB6" w:rsidRPr="00120AB6" w:rsidRDefault="00120AB6" w:rsidP="00120AB6">
            <w:pPr>
              <w:rPr>
                <w:b/>
              </w:rPr>
            </w:pPr>
            <w:r w:rsidRPr="00120AB6">
              <w:rPr>
                <w:b/>
              </w:rPr>
              <w:t>Респираторни, гръдни и медиастинални нарушения</w:t>
            </w:r>
          </w:p>
        </w:tc>
      </w:tr>
      <w:tr w:rsidR="00120AB6" w14:paraId="5C4F5773" w14:textId="77777777" w:rsidTr="00120AB6">
        <w:tc>
          <w:tcPr>
            <w:tcW w:w="1701" w:type="dxa"/>
          </w:tcPr>
          <w:p w14:paraId="1AD4FF34" w14:textId="77777777" w:rsidR="00120AB6" w:rsidRDefault="00120AB6" w:rsidP="00120AB6"/>
        </w:tc>
        <w:tc>
          <w:tcPr>
            <w:tcW w:w="2058" w:type="dxa"/>
          </w:tcPr>
          <w:p w14:paraId="784F3718" w14:textId="77777777" w:rsidR="00120AB6" w:rsidRDefault="00120AB6" w:rsidP="00120AB6"/>
        </w:tc>
        <w:tc>
          <w:tcPr>
            <w:tcW w:w="2183" w:type="dxa"/>
          </w:tcPr>
          <w:p w14:paraId="12017F52" w14:textId="744F6A6C" w:rsidR="00120AB6" w:rsidRPr="00120AB6" w:rsidRDefault="00120AB6" w:rsidP="00120AB6">
            <w:pPr>
              <w:rPr>
                <w:rFonts w:ascii="Times New Roman" w:hAnsi="Times New Roman" w:cs="Times New Roman"/>
                <w:sz w:val="24"/>
                <w:szCs w:val="24"/>
              </w:rPr>
            </w:pPr>
            <w:r w:rsidRPr="00120AB6">
              <w:rPr>
                <w:lang w:eastAsia="bg-BG"/>
              </w:rPr>
              <w:t>Епистаксис</w:t>
            </w:r>
            <w:r w:rsidRPr="00120AB6">
              <w:rPr>
                <w:vertAlign w:val="superscript"/>
                <w:lang w:eastAsia="bg-BG"/>
              </w:rPr>
              <w:t>9</w:t>
            </w:r>
          </w:p>
        </w:tc>
        <w:tc>
          <w:tcPr>
            <w:tcW w:w="2079" w:type="dxa"/>
          </w:tcPr>
          <w:p w14:paraId="5E7E19F8" w14:textId="77777777" w:rsidR="00120AB6" w:rsidRDefault="00120AB6" w:rsidP="00120AB6"/>
        </w:tc>
        <w:tc>
          <w:tcPr>
            <w:tcW w:w="1555" w:type="dxa"/>
          </w:tcPr>
          <w:p w14:paraId="26B72D3D" w14:textId="77777777" w:rsidR="00120AB6" w:rsidRDefault="00120AB6" w:rsidP="00120AB6"/>
        </w:tc>
      </w:tr>
      <w:tr w:rsidR="00120AB6" w14:paraId="3F0B5873" w14:textId="77777777" w:rsidTr="00A20DC3">
        <w:tc>
          <w:tcPr>
            <w:tcW w:w="9576" w:type="dxa"/>
            <w:gridSpan w:val="5"/>
          </w:tcPr>
          <w:p w14:paraId="595F7B55" w14:textId="4305EBA4" w:rsidR="00120AB6" w:rsidRPr="00120AB6" w:rsidRDefault="00120AB6" w:rsidP="00120AB6">
            <w:pPr>
              <w:rPr>
                <w:b/>
              </w:rPr>
            </w:pPr>
            <w:r w:rsidRPr="00120AB6">
              <w:rPr>
                <w:b/>
              </w:rPr>
              <w:t>Стомашно-чревни нарушения</w:t>
            </w:r>
          </w:p>
        </w:tc>
      </w:tr>
      <w:tr w:rsidR="00120AB6" w14:paraId="63FAD1C2" w14:textId="77777777" w:rsidTr="00120AB6">
        <w:tc>
          <w:tcPr>
            <w:tcW w:w="1701" w:type="dxa"/>
          </w:tcPr>
          <w:p w14:paraId="314D152F" w14:textId="77777777" w:rsidR="00120AB6" w:rsidRPr="00120AB6" w:rsidRDefault="00120AB6" w:rsidP="00120AB6">
            <w:pPr>
              <w:rPr>
                <w:rFonts w:cs="Arial"/>
              </w:rPr>
            </w:pPr>
          </w:p>
        </w:tc>
        <w:tc>
          <w:tcPr>
            <w:tcW w:w="2058" w:type="dxa"/>
            <w:vAlign w:val="bottom"/>
          </w:tcPr>
          <w:p w14:paraId="75328B01" w14:textId="02719044" w:rsidR="00120AB6" w:rsidRPr="00120AB6" w:rsidRDefault="00120AB6" w:rsidP="00120AB6">
            <w:pPr>
              <w:rPr>
                <w:rFonts w:cs="Arial"/>
              </w:rPr>
            </w:pPr>
            <w:r w:rsidRPr="00120AB6">
              <w:rPr>
                <w:rFonts w:cs="Arial"/>
                <w:bCs/>
                <w:szCs w:val="18"/>
              </w:rPr>
              <w:t>Леки, преходни антихолинергични ефекти, включително запек и сухота</w:t>
            </w:r>
            <w:r w:rsidRPr="00120AB6">
              <w:rPr>
                <w:rFonts w:cs="Arial"/>
                <w:bCs/>
                <w:szCs w:val="18"/>
                <w:lang w:val="ru-RU"/>
              </w:rPr>
              <w:t xml:space="preserve"> </w:t>
            </w:r>
            <w:r w:rsidRPr="00120AB6">
              <w:rPr>
                <w:rFonts w:cs="Arial"/>
                <w:bCs/>
                <w:szCs w:val="18"/>
              </w:rPr>
              <w:t>в устата</w:t>
            </w:r>
          </w:p>
        </w:tc>
        <w:tc>
          <w:tcPr>
            <w:tcW w:w="2183" w:type="dxa"/>
          </w:tcPr>
          <w:p w14:paraId="2F0BAAE3" w14:textId="59B8384C" w:rsidR="00120AB6" w:rsidRPr="00120AB6" w:rsidRDefault="00120AB6" w:rsidP="00120AB6">
            <w:pPr>
              <w:rPr>
                <w:rFonts w:cs="Arial"/>
              </w:rPr>
            </w:pPr>
            <w:r w:rsidRPr="00120AB6">
              <w:rPr>
                <w:rFonts w:cs="Arial"/>
                <w:bCs/>
                <w:szCs w:val="18"/>
              </w:rPr>
              <w:t>Подуване на корема</w:t>
            </w:r>
            <w:r w:rsidRPr="00120AB6">
              <w:rPr>
                <w:rFonts w:cs="Arial"/>
                <w:bCs/>
                <w:szCs w:val="18"/>
                <w:vertAlign w:val="superscript"/>
              </w:rPr>
              <w:t xml:space="preserve">9 </w:t>
            </w:r>
            <w:r w:rsidRPr="00120AB6">
              <w:rPr>
                <w:rFonts w:cs="Arial"/>
                <w:bCs/>
                <w:szCs w:val="18"/>
              </w:rPr>
              <w:t>Хиперсалива- ция</w:t>
            </w:r>
            <w:r w:rsidRPr="00120AB6">
              <w:rPr>
                <w:rFonts w:cs="Arial"/>
                <w:bCs/>
                <w:szCs w:val="18"/>
                <w:vertAlign w:val="superscript"/>
              </w:rPr>
              <w:t>11</w:t>
            </w:r>
          </w:p>
        </w:tc>
        <w:tc>
          <w:tcPr>
            <w:tcW w:w="2079" w:type="dxa"/>
          </w:tcPr>
          <w:p w14:paraId="6DA79450" w14:textId="0B54B347" w:rsidR="00120AB6" w:rsidRPr="00120AB6" w:rsidRDefault="00120AB6" w:rsidP="00120AB6">
            <w:pPr>
              <w:rPr>
                <w:rFonts w:cs="Arial"/>
              </w:rPr>
            </w:pPr>
            <w:r w:rsidRPr="00120AB6">
              <w:rPr>
                <w:rFonts w:cs="Arial"/>
                <w:bCs/>
                <w:szCs w:val="18"/>
              </w:rPr>
              <w:t>Панкреатит</w:t>
            </w:r>
            <w:r w:rsidRPr="00120AB6">
              <w:rPr>
                <w:rFonts w:cs="Arial"/>
                <w:bCs/>
                <w:szCs w:val="18"/>
                <w:vertAlign w:val="superscript"/>
              </w:rPr>
              <w:t>11</w:t>
            </w:r>
          </w:p>
        </w:tc>
        <w:tc>
          <w:tcPr>
            <w:tcW w:w="1555" w:type="dxa"/>
          </w:tcPr>
          <w:p w14:paraId="50F1B6B3" w14:textId="77777777" w:rsidR="00120AB6" w:rsidRPr="00120AB6" w:rsidRDefault="00120AB6" w:rsidP="00120AB6">
            <w:pPr>
              <w:rPr>
                <w:rFonts w:cs="Arial"/>
              </w:rPr>
            </w:pPr>
          </w:p>
        </w:tc>
      </w:tr>
      <w:tr w:rsidR="00120AB6" w14:paraId="3CF04623" w14:textId="77777777" w:rsidTr="00A20DC3">
        <w:tc>
          <w:tcPr>
            <w:tcW w:w="9576" w:type="dxa"/>
            <w:gridSpan w:val="5"/>
          </w:tcPr>
          <w:p w14:paraId="5F28D7EB" w14:textId="3171B6C8" w:rsidR="00120AB6" w:rsidRPr="00120AB6" w:rsidRDefault="00120AB6" w:rsidP="00120AB6">
            <w:pPr>
              <w:rPr>
                <w:b/>
              </w:rPr>
            </w:pPr>
            <w:r w:rsidRPr="00120AB6">
              <w:rPr>
                <w:b/>
              </w:rPr>
              <w:t>Хепатобилиарни нарушения</w:t>
            </w:r>
          </w:p>
        </w:tc>
      </w:tr>
      <w:tr w:rsidR="00120AB6" w14:paraId="1D4CEEF7" w14:textId="77777777" w:rsidTr="00120AB6">
        <w:tc>
          <w:tcPr>
            <w:tcW w:w="1701" w:type="dxa"/>
          </w:tcPr>
          <w:p w14:paraId="68BF788A" w14:textId="77777777" w:rsidR="00120AB6" w:rsidRPr="00120AB6" w:rsidRDefault="00120AB6" w:rsidP="00120AB6">
            <w:pPr>
              <w:rPr>
                <w:rFonts w:cs="Arial"/>
              </w:rPr>
            </w:pPr>
          </w:p>
        </w:tc>
        <w:tc>
          <w:tcPr>
            <w:tcW w:w="2058" w:type="dxa"/>
            <w:vAlign w:val="bottom"/>
          </w:tcPr>
          <w:p w14:paraId="14803F72" w14:textId="0744C4F3" w:rsidR="00120AB6" w:rsidRPr="00120AB6" w:rsidRDefault="00120AB6" w:rsidP="00120AB6">
            <w:pPr>
              <w:rPr>
                <w:rFonts w:cs="Arial"/>
              </w:rPr>
            </w:pPr>
            <w:r w:rsidRPr="00120AB6">
              <w:rPr>
                <w:rFonts w:cs="Arial"/>
                <w:bCs/>
                <w:szCs w:val="18"/>
              </w:rPr>
              <w:t>Преходни, асимптоматични увеличения на чернодробните аминотрансфера</w:t>
            </w:r>
            <w:r w:rsidRPr="00120AB6">
              <w:rPr>
                <w:rFonts w:cs="Arial"/>
                <w:bCs/>
                <w:szCs w:val="18"/>
              </w:rPr>
              <w:lastRenderedPageBreak/>
              <w:t>зи (АЛАТ, АСАТ), особено в началото на лечението (вж. т. 4.4)</w:t>
            </w:r>
          </w:p>
        </w:tc>
        <w:tc>
          <w:tcPr>
            <w:tcW w:w="2183" w:type="dxa"/>
          </w:tcPr>
          <w:p w14:paraId="170EAED1" w14:textId="77777777" w:rsidR="00120AB6" w:rsidRPr="00120AB6" w:rsidRDefault="00120AB6" w:rsidP="00120AB6">
            <w:pPr>
              <w:rPr>
                <w:rFonts w:cs="Arial"/>
              </w:rPr>
            </w:pPr>
          </w:p>
        </w:tc>
        <w:tc>
          <w:tcPr>
            <w:tcW w:w="2079" w:type="dxa"/>
          </w:tcPr>
          <w:p w14:paraId="29553675" w14:textId="744461C9" w:rsidR="00120AB6" w:rsidRPr="00120AB6" w:rsidRDefault="00120AB6" w:rsidP="00120AB6">
            <w:pPr>
              <w:rPr>
                <w:rFonts w:cs="Arial"/>
              </w:rPr>
            </w:pPr>
            <w:r w:rsidRPr="00120AB6">
              <w:rPr>
                <w:rFonts w:cs="Arial"/>
                <w:bCs/>
                <w:szCs w:val="18"/>
              </w:rPr>
              <w:t xml:space="preserve">Хепатит (включително хепатоцелуларно, холестатично или чернодробно </w:t>
            </w:r>
            <w:r w:rsidRPr="00120AB6">
              <w:rPr>
                <w:rFonts w:cs="Arial"/>
                <w:bCs/>
                <w:szCs w:val="18"/>
              </w:rPr>
              <w:lastRenderedPageBreak/>
              <w:t>нарушение от смесен тип)</w:t>
            </w:r>
            <w:r w:rsidRPr="00120AB6">
              <w:rPr>
                <w:rFonts w:cs="Arial"/>
                <w:bCs/>
                <w:szCs w:val="18"/>
                <w:vertAlign w:val="superscript"/>
              </w:rPr>
              <w:t>11</w:t>
            </w:r>
          </w:p>
        </w:tc>
        <w:tc>
          <w:tcPr>
            <w:tcW w:w="1555" w:type="dxa"/>
          </w:tcPr>
          <w:p w14:paraId="4516F8A0" w14:textId="77777777" w:rsidR="00120AB6" w:rsidRPr="00120AB6" w:rsidRDefault="00120AB6" w:rsidP="00120AB6">
            <w:pPr>
              <w:rPr>
                <w:rFonts w:cs="Arial"/>
              </w:rPr>
            </w:pPr>
          </w:p>
        </w:tc>
      </w:tr>
      <w:tr w:rsidR="00120AB6" w14:paraId="2E9FC98C" w14:textId="77777777" w:rsidTr="00A20DC3">
        <w:tc>
          <w:tcPr>
            <w:tcW w:w="9576" w:type="dxa"/>
            <w:gridSpan w:val="5"/>
          </w:tcPr>
          <w:p w14:paraId="63B840EE" w14:textId="6C573EE5" w:rsidR="00120AB6" w:rsidRPr="00120AB6" w:rsidRDefault="00120AB6" w:rsidP="00120AB6">
            <w:pPr>
              <w:rPr>
                <w:b/>
              </w:rPr>
            </w:pPr>
            <w:r w:rsidRPr="00120AB6">
              <w:rPr>
                <w:b/>
              </w:rPr>
              <w:t>Нарушения на кожата и подкожната тъкан</w:t>
            </w:r>
          </w:p>
        </w:tc>
      </w:tr>
      <w:tr w:rsidR="00120AB6" w14:paraId="0C0BC6E1" w14:textId="77777777" w:rsidTr="00120AB6">
        <w:tc>
          <w:tcPr>
            <w:tcW w:w="1701" w:type="dxa"/>
          </w:tcPr>
          <w:p w14:paraId="4303C698" w14:textId="77777777" w:rsidR="00120AB6" w:rsidRPr="00120AB6" w:rsidRDefault="00120AB6" w:rsidP="00120AB6">
            <w:pPr>
              <w:rPr>
                <w:rFonts w:cs="Arial"/>
              </w:rPr>
            </w:pPr>
          </w:p>
        </w:tc>
        <w:tc>
          <w:tcPr>
            <w:tcW w:w="2058" w:type="dxa"/>
          </w:tcPr>
          <w:p w14:paraId="02E67AAE" w14:textId="1D24A038" w:rsidR="00120AB6" w:rsidRPr="00120AB6" w:rsidRDefault="00120AB6" w:rsidP="00120AB6">
            <w:pPr>
              <w:rPr>
                <w:rFonts w:cs="Arial"/>
              </w:rPr>
            </w:pPr>
            <w:r w:rsidRPr="00120AB6">
              <w:rPr>
                <w:rFonts w:cs="Arial"/>
                <w:bCs/>
                <w:szCs w:val="18"/>
              </w:rPr>
              <w:t>Обрив</w:t>
            </w:r>
          </w:p>
        </w:tc>
        <w:tc>
          <w:tcPr>
            <w:tcW w:w="2183" w:type="dxa"/>
          </w:tcPr>
          <w:p w14:paraId="5EFD274C" w14:textId="21233F9D" w:rsidR="00120AB6" w:rsidRPr="00120AB6" w:rsidRDefault="00120AB6" w:rsidP="00120AB6">
            <w:pPr>
              <w:rPr>
                <w:rFonts w:cs="Arial"/>
              </w:rPr>
            </w:pPr>
            <w:r w:rsidRPr="00120AB6">
              <w:rPr>
                <w:rFonts w:cs="Arial"/>
                <w:bCs/>
                <w:szCs w:val="18"/>
              </w:rPr>
              <w:t>Реакция на фоточувствителност Алопеция</w:t>
            </w:r>
          </w:p>
        </w:tc>
        <w:tc>
          <w:tcPr>
            <w:tcW w:w="2079" w:type="dxa"/>
          </w:tcPr>
          <w:p w14:paraId="30D97065" w14:textId="77777777" w:rsidR="00120AB6" w:rsidRPr="00120AB6" w:rsidRDefault="00120AB6" w:rsidP="00120AB6">
            <w:pPr>
              <w:rPr>
                <w:rFonts w:cs="Arial"/>
              </w:rPr>
            </w:pPr>
          </w:p>
        </w:tc>
        <w:tc>
          <w:tcPr>
            <w:tcW w:w="1555" w:type="dxa"/>
            <w:vAlign w:val="bottom"/>
          </w:tcPr>
          <w:p w14:paraId="20B99EBF" w14:textId="604C3782" w:rsidR="00120AB6" w:rsidRPr="00120AB6" w:rsidRDefault="00120AB6" w:rsidP="00120AB6">
            <w:pPr>
              <w:rPr>
                <w:rFonts w:cs="Arial"/>
              </w:rPr>
            </w:pPr>
            <w:r w:rsidRPr="00120AB6">
              <w:rPr>
                <w:rFonts w:cs="Arial"/>
                <w:bCs/>
                <w:szCs w:val="18"/>
              </w:rPr>
              <w:t xml:space="preserve">Лекарствена реакция с еозинофилия и системни симптоми </w:t>
            </w:r>
            <w:r w:rsidRPr="00120AB6">
              <w:rPr>
                <w:rFonts w:cs="Arial"/>
                <w:bCs/>
                <w:szCs w:val="18"/>
                <w:lang w:val="ru-RU"/>
              </w:rPr>
              <w:t>(</w:t>
            </w:r>
            <w:r w:rsidRPr="00120AB6">
              <w:rPr>
                <w:rFonts w:cs="Arial"/>
                <w:bCs/>
                <w:szCs w:val="18"/>
                <w:lang w:val="en-US"/>
              </w:rPr>
              <w:t>DRESS</w:t>
            </w:r>
            <w:r w:rsidRPr="00120AB6">
              <w:rPr>
                <w:rFonts w:cs="Arial"/>
                <w:bCs/>
                <w:szCs w:val="18"/>
                <w:lang w:val="ru-RU"/>
              </w:rPr>
              <w:t>)</w:t>
            </w:r>
          </w:p>
        </w:tc>
      </w:tr>
      <w:tr w:rsidR="00120AB6" w14:paraId="6E2502B5" w14:textId="77777777" w:rsidTr="00A20DC3">
        <w:tc>
          <w:tcPr>
            <w:tcW w:w="9576" w:type="dxa"/>
            <w:gridSpan w:val="5"/>
          </w:tcPr>
          <w:p w14:paraId="45E1451B" w14:textId="42E76BF3" w:rsidR="00120AB6" w:rsidRPr="00120AB6" w:rsidRDefault="00120AB6" w:rsidP="00120AB6">
            <w:pPr>
              <w:rPr>
                <w:b/>
              </w:rPr>
            </w:pPr>
            <w:r w:rsidRPr="00120AB6">
              <w:rPr>
                <w:b/>
                <w:lang w:eastAsia="bg-BG"/>
              </w:rPr>
              <w:t>Нарушения на мускулно-скелетната система и съединителната тъкан</w:t>
            </w:r>
          </w:p>
        </w:tc>
      </w:tr>
      <w:tr w:rsidR="00120AB6" w14:paraId="50C1AEB1" w14:textId="77777777" w:rsidTr="00120AB6">
        <w:tc>
          <w:tcPr>
            <w:tcW w:w="1701" w:type="dxa"/>
          </w:tcPr>
          <w:p w14:paraId="1CE5DB28" w14:textId="77777777" w:rsidR="00120AB6" w:rsidRPr="00120AB6" w:rsidRDefault="00120AB6" w:rsidP="00120AB6">
            <w:pPr>
              <w:rPr>
                <w:rFonts w:cs="Arial"/>
              </w:rPr>
            </w:pPr>
          </w:p>
        </w:tc>
        <w:tc>
          <w:tcPr>
            <w:tcW w:w="2058" w:type="dxa"/>
            <w:vAlign w:val="bottom"/>
          </w:tcPr>
          <w:p w14:paraId="39155BAF" w14:textId="7C80E5B2" w:rsidR="00120AB6" w:rsidRPr="00120AB6" w:rsidRDefault="00120AB6" w:rsidP="00120AB6">
            <w:pPr>
              <w:rPr>
                <w:rFonts w:cs="Arial"/>
              </w:rPr>
            </w:pPr>
            <w:r w:rsidRPr="00120AB6">
              <w:rPr>
                <w:rFonts w:cs="Arial"/>
                <w:bCs/>
                <w:szCs w:val="18"/>
              </w:rPr>
              <w:t>Артралгия</w:t>
            </w:r>
            <w:r w:rsidRPr="00120AB6">
              <w:rPr>
                <w:rFonts w:cs="Arial"/>
                <w:bCs/>
                <w:szCs w:val="18"/>
                <w:vertAlign w:val="superscript"/>
              </w:rPr>
              <w:t>9</w:t>
            </w:r>
          </w:p>
        </w:tc>
        <w:tc>
          <w:tcPr>
            <w:tcW w:w="2183" w:type="dxa"/>
          </w:tcPr>
          <w:p w14:paraId="036B0D5D" w14:textId="77777777" w:rsidR="00120AB6" w:rsidRPr="00120AB6" w:rsidRDefault="00120AB6" w:rsidP="00120AB6">
            <w:pPr>
              <w:rPr>
                <w:rFonts w:cs="Arial"/>
              </w:rPr>
            </w:pPr>
          </w:p>
        </w:tc>
        <w:tc>
          <w:tcPr>
            <w:tcW w:w="2079" w:type="dxa"/>
            <w:vAlign w:val="bottom"/>
          </w:tcPr>
          <w:p w14:paraId="3CEC5285" w14:textId="77F8EB80" w:rsidR="00120AB6" w:rsidRPr="00120AB6" w:rsidRDefault="00120AB6" w:rsidP="00120AB6">
            <w:pPr>
              <w:rPr>
                <w:rFonts w:cs="Arial"/>
              </w:rPr>
            </w:pPr>
            <w:r w:rsidRPr="00120AB6">
              <w:rPr>
                <w:rFonts w:cs="Arial"/>
                <w:bCs/>
                <w:szCs w:val="18"/>
              </w:rPr>
              <w:t>Рабдомиолиза</w:t>
            </w:r>
            <w:r w:rsidRPr="00120AB6">
              <w:rPr>
                <w:rFonts w:cs="Arial"/>
                <w:bCs/>
                <w:szCs w:val="18"/>
                <w:vertAlign w:val="superscript"/>
              </w:rPr>
              <w:t>11</w:t>
            </w:r>
          </w:p>
        </w:tc>
        <w:tc>
          <w:tcPr>
            <w:tcW w:w="1555" w:type="dxa"/>
          </w:tcPr>
          <w:p w14:paraId="512698D3" w14:textId="77777777" w:rsidR="00120AB6" w:rsidRPr="00120AB6" w:rsidRDefault="00120AB6" w:rsidP="00120AB6">
            <w:pPr>
              <w:rPr>
                <w:rFonts w:cs="Arial"/>
              </w:rPr>
            </w:pPr>
          </w:p>
        </w:tc>
      </w:tr>
      <w:tr w:rsidR="00120AB6" w14:paraId="7DA7A0FD" w14:textId="77777777" w:rsidTr="00A20DC3">
        <w:tc>
          <w:tcPr>
            <w:tcW w:w="9576" w:type="dxa"/>
            <w:gridSpan w:val="5"/>
          </w:tcPr>
          <w:p w14:paraId="08569BE7" w14:textId="6871F687" w:rsidR="00120AB6" w:rsidRPr="00120AB6" w:rsidRDefault="00120AB6" w:rsidP="00120AB6">
            <w:pPr>
              <w:rPr>
                <w:b/>
              </w:rPr>
            </w:pPr>
            <w:r w:rsidRPr="00120AB6">
              <w:rPr>
                <w:b/>
              </w:rPr>
              <w:t>Нарушения на бъбреците и пикочните пътища</w:t>
            </w:r>
          </w:p>
        </w:tc>
      </w:tr>
      <w:tr w:rsidR="00120AB6" w14:paraId="59E47215" w14:textId="77777777" w:rsidTr="00120AB6">
        <w:tc>
          <w:tcPr>
            <w:tcW w:w="1701" w:type="dxa"/>
          </w:tcPr>
          <w:p w14:paraId="22D81355" w14:textId="77777777" w:rsidR="00120AB6" w:rsidRPr="00120AB6" w:rsidRDefault="00120AB6" w:rsidP="00120AB6">
            <w:pPr>
              <w:rPr>
                <w:rFonts w:cs="Arial"/>
              </w:rPr>
            </w:pPr>
          </w:p>
        </w:tc>
        <w:tc>
          <w:tcPr>
            <w:tcW w:w="2058" w:type="dxa"/>
          </w:tcPr>
          <w:p w14:paraId="566A5C73" w14:textId="77777777" w:rsidR="00120AB6" w:rsidRPr="00120AB6" w:rsidRDefault="00120AB6" w:rsidP="00120AB6">
            <w:pPr>
              <w:rPr>
                <w:rFonts w:cs="Arial"/>
              </w:rPr>
            </w:pPr>
          </w:p>
        </w:tc>
        <w:tc>
          <w:tcPr>
            <w:tcW w:w="2183" w:type="dxa"/>
          </w:tcPr>
          <w:p w14:paraId="496986F0" w14:textId="1AA545A2" w:rsidR="00120AB6" w:rsidRPr="00120AB6" w:rsidRDefault="00120AB6" w:rsidP="00120AB6">
            <w:pPr>
              <w:rPr>
                <w:rFonts w:cs="Arial"/>
              </w:rPr>
            </w:pPr>
            <w:r w:rsidRPr="00120AB6">
              <w:rPr>
                <w:rFonts w:cs="Arial"/>
                <w:bCs/>
                <w:szCs w:val="18"/>
              </w:rPr>
              <w:t>Уринарна инконтиненция, задържане на урина, Колебание при уриниране</w:t>
            </w:r>
            <w:r w:rsidRPr="00120AB6">
              <w:rPr>
                <w:rFonts w:cs="Arial"/>
                <w:bCs/>
                <w:szCs w:val="18"/>
                <w:vertAlign w:val="superscript"/>
              </w:rPr>
              <w:t>11</w:t>
            </w:r>
          </w:p>
        </w:tc>
        <w:tc>
          <w:tcPr>
            <w:tcW w:w="2079" w:type="dxa"/>
          </w:tcPr>
          <w:p w14:paraId="706A72E3" w14:textId="77777777" w:rsidR="00120AB6" w:rsidRPr="00120AB6" w:rsidRDefault="00120AB6" w:rsidP="00120AB6">
            <w:pPr>
              <w:rPr>
                <w:rFonts w:cs="Arial"/>
              </w:rPr>
            </w:pPr>
          </w:p>
        </w:tc>
        <w:tc>
          <w:tcPr>
            <w:tcW w:w="1555" w:type="dxa"/>
          </w:tcPr>
          <w:p w14:paraId="3EC6562A" w14:textId="77777777" w:rsidR="00120AB6" w:rsidRPr="00120AB6" w:rsidRDefault="00120AB6" w:rsidP="00120AB6">
            <w:pPr>
              <w:rPr>
                <w:rFonts w:cs="Arial"/>
              </w:rPr>
            </w:pPr>
          </w:p>
        </w:tc>
      </w:tr>
      <w:tr w:rsidR="00120AB6" w14:paraId="13DB0474" w14:textId="77777777" w:rsidTr="00A20DC3">
        <w:tc>
          <w:tcPr>
            <w:tcW w:w="9576" w:type="dxa"/>
            <w:gridSpan w:val="5"/>
          </w:tcPr>
          <w:p w14:paraId="12745484" w14:textId="3FB916C4" w:rsidR="00120AB6" w:rsidRPr="00120AB6" w:rsidRDefault="00120AB6" w:rsidP="00120AB6">
            <w:pPr>
              <w:rPr>
                <w:b/>
              </w:rPr>
            </w:pPr>
            <w:r w:rsidRPr="00120AB6">
              <w:rPr>
                <w:b/>
              </w:rPr>
              <w:t>Състояния, свързани с бременността, родовия и послеродовия период</w:t>
            </w:r>
          </w:p>
        </w:tc>
      </w:tr>
      <w:tr w:rsidR="00120AB6" w14:paraId="1E53A457" w14:textId="77777777" w:rsidTr="00120AB6">
        <w:tc>
          <w:tcPr>
            <w:tcW w:w="1701" w:type="dxa"/>
          </w:tcPr>
          <w:p w14:paraId="544687F8" w14:textId="77777777" w:rsidR="00120AB6" w:rsidRPr="00120AB6" w:rsidRDefault="00120AB6" w:rsidP="00120AB6">
            <w:pPr>
              <w:rPr>
                <w:rFonts w:cs="Arial"/>
              </w:rPr>
            </w:pPr>
          </w:p>
        </w:tc>
        <w:tc>
          <w:tcPr>
            <w:tcW w:w="2058" w:type="dxa"/>
          </w:tcPr>
          <w:p w14:paraId="30DB06EB" w14:textId="77777777" w:rsidR="00120AB6" w:rsidRPr="00120AB6" w:rsidRDefault="00120AB6" w:rsidP="00120AB6">
            <w:pPr>
              <w:rPr>
                <w:rFonts w:cs="Arial"/>
              </w:rPr>
            </w:pPr>
          </w:p>
        </w:tc>
        <w:tc>
          <w:tcPr>
            <w:tcW w:w="2183" w:type="dxa"/>
          </w:tcPr>
          <w:p w14:paraId="5DA52655" w14:textId="77777777" w:rsidR="00120AB6" w:rsidRPr="00120AB6" w:rsidRDefault="00120AB6" w:rsidP="00120AB6">
            <w:pPr>
              <w:rPr>
                <w:rFonts w:cs="Arial"/>
              </w:rPr>
            </w:pPr>
          </w:p>
        </w:tc>
        <w:tc>
          <w:tcPr>
            <w:tcW w:w="2079" w:type="dxa"/>
          </w:tcPr>
          <w:p w14:paraId="23BC773A" w14:textId="77777777" w:rsidR="00120AB6" w:rsidRPr="00120AB6" w:rsidRDefault="00120AB6" w:rsidP="00120AB6">
            <w:pPr>
              <w:rPr>
                <w:rFonts w:cs="Arial"/>
              </w:rPr>
            </w:pPr>
          </w:p>
        </w:tc>
        <w:tc>
          <w:tcPr>
            <w:tcW w:w="1555" w:type="dxa"/>
          </w:tcPr>
          <w:p w14:paraId="1036B893" w14:textId="44FD46E8" w:rsidR="00120AB6" w:rsidRPr="00120AB6" w:rsidRDefault="00120AB6" w:rsidP="00120AB6">
            <w:pPr>
              <w:rPr>
                <w:rFonts w:cs="Arial"/>
              </w:rPr>
            </w:pPr>
            <w:r w:rsidRPr="00120AB6">
              <w:rPr>
                <w:rFonts w:cs="Arial"/>
                <w:bCs/>
                <w:szCs w:val="18"/>
              </w:rPr>
              <w:t>Синдром на отнемане на лекарството при новороденото (вж. т. 4.6)</w:t>
            </w:r>
          </w:p>
        </w:tc>
      </w:tr>
      <w:tr w:rsidR="00120AB6" w14:paraId="2A1B1449" w14:textId="77777777" w:rsidTr="00A20DC3">
        <w:tc>
          <w:tcPr>
            <w:tcW w:w="9576" w:type="dxa"/>
            <w:gridSpan w:val="5"/>
          </w:tcPr>
          <w:p w14:paraId="2B991082" w14:textId="7A007DBA" w:rsidR="00120AB6" w:rsidRPr="00120AB6" w:rsidRDefault="00120AB6" w:rsidP="00120AB6">
            <w:pPr>
              <w:rPr>
                <w:b/>
              </w:rPr>
            </w:pPr>
            <w:r w:rsidRPr="00120AB6">
              <w:rPr>
                <w:b/>
              </w:rPr>
              <w:t>Нарушения на възпроизводителната система и гърдата</w:t>
            </w:r>
          </w:p>
        </w:tc>
      </w:tr>
      <w:tr w:rsidR="00120AB6" w14:paraId="63D70E66" w14:textId="77777777" w:rsidTr="00120AB6">
        <w:tc>
          <w:tcPr>
            <w:tcW w:w="1701" w:type="dxa"/>
          </w:tcPr>
          <w:p w14:paraId="6BE5EBD0" w14:textId="77777777" w:rsidR="00120AB6" w:rsidRPr="00120AB6" w:rsidRDefault="00120AB6" w:rsidP="00120AB6">
            <w:pPr>
              <w:rPr>
                <w:rFonts w:cs="Arial"/>
              </w:rPr>
            </w:pPr>
          </w:p>
        </w:tc>
        <w:tc>
          <w:tcPr>
            <w:tcW w:w="2058" w:type="dxa"/>
          </w:tcPr>
          <w:p w14:paraId="5CE9396D" w14:textId="77777777" w:rsidR="00120AB6" w:rsidRPr="00120AB6" w:rsidRDefault="00120AB6" w:rsidP="00120AB6">
            <w:pPr>
              <w:rPr>
                <w:rFonts w:cs="Arial"/>
              </w:rPr>
            </w:pPr>
            <w:r w:rsidRPr="00120AB6">
              <w:rPr>
                <w:rFonts w:cs="Arial"/>
                <w:bCs/>
                <w:szCs w:val="18"/>
              </w:rPr>
              <w:t>Еректилна дисфункция при мъже</w:t>
            </w:r>
          </w:p>
          <w:p w14:paraId="6E948CB6" w14:textId="7A4CEDB9" w:rsidR="00120AB6" w:rsidRPr="00120AB6" w:rsidRDefault="00120AB6" w:rsidP="00120AB6">
            <w:pPr>
              <w:rPr>
                <w:rFonts w:cs="Arial"/>
              </w:rPr>
            </w:pPr>
            <w:r w:rsidRPr="00120AB6">
              <w:rPr>
                <w:rFonts w:cs="Arial"/>
                <w:bCs/>
                <w:szCs w:val="18"/>
              </w:rPr>
              <w:t>Понижено либидо при мъже и жени</w:t>
            </w:r>
          </w:p>
        </w:tc>
        <w:tc>
          <w:tcPr>
            <w:tcW w:w="2183" w:type="dxa"/>
          </w:tcPr>
          <w:p w14:paraId="7448DE52" w14:textId="77777777" w:rsidR="00120AB6" w:rsidRPr="00120AB6" w:rsidRDefault="00120AB6" w:rsidP="00120AB6">
            <w:pPr>
              <w:rPr>
                <w:rFonts w:cs="Arial"/>
              </w:rPr>
            </w:pPr>
            <w:r w:rsidRPr="00120AB6">
              <w:rPr>
                <w:rFonts w:cs="Arial"/>
                <w:bCs/>
                <w:szCs w:val="18"/>
              </w:rPr>
              <w:t>Аменорея Уголемяване на гърдите</w:t>
            </w:r>
          </w:p>
          <w:p w14:paraId="53E70F96" w14:textId="2A85E368" w:rsidR="00120AB6" w:rsidRPr="00120AB6" w:rsidRDefault="00120AB6" w:rsidP="00120AB6">
            <w:pPr>
              <w:rPr>
                <w:rFonts w:cs="Arial"/>
              </w:rPr>
            </w:pPr>
            <w:r w:rsidRPr="00120AB6">
              <w:rPr>
                <w:rFonts w:cs="Arial"/>
                <w:bCs/>
                <w:szCs w:val="18"/>
              </w:rPr>
              <w:t>Галакторея при жени Гинекомастия/ уголемяване на гърдите при мъже</w:t>
            </w:r>
          </w:p>
        </w:tc>
        <w:tc>
          <w:tcPr>
            <w:tcW w:w="2079" w:type="dxa"/>
          </w:tcPr>
          <w:p w14:paraId="624DD5DE" w14:textId="6D71CABF" w:rsidR="00120AB6" w:rsidRPr="00120AB6" w:rsidRDefault="00120AB6" w:rsidP="00120AB6">
            <w:pPr>
              <w:rPr>
                <w:rFonts w:cs="Arial"/>
              </w:rPr>
            </w:pPr>
            <w:r w:rsidRPr="00120AB6">
              <w:rPr>
                <w:rFonts w:cs="Arial"/>
                <w:bCs/>
                <w:szCs w:val="18"/>
              </w:rPr>
              <w:t>Приапизъм</w:t>
            </w:r>
            <w:r w:rsidRPr="00120AB6">
              <w:rPr>
                <w:rFonts w:cs="Arial"/>
                <w:bCs/>
                <w:szCs w:val="18"/>
                <w:vertAlign w:val="superscript"/>
              </w:rPr>
              <w:t>12</w:t>
            </w:r>
          </w:p>
        </w:tc>
        <w:tc>
          <w:tcPr>
            <w:tcW w:w="1555" w:type="dxa"/>
          </w:tcPr>
          <w:p w14:paraId="5F128076" w14:textId="77777777" w:rsidR="00120AB6" w:rsidRPr="00120AB6" w:rsidRDefault="00120AB6" w:rsidP="00120AB6">
            <w:pPr>
              <w:rPr>
                <w:rFonts w:cs="Arial"/>
              </w:rPr>
            </w:pPr>
          </w:p>
        </w:tc>
      </w:tr>
      <w:tr w:rsidR="00120AB6" w14:paraId="6F1ADD87" w14:textId="77777777" w:rsidTr="00A20DC3">
        <w:tc>
          <w:tcPr>
            <w:tcW w:w="9576" w:type="dxa"/>
            <w:gridSpan w:val="5"/>
          </w:tcPr>
          <w:p w14:paraId="1435CD8A" w14:textId="2ADEC6C1" w:rsidR="00120AB6" w:rsidRPr="00120AB6" w:rsidRDefault="00120AB6" w:rsidP="00120AB6">
            <w:pPr>
              <w:rPr>
                <w:b/>
              </w:rPr>
            </w:pPr>
            <w:r w:rsidRPr="00120AB6">
              <w:rPr>
                <w:b/>
              </w:rPr>
              <w:t>Общи нарушения в ефекти на мястото на приложение</w:t>
            </w:r>
          </w:p>
        </w:tc>
      </w:tr>
      <w:tr w:rsidR="00120AB6" w14:paraId="04338F14" w14:textId="77777777" w:rsidTr="00120AB6">
        <w:tc>
          <w:tcPr>
            <w:tcW w:w="1701" w:type="dxa"/>
          </w:tcPr>
          <w:p w14:paraId="74B17F4C" w14:textId="77777777" w:rsidR="00120AB6" w:rsidRPr="00120AB6" w:rsidRDefault="00120AB6" w:rsidP="00120AB6">
            <w:pPr>
              <w:rPr>
                <w:rFonts w:cs="Arial"/>
              </w:rPr>
            </w:pPr>
          </w:p>
        </w:tc>
        <w:tc>
          <w:tcPr>
            <w:tcW w:w="2058" w:type="dxa"/>
          </w:tcPr>
          <w:p w14:paraId="586D7F2B" w14:textId="638A5DE9" w:rsidR="00120AB6" w:rsidRPr="00120AB6" w:rsidRDefault="00120AB6" w:rsidP="00120AB6">
            <w:pPr>
              <w:rPr>
                <w:rFonts w:cs="Arial"/>
              </w:rPr>
            </w:pPr>
            <w:r w:rsidRPr="00120AB6">
              <w:rPr>
                <w:rFonts w:cs="Arial"/>
                <w:bCs/>
                <w:szCs w:val="18"/>
              </w:rPr>
              <w:t>Астения Умора Оток Пирексия</w:t>
            </w:r>
            <w:r w:rsidRPr="00120AB6">
              <w:rPr>
                <w:rFonts w:cs="Arial"/>
                <w:bCs/>
                <w:szCs w:val="18"/>
                <w:vertAlign w:val="superscript"/>
              </w:rPr>
              <w:t>10</w:t>
            </w:r>
          </w:p>
        </w:tc>
        <w:tc>
          <w:tcPr>
            <w:tcW w:w="2183" w:type="dxa"/>
          </w:tcPr>
          <w:p w14:paraId="7BB4787F" w14:textId="77777777" w:rsidR="00120AB6" w:rsidRPr="00120AB6" w:rsidRDefault="00120AB6" w:rsidP="00120AB6">
            <w:pPr>
              <w:rPr>
                <w:rFonts w:cs="Arial"/>
              </w:rPr>
            </w:pPr>
          </w:p>
        </w:tc>
        <w:tc>
          <w:tcPr>
            <w:tcW w:w="2079" w:type="dxa"/>
          </w:tcPr>
          <w:p w14:paraId="557FA535" w14:textId="77777777" w:rsidR="00120AB6" w:rsidRPr="00120AB6" w:rsidRDefault="00120AB6" w:rsidP="00120AB6">
            <w:pPr>
              <w:rPr>
                <w:rFonts w:cs="Arial"/>
              </w:rPr>
            </w:pPr>
          </w:p>
        </w:tc>
        <w:tc>
          <w:tcPr>
            <w:tcW w:w="1555" w:type="dxa"/>
          </w:tcPr>
          <w:p w14:paraId="1CF1D2E0" w14:textId="77777777" w:rsidR="00120AB6" w:rsidRPr="00120AB6" w:rsidRDefault="00120AB6" w:rsidP="00120AB6">
            <w:pPr>
              <w:rPr>
                <w:rFonts w:cs="Arial"/>
              </w:rPr>
            </w:pPr>
          </w:p>
        </w:tc>
      </w:tr>
      <w:tr w:rsidR="00120AB6" w14:paraId="3B84AF66" w14:textId="77777777" w:rsidTr="00A20DC3">
        <w:tc>
          <w:tcPr>
            <w:tcW w:w="9576" w:type="dxa"/>
            <w:gridSpan w:val="5"/>
          </w:tcPr>
          <w:p w14:paraId="55305DA0" w14:textId="6E3707B0" w:rsidR="00120AB6" w:rsidRPr="00120AB6" w:rsidRDefault="00120AB6" w:rsidP="00120AB6">
            <w:pPr>
              <w:rPr>
                <w:rFonts w:cs="Arial"/>
                <w:b/>
              </w:rPr>
            </w:pPr>
            <w:r w:rsidRPr="00120AB6">
              <w:rPr>
                <w:b/>
              </w:rPr>
              <w:t>Изследвания</w:t>
            </w:r>
          </w:p>
        </w:tc>
      </w:tr>
      <w:tr w:rsidR="00120AB6" w14:paraId="0A83D1C5" w14:textId="77777777" w:rsidTr="00120AB6">
        <w:tc>
          <w:tcPr>
            <w:tcW w:w="1701" w:type="dxa"/>
          </w:tcPr>
          <w:p w14:paraId="64DF0290" w14:textId="2B657F0C" w:rsidR="00120AB6" w:rsidRPr="00120AB6" w:rsidRDefault="00120AB6" w:rsidP="00120AB6">
            <w:pPr>
              <w:rPr>
                <w:rFonts w:cs="Arial"/>
              </w:rPr>
            </w:pPr>
            <w:r>
              <w:t>Увеличени плазмени нива на пролактина</w:t>
            </w:r>
            <w:r>
              <w:rPr>
                <w:vertAlign w:val="superscript"/>
              </w:rPr>
              <w:t>8</w:t>
            </w:r>
          </w:p>
        </w:tc>
        <w:tc>
          <w:tcPr>
            <w:tcW w:w="2058" w:type="dxa"/>
          </w:tcPr>
          <w:p w14:paraId="5A72491E" w14:textId="6FC7A9E0" w:rsidR="00120AB6" w:rsidRPr="00120AB6" w:rsidRDefault="00120AB6" w:rsidP="00120AB6">
            <w:pPr>
              <w:rPr>
                <w:rFonts w:cs="Arial"/>
              </w:rPr>
            </w:pPr>
            <w:r>
              <w:t>Увеличена алкална фосфатаза</w:t>
            </w:r>
            <w:r>
              <w:rPr>
                <w:vertAlign w:val="superscript"/>
              </w:rPr>
              <w:t xml:space="preserve">10 </w:t>
            </w:r>
            <w:r>
              <w:t xml:space="preserve">Високи нива на креатин </w:t>
            </w:r>
            <w:r>
              <w:lastRenderedPageBreak/>
              <w:t>фосфокиназа</w:t>
            </w:r>
            <w:r>
              <w:rPr>
                <w:vertAlign w:val="superscript"/>
              </w:rPr>
              <w:t xml:space="preserve">11 </w:t>
            </w:r>
            <w:r>
              <w:t>Увеличена гама глутамил трансфераза</w:t>
            </w:r>
            <w:r>
              <w:rPr>
                <w:vertAlign w:val="superscript"/>
              </w:rPr>
              <w:t xml:space="preserve">10 </w:t>
            </w:r>
            <w:r>
              <w:t>Увеличена пикочна киселина</w:t>
            </w:r>
            <w:r>
              <w:rPr>
                <w:vertAlign w:val="superscript"/>
              </w:rPr>
              <w:t>10</w:t>
            </w:r>
          </w:p>
        </w:tc>
        <w:tc>
          <w:tcPr>
            <w:tcW w:w="2183" w:type="dxa"/>
          </w:tcPr>
          <w:p w14:paraId="6D6BF8EF" w14:textId="59CCF142" w:rsidR="00120AB6" w:rsidRPr="00120AB6" w:rsidRDefault="00120AB6" w:rsidP="00120AB6">
            <w:pPr>
              <w:rPr>
                <w:rFonts w:cs="Arial"/>
              </w:rPr>
            </w:pPr>
            <w:r>
              <w:lastRenderedPageBreak/>
              <w:t>Увеличен общ билирубин</w:t>
            </w:r>
          </w:p>
        </w:tc>
        <w:tc>
          <w:tcPr>
            <w:tcW w:w="2079" w:type="dxa"/>
          </w:tcPr>
          <w:p w14:paraId="6239DE63" w14:textId="77777777" w:rsidR="00120AB6" w:rsidRPr="00120AB6" w:rsidRDefault="00120AB6" w:rsidP="00120AB6">
            <w:pPr>
              <w:rPr>
                <w:rFonts w:cs="Arial"/>
              </w:rPr>
            </w:pPr>
          </w:p>
        </w:tc>
        <w:tc>
          <w:tcPr>
            <w:tcW w:w="1555" w:type="dxa"/>
          </w:tcPr>
          <w:p w14:paraId="611555A7" w14:textId="77777777" w:rsidR="00120AB6" w:rsidRPr="00120AB6" w:rsidRDefault="00120AB6" w:rsidP="00120AB6">
            <w:pPr>
              <w:rPr>
                <w:rFonts w:cs="Arial"/>
              </w:rPr>
            </w:pPr>
          </w:p>
        </w:tc>
      </w:tr>
    </w:tbl>
    <w:p w14:paraId="028B7524" w14:textId="5099BD88" w:rsidR="00A20DC3" w:rsidRPr="00A20DC3" w:rsidRDefault="00A20DC3" w:rsidP="00A20DC3">
      <w:pPr>
        <w:spacing w:line="240" w:lineRule="auto"/>
        <w:rPr>
          <w:rFonts w:eastAsia="Times New Roman" w:cs="Arial"/>
          <w:bCs/>
          <w:color w:val="000000"/>
          <w:szCs w:val="18"/>
          <w:lang w:eastAsia="bg-BG"/>
        </w:rPr>
      </w:pPr>
      <w:r w:rsidRPr="00A20DC3">
        <w:rPr>
          <w:rFonts w:eastAsia="Times New Roman" w:cs="Arial"/>
          <w:bCs/>
          <w:color w:val="000000"/>
          <w:szCs w:val="18"/>
          <w:vertAlign w:val="superscript"/>
          <w:lang w:val="ru-RU" w:eastAsia="bg-BG"/>
        </w:rPr>
        <w:t>1</w:t>
      </w:r>
      <w:r w:rsidRPr="00A20DC3">
        <w:rPr>
          <w:rFonts w:eastAsia="Times New Roman" w:cs="Arial"/>
          <w:bCs/>
          <w:color w:val="000000"/>
          <w:szCs w:val="18"/>
          <w:lang w:eastAsia="bg-BG"/>
        </w:rPr>
        <w:t xml:space="preserve">Клинично значимо покачване на теглото се наблюдава при всички изходни категории на Индекс на телесна маса </w:t>
      </w:r>
      <w:r w:rsidRPr="00A20DC3">
        <w:rPr>
          <w:rFonts w:eastAsia="Times New Roman" w:cs="Arial"/>
          <w:bCs/>
          <w:color w:val="000000"/>
          <w:szCs w:val="18"/>
          <w:lang w:val="ru-RU"/>
        </w:rPr>
        <w:t>(</w:t>
      </w:r>
      <w:r w:rsidRPr="00A20DC3">
        <w:rPr>
          <w:rFonts w:eastAsia="Times New Roman" w:cs="Arial"/>
          <w:bCs/>
          <w:color w:val="000000"/>
          <w:szCs w:val="18"/>
          <w:lang w:val="en-US"/>
        </w:rPr>
        <w:t>BMI</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След краткосрочно лечение (средна продължителност 47 дни), покачване на теглото ≥7% спрямо изходното телесно тегло е много често (22,2%), ≥15% е често (4,2%) и ≥25% нечесто (0,8%). Случаите на пациентите, които са повишили изходното си телесно тегло с ≥7%, ≥15% и ≥25% при дългосрочна експозиция (поне 48 седмици) са били много чести (съответно 64,4 %, 31,7%</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и</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12,3%).</w:t>
      </w:r>
    </w:p>
    <w:p w14:paraId="61802EF5" w14:textId="77777777" w:rsidR="00A20DC3" w:rsidRPr="00A20DC3" w:rsidRDefault="00A20DC3" w:rsidP="00A20DC3">
      <w:pPr>
        <w:spacing w:line="240" w:lineRule="auto"/>
        <w:rPr>
          <w:rFonts w:eastAsia="Times New Roman" w:cs="Arial"/>
          <w:bCs/>
          <w:color w:val="000000"/>
          <w:szCs w:val="18"/>
          <w:lang w:val="ru-RU" w:eastAsia="bg-BG"/>
        </w:rPr>
      </w:pPr>
    </w:p>
    <w:p w14:paraId="3B19A518" w14:textId="3469FF9E" w:rsidR="00A20DC3" w:rsidRPr="00A20DC3" w:rsidRDefault="00A20DC3" w:rsidP="00A20DC3">
      <w:pPr>
        <w:spacing w:line="240" w:lineRule="auto"/>
        <w:rPr>
          <w:rFonts w:eastAsia="Times New Roman" w:cs="Arial"/>
          <w:bCs/>
          <w:color w:val="000000"/>
          <w:szCs w:val="18"/>
          <w:lang w:eastAsia="bg-BG"/>
        </w:rPr>
      </w:pPr>
      <w:r w:rsidRPr="00A20DC3">
        <w:rPr>
          <w:rFonts w:eastAsia="Times New Roman" w:cs="Arial"/>
          <w:bCs/>
          <w:color w:val="000000"/>
          <w:szCs w:val="18"/>
          <w:vertAlign w:val="superscript"/>
          <w:lang w:val="ru-RU" w:eastAsia="bg-BG"/>
        </w:rPr>
        <w:t>2</w:t>
      </w:r>
      <w:r w:rsidRPr="00A20DC3">
        <w:rPr>
          <w:rFonts w:eastAsia="Times New Roman" w:cs="Arial"/>
          <w:bCs/>
          <w:color w:val="000000"/>
          <w:szCs w:val="18"/>
          <w:lang w:eastAsia="bg-BG"/>
        </w:rPr>
        <w:t xml:space="preserve">Средното увеличение в стойностите на липидите на гладно (общ холестерол, </w:t>
      </w:r>
      <w:r w:rsidRPr="00A20DC3">
        <w:rPr>
          <w:rFonts w:eastAsia="Times New Roman" w:cs="Arial"/>
          <w:bCs/>
          <w:color w:val="000000"/>
          <w:szCs w:val="18"/>
          <w:lang w:val="en-US"/>
        </w:rPr>
        <w:t>LDL</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холестерол и триглицериди) е по-голямо при пациенти без изходни данни за нарушение в липидната обмяна.</w:t>
      </w:r>
    </w:p>
    <w:p w14:paraId="08D6D304" w14:textId="77777777" w:rsidR="00A20DC3" w:rsidRPr="00A20DC3" w:rsidRDefault="00A20DC3" w:rsidP="00A20DC3">
      <w:pPr>
        <w:spacing w:line="240" w:lineRule="auto"/>
        <w:rPr>
          <w:rFonts w:eastAsia="Times New Roman" w:cs="Arial"/>
          <w:bCs/>
          <w:color w:val="000000"/>
          <w:szCs w:val="18"/>
          <w:lang w:val="ru-RU" w:eastAsia="bg-BG"/>
        </w:rPr>
      </w:pPr>
    </w:p>
    <w:p w14:paraId="61DF5A58" w14:textId="187CDA7E" w:rsidR="00A20DC3" w:rsidRPr="00A20DC3" w:rsidRDefault="00A20DC3" w:rsidP="00A20DC3">
      <w:pPr>
        <w:spacing w:line="240" w:lineRule="auto"/>
        <w:rPr>
          <w:rFonts w:eastAsia="Times New Roman" w:cs="Arial"/>
          <w:bCs/>
          <w:color w:val="000000"/>
          <w:szCs w:val="18"/>
          <w:lang w:eastAsia="bg-BG"/>
        </w:rPr>
      </w:pPr>
      <w:r w:rsidRPr="00A20DC3">
        <w:rPr>
          <w:rFonts w:eastAsia="Times New Roman" w:cs="Arial"/>
          <w:bCs/>
          <w:color w:val="000000"/>
          <w:szCs w:val="18"/>
          <w:vertAlign w:val="superscript"/>
          <w:lang w:val="ru-RU" w:eastAsia="bg-BG"/>
        </w:rPr>
        <w:t>3</w:t>
      </w:r>
      <w:r w:rsidRPr="00A20DC3">
        <w:rPr>
          <w:rFonts w:eastAsia="Times New Roman" w:cs="Arial"/>
          <w:bCs/>
          <w:color w:val="000000"/>
          <w:szCs w:val="18"/>
          <w:lang w:eastAsia="bg-BG"/>
        </w:rPr>
        <w:t xml:space="preserve">Наблюдавани са нормални изходни стойности на гладно (&lt;5,17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 xml:space="preserve">които са се увеличили до високи нива (≥6,2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 xml:space="preserve">Промените в стойностите на общия холестерол на гладно от изходно гранично ниво (≥5,17 - &lt;6,2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до високи нива</w:t>
      </w:r>
      <w:r w:rsidRPr="00A20DC3">
        <w:rPr>
          <w:rFonts w:eastAsia="Times New Roman" w:cs="Arial"/>
          <w:bCs/>
          <w:color w:val="000000"/>
          <w:szCs w:val="18"/>
          <w:u w:val="single"/>
          <w:lang w:eastAsia="bg-BG"/>
        </w:rPr>
        <w:t xml:space="preserve"> </w:t>
      </w:r>
      <w:r w:rsidRPr="00A20DC3">
        <w:rPr>
          <w:rFonts w:eastAsia="Times New Roman" w:cs="Arial"/>
          <w:bCs/>
          <w:color w:val="000000"/>
          <w:szCs w:val="18"/>
          <w:lang w:eastAsia="bg-BG"/>
        </w:rPr>
        <w:t xml:space="preserve">(≥6,2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са били много чести.</w:t>
      </w:r>
    </w:p>
    <w:p w14:paraId="0C7A6AD4" w14:textId="0D964FB0" w:rsidR="00120AB6" w:rsidRPr="00A20DC3" w:rsidRDefault="00120AB6" w:rsidP="00120AB6">
      <w:pPr>
        <w:rPr>
          <w:rFonts w:cs="Arial"/>
          <w:sz w:val="28"/>
        </w:rPr>
      </w:pPr>
    </w:p>
    <w:p w14:paraId="3055593B" w14:textId="19F3A53B"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4</w:t>
      </w:r>
      <w:r w:rsidRPr="00A20DC3">
        <w:rPr>
          <w:rFonts w:eastAsia="Times New Roman" w:cs="Arial"/>
          <w:bCs/>
          <w:color w:val="000000"/>
          <w:szCs w:val="18"/>
          <w:lang w:eastAsia="bg-BG"/>
        </w:rPr>
        <w:t xml:space="preserve">Наблюдавани са нормални изходни стойности на гладно (&lt;5,56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 xml:space="preserve">които са се увеличили до високи нива (≥7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 xml:space="preserve">Промените в стойностите на глюкозата на гладно от изходно гранично ниво (≥5,56 - &lt;7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 xml:space="preserve">до високи нива (≥7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са били много чести.</w:t>
      </w:r>
    </w:p>
    <w:p w14:paraId="0525CE13" w14:textId="77777777" w:rsidR="00A20DC3" w:rsidRPr="00A20DC3" w:rsidRDefault="00A20DC3" w:rsidP="00A20DC3">
      <w:pPr>
        <w:spacing w:line="240" w:lineRule="auto"/>
        <w:rPr>
          <w:rFonts w:eastAsia="Times New Roman" w:cs="Arial"/>
          <w:bCs/>
          <w:color w:val="000000"/>
          <w:szCs w:val="18"/>
          <w:lang w:eastAsia="bg-BG"/>
        </w:rPr>
      </w:pPr>
    </w:p>
    <w:p w14:paraId="554CFC28" w14:textId="165F6FF1"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5</w:t>
      </w:r>
      <w:r w:rsidRPr="00A20DC3">
        <w:rPr>
          <w:rFonts w:eastAsia="Times New Roman" w:cs="Arial"/>
          <w:bCs/>
          <w:color w:val="000000"/>
          <w:szCs w:val="18"/>
          <w:lang w:eastAsia="bg-BG"/>
        </w:rPr>
        <w:t xml:space="preserve">Наблюдавани са нормални изходни стойности на гладно (&lt;1,69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 xml:space="preserve">които са се увеличили до високи нива (≥2,26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 xml:space="preserve">Промените в стойностите на триглицеридите на гладно от изходно гранично ниво (≥1,69 - &lt;2,26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 xml:space="preserve">до високи нива (≥2,26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са били много чести.</w:t>
      </w:r>
    </w:p>
    <w:p w14:paraId="1582463F" w14:textId="77777777" w:rsidR="00A20DC3" w:rsidRPr="00A20DC3" w:rsidRDefault="00A20DC3" w:rsidP="00A20DC3">
      <w:pPr>
        <w:spacing w:line="240" w:lineRule="auto"/>
        <w:rPr>
          <w:rFonts w:eastAsia="Times New Roman" w:cs="Arial"/>
          <w:bCs/>
          <w:color w:val="000000"/>
          <w:szCs w:val="18"/>
          <w:lang w:eastAsia="bg-BG"/>
        </w:rPr>
      </w:pPr>
    </w:p>
    <w:p w14:paraId="05726E90" w14:textId="41CDA432"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6</w:t>
      </w:r>
      <w:r w:rsidRPr="00A20DC3">
        <w:rPr>
          <w:rFonts w:eastAsia="Times New Roman" w:cs="Arial"/>
          <w:bCs/>
          <w:color w:val="000000"/>
          <w:szCs w:val="18"/>
          <w:lang w:eastAsia="bg-BG"/>
        </w:rPr>
        <w:t xml:space="preserve">В клинични проучвания честотата на паркинсонизъм и дистония при пациентите, лекувани с оланзапин е била числено по-висока, но не </w:t>
      </w:r>
      <w:r w:rsidRPr="00A20DC3">
        <w:rPr>
          <w:rFonts w:eastAsia="Times New Roman" w:cs="Arial"/>
          <w:bCs/>
          <w:i/>
          <w:iCs/>
          <w:color w:val="000000"/>
          <w:szCs w:val="18"/>
          <w:lang w:eastAsia="bg-BG"/>
        </w:rPr>
        <w:t>и</w:t>
      </w:r>
      <w:r w:rsidRPr="00A20DC3">
        <w:rPr>
          <w:rFonts w:eastAsia="Times New Roman" w:cs="Arial"/>
          <w:bCs/>
          <w:color w:val="000000"/>
          <w:szCs w:val="18"/>
          <w:lang w:eastAsia="bg-BG"/>
        </w:rPr>
        <w:t xml:space="preserve"> статистически значимо различна от плацебо групата. Пациентите, лекувани с оланзапин са имали по-ниска честота на паркинсонизъм, акатизия и дистония в сравнение с титрираните дози на халоперидол. При липса на подробна информация за предшестваща анамнеза за индивидуални остри и тардивни екстрапирамидни двигателни нарушения, не може да се заключи, че понастоящем оланзапин предизвиква по-малко тардивна дискинезия и/или други тардивни екстрапирамидни синдроми.</w:t>
      </w:r>
    </w:p>
    <w:p w14:paraId="4F2492DF" w14:textId="77777777" w:rsidR="00A20DC3" w:rsidRPr="00A20DC3" w:rsidRDefault="00A20DC3" w:rsidP="00A20DC3">
      <w:pPr>
        <w:spacing w:line="240" w:lineRule="auto"/>
        <w:rPr>
          <w:rFonts w:eastAsia="Times New Roman" w:cs="Arial"/>
          <w:bCs/>
          <w:color w:val="000000"/>
          <w:szCs w:val="18"/>
          <w:lang w:eastAsia="bg-BG"/>
        </w:rPr>
      </w:pPr>
    </w:p>
    <w:p w14:paraId="12085099" w14:textId="49234FAD"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7</w:t>
      </w:r>
      <w:r w:rsidRPr="00A20DC3">
        <w:rPr>
          <w:rFonts w:eastAsia="Times New Roman" w:cs="Arial"/>
          <w:bCs/>
          <w:color w:val="000000"/>
          <w:szCs w:val="18"/>
          <w:lang w:eastAsia="bg-BG"/>
        </w:rPr>
        <w:t>Остри симптоми, като потене, безсъние, тремор, безпокойство, гадене и повръщане са съобщавани когато приемът на оланзапин се спре внезапно.</w:t>
      </w:r>
    </w:p>
    <w:p w14:paraId="2770F4D6" w14:textId="77777777" w:rsidR="00A20DC3" w:rsidRPr="00A20DC3" w:rsidRDefault="00A20DC3" w:rsidP="00A20DC3">
      <w:pPr>
        <w:spacing w:line="240" w:lineRule="auto"/>
        <w:rPr>
          <w:rFonts w:eastAsia="Times New Roman" w:cs="Arial"/>
          <w:bCs/>
          <w:color w:val="000000"/>
          <w:szCs w:val="18"/>
          <w:lang w:eastAsia="bg-BG"/>
        </w:rPr>
      </w:pPr>
    </w:p>
    <w:p w14:paraId="6408BF98" w14:textId="336D8817"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8</w:t>
      </w:r>
      <w:r w:rsidRPr="00A20DC3">
        <w:rPr>
          <w:rFonts w:eastAsia="Times New Roman" w:cs="Arial"/>
          <w:bCs/>
          <w:color w:val="000000"/>
          <w:szCs w:val="18"/>
          <w:lang w:eastAsia="bg-BG"/>
        </w:rPr>
        <w:t>В клинични проучвания в рамките на 12 седмици плазмените концентрации на пролактин са надхвърляли горната граница на нормата при около 30% от пациентите, лекувани с оланзапин с нормални изходни нива на пролактин. При повечето от тези пациенти повишенията като цяло са били леки и са останали под два пъти горната граница на нормата.</w:t>
      </w:r>
    </w:p>
    <w:p w14:paraId="0F84ECCD" w14:textId="77777777" w:rsidR="00A20DC3" w:rsidRPr="00A20DC3" w:rsidRDefault="00A20DC3" w:rsidP="00A20DC3">
      <w:pPr>
        <w:spacing w:line="240" w:lineRule="auto"/>
        <w:rPr>
          <w:rFonts w:eastAsia="Times New Roman" w:cs="Arial"/>
          <w:bCs/>
          <w:color w:val="000000"/>
          <w:szCs w:val="18"/>
          <w:lang w:eastAsia="bg-BG"/>
        </w:rPr>
      </w:pPr>
    </w:p>
    <w:p w14:paraId="3EAB0508" w14:textId="797D1D3B"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9</w:t>
      </w:r>
      <w:r w:rsidRPr="00A20DC3">
        <w:rPr>
          <w:rFonts w:eastAsia="Times New Roman" w:cs="Arial"/>
          <w:bCs/>
          <w:color w:val="000000"/>
          <w:szCs w:val="18"/>
          <w:lang w:eastAsia="bg-BG"/>
        </w:rPr>
        <w:t>Нежеланата реакция е идентифицирана от клиничните проучвания в Интегрираната база данни за Оланзапин.</w:t>
      </w:r>
    </w:p>
    <w:p w14:paraId="138F2B61" w14:textId="77777777" w:rsidR="00A20DC3" w:rsidRPr="00A20DC3" w:rsidRDefault="00A20DC3" w:rsidP="00A20DC3">
      <w:pPr>
        <w:spacing w:line="240" w:lineRule="auto"/>
        <w:rPr>
          <w:rFonts w:eastAsia="Times New Roman" w:cs="Arial"/>
          <w:bCs/>
          <w:color w:val="000000"/>
          <w:szCs w:val="18"/>
          <w:lang w:eastAsia="bg-BG"/>
        </w:rPr>
      </w:pPr>
    </w:p>
    <w:p w14:paraId="41ECE371" w14:textId="24E2CD36"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10</w:t>
      </w:r>
      <w:r w:rsidRPr="00A20DC3">
        <w:rPr>
          <w:rFonts w:eastAsia="Times New Roman" w:cs="Arial"/>
          <w:bCs/>
          <w:color w:val="000000"/>
          <w:szCs w:val="18"/>
          <w:lang w:eastAsia="bg-BG"/>
        </w:rPr>
        <w:t>Както е оценето от измерените стойности в клиничните проучвания в Интегрираната база данни за Оланзапин.</w:t>
      </w:r>
    </w:p>
    <w:p w14:paraId="64CCC020" w14:textId="77777777" w:rsidR="00A20DC3" w:rsidRPr="00A20DC3" w:rsidRDefault="00A20DC3" w:rsidP="00A20DC3">
      <w:pPr>
        <w:spacing w:line="240" w:lineRule="auto"/>
        <w:rPr>
          <w:rFonts w:eastAsia="Times New Roman" w:cs="Arial"/>
          <w:bCs/>
          <w:color w:val="000000"/>
          <w:szCs w:val="18"/>
          <w:lang w:eastAsia="bg-BG"/>
        </w:rPr>
      </w:pPr>
    </w:p>
    <w:p w14:paraId="37DE303B" w14:textId="226D9F85"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11</w:t>
      </w:r>
      <w:r w:rsidRPr="00A20DC3">
        <w:rPr>
          <w:rFonts w:eastAsia="Times New Roman" w:cs="Arial"/>
          <w:bCs/>
          <w:color w:val="000000"/>
          <w:szCs w:val="18"/>
          <w:lang w:eastAsia="bg-BG"/>
        </w:rPr>
        <w:t>Нежеланата реакция е идентифицирана от спонтанните доклади при пост- маркетингови проучвания, а честотата определена, като е използвана Интегрираната база данни за Оланзапин.</w:t>
      </w:r>
    </w:p>
    <w:p w14:paraId="41E37453" w14:textId="77777777" w:rsidR="00A20DC3" w:rsidRPr="00A20DC3" w:rsidRDefault="00A20DC3" w:rsidP="00A20DC3">
      <w:pPr>
        <w:spacing w:line="240" w:lineRule="auto"/>
        <w:rPr>
          <w:rFonts w:eastAsia="Times New Roman" w:cs="Arial"/>
          <w:bCs/>
          <w:color w:val="000000"/>
          <w:szCs w:val="18"/>
          <w:lang w:eastAsia="bg-BG"/>
        </w:rPr>
      </w:pPr>
    </w:p>
    <w:p w14:paraId="61ED1A87" w14:textId="667B7193"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12</w:t>
      </w:r>
      <w:r w:rsidRPr="00A20DC3">
        <w:rPr>
          <w:rFonts w:eastAsia="Times New Roman" w:cs="Arial"/>
          <w:bCs/>
          <w:color w:val="000000"/>
          <w:szCs w:val="18"/>
          <w:lang w:eastAsia="bg-BG"/>
        </w:rPr>
        <w:t>Нежеланата реакция е идентифицирана от спонтанните доклади при пост- маркетингови проучвания, честотата определена на горната граница на 95% доверителен интервал, като е използвана Интегрираната база данни за Оланзапин.</w:t>
      </w:r>
    </w:p>
    <w:p w14:paraId="1106FE15" w14:textId="77777777" w:rsidR="00A20DC3" w:rsidRPr="00A20DC3" w:rsidRDefault="00A20DC3" w:rsidP="00A20DC3">
      <w:pPr>
        <w:spacing w:line="240" w:lineRule="auto"/>
        <w:rPr>
          <w:rFonts w:eastAsia="Times New Roman" w:cs="Arial"/>
          <w:bCs/>
          <w:color w:val="000000"/>
          <w:szCs w:val="18"/>
          <w:lang w:eastAsia="bg-BG"/>
        </w:rPr>
      </w:pPr>
    </w:p>
    <w:p w14:paraId="601F97BD" w14:textId="524E9486"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13</w:t>
      </w:r>
      <w:r w:rsidRPr="00A20DC3">
        <w:rPr>
          <w:rFonts w:eastAsia="Times New Roman" w:cs="Arial"/>
          <w:bCs/>
          <w:color w:val="000000"/>
          <w:szCs w:val="18"/>
          <w:lang w:eastAsia="bg-BG"/>
        </w:rPr>
        <w:t>Изброени нежелани лекарствени реакции, наблюдавани след употреба на оланзапин за перорално приложение и интрамускулно приложение с продължително действие, които могат също да възникнат при употреба на оланзапин за интрамускулно приложение с бързо действие.</w:t>
      </w:r>
    </w:p>
    <w:p w14:paraId="6C0D5FB2" w14:textId="77777777" w:rsidR="00A20DC3" w:rsidRPr="00A20DC3" w:rsidRDefault="00A20DC3" w:rsidP="00A20DC3">
      <w:pPr>
        <w:spacing w:line="240" w:lineRule="auto"/>
        <w:rPr>
          <w:rFonts w:eastAsia="Times New Roman" w:cs="Arial"/>
          <w:bCs/>
          <w:i/>
          <w:iCs/>
          <w:color w:val="000000"/>
          <w:szCs w:val="18"/>
          <w:u w:val="single"/>
          <w:lang w:eastAsia="bg-BG"/>
        </w:rPr>
      </w:pPr>
    </w:p>
    <w:p w14:paraId="370D20AD" w14:textId="2BA4CB06"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Дългосрочна експозиция (поне 48 седмици)</w:t>
      </w:r>
    </w:p>
    <w:p w14:paraId="71F61280" w14:textId="77777777" w:rsidR="00A20DC3" w:rsidRPr="00A20DC3" w:rsidRDefault="00A20DC3" w:rsidP="00A20DC3">
      <w:pPr>
        <w:spacing w:line="240" w:lineRule="auto"/>
        <w:rPr>
          <w:rFonts w:eastAsia="Times New Roman" w:cs="Arial"/>
          <w:bCs/>
          <w:color w:val="000000"/>
          <w:szCs w:val="18"/>
          <w:lang w:eastAsia="bg-BG"/>
        </w:rPr>
      </w:pPr>
    </w:p>
    <w:p w14:paraId="0DAB5FB9" w14:textId="581D2A8C"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Процентът от пациентите, които имат нежелани, клинично значими промени в</w:t>
      </w:r>
    </w:p>
    <w:p w14:paraId="34E7E146" w14:textId="77777777" w:rsidR="00A20DC3" w:rsidRPr="00A20DC3" w:rsidRDefault="00A20DC3" w:rsidP="00A20DC3">
      <w:pPr>
        <w:rPr>
          <w:rFonts w:eastAsia="Times New Roman" w:cs="Arial"/>
          <w:sz w:val="32"/>
          <w:szCs w:val="24"/>
        </w:rPr>
      </w:pPr>
      <w:r w:rsidRPr="00A20DC3">
        <w:rPr>
          <w:rFonts w:eastAsia="Times New Roman" w:cs="Arial"/>
          <w:bCs/>
          <w:color w:val="000000"/>
          <w:szCs w:val="18"/>
          <w:lang w:eastAsia="bg-BG"/>
        </w:rPr>
        <w:t>увеличение на тегло, глюкоза, общ</w:t>
      </w:r>
      <w:r w:rsidRPr="00A20DC3">
        <w:rPr>
          <w:rFonts w:eastAsia="Times New Roman" w:cs="Arial"/>
          <w:bCs/>
          <w:color w:val="000000"/>
          <w:szCs w:val="18"/>
          <w:lang w:val="ru-RU"/>
        </w:rPr>
        <w:t>/</w:t>
      </w:r>
      <w:r w:rsidRPr="00A20DC3">
        <w:rPr>
          <w:rFonts w:eastAsia="Times New Roman" w:cs="Arial"/>
          <w:bCs/>
          <w:color w:val="000000"/>
          <w:szCs w:val="18"/>
          <w:lang w:val="en-US"/>
        </w:rPr>
        <w:t>LDL</w:t>
      </w:r>
      <w:r w:rsidRPr="00A20DC3">
        <w:rPr>
          <w:rFonts w:eastAsia="Times New Roman" w:cs="Arial"/>
          <w:bCs/>
          <w:color w:val="000000"/>
          <w:szCs w:val="18"/>
          <w:lang w:val="ru-RU"/>
        </w:rPr>
        <w:t>/</w:t>
      </w:r>
      <w:r w:rsidRPr="00A20DC3">
        <w:rPr>
          <w:rFonts w:eastAsia="Times New Roman" w:cs="Arial"/>
          <w:bCs/>
          <w:color w:val="000000"/>
          <w:szCs w:val="18"/>
          <w:lang w:val="en-US"/>
        </w:rPr>
        <w:t>HDL</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холестерол или триглицериди се</w:t>
      </w:r>
      <w:r w:rsidRPr="00A20DC3">
        <w:rPr>
          <w:rFonts w:eastAsia="Times New Roman" w:cs="Arial"/>
          <w:bCs/>
          <w:color w:val="000000"/>
          <w:szCs w:val="18"/>
          <w:lang w:val="ru-RU" w:eastAsia="bg-BG"/>
        </w:rPr>
        <w:t xml:space="preserve"> </w:t>
      </w:r>
      <w:r w:rsidRPr="00A20DC3">
        <w:rPr>
          <w:rFonts w:eastAsia="Times New Roman" w:cs="Arial"/>
          <w:bCs/>
          <w:color w:val="000000"/>
          <w:szCs w:val="18"/>
          <w:lang w:eastAsia="bg-BG"/>
        </w:rPr>
        <w:t>увеличава с времето. При възрастни пациенти, които са преминали 9-12 месечен курс на лечение, степента на увеличение в средната кръвна глюкоза намалява след приблизително 6 месеца.</w:t>
      </w:r>
    </w:p>
    <w:p w14:paraId="648236C2" w14:textId="77777777" w:rsidR="00A20DC3" w:rsidRPr="00A20DC3" w:rsidRDefault="00A20DC3" w:rsidP="00A20DC3">
      <w:pPr>
        <w:spacing w:line="240" w:lineRule="auto"/>
        <w:rPr>
          <w:rFonts w:eastAsia="Times New Roman" w:cs="Arial"/>
          <w:bCs/>
          <w:i/>
          <w:iCs/>
          <w:color w:val="000000"/>
          <w:szCs w:val="18"/>
          <w:u w:val="single"/>
          <w:lang w:eastAsia="bg-BG"/>
        </w:rPr>
      </w:pPr>
    </w:p>
    <w:p w14:paraId="3EBA1B50" w14:textId="4889AB6C"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Допълнителна информация за специални популации</w:t>
      </w:r>
    </w:p>
    <w:p w14:paraId="0AB21D5E" w14:textId="77777777" w:rsidR="00A20DC3" w:rsidRPr="00A20DC3" w:rsidRDefault="00A20DC3" w:rsidP="00A20DC3">
      <w:pPr>
        <w:spacing w:line="240" w:lineRule="auto"/>
        <w:rPr>
          <w:rFonts w:eastAsia="Times New Roman" w:cs="Arial"/>
          <w:bCs/>
          <w:color w:val="000000"/>
          <w:szCs w:val="18"/>
          <w:lang w:eastAsia="bg-BG"/>
        </w:rPr>
      </w:pPr>
    </w:p>
    <w:p w14:paraId="04B6A096" w14:textId="727B9939"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В клинични проучвания сред пациенти в старческа възраст </w:t>
      </w:r>
      <w:r w:rsidRPr="00A20DC3">
        <w:rPr>
          <w:rFonts w:eastAsia="Times New Roman" w:cs="Arial"/>
          <w:bCs/>
          <w:i/>
          <w:iCs/>
          <w:color w:val="000000"/>
          <w:szCs w:val="18"/>
          <w:lang w:eastAsia="bg-BG"/>
        </w:rPr>
        <w:t>с</w:t>
      </w:r>
      <w:r w:rsidRPr="00A20DC3">
        <w:rPr>
          <w:rFonts w:eastAsia="Times New Roman" w:cs="Arial"/>
          <w:bCs/>
          <w:color w:val="000000"/>
          <w:szCs w:val="18"/>
          <w:lang w:eastAsia="bg-BG"/>
        </w:rPr>
        <w:t xml:space="preserve"> деменция, лечението с оланзапин е свързано с по-висока честота на смъртни случаи и мозъчно-съдови нежелани реакции в сравнение с плацебо (вж. точка 4.4). Много чести нежелани реакции, свързани с приложението на оланзапин в тази група са абнормна походка и падания. Често са наблюдавани пневмония, повишена телесна температура, летаргия, еритем, зрителни халюцинации и уринарна инконтиненция.</w:t>
      </w:r>
    </w:p>
    <w:p w14:paraId="73BE6F67" w14:textId="77777777" w:rsidR="00A20DC3" w:rsidRPr="00A20DC3" w:rsidRDefault="00A20DC3" w:rsidP="00A20DC3">
      <w:pPr>
        <w:spacing w:line="240" w:lineRule="auto"/>
        <w:rPr>
          <w:rFonts w:eastAsia="Times New Roman" w:cs="Arial"/>
          <w:bCs/>
          <w:color w:val="000000"/>
          <w:szCs w:val="18"/>
          <w:lang w:eastAsia="bg-BG"/>
        </w:rPr>
      </w:pPr>
    </w:p>
    <w:p w14:paraId="6D3B49C5" w14:textId="6E1D43C9"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В клинични проучвания при пациенти с лекарствено-индуцирана (допаминов агонист) психоза, свързана с болест на Паркинсон, често са съобщавани влошаване на паркинсоновата симптоматика и халюцинации с по-голяма честота отколкото при плацебо.</w:t>
      </w:r>
    </w:p>
    <w:p w14:paraId="7226D0A6" w14:textId="77777777" w:rsidR="00A20DC3" w:rsidRPr="00A20DC3" w:rsidRDefault="00A20DC3" w:rsidP="00A20DC3">
      <w:pPr>
        <w:spacing w:line="240" w:lineRule="auto"/>
        <w:rPr>
          <w:rFonts w:eastAsia="Times New Roman" w:cs="Arial"/>
          <w:bCs/>
          <w:color w:val="000000"/>
          <w:szCs w:val="18"/>
          <w:lang w:eastAsia="bg-BG"/>
        </w:rPr>
      </w:pPr>
    </w:p>
    <w:p w14:paraId="1689FC03" w14:textId="6BC4A625"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В едно клинично проучване при пациенти с биполярна мания комбинираната терапия с валпроат и оланзапин е предизвикала възникване на неутропения от порядъка на 4,1%; потенциално допринасящ фактор могат да бъдат високите плазмени нива на валпроат. Оланзапин, прилаган с литий или валпроат, води до увеличена честота (≥10%) на тремор, сухота в устата, повишен апетит и увеличаване на тегло. Нарушения на речта също са често съобщавани. По време на лечението с оланзапин в комбинация с литий или дивалпроекс е наблюдавано увеличение с ≥7% спрямо изходното телесно тегло при 17,4% от пациентите по време на острата фаза на лечението (до 6 седмици). </w:t>
      </w:r>
      <w:r w:rsidRPr="00A20DC3">
        <w:rPr>
          <w:rFonts w:eastAsia="Times New Roman" w:cs="Arial"/>
          <w:bCs/>
          <w:color w:val="000000"/>
          <w:szCs w:val="18"/>
          <w:lang w:eastAsia="bg-BG"/>
        </w:rPr>
        <w:lastRenderedPageBreak/>
        <w:t>Продължителното лечение с оланзапин (до 12 месеца) за превенция на рецидив при пациенти с биполярно нарушение е свързана с увеличение от ≥7% от изходното телесно тегло при 39,9% от пациентите.</w:t>
      </w:r>
    </w:p>
    <w:p w14:paraId="0F207D7E" w14:textId="77777777" w:rsidR="00A20DC3" w:rsidRPr="00A20DC3" w:rsidRDefault="00A20DC3" w:rsidP="00A20DC3">
      <w:pPr>
        <w:spacing w:line="240" w:lineRule="auto"/>
        <w:rPr>
          <w:rFonts w:eastAsia="Times New Roman" w:cs="Arial"/>
          <w:bCs/>
          <w:i/>
          <w:iCs/>
          <w:color w:val="000000"/>
          <w:szCs w:val="18"/>
          <w:u w:val="single"/>
          <w:lang w:eastAsia="bg-BG"/>
        </w:rPr>
      </w:pPr>
    </w:p>
    <w:p w14:paraId="4695B2DD" w14:textId="561F7035"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Педиатрична популация</w:t>
      </w:r>
    </w:p>
    <w:p w14:paraId="48EB2738" w14:textId="77777777" w:rsidR="00A20DC3" w:rsidRPr="00A20DC3" w:rsidRDefault="00A20DC3" w:rsidP="00A20DC3">
      <w:pPr>
        <w:spacing w:line="240" w:lineRule="auto"/>
        <w:rPr>
          <w:rFonts w:eastAsia="Times New Roman" w:cs="Arial"/>
          <w:bCs/>
          <w:color w:val="000000"/>
          <w:szCs w:val="18"/>
          <w:lang w:eastAsia="bg-BG"/>
        </w:rPr>
      </w:pPr>
    </w:p>
    <w:p w14:paraId="77FBB5D4" w14:textId="6C7B1540"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Оланзапин не е показан за лечение при деца и юноши под 18-годишна възраст. Въпреки че няма проведени клинични проучвания за сравнение между юноши и възрастни, данните от проучванията сред юноши са сравнени с тези от проучванията при възрастни пациенти.</w:t>
      </w:r>
    </w:p>
    <w:p w14:paraId="0E7D40F9" w14:textId="77777777" w:rsidR="00A20DC3" w:rsidRPr="00A20DC3" w:rsidRDefault="00A20DC3" w:rsidP="00A20DC3">
      <w:pPr>
        <w:spacing w:line="240" w:lineRule="auto"/>
        <w:rPr>
          <w:rFonts w:eastAsia="Times New Roman" w:cs="Arial"/>
          <w:bCs/>
          <w:color w:val="000000"/>
          <w:szCs w:val="18"/>
          <w:lang w:eastAsia="bg-BG"/>
        </w:rPr>
      </w:pPr>
    </w:p>
    <w:p w14:paraId="0E7B754A" w14:textId="004C69A3"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В таблицата по-долу са обобщени нежеланите реакции, съобщавани с по-голяма честота при юноши (на възраст 13-17 години) в сравнение при възрастни пациенти или нежелани реакции, установени само по време на краткосрочните клинични проучвания при юноши. Клинично значимо увеличение на теглото (≥7%) вероятно се наблюдава по-често сред юношите отколкото при възрастни индивиди при сравними експозиции. Степента на повишение на теглото и съотношението на юноши пациенти, които имат клинично значимо покачване в теглото са по-големи при продължителна експозиция (поне 24 седмици) в сравнение с краткосрочна експозиция.</w:t>
      </w:r>
    </w:p>
    <w:p w14:paraId="035EF11B" w14:textId="77777777" w:rsidR="00A20DC3" w:rsidRPr="00A20DC3" w:rsidRDefault="00A20DC3" w:rsidP="00A20DC3">
      <w:pPr>
        <w:spacing w:line="240" w:lineRule="auto"/>
        <w:rPr>
          <w:rFonts w:eastAsia="Times New Roman" w:cs="Arial"/>
          <w:bCs/>
          <w:color w:val="000000"/>
          <w:szCs w:val="18"/>
          <w:lang w:eastAsia="bg-BG"/>
        </w:rPr>
      </w:pPr>
    </w:p>
    <w:p w14:paraId="314F4152" w14:textId="4E77111E" w:rsidR="00A20DC3" w:rsidRDefault="00A20DC3" w:rsidP="00A20DC3">
      <w:pPr>
        <w:spacing w:line="240" w:lineRule="auto"/>
        <w:rPr>
          <w:rFonts w:eastAsia="Times New Roman" w:cs="Arial"/>
          <w:bCs/>
          <w:color w:val="000000"/>
          <w:szCs w:val="18"/>
          <w:lang w:eastAsia="bg-BG"/>
        </w:rPr>
      </w:pPr>
      <w:r w:rsidRPr="00A20DC3">
        <w:rPr>
          <w:rFonts w:eastAsia="Times New Roman" w:cs="Arial"/>
          <w:bCs/>
          <w:color w:val="000000"/>
          <w:szCs w:val="18"/>
          <w:lang w:eastAsia="bg-BG"/>
        </w:rPr>
        <w:t>В рамките на всяка група по честота, нежеланите реакции са представени в низходящ ред по отношение на сериозността им. Изброените термини за честота са дефинирани както следва: много чести (≥1/10); чести (≥1/100 до &lt;1/10).</w:t>
      </w:r>
    </w:p>
    <w:p w14:paraId="48D880A4" w14:textId="34CBFE21" w:rsidR="00A20DC3" w:rsidRDefault="00A20DC3" w:rsidP="00A20DC3">
      <w:pPr>
        <w:spacing w:line="240" w:lineRule="auto"/>
        <w:rPr>
          <w:rFonts w:eastAsia="Times New Roman" w:cs="Arial"/>
          <w:bCs/>
          <w:color w:val="000000"/>
          <w:szCs w:val="18"/>
          <w:lang w:eastAsia="bg-BG"/>
        </w:rPr>
      </w:pPr>
    </w:p>
    <w:tbl>
      <w:tblPr>
        <w:tblStyle w:val="TableGrid"/>
        <w:tblW w:w="0" w:type="auto"/>
        <w:tblLook w:val="04A0" w:firstRow="1" w:lastRow="0" w:firstColumn="1" w:lastColumn="0" w:noHBand="0" w:noVBand="1"/>
      </w:tblPr>
      <w:tblGrid>
        <w:gridCol w:w="9350"/>
      </w:tblGrid>
      <w:tr w:rsidR="00A20DC3" w14:paraId="2395992F" w14:textId="77777777" w:rsidTr="00A20DC3">
        <w:tc>
          <w:tcPr>
            <w:tcW w:w="9576" w:type="dxa"/>
            <w:vAlign w:val="bottom"/>
          </w:tcPr>
          <w:p w14:paraId="0318B2C1" w14:textId="77777777" w:rsidR="00A20DC3" w:rsidRPr="00A20DC3" w:rsidRDefault="00A20DC3" w:rsidP="00A20DC3">
            <w:pPr>
              <w:rPr>
                <w:rFonts w:cs="Arial"/>
              </w:rPr>
            </w:pPr>
            <w:r w:rsidRPr="00A20DC3">
              <w:rPr>
                <w:rFonts w:cs="Arial"/>
                <w:bCs/>
                <w:szCs w:val="18"/>
              </w:rPr>
              <w:t>Нарушения на метаболизма и храненето</w:t>
            </w:r>
          </w:p>
          <w:p w14:paraId="62A308CD" w14:textId="658E477D" w:rsidR="00A20DC3" w:rsidRPr="00A20DC3" w:rsidRDefault="00A20DC3" w:rsidP="00A20DC3">
            <w:pPr>
              <w:spacing w:line="240" w:lineRule="auto"/>
              <w:rPr>
                <w:rFonts w:eastAsia="Times New Roman" w:cs="Arial"/>
                <w:szCs w:val="24"/>
              </w:rPr>
            </w:pPr>
            <w:r w:rsidRPr="00A20DC3">
              <w:rPr>
                <w:rFonts w:cs="Arial"/>
                <w:bCs/>
                <w:i/>
                <w:iCs/>
                <w:szCs w:val="18"/>
              </w:rPr>
              <w:t>Много чести:</w:t>
            </w:r>
            <w:r w:rsidRPr="00A20DC3">
              <w:rPr>
                <w:rFonts w:cs="Arial"/>
                <w:bCs/>
                <w:szCs w:val="18"/>
              </w:rPr>
              <w:t xml:space="preserve"> Повишаване на теглото</w:t>
            </w:r>
            <w:r w:rsidRPr="00A20DC3">
              <w:rPr>
                <w:rFonts w:cs="Arial"/>
                <w:bCs/>
                <w:szCs w:val="18"/>
                <w:vertAlign w:val="superscript"/>
              </w:rPr>
              <w:t>13</w:t>
            </w:r>
            <w:r w:rsidRPr="00A20DC3">
              <w:rPr>
                <w:rFonts w:cs="Arial"/>
                <w:bCs/>
                <w:szCs w:val="18"/>
              </w:rPr>
              <w:t>, повишени нива на триглицеридите</w:t>
            </w:r>
            <w:r w:rsidRPr="00A20DC3">
              <w:rPr>
                <w:rFonts w:cs="Arial"/>
                <w:bCs/>
                <w:szCs w:val="18"/>
                <w:vertAlign w:val="superscript"/>
              </w:rPr>
              <w:t>14</w:t>
            </w:r>
            <w:r w:rsidRPr="00A20DC3">
              <w:rPr>
                <w:rFonts w:cs="Arial"/>
                <w:bCs/>
                <w:szCs w:val="18"/>
              </w:rPr>
              <w:t xml:space="preserve">, повишен апетит. </w:t>
            </w:r>
            <w:r w:rsidRPr="00A20DC3">
              <w:rPr>
                <w:rFonts w:cs="Arial"/>
                <w:bCs/>
                <w:i/>
                <w:iCs/>
                <w:szCs w:val="18"/>
              </w:rPr>
              <w:t>Чести:</w:t>
            </w:r>
            <w:r w:rsidRPr="00A20DC3">
              <w:rPr>
                <w:rFonts w:cs="Arial"/>
                <w:bCs/>
                <w:szCs w:val="18"/>
              </w:rPr>
              <w:t xml:space="preserve"> Повишени нива на холестерола</w:t>
            </w:r>
            <w:r w:rsidRPr="00A20DC3">
              <w:rPr>
                <w:rFonts w:cs="Arial"/>
                <w:bCs/>
                <w:szCs w:val="18"/>
                <w:vertAlign w:val="superscript"/>
              </w:rPr>
              <w:t>15</w:t>
            </w:r>
          </w:p>
        </w:tc>
      </w:tr>
      <w:tr w:rsidR="00A20DC3" w14:paraId="6C8110A3" w14:textId="77777777" w:rsidTr="00A20DC3">
        <w:tc>
          <w:tcPr>
            <w:tcW w:w="9576" w:type="dxa"/>
            <w:vAlign w:val="bottom"/>
          </w:tcPr>
          <w:p w14:paraId="1E597B27" w14:textId="77777777" w:rsidR="00A20DC3" w:rsidRPr="00A20DC3" w:rsidRDefault="00A20DC3" w:rsidP="00A20DC3">
            <w:pPr>
              <w:rPr>
                <w:rFonts w:cs="Arial"/>
              </w:rPr>
            </w:pPr>
            <w:r w:rsidRPr="00A20DC3">
              <w:rPr>
                <w:rFonts w:cs="Arial"/>
                <w:bCs/>
                <w:szCs w:val="18"/>
              </w:rPr>
              <w:t>Нарушения на нервната система</w:t>
            </w:r>
          </w:p>
          <w:p w14:paraId="3D226B74" w14:textId="69D6517F" w:rsidR="00A20DC3" w:rsidRPr="00A20DC3" w:rsidRDefault="00A20DC3" w:rsidP="00A20DC3">
            <w:pPr>
              <w:spacing w:line="240" w:lineRule="auto"/>
              <w:rPr>
                <w:rFonts w:eastAsia="Times New Roman" w:cs="Arial"/>
                <w:szCs w:val="24"/>
              </w:rPr>
            </w:pPr>
            <w:r w:rsidRPr="00A20DC3">
              <w:rPr>
                <w:rFonts w:cs="Arial"/>
                <w:bCs/>
                <w:i/>
                <w:iCs/>
                <w:szCs w:val="18"/>
              </w:rPr>
              <w:t>Много чести:</w:t>
            </w:r>
            <w:r w:rsidRPr="00A20DC3">
              <w:rPr>
                <w:rFonts w:cs="Arial"/>
                <w:bCs/>
                <w:szCs w:val="18"/>
              </w:rPr>
              <w:t xml:space="preserve"> Седиране (включва: хиперсомния, летаргия, сомнолентност).</w:t>
            </w:r>
          </w:p>
        </w:tc>
      </w:tr>
      <w:tr w:rsidR="00A20DC3" w14:paraId="6E6DF609" w14:textId="77777777" w:rsidTr="00A20DC3">
        <w:tc>
          <w:tcPr>
            <w:tcW w:w="9576" w:type="dxa"/>
            <w:vAlign w:val="bottom"/>
          </w:tcPr>
          <w:p w14:paraId="5E01562B" w14:textId="77777777" w:rsidR="00A20DC3" w:rsidRPr="00A20DC3" w:rsidRDefault="00A20DC3" w:rsidP="00A20DC3">
            <w:pPr>
              <w:rPr>
                <w:rFonts w:cs="Arial"/>
              </w:rPr>
            </w:pPr>
            <w:r w:rsidRPr="00A20DC3">
              <w:rPr>
                <w:rFonts w:cs="Arial"/>
                <w:bCs/>
                <w:szCs w:val="18"/>
              </w:rPr>
              <w:t>Стомашно-чревни нарушения</w:t>
            </w:r>
          </w:p>
          <w:p w14:paraId="2E6832B4" w14:textId="74539213" w:rsidR="00A20DC3" w:rsidRPr="00A20DC3" w:rsidRDefault="00A20DC3" w:rsidP="00A20DC3">
            <w:pPr>
              <w:spacing w:line="240" w:lineRule="auto"/>
              <w:rPr>
                <w:rFonts w:eastAsia="Times New Roman" w:cs="Arial"/>
                <w:szCs w:val="24"/>
              </w:rPr>
            </w:pPr>
            <w:r w:rsidRPr="00A20DC3">
              <w:rPr>
                <w:rFonts w:cs="Arial"/>
                <w:bCs/>
                <w:i/>
                <w:iCs/>
                <w:szCs w:val="18"/>
              </w:rPr>
              <w:t>Чести:</w:t>
            </w:r>
            <w:r w:rsidRPr="00A20DC3">
              <w:rPr>
                <w:rFonts w:cs="Arial"/>
                <w:bCs/>
                <w:szCs w:val="18"/>
              </w:rPr>
              <w:t xml:space="preserve"> Сухота в устата</w:t>
            </w:r>
          </w:p>
        </w:tc>
      </w:tr>
      <w:tr w:rsidR="00A20DC3" w14:paraId="79C239D7" w14:textId="77777777" w:rsidTr="00A20DC3">
        <w:tc>
          <w:tcPr>
            <w:tcW w:w="9576" w:type="dxa"/>
            <w:vAlign w:val="bottom"/>
          </w:tcPr>
          <w:p w14:paraId="4517D6AB" w14:textId="77777777" w:rsidR="00A20DC3" w:rsidRPr="00A20DC3" w:rsidRDefault="00A20DC3" w:rsidP="00A20DC3">
            <w:pPr>
              <w:rPr>
                <w:rFonts w:cs="Arial"/>
              </w:rPr>
            </w:pPr>
            <w:r w:rsidRPr="00A20DC3">
              <w:rPr>
                <w:rFonts w:cs="Arial"/>
                <w:bCs/>
                <w:szCs w:val="18"/>
              </w:rPr>
              <w:t>Хенатобнлиарни нарушения</w:t>
            </w:r>
          </w:p>
          <w:p w14:paraId="0B849E86" w14:textId="3E932A06" w:rsidR="00A20DC3" w:rsidRPr="00A20DC3" w:rsidRDefault="00A20DC3" w:rsidP="00A20DC3">
            <w:pPr>
              <w:spacing w:line="240" w:lineRule="auto"/>
              <w:rPr>
                <w:rFonts w:eastAsia="Times New Roman" w:cs="Arial"/>
                <w:szCs w:val="24"/>
              </w:rPr>
            </w:pPr>
            <w:r w:rsidRPr="00A20DC3">
              <w:rPr>
                <w:rFonts w:cs="Arial"/>
                <w:bCs/>
                <w:i/>
                <w:iCs/>
                <w:szCs w:val="18"/>
              </w:rPr>
              <w:t>Много чести:</w:t>
            </w:r>
            <w:r w:rsidRPr="00A20DC3">
              <w:rPr>
                <w:rFonts w:cs="Arial"/>
                <w:bCs/>
                <w:szCs w:val="18"/>
              </w:rPr>
              <w:t xml:space="preserve"> Увеличение на нивата на чернодробни аминотрансферази (АЛАТ/АСАТ; вж. точка 4.4).</w:t>
            </w:r>
          </w:p>
        </w:tc>
      </w:tr>
      <w:tr w:rsidR="00A20DC3" w14:paraId="361ED960" w14:textId="77777777" w:rsidTr="00A20DC3">
        <w:tc>
          <w:tcPr>
            <w:tcW w:w="9576" w:type="dxa"/>
            <w:vAlign w:val="bottom"/>
          </w:tcPr>
          <w:p w14:paraId="2EC00218" w14:textId="77777777" w:rsidR="00A20DC3" w:rsidRPr="00A20DC3" w:rsidRDefault="00A20DC3" w:rsidP="00A20DC3">
            <w:pPr>
              <w:rPr>
                <w:rFonts w:cs="Arial"/>
              </w:rPr>
            </w:pPr>
            <w:r w:rsidRPr="00A20DC3">
              <w:rPr>
                <w:rFonts w:cs="Arial"/>
                <w:bCs/>
                <w:szCs w:val="18"/>
              </w:rPr>
              <w:t>Изследвания</w:t>
            </w:r>
          </w:p>
          <w:p w14:paraId="2B31F208" w14:textId="171D2B5D" w:rsidR="00A20DC3" w:rsidRPr="00A20DC3" w:rsidRDefault="00A20DC3" w:rsidP="00A20DC3">
            <w:pPr>
              <w:spacing w:line="240" w:lineRule="auto"/>
              <w:rPr>
                <w:rFonts w:eastAsia="Times New Roman" w:cs="Arial"/>
                <w:szCs w:val="24"/>
              </w:rPr>
            </w:pPr>
            <w:r w:rsidRPr="00A20DC3">
              <w:rPr>
                <w:rFonts w:cs="Arial"/>
                <w:bCs/>
                <w:i/>
                <w:iCs/>
                <w:szCs w:val="18"/>
              </w:rPr>
              <w:t>Много чести:</w:t>
            </w:r>
            <w:r w:rsidRPr="00A20DC3">
              <w:rPr>
                <w:rFonts w:cs="Arial"/>
                <w:bCs/>
                <w:szCs w:val="18"/>
              </w:rPr>
              <w:t xml:space="preserve"> намален общ билирубин, увеличена ТТТ, увеличени плазмени нива на пролактин</w:t>
            </w:r>
            <w:r w:rsidRPr="00A20DC3">
              <w:rPr>
                <w:rFonts w:cs="Arial"/>
                <w:bCs/>
                <w:szCs w:val="18"/>
                <w:vertAlign w:val="superscript"/>
              </w:rPr>
              <w:t>16</w:t>
            </w:r>
            <w:r w:rsidRPr="00A20DC3">
              <w:rPr>
                <w:rFonts w:cs="Arial"/>
                <w:bCs/>
                <w:szCs w:val="18"/>
              </w:rPr>
              <w:t>.</w:t>
            </w:r>
          </w:p>
        </w:tc>
      </w:tr>
    </w:tbl>
    <w:p w14:paraId="10E0F6B5" w14:textId="77777777" w:rsidR="00A20DC3" w:rsidRPr="00A20DC3" w:rsidRDefault="00A20DC3" w:rsidP="00A20DC3">
      <w:pPr>
        <w:spacing w:line="240" w:lineRule="auto"/>
        <w:rPr>
          <w:rFonts w:eastAsia="Times New Roman" w:cs="Arial"/>
          <w:sz w:val="32"/>
          <w:szCs w:val="24"/>
        </w:rPr>
      </w:pPr>
    </w:p>
    <w:p w14:paraId="6A16BD1E" w14:textId="746261CE" w:rsidR="00A20DC3" w:rsidRPr="00A20DC3" w:rsidRDefault="00A20DC3" w:rsidP="00A20DC3">
      <w:pPr>
        <w:spacing w:line="240" w:lineRule="auto"/>
        <w:rPr>
          <w:rFonts w:eastAsia="Times New Roman" w:cs="Arial"/>
          <w:bCs/>
          <w:color w:val="000000"/>
          <w:lang w:eastAsia="bg-BG"/>
        </w:rPr>
      </w:pPr>
      <w:r w:rsidRPr="00A20DC3">
        <w:rPr>
          <w:vertAlign w:val="superscript"/>
          <w:lang w:val="ru-RU"/>
        </w:rPr>
        <w:t>13</w:t>
      </w:r>
      <w:r w:rsidRPr="00A20DC3">
        <w:rPr>
          <w:rFonts w:eastAsia="Times New Roman" w:cs="Arial"/>
          <w:bCs/>
          <w:color w:val="000000"/>
          <w:lang w:eastAsia="bg-BG"/>
        </w:rPr>
        <w:t xml:space="preserve">След кратко лечение (средна продължителност 22 дни) покачване на теглото &gt;7% спрямо изходните стойности (в </w:t>
      </w:r>
      <w:r w:rsidRPr="00A20DC3">
        <w:rPr>
          <w:rFonts w:eastAsia="Times New Roman" w:cs="Arial"/>
          <w:bCs/>
          <w:color w:val="000000"/>
          <w:lang w:val="en-US"/>
        </w:rPr>
        <w:t>kg</w:t>
      </w:r>
      <w:r w:rsidRPr="00A20DC3">
        <w:rPr>
          <w:rFonts w:eastAsia="Times New Roman" w:cs="Arial"/>
          <w:bCs/>
          <w:color w:val="000000"/>
          <w:lang w:val="ru-RU"/>
        </w:rPr>
        <w:t xml:space="preserve">) </w:t>
      </w:r>
      <w:r w:rsidRPr="00A20DC3">
        <w:rPr>
          <w:rFonts w:eastAsia="Times New Roman" w:cs="Arial"/>
          <w:bCs/>
          <w:color w:val="000000"/>
          <w:lang w:eastAsia="bg-BG"/>
        </w:rPr>
        <w:t>е много често (40,6 %), ≥15% от изходното телесно тегло е често (7,1 %) и ≥25% е често (2,5 %). При продължителна експозиция (поне 24 седмици), 89,4 % са повишили теглото си с ≥7%, 55,3 % с ≥15% и 29,1 % с ≥25% спрямо изходните стойности.</w:t>
      </w:r>
    </w:p>
    <w:p w14:paraId="5B1F498E" w14:textId="77777777" w:rsidR="00A20DC3" w:rsidRPr="00A20DC3" w:rsidRDefault="00A20DC3" w:rsidP="00A20DC3">
      <w:pPr>
        <w:spacing w:line="240" w:lineRule="auto"/>
        <w:rPr>
          <w:rFonts w:eastAsia="Times New Roman" w:cs="Arial"/>
          <w:bCs/>
          <w:color w:val="000000"/>
          <w:lang w:eastAsia="bg-BG"/>
        </w:rPr>
      </w:pPr>
    </w:p>
    <w:p w14:paraId="05621227" w14:textId="22C7764E" w:rsidR="00A20DC3" w:rsidRPr="00A20DC3" w:rsidRDefault="00A20DC3" w:rsidP="00A20DC3">
      <w:pPr>
        <w:spacing w:line="240" w:lineRule="auto"/>
        <w:rPr>
          <w:rFonts w:eastAsia="Times New Roman" w:cs="Arial"/>
          <w:bCs/>
          <w:color w:val="000000"/>
          <w:lang w:eastAsia="bg-BG"/>
        </w:rPr>
      </w:pPr>
      <w:r w:rsidRPr="00A20DC3">
        <w:rPr>
          <w:vertAlign w:val="superscript"/>
          <w:lang w:val="ru-RU"/>
        </w:rPr>
        <w:t>14</w:t>
      </w:r>
      <w:r w:rsidRPr="00A20DC3">
        <w:rPr>
          <w:rFonts w:eastAsia="Times New Roman" w:cs="Arial"/>
          <w:bCs/>
          <w:color w:val="000000"/>
          <w:lang w:eastAsia="bg-BG"/>
        </w:rPr>
        <w:t xml:space="preserve">Наблюдавани са нормални изходни стойности на гладно (&lt;1,016 </w:t>
      </w:r>
      <w:proofErr w:type="spellStart"/>
      <w:r w:rsidRPr="00A20DC3">
        <w:rPr>
          <w:rFonts w:eastAsia="Times New Roman" w:cs="Arial"/>
          <w:bCs/>
          <w:color w:val="000000"/>
          <w:lang w:val="en-US"/>
        </w:rPr>
        <w:t>mmol</w:t>
      </w:r>
      <w:proofErr w:type="spellEnd"/>
      <w:r w:rsidRPr="00A20DC3">
        <w:rPr>
          <w:rFonts w:eastAsia="Times New Roman" w:cs="Arial"/>
          <w:bCs/>
          <w:color w:val="000000"/>
          <w:lang w:val="ru-RU"/>
        </w:rPr>
        <w:t xml:space="preserve">/1), </w:t>
      </w:r>
      <w:r w:rsidRPr="00A20DC3">
        <w:rPr>
          <w:rFonts w:eastAsia="Times New Roman" w:cs="Arial"/>
          <w:bCs/>
          <w:color w:val="000000"/>
          <w:lang w:eastAsia="bg-BG"/>
        </w:rPr>
        <w:t xml:space="preserve">които са се увеличили до високи нива </w:t>
      </w:r>
      <w:proofErr w:type="gramStart"/>
      <w:r w:rsidRPr="00A20DC3">
        <w:rPr>
          <w:rFonts w:eastAsia="Times New Roman" w:cs="Arial"/>
          <w:bCs/>
          <w:color w:val="000000"/>
          <w:lang w:eastAsia="bg-BG"/>
        </w:rPr>
        <w:t>(&gt;1,467</w:t>
      </w:r>
      <w:proofErr w:type="gramEnd"/>
      <w:r w:rsidRPr="00A20DC3">
        <w:rPr>
          <w:rFonts w:eastAsia="Times New Roman" w:cs="Arial"/>
          <w:bCs/>
          <w:color w:val="000000"/>
          <w:lang w:eastAsia="bg-BG"/>
        </w:rPr>
        <w:t xml:space="preserve"> </w:t>
      </w:r>
      <w:proofErr w:type="spellStart"/>
      <w:r w:rsidRPr="00A20DC3">
        <w:rPr>
          <w:rFonts w:eastAsia="Times New Roman" w:cs="Arial"/>
          <w:bCs/>
          <w:color w:val="000000"/>
          <w:lang w:val="en-US"/>
        </w:rPr>
        <w:t>mmol</w:t>
      </w:r>
      <w:proofErr w:type="spellEnd"/>
      <w:r w:rsidRPr="00A20DC3">
        <w:rPr>
          <w:rFonts w:eastAsia="Times New Roman" w:cs="Arial"/>
          <w:bCs/>
          <w:color w:val="000000"/>
          <w:lang w:val="ru-RU"/>
        </w:rPr>
        <w:t xml:space="preserve">/1) </w:t>
      </w:r>
      <w:r w:rsidRPr="00A20DC3">
        <w:rPr>
          <w:rFonts w:eastAsia="Times New Roman" w:cs="Arial"/>
          <w:bCs/>
          <w:color w:val="000000"/>
          <w:lang w:eastAsia="bg-BG"/>
        </w:rPr>
        <w:t xml:space="preserve">и промените в стойностите на триглицеридите на гладно от изходно гранично ниво (≥1,016 </w:t>
      </w:r>
      <w:proofErr w:type="spellStart"/>
      <w:r w:rsidRPr="00A20DC3">
        <w:rPr>
          <w:rFonts w:eastAsia="Times New Roman" w:cs="Arial"/>
          <w:bCs/>
          <w:color w:val="000000"/>
          <w:lang w:val="en-US"/>
        </w:rPr>
        <w:t>mmol</w:t>
      </w:r>
      <w:proofErr w:type="spellEnd"/>
      <w:r w:rsidRPr="00A20DC3">
        <w:rPr>
          <w:rFonts w:eastAsia="Times New Roman" w:cs="Arial"/>
          <w:bCs/>
          <w:color w:val="000000"/>
          <w:lang w:val="ru-RU"/>
        </w:rPr>
        <w:t xml:space="preserve">/1 </w:t>
      </w:r>
      <w:r w:rsidRPr="00A20DC3">
        <w:rPr>
          <w:rFonts w:eastAsia="Times New Roman" w:cs="Arial"/>
          <w:bCs/>
          <w:color w:val="000000"/>
          <w:lang w:eastAsia="bg-BG"/>
        </w:rPr>
        <w:t xml:space="preserve">- &lt;1,467 </w:t>
      </w:r>
      <w:proofErr w:type="spellStart"/>
      <w:r w:rsidRPr="00A20DC3">
        <w:rPr>
          <w:rFonts w:eastAsia="Times New Roman" w:cs="Arial"/>
          <w:bCs/>
          <w:color w:val="000000"/>
          <w:lang w:val="en-US"/>
        </w:rPr>
        <w:t>mmol</w:t>
      </w:r>
      <w:proofErr w:type="spellEnd"/>
      <w:r w:rsidRPr="00A20DC3">
        <w:rPr>
          <w:rFonts w:eastAsia="Times New Roman" w:cs="Arial"/>
          <w:bCs/>
          <w:color w:val="000000"/>
          <w:lang w:val="ru-RU"/>
        </w:rPr>
        <w:t xml:space="preserve">/1) </w:t>
      </w:r>
      <w:r w:rsidRPr="00A20DC3">
        <w:rPr>
          <w:rFonts w:eastAsia="Times New Roman" w:cs="Arial"/>
          <w:bCs/>
          <w:color w:val="000000"/>
          <w:lang w:eastAsia="bg-BG"/>
        </w:rPr>
        <w:t xml:space="preserve">до високи нива (≥1,467 </w:t>
      </w:r>
      <w:proofErr w:type="spellStart"/>
      <w:r w:rsidRPr="00A20DC3">
        <w:rPr>
          <w:rFonts w:eastAsia="Times New Roman" w:cs="Arial"/>
          <w:bCs/>
          <w:color w:val="000000"/>
          <w:lang w:val="en-US"/>
        </w:rPr>
        <w:t>mmol</w:t>
      </w:r>
      <w:proofErr w:type="spellEnd"/>
      <w:r w:rsidRPr="00A20DC3">
        <w:rPr>
          <w:rFonts w:eastAsia="Times New Roman" w:cs="Arial"/>
          <w:bCs/>
          <w:color w:val="000000"/>
          <w:lang w:val="ru-RU"/>
        </w:rPr>
        <w:t>/1).</w:t>
      </w:r>
    </w:p>
    <w:p w14:paraId="3153221C" w14:textId="77777777" w:rsidR="00A20DC3" w:rsidRPr="00A20DC3" w:rsidRDefault="00A20DC3" w:rsidP="00A20DC3">
      <w:pPr>
        <w:spacing w:line="240" w:lineRule="auto"/>
        <w:rPr>
          <w:rFonts w:eastAsia="Times New Roman" w:cs="Arial"/>
          <w:bCs/>
          <w:color w:val="000000"/>
          <w:lang w:eastAsia="bg-BG"/>
        </w:rPr>
      </w:pPr>
    </w:p>
    <w:p w14:paraId="1E5F1C04" w14:textId="6CC2FCA9" w:rsidR="00A20DC3" w:rsidRPr="00A20DC3" w:rsidRDefault="00A20DC3" w:rsidP="00A20DC3">
      <w:pPr>
        <w:spacing w:line="240" w:lineRule="auto"/>
        <w:rPr>
          <w:rFonts w:eastAsia="Times New Roman" w:cs="Arial"/>
          <w:bCs/>
          <w:color w:val="000000"/>
          <w:lang w:eastAsia="bg-BG"/>
        </w:rPr>
      </w:pPr>
      <w:r w:rsidRPr="00A20DC3">
        <w:rPr>
          <w:vertAlign w:val="superscript"/>
          <w:lang w:val="ru-RU"/>
        </w:rPr>
        <w:lastRenderedPageBreak/>
        <w:t>15</w:t>
      </w:r>
      <w:r w:rsidRPr="00A20DC3">
        <w:rPr>
          <w:rFonts w:eastAsia="Times New Roman" w:cs="Arial"/>
          <w:bCs/>
          <w:color w:val="000000"/>
          <w:lang w:eastAsia="bg-BG"/>
        </w:rPr>
        <w:t xml:space="preserve">Промени в общия холестерол на гладно от нормалните изходни стойности (&lt;4,39 </w:t>
      </w:r>
      <w:proofErr w:type="spellStart"/>
      <w:r w:rsidRPr="00A20DC3">
        <w:rPr>
          <w:rFonts w:eastAsia="Times New Roman" w:cs="Arial"/>
          <w:bCs/>
          <w:color w:val="000000"/>
          <w:lang w:val="en-US"/>
        </w:rPr>
        <w:t>mmol</w:t>
      </w:r>
      <w:proofErr w:type="spellEnd"/>
      <w:r w:rsidRPr="00A20DC3">
        <w:rPr>
          <w:rFonts w:eastAsia="Times New Roman" w:cs="Arial"/>
          <w:bCs/>
          <w:color w:val="000000"/>
          <w:lang w:val="ru-RU"/>
        </w:rPr>
        <w:t xml:space="preserve">/1) </w:t>
      </w:r>
      <w:r w:rsidRPr="00A20DC3">
        <w:rPr>
          <w:rFonts w:eastAsia="Times New Roman" w:cs="Arial"/>
          <w:bCs/>
          <w:color w:val="000000"/>
          <w:lang w:eastAsia="bg-BG"/>
        </w:rPr>
        <w:t xml:space="preserve">до високи нива (≥5,17 </w:t>
      </w:r>
      <w:proofErr w:type="spellStart"/>
      <w:r w:rsidRPr="00A20DC3">
        <w:rPr>
          <w:rFonts w:eastAsia="Times New Roman" w:cs="Arial"/>
          <w:bCs/>
          <w:color w:val="000000"/>
          <w:lang w:val="en-US"/>
        </w:rPr>
        <w:t>mmol</w:t>
      </w:r>
      <w:proofErr w:type="spellEnd"/>
      <w:r w:rsidRPr="00A20DC3">
        <w:rPr>
          <w:rFonts w:eastAsia="Times New Roman" w:cs="Arial"/>
          <w:bCs/>
          <w:color w:val="000000"/>
          <w:lang w:val="ru-RU"/>
        </w:rPr>
        <w:t xml:space="preserve">/1) </w:t>
      </w:r>
      <w:r w:rsidRPr="00A20DC3">
        <w:rPr>
          <w:rFonts w:eastAsia="Times New Roman" w:cs="Arial"/>
          <w:bCs/>
          <w:color w:val="000000"/>
          <w:lang w:eastAsia="bg-BG"/>
        </w:rPr>
        <w:t xml:space="preserve">са наблюдавани често. Промените в стойностите на общия холестерол на гладно от изходно гранично ниво (≥4,39 - &lt;5,17 </w:t>
      </w:r>
      <w:proofErr w:type="spellStart"/>
      <w:r w:rsidRPr="00A20DC3">
        <w:rPr>
          <w:rFonts w:eastAsia="Times New Roman" w:cs="Arial"/>
          <w:bCs/>
          <w:color w:val="000000"/>
          <w:lang w:val="en-US"/>
        </w:rPr>
        <w:t>mmol</w:t>
      </w:r>
      <w:proofErr w:type="spellEnd"/>
      <w:r w:rsidRPr="00A20DC3">
        <w:rPr>
          <w:rFonts w:eastAsia="Times New Roman" w:cs="Arial"/>
          <w:bCs/>
          <w:color w:val="000000"/>
          <w:lang w:val="ru-RU"/>
        </w:rPr>
        <w:t xml:space="preserve">/1) </w:t>
      </w:r>
      <w:r w:rsidRPr="00A20DC3">
        <w:rPr>
          <w:rFonts w:eastAsia="Times New Roman" w:cs="Arial"/>
          <w:bCs/>
          <w:color w:val="000000"/>
          <w:lang w:eastAsia="bg-BG"/>
        </w:rPr>
        <w:t xml:space="preserve">до високи нива (≥5,17 </w:t>
      </w:r>
      <w:proofErr w:type="spellStart"/>
      <w:r w:rsidRPr="00A20DC3">
        <w:rPr>
          <w:rFonts w:eastAsia="Times New Roman" w:cs="Arial"/>
          <w:bCs/>
          <w:color w:val="000000"/>
          <w:lang w:val="en-US"/>
        </w:rPr>
        <w:t>mmol</w:t>
      </w:r>
      <w:proofErr w:type="spellEnd"/>
      <w:r w:rsidRPr="00A20DC3">
        <w:rPr>
          <w:rFonts w:eastAsia="Times New Roman" w:cs="Arial"/>
          <w:bCs/>
          <w:color w:val="000000"/>
          <w:lang w:val="ru-RU"/>
        </w:rPr>
        <w:t xml:space="preserve">/1) </w:t>
      </w:r>
      <w:r w:rsidRPr="00A20DC3">
        <w:rPr>
          <w:rFonts w:eastAsia="Times New Roman" w:cs="Arial"/>
          <w:bCs/>
          <w:color w:val="000000"/>
          <w:lang w:eastAsia="bg-BG"/>
        </w:rPr>
        <w:t>са били много чести.</w:t>
      </w:r>
    </w:p>
    <w:p w14:paraId="0455100B" w14:textId="77777777" w:rsidR="00A20DC3" w:rsidRPr="00A20DC3" w:rsidRDefault="00A20DC3" w:rsidP="00A20DC3">
      <w:pPr>
        <w:spacing w:line="240" w:lineRule="auto"/>
        <w:rPr>
          <w:rFonts w:eastAsia="Times New Roman" w:cs="Arial"/>
          <w:bCs/>
          <w:color w:val="000000"/>
          <w:lang w:eastAsia="bg-BG"/>
        </w:rPr>
      </w:pPr>
    </w:p>
    <w:p w14:paraId="41C2819F" w14:textId="319855FD" w:rsidR="00A20DC3" w:rsidRPr="00A20DC3" w:rsidRDefault="00A20DC3" w:rsidP="00A20DC3">
      <w:pPr>
        <w:spacing w:line="240" w:lineRule="auto"/>
        <w:rPr>
          <w:rFonts w:eastAsia="Times New Roman" w:cs="Arial"/>
          <w:bCs/>
          <w:color w:val="000000"/>
          <w:lang w:eastAsia="bg-BG"/>
        </w:rPr>
      </w:pPr>
      <w:r w:rsidRPr="00A20DC3">
        <w:rPr>
          <w:rFonts w:eastAsia="Times New Roman" w:cs="Arial"/>
          <w:bCs/>
          <w:color w:val="000000"/>
          <w:lang w:val="ru-RU" w:eastAsia="bg-BG"/>
        </w:rPr>
        <w:t>16</w:t>
      </w:r>
      <w:r w:rsidRPr="00A20DC3">
        <w:rPr>
          <w:rFonts w:eastAsia="Times New Roman" w:cs="Arial"/>
          <w:bCs/>
          <w:color w:val="000000"/>
          <w:lang w:eastAsia="bg-BG"/>
        </w:rPr>
        <w:t>Повишени плазмени нива на пролактин са съобщавани при 47,4% от пациентите в юношеска възраст.</w:t>
      </w:r>
    </w:p>
    <w:p w14:paraId="544D74EF" w14:textId="77777777" w:rsidR="00A20DC3" w:rsidRPr="00A20DC3" w:rsidRDefault="00A20DC3" w:rsidP="00A20DC3">
      <w:pPr>
        <w:spacing w:line="240" w:lineRule="auto"/>
        <w:rPr>
          <w:rFonts w:eastAsia="Times New Roman" w:cs="Arial"/>
          <w:bCs/>
          <w:color w:val="000000"/>
          <w:u w:val="single"/>
          <w:lang w:eastAsia="bg-BG"/>
        </w:rPr>
      </w:pPr>
    </w:p>
    <w:p w14:paraId="5DF38521" w14:textId="3C278CB3" w:rsidR="00A20DC3" w:rsidRPr="00A20DC3" w:rsidRDefault="00A20DC3" w:rsidP="00A20DC3">
      <w:pPr>
        <w:spacing w:line="240" w:lineRule="auto"/>
        <w:rPr>
          <w:rFonts w:eastAsia="Times New Roman" w:cs="Arial"/>
        </w:rPr>
      </w:pPr>
      <w:r w:rsidRPr="00A20DC3">
        <w:rPr>
          <w:rFonts w:eastAsia="Times New Roman" w:cs="Arial"/>
          <w:bCs/>
          <w:color w:val="000000"/>
          <w:u w:val="single"/>
          <w:lang w:eastAsia="bg-BG"/>
        </w:rPr>
        <w:t>Съобщаване на подозирани нежелани реакции</w:t>
      </w:r>
    </w:p>
    <w:p w14:paraId="6247310E" w14:textId="77777777" w:rsidR="00A20DC3" w:rsidRPr="00A20DC3" w:rsidRDefault="00A20DC3" w:rsidP="00A20DC3">
      <w:pPr>
        <w:spacing w:line="240" w:lineRule="auto"/>
        <w:rPr>
          <w:rFonts w:ascii="Times New Roman" w:eastAsia="Times New Roman" w:hAnsi="Times New Roman" w:cs="Times New Roman"/>
          <w:sz w:val="24"/>
          <w:szCs w:val="24"/>
        </w:rPr>
      </w:pPr>
      <w:r w:rsidRPr="00A20DC3">
        <w:rPr>
          <w:rFonts w:eastAsia="Times New Roman" w:cs="Arial"/>
          <w:bCs/>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в Изпълнителна агенция по лекарствата ул., Дамян Груев“ № 8,1303 София, Тел.: +35 928903417, уебсайт: </w:t>
      </w:r>
      <w:r w:rsidRPr="00A20DC3">
        <w:rPr>
          <w:rFonts w:eastAsia="Times New Roman" w:cs="Arial"/>
        </w:rPr>
        <w:fldChar w:fldCharType="begin"/>
      </w:r>
      <w:r w:rsidRPr="00A20DC3">
        <w:rPr>
          <w:rFonts w:eastAsia="Times New Roman" w:cs="Arial"/>
        </w:rPr>
        <w:instrText xml:space="preserve"> HYPERLINK "http://www.bda.bg" </w:instrText>
      </w:r>
      <w:r w:rsidRPr="00A20DC3">
        <w:rPr>
          <w:rFonts w:eastAsia="Times New Roman" w:cs="Arial"/>
        </w:rPr>
      </w:r>
      <w:r w:rsidRPr="00A20DC3">
        <w:rPr>
          <w:rFonts w:eastAsia="Times New Roman" w:cs="Arial"/>
        </w:rPr>
        <w:fldChar w:fldCharType="separate"/>
      </w:r>
      <w:r w:rsidRPr="00A20DC3">
        <w:rPr>
          <w:rFonts w:eastAsia="Times New Roman" w:cs="Arial"/>
          <w:bCs/>
          <w:color w:val="000000"/>
          <w:u w:val="single"/>
          <w:lang w:val="en-US"/>
        </w:rPr>
        <w:t>www</w:t>
      </w:r>
      <w:r w:rsidRPr="00A20DC3">
        <w:rPr>
          <w:rFonts w:eastAsia="Times New Roman" w:cs="Arial"/>
          <w:bCs/>
          <w:color w:val="000000"/>
          <w:u w:val="single"/>
          <w:lang w:val="ru-RU"/>
        </w:rPr>
        <w:t>.</w:t>
      </w:r>
      <w:proofErr w:type="spellStart"/>
      <w:r w:rsidRPr="00A20DC3">
        <w:rPr>
          <w:rFonts w:eastAsia="Times New Roman" w:cs="Arial"/>
          <w:bCs/>
          <w:color w:val="000000"/>
          <w:u w:val="single"/>
          <w:lang w:val="en-US"/>
        </w:rPr>
        <w:t>bda</w:t>
      </w:r>
      <w:proofErr w:type="spellEnd"/>
      <w:r w:rsidRPr="00A20DC3">
        <w:rPr>
          <w:rFonts w:eastAsia="Times New Roman" w:cs="Arial"/>
          <w:bCs/>
          <w:color w:val="000000"/>
          <w:u w:val="single"/>
          <w:lang w:val="ru-RU"/>
        </w:rPr>
        <w:t>.</w:t>
      </w:r>
      <w:proofErr w:type="spellStart"/>
      <w:r w:rsidRPr="00A20DC3">
        <w:rPr>
          <w:rFonts w:eastAsia="Times New Roman" w:cs="Arial"/>
          <w:bCs/>
          <w:color w:val="000000"/>
          <w:u w:val="single"/>
          <w:lang w:val="en-US"/>
        </w:rPr>
        <w:t>bg</w:t>
      </w:r>
      <w:proofErr w:type="spellEnd"/>
      <w:r w:rsidRPr="00A20DC3">
        <w:rPr>
          <w:rFonts w:eastAsia="Times New Roman" w:cs="Arial"/>
        </w:rPr>
        <w:fldChar w:fldCharType="end"/>
      </w:r>
    </w:p>
    <w:p w14:paraId="0ADF8FBE" w14:textId="3D9A275E" w:rsidR="00A20DC3" w:rsidRPr="00A20DC3" w:rsidRDefault="00A20DC3" w:rsidP="00A20DC3"/>
    <w:p w14:paraId="5A87DBA3" w14:textId="04492D6B" w:rsidR="007122AD" w:rsidRDefault="002C50EE" w:rsidP="00936AD0">
      <w:pPr>
        <w:pStyle w:val="Heading2"/>
      </w:pPr>
      <w:r>
        <w:t>4.9. Предозиране</w:t>
      </w:r>
    </w:p>
    <w:p w14:paraId="06601CD8" w14:textId="303F3C13" w:rsidR="00A20DC3" w:rsidRDefault="00A20DC3" w:rsidP="00A20DC3"/>
    <w:p w14:paraId="2753C83B" w14:textId="77777777"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Признаци и симптоми</w:t>
      </w:r>
    </w:p>
    <w:p w14:paraId="22C59531" w14:textId="77777777" w:rsidR="00A20DC3" w:rsidRPr="00A20DC3" w:rsidRDefault="00A20DC3" w:rsidP="00A20DC3">
      <w:pPr>
        <w:spacing w:line="240" w:lineRule="auto"/>
        <w:rPr>
          <w:rFonts w:eastAsia="Times New Roman" w:cs="Arial"/>
          <w:bCs/>
          <w:color w:val="000000"/>
          <w:szCs w:val="18"/>
          <w:lang w:eastAsia="bg-BG"/>
        </w:rPr>
      </w:pPr>
    </w:p>
    <w:p w14:paraId="543550CE" w14:textId="1C69D2B8"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Много чести симптоми на предозиране (&gt;10% честота) включват тахикардия, ажитация/ агресивност, дизартрия, различни екстрапирамидни симптоми и намалена степен на съзнание, варираща от седация до кома.</w:t>
      </w:r>
    </w:p>
    <w:p w14:paraId="04F061D3" w14:textId="10F9430F" w:rsidR="00A20DC3" w:rsidRPr="00A20DC3" w:rsidRDefault="00A20DC3" w:rsidP="00A20DC3">
      <w:pPr>
        <w:rPr>
          <w:rFonts w:cs="Arial"/>
          <w:sz w:val="28"/>
        </w:rPr>
      </w:pPr>
    </w:p>
    <w:p w14:paraId="0BB3FC74"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Други значими последици на предозиране включват делир, конвулсии, кома, вероятен малигнен невролептичен синдром, потискане на дишането, аспирация, хипертония или хипотония, сърдечни аритмии (&lt;2% от случаите на предозиране) </w:t>
      </w:r>
      <w:r w:rsidRPr="00A20DC3">
        <w:rPr>
          <w:rFonts w:eastAsia="Times New Roman" w:cs="Arial"/>
          <w:bCs/>
          <w:i/>
          <w:iCs/>
          <w:color w:val="000000"/>
          <w:szCs w:val="18"/>
          <w:lang w:eastAsia="bg-BG"/>
        </w:rPr>
        <w:t>и</w:t>
      </w:r>
      <w:r w:rsidRPr="00A20DC3">
        <w:rPr>
          <w:rFonts w:eastAsia="Times New Roman" w:cs="Arial"/>
          <w:bCs/>
          <w:color w:val="000000"/>
          <w:szCs w:val="18"/>
          <w:lang w:eastAsia="bg-BG"/>
        </w:rPr>
        <w:t xml:space="preserve"> сърдечно- белодробен арест. Фатални случаи са съобщавани при остро предозиране с ниски дози от 450 </w:t>
      </w:r>
      <w:r w:rsidRPr="00A20DC3">
        <w:rPr>
          <w:rFonts w:eastAsia="Times New Roman" w:cs="Arial"/>
          <w:bCs/>
          <w:color w:val="000000"/>
          <w:szCs w:val="18"/>
          <w:lang w:val="en-US"/>
        </w:rPr>
        <w:t>mg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но също така са съобщени случаи за преживяване на остро дозиране с приблизително 2 </w:t>
      </w:r>
      <w:r w:rsidRPr="00A20DC3">
        <w:rPr>
          <w:rFonts w:eastAsia="Times New Roman" w:cs="Arial"/>
          <w:bCs/>
          <w:color w:val="000000"/>
          <w:szCs w:val="18"/>
          <w:lang w:val="en-US"/>
        </w:rPr>
        <w:t>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оланзапин перорално.</w:t>
      </w:r>
    </w:p>
    <w:p w14:paraId="1336A028" w14:textId="77777777" w:rsidR="00A20DC3" w:rsidRPr="00A20DC3" w:rsidRDefault="00A20DC3" w:rsidP="00A20DC3">
      <w:pPr>
        <w:spacing w:line="240" w:lineRule="auto"/>
        <w:rPr>
          <w:rFonts w:eastAsia="Times New Roman" w:cs="Arial"/>
          <w:bCs/>
          <w:i/>
          <w:iCs/>
          <w:color w:val="000000"/>
          <w:szCs w:val="18"/>
          <w:u w:val="single"/>
          <w:lang w:eastAsia="bg-BG"/>
        </w:rPr>
      </w:pPr>
    </w:p>
    <w:p w14:paraId="12E8AB6F" w14:textId="3C93F54F"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Поведение при предозиране</w:t>
      </w:r>
    </w:p>
    <w:p w14:paraId="35E698C1" w14:textId="77777777" w:rsidR="00A20DC3" w:rsidRPr="00A20DC3" w:rsidRDefault="00A20DC3" w:rsidP="00A20DC3">
      <w:pPr>
        <w:spacing w:line="240" w:lineRule="auto"/>
        <w:rPr>
          <w:rFonts w:eastAsia="Times New Roman" w:cs="Arial"/>
          <w:bCs/>
          <w:color w:val="000000"/>
          <w:szCs w:val="18"/>
          <w:lang w:eastAsia="bg-BG"/>
        </w:rPr>
      </w:pPr>
    </w:p>
    <w:p w14:paraId="04FEDD98" w14:textId="4087D441" w:rsidR="00A20DC3" w:rsidRPr="00A20DC3" w:rsidRDefault="00A20DC3" w:rsidP="00A20DC3">
      <w:pPr>
        <w:spacing w:line="240" w:lineRule="auto"/>
        <w:rPr>
          <w:rFonts w:eastAsia="Times New Roman" w:cs="Arial"/>
          <w:bCs/>
          <w:color w:val="000000"/>
          <w:szCs w:val="18"/>
          <w:lang w:eastAsia="bg-BG"/>
        </w:rPr>
      </w:pPr>
      <w:r w:rsidRPr="00A20DC3">
        <w:rPr>
          <w:rFonts w:eastAsia="Times New Roman" w:cs="Arial"/>
          <w:bCs/>
          <w:color w:val="000000"/>
          <w:szCs w:val="18"/>
          <w:lang w:eastAsia="bg-BG"/>
        </w:rPr>
        <w:t xml:space="preserve">Не съществува специфичен антидот за оланзапин. Не се препоръчва предизвикване на повръщане. </w:t>
      </w:r>
    </w:p>
    <w:p w14:paraId="03058B22" w14:textId="31AAEACF"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Стандартните процедури за справяне с предозирането (например стомашна промивка, приложение на активен въглен) могат да бъдат показани. Наблюдавано е, че едновременното приложение на активен въглен намалява оралната бионаличност на оланзапин с 50 до 60%.</w:t>
      </w:r>
    </w:p>
    <w:p w14:paraId="264E5AE4" w14:textId="77777777" w:rsidR="00A20DC3" w:rsidRPr="00A20DC3" w:rsidRDefault="00A20DC3" w:rsidP="00A20DC3">
      <w:pPr>
        <w:spacing w:line="240" w:lineRule="auto"/>
        <w:rPr>
          <w:rFonts w:eastAsia="Times New Roman" w:cs="Arial"/>
          <w:bCs/>
          <w:color w:val="000000"/>
          <w:szCs w:val="18"/>
          <w:lang w:eastAsia="bg-BG"/>
        </w:rPr>
      </w:pPr>
    </w:p>
    <w:p w14:paraId="06B7479C" w14:textId="6A7F0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Симптоматичното лечение и проследяване на функциите на жизнените органи трябва да се приложи според клиничната картина, включително лечение на хипотонията и циркулаторния шок и поддръжка на дихателната функция. Не използвайте адреналин, допамин или други симпатикомиметици с бета-агонистична активност, тъй като бета стимулацията може да влоши хипотонията. Сърдечно-съдово проследяване е необходимо за установяване на възможни аритмии. Стриктното медицинско наблюдение и мониторинг трябва да продължат докато пациентът не се възстанови.</w:t>
      </w:r>
    </w:p>
    <w:p w14:paraId="04069B1F" w14:textId="77777777" w:rsidR="00A20DC3" w:rsidRPr="00A20DC3" w:rsidRDefault="00A20DC3" w:rsidP="00A20DC3">
      <w:pPr>
        <w:spacing w:line="240" w:lineRule="auto"/>
        <w:rPr>
          <w:rFonts w:eastAsia="Times New Roman" w:cs="Arial"/>
          <w:bCs/>
          <w:i/>
          <w:iCs/>
          <w:color w:val="000000"/>
          <w:szCs w:val="18"/>
          <w:u w:val="single"/>
          <w:lang w:eastAsia="bg-BG"/>
        </w:rPr>
      </w:pPr>
    </w:p>
    <w:p w14:paraId="4042DE40" w14:textId="27019D91"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Педиатрична популация</w:t>
      </w:r>
    </w:p>
    <w:p w14:paraId="31FF7104" w14:textId="77777777" w:rsidR="00A20DC3" w:rsidRPr="00A20DC3" w:rsidRDefault="00A20DC3" w:rsidP="00A20DC3">
      <w:pPr>
        <w:rPr>
          <w:rFonts w:eastAsia="Times New Roman" w:cs="Arial"/>
          <w:bCs/>
          <w:color w:val="000000"/>
          <w:szCs w:val="18"/>
          <w:lang w:eastAsia="bg-BG"/>
        </w:rPr>
      </w:pPr>
    </w:p>
    <w:p w14:paraId="458E4A26" w14:textId="0C79A6C4" w:rsidR="00A20DC3" w:rsidRPr="00A20DC3" w:rsidRDefault="00A20DC3" w:rsidP="00A20DC3">
      <w:pPr>
        <w:rPr>
          <w:rFonts w:cs="Arial"/>
          <w:sz w:val="28"/>
        </w:rPr>
      </w:pPr>
      <w:r w:rsidRPr="00A20DC3">
        <w:rPr>
          <w:rFonts w:eastAsia="Times New Roman" w:cs="Arial"/>
          <w:bCs/>
          <w:color w:val="000000"/>
          <w:szCs w:val="18"/>
          <w:lang w:eastAsia="bg-BG"/>
        </w:rPr>
        <w:lastRenderedPageBreak/>
        <w:t>Няма данни по отношение на деца и юноши.</w:t>
      </w:r>
    </w:p>
    <w:p w14:paraId="02081B24" w14:textId="1F46E296" w:rsidR="00395555" w:rsidRPr="00395555" w:rsidRDefault="002C50EE" w:rsidP="008A6AF2">
      <w:pPr>
        <w:pStyle w:val="Heading1"/>
      </w:pPr>
      <w:r>
        <w:t>5. ФАРМАКОЛОГИЧНИ СВОЙСТВА</w:t>
      </w:r>
    </w:p>
    <w:p w14:paraId="7DE36AC8" w14:textId="3D2137C5" w:rsidR="00B6672E" w:rsidRDefault="002C50EE" w:rsidP="00936AD0">
      <w:pPr>
        <w:pStyle w:val="Heading2"/>
      </w:pPr>
      <w:r>
        <w:t>5.1. Фармакодинамични свойства</w:t>
      </w:r>
    </w:p>
    <w:p w14:paraId="3E655AC8" w14:textId="515878CE" w:rsidR="00A20DC3" w:rsidRDefault="00A20DC3" w:rsidP="00A20DC3"/>
    <w:p w14:paraId="58D16A0E"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Фармакотерапевтична група: Психолептици, Антипсихотици, Диазепини, оксазепини, тиазепини и оксепини, АТС код: </w:t>
      </w:r>
      <w:r w:rsidRPr="00A20DC3">
        <w:rPr>
          <w:rFonts w:eastAsia="Times New Roman" w:cs="Arial"/>
          <w:bCs/>
          <w:color w:val="000000"/>
          <w:szCs w:val="18"/>
          <w:lang w:val="en-US"/>
        </w:rPr>
        <w:t>N</w:t>
      </w:r>
      <w:r w:rsidRPr="00A20DC3">
        <w:rPr>
          <w:rFonts w:eastAsia="Times New Roman" w:cs="Arial"/>
          <w:bCs/>
          <w:color w:val="000000"/>
          <w:szCs w:val="18"/>
        </w:rPr>
        <w:t>05</w:t>
      </w:r>
      <w:r w:rsidRPr="00A20DC3">
        <w:rPr>
          <w:rFonts w:eastAsia="Times New Roman" w:cs="Arial"/>
          <w:bCs/>
          <w:color w:val="000000"/>
          <w:szCs w:val="18"/>
          <w:lang w:val="en-US"/>
        </w:rPr>
        <w:t>A</w:t>
      </w:r>
      <w:r w:rsidRPr="00A20DC3">
        <w:rPr>
          <w:rFonts w:eastAsia="Times New Roman" w:cs="Arial"/>
          <w:bCs/>
          <w:color w:val="000000"/>
          <w:szCs w:val="18"/>
        </w:rPr>
        <w:t xml:space="preserve"> </w:t>
      </w:r>
      <w:r w:rsidRPr="00A20DC3">
        <w:rPr>
          <w:rFonts w:eastAsia="Times New Roman" w:cs="Arial"/>
          <w:bCs/>
          <w:color w:val="000000"/>
          <w:szCs w:val="18"/>
          <w:lang w:eastAsia="bg-BG"/>
        </w:rPr>
        <w:t>НОЗ.</w:t>
      </w:r>
    </w:p>
    <w:p w14:paraId="1FC6E528" w14:textId="77777777" w:rsidR="00A20DC3" w:rsidRPr="00A20DC3" w:rsidRDefault="00A20DC3" w:rsidP="00A20DC3">
      <w:pPr>
        <w:spacing w:line="240" w:lineRule="auto"/>
        <w:rPr>
          <w:rFonts w:eastAsia="Times New Roman" w:cs="Arial"/>
          <w:bCs/>
          <w:color w:val="000000"/>
          <w:szCs w:val="18"/>
          <w:u w:val="single"/>
          <w:lang w:eastAsia="bg-BG"/>
        </w:rPr>
      </w:pPr>
    </w:p>
    <w:p w14:paraId="74DE7226" w14:textId="5024686C"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u w:val="single"/>
          <w:lang w:eastAsia="bg-BG"/>
        </w:rPr>
        <w:t>Механизъм на действие</w:t>
      </w:r>
    </w:p>
    <w:p w14:paraId="74051B19" w14:textId="77777777" w:rsidR="00A20DC3" w:rsidRPr="00A20DC3" w:rsidRDefault="00A20DC3" w:rsidP="00A20DC3">
      <w:pPr>
        <w:spacing w:line="240" w:lineRule="auto"/>
        <w:rPr>
          <w:rFonts w:eastAsia="Times New Roman" w:cs="Arial"/>
          <w:bCs/>
          <w:color w:val="000000"/>
          <w:szCs w:val="18"/>
          <w:lang w:eastAsia="bg-BG"/>
        </w:rPr>
      </w:pPr>
    </w:p>
    <w:p w14:paraId="14CE1E8F" w14:textId="72F31F4F"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Оланзапин е антипсихотик, антиманийно средство и средство за стабилизиране на настроението, който показва широк фармакологичен профил посредством няколко рецепторни системи.</w:t>
      </w:r>
    </w:p>
    <w:p w14:paraId="5F2D967D" w14:textId="77777777" w:rsidR="00A20DC3" w:rsidRPr="00A20DC3" w:rsidRDefault="00A20DC3" w:rsidP="00A20DC3">
      <w:pPr>
        <w:spacing w:line="240" w:lineRule="auto"/>
        <w:rPr>
          <w:rFonts w:eastAsia="Times New Roman" w:cs="Arial"/>
          <w:bCs/>
          <w:color w:val="000000"/>
          <w:szCs w:val="18"/>
          <w:u w:val="single"/>
          <w:lang w:eastAsia="bg-BG"/>
        </w:rPr>
      </w:pPr>
    </w:p>
    <w:p w14:paraId="42770614" w14:textId="2C51F4EB"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u w:val="single"/>
          <w:lang w:eastAsia="bg-BG"/>
        </w:rPr>
        <w:t>Фаомакодинамични ефекти</w:t>
      </w:r>
    </w:p>
    <w:p w14:paraId="6CB7EC70" w14:textId="77777777" w:rsidR="00A20DC3" w:rsidRPr="00A20DC3" w:rsidRDefault="00A20DC3" w:rsidP="00A20DC3">
      <w:pPr>
        <w:rPr>
          <w:rFonts w:eastAsia="Times New Roman" w:cs="Arial"/>
          <w:bCs/>
          <w:color w:val="000000"/>
          <w:szCs w:val="18"/>
          <w:lang w:eastAsia="bg-BG"/>
        </w:rPr>
      </w:pPr>
    </w:p>
    <w:p w14:paraId="3B332C20" w14:textId="77777777" w:rsidR="00A20DC3" w:rsidRPr="00A20DC3" w:rsidRDefault="00A20DC3" w:rsidP="00A20DC3">
      <w:pPr>
        <w:rPr>
          <w:rFonts w:eastAsia="Times New Roman" w:cs="Arial"/>
          <w:sz w:val="32"/>
          <w:szCs w:val="24"/>
        </w:rPr>
      </w:pPr>
      <w:r w:rsidRPr="00A20DC3">
        <w:rPr>
          <w:rFonts w:eastAsia="Times New Roman" w:cs="Arial"/>
          <w:bCs/>
          <w:color w:val="000000"/>
          <w:szCs w:val="18"/>
          <w:lang w:eastAsia="bg-BG"/>
        </w:rPr>
        <w:t xml:space="preserve">В предклинични проучвания оланзапин показва диапазон от рецепторни афинитета </w:t>
      </w:r>
      <w:r w:rsidRPr="00A20DC3">
        <w:rPr>
          <w:rFonts w:eastAsia="Times New Roman" w:cs="Arial"/>
          <w:bCs/>
          <w:color w:val="000000"/>
          <w:szCs w:val="18"/>
          <w:lang w:val="ru-RU"/>
        </w:rPr>
        <w:t>(</w:t>
      </w:r>
      <w:r w:rsidRPr="00A20DC3">
        <w:rPr>
          <w:rFonts w:eastAsia="Times New Roman" w:cs="Arial"/>
          <w:bCs/>
          <w:color w:val="000000"/>
          <w:szCs w:val="18"/>
          <w:lang w:val="en-US"/>
        </w:rPr>
        <w:t>Ki</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&lt;100 </w:t>
      </w:r>
      <w:r w:rsidRPr="00A20DC3">
        <w:rPr>
          <w:rFonts w:eastAsia="Times New Roman" w:cs="Arial"/>
          <w:bCs/>
          <w:color w:val="000000"/>
          <w:szCs w:val="18"/>
          <w:lang w:val="en-US"/>
        </w:rPr>
        <w:t>n</w:t>
      </w:r>
      <w:r w:rsidRPr="00A20DC3">
        <w:rPr>
          <w:rFonts w:eastAsia="Times New Roman" w:cs="Arial"/>
          <w:bCs/>
          <w:color w:val="000000"/>
          <w:szCs w:val="18"/>
          <w:lang w:eastAsia="bg-BG"/>
        </w:rPr>
        <w:t>М) към 5НТ</w:t>
      </w:r>
      <w:r w:rsidRPr="00A20DC3">
        <w:rPr>
          <w:rFonts w:eastAsia="Times New Roman" w:cs="Arial"/>
          <w:bCs/>
          <w:color w:val="000000"/>
          <w:szCs w:val="18"/>
          <w:vertAlign w:val="subscript"/>
          <w:lang w:eastAsia="bg-BG"/>
        </w:rPr>
        <w:t>2А/2С</w:t>
      </w:r>
      <w:r w:rsidRPr="00A20DC3">
        <w:rPr>
          <w:rFonts w:eastAsia="Times New Roman" w:cs="Arial"/>
          <w:bCs/>
          <w:color w:val="000000"/>
          <w:szCs w:val="18"/>
          <w:lang w:eastAsia="bg-BG"/>
        </w:rPr>
        <w:t>-, 5НТ</w:t>
      </w:r>
      <w:r w:rsidRPr="00A20DC3">
        <w:rPr>
          <w:rFonts w:eastAsia="Times New Roman" w:cs="Arial"/>
          <w:bCs/>
          <w:color w:val="000000"/>
          <w:szCs w:val="18"/>
          <w:vertAlign w:val="subscript"/>
          <w:lang w:eastAsia="bg-BG"/>
        </w:rPr>
        <w:t>3</w:t>
      </w:r>
      <w:r w:rsidRPr="00A20DC3">
        <w:rPr>
          <w:rFonts w:eastAsia="Times New Roman" w:cs="Arial"/>
          <w:bCs/>
          <w:color w:val="000000"/>
          <w:szCs w:val="18"/>
          <w:lang w:eastAsia="bg-BG"/>
        </w:rPr>
        <w:t>. и 5НТ</w:t>
      </w:r>
      <w:r w:rsidRPr="00A20DC3">
        <w:rPr>
          <w:rFonts w:eastAsia="Times New Roman" w:cs="Arial"/>
          <w:bCs/>
          <w:color w:val="000000"/>
          <w:szCs w:val="18"/>
          <w:vertAlign w:val="subscript"/>
          <w:lang w:eastAsia="bg-BG"/>
        </w:rPr>
        <w:t>6</w:t>
      </w:r>
      <w:r w:rsidRPr="00A20DC3">
        <w:rPr>
          <w:rFonts w:eastAsia="Times New Roman" w:cs="Arial"/>
          <w:bCs/>
          <w:color w:val="000000"/>
          <w:szCs w:val="18"/>
          <w:lang w:eastAsia="bg-BG"/>
        </w:rPr>
        <w:t xml:space="preserve">- серотонина; </w:t>
      </w:r>
      <w:r w:rsidRPr="00A20DC3">
        <w:rPr>
          <w:rFonts w:eastAsia="Times New Roman" w:cs="Arial"/>
          <w:bCs/>
          <w:color w:val="000000"/>
          <w:szCs w:val="18"/>
          <w:lang w:val="en-US"/>
        </w:rPr>
        <w:t>D</w:t>
      </w:r>
      <w:r w:rsidRPr="00A20DC3">
        <w:rPr>
          <w:rFonts w:eastAsia="Times New Roman" w:cs="Arial"/>
          <w:bCs/>
          <w:color w:val="000000"/>
          <w:szCs w:val="18"/>
          <w:vertAlign w:val="subscript"/>
          <w:lang w:val="ru-RU"/>
        </w:rPr>
        <w:t>1</w:t>
      </w:r>
      <w:r w:rsidRPr="00A20DC3">
        <w:rPr>
          <w:rFonts w:eastAsia="Times New Roman" w:cs="Arial"/>
          <w:bCs/>
          <w:color w:val="000000"/>
          <w:szCs w:val="18"/>
          <w:lang w:val="ru-RU"/>
        </w:rPr>
        <w:t xml:space="preserve">, </w:t>
      </w:r>
      <w:r w:rsidRPr="00A20DC3">
        <w:rPr>
          <w:rFonts w:eastAsia="Times New Roman" w:cs="Arial"/>
          <w:bCs/>
          <w:color w:val="000000"/>
          <w:szCs w:val="18"/>
          <w:lang w:val="en-US"/>
        </w:rPr>
        <w:t>D</w:t>
      </w:r>
      <w:r w:rsidRPr="00A20DC3">
        <w:rPr>
          <w:rFonts w:eastAsia="Times New Roman" w:cs="Arial"/>
          <w:bCs/>
          <w:color w:val="000000"/>
          <w:szCs w:val="18"/>
          <w:vertAlign w:val="subscript"/>
          <w:lang w:val="ru-RU"/>
        </w:rPr>
        <w:t>2</w:t>
      </w:r>
      <w:r w:rsidRPr="00A20DC3">
        <w:rPr>
          <w:rFonts w:eastAsia="Times New Roman" w:cs="Arial"/>
          <w:bCs/>
          <w:color w:val="000000"/>
          <w:szCs w:val="18"/>
          <w:lang w:val="ru-RU"/>
        </w:rPr>
        <w:t xml:space="preserve">, </w:t>
      </w:r>
      <w:r w:rsidRPr="00A20DC3">
        <w:rPr>
          <w:rFonts w:eastAsia="Times New Roman" w:cs="Arial"/>
          <w:bCs/>
          <w:color w:val="000000"/>
          <w:szCs w:val="18"/>
          <w:lang w:val="en-US"/>
        </w:rPr>
        <w:t>D</w:t>
      </w:r>
      <w:r w:rsidRPr="00A20DC3">
        <w:rPr>
          <w:rFonts w:eastAsia="Times New Roman" w:cs="Arial"/>
          <w:bCs/>
          <w:color w:val="000000"/>
          <w:szCs w:val="18"/>
          <w:vertAlign w:val="subscript"/>
          <w:lang w:val="ru-RU"/>
        </w:rPr>
        <w:t>3</w:t>
      </w:r>
      <w:r w:rsidRPr="00A20DC3">
        <w:rPr>
          <w:rFonts w:eastAsia="Times New Roman" w:cs="Arial"/>
          <w:bCs/>
          <w:color w:val="000000"/>
          <w:szCs w:val="18"/>
          <w:lang w:val="ru-RU"/>
        </w:rPr>
        <w:t xml:space="preserve">, </w:t>
      </w:r>
      <w:r w:rsidRPr="00A20DC3">
        <w:rPr>
          <w:rFonts w:eastAsia="Times New Roman" w:cs="Arial"/>
          <w:bCs/>
          <w:color w:val="000000"/>
          <w:szCs w:val="18"/>
          <w:lang w:val="en-US"/>
        </w:rPr>
        <w:t>D</w:t>
      </w:r>
      <w:r w:rsidRPr="00A20DC3">
        <w:rPr>
          <w:rFonts w:eastAsia="Times New Roman" w:cs="Arial"/>
          <w:bCs/>
          <w:color w:val="000000"/>
          <w:szCs w:val="18"/>
          <w:vertAlign w:val="subscript"/>
          <w:lang w:val="ru-RU"/>
        </w:rPr>
        <w:t>4</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и </w:t>
      </w:r>
      <w:r w:rsidRPr="00A20DC3">
        <w:rPr>
          <w:rFonts w:eastAsia="Times New Roman" w:cs="Arial"/>
          <w:bCs/>
          <w:color w:val="000000"/>
          <w:szCs w:val="18"/>
          <w:lang w:val="en-US"/>
        </w:rPr>
        <w:t>D</w:t>
      </w:r>
      <w:r w:rsidRPr="00A20DC3">
        <w:rPr>
          <w:rFonts w:eastAsia="Times New Roman" w:cs="Arial"/>
          <w:bCs/>
          <w:color w:val="000000"/>
          <w:szCs w:val="18"/>
          <w:vertAlign w:val="subscript"/>
          <w:lang w:val="ru-RU"/>
        </w:rPr>
        <w:t>5</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допамина; холиергични мускаринови рецептори </w:t>
      </w:r>
      <w:r w:rsidRPr="00A20DC3">
        <w:rPr>
          <w:rFonts w:eastAsia="Times New Roman" w:cs="Arial"/>
          <w:bCs/>
          <w:color w:val="000000"/>
          <w:szCs w:val="18"/>
          <w:lang w:val="en-US"/>
        </w:rPr>
        <w:t>m</w:t>
      </w:r>
      <w:r w:rsidRPr="00A20DC3">
        <w:rPr>
          <w:rFonts w:eastAsia="Times New Roman" w:cs="Arial"/>
          <w:bCs/>
          <w:color w:val="000000"/>
          <w:szCs w:val="18"/>
          <w:vertAlign w:val="subscript"/>
          <w:lang w:val="ru-RU"/>
        </w:rPr>
        <w:t>1</w:t>
      </w:r>
      <w:r w:rsidRPr="00A20DC3">
        <w:rPr>
          <w:rFonts w:eastAsia="Times New Roman" w:cs="Arial"/>
          <w:bCs/>
          <w:color w:val="000000"/>
          <w:szCs w:val="18"/>
          <w:lang w:val="ru-RU"/>
        </w:rPr>
        <w:t>-</w:t>
      </w:r>
      <w:r w:rsidRPr="00A20DC3">
        <w:rPr>
          <w:rFonts w:eastAsia="Times New Roman" w:cs="Arial"/>
          <w:bCs/>
          <w:color w:val="000000"/>
          <w:szCs w:val="18"/>
          <w:lang w:val="en-US"/>
        </w:rPr>
        <w:t>m</w:t>
      </w:r>
      <w:r w:rsidRPr="00A20DC3">
        <w:rPr>
          <w:rFonts w:eastAsia="Times New Roman" w:cs="Arial"/>
          <w:bCs/>
          <w:color w:val="000000"/>
          <w:szCs w:val="18"/>
          <w:vertAlign w:val="subscript"/>
          <w:lang w:val="ru-RU"/>
        </w:rPr>
        <w:t>5</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α</w:t>
      </w:r>
      <w:r w:rsidRPr="00A20DC3">
        <w:rPr>
          <w:rFonts w:eastAsia="Times New Roman" w:cs="Arial"/>
          <w:bCs/>
          <w:color w:val="000000"/>
          <w:szCs w:val="18"/>
          <w:vertAlign w:val="subscript"/>
          <w:lang w:eastAsia="bg-BG"/>
        </w:rPr>
        <w:t>1</w:t>
      </w:r>
      <w:r w:rsidRPr="00A20DC3">
        <w:rPr>
          <w:rFonts w:eastAsia="Times New Roman" w:cs="Arial"/>
          <w:bCs/>
          <w:color w:val="000000"/>
          <w:szCs w:val="18"/>
          <w:lang w:eastAsia="bg-BG"/>
        </w:rPr>
        <w:t xml:space="preserve"> адренергични; и хистамин </w:t>
      </w:r>
      <w:r w:rsidRPr="00A20DC3">
        <w:rPr>
          <w:rFonts w:eastAsia="Times New Roman" w:cs="Arial"/>
          <w:bCs/>
          <w:color w:val="000000"/>
          <w:szCs w:val="18"/>
          <w:lang w:val="en-US"/>
        </w:rPr>
        <w:t>H</w:t>
      </w:r>
      <w:r w:rsidRPr="00A20DC3">
        <w:rPr>
          <w:rFonts w:eastAsia="Times New Roman" w:cs="Arial"/>
          <w:bCs/>
          <w:color w:val="000000"/>
          <w:szCs w:val="18"/>
          <w:vertAlign w:val="subscript"/>
          <w:lang w:val="ru-RU"/>
        </w:rPr>
        <w:t>1</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рецептори. Проучванията върху животинското поведение с оланзапин показват 5НТ, допаминов и холинергичен антагонизъм в съответствие с профила за рецепторно свързване. Оланзапин показва по-голям афинитет </w:t>
      </w:r>
      <w:r w:rsidRPr="00A20DC3">
        <w:rPr>
          <w:rFonts w:eastAsia="Times New Roman" w:cs="Arial"/>
          <w:bCs/>
          <w:i/>
          <w:iCs/>
          <w:color w:val="000000"/>
          <w:szCs w:val="18"/>
          <w:lang w:val="en-US"/>
        </w:rPr>
        <w:t>in</w:t>
      </w:r>
      <w:r w:rsidRPr="00A20DC3">
        <w:rPr>
          <w:rFonts w:eastAsia="Times New Roman" w:cs="Arial"/>
          <w:bCs/>
          <w:i/>
          <w:iCs/>
          <w:color w:val="000000"/>
          <w:szCs w:val="18"/>
          <w:lang w:val="ru-RU"/>
        </w:rPr>
        <w:t xml:space="preserve"> </w:t>
      </w:r>
      <w:r w:rsidRPr="00A20DC3">
        <w:rPr>
          <w:rFonts w:eastAsia="Times New Roman" w:cs="Arial"/>
          <w:bCs/>
          <w:i/>
          <w:iCs/>
          <w:color w:val="000000"/>
          <w:szCs w:val="18"/>
          <w:lang w:val="en-US"/>
        </w:rPr>
        <w:t>vitro</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за 5НТ</w:t>
      </w:r>
      <w:r w:rsidRPr="00A20DC3">
        <w:rPr>
          <w:rFonts w:eastAsia="Times New Roman" w:cs="Arial"/>
          <w:bCs/>
          <w:color w:val="000000"/>
          <w:szCs w:val="18"/>
          <w:vertAlign w:val="subscript"/>
          <w:lang w:eastAsia="bg-BG"/>
        </w:rPr>
        <w:t>2</w:t>
      </w:r>
      <w:r w:rsidRPr="00A20DC3">
        <w:rPr>
          <w:rFonts w:eastAsia="Times New Roman" w:cs="Arial"/>
          <w:bCs/>
          <w:color w:val="000000"/>
          <w:szCs w:val="18"/>
          <w:lang w:eastAsia="bg-BG"/>
        </w:rPr>
        <w:t xml:space="preserve"> серотонина сравнение с </w:t>
      </w:r>
      <w:r w:rsidRPr="00A20DC3">
        <w:rPr>
          <w:rFonts w:eastAsia="Times New Roman" w:cs="Arial"/>
          <w:bCs/>
          <w:color w:val="000000"/>
          <w:szCs w:val="18"/>
          <w:lang w:val="en-US"/>
        </w:rPr>
        <w:t>D</w:t>
      </w:r>
      <w:r w:rsidRPr="00A20DC3">
        <w:rPr>
          <w:rFonts w:eastAsia="Times New Roman" w:cs="Arial"/>
          <w:bCs/>
          <w:color w:val="000000"/>
          <w:szCs w:val="18"/>
          <w:vertAlign w:val="subscript"/>
          <w:lang w:val="ru-RU"/>
        </w:rPr>
        <w:t>2</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допамина и по-гол яма 5НТ</w:t>
      </w:r>
      <w:r w:rsidRPr="00A20DC3">
        <w:rPr>
          <w:rFonts w:eastAsia="Times New Roman" w:cs="Arial"/>
          <w:bCs/>
          <w:color w:val="000000"/>
          <w:szCs w:val="18"/>
          <w:vertAlign w:val="subscript"/>
          <w:lang w:eastAsia="bg-BG"/>
        </w:rPr>
        <w:t>2</w:t>
      </w:r>
      <w:r w:rsidRPr="00A20DC3">
        <w:rPr>
          <w:rFonts w:eastAsia="Times New Roman" w:cs="Arial"/>
          <w:bCs/>
          <w:color w:val="000000"/>
          <w:szCs w:val="18"/>
          <w:lang w:eastAsia="bg-BG"/>
        </w:rPr>
        <w:t xml:space="preserve"> отколкото </w:t>
      </w:r>
      <w:r w:rsidRPr="00A20DC3">
        <w:rPr>
          <w:rFonts w:eastAsia="Times New Roman" w:cs="Arial"/>
          <w:bCs/>
          <w:color w:val="000000"/>
          <w:szCs w:val="18"/>
          <w:lang w:val="en-US"/>
        </w:rPr>
        <w:t>D</w:t>
      </w:r>
      <w:r w:rsidRPr="00A20DC3">
        <w:rPr>
          <w:rFonts w:eastAsia="Times New Roman" w:cs="Arial"/>
          <w:bCs/>
          <w:color w:val="000000"/>
          <w:szCs w:val="18"/>
          <w:vertAlign w:val="subscript"/>
          <w:lang w:val="ru-RU"/>
        </w:rPr>
        <w:t>2</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активност при </w:t>
      </w:r>
      <w:r w:rsidRPr="00A20DC3">
        <w:rPr>
          <w:rFonts w:eastAsia="Times New Roman" w:cs="Arial"/>
          <w:bCs/>
          <w:i/>
          <w:iCs/>
          <w:color w:val="000000"/>
          <w:szCs w:val="18"/>
          <w:lang w:val="en-US"/>
        </w:rPr>
        <w:t>in</w:t>
      </w:r>
      <w:r w:rsidRPr="00A20DC3">
        <w:rPr>
          <w:rFonts w:eastAsia="Times New Roman" w:cs="Arial"/>
          <w:bCs/>
          <w:i/>
          <w:iCs/>
          <w:color w:val="000000"/>
          <w:szCs w:val="18"/>
          <w:lang w:val="ru-RU"/>
        </w:rPr>
        <w:t xml:space="preserve"> </w:t>
      </w:r>
      <w:r w:rsidRPr="00A20DC3">
        <w:rPr>
          <w:rFonts w:eastAsia="Times New Roman" w:cs="Arial"/>
          <w:bCs/>
          <w:i/>
          <w:iCs/>
          <w:color w:val="000000"/>
          <w:szCs w:val="18"/>
          <w:lang w:val="en-US"/>
        </w:rPr>
        <w:t>vivo</w:t>
      </w:r>
      <w:r w:rsidRPr="00A20DC3">
        <w:rPr>
          <w:rFonts w:eastAsia="Times New Roman" w:cs="Arial"/>
          <w:bCs/>
          <w:i/>
          <w:iCs/>
          <w:color w:val="000000"/>
          <w:szCs w:val="18"/>
          <w:lang w:val="ru-RU"/>
        </w:rPr>
        <w:t xml:space="preserve"> </w:t>
      </w:r>
      <w:r w:rsidRPr="00A20DC3">
        <w:rPr>
          <w:rFonts w:eastAsia="Times New Roman" w:cs="Arial"/>
          <w:bCs/>
          <w:i/>
          <w:iCs/>
          <w:color w:val="000000"/>
          <w:szCs w:val="18"/>
          <w:lang w:eastAsia="bg-BG"/>
        </w:rPr>
        <w:t xml:space="preserve">модели </w:t>
      </w:r>
      <w:r w:rsidRPr="00A20DC3">
        <w:rPr>
          <w:rFonts w:eastAsia="Times New Roman" w:cs="Arial"/>
          <w:bCs/>
          <w:color w:val="000000"/>
          <w:szCs w:val="18"/>
          <w:lang w:eastAsia="bg-BG"/>
        </w:rPr>
        <w:t>Електрофизиологичните проучвания показаха, че оланзапин селективно намалява импулсите на мезолимбичните (А10) допаминергични неврони, докато оказва малък</w:t>
      </w:r>
      <w:r w:rsidRPr="00A20DC3">
        <w:rPr>
          <w:rFonts w:eastAsia="Times New Roman" w:cs="Arial"/>
          <w:bCs/>
          <w:color w:val="000000"/>
          <w:szCs w:val="18"/>
          <w:lang w:val="ru-RU" w:eastAsia="bg-BG"/>
        </w:rPr>
        <w:t xml:space="preserve"> </w:t>
      </w:r>
      <w:r w:rsidRPr="00A20DC3">
        <w:rPr>
          <w:rFonts w:eastAsia="Times New Roman" w:cs="Arial"/>
          <w:bCs/>
          <w:color w:val="000000"/>
          <w:szCs w:val="18"/>
          <w:lang w:eastAsia="bg-BG"/>
        </w:rPr>
        <w:t>ефекти върху стриаталните (А9) пътища, включени в моторната функция. Оланзапин намалява условния отговор на избягване, представляващ индикативен тест за антипсихотична активност, при дози под тези, предизвикващи каталепсия, като този ефект е показателен за нежелани реакции от страна на двигателния апарат. За разлика от други антипсихотични средства, оланзапин повишава отговора в ”анксиолитичния” тест.</w:t>
      </w:r>
    </w:p>
    <w:p w14:paraId="089CBBE7" w14:textId="77777777" w:rsidR="00A20DC3" w:rsidRPr="00A20DC3" w:rsidRDefault="00A20DC3" w:rsidP="00A20DC3">
      <w:pPr>
        <w:spacing w:line="240" w:lineRule="auto"/>
        <w:rPr>
          <w:rFonts w:eastAsia="Times New Roman" w:cs="Arial"/>
          <w:bCs/>
          <w:color w:val="000000"/>
          <w:szCs w:val="18"/>
          <w:lang w:eastAsia="bg-BG"/>
        </w:rPr>
      </w:pPr>
    </w:p>
    <w:p w14:paraId="35309F24" w14:textId="6FA784C0"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При еднократна перорална доза (10 </w:t>
      </w:r>
      <w:r w:rsidRPr="00A20DC3">
        <w:rPr>
          <w:rFonts w:eastAsia="Times New Roman" w:cs="Arial"/>
          <w:bCs/>
          <w:color w:val="000000"/>
          <w:szCs w:val="18"/>
          <w:lang w:val="en-US"/>
        </w:rPr>
        <w:t>mg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в проучване с позитронно-емисионната томография (РЕТ) при здрави доброволци оланзапин предизвиква по-многобройно заемане на 5НТ</w:t>
      </w:r>
      <w:r w:rsidRPr="00A20DC3">
        <w:rPr>
          <w:rFonts w:eastAsia="Times New Roman" w:cs="Arial"/>
          <w:bCs/>
          <w:color w:val="000000"/>
          <w:szCs w:val="18"/>
          <w:vertAlign w:val="subscript"/>
          <w:lang w:eastAsia="bg-BG"/>
        </w:rPr>
        <w:t>2А</w:t>
      </w:r>
      <w:r w:rsidRPr="00A20DC3">
        <w:rPr>
          <w:rFonts w:eastAsia="Times New Roman" w:cs="Arial"/>
          <w:bCs/>
          <w:color w:val="000000"/>
          <w:szCs w:val="18"/>
          <w:lang w:eastAsia="bg-BG"/>
        </w:rPr>
        <w:t xml:space="preserve">- отколкото </w:t>
      </w:r>
      <w:r w:rsidRPr="00A20DC3">
        <w:rPr>
          <w:rFonts w:eastAsia="Times New Roman" w:cs="Arial"/>
          <w:bCs/>
          <w:color w:val="000000"/>
          <w:szCs w:val="18"/>
          <w:lang w:val="en-US"/>
        </w:rPr>
        <w:t>D</w:t>
      </w:r>
      <w:r w:rsidRPr="00A20DC3">
        <w:rPr>
          <w:rFonts w:eastAsia="Times New Roman" w:cs="Arial"/>
          <w:bCs/>
          <w:color w:val="000000"/>
          <w:szCs w:val="18"/>
          <w:vertAlign w:val="subscript"/>
          <w:lang w:val="ru-RU"/>
        </w:rPr>
        <w:t>2</w:t>
      </w:r>
      <w:r w:rsidRPr="00A20DC3">
        <w:rPr>
          <w:rFonts w:eastAsia="Times New Roman" w:cs="Arial"/>
          <w:bCs/>
          <w:color w:val="000000"/>
          <w:szCs w:val="18"/>
          <w:lang w:eastAsia="bg-BG"/>
        </w:rPr>
        <w:t xml:space="preserve">-допаминови рецептори. В допълнение към това, в проучване с еднократна фотонно-емисионна компютърна томография </w:t>
      </w:r>
      <w:r w:rsidRPr="00A20DC3">
        <w:rPr>
          <w:rFonts w:eastAsia="Times New Roman" w:cs="Arial"/>
          <w:bCs/>
          <w:color w:val="000000"/>
          <w:szCs w:val="18"/>
          <w:lang w:val="ru-RU"/>
        </w:rPr>
        <w:t>(</w:t>
      </w:r>
      <w:r w:rsidRPr="00A20DC3">
        <w:rPr>
          <w:rFonts w:eastAsia="Times New Roman" w:cs="Arial"/>
          <w:bCs/>
          <w:color w:val="000000"/>
          <w:szCs w:val="18"/>
          <w:lang w:val="en-US"/>
        </w:rPr>
        <w:t>SPECT</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при шизофрении пациенти се установи, че пациентите, отговарящи на оланзапин имат по- малко заемане на стриаталните </w:t>
      </w:r>
      <w:r w:rsidRPr="00A20DC3">
        <w:rPr>
          <w:rFonts w:eastAsia="Times New Roman" w:cs="Arial"/>
          <w:bCs/>
          <w:color w:val="000000"/>
          <w:szCs w:val="18"/>
          <w:lang w:val="en-US"/>
        </w:rPr>
        <w:t>D</w:t>
      </w:r>
      <w:r w:rsidRPr="00A20DC3">
        <w:rPr>
          <w:rFonts w:eastAsia="Times New Roman" w:cs="Arial"/>
          <w:bCs/>
          <w:color w:val="000000"/>
          <w:szCs w:val="18"/>
          <w:vertAlign w:val="subscript"/>
          <w:lang w:val="ru-RU"/>
        </w:rPr>
        <w:t>2</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рецептори отколкото други пациенти, отговарящи на някои антипсихотици и рисперидон, като са сравними с пациентите, отговарящи на клозапин.</w:t>
      </w:r>
    </w:p>
    <w:p w14:paraId="7F3B7AB2" w14:textId="77777777" w:rsidR="00A20DC3" w:rsidRPr="00A20DC3" w:rsidRDefault="00A20DC3" w:rsidP="00A20DC3">
      <w:pPr>
        <w:spacing w:line="240" w:lineRule="auto"/>
        <w:rPr>
          <w:rFonts w:eastAsia="Times New Roman" w:cs="Arial"/>
          <w:bCs/>
          <w:color w:val="000000"/>
          <w:szCs w:val="18"/>
          <w:u w:val="single"/>
          <w:lang w:eastAsia="bg-BG"/>
        </w:rPr>
      </w:pPr>
    </w:p>
    <w:p w14:paraId="255607EA" w14:textId="6AA60C8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u w:val="single"/>
          <w:lang w:eastAsia="bg-BG"/>
        </w:rPr>
        <w:t>Клинична ефикасност и безопасност</w:t>
      </w:r>
    </w:p>
    <w:p w14:paraId="0261527C" w14:textId="77777777" w:rsidR="00A20DC3" w:rsidRPr="00A20DC3" w:rsidRDefault="00A20DC3" w:rsidP="00A20DC3">
      <w:pPr>
        <w:spacing w:line="240" w:lineRule="auto"/>
        <w:rPr>
          <w:rFonts w:eastAsia="Times New Roman" w:cs="Arial"/>
          <w:bCs/>
          <w:color w:val="000000"/>
          <w:szCs w:val="18"/>
          <w:lang w:eastAsia="bg-BG"/>
        </w:rPr>
      </w:pPr>
    </w:p>
    <w:p w14:paraId="707A5BB2" w14:textId="7FE15405"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В две от две проучвания, контролирани с плацебо, и в две от три проучвания, контролирани със сравнителен продукт, при над 2 900 пациенти с шизофрения, проявяващи положителни и отрицателни симптоми, оланзапин е свързан със статистическо значимо подобрение както в отрицателните, така и в положителните симптоми.</w:t>
      </w:r>
    </w:p>
    <w:p w14:paraId="31EFB04B" w14:textId="77777777" w:rsidR="00A20DC3" w:rsidRPr="00A20DC3" w:rsidRDefault="00A20DC3" w:rsidP="00A20DC3">
      <w:pPr>
        <w:spacing w:line="240" w:lineRule="auto"/>
        <w:rPr>
          <w:rFonts w:eastAsia="Times New Roman" w:cs="Arial"/>
          <w:bCs/>
          <w:color w:val="000000"/>
          <w:szCs w:val="18"/>
          <w:lang w:eastAsia="bg-BG"/>
        </w:rPr>
      </w:pPr>
    </w:p>
    <w:p w14:paraId="211CA4A4" w14:textId="27DF05D6"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lastRenderedPageBreak/>
        <w:t xml:space="preserve">В едно международно, двойно-сляпо, сравнително проучване на шизофренията, шизоафективните и свързаните нарушения, което включва 1 481 пациенти с вариращи степени на асоцииран депресивен синдром (изходна средна стойност от 16,6 по скалата за оценка на депресията на </w:t>
      </w:r>
      <w:r w:rsidRPr="00A20DC3">
        <w:rPr>
          <w:rFonts w:eastAsia="Times New Roman" w:cs="Arial"/>
          <w:bCs/>
          <w:color w:val="000000"/>
          <w:szCs w:val="18"/>
          <w:lang w:val="en-US"/>
        </w:rPr>
        <w:t>Montgomery</w:t>
      </w:r>
      <w:r w:rsidRPr="00A20DC3">
        <w:rPr>
          <w:rFonts w:eastAsia="Times New Roman" w:cs="Arial"/>
          <w:bCs/>
          <w:color w:val="000000"/>
          <w:szCs w:val="18"/>
          <w:lang w:val="ru-RU"/>
        </w:rPr>
        <w:t>-</w:t>
      </w:r>
      <w:proofErr w:type="spellStart"/>
      <w:r w:rsidRPr="00A20DC3">
        <w:rPr>
          <w:rFonts w:eastAsia="Times New Roman" w:cs="Arial"/>
          <w:bCs/>
          <w:color w:val="000000"/>
          <w:szCs w:val="18"/>
          <w:lang w:val="en-US"/>
        </w:rPr>
        <w:t>Asberg</w:t>
      </w:r>
      <w:proofErr w:type="spellEnd"/>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проспективният вторичен анализ на промяната в скалата на настроението от изходно ниво до крайната точка показа статистическо значимо подобрение </w:t>
      </w:r>
      <w:r w:rsidRPr="00A20DC3">
        <w:rPr>
          <w:rFonts w:eastAsia="Times New Roman" w:cs="Arial"/>
          <w:bCs/>
          <w:i/>
          <w:iCs/>
          <w:color w:val="000000"/>
          <w:szCs w:val="18"/>
          <w:lang w:eastAsia="bg-BG"/>
        </w:rPr>
        <w:t>(Р =</w:t>
      </w:r>
      <w:r w:rsidRPr="00A20DC3">
        <w:rPr>
          <w:rFonts w:eastAsia="Times New Roman" w:cs="Arial"/>
          <w:bCs/>
          <w:color w:val="000000"/>
          <w:szCs w:val="18"/>
          <w:lang w:eastAsia="bg-BG"/>
        </w:rPr>
        <w:t xml:space="preserve"> 0,001) в полза на оланзапин (-6,0) спрямо халоперидол (-3,1).</w:t>
      </w:r>
    </w:p>
    <w:p w14:paraId="0058C8CC" w14:textId="77777777" w:rsidR="00A20DC3" w:rsidRPr="00A20DC3" w:rsidRDefault="00A20DC3" w:rsidP="00A20DC3">
      <w:pPr>
        <w:spacing w:line="240" w:lineRule="auto"/>
        <w:rPr>
          <w:rFonts w:eastAsia="Times New Roman" w:cs="Arial"/>
          <w:bCs/>
          <w:color w:val="000000"/>
          <w:szCs w:val="18"/>
          <w:lang w:eastAsia="bg-BG"/>
        </w:rPr>
      </w:pPr>
    </w:p>
    <w:p w14:paraId="62E4ED7C" w14:textId="534B0702"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При пациенти с манийни или смесени епизоди на биполярно разстройство оланзапин е показал по-висока ефективност спрямо плацебо и валпроат семинатрий (дивалпроекс) в намаляването на манийните симптоми в рамките на 3 седмици. Оланзапин също така е показал сравними резултати за ефективност спрямо халоперидол по отношение пропорцията на пациентите със симптоматична ремисия от мания и депресия на 6-та и 12-та седмица. В проучване със съпътстваща терапия при пациенти, лекувани с литий или валпроат за поне 2 седмици добавянето на оланзапин 10 </w:t>
      </w:r>
      <w:r w:rsidRPr="00A20DC3">
        <w:rPr>
          <w:rFonts w:eastAsia="Times New Roman" w:cs="Arial"/>
          <w:bCs/>
          <w:color w:val="000000"/>
          <w:szCs w:val="18"/>
          <w:lang w:val="en-US"/>
        </w:rPr>
        <w:t>mg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(едновременна терапия с литий или валпроат) доведе до по-голямо намаление на симптомите на мания в сравнение с монотерапията с литий или валпроат след 6 седмици.</w:t>
      </w:r>
    </w:p>
    <w:p w14:paraId="70033ED3" w14:textId="77777777" w:rsidR="00A20DC3" w:rsidRPr="00A20DC3" w:rsidRDefault="00A20DC3" w:rsidP="00A20DC3">
      <w:pPr>
        <w:spacing w:line="240" w:lineRule="auto"/>
        <w:rPr>
          <w:rFonts w:eastAsia="Times New Roman" w:cs="Arial"/>
          <w:bCs/>
          <w:color w:val="000000"/>
          <w:szCs w:val="18"/>
          <w:lang w:eastAsia="bg-BG"/>
        </w:rPr>
      </w:pPr>
    </w:p>
    <w:p w14:paraId="037799F3" w14:textId="691BF141"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В 12-месечно проучване за предотвратяване на рецидив при пациенти с манийни епизоди, които са постигнали ремисия с оланзапин и впоследствие са рандомизирани за прием на оланзапин или плацебо, оланзапин е показал статистически значимо превъзходство пред плацебо по отношение на първичната крайна цел, а именно биполярен рецидив. Оланзапин също така е показал статистически значимо превъзходство пред плацебо по отношение на предотвратяване на рецидиви на мания или рецидиви на депресия.</w:t>
      </w:r>
    </w:p>
    <w:p w14:paraId="33BB50C9" w14:textId="77777777" w:rsidR="00A20DC3" w:rsidRPr="00A20DC3" w:rsidRDefault="00A20DC3" w:rsidP="00A20DC3">
      <w:pPr>
        <w:rPr>
          <w:rFonts w:eastAsia="Times New Roman" w:cs="Arial"/>
          <w:bCs/>
          <w:color w:val="000000"/>
          <w:szCs w:val="18"/>
          <w:lang w:eastAsia="bg-BG"/>
        </w:rPr>
      </w:pPr>
    </w:p>
    <w:p w14:paraId="77C058B2" w14:textId="77777777" w:rsidR="00A20DC3" w:rsidRPr="00A20DC3" w:rsidRDefault="00A20DC3" w:rsidP="00A20DC3">
      <w:pPr>
        <w:rPr>
          <w:rFonts w:eastAsia="Times New Roman" w:cs="Arial"/>
          <w:sz w:val="32"/>
          <w:szCs w:val="24"/>
        </w:rPr>
      </w:pPr>
      <w:r w:rsidRPr="00A20DC3">
        <w:rPr>
          <w:rFonts w:eastAsia="Times New Roman" w:cs="Arial"/>
          <w:bCs/>
          <w:color w:val="000000"/>
          <w:szCs w:val="18"/>
          <w:lang w:eastAsia="bg-BG"/>
        </w:rPr>
        <w:t>Във второ 12-месечно проучване за профилактика на рецидиви при пациенти с манийни епизоди, които са постигнали ремисия с комбинация от оланзапин и литий и</w:t>
      </w:r>
      <w:r w:rsidRPr="00A20DC3">
        <w:rPr>
          <w:rFonts w:eastAsia="Times New Roman" w:cs="Arial"/>
          <w:bCs/>
          <w:color w:val="000000"/>
          <w:szCs w:val="18"/>
          <w:lang w:val="ru-RU" w:eastAsia="bg-BG"/>
        </w:rPr>
        <w:t xml:space="preserve"> </w:t>
      </w:r>
      <w:r w:rsidRPr="00A20DC3">
        <w:rPr>
          <w:rFonts w:eastAsia="Times New Roman" w:cs="Arial"/>
          <w:bCs/>
          <w:color w:val="000000"/>
          <w:szCs w:val="18"/>
          <w:lang w:eastAsia="bg-BG"/>
        </w:rPr>
        <w:t>впоследствие са рандомизирани за самостоятелен прием на оланзапин или литий, оланзапин е показал статистически значима не по-слаба ефективност спрямо първичната крайна точка, а именно биполярен рецидив (оланзапин 30,0%, литий 38,3%; Р = 0,055).</w:t>
      </w:r>
    </w:p>
    <w:p w14:paraId="428F0414" w14:textId="77777777" w:rsidR="00A20DC3" w:rsidRPr="00A20DC3" w:rsidRDefault="00A20DC3" w:rsidP="00A20DC3">
      <w:pPr>
        <w:spacing w:line="240" w:lineRule="auto"/>
        <w:rPr>
          <w:rFonts w:eastAsia="Times New Roman" w:cs="Arial"/>
          <w:bCs/>
          <w:color w:val="000000"/>
          <w:szCs w:val="18"/>
          <w:lang w:eastAsia="bg-BG"/>
        </w:rPr>
      </w:pPr>
    </w:p>
    <w:p w14:paraId="2917AC70" w14:textId="282C3236"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В едно 18-месечно проучване със съпътстваща терапия при пациенти с манийни или смесени епизоди, стабилизирани с оланзапин плюс стабилизатор на настроението (литий или валпроат), продължителната съпътстваща терапия с оланзапин и литий или валпроат не е била статистически значимо по-ефективна спрямо самостоятелното приложение на литий или валпроат по отношение отлагане на биполярния рецидив, дефиниран според синдромни (диагностични) критерии.</w:t>
      </w:r>
    </w:p>
    <w:p w14:paraId="1EF06EDA" w14:textId="77777777" w:rsidR="00A20DC3" w:rsidRPr="00A20DC3" w:rsidRDefault="00A20DC3" w:rsidP="00A20DC3">
      <w:pPr>
        <w:spacing w:line="240" w:lineRule="auto"/>
        <w:rPr>
          <w:rFonts w:eastAsia="Times New Roman" w:cs="Arial"/>
          <w:bCs/>
          <w:i/>
          <w:iCs/>
          <w:color w:val="000000"/>
          <w:szCs w:val="18"/>
          <w:u w:val="single"/>
          <w:lang w:eastAsia="bg-BG"/>
        </w:rPr>
      </w:pPr>
    </w:p>
    <w:p w14:paraId="0C3EFD43" w14:textId="039C5188"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Педиатрична популаиия</w:t>
      </w:r>
    </w:p>
    <w:p w14:paraId="184F5118" w14:textId="77777777" w:rsidR="00A20DC3" w:rsidRPr="00A20DC3" w:rsidRDefault="00A20DC3" w:rsidP="00A20DC3">
      <w:pPr>
        <w:spacing w:line="240" w:lineRule="auto"/>
        <w:rPr>
          <w:rFonts w:eastAsia="Times New Roman" w:cs="Arial"/>
          <w:bCs/>
          <w:color w:val="000000"/>
          <w:szCs w:val="18"/>
          <w:lang w:eastAsia="bg-BG"/>
        </w:rPr>
      </w:pPr>
    </w:p>
    <w:p w14:paraId="6786AC22" w14:textId="08D96DA0"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Контролираните данни за ефикасност при юноши (възраст между 13 и 17 години) са ограничени до краткосрочни проучвания при шизофрения (6 седмици) и мания, свързана с биполярно разстройство (3 седмици) при по-малко от 200 юноши.</w:t>
      </w:r>
    </w:p>
    <w:p w14:paraId="3486886B"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Оланзапин е бил използван в гъвкава дозировка с начална доза 2,5 </w:t>
      </w:r>
      <w:r w:rsidRPr="00A20DC3">
        <w:rPr>
          <w:rFonts w:eastAsia="Times New Roman" w:cs="Arial"/>
          <w:bCs/>
          <w:color w:val="000000"/>
          <w:szCs w:val="18"/>
          <w:lang w:val="en-US"/>
        </w:rPr>
        <w:t>mg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и варираща до 20 </w:t>
      </w:r>
      <w:r w:rsidRPr="00A20DC3">
        <w:rPr>
          <w:rFonts w:eastAsia="Times New Roman" w:cs="Arial"/>
          <w:bCs/>
          <w:color w:val="000000"/>
          <w:szCs w:val="18"/>
          <w:lang w:val="en-US"/>
        </w:rPr>
        <w:t>mg</w:t>
      </w:r>
      <w:r w:rsidRPr="00A20DC3">
        <w:rPr>
          <w:rFonts w:eastAsia="Times New Roman" w:cs="Arial"/>
          <w:bCs/>
          <w:color w:val="000000"/>
          <w:szCs w:val="18"/>
          <w:lang w:eastAsia="bg-BG"/>
        </w:rPr>
        <w:t xml:space="preserve">/дневно. По време на лечението с оланзапин юношите са увеличили значимо теглото си в сравнение с възрастните пациенти. Степента на промените в общия холестерол на гладно, </w:t>
      </w:r>
      <w:r w:rsidRPr="00A20DC3">
        <w:rPr>
          <w:rFonts w:eastAsia="Times New Roman" w:cs="Arial"/>
          <w:bCs/>
          <w:color w:val="000000"/>
          <w:szCs w:val="18"/>
          <w:lang w:val="en-US"/>
        </w:rPr>
        <w:t>LDL</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холестерол, триглицериди и пролактин (вж. точки 4.4 и 4.8) е била по- голяма при юношите в сравнение с възрастните индивиди. Няма контролирани данни по отношение поддържането на ефекта или за дългосрочната безопасност (вж. точки 4.4 и </w:t>
      </w:r>
      <w:r w:rsidRPr="00A20DC3">
        <w:rPr>
          <w:rFonts w:eastAsia="Times New Roman" w:cs="Arial"/>
          <w:bCs/>
          <w:color w:val="000000"/>
          <w:szCs w:val="18"/>
          <w:lang w:eastAsia="bg-BG"/>
        </w:rPr>
        <w:lastRenderedPageBreak/>
        <w:t>4.8). Информацията за дългосрочната безопасност е ограничена главно до отворени, неконтролирани данни.</w:t>
      </w:r>
    </w:p>
    <w:p w14:paraId="4A1F61FC" w14:textId="341703FD" w:rsidR="00A20DC3" w:rsidRPr="00A20DC3" w:rsidRDefault="00A20DC3" w:rsidP="00A20DC3"/>
    <w:p w14:paraId="78DD93AA" w14:textId="4532008D" w:rsidR="00B6672E" w:rsidRDefault="002C50EE" w:rsidP="00936AD0">
      <w:pPr>
        <w:pStyle w:val="Heading2"/>
      </w:pPr>
      <w:r>
        <w:t>5.2. Фармакокинетични свойства</w:t>
      </w:r>
    </w:p>
    <w:p w14:paraId="2A4C02C8" w14:textId="4113792A" w:rsidR="00A20DC3" w:rsidRDefault="00A20DC3" w:rsidP="00A20DC3"/>
    <w:p w14:paraId="1DE81D8E" w14:textId="77777777" w:rsidR="00A20DC3" w:rsidRPr="00A20DC3" w:rsidRDefault="00A20DC3" w:rsidP="00A20DC3">
      <w:pPr>
        <w:pStyle w:val="Heading3"/>
        <w:rPr>
          <w:rFonts w:eastAsia="Times New Roman"/>
          <w:sz w:val="32"/>
          <w:u w:val="single"/>
        </w:rPr>
      </w:pPr>
      <w:r w:rsidRPr="00A20DC3">
        <w:rPr>
          <w:rFonts w:eastAsia="Times New Roman"/>
          <w:u w:val="single"/>
          <w:lang w:eastAsia="bg-BG"/>
        </w:rPr>
        <w:t>Абсорбция</w:t>
      </w:r>
    </w:p>
    <w:p w14:paraId="6CC29824"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Оланзапин се абсорбира добре след перорално приложение, като достига пикови плазмени концентрации в рамките на 5 до 8 часа. Абсорбцията не се повлиява от храна. Абсолютната перорална бионаличност, в сравнение с интравенозното приложение не е определена.</w:t>
      </w:r>
    </w:p>
    <w:p w14:paraId="40B53BAA" w14:textId="77777777" w:rsidR="00A20DC3" w:rsidRPr="00A20DC3" w:rsidRDefault="00A20DC3" w:rsidP="00A20DC3">
      <w:pPr>
        <w:spacing w:line="240" w:lineRule="auto"/>
        <w:rPr>
          <w:rFonts w:eastAsia="Times New Roman" w:cs="Arial"/>
          <w:bCs/>
          <w:color w:val="000000"/>
          <w:szCs w:val="18"/>
          <w:u w:val="single"/>
          <w:lang w:eastAsia="bg-BG"/>
        </w:rPr>
      </w:pPr>
    </w:p>
    <w:p w14:paraId="005388D4" w14:textId="715E10BE" w:rsidR="00A20DC3" w:rsidRPr="00A20DC3" w:rsidRDefault="00A20DC3" w:rsidP="00A20DC3">
      <w:pPr>
        <w:pStyle w:val="Heading3"/>
        <w:rPr>
          <w:rFonts w:eastAsia="Times New Roman"/>
          <w:sz w:val="32"/>
          <w:u w:val="single"/>
        </w:rPr>
      </w:pPr>
      <w:r w:rsidRPr="00A20DC3">
        <w:rPr>
          <w:rFonts w:eastAsia="Times New Roman"/>
          <w:u w:val="single"/>
          <w:lang w:eastAsia="bg-BG"/>
        </w:rPr>
        <w:t>Разпределение</w:t>
      </w:r>
    </w:p>
    <w:p w14:paraId="47BDBEF2" w14:textId="77777777" w:rsidR="00A20DC3" w:rsidRPr="00A20DC3" w:rsidRDefault="00A20DC3" w:rsidP="00A20DC3">
      <w:pPr>
        <w:spacing w:line="240" w:lineRule="auto"/>
        <w:rPr>
          <w:rFonts w:eastAsia="Times New Roman" w:cs="Arial"/>
          <w:bCs/>
          <w:color w:val="000000"/>
          <w:szCs w:val="18"/>
          <w:lang w:eastAsia="bg-BG"/>
        </w:rPr>
      </w:pPr>
      <w:r w:rsidRPr="00A20DC3">
        <w:rPr>
          <w:rFonts w:eastAsia="Times New Roman" w:cs="Arial"/>
          <w:bCs/>
          <w:color w:val="000000"/>
          <w:szCs w:val="18"/>
          <w:lang w:eastAsia="bg-BG"/>
        </w:rPr>
        <w:t xml:space="preserve">Степента на свързване към протеините на оланзапин е около 93% при концентрация в диапазона от </w:t>
      </w:r>
    </w:p>
    <w:p w14:paraId="1FB4E849" w14:textId="03BEBF4E"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около 7 до около 1 000 </w:t>
      </w:r>
      <w:r w:rsidRPr="00A20DC3">
        <w:rPr>
          <w:rFonts w:eastAsia="Times New Roman" w:cs="Arial"/>
          <w:bCs/>
          <w:color w:val="000000"/>
          <w:szCs w:val="18"/>
          <w:lang w:val="en-US"/>
        </w:rPr>
        <w:t>ng</w:t>
      </w:r>
      <w:r w:rsidRPr="00A20DC3">
        <w:rPr>
          <w:rFonts w:eastAsia="Times New Roman" w:cs="Arial"/>
          <w:bCs/>
          <w:color w:val="000000"/>
          <w:szCs w:val="18"/>
          <w:lang w:val="ru-RU"/>
        </w:rPr>
        <w:t>/</w:t>
      </w:r>
      <w:r w:rsidRPr="00A20DC3">
        <w:rPr>
          <w:rFonts w:eastAsia="Times New Roman" w:cs="Arial"/>
          <w:bCs/>
          <w:color w:val="000000"/>
          <w:szCs w:val="18"/>
          <w:lang w:val="en-US"/>
        </w:rPr>
        <w:t>ml</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Оланзапин се свърза предимно към албумин и алфа</w:t>
      </w:r>
      <w:r w:rsidRPr="00A20DC3">
        <w:rPr>
          <w:rFonts w:eastAsia="Times New Roman" w:cs="Arial"/>
          <w:bCs/>
          <w:color w:val="000000"/>
          <w:szCs w:val="18"/>
          <w:vertAlign w:val="subscript"/>
          <w:lang w:eastAsia="bg-BG"/>
        </w:rPr>
        <w:t>1</w:t>
      </w:r>
      <w:r w:rsidRPr="00A20DC3">
        <w:rPr>
          <w:rFonts w:eastAsia="Times New Roman" w:cs="Arial"/>
          <w:bCs/>
          <w:color w:val="000000"/>
          <w:szCs w:val="18"/>
          <w:lang w:eastAsia="bg-BG"/>
        </w:rPr>
        <w:t>-кисел гликопротеин.</w:t>
      </w:r>
    </w:p>
    <w:p w14:paraId="6FEBC7AA" w14:textId="77777777" w:rsidR="00A20DC3" w:rsidRPr="00A20DC3" w:rsidRDefault="00A20DC3" w:rsidP="00A20DC3">
      <w:pPr>
        <w:spacing w:line="240" w:lineRule="auto"/>
        <w:rPr>
          <w:rFonts w:eastAsia="Times New Roman" w:cs="Arial"/>
          <w:bCs/>
          <w:color w:val="000000"/>
          <w:szCs w:val="18"/>
          <w:u w:val="single"/>
          <w:lang w:eastAsia="bg-BG"/>
        </w:rPr>
      </w:pPr>
    </w:p>
    <w:p w14:paraId="7A4005FE" w14:textId="555318D0" w:rsidR="00A20DC3" w:rsidRPr="00A20DC3" w:rsidRDefault="00A20DC3" w:rsidP="00A20DC3">
      <w:pPr>
        <w:pStyle w:val="Heading3"/>
        <w:rPr>
          <w:rFonts w:eastAsia="Times New Roman"/>
          <w:sz w:val="32"/>
          <w:u w:val="single"/>
        </w:rPr>
      </w:pPr>
      <w:r w:rsidRPr="00A20DC3">
        <w:rPr>
          <w:rFonts w:eastAsia="Times New Roman"/>
          <w:u w:val="single"/>
          <w:lang w:eastAsia="bg-BG"/>
        </w:rPr>
        <w:t>Биотрансформация</w:t>
      </w:r>
    </w:p>
    <w:p w14:paraId="0532E8D3"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Оланзапин се метаболизира в черния дроб посредством конюгация и окисление. Главният циркулиращ метаболит е 10</w:t>
      </w:r>
      <w:r w:rsidRPr="00A20DC3">
        <w:rPr>
          <w:rFonts w:eastAsia="Times New Roman" w:cs="Arial"/>
          <w:bCs/>
          <w:color w:val="000000"/>
          <w:szCs w:val="18"/>
          <w:lang w:val="ru-RU"/>
        </w:rPr>
        <w:t>-</w:t>
      </w:r>
      <w:r w:rsidRPr="00A20DC3">
        <w:rPr>
          <w:rFonts w:eastAsia="Times New Roman" w:cs="Arial"/>
          <w:bCs/>
          <w:color w:val="000000"/>
          <w:szCs w:val="18"/>
          <w:lang w:val="en-US"/>
        </w:rPr>
        <w:t>N</w:t>
      </w:r>
      <w:r w:rsidRPr="00A20DC3">
        <w:rPr>
          <w:rFonts w:eastAsia="Times New Roman" w:cs="Arial"/>
          <w:bCs/>
          <w:color w:val="000000"/>
          <w:szCs w:val="18"/>
          <w:lang w:eastAsia="bg-BG"/>
        </w:rPr>
        <w:t xml:space="preserve">-глюкуронид, който не преминава кръвно- мозъчната бариера. Цитохромите </w:t>
      </w:r>
      <w:r w:rsidRPr="00A20DC3">
        <w:rPr>
          <w:rFonts w:eastAsia="Times New Roman" w:cs="Arial"/>
          <w:bCs/>
          <w:color w:val="000000"/>
          <w:szCs w:val="18"/>
          <w:lang w:val="en-US"/>
        </w:rPr>
        <w:t>P</w:t>
      </w:r>
      <w:r w:rsidRPr="00A20DC3">
        <w:rPr>
          <w:rFonts w:eastAsia="Times New Roman" w:cs="Arial"/>
          <w:bCs/>
          <w:color w:val="000000"/>
          <w:szCs w:val="18"/>
          <w:lang w:val="ru-RU"/>
        </w:rPr>
        <w:t>450-</w:t>
      </w:r>
      <w:r w:rsidRPr="00A20DC3">
        <w:rPr>
          <w:rFonts w:eastAsia="Times New Roman" w:cs="Arial"/>
          <w:bCs/>
          <w:color w:val="000000"/>
          <w:szCs w:val="18"/>
          <w:lang w:val="en-US"/>
        </w:rPr>
        <w:t>CYP</w:t>
      </w:r>
      <w:r w:rsidRPr="00A20DC3">
        <w:rPr>
          <w:rFonts w:eastAsia="Times New Roman" w:cs="Arial"/>
          <w:bCs/>
          <w:color w:val="000000"/>
          <w:szCs w:val="18"/>
          <w:lang w:val="ru-RU"/>
        </w:rPr>
        <w:t>1</w:t>
      </w:r>
      <w:r w:rsidRPr="00A20DC3">
        <w:rPr>
          <w:rFonts w:eastAsia="Times New Roman" w:cs="Arial"/>
          <w:bCs/>
          <w:color w:val="000000"/>
          <w:szCs w:val="18"/>
          <w:lang w:eastAsia="bg-BG"/>
        </w:rPr>
        <w:t xml:space="preserve">А2 и </w:t>
      </w:r>
      <w:r w:rsidRPr="00A20DC3">
        <w:rPr>
          <w:rFonts w:eastAsia="Times New Roman" w:cs="Arial"/>
          <w:bCs/>
          <w:color w:val="000000"/>
          <w:szCs w:val="18"/>
          <w:lang w:val="en-US"/>
        </w:rPr>
        <w:t>P</w:t>
      </w:r>
      <w:r w:rsidRPr="00A20DC3">
        <w:rPr>
          <w:rFonts w:eastAsia="Times New Roman" w:cs="Arial"/>
          <w:bCs/>
          <w:color w:val="000000"/>
          <w:szCs w:val="18"/>
          <w:lang w:val="ru-RU"/>
        </w:rPr>
        <w:t>450-</w:t>
      </w:r>
      <w:r w:rsidRPr="00A20DC3">
        <w:rPr>
          <w:rFonts w:eastAsia="Times New Roman" w:cs="Arial"/>
          <w:bCs/>
          <w:color w:val="000000"/>
          <w:szCs w:val="18"/>
          <w:lang w:val="en-US"/>
        </w:rPr>
        <w:t>CYP</w:t>
      </w:r>
      <w:r w:rsidRPr="00A20DC3">
        <w:rPr>
          <w:rFonts w:eastAsia="Times New Roman" w:cs="Arial"/>
          <w:bCs/>
          <w:color w:val="000000"/>
          <w:szCs w:val="18"/>
          <w:lang w:val="ru-RU"/>
        </w:rPr>
        <w:t>2</w:t>
      </w:r>
      <w:r w:rsidRPr="00A20DC3">
        <w:rPr>
          <w:rFonts w:eastAsia="Times New Roman" w:cs="Arial"/>
          <w:bCs/>
          <w:color w:val="000000"/>
          <w:szCs w:val="18"/>
          <w:lang w:val="en-US"/>
        </w:rPr>
        <w:t>D</w:t>
      </w:r>
      <w:r w:rsidRPr="00A20DC3">
        <w:rPr>
          <w:rFonts w:eastAsia="Times New Roman" w:cs="Arial"/>
          <w:bCs/>
          <w:color w:val="000000"/>
          <w:szCs w:val="18"/>
          <w:lang w:val="ru-RU"/>
        </w:rPr>
        <w:t xml:space="preserve">6 </w:t>
      </w:r>
      <w:r w:rsidRPr="00A20DC3">
        <w:rPr>
          <w:rFonts w:eastAsia="Times New Roman" w:cs="Arial"/>
          <w:bCs/>
          <w:color w:val="000000"/>
          <w:szCs w:val="18"/>
          <w:lang w:eastAsia="bg-BG"/>
        </w:rPr>
        <w:t xml:space="preserve">спомагат за образуването на </w:t>
      </w:r>
      <w:r w:rsidRPr="00A20DC3">
        <w:rPr>
          <w:rFonts w:eastAsia="Times New Roman" w:cs="Arial"/>
          <w:bCs/>
          <w:color w:val="000000"/>
          <w:szCs w:val="18"/>
          <w:lang w:val="en-US"/>
        </w:rPr>
        <w:t>N</w:t>
      </w:r>
      <w:r w:rsidRPr="00A20DC3">
        <w:rPr>
          <w:rFonts w:eastAsia="Times New Roman" w:cs="Arial"/>
          <w:bCs/>
          <w:color w:val="000000"/>
          <w:szCs w:val="18"/>
          <w:lang w:eastAsia="bg-BG"/>
        </w:rPr>
        <w:t xml:space="preserve">-дезметил и 2-хидроксиметил метаболиги; и двата показват значимо по-ниска фармакологична активност </w:t>
      </w:r>
      <w:r w:rsidRPr="00A20DC3">
        <w:rPr>
          <w:rFonts w:eastAsia="Times New Roman" w:cs="Arial"/>
          <w:bCs/>
          <w:color w:val="000000"/>
          <w:szCs w:val="18"/>
          <w:lang w:val="en-US"/>
        </w:rPr>
        <w:t>in</w:t>
      </w:r>
      <w:r w:rsidRPr="00A20DC3">
        <w:rPr>
          <w:rFonts w:eastAsia="Times New Roman" w:cs="Arial"/>
          <w:bCs/>
          <w:color w:val="000000"/>
          <w:szCs w:val="18"/>
          <w:lang w:eastAsia="bg-BG"/>
        </w:rPr>
        <w:t xml:space="preserve"> </w:t>
      </w:r>
      <w:r w:rsidRPr="00A20DC3">
        <w:rPr>
          <w:rFonts w:eastAsia="Times New Roman" w:cs="Arial"/>
          <w:bCs/>
          <w:i/>
          <w:iCs/>
          <w:color w:val="000000"/>
          <w:szCs w:val="18"/>
          <w:lang w:val="en-US"/>
        </w:rPr>
        <w:t>vivo</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в сравнение с оланзапин в проучвания с животни. Преобладаващата фармакологична активност е от изходната молекула оланзапин.</w:t>
      </w:r>
    </w:p>
    <w:p w14:paraId="1748F8D8" w14:textId="77777777" w:rsidR="00A20DC3" w:rsidRPr="00A20DC3" w:rsidRDefault="00A20DC3" w:rsidP="00A20DC3">
      <w:pPr>
        <w:spacing w:line="240" w:lineRule="auto"/>
        <w:rPr>
          <w:rFonts w:eastAsia="Times New Roman" w:cs="Arial"/>
          <w:bCs/>
          <w:color w:val="000000"/>
          <w:szCs w:val="18"/>
          <w:u w:val="single"/>
          <w:lang w:eastAsia="bg-BG"/>
        </w:rPr>
      </w:pPr>
    </w:p>
    <w:p w14:paraId="0D1A8A66" w14:textId="4357B85F" w:rsidR="00A20DC3" w:rsidRPr="00A20DC3" w:rsidRDefault="00A20DC3" w:rsidP="00A20DC3">
      <w:pPr>
        <w:pStyle w:val="Heading3"/>
        <w:rPr>
          <w:rFonts w:eastAsia="Times New Roman"/>
          <w:sz w:val="32"/>
          <w:u w:val="single"/>
        </w:rPr>
      </w:pPr>
      <w:r w:rsidRPr="00A20DC3">
        <w:rPr>
          <w:rFonts w:eastAsia="Times New Roman"/>
          <w:u w:val="single"/>
          <w:lang w:eastAsia="bg-BG"/>
        </w:rPr>
        <w:t>Елиминиране</w:t>
      </w:r>
    </w:p>
    <w:p w14:paraId="231C172D" w14:textId="657F3242" w:rsidR="00A20DC3" w:rsidRPr="00A20DC3" w:rsidRDefault="00A20DC3" w:rsidP="00A20DC3">
      <w:pPr>
        <w:rPr>
          <w:rFonts w:eastAsia="Times New Roman" w:cs="Arial"/>
          <w:bCs/>
          <w:color w:val="000000"/>
          <w:szCs w:val="18"/>
          <w:lang w:eastAsia="bg-BG"/>
        </w:rPr>
      </w:pPr>
      <w:r w:rsidRPr="00A20DC3">
        <w:rPr>
          <w:rFonts w:eastAsia="Times New Roman" w:cs="Arial"/>
          <w:bCs/>
          <w:color w:val="000000"/>
          <w:szCs w:val="18"/>
          <w:lang w:eastAsia="bg-BG"/>
        </w:rPr>
        <w:t>След перорално приложение средният терминален полуживот на елиминиране на оланзапин при здрави индивиди варира в зависимост от възрастта и пола.</w:t>
      </w:r>
    </w:p>
    <w:p w14:paraId="5BB80C3B" w14:textId="3EBA0FBF" w:rsidR="00A20DC3" w:rsidRPr="00A20DC3" w:rsidRDefault="00A20DC3" w:rsidP="00A20DC3">
      <w:pPr>
        <w:rPr>
          <w:rFonts w:eastAsia="Times New Roman" w:cs="Arial"/>
          <w:bCs/>
          <w:color w:val="000000"/>
          <w:szCs w:val="18"/>
          <w:lang w:eastAsia="bg-BG"/>
        </w:rPr>
      </w:pPr>
    </w:p>
    <w:p w14:paraId="2C0AD448"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При здрави индивиди в старческа възраст (над 65 години) спрямо индивиди в ненапреднала възраст средният елиминационен полуживот е удължен (51,8 спрямо 33,8 часа), а клирънсът е намален (17,5 спрямо 18,21/час). Фармакокннетичната вариабилност, наблюдавана при индивиди в старческа възраст е в рамките на тази за индивидите в ненапреднала възраст. При 44 пациенти с шизофрения на възраст над 65 години приложението в дози от 5 до 20 </w:t>
      </w:r>
      <w:r w:rsidRPr="00A20DC3">
        <w:rPr>
          <w:rFonts w:eastAsia="Times New Roman" w:cs="Arial"/>
          <w:bCs/>
          <w:color w:val="000000"/>
          <w:szCs w:val="18"/>
          <w:lang w:val="en-US"/>
        </w:rPr>
        <w:t>mg</w:t>
      </w:r>
      <w:r w:rsidRPr="00A20DC3">
        <w:rPr>
          <w:rFonts w:eastAsia="Times New Roman" w:cs="Arial"/>
          <w:bCs/>
          <w:color w:val="000000"/>
          <w:szCs w:val="18"/>
          <w:lang w:eastAsia="bg-BG"/>
        </w:rPr>
        <w:t>/ден не е свързано с някакъв изявен профил на нежелани реакции.</w:t>
      </w:r>
    </w:p>
    <w:p w14:paraId="4CAF85AB" w14:textId="77777777" w:rsidR="00A20DC3" w:rsidRPr="00A20DC3" w:rsidRDefault="00A20DC3" w:rsidP="00A20DC3">
      <w:pPr>
        <w:spacing w:line="240" w:lineRule="auto"/>
        <w:rPr>
          <w:rFonts w:eastAsia="Times New Roman" w:cs="Arial"/>
          <w:bCs/>
          <w:color w:val="000000"/>
          <w:szCs w:val="18"/>
          <w:lang w:eastAsia="bg-BG"/>
        </w:rPr>
      </w:pPr>
    </w:p>
    <w:p w14:paraId="367E878D" w14:textId="7D5BFAC0"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При жени спрямо мъже средният елиминационен полуживот е удължен в известна степен (36,7 спрямо 32,3 часа),а клирънсът е намален (18,9 спрямо 27,31/час). Но оланзапин (5-20 </w:t>
      </w:r>
      <w:r w:rsidRPr="00A20DC3">
        <w:rPr>
          <w:rFonts w:eastAsia="Times New Roman" w:cs="Arial"/>
          <w:bCs/>
          <w:color w:val="000000"/>
          <w:szCs w:val="18"/>
          <w:lang w:val="en-US"/>
        </w:rPr>
        <w:t>mg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показва сравним профил на безопасност при пациентите от женски пол (</w:t>
      </w:r>
      <w:r w:rsidRPr="00A20DC3">
        <w:rPr>
          <w:rFonts w:eastAsia="Times New Roman" w:cs="Arial"/>
          <w:bCs/>
          <w:color w:val="000000"/>
          <w:szCs w:val="18"/>
          <w:lang w:val="en-US"/>
        </w:rPr>
        <w:t>n</w:t>
      </w:r>
      <w:r w:rsidRPr="00A20DC3">
        <w:rPr>
          <w:rFonts w:eastAsia="Times New Roman" w:cs="Arial"/>
          <w:bCs/>
          <w:color w:val="000000"/>
          <w:szCs w:val="18"/>
          <w:lang w:eastAsia="bg-BG"/>
        </w:rPr>
        <w:t>=467) както при пациентите от мъжки пол (</w:t>
      </w:r>
      <w:r w:rsidRPr="00A20DC3">
        <w:rPr>
          <w:rFonts w:eastAsia="Times New Roman" w:cs="Arial"/>
          <w:bCs/>
          <w:color w:val="000000"/>
          <w:szCs w:val="18"/>
          <w:lang w:val="en-US"/>
        </w:rPr>
        <w:t>n</w:t>
      </w:r>
      <w:r w:rsidRPr="00A20DC3">
        <w:rPr>
          <w:rFonts w:eastAsia="Times New Roman" w:cs="Arial"/>
          <w:bCs/>
          <w:color w:val="000000"/>
          <w:szCs w:val="18"/>
          <w:lang w:eastAsia="bg-BG"/>
        </w:rPr>
        <w:t>=869).</w:t>
      </w:r>
    </w:p>
    <w:p w14:paraId="36D3F200" w14:textId="77777777" w:rsidR="00A20DC3" w:rsidRPr="00A20DC3" w:rsidRDefault="00A20DC3" w:rsidP="00A20DC3">
      <w:pPr>
        <w:spacing w:line="240" w:lineRule="auto"/>
        <w:rPr>
          <w:rFonts w:eastAsia="Times New Roman" w:cs="Arial"/>
          <w:bCs/>
          <w:i/>
          <w:iCs/>
          <w:color w:val="000000"/>
          <w:szCs w:val="18"/>
          <w:lang w:eastAsia="bg-BG"/>
        </w:rPr>
      </w:pPr>
    </w:p>
    <w:p w14:paraId="2F230B4F" w14:textId="04A7DCF2"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lang w:eastAsia="bg-BG"/>
        </w:rPr>
        <w:t>Бъбречно увреждане</w:t>
      </w:r>
    </w:p>
    <w:p w14:paraId="6E759C6E"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При пациенти бъбречни нарушения (клирънс на креатинина &lt;10 </w:t>
      </w:r>
      <w:r w:rsidRPr="00A20DC3">
        <w:rPr>
          <w:rFonts w:eastAsia="Times New Roman" w:cs="Arial"/>
          <w:bCs/>
          <w:color w:val="000000"/>
          <w:szCs w:val="18"/>
          <w:lang w:val="en-US"/>
        </w:rPr>
        <w:t>ml</w:t>
      </w:r>
      <w:r w:rsidRPr="00A20DC3">
        <w:rPr>
          <w:rFonts w:eastAsia="Times New Roman" w:cs="Arial"/>
          <w:bCs/>
          <w:color w:val="000000"/>
          <w:szCs w:val="18"/>
          <w:lang w:val="ru-RU"/>
        </w:rPr>
        <w:t>/</w:t>
      </w:r>
      <w:r w:rsidRPr="00A20DC3">
        <w:rPr>
          <w:rFonts w:eastAsia="Times New Roman" w:cs="Arial"/>
          <w:bCs/>
          <w:color w:val="000000"/>
          <w:szCs w:val="18"/>
          <w:lang w:val="en-US"/>
        </w:rPr>
        <w:t>min</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спрямо здрави индивиди не е имало значима разлика в средния елиминационен полуживот (37,7 спрямо 32,4 часа) или клирънс (21,2 спрямо 25,01/час). Проучване върху баланса на масата показа, че около 57% от радиомаркирания оланзапин се установява в урината, предимно под формата на метаболити.</w:t>
      </w:r>
    </w:p>
    <w:p w14:paraId="6C519311" w14:textId="77777777" w:rsidR="00A20DC3" w:rsidRPr="00A20DC3" w:rsidRDefault="00A20DC3" w:rsidP="00A20DC3">
      <w:pPr>
        <w:spacing w:line="240" w:lineRule="auto"/>
        <w:rPr>
          <w:rFonts w:eastAsia="Times New Roman" w:cs="Arial"/>
          <w:bCs/>
          <w:i/>
          <w:iCs/>
          <w:color w:val="000000"/>
          <w:szCs w:val="18"/>
          <w:lang w:eastAsia="bg-BG"/>
        </w:rPr>
      </w:pPr>
    </w:p>
    <w:p w14:paraId="30FF13C9" w14:textId="7BF7CBC7"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lang w:eastAsia="bg-BG"/>
        </w:rPr>
        <w:t>Чернодробно увреждане</w:t>
      </w:r>
    </w:p>
    <w:p w14:paraId="44A6C82E"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Малко проучване за влиянието на нарушената функция на черния дроб при 6 пациенти с клинично значима цироза (клас А (</w:t>
      </w:r>
      <w:r w:rsidRPr="00A20DC3">
        <w:rPr>
          <w:rFonts w:eastAsia="Times New Roman" w:cs="Arial"/>
          <w:bCs/>
          <w:color w:val="000000"/>
          <w:szCs w:val="18"/>
          <w:lang w:val="en-US"/>
        </w:rPr>
        <w:t>n</w:t>
      </w:r>
      <w:r w:rsidRPr="00A20DC3">
        <w:rPr>
          <w:rFonts w:eastAsia="Times New Roman" w:cs="Arial"/>
          <w:bCs/>
          <w:color w:val="000000"/>
          <w:szCs w:val="18"/>
          <w:lang w:eastAsia="bg-BG"/>
        </w:rPr>
        <w:t xml:space="preserve">=5) и клас В </w:t>
      </w:r>
      <w:r w:rsidRPr="00A20DC3">
        <w:rPr>
          <w:rFonts w:eastAsia="Times New Roman" w:cs="Arial"/>
          <w:bCs/>
          <w:color w:val="000000"/>
          <w:szCs w:val="18"/>
          <w:lang w:val="ru-RU"/>
        </w:rPr>
        <w:t>(</w:t>
      </w:r>
      <w:r w:rsidRPr="00A20DC3">
        <w:rPr>
          <w:rFonts w:eastAsia="Times New Roman" w:cs="Arial"/>
          <w:bCs/>
          <w:color w:val="000000"/>
          <w:szCs w:val="18"/>
          <w:lang w:val="en-US"/>
        </w:rPr>
        <w:t>n</w:t>
      </w:r>
      <w:r w:rsidRPr="00A20DC3">
        <w:rPr>
          <w:rFonts w:eastAsia="Times New Roman" w:cs="Arial"/>
          <w:bCs/>
          <w:color w:val="000000"/>
          <w:szCs w:val="18"/>
          <w:lang w:val="ru-RU"/>
        </w:rPr>
        <w:t>=</w:t>
      </w:r>
      <w:r w:rsidRPr="00A20DC3">
        <w:rPr>
          <w:rFonts w:eastAsia="Times New Roman" w:cs="Arial"/>
          <w:bCs/>
          <w:color w:val="000000"/>
          <w:szCs w:val="18"/>
          <w:lang w:val="en-US"/>
        </w:rPr>
        <w:t>l</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по </w:t>
      </w:r>
      <w:r w:rsidRPr="00A20DC3">
        <w:rPr>
          <w:rFonts w:eastAsia="Times New Roman" w:cs="Arial"/>
          <w:bCs/>
          <w:color w:val="000000"/>
          <w:szCs w:val="18"/>
          <w:lang w:val="en-US"/>
        </w:rPr>
        <w:t>Child</w:t>
      </w:r>
      <w:r w:rsidRPr="00A20DC3">
        <w:rPr>
          <w:rFonts w:eastAsia="Times New Roman" w:cs="Arial"/>
          <w:bCs/>
          <w:color w:val="000000"/>
          <w:szCs w:val="18"/>
          <w:lang w:val="ru-RU"/>
        </w:rPr>
        <w:t xml:space="preserve"> </w:t>
      </w:r>
      <w:r w:rsidRPr="00A20DC3">
        <w:rPr>
          <w:rFonts w:eastAsia="Times New Roman" w:cs="Arial"/>
          <w:bCs/>
          <w:color w:val="000000"/>
          <w:szCs w:val="18"/>
          <w:lang w:val="en-US"/>
        </w:rPr>
        <w:t>Pugh</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установява слаб ефект върху фармакокинетиката на оланзапин, приложен перорално (2,5-7,5 </w:t>
      </w:r>
      <w:r w:rsidRPr="00A20DC3">
        <w:rPr>
          <w:rFonts w:eastAsia="Times New Roman" w:cs="Arial"/>
          <w:bCs/>
          <w:color w:val="000000"/>
          <w:szCs w:val="18"/>
          <w:lang w:val="en-US"/>
        </w:rPr>
        <w:t>mg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единична доза): при пациентите с умерена до тежка чернодробна дисфункция е леко завишен системенният клирънс и е по-кратък елиминационният полуживот в сравнение с пациентите без чернодробна дисфункция (</w:t>
      </w:r>
      <w:r w:rsidRPr="00A20DC3">
        <w:rPr>
          <w:rFonts w:eastAsia="Times New Roman" w:cs="Arial"/>
          <w:bCs/>
          <w:color w:val="000000"/>
          <w:szCs w:val="18"/>
          <w:lang w:val="en-US"/>
        </w:rPr>
        <w:t>n</w:t>
      </w:r>
      <w:r w:rsidRPr="00A20DC3">
        <w:rPr>
          <w:rFonts w:eastAsia="Times New Roman" w:cs="Arial"/>
          <w:bCs/>
          <w:color w:val="000000"/>
          <w:szCs w:val="18"/>
          <w:lang w:eastAsia="bg-BG"/>
        </w:rPr>
        <w:t>=3). По голям е броят на пациентите, които са пушачи с цироза (4/6; 67 %), от този на на пациенти без чернодробна дисфункция (0/3; 0 %).</w:t>
      </w:r>
    </w:p>
    <w:p w14:paraId="2ED23C5E" w14:textId="77777777" w:rsidR="00A20DC3" w:rsidRPr="00A20DC3" w:rsidRDefault="00A20DC3" w:rsidP="00A20DC3">
      <w:pPr>
        <w:spacing w:line="240" w:lineRule="auto"/>
        <w:rPr>
          <w:rFonts w:eastAsia="Times New Roman" w:cs="Arial"/>
          <w:bCs/>
          <w:i/>
          <w:iCs/>
          <w:color w:val="000000"/>
          <w:szCs w:val="18"/>
          <w:lang w:eastAsia="bg-BG"/>
        </w:rPr>
      </w:pPr>
    </w:p>
    <w:p w14:paraId="4D5A7576" w14:textId="1083E419"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lang w:eastAsia="bg-BG"/>
        </w:rPr>
        <w:t>Пушене</w:t>
      </w:r>
    </w:p>
    <w:p w14:paraId="22590729"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При непушачи спрямо пушачи (мъже и жени) средният елиминационен полуживот е удължен (38,6 спрямо 30,4 часа), а клирънсът е намален (18,6 спрямо 27,71/час).</w:t>
      </w:r>
    </w:p>
    <w:p w14:paraId="314E4506" w14:textId="77777777" w:rsidR="00A20DC3" w:rsidRPr="00A20DC3" w:rsidRDefault="00A20DC3" w:rsidP="00A20DC3">
      <w:pPr>
        <w:spacing w:line="240" w:lineRule="auto"/>
        <w:rPr>
          <w:rFonts w:eastAsia="Times New Roman" w:cs="Arial"/>
          <w:bCs/>
          <w:color w:val="000000"/>
          <w:szCs w:val="18"/>
          <w:lang w:eastAsia="bg-BG"/>
        </w:rPr>
      </w:pPr>
    </w:p>
    <w:p w14:paraId="4C747AD3" w14:textId="5262BF35"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Плазменият клирънс на оланзапин е по-нисък при индивиди в старческа възраст спрямо млади индивиди, при жени спрямо мъже и при непушачи спрямо пушачи. Но степента на влияние на възрастта, пола или тютюнопушенето върху клирънса на оланзапин и неговия полуживот е малка в сравнение с общата вариабилност между индивидите.</w:t>
      </w:r>
    </w:p>
    <w:p w14:paraId="70510842" w14:textId="77777777" w:rsidR="00A20DC3" w:rsidRPr="00A20DC3" w:rsidRDefault="00A20DC3" w:rsidP="00A20DC3">
      <w:pPr>
        <w:spacing w:line="240" w:lineRule="auto"/>
        <w:rPr>
          <w:rFonts w:eastAsia="Times New Roman" w:cs="Arial"/>
          <w:bCs/>
          <w:color w:val="000000"/>
          <w:szCs w:val="18"/>
          <w:lang w:eastAsia="bg-BG"/>
        </w:rPr>
      </w:pPr>
    </w:p>
    <w:p w14:paraId="2B98BCB5" w14:textId="22BAB8D2"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В проучване на индивиди от бялата раса, Япония и Китай не е наблюдавана разлика във фармакокинетичните параметри сред трите популации.</w:t>
      </w:r>
    </w:p>
    <w:p w14:paraId="172F1A25" w14:textId="77777777" w:rsidR="00A20DC3" w:rsidRPr="00A20DC3" w:rsidRDefault="00A20DC3" w:rsidP="00A20DC3">
      <w:pPr>
        <w:spacing w:line="240" w:lineRule="auto"/>
        <w:rPr>
          <w:rFonts w:eastAsia="Times New Roman" w:cs="Arial"/>
          <w:bCs/>
          <w:i/>
          <w:iCs/>
          <w:color w:val="000000"/>
          <w:szCs w:val="18"/>
          <w:u w:val="single"/>
          <w:lang w:eastAsia="bg-BG"/>
        </w:rPr>
      </w:pPr>
    </w:p>
    <w:p w14:paraId="1D8C2D3E" w14:textId="0FBE6B82"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Педиатрична популация</w:t>
      </w:r>
    </w:p>
    <w:p w14:paraId="05D8DD0E" w14:textId="77777777" w:rsidR="00A20DC3" w:rsidRPr="00A20DC3" w:rsidRDefault="00A20DC3" w:rsidP="00A20DC3">
      <w:pPr>
        <w:rPr>
          <w:rFonts w:eastAsia="Times New Roman" w:cs="Arial"/>
          <w:bCs/>
          <w:color w:val="000000"/>
          <w:szCs w:val="18"/>
          <w:lang w:eastAsia="bg-BG"/>
        </w:rPr>
      </w:pPr>
    </w:p>
    <w:p w14:paraId="02FAE3D6" w14:textId="6BA521C6" w:rsidR="00A20DC3" w:rsidRPr="00A20DC3" w:rsidRDefault="00A20DC3" w:rsidP="00A20DC3">
      <w:pPr>
        <w:rPr>
          <w:rFonts w:eastAsia="Times New Roman" w:cs="Arial"/>
          <w:bCs/>
          <w:color w:val="000000"/>
          <w:szCs w:val="18"/>
          <w:lang w:eastAsia="bg-BG"/>
        </w:rPr>
      </w:pPr>
      <w:r w:rsidRPr="00A20DC3">
        <w:rPr>
          <w:rFonts w:eastAsia="Times New Roman" w:cs="Arial"/>
          <w:bCs/>
          <w:color w:val="000000"/>
          <w:szCs w:val="18"/>
          <w:lang w:eastAsia="bg-BG"/>
        </w:rPr>
        <w:t>Юноши (на възраст от 13 до 17 години): Фармакокинетиката на оланзапин е сходна при юноши и възрастни индивиди. В клинични проучвания средната експозиция на оланзапин е около 27% по-висока при юноши. Демографските разлики между юноши и възрастни индивиди включват по-ниско средно телесно тегло и по-малко юноши са били пушачи. Подобни фактори вероятно допринасят за по-голямата средна експозиция, наблюдавана при юношите.</w:t>
      </w:r>
    </w:p>
    <w:p w14:paraId="390D91E8" w14:textId="77777777" w:rsidR="00A20DC3" w:rsidRPr="00A20DC3" w:rsidRDefault="00A20DC3" w:rsidP="00A20DC3"/>
    <w:p w14:paraId="4FB791BE" w14:textId="291E53DB" w:rsidR="00B6672E" w:rsidRDefault="002C50EE" w:rsidP="00936AD0">
      <w:pPr>
        <w:pStyle w:val="Heading2"/>
      </w:pPr>
      <w:r>
        <w:t>5.3. Предклинични данни за безопасност</w:t>
      </w:r>
    </w:p>
    <w:p w14:paraId="0B83BF98" w14:textId="5859E530" w:rsidR="00A20DC3" w:rsidRDefault="00A20DC3" w:rsidP="00A20DC3"/>
    <w:p w14:paraId="780E0617" w14:textId="77777777"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Остра (еднодозова) токсичност</w:t>
      </w:r>
    </w:p>
    <w:p w14:paraId="527A67B9" w14:textId="77777777" w:rsidR="00A20DC3" w:rsidRPr="00A20DC3" w:rsidRDefault="00A20DC3" w:rsidP="00A20DC3">
      <w:pPr>
        <w:spacing w:line="240" w:lineRule="auto"/>
        <w:rPr>
          <w:rFonts w:eastAsia="Times New Roman" w:cs="Arial"/>
          <w:bCs/>
          <w:color w:val="000000"/>
          <w:szCs w:val="18"/>
          <w:lang w:eastAsia="bg-BG"/>
        </w:rPr>
      </w:pPr>
    </w:p>
    <w:p w14:paraId="4D0C8C7A" w14:textId="473EE23F"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Признаци на перорална токсичност при гризачи са характерни за потентни невролептични лекарства: хипоактивност, кома, тремор, клонични конвулсии, саливация и депресивно повишаване на теглото. Средните летални дози са приблизително 210 </w:t>
      </w:r>
      <w:r w:rsidRPr="00A20DC3">
        <w:rPr>
          <w:rFonts w:eastAsia="Times New Roman" w:cs="Arial"/>
          <w:bCs/>
          <w:color w:val="000000"/>
          <w:szCs w:val="18"/>
          <w:lang w:val="en-US"/>
        </w:rPr>
        <w:t>mg</w:t>
      </w:r>
      <w:r w:rsidRPr="00A20DC3">
        <w:rPr>
          <w:rFonts w:eastAsia="Times New Roman" w:cs="Arial"/>
          <w:bCs/>
          <w:color w:val="000000"/>
          <w:szCs w:val="18"/>
          <w:lang w:val="ru-RU"/>
        </w:rPr>
        <w:t>/</w:t>
      </w:r>
      <w:r w:rsidRPr="00A20DC3">
        <w:rPr>
          <w:rFonts w:eastAsia="Times New Roman" w:cs="Arial"/>
          <w:bCs/>
          <w:color w:val="000000"/>
          <w:szCs w:val="18"/>
          <w:lang w:val="en-US"/>
        </w:rPr>
        <w:t>kg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(мишки) и 175 </w:t>
      </w:r>
      <w:r w:rsidRPr="00A20DC3">
        <w:rPr>
          <w:rFonts w:eastAsia="Times New Roman" w:cs="Arial"/>
          <w:bCs/>
          <w:color w:val="000000"/>
          <w:szCs w:val="18"/>
          <w:lang w:val="en-US"/>
        </w:rPr>
        <w:t>mg</w:t>
      </w:r>
      <w:r w:rsidRPr="00A20DC3">
        <w:rPr>
          <w:rFonts w:eastAsia="Times New Roman" w:cs="Arial"/>
          <w:bCs/>
          <w:color w:val="000000"/>
          <w:szCs w:val="18"/>
          <w:lang w:val="ru-RU"/>
        </w:rPr>
        <w:t>/</w:t>
      </w:r>
      <w:r w:rsidRPr="00A20DC3">
        <w:rPr>
          <w:rFonts w:eastAsia="Times New Roman" w:cs="Arial"/>
          <w:bCs/>
          <w:color w:val="000000"/>
          <w:szCs w:val="18"/>
          <w:lang w:val="en-US"/>
        </w:rPr>
        <w:t>kg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(плъхове). Кучетата са понасяли единични перорални дози до 100 </w:t>
      </w:r>
      <w:r w:rsidRPr="00A20DC3">
        <w:rPr>
          <w:rFonts w:eastAsia="Times New Roman" w:cs="Arial"/>
          <w:bCs/>
          <w:color w:val="000000"/>
          <w:szCs w:val="18"/>
          <w:lang w:val="en-US"/>
        </w:rPr>
        <w:t>mg</w:t>
      </w:r>
      <w:r w:rsidRPr="00A20DC3">
        <w:rPr>
          <w:rFonts w:eastAsia="Times New Roman" w:cs="Arial"/>
          <w:bCs/>
          <w:color w:val="000000"/>
          <w:szCs w:val="18"/>
          <w:lang w:val="ru-RU"/>
        </w:rPr>
        <w:t>/</w:t>
      </w:r>
      <w:r w:rsidRPr="00A20DC3">
        <w:rPr>
          <w:rFonts w:eastAsia="Times New Roman" w:cs="Arial"/>
          <w:bCs/>
          <w:color w:val="000000"/>
          <w:szCs w:val="18"/>
          <w:lang w:val="en-US"/>
        </w:rPr>
        <w:t>kg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без да настъпи смърт. Клиничните белези са включвали седация, атаксия, тремори, ускорена сърдечна честота, задух, миоза и анорексия. При маймуни единични перорални дози до 100 </w:t>
      </w:r>
      <w:r w:rsidRPr="00A20DC3">
        <w:rPr>
          <w:rFonts w:eastAsia="Times New Roman" w:cs="Arial"/>
          <w:bCs/>
          <w:color w:val="000000"/>
          <w:szCs w:val="18"/>
          <w:lang w:val="en-US"/>
        </w:rPr>
        <w:t>mg</w:t>
      </w:r>
      <w:r w:rsidRPr="00A20DC3">
        <w:rPr>
          <w:rFonts w:eastAsia="Times New Roman" w:cs="Arial"/>
          <w:bCs/>
          <w:color w:val="000000"/>
          <w:szCs w:val="18"/>
          <w:lang w:val="ru-RU"/>
        </w:rPr>
        <w:t>/</w:t>
      </w:r>
      <w:r w:rsidRPr="00A20DC3">
        <w:rPr>
          <w:rFonts w:eastAsia="Times New Roman" w:cs="Arial"/>
          <w:bCs/>
          <w:color w:val="000000"/>
          <w:szCs w:val="18"/>
          <w:lang w:val="en-US"/>
        </w:rPr>
        <w:t>kg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са довели до отпадналост и при по-високи дози - до полусъзнание.</w:t>
      </w:r>
    </w:p>
    <w:p w14:paraId="78118089" w14:textId="77777777" w:rsidR="00A20DC3" w:rsidRPr="00A20DC3" w:rsidRDefault="00A20DC3" w:rsidP="00A20DC3">
      <w:pPr>
        <w:spacing w:line="240" w:lineRule="auto"/>
        <w:rPr>
          <w:rFonts w:eastAsia="Times New Roman" w:cs="Arial"/>
          <w:bCs/>
          <w:i/>
          <w:iCs/>
          <w:color w:val="000000"/>
          <w:szCs w:val="18"/>
          <w:u w:val="single"/>
          <w:lang w:eastAsia="bg-BG"/>
        </w:rPr>
      </w:pPr>
    </w:p>
    <w:p w14:paraId="7576025A" w14:textId="3CEA0012"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Токсичност при многократно приложение</w:t>
      </w:r>
    </w:p>
    <w:p w14:paraId="22290750" w14:textId="77777777" w:rsidR="00A20DC3" w:rsidRPr="00A20DC3" w:rsidRDefault="00A20DC3" w:rsidP="00A20DC3">
      <w:pPr>
        <w:spacing w:line="240" w:lineRule="auto"/>
        <w:rPr>
          <w:rFonts w:eastAsia="Times New Roman" w:cs="Arial"/>
          <w:bCs/>
          <w:color w:val="000000"/>
          <w:szCs w:val="18"/>
          <w:lang w:eastAsia="bg-BG"/>
        </w:rPr>
      </w:pPr>
    </w:p>
    <w:p w14:paraId="4B453553" w14:textId="527D0B58"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В проучвания с продължителност до 3 месеца при мишки и до 1 година при плъхове и кучета доминиращите ефекти бяха депресия на ЦНС, антихолинергични ефекти и периферни хематологични нарушения. Поносимост се разви по отношение на потискането на ЦНС. Показателите на растежа бяха намалени при високите дози. </w:t>
      </w:r>
      <w:r w:rsidRPr="00A20DC3">
        <w:rPr>
          <w:rFonts w:eastAsia="Times New Roman" w:cs="Arial"/>
          <w:bCs/>
          <w:color w:val="000000"/>
          <w:szCs w:val="18"/>
          <w:lang w:eastAsia="bg-BG"/>
        </w:rPr>
        <w:lastRenderedPageBreak/>
        <w:t>Обратимите ефекти в съответствие с повишения пролактин при плъховете включваха намалено тегло на яйчниците и матката, както и морфологични промени във вагиналния епител и млечната жлеза.</w:t>
      </w:r>
    </w:p>
    <w:p w14:paraId="737E0496" w14:textId="77777777" w:rsidR="00A20DC3" w:rsidRPr="00A20DC3" w:rsidRDefault="00A20DC3" w:rsidP="00A20DC3">
      <w:pPr>
        <w:spacing w:line="240" w:lineRule="auto"/>
        <w:rPr>
          <w:rFonts w:eastAsia="Times New Roman" w:cs="Arial"/>
          <w:bCs/>
          <w:i/>
          <w:iCs/>
          <w:color w:val="000000"/>
          <w:szCs w:val="18"/>
          <w:u w:val="single"/>
          <w:lang w:eastAsia="bg-BG"/>
        </w:rPr>
      </w:pPr>
    </w:p>
    <w:p w14:paraId="391B8A18" w14:textId="1B0A4176"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Хематологична токсичност</w:t>
      </w:r>
    </w:p>
    <w:p w14:paraId="6B2EF550" w14:textId="77777777" w:rsidR="00A20DC3" w:rsidRPr="00A20DC3" w:rsidRDefault="00A20DC3" w:rsidP="00A20DC3">
      <w:pPr>
        <w:spacing w:line="240" w:lineRule="auto"/>
        <w:rPr>
          <w:rFonts w:eastAsia="Times New Roman" w:cs="Arial"/>
          <w:bCs/>
          <w:color w:val="000000"/>
          <w:szCs w:val="18"/>
          <w:lang w:eastAsia="bg-BG"/>
        </w:rPr>
      </w:pPr>
    </w:p>
    <w:p w14:paraId="708D857F" w14:textId="4482DB96"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Бяха установени ефекти върху хематологичните показатели във всеки един от видовете, включително свързано с дозата намаление на циркулиращите левкоцити при мишки и неспецифично намаляване броя на левкоцитите при плъхове, но въпреки това не бяха установени доказателства за костно-мозъчна токсичност. Обратима неутропения, тромбоцигопения или анемия се разви при няколко кучета, третирани с 8 или 10 </w:t>
      </w:r>
      <w:r w:rsidRPr="00A20DC3">
        <w:rPr>
          <w:rFonts w:eastAsia="Times New Roman" w:cs="Arial"/>
          <w:bCs/>
          <w:color w:val="000000"/>
          <w:szCs w:val="18"/>
          <w:lang w:val="en-US"/>
        </w:rPr>
        <w:t>mg</w:t>
      </w:r>
      <w:r w:rsidRPr="00A20DC3">
        <w:rPr>
          <w:rFonts w:eastAsia="Times New Roman" w:cs="Arial"/>
          <w:bCs/>
          <w:color w:val="000000"/>
          <w:szCs w:val="18"/>
          <w:lang w:val="ru-RU"/>
        </w:rPr>
        <w:t>/</w:t>
      </w:r>
      <w:r w:rsidRPr="00A20DC3">
        <w:rPr>
          <w:rFonts w:eastAsia="Times New Roman" w:cs="Arial"/>
          <w:bCs/>
          <w:color w:val="000000"/>
          <w:szCs w:val="18"/>
          <w:lang w:val="en-US"/>
        </w:rPr>
        <w:t>kg</w:t>
      </w:r>
      <w:r w:rsidRPr="00A20DC3">
        <w:rPr>
          <w:rFonts w:eastAsia="Times New Roman" w:cs="Arial"/>
          <w:bCs/>
          <w:color w:val="000000"/>
          <w:szCs w:val="18"/>
          <w:lang w:eastAsia="bg-BG"/>
        </w:rPr>
        <w:t xml:space="preserve">/ден (общата експозиция на оланзапин </w:t>
      </w:r>
      <w:r w:rsidRPr="00A20DC3">
        <w:rPr>
          <w:rFonts w:eastAsia="Times New Roman" w:cs="Arial"/>
          <w:bCs/>
          <w:color w:val="000000"/>
          <w:szCs w:val="18"/>
          <w:lang w:val="ru-RU"/>
        </w:rPr>
        <w:t>[</w:t>
      </w:r>
      <w:r w:rsidRPr="00A20DC3">
        <w:rPr>
          <w:rFonts w:eastAsia="Times New Roman" w:cs="Arial"/>
          <w:bCs/>
          <w:color w:val="000000"/>
          <w:szCs w:val="18"/>
          <w:lang w:val="en-US"/>
        </w:rPr>
        <w:t>AUC</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е 12- до 15- пъти по-висока в сравнение с клиничната доза от 12 </w:t>
      </w:r>
      <w:r w:rsidRPr="00A20DC3">
        <w:rPr>
          <w:rFonts w:eastAsia="Times New Roman" w:cs="Arial"/>
          <w:bCs/>
          <w:color w:val="000000"/>
          <w:szCs w:val="18"/>
          <w:lang w:val="en-US"/>
        </w:rPr>
        <w:t>mg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При цитопенични кучета нямаше нежелани реакции върху клетките предшественици и пролифериращите клетки в костния мозък.</w:t>
      </w:r>
    </w:p>
    <w:p w14:paraId="42E91185" w14:textId="77777777" w:rsidR="00A20DC3" w:rsidRPr="00A20DC3" w:rsidRDefault="00A20DC3" w:rsidP="00A20DC3">
      <w:pPr>
        <w:spacing w:line="240" w:lineRule="auto"/>
        <w:rPr>
          <w:rFonts w:eastAsia="Times New Roman" w:cs="Arial"/>
          <w:bCs/>
          <w:i/>
          <w:iCs/>
          <w:color w:val="000000"/>
          <w:szCs w:val="18"/>
          <w:u w:val="single"/>
          <w:lang w:eastAsia="bg-BG"/>
        </w:rPr>
      </w:pPr>
    </w:p>
    <w:p w14:paraId="00473D9F" w14:textId="0385E684"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Репродуктивна токсичност</w:t>
      </w:r>
    </w:p>
    <w:p w14:paraId="1F89D66F" w14:textId="77777777" w:rsidR="00A20DC3" w:rsidRPr="00A20DC3" w:rsidRDefault="00A20DC3" w:rsidP="00A20DC3">
      <w:pPr>
        <w:spacing w:line="240" w:lineRule="auto"/>
        <w:rPr>
          <w:rFonts w:eastAsia="Times New Roman" w:cs="Arial"/>
          <w:bCs/>
          <w:color w:val="000000"/>
          <w:szCs w:val="18"/>
          <w:lang w:eastAsia="bg-BG"/>
        </w:rPr>
      </w:pPr>
    </w:p>
    <w:p w14:paraId="4813A034" w14:textId="025204AB"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Оланзапин няма тератогенни ефекти. Седацията повлия половата активност на мъжките плъхове. Естрогенните цикли бяха засегнати при дози от 1.1 </w:t>
      </w:r>
      <w:r w:rsidRPr="00A20DC3">
        <w:rPr>
          <w:rFonts w:eastAsia="Times New Roman" w:cs="Arial"/>
          <w:bCs/>
          <w:color w:val="000000"/>
          <w:szCs w:val="18"/>
          <w:lang w:val="en-US"/>
        </w:rPr>
        <w:t>mg</w:t>
      </w:r>
      <w:r w:rsidRPr="00A20DC3">
        <w:rPr>
          <w:rFonts w:eastAsia="Times New Roman" w:cs="Arial"/>
          <w:bCs/>
          <w:color w:val="000000"/>
          <w:szCs w:val="18"/>
          <w:lang w:val="ru-RU"/>
        </w:rPr>
        <w:t>/</w:t>
      </w:r>
      <w:r w:rsidRPr="00A20DC3">
        <w:rPr>
          <w:rFonts w:eastAsia="Times New Roman" w:cs="Arial"/>
          <w:bCs/>
          <w:color w:val="000000"/>
          <w:szCs w:val="18"/>
          <w:lang w:val="en-US"/>
        </w:rPr>
        <w:t>kg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(3-пъти максималната човешка доза), а репродуктивните показатели бяха повлияни при плъхове с доза от 3 </w:t>
      </w:r>
      <w:r w:rsidRPr="00A20DC3">
        <w:rPr>
          <w:rFonts w:eastAsia="Times New Roman" w:cs="Arial"/>
          <w:bCs/>
          <w:color w:val="000000"/>
          <w:szCs w:val="18"/>
          <w:lang w:val="en-US"/>
        </w:rPr>
        <w:t>mg</w:t>
      </w:r>
      <w:r w:rsidRPr="00A20DC3">
        <w:rPr>
          <w:rFonts w:eastAsia="Times New Roman" w:cs="Arial"/>
          <w:bCs/>
          <w:color w:val="000000"/>
          <w:szCs w:val="18"/>
          <w:lang w:val="ru-RU"/>
        </w:rPr>
        <w:t>/</w:t>
      </w:r>
      <w:r w:rsidRPr="00A20DC3">
        <w:rPr>
          <w:rFonts w:eastAsia="Times New Roman" w:cs="Arial"/>
          <w:bCs/>
          <w:color w:val="000000"/>
          <w:szCs w:val="18"/>
          <w:lang w:val="en-US"/>
        </w:rPr>
        <w:t>kg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(9 пъти максималната човешка доза). В поколението на плъхове третирани с оланзапин бяха наблюдавани забавяне на феталното развитие и преходно намаление на нивата на активност на поколението.</w:t>
      </w:r>
    </w:p>
    <w:p w14:paraId="4596611A" w14:textId="77777777" w:rsidR="00A20DC3" w:rsidRPr="00A20DC3" w:rsidRDefault="00A20DC3" w:rsidP="00A20DC3">
      <w:pPr>
        <w:spacing w:line="240" w:lineRule="auto"/>
        <w:rPr>
          <w:rFonts w:eastAsia="Times New Roman" w:cs="Arial"/>
          <w:bCs/>
          <w:i/>
          <w:iCs/>
          <w:color w:val="000000"/>
          <w:szCs w:val="18"/>
          <w:u w:val="single"/>
          <w:lang w:eastAsia="bg-BG"/>
        </w:rPr>
      </w:pPr>
    </w:p>
    <w:p w14:paraId="33F5C183" w14:textId="57612A08"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Мутагенност</w:t>
      </w:r>
    </w:p>
    <w:p w14:paraId="03FB365C" w14:textId="77777777" w:rsidR="00A20DC3" w:rsidRPr="00A20DC3" w:rsidRDefault="00A20DC3" w:rsidP="00A20DC3">
      <w:pPr>
        <w:spacing w:line="240" w:lineRule="auto"/>
        <w:rPr>
          <w:rFonts w:eastAsia="Times New Roman" w:cs="Arial"/>
          <w:bCs/>
          <w:color w:val="000000"/>
          <w:szCs w:val="18"/>
          <w:lang w:eastAsia="bg-BG"/>
        </w:rPr>
      </w:pPr>
    </w:p>
    <w:p w14:paraId="760D7F8D" w14:textId="05F430A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Оланзапин не е мутагенен или кластогенен при пълната гама от стандартни тестове, които включваха тестове за мутации при бактерии и </w:t>
      </w:r>
      <w:r w:rsidRPr="00A20DC3">
        <w:rPr>
          <w:rFonts w:eastAsia="Times New Roman" w:cs="Arial"/>
          <w:bCs/>
          <w:i/>
          <w:iCs/>
          <w:color w:val="000000"/>
          <w:szCs w:val="18"/>
          <w:lang w:val="en-US"/>
        </w:rPr>
        <w:t>in</w:t>
      </w:r>
      <w:r w:rsidRPr="00A20DC3">
        <w:rPr>
          <w:rFonts w:eastAsia="Times New Roman" w:cs="Arial"/>
          <w:bCs/>
          <w:i/>
          <w:iCs/>
          <w:color w:val="000000"/>
          <w:szCs w:val="18"/>
          <w:lang w:val="ru-RU"/>
        </w:rPr>
        <w:t xml:space="preserve"> </w:t>
      </w:r>
      <w:r w:rsidRPr="00A20DC3">
        <w:rPr>
          <w:rFonts w:eastAsia="Times New Roman" w:cs="Arial"/>
          <w:bCs/>
          <w:i/>
          <w:iCs/>
          <w:color w:val="000000"/>
          <w:szCs w:val="18"/>
          <w:lang w:val="en-US"/>
        </w:rPr>
        <w:t>vitro</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и </w:t>
      </w:r>
      <w:r w:rsidRPr="00A20DC3">
        <w:rPr>
          <w:rFonts w:eastAsia="Times New Roman" w:cs="Arial"/>
          <w:bCs/>
          <w:i/>
          <w:iCs/>
          <w:color w:val="000000"/>
          <w:szCs w:val="18"/>
          <w:lang w:val="en-US"/>
        </w:rPr>
        <w:t>in</w:t>
      </w:r>
      <w:r w:rsidRPr="00A20DC3">
        <w:rPr>
          <w:rFonts w:eastAsia="Times New Roman" w:cs="Arial"/>
          <w:bCs/>
          <w:i/>
          <w:iCs/>
          <w:color w:val="000000"/>
          <w:szCs w:val="18"/>
          <w:lang w:val="ru-RU"/>
        </w:rPr>
        <w:t xml:space="preserve"> </w:t>
      </w:r>
      <w:r w:rsidRPr="00A20DC3">
        <w:rPr>
          <w:rFonts w:eastAsia="Times New Roman" w:cs="Arial"/>
          <w:bCs/>
          <w:i/>
          <w:iCs/>
          <w:color w:val="000000"/>
          <w:szCs w:val="18"/>
          <w:lang w:val="en-US"/>
        </w:rPr>
        <w:t>vivo</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тестове при бозайници.</w:t>
      </w:r>
    </w:p>
    <w:p w14:paraId="75DFBB0C" w14:textId="77777777" w:rsidR="00A20DC3" w:rsidRPr="00A20DC3" w:rsidRDefault="00A20DC3" w:rsidP="00A20DC3">
      <w:pPr>
        <w:spacing w:line="240" w:lineRule="auto"/>
        <w:rPr>
          <w:rFonts w:eastAsia="Times New Roman" w:cs="Arial"/>
          <w:bCs/>
          <w:i/>
          <w:iCs/>
          <w:color w:val="000000"/>
          <w:szCs w:val="18"/>
          <w:u w:val="single"/>
          <w:lang w:eastAsia="bg-BG"/>
        </w:rPr>
      </w:pPr>
    </w:p>
    <w:p w14:paraId="7EE33091" w14:textId="35180760"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Карииногенност</w:t>
      </w:r>
    </w:p>
    <w:p w14:paraId="61078F1C" w14:textId="77777777" w:rsidR="00A20DC3" w:rsidRPr="00A20DC3" w:rsidRDefault="00A20DC3" w:rsidP="00A20DC3">
      <w:pPr>
        <w:rPr>
          <w:rFonts w:eastAsia="Times New Roman" w:cs="Arial"/>
          <w:bCs/>
          <w:color w:val="000000"/>
          <w:szCs w:val="18"/>
          <w:lang w:eastAsia="bg-BG"/>
        </w:rPr>
      </w:pPr>
    </w:p>
    <w:p w14:paraId="0BBA3A68" w14:textId="7A0A07C6" w:rsidR="00A20DC3" w:rsidRPr="00A20DC3" w:rsidRDefault="00A20DC3" w:rsidP="00A20DC3">
      <w:pPr>
        <w:rPr>
          <w:rFonts w:eastAsia="Times New Roman" w:cs="Arial"/>
          <w:bCs/>
          <w:color w:val="000000"/>
          <w:szCs w:val="18"/>
          <w:lang w:eastAsia="bg-BG"/>
        </w:rPr>
      </w:pPr>
      <w:r w:rsidRPr="00A20DC3">
        <w:rPr>
          <w:rFonts w:eastAsia="Times New Roman" w:cs="Arial"/>
          <w:bCs/>
          <w:color w:val="000000"/>
          <w:szCs w:val="18"/>
          <w:lang w:eastAsia="bg-BG"/>
        </w:rPr>
        <w:t>Въз основа на резултатите от проучванията върху мишки и плъхове, беше заключено, че оланзапин не е карциногенен.</w:t>
      </w:r>
    </w:p>
    <w:p w14:paraId="6DD938A1" w14:textId="415E6283" w:rsidR="00A20DC3" w:rsidRPr="00A20DC3" w:rsidRDefault="00A20DC3" w:rsidP="00A20DC3">
      <w:pPr>
        <w:rPr>
          <w:rFonts w:eastAsia="Times New Roman" w:cs="Arial"/>
          <w:bCs/>
          <w:color w:val="000000"/>
          <w:szCs w:val="18"/>
          <w:lang w:eastAsia="bg-BG"/>
        </w:rPr>
      </w:pPr>
    </w:p>
    <w:p w14:paraId="47DAA2F6"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u w:val="single"/>
          <w:lang w:eastAsia="bg-BG"/>
        </w:rPr>
        <w:t>Оценка на риска за околната среда (ОРС)</w:t>
      </w:r>
    </w:p>
    <w:p w14:paraId="4BF139D3" w14:textId="77777777" w:rsidR="00A20DC3" w:rsidRPr="00A20DC3" w:rsidRDefault="00A20DC3" w:rsidP="00A20DC3">
      <w:pPr>
        <w:spacing w:line="240" w:lineRule="auto"/>
        <w:rPr>
          <w:rFonts w:eastAsia="Times New Roman" w:cs="Arial"/>
          <w:bCs/>
          <w:color w:val="000000"/>
          <w:szCs w:val="18"/>
          <w:lang w:eastAsia="bg-BG"/>
        </w:rPr>
      </w:pPr>
    </w:p>
    <w:p w14:paraId="29AA8811" w14:textId="0E32BFB5"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Използването на Еголанза в съответствие с продуктовата информация не би трябвало да причини неприемливо увреждане на околната среда.</w:t>
      </w:r>
    </w:p>
    <w:p w14:paraId="5CF61654" w14:textId="77777777" w:rsidR="00A20DC3" w:rsidRPr="00A20DC3" w:rsidRDefault="00A20DC3" w:rsidP="00A20DC3"/>
    <w:p w14:paraId="1BA6531D" w14:textId="2122687D" w:rsidR="00B6672E" w:rsidRDefault="002C50EE" w:rsidP="00936AD0">
      <w:pPr>
        <w:pStyle w:val="Heading1"/>
      </w:pPr>
      <w:r>
        <w:t>7. ПРИТЕЖАТЕЛ НА РАЗРЕШЕНИЕТО ЗА УПОТРЕБА</w:t>
      </w:r>
    </w:p>
    <w:p w14:paraId="400F44AC" w14:textId="24CA5C58" w:rsidR="00EC0BCB" w:rsidRDefault="00EC0BCB" w:rsidP="00EC0BCB"/>
    <w:p w14:paraId="24450A64" w14:textId="77777777" w:rsidR="00EC0BCB" w:rsidRPr="00EC0BCB" w:rsidRDefault="00EC0BCB" w:rsidP="00EC0BCB">
      <w:pPr>
        <w:rPr>
          <w:rFonts w:ascii="Times New Roman" w:hAnsi="Times New Roman" w:cs="Times New Roman"/>
          <w:sz w:val="24"/>
          <w:szCs w:val="24"/>
          <w:lang w:val="en-US"/>
        </w:rPr>
      </w:pPr>
      <w:r w:rsidRPr="00EC0BCB">
        <w:rPr>
          <w:lang w:val="en-US"/>
        </w:rPr>
        <w:t>Egis Pharmaceuticals PLC</w:t>
      </w:r>
    </w:p>
    <w:p w14:paraId="07AC715A" w14:textId="77777777" w:rsidR="00EC0BCB" w:rsidRPr="00EC0BCB" w:rsidRDefault="00EC0BCB" w:rsidP="00EC0BCB">
      <w:pPr>
        <w:rPr>
          <w:rFonts w:ascii="Times New Roman" w:hAnsi="Times New Roman" w:cs="Times New Roman"/>
          <w:sz w:val="24"/>
          <w:szCs w:val="24"/>
          <w:lang w:val="en-US"/>
        </w:rPr>
      </w:pPr>
      <w:r w:rsidRPr="00EC0BCB">
        <w:rPr>
          <w:lang w:eastAsia="bg-BG"/>
        </w:rPr>
        <w:t xml:space="preserve">1106 </w:t>
      </w:r>
      <w:r w:rsidRPr="00EC0BCB">
        <w:rPr>
          <w:lang w:val="en-US"/>
        </w:rPr>
        <w:t xml:space="preserve">Budapest, </w:t>
      </w:r>
      <w:proofErr w:type="spellStart"/>
      <w:r w:rsidRPr="00EC0BCB">
        <w:rPr>
          <w:lang w:val="en-US"/>
        </w:rPr>
        <w:t>Kereszturi</w:t>
      </w:r>
      <w:proofErr w:type="spellEnd"/>
      <w:r w:rsidRPr="00EC0BCB">
        <w:rPr>
          <w:lang w:val="en-US"/>
        </w:rPr>
        <w:t xml:space="preserve"> </w:t>
      </w:r>
      <w:proofErr w:type="spellStart"/>
      <w:r w:rsidRPr="00EC0BCB">
        <w:rPr>
          <w:lang w:val="en-US"/>
        </w:rPr>
        <w:t>ut</w:t>
      </w:r>
      <w:proofErr w:type="spellEnd"/>
      <w:r w:rsidRPr="00EC0BCB">
        <w:rPr>
          <w:lang w:val="en-US"/>
        </w:rPr>
        <w:t xml:space="preserve"> 30-38.</w:t>
      </w:r>
    </w:p>
    <w:p w14:paraId="024557FE" w14:textId="7D85470F" w:rsidR="00EC0BCB" w:rsidRPr="00EC0BCB" w:rsidRDefault="00EC0BCB" w:rsidP="00EC0BCB">
      <w:r w:rsidRPr="00EC0BCB">
        <w:rPr>
          <w:lang w:eastAsia="bg-BG"/>
        </w:rPr>
        <w:t>Унгария</w:t>
      </w:r>
    </w:p>
    <w:p w14:paraId="508F3A54" w14:textId="7D040195" w:rsidR="00B6672E" w:rsidRDefault="00936AD0" w:rsidP="00936AD0">
      <w:pPr>
        <w:pStyle w:val="Heading1"/>
      </w:pPr>
      <w:r>
        <w:t>8.</w:t>
      </w:r>
      <w:r w:rsidR="002C50EE">
        <w:t>НОМЕР НА РАЗРЕШЕНИЕТО ЗА УПОТРЕБА</w:t>
      </w:r>
    </w:p>
    <w:p w14:paraId="1DBDAA24" w14:textId="1034E80B" w:rsidR="00EC0BCB" w:rsidRDefault="00EC0BCB" w:rsidP="00EC0BCB"/>
    <w:p w14:paraId="6A239062" w14:textId="05594521" w:rsidR="00EC0BCB" w:rsidRPr="00EC0BCB" w:rsidRDefault="00EC0BCB" w:rsidP="00EC0BCB">
      <w:pPr>
        <w:rPr>
          <w:rFonts w:ascii="Times New Roman" w:hAnsi="Times New Roman" w:cs="Times New Roman"/>
          <w:sz w:val="24"/>
          <w:szCs w:val="24"/>
        </w:rPr>
      </w:pPr>
      <w:r w:rsidRPr="00EC0BCB">
        <w:rPr>
          <w:lang w:eastAsia="bg-BG"/>
        </w:rPr>
        <w:lastRenderedPageBreak/>
        <w:t xml:space="preserve">Еголанза 5 </w:t>
      </w:r>
      <w:r w:rsidRPr="00EC0BCB">
        <w:rPr>
          <w:lang w:val="en-US"/>
        </w:rPr>
        <w:t>mg</w:t>
      </w:r>
      <w:r w:rsidRPr="00EC0BCB">
        <w:rPr>
          <w:lang w:val="ru-RU"/>
        </w:rPr>
        <w:t xml:space="preserve"> </w:t>
      </w:r>
      <w:r w:rsidRPr="00EC0BCB">
        <w:rPr>
          <w:lang w:eastAsia="bg-BG"/>
        </w:rPr>
        <w:t xml:space="preserve">филмирани таблетки: </w:t>
      </w:r>
      <w:proofErr w:type="spellStart"/>
      <w:r>
        <w:rPr>
          <w:lang w:val="en-US"/>
        </w:rPr>
        <w:t>Pe</w:t>
      </w:r>
      <w:proofErr w:type="spellEnd"/>
      <w:r>
        <w:t>г</w:t>
      </w:r>
      <w:r w:rsidRPr="00EC0BCB">
        <w:rPr>
          <w:lang w:val="ru-RU"/>
        </w:rPr>
        <w:t xml:space="preserve">. </w:t>
      </w:r>
      <w:r w:rsidRPr="00EC0BCB">
        <w:rPr>
          <w:lang w:eastAsia="bg-BG"/>
        </w:rPr>
        <w:t>№: 20100483</w:t>
      </w:r>
    </w:p>
    <w:p w14:paraId="7166F6E2" w14:textId="3377B365" w:rsidR="00EC0BCB" w:rsidRPr="00EC0BCB" w:rsidRDefault="00EC0BCB" w:rsidP="00EC0BCB">
      <w:pPr>
        <w:rPr>
          <w:rFonts w:ascii="Times New Roman" w:hAnsi="Times New Roman" w:cs="Times New Roman"/>
          <w:sz w:val="24"/>
          <w:szCs w:val="24"/>
        </w:rPr>
      </w:pPr>
      <w:r w:rsidRPr="00EC0BCB">
        <w:rPr>
          <w:lang w:eastAsia="bg-BG"/>
        </w:rPr>
        <w:t xml:space="preserve">Еголанза 10 </w:t>
      </w:r>
      <w:r w:rsidRPr="00EC0BCB">
        <w:rPr>
          <w:lang w:val="en-US"/>
        </w:rPr>
        <w:t>mg</w:t>
      </w:r>
      <w:r w:rsidRPr="00EC0BCB">
        <w:rPr>
          <w:lang w:val="ru-RU"/>
        </w:rPr>
        <w:t xml:space="preserve"> </w:t>
      </w:r>
      <w:r w:rsidRPr="00EC0BCB">
        <w:rPr>
          <w:lang w:eastAsia="bg-BG"/>
        </w:rPr>
        <w:t xml:space="preserve">филмирани таблетки: </w:t>
      </w:r>
      <w:proofErr w:type="spellStart"/>
      <w:r>
        <w:rPr>
          <w:lang w:val="en-US"/>
        </w:rPr>
        <w:t>Pe</w:t>
      </w:r>
      <w:proofErr w:type="spellEnd"/>
      <w:r w:rsidRPr="00EC0BCB">
        <w:rPr>
          <w:lang w:val="ru-RU"/>
        </w:rPr>
        <w:t xml:space="preserve">г. </w:t>
      </w:r>
      <w:r w:rsidRPr="00EC0BCB">
        <w:rPr>
          <w:lang w:eastAsia="bg-BG"/>
        </w:rPr>
        <w:t>№: 20100485</w:t>
      </w:r>
    </w:p>
    <w:p w14:paraId="161A42E7" w14:textId="7D8B35FF" w:rsidR="00EC0BCB" w:rsidRPr="00EC0BCB" w:rsidRDefault="00EC0BCB" w:rsidP="00EC0BCB">
      <w:pPr>
        <w:rPr>
          <w:rFonts w:ascii="Times New Roman" w:hAnsi="Times New Roman" w:cs="Times New Roman"/>
          <w:sz w:val="24"/>
          <w:szCs w:val="24"/>
        </w:rPr>
      </w:pPr>
      <w:r w:rsidRPr="00EC0BCB">
        <w:rPr>
          <w:lang w:eastAsia="bg-BG"/>
        </w:rPr>
        <w:t xml:space="preserve">Еголанза 15 </w:t>
      </w:r>
      <w:r w:rsidRPr="00EC0BCB">
        <w:rPr>
          <w:lang w:val="en-US"/>
        </w:rPr>
        <w:t>mg</w:t>
      </w:r>
      <w:r w:rsidRPr="00EC0BCB">
        <w:rPr>
          <w:lang w:val="ru-RU"/>
        </w:rPr>
        <w:t xml:space="preserve"> </w:t>
      </w:r>
      <w:r w:rsidRPr="00EC0BCB">
        <w:rPr>
          <w:lang w:eastAsia="bg-BG"/>
        </w:rPr>
        <w:t xml:space="preserve">филмирани таблетки: </w:t>
      </w:r>
      <w:proofErr w:type="spellStart"/>
      <w:r>
        <w:rPr>
          <w:lang w:val="en-US"/>
        </w:rPr>
        <w:t>Pe</w:t>
      </w:r>
      <w:proofErr w:type="spellEnd"/>
      <w:r w:rsidRPr="00EC0BCB">
        <w:rPr>
          <w:lang w:val="ru-RU"/>
        </w:rPr>
        <w:t xml:space="preserve">г. </w:t>
      </w:r>
      <w:r w:rsidRPr="00EC0BCB">
        <w:rPr>
          <w:lang w:eastAsia="bg-BG"/>
        </w:rPr>
        <w:t>№: 20100486</w:t>
      </w:r>
    </w:p>
    <w:p w14:paraId="088542B5" w14:textId="17F7F51D" w:rsidR="00EC0BCB" w:rsidRPr="00EC0BCB" w:rsidRDefault="00EC0BCB" w:rsidP="00EC0BCB">
      <w:pPr>
        <w:rPr>
          <w:rFonts w:ascii="Times New Roman" w:hAnsi="Times New Roman" w:cs="Times New Roman"/>
          <w:sz w:val="24"/>
          <w:szCs w:val="24"/>
        </w:rPr>
      </w:pPr>
      <w:r w:rsidRPr="00EC0BCB">
        <w:rPr>
          <w:lang w:eastAsia="bg-BG"/>
        </w:rPr>
        <w:t xml:space="preserve">Еголанза 20 </w:t>
      </w:r>
      <w:r w:rsidRPr="00EC0BCB">
        <w:rPr>
          <w:lang w:val="en-US"/>
        </w:rPr>
        <w:t>mg</w:t>
      </w:r>
      <w:r w:rsidRPr="00EC0BCB">
        <w:rPr>
          <w:lang w:val="ru-RU"/>
        </w:rPr>
        <w:t xml:space="preserve"> </w:t>
      </w:r>
      <w:r w:rsidRPr="00EC0BCB">
        <w:rPr>
          <w:lang w:eastAsia="bg-BG"/>
        </w:rPr>
        <w:t xml:space="preserve">филмирани таблетки: </w:t>
      </w:r>
      <w:proofErr w:type="spellStart"/>
      <w:r>
        <w:rPr>
          <w:lang w:val="en-US"/>
        </w:rPr>
        <w:t>Pe</w:t>
      </w:r>
      <w:proofErr w:type="spellEnd"/>
      <w:r w:rsidRPr="00EC0BCB">
        <w:rPr>
          <w:lang w:val="ru-RU"/>
        </w:rPr>
        <w:t xml:space="preserve">г. </w:t>
      </w:r>
      <w:r w:rsidRPr="00EC0BCB">
        <w:rPr>
          <w:lang w:eastAsia="bg-BG"/>
        </w:rPr>
        <w:t>№: 20100487</w:t>
      </w:r>
    </w:p>
    <w:p w14:paraId="58B6B3FA" w14:textId="77777777" w:rsidR="00EC0BCB" w:rsidRPr="00EC0BCB" w:rsidRDefault="00EC0BCB" w:rsidP="00EC0BCB"/>
    <w:p w14:paraId="2CCB5832" w14:textId="1E831BB3" w:rsidR="007C605B" w:rsidRDefault="002C50EE" w:rsidP="007C605B">
      <w:pPr>
        <w:pStyle w:val="Heading1"/>
      </w:pPr>
      <w:r>
        <w:t>9. ДАТА НА ПЪРВО РАЗРЕШАВАНЕ/ПОДНОВЯВАНЕ НА РАЗРЕШЕНИЕТО ЗА УПОТРЕБА</w:t>
      </w:r>
    </w:p>
    <w:p w14:paraId="26CA646A" w14:textId="3D7B0DCD" w:rsidR="00EC0BCB" w:rsidRDefault="00EC0BCB" w:rsidP="00EC0BCB"/>
    <w:p w14:paraId="5E1BC678" w14:textId="77777777" w:rsidR="00EC0BCB" w:rsidRPr="00EC0BCB" w:rsidRDefault="00EC0BCB" w:rsidP="00EC0BCB">
      <w:pPr>
        <w:rPr>
          <w:rFonts w:ascii="Times New Roman" w:hAnsi="Times New Roman" w:cs="Times New Roman"/>
          <w:sz w:val="24"/>
          <w:szCs w:val="24"/>
        </w:rPr>
      </w:pPr>
      <w:r w:rsidRPr="00EC0BCB">
        <w:rPr>
          <w:lang w:eastAsia="bg-BG"/>
        </w:rPr>
        <w:t>Дата на първо разрешаване: 22.07.2010 г.</w:t>
      </w:r>
    </w:p>
    <w:p w14:paraId="34CD3C67" w14:textId="6A99CBE6" w:rsidR="00EC0BCB" w:rsidRPr="00EC0BCB" w:rsidRDefault="00EC0BCB" w:rsidP="00EC0BCB">
      <w:r w:rsidRPr="00EC0BCB">
        <w:rPr>
          <w:lang w:eastAsia="bg-BG"/>
        </w:rPr>
        <w:t>Дата на последно подновяване: 24.01.2017 г.</w:t>
      </w:r>
    </w:p>
    <w:p w14:paraId="0E9D0119" w14:textId="0245C6D7" w:rsidR="002C50EE" w:rsidRDefault="002C50EE" w:rsidP="002C50EE">
      <w:pPr>
        <w:pStyle w:val="Heading1"/>
      </w:pPr>
      <w:r>
        <w:t>10. ДАТА НА АКТУАЛИЗИРАНЕ НА ТЕКСТА</w:t>
      </w:r>
    </w:p>
    <w:bookmarkEnd w:id="0"/>
    <w:p w14:paraId="43FB38A2" w14:textId="57D26A7C" w:rsidR="007C605B" w:rsidRPr="003E3126" w:rsidRDefault="00EC0BCB" w:rsidP="00EC0BCB">
      <w:r>
        <w:t>Февруари, 2021 г.</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20AB6"/>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7E2E76"/>
    <w:rsid w:val="008134C8"/>
    <w:rsid w:val="00814073"/>
    <w:rsid w:val="00826F0D"/>
    <w:rsid w:val="00893B92"/>
    <w:rsid w:val="008A6AF2"/>
    <w:rsid w:val="008C70A2"/>
    <w:rsid w:val="00936AD0"/>
    <w:rsid w:val="009773E4"/>
    <w:rsid w:val="009B171C"/>
    <w:rsid w:val="009F1313"/>
    <w:rsid w:val="00A20351"/>
    <w:rsid w:val="00A20DC3"/>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EC0BCB"/>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7238</Words>
  <Characters>41259</Characters>
  <Application>Microsoft Office Word</Application>
  <DocSecurity>0</DocSecurity>
  <Lines>343</Lines>
  <Paragraphs>96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2022-07-29T19:34:00Z</dcterms:created>
  <dcterms:modified xsi:type="dcterms:W3CDTF">2022-07-29T19:34:00Z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