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3B2C43D4" w:rsidR="007122AD" w:rsidRDefault="00DD466D" w:rsidP="00936AD0">
      <w:pPr>
        <w:pStyle w:val="Heading1"/>
      </w:pPr>
      <w:r>
        <w:t>1.ИМЕ НА ЛЕКАРСТВЕНИЯ ПРОДУКТ</w:t>
      </w:r>
    </w:p>
    <w:p w14:paraId="2C32ECA4" w14:textId="38AD1423" w:rsidR="00120AB6" w:rsidRDefault="00120AB6" w:rsidP="00120AB6"/>
    <w:p w14:paraId="7E321C3C" w14:textId="77777777" w:rsidR="00120AB6" w:rsidRPr="00120AB6" w:rsidRDefault="00120AB6" w:rsidP="00120AB6">
      <w:pPr>
        <w:rPr>
          <w:rFonts w:ascii="Times New Roman" w:hAnsi="Times New Roman" w:cs="Times New Roman"/>
          <w:sz w:val="24"/>
          <w:szCs w:val="24"/>
          <w:lang w:val="ru-RU"/>
        </w:rPr>
      </w:pPr>
      <w:r w:rsidRPr="00120AB6">
        <w:rPr>
          <w:lang w:eastAsia="bg-BG"/>
        </w:rPr>
        <w:t xml:space="preserve">Еголанза </w:t>
      </w:r>
      <w:r w:rsidRPr="00120AB6">
        <w:rPr>
          <w:lang w:val="ru-RU"/>
        </w:rPr>
        <w:t xml:space="preserve">5 </w:t>
      </w:r>
      <w:r w:rsidRPr="00120AB6">
        <w:rPr>
          <w:lang w:val="en-US"/>
        </w:rPr>
        <w:t>mg</w:t>
      </w:r>
      <w:r w:rsidRPr="00120AB6">
        <w:rPr>
          <w:lang w:val="ru-RU"/>
        </w:rPr>
        <w:t xml:space="preserve"> </w:t>
      </w:r>
      <w:r w:rsidRPr="00120AB6">
        <w:rPr>
          <w:lang w:eastAsia="bg-BG"/>
        </w:rPr>
        <w:t>филмирани таблетки</w:t>
      </w:r>
    </w:p>
    <w:p w14:paraId="63722B20" w14:textId="77777777" w:rsidR="00120AB6" w:rsidRPr="00120AB6" w:rsidRDefault="00120AB6" w:rsidP="00120AB6">
      <w:pPr>
        <w:rPr>
          <w:rFonts w:ascii="Times New Roman" w:hAnsi="Times New Roman" w:cs="Times New Roman"/>
          <w:sz w:val="24"/>
          <w:szCs w:val="24"/>
          <w:lang w:val="ru-RU"/>
        </w:rPr>
      </w:pPr>
      <w:r w:rsidRPr="00120AB6">
        <w:rPr>
          <w:lang w:eastAsia="bg-BG"/>
        </w:rPr>
        <w:t xml:space="preserve">Еголанза 10 </w:t>
      </w:r>
      <w:r w:rsidRPr="00120AB6">
        <w:rPr>
          <w:lang w:val="en-US"/>
        </w:rPr>
        <w:t>mg</w:t>
      </w:r>
      <w:r w:rsidRPr="00120AB6">
        <w:rPr>
          <w:lang w:val="ru-RU"/>
        </w:rPr>
        <w:t xml:space="preserve"> </w:t>
      </w:r>
      <w:r w:rsidRPr="00120AB6">
        <w:rPr>
          <w:lang w:eastAsia="bg-BG"/>
        </w:rPr>
        <w:t>филмирани таблетки</w:t>
      </w:r>
    </w:p>
    <w:p w14:paraId="2DED48D0" w14:textId="77777777" w:rsidR="00120AB6" w:rsidRPr="00120AB6" w:rsidRDefault="00120AB6" w:rsidP="00120AB6">
      <w:pPr>
        <w:rPr>
          <w:rFonts w:ascii="Times New Roman" w:hAnsi="Times New Roman" w:cs="Times New Roman"/>
          <w:sz w:val="24"/>
          <w:szCs w:val="24"/>
          <w:lang w:val="ru-RU"/>
        </w:rPr>
      </w:pPr>
      <w:r w:rsidRPr="00120AB6">
        <w:rPr>
          <w:lang w:eastAsia="bg-BG"/>
        </w:rPr>
        <w:t xml:space="preserve">Еголанза 15 </w:t>
      </w:r>
      <w:r w:rsidRPr="00120AB6">
        <w:rPr>
          <w:lang w:val="en-US"/>
        </w:rPr>
        <w:t>mg</w:t>
      </w:r>
      <w:r w:rsidRPr="00120AB6">
        <w:rPr>
          <w:lang w:val="ru-RU"/>
        </w:rPr>
        <w:t xml:space="preserve"> </w:t>
      </w:r>
      <w:r w:rsidRPr="00120AB6">
        <w:rPr>
          <w:lang w:eastAsia="bg-BG"/>
        </w:rPr>
        <w:t>филмирани таблетки</w:t>
      </w:r>
    </w:p>
    <w:p w14:paraId="030F1368" w14:textId="77777777" w:rsidR="00120AB6" w:rsidRPr="00120AB6" w:rsidRDefault="00120AB6" w:rsidP="00120AB6">
      <w:pPr>
        <w:rPr>
          <w:rFonts w:ascii="Times New Roman" w:hAnsi="Times New Roman" w:cs="Times New Roman"/>
          <w:sz w:val="24"/>
          <w:szCs w:val="24"/>
          <w:lang w:val="ru-RU"/>
        </w:rPr>
      </w:pPr>
      <w:r w:rsidRPr="00120AB6">
        <w:rPr>
          <w:lang w:eastAsia="bg-BG"/>
        </w:rPr>
        <w:t xml:space="preserve">Еголанза 20 </w:t>
      </w:r>
      <w:r w:rsidRPr="00120AB6">
        <w:rPr>
          <w:lang w:val="en-US"/>
        </w:rPr>
        <w:t>mg</w:t>
      </w:r>
      <w:r w:rsidRPr="00120AB6">
        <w:rPr>
          <w:lang w:val="ru-RU"/>
        </w:rPr>
        <w:t xml:space="preserve"> </w:t>
      </w:r>
      <w:r w:rsidRPr="00120AB6">
        <w:rPr>
          <w:lang w:eastAsia="bg-BG"/>
        </w:rPr>
        <w:t>филмирани таблетки</w:t>
      </w:r>
    </w:p>
    <w:p w14:paraId="1A65302A" w14:textId="77777777" w:rsidR="00120AB6" w:rsidRPr="00120AB6" w:rsidRDefault="00120AB6" w:rsidP="00120AB6">
      <w:pPr>
        <w:rPr>
          <w:lang w:val="ru-RU"/>
        </w:rPr>
      </w:pPr>
    </w:p>
    <w:p w14:paraId="746826F7" w14:textId="64DD5726" w:rsidR="00120AB6" w:rsidRPr="00120AB6" w:rsidRDefault="00120AB6" w:rsidP="00120AB6">
      <w:pPr>
        <w:rPr>
          <w:rFonts w:ascii="Times New Roman" w:hAnsi="Times New Roman" w:cs="Times New Roman"/>
          <w:sz w:val="24"/>
          <w:szCs w:val="24"/>
          <w:lang w:val="en-US"/>
        </w:rPr>
      </w:pPr>
      <w:proofErr w:type="spellStart"/>
      <w:r w:rsidRPr="00120AB6">
        <w:rPr>
          <w:lang w:val="en-US"/>
        </w:rPr>
        <w:t>Egolanza</w:t>
      </w:r>
      <w:proofErr w:type="spellEnd"/>
      <w:r w:rsidRPr="00120AB6">
        <w:rPr>
          <w:lang w:val="en-US"/>
        </w:rPr>
        <w:t xml:space="preserve"> </w:t>
      </w:r>
      <w:r w:rsidRPr="00120AB6">
        <w:rPr>
          <w:lang w:eastAsia="bg-BG"/>
        </w:rPr>
        <w:t xml:space="preserve">5 </w:t>
      </w:r>
      <w:r w:rsidRPr="00120AB6">
        <w:rPr>
          <w:lang w:val="en-US"/>
        </w:rPr>
        <w:t>mg film-coated tablets</w:t>
      </w:r>
    </w:p>
    <w:p w14:paraId="5AABB5B0" w14:textId="77777777" w:rsidR="00120AB6" w:rsidRPr="00120AB6" w:rsidRDefault="00120AB6" w:rsidP="00120AB6">
      <w:pPr>
        <w:rPr>
          <w:rFonts w:ascii="Times New Roman" w:hAnsi="Times New Roman" w:cs="Times New Roman"/>
          <w:sz w:val="24"/>
          <w:szCs w:val="24"/>
          <w:lang w:val="en-US"/>
        </w:rPr>
      </w:pPr>
      <w:proofErr w:type="spellStart"/>
      <w:r w:rsidRPr="00120AB6">
        <w:rPr>
          <w:lang w:val="en-US"/>
        </w:rPr>
        <w:t>Egolanza</w:t>
      </w:r>
      <w:proofErr w:type="spellEnd"/>
      <w:r w:rsidRPr="00120AB6">
        <w:rPr>
          <w:lang w:val="en-US"/>
        </w:rPr>
        <w:t xml:space="preserve"> 10 mg film-coated tablets</w:t>
      </w:r>
    </w:p>
    <w:p w14:paraId="0865F755" w14:textId="77777777" w:rsidR="00120AB6" w:rsidRPr="00120AB6" w:rsidRDefault="00120AB6" w:rsidP="00120AB6">
      <w:pPr>
        <w:rPr>
          <w:rFonts w:ascii="Times New Roman" w:hAnsi="Times New Roman" w:cs="Times New Roman"/>
          <w:sz w:val="24"/>
          <w:szCs w:val="24"/>
          <w:lang w:val="en-US"/>
        </w:rPr>
      </w:pPr>
      <w:proofErr w:type="spellStart"/>
      <w:r w:rsidRPr="00120AB6">
        <w:rPr>
          <w:lang w:val="en-US"/>
        </w:rPr>
        <w:t>Egolanza</w:t>
      </w:r>
      <w:proofErr w:type="spellEnd"/>
      <w:r w:rsidRPr="00120AB6">
        <w:rPr>
          <w:lang w:val="en-US"/>
        </w:rPr>
        <w:t xml:space="preserve"> 15 mg film-coated tablets</w:t>
      </w:r>
    </w:p>
    <w:p w14:paraId="62EA6445" w14:textId="4ACE3BEA" w:rsidR="00120AB6" w:rsidRPr="00120AB6" w:rsidRDefault="00120AB6" w:rsidP="00120AB6">
      <w:proofErr w:type="spellStart"/>
      <w:r w:rsidRPr="00120AB6">
        <w:rPr>
          <w:lang w:val="en-US"/>
        </w:rPr>
        <w:t>Egolanza</w:t>
      </w:r>
      <w:proofErr w:type="spellEnd"/>
      <w:r w:rsidRPr="00120AB6">
        <w:rPr>
          <w:lang w:val="en-US"/>
        </w:rPr>
        <w:t xml:space="preserve"> 20 mg film-coated tablets</w:t>
      </w:r>
    </w:p>
    <w:p w14:paraId="6920A680" w14:textId="36F56931" w:rsidR="00C40420" w:rsidRDefault="00DD466D" w:rsidP="004A448E">
      <w:pPr>
        <w:pStyle w:val="Heading1"/>
      </w:pPr>
      <w:r>
        <w:t>2. КАЧЕСТВЕН И КОЛИЧЕСТВЕН СЪСТАВ</w:t>
      </w:r>
    </w:p>
    <w:p w14:paraId="7FD13D89" w14:textId="1932AE94" w:rsidR="00120AB6" w:rsidRDefault="00120AB6" w:rsidP="00120AB6"/>
    <w:p w14:paraId="7ECFB811" w14:textId="77777777"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lang w:eastAsia="bg-BG"/>
        </w:rPr>
        <w:t xml:space="preserve">Еголанза 5 </w:t>
      </w:r>
      <w:r w:rsidRPr="00120AB6">
        <w:rPr>
          <w:rFonts w:eastAsia="Times New Roman" w:cs="Arial"/>
          <w:bCs/>
          <w:i/>
          <w:iCs/>
          <w:color w:val="000000"/>
          <w:szCs w:val="18"/>
          <w:lang w:val="en-US"/>
        </w:rPr>
        <w:t>mg</w:t>
      </w:r>
      <w:r w:rsidRPr="00120AB6">
        <w:rPr>
          <w:rFonts w:eastAsia="Times New Roman" w:cs="Arial"/>
          <w:bCs/>
          <w:i/>
          <w:iCs/>
          <w:color w:val="000000"/>
          <w:szCs w:val="18"/>
        </w:rPr>
        <w:t xml:space="preserve"> </w:t>
      </w:r>
      <w:r w:rsidRPr="00120AB6">
        <w:rPr>
          <w:rFonts w:eastAsia="Times New Roman" w:cs="Arial"/>
          <w:bCs/>
          <w:i/>
          <w:iCs/>
          <w:color w:val="000000"/>
          <w:szCs w:val="18"/>
          <w:lang w:eastAsia="bg-BG"/>
        </w:rPr>
        <w:t>филмирани таблетки</w:t>
      </w:r>
    </w:p>
    <w:p w14:paraId="01D566DB" w14:textId="77777777"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 xml:space="preserve">Всяка филмирана таблетка съдържа 5 </w:t>
      </w:r>
      <w:r w:rsidRPr="00120AB6">
        <w:rPr>
          <w:rFonts w:eastAsia="Times New Roman" w:cs="Arial"/>
          <w:bCs/>
          <w:color w:val="000000"/>
          <w:szCs w:val="18"/>
          <w:lang w:val="en-US"/>
        </w:rPr>
        <w:t>mg</w:t>
      </w:r>
      <w:r w:rsidRPr="00120AB6">
        <w:rPr>
          <w:rFonts w:eastAsia="Times New Roman" w:cs="Arial"/>
          <w:bCs/>
          <w:color w:val="000000"/>
          <w:szCs w:val="18"/>
        </w:rPr>
        <w:t xml:space="preserve"> </w:t>
      </w:r>
      <w:r w:rsidRPr="00120AB6">
        <w:rPr>
          <w:rFonts w:eastAsia="Times New Roman" w:cs="Arial"/>
          <w:bCs/>
          <w:color w:val="000000"/>
          <w:szCs w:val="18"/>
          <w:lang w:eastAsia="bg-BG"/>
        </w:rPr>
        <w:t xml:space="preserve">оланзапин (под формата на 7,03 </w:t>
      </w:r>
      <w:r w:rsidRPr="00120AB6">
        <w:rPr>
          <w:rFonts w:eastAsia="Times New Roman" w:cs="Arial"/>
          <w:bCs/>
          <w:color w:val="000000"/>
          <w:szCs w:val="18"/>
          <w:lang w:val="en-US"/>
        </w:rPr>
        <w:t>mg</w:t>
      </w:r>
      <w:r w:rsidRPr="00120AB6">
        <w:rPr>
          <w:rFonts w:eastAsia="Times New Roman" w:cs="Arial"/>
          <w:bCs/>
          <w:color w:val="000000"/>
          <w:szCs w:val="18"/>
        </w:rPr>
        <w:t xml:space="preserve"> </w:t>
      </w:r>
      <w:r w:rsidRPr="00120AB6">
        <w:rPr>
          <w:rFonts w:eastAsia="Times New Roman" w:cs="Arial"/>
          <w:bCs/>
          <w:color w:val="000000"/>
          <w:szCs w:val="18"/>
          <w:lang w:eastAsia="bg-BG"/>
        </w:rPr>
        <w:t>оланзапинов дихидрохлорид трихидрат).</w:t>
      </w:r>
    </w:p>
    <w:p w14:paraId="69A4CBCA" w14:textId="77777777" w:rsidR="00120AB6" w:rsidRPr="00120AB6" w:rsidRDefault="00120AB6" w:rsidP="00120AB6">
      <w:pPr>
        <w:spacing w:line="240" w:lineRule="auto"/>
        <w:rPr>
          <w:rFonts w:eastAsia="Times New Roman" w:cs="Arial"/>
          <w:bCs/>
          <w:i/>
          <w:iCs/>
          <w:color w:val="000000"/>
          <w:szCs w:val="18"/>
          <w:lang w:eastAsia="bg-BG"/>
        </w:rPr>
      </w:pPr>
    </w:p>
    <w:p w14:paraId="72D78AA4" w14:textId="3BB6AA01"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lang w:eastAsia="bg-BG"/>
        </w:rPr>
        <w:t xml:space="preserve">Еголанза 10 </w:t>
      </w:r>
      <w:r w:rsidRPr="00120AB6">
        <w:rPr>
          <w:rFonts w:eastAsia="Times New Roman" w:cs="Arial"/>
          <w:bCs/>
          <w:i/>
          <w:iCs/>
          <w:color w:val="000000"/>
          <w:szCs w:val="18"/>
          <w:lang w:val="en-US"/>
        </w:rPr>
        <w:t>mg</w:t>
      </w:r>
      <w:r w:rsidRPr="00120AB6">
        <w:rPr>
          <w:rFonts w:eastAsia="Times New Roman" w:cs="Arial"/>
          <w:bCs/>
          <w:i/>
          <w:iCs/>
          <w:color w:val="000000"/>
          <w:szCs w:val="18"/>
        </w:rPr>
        <w:t xml:space="preserve"> </w:t>
      </w:r>
      <w:r w:rsidRPr="00120AB6">
        <w:rPr>
          <w:rFonts w:eastAsia="Times New Roman" w:cs="Arial"/>
          <w:bCs/>
          <w:i/>
          <w:iCs/>
          <w:color w:val="000000"/>
          <w:szCs w:val="18"/>
          <w:lang w:eastAsia="bg-BG"/>
        </w:rPr>
        <w:t>филмирани таблетки</w:t>
      </w:r>
    </w:p>
    <w:p w14:paraId="51EEA06D" w14:textId="77777777"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 xml:space="preserve">Всяка филмирана таблетка съдържа 10 </w:t>
      </w:r>
      <w:r w:rsidRPr="00120AB6">
        <w:rPr>
          <w:rFonts w:eastAsia="Times New Roman" w:cs="Arial"/>
          <w:bCs/>
          <w:color w:val="000000"/>
          <w:szCs w:val="18"/>
          <w:lang w:val="en-US"/>
        </w:rPr>
        <w:t>mg</w:t>
      </w:r>
      <w:r w:rsidRPr="00120AB6">
        <w:rPr>
          <w:rFonts w:eastAsia="Times New Roman" w:cs="Arial"/>
          <w:bCs/>
          <w:color w:val="000000"/>
          <w:szCs w:val="18"/>
        </w:rPr>
        <w:t xml:space="preserve"> </w:t>
      </w:r>
      <w:r w:rsidRPr="00120AB6">
        <w:rPr>
          <w:rFonts w:eastAsia="Times New Roman" w:cs="Arial"/>
          <w:bCs/>
          <w:color w:val="000000"/>
          <w:szCs w:val="18"/>
          <w:lang w:eastAsia="bg-BG"/>
        </w:rPr>
        <w:t xml:space="preserve">оланзапин (под формата на 14,06 </w:t>
      </w:r>
      <w:r w:rsidRPr="00120AB6">
        <w:rPr>
          <w:rFonts w:eastAsia="Times New Roman" w:cs="Arial"/>
          <w:bCs/>
          <w:color w:val="000000"/>
          <w:szCs w:val="18"/>
          <w:lang w:val="en-US"/>
        </w:rPr>
        <w:t>mg</w:t>
      </w:r>
      <w:r w:rsidRPr="00120AB6">
        <w:rPr>
          <w:rFonts w:eastAsia="Times New Roman" w:cs="Arial"/>
          <w:bCs/>
          <w:color w:val="000000"/>
          <w:szCs w:val="18"/>
        </w:rPr>
        <w:t xml:space="preserve"> </w:t>
      </w:r>
      <w:r w:rsidRPr="00120AB6">
        <w:rPr>
          <w:rFonts w:eastAsia="Times New Roman" w:cs="Arial"/>
          <w:bCs/>
          <w:color w:val="000000"/>
          <w:szCs w:val="18"/>
          <w:lang w:eastAsia="bg-BG"/>
        </w:rPr>
        <w:t>оланзапинов дихидрохлорид трихидрат).</w:t>
      </w:r>
    </w:p>
    <w:p w14:paraId="77925DB4" w14:textId="77777777" w:rsidR="00120AB6" w:rsidRPr="00120AB6" w:rsidRDefault="00120AB6" w:rsidP="00120AB6">
      <w:pPr>
        <w:spacing w:line="240" w:lineRule="auto"/>
        <w:rPr>
          <w:rFonts w:eastAsia="Times New Roman" w:cs="Arial"/>
          <w:bCs/>
          <w:i/>
          <w:iCs/>
          <w:color w:val="000000"/>
          <w:szCs w:val="18"/>
          <w:lang w:eastAsia="bg-BG"/>
        </w:rPr>
      </w:pPr>
    </w:p>
    <w:p w14:paraId="4A8D6743" w14:textId="722B0602"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lang w:eastAsia="bg-BG"/>
        </w:rPr>
        <w:t xml:space="preserve">Еголанза 15 </w:t>
      </w:r>
      <w:r w:rsidRPr="00120AB6">
        <w:rPr>
          <w:rFonts w:eastAsia="Times New Roman" w:cs="Arial"/>
          <w:bCs/>
          <w:i/>
          <w:iCs/>
          <w:color w:val="000000"/>
          <w:szCs w:val="18"/>
          <w:lang w:val="en-US"/>
        </w:rPr>
        <w:t>mg</w:t>
      </w:r>
      <w:r w:rsidRPr="00120AB6">
        <w:rPr>
          <w:rFonts w:eastAsia="Times New Roman" w:cs="Arial"/>
          <w:bCs/>
          <w:i/>
          <w:iCs/>
          <w:color w:val="000000"/>
          <w:szCs w:val="18"/>
        </w:rPr>
        <w:t xml:space="preserve"> </w:t>
      </w:r>
      <w:r w:rsidRPr="00120AB6">
        <w:rPr>
          <w:rFonts w:eastAsia="Times New Roman" w:cs="Arial"/>
          <w:bCs/>
          <w:i/>
          <w:iCs/>
          <w:color w:val="000000"/>
          <w:szCs w:val="18"/>
          <w:lang w:eastAsia="bg-BG"/>
        </w:rPr>
        <w:t>филмирани таблетки</w:t>
      </w:r>
    </w:p>
    <w:p w14:paraId="2DBF643C" w14:textId="77777777"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 xml:space="preserve">Всяка филмирана таблетка съдържа 15 </w:t>
      </w:r>
      <w:r w:rsidRPr="00120AB6">
        <w:rPr>
          <w:rFonts w:eastAsia="Times New Roman" w:cs="Arial"/>
          <w:bCs/>
          <w:color w:val="000000"/>
          <w:szCs w:val="18"/>
          <w:lang w:val="en-US"/>
        </w:rPr>
        <w:t>mg</w:t>
      </w:r>
      <w:r w:rsidRPr="00120AB6">
        <w:rPr>
          <w:rFonts w:eastAsia="Times New Roman" w:cs="Arial"/>
          <w:bCs/>
          <w:color w:val="000000"/>
          <w:szCs w:val="18"/>
        </w:rPr>
        <w:t xml:space="preserve"> </w:t>
      </w:r>
      <w:r w:rsidRPr="00120AB6">
        <w:rPr>
          <w:rFonts w:eastAsia="Times New Roman" w:cs="Arial"/>
          <w:bCs/>
          <w:color w:val="000000"/>
          <w:szCs w:val="18"/>
          <w:lang w:eastAsia="bg-BG"/>
        </w:rPr>
        <w:t xml:space="preserve">оланзапин (под формата на 21,09 </w:t>
      </w:r>
      <w:r w:rsidRPr="00120AB6">
        <w:rPr>
          <w:rFonts w:eastAsia="Times New Roman" w:cs="Arial"/>
          <w:bCs/>
          <w:color w:val="000000"/>
          <w:szCs w:val="18"/>
          <w:lang w:val="en-US"/>
        </w:rPr>
        <w:t>mg</w:t>
      </w:r>
      <w:r w:rsidRPr="00120AB6">
        <w:rPr>
          <w:rFonts w:eastAsia="Times New Roman" w:cs="Arial"/>
          <w:bCs/>
          <w:color w:val="000000"/>
          <w:szCs w:val="18"/>
        </w:rPr>
        <w:t xml:space="preserve"> </w:t>
      </w:r>
      <w:r w:rsidRPr="00120AB6">
        <w:rPr>
          <w:rFonts w:eastAsia="Times New Roman" w:cs="Arial"/>
          <w:bCs/>
          <w:color w:val="000000"/>
          <w:szCs w:val="18"/>
          <w:lang w:eastAsia="bg-BG"/>
        </w:rPr>
        <w:t>оланзапинов дихидрохлорид трихидрат).</w:t>
      </w:r>
    </w:p>
    <w:p w14:paraId="3AE85654" w14:textId="77777777" w:rsidR="00120AB6" w:rsidRPr="00120AB6" w:rsidRDefault="00120AB6" w:rsidP="00120AB6">
      <w:pPr>
        <w:spacing w:line="240" w:lineRule="auto"/>
        <w:rPr>
          <w:rFonts w:eastAsia="Times New Roman" w:cs="Arial"/>
          <w:bCs/>
          <w:i/>
          <w:iCs/>
          <w:color w:val="000000"/>
          <w:szCs w:val="18"/>
          <w:lang w:eastAsia="bg-BG"/>
        </w:rPr>
      </w:pPr>
    </w:p>
    <w:p w14:paraId="2275250B" w14:textId="4521C0A5"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lang w:eastAsia="bg-BG"/>
        </w:rPr>
        <w:t xml:space="preserve">Еголанза 20 </w:t>
      </w:r>
      <w:r w:rsidRPr="00120AB6">
        <w:rPr>
          <w:rFonts w:eastAsia="Times New Roman" w:cs="Arial"/>
          <w:bCs/>
          <w:i/>
          <w:iCs/>
          <w:color w:val="000000"/>
          <w:szCs w:val="18"/>
          <w:lang w:val="en-US"/>
        </w:rPr>
        <w:t>mg</w:t>
      </w:r>
      <w:r w:rsidRPr="00120AB6">
        <w:rPr>
          <w:rFonts w:eastAsia="Times New Roman" w:cs="Arial"/>
          <w:bCs/>
          <w:i/>
          <w:iCs/>
          <w:color w:val="000000"/>
          <w:szCs w:val="18"/>
        </w:rPr>
        <w:t xml:space="preserve"> </w:t>
      </w:r>
      <w:r w:rsidRPr="00120AB6">
        <w:rPr>
          <w:rFonts w:eastAsia="Times New Roman" w:cs="Arial"/>
          <w:bCs/>
          <w:i/>
          <w:iCs/>
          <w:color w:val="000000"/>
          <w:szCs w:val="18"/>
          <w:lang w:eastAsia="bg-BG"/>
        </w:rPr>
        <w:t>филмирани таблетки</w:t>
      </w:r>
    </w:p>
    <w:p w14:paraId="031AE945" w14:textId="77777777"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 xml:space="preserve">Всяка филмирана таблетка съдържа 20 </w:t>
      </w:r>
      <w:r w:rsidRPr="00120AB6">
        <w:rPr>
          <w:rFonts w:eastAsia="Times New Roman" w:cs="Arial"/>
          <w:bCs/>
          <w:color w:val="000000"/>
          <w:szCs w:val="18"/>
          <w:lang w:val="en-US"/>
        </w:rPr>
        <w:t>mg</w:t>
      </w:r>
      <w:r w:rsidRPr="00120AB6">
        <w:rPr>
          <w:rFonts w:eastAsia="Times New Roman" w:cs="Arial"/>
          <w:bCs/>
          <w:color w:val="000000"/>
          <w:szCs w:val="18"/>
        </w:rPr>
        <w:t xml:space="preserve"> </w:t>
      </w:r>
      <w:r w:rsidRPr="00120AB6">
        <w:rPr>
          <w:rFonts w:eastAsia="Times New Roman" w:cs="Arial"/>
          <w:bCs/>
          <w:color w:val="000000"/>
          <w:szCs w:val="18"/>
          <w:lang w:eastAsia="bg-BG"/>
        </w:rPr>
        <w:t xml:space="preserve">оланзапин (под формата на 28,12 </w:t>
      </w:r>
      <w:r w:rsidRPr="00120AB6">
        <w:rPr>
          <w:rFonts w:eastAsia="Times New Roman" w:cs="Arial"/>
          <w:bCs/>
          <w:color w:val="000000"/>
          <w:szCs w:val="18"/>
          <w:lang w:val="en-US"/>
        </w:rPr>
        <w:t>mg</w:t>
      </w:r>
      <w:r w:rsidRPr="00120AB6">
        <w:rPr>
          <w:rFonts w:eastAsia="Times New Roman" w:cs="Arial"/>
          <w:bCs/>
          <w:color w:val="000000"/>
          <w:szCs w:val="18"/>
        </w:rPr>
        <w:t xml:space="preserve"> </w:t>
      </w:r>
      <w:r w:rsidRPr="00120AB6">
        <w:rPr>
          <w:rFonts w:eastAsia="Times New Roman" w:cs="Arial"/>
          <w:bCs/>
          <w:color w:val="000000"/>
          <w:szCs w:val="18"/>
          <w:lang w:eastAsia="bg-BG"/>
        </w:rPr>
        <w:t>оланзапинов дихидрохлорид трихидрат).</w:t>
      </w:r>
    </w:p>
    <w:p w14:paraId="2BAB0D30" w14:textId="77777777" w:rsidR="00120AB6" w:rsidRPr="00120AB6" w:rsidRDefault="00120AB6" w:rsidP="00120AB6">
      <w:pPr>
        <w:spacing w:line="240" w:lineRule="auto"/>
        <w:rPr>
          <w:rFonts w:eastAsia="Times New Roman" w:cs="Arial"/>
          <w:bCs/>
          <w:color w:val="000000"/>
          <w:szCs w:val="18"/>
          <w:u w:val="single"/>
          <w:lang w:eastAsia="bg-BG"/>
        </w:rPr>
      </w:pPr>
    </w:p>
    <w:p w14:paraId="3A73C07A" w14:textId="7E44ACED"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u w:val="single"/>
          <w:lang w:eastAsia="bg-BG"/>
        </w:rPr>
        <w:t>Помощни вещества с известно действие:</w:t>
      </w:r>
    </w:p>
    <w:p w14:paraId="05ABDBF2" w14:textId="77777777"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 xml:space="preserve">Всяка филмирана таблетка Еголанза 5 </w:t>
      </w:r>
      <w:r w:rsidRPr="00120AB6">
        <w:rPr>
          <w:rFonts w:eastAsia="Times New Roman" w:cs="Arial"/>
          <w:bCs/>
          <w:color w:val="000000"/>
          <w:szCs w:val="18"/>
          <w:lang w:val="en-US"/>
        </w:rPr>
        <w:t>mg</w:t>
      </w:r>
      <w:r w:rsidRPr="00120AB6">
        <w:rPr>
          <w:rFonts w:eastAsia="Times New Roman" w:cs="Arial"/>
          <w:bCs/>
          <w:color w:val="000000"/>
          <w:szCs w:val="18"/>
          <w:lang w:val="ru-RU"/>
        </w:rPr>
        <w:t xml:space="preserve"> </w:t>
      </w:r>
      <w:r w:rsidRPr="00120AB6">
        <w:rPr>
          <w:rFonts w:eastAsia="Times New Roman" w:cs="Arial"/>
          <w:bCs/>
          <w:color w:val="000000"/>
          <w:szCs w:val="18"/>
          <w:lang w:eastAsia="bg-BG"/>
        </w:rPr>
        <w:t xml:space="preserve">съдържа 40,98 </w:t>
      </w:r>
      <w:r w:rsidRPr="00120AB6">
        <w:rPr>
          <w:rFonts w:eastAsia="Times New Roman" w:cs="Arial"/>
          <w:bCs/>
          <w:color w:val="000000"/>
          <w:szCs w:val="18"/>
          <w:lang w:val="en-US"/>
        </w:rPr>
        <w:t>mg</w:t>
      </w:r>
      <w:r w:rsidRPr="00120AB6">
        <w:rPr>
          <w:rFonts w:eastAsia="Times New Roman" w:cs="Arial"/>
          <w:bCs/>
          <w:color w:val="000000"/>
          <w:szCs w:val="18"/>
          <w:lang w:val="ru-RU"/>
        </w:rPr>
        <w:t xml:space="preserve"> </w:t>
      </w:r>
      <w:r w:rsidRPr="00120AB6">
        <w:rPr>
          <w:rFonts w:eastAsia="Times New Roman" w:cs="Arial"/>
          <w:bCs/>
          <w:color w:val="000000"/>
          <w:szCs w:val="18"/>
          <w:lang w:eastAsia="bg-BG"/>
        </w:rPr>
        <w:t>лактоза монохидрат</w:t>
      </w:r>
    </w:p>
    <w:p w14:paraId="2D21924E" w14:textId="77777777"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 xml:space="preserve">Всяка филмирана таблетка Еголанза 10 </w:t>
      </w:r>
      <w:r w:rsidRPr="00120AB6">
        <w:rPr>
          <w:rFonts w:eastAsia="Times New Roman" w:cs="Arial"/>
          <w:bCs/>
          <w:color w:val="000000"/>
          <w:szCs w:val="18"/>
          <w:lang w:val="en-US"/>
        </w:rPr>
        <w:t>mg</w:t>
      </w:r>
      <w:r w:rsidRPr="00120AB6">
        <w:rPr>
          <w:rFonts w:eastAsia="Times New Roman" w:cs="Arial"/>
          <w:bCs/>
          <w:color w:val="000000"/>
          <w:szCs w:val="18"/>
          <w:lang w:val="ru-RU"/>
        </w:rPr>
        <w:t xml:space="preserve"> </w:t>
      </w:r>
      <w:r w:rsidRPr="00120AB6">
        <w:rPr>
          <w:rFonts w:eastAsia="Times New Roman" w:cs="Arial"/>
          <w:bCs/>
          <w:color w:val="000000"/>
          <w:szCs w:val="18"/>
          <w:lang w:eastAsia="bg-BG"/>
        </w:rPr>
        <w:t xml:space="preserve">съдържа 81,97 </w:t>
      </w:r>
      <w:r w:rsidRPr="00120AB6">
        <w:rPr>
          <w:rFonts w:eastAsia="Times New Roman" w:cs="Arial"/>
          <w:bCs/>
          <w:color w:val="000000"/>
          <w:szCs w:val="18"/>
          <w:lang w:val="en-US"/>
        </w:rPr>
        <w:t>mg</w:t>
      </w:r>
      <w:r w:rsidRPr="00120AB6">
        <w:rPr>
          <w:rFonts w:eastAsia="Times New Roman" w:cs="Arial"/>
          <w:bCs/>
          <w:color w:val="000000"/>
          <w:szCs w:val="18"/>
          <w:lang w:val="ru-RU"/>
        </w:rPr>
        <w:t xml:space="preserve"> </w:t>
      </w:r>
      <w:r w:rsidRPr="00120AB6">
        <w:rPr>
          <w:rFonts w:eastAsia="Times New Roman" w:cs="Arial"/>
          <w:bCs/>
          <w:color w:val="000000"/>
          <w:szCs w:val="18"/>
          <w:lang w:eastAsia="bg-BG"/>
        </w:rPr>
        <w:t>лактоза монохидрат</w:t>
      </w:r>
    </w:p>
    <w:p w14:paraId="48601658" w14:textId="7BF6876F" w:rsidR="00120AB6" w:rsidRPr="00120AB6" w:rsidRDefault="00120AB6" w:rsidP="00120AB6">
      <w:pPr>
        <w:rPr>
          <w:rFonts w:cs="Arial"/>
          <w:sz w:val="28"/>
        </w:rPr>
      </w:pPr>
      <w:r w:rsidRPr="00120AB6">
        <w:rPr>
          <w:rFonts w:eastAsia="Times New Roman" w:cs="Arial"/>
          <w:bCs/>
          <w:color w:val="000000"/>
          <w:szCs w:val="18"/>
          <w:lang w:eastAsia="bg-BG"/>
        </w:rPr>
        <w:t xml:space="preserve">Всяка филмирана таблетка Еголанза 15 </w:t>
      </w:r>
      <w:r w:rsidRPr="00120AB6">
        <w:rPr>
          <w:rFonts w:eastAsia="Times New Roman" w:cs="Arial"/>
          <w:bCs/>
          <w:color w:val="000000"/>
          <w:szCs w:val="18"/>
          <w:lang w:val="en-US"/>
        </w:rPr>
        <w:t>mg</w:t>
      </w:r>
      <w:r w:rsidRPr="00120AB6">
        <w:rPr>
          <w:rFonts w:eastAsia="Times New Roman" w:cs="Arial"/>
          <w:bCs/>
          <w:color w:val="000000"/>
          <w:szCs w:val="18"/>
        </w:rPr>
        <w:t xml:space="preserve"> </w:t>
      </w:r>
      <w:r w:rsidRPr="00120AB6">
        <w:rPr>
          <w:rFonts w:eastAsia="Times New Roman" w:cs="Arial"/>
          <w:bCs/>
          <w:color w:val="000000"/>
          <w:szCs w:val="18"/>
          <w:lang w:eastAsia="bg-BG"/>
        </w:rPr>
        <w:t xml:space="preserve">съдържа 122,95 </w:t>
      </w:r>
      <w:r w:rsidRPr="00120AB6">
        <w:rPr>
          <w:rFonts w:eastAsia="Times New Roman" w:cs="Arial"/>
          <w:bCs/>
          <w:color w:val="000000"/>
          <w:szCs w:val="18"/>
          <w:lang w:val="en-US"/>
        </w:rPr>
        <w:t>mg</w:t>
      </w:r>
      <w:r w:rsidRPr="00120AB6">
        <w:rPr>
          <w:rFonts w:eastAsia="Times New Roman" w:cs="Arial"/>
          <w:bCs/>
          <w:color w:val="000000"/>
          <w:szCs w:val="18"/>
        </w:rPr>
        <w:t xml:space="preserve"> </w:t>
      </w:r>
      <w:r w:rsidRPr="00120AB6">
        <w:rPr>
          <w:rFonts w:eastAsia="Times New Roman" w:cs="Arial"/>
          <w:bCs/>
          <w:color w:val="000000"/>
          <w:szCs w:val="18"/>
          <w:lang w:eastAsia="bg-BG"/>
        </w:rPr>
        <w:t xml:space="preserve">лактоза монохидрат Всяка филмирана таблетка Еголанза 20 </w:t>
      </w:r>
      <w:r w:rsidRPr="00120AB6">
        <w:rPr>
          <w:rFonts w:eastAsia="Times New Roman" w:cs="Arial"/>
          <w:bCs/>
          <w:color w:val="000000"/>
          <w:szCs w:val="18"/>
          <w:lang w:val="en-US"/>
        </w:rPr>
        <w:t>mg</w:t>
      </w:r>
      <w:r w:rsidRPr="00120AB6">
        <w:rPr>
          <w:rFonts w:eastAsia="Times New Roman" w:cs="Arial"/>
          <w:bCs/>
          <w:color w:val="000000"/>
          <w:szCs w:val="18"/>
        </w:rPr>
        <w:t xml:space="preserve"> </w:t>
      </w:r>
      <w:r w:rsidRPr="00120AB6">
        <w:rPr>
          <w:rFonts w:eastAsia="Times New Roman" w:cs="Arial"/>
          <w:bCs/>
          <w:color w:val="000000"/>
          <w:szCs w:val="18"/>
          <w:lang w:eastAsia="bg-BG"/>
        </w:rPr>
        <w:t xml:space="preserve">съдържа 163,94 </w:t>
      </w:r>
      <w:r w:rsidRPr="00120AB6">
        <w:rPr>
          <w:rFonts w:eastAsia="Times New Roman" w:cs="Arial"/>
          <w:bCs/>
          <w:color w:val="000000"/>
          <w:szCs w:val="18"/>
          <w:lang w:val="en-US"/>
        </w:rPr>
        <w:t>mg</w:t>
      </w:r>
      <w:r w:rsidRPr="00120AB6">
        <w:rPr>
          <w:rFonts w:eastAsia="Times New Roman" w:cs="Arial"/>
          <w:bCs/>
          <w:color w:val="000000"/>
          <w:szCs w:val="18"/>
        </w:rPr>
        <w:t xml:space="preserve"> </w:t>
      </w:r>
      <w:r w:rsidRPr="00120AB6">
        <w:rPr>
          <w:rFonts w:eastAsia="Times New Roman" w:cs="Arial"/>
          <w:bCs/>
          <w:color w:val="000000"/>
          <w:szCs w:val="18"/>
          <w:lang w:eastAsia="bg-BG"/>
        </w:rPr>
        <w:t>лактоза монохидрат</w:t>
      </w:r>
    </w:p>
    <w:p w14:paraId="614984C4" w14:textId="4B8F9391" w:rsidR="008A6AF2" w:rsidRDefault="00DD466D" w:rsidP="002C50EE">
      <w:pPr>
        <w:pStyle w:val="Heading1"/>
      </w:pPr>
      <w:r>
        <w:t>3. ЛЕКАРСТВЕНА ФОРМА</w:t>
      </w:r>
    </w:p>
    <w:p w14:paraId="5E1CFD50" w14:textId="192EC586" w:rsidR="00120AB6" w:rsidRDefault="00120AB6" w:rsidP="00120AB6"/>
    <w:p w14:paraId="42A02B8A" w14:textId="77777777"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Филмирана таблетка.</w:t>
      </w:r>
    </w:p>
    <w:p w14:paraId="3F6A4B3E" w14:textId="77777777" w:rsidR="00120AB6" w:rsidRPr="00120AB6" w:rsidRDefault="00120AB6" w:rsidP="00120AB6">
      <w:pPr>
        <w:spacing w:line="240" w:lineRule="auto"/>
        <w:rPr>
          <w:rFonts w:eastAsia="Times New Roman" w:cs="Arial"/>
          <w:bCs/>
          <w:i/>
          <w:iCs/>
          <w:color w:val="000000"/>
          <w:szCs w:val="18"/>
          <w:lang w:eastAsia="bg-BG"/>
        </w:rPr>
      </w:pPr>
    </w:p>
    <w:p w14:paraId="15B32D1E" w14:textId="12CC3718"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lang w:eastAsia="bg-BG"/>
        </w:rPr>
        <w:t xml:space="preserve">Еголанза 5 </w:t>
      </w:r>
      <w:r w:rsidRPr="00120AB6">
        <w:rPr>
          <w:rFonts w:eastAsia="Times New Roman" w:cs="Arial"/>
          <w:bCs/>
          <w:i/>
          <w:iCs/>
          <w:color w:val="000000"/>
          <w:szCs w:val="18"/>
          <w:lang w:val="en-US"/>
        </w:rPr>
        <w:t>mg</w:t>
      </w:r>
      <w:r w:rsidRPr="00120AB6">
        <w:rPr>
          <w:rFonts w:eastAsia="Times New Roman" w:cs="Arial"/>
          <w:bCs/>
          <w:i/>
          <w:iCs/>
          <w:color w:val="000000"/>
          <w:szCs w:val="18"/>
          <w:lang w:val="ru-RU"/>
        </w:rPr>
        <w:t xml:space="preserve"> </w:t>
      </w:r>
      <w:r w:rsidRPr="00120AB6">
        <w:rPr>
          <w:rFonts w:eastAsia="Times New Roman" w:cs="Arial"/>
          <w:bCs/>
          <w:i/>
          <w:iCs/>
          <w:color w:val="000000"/>
          <w:szCs w:val="18"/>
          <w:lang w:eastAsia="bg-BG"/>
        </w:rPr>
        <w:t>филмирани таблетки</w:t>
      </w:r>
    </w:p>
    <w:p w14:paraId="15D6A587" w14:textId="77777777"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Жълти, продълговати, двойно изпъкнали филмирани таблетки с делителна черта от едната страна и със стилизирано „Е“ и код „402“ от другата страна.</w:t>
      </w:r>
    </w:p>
    <w:p w14:paraId="6698E669" w14:textId="77777777"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Таблетката може да бъде разделена на две равни дози.</w:t>
      </w:r>
    </w:p>
    <w:p w14:paraId="325C68E4" w14:textId="6BD553DA" w:rsidR="00120AB6" w:rsidRPr="00120AB6" w:rsidRDefault="00120AB6" w:rsidP="00120AB6">
      <w:pPr>
        <w:rPr>
          <w:rFonts w:cs="Arial"/>
          <w:sz w:val="28"/>
        </w:rPr>
      </w:pPr>
    </w:p>
    <w:p w14:paraId="6365D0CF" w14:textId="77777777"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lang w:eastAsia="bg-BG"/>
        </w:rPr>
        <w:t xml:space="preserve">Еголанза 10 </w:t>
      </w:r>
      <w:r w:rsidRPr="00120AB6">
        <w:rPr>
          <w:rFonts w:eastAsia="Times New Roman" w:cs="Arial"/>
          <w:bCs/>
          <w:i/>
          <w:iCs/>
          <w:color w:val="000000"/>
          <w:szCs w:val="18"/>
          <w:lang w:val="en-US"/>
        </w:rPr>
        <w:t>mg</w:t>
      </w:r>
      <w:r w:rsidRPr="00120AB6">
        <w:rPr>
          <w:rFonts w:eastAsia="Times New Roman" w:cs="Arial"/>
          <w:bCs/>
          <w:i/>
          <w:iCs/>
          <w:color w:val="000000"/>
          <w:szCs w:val="18"/>
          <w:lang w:val="ru-RU"/>
        </w:rPr>
        <w:t xml:space="preserve"> </w:t>
      </w:r>
      <w:r w:rsidRPr="00120AB6">
        <w:rPr>
          <w:rFonts w:eastAsia="Times New Roman" w:cs="Arial"/>
          <w:bCs/>
          <w:i/>
          <w:iCs/>
          <w:color w:val="000000"/>
          <w:szCs w:val="18"/>
          <w:lang w:eastAsia="bg-BG"/>
        </w:rPr>
        <w:t>филмирани таблетки</w:t>
      </w:r>
    </w:p>
    <w:p w14:paraId="5408819F" w14:textId="77777777"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Жълти, кръгли, двойно изпъкнали филмирани таблетки, със стилизирано „Е“ и код „404“ от едната страна.</w:t>
      </w:r>
    </w:p>
    <w:p w14:paraId="4F81B313" w14:textId="77777777" w:rsidR="00120AB6" w:rsidRPr="00120AB6" w:rsidRDefault="00120AB6" w:rsidP="00120AB6">
      <w:pPr>
        <w:spacing w:line="240" w:lineRule="auto"/>
        <w:rPr>
          <w:rFonts w:eastAsia="Times New Roman" w:cs="Arial"/>
          <w:bCs/>
          <w:i/>
          <w:iCs/>
          <w:color w:val="000000"/>
          <w:szCs w:val="18"/>
          <w:lang w:eastAsia="bg-BG"/>
        </w:rPr>
      </w:pPr>
    </w:p>
    <w:p w14:paraId="6561843B" w14:textId="2F14E429"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lang w:eastAsia="bg-BG"/>
        </w:rPr>
        <w:t xml:space="preserve">Еголанза 15 </w:t>
      </w:r>
      <w:r w:rsidRPr="00120AB6">
        <w:rPr>
          <w:rFonts w:eastAsia="Times New Roman" w:cs="Arial"/>
          <w:bCs/>
          <w:i/>
          <w:iCs/>
          <w:color w:val="000000"/>
          <w:szCs w:val="18"/>
          <w:lang w:val="en-US"/>
        </w:rPr>
        <w:t>mg</w:t>
      </w:r>
      <w:r w:rsidRPr="00120AB6">
        <w:rPr>
          <w:rFonts w:eastAsia="Times New Roman" w:cs="Arial"/>
          <w:bCs/>
          <w:i/>
          <w:iCs/>
          <w:color w:val="000000"/>
          <w:szCs w:val="18"/>
          <w:lang w:val="ru-RU"/>
        </w:rPr>
        <w:t xml:space="preserve"> </w:t>
      </w:r>
      <w:r w:rsidRPr="00120AB6">
        <w:rPr>
          <w:rFonts w:eastAsia="Times New Roman" w:cs="Arial"/>
          <w:bCs/>
          <w:i/>
          <w:iCs/>
          <w:color w:val="000000"/>
          <w:szCs w:val="18"/>
          <w:lang w:eastAsia="bg-BG"/>
        </w:rPr>
        <w:t>филмирани таблетки</w:t>
      </w:r>
    </w:p>
    <w:p w14:paraId="691AB29C" w14:textId="77777777"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Жълти, кръгли, двойно изпъкнали филмирани таблетки, със стилизирано „Е“ и код „405“ от едната страна.</w:t>
      </w:r>
    </w:p>
    <w:p w14:paraId="1F2A2688" w14:textId="77777777" w:rsidR="00120AB6" w:rsidRPr="00120AB6" w:rsidRDefault="00120AB6" w:rsidP="00120AB6">
      <w:pPr>
        <w:spacing w:line="240" w:lineRule="auto"/>
        <w:rPr>
          <w:rFonts w:eastAsia="Times New Roman" w:cs="Arial"/>
          <w:bCs/>
          <w:i/>
          <w:iCs/>
          <w:color w:val="000000"/>
          <w:szCs w:val="18"/>
          <w:lang w:eastAsia="bg-BG"/>
        </w:rPr>
      </w:pPr>
    </w:p>
    <w:p w14:paraId="4042E915" w14:textId="0092EA10"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lang w:eastAsia="bg-BG"/>
        </w:rPr>
        <w:t xml:space="preserve">Еголанза 20 </w:t>
      </w:r>
      <w:r w:rsidRPr="00120AB6">
        <w:rPr>
          <w:rFonts w:eastAsia="Times New Roman" w:cs="Arial"/>
          <w:bCs/>
          <w:i/>
          <w:iCs/>
          <w:color w:val="000000"/>
          <w:szCs w:val="18"/>
          <w:lang w:val="en-US"/>
        </w:rPr>
        <w:t>mg</w:t>
      </w:r>
      <w:r w:rsidRPr="00120AB6">
        <w:rPr>
          <w:rFonts w:eastAsia="Times New Roman" w:cs="Arial"/>
          <w:bCs/>
          <w:i/>
          <w:iCs/>
          <w:color w:val="000000"/>
          <w:szCs w:val="18"/>
          <w:lang w:val="ru-RU"/>
        </w:rPr>
        <w:t xml:space="preserve"> </w:t>
      </w:r>
      <w:r w:rsidRPr="00120AB6">
        <w:rPr>
          <w:rFonts w:eastAsia="Times New Roman" w:cs="Arial"/>
          <w:bCs/>
          <w:i/>
          <w:iCs/>
          <w:color w:val="000000"/>
          <w:szCs w:val="18"/>
          <w:lang w:eastAsia="bg-BG"/>
        </w:rPr>
        <w:t>филмирани таблетки</w:t>
      </w:r>
    </w:p>
    <w:p w14:paraId="61F49F5F" w14:textId="77777777" w:rsidR="00120AB6" w:rsidRPr="00120AB6" w:rsidRDefault="00120AB6" w:rsidP="00120AB6">
      <w:pPr>
        <w:spacing w:line="240" w:lineRule="auto"/>
        <w:rPr>
          <w:rFonts w:ascii="Times New Roman" w:eastAsia="Times New Roman" w:hAnsi="Times New Roman" w:cs="Times New Roman"/>
          <w:sz w:val="24"/>
          <w:szCs w:val="24"/>
        </w:rPr>
      </w:pPr>
      <w:r w:rsidRPr="00120AB6">
        <w:rPr>
          <w:rFonts w:eastAsia="Times New Roman" w:cs="Arial"/>
          <w:bCs/>
          <w:color w:val="000000"/>
          <w:szCs w:val="18"/>
          <w:lang w:eastAsia="bg-BG"/>
        </w:rPr>
        <w:t>Жълти, кръгли, двойно изпъкнали филмирани таблетки, със стилизирано „Е“ и код „406“ от едната страна.</w:t>
      </w:r>
    </w:p>
    <w:p w14:paraId="71FEB33A" w14:textId="77777777" w:rsidR="00120AB6" w:rsidRPr="00120AB6" w:rsidRDefault="00120AB6" w:rsidP="00120AB6"/>
    <w:p w14:paraId="490FC2C4" w14:textId="0F4A4A75" w:rsidR="002C50EE" w:rsidRDefault="002C50EE" w:rsidP="002C50EE">
      <w:pPr>
        <w:pStyle w:val="Heading1"/>
      </w:pPr>
      <w:r>
        <w:t>4. КЛИНИЧНИ ДАННИ</w:t>
      </w:r>
    </w:p>
    <w:p w14:paraId="74330405" w14:textId="08AA9FFC" w:rsidR="007122AD" w:rsidRDefault="002C50EE" w:rsidP="00936AD0">
      <w:pPr>
        <w:pStyle w:val="Heading2"/>
      </w:pPr>
      <w:r>
        <w:t>4.1. Терапевтични показания</w:t>
      </w:r>
    </w:p>
    <w:p w14:paraId="14C8481D" w14:textId="62833189" w:rsidR="00120AB6" w:rsidRDefault="00120AB6" w:rsidP="00120AB6"/>
    <w:p w14:paraId="4ABC5B35" w14:textId="77777777"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u w:val="single"/>
          <w:lang w:eastAsia="bg-BG"/>
        </w:rPr>
        <w:t>Възрастни</w:t>
      </w:r>
    </w:p>
    <w:p w14:paraId="28B7F419" w14:textId="77777777" w:rsidR="00120AB6" w:rsidRPr="00120AB6" w:rsidRDefault="00120AB6" w:rsidP="00120AB6">
      <w:pPr>
        <w:spacing w:line="240" w:lineRule="auto"/>
        <w:rPr>
          <w:rFonts w:eastAsia="Times New Roman" w:cs="Arial"/>
          <w:bCs/>
          <w:color w:val="000000"/>
          <w:szCs w:val="18"/>
          <w:lang w:eastAsia="bg-BG"/>
        </w:rPr>
      </w:pPr>
    </w:p>
    <w:p w14:paraId="3703E568" w14:textId="0F180D03"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Оланзапин е показан за лечение на шизофрения.</w:t>
      </w:r>
    </w:p>
    <w:p w14:paraId="37CD78C4" w14:textId="77777777" w:rsidR="00120AB6" w:rsidRPr="00120AB6" w:rsidRDefault="00120AB6" w:rsidP="00120AB6">
      <w:pPr>
        <w:spacing w:line="240" w:lineRule="auto"/>
        <w:rPr>
          <w:rFonts w:eastAsia="Times New Roman" w:cs="Arial"/>
          <w:bCs/>
          <w:color w:val="000000"/>
          <w:szCs w:val="18"/>
          <w:lang w:eastAsia="bg-BG"/>
        </w:rPr>
      </w:pPr>
    </w:p>
    <w:p w14:paraId="2B84A8DD" w14:textId="341C2BEA"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Оланзапин е ефективен за поддържане на клинично подобрение по време на продължителната терапия при пациенти, които са показали начален терапевтичен отговор.</w:t>
      </w:r>
    </w:p>
    <w:p w14:paraId="442BAE2E" w14:textId="77777777" w:rsidR="00120AB6" w:rsidRPr="00120AB6" w:rsidRDefault="00120AB6" w:rsidP="00120AB6">
      <w:pPr>
        <w:spacing w:line="240" w:lineRule="auto"/>
        <w:rPr>
          <w:rFonts w:eastAsia="Times New Roman" w:cs="Arial"/>
          <w:bCs/>
          <w:color w:val="000000"/>
          <w:szCs w:val="18"/>
          <w:lang w:eastAsia="bg-BG"/>
        </w:rPr>
      </w:pPr>
    </w:p>
    <w:p w14:paraId="1B4EF736" w14:textId="609EB8FD"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Оланзапин е показан за лечение на умерени до тежки манийни епизоди.</w:t>
      </w:r>
    </w:p>
    <w:p w14:paraId="79F857B9" w14:textId="77777777" w:rsidR="00120AB6" w:rsidRPr="00120AB6" w:rsidRDefault="00120AB6" w:rsidP="00120AB6">
      <w:pPr>
        <w:spacing w:line="240" w:lineRule="auto"/>
        <w:rPr>
          <w:rFonts w:eastAsia="Times New Roman" w:cs="Arial"/>
          <w:bCs/>
          <w:color w:val="000000"/>
          <w:szCs w:val="18"/>
          <w:lang w:eastAsia="bg-BG"/>
        </w:rPr>
      </w:pPr>
    </w:p>
    <w:p w14:paraId="3F6E8CB0" w14:textId="5AC6069B"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Оланзапин е показан за профилактика на рецидиви на маниен епизод при пациенти с биполярни разстройства, при които по време на маниен епизод е бил постигнат клиничен отговор с оланзапин (вж. т. 5.1).</w:t>
      </w:r>
    </w:p>
    <w:p w14:paraId="5E104D07" w14:textId="77777777" w:rsidR="00120AB6" w:rsidRPr="00120AB6" w:rsidRDefault="00120AB6" w:rsidP="00120AB6"/>
    <w:p w14:paraId="53F5B866" w14:textId="2E3CFFA5" w:rsidR="007122AD" w:rsidRDefault="002C50EE" w:rsidP="00936AD0">
      <w:pPr>
        <w:pStyle w:val="Heading2"/>
      </w:pPr>
      <w:r>
        <w:t>4.2. Дозировка и начин на приложение</w:t>
      </w:r>
    </w:p>
    <w:p w14:paraId="7528392D" w14:textId="23266431" w:rsidR="00120AB6" w:rsidRDefault="00120AB6" w:rsidP="00120AB6"/>
    <w:p w14:paraId="38BEE7C9" w14:textId="77777777" w:rsidR="00120AB6" w:rsidRPr="00120AB6" w:rsidRDefault="00120AB6" w:rsidP="00120AB6">
      <w:pPr>
        <w:pStyle w:val="Heading3"/>
        <w:rPr>
          <w:rFonts w:eastAsia="Times New Roman"/>
          <w:sz w:val="32"/>
          <w:u w:val="single"/>
        </w:rPr>
      </w:pPr>
      <w:r w:rsidRPr="00120AB6">
        <w:rPr>
          <w:rFonts w:eastAsia="Times New Roman"/>
          <w:u w:val="single"/>
          <w:lang w:eastAsia="bg-BG"/>
        </w:rPr>
        <w:t>Дозировка</w:t>
      </w:r>
    </w:p>
    <w:p w14:paraId="2C92EA9C" w14:textId="77777777" w:rsidR="00120AB6" w:rsidRPr="00120AB6" w:rsidRDefault="00120AB6" w:rsidP="00120AB6">
      <w:pPr>
        <w:spacing w:line="240" w:lineRule="auto"/>
        <w:rPr>
          <w:rFonts w:eastAsia="Times New Roman" w:cs="Arial"/>
          <w:bCs/>
          <w:i/>
          <w:iCs/>
          <w:color w:val="000000"/>
          <w:szCs w:val="18"/>
          <w:u w:val="single"/>
          <w:lang w:eastAsia="bg-BG"/>
        </w:rPr>
      </w:pPr>
    </w:p>
    <w:p w14:paraId="0ECED52D" w14:textId="4F773E03"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u w:val="single"/>
          <w:lang w:eastAsia="bg-BG"/>
        </w:rPr>
        <w:t>Възрастни</w:t>
      </w:r>
    </w:p>
    <w:p w14:paraId="2FD4D9F1" w14:textId="7CD1122A"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lang w:eastAsia="bg-BG"/>
        </w:rPr>
        <w:t>Шизофрения:</w:t>
      </w:r>
      <w:r w:rsidRPr="00120AB6">
        <w:rPr>
          <w:rFonts w:eastAsia="Times New Roman" w:cs="Arial"/>
          <w:bCs/>
          <w:color w:val="000000"/>
          <w:szCs w:val="18"/>
          <w:lang w:eastAsia="bg-BG"/>
        </w:rPr>
        <w:t xml:space="preserve"> Препоръчваната начална доза оланзапин е 10 </w:t>
      </w:r>
      <w:r w:rsidRPr="00120AB6">
        <w:rPr>
          <w:rFonts w:eastAsia="Times New Roman" w:cs="Arial"/>
          <w:bCs/>
          <w:color w:val="000000"/>
          <w:szCs w:val="18"/>
          <w:lang w:val="en-US"/>
        </w:rPr>
        <w:t>mg</w:t>
      </w:r>
      <w:r w:rsidRPr="00120AB6">
        <w:rPr>
          <w:rFonts w:eastAsia="Times New Roman" w:cs="Arial"/>
          <w:bCs/>
          <w:color w:val="000000"/>
          <w:szCs w:val="18"/>
          <w:lang w:eastAsia="bg-BG"/>
        </w:rPr>
        <w:t>/дневно.</w:t>
      </w:r>
    </w:p>
    <w:p w14:paraId="5F529530" w14:textId="77777777" w:rsidR="00120AB6" w:rsidRPr="00120AB6" w:rsidRDefault="00120AB6" w:rsidP="00120AB6">
      <w:pPr>
        <w:spacing w:line="240" w:lineRule="auto"/>
        <w:rPr>
          <w:rFonts w:eastAsia="Times New Roman" w:cs="Arial"/>
          <w:bCs/>
          <w:i/>
          <w:iCs/>
          <w:color w:val="000000"/>
          <w:szCs w:val="18"/>
          <w:lang w:eastAsia="bg-BG"/>
        </w:rPr>
      </w:pPr>
    </w:p>
    <w:p w14:paraId="13B9CE0B" w14:textId="1B3F1D45"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lang w:eastAsia="bg-BG"/>
        </w:rPr>
        <w:t>Маниен епизод:</w:t>
      </w:r>
      <w:r w:rsidRPr="00120AB6">
        <w:rPr>
          <w:rFonts w:eastAsia="Times New Roman" w:cs="Arial"/>
          <w:bCs/>
          <w:color w:val="000000"/>
          <w:szCs w:val="18"/>
          <w:lang w:eastAsia="bg-BG"/>
        </w:rPr>
        <w:t xml:space="preserve"> Началната доза е 15 </w:t>
      </w:r>
      <w:r w:rsidRPr="00120AB6">
        <w:rPr>
          <w:rFonts w:eastAsia="Times New Roman" w:cs="Arial"/>
          <w:bCs/>
          <w:color w:val="000000"/>
          <w:szCs w:val="18"/>
          <w:lang w:val="en-US"/>
        </w:rPr>
        <w:t>mg</w:t>
      </w:r>
      <w:r w:rsidRPr="00120AB6">
        <w:rPr>
          <w:rFonts w:eastAsia="Times New Roman" w:cs="Arial"/>
          <w:bCs/>
          <w:color w:val="000000"/>
          <w:szCs w:val="18"/>
          <w:lang w:val="ru-RU"/>
        </w:rPr>
        <w:t xml:space="preserve"> </w:t>
      </w:r>
      <w:r w:rsidRPr="00120AB6">
        <w:rPr>
          <w:rFonts w:eastAsia="Times New Roman" w:cs="Arial"/>
          <w:bCs/>
          <w:color w:val="000000"/>
          <w:szCs w:val="18"/>
          <w:lang w:eastAsia="bg-BG"/>
        </w:rPr>
        <w:t xml:space="preserve">еднократно дневно при монотерапия или 10 </w:t>
      </w:r>
      <w:r w:rsidRPr="00120AB6">
        <w:rPr>
          <w:rFonts w:eastAsia="Times New Roman" w:cs="Arial"/>
          <w:bCs/>
          <w:color w:val="000000"/>
          <w:szCs w:val="18"/>
          <w:lang w:val="en-US"/>
        </w:rPr>
        <w:t>mg</w:t>
      </w:r>
      <w:r w:rsidRPr="00120AB6">
        <w:rPr>
          <w:rFonts w:eastAsia="Times New Roman" w:cs="Arial"/>
          <w:bCs/>
          <w:color w:val="000000"/>
          <w:szCs w:val="18"/>
          <w:lang w:val="ru-RU"/>
        </w:rPr>
        <w:t xml:space="preserve"> </w:t>
      </w:r>
      <w:r w:rsidRPr="00120AB6">
        <w:rPr>
          <w:rFonts w:eastAsia="Times New Roman" w:cs="Arial"/>
          <w:bCs/>
          <w:color w:val="000000"/>
          <w:szCs w:val="18"/>
          <w:lang w:eastAsia="bg-BG"/>
        </w:rPr>
        <w:t>дневно при комбинирано лечение (вж. т. 5.1).</w:t>
      </w:r>
    </w:p>
    <w:p w14:paraId="15103480" w14:textId="77777777" w:rsidR="00120AB6" w:rsidRPr="00120AB6" w:rsidRDefault="00120AB6" w:rsidP="00120AB6">
      <w:pPr>
        <w:spacing w:line="240" w:lineRule="auto"/>
        <w:rPr>
          <w:rFonts w:eastAsia="Times New Roman" w:cs="Arial"/>
          <w:bCs/>
          <w:i/>
          <w:iCs/>
          <w:color w:val="000000"/>
          <w:szCs w:val="18"/>
          <w:lang w:eastAsia="bg-BG"/>
        </w:rPr>
      </w:pPr>
    </w:p>
    <w:p w14:paraId="5A222727" w14:textId="7BB2CA84"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lang w:eastAsia="bg-BG"/>
        </w:rPr>
        <w:t>Профилактика на рецидив при биполярно разстройство:</w:t>
      </w:r>
      <w:r w:rsidRPr="00120AB6">
        <w:rPr>
          <w:rFonts w:eastAsia="Times New Roman" w:cs="Arial"/>
          <w:bCs/>
          <w:color w:val="000000"/>
          <w:szCs w:val="18"/>
          <w:lang w:eastAsia="bg-BG"/>
        </w:rPr>
        <w:t xml:space="preserve"> Препоръчваната начална доза е 10 </w:t>
      </w:r>
      <w:r w:rsidRPr="00120AB6">
        <w:rPr>
          <w:rFonts w:eastAsia="Times New Roman" w:cs="Arial"/>
          <w:bCs/>
          <w:color w:val="000000"/>
          <w:szCs w:val="18"/>
          <w:lang w:val="en-US"/>
        </w:rPr>
        <w:t>mg</w:t>
      </w:r>
      <w:r w:rsidRPr="00120AB6">
        <w:rPr>
          <w:rFonts w:eastAsia="Times New Roman" w:cs="Arial"/>
          <w:bCs/>
          <w:color w:val="000000"/>
          <w:szCs w:val="18"/>
          <w:lang w:eastAsia="bg-BG"/>
        </w:rPr>
        <w:t>/дневно. За пациентите, които получават оланзапин за лечение на манийни епизоди, се препоръчва продължаване на терапията за предотвратяване на рецидив при същата доза. Ако настъпи нов маниен, комбиниран или депресивен епизод, лечението с оланзапин трябва да бъде продължено (с оптимизиране на дозата, ако е необходимо) с допълнителна терапия за лечение на промените в настроението ако е клинично показано.</w:t>
      </w:r>
    </w:p>
    <w:p w14:paraId="7C75230F" w14:textId="77777777" w:rsidR="00120AB6" w:rsidRPr="00120AB6" w:rsidRDefault="00120AB6" w:rsidP="00120AB6">
      <w:pPr>
        <w:rPr>
          <w:rFonts w:eastAsia="Times New Roman" w:cs="Arial"/>
          <w:bCs/>
          <w:color w:val="000000"/>
          <w:szCs w:val="18"/>
          <w:lang w:eastAsia="bg-BG"/>
        </w:rPr>
      </w:pPr>
    </w:p>
    <w:p w14:paraId="2FAC6119" w14:textId="77777777" w:rsidR="00120AB6" w:rsidRPr="00120AB6" w:rsidRDefault="00120AB6" w:rsidP="00120AB6">
      <w:pPr>
        <w:rPr>
          <w:rFonts w:eastAsia="Times New Roman" w:cs="Arial"/>
          <w:sz w:val="32"/>
          <w:szCs w:val="24"/>
        </w:rPr>
      </w:pPr>
      <w:r w:rsidRPr="00120AB6">
        <w:rPr>
          <w:rFonts w:eastAsia="Times New Roman" w:cs="Arial"/>
          <w:bCs/>
          <w:color w:val="000000"/>
          <w:szCs w:val="18"/>
          <w:lang w:eastAsia="bg-BG"/>
        </w:rPr>
        <w:lastRenderedPageBreak/>
        <w:t xml:space="preserve">По време на лечението на шизофрения, маниен епизод или превенция на рецидив при биполярно разстройство дневната доза може постепенно да бъде коригирана въз основа на индивидуалното клинично състояние в рамките на 5-20 </w:t>
      </w:r>
      <w:r w:rsidRPr="00120AB6">
        <w:rPr>
          <w:rFonts w:eastAsia="Times New Roman" w:cs="Arial"/>
          <w:bCs/>
          <w:color w:val="000000"/>
          <w:szCs w:val="18"/>
          <w:lang w:val="en-US"/>
        </w:rPr>
        <w:t>mg</w:t>
      </w:r>
      <w:r w:rsidRPr="00120AB6">
        <w:rPr>
          <w:rFonts w:eastAsia="Times New Roman" w:cs="Arial"/>
          <w:bCs/>
          <w:color w:val="000000"/>
          <w:szCs w:val="18"/>
          <w:lang w:eastAsia="bg-BG"/>
        </w:rPr>
        <w:t>/дневно. Увеличение на дозата над препоръчителната начална доза се препоръчва само след съответната клинична преоценка и това трябва да се направи на интервали не по-малки от 24 часа. При преустановяване на лечението с оланзапин трябва да се има предвид постепенно намаляване на дозата.</w:t>
      </w:r>
    </w:p>
    <w:p w14:paraId="40135B39" w14:textId="77777777" w:rsidR="00120AB6" w:rsidRPr="00120AB6" w:rsidRDefault="00120AB6" w:rsidP="00120AB6">
      <w:pPr>
        <w:spacing w:line="240" w:lineRule="auto"/>
        <w:rPr>
          <w:rFonts w:eastAsia="Times New Roman" w:cs="Arial"/>
          <w:bCs/>
          <w:i/>
          <w:iCs/>
          <w:color w:val="000000"/>
          <w:szCs w:val="18"/>
          <w:lang w:eastAsia="bg-BG"/>
        </w:rPr>
      </w:pPr>
    </w:p>
    <w:p w14:paraId="0315D7E0" w14:textId="1DD99AC6"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lang w:eastAsia="bg-BG"/>
        </w:rPr>
        <w:t>Специални популации</w:t>
      </w:r>
    </w:p>
    <w:p w14:paraId="1AB96F36" w14:textId="77777777" w:rsidR="00120AB6" w:rsidRPr="00120AB6" w:rsidRDefault="00120AB6" w:rsidP="00120AB6">
      <w:pPr>
        <w:spacing w:line="240" w:lineRule="auto"/>
        <w:rPr>
          <w:rFonts w:eastAsia="Times New Roman" w:cs="Arial"/>
          <w:bCs/>
          <w:i/>
          <w:iCs/>
          <w:color w:val="000000"/>
          <w:szCs w:val="18"/>
          <w:u w:val="single"/>
          <w:lang w:eastAsia="bg-BG"/>
        </w:rPr>
      </w:pPr>
    </w:p>
    <w:p w14:paraId="78074D0A" w14:textId="419F6383"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u w:val="single"/>
          <w:lang w:eastAsia="bg-BG"/>
        </w:rPr>
        <w:t>Старческа възраст</w:t>
      </w:r>
    </w:p>
    <w:p w14:paraId="4B238054" w14:textId="77777777"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 xml:space="preserve">По-ниска начална доза (5 </w:t>
      </w:r>
      <w:r w:rsidRPr="00120AB6">
        <w:rPr>
          <w:rFonts w:eastAsia="Times New Roman" w:cs="Arial"/>
          <w:bCs/>
          <w:color w:val="000000"/>
          <w:szCs w:val="18"/>
          <w:lang w:val="en-US"/>
        </w:rPr>
        <w:t>mg</w:t>
      </w:r>
      <w:r w:rsidRPr="00120AB6">
        <w:rPr>
          <w:rFonts w:eastAsia="Times New Roman" w:cs="Arial"/>
          <w:bCs/>
          <w:color w:val="000000"/>
          <w:szCs w:val="18"/>
          <w:lang w:eastAsia="bg-BG"/>
        </w:rPr>
        <w:t>/дневно) не е показана в обичайната практика, но трябва да се обмисли при пациенти над 65-годишна възраст, когато клиничните фактори дават основание за това (вж. точка 4.4).</w:t>
      </w:r>
    </w:p>
    <w:p w14:paraId="3B28D1F1" w14:textId="77777777" w:rsidR="00120AB6" w:rsidRPr="00120AB6" w:rsidRDefault="00120AB6" w:rsidP="00120AB6">
      <w:pPr>
        <w:spacing w:line="240" w:lineRule="auto"/>
        <w:rPr>
          <w:rFonts w:eastAsia="Times New Roman" w:cs="Arial"/>
          <w:bCs/>
          <w:i/>
          <w:iCs/>
          <w:color w:val="000000"/>
          <w:szCs w:val="18"/>
          <w:u w:val="single"/>
          <w:lang w:eastAsia="bg-BG"/>
        </w:rPr>
      </w:pPr>
    </w:p>
    <w:p w14:paraId="2BFF057C" w14:textId="56EC1D31"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u w:val="single"/>
          <w:lang w:eastAsia="bg-BG"/>
        </w:rPr>
        <w:t>Бъбречни и/или чернодробни увреждания</w:t>
      </w:r>
    </w:p>
    <w:p w14:paraId="71824042" w14:textId="77777777"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 xml:space="preserve">При тези пациенти трябва да се има предвид по-ниска начална доза (5 </w:t>
      </w:r>
      <w:r w:rsidRPr="00120AB6">
        <w:rPr>
          <w:rFonts w:eastAsia="Times New Roman" w:cs="Arial"/>
          <w:bCs/>
          <w:color w:val="000000"/>
          <w:szCs w:val="18"/>
          <w:lang w:val="en-US"/>
        </w:rPr>
        <w:t>mg</w:t>
      </w:r>
      <w:r w:rsidRPr="00120AB6">
        <w:rPr>
          <w:rFonts w:eastAsia="Times New Roman" w:cs="Arial"/>
          <w:bCs/>
          <w:color w:val="000000"/>
          <w:szCs w:val="18"/>
          <w:lang w:val="ru-RU"/>
        </w:rPr>
        <w:t xml:space="preserve">). </w:t>
      </w:r>
      <w:r w:rsidRPr="00120AB6">
        <w:rPr>
          <w:rFonts w:eastAsia="Times New Roman" w:cs="Arial"/>
          <w:bCs/>
          <w:color w:val="000000"/>
          <w:szCs w:val="18"/>
          <w:lang w:eastAsia="bg-BG"/>
        </w:rPr>
        <w:t xml:space="preserve">В случаите на умерена чернодробна недостатъчност (цироза, клас А или В по </w:t>
      </w:r>
      <w:r w:rsidRPr="00120AB6">
        <w:rPr>
          <w:rFonts w:eastAsia="Times New Roman" w:cs="Arial"/>
          <w:bCs/>
          <w:color w:val="000000"/>
          <w:szCs w:val="18"/>
          <w:lang w:val="en-US"/>
        </w:rPr>
        <w:t>Child</w:t>
      </w:r>
      <w:r w:rsidRPr="00120AB6">
        <w:rPr>
          <w:rFonts w:eastAsia="Times New Roman" w:cs="Arial"/>
          <w:bCs/>
          <w:color w:val="000000"/>
          <w:szCs w:val="18"/>
          <w:lang w:val="ru-RU"/>
        </w:rPr>
        <w:t>-</w:t>
      </w:r>
      <w:r w:rsidRPr="00120AB6">
        <w:rPr>
          <w:rFonts w:eastAsia="Times New Roman" w:cs="Arial"/>
          <w:bCs/>
          <w:color w:val="000000"/>
          <w:szCs w:val="18"/>
          <w:lang w:val="en-US"/>
        </w:rPr>
        <w:t>Pugh</w:t>
      </w:r>
      <w:r w:rsidRPr="00120AB6">
        <w:rPr>
          <w:rFonts w:eastAsia="Times New Roman" w:cs="Arial"/>
          <w:bCs/>
          <w:color w:val="000000"/>
          <w:szCs w:val="18"/>
          <w:lang w:val="ru-RU"/>
        </w:rPr>
        <w:t xml:space="preserve">) </w:t>
      </w:r>
      <w:r w:rsidRPr="00120AB6">
        <w:rPr>
          <w:rFonts w:eastAsia="Times New Roman" w:cs="Arial"/>
          <w:bCs/>
          <w:color w:val="000000"/>
          <w:szCs w:val="18"/>
          <w:lang w:eastAsia="bg-BG"/>
        </w:rPr>
        <w:t xml:space="preserve">началната доза трябва да бъде 5 </w:t>
      </w:r>
      <w:r w:rsidRPr="00120AB6">
        <w:rPr>
          <w:rFonts w:eastAsia="Times New Roman" w:cs="Arial"/>
          <w:bCs/>
          <w:color w:val="000000"/>
          <w:szCs w:val="18"/>
          <w:lang w:val="en-US"/>
        </w:rPr>
        <w:t>mg</w:t>
      </w:r>
      <w:r w:rsidRPr="00120AB6">
        <w:rPr>
          <w:rFonts w:eastAsia="Times New Roman" w:cs="Arial"/>
          <w:bCs/>
          <w:color w:val="000000"/>
          <w:szCs w:val="18"/>
          <w:lang w:val="ru-RU"/>
        </w:rPr>
        <w:t xml:space="preserve"> </w:t>
      </w:r>
      <w:r w:rsidRPr="00120AB6">
        <w:rPr>
          <w:rFonts w:eastAsia="Times New Roman" w:cs="Arial"/>
          <w:bCs/>
          <w:color w:val="000000"/>
          <w:szCs w:val="18"/>
          <w:lang w:eastAsia="bg-BG"/>
        </w:rPr>
        <w:t>и да се увеличава с повишено внимание.</w:t>
      </w:r>
    </w:p>
    <w:p w14:paraId="4680CFA3" w14:textId="77777777" w:rsidR="00120AB6" w:rsidRPr="00120AB6" w:rsidRDefault="00120AB6" w:rsidP="00120AB6">
      <w:pPr>
        <w:spacing w:line="240" w:lineRule="auto"/>
        <w:rPr>
          <w:rFonts w:eastAsia="Times New Roman" w:cs="Arial"/>
          <w:bCs/>
          <w:i/>
          <w:iCs/>
          <w:color w:val="000000"/>
          <w:szCs w:val="18"/>
          <w:u w:val="single"/>
          <w:lang w:eastAsia="bg-BG"/>
        </w:rPr>
      </w:pPr>
    </w:p>
    <w:p w14:paraId="2CE8187E" w14:textId="280AEF08"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u w:val="single"/>
          <w:lang w:eastAsia="bg-BG"/>
        </w:rPr>
        <w:t>Пушачи</w:t>
      </w:r>
    </w:p>
    <w:p w14:paraId="5F005EA2" w14:textId="77777777"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Началната доза и дозовият диапазон обикновено не е необходимо да се променят при непушачи спрямо пушачи. Пушенето може да индуцира метаболизма на оланзапин. Препоръчва се клинично монигориране и може да се има предвид повишаване на дозата на оланзапин, ако е необходимо (вж. точка 4.5).</w:t>
      </w:r>
    </w:p>
    <w:p w14:paraId="63924E58" w14:textId="77777777" w:rsidR="00120AB6" w:rsidRPr="00120AB6" w:rsidRDefault="00120AB6" w:rsidP="00120AB6">
      <w:pPr>
        <w:spacing w:line="240" w:lineRule="auto"/>
        <w:rPr>
          <w:rFonts w:eastAsia="Times New Roman" w:cs="Arial"/>
          <w:bCs/>
          <w:color w:val="000000"/>
          <w:szCs w:val="18"/>
          <w:lang w:eastAsia="bg-BG"/>
        </w:rPr>
      </w:pPr>
    </w:p>
    <w:p w14:paraId="2C3B43EB" w14:textId="56AA6FDD"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Когато са налице повече от един фактор, който може да доведе до забавяне на метаболизма (женски пол, старческа възраст, непушач), трябва да се обмисли намаляване на началната доза. Увеличаването на дозата, когато е показано, трябва да става постепенно при такива пациенти.</w:t>
      </w:r>
    </w:p>
    <w:p w14:paraId="78A96AC1" w14:textId="77777777"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(Вж. точки 4.5 и 5.2).</w:t>
      </w:r>
    </w:p>
    <w:p w14:paraId="37DBF24C" w14:textId="77777777" w:rsidR="00120AB6" w:rsidRPr="00120AB6" w:rsidRDefault="00120AB6" w:rsidP="00120AB6">
      <w:pPr>
        <w:spacing w:line="240" w:lineRule="auto"/>
        <w:rPr>
          <w:rFonts w:eastAsia="Times New Roman" w:cs="Arial"/>
          <w:bCs/>
          <w:i/>
          <w:iCs/>
          <w:color w:val="000000"/>
          <w:szCs w:val="18"/>
          <w:u w:val="single"/>
          <w:lang w:eastAsia="bg-BG"/>
        </w:rPr>
      </w:pPr>
    </w:p>
    <w:p w14:paraId="16716CE5" w14:textId="7ED476BB"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u w:val="single"/>
          <w:lang w:eastAsia="bg-BG"/>
        </w:rPr>
        <w:t>Педиатрична популаиия</w:t>
      </w:r>
    </w:p>
    <w:p w14:paraId="186B4D8F" w14:textId="77777777"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Оланзапин не се препоръчва за употреба от деца и юноши под 18-годишна възраст поради недостатъчни данни за безопасност и ефикасност. При краткосрочни проучвания при пациенти в юношеска възраст е докладвано значимо увеличение на телесното тегло, изменения в нивата на липидите и пролактина в сравнение с проучвания при възрастни пациенти (вж. точки 4.4, 4.8, 5.1 и 5.2).</w:t>
      </w:r>
    </w:p>
    <w:p w14:paraId="5801B0B0" w14:textId="77777777" w:rsidR="00120AB6" w:rsidRPr="00120AB6" w:rsidRDefault="00120AB6" w:rsidP="00120AB6">
      <w:pPr>
        <w:spacing w:line="240" w:lineRule="auto"/>
        <w:rPr>
          <w:rFonts w:eastAsia="Times New Roman" w:cs="Arial"/>
          <w:bCs/>
          <w:color w:val="000000"/>
          <w:szCs w:val="18"/>
          <w:u w:val="single"/>
          <w:lang w:eastAsia="bg-BG"/>
        </w:rPr>
      </w:pPr>
    </w:p>
    <w:p w14:paraId="678B1B8C" w14:textId="0BEB2BF3" w:rsidR="00120AB6" w:rsidRPr="00120AB6" w:rsidRDefault="00120AB6" w:rsidP="00120AB6">
      <w:pPr>
        <w:pStyle w:val="Heading3"/>
        <w:rPr>
          <w:rFonts w:eastAsia="Times New Roman"/>
          <w:sz w:val="32"/>
          <w:u w:val="single"/>
        </w:rPr>
      </w:pPr>
      <w:r w:rsidRPr="00120AB6">
        <w:rPr>
          <w:rFonts w:eastAsia="Times New Roman"/>
          <w:u w:val="single"/>
          <w:lang w:eastAsia="bg-BG"/>
        </w:rPr>
        <w:t>Начин на приложение</w:t>
      </w:r>
    </w:p>
    <w:p w14:paraId="5EACB754" w14:textId="77777777"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За перорално приложение.</w:t>
      </w:r>
    </w:p>
    <w:p w14:paraId="2301F9D1" w14:textId="77777777"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Оланзапин може да се дава независимо от храненето, тъй като абсорбцията му не зависи от храната.</w:t>
      </w:r>
    </w:p>
    <w:p w14:paraId="12DE748F" w14:textId="34CEF441" w:rsidR="00120AB6" w:rsidRPr="00120AB6" w:rsidRDefault="00120AB6" w:rsidP="00120AB6"/>
    <w:p w14:paraId="0F253247" w14:textId="16E098A7" w:rsidR="007122AD" w:rsidRDefault="002C50EE" w:rsidP="00936AD0">
      <w:pPr>
        <w:pStyle w:val="Heading2"/>
      </w:pPr>
      <w:r>
        <w:t>4.3. Противопоказания</w:t>
      </w:r>
    </w:p>
    <w:p w14:paraId="414CF225" w14:textId="3FF2471D" w:rsidR="00120AB6" w:rsidRDefault="00120AB6" w:rsidP="00120AB6"/>
    <w:p w14:paraId="5FF966CD" w14:textId="77777777" w:rsidR="00120AB6" w:rsidRPr="00120AB6" w:rsidRDefault="00120AB6" w:rsidP="00120AB6">
      <w:pPr>
        <w:rPr>
          <w:rFonts w:ascii="Times New Roman" w:hAnsi="Times New Roman" w:cs="Times New Roman"/>
          <w:sz w:val="24"/>
          <w:szCs w:val="24"/>
        </w:rPr>
      </w:pPr>
      <w:r w:rsidRPr="00120AB6">
        <w:rPr>
          <w:lang w:eastAsia="bg-BG"/>
        </w:rPr>
        <w:t>Свръхчувствителност към лекарственото вещество или към някое от помощните вещества, изброени в т. 6.1.</w:t>
      </w:r>
    </w:p>
    <w:p w14:paraId="4C9EFCED" w14:textId="7DE9B849" w:rsidR="00120AB6" w:rsidRPr="00120AB6" w:rsidRDefault="00120AB6" w:rsidP="00120AB6">
      <w:r w:rsidRPr="00120AB6">
        <w:rPr>
          <w:lang w:eastAsia="bg-BG"/>
        </w:rPr>
        <w:t>Пациенти, при които е известно, че има риск от закритоъгълна глаукома.</w:t>
      </w:r>
    </w:p>
    <w:p w14:paraId="0E0BDCC7" w14:textId="0A4FC55B" w:rsidR="007122AD" w:rsidRDefault="002C50EE" w:rsidP="00936AD0">
      <w:pPr>
        <w:pStyle w:val="Heading2"/>
      </w:pPr>
      <w:r>
        <w:lastRenderedPageBreak/>
        <w:t>4.4. Специални предупреждения и предпазни мерки при употреба</w:t>
      </w:r>
    </w:p>
    <w:p w14:paraId="3152D8DA" w14:textId="5255DDCA" w:rsidR="00120AB6" w:rsidRDefault="00120AB6" w:rsidP="00120AB6"/>
    <w:p w14:paraId="12CEE137" w14:textId="77777777" w:rsidR="00120AB6" w:rsidRPr="00120AB6" w:rsidRDefault="00120AB6" w:rsidP="00120AB6">
      <w:pPr>
        <w:spacing w:line="240" w:lineRule="auto"/>
        <w:rPr>
          <w:rFonts w:eastAsia="Times New Roman" w:cs="Arial"/>
        </w:rPr>
      </w:pPr>
      <w:r w:rsidRPr="00120AB6">
        <w:rPr>
          <w:rFonts w:eastAsia="Times New Roman" w:cs="Arial"/>
          <w:bCs/>
          <w:color w:val="000000"/>
          <w:lang w:eastAsia="bg-BG"/>
        </w:rPr>
        <w:t>По време на антипсихотичното лечение, подобрението в клиничното състояние на</w:t>
      </w:r>
    </w:p>
    <w:p w14:paraId="432A69DF" w14:textId="707568DC" w:rsidR="00120AB6" w:rsidRPr="00120AB6" w:rsidRDefault="00120AB6" w:rsidP="00120AB6">
      <w:pPr>
        <w:rPr>
          <w:rFonts w:eastAsia="Times New Roman" w:cs="Arial"/>
          <w:bCs/>
          <w:color w:val="000000"/>
          <w:lang w:eastAsia="bg-BG"/>
        </w:rPr>
      </w:pPr>
      <w:r w:rsidRPr="00120AB6">
        <w:rPr>
          <w:rFonts w:eastAsia="Times New Roman" w:cs="Arial"/>
          <w:bCs/>
          <w:color w:val="000000"/>
          <w:lang w:eastAsia="bg-BG"/>
        </w:rPr>
        <w:t>пациента може да отнеме от няколко дни до няколко седмици. Пациентите трябва да се проследяват внимателно през този период.</w:t>
      </w:r>
    </w:p>
    <w:p w14:paraId="6344A67F" w14:textId="5BB4499A" w:rsidR="00120AB6" w:rsidRPr="00120AB6" w:rsidRDefault="00120AB6" w:rsidP="00120AB6">
      <w:pPr>
        <w:rPr>
          <w:rFonts w:eastAsia="Times New Roman" w:cs="Arial"/>
          <w:bCs/>
          <w:color w:val="000000"/>
          <w:lang w:eastAsia="bg-BG"/>
        </w:rPr>
      </w:pPr>
    </w:p>
    <w:p w14:paraId="38A949AE" w14:textId="77777777" w:rsidR="00120AB6" w:rsidRPr="00120AB6" w:rsidRDefault="00120AB6" w:rsidP="00120AB6">
      <w:pPr>
        <w:spacing w:line="240" w:lineRule="auto"/>
        <w:rPr>
          <w:rFonts w:eastAsia="Times New Roman" w:cs="Arial"/>
        </w:rPr>
      </w:pPr>
      <w:r w:rsidRPr="00120AB6">
        <w:rPr>
          <w:rFonts w:eastAsia="Times New Roman" w:cs="Arial"/>
          <w:bCs/>
          <w:i/>
          <w:iCs/>
          <w:color w:val="000000"/>
          <w:u w:val="single"/>
          <w:lang w:eastAsia="bg-BG"/>
        </w:rPr>
        <w:t>Психози, свързани с деменция и/или поведенчески нарушения</w:t>
      </w:r>
    </w:p>
    <w:p w14:paraId="4EFC2FC8" w14:textId="77777777" w:rsidR="00120AB6" w:rsidRPr="00120AB6" w:rsidRDefault="00120AB6" w:rsidP="00120AB6">
      <w:pPr>
        <w:spacing w:line="240" w:lineRule="auto"/>
        <w:rPr>
          <w:rFonts w:eastAsia="Times New Roman" w:cs="Arial"/>
          <w:bCs/>
          <w:color w:val="000000"/>
          <w:lang w:eastAsia="bg-BG"/>
        </w:rPr>
      </w:pPr>
    </w:p>
    <w:p w14:paraId="17F5B1AA" w14:textId="77777777" w:rsidR="00120AB6" w:rsidRPr="00120AB6" w:rsidRDefault="00120AB6" w:rsidP="00120AB6">
      <w:pPr>
        <w:spacing w:line="240" w:lineRule="auto"/>
        <w:rPr>
          <w:rFonts w:eastAsia="Times New Roman" w:cs="Arial"/>
          <w:bCs/>
          <w:color w:val="000000"/>
          <w:lang w:eastAsia="bg-BG"/>
        </w:rPr>
      </w:pPr>
      <w:r w:rsidRPr="00120AB6">
        <w:rPr>
          <w:rFonts w:eastAsia="Times New Roman" w:cs="Arial"/>
          <w:bCs/>
          <w:color w:val="000000"/>
          <w:lang w:eastAsia="bg-BG"/>
        </w:rPr>
        <w:t xml:space="preserve">Оланзапин не се препоръчва за употреба при пациенти с психози, свързани с деменция и/или поведенчески нарушения, поради увеличение в смъртността и риска за мозъчно- съдови инциденти. При плацебо-контролирани клинични проучвания (с продължителност 6-12 седмици) при пациенти в старческа възраст (средна възраст 78 години) с психози, свързани с деменция и/или нарушено поведение, се наблюдава двукратно увеличение в честотата на смъртен изход при лекуваните с оланзапин пациенти в сравнение с пациентите на плацебо (съответно 3,5% спрямо 1,5%). По- високата честота на летален изход не е била свързана с дозата на оланзапин (средна дневна доза 4,4 </w:t>
      </w:r>
      <w:r w:rsidRPr="00120AB6">
        <w:rPr>
          <w:rFonts w:eastAsia="Times New Roman" w:cs="Arial"/>
          <w:bCs/>
          <w:color w:val="000000"/>
          <w:lang w:val="en-US"/>
        </w:rPr>
        <w:t>mg</w:t>
      </w:r>
      <w:r w:rsidRPr="00120AB6">
        <w:rPr>
          <w:rFonts w:eastAsia="Times New Roman" w:cs="Arial"/>
          <w:bCs/>
          <w:color w:val="000000"/>
          <w:lang w:val="ru-RU"/>
        </w:rPr>
        <w:t xml:space="preserve">) </w:t>
      </w:r>
      <w:r w:rsidRPr="00120AB6">
        <w:rPr>
          <w:rFonts w:eastAsia="Times New Roman" w:cs="Arial"/>
          <w:bCs/>
          <w:color w:val="000000"/>
          <w:lang w:eastAsia="bg-BG"/>
        </w:rPr>
        <w:t xml:space="preserve">или продължителността на лечението. Рисковите фактори, които могат да предразположат тази популация пациенти към увеличена смъртност включват възраст &gt;65 години, дисфагия, седиране, малнутриция и дехидратация, белодробни състояния (например, пневмония с или без аспирация) или едновременна употреба на бензодиазепини. </w:t>
      </w:r>
    </w:p>
    <w:p w14:paraId="517C74AC" w14:textId="3BC1E186" w:rsidR="00120AB6" w:rsidRPr="00120AB6" w:rsidRDefault="00120AB6" w:rsidP="00120AB6">
      <w:pPr>
        <w:spacing w:line="240" w:lineRule="auto"/>
        <w:rPr>
          <w:rFonts w:eastAsia="Times New Roman" w:cs="Arial"/>
        </w:rPr>
      </w:pPr>
      <w:r w:rsidRPr="00120AB6">
        <w:rPr>
          <w:rFonts w:eastAsia="Times New Roman" w:cs="Arial"/>
          <w:bCs/>
          <w:color w:val="000000"/>
          <w:lang w:eastAsia="bg-BG"/>
        </w:rPr>
        <w:t>Въпреки това, честотата на смъртните случаи е била по-висока при пациентите, лекувани с оланзапин в сравнение с третираните с плацебо пациенти, независимо от тези рискови фактори.</w:t>
      </w:r>
    </w:p>
    <w:p w14:paraId="69225455" w14:textId="77777777" w:rsidR="00120AB6" w:rsidRPr="00120AB6" w:rsidRDefault="00120AB6" w:rsidP="00120AB6">
      <w:pPr>
        <w:spacing w:line="240" w:lineRule="auto"/>
        <w:rPr>
          <w:rFonts w:eastAsia="Times New Roman" w:cs="Arial"/>
          <w:bCs/>
          <w:color w:val="000000"/>
          <w:lang w:eastAsia="bg-BG"/>
        </w:rPr>
      </w:pPr>
    </w:p>
    <w:p w14:paraId="2E94C9DF" w14:textId="47AD9462" w:rsidR="00120AB6" w:rsidRPr="00120AB6" w:rsidRDefault="00120AB6" w:rsidP="00120AB6">
      <w:pPr>
        <w:spacing w:line="240" w:lineRule="auto"/>
        <w:rPr>
          <w:rFonts w:eastAsia="Times New Roman" w:cs="Arial"/>
        </w:rPr>
      </w:pPr>
      <w:r w:rsidRPr="00120AB6">
        <w:rPr>
          <w:rFonts w:eastAsia="Times New Roman" w:cs="Arial"/>
          <w:bCs/>
          <w:color w:val="000000"/>
          <w:lang w:eastAsia="bg-BG"/>
        </w:rPr>
        <w:t>В същите клинични проучвания са съобщавани мозъчно-съдови нежелани събития (МСНС, например инсулт, преходна исхемична атака), включително с фатален край. Налице е трикратно увеличение на МСНС при пациенти, лекувани с оланзапин в сравнение с пациенти на плацебо (съответно 1,3% спрямо 0,4%). При всички пациенти, лекувани с оланзапин и плацебо, които са получили мозъчно-съдов инцидент е имало предшестващи рискови фактори. Възраст &gt;75 години и съдова деменция или деменция от смесен тип са установени като рискови фактори за МСНС във връзка с лечението с оланзапин. Ефективността на оланзапин не е установена в тези проучвания.</w:t>
      </w:r>
    </w:p>
    <w:p w14:paraId="528CD589" w14:textId="77777777" w:rsidR="00120AB6" w:rsidRPr="00120AB6" w:rsidRDefault="00120AB6" w:rsidP="00120AB6">
      <w:pPr>
        <w:spacing w:line="240" w:lineRule="auto"/>
        <w:rPr>
          <w:rFonts w:eastAsia="Times New Roman" w:cs="Arial"/>
          <w:bCs/>
          <w:i/>
          <w:iCs/>
          <w:color w:val="000000"/>
          <w:u w:val="single"/>
          <w:lang w:eastAsia="bg-BG"/>
        </w:rPr>
      </w:pPr>
    </w:p>
    <w:p w14:paraId="1D112C42" w14:textId="650A2DD3" w:rsidR="00120AB6" w:rsidRPr="00120AB6" w:rsidRDefault="00120AB6" w:rsidP="00120AB6">
      <w:pPr>
        <w:spacing w:line="240" w:lineRule="auto"/>
        <w:rPr>
          <w:rFonts w:eastAsia="Times New Roman" w:cs="Arial"/>
        </w:rPr>
      </w:pPr>
      <w:r w:rsidRPr="00120AB6">
        <w:rPr>
          <w:rFonts w:eastAsia="Times New Roman" w:cs="Arial"/>
          <w:bCs/>
          <w:i/>
          <w:iCs/>
          <w:color w:val="000000"/>
          <w:u w:val="single"/>
          <w:lang w:eastAsia="bg-BG"/>
        </w:rPr>
        <w:t>Болест на Паркинсон</w:t>
      </w:r>
    </w:p>
    <w:p w14:paraId="22EB64E7" w14:textId="77777777" w:rsidR="00120AB6" w:rsidRPr="00120AB6" w:rsidRDefault="00120AB6" w:rsidP="00120AB6">
      <w:pPr>
        <w:spacing w:line="240" w:lineRule="auto"/>
        <w:rPr>
          <w:rFonts w:eastAsia="Times New Roman" w:cs="Arial"/>
          <w:bCs/>
          <w:color w:val="000000"/>
          <w:lang w:eastAsia="bg-BG"/>
        </w:rPr>
      </w:pPr>
    </w:p>
    <w:p w14:paraId="36DB94F4" w14:textId="7FE8D975" w:rsidR="00120AB6" w:rsidRPr="00120AB6" w:rsidRDefault="00120AB6" w:rsidP="00120AB6">
      <w:pPr>
        <w:spacing w:line="240" w:lineRule="auto"/>
        <w:rPr>
          <w:rFonts w:eastAsia="Times New Roman" w:cs="Arial"/>
        </w:rPr>
      </w:pPr>
      <w:r w:rsidRPr="00120AB6">
        <w:rPr>
          <w:rFonts w:eastAsia="Times New Roman" w:cs="Arial"/>
          <w:bCs/>
          <w:color w:val="000000"/>
          <w:lang w:eastAsia="bg-BG"/>
        </w:rPr>
        <w:t xml:space="preserve">Не се препоръчва приложението на оланзапин при лечение на психози, свързани с допаминовите агонисти при пациенти, страдащи от болестта на Паркинсон. В клинични проучвания влошаване на Паркинсоновата симптоматика и халюцинации са съобщавани много често и по-често в сравнение с плацебо (вж. точка 4.8) и оланзапин не е бил по-ефективен от плацебо в лечението на психотични симптоми. В тези проучвания пациентите първоначално са стабилизирани с най-ниската ефективна доза от антипаркинсоновия лекарствен продукт (допаминов агонист) и са продължили приема на същия антипаркинсонов продукт и дозировки по време на цялото проучване. Приложението на оланзапин е започнато в доза 2,5 </w:t>
      </w:r>
      <w:r w:rsidRPr="00120AB6">
        <w:rPr>
          <w:rFonts w:eastAsia="Times New Roman" w:cs="Arial"/>
          <w:bCs/>
          <w:color w:val="000000"/>
          <w:lang w:val="en-US"/>
        </w:rPr>
        <w:t>mg</w:t>
      </w:r>
      <w:r w:rsidRPr="00120AB6">
        <w:rPr>
          <w:rFonts w:eastAsia="Times New Roman" w:cs="Arial"/>
          <w:bCs/>
          <w:color w:val="000000"/>
          <w:lang w:eastAsia="bg-BG"/>
        </w:rPr>
        <w:t xml:space="preserve">/дневно, след което е бил титриран до максимум 15 </w:t>
      </w:r>
      <w:r w:rsidRPr="00120AB6">
        <w:rPr>
          <w:rFonts w:eastAsia="Times New Roman" w:cs="Arial"/>
          <w:bCs/>
          <w:color w:val="000000"/>
          <w:lang w:val="en-US"/>
        </w:rPr>
        <w:t>mg</w:t>
      </w:r>
      <w:r w:rsidRPr="00120AB6">
        <w:rPr>
          <w:rFonts w:eastAsia="Times New Roman" w:cs="Arial"/>
          <w:bCs/>
          <w:color w:val="000000"/>
          <w:lang w:eastAsia="bg-BG"/>
        </w:rPr>
        <w:t>/дневно по преценка на изследователя.</w:t>
      </w:r>
    </w:p>
    <w:p w14:paraId="5DECB618" w14:textId="77777777" w:rsidR="00120AB6" w:rsidRPr="00120AB6" w:rsidRDefault="00120AB6" w:rsidP="00120AB6">
      <w:pPr>
        <w:spacing w:line="240" w:lineRule="auto"/>
        <w:rPr>
          <w:rFonts w:eastAsia="Times New Roman" w:cs="Arial"/>
          <w:bCs/>
          <w:i/>
          <w:iCs/>
          <w:color w:val="000000"/>
          <w:u w:val="single"/>
          <w:lang w:eastAsia="bg-BG"/>
        </w:rPr>
      </w:pPr>
    </w:p>
    <w:p w14:paraId="20EE183A" w14:textId="490EF57E" w:rsidR="00120AB6" w:rsidRPr="00120AB6" w:rsidRDefault="00120AB6" w:rsidP="00120AB6">
      <w:pPr>
        <w:spacing w:line="240" w:lineRule="auto"/>
        <w:rPr>
          <w:rFonts w:eastAsia="Times New Roman" w:cs="Arial"/>
        </w:rPr>
      </w:pPr>
      <w:r w:rsidRPr="00120AB6">
        <w:rPr>
          <w:rFonts w:eastAsia="Times New Roman" w:cs="Arial"/>
          <w:bCs/>
          <w:i/>
          <w:iCs/>
          <w:color w:val="000000"/>
          <w:u w:val="single"/>
          <w:lang w:eastAsia="bg-BG"/>
        </w:rPr>
        <w:t>Малигнен невролептичен синдром (МНС)</w:t>
      </w:r>
    </w:p>
    <w:p w14:paraId="5245565C" w14:textId="77777777" w:rsidR="00120AB6" w:rsidRPr="00120AB6" w:rsidRDefault="00120AB6" w:rsidP="00120AB6">
      <w:pPr>
        <w:rPr>
          <w:rFonts w:eastAsia="Times New Roman" w:cs="Arial"/>
          <w:bCs/>
          <w:color w:val="000000"/>
          <w:lang w:eastAsia="bg-BG"/>
        </w:rPr>
      </w:pPr>
    </w:p>
    <w:p w14:paraId="56E5BD3F" w14:textId="77777777" w:rsidR="00120AB6" w:rsidRPr="00120AB6" w:rsidRDefault="00120AB6" w:rsidP="00120AB6">
      <w:pPr>
        <w:rPr>
          <w:rFonts w:eastAsia="Times New Roman" w:cs="Arial"/>
        </w:rPr>
      </w:pPr>
      <w:r w:rsidRPr="00120AB6">
        <w:rPr>
          <w:rFonts w:eastAsia="Times New Roman" w:cs="Arial"/>
          <w:bCs/>
          <w:color w:val="000000"/>
          <w:lang w:eastAsia="bg-BG"/>
        </w:rPr>
        <w:t>МНС е потенциално животозастр</w:t>
      </w:r>
      <w:r w:rsidRPr="00120AB6">
        <w:rPr>
          <w:rFonts w:eastAsia="Times New Roman" w:cs="Arial"/>
          <w:bCs/>
          <w:color w:val="000000"/>
          <w:u w:val="single"/>
          <w:lang w:eastAsia="bg-BG"/>
        </w:rPr>
        <w:t>ашаващ</w:t>
      </w:r>
      <w:r w:rsidRPr="00120AB6">
        <w:rPr>
          <w:rFonts w:eastAsia="Times New Roman" w:cs="Arial"/>
          <w:bCs/>
          <w:color w:val="000000"/>
          <w:lang w:eastAsia="bg-BG"/>
        </w:rPr>
        <w:t>о състояние, свързано с лечението с антипсихотици. Рядко са съоб</w:t>
      </w:r>
      <w:r w:rsidRPr="00120AB6">
        <w:rPr>
          <w:rFonts w:eastAsia="Times New Roman" w:cs="Arial"/>
          <w:bCs/>
          <w:color w:val="000000"/>
          <w:u w:val="single"/>
          <w:lang w:eastAsia="bg-BG"/>
        </w:rPr>
        <w:t>щавани</w:t>
      </w:r>
      <w:r w:rsidRPr="00120AB6">
        <w:rPr>
          <w:rFonts w:eastAsia="Times New Roman" w:cs="Arial"/>
          <w:bCs/>
          <w:color w:val="000000"/>
          <w:lang w:eastAsia="bg-BG"/>
        </w:rPr>
        <w:t xml:space="preserve"> случаи на МНС и във връзка с приложението на </w:t>
      </w:r>
      <w:r w:rsidRPr="00120AB6">
        <w:rPr>
          <w:rFonts w:eastAsia="Times New Roman" w:cs="Arial"/>
          <w:bCs/>
          <w:color w:val="000000"/>
          <w:lang w:eastAsia="bg-BG"/>
        </w:rPr>
        <w:lastRenderedPageBreak/>
        <w:t>оланзапин. Клиничните изяви на МНС са хиперпирексия, мускулна ригидност, променен ментален статус и обективни данни за автономна нестабилност (неправилен пулс или кръвно налягане, тахикардия, диафореза и аритмия). Допълнителни пр</w:t>
      </w:r>
      <w:r w:rsidRPr="00120AB6">
        <w:rPr>
          <w:rFonts w:eastAsia="Times New Roman" w:cs="Arial"/>
          <w:bCs/>
          <w:color w:val="000000"/>
          <w:u w:val="single"/>
          <w:lang w:eastAsia="bg-BG"/>
        </w:rPr>
        <w:t xml:space="preserve">изнаци </w:t>
      </w:r>
      <w:r w:rsidRPr="00120AB6">
        <w:rPr>
          <w:rFonts w:eastAsia="Times New Roman" w:cs="Arial"/>
          <w:bCs/>
          <w:color w:val="000000"/>
          <w:lang w:eastAsia="bg-BG"/>
        </w:rPr>
        <w:t>може да включват увеличена креатин фосфокиназа, миоглобинурия (рабдомиолиза) и остра бъбречна недостатъчност. Ако пациентът развие признаци или симпоми, които са показателни за МНС или прояви необяснима висока температура без допълнителни клинични изяви на МНС, приемът на всички антипсихотични лекарства, включително оланзапин трябва да бъде спрян.</w:t>
      </w:r>
    </w:p>
    <w:p w14:paraId="3DB82C81" w14:textId="77777777" w:rsidR="00120AB6" w:rsidRPr="00120AB6" w:rsidRDefault="00120AB6" w:rsidP="00120AB6">
      <w:pPr>
        <w:spacing w:line="240" w:lineRule="auto"/>
        <w:rPr>
          <w:rFonts w:eastAsia="Times New Roman" w:cs="Arial"/>
          <w:bCs/>
          <w:i/>
          <w:iCs/>
          <w:color w:val="000000"/>
          <w:u w:val="single"/>
          <w:lang w:eastAsia="bg-BG"/>
        </w:rPr>
      </w:pPr>
    </w:p>
    <w:p w14:paraId="4699ED48" w14:textId="3948ECFB" w:rsidR="00120AB6" w:rsidRPr="00120AB6" w:rsidRDefault="00120AB6" w:rsidP="00120AB6">
      <w:pPr>
        <w:spacing w:line="240" w:lineRule="auto"/>
        <w:rPr>
          <w:rFonts w:eastAsia="Times New Roman" w:cs="Arial"/>
        </w:rPr>
      </w:pPr>
      <w:r w:rsidRPr="00120AB6">
        <w:rPr>
          <w:rFonts w:eastAsia="Times New Roman" w:cs="Arial"/>
          <w:bCs/>
          <w:i/>
          <w:iCs/>
          <w:color w:val="000000"/>
          <w:u w:val="single"/>
          <w:lang w:eastAsia="bg-BG"/>
        </w:rPr>
        <w:t>Хипергликемия и диабет</w:t>
      </w:r>
    </w:p>
    <w:p w14:paraId="7EAC0E18" w14:textId="77777777" w:rsidR="00120AB6" w:rsidRPr="00120AB6" w:rsidRDefault="00120AB6" w:rsidP="00120AB6">
      <w:pPr>
        <w:spacing w:line="240" w:lineRule="auto"/>
        <w:rPr>
          <w:rFonts w:eastAsia="Times New Roman" w:cs="Arial"/>
          <w:bCs/>
          <w:color w:val="000000"/>
          <w:lang w:eastAsia="bg-BG"/>
        </w:rPr>
      </w:pPr>
    </w:p>
    <w:p w14:paraId="1A30C35E" w14:textId="5D902A1A" w:rsidR="00120AB6" w:rsidRPr="00120AB6" w:rsidRDefault="00120AB6" w:rsidP="00120AB6">
      <w:pPr>
        <w:spacing w:line="240" w:lineRule="auto"/>
        <w:rPr>
          <w:rFonts w:eastAsia="Times New Roman" w:cs="Arial"/>
        </w:rPr>
      </w:pPr>
      <w:r w:rsidRPr="00120AB6">
        <w:rPr>
          <w:rFonts w:eastAsia="Times New Roman" w:cs="Arial"/>
          <w:bCs/>
          <w:color w:val="000000"/>
          <w:lang w:eastAsia="bg-BG"/>
        </w:rPr>
        <w:t>Хипергликемия и/или развитие или обостряне на диабет, понякога свързан с кетоацидоза или кома, се съобщава нечесто, включително няколко фатални случая (вж. точка 4.8). В някои случаи се съобщава за предходно увеличение на телесното тегло, което може да бъде предразполагащ фактор. Препоръчва се подходящо клинично проследяване в съответствие с използваните антипсихотични ръководства, например измерване на нивото на глюкозата в началото на лечението, 12 седмици след началото и след това - веднъж годишно. Пациентите, лекувани с антипсихотични лекарства, включително оланзапин, трябва да бъдат наблюдавани за поява на признаци и симптоми на хипергликемия (като например полидипсия, полиурия, полифагия и слабост), а пациентите със захарен диабет или с рискови фактори за развитие на захарен диабет трябва редовно да бъдат проследявани за влошаване на глюкозния контрол. Теглото трябва да се проследява редовно, например в началото на лечението, 4, 8 и 12 седмици след началото, а след това - всяко тримесечие.</w:t>
      </w:r>
    </w:p>
    <w:p w14:paraId="53542F91" w14:textId="77777777" w:rsidR="00120AB6" w:rsidRPr="00120AB6" w:rsidRDefault="00120AB6" w:rsidP="00120AB6">
      <w:pPr>
        <w:spacing w:line="240" w:lineRule="auto"/>
        <w:rPr>
          <w:rFonts w:eastAsia="Times New Roman" w:cs="Arial"/>
          <w:bCs/>
          <w:i/>
          <w:iCs/>
          <w:color w:val="000000"/>
          <w:u w:val="single"/>
          <w:lang w:eastAsia="bg-BG"/>
        </w:rPr>
      </w:pPr>
    </w:p>
    <w:p w14:paraId="5BC3A951" w14:textId="29A5A914" w:rsidR="00120AB6" w:rsidRPr="00120AB6" w:rsidRDefault="00120AB6" w:rsidP="00120AB6">
      <w:pPr>
        <w:spacing w:line="240" w:lineRule="auto"/>
        <w:rPr>
          <w:rFonts w:eastAsia="Times New Roman" w:cs="Arial"/>
        </w:rPr>
      </w:pPr>
      <w:r w:rsidRPr="00120AB6">
        <w:rPr>
          <w:rFonts w:eastAsia="Times New Roman" w:cs="Arial"/>
          <w:bCs/>
          <w:i/>
          <w:iCs/>
          <w:color w:val="000000"/>
          <w:u w:val="single"/>
          <w:lang w:eastAsia="bg-BG"/>
        </w:rPr>
        <w:t>Промени в липидните нива</w:t>
      </w:r>
    </w:p>
    <w:p w14:paraId="409C0049" w14:textId="77777777" w:rsidR="00120AB6" w:rsidRPr="00120AB6" w:rsidRDefault="00120AB6" w:rsidP="00120AB6">
      <w:pPr>
        <w:spacing w:line="240" w:lineRule="auto"/>
        <w:rPr>
          <w:rFonts w:eastAsia="Times New Roman" w:cs="Arial"/>
          <w:bCs/>
          <w:color w:val="000000"/>
          <w:lang w:eastAsia="bg-BG"/>
        </w:rPr>
      </w:pPr>
    </w:p>
    <w:p w14:paraId="7C435CCB" w14:textId="5FB1BC91" w:rsidR="00120AB6" w:rsidRPr="00120AB6" w:rsidRDefault="00120AB6" w:rsidP="00120AB6">
      <w:pPr>
        <w:spacing w:line="240" w:lineRule="auto"/>
        <w:rPr>
          <w:rFonts w:eastAsia="Times New Roman" w:cs="Arial"/>
        </w:rPr>
      </w:pPr>
      <w:r w:rsidRPr="00120AB6">
        <w:rPr>
          <w:rFonts w:eastAsia="Times New Roman" w:cs="Arial"/>
          <w:bCs/>
          <w:color w:val="000000"/>
          <w:lang w:eastAsia="bg-BG"/>
        </w:rPr>
        <w:t>Нежелани промени в липидите може да се наблюдават при пациентите, лекувани с оланзапин при плацебо-контролирани клинични проучвания (вж. точка 4.8). Липидните промени трябва да се третират с подходящи клинични мерки, особено при дислипидемични пациенти и пациенти с рискови фактори за развитие на липидни нарушения. При пациентите, лекувани с антипсихотични лекарства, включително с Еголанза, трябва редовно да се проследяват нивата на липиди в съответствие с използваните антипсихотични ръководства, например в началото на лечението, 12 седмици след началото, а след това - на всеки 5 години.</w:t>
      </w:r>
    </w:p>
    <w:p w14:paraId="6014AA27" w14:textId="77777777" w:rsidR="00120AB6" w:rsidRPr="00120AB6" w:rsidRDefault="00120AB6" w:rsidP="00120AB6">
      <w:pPr>
        <w:spacing w:line="240" w:lineRule="auto"/>
        <w:rPr>
          <w:rFonts w:eastAsia="Times New Roman" w:cs="Arial"/>
          <w:bCs/>
          <w:i/>
          <w:iCs/>
          <w:color w:val="000000"/>
          <w:u w:val="single"/>
          <w:lang w:eastAsia="bg-BG"/>
        </w:rPr>
      </w:pPr>
    </w:p>
    <w:p w14:paraId="3F4BC5D1" w14:textId="3BC3C2CB" w:rsidR="00120AB6" w:rsidRPr="00120AB6" w:rsidRDefault="00120AB6" w:rsidP="00120AB6">
      <w:pPr>
        <w:spacing w:line="240" w:lineRule="auto"/>
        <w:rPr>
          <w:rFonts w:eastAsia="Times New Roman" w:cs="Arial"/>
        </w:rPr>
      </w:pPr>
      <w:r w:rsidRPr="00120AB6">
        <w:rPr>
          <w:rFonts w:eastAsia="Times New Roman" w:cs="Arial"/>
          <w:bCs/>
          <w:i/>
          <w:iCs/>
          <w:color w:val="000000"/>
          <w:u w:val="single"/>
          <w:lang w:eastAsia="bg-BG"/>
        </w:rPr>
        <w:t>Антихолинергична активност</w:t>
      </w:r>
    </w:p>
    <w:p w14:paraId="43D06AEB" w14:textId="77777777" w:rsidR="00120AB6" w:rsidRPr="00120AB6" w:rsidRDefault="00120AB6" w:rsidP="00120AB6">
      <w:pPr>
        <w:spacing w:line="240" w:lineRule="auto"/>
        <w:rPr>
          <w:rFonts w:eastAsia="Times New Roman" w:cs="Arial"/>
          <w:bCs/>
          <w:color w:val="000000"/>
          <w:lang w:eastAsia="bg-BG"/>
        </w:rPr>
      </w:pPr>
    </w:p>
    <w:p w14:paraId="58F0B652" w14:textId="13D09427" w:rsidR="00120AB6" w:rsidRPr="00120AB6" w:rsidRDefault="00120AB6" w:rsidP="00120AB6">
      <w:pPr>
        <w:spacing w:line="240" w:lineRule="auto"/>
        <w:rPr>
          <w:rFonts w:eastAsia="Times New Roman" w:cs="Arial"/>
        </w:rPr>
      </w:pPr>
      <w:r w:rsidRPr="00120AB6">
        <w:rPr>
          <w:rFonts w:eastAsia="Times New Roman" w:cs="Arial"/>
          <w:bCs/>
          <w:color w:val="000000"/>
          <w:lang w:eastAsia="bg-BG"/>
        </w:rPr>
        <w:t xml:space="preserve">Докато оланзапин показва антихолиергична активност </w:t>
      </w:r>
      <w:r w:rsidRPr="00120AB6">
        <w:rPr>
          <w:rFonts w:eastAsia="Times New Roman" w:cs="Arial"/>
          <w:bCs/>
          <w:i/>
          <w:iCs/>
          <w:color w:val="000000"/>
          <w:lang w:val="en-US"/>
        </w:rPr>
        <w:t>in</w:t>
      </w:r>
      <w:r w:rsidRPr="00120AB6">
        <w:rPr>
          <w:rFonts w:eastAsia="Times New Roman" w:cs="Arial"/>
          <w:bCs/>
          <w:i/>
          <w:iCs/>
          <w:color w:val="000000"/>
          <w:lang w:val="ru-RU"/>
        </w:rPr>
        <w:t xml:space="preserve"> </w:t>
      </w:r>
      <w:r w:rsidRPr="00120AB6">
        <w:rPr>
          <w:rFonts w:eastAsia="Times New Roman" w:cs="Arial"/>
          <w:bCs/>
          <w:i/>
          <w:iCs/>
          <w:color w:val="000000"/>
          <w:lang w:val="en-US"/>
        </w:rPr>
        <w:t>vitro</w:t>
      </w:r>
      <w:r w:rsidRPr="00120AB6">
        <w:rPr>
          <w:rFonts w:eastAsia="Times New Roman" w:cs="Arial"/>
          <w:bCs/>
          <w:i/>
          <w:iCs/>
          <w:color w:val="000000"/>
          <w:lang w:val="ru-RU"/>
        </w:rPr>
        <w:t>,</w:t>
      </w:r>
      <w:r w:rsidRPr="00120AB6">
        <w:rPr>
          <w:rFonts w:eastAsia="Times New Roman" w:cs="Arial"/>
          <w:bCs/>
          <w:color w:val="000000"/>
          <w:lang w:val="ru-RU"/>
        </w:rPr>
        <w:t xml:space="preserve"> </w:t>
      </w:r>
      <w:r w:rsidRPr="00120AB6">
        <w:rPr>
          <w:rFonts w:eastAsia="Times New Roman" w:cs="Arial"/>
          <w:bCs/>
          <w:color w:val="000000"/>
          <w:lang w:eastAsia="bg-BG"/>
        </w:rPr>
        <w:t>опитът по време на клиничните проучвания показва ниска честота на свързаните събития. Но тъй като клиничният опит с оланзапин при пациенти със съпътстващо заболяване е ограничен, трябва да се внимава когато се предписва на пациенти с простатна хипертрофия или паралитичен илеус и свързани състояния.</w:t>
      </w:r>
    </w:p>
    <w:p w14:paraId="506976A0" w14:textId="77777777" w:rsidR="00120AB6" w:rsidRPr="00120AB6" w:rsidRDefault="00120AB6" w:rsidP="00120AB6">
      <w:pPr>
        <w:spacing w:line="240" w:lineRule="auto"/>
        <w:rPr>
          <w:rFonts w:eastAsia="Times New Roman" w:cs="Arial"/>
          <w:bCs/>
          <w:i/>
          <w:iCs/>
          <w:color w:val="000000"/>
          <w:u w:val="single"/>
          <w:lang w:eastAsia="bg-BG"/>
        </w:rPr>
      </w:pPr>
    </w:p>
    <w:p w14:paraId="258F4800" w14:textId="2DA28F8A" w:rsidR="00120AB6" w:rsidRPr="00120AB6" w:rsidRDefault="00120AB6" w:rsidP="00120AB6">
      <w:pPr>
        <w:spacing w:line="240" w:lineRule="auto"/>
        <w:rPr>
          <w:rFonts w:eastAsia="Times New Roman" w:cs="Arial"/>
        </w:rPr>
      </w:pPr>
      <w:r w:rsidRPr="00120AB6">
        <w:rPr>
          <w:rFonts w:eastAsia="Times New Roman" w:cs="Arial"/>
          <w:bCs/>
          <w:i/>
          <w:iCs/>
          <w:color w:val="000000"/>
          <w:u w:val="single"/>
          <w:lang w:eastAsia="bg-BG"/>
        </w:rPr>
        <w:t>Чернодробна функция</w:t>
      </w:r>
    </w:p>
    <w:p w14:paraId="7942F1B7" w14:textId="77777777" w:rsidR="00120AB6" w:rsidRPr="00120AB6" w:rsidRDefault="00120AB6" w:rsidP="00120AB6">
      <w:pPr>
        <w:spacing w:line="240" w:lineRule="auto"/>
        <w:rPr>
          <w:rFonts w:eastAsia="Times New Roman" w:cs="Arial"/>
          <w:bCs/>
          <w:color w:val="000000"/>
          <w:lang w:eastAsia="bg-BG"/>
        </w:rPr>
      </w:pPr>
    </w:p>
    <w:p w14:paraId="04C9E42C" w14:textId="78F8BBA0" w:rsidR="00120AB6" w:rsidRPr="00120AB6" w:rsidRDefault="00120AB6" w:rsidP="00120AB6">
      <w:pPr>
        <w:spacing w:line="240" w:lineRule="auto"/>
        <w:rPr>
          <w:rFonts w:eastAsia="Times New Roman" w:cs="Arial"/>
        </w:rPr>
      </w:pPr>
      <w:r w:rsidRPr="00120AB6">
        <w:rPr>
          <w:rFonts w:eastAsia="Times New Roman" w:cs="Arial"/>
          <w:bCs/>
          <w:color w:val="000000"/>
          <w:lang w:eastAsia="bg-BG"/>
        </w:rPr>
        <w:t xml:space="preserve">Преходни, асимптоматични повишения на чернодробните аминотрансферази, (АЛАТ), (АСАТ) се наблюдава често, особено в началото на лечението. Необходимо е повишено внимание и последващо проследяване при пациенти с повишени стойности на АЛАТ и/или АСАТ, при пациенти с признаци и симптоми на чернодробно увреждане, при </w:t>
      </w:r>
      <w:r w:rsidRPr="00120AB6">
        <w:rPr>
          <w:rFonts w:eastAsia="Times New Roman" w:cs="Arial"/>
          <w:bCs/>
          <w:color w:val="000000"/>
          <w:lang w:eastAsia="bg-BG"/>
        </w:rPr>
        <w:lastRenderedPageBreak/>
        <w:t>пациенти с предшестващи състояния, свързани с ограничен чернодробен функционален резерв и при пациенти, които са лекувани с потенциално хепатотоксични лекарства. В случаите на диагностициран хепатит (включително хепатоцелуларно, холестатично или чернодробно нарушение от смесен тип), лечението с оланзапин трябва да се преустанови.</w:t>
      </w:r>
    </w:p>
    <w:p w14:paraId="6A1DF786" w14:textId="77777777" w:rsidR="00120AB6" w:rsidRPr="00120AB6" w:rsidRDefault="00120AB6" w:rsidP="00120AB6">
      <w:pPr>
        <w:spacing w:line="240" w:lineRule="auto"/>
        <w:rPr>
          <w:rFonts w:eastAsia="Times New Roman" w:cs="Arial"/>
          <w:bCs/>
          <w:i/>
          <w:iCs/>
          <w:color w:val="000000"/>
          <w:u w:val="single"/>
          <w:lang w:eastAsia="bg-BG"/>
        </w:rPr>
      </w:pPr>
    </w:p>
    <w:p w14:paraId="504319FD" w14:textId="183FFEC8" w:rsidR="00120AB6" w:rsidRPr="00120AB6" w:rsidRDefault="00120AB6" w:rsidP="00120AB6">
      <w:pPr>
        <w:spacing w:line="240" w:lineRule="auto"/>
        <w:rPr>
          <w:rFonts w:eastAsia="Times New Roman" w:cs="Arial"/>
        </w:rPr>
      </w:pPr>
      <w:r w:rsidRPr="00120AB6">
        <w:rPr>
          <w:rFonts w:eastAsia="Times New Roman" w:cs="Arial"/>
          <w:bCs/>
          <w:i/>
          <w:iCs/>
          <w:color w:val="000000"/>
          <w:u w:val="single"/>
          <w:lang w:eastAsia="bg-BG"/>
        </w:rPr>
        <w:t>Неутропения</w:t>
      </w:r>
    </w:p>
    <w:p w14:paraId="37B46AA3" w14:textId="77777777" w:rsidR="00120AB6" w:rsidRPr="00120AB6" w:rsidRDefault="00120AB6" w:rsidP="00120AB6">
      <w:pPr>
        <w:spacing w:line="240" w:lineRule="auto"/>
        <w:rPr>
          <w:rFonts w:eastAsia="Times New Roman" w:cs="Arial"/>
        </w:rPr>
      </w:pPr>
      <w:r w:rsidRPr="00120AB6">
        <w:rPr>
          <w:rFonts w:eastAsia="Times New Roman" w:cs="Arial"/>
          <w:bCs/>
          <w:color w:val="000000"/>
          <w:lang w:eastAsia="bg-BG"/>
        </w:rPr>
        <w:t>Повишено внимание е необходимо при пациенти с намален брой на левкоцитите и/или неутрофилите поради някаква причина, при пациенти, които приемат лекарства, за които е известно, че причиняват неутропения, при пациенти с анамнеза за лекарствено- индуцирана депресия на костния мозък/токсичност, при пациенти с депресия на костния мозък, причинена от съпътстващо заболяване, лъчелечение или химиотерапия и при пациенти с хипереозинофилни състояния или с миелопролиферативно заболяване. Неутропенията обикновено се наблюдава често когато едновременно се прилагат оланзапин и валпроат (вж. точка 4.8).</w:t>
      </w:r>
    </w:p>
    <w:p w14:paraId="2184D6C2" w14:textId="77777777" w:rsidR="00120AB6" w:rsidRPr="00120AB6" w:rsidRDefault="00120AB6" w:rsidP="00120AB6">
      <w:pPr>
        <w:spacing w:line="240" w:lineRule="auto"/>
        <w:rPr>
          <w:rFonts w:eastAsia="Times New Roman" w:cs="Arial"/>
          <w:bCs/>
          <w:i/>
          <w:iCs/>
          <w:color w:val="000000"/>
          <w:u w:val="single"/>
          <w:lang w:eastAsia="bg-BG"/>
        </w:rPr>
      </w:pPr>
    </w:p>
    <w:p w14:paraId="1F6BC190" w14:textId="669948A5" w:rsidR="00120AB6" w:rsidRPr="00120AB6" w:rsidRDefault="00120AB6" w:rsidP="00120AB6">
      <w:pPr>
        <w:spacing w:line="240" w:lineRule="auto"/>
        <w:rPr>
          <w:rFonts w:eastAsia="Times New Roman" w:cs="Arial"/>
        </w:rPr>
      </w:pPr>
      <w:r w:rsidRPr="00120AB6">
        <w:rPr>
          <w:rFonts w:eastAsia="Times New Roman" w:cs="Arial"/>
          <w:bCs/>
          <w:i/>
          <w:iCs/>
          <w:color w:val="000000"/>
          <w:u w:val="single"/>
          <w:lang w:eastAsia="bg-BG"/>
        </w:rPr>
        <w:t>Преустановяване на лечението</w:t>
      </w:r>
    </w:p>
    <w:p w14:paraId="3AEB8D8B" w14:textId="77777777" w:rsidR="00120AB6" w:rsidRPr="00120AB6" w:rsidRDefault="00120AB6" w:rsidP="00120AB6">
      <w:pPr>
        <w:spacing w:line="240" w:lineRule="auto"/>
        <w:rPr>
          <w:rFonts w:eastAsia="Times New Roman" w:cs="Arial"/>
          <w:bCs/>
          <w:color w:val="000000"/>
          <w:lang w:eastAsia="bg-BG"/>
        </w:rPr>
      </w:pPr>
    </w:p>
    <w:p w14:paraId="03ED7CB2" w14:textId="002F8AC6" w:rsidR="00120AB6" w:rsidRPr="00120AB6" w:rsidRDefault="00120AB6" w:rsidP="00120AB6">
      <w:pPr>
        <w:spacing w:line="240" w:lineRule="auto"/>
        <w:rPr>
          <w:rFonts w:eastAsia="Times New Roman" w:cs="Arial"/>
        </w:rPr>
      </w:pPr>
      <w:r w:rsidRPr="00120AB6">
        <w:rPr>
          <w:rFonts w:eastAsia="Times New Roman" w:cs="Arial"/>
          <w:bCs/>
          <w:color w:val="000000"/>
          <w:lang w:eastAsia="bg-BG"/>
        </w:rPr>
        <w:t>Остри симптоми като потене, безсъние, тремор, безпокойство, гадене или повръщане са съобщавани рядко (≥0,01% и &lt;0,1%) при внезапно спиране приема на оланзапин.</w:t>
      </w:r>
    </w:p>
    <w:p w14:paraId="546E0034" w14:textId="77777777" w:rsidR="00120AB6" w:rsidRPr="00120AB6" w:rsidRDefault="00120AB6" w:rsidP="00120AB6">
      <w:pPr>
        <w:spacing w:line="240" w:lineRule="auto"/>
        <w:rPr>
          <w:rFonts w:eastAsia="Times New Roman" w:cs="Arial"/>
          <w:bCs/>
          <w:i/>
          <w:iCs/>
          <w:color w:val="000000"/>
          <w:u w:val="single"/>
          <w:lang w:eastAsia="bg-BG"/>
        </w:rPr>
      </w:pPr>
    </w:p>
    <w:p w14:paraId="48D561CD" w14:textId="0B6F6CF8" w:rsidR="00120AB6" w:rsidRPr="00120AB6" w:rsidRDefault="00120AB6" w:rsidP="00120AB6">
      <w:pPr>
        <w:spacing w:line="240" w:lineRule="auto"/>
        <w:rPr>
          <w:rFonts w:eastAsia="Times New Roman" w:cs="Arial"/>
        </w:rPr>
      </w:pPr>
      <w:r w:rsidRPr="00120AB6">
        <w:rPr>
          <w:rFonts w:eastAsia="Times New Roman" w:cs="Arial"/>
          <w:bCs/>
          <w:i/>
          <w:iCs/>
          <w:color w:val="000000"/>
          <w:u w:val="single"/>
          <w:lang w:val="en-US" w:eastAsia="bg-BG"/>
        </w:rPr>
        <w:t>Q</w:t>
      </w:r>
      <w:r w:rsidRPr="00120AB6">
        <w:rPr>
          <w:rFonts w:eastAsia="Times New Roman" w:cs="Arial"/>
          <w:bCs/>
          <w:i/>
          <w:iCs/>
          <w:color w:val="000000"/>
          <w:u w:val="single"/>
          <w:lang w:eastAsia="bg-BG"/>
        </w:rPr>
        <w:t>Т интервал</w:t>
      </w:r>
    </w:p>
    <w:p w14:paraId="03446143" w14:textId="77777777" w:rsidR="00120AB6" w:rsidRPr="00120AB6" w:rsidRDefault="00120AB6" w:rsidP="00120AB6">
      <w:pPr>
        <w:spacing w:line="240" w:lineRule="auto"/>
        <w:rPr>
          <w:rFonts w:eastAsia="Times New Roman" w:cs="Arial"/>
          <w:bCs/>
          <w:color w:val="000000"/>
          <w:lang w:eastAsia="bg-BG"/>
        </w:rPr>
      </w:pPr>
    </w:p>
    <w:p w14:paraId="3D15C499" w14:textId="1B0AAABA" w:rsidR="00120AB6" w:rsidRPr="00120AB6" w:rsidRDefault="00120AB6" w:rsidP="00120AB6">
      <w:pPr>
        <w:spacing w:line="240" w:lineRule="auto"/>
        <w:rPr>
          <w:rFonts w:eastAsia="Times New Roman" w:cs="Arial"/>
        </w:rPr>
      </w:pPr>
      <w:r w:rsidRPr="00120AB6">
        <w:rPr>
          <w:rFonts w:eastAsia="Times New Roman" w:cs="Arial"/>
          <w:bCs/>
          <w:color w:val="000000"/>
          <w:lang w:eastAsia="bg-BG"/>
        </w:rPr>
        <w:t xml:space="preserve">В клинични проучвания клинично значимите удължавания на </w:t>
      </w:r>
      <w:proofErr w:type="spellStart"/>
      <w:r w:rsidRPr="00120AB6">
        <w:rPr>
          <w:rFonts w:eastAsia="Times New Roman" w:cs="Arial"/>
          <w:bCs/>
          <w:color w:val="000000"/>
          <w:lang w:val="en-US"/>
        </w:rPr>
        <w:t>QTc</w:t>
      </w:r>
      <w:proofErr w:type="spellEnd"/>
      <w:r w:rsidRPr="00120AB6">
        <w:rPr>
          <w:rFonts w:eastAsia="Times New Roman" w:cs="Arial"/>
          <w:bCs/>
          <w:color w:val="000000"/>
          <w:lang w:val="ru-RU"/>
        </w:rPr>
        <w:t xml:space="preserve"> </w:t>
      </w:r>
      <w:r w:rsidRPr="00120AB6">
        <w:rPr>
          <w:rFonts w:eastAsia="Times New Roman" w:cs="Arial"/>
          <w:bCs/>
          <w:color w:val="000000"/>
          <w:lang w:eastAsia="bg-BG"/>
        </w:rPr>
        <w:t xml:space="preserve">интервала (корекция на </w:t>
      </w:r>
      <w:proofErr w:type="spellStart"/>
      <w:r w:rsidRPr="00120AB6">
        <w:rPr>
          <w:rFonts w:eastAsia="Times New Roman" w:cs="Arial"/>
          <w:bCs/>
          <w:color w:val="000000"/>
          <w:lang w:val="en-US"/>
        </w:rPr>
        <w:t>Fridericia</w:t>
      </w:r>
      <w:proofErr w:type="spellEnd"/>
      <w:r w:rsidRPr="00120AB6">
        <w:rPr>
          <w:rFonts w:eastAsia="Times New Roman" w:cs="Arial"/>
          <w:bCs/>
          <w:color w:val="000000"/>
          <w:lang w:val="ru-RU"/>
        </w:rPr>
        <w:t xml:space="preserve"> </w:t>
      </w:r>
      <w:r w:rsidRPr="00120AB6">
        <w:rPr>
          <w:rFonts w:eastAsia="Times New Roman" w:cs="Arial"/>
          <w:bCs/>
          <w:color w:val="000000"/>
          <w:lang w:eastAsia="bg-BG"/>
        </w:rPr>
        <w:t xml:space="preserve">за </w:t>
      </w:r>
      <w:r w:rsidRPr="00120AB6">
        <w:rPr>
          <w:rFonts w:eastAsia="Times New Roman" w:cs="Arial"/>
          <w:bCs/>
          <w:color w:val="000000"/>
          <w:lang w:val="en-US"/>
        </w:rPr>
        <w:t>QT</w:t>
      </w:r>
      <w:r w:rsidRPr="00120AB6">
        <w:rPr>
          <w:rFonts w:eastAsia="Times New Roman" w:cs="Arial"/>
          <w:bCs/>
          <w:color w:val="000000"/>
          <w:lang w:val="ru-RU"/>
        </w:rPr>
        <w:t xml:space="preserve"> [</w:t>
      </w:r>
      <w:proofErr w:type="spellStart"/>
      <w:r w:rsidRPr="00120AB6">
        <w:rPr>
          <w:rFonts w:eastAsia="Times New Roman" w:cs="Arial"/>
          <w:bCs/>
          <w:color w:val="000000"/>
          <w:lang w:val="en-US"/>
        </w:rPr>
        <w:t>QTcF</w:t>
      </w:r>
      <w:proofErr w:type="spellEnd"/>
      <w:r w:rsidRPr="00120AB6">
        <w:rPr>
          <w:rFonts w:eastAsia="Times New Roman" w:cs="Arial"/>
          <w:bCs/>
          <w:color w:val="000000"/>
          <w:lang w:val="ru-RU"/>
        </w:rPr>
        <w:t xml:space="preserve">] </w:t>
      </w:r>
      <w:r w:rsidRPr="00120AB6">
        <w:rPr>
          <w:rFonts w:eastAsia="Times New Roman" w:cs="Arial"/>
          <w:bCs/>
          <w:color w:val="000000"/>
          <w:lang w:eastAsia="bg-BG"/>
        </w:rPr>
        <w:t xml:space="preserve">&gt;500 милисекунди </w:t>
      </w:r>
      <w:r w:rsidRPr="00120AB6">
        <w:rPr>
          <w:rFonts w:eastAsia="Times New Roman" w:cs="Arial"/>
          <w:bCs/>
          <w:color w:val="000000"/>
          <w:lang w:val="ru-RU"/>
        </w:rPr>
        <w:t>[</w:t>
      </w:r>
      <w:proofErr w:type="spellStart"/>
      <w:r w:rsidRPr="00120AB6">
        <w:rPr>
          <w:rFonts w:eastAsia="Times New Roman" w:cs="Arial"/>
          <w:bCs/>
          <w:color w:val="000000"/>
          <w:lang w:val="en-US"/>
        </w:rPr>
        <w:t>msec</w:t>
      </w:r>
      <w:proofErr w:type="spellEnd"/>
      <w:r w:rsidRPr="00120AB6">
        <w:rPr>
          <w:rFonts w:eastAsia="Times New Roman" w:cs="Arial"/>
          <w:bCs/>
          <w:color w:val="000000"/>
          <w:lang w:val="ru-RU"/>
        </w:rPr>
        <w:t xml:space="preserve">] </w:t>
      </w:r>
      <w:r w:rsidRPr="00120AB6">
        <w:rPr>
          <w:rFonts w:eastAsia="Times New Roman" w:cs="Arial"/>
          <w:bCs/>
          <w:color w:val="000000"/>
          <w:lang w:eastAsia="bg-BG"/>
        </w:rPr>
        <w:t xml:space="preserve">по всяко време след първоначалната изходна стойност при пациенти с изходен </w:t>
      </w:r>
      <w:proofErr w:type="spellStart"/>
      <w:r w:rsidRPr="00120AB6">
        <w:rPr>
          <w:rFonts w:eastAsia="Times New Roman" w:cs="Arial"/>
          <w:bCs/>
          <w:color w:val="000000"/>
          <w:lang w:val="en-US"/>
        </w:rPr>
        <w:t>QTcF</w:t>
      </w:r>
      <w:proofErr w:type="spellEnd"/>
      <w:r w:rsidRPr="00120AB6">
        <w:rPr>
          <w:rFonts w:eastAsia="Times New Roman" w:cs="Arial"/>
          <w:bCs/>
          <w:color w:val="000000"/>
          <w:lang w:val="ru-RU"/>
        </w:rPr>
        <w:t xml:space="preserve">&lt;500 </w:t>
      </w:r>
      <w:proofErr w:type="spellStart"/>
      <w:r w:rsidRPr="00120AB6">
        <w:rPr>
          <w:rFonts w:eastAsia="Times New Roman" w:cs="Arial"/>
          <w:bCs/>
          <w:color w:val="000000"/>
          <w:lang w:val="en-US"/>
        </w:rPr>
        <w:t>msec</w:t>
      </w:r>
      <w:proofErr w:type="spellEnd"/>
      <w:r w:rsidRPr="00120AB6">
        <w:rPr>
          <w:rFonts w:eastAsia="Times New Roman" w:cs="Arial"/>
          <w:bCs/>
          <w:color w:val="000000"/>
          <w:lang w:val="ru-RU"/>
        </w:rPr>
        <w:t xml:space="preserve">) </w:t>
      </w:r>
      <w:r w:rsidRPr="00120AB6">
        <w:rPr>
          <w:rFonts w:eastAsia="Times New Roman" w:cs="Arial"/>
          <w:bCs/>
          <w:color w:val="000000"/>
          <w:lang w:eastAsia="bg-BG"/>
        </w:rPr>
        <w:t xml:space="preserve">са били нечести (0,1% до 1%) при пациенти, лекувани с оланзапин без значими разлики, свързани с кардиологични събития в сравнение с плацебо. Необходимо е обаче да се внимава когато се предписва оланзапин с лекарства, за които е известно, че удължават </w:t>
      </w:r>
      <w:proofErr w:type="spellStart"/>
      <w:r w:rsidRPr="00120AB6">
        <w:rPr>
          <w:rFonts w:eastAsia="Times New Roman" w:cs="Arial"/>
          <w:bCs/>
          <w:color w:val="000000"/>
          <w:lang w:val="en-US"/>
        </w:rPr>
        <w:t>QTc</w:t>
      </w:r>
      <w:proofErr w:type="spellEnd"/>
      <w:r w:rsidRPr="00120AB6">
        <w:rPr>
          <w:rFonts w:eastAsia="Times New Roman" w:cs="Arial"/>
          <w:bCs/>
          <w:color w:val="000000"/>
          <w:lang w:val="ru-RU"/>
        </w:rPr>
        <w:t xml:space="preserve"> </w:t>
      </w:r>
      <w:r w:rsidRPr="00120AB6">
        <w:rPr>
          <w:rFonts w:eastAsia="Times New Roman" w:cs="Arial"/>
          <w:bCs/>
          <w:color w:val="000000"/>
          <w:lang w:eastAsia="bg-BG"/>
        </w:rPr>
        <w:t xml:space="preserve">интервала, особено при пациенти в старческа възраст, при пациенти с наследствен синдром на удължения </w:t>
      </w:r>
      <w:r w:rsidRPr="00120AB6">
        <w:rPr>
          <w:rFonts w:eastAsia="Times New Roman" w:cs="Arial"/>
          <w:bCs/>
          <w:color w:val="000000"/>
          <w:lang w:val="en-US"/>
        </w:rPr>
        <w:t>QT</w:t>
      </w:r>
      <w:r w:rsidRPr="00120AB6">
        <w:rPr>
          <w:rFonts w:eastAsia="Times New Roman" w:cs="Arial"/>
          <w:bCs/>
          <w:color w:val="000000"/>
          <w:lang w:val="ru-RU"/>
        </w:rPr>
        <w:t xml:space="preserve"> </w:t>
      </w:r>
      <w:r w:rsidRPr="00120AB6">
        <w:rPr>
          <w:rFonts w:eastAsia="Times New Roman" w:cs="Arial"/>
          <w:bCs/>
          <w:color w:val="000000"/>
          <w:lang w:eastAsia="bg-BG"/>
        </w:rPr>
        <w:t>интервал, застойна сърдечна недостатъчност, сърдечна хипертрофия, хипокалиемия или хипомагнезиемия.</w:t>
      </w:r>
    </w:p>
    <w:p w14:paraId="320F8130" w14:textId="77777777" w:rsidR="00120AB6" w:rsidRPr="00120AB6" w:rsidRDefault="00120AB6" w:rsidP="00120AB6">
      <w:pPr>
        <w:spacing w:line="240" w:lineRule="auto"/>
        <w:rPr>
          <w:rFonts w:eastAsia="Times New Roman" w:cs="Arial"/>
          <w:bCs/>
          <w:i/>
          <w:iCs/>
          <w:color w:val="000000"/>
          <w:u w:val="single"/>
          <w:lang w:eastAsia="bg-BG"/>
        </w:rPr>
      </w:pPr>
    </w:p>
    <w:p w14:paraId="0723F43B" w14:textId="4CB40ACF" w:rsidR="00120AB6" w:rsidRPr="00120AB6" w:rsidRDefault="00120AB6" w:rsidP="00120AB6">
      <w:pPr>
        <w:spacing w:line="240" w:lineRule="auto"/>
        <w:rPr>
          <w:rFonts w:eastAsia="Times New Roman" w:cs="Arial"/>
        </w:rPr>
      </w:pPr>
      <w:r w:rsidRPr="00120AB6">
        <w:rPr>
          <w:rFonts w:eastAsia="Times New Roman" w:cs="Arial"/>
          <w:bCs/>
          <w:i/>
          <w:iCs/>
          <w:color w:val="000000"/>
          <w:u w:val="single"/>
          <w:lang w:eastAsia="bg-BG"/>
        </w:rPr>
        <w:t>Тромбоемболизъм</w:t>
      </w:r>
    </w:p>
    <w:p w14:paraId="6B481381" w14:textId="77777777" w:rsidR="00120AB6" w:rsidRPr="00120AB6" w:rsidRDefault="00120AB6" w:rsidP="00120AB6">
      <w:pPr>
        <w:spacing w:line="240" w:lineRule="auto"/>
        <w:rPr>
          <w:rFonts w:eastAsia="Times New Roman" w:cs="Arial"/>
          <w:bCs/>
          <w:color w:val="000000"/>
          <w:lang w:eastAsia="bg-BG"/>
        </w:rPr>
      </w:pPr>
    </w:p>
    <w:p w14:paraId="095D3C53" w14:textId="17DBEE0C" w:rsidR="00120AB6" w:rsidRPr="00120AB6" w:rsidRDefault="00120AB6" w:rsidP="00120AB6">
      <w:pPr>
        <w:spacing w:line="240" w:lineRule="auto"/>
        <w:rPr>
          <w:rFonts w:eastAsia="Times New Roman" w:cs="Arial"/>
        </w:rPr>
      </w:pPr>
      <w:r w:rsidRPr="00120AB6">
        <w:rPr>
          <w:rFonts w:eastAsia="Times New Roman" w:cs="Arial"/>
          <w:bCs/>
          <w:color w:val="000000"/>
          <w:lang w:eastAsia="bg-BG"/>
        </w:rPr>
        <w:t>Нечесто (≥0.1% и &lt;1%) се съобщава за временна връзка между лечението с оланзапин и венозен тромбемболизъм. Причинно-следствена връзка между появата на венозен тромбоемболизъм и лечението с оланзапин не е установена. Но тъй като пациентите с шизофрения често се представят с придобити рискови фактори за венозен тромбоемболизъм, всички възможни рискови фактори за ВТЕ, например обездвижване на пациентите, трябва да се установят и да се вземат предпазни мерки.</w:t>
      </w:r>
    </w:p>
    <w:p w14:paraId="5F695CC0" w14:textId="77777777" w:rsidR="00120AB6" w:rsidRPr="00120AB6" w:rsidRDefault="00120AB6" w:rsidP="00120AB6">
      <w:pPr>
        <w:spacing w:line="240" w:lineRule="auto"/>
        <w:rPr>
          <w:rFonts w:eastAsia="Times New Roman" w:cs="Arial"/>
          <w:bCs/>
          <w:i/>
          <w:iCs/>
          <w:color w:val="000000"/>
          <w:u w:val="single"/>
          <w:lang w:eastAsia="bg-BG"/>
        </w:rPr>
      </w:pPr>
    </w:p>
    <w:p w14:paraId="58DFFB2A" w14:textId="47213133" w:rsidR="00120AB6" w:rsidRPr="00120AB6" w:rsidRDefault="00120AB6" w:rsidP="00120AB6">
      <w:pPr>
        <w:spacing w:line="240" w:lineRule="auto"/>
        <w:rPr>
          <w:rFonts w:eastAsia="Times New Roman" w:cs="Arial"/>
        </w:rPr>
      </w:pPr>
      <w:r w:rsidRPr="00120AB6">
        <w:rPr>
          <w:rFonts w:eastAsia="Times New Roman" w:cs="Arial"/>
          <w:bCs/>
          <w:i/>
          <w:iCs/>
          <w:color w:val="000000"/>
          <w:u w:val="single"/>
          <w:lang w:eastAsia="bg-BG"/>
        </w:rPr>
        <w:t>Обша активност на ЦНС</w:t>
      </w:r>
    </w:p>
    <w:p w14:paraId="7D17164F" w14:textId="77777777" w:rsidR="00120AB6" w:rsidRPr="00120AB6" w:rsidRDefault="00120AB6" w:rsidP="00120AB6">
      <w:pPr>
        <w:spacing w:line="240" w:lineRule="auto"/>
        <w:rPr>
          <w:rFonts w:eastAsia="Times New Roman" w:cs="Arial"/>
          <w:bCs/>
          <w:color w:val="000000"/>
          <w:lang w:eastAsia="bg-BG"/>
        </w:rPr>
      </w:pPr>
    </w:p>
    <w:p w14:paraId="23B3713F" w14:textId="681808D1" w:rsidR="00120AB6" w:rsidRPr="00120AB6" w:rsidRDefault="00120AB6" w:rsidP="00120AB6">
      <w:pPr>
        <w:spacing w:line="240" w:lineRule="auto"/>
        <w:rPr>
          <w:rFonts w:eastAsia="Times New Roman" w:cs="Arial"/>
        </w:rPr>
      </w:pPr>
      <w:r w:rsidRPr="00120AB6">
        <w:rPr>
          <w:rFonts w:eastAsia="Times New Roman" w:cs="Arial"/>
          <w:bCs/>
          <w:color w:val="000000"/>
          <w:lang w:eastAsia="bg-BG"/>
        </w:rPr>
        <w:t xml:space="preserve">Предвид на първичните ефекти на оланзапин върху ЦНС, повишено внимание е необходимо когато се приема в комбинация с други централно действащи лекарства и алкохол. Тъй като оланзапин показва допаминов антагонизъм </w:t>
      </w:r>
      <w:r w:rsidRPr="00120AB6">
        <w:rPr>
          <w:rFonts w:eastAsia="Times New Roman" w:cs="Arial"/>
          <w:bCs/>
          <w:i/>
          <w:iCs/>
          <w:color w:val="000000"/>
          <w:lang w:val="en-US"/>
        </w:rPr>
        <w:t>in</w:t>
      </w:r>
      <w:r w:rsidRPr="00120AB6">
        <w:rPr>
          <w:rFonts w:eastAsia="Times New Roman" w:cs="Arial"/>
          <w:bCs/>
          <w:i/>
          <w:iCs/>
          <w:color w:val="000000"/>
          <w:lang w:val="ru-RU"/>
        </w:rPr>
        <w:t xml:space="preserve"> </w:t>
      </w:r>
      <w:r w:rsidRPr="00120AB6">
        <w:rPr>
          <w:rFonts w:eastAsia="Times New Roman" w:cs="Arial"/>
          <w:bCs/>
          <w:i/>
          <w:iCs/>
          <w:color w:val="000000"/>
          <w:lang w:val="en-US"/>
        </w:rPr>
        <w:t>vitro</w:t>
      </w:r>
      <w:r w:rsidRPr="00120AB6">
        <w:rPr>
          <w:rFonts w:eastAsia="Times New Roman" w:cs="Arial"/>
          <w:bCs/>
          <w:i/>
          <w:iCs/>
          <w:color w:val="000000"/>
          <w:lang w:val="ru-RU"/>
        </w:rPr>
        <w:t>,</w:t>
      </w:r>
      <w:r w:rsidRPr="00120AB6">
        <w:rPr>
          <w:rFonts w:eastAsia="Times New Roman" w:cs="Arial"/>
          <w:bCs/>
          <w:color w:val="000000"/>
          <w:lang w:val="ru-RU"/>
        </w:rPr>
        <w:t xml:space="preserve"> </w:t>
      </w:r>
      <w:r w:rsidRPr="00120AB6">
        <w:rPr>
          <w:rFonts w:eastAsia="Times New Roman" w:cs="Arial"/>
          <w:bCs/>
          <w:color w:val="000000"/>
          <w:lang w:eastAsia="bg-BG"/>
        </w:rPr>
        <w:t>той може да антагонизира ефектите на преките и непреките допаминови агонисти.</w:t>
      </w:r>
    </w:p>
    <w:p w14:paraId="4F20D60C" w14:textId="77777777" w:rsidR="00120AB6" w:rsidRPr="00120AB6" w:rsidRDefault="00120AB6" w:rsidP="00120AB6">
      <w:pPr>
        <w:spacing w:line="240" w:lineRule="auto"/>
        <w:rPr>
          <w:rFonts w:eastAsia="Times New Roman" w:cs="Arial"/>
          <w:bCs/>
          <w:i/>
          <w:iCs/>
          <w:color w:val="000000"/>
          <w:u w:val="single"/>
          <w:lang w:eastAsia="bg-BG"/>
        </w:rPr>
      </w:pPr>
    </w:p>
    <w:p w14:paraId="360C4272" w14:textId="79BFD37A" w:rsidR="00120AB6" w:rsidRPr="00120AB6" w:rsidRDefault="00120AB6" w:rsidP="00120AB6">
      <w:pPr>
        <w:spacing w:line="240" w:lineRule="auto"/>
        <w:rPr>
          <w:rFonts w:eastAsia="Times New Roman" w:cs="Arial"/>
        </w:rPr>
      </w:pPr>
      <w:r w:rsidRPr="00120AB6">
        <w:rPr>
          <w:rFonts w:eastAsia="Times New Roman" w:cs="Arial"/>
          <w:bCs/>
          <w:i/>
          <w:iCs/>
          <w:color w:val="000000"/>
          <w:u w:val="single"/>
          <w:lang w:eastAsia="bg-BG"/>
        </w:rPr>
        <w:t>Припадъии</w:t>
      </w:r>
    </w:p>
    <w:p w14:paraId="24FEC822" w14:textId="77777777" w:rsidR="00120AB6" w:rsidRPr="00120AB6" w:rsidRDefault="00120AB6" w:rsidP="00120AB6">
      <w:pPr>
        <w:spacing w:line="240" w:lineRule="auto"/>
        <w:rPr>
          <w:rFonts w:eastAsia="Times New Roman" w:cs="Arial"/>
          <w:bCs/>
          <w:color w:val="000000"/>
          <w:lang w:eastAsia="bg-BG"/>
        </w:rPr>
      </w:pPr>
    </w:p>
    <w:p w14:paraId="0F5DF0F9" w14:textId="39C06566" w:rsidR="00120AB6" w:rsidRPr="00120AB6" w:rsidRDefault="00120AB6" w:rsidP="00120AB6">
      <w:pPr>
        <w:spacing w:line="240" w:lineRule="auto"/>
        <w:rPr>
          <w:rFonts w:eastAsia="Times New Roman" w:cs="Arial"/>
        </w:rPr>
      </w:pPr>
      <w:r w:rsidRPr="00120AB6">
        <w:rPr>
          <w:rFonts w:eastAsia="Times New Roman" w:cs="Arial"/>
          <w:bCs/>
          <w:color w:val="000000"/>
          <w:lang w:eastAsia="bg-BG"/>
        </w:rPr>
        <w:lastRenderedPageBreak/>
        <w:t>Оланзапин трябва да се прилага с повишено внимание при пациенти с анамнеза за гърчове или фактори, които могат да понижат  гърчовия праг. Нечесто е съобщавана поява на гърчове при пациенти, лекувани с оланзапин. В повечето от тези случаи са съобщавани анамнеза за гърчове или рискови фактори за гърчове.</w:t>
      </w:r>
    </w:p>
    <w:p w14:paraId="74050BD6" w14:textId="77777777" w:rsidR="00120AB6" w:rsidRPr="00120AB6" w:rsidRDefault="00120AB6" w:rsidP="00120AB6">
      <w:pPr>
        <w:spacing w:line="240" w:lineRule="auto"/>
        <w:rPr>
          <w:rFonts w:eastAsia="Times New Roman" w:cs="Arial"/>
          <w:bCs/>
          <w:i/>
          <w:iCs/>
          <w:color w:val="000000"/>
          <w:u w:val="single"/>
          <w:lang w:eastAsia="bg-BG"/>
        </w:rPr>
      </w:pPr>
    </w:p>
    <w:p w14:paraId="21F246F7" w14:textId="5D507E2A" w:rsidR="00120AB6" w:rsidRPr="00120AB6" w:rsidRDefault="00120AB6" w:rsidP="00120AB6">
      <w:pPr>
        <w:spacing w:line="240" w:lineRule="auto"/>
        <w:rPr>
          <w:rFonts w:eastAsia="Times New Roman" w:cs="Arial"/>
        </w:rPr>
      </w:pPr>
      <w:r w:rsidRPr="00120AB6">
        <w:rPr>
          <w:rFonts w:eastAsia="Times New Roman" w:cs="Arial"/>
          <w:bCs/>
          <w:i/>
          <w:iCs/>
          <w:color w:val="000000"/>
          <w:u w:val="single"/>
          <w:lang w:eastAsia="bg-BG"/>
        </w:rPr>
        <w:t>Тардивна дискинезия</w:t>
      </w:r>
    </w:p>
    <w:p w14:paraId="2E786F44" w14:textId="00A4173E" w:rsidR="00120AB6" w:rsidRPr="00120AB6" w:rsidRDefault="00120AB6" w:rsidP="00120AB6">
      <w:pPr>
        <w:rPr>
          <w:rFonts w:cs="Arial"/>
        </w:rPr>
      </w:pPr>
    </w:p>
    <w:p w14:paraId="7A0CA8E4" w14:textId="77777777" w:rsidR="00120AB6" w:rsidRPr="00120AB6" w:rsidRDefault="00120AB6" w:rsidP="00120AB6">
      <w:pPr>
        <w:spacing w:line="240" w:lineRule="auto"/>
        <w:rPr>
          <w:rFonts w:eastAsia="Times New Roman" w:cs="Arial"/>
        </w:rPr>
      </w:pPr>
      <w:r w:rsidRPr="00120AB6">
        <w:rPr>
          <w:rFonts w:eastAsia="Times New Roman" w:cs="Arial"/>
          <w:bCs/>
          <w:color w:val="000000"/>
          <w:lang w:eastAsia="bg-BG"/>
        </w:rPr>
        <w:t>В сравнителни проучвания в рамките на една година или по-малко, оланзапин е бил свързан със статистически значимо по-малка честота на дискинезия, провокирана от лечението. Но рискът от тардивна дискинезия се увеличава при по-продължителен прием и поради това, ако се появят признаци или симптоми за това при пациенти на оланзапин, трябва да се обмисли намаляване на дозата или прекъсване на лечението. Тези симптоми може временно да се влошат или дори да възникнат след прекъсване на лечението.</w:t>
      </w:r>
    </w:p>
    <w:p w14:paraId="2484A551" w14:textId="77777777" w:rsidR="00120AB6" w:rsidRPr="00120AB6" w:rsidRDefault="00120AB6" w:rsidP="00120AB6">
      <w:pPr>
        <w:spacing w:line="240" w:lineRule="auto"/>
        <w:rPr>
          <w:rFonts w:eastAsia="Times New Roman" w:cs="Arial"/>
          <w:bCs/>
          <w:i/>
          <w:iCs/>
          <w:color w:val="000000"/>
          <w:u w:val="single"/>
          <w:lang w:eastAsia="bg-BG"/>
        </w:rPr>
      </w:pPr>
    </w:p>
    <w:p w14:paraId="52B83D72" w14:textId="5EB6C3DC" w:rsidR="00120AB6" w:rsidRPr="00120AB6" w:rsidRDefault="00120AB6" w:rsidP="00120AB6">
      <w:pPr>
        <w:spacing w:line="240" w:lineRule="auto"/>
        <w:rPr>
          <w:rFonts w:eastAsia="Times New Roman" w:cs="Arial"/>
        </w:rPr>
      </w:pPr>
      <w:r w:rsidRPr="00120AB6">
        <w:rPr>
          <w:rFonts w:eastAsia="Times New Roman" w:cs="Arial"/>
          <w:bCs/>
          <w:i/>
          <w:iCs/>
          <w:color w:val="000000"/>
          <w:u w:val="single"/>
          <w:lang w:eastAsia="bg-BG"/>
        </w:rPr>
        <w:t>Постурална хипотония</w:t>
      </w:r>
    </w:p>
    <w:p w14:paraId="5A6AFE02" w14:textId="77777777" w:rsidR="00120AB6" w:rsidRPr="00120AB6" w:rsidRDefault="00120AB6" w:rsidP="00120AB6">
      <w:pPr>
        <w:spacing w:line="240" w:lineRule="auto"/>
        <w:rPr>
          <w:rFonts w:eastAsia="Times New Roman" w:cs="Arial"/>
          <w:bCs/>
          <w:color w:val="000000"/>
          <w:lang w:eastAsia="bg-BG"/>
        </w:rPr>
      </w:pPr>
    </w:p>
    <w:p w14:paraId="011A19C1" w14:textId="0FC6D877" w:rsidR="00120AB6" w:rsidRPr="00120AB6" w:rsidRDefault="00120AB6" w:rsidP="00120AB6">
      <w:pPr>
        <w:spacing w:line="240" w:lineRule="auto"/>
        <w:rPr>
          <w:rFonts w:eastAsia="Times New Roman" w:cs="Arial"/>
        </w:rPr>
      </w:pPr>
      <w:r w:rsidRPr="00120AB6">
        <w:rPr>
          <w:rFonts w:eastAsia="Times New Roman" w:cs="Arial"/>
          <w:bCs/>
          <w:color w:val="000000"/>
          <w:lang w:eastAsia="bg-BG"/>
        </w:rPr>
        <w:t>Постурална хипотония е наблюдавана нечесто при пациенти в старческа възраст в клинични проучвания с оланзапин. Препоръчва се периодично измерване на кръвното налягане при пациенти над 65-годишна възраст.</w:t>
      </w:r>
    </w:p>
    <w:p w14:paraId="6181D7EC" w14:textId="77777777" w:rsidR="00120AB6" w:rsidRPr="00120AB6" w:rsidRDefault="00120AB6" w:rsidP="00120AB6">
      <w:pPr>
        <w:spacing w:line="240" w:lineRule="auto"/>
        <w:rPr>
          <w:rFonts w:eastAsia="Times New Roman" w:cs="Arial"/>
          <w:bCs/>
          <w:i/>
          <w:iCs/>
          <w:color w:val="000000"/>
          <w:u w:val="single"/>
          <w:lang w:eastAsia="bg-BG"/>
        </w:rPr>
      </w:pPr>
    </w:p>
    <w:p w14:paraId="615AC4B2" w14:textId="559F7615" w:rsidR="00120AB6" w:rsidRPr="00120AB6" w:rsidRDefault="00120AB6" w:rsidP="00120AB6">
      <w:pPr>
        <w:spacing w:line="240" w:lineRule="auto"/>
        <w:rPr>
          <w:rFonts w:eastAsia="Times New Roman" w:cs="Arial"/>
        </w:rPr>
      </w:pPr>
      <w:r w:rsidRPr="00120AB6">
        <w:rPr>
          <w:rFonts w:eastAsia="Times New Roman" w:cs="Arial"/>
          <w:bCs/>
          <w:i/>
          <w:iCs/>
          <w:color w:val="000000"/>
          <w:u w:val="single"/>
          <w:lang w:eastAsia="bg-BG"/>
        </w:rPr>
        <w:t>Внезапна сърдечна смърт</w:t>
      </w:r>
    </w:p>
    <w:p w14:paraId="797A6C2E" w14:textId="77777777" w:rsidR="00120AB6" w:rsidRPr="00120AB6" w:rsidRDefault="00120AB6" w:rsidP="00120AB6">
      <w:pPr>
        <w:spacing w:line="240" w:lineRule="auto"/>
        <w:rPr>
          <w:rFonts w:eastAsia="Times New Roman" w:cs="Arial"/>
          <w:bCs/>
          <w:color w:val="000000"/>
          <w:lang w:eastAsia="bg-BG"/>
        </w:rPr>
      </w:pPr>
    </w:p>
    <w:p w14:paraId="7238DAB8" w14:textId="4D455FD6" w:rsidR="00120AB6" w:rsidRPr="00120AB6" w:rsidRDefault="00120AB6" w:rsidP="00120AB6">
      <w:pPr>
        <w:spacing w:line="240" w:lineRule="auto"/>
        <w:rPr>
          <w:rFonts w:eastAsia="Times New Roman" w:cs="Arial"/>
        </w:rPr>
      </w:pPr>
      <w:r w:rsidRPr="00120AB6">
        <w:rPr>
          <w:rFonts w:eastAsia="Times New Roman" w:cs="Arial"/>
          <w:bCs/>
          <w:color w:val="000000"/>
          <w:lang w:eastAsia="bg-BG"/>
        </w:rPr>
        <w:t>В постмаркетинговите проучвания за оланзапин са съобщавани случаи на внезапна сърдечна смърт при пациенти на оланзапин. В едно ретроспективно наблюдателно кохортно проучване рискът за предполагаема внезапна сърдечна смърт при пациенти, лекувани с оланзапин е бил приблизително два пъти по-висок от риска при пациенти, които не употребяват антипсихотици. В проучването рискът с оланзапин е бил сравним с риска при атипични антипсихотици, включени в обобщения анализ.</w:t>
      </w:r>
    </w:p>
    <w:p w14:paraId="2D587151" w14:textId="77777777" w:rsidR="00120AB6" w:rsidRPr="00120AB6" w:rsidRDefault="00120AB6" w:rsidP="00120AB6">
      <w:pPr>
        <w:spacing w:line="240" w:lineRule="auto"/>
        <w:rPr>
          <w:rFonts w:eastAsia="Times New Roman" w:cs="Arial"/>
          <w:bCs/>
          <w:i/>
          <w:iCs/>
          <w:color w:val="000000"/>
          <w:u w:val="single"/>
          <w:lang w:eastAsia="bg-BG"/>
        </w:rPr>
      </w:pPr>
    </w:p>
    <w:p w14:paraId="0A2BCC65" w14:textId="134085C4" w:rsidR="00120AB6" w:rsidRPr="00120AB6" w:rsidRDefault="00120AB6" w:rsidP="00120AB6">
      <w:pPr>
        <w:spacing w:line="240" w:lineRule="auto"/>
        <w:rPr>
          <w:rFonts w:eastAsia="Times New Roman" w:cs="Arial"/>
        </w:rPr>
      </w:pPr>
      <w:r w:rsidRPr="00120AB6">
        <w:rPr>
          <w:rFonts w:eastAsia="Times New Roman" w:cs="Arial"/>
          <w:bCs/>
          <w:i/>
          <w:iCs/>
          <w:color w:val="000000"/>
          <w:u w:val="single"/>
          <w:lang w:eastAsia="bg-BG"/>
        </w:rPr>
        <w:t>Педиатрична популация</w:t>
      </w:r>
    </w:p>
    <w:p w14:paraId="3BF72483" w14:textId="77777777" w:rsidR="00120AB6" w:rsidRPr="00120AB6" w:rsidRDefault="00120AB6" w:rsidP="00120AB6">
      <w:pPr>
        <w:spacing w:line="240" w:lineRule="auto"/>
        <w:rPr>
          <w:rFonts w:eastAsia="Times New Roman" w:cs="Arial"/>
          <w:bCs/>
          <w:color w:val="000000"/>
          <w:lang w:eastAsia="bg-BG"/>
        </w:rPr>
      </w:pPr>
    </w:p>
    <w:p w14:paraId="4D4CE26F" w14:textId="68951FF0" w:rsidR="00120AB6" w:rsidRPr="00120AB6" w:rsidRDefault="00120AB6" w:rsidP="00120AB6">
      <w:pPr>
        <w:spacing w:line="240" w:lineRule="auto"/>
        <w:rPr>
          <w:rFonts w:eastAsia="Times New Roman" w:cs="Arial"/>
        </w:rPr>
      </w:pPr>
      <w:r w:rsidRPr="00120AB6">
        <w:rPr>
          <w:rFonts w:eastAsia="Times New Roman" w:cs="Arial"/>
          <w:bCs/>
          <w:color w:val="000000"/>
          <w:lang w:eastAsia="bg-BG"/>
        </w:rPr>
        <w:t>Оланзапин не е показан за лечение на деца и юноши. Проучванията при пациенти на възраст 13 и 17 години са показали различни нежелани реакции, включително покачване на теглото, промени в метаболитните параметри и увеличени нива на пролактина (вж. точка 4.8 и 5.1).</w:t>
      </w:r>
    </w:p>
    <w:p w14:paraId="5CB38E97" w14:textId="77777777" w:rsidR="00120AB6" w:rsidRPr="00120AB6" w:rsidRDefault="00120AB6" w:rsidP="00120AB6">
      <w:pPr>
        <w:spacing w:line="240" w:lineRule="auto"/>
        <w:rPr>
          <w:rFonts w:eastAsia="Times New Roman" w:cs="Arial"/>
          <w:bCs/>
          <w:i/>
          <w:iCs/>
          <w:color w:val="000000"/>
          <w:u w:val="single"/>
          <w:lang w:eastAsia="bg-BG"/>
        </w:rPr>
      </w:pPr>
    </w:p>
    <w:p w14:paraId="19978874" w14:textId="35000459" w:rsidR="00120AB6" w:rsidRPr="00120AB6" w:rsidRDefault="00120AB6" w:rsidP="00120AB6">
      <w:pPr>
        <w:spacing w:line="240" w:lineRule="auto"/>
        <w:rPr>
          <w:rFonts w:eastAsia="Times New Roman" w:cs="Arial"/>
        </w:rPr>
      </w:pPr>
      <w:r w:rsidRPr="00120AB6">
        <w:rPr>
          <w:rFonts w:eastAsia="Times New Roman" w:cs="Arial"/>
          <w:bCs/>
          <w:i/>
          <w:iCs/>
          <w:color w:val="000000"/>
          <w:u w:val="single"/>
          <w:lang w:eastAsia="bg-BG"/>
        </w:rPr>
        <w:t>Лактоза</w:t>
      </w:r>
    </w:p>
    <w:p w14:paraId="08B1CEEA" w14:textId="77777777" w:rsidR="00120AB6" w:rsidRPr="00120AB6" w:rsidRDefault="00120AB6" w:rsidP="00120AB6">
      <w:pPr>
        <w:spacing w:line="240" w:lineRule="auto"/>
        <w:rPr>
          <w:rFonts w:eastAsia="Times New Roman" w:cs="Arial"/>
          <w:bCs/>
          <w:color w:val="000000"/>
          <w:lang w:eastAsia="bg-BG"/>
        </w:rPr>
      </w:pPr>
    </w:p>
    <w:p w14:paraId="655A9298" w14:textId="6F7222E6" w:rsidR="00120AB6" w:rsidRPr="00120AB6" w:rsidRDefault="00120AB6" w:rsidP="00120AB6">
      <w:pPr>
        <w:spacing w:line="240" w:lineRule="auto"/>
        <w:rPr>
          <w:rFonts w:eastAsia="Times New Roman" w:cs="Arial"/>
        </w:rPr>
      </w:pPr>
      <w:r w:rsidRPr="00120AB6">
        <w:rPr>
          <w:rFonts w:eastAsia="Times New Roman" w:cs="Arial"/>
          <w:bCs/>
          <w:color w:val="000000"/>
          <w:lang w:eastAsia="bg-BG"/>
        </w:rPr>
        <w:t>Таблетките Еголанза съдържат лактоза. Пациенти с редки наследствени заболявалия, като галактозна непоносимост, тотална лактазна недостатъчност или глюкозо- галактозна малабсорбция не трябва да приемат това лекарство.</w:t>
      </w:r>
    </w:p>
    <w:p w14:paraId="321C5ACC" w14:textId="77777777" w:rsidR="00120AB6" w:rsidRPr="00120AB6" w:rsidRDefault="00120AB6" w:rsidP="00120AB6"/>
    <w:p w14:paraId="0734264C" w14:textId="1B548688"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14B9E13B" w14:textId="3A025566" w:rsidR="00120AB6" w:rsidRDefault="00120AB6" w:rsidP="00120AB6"/>
    <w:p w14:paraId="34500744" w14:textId="77777777"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u w:val="single"/>
          <w:lang w:eastAsia="bg-BG"/>
        </w:rPr>
        <w:t>Педиатрична популация</w:t>
      </w:r>
    </w:p>
    <w:p w14:paraId="02817D2C" w14:textId="77777777" w:rsidR="00120AB6" w:rsidRPr="00120AB6" w:rsidRDefault="00120AB6" w:rsidP="00120AB6">
      <w:pPr>
        <w:spacing w:line="240" w:lineRule="auto"/>
        <w:rPr>
          <w:rFonts w:eastAsia="Times New Roman" w:cs="Arial"/>
          <w:bCs/>
          <w:color w:val="000000"/>
          <w:szCs w:val="18"/>
          <w:lang w:eastAsia="bg-BG"/>
        </w:rPr>
      </w:pPr>
    </w:p>
    <w:p w14:paraId="7D337A7D" w14:textId="2CF307DD"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Проучвания на взаимодействията са провеждани само при възрастни.</w:t>
      </w:r>
    </w:p>
    <w:p w14:paraId="21553EB2" w14:textId="77777777" w:rsidR="00120AB6" w:rsidRPr="00120AB6" w:rsidRDefault="00120AB6" w:rsidP="00120AB6">
      <w:pPr>
        <w:spacing w:line="240" w:lineRule="auto"/>
        <w:rPr>
          <w:rFonts w:eastAsia="Times New Roman" w:cs="Arial"/>
          <w:bCs/>
          <w:i/>
          <w:iCs/>
          <w:color w:val="000000"/>
          <w:szCs w:val="18"/>
          <w:u w:val="single"/>
          <w:lang w:eastAsia="bg-BG"/>
        </w:rPr>
      </w:pPr>
    </w:p>
    <w:p w14:paraId="3AEF15DB" w14:textId="3CABAE94"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u w:val="single"/>
          <w:lang w:eastAsia="bg-BG"/>
        </w:rPr>
        <w:lastRenderedPageBreak/>
        <w:t>Потенциални взаимодействия, повлияващи оланзапин</w:t>
      </w:r>
    </w:p>
    <w:p w14:paraId="3050625A" w14:textId="77777777" w:rsidR="00120AB6" w:rsidRPr="00120AB6" w:rsidRDefault="00120AB6" w:rsidP="00120AB6">
      <w:pPr>
        <w:spacing w:line="240" w:lineRule="auto"/>
        <w:rPr>
          <w:rFonts w:eastAsia="Times New Roman" w:cs="Arial"/>
          <w:bCs/>
          <w:color w:val="000000"/>
          <w:szCs w:val="18"/>
          <w:lang w:eastAsia="bg-BG"/>
        </w:rPr>
      </w:pPr>
    </w:p>
    <w:p w14:paraId="0126438F" w14:textId="5E52FA12"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 xml:space="preserve">Тъй като оланзапин се метаболизира от </w:t>
      </w:r>
      <w:r w:rsidRPr="00120AB6">
        <w:rPr>
          <w:rFonts w:eastAsia="Times New Roman" w:cs="Arial"/>
          <w:bCs/>
          <w:color w:val="000000"/>
          <w:szCs w:val="18"/>
          <w:lang w:val="en-US"/>
        </w:rPr>
        <w:t>CYP</w:t>
      </w:r>
      <w:r w:rsidRPr="00120AB6">
        <w:rPr>
          <w:rFonts w:eastAsia="Times New Roman" w:cs="Arial"/>
          <w:bCs/>
          <w:color w:val="000000"/>
          <w:szCs w:val="18"/>
          <w:lang w:val="ru-RU"/>
        </w:rPr>
        <w:t>1</w:t>
      </w:r>
      <w:r w:rsidRPr="00120AB6">
        <w:rPr>
          <w:rFonts w:eastAsia="Times New Roman" w:cs="Arial"/>
          <w:bCs/>
          <w:color w:val="000000"/>
          <w:szCs w:val="18"/>
          <w:lang w:eastAsia="bg-BG"/>
        </w:rPr>
        <w:t>А2, веществата, които могат специфично да индуцират или инхибират този изоензим, могат да повлияят неговата фармакокинетика.</w:t>
      </w:r>
    </w:p>
    <w:p w14:paraId="3E8F303D" w14:textId="77777777" w:rsidR="00120AB6" w:rsidRPr="00120AB6" w:rsidRDefault="00120AB6" w:rsidP="00120AB6">
      <w:pPr>
        <w:spacing w:line="240" w:lineRule="auto"/>
        <w:rPr>
          <w:rFonts w:eastAsia="Times New Roman" w:cs="Arial"/>
          <w:bCs/>
          <w:i/>
          <w:iCs/>
          <w:color w:val="000000"/>
          <w:szCs w:val="18"/>
          <w:u w:val="single"/>
          <w:lang w:eastAsia="bg-BG"/>
        </w:rPr>
      </w:pPr>
    </w:p>
    <w:p w14:paraId="33FA85FD" w14:textId="16D9DA0F"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u w:val="single"/>
          <w:lang w:eastAsia="bg-BG"/>
        </w:rPr>
        <w:t xml:space="preserve">Индукция на </w:t>
      </w:r>
      <w:r w:rsidRPr="00120AB6">
        <w:rPr>
          <w:rFonts w:eastAsia="Times New Roman" w:cs="Arial"/>
          <w:bCs/>
          <w:i/>
          <w:iCs/>
          <w:color w:val="000000"/>
          <w:szCs w:val="18"/>
          <w:u w:val="single"/>
          <w:lang w:val="en-US"/>
        </w:rPr>
        <w:t>CYP</w:t>
      </w:r>
      <w:r w:rsidRPr="00120AB6">
        <w:rPr>
          <w:rFonts w:eastAsia="Times New Roman" w:cs="Arial"/>
          <w:bCs/>
          <w:i/>
          <w:iCs/>
          <w:color w:val="000000"/>
          <w:szCs w:val="18"/>
          <w:u w:val="single"/>
          <w:lang w:val="ru-RU"/>
        </w:rPr>
        <w:t>1</w:t>
      </w:r>
      <w:r w:rsidRPr="00120AB6">
        <w:rPr>
          <w:rFonts w:eastAsia="Times New Roman" w:cs="Arial"/>
          <w:bCs/>
          <w:i/>
          <w:iCs/>
          <w:color w:val="000000"/>
          <w:szCs w:val="18"/>
          <w:u w:val="single"/>
          <w:lang w:val="en-US"/>
        </w:rPr>
        <w:t>A</w:t>
      </w:r>
      <w:r w:rsidRPr="00120AB6">
        <w:rPr>
          <w:rFonts w:eastAsia="Times New Roman" w:cs="Arial"/>
          <w:bCs/>
          <w:i/>
          <w:iCs/>
          <w:color w:val="000000"/>
          <w:szCs w:val="18"/>
          <w:u w:val="single"/>
          <w:lang w:val="ru-RU"/>
        </w:rPr>
        <w:t>2</w:t>
      </w:r>
    </w:p>
    <w:p w14:paraId="0692F00B" w14:textId="163A763F" w:rsidR="00120AB6" w:rsidRPr="00120AB6" w:rsidRDefault="00120AB6" w:rsidP="00120AB6">
      <w:pPr>
        <w:rPr>
          <w:rFonts w:cs="Arial"/>
          <w:sz w:val="28"/>
        </w:rPr>
      </w:pPr>
    </w:p>
    <w:p w14:paraId="38B4612B" w14:textId="77777777"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Метаболизмът на оланзапин може да бъде индуциран от тютюнопушене и карбамазепин, което може да доведе до намаляване концентрациите на оланзапин. Наблюдава се само леко до умерено увеличение на клирънса на оланзапин. Клиничните последствия вероятно са ограничени, но се препоръчва клинично проследяване и може да се обмисли увеличаване на дозата оланзапин, ако е необходимо (вж. точка 4.2).</w:t>
      </w:r>
    </w:p>
    <w:p w14:paraId="782993A7" w14:textId="77777777" w:rsidR="00120AB6" w:rsidRPr="00120AB6" w:rsidRDefault="00120AB6" w:rsidP="00120AB6">
      <w:pPr>
        <w:spacing w:line="240" w:lineRule="auto"/>
        <w:rPr>
          <w:rFonts w:eastAsia="Times New Roman" w:cs="Arial"/>
          <w:bCs/>
          <w:i/>
          <w:iCs/>
          <w:color w:val="000000"/>
          <w:szCs w:val="18"/>
          <w:u w:val="single"/>
          <w:lang w:eastAsia="bg-BG"/>
        </w:rPr>
      </w:pPr>
    </w:p>
    <w:p w14:paraId="7B007C3E" w14:textId="211D3290"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u w:val="single"/>
          <w:lang w:eastAsia="bg-BG"/>
        </w:rPr>
        <w:t xml:space="preserve">Инхибиране на </w:t>
      </w:r>
      <w:r w:rsidRPr="00120AB6">
        <w:rPr>
          <w:rFonts w:eastAsia="Times New Roman" w:cs="Arial"/>
          <w:bCs/>
          <w:i/>
          <w:iCs/>
          <w:color w:val="000000"/>
          <w:szCs w:val="18"/>
          <w:u w:val="single"/>
          <w:lang w:val="en-US"/>
        </w:rPr>
        <w:t>CYP</w:t>
      </w:r>
      <w:r w:rsidRPr="00120AB6">
        <w:rPr>
          <w:rFonts w:eastAsia="Times New Roman" w:cs="Arial"/>
          <w:bCs/>
          <w:i/>
          <w:iCs/>
          <w:color w:val="000000"/>
          <w:szCs w:val="18"/>
          <w:u w:val="single"/>
          <w:lang w:val="ru-RU"/>
        </w:rPr>
        <w:t>1</w:t>
      </w:r>
      <w:r w:rsidRPr="00120AB6">
        <w:rPr>
          <w:rFonts w:eastAsia="Times New Roman" w:cs="Arial"/>
          <w:bCs/>
          <w:i/>
          <w:iCs/>
          <w:color w:val="000000"/>
          <w:szCs w:val="18"/>
          <w:u w:val="single"/>
          <w:lang w:val="en-US"/>
        </w:rPr>
        <w:t>A</w:t>
      </w:r>
      <w:r w:rsidRPr="00120AB6">
        <w:rPr>
          <w:rFonts w:eastAsia="Times New Roman" w:cs="Arial"/>
          <w:bCs/>
          <w:i/>
          <w:iCs/>
          <w:color w:val="000000"/>
          <w:szCs w:val="18"/>
          <w:u w:val="single"/>
          <w:lang w:val="ru-RU"/>
        </w:rPr>
        <w:t>2</w:t>
      </w:r>
    </w:p>
    <w:p w14:paraId="5369FD34" w14:textId="77777777" w:rsidR="00120AB6" w:rsidRPr="00120AB6" w:rsidRDefault="00120AB6" w:rsidP="00120AB6">
      <w:pPr>
        <w:spacing w:line="240" w:lineRule="auto"/>
        <w:rPr>
          <w:rFonts w:eastAsia="Times New Roman" w:cs="Arial"/>
          <w:bCs/>
          <w:color w:val="000000"/>
          <w:szCs w:val="18"/>
          <w:lang w:eastAsia="bg-BG"/>
        </w:rPr>
      </w:pPr>
    </w:p>
    <w:p w14:paraId="5CAB5D9E" w14:textId="6E126999"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 xml:space="preserve">Флувоксамин, специфичен инхибитор на </w:t>
      </w:r>
      <w:r w:rsidRPr="00120AB6">
        <w:rPr>
          <w:rFonts w:eastAsia="Times New Roman" w:cs="Arial"/>
          <w:bCs/>
          <w:color w:val="000000"/>
          <w:szCs w:val="18"/>
          <w:lang w:val="en-US"/>
        </w:rPr>
        <w:t>CYP</w:t>
      </w:r>
      <w:r w:rsidRPr="00120AB6">
        <w:rPr>
          <w:rFonts w:eastAsia="Times New Roman" w:cs="Arial"/>
          <w:bCs/>
          <w:color w:val="000000"/>
          <w:szCs w:val="18"/>
          <w:lang w:val="ru-RU"/>
        </w:rPr>
        <w:t>1</w:t>
      </w:r>
      <w:r w:rsidRPr="00120AB6">
        <w:rPr>
          <w:rFonts w:eastAsia="Times New Roman" w:cs="Arial"/>
          <w:bCs/>
          <w:color w:val="000000"/>
          <w:szCs w:val="18"/>
          <w:lang w:val="en-US"/>
        </w:rPr>
        <w:t>A</w:t>
      </w:r>
      <w:r w:rsidRPr="00120AB6">
        <w:rPr>
          <w:rFonts w:eastAsia="Times New Roman" w:cs="Arial"/>
          <w:bCs/>
          <w:color w:val="000000"/>
          <w:szCs w:val="18"/>
          <w:lang w:val="ru-RU"/>
        </w:rPr>
        <w:t xml:space="preserve">2, </w:t>
      </w:r>
      <w:r w:rsidRPr="00120AB6">
        <w:rPr>
          <w:rFonts w:eastAsia="Times New Roman" w:cs="Arial"/>
          <w:bCs/>
          <w:color w:val="000000"/>
          <w:szCs w:val="18"/>
          <w:lang w:eastAsia="bg-BG"/>
        </w:rPr>
        <w:t>е показал значително инхибиране на метаболизма на оланзапин. Средното увеличение на С</w:t>
      </w:r>
      <w:r w:rsidRPr="00120AB6">
        <w:rPr>
          <w:rFonts w:eastAsia="Times New Roman" w:cs="Arial"/>
          <w:bCs/>
          <w:color w:val="000000"/>
          <w:szCs w:val="18"/>
          <w:vertAlign w:val="subscript"/>
          <w:lang w:val="en-US"/>
        </w:rPr>
        <w:t>max</w:t>
      </w:r>
      <w:r w:rsidRPr="00120AB6">
        <w:rPr>
          <w:rFonts w:eastAsia="Times New Roman" w:cs="Arial"/>
          <w:bCs/>
          <w:color w:val="000000"/>
          <w:szCs w:val="18"/>
          <w:lang w:eastAsia="bg-BG"/>
        </w:rPr>
        <w:t xml:space="preserve"> на оланзапин след флувоксамин е 54% при жени непушачки и 77% при мъже пушачи. Средното увеличение в </w:t>
      </w:r>
      <w:r w:rsidRPr="00120AB6">
        <w:rPr>
          <w:rFonts w:eastAsia="Times New Roman" w:cs="Arial"/>
          <w:bCs/>
          <w:color w:val="000000"/>
          <w:szCs w:val="18"/>
          <w:lang w:val="en-US"/>
        </w:rPr>
        <w:t>AUC</w:t>
      </w:r>
      <w:r w:rsidRPr="00120AB6">
        <w:rPr>
          <w:rFonts w:eastAsia="Times New Roman" w:cs="Arial"/>
          <w:bCs/>
          <w:color w:val="000000"/>
          <w:szCs w:val="18"/>
          <w:lang w:val="ru-RU"/>
        </w:rPr>
        <w:t xml:space="preserve"> </w:t>
      </w:r>
      <w:r w:rsidRPr="00120AB6">
        <w:rPr>
          <w:rFonts w:eastAsia="Times New Roman" w:cs="Arial"/>
          <w:bCs/>
          <w:color w:val="000000"/>
          <w:szCs w:val="18"/>
          <w:lang w:eastAsia="bg-BG"/>
        </w:rPr>
        <w:t xml:space="preserve">на оланзапин е съответно 52% и 108%. Трябва да се обмисли по- ниска начална доза на оланзапин при пациенти, които приемат флувоксамин или някой друг инхибитор на </w:t>
      </w:r>
      <w:r w:rsidRPr="00120AB6">
        <w:rPr>
          <w:rFonts w:eastAsia="Times New Roman" w:cs="Arial"/>
          <w:bCs/>
          <w:color w:val="000000"/>
          <w:szCs w:val="18"/>
          <w:lang w:val="en-US"/>
        </w:rPr>
        <w:t>CYP</w:t>
      </w:r>
      <w:r w:rsidRPr="00120AB6">
        <w:rPr>
          <w:rFonts w:eastAsia="Times New Roman" w:cs="Arial"/>
          <w:bCs/>
          <w:color w:val="000000"/>
          <w:szCs w:val="18"/>
          <w:lang w:val="ru-RU"/>
        </w:rPr>
        <w:t>1</w:t>
      </w:r>
      <w:r w:rsidRPr="00120AB6">
        <w:rPr>
          <w:rFonts w:eastAsia="Times New Roman" w:cs="Arial"/>
          <w:bCs/>
          <w:color w:val="000000"/>
          <w:szCs w:val="18"/>
          <w:lang w:val="en-US"/>
        </w:rPr>
        <w:t>A</w:t>
      </w:r>
      <w:r w:rsidRPr="00120AB6">
        <w:rPr>
          <w:rFonts w:eastAsia="Times New Roman" w:cs="Arial"/>
          <w:bCs/>
          <w:color w:val="000000"/>
          <w:szCs w:val="18"/>
          <w:lang w:val="ru-RU"/>
        </w:rPr>
        <w:t xml:space="preserve">2, </w:t>
      </w:r>
      <w:r w:rsidRPr="00120AB6">
        <w:rPr>
          <w:rFonts w:eastAsia="Times New Roman" w:cs="Arial"/>
          <w:bCs/>
          <w:color w:val="000000"/>
          <w:szCs w:val="18"/>
          <w:lang w:eastAsia="bg-BG"/>
        </w:rPr>
        <w:t xml:space="preserve">например ципрофлоксацин. Намаляване в дозата на оланзапин трябва да се обмисли, ако се започва лечение с инхибитор на </w:t>
      </w:r>
      <w:r w:rsidRPr="00120AB6">
        <w:rPr>
          <w:rFonts w:eastAsia="Times New Roman" w:cs="Arial"/>
          <w:bCs/>
          <w:color w:val="000000"/>
          <w:szCs w:val="18"/>
          <w:lang w:val="en-US"/>
        </w:rPr>
        <w:t>CYP</w:t>
      </w:r>
      <w:r w:rsidRPr="00120AB6">
        <w:rPr>
          <w:rFonts w:eastAsia="Times New Roman" w:cs="Arial"/>
          <w:bCs/>
          <w:color w:val="000000"/>
          <w:szCs w:val="18"/>
          <w:lang w:val="ru-RU"/>
        </w:rPr>
        <w:t>1</w:t>
      </w:r>
      <w:r w:rsidRPr="00120AB6">
        <w:rPr>
          <w:rFonts w:eastAsia="Times New Roman" w:cs="Arial"/>
          <w:bCs/>
          <w:color w:val="000000"/>
          <w:szCs w:val="18"/>
          <w:lang w:eastAsia="bg-BG"/>
        </w:rPr>
        <w:t>А2.</w:t>
      </w:r>
    </w:p>
    <w:p w14:paraId="05BE710E" w14:textId="77777777" w:rsidR="00120AB6" w:rsidRPr="00120AB6" w:rsidRDefault="00120AB6" w:rsidP="00120AB6">
      <w:pPr>
        <w:spacing w:line="240" w:lineRule="auto"/>
        <w:rPr>
          <w:rFonts w:eastAsia="Times New Roman" w:cs="Arial"/>
          <w:bCs/>
          <w:i/>
          <w:iCs/>
          <w:color w:val="000000"/>
          <w:szCs w:val="18"/>
          <w:u w:val="single"/>
          <w:lang w:eastAsia="bg-BG"/>
        </w:rPr>
      </w:pPr>
    </w:p>
    <w:p w14:paraId="3533636C" w14:textId="2423A004"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u w:val="single"/>
          <w:lang w:eastAsia="bg-BG"/>
        </w:rPr>
        <w:t>Намаляване на бионаличността</w:t>
      </w:r>
    </w:p>
    <w:p w14:paraId="0B7689BB" w14:textId="77777777" w:rsidR="00120AB6" w:rsidRPr="00120AB6" w:rsidRDefault="00120AB6" w:rsidP="00120AB6">
      <w:pPr>
        <w:spacing w:line="240" w:lineRule="auto"/>
        <w:rPr>
          <w:rFonts w:eastAsia="Times New Roman" w:cs="Arial"/>
          <w:bCs/>
          <w:color w:val="000000"/>
          <w:szCs w:val="18"/>
          <w:lang w:eastAsia="bg-BG"/>
        </w:rPr>
      </w:pPr>
    </w:p>
    <w:p w14:paraId="0F79E4BA" w14:textId="7603D104"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Активният въглен намалява бионаличността на пероралния оланзапин с 50 до 60% и трябва да се приема поне 2 часа преди или след оланзапин.</w:t>
      </w:r>
    </w:p>
    <w:p w14:paraId="3FED444C" w14:textId="77777777" w:rsidR="00120AB6" w:rsidRPr="00120AB6" w:rsidRDefault="00120AB6" w:rsidP="00120AB6">
      <w:pPr>
        <w:spacing w:line="240" w:lineRule="auto"/>
        <w:rPr>
          <w:rFonts w:eastAsia="Times New Roman" w:cs="Arial"/>
          <w:bCs/>
          <w:color w:val="000000"/>
          <w:szCs w:val="18"/>
          <w:lang w:eastAsia="bg-BG"/>
        </w:rPr>
      </w:pPr>
    </w:p>
    <w:p w14:paraId="524879C7" w14:textId="5D8E8766"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 xml:space="preserve">Няма данни, че флуоксетин (инхибитор на </w:t>
      </w:r>
      <w:r w:rsidRPr="00120AB6">
        <w:rPr>
          <w:rFonts w:eastAsia="Times New Roman" w:cs="Arial"/>
          <w:bCs/>
          <w:color w:val="000000"/>
          <w:szCs w:val="18"/>
          <w:lang w:val="en-US"/>
        </w:rPr>
        <w:t>CYP</w:t>
      </w:r>
      <w:r w:rsidRPr="00120AB6">
        <w:rPr>
          <w:rFonts w:eastAsia="Times New Roman" w:cs="Arial"/>
          <w:bCs/>
          <w:color w:val="000000"/>
          <w:szCs w:val="18"/>
          <w:lang w:val="ru-RU"/>
        </w:rPr>
        <w:t>2</w:t>
      </w:r>
      <w:r w:rsidRPr="00120AB6">
        <w:rPr>
          <w:rFonts w:eastAsia="Times New Roman" w:cs="Arial"/>
          <w:bCs/>
          <w:color w:val="000000"/>
          <w:szCs w:val="18"/>
          <w:lang w:val="en-US"/>
        </w:rPr>
        <w:t>D</w:t>
      </w:r>
      <w:r w:rsidRPr="00120AB6">
        <w:rPr>
          <w:rFonts w:eastAsia="Times New Roman" w:cs="Arial"/>
          <w:bCs/>
          <w:color w:val="000000"/>
          <w:szCs w:val="18"/>
          <w:lang w:val="ru-RU"/>
        </w:rPr>
        <w:t xml:space="preserve">6), </w:t>
      </w:r>
      <w:r w:rsidRPr="00120AB6">
        <w:rPr>
          <w:rFonts w:eastAsia="Times New Roman" w:cs="Arial"/>
          <w:bCs/>
          <w:color w:val="000000"/>
          <w:szCs w:val="18"/>
          <w:lang w:eastAsia="bg-BG"/>
        </w:rPr>
        <w:t>единични дози антиацид (алуминий, магнезий) или циметидин значимо повлияват фармакокинетиката на оланзапин.</w:t>
      </w:r>
    </w:p>
    <w:p w14:paraId="250853FC" w14:textId="77777777" w:rsidR="00120AB6" w:rsidRPr="00120AB6" w:rsidRDefault="00120AB6" w:rsidP="00120AB6">
      <w:pPr>
        <w:spacing w:line="240" w:lineRule="auto"/>
        <w:rPr>
          <w:rFonts w:eastAsia="Times New Roman" w:cs="Arial"/>
          <w:bCs/>
          <w:i/>
          <w:iCs/>
          <w:color w:val="000000"/>
          <w:szCs w:val="18"/>
          <w:u w:val="single"/>
          <w:lang w:eastAsia="bg-BG"/>
        </w:rPr>
      </w:pPr>
    </w:p>
    <w:p w14:paraId="4174A8B3" w14:textId="0C61F533"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u w:val="single"/>
          <w:lang w:eastAsia="bg-BG"/>
        </w:rPr>
        <w:t>Потенциално влияние на оланзапин върху други лекарствени продукти</w:t>
      </w:r>
    </w:p>
    <w:p w14:paraId="236974FD" w14:textId="77777777" w:rsidR="00120AB6" w:rsidRPr="00120AB6" w:rsidRDefault="00120AB6" w:rsidP="00120AB6">
      <w:pPr>
        <w:spacing w:line="240" w:lineRule="auto"/>
        <w:rPr>
          <w:rFonts w:eastAsia="Times New Roman" w:cs="Arial"/>
          <w:bCs/>
          <w:color w:val="000000"/>
          <w:szCs w:val="18"/>
          <w:lang w:eastAsia="bg-BG"/>
        </w:rPr>
      </w:pPr>
    </w:p>
    <w:p w14:paraId="3378B9F6" w14:textId="4B8AB5B3"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Оланзапин може да антагонизира ефектите на преките и непреките допаминови агонисти.</w:t>
      </w:r>
    </w:p>
    <w:p w14:paraId="347C01CB" w14:textId="77777777" w:rsidR="00120AB6" w:rsidRPr="00120AB6" w:rsidRDefault="00120AB6" w:rsidP="00120AB6">
      <w:pPr>
        <w:spacing w:line="240" w:lineRule="auto"/>
        <w:rPr>
          <w:rFonts w:eastAsia="Times New Roman" w:cs="Arial"/>
          <w:bCs/>
          <w:color w:val="000000"/>
          <w:szCs w:val="18"/>
          <w:lang w:eastAsia="bg-BG"/>
        </w:rPr>
      </w:pPr>
    </w:p>
    <w:p w14:paraId="3982F187" w14:textId="1FB9C309"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 xml:space="preserve">Оланзапин не инхибира основните ензими на </w:t>
      </w:r>
      <w:r w:rsidRPr="00120AB6">
        <w:rPr>
          <w:rFonts w:eastAsia="Times New Roman" w:cs="Arial"/>
          <w:bCs/>
          <w:color w:val="000000"/>
          <w:szCs w:val="18"/>
          <w:lang w:val="en-US"/>
        </w:rPr>
        <w:t>CYP</w:t>
      </w:r>
      <w:r w:rsidRPr="00120AB6">
        <w:rPr>
          <w:rFonts w:eastAsia="Times New Roman" w:cs="Arial"/>
          <w:bCs/>
          <w:color w:val="000000"/>
          <w:szCs w:val="18"/>
          <w:lang w:val="ru-RU"/>
        </w:rPr>
        <w:t xml:space="preserve">450 </w:t>
      </w:r>
      <w:r w:rsidRPr="00120AB6">
        <w:rPr>
          <w:rFonts w:eastAsia="Times New Roman" w:cs="Arial"/>
          <w:bCs/>
          <w:i/>
          <w:iCs/>
          <w:color w:val="000000"/>
          <w:szCs w:val="18"/>
          <w:lang w:val="en-US"/>
        </w:rPr>
        <w:t>in</w:t>
      </w:r>
      <w:r w:rsidRPr="00120AB6">
        <w:rPr>
          <w:rFonts w:eastAsia="Times New Roman" w:cs="Arial"/>
          <w:bCs/>
          <w:i/>
          <w:iCs/>
          <w:color w:val="000000"/>
          <w:szCs w:val="18"/>
          <w:lang w:val="ru-RU"/>
        </w:rPr>
        <w:t xml:space="preserve"> </w:t>
      </w:r>
      <w:r w:rsidRPr="00120AB6">
        <w:rPr>
          <w:rFonts w:eastAsia="Times New Roman" w:cs="Arial"/>
          <w:bCs/>
          <w:i/>
          <w:iCs/>
          <w:color w:val="000000"/>
          <w:szCs w:val="18"/>
          <w:lang w:val="en-US"/>
        </w:rPr>
        <w:t>vitro</w:t>
      </w:r>
      <w:r w:rsidRPr="00120AB6">
        <w:rPr>
          <w:rFonts w:eastAsia="Times New Roman" w:cs="Arial"/>
          <w:bCs/>
          <w:color w:val="000000"/>
          <w:szCs w:val="18"/>
          <w:lang w:val="ru-RU"/>
        </w:rPr>
        <w:t xml:space="preserve"> </w:t>
      </w:r>
      <w:r w:rsidRPr="00120AB6">
        <w:rPr>
          <w:rFonts w:eastAsia="Times New Roman" w:cs="Arial"/>
          <w:bCs/>
          <w:color w:val="000000"/>
          <w:szCs w:val="18"/>
          <w:lang w:eastAsia="bg-BG"/>
        </w:rPr>
        <w:t>(например 1А2,</w:t>
      </w:r>
      <w:r w:rsidRPr="00120AB6">
        <w:rPr>
          <w:rFonts w:eastAsia="Times New Roman" w:cs="Arial"/>
          <w:bCs/>
          <w:color w:val="000000"/>
          <w:szCs w:val="18"/>
          <w:lang w:val="ru-RU"/>
        </w:rPr>
        <w:t>2</w:t>
      </w:r>
      <w:r w:rsidRPr="00120AB6">
        <w:rPr>
          <w:rFonts w:eastAsia="Times New Roman" w:cs="Arial"/>
          <w:bCs/>
          <w:color w:val="000000"/>
          <w:szCs w:val="18"/>
          <w:lang w:val="en-US"/>
        </w:rPr>
        <w:t>D</w:t>
      </w:r>
      <w:r w:rsidRPr="00120AB6">
        <w:rPr>
          <w:rFonts w:eastAsia="Times New Roman" w:cs="Arial"/>
          <w:bCs/>
          <w:color w:val="000000"/>
          <w:szCs w:val="18"/>
          <w:lang w:val="ru-RU"/>
        </w:rPr>
        <w:t>6,</w:t>
      </w:r>
      <w:r w:rsidRPr="00120AB6">
        <w:rPr>
          <w:rFonts w:eastAsia="Times New Roman" w:cs="Arial"/>
          <w:bCs/>
          <w:color w:val="000000"/>
          <w:szCs w:val="18"/>
          <w:lang w:eastAsia="bg-BG"/>
        </w:rPr>
        <w:t xml:space="preserve">2С9, 2С19, ЗА4). Поради това никакви по-особени взаимодействия не се очакват, както и се доказва чрез проучванията </w:t>
      </w:r>
      <w:r w:rsidRPr="00120AB6">
        <w:rPr>
          <w:rFonts w:eastAsia="Times New Roman" w:cs="Arial"/>
          <w:bCs/>
          <w:i/>
          <w:iCs/>
          <w:color w:val="000000"/>
          <w:szCs w:val="18"/>
          <w:lang w:val="en-US"/>
        </w:rPr>
        <w:t>in</w:t>
      </w:r>
      <w:r w:rsidRPr="00120AB6">
        <w:rPr>
          <w:rFonts w:eastAsia="Times New Roman" w:cs="Arial"/>
          <w:bCs/>
          <w:i/>
          <w:iCs/>
          <w:color w:val="000000"/>
          <w:szCs w:val="18"/>
          <w:lang w:val="ru-RU"/>
        </w:rPr>
        <w:t xml:space="preserve"> </w:t>
      </w:r>
      <w:r w:rsidRPr="00120AB6">
        <w:rPr>
          <w:rFonts w:eastAsia="Times New Roman" w:cs="Arial"/>
          <w:bCs/>
          <w:i/>
          <w:iCs/>
          <w:color w:val="000000"/>
          <w:szCs w:val="18"/>
          <w:lang w:val="en-US"/>
        </w:rPr>
        <w:t>vivo</w:t>
      </w:r>
      <w:r w:rsidRPr="00120AB6">
        <w:rPr>
          <w:rFonts w:eastAsia="Times New Roman" w:cs="Arial"/>
          <w:bCs/>
          <w:i/>
          <w:iCs/>
          <w:color w:val="000000"/>
          <w:szCs w:val="18"/>
          <w:lang w:val="ru-RU"/>
        </w:rPr>
        <w:t>,</w:t>
      </w:r>
      <w:r w:rsidRPr="00120AB6">
        <w:rPr>
          <w:rFonts w:eastAsia="Times New Roman" w:cs="Arial"/>
          <w:bCs/>
          <w:color w:val="000000"/>
          <w:szCs w:val="18"/>
          <w:lang w:val="ru-RU"/>
        </w:rPr>
        <w:t xml:space="preserve"> </w:t>
      </w:r>
      <w:r w:rsidRPr="00120AB6">
        <w:rPr>
          <w:rFonts w:eastAsia="Times New Roman" w:cs="Arial"/>
          <w:bCs/>
          <w:color w:val="000000"/>
          <w:szCs w:val="18"/>
          <w:lang w:eastAsia="bg-BG"/>
        </w:rPr>
        <w:t xml:space="preserve">където не се установява инхибиране на метаболизма на следните активни вещества: трициклични антидепресанти (представени основно от пътя на </w:t>
      </w:r>
      <w:r w:rsidRPr="00120AB6">
        <w:rPr>
          <w:rFonts w:eastAsia="Times New Roman" w:cs="Arial"/>
          <w:bCs/>
          <w:color w:val="000000"/>
          <w:szCs w:val="18"/>
          <w:lang w:val="en-US"/>
        </w:rPr>
        <w:t>CYP</w:t>
      </w:r>
      <w:r w:rsidRPr="00120AB6">
        <w:rPr>
          <w:rFonts w:eastAsia="Times New Roman" w:cs="Arial"/>
          <w:bCs/>
          <w:color w:val="000000"/>
          <w:szCs w:val="18"/>
          <w:lang w:val="ru-RU"/>
        </w:rPr>
        <w:t>2</w:t>
      </w:r>
      <w:r w:rsidRPr="00120AB6">
        <w:rPr>
          <w:rFonts w:eastAsia="Times New Roman" w:cs="Arial"/>
          <w:bCs/>
          <w:color w:val="000000"/>
          <w:szCs w:val="18"/>
          <w:lang w:val="en-US"/>
        </w:rPr>
        <w:t>D</w:t>
      </w:r>
      <w:r w:rsidRPr="00120AB6">
        <w:rPr>
          <w:rFonts w:eastAsia="Times New Roman" w:cs="Arial"/>
          <w:bCs/>
          <w:color w:val="000000"/>
          <w:szCs w:val="18"/>
          <w:lang w:val="ru-RU"/>
        </w:rPr>
        <w:t xml:space="preserve">6), </w:t>
      </w:r>
      <w:r w:rsidRPr="00120AB6">
        <w:rPr>
          <w:rFonts w:eastAsia="Times New Roman" w:cs="Arial"/>
          <w:bCs/>
          <w:color w:val="000000"/>
          <w:szCs w:val="18"/>
          <w:lang w:eastAsia="bg-BG"/>
        </w:rPr>
        <w:t xml:space="preserve">варфарин </w:t>
      </w:r>
      <w:r w:rsidRPr="00120AB6">
        <w:rPr>
          <w:rFonts w:eastAsia="Times New Roman" w:cs="Arial"/>
          <w:bCs/>
          <w:color w:val="000000"/>
          <w:szCs w:val="18"/>
          <w:lang w:val="ru-RU"/>
        </w:rPr>
        <w:t>(</w:t>
      </w:r>
      <w:r w:rsidRPr="00120AB6">
        <w:rPr>
          <w:rFonts w:eastAsia="Times New Roman" w:cs="Arial"/>
          <w:bCs/>
          <w:color w:val="000000"/>
          <w:szCs w:val="18"/>
          <w:lang w:val="en-US"/>
        </w:rPr>
        <w:t>CYP</w:t>
      </w:r>
      <w:r w:rsidRPr="00120AB6">
        <w:rPr>
          <w:rFonts w:eastAsia="Times New Roman" w:cs="Arial"/>
          <w:bCs/>
          <w:color w:val="000000"/>
          <w:szCs w:val="18"/>
          <w:lang w:val="ru-RU"/>
        </w:rPr>
        <w:t>2</w:t>
      </w:r>
      <w:r w:rsidRPr="00120AB6">
        <w:rPr>
          <w:rFonts w:eastAsia="Times New Roman" w:cs="Arial"/>
          <w:bCs/>
          <w:color w:val="000000"/>
          <w:szCs w:val="18"/>
          <w:lang w:val="en-US"/>
        </w:rPr>
        <w:t>C</w:t>
      </w:r>
      <w:r w:rsidRPr="00120AB6">
        <w:rPr>
          <w:rFonts w:eastAsia="Times New Roman" w:cs="Arial"/>
          <w:bCs/>
          <w:color w:val="000000"/>
          <w:szCs w:val="18"/>
          <w:lang w:val="ru-RU"/>
        </w:rPr>
        <w:t xml:space="preserve">9), </w:t>
      </w:r>
      <w:r w:rsidRPr="00120AB6">
        <w:rPr>
          <w:rFonts w:eastAsia="Times New Roman" w:cs="Arial"/>
          <w:bCs/>
          <w:color w:val="000000"/>
          <w:szCs w:val="18"/>
          <w:lang w:eastAsia="bg-BG"/>
        </w:rPr>
        <w:t xml:space="preserve">теофилин </w:t>
      </w:r>
      <w:r w:rsidRPr="00120AB6">
        <w:rPr>
          <w:rFonts w:eastAsia="Times New Roman" w:cs="Arial"/>
          <w:bCs/>
          <w:color w:val="000000"/>
          <w:szCs w:val="18"/>
          <w:lang w:val="ru-RU"/>
        </w:rPr>
        <w:t>(</w:t>
      </w:r>
      <w:r w:rsidRPr="00120AB6">
        <w:rPr>
          <w:rFonts w:eastAsia="Times New Roman" w:cs="Arial"/>
          <w:bCs/>
          <w:color w:val="000000"/>
          <w:szCs w:val="18"/>
          <w:lang w:val="en-US"/>
        </w:rPr>
        <w:t>CYP</w:t>
      </w:r>
      <w:r w:rsidRPr="00120AB6">
        <w:rPr>
          <w:rFonts w:eastAsia="Times New Roman" w:cs="Arial"/>
          <w:bCs/>
          <w:color w:val="000000"/>
          <w:szCs w:val="18"/>
          <w:lang w:val="ru-RU"/>
        </w:rPr>
        <w:t>1</w:t>
      </w:r>
      <w:r w:rsidRPr="00120AB6">
        <w:rPr>
          <w:rFonts w:eastAsia="Times New Roman" w:cs="Arial"/>
          <w:bCs/>
          <w:color w:val="000000"/>
          <w:szCs w:val="18"/>
          <w:lang w:val="en-US"/>
        </w:rPr>
        <w:t>A</w:t>
      </w:r>
      <w:r w:rsidRPr="00120AB6">
        <w:rPr>
          <w:rFonts w:eastAsia="Times New Roman" w:cs="Arial"/>
          <w:bCs/>
          <w:color w:val="000000"/>
          <w:szCs w:val="18"/>
          <w:lang w:val="ru-RU"/>
        </w:rPr>
        <w:t xml:space="preserve">2) </w:t>
      </w:r>
      <w:r w:rsidRPr="00120AB6">
        <w:rPr>
          <w:rFonts w:eastAsia="Times New Roman" w:cs="Arial"/>
          <w:bCs/>
          <w:color w:val="000000"/>
          <w:szCs w:val="18"/>
          <w:lang w:eastAsia="bg-BG"/>
        </w:rPr>
        <w:t xml:space="preserve">или диазепам </w:t>
      </w:r>
      <w:r w:rsidRPr="00120AB6">
        <w:rPr>
          <w:rFonts w:eastAsia="Times New Roman" w:cs="Arial"/>
          <w:bCs/>
          <w:color w:val="000000"/>
          <w:szCs w:val="18"/>
          <w:lang w:val="ru-RU"/>
        </w:rPr>
        <w:t>(</w:t>
      </w:r>
      <w:r w:rsidRPr="00120AB6">
        <w:rPr>
          <w:rFonts w:eastAsia="Times New Roman" w:cs="Arial"/>
          <w:bCs/>
          <w:color w:val="000000"/>
          <w:szCs w:val="18"/>
          <w:lang w:val="en-US"/>
        </w:rPr>
        <w:t>CYP</w:t>
      </w:r>
      <w:r w:rsidRPr="00120AB6">
        <w:rPr>
          <w:rFonts w:eastAsia="Times New Roman" w:cs="Arial"/>
          <w:bCs/>
          <w:color w:val="000000"/>
          <w:szCs w:val="18"/>
          <w:lang w:val="ru-RU"/>
        </w:rPr>
        <w:t>3</w:t>
      </w:r>
      <w:r w:rsidRPr="00120AB6">
        <w:rPr>
          <w:rFonts w:eastAsia="Times New Roman" w:cs="Arial"/>
          <w:bCs/>
          <w:color w:val="000000"/>
          <w:szCs w:val="18"/>
          <w:lang w:val="en-US"/>
        </w:rPr>
        <w:t>A</w:t>
      </w:r>
      <w:r w:rsidRPr="00120AB6">
        <w:rPr>
          <w:rFonts w:eastAsia="Times New Roman" w:cs="Arial"/>
          <w:bCs/>
          <w:color w:val="000000"/>
          <w:szCs w:val="18"/>
          <w:lang w:val="ru-RU"/>
        </w:rPr>
        <w:t xml:space="preserve">4 </w:t>
      </w:r>
      <w:r w:rsidRPr="00120AB6">
        <w:rPr>
          <w:rFonts w:eastAsia="Times New Roman" w:cs="Arial"/>
          <w:bCs/>
          <w:color w:val="000000"/>
          <w:szCs w:val="18"/>
          <w:lang w:eastAsia="bg-BG"/>
        </w:rPr>
        <w:t>и 2С19).</w:t>
      </w:r>
    </w:p>
    <w:p w14:paraId="650B3EFE" w14:textId="77777777" w:rsidR="00120AB6" w:rsidRPr="00120AB6" w:rsidRDefault="00120AB6" w:rsidP="00120AB6">
      <w:pPr>
        <w:spacing w:line="240" w:lineRule="auto"/>
        <w:rPr>
          <w:rFonts w:eastAsia="Times New Roman" w:cs="Arial"/>
          <w:bCs/>
          <w:color w:val="000000"/>
          <w:szCs w:val="18"/>
          <w:lang w:eastAsia="bg-BG"/>
        </w:rPr>
      </w:pPr>
    </w:p>
    <w:p w14:paraId="6F7895BE" w14:textId="145D9434"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Оланзапин не показва взаимодействие когато се прилага едновременно с литий или бипериден.</w:t>
      </w:r>
    </w:p>
    <w:p w14:paraId="736C7199" w14:textId="77777777" w:rsidR="00120AB6" w:rsidRPr="00120AB6" w:rsidRDefault="00120AB6" w:rsidP="00120AB6">
      <w:pPr>
        <w:spacing w:line="240" w:lineRule="auto"/>
        <w:rPr>
          <w:rFonts w:eastAsia="Times New Roman" w:cs="Arial"/>
          <w:bCs/>
          <w:color w:val="000000"/>
          <w:szCs w:val="18"/>
          <w:lang w:eastAsia="bg-BG"/>
        </w:rPr>
      </w:pPr>
    </w:p>
    <w:p w14:paraId="001581BA" w14:textId="7B7C87A3"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Терапевтичното проследяване на плазмените нива на валпроат не показват, че се налага коригиране на дозата валпроат след едновременното приложение с оланзапин.</w:t>
      </w:r>
    </w:p>
    <w:p w14:paraId="46B373E9" w14:textId="77777777" w:rsidR="00120AB6" w:rsidRPr="00120AB6" w:rsidRDefault="00120AB6" w:rsidP="00120AB6">
      <w:pPr>
        <w:spacing w:line="240" w:lineRule="auto"/>
        <w:rPr>
          <w:rFonts w:eastAsia="Times New Roman" w:cs="Arial"/>
          <w:bCs/>
          <w:i/>
          <w:iCs/>
          <w:color w:val="000000"/>
          <w:szCs w:val="18"/>
          <w:u w:val="single"/>
          <w:lang w:eastAsia="bg-BG"/>
        </w:rPr>
      </w:pPr>
    </w:p>
    <w:p w14:paraId="541E7F08" w14:textId="224EDE50"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u w:val="single"/>
          <w:lang w:eastAsia="bg-BG"/>
        </w:rPr>
        <w:t>Общо действие върху ЦНС</w:t>
      </w:r>
    </w:p>
    <w:p w14:paraId="5E4F865D" w14:textId="77777777" w:rsidR="00120AB6" w:rsidRPr="00120AB6" w:rsidRDefault="00120AB6" w:rsidP="00120AB6">
      <w:pPr>
        <w:spacing w:line="240" w:lineRule="auto"/>
        <w:rPr>
          <w:rFonts w:eastAsia="Times New Roman" w:cs="Arial"/>
          <w:bCs/>
          <w:color w:val="000000"/>
          <w:szCs w:val="18"/>
          <w:lang w:eastAsia="bg-BG"/>
        </w:rPr>
      </w:pPr>
    </w:p>
    <w:p w14:paraId="30FC342B" w14:textId="6D728B1B"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lastRenderedPageBreak/>
        <w:t>Трябва да се проявява повишено внимание при пациенти, които консумират алкохол или приемат лекарствени продукти с потискащо действие върху централната нервна система.</w:t>
      </w:r>
    </w:p>
    <w:p w14:paraId="2D1C23E1" w14:textId="77777777" w:rsidR="00120AB6" w:rsidRPr="00120AB6" w:rsidRDefault="00120AB6" w:rsidP="00120AB6">
      <w:pPr>
        <w:rPr>
          <w:rFonts w:eastAsia="Times New Roman" w:cs="Arial"/>
          <w:bCs/>
          <w:color w:val="000000"/>
          <w:szCs w:val="18"/>
          <w:lang w:eastAsia="bg-BG"/>
        </w:rPr>
      </w:pPr>
    </w:p>
    <w:p w14:paraId="5BD6F972" w14:textId="2B9947FB" w:rsidR="00120AB6" w:rsidRPr="00120AB6" w:rsidRDefault="00120AB6" w:rsidP="00120AB6">
      <w:pPr>
        <w:rPr>
          <w:rFonts w:eastAsia="Times New Roman" w:cs="Arial"/>
          <w:bCs/>
          <w:color w:val="000000"/>
          <w:szCs w:val="18"/>
          <w:lang w:eastAsia="bg-BG"/>
        </w:rPr>
      </w:pPr>
      <w:r w:rsidRPr="00120AB6">
        <w:rPr>
          <w:rFonts w:eastAsia="Times New Roman" w:cs="Arial"/>
          <w:bCs/>
          <w:color w:val="000000"/>
          <w:szCs w:val="18"/>
          <w:lang w:eastAsia="bg-BG"/>
        </w:rPr>
        <w:t>Не се препоръчва едновременно приложение на оланзапин с антипаркинсонови</w:t>
      </w:r>
      <w:r w:rsidRPr="00120AB6">
        <w:rPr>
          <w:rFonts w:eastAsia="Times New Roman" w:cs="Arial"/>
          <w:bCs/>
          <w:color w:val="000000"/>
          <w:szCs w:val="18"/>
          <w:vertAlign w:val="subscript"/>
          <w:lang w:eastAsia="bg-BG"/>
        </w:rPr>
        <w:t xml:space="preserve"> </w:t>
      </w:r>
      <w:r w:rsidRPr="00120AB6">
        <w:rPr>
          <w:rFonts w:eastAsia="Times New Roman" w:cs="Arial"/>
          <w:bCs/>
          <w:color w:val="000000"/>
          <w:szCs w:val="18"/>
          <w:lang w:eastAsia="bg-BG"/>
        </w:rPr>
        <w:t xml:space="preserve">лекарствени продукти при пациенти с болест на Паркинсон и деменция </w:t>
      </w:r>
      <w:r w:rsidRPr="00120AB6">
        <w:rPr>
          <w:rFonts w:eastAsia="Times New Roman" w:cs="Arial"/>
          <w:bCs/>
          <w:color w:val="000000"/>
          <w:szCs w:val="18"/>
          <w:lang w:val="ru-RU"/>
        </w:rPr>
        <w:t>(</w:t>
      </w:r>
      <w:r w:rsidRPr="00120AB6">
        <w:rPr>
          <w:rFonts w:eastAsia="Times New Roman" w:cs="Arial"/>
          <w:bCs/>
          <w:color w:val="000000"/>
          <w:szCs w:val="18"/>
          <w:lang w:eastAsia="bg-BG"/>
        </w:rPr>
        <w:t>вж. точка 4.4).</w:t>
      </w:r>
    </w:p>
    <w:p w14:paraId="326B2879" w14:textId="53FC7DF3" w:rsidR="00120AB6" w:rsidRPr="00120AB6" w:rsidRDefault="00120AB6" w:rsidP="00120AB6">
      <w:pPr>
        <w:rPr>
          <w:rFonts w:eastAsia="Times New Roman" w:cs="Arial"/>
          <w:bCs/>
          <w:color w:val="000000"/>
          <w:szCs w:val="18"/>
          <w:lang w:eastAsia="bg-BG"/>
        </w:rPr>
      </w:pPr>
    </w:p>
    <w:p w14:paraId="0F10C57E" w14:textId="77777777"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u w:val="single"/>
          <w:lang w:val="en-US"/>
        </w:rPr>
        <w:t>Q</w:t>
      </w:r>
      <w:r w:rsidRPr="00120AB6">
        <w:rPr>
          <w:rFonts w:eastAsia="Times New Roman" w:cs="Arial"/>
          <w:bCs/>
          <w:i/>
          <w:iCs/>
          <w:color w:val="000000"/>
          <w:szCs w:val="18"/>
          <w:u w:val="single"/>
          <w:lang w:eastAsia="bg-BG"/>
        </w:rPr>
        <w:t>Тс интервал</w:t>
      </w:r>
    </w:p>
    <w:p w14:paraId="015479D1" w14:textId="77777777" w:rsidR="00120AB6" w:rsidRPr="00120AB6" w:rsidRDefault="00120AB6" w:rsidP="00120AB6">
      <w:pPr>
        <w:rPr>
          <w:rFonts w:eastAsia="Times New Roman" w:cs="Arial"/>
          <w:bCs/>
          <w:color w:val="000000"/>
          <w:szCs w:val="18"/>
          <w:lang w:eastAsia="bg-BG"/>
        </w:rPr>
      </w:pPr>
    </w:p>
    <w:p w14:paraId="1878C4DF" w14:textId="17F8B4BA" w:rsidR="00120AB6" w:rsidRDefault="00120AB6" w:rsidP="00120AB6">
      <w:pPr>
        <w:rPr>
          <w:rFonts w:eastAsia="Times New Roman" w:cs="Arial"/>
          <w:bCs/>
          <w:color w:val="000000"/>
          <w:szCs w:val="18"/>
          <w:lang w:eastAsia="bg-BG"/>
        </w:rPr>
      </w:pPr>
      <w:r w:rsidRPr="00120AB6">
        <w:rPr>
          <w:rFonts w:eastAsia="Times New Roman" w:cs="Arial"/>
          <w:bCs/>
          <w:color w:val="000000"/>
          <w:szCs w:val="18"/>
          <w:lang w:eastAsia="bg-BG"/>
        </w:rPr>
        <w:t xml:space="preserve">Повишено внимание е необходимо при приложение на оланзапин едновременно с лекарствени продукти, за които е известно, че удължават </w:t>
      </w:r>
      <w:proofErr w:type="spellStart"/>
      <w:r w:rsidRPr="00120AB6">
        <w:rPr>
          <w:rFonts w:eastAsia="Times New Roman" w:cs="Arial"/>
          <w:bCs/>
          <w:color w:val="000000"/>
          <w:szCs w:val="18"/>
          <w:lang w:val="en-US"/>
        </w:rPr>
        <w:t>QTc</w:t>
      </w:r>
      <w:proofErr w:type="spellEnd"/>
      <w:r w:rsidRPr="00120AB6">
        <w:rPr>
          <w:rFonts w:eastAsia="Times New Roman" w:cs="Arial"/>
          <w:bCs/>
          <w:color w:val="000000"/>
          <w:szCs w:val="18"/>
          <w:lang w:val="ru-RU"/>
        </w:rPr>
        <w:t xml:space="preserve"> </w:t>
      </w:r>
      <w:r w:rsidRPr="00120AB6">
        <w:rPr>
          <w:rFonts w:eastAsia="Times New Roman" w:cs="Arial"/>
          <w:bCs/>
          <w:color w:val="000000"/>
          <w:szCs w:val="18"/>
          <w:lang w:eastAsia="bg-BG"/>
        </w:rPr>
        <w:t>интервала (вж. точка 4.4).</w:t>
      </w:r>
    </w:p>
    <w:p w14:paraId="3B3A0F5C" w14:textId="77777777" w:rsidR="00120AB6" w:rsidRPr="00120AB6" w:rsidRDefault="00120AB6" w:rsidP="00120AB6">
      <w:pPr>
        <w:rPr>
          <w:rFonts w:cs="Arial"/>
          <w:sz w:val="28"/>
        </w:rPr>
      </w:pPr>
    </w:p>
    <w:p w14:paraId="5D9F40EA" w14:textId="3D6C1F11" w:rsidR="007122AD" w:rsidRDefault="002C50EE" w:rsidP="00936AD0">
      <w:pPr>
        <w:pStyle w:val="Heading2"/>
      </w:pPr>
      <w:r>
        <w:t>4.6. Фертилитет, бременност и кърмене</w:t>
      </w:r>
    </w:p>
    <w:p w14:paraId="77F09ADA" w14:textId="64718891" w:rsidR="00120AB6" w:rsidRDefault="00120AB6" w:rsidP="00120AB6"/>
    <w:p w14:paraId="78350C5F" w14:textId="77777777" w:rsidR="00120AB6" w:rsidRPr="00120AB6" w:rsidRDefault="00120AB6" w:rsidP="00120AB6">
      <w:pPr>
        <w:pStyle w:val="Heading3"/>
        <w:rPr>
          <w:rFonts w:eastAsia="Times New Roman"/>
          <w:i/>
          <w:sz w:val="32"/>
        </w:rPr>
      </w:pPr>
      <w:r w:rsidRPr="00120AB6">
        <w:rPr>
          <w:rFonts w:eastAsia="Times New Roman"/>
          <w:i/>
          <w:lang w:eastAsia="bg-BG"/>
        </w:rPr>
        <w:t>Бременност</w:t>
      </w:r>
    </w:p>
    <w:p w14:paraId="4F6D83D6" w14:textId="77777777" w:rsidR="00120AB6" w:rsidRPr="00120AB6" w:rsidRDefault="00120AB6" w:rsidP="00120AB6">
      <w:pPr>
        <w:spacing w:line="240" w:lineRule="auto"/>
        <w:rPr>
          <w:rFonts w:eastAsia="Times New Roman" w:cs="Arial"/>
          <w:bCs/>
          <w:color w:val="000000"/>
          <w:szCs w:val="18"/>
          <w:lang w:eastAsia="bg-BG"/>
        </w:rPr>
      </w:pPr>
    </w:p>
    <w:p w14:paraId="26288409" w14:textId="0086D387" w:rsidR="00120AB6" w:rsidRPr="00120AB6" w:rsidRDefault="00120AB6" w:rsidP="00120AB6">
      <w:pPr>
        <w:spacing w:line="240" w:lineRule="auto"/>
        <w:rPr>
          <w:rFonts w:eastAsia="Times New Roman" w:cs="Arial"/>
          <w:bCs/>
          <w:color w:val="000000"/>
          <w:szCs w:val="18"/>
          <w:lang w:eastAsia="bg-BG"/>
        </w:rPr>
      </w:pPr>
      <w:r w:rsidRPr="00120AB6">
        <w:rPr>
          <w:rFonts w:eastAsia="Times New Roman" w:cs="Arial"/>
          <w:bCs/>
          <w:color w:val="000000"/>
          <w:szCs w:val="18"/>
          <w:lang w:eastAsia="bg-BG"/>
        </w:rPr>
        <w:t>Няма адекватни и добре контролирани проучвания при бременни жени. Пациентите трябва да бъдат посъветвани да уведомят своя лекар, ако забременеят или възнамеряват да забременяват по време на лечението с оланзапин. Но поради това, че клиничният опит е ограничен, оланзапин трябва да се прилага по време на бременност само ако потенциалната полза надвишава потенциалния риск за плода.</w:t>
      </w:r>
    </w:p>
    <w:p w14:paraId="18939092" w14:textId="77777777" w:rsidR="00120AB6" w:rsidRPr="00120AB6" w:rsidRDefault="00120AB6" w:rsidP="00120AB6">
      <w:pPr>
        <w:spacing w:line="240" w:lineRule="auto"/>
        <w:rPr>
          <w:rFonts w:eastAsia="Times New Roman" w:cs="Arial"/>
          <w:bCs/>
          <w:color w:val="000000"/>
          <w:szCs w:val="18"/>
          <w:lang w:eastAsia="bg-BG"/>
        </w:rPr>
      </w:pPr>
    </w:p>
    <w:p w14:paraId="7B5E19EB" w14:textId="37677F83"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При новородени бебета, изложени на антипсихотици (включително оланзапин) през третия триместър от бременността има риск от нежелани лекарствени реакции, включващи екстрапирамидни симптоми и/или симптоми на отнемане след раждането, които могат да варират по тежест и продължителност. Съобщавани са случаи на възбуда, хипертония, хипотония, тремор, сомнолентност, респираторен дистерс или хранителни разстройства. Затова, новородените трябва да бъдат внимателно мониторирани.</w:t>
      </w:r>
    </w:p>
    <w:p w14:paraId="46E2A178" w14:textId="77777777" w:rsidR="00120AB6" w:rsidRPr="00120AB6" w:rsidRDefault="00120AB6" w:rsidP="00120AB6">
      <w:pPr>
        <w:spacing w:line="240" w:lineRule="auto"/>
        <w:rPr>
          <w:rFonts w:eastAsia="Times New Roman" w:cs="Arial"/>
          <w:bCs/>
          <w:i/>
          <w:iCs/>
          <w:color w:val="000000"/>
          <w:szCs w:val="18"/>
          <w:lang w:eastAsia="bg-BG"/>
        </w:rPr>
      </w:pPr>
    </w:p>
    <w:p w14:paraId="6415459A" w14:textId="701DEB8E" w:rsidR="00120AB6" w:rsidRPr="00120AB6" w:rsidRDefault="00120AB6" w:rsidP="00120AB6">
      <w:pPr>
        <w:pStyle w:val="Heading3"/>
        <w:rPr>
          <w:rFonts w:eastAsia="Times New Roman"/>
          <w:i/>
          <w:sz w:val="32"/>
        </w:rPr>
      </w:pPr>
      <w:r w:rsidRPr="00120AB6">
        <w:rPr>
          <w:rFonts w:eastAsia="Times New Roman"/>
          <w:i/>
          <w:lang w:eastAsia="bg-BG"/>
        </w:rPr>
        <w:t>Кърмене</w:t>
      </w:r>
    </w:p>
    <w:p w14:paraId="201B453E" w14:textId="77777777" w:rsidR="00120AB6" w:rsidRPr="00120AB6" w:rsidRDefault="00120AB6" w:rsidP="00120AB6">
      <w:pPr>
        <w:spacing w:line="240" w:lineRule="auto"/>
        <w:rPr>
          <w:rFonts w:eastAsia="Times New Roman" w:cs="Arial"/>
          <w:bCs/>
          <w:color w:val="000000"/>
          <w:szCs w:val="18"/>
          <w:lang w:eastAsia="bg-BG"/>
        </w:rPr>
      </w:pPr>
    </w:p>
    <w:p w14:paraId="1F1C2141" w14:textId="7F594E3C"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 xml:space="preserve">В проучване при кърмещи здрави жени оланзапин се излъчва с майчиното мляко. Средната експозиция на новородено </w:t>
      </w:r>
      <w:r w:rsidRPr="00120AB6">
        <w:rPr>
          <w:rFonts w:eastAsia="Times New Roman" w:cs="Arial"/>
          <w:bCs/>
          <w:color w:val="000000"/>
          <w:szCs w:val="18"/>
          <w:lang w:val="ru-RU"/>
        </w:rPr>
        <w:t>(</w:t>
      </w:r>
      <w:r w:rsidRPr="00120AB6">
        <w:rPr>
          <w:rFonts w:eastAsia="Times New Roman" w:cs="Arial"/>
          <w:bCs/>
          <w:color w:val="000000"/>
          <w:szCs w:val="18"/>
          <w:lang w:val="en-US"/>
        </w:rPr>
        <w:t>mg</w:t>
      </w:r>
      <w:r w:rsidRPr="00120AB6">
        <w:rPr>
          <w:rFonts w:eastAsia="Times New Roman" w:cs="Arial"/>
          <w:bCs/>
          <w:color w:val="000000"/>
          <w:szCs w:val="18"/>
          <w:lang w:val="ru-RU"/>
        </w:rPr>
        <w:t>/</w:t>
      </w:r>
      <w:r w:rsidRPr="00120AB6">
        <w:rPr>
          <w:rFonts w:eastAsia="Times New Roman" w:cs="Arial"/>
          <w:bCs/>
          <w:color w:val="000000"/>
          <w:szCs w:val="18"/>
          <w:lang w:val="en-US"/>
        </w:rPr>
        <w:t>kg</w:t>
      </w:r>
      <w:r w:rsidRPr="00120AB6">
        <w:rPr>
          <w:rFonts w:eastAsia="Times New Roman" w:cs="Arial"/>
          <w:bCs/>
          <w:color w:val="000000"/>
          <w:szCs w:val="18"/>
          <w:lang w:val="ru-RU"/>
        </w:rPr>
        <w:t xml:space="preserve">) </w:t>
      </w:r>
      <w:r w:rsidRPr="00120AB6">
        <w:rPr>
          <w:rFonts w:eastAsia="Times New Roman" w:cs="Arial"/>
          <w:bCs/>
          <w:color w:val="000000"/>
          <w:szCs w:val="18"/>
          <w:lang w:eastAsia="bg-BG"/>
        </w:rPr>
        <w:t xml:space="preserve">в равновесно състояние се изчислява на 1,8% от майчината доза оланзапин </w:t>
      </w:r>
      <w:r w:rsidRPr="00120AB6">
        <w:rPr>
          <w:rFonts w:eastAsia="Times New Roman" w:cs="Arial"/>
          <w:bCs/>
          <w:color w:val="000000"/>
          <w:szCs w:val="18"/>
          <w:lang w:val="ru-RU"/>
        </w:rPr>
        <w:t>(</w:t>
      </w:r>
      <w:r w:rsidRPr="00120AB6">
        <w:rPr>
          <w:rFonts w:eastAsia="Times New Roman" w:cs="Arial"/>
          <w:bCs/>
          <w:color w:val="000000"/>
          <w:szCs w:val="18"/>
          <w:lang w:val="en-US"/>
        </w:rPr>
        <w:t>mg</w:t>
      </w:r>
      <w:r w:rsidRPr="00120AB6">
        <w:rPr>
          <w:rFonts w:eastAsia="Times New Roman" w:cs="Arial"/>
          <w:bCs/>
          <w:color w:val="000000"/>
          <w:szCs w:val="18"/>
          <w:lang w:val="ru-RU"/>
        </w:rPr>
        <w:t>/</w:t>
      </w:r>
      <w:r w:rsidRPr="00120AB6">
        <w:rPr>
          <w:rFonts w:eastAsia="Times New Roman" w:cs="Arial"/>
          <w:bCs/>
          <w:color w:val="000000"/>
          <w:szCs w:val="18"/>
          <w:lang w:val="en-US"/>
        </w:rPr>
        <w:t>kg</w:t>
      </w:r>
      <w:r w:rsidRPr="00120AB6">
        <w:rPr>
          <w:rFonts w:eastAsia="Times New Roman" w:cs="Arial"/>
          <w:bCs/>
          <w:color w:val="000000"/>
          <w:szCs w:val="18"/>
          <w:lang w:val="ru-RU"/>
        </w:rPr>
        <w:t xml:space="preserve">). </w:t>
      </w:r>
      <w:r w:rsidRPr="00120AB6">
        <w:rPr>
          <w:rFonts w:eastAsia="Times New Roman" w:cs="Arial"/>
          <w:bCs/>
          <w:color w:val="000000"/>
          <w:szCs w:val="18"/>
          <w:lang w:eastAsia="bg-BG"/>
        </w:rPr>
        <w:t>Пациентките трябва да бъдат съветвани да не кърмят новородените, ако приемат оланзапин.</w:t>
      </w:r>
    </w:p>
    <w:p w14:paraId="0823C429" w14:textId="77777777" w:rsidR="00120AB6" w:rsidRPr="00120AB6" w:rsidRDefault="00120AB6" w:rsidP="00120AB6">
      <w:pPr>
        <w:spacing w:line="240" w:lineRule="auto"/>
        <w:rPr>
          <w:rFonts w:eastAsia="Times New Roman" w:cs="Arial"/>
          <w:bCs/>
          <w:i/>
          <w:iCs/>
          <w:color w:val="000000"/>
          <w:szCs w:val="18"/>
          <w:lang w:eastAsia="bg-BG"/>
        </w:rPr>
      </w:pPr>
    </w:p>
    <w:p w14:paraId="15347B34" w14:textId="513C0F4C" w:rsidR="00120AB6" w:rsidRPr="00120AB6" w:rsidRDefault="00120AB6" w:rsidP="00120AB6">
      <w:pPr>
        <w:pStyle w:val="Heading3"/>
        <w:rPr>
          <w:rFonts w:eastAsia="Times New Roman"/>
          <w:i/>
          <w:sz w:val="32"/>
        </w:rPr>
      </w:pPr>
      <w:r w:rsidRPr="00120AB6">
        <w:rPr>
          <w:rFonts w:eastAsia="Times New Roman"/>
          <w:i/>
          <w:lang w:eastAsia="bg-BG"/>
        </w:rPr>
        <w:t>Фертнлитет</w:t>
      </w:r>
    </w:p>
    <w:p w14:paraId="4242C769" w14:textId="77777777" w:rsidR="00120AB6" w:rsidRPr="00120AB6" w:rsidRDefault="00120AB6" w:rsidP="00120AB6">
      <w:pPr>
        <w:rPr>
          <w:rFonts w:eastAsia="Times New Roman" w:cs="Arial"/>
          <w:bCs/>
          <w:color w:val="000000"/>
          <w:szCs w:val="18"/>
          <w:lang w:eastAsia="bg-BG"/>
        </w:rPr>
      </w:pPr>
    </w:p>
    <w:p w14:paraId="729107C0" w14:textId="3C652287" w:rsidR="00120AB6" w:rsidRDefault="00120AB6" w:rsidP="00120AB6">
      <w:pPr>
        <w:rPr>
          <w:rFonts w:eastAsia="Times New Roman" w:cs="Arial"/>
          <w:bCs/>
          <w:color w:val="000000"/>
          <w:szCs w:val="18"/>
          <w:lang w:eastAsia="bg-BG"/>
        </w:rPr>
      </w:pPr>
      <w:r w:rsidRPr="00120AB6">
        <w:rPr>
          <w:rFonts w:eastAsia="Times New Roman" w:cs="Arial"/>
          <w:bCs/>
          <w:color w:val="000000"/>
          <w:szCs w:val="18"/>
          <w:lang w:eastAsia="bg-BG"/>
        </w:rPr>
        <w:t>Ефекти върху фертилитета не са известни (вж. точка 5.3 за предклинична информация).</w:t>
      </w:r>
    </w:p>
    <w:p w14:paraId="0EEA6418" w14:textId="77777777" w:rsidR="00120AB6" w:rsidRPr="00120AB6" w:rsidRDefault="00120AB6" w:rsidP="00120AB6">
      <w:pPr>
        <w:rPr>
          <w:rFonts w:cs="Arial"/>
          <w:sz w:val="28"/>
        </w:rPr>
      </w:pPr>
    </w:p>
    <w:p w14:paraId="5DD7A76D" w14:textId="49EBD61E" w:rsidR="007122AD" w:rsidRDefault="002C50EE" w:rsidP="00936AD0">
      <w:pPr>
        <w:pStyle w:val="Heading2"/>
      </w:pPr>
      <w:r>
        <w:t>4.7. Ефекти върху способността за шофиране и работа с машини</w:t>
      </w:r>
    </w:p>
    <w:p w14:paraId="778215C3" w14:textId="5489C403" w:rsidR="00120AB6" w:rsidRDefault="00120AB6" w:rsidP="00120AB6"/>
    <w:p w14:paraId="0ABB2038" w14:textId="77777777" w:rsidR="00120AB6" w:rsidRPr="00120AB6" w:rsidRDefault="00120AB6" w:rsidP="00120AB6">
      <w:pPr>
        <w:rPr>
          <w:rFonts w:ascii="Times New Roman" w:hAnsi="Times New Roman" w:cs="Times New Roman"/>
          <w:sz w:val="24"/>
          <w:szCs w:val="24"/>
        </w:rPr>
      </w:pPr>
      <w:r w:rsidRPr="00120AB6">
        <w:rPr>
          <w:lang w:eastAsia="bg-BG"/>
        </w:rPr>
        <w:t>Не са правени проучвания за ефектите върху способността за шофиране и работа с машини. Поради това, че оланзапин може да причини сомнолентност и замаяност, пациентите трябва бъдат предупредени в случай че им са налага да управляват машини, включително моторни превозни средства.</w:t>
      </w:r>
    </w:p>
    <w:p w14:paraId="44318FC4" w14:textId="77777777" w:rsidR="00120AB6" w:rsidRPr="00120AB6" w:rsidRDefault="00120AB6" w:rsidP="00120AB6"/>
    <w:p w14:paraId="44CE30A3" w14:textId="47CFC202" w:rsidR="007122AD" w:rsidRDefault="002C50EE" w:rsidP="00936AD0">
      <w:pPr>
        <w:pStyle w:val="Heading2"/>
      </w:pPr>
      <w:r>
        <w:lastRenderedPageBreak/>
        <w:t>4.8. Нежелани лекарствени реакции</w:t>
      </w:r>
    </w:p>
    <w:p w14:paraId="0852B360" w14:textId="67B82BE2" w:rsidR="00120AB6" w:rsidRDefault="00120AB6" w:rsidP="00120AB6"/>
    <w:p w14:paraId="1AA80DCB" w14:textId="77777777"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lang w:eastAsia="bg-BG"/>
        </w:rPr>
        <w:t>Резюме на профила на безопасност</w:t>
      </w:r>
    </w:p>
    <w:p w14:paraId="3C25F2E6" w14:textId="28844399"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u w:val="single"/>
          <w:lang w:eastAsia="bg-BG"/>
        </w:rPr>
        <w:t>Възрастни</w:t>
      </w:r>
    </w:p>
    <w:p w14:paraId="35ABACCD" w14:textId="77777777" w:rsidR="00120AB6" w:rsidRPr="00120AB6" w:rsidRDefault="00120AB6" w:rsidP="00120AB6">
      <w:pPr>
        <w:rPr>
          <w:rFonts w:eastAsia="Times New Roman" w:cs="Arial"/>
          <w:bCs/>
          <w:color w:val="000000"/>
          <w:szCs w:val="18"/>
          <w:lang w:eastAsia="bg-BG"/>
        </w:rPr>
      </w:pPr>
    </w:p>
    <w:p w14:paraId="2201CC42" w14:textId="77777777" w:rsidR="00120AB6" w:rsidRPr="00120AB6" w:rsidRDefault="00120AB6" w:rsidP="00120AB6">
      <w:pPr>
        <w:rPr>
          <w:rFonts w:eastAsia="Times New Roman" w:cs="Arial"/>
          <w:sz w:val="32"/>
          <w:szCs w:val="24"/>
        </w:rPr>
      </w:pPr>
      <w:r w:rsidRPr="00120AB6">
        <w:rPr>
          <w:rFonts w:eastAsia="Times New Roman" w:cs="Arial"/>
          <w:bCs/>
          <w:color w:val="000000"/>
          <w:szCs w:val="18"/>
          <w:lang w:eastAsia="bg-BG"/>
        </w:rPr>
        <w:t>Най-честите (наблюдавани при ≥1% от пациентите) съобщавани нежелани реакции, свързани с приложението на оланзапин в клинични проучвания, са сомнолентност, наддаване на тегло, еозинофилия, повишени стойности на пролакгина, холестерола, глюкозата и триглицеридите (вж. точка 4.4), глюкозурия, повишен апетит, замаяност, акатизия, паркинсонизъм, левкопения, неутропения (вж. точка 4.4), дискинезия, ортостатична хипотония, антихолинергични ефекти, преходно асимптоматично</w:t>
      </w:r>
      <w:r w:rsidRPr="00120AB6">
        <w:rPr>
          <w:rFonts w:eastAsia="Times New Roman" w:cs="Arial"/>
          <w:bCs/>
          <w:color w:val="000000"/>
          <w:szCs w:val="18"/>
          <w:lang w:val="ru-RU" w:eastAsia="bg-BG"/>
        </w:rPr>
        <w:t xml:space="preserve"> </w:t>
      </w:r>
      <w:r w:rsidRPr="00120AB6">
        <w:rPr>
          <w:rFonts w:eastAsia="Times New Roman" w:cs="Arial"/>
          <w:bCs/>
          <w:color w:val="000000"/>
          <w:szCs w:val="18"/>
          <w:lang w:eastAsia="bg-BG"/>
        </w:rPr>
        <w:t>увеличение на чернодробните аминотрансферази (вж. точка 4.4), обрив, астения, умора, пирексия, артралгия, увеличена алкална фосфатаза, увеличена гама глутамилтрансфераза, увеличена пикочна киселина, увеличена креатинин фосфокиназа и оток.</w:t>
      </w:r>
    </w:p>
    <w:p w14:paraId="74FA2EC3" w14:textId="77777777" w:rsidR="00120AB6" w:rsidRPr="00120AB6" w:rsidRDefault="00120AB6" w:rsidP="00120AB6">
      <w:pPr>
        <w:spacing w:line="240" w:lineRule="auto"/>
        <w:rPr>
          <w:rFonts w:eastAsia="Times New Roman" w:cs="Arial"/>
          <w:bCs/>
          <w:i/>
          <w:iCs/>
          <w:color w:val="000000"/>
          <w:szCs w:val="18"/>
          <w:lang w:eastAsia="bg-BG"/>
        </w:rPr>
      </w:pPr>
    </w:p>
    <w:p w14:paraId="3A05CBCE" w14:textId="40BB856B" w:rsidR="00120AB6" w:rsidRPr="00120AB6" w:rsidRDefault="00120AB6" w:rsidP="00120AB6">
      <w:pPr>
        <w:spacing w:line="240" w:lineRule="auto"/>
        <w:rPr>
          <w:rFonts w:eastAsia="Times New Roman" w:cs="Arial"/>
          <w:sz w:val="32"/>
          <w:szCs w:val="24"/>
        </w:rPr>
      </w:pPr>
      <w:r w:rsidRPr="00120AB6">
        <w:rPr>
          <w:rFonts w:eastAsia="Times New Roman" w:cs="Arial"/>
          <w:bCs/>
          <w:i/>
          <w:iCs/>
          <w:color w:val="000000"/>
          <w:szCs w:val="18"/>
          <w:lang w:eastAsia="bg-BG"/>
        </w:rPr>
        <w:t>Списък на нежеланите реакции в табличен вид</w:t>
      </w:r>
    </w:p>
    <w:p w14:paraId="0B6870C9" w14:textId="77777777" w:rsidR="00120AB6" w:rsidRPr="00120AB6" w:rsidRDefault="00120AB6" w:rsidP="00120AB6">
      <w:pPr>
        <w:spacing w:line="240" w:lineRule="auto"/>
        <w:rPr>
          <w:rFonts w:eastAsia="Times New Roman" w:cs="Arial"/>
          <w:sz w:val="32"/>
          <w:szCs w:val="24"/>
        </w:rPr>
      </w:pPr>
      <w:r w:rsidRPr="00120AB6">
        <w:rPr>
          <w:rFonts w:eastAsia="Times New Roman" w:cs="Arial"/>
          <w:bCs/>
          <w:color w:val="000000"/>
          <w:szCs w:val="18"/>
          <w:lang w:eastAsia="bg-BG"/>
        </w:rPr>
        <w:t>В представената таблица са изброени нежеланите реакции и лабораторните изследвания, които са били наблюдавани в спонтанните съобщения и в клиничните проучвания. В рамките на всяка група по честота, нежеланите реакции се представят в низходящ ред по отношение на сериозността им. Изброените термини за честота се дефинират както следва: много чести (≥1/10); чести (≥1/100 до &lt;1/10); нечести (≥1/1 000 до &lt;1/100); редки (≥1/10 000 до &lt;1/1 000); много редки (&lt;1/10 000), с неизвестна честота (от наличните данни не може да бъде направена оценка).</w:t>
      </w:r>
    </w:p>
    <w:p w14:paraId="1F787E48" w14:textId="184E3CAD" w:rsidR="00120AB6" w:rsidRDefault="00120AB6" w:rsidP="00120AB6"/>
    <w:tbl>
      <w:tblPr>
        <w:tblStyle w:val="TableGrid"/>
        <w:tblW w:w="0" w:type="auto"/>
        <w:tblLook w:val="04A0" w:firstRow="1" w:lastRow="0" w:firstColumn="1" w:lastColumn="0" w:noHBand="0" w:noVBand="1"/>
      </w:tblPr>
      <w:tblGrid>
        <w:gridCol w:w="1662"/>
        <w:gridCol w:w="2009"/>
        <w:gridCol w:w="2131"/>
        <w:gridCol w:w="2029"/>
        <w:gridCol w:w="1519"/>
      </w:tblGrid>
      <w:tr w:rsidR="00120AB6" w14:paraId="5ED81A00" w14:textId="77777777" w:rsidTr="00120AB6">
        <w:tc>
          <w:tcPr>
            <w:tcW w:w="1701" w:type="dxa"/>
          </w:tcPr>
          <w:p w14:paraId="294B0943" w14:textId="0B4CF13E" w:rsidR="00120AB6" w:rsidRPr="00120AB6" w:rsidRDefault="00120AB6" w:rsidP="00120AB6">
            <w:pPr>
              <w:rPr>
                <w:b/>
              </w:rPr>
            </w:pPr>
            <w:r w:rsidRPr="00120AB6">
              <w:rPr>
                <w:b/>
              </w:rPr>
              <w:t>Много чести</w:t>
            </w:r>
          </w:p>
        </w:tc>
        <w:tc>
          <w:tcPr>
            <w:tcW w:w="2058" w:type="dxa"/>
          </w:tcPr>
          <w:p w14:paraId="3EAF2AC1" w14:textId="21CF9C03" w:rsidR="00120AB6" w:rsidRPr="00120AB6" w:rsidRDefault="00120AB6" w:rsidP="00120AB6">
            <w:pPr>
              <w:rPr>
                <w:b/>
              </w:rPr>
            </w:pPr>
            <w:r w:rsidRPr="00120AB6">
              <w:rPr>
                <w:b/>
              </w:rPr>
              <w:t>Чести</w:t>
            </w:r>
          </w:p>
        </w:tc>
        <w:tc>
          <w:tcPr>
            <w:tcW w:w="2183" w:type="dxa"/>
          </w:tcPr>
          <w:p w14:paraId="6107F8AA" w14:textId="34A0D351" w:rsidR="00120AB6" w:rsidRPr="00120AB6" w:rsidRDefault="00120AB6" w:rsidP="00120AB6">
            <w:pPr>
              <w:rPr>
                <w:b/>
              </w:rPr>
            </w:pPr>
            <w:r w:rsidRPr="00120AB6">
              <w:rPr>
                <w:b/>
              </w:rPr>
              <w:t>Нечести</w:t>
            </w:r>
          </w:p>
        </w:tc>
        <w:tc>
          <w:tcPr>
            <w:tcW w:w="2079" w:type="dxa"/>
          </w:tcPr>
          <w:p w14:paraId="09DB87B3" w14:textId="18D7950F" w:rsidR="00120AB6" w:rsidRPr="00120AB6" w:rsidRDefault="00120AB6" w:rsidP="00120AB6">
            <w:pPr>
              <w:rPr>
                <w:b/>
              </w:rPr>
            </w:pPr>
            <w:r w:rsidRPr="00120AB6">
              <w:rPr>
                <w:b/>
              </w:rPr>
              <w:t>Редки</w:t>
            </w:r>
          </w:p>
        </w:tc>
        <w:tc>
          <w:tcPr>
            <w:tcW w:w="1555" w:type="dxa"/>
          </w:tcPr>
          <w:p w14:paraId="45F18DC2" w14:textId="217E10A1" w:rsidR="00120AB6" w:rsidRPr="00120AB6" w:rsidRDefault="00120AB6" w:rsidP="00120AB6">
            <w:pPr>
              <w:rPr>
                <w:b/>
              </w:rPr>
            </w:pPr>
            <w:r w:rsidRPr="00120AB6">
              <w:rPr>
                <w:b/>
              </w:rPr>
              <w:t>С неизвестна честота</w:t>
            </w:r>
          </w:p>
        </w:tc>
      </w:tr>
      <w:tr w:rsidR="00120AB6" w14:paraId="631825D5" w14:textId="77777777" w:rsidTr="00A20DC3">
        <w:tc>
          <w:tcPr>
            <w:tcW w:w="9576" w:type="dxa"/>
            <w:gridSpan w:val="5"/>
          </w:tcPr>
          <w:p w14:paraId="209A861F" w14:textId="48450708" w:rsidR="00120AB6" w:rsidRPr="00120AB6" w:rsidRDefault="00120AB6" w:rsidP="00120AB6">
            <w:pPr>
              <w:rPr>
                <w:b/>
              </w:rPr>
            </w:pPr>
            <w:r w:rsidRPr="00120AB6">
              <w:rPr>
                <w:b/>
              </w:rPr>
              <w:t>Нарушения на кръвта и лимфната система</w:t>
            </w:r>
          </w:p>
        </w:tc>
      </w:tr>
      <w:tr w:rsidR="00120AB6" w14:paraId="0179C0CE" w14:textId="77777777" w:rsidTr="00120AB6">
        <w:tc>
          <w:tcPr>
            <w:tcW w:w="1701" w:type="dxa"/>
          </w:tcPr>
          <w:p w14:paraId="30703CAA" w14:textId="77777777" w:rsidR="00120AB6" w:rsidRPr="00120AB6" w:rsidRDefault="00120AB6" w:rsidP="00120AB6">
            <w:pPr>
              <w:rPr>
                <w:rFonts w:cs="Arial"/>
              </w:rPr>
            </w:pPr>
          </w:p>
        </w:tc>
        <w:tc>
          <w:tcPr>
            <w:tcW w:w="2058" w:type="dxa"/>
          </w:tcPr>
          <w:p w14:paraId="5CD408E4" w14:textId="211F8F8C" w:rsidR="00120AB6" w:rsidRPr="00120AB6" w:rsidRDefault="00120AB6" w:rsidP="00120AB6">
            <w:pPr>
              <w:rPr>
                <w:rFonts w:cs="Arial"/>
              </w:rPr>
            </w:pPr>
            <w:r w:rsidRPr="00120AB6">
              <w:rPr>
                <w:rFonts w:cs="Arial"/>
                <w:bCs/>
                <w:szCs w:val="18"/>
              </w:rPr>
              <w:t>Еозинофилия Левкопения</w:t>
            </w:r>
            <w:r w:rsidRPr="00120AB6">
              <w:rPr>
                <w:rFonts w:cs="Arial"/>
                <w:bCs/>
                <w:szCs w:val="18"/>
                <w:vertAlign w:val="superscript"/>
              </w:rPr>
              <w:t xml:space="preserve">10 </w:t>
            </w:r>
            <w:r w:rsidRPr="00120AB6">
              <w:rPr>
                <w:rFonts w:cs="Arial"/>
                <w:bCs/>
                <w:szCs w:val="18"/>
              </w:rPr>
              <w:t>Неутропения</w:t>
            </w:r>
            <w:r w:rsidRPr="00120AB6">
              <w:rPr>
                <w:rFonts w:cs="Arial"/>
                <w:bCs/>
                <w:szCs w:val="18"/>
                <w:vertAlign w:val="superscript"/>
              </w:rPr>
              <w:t>10</w:t>
            </w:r>
          </w:p>
        </w:tc>
        <w:tc>
          <w:tcPr>
            <w:tcW w:w="2183" w:type="dxa"/>
          </w:tcPr>
          <w:p w14:paraId="4D660970" w14:textId="77777777" w:rsidR="00120AB6" w:rsidRPr="00120AB6" w:rsidRDefault="00120AB6" w:rsidP="00120AB6">
            <w:pPr>
              <w:rPr>
                <w:rFonts w:cs="Arial"/>
              </w:rPr>
            </w:pPr>
          </w:p>
        </w:tc>
        <w:tc>
          <w:tcPr>
            <w:tcW w:w="2079" w:type="dxa"/>
          </w:tcPr>
          <w:p w14:paraId="5E84FC21" w14:textId="52D2BB09" w:rsidR="00120AB6" w:rsidRPr="00120AB6" w:rsidRDefault="00120AB6" w:rsidP="00120AB6">
            <w:pPr>
              <w:rPr>
                <w:rFonts w:cs="Arial"/>
              </w:rPr>
            </w:pPr>
            <w:r w:rsidRPr="00120AB6">
              <w:rPr>
                <w:rFonts w:cs="Arial"/>
                <w:bCs/>
                <w:szCs w:val="18"/>
              </w:rPr>
              <w:t>Тромбоцитопения</w:t>
            </w:r>
            <w:r w:rsidRPr="00120AB6">
              <w:rPr>
                <w:rFonts w:cs="Arial"/>
                <w:bCs/>
                <w:szCs w:val="18"/>
                <w:vertAlign w:val="superscript"/>
              </w:rPr>
              <w:t>11</w:t>
            </w:r>
          </w:p>
        </w:tc>
        <w:tc>
          <w:tcPr>
            <w:tcW w:w="1555" w:type="dxa"/>
          </w:tcPr>
          <w:p w14:paraId="2EC97427" w14:textId="77777777" w:rsidR="00120AB6" w:rsidRPr="00120AB6" w:rsidRDefault="00120AB6" w:rsidP="00120AB6">
            <w:pPr>
              <w:rPr>
                <w:rFonts w:cs="Arial"/>
              </w:rPr>
            </w:pPr>
          </w:p>
        </w:tc>
      </w:tr>
      <w:tr w:rsidR="00120AB6" w14:paraId="7E5011C0" w14:textId="77777777" w:rsidTr="00A20DC3">
        <w:tc>
          <w:tcPr>
            <w:tcW w:w="9576" w:type="dxa"/>
            <w:gridSpan w:val="5"/>
          </w:tcPr>
          <w:p w14:paraId="0AB5DF9C" w14:textId="5F43D69D" w:rsidR="00120AB6" w:rsidRPr="00120AB6" w:rsidRDefault="00120AB6" w:rsidP="00120AB6">
            <w:pPr>
              <w:rPr>
                <w:b/>
              </w:rPr>
            </w:pPr>
            <w:r w:rsidRPr="00120AB6">
              <w:rPr>
                <w:b/>
              </w:rPr>
              <w:t>Нарушения на имунната система</w:t>
            </w:r>
          </w:p>
        </w:tc>
      </w:tr>
      <w:tr w:rsidR="00120AB6" w14:paraId="529DCE93" w14:textId="77777777" w:rsidTr="00120AB6">
        <w:tc>
          <w:tcPr>
            <w:tcW w:w="1701" w:type="dxa"/>
          </w:tcPr>
          <w:p w14:paraId="60C5E7C9" w14:textId="77777777" w:rsidR="00120AB6" w:rsidRDefault="00120AB6" w:rsidP="00120AB6"/>
        </w:tc>
        <w:tc>
          <w:tcPr>
            <w:tcW w:w="2058" w:type="dxa"/>
          </w:tcPr>
          <w:p w14:paraId="2359FFBC" w14:textId="77777777" w:rsidR="00120AB6" w:rsidRDefault="00120AB6" w:rsidP="00120AB6"/>
        </w:tc>
        <w:tc>
          <w:tcPr>
            <w:tcW w:w="2183" w:type="dxa"/>
          </w:tcPr>
          <w:p w14:paraId="4EB4907C" w14:textId="73D2EDDD" w:rsidR="00120AB6" w:rsidRPr="00120AB6" w:rsidRDefault="00120AB6" w:rsidP="00120AB6">
            <w:pPr>
              <w:rPr>
                <w:rFonts w:ascii="Times New Roman" w:hAnsi="Times New Roman" w:cs="Times New Roman"/>
                <w:sz w:val="24"/>
                <w:szCs w:val="24"/>
              </w:rPr>
            </w:pPr>
            <w:r w:rsidRPr="00120AB6">
              <w:rPr>
                <w:lang w:eastAsia="bg-BG"/>
              </w:rPr>
              <w:t>Свръхчувствител</w:t>
            </w:r>
            <w:r w:rsidRPr="00120AB6">
              <w:rPr>
                <w:lang w:eastAsia="bg-BG"/>
              </w:rPr>
              <w:softHyphen/>
              <w:t>ност</w:t>
            </w:r>
            <w:r w:rsidRPr="00120AB6">
              <w:rPr>
                <w:vertAlign w:val="superscript"/>
                <w:lang w:eastAsia="bg-BG"/>
              </w:rPr>
              <w:t>11</w:t>
            </w:r>
          </w:p>
        </w:tc>
        <w:tc>
          <w:tcPr>
            <w:tcW w:w="2079" w:type="dxa"/>
          </w:tcPr>
          <w:p w14:paraId="0017BFF0" w14:textId="77777777" w:rsidR="00120AB6" w:rsidRDefault="00120AB6" w:rsidP="00120AB6"/>
        </w:tc>
        <w:tc>
          <w:tcPr>
            <w:tcW w:w="1555" w:type="dxa"/>
          </w:tcPr>
          <w:p w14:paraId="2A2B1A54" w14:textId="77777777" w:rsidR="00120AB6" w:rsidRDefault="00120AB6" w:rsidP="00120AB6"/>
        </w:tc>
      </w:tr>
      <w:tr w:rsidR="00120AB6" w14:paraId="2DBC7B54" w14:textId="77777777" w:rsidTr="00A20DC3">
        <w:tc>
          <w:tcPr>
            <w:tcW w:w="9576" w:type="dxa"/>
            <w:gridSpan w:val="5"/>
          </w:tcPr>
          <w:p w14:paraId="4D7F751B" w14:textId="51A4610B" w:rsidR="00120AB6" w:rsidRPr="00120AB6" w:rsidRDefault="00120AB6" w:rsidP="00120AB6">
            <w:pPr>
              <w:rPr>
                <w:b/>
              </w:rPr>
            </w:pPr>
            <w:r w:rsidRPr="00120AB6">
              <w:rPr>
                <w:b/>
              </w:rPr>
              <w:t>Нарушения на метаболизма и храненето</w:t>
            </w:r>
          </w:p>
        </w:tc>
      </w:tr>
      <w:tr w:rsidR="00120AB6" w14:paraId="053D1917" w14:textId="77777777" w:rsidTr="00120AB6">
        <w:tc>
          <w:tcPr>
            <w:tcW w:w="1701" w:type="dxa"/>
          </w:tcPr>
          <w:p w14:paraId="32D41C49" w14:textId="1DC0D5E1" w:rsidR="00120AB6" w:rsidRDefault="00120AB6" w:rsidP="00120AB6">
            <w:r>
              <w:t>Повишение на теглото</w:t>
            </w:r>
            <w:r>
              <w:rPr>
                <w:vertAlign w:val="superscript"/>
              </w:rPr>
              <w:t>1</w:t>
            </w:r>
          </w:p>
        </w:tc>
        <w:tc>
          <w:tcPr>
            <w:tcW w:w="2058" w:type="dxa"/>
          </w:tcPr>
          <w:p w14:paraId="0E4DDD09" w14:textId="09D9D1C3" w:rsidR="00120AB6" w:rsidRDefault="00120AB6" w:rsidP="00120AB6">
            <w:r>
              <w:t>Повишени нива на холестерол</w:t>
            </w:r>
            <w:r>
              <w:rPr>
                <w:vertAlign w:val="superscript"/>
              </w:rPr>
              <w:t xml:space="preserve">2,3 </w:t>
            </w:r>
            <w:r>
              <w:t>Повишени нива на глюкоза</w:t>
            </w:r>
            <w:r>
              <w:rPr>
                <w:vertAlign w:val="superscript"/>
              </w:rPr>
              <w:t xml:space="preserve">4 </w:t>
            </w:r>
            <w:r>
              <w:t>Повишени нива на триглицеридите</w:t>
            </w:r>
            <w:r>
              <w:rPr>
                <w:vertAlign w:val="superscript"/>
              </w:rPr>
              <w:t xml:space="preserve">2 5 </w:t>
            </w:r>
            <w:r>
              <w:t>Глюкозурия Повишен апетит</w:t>
            </w:r>
          </w:p>
        </w:tc>
        <w:tc>
          <w:tcPr>
            <w:tcW w:w="2183" w:type="dxa"/>
          </w:tcPr>
          <w:p w14:paraId="5C2564CE" w14:textId="0450E216" w:rsidR="00120AB6" w:rsidRDefault="00120AB6" w:rsidP="00120AB6">
            <w:r>
              <w:t>Развитие или обостряне на диабета, понякога свързано с кетоацидоза или кома, включително някои фатални случаи (вж. т. 4.4)</w:t>
            </w:r>
            <w:r>
              <w:rPr>
                <w:vertAlign w:val="superscript"/>
              </w:rPr>
              <w:t>11</w:t>
            </w:r>
          </w:p>
        </w:tc>
        <w:tc>
          <w:tcPr>
            <w:tcW w:w="2079" w:type="dxa"/>
          </w:tcPr>
          <w:p w14:paraId="21991811" w14:textId="2DFE1AF8" w:rsidR="00120AB6" w:rsidRDefault="00120AB6" w:rsidP="00120AB6">
            <w:r>
              <w:t>Хипотермия</w:t>
            </w:r>
            <w:r>
              <w:rPr>
                <w:vertAlign w:val="superscript"/>
              </w:rPr>
              <w:t>12</w:t>
            </w:r>
          </w:p>
        </w:tc>
        <w:tc>
          <w:tcPr>
            <w:tcW w:w="1555" w:type="dxa"/>
          </w:tcPr>
          <w:p w14:paraId="093D06DE" w14:textId="77777777" w:rsidR="00120AB6" w:rsidRDefault="00120AB6" w:rsidP="00120AB6"/>
        </w:tc>
      </w:tr>
      <w:tr w:rsidR="00120AB6" w14:paraId="044B2680" w14:textId="77777777" w:rsidTr="00A20DC3">
        <w:tc>
          <w:tcPr>
            <w:tcW w:w="9576" w:type="dxa"/>
            <w:gridSpan w:val="5"/>
          </w:tcPr>
          <w:p w14:paraId="733646E8" w14:textId="334E9B97" w:rsidR="00120AB6" w:rsidRPr="00120AB6" w:rsidRDefault="00120AB6" w:rsidP="00120AB6">
            <w:pPr>
              <w:rPr>
                <w:b/>
              </w:rPr>
            </w:pPr>
            <w:r w:rsidRPr="00120AB6">
              <w:rPr>
                <w:b/>
              </w:rPr>
              <w:t>Нарушения на нервната система</w:t>
            </w:r>
          </w:p>
        </w:tc>
      </w:tr>
      <w:tr w:rsidR="00120AB6" w14:paraId="1609E0A0" w14:textId="77777777" w:rsidTr="00120AB6">
        <w:tc>
          <w:tcPr>
            <w:tcW w:w="1701" w:type="dxa"/>
          </w:tcPr>
          <w:p w14:paraId="5210A57C" w14:textId="3EA0DD9B" w:rsidR="00120AB6" w:rsidRDefault="00120AB6" w:rsidP="00120AB6">
            <w:r>
              <w:lastRenderedPageBreak/>
              <w:t>Сомнолентност</w:t>
            </w:r>
          </w:p>
        </w:tc>
        <w:tc>
          <w:tcPr>
            <w:tcW w:w="2058" w:type="dxa"/>
          </w:tcPr>
          <w:p w14:paraId="3C626444" w14:textId="77777777" w:rsidR="00120AB6" w:rsidRDefault="00120AB6" w:rsidP="00120AB6">
            <w:r>
              <w:t>Замаяност</w:t>
            </w:r>
          </w:p>
          <w:p w14:paraId="63A96D99" w14:textId="25AD6031" w:rsidR="00120AB6" w:rsidRDefault="00120AB6" w:rsidP="00120AB6">
            <w:r>
              <w:t>Акатизия</w:t>
            </w:r>
            <w:r>
              <w:rPr>
                <w:vertAlign w:val="superscript"/>
              </w:rPr>
              <w:t xml:space="preserve">6 </w:t>
            </w:r>
            <w:r>
              <w:t>Паркинсонизъм</w:t>
            </w:r>
            <w:r>
              <w:rPr>
                <w:vertAlign w:val="superscript"/>
              </w:rPr>
              <w:t xml:space="preserve">6 </w:t>
            </w:r>
            <w:r>
              <w:t>Дискинезия</w:t>
            </w:r>
            <w:r>
              <w:rPr>
                <w:vertAlign w:val="superscript"/>
              </w:rPr>
              <w:t>6</w:t>
            </w:r>
          </w:p>
        </w:tc>
        <w:tc>
          <w:tcPr>
            <w:tcW w:w="2183" w:type="dxa"/>
          </w:tcPr>
          <w:p w14:paraId="75DE6178" w14:textId="07500954" w:rsidR="00120AB6" w:rsidRDefault="00120AB6" w:rsidP="00120AB6">
            <w:r>
              <w:t>Гърчове, за които в повечето случаи са съобщавани анамнеза за гърчове или рискови фактори за гърчове</w:t>
            </w:r>
            <w:r>
              <w:rPr>
                <w:vertAlign w:val="superscript"/>
              </w:rPr>
              <w:t xml:space="preserve">11 </w:t>
            </w:r>
            <w:r>
              <w:t>Дистония (включително окулогирация)</w:t>
            </w:r>
            <w:r>
              <w:rPr>
                <w:vertAlign w:val="superscript"/>
              </w:rPr>
              <w:t xml:space="preserve">11 </w:t>
            </w:r>
            <w:r>
              <w:rPr>
                <w:lang w:val="en-US"/>
              </w:rPr>
              <w:t>Tap</w:t>
            </w:r>
            <w:r>
              <w:t>дивна дискинезия</w:t>
            </w:r>
            <w:r>
              <w:rPr>
                <w:vertAlign w:val="superscript"/>
              </w:rPr>
              <w:t xml:space="preserve">11 </w:t>
            </w:r>
            <w:r>
              <w:t>Амнезия</w:t>
            </w:r>
            <w:r>
              <w:rPr>
                <w:vertAlign w:val="superscript"/>
              </w:rPr>
              <w:t xml:space="preserve">9 </w:t>
            </w:r>
            <w:r>
              <w:t>Дизартрия Заекване</w:t>
            </w:r>
            <w:r>
              <w:rPr>
                <w:vertAlign w:val="superscript"/>
              </w:rPr>
              <w:t xml:space="preserve">11,13 </w:t>
            </w:r>
            <w:r>
              <w:t>Синдром на неспокойните крака</w:t>
            </w:r>
            <w:r>
              <w:rPr>
                <w:vertAlign w:val="superscript"/>
              </w:rPr>
              <w:t>11</w:t>
            </w:r>
          </w:p>
        </w:tc>
        <w:tc>
          <w:tcPr>
            <w:tcW w:w="2079" w:type="dxa"/>
          </w:tcPr>
          <w:p w14:paraId="6F4E1F18" w14:textId="2482809B" w:rsidR="00120AB6" w:rsidRDefault="00120AB6" w:rsidP="00120AB6">
            <w:r>
              <w:t>Невролептичен малигнен синдром (вж. т. 4.4)</w:t>
            </w:r>
            <w:r>
              <w:rPr>
                <w:vertAlign w:val="superscript"/>
              </w:rPr>
              <w:t xml:space="preserve">12 </w:t>
            </w:r>
            <w:r>
              <w:t>Симптоми при прекъсване на лечението</w:t>
            </w:r>
            <w:r>
              <w:rPr>
                <w:vertAlign w:val="superscript"/>
              </w:rPr>
              <w:t>7,12</w:t>
            </w:r>
          </w:p>
        </w:tc>
        <w:tc>
          <w:tcPr>
            <w:tcW w:w="1555" w:type="dxa"/>
          </w:tcPr>
          <w:p w14:paraId="230BC824" w14:textId="77777777" w:rsidR="00120AB6" w:rsidRDefault="00120AB6" w:rsidP="00120AB6"/>
        </w:tc>
      </w:tr>
      <w:tr w:rsidR="00120AB6" w14:paraId="37B17839" w14:textId="77777777" w:rsidTr="00A20DC3">
        <w:tc>
          <w:tcPr>
            <w:tcW w:w="9576" w:type="dxa"/>
            <w:gridSpan w:val="5"/>
          </w:tcPr>
          <w:p w14:paraId="67475C6C" w14:textId="6BF31C08" w:rsidR="00120AB6" w:rsidRPr="00120AB6" w:rsidRDefault="00120AB6" w:rsidP="00120AB6">
            <w:pPr>
              <w:rPr>
                <w:b/>
              </w:rPr>
            </w:pPr>
            <w:r w:rsidRPr="00120AB6">
              <w:rPr>
                <w:b/>
              </w:rPr>
              <w:t>Сърдечни нарушения</w:t>
            </w:r>
          </w:p>
        </w:tc>
      </w:tr>
      <w:tr w:rsidR="00120AB6" w14:paraId="73904D75" w14:textId="77777777" w:rsidTr="00120AB6">
        <w:tc>
          <w:tcPr>
            <w:tcW w:w="1701" w:type="dxa"/>
          </w:tcPr>
          <w:p w14:paraId="2E5DE625" w14:textId="77777777" w:rsidR="00120AB6" w:rsidRPr="00120AB6" w:rsidRDefault="00120AB6" w:rsidP="00120AB6">
            <w:pPr>
              <w:rPr>
                <w:rFonts w:cs="Arial"/>
              </w:rPr>
            </w:pPr>
          </w:p>
        </w:tc>
        <w:tc>
          <w:tcPr>
            <w:tcW w:w="2058" w:type="dxa"/>
          </w:tcPr>
          <w:p w14:paraId="6352DF33" w14:textId="77777777" w:rsidR="00120AB6" w:rsidRPr="00120AB6" w:rsidRDefault="00120AB6" w:rsidP="00120AB6">
            <w:pPr>
              <w:rPr>
                <w:rFonts w:cs="Arial"/>
              </w:rPr>
            </w:pPr>
          </w:p>
        </w:tc>
        <w:tc>
          <w:tcPr>
            <w:tcW w:w="2183" w:type="dxa"/>
          </w:tcPr>
          <w:p w14:paraId="2A7FB72B" w14:textId="77777777" w:rsidR="00120AB6" w:rsidRPr="00120AB6" w:rsidRDefault="00120AB6" w:rsidP="00120AB6">
            <w:pPr>
              <w:rPr>
                <w:rFonts w:cs="Arial"/>
              </w:rPr>
            </w:pPr>
            <w:r w:rsidRPr="00120AB6">
              <w:rPr>
                <w:rFonts w:cs="Arial"/>
                <w:bCs/>
                <w:szCs w:val="18"/>
              </w:rPr>
              <w:t>Брадикрадия</w:t>
            </w:r>
          </w:p>
          <w:p w14:paraId="7D49857C" w14:textId="00A2A439" w:rsidR="00120AB6" w:rsidRPr="00120AB6" w:rsidRDefault="00120AB6" w:rsidP="00120AB6">
            <w:pPr>
              <w:rPr>
                <w:rFonts w:cs="Arial"/>
              </w:rPr>
            </w:pPr>
            <w:r w:rsidRPr="00120AB6">
              <w:rPr>
                <w:rFonts w:cs="Arial"/>
                <w:bCs/>
                <w:szCs w:val="18"/>
              </w:rPr>
              <w:t xml:space="preserve">Удължаване на </w:t>
            </w:r>
            <w:proofErr w:type="spellStart"/>
            <w:r w:rsidRPr="00120AB6">
              <w:rPr>
                <w:rFonts w:cs="Arial"/>
                <w:bCs/>
                <w:szCs w:val="18"/>
                <w:lang w:val="en-US"/>
              </w:rPr>
              <w:t>QTc</w:t>
            </w:r>
            <w:proofErr w:type="spellEnd"/>
            <w:r w:rsidRPr="00120AB6">
              <w:rPr>
                <w:rFonts w:cs="Arial"/>
                <w:bCs/>
                <w:szCs w:val="18"/>
                <w:vertAlign w:val="subscript"/>
                <w:lang w:val="ru-RU"/>
              </w:rPr>
              <w:t xml:space="preserve"> </w:t>
            </w:r>
            <w:r w:rsidRPr="00120AB6">
              <w:rPr>
                <w:rFonts w:cs="Arial"/>
                <w:bCs/>
                <w:szCs w:val="18"/>
              </w:rPr>
              <w:t>интервала (вж. т. 4.4)</w:t>
            </w:r>
          </w:p>
        </w:tc>
        <w:tc>
          <w:tcPr>
            <w:tcW w:w="2079" w:type="dxa"/>
            <w:vAlign w:val="bottom"/>
          </w:tcPr>
          <w:p w14:paraId="0892DDB6" w14:textId="7A82C9A3" w:rsidR="00120AB6" w:rsidRPr="00120AB6" w:rsidRDefault="00120AB6" w:rsidP="00120AB6">
            <w:pPr>
              <w:rPr>
                <w:rFonts w:cs="Arial"/>
              </w:rPr>
            </w:pPr>
            <w:r w:rsidRPr="00120AB6">
              <w:rPr>
                <w:rFonts w:cs="Arial"/>
                <w:bCs/>
                <w:szCs w:val="18"/>
              </w:rPr>
              <w:t>Камерна тахикардия/фибри- лация, внезапна смърт (вж. т. 4.4)</w:t>
            </w:r>
            <w:r w:rsidRPr="00120AB6">
              <w:rPr>
                <w:rFonts w:cs="Arial"/>
                <w:bCs/>
                <w:szCs w:val="18"/>
                <w:vertAlign w:val="superscript"/>
              </w:rPr>
              <w:t>11</w:t>
            </w:r>
          </w:p>
        </w:tc>
        <w:tc>
          <w:tcPr>
            <w:tcW w:w="1555" w:type="dxa"/>
          </w:tcPr>
          <w:p w14:paraId="055045BE" w14:textId="77777777" w:rsidR="00120AB6" w:rsidRPr="00120AB6" w:rsidRDefault="00120AB6" w:rsidP="00120AB6">
            <w:pPr>
              <w:rPr>
                <w:rFonts w:cs="Arial"/>
              </w:rPr>
            </w:pPr>
          </w:p>
        </w:tc>
      </w:tr>
      <w:tr w:rsidR="00120AB6" w14:paraId="47B6BE73" w14:textId="77777777" w:rsidTr="00A20DC3">
        <w:tc>
          <w:tcPr>
            <w:tcW w:w="9576" w:type="dxa"/>
            <w:gridSpan w:val="5"/>
          </w:tcPr>
          <w:p w14:paraId="57E35813" w14:textId="490598D5" w:rsidR="00120AB6" w:rsidRPr="00120AB6" w:rsidRDefault="00120AB6" w:rsidP="00120AB6">
            <w:pPr>
              <w:rPr>
                <w:b/>
              </w:rPr>
            </w:pPr>
            <w:r w:rsidRPr="00120AB6">
              <w:rPr>
                <w:b/>
              </w:rPr>
              <w:t>Съдови нарушения</w:t>
            </w:r>
          </w:p>
        </w:tc>
      </w:tr>
      <w:tr w:rsidR="00120AB6" w14:paraId="26713D2B" w14:textId="77777777" w:rsidTr="00120AB6">
        <w:tc>
          <w:tcPr>
            <w:tcW w:w="1701" w:type="dxa"/>
          </w:tcPr>
          <w:p w14:paraId="48B50AAF" w14:textId="31895E32" w:rsidR="00120AB6" w:rsidRDefault="00120AB6" w:rsidP="00120AB6">
            <w:r>
              <w:t>Ортостатична хипотония</w:t>
            </w:r>
            <w:r>
              <w:rPr>
                <w:vertAlign w:val="superscript"/>
              </w:rPr>
              <w:t>10</w:t>
            </w:r>
          </w:p>
        </w:tc>
        <w:tc>
          <w:tcPr>
            <w:tcW w:w="2058" w:type="dxa"/>
          </w:tcPr>
          <w:p w14:paraId="6467AB4C" w14:textId="77777777" w:rsidR="00120AB6" w:rsidRDefault="00120AB6" w:rsidP="00120AB6"/>
        </w:tc>
        <w:tc>
          <w:tcPr>
            <w:tcW w:w="2183" w:type="dxa"/>
            <w:vAlign w:val="bottom"/>
          </w:tcPr>
          <w:p w14:paraId="782366A3" w14:textId="7DEF6FC3" w:rsidR="00120AB6" w:rsidRDefault="00120AB6" w:rsidP="00120AB6">
            <w:r>
              <w:t>Тромбоемболизъм (включително белодробен емболизъм и дълбока венозна тромбоза, (вж. т. 4.4)</w:t>
            </w:r>
          </w:p>
        </w:tc>
        <w:tc>
          <w:tcPr>
            <w:tcW w:w="2079" w:type="dxa"/>
          </w:tcPr>
          <w:p w14:paraId="012567DD" w14:textId="77777777" w:rsidR="00120AB6" w:rsidRDefault="00120AB6" w:rsidP="00120AB6"/>
        </w:tc>
        <w:tc>
          <w:tcPr>
            <w:tcW w:w="1555" w:type="dxa"/>
          </w:tcPr>
          <w:p w14:paraId="130E4B73" w14:textId="77777777" w:rsidR="00120AB6" w:rsidRDefault="00120AB6" w:rsidP="00120AB6"/>
        </w:tc>
      </w:tr>
      <w:tr w:rsidR="00120AB6" w14:paraId="0B06B185" w14:textId="77777777" w:rsidTr="00A20DC3">
        <w:tc>
          <w:tcPr>
            <w:tcW w:w="9576" w:type="dxa"/>
            <w:gridSpan w:val="5"/>
          </w:tcPr>
          <w:p w14:paraId="0D1573C3" w14:textId="53A8F7CA" w:rsidR="00120AB6" w:rsidRPr="00120AB6" w:rsidRDefault="00120AB6" w:rsidP="00120AB6">
            <w:pPr>
              <w:rPr>
                <w:b/>
              </w:rPr>
            </w:pPr>
            <w:r w:rsidRPr="00120AB6">
              <w:rPr>
                <w:b/>
              </w:rPr>
              <w:t>Респираторни, гръдни и медиастинални нарушения</w:t>
            </w:r>
          </w:p>
        </w:tc>
      </w:tr>
      <w:tr w:rsidR="00120AB6" w14:paraId="5C4F5773" w14:textId="77777777" w:rsidTr="00120AB6">
        <w:tc>
          <w:tcPr>
            <w:tcW w:w="1701" w:type="dxa"/>
          </w:tcPr>
          <w:p w14:paraId="1AD4FF34" w14:textId="77777777" w:rsidR="00120AB6" w:rsidRDefault="00120AB6" w:rsidP="00120AB6"/>
        </w:tc>
        <w:tc>
          <w:tcPr>
            <w:tcW w:w="2058" w:type="dxa"/>
          </w:tcPr>
          <w:p w14:paraId="784F3718" w14:textId="77777777" w:rsidR="00120AB6" w:rsidRDefault="00120AB6" w:rsidP="00120AB6"/>
        </w:tc>
        <w:tc>
          <w:tcPr>
            <w:tcW w:w="2183" w:type="dxa"/>
          </w:tcPr>
          <w:p w14:paraId="12017F52" w14:textId="744F6A6C" w:rsidR="00120AB6" w:rsidRPr="00120AB6" w:rsidRDefault="00120AB6" w:rsidP="00120AB6">
            <w:pPr>
              <w:rPr>
                <w:rFonts w:ascii="Times New Roman" w:hAnsi="Times New Roman" w:cs="Times New Roman"/>
                <w:sz w:val="24"/>
                <w:szCs w:val="24"/>
              </w:rPr>
            </w:pPr>
            <w:r w:rsidRPr="00120AB6">
              <w:rPr>
                <w:lang w:eastAsia="bg-BG"/>
              </w:rPr>
              <w:t>Епистаксис</w:t>
            </w:r>
            <w:r w:rsidRPr="00120AB6">
              <w:rPr>
                <w:vertAlign w:val="superscript"/>
                <w:lang w:eastAsia="bg-BG"/>
              </w:rPr>
              <w:t>9</w:t>
            </w:r>
          </w:p>
        </w:tc>
        <w:tc>
          <w:tcPr>
            <w:tcW w:w="2079" w:type="dxa"/>
          </w:tcPr>
          <w:p w14:paraId="5E7E19F8" w14:textId="77777777" w:rsidR="00120AB6" w:rsidRDefault="00120AB6" w:rsidP="00120AB6"/>
        </w:tc>
        <w:tc>
          <w:tcPr>
            <w:tcW w:w="1555" w:type="dxa"/>
          </w:tcPr>
          <w:p w14:paraId="26B72D3D" w14:textId="77777777" w:rsidR="00120AB6" w:rsidRDefault="00120AB6" w:rsidP="00120AB6"/>
        </w:tc>
      </w:tr>
      <w:tr w:rsidR="00120AB6" w14:paraId="3F0B5873" w14:textId="77777777" w:rsidTr="00A20DC3">
        <w:tc>
          <w:tcPr>
            <w:tcW w:w="9576" w:type="dxa"/>
            <w:gridSpan w:val="5"/>
          </w:tcPr>
          <w:p w14:paraId="595F7B55" w14:textId="4305EBA4" w:rsidR="00120AB6" w:rsidRPr="00120AB6" w:rsidRDefault="00120AB6" w:rsidP="00120AB6">
            <w:pPr>
              <w:rPr>
                <w:b/>
              </w:rPr>
            </w:pPr>
            <w:r w:rsidRPr="00120AB6">
              <w:rPr>
                <w:b/>
              </w:rPr>
              <w:t>Стомашно-чревни нарушения</w:t>
            </w:r>
          </w:p>
        </w:tc>
      </w:tr>
      <w:tr w:rsidR="00120AB6" w14:paraId="63FAD1C2" w14:textId="77777777" w:rsidTr="00120AB6">
        <w:tc>
          <w:tcPr>
            <w:tcW w:w="1701" w:type="dxa"/>
          </w:tcPr>
          <w:p w14:paraId="314D152F" w14:textId="77777777" w:rsidR="00120AB6" w:rsidRPr="00120AB6" w:rsidRDefault="00120AB6" w:rsidP="00120AB6">
            <w:pPr>
              <w:rPr>
                <w:rFonts w:cs="Arial"/>
              </w:rPr>
            </w:pPr>
          </w:p>
        </w:tc>
        <w:tc>
          <w:tcPr>
            <w:tcW w:w="2058" w:type="dxa"/>
            <w:vAlign w:val="bottom"/>
          </w:tcPr>
          <w:p w14:paraId="75328B01" w14:textId="02719044" w:rsidR="00120AB6" w:rsidRPr="00120AB6" w:rsidRDefault="00120AB6" w:rsidP="00120AB6">
            <w:pPr>
              <w:rPr>
                <w:rFonts w:cs="Arial"/>
              </w:rPr>
            </w:pPr>
            <w:r w:rsidRPr="00120AB6">
              <w:rPr>
                <w:rFonts w:cs="Arial"/>
                <w:bCs/>
                <w:szCs w:val="18"/>
              </w:rPr>
              <w:t>Леки, преходни антихолинергични ефекти, включително запек и сухота</w:t>
            </w:r>
            <w:r w:rsidRPr="00120AB6">
              <w:rPr>
                <w:rFonts w:cs="Arial"/>
                <w:bCs/>
                <w:szCs w:val="18"/>
                <w:lang w:val="ru-RU"/>
              </w:rPr>
              <w:t xml:space="preserve"> </w:t>
            </w:r>
            <w:r w:rsidRPr="00120AB6">
              <w:rPr>
                <w:rFonts w:cs="Arial"/>
                <w:bCs/>
                <w:szCs w:val="18"/>
              </w:rPr>
              <w:t>в устата</w:t>
            </w:r>
          </w:p>
        </w:tc>
        <w:tc>
          <w:tcPr>
            <w:tcW w:w="2183" w:type="dxa"/>
          </w:tcPr>
          <w:p w14:paraId="2F0BAAE3" w14:textId="59B8384C" w:rsidR="00120AB6" w:rsidRPr="00120AB6" w:rsidRDefault="00120AB6" w:rsidP="00120AB6">
            <w:pPr>
              <w:rPr>
                <w:rFonts w:cs="Arial"/>
              </w:rPr>
            </w:pPr>
            <w:r w:rsidRPr="00120AB6">
              <w:rPr>
                <w:rFonts w:cs="Arial"/>
                <w:bCs/>
                <w:szCs w:val="18"/>
              </w:rPr>
              <w:t>Подуване на корема</w:t>
            </w:r>
            <w:r w:rsidRPr="00120AB6">
              <w:rPr>
                <w:rFonts w:cs="Arial"/>
                <w:bCs/>
                <w:szCs w:val="18"/>
                <w:vertAlign w:val="superscript"/>
              </w:rPr>
              <w:t xml:space="preserve">9 </w:t>
            </w:r>
            <w:r w:rsidRPr="00120AB6">
              <w:rPr>
                <w:rFonts w:cs="Arial"/>
                <w:bCs/>
                <w:szCs w:val="18"/>
              </w:rPr>
              <w:t>Хиперсалива- ция</w:t>
            </w:r>
            <w:r w:rsidRPr="00120AB6">
              <w:rPr>
                <w:rFonts w:cs="Arial"/>
                <w:bCs/>
                <w:szCs w:val="18"/>
                <w:vertAlign w:val="superscript"/>
              </w:rPr>
              <w:t>11</w:t>
            </w:r>
          </w:p>
        </w:tc>
        <w:tc>
          <w:tcPr>
            <w:tcW w:w="2079" w:type="dxa"/>
          </w:tcPr>
          <w:p w14:paraId="6DA79450" w14:textId="0B54B347" w:rsidR="00120AB6" w:rsidRPr="00120AB6" w:rsidRDefault="00120AB6" w:rsidP="00120AB6">
            <w:pPr>
              <w:rPr>
                <w:rFonts w:cs="Arial"/>
              </w:rPr>
            </w:pPr>
            <w:r w:rsidRPr="00120AB6">
              <w:rPr>
                <w:rFonts w:cs="Arial"/>
                <w:bCs/>
                <w:szCs w:val="18"/>
              </w:rPr>
              <w:t>Панкреатит</w:t>
            </w:r>
            <w:r w:rsidRPr="00120AB6">
              <w:rPr>
                <w:rFonts w:cs="Arial"/>
                <w:bCs/>
                <w:szCs w:val="18"/>
                <w:vertAlign w:val="superscript"/>
              </w:rPr>
              <w:t>11</w:t>
            </w:r>
          </w:p>
        </w:tc>
        <w:tc>
          <w:tcPr>
            <w:tcW w:w="1555" w:type="dxa"/>
          </w:tcPr>
          <w:p w14:paraId="50F1B6B3" w14:textId="77777777" w:rsidR="00120AB6" w:rsidRPr="00120AB6" w:rsidRDefault="00120AB6" w:rsidP="00120AB6">
            <w:pPr>
              <w:rPr>
                <w:rFonts w:cs="Arial"/>
              </w:rPr>
            </w:pPr>
          </w:p>
        </w:tc>
      </w:tr>
      <w:tr w:rsidR="00120AB6" w14:paraId="3CF04623" w14:textId="77777777" w:rsidTr="00A20DC3">
        <w:tc>
          <w:tcPr>
            <w:tcW w:w="9576" w:type="dxa"/>
            <w:gridSpan w:val="5"/>
          </w:tcPr>
          <w:p w14:paraId="5F28D7EB" w14:textId="3171B6C8" w:rsidR="00120AB6" w:rsidRPr="00120AB6" w:rsidRDefault="00120AB6" w:rsidP="00120AB6">
            <w:pPr>
              <w:rPr>
                <w:b/>
              </w:rPr>
            </w:pPr>
            <w:r w:rsidRPr="00120AB6">
              <w:rPr>
                <w:b/>
              </w:rPr>
              <w:t>Хепатобилиарни нарушения</w:t>
            </w:r>
          </w:p>
        </w:tc>
      </w:tr>
      <w:tr w:rsidR="00120AB6" w14:paraId="1D4CEEF7" w14:textId="77777777" w:rsidTr="00120AB6">
        <w:tc>
          <w:tcPr>
            <w:tcW w:w="1701" w:type="dxa"/>
          </w:tcPr>
          <w:p w14:paraId="68BF788A" w14:textId="77777777" w:rsidR="00120AB6" w:rsidRPr="00120AB6" w:rsidRDefault="00120AB6" w:rsidP="00120AB6">
            <w:pPr>
              <w:rPr>
                <w:rFonts w:cs="Arial"/>
              </w:rPr>
            </w:pPr>
          </w:p>
        </w:tc>
        <w:tc>
          <w:tcPr>
            <w:tcW w:w="2058" w:type="dxa"/>
            <w:vAlign w:val="bottom"/>
          </w:tcPr>
          <w:p w14:paraId="14803F72" w14:textId="0744C4F3" w:rsidR="00120AB6" w:rsidRPr="00120AB6" w:rsidRDefault="00120AB6" w:rsidP="00120AB6">
            <w:pPr>
              <w:rPr>
                <w:rFonts w:cs="Arial"/>
              </w:rPr>
            </w:pPr>
            <w:r w:rsidRPr="00120AB6">
              <w:rPr>
                <w:rFonts w:cs="Arial"/>
                <w:bCs/>
                <w:szCs w:val="18"/>
              </w:rPr>
              <w:t>Преходни, асимптоматични увеличения на чернодробните аминотрансфера</w:t>
            </w:r>
            <w:r w:rsidRPr="00120AB6">
              <w:rPr>
                <w:rFonts w:cs="Arial"/>
                <w:bCs/>
                <w:szCs w:val="18"/>
              </w:rPr>
              <w:lastRenderedPageBreak/>
              <w:t>зи (АЛАТ, АСАТ), особено в началото на лечението (вж. т. 4.4)</w:t>
            </w:r>
          </w:p>
        </w:tc>
        <w:tc>
          <w:tcPr>
            <w:tcW w:w="2183" w:type="dxa"/>
          </w:tcPr>
          <w:p w14:paraId="170EAED1" w14:textId="77777777" w:rsidR="00120AB6" w:rsidRPr="00120AB6" w:rsidRDefault="00120AB6" w:rsidP="00120AB6">
            <w:pPr>
              <w:rPr>
                <w:rFonts w:cs="Arial"/>
              </w:rPr>
            </w:pPr>
          </w:p>
        </w:tc>
        <w:tc>
          <w:tcPr>
            <w:tcW w:w="2079" w:type="dxa"/>
          </w:tcPr>
          <w:p w14:paraId="29553675" w14:textId="744461C9" w:rsidR="00120AB6" w:rsidRPr="00120AB6" w:rsidRDefault="00120AB6" w:rsidP="00120AB6">
            <w:pPr>
              <w:rPr>
                <w:rFonts w:cs="Arial"/>
              </w:rPr>
            </w:pPr>
            <w:r w:rsidRPr="00120AB6">
              <w:rPr>
                <w:rFonts w:cs="Arial"/>
                <w:bCs/>
                <w:szCs w:val="18"/>
              </w:rPr>
              <w:t xml:space="preserve">Хепатит (включително хепатоцелуларно, холестатично или чернодробно </w:t>
            </w:r>
            <w:r w:rsidRPr="00120AB6">
              <w:rPr>
                <w:rFonts w:cs="Arial"/>
                <w:bCs/>
                <w:szCs w:val="18"/>
              </w:rPr>
              <w:lastRenderedPageBreak/>
              <w:t>нарушение от смесен тип)</w:t>
            </w:r>
            <w:r w:rsidRPr="00120AB6">
              <w:rPr>
                <w:rFonts w:cs="Arial"/>
                <w:bCs/>
                <w:szCs w:val="18"/>
                <w:vertAlign w:val="superscript"/>
              </w:rPr>
              <w:t>11</w:t>
            </w:r>
          </w:p>
        </w:tc>
        <w:tc>
          <w:tcPr>
            <w:tcW w:w="1555" w:type="dxa"/>
          </w:tcPr>
          <w:p w14:paraId="4516F8A0" w14:textId="77777777" w:rsidR="00120AB6" w:rsidRPr="00120AB6" w:rsidRDefault="00120AB6" w:rsidP="00120AB6">
            <w:pPr>
              <w:rPr>
                <w:rFonts w:cs="Arial"/>
              </w:rPr>
            </w:pPr>
          </w:p>
        </w:tc>
      </w:tr>
      <w:tr w:rsidR="00120AB6" w14:paraId="2E9FC98C" w14:textId="77777777" w:rsidTr="00A20DC3">
        <w:tc>
          <w:tcPr>
            <w:tcW w:w="9576" w:type="dxa"/>
            <w:gridSpan w:val="5"/>
          </w:tcPr>
          <w:p w14:paraId="63B840EE" w14:textId="6C573EE5" w:rsidR="00120AB6" w:rsidRPr="00120AB6" w:rsidRDefault="00120AB6" w:rsidP="00120AB6">
            <w:pPr>
              <w:rPr>
                <w:b/>
              </w:rPr>
            </w:pPr>
            <w:r w:rsidRPr="00120AB6">
              <w:rPr>
                <w:b/>
              </w:rPr>
              <w:t>Нарушения на кожата и подкожната тъкан</w:t>
            </w:r>
          </w:p>
        </w:tc>
      </w:tr>
      <w:tr w:rsidR="00120AB6" w14:paraId="0C0BC6E1" w14:textId="77777777" w:rsidTr="00120AB6">
        <w:tc>
          <w:tcPr>
            <w:tcW w:w="1701" w:type="dxa"/>
          </w:tcPr>
          <w:p w14:paraId="4303C698" w14:textId="77777777" w:rsidR="00120AB6" w:rsidRPr="00120AB6" w:rsidRDefault="00120AB6" w:rsidP="00120AB6">
            <w:pPr>
              <w:rPr>
                <w:rFonts w:cs="Arial"/>
              </w:rPr>
            </w:pPr>
          </w:p>
        </w:tc>
        <w:tc>
          <w:tcPr>
            <w:tcW w:w="2058" w:type="dxa"/>
          </w:tcPr>
          <w:p w14:paraId="02E67AAE" w14:textId="1D24A038" w:rsidR="00120AB6" w:rsidRPr="00120AB6" w:rsidRDefault="00120AB6" w:rsidP="00120AB6">
            <w:pPr>
              <w:rPr>
                <w:rFonts w:cs="Arial"/>
              </w:rPr>
            </w:pPr>
            <w:r w:rsidRPr="00120AB6">
              <w:rPr>
                <w:rFonts w:cs="Arial"/>
                <w:bCs/>
                <w:szCs w:val="18"/>
              </w:rPr>
              <w:t>Обрив</w:t>
            </w:r>
          </w:p>
        </w:tc>
        <w:tc>
          <w:tcPr>
            <w:tcW w:w="2183" w:type="dxa"/>
          </w:tcPr>
          <w:p w14:paraId="5EFD274C" w14:textId="21233F9D" w:rsidR="00120AB6" w:rsidRPr="00120AB6" w:rsidRDefault="00120AB6" w:rsidP="00120AB6">
            <w:pPr>
              <w:rPr>
                <w:rFonts w:cs="Arial"/>
              </w:rPr>
            </w:pPr>
            <w:r w:rsidRPr="00120AB6">
              <w:rPr>
                <w:rFonts w:cs="Arial"/>
                <w:bCs/>
                <w:szCs w:val="18"/>
              </w:rPr>
              <w:t>Реакция на фоточувствителност Алопеция</w:t>
            </w:r>
          </w:p>
        </w:tc>
        <w:tc>
          <w:tcPr>
            <w:tcW w:w="2079" w:type="dxa"/>
          </w:tcPr>
          <w:p w14:paraId="30D97065" w14:textId="77777777" w:rsidR="00120AB6" w:rsidRPr="00120AB6" w:rsidRDefault="00120AB6" w:rsidP="00120AB6">
            <w:pPr>
              <w:rPr>
                <w:rFonts w:cs="Arial"/>
              </w:rPr>
            </w:pPr>
          </w:p>
        </w:tc>
        <w:tc>
          <w:tcPr>
            <w:tcW w:w="1555" w:type="dxa"/>
            <w:vAlign w:val="bottom"/>
          </w:tcPr>
          <w:p w14:paraId="20B99EBF" w14:textId="604C3782" w:rsidR="00120AB6" w:rsidRPr="00120AB6" w:rsidRDefault="00120AB6" w:rsidP="00120AB6">
            <w:pPr>
              <w:rPr>
                <w:rFonts w:cs="Arial"/>
              </w:rPr>
            </w:pPr>
            <w:r w:rsidRPr="00120AB6">
              <w:rPr>
                <w:rFonts w:cs="Arial"/>
                <w:bCs/>
                <w:szCs w:val="18"/>
              </w:rPr>
              <w:t xml:space="preserve">Лекарствена реакция с еозинофилия и системни симптоми </w:t>
            </w:r>
            <w:r w:rsidRPr="00120AB6">
              <w:rPr>
                <w:rFonts w:cs="Arial"/>
                <w:bCs/>
                <w:szCs w:val="18"/>
                <w:lang w:val="ru-RU"/>
              </w:rPr>
              <w:t>(</w:t>
            </w:r>
            <w:r w:rsidRPr="00120AB6">
              <w:rPr>
                <w:rFonts w:cs="Arial"/>
                <w:bCs/>
                <w:szCs w:val="18"/>
                <w:lang w:val="en-US"/>
              </w:rPr>
              <w:t>DRESS</w:t>
            </w:r>
            <w:r w:rsidRPr="00120AB6">
              <w:rPr>
                <w:rFonts w:cs="Arial"/>
                <w:bCs/>
                <w:szCs w:val="18"/>
                <w:lang w:val="ru-RU"/>
              </w:rPr>
              <w:t>)</w:t>
            </w:r>
          </w:p>
        </w:tc>
      </w:tr>
      <w:tr w:rsidR="00120AB6" w14:paraId="6E2502B5" w14:textId="77777777" w:rsidTr="00A20DC3">
        <w:tc>
          <w:tcPr>
            <w:tcW w:w="9576" w:type="dxa"/>
            <w:gridSpan w:val="5"/>
          </w:tcPr>
          <w:p w14:paraId="45E1451B" w14:textId="42E76BF3" w:rsidR="00120AB6" w:rsidRPr="00120AB6" w:rsidRDefault="00120AB6" w:rsidP="00120AB6">
            <w:pPr>
              <w:rPr>
                <w:b/>
              </w:rPr>
            </w:pPr>
            <w:r w:rsidRPr="00120AB6">
              <w:rPr>
                <w:b/>
                <w:lang w:eastAsia="bg-BG"/>
              </w:rPr>
              <w:t>Нарушения на мускулно-скелетната система и съединителната тъкан</w:t>
            </w:r>
          </w:p>
        </w:tc>
      </w:tr>
      <w:tr w:rsidR="00120AB6" w14:paraId="50C1AEB1" w14:textId="77777777" w:rsidTr="00120AB6">
        <w:tc>
          <w:tcPr>
            <w:tcW w:w="1701" w:type="dxa"/>
          </w:tcPr>
          <w:p w14:paraId="1CE5DB28" w14:textId="77777777" w:rsidR="00120AB6" w:rsidRPr="00120AB6" w:rsidRDefault="00120AB6" w:rsidP="00120AB6">
            <w:pPr>
              <w:rPr>
                <w:rFonts w:cs="Arial"/>
              </w:rPr>
            </w:pPr>
          </w:p>
        </w:tc>
        <w:tc>
          <w:tcPr>
            <w:tcW w:w="2058" w:type="dxa"/>
            <w:vAlign w:val="bottom"/>
          </w:tcPr>
          <w:p w14:paraId="39155BAF" w14:textId="7C80E5B2" w:rsidR="00120AB6" w:rsidRPr="00120AB6" w:rsidRDefault="00120AB6" w:rsidP="00120AB6">
            <w:pPr>
              <w:rPr>
                <w:rFonts w:cs="Arial"/>
              </w:rPr>
            </w:pPr>
            <w:r w:rsidRPr="00120AB6">
              <w:rPr>
                <w:rFonts w:cs="Arial"/>
                <w:bCs/>
                <w:szCs w:val="18"/>
              </w:rPr>
              <w:t>Артралгия</w:t>
            </w:r>
            <w:r w:rsidRPr="00120AB6">
              <w:rPr>
                <w:rFonts w:cs="Arial"/>
                <w:bCs/>
                <w:szCs w:val="18"/>
                <w:vertAlign w:val="superscript"/>
              </w:rPr>
              <w:t>9</w:t>
            </w:r>
          </w:p>
        </w:tc>
        <w:tc>
          <w:tcPr>
            <w:tcW w:w="2183" w:type="dxa"/>
          </w:tcPr>
          <w:p w14:paraId="036B0D5D" w14:textId="77777777" w:rsidR="00120AB6" w:rsidRPr="00120AB6" w:rsidRDefault="00120AB6" w:rsidP="00120AB6">
            <w:pPr>
              <w:rPr>
                <w:rFonts w:cs="Arial"/>
              </w:rPr>
            </w:pPr>
          </w:p>
        </w:tc>
        <w:tc>
          <w:tcPr>
            <w:tcW w:w="2079" w:type="dxa"/>
            <w:vAlign w:val="bottom"/>
          </w:tcPr>
          <w:p w14:paraId="3CEC5285" w14:textId="77F8EB80" w:rsidR="00120AB6" w:rsidRPr="00120AB6" w:rsidRDefault="00120AB6" w:rsidP="00120AB6">
            <w:pPr>
              <w:rPr>
                <w:rFonts w:cs="Arial"/>
              </w:rPr>
            </w:pPr>
            <w:r w:rsidRPr="00120AB6">
              <w:rPr>
                <w:rFonts w:cs="Arial"/>
                <w:bCs/>
                <w:szCs w:val="18"/>
              </w:rPr>
              <w:t>Рабдомиолиза</w:t>
            </w:r>
            <w:r w:rsidRPr="00120AB6">
              <w:rPr>
                <w:rFonts w:cs="Arial"/>
                <w:bCs/>
                <w:szCs w:val="18"/>
                <w:vertAlign w:val="superscript"/>
              </w:rPr>
              <w:t>11</w:t>
            </w:r>
          </w:p>
        </w:tc>
        <w:tc>
          <w:tcPr>
            <w:tcW w:w="1555" w:type="dxa"/>
          </w:tcPr>
          <w:p w14:paraId="512698D3" w14:textId="77777777" w:rsidR="00120AB6" w:rsidRPr="00120AB6" w:rsidRDefault="00120AB6" w:rsidP="00120AB6">
            <w:pPr>
              <w:rPr>
                <w:rFonts w:cs="Arial"/>
              </w:rPr>
            </w:pPr>
          </w:p>
        </w:tc>
      </w:tr>
      <w:tr w:rsidR="00120AB6" w14:paraId="7DA7A0FD" w14:textId="77777777" w:rsidTr="00A20DC3">
        <w:tc>
          <w:tcPr>
            <w:tcW w:w="9576" w:type="dxa"/>
            <w:gridSpan w:val="5"/>
          </w:tcPr>
          <w:p w14:paraId="08569BE7" w14:textId="6871F687" w:rsidR="00120AB6" w:rsidRPr="00120AB6" w:rsidRDefault="00120AB6" w:rsidP="00120AB6">
            <w:pPr>
              <w:rPr>
                <w:b/>
              </w:rPr>
            </w:pPr>
            <w:r w:rsidRPr="00120AB6">
              <w:rPr>
                <w:b/>
              </w:rPr>
              <w:t>Нарушения на бъбреците и пикочните пътища</w:t>
            </w:r>
          </w:p>
        </w:tc>
      </w:tr>
      <w:tr w:rsidR="00120AB6" w14:paraId="59E47215" w14:textId="77777777" w:rsidTr="00120AB6">
        <w:tc>
          <w:tcPr>
            <w:tcW w:w="1701" w:type="dxa"/>
          </w:tcPr>
          <w:p w14:paraId="22D81355" w14:textId="77777777" w:rsidR="00120AB6" w:rsidRPr="00120AB6" w:rsidRDefault="00120AB6" w:rsidP="00120AB6">
            <w:pPr>
              <w:rPr>
                <w:rFonts w:cs="Arial"/>
              </w:rPr>
            </w:pPr>
          </w:p>
        </w:tc>
        <w:tc>
          <w:tcPr>
            <w:tcW w:w="2058" w:type="dxa"/>
          </w:tcPr>
          <w:p w14:paraId="566A5C73" w14:textId="77777777" w:rsidR="00120AB6" w:rsidRPr="00120AB6" w:rsidRDefault="00120AB6" w:rsidP="00120AB6">
            <w:pPr>
              <w:rPr>
                <w:rFonts w:cs="Arial"/>
              </w:rPr>
            </w:pPr>
          </w:p>
        </w:tc>
        <w:tc>
          <w:tcPr>
            <w:tcW w:w="2183" w:type="dxa"/>
          </w:tcPr>
          <w:p w14:paraId="496986F0" w14:textId="1AA545A2" w:rsidR="00120AB6" w:rsidRPr="00120AB6" w:rsidRDefault="00120AB6" w:rsidP="00120AB6">
            <w:pPr>
              <w:rPr>
                <w:rFonts w:cs="Arial"/>
              </w:rPr>
            </w:pPr>
            <w:r w:rsidRPr="00120AB6">
              <w:rPr>
                <w:rFonts w:cs="Arial"/>
                <w:bCs/>
                <w:szCs w:val="18"/>
              </w:rPr>
              <w:t>Уринарна инконтиненция, задържане на урина, Колебание при уриниране</w:t>
            </w:r>
            <w:r w:rsidRPr="00120AB6">
              <w:rPr>
                <w:rFonts w:cs="Arial"/>
                <w:bCs/>
                <w:szCs w:val="18"/>
                <w:vertAlign w:val="superscript"/>
              </w:rPr>
              <w:t>11</w:t>
            </w:r>
          </w:p>
        </w:tc>
        <w:tc>
          <w:tcPr>
            <w:tcW w:w="2079" w:type="dxa"/>
          </w:tcPr>
          <w:p w14:paraId="706A72E3" w14:textId="77777777" w:rsidR="00120AB6" w:rsidRPr="00120AB6" w:rsidRDefault="00120AB6" w:rsidP="00120AB6">
            <w:pPr>
              <w:rPr>
                <w:rFonts w:cs="Arial"/>
              </w:rPr>
            </w:pPr>
          </w:p>
        </w:tc>
        <w:tc>
          <w:tcPr>
            <w:tcW w:w="1555" w:type="dxa"/>
          </w:tcPr>
          <w:p w14:paraId="3EC6562A" w14:textId="77777777" w:rsidR="00120AB6" w:rsidRPr="00120AB6" w:rsidRDefault="00120AB6" w:rsidP="00120AB6">
            <w:pPr>
              <w:rPr>
                <w:rFonts w:cs="Arial"/>
              </w:rPr>
            </w:pPr>
          </w:p>
        </w:tc>
      </w:tr>
      <w:tr w:rsidR="00120AB6" w14:paraId="13DB0474" w14:textId="77777777" w:rsidTr="00A20DC3">
        <w:tc>
          <w:tcPr>
            <w:tcW w:w="9576" w:type="dxa"/>
            <w:gridSpan w:val="5"/>
          </w:tcPr>
          <w:p w14:paraId="12745484" w14:textId="3FB916C4" w:rsidR="00120AB6" w:rsidRPr="00120AB6" w:rsidRDefault="00120AB6" w:rsidP="00120AB6">
            <w:pPr>
              <w:rPr>
                <w:b/>
              </w:rPr>
            </w:pPr>
            <w:r w:rsidRPr="00120AB6">
              <w:rPr>
                <w:b/>
              </w:rPr>
              <w:t>Състояния, свързани с бременността, родовия и послеродовия период</w:t>
            </w:r>
          </w:p>
        </w:tc>
      </w:tr>
      <w:tr w:rsidR="00120AB6" w14:paraId="1E53A457" w14:textId="77777777" w:rsidTr="00120AB6">
        <w:tc>
          <w:tcPr>
            <w:tcW w:w="1701" w:type="dxa"/>
          </w:tcPr>
          <w:p w14:paraId="544687F8" w14:textId="77777777" w:rsidR="00120AB6" w:rsidRPr="00120AB6" w:rsidRDefault="00120AB6" w:rsidP="00120AB6">
            <w:pPr>
              <w:rPr>
                <w:rFonts w:cs="Arial"/>
              </w:rPr>
            </w:pPr>
          </w:p>
        </w:tc>
        <w:tc>
          <w:tcPr>
            <w:tcW w:w="2058" w:type="dxa"/>
          </w:tcPr>
          <w:p w14:paraId="30DB06EB" w14:textId="77777777" w:rsidR="00120AB6" w:rsidRPr="00120AB6" w:rsidRDefault="00120AB6" w:rsidP="00120AB6">
            <w:pPr>
              <w:rPr>
                <w:rFonts w:cs="Arial"/>
              </w:rPr>
            </w:pPr>
          </w:p>
        </w:tc>
        <w:tc>
          <w:tcPr>
            <w:tcW w:w="2183" w:type="dxa"/>
          </w:tcPr>
          <w:p w14:paraId="5DA52655" w14:textId="77777777" w:rsidR="00120AB6" w:rsidRPr="00120AB6" w:rsidRDefault="00120AB6" w:rsidP="00120AB6">
            <w:pPr>
              <w:rPr>
                <w:rFonts w:cs="Arial"/>
              </w:rPr>
            </w:pPr>
          </w:p>
        </w:tc>
        <w:tc>
          <w:tcPr>
            <w:tcW w:w="2079" w:type="dxa"/>
          </w:tcPr>
          <w:p w14:paraId="23BC773A" w14:textId="77777777" w:rsidR="00120AB6" w:rsidRPr="00120AB6" w:rsidRDefault="00120AB6" w:rsidP="00120AB6">
            <w:pPr>
              <w:rPr>
                <w:rFonts w:cs="Arial"/>
              </w:rPr>
            </w:pPr>
          </w:p>
        </w:tc>
        <w:tc>
          <w:tcPr>
            <w:tcW w:w="1555" w:type="dxa"/>
          </w:tcPr>
          <w:p w14:paraId="1036B893" w14:textId="44FD46E8" w:rsidR="00120AB6" w:rsidRPr="00120AB6" w:rsidRDefault="00120AB6" w:rsidP="00120AB6">
            <w:pPr>
              <w:rPr>
                <w:rFonts w:cs="Arial"/>
              </w:rPr>
            </w:pPr>
            <w:r w:rsidRPr="00120AB6">
              <w:rPr>
                <w:rFonts w:cs="Arial"/>
                <w:bCs/>
                <w:szCs w:val="18"/>
              </w:rPr>
              <w:t>Синдром на отнемане на лекарството при новороденото (вж. т. 4.6)</w:t>
            </w:r>
          </w:p>
        </w:tc>
      </w:tr>
      <w:tr w:rsidR="00120AB6" w14:paraId="2A1B1449" w14:textId="77777777" w:rsidTr="00A20DC3">
        <w:tc>
          <w:tcPr>
            <w:tcW w:w="9576" w:type="dxa"/>
            <w:gridSpan w:val="5"/>
          </w:tcPr>
          <w:p w14:paraId="2B991082" w14:textId="7A007DBA" w:rsidR="00120AB6" w:rsidRPr="00120AB6" w:rsidRDefault="00120AB6" w:rsidP="00120AB6">
            <w:pPr>
              <w:rPr>
                <w:b/>
              </w:rPr>
            </w:pPr>
            <w:r w:rsidRPr="00120AB6">
              <w:rPr>
                <w:b/>
              </w:rPr>
              <w:t>Нарушения на възпроизводителната система и гърдата</w:t>
            </w:r>
          </w:p>
        </w:tc>
      </w:tr>
      <w:tr w:rsidR="00120AB6" w14:paraId="63D70E66" w14:textId="77777777" w:rsidTr="00120AB6">
        <w:tc>
          <w:tcPr>
            <w:tcW w:w="1701" w:type="dxa"/>
          </w:tcPr>
          <w:p w14:paraId="6BE5EBD0" w14:textId="77777777" w:rsidR="00120AB6" w:rsidRPr="00120AB6" w:rsidRDefault="00120AB6" w:rsidP="00120AB6">
            <w:pPr>
              <w:rPr>
                <w:rFonts w:cs="Arial"/>
              </w:rPr>
            </w:pPr>
          </w:p>
        </w:tc>
        <w:tc>
          <w:tcPr>
            <w:tcW w:w="2058" w:type="dxa"/>
          </w:tcPr>
          <w:p w14:paraId="5CE9396D" w14:textId="77777777" w:rsidR="00120AB6" w:rsidRPr="00120AB6" w:rsidRDefault="00120AB6" w:rsidP="00120AB6">
            <w:pPr>
              <w:rPr>
                <w:rFonts w:cs="Arial"/>
              </w:rPr>
            </w:pPr>
            <w:r w:rsidRPr="00120AB6">
              <w:rPr>
                <w:rFonts w:cs="Arial"/>
                <w:bCs/>
                <w:szCs w:val="18"/>
              </w:rPr>
              <w:t>Еректилна дисфункция при мъже</w:t>
            </w:r>
          </w:p>
          <w:p w14:paraId="6E948CB6" w14:textId="7A4CEDB9" w:rsidR="00120AB6" w:rsidRPr="00120AB6" w:rsidRDefault="00120AB6" w:rsidP="00120AB6">
            <w:pPr>
              <w:rPr>
                <w:rFonts w:cs="Arial"/>
              </w:rPr>
            </w:pPr>
            <w:r w:rsidRPr="00120AB6">
              <w:rPr>
                <w:rFonts w:cs="Arial"/>
                <w:bCs/>
                <w:szCs w:val="18"/>
              </w:rPr>
              <w:t>Понижено либидо при мъже и жени</w:t>
            </w:r>
          </w:p>
        </w:tc>
        <w:tc>
          <w:tcPr>
            <w:tcW w:w="2183" w:type="dxa"/>
          </w:tcPr>
          <w:p w14:paraId="7448DE52" w14:textId="77777777" w:rsidR="00120AB6" w:rsidRPr="00120AB6" w:rsidRDefault="00120AB6" w:rsidP="00120AB6">
            <w:pPr>
              <w:rPr>
                <w:rFonts w:cs="Arial"/>
              </w:rPr>
            </w:pPr>
            <w:r w:rsidRPr="00120AB6">
              <w:rPr>
                <w:rFonts w:cs="Arial"/>
                <w:bCs/>
                <w:szCs w:val="18"/>
              </w:rPr>
              <w:t>Аменорея Уголемяване на гърдите</w:t>
            </w:r>
          </w:p>
          <w:p w14:paraId="53E70F96" w14:textId="2A85E368" w:rsidR="00120AB6" w:rsidRPr="00120AB6" w:rsidRDefault="00120AB6" w:rsidP="00120AB6">
            <w:pPr>
              <w:rPr>
                <w:rFonts w:cs="Arial"/>
              </w:rPr>
            </w:pPr>
            <w:r w:rsidRPr="00120AB6">
              <w:rPr>
                <w:rFonts w:cs="Arial"/>
                <w:bCs/>
                <w:szCs w:val="18"/>
              </w:rPr>
              <w:t>Галакторея при жени Гинекомастия/ уголемяване на гърдите при мъже</w:t>
            </w:r>
          </w:p>
        </w:tc>
        <w:tc>
          <w:tcPr>
            <w:tcW w:w="2079" w:type="dxa"/>
          </w:tcPr>
          <w:p w14:paraId="624DD5DE" w14:textId="6D71CABF" w:rsidR="00120AB6" w:rsidRPr="00120AB6" w:rsidRDefault="00120AB6" w:rsidP="00120AB6">
            <w:pPr>
              <w:rPr>
                <w:rFonts w:cs="Arial"/>
              </w:rPr>
            </w:pPr>
            <w:r w:rsidRPr="00120AB6">
              <w:rPr>
                <w:rFonts w:cs="Arial"/>
                <w:bCs/>
                <w:szCs w:val="18"/>
              </w:rPr>
              <w:t>Приапизъм</w:t>
            </w:r>
            <w:r w:rsidRPr="00120AB6">
              <w:rPr>
                <w:rFonts w:cs="Arial"/>
                <w:bCs/>
                <w:szCs w:val="18"/>
                <w:vertAlign w:val="superscript"/>
              </w:rPr>
              <w:t>12</w:t>
            </w:r>
          </w:p>
        </w:tc>
        <w:tc>
          <w:tcPr>
            <w:tcW w:w="1555" w:type="dxa"/>
          </w:tcPr>
          <w:p w14:paraId="5F128076" w14:textId="77777777" w:rsidR="00120AB6" w:rsidRPr="00120AB6" w:rsidRDefault="00120AB6" w:rsidP="00120AB6">
            <w:pPr>
              <w:rPr>
                <w:rFonts w:cs="Arial"/>
              </w:rPr>
            </w:pPr>
          </w:p>
        </w:tc>
      </w:tr>
      <w:tr w:rsidR="00120AB6" w14:paraId="6F1ADD87" w14:textId="77777777" w:rsidTr="00A20DC3">
        <w:tc>
          <w:tcPr>
            <w:tcW w:w="9576" w:type="dxa"/>
            <w:gridSpan w:val="5"/>
          </w:tcPr>
          <w:p w14:paraId="1435CD8A" w14:textId="2ADEC6C1" w:rsidR="00120AB6" w:rsidRPr="00120AB6" w:rsidRDefault="00120AB6" w:rsidP="00120AB6">
            <w:pPr>
              <w:rPr>
                <w:b/>
              </w:rPr>
            </w:pPr>
            <w:r w:rsidRPr="00120AB6">
              <w:rPr>
                <w:b/>
              </w:rPr>
              <w:t>Общи нарушения в ефекти на мястото на приложение</w:t>
            </w:r>
          </w:p>
        </w:tc>
      </w:tr>
      <w:tr w:rsidR="00120AB6" w14:paraId="04338F14" w14:textId="77777777" w:rsidTr="00120AB6">
        <w:tc>
          <w:tcPr>
            <w:tcW w:w="1701" w:type="dxa"/>
          </w:tcPr>
          <w:p w14:paraId="74B17F4C" w14:textId="77777777" w:rsidR="00120AB6" w:rsidRPr="00120AB6" w:rsidRDefault="00120AB6" w:rsidP="00120AB6">
            <w:pPr>
              <w:rPr>
                <w:rFonts w:cs="Arial"/>
              </w:rPr>
            </w:pPr>
          </w:p>
        </w:tc>
        <w:tc>
          <w:tcPr>
            <w:tcW w:w="2058" w:type="dxa"/>
          </w:tcPr>
          <w:p w14:paraId="586D7F2B" w14:textId="638A5DE9" w:rsidR="00120AB6" w:rsidRPr="00120AB6" w:rsidRDefault="00120AB6" w:rsidP="00120AB6">
            <w:pPr>
              <w:rPr>
                <w:rFonts w:cs="Arial"/>
              </w:rPr>
            </w:pPr>
            <w:r w:rsidRPr="00120AB6">
              <w:rPr>
                <w:rFonts w:cs="Arial"/>
                <w:bCs/>
                <w:szCs w:val="18"/>
              </w:rPr>
              <w:t>Астения Умора Оток Пирексия</w:t>
            </w:r>
            <w:r w:rsidRPr="00120AB6">
              <w:rPr>
                <w:rFonts w:cs="Arial"/>
                <w:bCs/>
                <w:szCs w:val="18"/>
                <w:vertAlign w:val="superscript"/>
              </w:rPr>
              <w:t>10</w:t>
            </w:r>
          </w:p>
        </w:tc>
        <w:tc>
          <w:tcPr>
            <w:tcW w:w="2183" w:type="dxa"/>
          </w:tcPr>
          <w:p w14:paraId="7BB4787F" w14:textId="77777777" w:rsidR="00120AB6" w:rsidRPr="00120AB6" w:rsidRDefault="00120AB6" w:rsidP="00120AB6">
            <w:pPr>
              <w:rPr>
                <w:rFonts w:cs="Arial"/>
              </w:rPr>
            </w:pPr>
          </w:p>
        </w:tc>
        <w:tc>
          <w:tcPr>
            <w:tcW w:w="2079" w:type="dxa"/>
          </w:tcPr>
          <w:p w14:paraId="557FA535" w14:textId="77777777" w:rsidR="00120AB6" w:rsidRPr="00120AB6" w:rsidRDefault="00120AB6" w:rsidP="00120AB6">
            <w:pPr>
              <w:rPr>
                <w:rFonts w:cs="Arial"/>
              </w:rPr>
            </w:pPr>
          </w:p>
        </w:tc>
        <w:tc>
          <w:tcPr>
            <w:tcW w:w="1555" w:type="dxa"/>
          </w:tcPr>
          <w:p w14:paraId="1CF1D2E0" w14:textId="77777777" w:rsidR="00120AB6" w:rsidRPr="00120AB6" w:rsidRDefault="00120AB6" w:rsidP="00120AB6">
            <w:pPr>
              <w:rPr>
                <w:rFonts w:cs="Arial"/>
              </w:rPr>
            </w:pPr>
          </w:p>
        </w:tc>
      </w:tr>
      <w:tr w:rsidR="00120AB6" w14:paraId="3B84AF66" w14:textId="77777777" w:rsidTr="00A20DC3">
        <w:tc>
          <w:tcPr>
            <w:tcW w:w="9576" w:type="dxa"/>
            <w:gridSpan w:val="5"/>
          </w:tcPr>
          <w:p w14:paraId="55305DA0" w14:textId="6E3707B0" w:rsidR="00120AB6" w:rsidRPr="00120AB6" w:rsidRDefault="00120AB6" w:rsidP="00120AB6">
            <w:pPr>
              <w:rPr>
                <w:rFonts w:cs="Arial"/>
                <w:b/>
              </w:rPr>
            </w:pPr>
            <w:r w:rsidRPr="00120AB6">
              <w:rPr>
                <w:b/>
              </w:rPr>
              <w:t>Изследвания</w:t>
            </w:r>
          </w:p>
        </w:tc>
      </w:tr>
      <w:tr w:rsidR="00120AB6" w14:paraId="0A83D1C5" w14:textId="77777777" w:rsidTr="00120AB6">
        <w:tc>
          <w:tcPr>
            <w:tcW w:w="1701" w:type="dxa"/>
          </w:tcPr>
          <w:p w14:paraId="64DF0290" w14:textId="2B657F0C" w:rsidR="00120AB6" w:rsidRPr="00120AB6" w:rsidRDefault="00120AB6" w:rsidP="00120AB6">
            <w:pPr>
              <w:rPr>
                <w:rFonts w:cs="Arial"/>
              </w:rPr>
            </w:pPr>
            <w:r>
              <w:t>Увеличени плазмени нива на пролактина</w:t>
            </w:r>
            <w:r>
              <w:rPr>
                <w:vertAlign w:val="superscript"/>
              </w:rPr>
              <w:t>8</w:t>
            </w:r>
          </w:p>
        </w:tc>
        <w:tc>
          <w:tcPr>
            <w:tcW w:w="2058" w:type="dxa"/>
          </w:tcPr>
          <w:p w14:paraId="5A72491E" w14:textId="6FC7A9E0" w:rsidR="00120AB6" w:rsidRPr="00120AB6" w:rsidRDefault="00120AB6" w:rsidP="00120AB6">
            <w:pPr>
              <w:rPr>
                <w:rFonts w:cs="Arial"/>
              </w:rPr>
            </w:pPr>
            <w:r>
              <w:t>Увеличена алкална фосфатаза</w:t>
            </w:r>
            <w:r>
              <w:rPr>
                <w:vertAlign w:val="superscript"/>
              </w:rPr>
              <w:t xml:space="preserve">10 </w:t>
            </w:r>
            <w:r>
              <w:t xml:space="preserve">Високи нива на креатин </w:t>
            </w:r>
            <w:r>
              <w:lastRenderedPageBreak/>
              <w:t>фосфокиназа</w:t>
            </w:r>
            <w:r>
              <w:rPr>
                <w:vertAlign w:val="superscript"/>
              </w:rPr>
              <w:t xml:space="preserve">11 </w:t>
            </w:r>
            <w:r>
              <w:t>Увеличена гама глутамил трансфераза</w:t>
            </w:r>
            <w:r>
              <w:rPr>
                <w:vertAlign w:val="superscript"/>
              </w:rPr>
              <w:t xml:space="preserve">10 </w:t>
            </w:r>
            <w:r>
              <w:t>Увеличена пикочна киселина</w:t>
            </w:r>
            <w:r>
              <w:rPr>
                <w:vertAlign w:val="superscript"/>
              </w:rPr>
              <w:t>10</w:t>
            </w:r>
          </w:p>
        </w:tc>
        <w:tc>
          <w:tcPr>
            <w:tcW w:w="2183" w:type="dxa"/>
          </w:tcPr>
          <w:p w14:paraId="6D6BF8EF" w14:textId="59CCF142" w:rsidR="00120AB6" w:rsidRPr="00120AB6" w:rsidRDefault="00120AB6" w:rsidP="00120AB6">
            <w:pPr>
              <w:rPr>
                <w:rFonts w:cs="Arial"/>
              </w:rPr>
            </w:pPr>
            <w:r>
              <w:lastRenderedPageBreak/>
              <w:t>Увеличен общ билирубин</w:t>
            </w:r>
          </w:p>
        </w:tc>
        <w:tc>
          <w:tcPr>
            <w:tcW w:w="2079" w:type="dxa"/>
          </w:tcPr>
          <w:p w14:paraId="6239DE63" w14:textId="77777777" w:rsidR="00120AB6" w:rsidRPr="00120AB6" w:rsidRDefault="00120AB6" w:rsidP="00120AB6">
            <w:pPr>
              <w:rPr>
                <w:rFonts w:cs="Arial"/>
              </w:rPr>
            </w:pPr>
          </w:p>
        </w:tc>
        <w:tc>
          <w:tcPr>
            <w:tcW w:w="1555" w:type="dxa"/>
          </w:tcPr>
          <w:p w14:paraId="611555A7" w14:textId="77777777" w:rsidR="00120AB6" w:rsidRPr="00120AB6" w:rsidRDefault="00120AB6" w:rsidP="00120AB6">
            <w:pPr>
              <w:rPr>
                <w:rFonts w:cs="Arial"/>
              </w:rPr>
            </w:pPr>
          </w:p>
        </w:tc>
      </w:tr>
    </w:tbl>
    <w:p w14:paraId="028B7524" w14:textId="5099BD88" w:rsidR="00A20DC3" w:rsidRPr="00A20DC3" w:rsidRDefault="00A20DC3" w:rsidP="00A20DC3">
      <w:pPr>
        <w:spacing w:line="240" w:lineRule="auto"/>
        <w:rPr>
          <w:rFonts w:eastAsia="Times New Roman" w:cs="Arial"/>
          <w:bCs/>
          <w:color w:val="000000"/>
          <w:szCs w:val="18"/>
          <w:lang w:eastAsia="bg-BG"/>
        </w:rPr>
      </w:pPr>
      <w:r w:rsidRPr="00A20DC3">
        <w:rPr>
          <w:rFonts w:eastAsia="Times New Roman" w:cs="Arial"/>
          <w:bCs/>
          <w:color w:val="000000"/>
          <w:szCs w:val="18"/>
          <w:vertAlign w:val="superscript"/>
          <w:lang w:val="ru-RU" w:eastAsia="bg-BG"/>
        </w:rPr>
        <w:t>1</w:t>
      </w:r>
      <w:r w:rsidRPr="00A20DC3">
        <w:rPr>
          <w:rFonts w:eastAsia="Times New Roman" w:cs="Arial"/>
          <w:bCs/>
          <w:color w:val="000000"/>
          <w:szCs w:val="18"/>
          <w:lang w:eastAsia="bg-BG"/>
        </w:rPr>
        <w:t xml:space="preserve">Клинично значимо покачване на теглото се наблюдава при всички изходни категории на Индекс на телесна маса </w:t>
      </w:r>
      <w:r w:rsidRPr="00A20DC3">
        <w:rPr>
          <w:rFonts w:eastAsia="Times New Roman" w:cs="Arial"/>
          <w:bCs/>
          <w:color w:val="000000"/>
          <w:szCs w:val="18"/>
          <w:lang w:val="ru-RU"/>
        </w:rPr>
        <w:t>(</w:t>
      </w:r>
      <w:r w:rsidRPr="00A20DC3">
        <w:rPr>
          <w:rFonts w:eastAsia="Times New Roman" w:cs="Arial"/>
          <w:bCs/>
          <w:color w:val="000000"/>
          <w:szCs w:val="18"/>
          <w:lang w:val="en-US"/>
        </w:rPr>
        <w:t>BMI</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След краткосрочно лечение (средна продължителност 47 дни), покачване на теглото ≥7% спрямо изходното телесно тегло е много често (22,2%), ≥15% е често (4,2%) и ≥25% нечесто (0,8%). Случаите на пациентите, които са повишили изходното си телесно тегло с ≥7%, ≥15% и ≥25% при дългосрочна експозиция (поне 48 седмици) са били много чести (съответно 64,4 %, 31,7%</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и</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12,3%).</w:t>
      </w:r>
    </w:p>
    <w:p w14:paraId="61802EF5" w14:textId="77777777" w:rsidR="00A20DC3" w:rsidRPr="00A20DC3" w:rsidRDefault="00A20DC3" w:rsidP="00A20DC3">
      <w:pPr>
        <w:spacing w:line="240" w:lineRule="auto"/>
        <w:rPr>
          <w:rFonts w:eastAsia="Times New Roman" w:cs="Arial"/>
          <w:bCs/>
          <w:color w:val="000000"/>
          <w:szCs w:val="18"/>
          <w:lang w:val="ru-RU" w:eastAsia="bg-BG"/>
        </w:rPr>
      </w:pPr>
    </w:p>
    <w:p w14:paraId="3B19A518" w14:textId="3469FF9E" w:rsidR="00A20DC3" w:rsidRPr="00A20DC3" w:rsidRDefault="00A20DC3" w:rsidP="00A20DC3">
      <w:pPr>
        <w:spacing w:line="240" w:lineRule="auto"/>
        <w:rPr>
          <w:rFonts w:eastAsia="Times New Roman" w:cs="Arial"/>
          <w:bCs/>
          <w:color w:val="000000"/>
          <w:szCs w:val="18"/>
          <w:lang w:eastAsia="bg-BG"/>
        </w:rPr>
      </w:pPr>
      <w:r w:rsidRPr="00A20DC3">
        <w:rPr>
          <w:rFonts w:eastAsia="Times New Roman" w:cs="Arial"/>
          <w:bCs/>
          <w:color w:val="000000"/>
          <w:szCs w:val="18"/>
          <w:vertAlign w:val="superscript"/>
          <w:lang w:val="ru-RU" w:eastAsia="bg-BG"/>
        </w:rPr>
        <w:t>2</w:t>
      </w:r>
      <w:r w:rsidRPr="00A20DC3">
        <w:rPr>
          <w:rFonts w:eastAsia="Times New Roman" w:cs="Arial"/>
          <w:bCs/>
          <w:color w:val="000000"/>
          <w:szCs w:val="18"/>
          <w:lang w:eastAsia="bg-BG"/>
        </w:rPr>
        <w:t xml:space="preserve">Средното увеличение в стойностите на липидите на гладно (общ холестерол, </w:t>
      </w:r>
      <w:r w:rsidRPr="00A20DC3">
        <w:rPr>
          <w:rFonts w:eastAsia="Times New Roman" w:cs="Arial"/>
          <w:bCs/>
          <w:color w:val="000000"/>
          <w:szCs w:val="18"/>
          <w:lang w:val="en-US"/>
        </w:rPr>
        <w:t>LDL</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холестерол и триглицериди) е по-голямо при пациенти без изходни данни за нарушение в липидната обмяна.</w:t>
      </w:r>
    </w:p>
    <w:p w14:paraId="08D6D304" w14:textId="77777777" w:rsidR="00A20DC3" w:rsidRPr="00A20DC3" w:rsidRDefault="00A20DC3" w:rsidP="00A20DC3">
      <w:pPr>
        <w:spacing w:line="240" w:lineRule="auto"/>
        <w:rPr>
          <w:rFonts w:eastAsia="Times New Roman" w:cs="Arial"/>
          <w:bCs/>
          <w:color w:val="000000"/>
          <w:szCs w:val="18"/>
          <w:lang w:val="ru-RU" w:eastAsia="bg-BG"/>
        </w:rPr>
      </w:pPr>
    </w:p>
    <w:p w14:paraId="61DF5A58" w14:textId="187CDA7E" w:rsidR="00A20DC3" w:rsidRPr="00A20DC3" w:rsidRDefault="00A20DC3" w:rsidP="00A20DC3">
      <w:pPr>
        <w:spacing w:line="240" w:lineRule="auto"/>
        <w:rPr>
          <w:rFonts w:eastAsia="Times New Roman" w:cs="Arial"/>
          <w:bCs/>
          <w:color w:val="000000"/>
          <w:szCs w:val="18"/>
          <w:lang w:eastAsia="bg-BG"/>
        </w:rPr>
      </w:pPr>
      <w:r w:rsidRPr="00A20DC3">
        <w:rPr>
          <w:rFonts w:eastAsia="Times New Roman" w:cs="Arial"/>
          <w:bCs/>
          <w:color w:val="000000"/>
          <w:szCs w:val="18"/>
          <w:vertAlign w:val="superscript"/>
          <w:lang w:val="ru-RU" w:eastAsia="bg-BG"/>
        </w:rPr>
        <w:t>3</w:t>
      </w:r>
      <w:r w:rsidRPr="00A20DC3">
        <w:rPr>
          <w:rFonts w:eastAsia="Times New Roman" w:cs="Arial"/>
          <w:bCs/>
          <w:color w:val="000000"/>
          <w:szCs w:val="18"/>
          <w:lang w:eastAsia="bg-BG"/>
        </w:rPr>
        <w:t xml:space="preserve">Наблюдавани са нормални изходни стойности на гладно (&lt;5,17 </w:t>
      </w:r>
      <w:proofErr w:type="spellStart"/>
      <w:r w:rsidRPr="00A20DC3">
        <w:rPr>
          <w:rFonts w:eastAsia="Times New Roman" w:cs="Arial"/>
          <w:bCs/>
          <w:color w:val="000000"/>
          <w:szCs w:val="18"/>
          <w:lang w:val="en-US"/>
        </w:rPr>
        <w:t>mmol</w:t>
      </w:r>
      <w:proofErr w:type="spellEnd"/>
      <w:r w:rsidRPr="00A20DC3">
        <w:rPr>
          <w:rFonts w:eastAsia="Times New Roman" w:cs="Arial"/>
          <w:bCs/>
          <w:color w:val="000000"/>
          <w:szCs w:val="18"/>
          <w:lang w:val="ru-RU"/>
        </w:rPr>
        <w:t xml:space="preserve">/1), </w:t>
      </w:r>
      <w:r w:rsidRPr="00A20DC3">
        <w:rPr>
          <w:rFonts w:eastAsia="Times New Roman" w:cs="Arial"/>
          <w:bCs/>
          <w:color w:val="000000"/>
          <w:szCs w:val="18"/>
          <w:lang w:eastAsia="bg-BG"/>
        </w:rPr>
        <w:t xml:space="preserve">които са се увеличили до високи нива (≥6,2 </w:t>
      </w:r>
      <w:proofErr w:type="spellStart"/>
      <w:r w:rsidRPr="00A20DC3">
        <w:rPr>
          <w:rFonts w:eastAsia="Times New Roman" w:cs="Arial"/>
          <w:bCs/>
          <w:color w:val="000000"/>
          <w:szCs w:val="18"/>
          <w:lang w:val="en-US"/>
        </w:rPr>
        <w:t>mmol</w:t>
      </w:r>
      <w:proofErr w:type="spellEnd"/>
      <w:r w:rsidRPr="00A20DC3">
        <w:rPr>
          <w:rFonts w:eastAsia="Times New Roman" w:cs="Arial"/>
          <w:bCs/>
          <w:color w:val="000000"/>
          <w:szCs w:val="18"/>
          <w:lang w:val="ru-RU"/>
        </w:rPr>
        <w:t xml:space="preserve">/1). </w:t>
      </w:r>
      <w:r w:rsidRPr="00A20DC3">
        <w:rPr>
          <w:rFonts w:eastAsia="Times New Roman" w:cs="Arial"/>
          <w:bCs/>
          <w:color w:val="000000"/>
          <w:szCs w:val="18"/>
          <w:lang w:eastAsia="bg-BG"/>
        </w:rPr>
        <w:t xml:space="preserve">Промените в стойностите на общия холестерол на гладно от изходно гранично ниво (≥5,17 - &lt;6,2 </w:t>
      </w:r>
      <w:proofErr w:type="spellStart"/>
      <w:r w:rsidRPr="00A20DC3">
        <w:rPr>
          <w:rFonts w:eastAsia="Times New Roman" w:cs="Arial"/>
          <w:bCs/>
          <w:color w:val="000000"/>
          <w:szCs w:val="18"/>
          <w:lang w:val="en-US"/>
        </w:rPr>
        <w:t>mmol</w:t>
      </w:r>
      <w:proofErr w:type="spellEnd"/>
      <w:r w:rsidRPr="00A20DC3">
        <w:rPr>
          <w:rFonts w:eastAsia="Times New Roman" w:cs="Arial"/>
          <w:bCs/>
          <w:color w:val="000000"/>
          <w:szCs w:val="18"/>
          <w:lang w:val="ru-RU"/>
        </w:rPr>
        <w:t xml:space="preserve">/1) </w:t>
      </w:r>
      <w:r w:rsidRPr="00A20DC3">
        <w:rPr>
          <w:rFonts w:eastAsia="Times New Roman" w:cs="Arial"/>
          <w:bCs/>
          <w:color w:val="000000"/>
          <w:szCs w:val="18"/>
          <w:lang w:eastAsia="bg-BG"/>
        </w:rPr>
        <w:t>до високи нива</w:t>
      </w:r>
      <w:r w:rsidRPr="00A20DC3">
        <w:rPr>
          <w:rFonts w:eastAsia="Times New Roman" w:cs="Arial"/>
          <w:bCs/>
          <w:color w:val="000000"/>
          <w:szCs w:val="18"/>
          <w:u w:val="single"/>
          <w:lang w:eastAsia="bg-BG"/>
        </w:rPr>
        <w:t xml:space="preserve"> </w:t>
      </w:r>
      <w:r w:rsidRPr="00A20DC3">
        <w:rPr>
          <w:rFonts w:eastAsia="Times New Roman" w:cs="Arial"/>
          <w:bCs/>
          <w:color w:val="000000"/>
          <w:szCs w:val="18"/>
          <w:lang w:eastAsia="bg-BG"/>
        </w:rPr>
        <w:t xml:space="preserve">(≥6,2 </w:t>
      </w:r>
      <w:proofErr w:type="spellStart"/>
      <w:r w:rsidRPr="00A20DC3">
        <w:rPr>
          <w:rFonts w:eastAsia="Times New Roman" w:cs="Arial"/>
          <w:bCs/>
          <w:color w:val="000000"/>
          <w:szCs w:val="18"/>
          <w:lang w:val="en-US"/>
        </w:rPr>
        <w:t>mmol</w:t>
      </w:r>
      <w:proofErr w:type="spellEnd"/>
      <w:r w:rsidRPr="00A20DC3">
        <w:rPr>
          <w:rFonts w:eastAsia="Times New Roman" w:cs="Arial"/>
          <w:bCs/>
          <w:color w:val="000000"/>
          <w:szCs w:val="18"/>
          <w:lang w:val="ru-RU"/>
        </w:rPr>
        <w:t xml:space="preserve">/1) </w:t>
      </w:r>
      <w:r w:rsidRPr="00A20DC3">
        <w:rPr>
          <w:rFonts w:eastAsia="Times New Roman" w:cs="Arial"/>
          <w:bCs/>
          <w:color w:val="000000"/>
          <w:szCs w:val="18"/>
          <w:lang w:eastAsia="bg-BG"/>
        </w:rPr>
        <w:t>са били много чести.</w:t>
      </w:r>
    </w:p>
    <w:p w14:paraId="0C7A6AD4" w14:textId="0D964FB0" w:rsidR="00120AB6" w:rsidRPr="00A20DC3" w:rsidRDefault="00120AB6" w:rsidP="00120AB6">
      <w:pPr>
        <w:rPr>
          <w:rFonts w:cs="Arial"/>
          <w:sz w:val="28"/>
        </w:rPr>
      </w:pPr>
    </w:p>
    <w:p w14:paraId="3055593B" w14:textId="19F3A53B" w:rsidR="00A20DC3" w:rsidRPr="00A20DC3" w:rsidRDefault="00A20DC3" w:rsidP="00A20DC3">
      <w:pPr>
        <w:spacing w:line="240" w:lineRule="auto"/>
        <w:rPr>
          <w:rFonts w:eastAsia="Times New Roman" w:cs="Arial"/>
          <w:bCs/>
          <w:color w:val="000000"/>
          <w:szCs w:val="18"/>
          <w:lang w:eastAsia="bg-BG"/>
        </w:rPr>
      </w:pPr>
      <w:r w:rsidRPr="00A20DC3">
        <w:rPr>
          <w:vertAlign w:val="superscript"/>
          <w:lang w:val="ru-RU"/>
        </w:rPr>
        <w:t>4</w:t>
      </w:r>
      <w:r w:rsidRPr="00A20DC3">
        <w:rPr>
          <w:rFonts w:eastAsia="Times New Roman" w:cs="Arial"/>
          <w:bCs/>
          <w:color w:val="000000"/>
          <w:szCs w:val="18"/>
          <w:lang w:eastAsia="bg-BG"/>
        </w:rPr>
        <w:t xml:space="preserve">Наблюдавани са нормални изходни стойности на гладно (&lt;5,56 </w:t>
      </w:r>
      <w:proofErr w:type="spellStart"/>
      <w:r w:rsidRPr="00A20DC3">
        <w:rPr>
          <w:rFonts w:eastAsia="Times New Roman" w:cs="Arial"/>
          <w:bCs/>
          <w:color w:val="000000"/>
          <w:szCs w:val="18"/>
          <w:lang w:val="en-US"/>
        </w:rPr>
        <w:t>mmol</w:t>
      </w:r>
      <w:proofErr w:type="spellEnd"/>
      <w:r w:rsidRPr="00A20DC3">
        <w:rPr>
          <w:rFonts w:eastAsia="Times New Roman" w:cs="Arial"/>
          <w:bCs/>
          <w:color w:val="000000"/>
          <w:szCs w:val="18"/>
          <w:lang w:val="ru-RU"/>
        </w:rPr>
        <w:t xml:space="preserve">/1), </w:t>
      </w:r>
      <w:r w:rsidRPr="00A20DC3">
        <w:rPr>
          <w:rFonts w:eastAsia="Times New Roman" w:cs="Arial"/>
          <w:bCs/>
          <w:color w:val="000000"/>
          <w:szCs w:val="18"/>
          <w:lang w:eastAsia="bg-BG"/>
        </w:rPr>
        <w:t xml:space="preserve">които са се увеличили до високи нива (≥7 </w:t>
      </w:r>
      <w:proofErr w:type="spellStart"/>
      <w:r w:rsidRPr="00A20DC3">
        <w:rPr>
          <w:rFonts w:eastAsia="Times New Roman" w:cs="Arial"/>
          <w:bCs/>
          <w:color w:val="000000"/>
          <w:szCs w:val="18"/>
          <w:lang w:val="en-US"/>
        </w:rPr>
        <w:t>mmol</w:t>
      </w:r>
      <w:proofErr w:type="spellEnd"/>
      <w:r w:rsidRPr="00A20DC3">
        <w:rPr>
          <w:rFonts w:eastAsia="Times New Roman" w:cs="Arial"/>
          <w:bCs/>
          <w:color w:val="000000"/>
          <w:szCs w:val="18"/>
          <w:lang w:val="ru-RU"/>
        </w:rPr>
        <w:t xml:space="preserve">/1). </w:t>
      </w:r>
      <w:r w:rsidRPr="00A20DC3">
        <w:rPr>
          <w:rFonts w:eastAsia="Times New Roman" w:cs="Arial"/>
          <w:bCs/>
          <w:color w:val="000000"/>
          <w:szCs w:val="18"/>
          <w:lang w:eastAsia="bg-BG"/>
        </w:rPr>
        <w:t xml:space="preserve">Промените в стойностите на глюкозата на гладно от изходно гранично ниво (≥5,56 - &lt;7 </w:t>
      </w:r>
      <w:proofErr w:type="spellStart"/>
      <w:r w:rsidRPr="00A20DC3">
        <w:rPr>
          <w:rFonts w:eastAsia="Times New Roman" w:cs="Arial"/>
          <w:bCs/>
          <w:color w:val="000000"/>
          <w:szCs w:val="18"/>
          <w:lang w:val="en-US"/>
        </w:rPr>
        <w:t>mmol</w:t>
      </w:r>
      <w:proofErr w:type="spellEnd"/>
      <w:r w:rsidRPr="00A20DC3">
        <w:rPr>
          <w:rFonts w:eastAsia="Times New Roman" w:cs="Arial"/>
          <w:bCs/>
          <w:color w:val="000000"/>
          <w:szCs w:val="18"/>
          <w:lang w:val="ru-RU"/>
        </w:rPr>
        <w:t xml:space="preserve">/1) </w:t>
      </w:r>
      <w:r w:rsidRPr="00A20DC3">
        <w:rPr>
          <w:rFonts w:eastAsia="Times New Roman" w:cs="Arial"/>
          <w:bCs/>
          <w:color w:val="000000"/>
          <w:szCs w:val="18"/>
          <w:lang w:eastAsia="bg-BG"/>
        </w:rPr>
        <w:t xml:space="preserve">до високи нива (≥7 </w:t>
      </w:r>
      <w:proofErr w:type="spellStart"/>
      <w:r w:rsidRPr="00A20DC3">
        <w:rPr>
          <w:rFonts w:eastAsia="Times New Roman" w:cs="Arial"/>
          <w:bCs/>
          <w:color w:val="000000"/>
          <w:szCs w:val="18"/>
          <w:lang w:val="en-US"/>
        </w:rPr>
        <w:t>mmol</w:t>
      </w:r>
      <w:proofErr w:type="spellEnd"/>
      <w:r w:rsidRPr="00A20DC3">
        <w:rPr>
          <w:rFonts w:eastAsia="Times New Roman" w:cs="Arial"/>
          <w:bCs/>
          <w:color w:val="000000"/>
          <w:szCs w:val="18"/>
          <w:lang w:val="ru-RU"/>
        </w:rPr>
        <w:t xml:space="preserve">/1) </w:t>
      </w:r>
      <w:r w:rsidRPr="00A20DC3">
        <w:rPr>
          <w:rFonts w:eastAsia="Times New Roman" w:cs="Arial"/>
          <w:bCs/>
          <w:color w:val="000000"/>
          <w:szCs w:val="18"/>
          <w:lang w:eastAsia="bg-BG"/>
        </w:rPr>
        <w:t>са били много чести.</w:t>
      </w:r>
    </w:p>
    <w:p w14:paraId="0525CE13" w14:textId="77777777" w:rsidR="00A20DC3" w:rsidRPr="00A20DC3" w:rsidRDefault="00A20DC3" w:rsidP="00A20DC3">
      <w:pPr>
        <w:spacing w:line="240" w:lineRule="auto"/>
        <w:rPr>
          <w:rFonts w:eastAsia="Times New Roman" w:cs="Arial"/>
          <w:bCs/>
          <w:color w:val="000000"/>
          <w:szCs w:val="18"/>
          <w:lang w:eastAsia="bg-BG"/>
        </w:rPr>
      </w:pPr>
    </w:p>
    <w:p w14:paraId="554CFC28" w14:textId="165F6FF1" w:rsidR="00A20DC3" w:rsidRPr="00A20DC3" w:rsidRDefault="00A20DC3" w:rsidP="00A20DC3">
      <w:pPr>
        <w:spacing w:line="240" w:lineRule="auto"/>
        <w:rPr>
          <w:rFonts w:eastAsia="Times New Roman" w:cs="Arial"/>
          <w:bCs/>
          <w:color w:val="000000"/>
          <w:szCs w:val="18"/>
          <w:lang w:eastAsia="bg-BG"/>
        </w:rPr>
      </w:pPr>
      <w:r w:rsidRPr="00A20DC3">
        <w:rPr>
          <w:vertAlign w:val="superscript"/>
          <w:lang w:val="ru-RU"/>
        </w:rPr>
        <w:t>5</w:t>
      </w:r>
      <w:r w:rsidRPr="00A20DC3">
        <w:rPr>
          <w:rFonts w:eastAsia="Times New Roman" w:cs="Arial"/>
          <w:bCs/>
          <w:color w:val="000000"/>
          <w:szCs w:val="18"/>
          <w:lang w:eastAsia="bg-BG"/>
        </w:rPr>
        <w:t xml:space="preserve">Наблюдавани са нормални изходни стойности на гладно (&lt;1,69 </w:t>
      </w:r>
      <w:proofErr w:type="spellStart"/>
      <w:r w:rsidRPr="00A20DC3">
        <w:rPr>
          <w:rFonts w:eastAsia="Times New Roman" w:cs="Arial"/>
          <w:bCs/>
          <w:color w:val="000000"/>
          <w:szCs w:val="18"/>
          <w:lang w:val="en-US"/>
        </w:rPr>
        <w:t>mmol</w:t>
      </w:r>
      <w:proofErr w:type="spellEnd"/>
      <w:r w:rsidRPr="00A20DC3">
        <w:rPr>
          <w:rFonts w:eastAsia="Times New Roman" w:cs="Arial"/>
          <w:bCs/>
          <w:color w:val="000000"/>
          <w:szCs w:val="18"/>
          <w:lang w:val="ru-RU"/>
        </w:rPr>
        <w:t xml:space="preserve">/1), </w:t>
      </w:r>
      <w:r w:rsidRPr="00A20DC3">
        <w:rPr>
          <w:rFonts w:eastAsia="Times New Roman" w:cs="Arial"/>
          <w:bCs/>
          <w:color w:val="000000"/>
          <w:szCs w:val="18"/>
          <w:lang w:eastAsia="bg-BG"/>
        </w:rPr>
        <w:t xml:space="preserve">които са се увеличили до високи нива (≥2,26 </w:t>
      </w:r>
      <w:proofErr w:type="spellStart"/>
      <w:r w:rsidRPr="00A20DC3">
        <w:rPr>
          <w:rFonts w:eastAsia="Times New Roman" w:cs="Arial"/>
          <w:bCs/>
          <w:color w:val="000000"/>
          <w:szCs w:val="18"/>
          <w:lang w:val="en-US"/>
        </w:rPr>
        <w:t>mmol</w:t>
      </w:r>
      <w:proofErr w:type="spellEnd"/>
      <w:r w:rsidRPr="00A20DC3">
        <w:rPr>
          <w:rFonts w:eastAsia="Times New Roman" w:cs="Arial"/>
          <w:bCs/>
          <w:color w:val="000000"/>
          <w:szCs w:val="18"/>
          <w:lang w:val="ru-RU"/>
        </w:rPr>
        <w:t xml:space="preserve">/1). </w:t>
      </w:r>
      <w:r w:rsidRPr="00A20DC3">
        <w:rPr>
          <w:rFonts w:eastAsia="Times New Roman" w:cs="Arial"/>
          <w:bCs/>
          <w:color w:val="000000"/>
          <w:szCs w:val="18"/>
          <w:lang w:eastAsia="bg-BG"/>
        </w:rPr>
        <w:t xml:space="preserve">Промените в стойностите на триглицеридите на гладно от изходно гранично ниво (≥1,69 - &lt;2,26 </w:t>
      </w:r>
      <w:proofErr w:type="spellStart"/>
      <w:r w:rsidRPr="00A20DC3">
        <w:rPr>
          <w:rFonts w:eastAsia="Times New Roman" w:cs="Arial"/>
          <w:bCs/>
          <w:color w:val="000000"/>
          <w:szCs w:val="18"/>
          <w:lang w:val="en-US"/>
        </w:rPr>
        <w:t>mmol</w:t>
      </w:r>
      <w:proofErr w:type="spellEnd"/>
      <w:r w:rsidRPr="00A20DC3">
        <w:rPr>
          <w:rFonts w:eastAsia="Times New Roman" w:cs="Arial"/>
          <w:bCs/>
          <w:color w:val="000000"/>
          <w:szCs w:val="18"/>
          <w:lang w:val="ru-RU"/>
        </w:rPr>
        <w:t xml:space="preserve">/1) </w:t>
      </w:r>
      <w:r w:rsidRPr="00A20DC3">
        <w:rPr>
          <w:rFonts w:eastAsia="Times New Roman" w:cs="Arial"/>
          <w:bCs/>
          <w:color w:val="000000"/>
          <w:szCs w:val="18"/>
          <w:lang w:eastAsia="bg-BG"/>
        </w:rPr>
        <w:t xml:space="preserve">до високи нива (≥2,26 </w:t>
      </w:r>
      <w:proofErr w:type="spellStart"/>
      <w:r w:rsidRPr="00A20DC3">
        <w:rPr>
          <w:rFonts w:eastAsia="Times New Roman" w:cs="Arial"/>
          <w:bCs/>
          <w:color w:val="000000"/>
          <w:szCs w:val="18"/>
          <w:lang w:val="en-US"/>
        </w:rPr>
        <w:t>mmol</w:t>
      </w:r>
      <w:proofErr w:type="spellEnd"/>
      <w:r w:rsidRPr="00A20DC3">
        <w:rPr>
          <w:rFonts w:eastAsia="Times New Roman" w:cs="Arial"/>
          <w:bCs/>
          <w:color w:val="000000"/>
          <w:szCs w:val="18"/>
          <w:lang w:val="ru-RU"/>
        </w:rPr>
        <w:t xml:space="preserve">/1) </w:t>
      </w:r>
      <w:r w:rsidRPr="00A20DC3">
        <w:rPr>
          <w:rFonts w:eastAsia="Times New Roman" w:cs="Arial"/>
          <w:bCs/>
          <w:color w:val="000000"/>
          <w:szCs w:val="18"/>
          <w:lang w:eastAsia="bg-BG"/>
        </w:rPr>
        <w:t>са били много чести.</w:t>
      </w:r>
    </w:p>
    <w:p w14:paraId="1582463F" w14:textId="77777777" w:rsidR="00A20DC3" w:rsidRPr="00A20DC3" w:rsidRDefault="00A20DC3" w:rsidP="00A20DC3">
      <w:pPr>
        <w:spacing w:line="240" w:lineRule="auto"/>
        <w:rPr>
          <w:rFonts w:eastAsia="Times New Roman" w:cs="Arial"/>
          <w:bCs/>
          <w:color w:val="000000"/>
          <w:szCs w:val="18"/>
          <w:lang w:eastAsia="bg-BG"/>
        </w:rPr>
      </w:pPr>
    </w:p>
    <w:p w14:paraId="05726E90" w14:textId="41CDA432" w:rsidR="00A20DC3" w:rsidRPr="00A20DC3" w:rsidRDefault="00A20DC3" w:rsidP="00A20DC3">
      <w:pPr>
        <w:spacing w:line="240" w:lineRule="auto"/>
        <w:rPr>
          <w:rFonts w:eastAsia="Times New Roman" w:cs="Arial"/>
          <w:bCs/>
          <w:color w:val="000000"/>
          <w:szCs w:val="18"/>
          <w:lang w:eastAsia="bg-BG"/>
        </w:rPr>
      </w:pPr>
      <w:r w:rsidRPr="00A20DC3">
        <w:rPr>
          <w:vertAlign w:val="superscript"/>
          <w:lang w:val="ru-RU"/>
        </w:rPr>
        <w:t>6</w:t>
      </w:r>
      <w:r w:rsidRPr="00A20DC3">
        <w:rPr>
          <w:rFonts w:eastAsia="Times New Roman" w:cs="Arial"/>
          <w:bCs/>
          <w:color w:val="000000"/>
          <w:szCs w:val="18"/>
          <w:lang w:eastAsia="bg-BG"/>
        </w:rPr>
        <w:t xml:space="preserve">В клинични проучвания честотата на паркинсонизъм и дистония при пациентите, лекувани с оланзапин е била числено по-висока, но не </w:t>
      </w:r>
      <w:r w:rsidRPr="00A20DC3">
        <w:rPr>
          <w:rFonts w:eastAsia="Times New Roman" w:cs="Arial"/>
          <w:bCs/>
          <w:i/>
          <w:iCs/>
          <w:color w:val="000000"/>
          <w:szCs w:val="18"/>
          <w:lang w:eastAsia="bg-BG"/>
        </w:rPr>
        <w:t>и</w:t>
      </w:r>
      <w:r w:rsidRPr="00A20DC3">
        <w:rPr>
          <w:rFonts w:eastAsia="Times New Roman" w:cs="Arial"/>
          <w:bCs/>
          <w:color w:val="000000"/>
          <w:szCs w:val="18"/>
          <w:lang w:eastAsia="bg-BG"/>
        </w:rPr>
        <w:t xml:space="preserve"> статистически значимо различна от плацебо групата. Пациентите, лекувани с оланзапин са имали по-ниска честота на паркинсонизъм, акатизия и дистония в сравнение с титрираните дози на халоперидол. При липса на подробна информация за предшестваща анамнеза за индивидуални остри и тардивни екстрапирамидни двигателни нарушения, не може да се заключи, че понастоящем оланзапин предизвиква по-малко тардивна дискинезия и/или други тардивни екстрапирамидни синдроми.</w:t>
      </w:r>
    </w:p>
    <w:p w14:paraId="4F2492DF" w14:textId="77777777" w:rsidR="00A20DC3" w:rsidRPr="00A20DC3" w:rsidRDefault="00A20DC3" w:rsidP="00A20DC3">
      <w:pPr>
        <w:spacing w:line="240" w:lineRule="auto"/>
        <w:rPr>
          <w:rFonts w:eastAsia="Times New Roman" w:cs="Arial"/>
          <w:bCs/>
          <w:color w:val="000000"/>
          <w:szCs w:val="18"/>
          <w:lang w:eastAsia="bg-BG"/>
        </w:rPr>
      </w:pPr>
    </w:p>
    <w:p w14:paraId="12085099" w14:textId="49234FAD" w:rsidR="00A20DC3" w:rsidRPr="00A20DC3" w:rsidRDefault="00A20DC3" w:rsidP="00A20DC3">
      <w:pPr>
        <w:spacing w:line="240" w:lineRule="auto"/>
        <w:rPr>
          <w:rFonts w:eastAsia="Times New Roman" w:cs="Arial"/>
          <w:bCs/>
          <w:color w:val="000000"/>
          <w:szCs w:val="18"/>
          <w:lang w:eastAsia="bg-BG"/>
        </w:rPr>
      </w:pPr>
      <w:r w:rsidRPr="00A20DC3">
        <w:rPr>
          <w:vertAlign w:val="superscript"/>
          <w:lang w:val="ru-RU"/>
        </w:rPr>
        <w:t>7</w:t>
      </w:r>
      <w:r w:rsidRPr="00A20DC3">
        <w:rPr>
          <w:rFonts w:eastAsia="Times New Roman" w:cs="Arial"/>
          <w:bCs/>
          <w:color w:val="000000"/>
          <w:szCs w:val="18"/>
          <w:lang w:eastAsia="bg-BG"/>
        </w:rPr>
        <w:t>Остри симптоми, като потене, безсъние, тремор, безпокойство, гадене и повръщане са съобщавани когато приемът на оланзапин се спре внезапно.</w:t>
      </w:r>
    </w:p>
    <w:p w14:paraId="2770F4D6" w14:textId="77777777" w:rsidR="00A20DC3" w:rsidRPr="00A20DC3" w:rsidRDefault="00A20DC3" w:rsidP="00A20DC3">
      <w:pPr>
        <w:spacing w:line="240" w:lineRule="auto"/>
        <w:rPr>
          <w:rFonts w:eastAsia="Times New Roman" w:cs="Arial"/>
          <w:bCs/>
          <w:color w:val="000000"/>
          <w:szCs w:val="18"/>
          <w:lang w:eastAsia="bg-BG"/>
        </w:rPr>
      </w:pPr>
    </w:p>
    <w:p w14:paraId="6408BF98" w14:textId="336D8817" w:rsidR="00A20DC3" w:rsidRPr="00A20DC3" w:rsidRDefault="00A20DC3" w:rsidP="00A20DC3">
      <w:pPr>
        <w:spacing w:line="240" w:lineRule="auto"/>
        <w:rPr>
          <w:rFonts w:eastAsia="Times New Roman" w:cs="Arial"/>
          <w:bCs/>
          <w:color w:val="000000"/>
          <w:szCs w:val="18"/>
          <w:lang w:eastAsia="bg-BG"/>
        </w:rPr>
      </w:pPr>
      <w:r w:rsidRPr="00A20DC3">
        <w:rPr>
          <w:vertAlign w:val="superscript"/>
          <w:lang w:val="ru-RU"/>
        </w:rPr>
        <w:t>8</w:t>
      </w:r>
      <w:r w:rsidRPr="00A20DC3">
        <w:rPr>
          <w:rFonts w:eastAsia="Times New Roman" w:cs="Arial"/>
          <w:bCs/>
          <w:color w:val="000000"/>
          <w:szCs w:val="18"/>
          <w:lang w:eastAsia="bg-BG"/>
        </w:rPr>
        <w:t>В клинични проучвания в рамките на 12 седмици плазмените концентрации на пролактин са надхвърляли горната граница на нормата при около 30% от пациентите, лекувани с оланзапин с нормални изходни нива на пролактин. При повечето от тези пациенти повишенията като цяло са били леки и са останали под два пъти горната граница на нормата.</w:t>
      </w:r>
    </w:p>
    <w:p w14:paraId="0F84ECCD" w14:textId="77777777" w:rsidR="00A20DC3" w:rsidRPr="00A20DC3" w:rsidRDefault="00A20DC3" w:rsidP="00A20DC3">
      <w:pPr>
        <w:spacing w:line="240" w:lineRule="auto"/>
        <w:rPr>
          <w:rFonts w:eastAsia="Times New Roman" w:cs="Arial"/>
          <w:bCs/>
          <w:color w:val="000000"/>
          <w:szCs w:val="18"/>
          <w:lang w:eastAsia="bg-BG"/>
        </w:rPr>
      </w:pPr>
    </w:p>
    <w:p w14:paraId="3EAB0508" w14:textId="797D1D3B" w:rsidR="00A20DC3" w:rsidRPr="00A20DC3" w:rsidRDefault="00A20DC3" w:rsidP="00A20DC3">
      <w:pPr>
        <w:spacing w:line="240" w:lineRule="auto"/>
        <w:rPr>
          <w:rFonts w:eastAsia="Times New Roman" w:cs="Arial"/>
          <w:bCs/>
          <w:color w:val="000000"/>
          <w:szCs w:val="18"/>
          <w:lang w:eastAsia="bg-BG"/>
        </w:rPr>
      </w:pPr>
      <w:r w:rsidRPr="00A20DC3">
        <w:rPr>
          <w:vertAlign w:val="superscript"/>
          <w:lang w:val="ru-RU"/>
        </w:rPr>
        <w:t>9</w:t>
      </w:r>
      <w:r w:rsidRPr="00A20DC3">
        <w:rPr>
          <w:rFonts w:eastAsia="Times New Roman" w:cs="Arial"/>
          <w:bCs/>
          <w:color w:val="000000"/>
          <w:szCs w:val="18"/>
          <w:lang w:eastAsia="bg-BG"/>
        </w:rPr>
        <w:t>Нежеланата реакция е идентифицирана от клиничните проучвания в Интегрираната база данни за Оланзапин.</w:t>
      </w:r>
    </w:p>
    <w:p w14:paraId="138F2B61" w14:textId="77777777" w:rsidR="00A20DC3" w:rsidRPr="00A20DC3" w:rsidRDefault="00A20DC3" w:rsidP="00A20DC3">
      <w:pPr>
        <w:spacing w:line="240" w:lineRule="auto"/>
        <w:rPr>
          <w:rFonts w:eastAsia="Times New Roman" w:cs="Arial"/>
          <w:bCs/>
          <w:color w:val="000000"/>
          <w:szCs w:val="18"/>
          <w:lang w:eastAsia="bg-BG"/>
        </w:rPr>
      </w:pPr>
    </w:p>
    <w:p w14:paraId="41ECE371" w14:textId="24E2CD36" w:rsidR="00A20DC3" w:rsidRPr="00A20DC3" w:rsidRDefault="00A20DC3" w:rsidP="00A20DC3">
      <w:pPr>
        <w:spacing w:line="240" w:lineRule="auto"/>
        <w:rPr>
          <w:rFonts w:eastAsia="Times New Roman" w:cs="Arial"/>
          <w:bCs/>
          <w:color w:val="000000"/>
          <w:szCs w:val="18"/>
          <w:lang w:eastAsia="bg-BG"/>
        </w:rPr>
      </w:pPr>
      <w:r w:rsidRPr="00A20DC3">
        <w:rPr>
          <w:vertAlign w:val="superscript"/>
          <w:lang w:val="ru-RU"/>
        </w:rPr>
        <w:t>10</w:t>
      </w:r>
      <w:r w:rsidRPr="00A20DC3">
        <w:rPr>
          <w:rFonts w:eastAsia="Times New Roman" w:cs="Arial"/>
          <w:bCs/>
          <w:color w:val="000000"/>
          <w:szCs w:val="18"/>
          <w:lang w:eastAsia="bg-BG"/>
        </w:rPr>
        <w:t>Както е оценето от измерените стойности в клиничните проучвания в Интегрираната база данни за Оланзапин.</w:t>
      </w:r>
    </w:p>
    <w:p w14:paraId="64CCC020" w14:textId="77777777" w:rsidR="00A20DC3" w:rsidRPr="00A20DC3" w:rsidRDefault="00A20DC3" w:rsidP="00A20DC3">
      <w:pPr>
        <w:spacing w:line="240" w:lineRule="auto"/>
        <w:rPr>
          <w:rFonts w:eastAsia="Times New Roman" w:cs="Arial"/>
          <w:bCs/>
          <w:color w:val="000000"/>
          <w:szCs w:val="18"/>
          <w:lang w:eastAsia="bg-BG"/>
        </w:rPr>
      </w:pPr>
    </w:p>
    <w:p w14:paraId="37DE303B" w14:textId="226D9F85" w:rsidR="00A20DC3" w:rsidRPr="00A20DC3" w:rsidRDefault="00A20DC3" w:rsidP="00A20DC3">
      <w:pPr>
        <w:spacing w:line="240" w:lineRule="auto"/>
        <w:rPr>
          <w:rFonts w:eastAsia="Times New Roman" w:cs="Arial"/>
          <w:bCs/>
          <w:color w:val="000000"/>
          <w:szCs w:val="18"/>
          <w:lang w:eastAsia="bg-BG"/>
        </w:rPr>
      </w:pPr>
      <w:r w:rsidRPr="00A20DC3">
        <w:rPr>
          <w:vertAlign w:val="superscript"/>
          <w:lang w:val="ru-RU"/>
        </w:rPr>
        <w:t>11</w:t>
      </w:r>
      <w:r w:rsidRPr="00A20DC3">
        <w:rPr>
          <w:rFonts w:eastAsia="Times New Roman" w:cs="Arial"/>
          <w:bCs/>
          <w:color w:val="000000"/>
          <w:szCs w:val="18"/>
          <w:lang w:eastAsia="bg-BG"/>
        </w:rPr>
        <w:t>Нежеланата реакция е идентифицирана от спонтанните доклади при пост- маркетингови проучвания, а честотата определена, като е използвана Интегрираната база данни за Оланзапин.</w:t>
      </w:r>
    </w:p>
    <w:p w14:paraId="41E37453" w14:textId="77777777" w:rsidR="00A20DC3" w:rsidRPr="00A20DC3" w:rsidRDefault="00A20DC3" w:rsidP="00A20DC3">
      <w:pPr>
        <w:spacing w:line="240" w:lineRule="auto"/>
        <w:rPr>
          <w:rFonts w:eastAsia="Times New Roman" w:cs="Arial"/>
          <w:bCs/>
          <w:color w:val="000000"/>
          <w:szCs w:val="18"/>
          <w:lang w:eastAsia="bg-BG"/>
        </w:rPr>
      </w:pPr>
    </w:p>
    <w:p w14:paraId="61ED1A87" w14:textId="667B7193" w:rsidR="00A20DC3" w:rsidRPr="00A20DC3" w:rsidRDefault="00A20DC3" w:rsidP="00A20DC3">
      <w:pPr>
        <w:spacing w:line="240" w:lineRule="auto"/>
        <w:rPr>
          <w:rFonts w:eastAsia="Times New Roman" w:cs="Arial"/>
          <w:bCs/>
          <w:color w:val="000000"/>
          <w:szCs w:val="18"/>
          <w:lang w:eastAsia="bg-BG"/>
        </w:rPr>
      </w:pPr>
      <w:r w:rsidRPr="00A20DC3">
        <w:rPr>
          <w:vertAlign w:val="superscript"/>
          <w:lang w:val="ru-RU"/>
        </w:rPr>
        <w:t>12</w:t>
      </w:r>
      <w:r w:rsidRPr="00A20DC3">
        <w:rPr>
          <w:rFonts w:eastAsia="Times New Roman" w:cs="Arial"/>
          <w:bCs/>
          <w:color w:val="000000"/>
          <w:szCs w:val="18"/>
          <w:lang w:eastAsia="bg-BG"/>
        </w:rPr>
        <w:t>Нежеланата реакция е идентифицирана от спонтанните доклади при пост- маркетингови проучвания, честотата определена на горната граница на 95% доверителен интервал, като е използвана Интегрираната база данни за Оланзапин.</w:t>
      </w:r>
    </w:p>
    <w:p w14:paraId="1106FE15" w14:textId="77777777" w:rsidR="00A20DC3" w:rsidRPr="00A20DC3" w:rsidRDefault="00A20DC3" w:rsidP="00A20DC3">
      <w:pPr>
        <w:spacing w:line="240" w:lineRule="auto"/>
        <w:rPr>
          <w:rFonts w:eastAsia="Times New Roman" w:cs="Arial"/>
          <w:bCs/>
          <w:color w:val="000000"/>
          <w:szCs w:val="18"/>
          <w:lang w:eastAsia="bg-BG"/>
        </w:rPr>
      </w:pPr>
    </w:p>
    <w:p w14:paraId="601F97BD" w14:textId="524E9486" w:rsidR="00A20DC3" w:rsidRPr="00A20DC3" w:rsidRDefault="00A20DC3" w:rsidP="00A20DC3">
      <w:pPr>
        <w:spacing w:line="240" w:lineRule="auto"/>
        <w:rPr>
          <w:rFonts w:eastAsia="Times New Roman" w:cs="Arial"/>
          <w:bCs/>
          <w:color w:val="000000"/>
          <w:szCs w:val="18"/>
          <w:lang w:eastAsia="bg-BG"/>
        </w:rPr>
      </w:pPr>
      <w:r w:rsidRPr="00A20DC3">
        <w:rPr>
          <w:vertAlign w:val="superscript"/>
          <w:lang w:val="ru-RU"/>
        </w:rPr>
        <w:t>13</w:t>
      </w:r>
      <w:r w:rsidRPr="00A20DC3">
        <w:rPr>
          <w:rFonts w:eastAsia="Times New Roman" w:cs="Arial"/>
          <w:bCs/>
          <w:color w:val="000000"/>
          <w:szCs w:val="18"/>
          <w:lang w:eastAsia="bg-BG"/>
        </w:rPr>
        <w:t>Изброени нежелани лекарствени реакции, наблюдавани след употреба на оланзапин за перорално приложение и интрамускулно приложение с продължително действие, които могат също да възникнат при употреба на оланзапин за интрамускулно приложение с бързо действие.</w:t>
      </w:r>
    </w:p>
    <w:p w14:paraId="6C0D5FB2" w14:textId="77777777" w:rsidR="00A20DC3" w:rsidRPr="00A20DC3" w:rsidRDefault="00A20DC3" w:rsidP="00A20DC3">
      <w:pPr>
        <w:spacing w:line="240" w:lineRule="auto"/>
        <w:rPr>
          <w:rFonts w:eastAsia="Times New Roman" w:cs="Arial"/>
          <w:bCs/>
          <w:i/>
          <w:iCs/>
          <w:color w:val="000000"/>
          <w:szCs w:val="18"/>
          <w:u w:val="single"/>
          <w:lang w:eastAsia="bg-BG"/>
        </w:rPr>
      </w:pPr>
    </w:p>
    <w:p w14:paraId="370D20AD" w14:textId="2BA4CB06" w:rsidR="00A20DC3" w:rsidRPr="00A20DC3" w:rsidRDefault="00A20DC3" w:rsidP="00A20DC3">
      <w:pPr>
        <w:spacing w:line="240" w:lineRule="auto"/>
        <w:rPr>
          <w:rFonts w:eastAsia="Times New Roman" w:cs="Arial"/>
          <w:sz w:val="32"/>
          <w:szCs w:val="24"/>
        </w:rPr>
      </w:pPr>
      <w:r w:rsidRPr="00A20DC3">
        <w:rPr>
          <w:rFonts w:eastAsia="Times New Roman" w:cs="Arial"/>
          <w:bCs/>
          <w:i/>
          <w:iCs/>
          <w:color w:val="000000"/>
          <w:szCs w:val="18"/>
          <w:u w:val="single"/>
          <w:lang w:eastAsia="bg-BG"/>
        </w:rPr>
        <w:t>Дългосрочна експозиция (поне 48 седмици)</w:t>
      </w:r>
    </w:p>
    <w:p w14:paraId="71F61280" w14:textId="77777777" w:rsidR="00A20DC3" w:rsidRPr="00A20DC3" w:rsidRDefault="00A20DC3" w:rsidP="00A20DC3">
      <w:pPr>
        <w:spacing w:line="240" w:lineRule="auto"/>
        <w:rPr>
          <w:rFonts w:eastAsia="Times New Roman" w:cs="Arial"/>
          <w:bCs/>
          <w:color w:val="000000"/>
          <w:szCs w:val="18"/>
          <w:lang w:eastAsia="bg-BG"/>
        </w:rPr>
      </w:pPr>
    </w:p>
    <w:p w14:paraId="0DAB5FB9" w14:textId="581D2A8C"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Процентът от пациентите, които имат нежелани, клинично значими промени в</w:t>
      </w:r>
    </w:p>
    <w:p w14:paraId="34E7E146" w14:textId="77777777" w:rsidR="00A20DC3" w:rsidRPr="00A20DC3" w:rsidRDefault="00A20DC3" w:rsidP="00A20DC3">
      <w:pPr>
        <w:rPr>
          <w:rFonts w:eastAsia="Times New Roman" w:cs="Arial"/>
          <w:sz w:val="32"/>
          <w:szCs w:val="24"/>
        </w:rPr>
      </w:pPr>
      <w:r w:rsidRPr="00A20DC3">
        <w:rPr>
          <w:rFonts w:eastAsia="Times New Roman" w:cs="Arial"/>
          <w:bCs/>
          <w:color w:val="000000"/>
          <w:szCs w:val="18"/>
          <w:lang w:eastAsia="bg-BG"/>
        </w:rPr>
        <w:t>увеличение на тегло, глюкоза, общ</w:t>
      </w:r>
      <w:r w:rsidRPr="00A20DC3">
        <w:rPr>
          <w:rFonts w:eastAsia="Times New Roman" w:cs="Arial"/>
          <w:bCs/>
          <w:color w:val="000000"/>
          <w:szCs w:val="18"/>
          <w:lang w:val="ru-RU"/>
        </w:rPr>
        <w:t>/</w:t>
      </w:r>
      <w:r w:rsidRPr="00A20DC3">
        <w:rPr>
          <w:rFonts w:eastAsia="Times New Roman" w:cs="Arial"/>
          <w:bCs/>
          <w:color w:val="000000"/>
          <w:szCs w:val="18"/>
          <w:lang w:val="en-US"/>
        </w:rPr>
        <w:t>LDL</w:t>
      </w:r>
      <w:r w:rsidRPr="00A20DC3">
        <w:rPr>
          <w:rFonts w:eastAsia="Times New Roman" w:cs="Arial"/>
          <w:bCs/>
          <w:color w:val="000000"/>
          <w:szCs w:val="18"/>
          <w:lang w:val="ru-RU"/>
        </w:rPr>
        <w:t>/</w:t>
      </w:r>
      <w:r w:rsidRPr="00A20DC3">
        <w:rPr>
          <w:rFonts w:eastAsia="Times New Roman" w:cs="Arial"/>
          <w:bCs/>
          <w:color w:val="000000"/>
          <w:szCs w:val="18"/>
          <w:lang w:val="en-US"/>
        </w:rPr>
        <w:t>HDL</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холестерол или триглицериди се</w:t>
      </w:r>
      <w:r w:rsidRPr="00A20DC3">
        <w:rPr>
          <w:rFonts w:eastAsia="Times New Roman" w:cs="Arial"/>
          <w:bCs/>
          <w:color w:val="000000"/>
          <w:szCs w:val="18"/>
          <w:lang w:val="ru-RU" w:eastAsia="bg-BG"/>
        </w:rPr>
        <w:t xml:space="preserve"> </w:t>
      </w:r>
      <w:r w:rsidRPr="00A20DC3">
        <w:rPr>
          <w:rFonts w:eastAsia="Times New Roman" w:cs="Arial"/>
          <w:bCs/>
          <w:color w:val="000000"/>
          <w:szCs w:val="18"/>
          <w:lang w:eastAsia="bg-BG"/>
        </w:rPr>
        <w:t>увеличава с времето. При възрастни пациенти, които са преминали 9-12 месечен курс на лечение, степента на увеличение в средната кръвна глюкоза намалява след приблизително 6 месеца.</w:t>
      </w:r>
    </w:p>
    <w:p w14:paraId="648236C2" w14:textId="77777777" w:rsidR="00A20DC3" w:rsidRPr="00A20DC3" w:rsidRDefault="00A20DC3" w:rsidP="00A20DC3">
      <w:pPr>
        <w:spacing w:line="240" w:lineRule="auto"/>
        <w:rPr>
          <w:rFonts w:eastAsia="Times New Roman" w:cs="Arial"/>
          <w:bCs/>
          <w:i/>
          <w:iCs/>
          <w:color w:val="000000"/>
          <w:szCs w:val="18"/>
          <w:u w:val="single"/>
          <w:lang w:eastAsia="bg-BG"/>
        </w:rPr>
      </w:pPr>
    </w:p>
    <w:p w14:paraId="3EBA1B50" w14:textId="4889AB6C" w:rsidR="00A20DC3" w:rsidRPr="00A20DC3" w:rsidRDefault="00A20DC3" w:rsidP="00A20DC3">
      <w:pPr>
        <w:spacing w:line="240" w:lineRule="auto"/>
        <w:rPr>
          <w:rFonts w:eastAsia="Times New Roman" w:cs="Arial"/>
          <w:sz w:val="32"/>
          <w:szCs w:val="24"/>
        </w:rPr>
      </w:pPr>
      <w:r w:rsidRPr="00A20DC3">
        <w:rPr>
          <w:rFonts w:eastAsia="Times New Roman" w:cs="Arial"/>
          <w:bCs/>
          <w:i/>
          <w:iCs/>
          <w:color w:val="000000"/>
          <w:szCs w:val="18"/>
          <w:u w:val="single"/>
          <w:lang w:eastAsia="bg-BG"/>
        </w:rPr>
        <w:t>Допълнителна информация за специални популации</w:t>
      </w:r>
    </w:p>
    <w:p w14:paraId="0AB21D5E" w14:textId="77777777" w:rsidR="00A20DC3" w:rsidRPr="00A20DC3" w:rsidRDefault="00A20DC3" w:rsidP="00A20DC3">
      <w:pPr>
        <w:spacing w:line="240" w:lineRule="auto"/>
        <w:rPr>
          <w:rFonts w:eastAsia="Times New Roman" w:cs="Arial"/>
          <w:bCs/>
          <w:color w:val="000000"/>
          <w:szCs w:val="18"/>
          <w:lang w:eastAsia="bg-BG"/>
        </w:rPr>
      </w:pPr>
    </w:p>
    <w:p w14:paraId="04B6A096" w14:textId="727B9939"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 xml:space="preserve">В клинични проучвания сред пациенти в старческа възраст </w:t>
      </w:r>
      <w:r w:rsidRPr="00A20DC3">
        <w:rPr>
          <w:rFonts w:eastAsia="Times New Roman" w:cs="Arial"/>
          <w:bCs/>
          <w:i/>
          <w:iCs/>
          <w:color w:val="000000"/>
          <w:szCs w:val="18"/>
          <w:lang w:eastAsia="bg-BG"/>
        </w:rPr>
        <w:t>с</w:t>
      </w:r>
      <w:r w:rsidRPr="00A20DC3">
        <w:rPr>
          <w:rFonts w:eastAsia="Times New Roman" w:cs="Arial"/>
          <w:bCs/>
          <w:color w:val="000000"/>
          <w:szCs w:val="18"/>
          <w:lang w:eastAsia="bg-BG"/>
        </w:rPr>
        <w:t xml:space="preserve"> деменция, лечението с оланзапин е свързано с по-висока честота на смъртни случаи и мозъчно-съдови нежелани реакции в сравнение с плацебо (вж. точка 4.4). Много чести нежелани реакции, свързани с приложението на оланзапин в тази група са абнормна походка и падания. Често са наблюдавани пневмония, повишена телесна температура, летаргия, еритем, зрителни халюцинации и уринарна инконтиненция.</w:t>
      </w:r>
    </w:p>
    <w:p w14:paraId="73BE6F67" w14:textId="77777777" w:rsidR="00A20DC3" w:rsidRPr="00A20DC3" w:rsidRDefault="00A20DC3" w:rsidP="00A20DC3">
      <w:pPr>
        <w:spacing w:line="240" w:lineRule="auto"/>
        <w:rPr>
          <w:rFonts w:eastAsia="Times New Roman" w:cs="Arial"/>
          <w:bCs/>
          <w:color w:val="000000"/>
          <w:szCs w:val="18"/>
          <w:lang w:eastAsia="bg-BG"/>
        </w:rPr>
      </w:pPr>
    </w:p>
    <w:p w14:paraId="6D3B49C5" w14:textId="6E1D43C9"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В клинични проучвания при пациенти с лекарствено-индуцирана (допаминов агонист) психоза, свързана с болест на Паркинсон, често са съобщавани влошаване на паркинсоновата симптоматика и халюцинации с по-голяма честота отколкото при плацебо.</w:t>
      </w:r>
    </w:p>
    <w:p w14:paraId="7226D0A6" w14:textId="77777777" w:rsidR="00A20DC3" w:rsidRPr="00A20DC3" w:rsidRDefault="00A20DC3" w:rsidP="00A20DC3">
      <w:pPr>
        <w:spacing w:line="240" w:lineRule="auto"/>
        <w:rPr>
          <w:rFonts w:eastAsia="Times New Roman" w:cs="Arial"/>
          <w:bCs/>
          <w:color w:val="000000"/>
          <w:szCs w:val="18"/>
          <w:lang w:eastAsia="bg-BG"/>
        </w:rPr>
      </w:pPr>
    </w:p>
    <w:p w14:paraId="1689FC03" w14:textId="6BC4A625"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 xml:space="preserve">В едно клинично проучване при пациенти с биполярна мания комбинираната терапия с валпроат и оланзапин е предизвикала възникване на неутропения от порядъка на 4,1%; потенциално допринасящ фактор могат да бъдат високите плазмени нива на валпроат. Оланзапин, прилаган с литий или валпроат, води до увеличена честота (≥10%) на тремор, сухота в устата, повишен апетит и увеличаване на тегло. Нарушения на речта също са често съобщавани. По време на лечението с оланзапин в комбинация с литий или дивалпроекс е наблюдавано увеличение с ≥7% спрямо изходното телесно тегло при 17,4% от пациентите по време на острата фаза на лечението (до 6 седмици). </w:t>
      </w:r>
      <w:r w:rsidRPr="00A20DC3">
        <w:rPr>
          <w:rFonts w:eastAsia="Times New Roman" w:cs="Arial"/>
          <w:bCs/>
          <w:color w:val="000000"/>
          <w:szCs w:val="18"/>
          <w:lang w:eastAsia="bg-BG"/>
        </w:rPr>
        <w:lastRenderedPageBreak/>
        <w:t>Продължителното лечение с оланзапин (до 12 месеца) за превенция на рецидив при пациенти с биполярно нарушение е свързана с увеличение от ≥7% от изходното телесно тегло при 39,9% от пациентите.</w:t>
      </w:r>
    </w:p>
    <w:p w14:paraId="0F207D7E" w14:textId="77777777" w:rsidR="00A20DC3" w:rsidRPr="00A20DC3" w:rsidRDefault="00A20DC3" w:rsidP="00A20DC3">
      <w:pPr>
        <w:spacing w:line="240" w:lineRule="auto"/>
        <w:rPr>
          <w:rFonts w:eastAsia="Times New Roman" w:cs="Arial"/>
          <w:bCs/>
          <w:i/>
          <w:iCs/>
          <w:color w:val="000000"/>
          <w:szCs w:val="18"/>
          <w:u w:val="single"/>
          <w:lang w:eastAsia="bg-BG"/>
        </w:rPr>
      </w:pPr>
    </w:p>
    <w:p w14:paraId="4695B2DD" w14:textId="561F7035" w:rsidR="00A20DC3" w:rsidRPr="00A20DC3" w:rsidRDefault="00A20DC3" w:rsidP="00A20DC3">
      <w:pPr>
        <w:spacing w:line="240" w:lineRule="auto"/>
        <w:rPr>
          <w:rFonts w:eastAsia="Times New Roman" w:cs="Arial"/>
          <w:sz w:val="32"/>
          <w:szCs w:val="24"/>
        </w:rPr>
      </w:pPr>
      <w:r w:rsidRPr="00A20DC3">
        <w:rPr>
          <w:rFonts w:eastAsia="Times New Roman" w:cs="Arial"/>
          <w:bCs/>
          <w:i/>
          <w:iCs/>
          <w:color w:val="000000"/>
          <w:szCs w:val="18"/>
          <w:u w:val="single"/>
          <w:lang w:eastAsia="bg-BG"/>
        </w:rPr>
        <w:t>Педиатрична популация</w:t>
      </w:r>
    </w:p>
    <w:p w14:paraId="48EB2738" w14:textId="77777777" w:rsidR="00A20DC3" w:rsidRPr="00A20DC3" w:rsidRDefault="00A20DC3" w:rsidP="00A20DC3">
      <w:pPr>
        <w:spacing w:line="240" w:lineRule="auto"/>
        <w:rPr>
          <w:rFonts w:eastAsia="Times New Roman" w:cs="Arial"/>
          <w:bCs/>
          <w:color w:val="000000"/>
          <w:szCs w:val="18"/>
          <w:lang w:eastAsia="bg-BG"/>
        </w:rPr>
      </w:pPr>
    </w:p>
    <w:p w14:paraId="77FBB5D4" w14:textId="6C7B1540"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Оланзапин не е показан за лечение при деца и юноши под 18-годишна възраст. Въпреки че няма проведени клинични проучвания за сравнение между юноши и възрастни, данните от проучванията сред юноши са сравнени с тези от проучванията при възрастни пациенти.</w:t>
      </w:r>
    </w:p>
    <w:p w14:paraId="0E7D40F9" w14:textId="77777777" w:rsidR="00A20DC3" w:rsidRPr="00A20DC3" w:rsidRDefault="00A20DC3" w:rsidP="00A20DC3">
      <w:pPr>
        <w:spacing w:line="240" w:lineRule="auto"/>
        <w:rPr>
          <w:rFonts w:eastAsia="Times New Roman" w:cs="Arial"/>
          <w:bCs/>
          <w:color w:val="000000"/>
          <w:szCs w:val="18"/>
          <w:lang w:eastAsia="bg-BG"/>
        </w:rPr>
      </w:pPr>
    </w:p>
    <w:p w14:paraId="0E7B754A" w14:textId="004C69A3"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В таблицата по-долу са обобщени нежеланите реакции, съобщавани с по-голяма честота при юноши (на възраст 13-17 години) в сравнение при възрастни пациенти или нежелани реакции, установени само по време на краткосрочните клинични проучвания при юноши. Клинично значимо увеличение на теглото (≥7%) вероятно се наблюдава по-често сред юношите отколкото при възрастни индивиди при сравними експозиции. Степента на повишение на теглото и съотношението на юноши пациенти, които имат клинично значимо покачване в теглото са по-големи при продължителна експозиция (поне 24 седмици) в сравнение с краткосрочна експозиция.</w:t>
      </w:r>
    </w:p>
    <w:p w14:paraId="035EF11B" w14:textId="77777777" w:rsidR="00A20DC3" w:rsidRPr="00A20DC3" w:rsidRDefault="00A20DC3" w:rsidP="00A20DC3">
      <w:pPr>
        <w:spacing w:line="240" w:lineRule="auto"/>
        <w:rPr>
          <w:rFonts w:eastAsia="Times New Roman" w:cs="Arial"/>
          <w:bCs/>
          <w:color w:val="000000"/>
          <w:szCs w:val="18"/>
          <w:lang w:eastAsia="bg-BG"/>
        </w:rPr>
      </w:pPr>
    </w:p>
    <w:p w14:paraId="314F4152" w14:textId="4E77111E" w:rsidR="00A20DC3" w:rsidRDefault="00A20DC3" w:rsidP="00A20DC3">
      <w:pPr>
        <w:spacing w:line="240" w:lineRule="auto"/>
        <w:rPr>
          <w:rFonts w:eastAsia="Times New Roman" w:cs="Arial"/>
          <w:bCs/>
          <w:color w:val="000000"/>
          <w:szCs w:val="18"/>
          <w:lang w:eastAsia="bg-BG"/>
        </w:rPr>
      </w:pPr>
      <w:r w:rsidRPr="00A20DC3">
        <w:rPr>
          <w:rFonts w:eastAsia="Times New Roman" w:cs="Arial"/>
          <w:bCs/>
          <w:color w:val="000000"/>
          <w:szCs w:val="18"/>
          <w:lang w:eastAsia="bg-BG"/>
        </w:rPr>
        <w:t>В рамките на всяка група по честота, нежеланите реакции са представени в низходящ ред по отношение на сериозността им. Изброените термини за честота са дефинирани както следва: много чести (≥1/10); чести (≥1/100 до &lt;1/10).</w:t>
      </w:r>
    </w:p>
    <w:p w14:paraId="48D880A4" w14:textId="34CBFE21" w:rsidR="00A20DC3" w:rsidRDefault="00A20DC3" w:rsidP="00A20DC3">
      <w:pPr>
        <w:spacing w:line="240" w:lineRule="auto"/>
        <w:rPr>
          <w:rFonts w:eastAsia="Times New Roman" w:cs="Arial"/>
          <w:bCs/>
          <w:color w:val="000000"/>
          <w:szCs w:val="18"/>
          <w:lang w:eastAsia="bg-BG"/>
        </w:rPr>
      </w:pPr>
    </w:p>
    <w:tbl>
      <w:tblPr>
        <w:tblStyle w:val="TableGrid"/>
        <w:tblW w:w="0" w:type="auto"/>
        <w:tblLook w:val="04A0" w:firstRow="1" w:lastRow="0" w:firstColumn="1" w:lastColumn="0" w:noHBand="0" w:noVBand="1"/>
      </w:tblPr>
      <w:tblGrid>
        <w:gridCol w:w="9350"/>
      </w:tblGrid>
      <w:tr w:rsidR="00A20DC3" w14:paraId="2395992F" w14:textId="77777777" w:rsidTr="00A20DC3">
        <w:tc>
          <w:tcPr>
            <w:tcW w:w="9576" w:type="dxa"/>
            <w:vAlign w:val="bottom"/>
          </w:tcPr>
          <w:p w14:paraId="0318B2C1" w14:textId="77777777" w:rsidR="00A20DC3" w:rsidRPr="00A20DC3" w:rsidRDefault="00A20DC3" w:rsidP="00A20DC3">
            <w:pPr>
              <w:rPr>
                <w:rFonts w:cs="Arial"/>
              </w:rPr>
            </w:pPr>
            <w:r w:rsidRPr="00A20DC3">
              <w:rPr>
                <w:rFonts w:cs="Arial"/>
                <w:bCs/>
                <w:szCs w:val="18"/>
              </w:rPr>
              <w:t>Нарушения на метаболизма и храненето</w:t>
            </w:r>
          </w:p>
          <w:p w14:paraId="62A308CD" w14:textId="658E477D" w:rsidR="00A20DC3" w:rsidRPr="00A20DC3" w:rsidRDefault="00A20DC3" w:rsidP="00A20DC3">
            <w:pPr>
              <w:spacing w:line="240" w:lineRule="auto"/>
              <w:rPr>
                <w:rFonts w:eastAsia="Times New Roman" w:cs="Arial"/>
                <w:szCs w:val="24"/>
              </w:rPr>
            </w:pPr>
            <w:r w:rsidRPr="00A20DC3">
              <w:rPr>
                <w:rFonts w:cs="Arial"/>
                <w:bCs/>
                <w:i/>
                <w:iCs/>
                <w:szCs w:val="18"/>
              </w:rPr>
              <w:t>Много чести:</w:t>
            </w:r>
            <w:r w:rsidRPr="00A20DC3">
              <w:rPr>
                <w:rFonts w:cs="Arial"/>
                <w:bCs/>
                <w:szCs w:val="18"/>
              </w:rPr>
              <w:t xml:space="preserve"> Повишаване на теглото</w:t>
            </w:r>
            <w:r w:rsidRPr="00A20DC3">
              <w:rPr>
                <w:rFonts w:cs="Arial"/>
                <w:bCs/>
                <w:szCs w:val="18"/>
                <w:vertAlign w:val="superscript"/>
              </w:rPr>
              <w:t>13</w:t>
            </w:r>
            <w:r w:rsidRPr="00A20DC3">
              <w:rPr>
                <w:rFonts w:cs="Arial"/>
                <w:bCs/>
                <w:szCs w:val="18"/>
              </w:rPr>
              <w:t>, повишени нива на триглицеридите</w:t>
            </w:r>
            <w:r w:rsidRPr="00A20DC3">
              <w:rPr>
                <w:rFonts w:cs="Arial"/>
                <w:bCs/>
                <w:szCs w:val="18"/>
                <w:vertAlign w:val="superscript"/>
              </w:rPr>
              <w:t>14</w:t>
            </w:r>
            <w:r w:rsidRPr="00A20DC3">
              <w:rPr>
                <w:rFonts w:cs="Arial"/>
                <w:bCs/>
                <w:szCs w:val="18"/>
              </w:rPr>
              <w:t xml:space="preserve">, повишен апетит. </w:t>
            </w:r>
            <w:r w:rsidRPr="00A20DC3">
              <w:rPr>
                <w:rFonts w:cs="Arial"/>
                <w:bCs/>
                <w:i/>
                <w:iCs/>
                <w:szCs w:val="18"/>
              </w:rPr>
              <w:t>Чести:</w:t>
            </w:r>
            <w:r w:rsidRPr="00A20DC3">
              <w:rPr>
                <w:rFonts w:cs="Arial"/>
                <w:bCs/>
                <w:szCs w:val="18"/>
              </w:rPr>
              <w:t xml:space="preserve"> Повишени нива на холестерола</w:t>
            </w:r>
            <w:r w:rsidRPr="00A20DC3">
              <w:rPr>
                <w:rFonts w:cs="Arial"/>
                <w:bCs/>
                <w:szCs w:val="18"/>
                <w:vertAlign w:val="superscript"/>
              </w:rPr>
              <w:t>15</w:t>
            </w:r>
          </w:p>
        </w:tc>
      </w:tr>
      <w:tr w:rsidR="00A20DC3" w14:paraId="6C8110A3" w14:textId="77777777" w:rsidTr="00A20DC3">
        <w:tc>
          <w:tcPr>
            <w:tcW w:w="9576" w:type="dxa"/>
            <w:vAlign w:val="bottom"/>
          </w:tcPr>
          <w:p w14:paraId="1E597B27" w14:textId="77777777" w:rsidR="00A20DC3" w:rsidRPr="00A20DC3" w:rsidRDefault="00A20DC3" w:rsidP="00A20DC3">
            <w:pPr>
              <w:rPr>
                <w:rFonts w:cs="Arial"/>
              </w:rPr>
            </w:pPr>
            <w:r w:rsidRPr="00A20DC3">
              <w:rPr>
                <w:rFonts w:cs="Arial"/>
                <w:bCs/>
                <w:szCs w:val="18"/>
              </w:rPr>
              <w:t>Нарушения на нервната система</w:t>
            </w:r>
          </w:p>
          <w:p w14:paraId="3D226B74" w14:textId="69D6517F" w:rsidR="00A20DC3" w:rsidRPr="00A20DC3" w:rsidRDefault="00A20DC3" w:rsidP="00A20DC3">
            <w:pPr>
              <w:spacing w:line="240" w:lineRule="auto"/>
              <w:rPr>
                <w:rFonts w:eastAsia="Times New Roman" w:cs="Arial"/>
                <w:szCs w:val="24"/>
              </w:rPr>
            </w:pPr>
            <w:r w:rsidRPr="00A20DC3">
              <w:rPr>
                <w:rFonts w:cs="Arial"/>
                <w:bCs/>
                <w:i/>
                <w:iCs/>
                <w:szCs w:val="18"/>
              </w:rPr>
              <w:t>Много чести:</w:t>
            </w:r>
            <w:r w:rsidRPr="00A20DC3">
              <w:rPr>
                <w:rFonts w:cs="Arial"/>
                <w:bCs/>
                <w:szCs w:val="18"/>
              </w:rPr>
              <w:t xml:space="preserve"> Седиране (включва: хиперсомния, летаргия, сомнолентност).</w:t>
            </w:r>
          </w:p>
        </w:tc>
      </w:tr>
      <w:tr w:rsidR="00A20DC3" w14:paraId="6E6DF609" w14:textId="77777777" w:rsidTr="00A20DC3">
        <w:tc>
          <w:tcPr>
            <w:tcW w:w="9576" w:type="dxa"/>
            <w:vAlign w:val="bottom"/>
          </w:tcPr>
          <w:p w14:paraId="5E01562B" w14:textId="77777777" w:rsidR="00A20DC3" w:rsidRPr="00A20DC3" w:rsidRDefault="00A20DC3" w:rsidP="00A20DC3">
            <w:pPr>
              <w:rPr>
                <w:rFonts w:cs="Arial"/>
              </w:rPr>
            </w:pPr>
            <w:r w:rsidRPr="00A20DC3">
              <w:rPr>
                <w:rFonts w:cs="Arial"/>
                <w:bCs/>
                <w:szCs w:val="18"/>
              </w:rPr>
              <w:t>Стомашно-чревни нарушения</w:t>
            </w:r>
          </w:p>
          <w:p w14:paraId="2E6832B4" w14:textId="74539213" w:rsidR="00A20DC3" w:rsidRPr="00A20DC3" w:rsidRDefault="00A20DC3" w:rsidP="00A20DC3">
            <w:pPr>
              <w:spacing w:line="240" w:lineRule="auto"/>
              <w:rPr>
                <w:rFonts w:eastAsia="Times New Roman" w:cs="Arial"/>
                <w:szCs w:val="24"/>
              </w:rPr>
            </w:pPr>
            <w:r w:rsidRPr="00A20DC3">
              <w:rPr>
                <w:rFonts w:cs="Arial"/>
                <w:bCs/>
                <w:i/>
                <w:iCs/>
                <w:szCs w:val="18"/>
              </w:rPr>
              <w:t>Чести:</w:t>
            </w:r>
            <w:r w:rsidRPr="00A20DC3">
              <w:rPr>
                <w:rFonts w:cs="Arial"/>
                <w:bCs/>
                <w:szCs w:val="18"/>
              </w:rPr>
              <w:t xml:space="preserve"> Сухота в устата</w:t>
            </w:r>
          </w:p>
        </w:tc>
      </w:tr>
      <w:tr w:rsidR="00A20DC3" w14:paraId="79C239D7" w14:textId="77777777" w:rsidTr="00A20DC3">
        <w:tc>
          <w:tcPr>
            <w:tcW w:w="9576" w:type="dxa"/>
            <w:vAlign w:val="bottom"/>
          </w:tcPr>
          <w:p w14:paraId="4517D6AB" w14:textId="77777777" w:rsidR="00A20DC3" w:rsidRPr="00A20DC3" w:rsidRDefault="00A20DC3" w:rsidP="00A20DC3">
            <w:pPr>
              <w:rPr>
                <w:rFonts w:cs="Arial"/>
              </w:rPr>
            </w:pPr>
            <w:r w:rsidRPr="00A20DC3">
              <w:rPr>
                <w:rFonts w:cs="Arial"/>
                <w:bCs/>
                <w:szCs w:val="18"/>
              </w:rPr>
              <w:t>Хенатобнлиарни нарушения</w:t>
            </w:r>
          </w:p>
          <w:p w14:paraId="0B849E86" w14:textId="3E932A06" w:rsidR="00A20DC3" w:rsidRPr="00A20DC3" w:rsidRDefault="00A20DC3" w:rsidP="00A20DC3">
            <w:pPr>
              <w:spacing w:line="240" w:lineRule="auto"/>
              <w:rPr>
                <w:rFonts w:eastAsia="Times New Roman" w:cs="Arial"/>
                <w:szCs w:val="24"/>
              </w:rPr>
            </w:pPr>
            <w:r w:rsidRPr="00A20DC3">
              <w:rPr>
                <w:rFonts w:cs="Arial"/>
                <w:bCs/>
                <w:i/>
                <w:iCs/>
                <w:szCs w:val="18"/>
              </w:rPr>
              <w:t>Много чести:</w:t>
            </w:r>
            <w:r w:rsidRPr="00A20DC3">
              <w:rPr>
                <w:rFonts w:cs="Arial"/>
                <w:bCs/>
                <w:szCs w:val="18"/>
              </w:rPr>
              <w:t xml:space="preserve"> Увеличение на нивата на чернодробни аминотрансферази (АЛАТ/АСАТ; вж. точка 4.4).</w:t>
            </w:r>
          </w:p>
        </w:tc>
      </w:tr>
      <w:tr w:rsidR="00A20DC3" w14:paraId="361ED960" w14:textId="77777777" w:rsidTr="00A20DC3">
        <w:tc>
          <w:tcPr>
            <w:tcW w:w="9576" w:type="dxa"/>
            <w:vAlign w:val="bottom"/>
          </w:tcPr>
          <w:p w14:paraId="2EC00218" w14:textId="77777777" w:rsidR="00A20DC3" w:rsidRPr="00A20DC3" w:rsidRDefault="00A20DC3" w:rsidP="00A20DC3">
            <w:pPr>
              <w:rPr>
                <w:rFonts w:cs="Arial"/>
              </w:rPr>
            </w:pPr>
            <w:r w:rsidRPr="00A20DC3">
              <w:rPr>
                <w:rFonts w:cs="Arial"/>
                <w:bCs/>
                <w:szCs w:val="18"/>
              </w:rPr>
              <w:t>Изследвания</w:t>
            </w:r>
          </w:p>
          <w:p w14:paraId="2B31F208" w14:textId="171D2B5D" w:rsidR="00A20DC3" w:rsidRPr="00A20DC3" w:rsidRDefault="00A20DC3" w:rsidP="00A20DC3">
            <w:pPr>
              <w:spacing w:line="240" w:lineRule="auto"/>
              <w:rPr>
                <w:rFonts w:eastAsia="Times New Roman" w:cs="Arial"/>
                <w:szCs w:val="24"/>
              </w:rPr>
            </w:pPr>
            <w:r w:rsidRPr="00A20DC3">
              <w:rPr>
                <w:rFonts w:cs="Arial"/>
                <w:bCs/>
                <w:i/>
                <w:iCs/>
                <w:szCs w:val="18"/>
              </w:rPr>
              <w:t>Много чести:</w:t>
            </w:r>
            <w:r w:rsidRPr="00A20DC3">
              <w:rPr>
                <w:rFonts w:cs="Arial"/>
                <w:bCs/>
                <w:szCs w:val="18"/>
              </w:rPr>
              <w:t xml:space="preserve"> намален общ билирубин, увеличена ТТТ, увеличени плазмени нива на пролактин</w:t>
            </w:r>
            <w:r w:rsidRPr="00A20DC3">
              <w:rPr>
                <w:rFonts w:cs="Arial"/>
                <w:bCs/>
                <w:szCs w:val="18"/>
                <w:vertAlign w:val="superscript"/>
              </w:rPr>
              <w:t>16</w:t>
            </w:r>
            <w:r w:rsidRPr="00A20DC3">
              <w:rPr>
                <w:rFonts w:cs="Arial"/>
                <w:bCs/>
                <w:szCs w:val="18"/>
              </w:rPr>
              <w:t>.</w:t>
            </w:r>
          </w:p>
        </w:tc>
      </w:tr>
    </w:tbl>
    <w:p w14:paraId="10E0F6B5" w14:textId="77777777" w:rsidR="00A20DC3" w:rsidRPr="00A20DC3" w:rsidRDefault="00A20DC3" w:rsidP="00A20DC3">
      <w:pPr>
        <w:spacing w:line="240" w:lineRule="auto"/>
        <w:rPr>
          <w:rFonts w:eastAsia="Times New Roman" w:cs="Arial"/>
          <w:sz w:val="32"/>
          <w:szCs w:val="24"/>
        </w:rPr>
      </w:pPr>
    </w:p>
    <w:p w14:paraId="6A16BD1E" w14:textId="746261CE" w:rsidR="00A20DC3" w:rsidRPr="00A20DC3" w:rsidRDefault="00A20DC3" w:rsidP="00A20DC3">
      <w:pPr>
        <w:spacing w:line="240" w:lineRule="auto"/>
        <w:rPr>
          <w:rFonts w:eastAsia="Times New Roman" w:cs="Arial"/>
          <w:bCs/>
          <w:color w:val="000000"/>
          <w:lang w:eastAsia="bg-BG"/>
        </w:rPr>
      </w:pPr>
      <w:r w:rsidRPr="00A20DC3">
        <w:rPr>
          <w:vertAlign w:val="superscript"/>
          <w:lang w:val="ru-RU"/>
        </w:rPr>
        <w:t>13</w:t>
      </w:r>
      <w:r w:rsidRPr="00A20DC3">
        <w:rPr>
          <w:rFonts w:eastAsia="Times New Roman" w:cs="Arial"/>
          <w:bCs/>
          <w:color w:val="000000"/>
          <w:lang w:eastAsia="bg-BG"/>
        </w:rPr>
        <w:t xml:space="preserve">След кратко лечение (средна продължителност 22 дни) покачване на теглото &gt;7% спрямо изходните стойности (в </w:t>
      </w:r>
      <w:r w:rsidRPr="00A20DC3">
        <w:rPr>
          <w:rFonts w:eastAsia="Times New Roman" w:cs="Arial"/>
          <w:bCs/>
          <w:color w:val="000000"/>
          <w:lang w:val="en-US"/>
        </w:rPr>
        <w:t>kg</w:t>
      </w:r>
      <w:r w:rsidRPr="00A20DC3">
        <w:rPr>
          <w:rFonts w:eastAsia="Times New Roman" w:cs="Arial"/>
          <w:bCs/>
          <w:color w:val="000000"/>
          <w:lang w:val="ru-RU"/>
        </w:rPr>
        <w:t xml:space="preserve">) </w:t>
      </w:r>
      <w:r w:rsidRPr="00A20DC3">
        <w:rPr>
          <w:rFonts w:eastAsia="Times New Roman" w:cs="Arial"/>
          <w:bCs/>
          <w:color w:val="000000"/>
          <w:lang w:eastAsia="bg-BG"/>
        </w:rPr>
        <w:t>е много често (40,6 %), ≥15% от изходното телесно тегло е често (7,1 %) и ≥25% е често (2,5 %). При продължителна експозиция (поне 24 седмици), 89,4 % са повишили теглото си с ≥7%, 55,3 % с ≥15% и 29,1 % с ≥25% спрямо изходните стойности.</w:t>
      </w:r>
    </w:p>
    <w:p w14:paraId="5B1F498E" w14:textId="77777777" w:rsidR="00A20DC3" w:rsidRPr="00A20DC3" w:rsidRDefault="00A20DC3" w:rsidP="00A20DC3">
      <w:pPr>
        <w:spacing w:line="240" w:lineRule="auto"/>
        <w:rPr>
          <w:rFonts w:eastAsia="Times New Roman" w:cs="Arial"/>
          <w:bCs/>
          <w:color w:val="000000"/>
          <w:lang w:eastAsia="bg-BG"/>
        </w:rPr>
      </w:pPr>
    </w:p>
    <w:p w14:paraId="05621227" w14:textId="22C7764E" w:rsidR="00A20DC3" w:rsidRPr="00A20DC3" w:rsidRDefault="00A20DC3" w:rsidP="00A20DC3">
      <w:pPr>
        <w:spacing w:line="240" w:lineRule="auto"/>
        <w:rPr>
          <w:rFonts w:eastAsia="Times New Roman" w:cs="Arial"/>
          <w:bCs/>
          <w:color w:val="000000"/>
          <w:lang w:eastAsia="bg-BG"/>
        </w:rPr>
      </w:pPr>
      <w:r w:rsidRPr="00A20DC3">
        <w:rPr>
          <w:vertAlign w:val="superscript"/>
          <w:lang w:val="ru-RU"/>
        </w:rPr>
        <w:t>14</w:t>
      </w:r>
      <w:r w:rsidRPr="00A20DC3">
        <w:rPr>
          <w:rFonts w:eastAsia="Times New Roman" w:cs="Arial"/>
          <w:bCs/>
          <w:color w:val="000000"/>
          <w:lang w:eastAsia="bg-BG"/>
        </w:rPr>
        <w:t xml:space="preserve">Наблюдавани са нормални изходни стойности на гладно (&lt;1,016 </w:t>
      </w:r>
      <w:proofErr w:type="spellStart"/>
      <w:r w:rsidRPr="00A20DC3">
        <w:rPr>
          <w:rFonts w:eastAsia="Times New Roman" w:cs="Arial"/>
          <w:bCs/>
          <w:color w:val="000000"/>
          <w:lang w:val="en-US"/>
        </w:rPr>
        <w:t>mmol</w:t>
      </w:r>
      <w:proofErr w:type="spellEnd"/>
      <w:r w:rsidRPr="00A20DC3">
        <w:rPr>
          <w:rFonts w:eastAsia="Times New Roman" w:cs="Arial"/>
          <w:bCs/>
          <w:color w:val="000000"/>
          <w:lang w:val="ru-RU"/>
        </w:rPr>
        <w:t xml:space="preserve">/1), </w:t>
      </w:r>
      <w:r w:rsidRPr="00A20DC3">
        <w:rPr>
          <w:rFonts w:eastAsia="Times New Roman" w:cs="Arial"/>
          <w:bCs/>
          <w:color w:val="000000"/>
          <w:lang w:eastAsia="bg-BG"/>
        </w:rPr>
        <w:t xml:space="preserve">които са се увеличили до високи нива </w:t>
      </w:r>
      <w:proofErr w:type="gramStart"/>
      <w:r w:rsidRPr="00A20DC3">
        <w:rPr>
          <w:rFonts w:eastAsia="Times New Roman" w:cs="Arial"/>
          <w:bCs/>
          <w:color w:val="000000"/>
          <w:lang w:eastAsia="bg-BG"/>
        </w:rPr>
        <w:t>(&gt;1,467</w:t>
      </w:r>
      <w:proofErr w:type="gramEnd"/>
      <w:r w:rsidRPr="00A20DC3">
        <w:rPr>
          <w:rFonts w:eastAsia="Times New Roman" w:cs="Arial"/>
          <w:bCs/>
          <w:color w:val="000000"/>
          <w:lang w:eastAsia="bg-BG"/>
        </w:rPr>
        <w:t xml:space="preserve"> </w:t>
      </w:r>
      <w:proofErr w:type="spellStart"/>
      <w:r w:rsidRPr="00A20DC3">
        <w:rPr>
          <w:rFonts w:eastAsia="Times New Roman" w:cs="Arial"/>
          <w:bCs/>
          <w:color w:val="000000"/>
          <w:lang w:val="en-US"/>
        </w:rPr>
        <w:t>mmol</w:t>
      </w:r>
      <w:proofErr w:type="spellEnd"/>
      <w:r w:rsidRPr="00A20DC3">
        <w:rPr>
          <w:rFonts w:eastAsia="Times New Roman" w:cs="Arial"/>
          <w:bCs/>
          <w:color w:val="000000"/>
          <w:lang w:val="ru-RU"/>
        </w:rPr>
        <w:t xml:space="preserve">/1) </w:t>
      </w:r>
      <w:r w:rsidRPr="00A20DC3">
        <w:rPr>
          <w:rFonts w:eastAsia="Times New Roman" w:cs="Arial"/>
          <w:bCs/>
          <w:color w:val="000000"/>
          <w:lang w:eastAsia="bg-BG"/>
        </w:rPr>
        <w:t xml:space="preserve">и промените в стойностите на триглицеридите на гладно от изходно гранично ниво (≥1,016 </w:t>
      </w:r>
      <w:proofErr w:type="spellStart"/>
      <w:r w:rsidRPr="00A20DC3">
        <w:rPr>
          <w:rFonts w:eastAsia="Times New Roman" w:cs="Arial"/>
          <w:bCs/>
          <w:color w:val="000000"/>
          <w:lang w:val="en-US"/>
        </w:rPr>
        <w:t>mmol</w:t>
      </w:r>
      <w:proofErr w:type="spellEnd"/>
      <w:r w:rsidRPr="00A20DC3">
        <w:rPr>
          <w:rFonts w:eastAsia="Times New Roman" w:cs="Arial"/>
          <w:bCs/>
          <w:color w:val="000000"/>
          <w:lang w:val="ru-RU"/>
        </w:rPr>
        <w:t xml:space="preserve">/1 </w:t>
      </w:r>
      <w:r w:rsidRPr="00A20DC3">
        <w:rPr>
          <w:rFonts w:eastAsia="Times New Roman" w:cs="Arial"/>
          <w:bCs/>
          <w:color w:val="000000"/>
          <w:lang w:eastAsia="bg-BG"/>
        </w:rPr>
        <w:t xml:space="preserve">- &lt;1,467 </w:t>
      </w:r>
      <w:proofErr w:type="spellStart"/>
      <w:r w:rsidRPr="00A20DC3">
        <w:rPr>
          <w:rFonts w:eastAsia="Times New Roman" w:cs="Arial"/>
          <w:bCs/>
          <w:color w:val="000000"/>
          <w:lang w:val="en-US"/>
        </w:rPr>
        <w:t>mmol</w:t>
      </w:r>
      <w:proofErr w:type="spellEnd"/>
      <w:r w:rsidRPr="00A20DC3">
        <w:rPr>
          <w:rFonts w:eastAsia="Times New Roman" w:cs="Arial"/>
          <w:bCs/>
          <w:color w:val="000000"/>
          <w:lang w:val="ru-RU"/>
        </w:rPr>
        <w:t xml:space="preserve">/1) </w:t>
      </w:r>
      <w:r w:rsidRPr="00A20DC3">
        <w:rPr>
          <w:rFonts w:eastAsia="Times New Roman" w:cs="Arial"/>
          <w:bCs/>
          <w:color w:val="000000"/>
          <w:lang w:eastAsia="bg-BG"/>
        </w:rPr>
        <w:t xml:space="preserve">до високи нива (≥1,467 </w:t>
      </w:r>
      <w:proofErr w:type="spellStart"/>
      <w:r w:rsidRPr="00A20DC3">
        <w:rPr>
          <w:rFonts w:eastAsia="Times New Roman" w:cs="Arial"/>
          <w:bCs/>
          <w:color w:val="000000"/>
          <w:lang w:val="en-US"/>
        </w:rPr>
        <w:t>mmol</w:t>
      </w:r>
      <w:proofErr w:type="spellEnd"/>
      <w:r w:rsidRPr="00A20DC3">
        <w:rPr>
          <w:rFonts w:eastAsia="Times New Roman" w:cs="Arial"/>
          <w:bCs/>
          <w:color w:val="000000"/>
          <w:lang w:val="ru-RU"/>
        </w:rPr>
        <w:t>/1).</w:t>
      </w:r>
    </w:p>
    <w:p w14:paraId="3153221C" w14:textId="77777777" w:rsidR="00A20DC3" w:rsidRPr="00A20DC3" w:rsidRDefault="00A20DC3" w:rsidP="00A20DC3">
      <w:pPr>
        <w:spacing w:line="240" w:lineRule="auto"/>
        <w:rPr>
          <w:rFonts w:eastAsia="Times New Roman" w:cs="Arial"/>
          <w:bCs/>
          <w:color w:val="000000"/>
          <w:lang w:eastAsia="bg-BG"/>
        </w:rPr>
      </w:pPr>
    </w:p>
    <w:p w14:paraId="1E5F1C04" w14:textId="6CC2FCA9" w:rsidR="00A20DC3" w:rsidRPr="00A20DC3" w:rsidRDefault="00A20DC3" w:rsidP="00A20DC3">
      <w:pPr>
        <w:spacing w:line="240" w:lineRule="auto"/>
        <w:rPr>
          <w:rFonts w:eastAsia="Times New Roman" w:cs="Arial"/>
          <w:bCs/>
          <w:color w:val="000000"/>
          <w:lang w:eastAsia="bg-BG"/>
        </w:rPr>
      </w:pPr>
      <w:r w:rsidRPr="00A20DC3">
        <w:rPr>
          <w:vertAlign w:val="superscript"/>
          <w:lang w:val="ru-RU"/>
        </w:rPr>
        <w:lastRenderedPageBreak/>
        <w:t>15</w:t>
      </w:r>
      <w:r w:rsidRPr="00A20DC3">
        <w:rPr>
          <w:rFonts w:eastAsia="Times New Roman" w:cs="Arial"/>
          <w:bCs/>
          <w:color w:val="000000"/>
          <w:lang w:eastAsia="bg-BG"/>
        </w:rPr>
        <w:t xml:space="preserve">Промени в общия холестерол на гладно от нормалните изходни стойности (&lt;4,39 </w:t>
      </w:r>
      <w:proofErr w:type="spellStart"/>
      <w:r w:rsidRPr="00A20DC3">
        <w:rPr>
          <w:rFonts w:eastAsia="Times New Roman" w:cs="Arial"/>
          <w:bCs/>
          <w:color w:val="000000"/>
          <w:lang w:val="en-US"/>
        </w:rPr>
        <w:t>mmol</w:t>
      </w:r>
      <w:proofErr w:type="spellEnd"/>
      <w:r w:rsidRPr="00A20DC3">
        <w:rPr>
          <w:rFonts w:eastAsia="Times New Roman" w:cs="Arial"/>
          <w:bCs/>
          <w:color w:val="000000"/>
          <w:lang w:val="ru-RU"/>
        </w:rPr>
        <w:t xml:space="preserve">/1) </w:t>
      </w:r>
      <w:r w:rsidRPr="00A20DC3">
        <w:rPr>
          <w:rFonts w:eastAsia="Times New Roman" w:cs="Arial"/>
          <w:bCs/>
          <w:color w:val="000000"/>
          <w:lang w:eastAsia="bg-BG"/>
        </w:rPr>
        <w:t xml:space="preserve">до високи нива (≥5,17 </w:t>
      </w:r>
      <w:proofErr w:type="spellStart"/>
      <w:r w:rsidRPr="00A20DC3">
        <w:rPr>
          <w:rFonts w:eastAsia="Times New Roman" w:cs="Arial"/>
          <w:bCs/>
          <w:color w:val="000000"/>
          <w:lang w:val="en-US"/>
        </w:rPr>
        <w:t>mmol</w:t>
      </w:r>
      <w:proofErr w:type="spellEnd"/>
      <w:r w:rsidRPr="00A20DC3">
        <w:rPr>
          <w:rFonts w:eastAsia="Times New Roman" w:cs="Arial"/>
          <w:bCs/>
          <w:color w:val="000000"/>
          <w:lang w:val="ru-RU"/>
        </w:rPr>
        <w:t xml:space="preserve">/1) </w:t>
      </w:r>
      <w:r w:rsidRPr="00A20DC3">
        <w:rPr>
          <w:rFonts w:eastAsia="Times New Roman" w:cs="Arial"/>
          <w:bCs/>
          <w:color w:val="000000"/>
          <w:lang w:eastAsia="bg-BG"/>
        </w:rPr>
        <w:t xml:space="preserve">са наблюдавани често. Промените в стойностите на общия холестерол на гладно от изходно гранично ниво (≥4,39 - &lt;5,17 </w:t>
      </w:r>
      <w:proofErr w:type="spellStart"/>
      <w:r w:rsidRPr="00A20DC3">
        <w:rPr>
          <w:rFonts w:eastAsia="Times New Roman" w:cs="Arial"/>
          <w:bCs/>
          <w:color w:val="000000"/>
          <w:lang w:val="en-US"/>
        </w:rPr>
        <w:t>mmol</w:t>
      </w:r>
      <w:proofErr w:type="spellEnd"/>
      <w:r w:rsidRPr="00A20DC3">
        <w:rPr>
          <w:rFonts w:eastAsia="Times New Roman" w:cs="Arial"/>
          <w:bCs/>
          <w:color w:val="000000"/>
          <w:lang w:val="ru-RU"/>
        </w:rPr>
        <w:t xml:space="preserve">/1) </w:t>
      </w:r>
      <w:r w:rsidRPr="00A20DC3">
        <w:rPr>
          <w:rFonts w:eastAsia="Times New Roman" w:cs="Arial"/>
          <w:bCs/>
          <w:color w:val="000000"/>
          <w:lang w:eastAsia="bg-BG"/>
        </w:rPr>
        <w:t xml:space="preserve">до високи нива (≥5,17 </w:t>
      </w:r>
      <w:proofErr w:type="spellStart"/>
      <w:r w:rsidRPr="00A20DC3">
        <w:rPr>
          <w:rFonts w:eastAsia="Times New Roman" w:cs="Arial"/>
          <w:bCs/>
          <w:color w:val="000000"/>
          <w:lang w:val="en-US"/>
        </w:rPr>
        <w:t>mmol</w:t>
      </w:r>
      <w:proofErr w:type="spellEnd"/>
      <w:r w:rsidRPr="00A20DC3">
        <w:rPr>
          <w:rFonts w:eastAsia="Times New Roman" w:cs="Arial"/>
          <w:bCs/>
          <w:color w:val="000000"/>
          <w:lang w:val="ru-RU"/>
        </w:rPr>
        <w:t xml:space="preserve">/1) </w:t>
      </w:r>
      <w:r w:rsidRPr="00A20DC3">
        <w:rPr>
          <w:rFonts w:eastAsia="Times New Roman" w:cs="Arial"/>
          <w:bCs/>
          <w:color w:val="000000"/>
          <w:lang w:eastAsia="bg-BG"/>
        </w:rPr>
        <w:t>са били много чести.</w:t>
      </w:r>
    </w:p>
    <w:p w14:paraId="0455100B" w14:textId="77777777" w:rsidR="00A20DC3" w:rsidRPr="00A20DC3" w:rsidRDefault="00A20DC3" w:rsidP="00A20DC3">
      <w:pPr>
        <w:spacing w:line="240" w:lineRule="auto"/>
        <w:rPr>
          <w:rFonts w:eastAsia="Times New Roman" w:cs="Arial"/>
          <w:bCs/>
          <w:color w:val="000000"/>
          <w:lang w:eastAsia="bg-BG"/>
        </w:rPr>
      </w:pPr>
    </w:p>
    <w:p w14:paraId="41C2819F" w14:textId="319855FD" w:rsidR="00A20DC3" w:rsidRPr="00A20DC3" w:rsidRDefault="00A20DC3" w:rsidP="00A20DC3">
      <w:pPr>
        <w:spacing w:line="240" w:lineRule="auto"/>
        <w:rPr>
          <w:rFonts w:eastAsia="Times New Roman" w:cs="Arial"/>
          <w:bCs/>
          <w:color w:val="000000"/>
          <w:lang w:eastAsia="bg-BG"/>
        </w:rPr>
      </w:pPr>
      <w:r w:rsidRPr="00A20DC3">
        <w:rPr>
          <w:rFonts w:eastAsia="Times New Roman" w:cs="Arial"/>
          <w:bCs/>
          <w:color w:val="000000"/>
          <w:lang w:val="ru-RU" w:eastAsia="bg-BG"/>
        </w:rPr>
        <w:t>16</w:t>
      </w:r>
      <w:r w:rsidRPr="00A20DC3">
        <w:rPr>
          <w:rFonts w:eastAsia="Times New Roman" w:cs="Arial"/>
          <w:bCs/>
          <w:color w:val="000000"/>
          <w:lang w:eastAsia="bg-BG"/>
        </w:rPr>
        <w:t>Повишени плазмени нива на пролактин са съобщавани при 47,4% от пациентите в юношеска възраст.</w:t>
      </w:r>
    </w:p>
    <w:p w14:paraId="544D74EF" w14:textId="77777777" w:rsidR="00A20DC3" w:rsidRPr="00A20DC3" w:rsidRDefault="00A20DC3" w:rsidP="00A20DC3">
      <w:pPr>
        <w:spacing w:line="240" w:lineRule="auto"/>
        <w:rPr>
          <w:rFonts w:eastAsia="Times New Roman" w:cs="Arial"/>
          <w:bCs/>
          <w:color w:val="000000"/>
          <w:u w:val="single"/>
          <w:lang w:eastAsia="bg-BG"/>
        </w:rPr>
      </w:pPr>
    </w:p>
    <w:p w14:paraId="5DF38521" w14:textId="3C278CB3" w:rsidR="00A20DC3" w:rsidRPr="00A20DC3" w:rsidRDefault="00A20DC3" w:rsidP="00A20DC3">
      <w:pPr>
        <w:spacing w:line="240" w:lineRule="auto"/>
        <w:rPr>
          <w:rFonts w:eastAsia="Times New Roman" w:cs="Arial"/>
        </w:rPr>
      </w:pPr>
      <w:r w:rsidRPr="00A20DC3">
        <w:rPr>
          <w:rFonts w:eastAsia="Times New Roman" w:cs="Arial"/>
          <w:bCs/>
          <w:color w:val="000000"/>
          <w:u w:val="single"/>
          <w:lang w:eastAsia="bg-BG"/>
        </w:rPr>
        <w:t>Съобщаване на подозирани нежелани реакции</w:t>
      </w:r>
    </w:p>
    <w:p w14:paraId="6247310E" w14:textId="77777777" w:rsidR="00A20DC3" w:rsidRPr="00A20DC3" w:rsidRDefault="00A20DC3" w:rsidP="00A20DC3">
      <w:pPr>
        <w:spacing w:line="240" w:lineRule="auto"/>
        <w:rPr>
          <w:rFonts w:ascii="Times New Roman" w:eastAsia="Times New Roman" w:hAnsi="Times New Roman" w:cs="Times New Roman"/>
          <w:sz w:val="24"/>
          <w:szCs w:val="24"/>
        </w:rPr>
      </w:pPr>
      <w:r w:rsidRPr="00A20DC3">
        <w:rPr>
          <w:rFonts w:eastAsia="Times New Roman" w:cs="Arial"/>
          <w:bCs/>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в Изпълнителна агенция по лекарствата ул., Дамян Груев“ № 8,1303 София, Тел.: +35 928903417, уебсайт: </w:t>
      </w:r>
      <w:r w:rsidRPr="00A20DC3">
        <w:rPr>
          <w:rFonts w:eastAsia="Times New Roman" w:cs="Arial"/>
        </w:rPr>
        <w:fldChar w:fldCharType="begin"/>
      </w:r>
      <w:r w:rsidRPr="00A20DC3">
        <w:rPr>
          <w:rFonts w:eastAsia="Times New Roman" w:cs="Arial"/>
        </w:rPr>
        <w:instrText xml:space="preserve"> HYPERLINK "http://www.bda.bg" </w:instrText>
      </w:r>
      <w:r w:rsidRPr="00A20DC3">
        <w:rPr>
          <w:rFonts w:eastAsia="Times New Roman" w:cs="Arial"/>
        </w:rPr>
      </w:r>
      <w:r w:rsidRPr="00A20DC3">
        <w:rPr>
          <w:rFonts w:eastAsia="Times New Roman" w:cs="Arial"/>
        </w:rPr>
        <w:fldChar w:fldCharType="separate"/>
      </w:r>
      <w:r w:rsidRPr="00A20DC3">
        <w:rPr>
          <w:rFonts w:eastAsia="Times New Roman" w:cs="Arial"/>
          <w:bCs/>
          <w:color w:val="000000"/>
          <w:u w:val="single"/>
          <w:lang w:val="en-US"/>
        </w:rPr>
        <w:t>www</w:t>
      </w:r>
      <w:r w:rsidRPr="00A20DC3">
        <w:rPr>
          <w:rFonts w:eastAsia="Times New Roman" w:cs="Arial"/>
          <w:bCs/>
          <w:color w:val="000000"/>
          <w:u w:val="single"/>
          <w:lang w:val="ru-RU"/>
        </w:rPr>
        <w:t>.</w:t>
      </w:r>
      <w:proofErr w:type="spellStart"/>
      <w:r w:rsidRPr="00A20DC3">
        <w:rPr>
          <w:rFonts w:eastAsia="Times New Roman" w:cs="Arial"/>
          <w:bCs/>
          <w:color w:val="000000"/>
          <w:u w:val="single"/>
          <w:lang w:val="en-US"/>
        </w:rPr>
        <w:t>bda</w:t>
      </w:r>
      <w:proofErr w:type="spellEnd"/>
      <w:r w:rsidRPr="00A20DC3">
        <w:rPr>
          <w:rFonts w:eastAsia="Times New Roman" w:cs="Arial"/>
          <w:bCs/>
          <w:color w:val="000000"/>
          <w:u w:val="single"/>
          <w:lang w:val="ru-RU"/>
        </w:rPr>
        <w:t>.</w:t>
      </w:r>
      <w:proofErr w:type="spellStart"/>
      <w:r w:rsidRPr="00A20DC3">
        <w:rPr>
          <w:rFonts w:eastAsia="Times New Roman" w:cs="Arial"/>
          <w:bCs/>
          <w:color w:val="000000"/>
          <w:u w:val="single"/>
          <w:lang w:val="en-US"/>
        </w:rPr>
        <w:t>bg</w:t>
      </w:r>
      <w:proofErr w:type="spellEnd"/>
      <w:r w:rsidRPr="00A20DC3">
        <w:rPr>
          <w:rFonts w:eastAsia="Times New Roman" w:cs="Arial"/>
        </w:rPr>
        <w:fldChar w:fldCharType="end"/>
      </w:r>
    </w:p>
    <w:p w14:paraId="0ADF8FBE" w14:textId="3D9A275E" w:rsidR="00A20DC3" w:rsidRPr="00A20DC3" w:rsidRDefault="00A20DC3" w:rsidP="00A20DC3"/>
    <w:p w14:paraId="5A87DBA3" w14:textId="04492D6B" w:rsidR="007122AD" w:rsidRDefault="002C50EE" w:rsidP="00936AD0">
      <w:pPr>
        <w:pStyle w:val="Heading2"/>
      </w:pPr>
      <w:r>
        <w:t>4.9. Предозиране</w:t>
      </w:r>
    </w:p>
    <w:p w14:paraId="06601CD8" w14:textId="303F3C13" w:rsidR="00A20DC3" w:rsidRDefault="00A20DC3" w:rsidP="00A20DC3"/>
    <w:p w14:paraId="2753C83B" w14:textId="77777777" w:rsidR="00A20DC3" w:rsidRPr="00A20DC3" w:rsidRDefault="00A20DC3" w:rsidP="00A20DC3">
      <w:pPr>
        <w:spacing w:line="240" w:lineRule="auto"/>
        <w:rPr>
          <w:rFonts w:eastAsia="Times New Roman" w:cs="Arial"/>
          <w:sz w:val="32"/>
          <w:szCs w:val="24"/>
        </w:rPr>
      </w:pPr>
      <w:r w:rsidRPr="00A20DC3">
        <w:rPr>
          <w:rFonts w:eastAsia="Times New Roman" w:cs="Arial"/>
          <w:bCs/>
          <w:i/>
          <w:iCs/>
          <w:color w:val="000000"/>
          <w:szCs w:val="18"/>
          <w:u w:val="single"/>
          <w:lang w:eastAsia="bg-BG"/>
        </w:rPr>
        <w:t>Признаци и симптоми</w:t>
      </w:r>
    </w:p>
    <w:p w14:paraId="22C59531" w14:textId="77777777" w:rsidR="00A20DC3" w:rsidRPr="00A20DC3" w:rsidRDefault="00A20DC3" w:rsidP="00A20DC3">
      <w:pPr>
        <w:spacing w:line="240" w:lineRule="auto"/>
        <w:rPr>
          <w:rFonts w:eastAsia="Times New Roman" w:cs="Arial"/>
          <w:bCs/>
          <w:color w:val="000000"/>
          <w:szCs w:val="18"/>
          <w:lang w:eastAsia="bg-BG"/>
        </w:rPr>
      </w:pPr>
    </w:p>
    <w:p w14:paraId="543550CE" w14:textId="1C69D2B8"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Много чести симптоми на предозиране (&gt;10% честота) включват тахикардия, ажитация/ агресивност, дизартрия, различни екстрапирамидни симптоми и намалена степен на съзнание, варираща от седация до кома.</w:t>
      </w:r>
    </w:p>
    <w:p w14:paraId="04F061D3" w14:textId="10F9430F" w:rsidR="00A20DC3" w:rsidRPr="00A20DC3" w:rsidRDefault="00A20DC3" w:rsidP="00A20DC3">
      <w:pPr>
        <w:rPr>
          <w:rFonts w:cs="Arial"/>
          <w:sz w:val="28"/>
        </w:rPr>
      </w:pPr>
    </w:p>
    <w:p w14:paraId="0BB3FC74" w14:textId="77777777"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 xml:space="preserve">Други значими последици на предозиране включват делир, конвулсии, кома, вероятен малигнен невролептичен синдром, потискане на дишането, аспирация, хипертония или хипотония, сърдечни аритмии (&lt;2% от случаите на предозиране) </w:t>
      </w:r>
      <w:r w:rsidRPr="00A20DC3">
        <w:rPr>
          <w:rFonts w:eastAsia="Times New Roman" w:cs="Arial"/>
          <w:bCs/>
          <w:i/>
          <w:iCs/>
          <w:color w:val="000000"/>
          <w:szCs w:val="18"/>
          <w:lang w:eastAsia="bg-BG"/>
        </w:rPr>
        <w:t>и</w:t>
      </w:r>
      <w:r w:rsidRPr="00A20DC3">
        <w:rPr>
          <w:rFonts w:eastAsia="Times New Roman" w:cs="Arial"/>
          <w:bCs/>
          <w:color w:val="000000"/>
          <w:szCs w:val="18"/>
          <w:lang w:eastAsia="bg-BG"/>
        </w:rPr>
        <w:t xml:space="preserve"> сърдечно- белодробен арест. Фатални случаи са съобщавани при остро предозиране с ниски дози от 450 </w:t>
      </w:r>
      <w:r w:rsidRPr="00A20DC3">
        <w:rPr>
          <w:rFonts w:eastAsia="Times New Roman" w:cs="Arial"/>
          <w:bCs/>
          <w:color w:val="000000"/>
          <w:szCs w:val="18"/>
          <w:lang w:val="en-US"/>
        </w:rPr>
        <w:t>mg</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 xml:space="preserve">но също така са съобщени случаи за преживяване на остро дозиране с приблизително 2 </w:t>
      </w:r>
      <w:r w:rsidRPr="00A20DC3">
        <w:rPr>
          <w:rFonts w:eastAsia="Times New Roman" w:cs="Arial"/>
          <w:bCs/>
          <w:color w:val="000000"/>
          <w:szCs w:val="18"/>
          <w:lang w:val="en-US"/>
        </w:rPr>
        <w:t>g</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оланзапин перорално.</w:t>
      </w:r>
    </w:p>
    <w:p w14:paraId="1336A028" w14:textId="77777777" w:rsidR="00A20DC3" w:rsidRPr="00A20DC3" w:rsidRDefault="00A20DC3" w:rsidP="00A20DC3">
      <w:pPr>
        <w:spacing w:line="240" w:lineRule="auto"/>
        <w:rPr>
          <w:rFonts w:eastAsia="Times New Roman" w:cs="Arial"/>
          <w:bCs/>
          <w:i/>
          <w:iCs/>
          <w:color w:val="000000"/>
          <w:szCs w:val="18"/>
          <w:u w:val="single"/>
          <w:lang w:eastAsia="bg-BG"/>
        </w:rPr>
      </w:pPr>
    </w:p>
    <w:p w14:paraId="12E8AB6F" w14:textId="3C93F54F" w:rsidR="00A20DC3" w:rsidRPr="00A20DC3" w:rsidRDefault="00A20DC3" w:rsidP="00A20DC3">
      <w:pPr>
        <w:spacing w:line="240" w:lineRule="auto"/>
        <w:rPr>
          <w:rFonts w:eastAsia="Times New Roman" w:cs="Arial"/>
          <w:sz w:val="32"/>
          <w:szCs w:val="24"/>
        </w:rPr>
      </w:pPr>
      <w:r w:rsidRPr="00A20DC3">
        <w:rPr>
          <w:rFonts w:eastAsia="Times New Roman" w:cs="Arial"/>
          <w:bCs/>
          <w:i/>
          <w:iCs/>
          <w:color w:val="000000"/>
          <w:szCs w:val="18"/>
          <w:u w:val="single"/>
          <w:lang w:eastAsia="bg-BG"/>
        </w:rPr>
        <w:t>Поведение при предозиране</w:t>
      </w:r>
    </w:p>
    <w:p w14:paraId="35E698C1" w14:textId="77777777" w:rsidR="00A20DC3" w:rsidRPr="00A20DC3" w:rsidRDefault="00A20DC3" w:rsidP="00A20DC3">
      <w:pPr>
        <w:spacing w:line="240" w:lineRule="auto"/>
        <w:rPr>
          <w:rFonts w:eastAsia="Times New Roman" w:cs="Arial"/>
          <w:bCs/>
          <w:color w:val="000000"/>
          <w:szCs w:val="18"/>
          <w:lang w:eastAsia="bg-BG"/>
        </w:rPr>
      </w:pPr>
    </w:p>
    <w:p w14:paraId="04FEDD98" w14:textId="4087D441" w:rsidR="00A20DC3" w:rsidRPr="00A20DC3" w:rsidRDefault="00A20DC3" w:rsidP="00A20DC3">
      <w:pPr>
        <w:spacing w:line="240" w:lineRule="auto"/>
        <w:rPr>
          <w:rFonts w:eastAsia="Times New Roman" w:cs="Arial"/>
          <w:bCs/>
          <w:color w:val="000000"/>
          <w:szCs w:val="18"/>
          <w:lang w:eastAsia="bg-BG"/>
        </w:rPr>
      </w:pPr>
      <w:r w:rsidRPr="00A20DC3">
        <w:rPr>
          <w:rFonts w:eastAsia="Times New Roman" w:cs="Arial"/>
          <w:bCs/>
          <w:color w:val="000000"/>
          <w:szCs w:val="18"/>
          <w:lang w:eastAsia="bg-BG"/>
        </w:rPr>
        <w:t xml:space="preserve">Не съществува специфичен антидот за оланзапин. Не се препоръчва предизвикване на повръщане. </w:t>
      </w:r>
    </w:p>
    <w:p w14:paraId="03058B22" w14:textId="31AAEACF"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Стандартните процедури за справяне с предозирането (например стомашна промивка, приложение на активен въглен) могат да бъдат показани. Наблюдавано е, че едновременното приложение на активен въглен намалява оралната бионаличност на оланзапин с 50 до 60%.</w:t>
      </w:r>
    </w:p>
    <w:p w14:paraId="264E5AE4" w14:textId="77777777" w:rsidR="00A20DC3" w:rsidRPr="00A20DC3" w:rsidRDefault="00A20DC3" w:rsidP="00A20DC3">
      <w:pPr>
        <w:spacing w:line="240" w:lineRule="auto"/>
        <w:rPr>
          <w:rFonts w:eastAsia="Times New Roman" w:cs="Arial"/>
          <w:bCs/>
          <w:color w:val="000000"/>
          <w:szCs w:val="18"/>
          <w:lang w:eastAsia="bg-BG"/>
        </w:rPr>
      </w:pPr>
    </w:p>
    <w:p w14:paraId="06B7479C" w14:textId="6A7F0777"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Симптоматичното лечение и проследяване на функциите на жизнените органи трябва да се приложи според клиничната картина, включително лечение на хипотонията и циркулаторния шок и поддръжка на дихателната функция. Не използвайте адреналин, допамин или други симпатикомиметици с бета-агонистична активност, тъй като бета стимулацията може да влоши хипотонията. Сърдечно-съдово проследяване е необходимо за установяване на възможни аритмии. Стриктното медицинско наблюдение и мониторинг трябва да продължат докато пациентът не се възстанови.</w:t>
      </w:r>
    </w:p>
    <w:p w14:paraId="04069B1F" w14:textId="77777777" w:rsidR="00A20DC3" w:rsidRPr="00A20DC3" w:rsidRDefault="00A20DC3" w:rsidP="00A20DC3">
      <w:pPr>
        <w:spacing w:line="240" w:lineRule="auto"/>
        <w:rPr>
          <w:rFonts w:eastAsia="Times New Roman" w:cs="Arial"/>
          <w:bCs/>
          <w:i/>
          <w:iCs/>
          <w:color w:val="000000"/>
          <w:szCs w:val="18"/>
          <w:u w:val="single"/>
          <w:lang w:eastAsia="bg-BG"/>
        </w:rPr>
      </w:pPr>
    </w:p>
    <w:p w14:paraId="4042DE40" w14:textId="27019D91" w:rsidR="00A20DC3" w:rsidRPr="00A20DC3" w:rsidRDefault="00A20DC3" w:rsidP="00A20DC3">
      <w:pPr>
        <w:spacing w:line="240" w:lineRule="auto"/>
        <w:rPr>
          <w:rFonts w:eastAsia="Times New Roman" w:cs="Arial"/>
          <w:sz w:val="32"/>
          <w:szCs w:val="24"/>
        </w:rPr>
      </w:pPr>
      <w:r w:rsidRPr="00A20DC3">
        <w:rPr>
          <w:rFonts w:eastAsia="Times New Roman" w:cs="Arial"/>
          <w:bCs/>
          <w:i/>
          <w:iCs/>
          <w:color w:val="000000"/>
          <w:szCs w:val="18"/>
          <w:u w:val="single"/>
          <w:lang w:eastAsia="bg-BG"/>
        </w:rPr>
        <w:t>Педиатрична популация</w:t>
      </w:r>
    </w:p>
    <w:p w14:paraId="31FF7104" w14:textId="77777777" w:rsidR="00A20DC3" w:rsidRPr="00A20DC3" w:rsidRDefault="00A20DC3" w:rsidP="00A20DC3">
      <w:pPr>
        <w:rPr>
          <w:rFonts w:eastAsia="Times New Roman" w:cs="Arial"/>
          <w:bCs/>
          <w:color w:val="000000"/>
          <w:szCs w:val="18"/>
          <w:lang w:eastAsia="bg-BG"/>
        </w:rPr>
      </w:pPr>
    </w:p>
    <w:p w14:paraId="458E4A26" w14:textId="0C79A6C4" w:rsidR="00A20DC3" w:rsidRPr="00A20DC3" w:rsidRDefault="00A20DC3" w:rsidP="00A20DC3">
      <w:pPr>
        <w:rPr>
          <w:rFonts w:cs="Arial"/>
          <w:sz w:val="28"/>
        </w:rPr>
      </w:pPr>
      <w:r w:rsidRPr="00A20DC3">
        <w:rPr>
          <w:rFonts w:eastAsia="Times New Roman" w:cs="Arial"/>
          <w:bCs/>
          <w:color w:val="000000"/>
          <w:szCs w:val="18"/>
          <w:lang w:eastAsia="bg-BG"/>
        </w:rPr>
        <w:lastRenderedPageBreak/>
        <w:t>Няма данни по отношение на деца и юноши.</w:t>
      </w:r>
    </w:p>
    <w:p w14:paraId="02081B24" w14:textId="1F46E296" w:rsidR="00395555" w:rsidRPr="00395555" w:rsidRDefault="002C50EE" w:rsidP="008A6AF2">
      <w:pPr>
        <w:pStyle w:val="Heading1"/>
      </w:pPr>
      <w:r>
        <w:t>5. ФАРМАКОЛОГИЧНИ СВОЙСТВА</w:t>
      </w:r>
    </w:p>
    <w:p w14:paraId="7DE36AC8" w14:textId="3D2137C5" w:rsidR="00B6672E" w:rsidRDefault="002C50EE" w:rsidP="00936AD0">
      <w:pPr>
        <w:pStyle w:val="Heading2"/>
      </w:pPr>
      <w:r>
        <w:t>5.1. Фармакодинамични свойства</w:t>
      </w:r>
    </w:p>
    <w:p w14:paraId="3E655AC8" w14:textId="515878CE" w:rsidR="00A20DC3" w:rsidRDefault="00A20DC3" w:rsidP="00A20DC3"/>
    <w:p w14:paraId="58D16A0E" w14:textId="77777777"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 xml:space="preserve">Фармакотерапевтична група: Психолептици, Антипсихотици, Диазепини, оксазепини, тиазепини и оксепини, АТС код: </w:t>
      </w:r>
      <w:r w:rsidRPr="00A20DC3">
        <w:rPr>
          <w:rFonts w:eastAsia="Times New Roman" w:cs="Arial"/>
          <w:bCs/>
          <w:color w:val="000000"/>
          <w:szCs w:val="18"/>
          <w:lang w:val="en-US"/>
        </w:rPr>
        <w:t>N</w:t>
      </w:r>
      <w:r w:rsidRPr="00A20DC3">
        <w:rPr>
          <w:rFonts w:eastAsia="Times New Roman" w:cs="Arial"/>
          <w:bCs/>
          <w:color w:val="000000"/>
          <w:szCs w:val="18"/>
        </w:rPr>
        <w:t>05</w:t>
      </w:r>
      <w:r w:rsidRPr="00A20DC3">
        <w:rPr>
          <w:rFonts w:eastAsia="Times New Roman" w:cs="Arial"/>
          <w:bCs/>
          <w:color w:val="000000"/>
          <w:szCs w:val="18"/>
          <w:lang w:val="en-US"/>
        </w:rPr>
        <w:t>A</w:t>
      </w:r>
      <w:r w:rsidRPr="00A20DC3">
        <w:rPr>
          <w:rFonts w:eastAsia="Times New Roman" w:cs="Arial"/>
          <w:bCs/>
          <w:color w:val="000000"/>
          <w:szCs w:val="18"/>
        </w:rPr>
        <w:t xml:space="preserve"> </w:t>
      </w:r>
      <w:r w:rsidRPr="00A20DC3">
        <w:rPr>
          <w:rFonts w:eastAsia="Times New Roman" w:cs="Arial"/>
          <w:bCs/>
          <w:color w:val="000000"/>
          <w:szCs w:val="18"/>
          <w:lang w:eastAsia="bg-BG"/>
        </w:rPr>
        <w:t>НОЗ.</w:t>
      </w:r>
    </w:p>
    <w:p w14:paraId="1FC6E528" w14:textId="77777777" w:rsidR="00A20DC3" w:rsidRPr="00A20DC3" w:rsidRDefault="00A20DC3" w:rsidP="00A20DC3">
      <w:pPr>
        <w:spacing w:line="240" w:lineRule="auto"/>
        <w:rPr>
          <w:rFonts w:eastAsia="Times New Roman" w:cs="Arial"/>
          <w:bCs/>
          <w:color w:val="000000"/>
          <w:szCs w:val="18"/>
          <w:u w:val="single"/>
          <w:lang w:eastAsia="bg-BG"/>
        </w:rPr>
      </w:pPr>
    </w:p>
    <w:p w14:paraId="74DE7226" w14:textId="5024686C"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u w:val="single"/>
          <w:lang w:eastAsia="bg-BG"/>
        </w:rPr>
        <w:t>Механизъм на действие</w:t>
      </w:r>
    </w:p>
    <w:p w14:paraId="74051B19" w14:textId="77777777" w:rsidR="00A20DC3" w:rsidRPr="00A20DC3" w:rsidRDefault="00A20DC3" w:rsidP="00A20DC3">
      <w:pPr>
        <w:spacing w:line="240" w:lineRule="auto"/>
        <w:rPr>
          <w:rFonts w:eastAsia="Times New Roman" w:cs="Arial"/>
          <w:bCs/>
          <w:color w:val="000000"/>
          <w:szCs w:val="18"/>
          <w:lang w:eastAsia="bg-BG"/>
        </w:rPr>
      </w:pPr>
    </w:p>
    <w:p w14:paraId="14CE1E8F" w14:textId="72F31F4F"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Оланзапин е антипсихотик, антиманийно средство и средство за стабилизиране на настроението, който показва широк фармакологичен профил посредством няколко рецепторни системи.</w:t>
      </w:r>
    </w:p>
    <w:p w14:paraId="5F2D967D" w14:textId="77777777" w:rsidR="00A20DC3" w:rsidRPr="00A20DC3" w:rsidRDefault="00A20DC3" w:rsidP="00A20DC3">
      <w:pPr>
        <w:spacing w:line="240" w:lineRule="auto"/>
        <w:rPr>
          <w:rFonts w:eastAsia="Times New Roman" w:cs="Arial"/>
          <w:bCs/>
          <w:color w:val="000000"/>
          <w:szCs w:val="18"/>
          <w:u w:val="single"/>
          <w:lang w:eastAsia="bg-BG"/>
        </w:rPr>
      </w:pPr>
    </w:p>
    <w:p w14:paraId="42770614" w14:textId="2C51F4EB"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u w:val="single"/>
          <w:lang w:eastAsia="bg-BG"/>
        </w:rPr>
        <w:t>Фаомакодинамични ефекти</w:t>
      </w:r>
    </w:p>
    <w:p w14:paraId="6CB7EC70" w14:textId="77777777" w:rsidR="00A20DC3" w:rsidRPr="00A20DC3" w:rsidRDefault="00A20DC3" w:rsidP="00A20DC3">
      <w:pPr>
        <w:rPr>
          <w:rFonts w:eastAsia="Times New Roman" w:cs="Arial"/>
          <w:bCs/>
          <w:color w:val="000000"/>
          <w:szCs w:val="18"/>
          <w:lang w:eastAsia="bg-BG"/>
        </w:rPr>
      </w:pPr>
    </w:p>
    <w:p w14:paraId="3B332C20" w14:textId="77777777" w:rsidR="00A20DC3" w:rsidRPr="00A20DC3" w:rsidRDefault="00A20DC3" w:rsidP="00A20DC3">
      <w:pPr>
        <w:rPr>
          <w:rFonts w:eastAsia="Times New Roman" w:cs="Arial"/>
          <w:sz w:val="32"/>
          <w:szCs w:val="24"/>
        </w:rPr>
      </w:pPr>
      <w:r w:rsidRPr="00A20DC3">
        <w:rPr>
          <w:rFonts w:eastAsia="Times New Roman" w:cs="Arial"/>
          <w:bCs/>
          <w:color w:val="000000"/>
          <w:szCs w:val="18"/>
          <w:lang w:eastAsia="bg-BG"/>
        </w:rPr>
        <w:t xml:space="preserve">В предклинични проучвания оланзапин показва диапазон от рецепторни афинитета </w:t>
      </w:r>
      <w:r w:rsidRPr="00A20DC3">
        <w:rPr>
          <w:rFonts w:eastAsia="Times New Roman" w:cs="Arial"/>
          <w:bCs/>
          <w:color w:val="000000"/>
          <w:szCs w:val="18"/>
          <w:lang w:val="ru-RU"/>
        </w:rPr>
        <w:t>(</w:t>
      </w:r>
      <w:r w:rsidRPr="00A20DC3">
        <w:rPr>
          <w:rFonts w:eastAsia="Times New Roman" w:cs="Arial"/>
          <w:bCs/>
          <w:color w:val="000000"/>
          <w:szCs w:val="18"/>
          <w:lang w:val="en-US"/>
        </w:rPr>
        <w:t>Ki</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 xml:space="preserve">&lt;100 </w:t>
      </w:r>
      <w:r w:rsidRPr="00A20DC3">
        <w:rPr>
          <w:rFonts w:eastAsia="Times New Roman" w:cs="Arial"/>
          <w:bCs/>
          <w:color w:val="000000"/>
          <w:szCs w:val="18"/>
          <w:lang w:val="en-US"/>
        </w:rPr>
        <w:t>n</w:t>
      </w:r>
      <w:r w:rsidRPr="00A20DC3">
        <w:rPr>
          <w:rFonts w:eastAsia="Times New Roman" w:cs="Arial"/>
          <w:bCs/>
          <w:color w:val="000000"/>
          <w:szCs w:val="18"/>
          <w:lang w:eastAsia="bg-BG"/>
        </w:rPr>
        <w:t>М) към 5НТ</w:t>
      </w:r>
      <w:r w:rsidRPr="00A20DC3">
        <w:rPr>
          <w:rFonts w:eastAsia="Times New Roman" w:cs="Arial"/>
          <w:bCs/>
          <w:color w:val="000000"/>
          <w:szCs w:val="18"/>
          <w:vertAlign w:val="subscript"/>
          <w:lang w:eastAsia="bg-BG"/>
        </w:rPr>
        <w:t>2А/2С</w:t>
      </w:r>
      <w:r w:rsidRPr="00A20DC3">
        <w:rPr>
          <w:rFonts w:eastAsia="Times New Roman" w:cs="Arial"/>
          <w:bCs/>
          <w:color w:val="000000"/>
          <w:szCs w:val="18"/>
          <w:lang w:eastAsia="bg-BG"/>
        </w:rPr>
        <w:t>-, 5НТ</w:t>
      </w:r>
      <w:r w:rsidRPr="00A20DC3">
        <w:rPr>
          <w:rFonts w:eastAsia="Times New Roman" w:cs="Arial"/>
          <w:bCs/>
          <w:color w:val="000000"/>
          <w:szCs w:val="18"/>
          <w:vertAlign w:val="subscript"/>
          <w:lang w:eastAsia="bg-BG"/>
        </w:rPr>
        <w:t>3</w:t>
      </w:r>
      <w:r w:rsidRPr="00A20DC3">
        <w:rPr>
          <w:rFonts w:eastAsia="Times New Roman" w:cs="Arial"/>
          <w:bCs/>
          <w:color w:val="000000"/>
          <w:szCs w:val="18"/>
          <w:lang w:eastAsia="bg-BG"/>
        </w:rPr>
        <w:t>. и 5НТ</w:t>
      </w:r>
      <w:r w:rsidRPr="00A20DC3">
        <w:rPr>
          <w:rFonts w:eastAsia="Times New Roman" w:cs="Arial"/>
          <w:bCs/>
          <w:color w:val="000000"/>
          <w:szCs w:val="18"/>
          <w:vertAlign w:val="subscript"/>
          <w:lang w:eastAsia="bg-BG"/>
        </w:rPr>
        <w:t>6</w:t>
      </w:r>
      <w:r w:rsidRPr="00A20DC3">
        <w:rPr>
          <w:rFonts w:eastAsia="Times New Roman" w:cs="Arial"/>
          <w:bCs/>
          <w:color w:val="000000"/>
          <w:szCs w:val="18"/>
          <w:lang w:eastAsia="bg-BG"/>
        </w:rPr>
        <w:t xml:space="preserve">- серотонина; </w:t>
      </w:r>
      <w:r w:rsidRPr="00A20DC3">
        <w:rPr>
          <w:rFonts w:eastAsia="Times New Roman" w:cs="Arial"/>
          <w:bCs/>
          <w:color w:val="000000"/>
          <w:szCs w:val="18"/>
          <w:lang w:val="en-US"/>
        </w:rPr>
        <w:t>D</w:t>
      </w:r>
      <w:r w:rsidRPr="00A20DC3">
        <w:rPr>
          <w:rFonts w:eastAsia="Times New Roman" w:cs="Arial"/>
          <w:bCs/>
          <w:color w:val="000000"/>
          <w:szCs w:val="18"/>
          <w:vertAlign w:val="subscript"/>
          <w:lang w:val="ru-RU"/>
        </w:rPr>
        <w:t>1</w:t>
      </w:r>
      <w:r w:rsidRPr="00A20DC3">
        <w:rPr>
          <w:rFonts w:eastAsia="Times New Roman" w:cs="Arial"/>
          <w:bCs/>
          <w:color w:val="000000"/>
          <w:szCs w:val="18"/>
          <w:lang w:val="ru-RU"/>
        </w:rPr>
        <w:t xml:space="preserve">, </w:t>
      </w:r>
      <w:r w:rsidRPr="00A20DC3">
        <w:rPr>
          <w:rFonts w:eastAsia="Times New Roman" w:cs="Arial"/>
          <w:bCs/>
          <w:color w:val="000000"/>
          <w:szCs w:val="18"/>
          <w:lang w:val="en-US"/>
        </w:rPr>
        <w:t>D</w:t>
      </w:r>
      <w:r w:rsidRPr="00A20DC3">
        <w:rPr>
          <w:rFonts w:eastAsia="Times New Roman" w:cs="Arial"/>
          <w:bCs/>
          <w:color w:val="000000"/>
          <w:szCs w:val="18"/>
          <w:vertAlign w:val="subscript"/>
          <w:lang w:val="ru-RU"/>
        </w:rPr>
        <w:t>2</w:t>
      </w:r>
      <w:r w:rsidRPr="00A20DC3">
        <w:rPr>
          <w:rFonts w:eastAsia="Times New Roman" w:cs="Arial"/>
          <w:bCs/>
          <w:color w:val="000000"/>
          <w:szCs w:val="18"/>
          <w:lang w:val="ru-RU"/>
        </w:rPr>
        <w:t xml:space="preserve">, </w:t>
      </w:r>
      <w:r w:rsidRPr="00A20DC3">
        <w:rPr>
          <w:rFonts w:eastAsia="Times New Roman" w:cs="Arial"/>
          <w:bCs/>
          <w:color w:val="000000"/>
          <w:szCs w:val="18"/>
          <w:lang w:val="en-US"/>
        </w:rPr>
        <w:t>D</w:t>
      </w:r>
      <w:r w:rsidRPr="00A20DC3">
        <w:rPr>
          <w:rFonts w:eastAsia="Times New Roman" w:cs="Arial"/>
          <w:bCs/>
          <w:color w:val="000000"/>
          <w:szCs w:val="18"/>
          <w:vertAlign w:val="subscript"/>
          <w:lang w:val="ru-RU"/>
        </w:rPr>
        <w:t>3</w:t>
      </w:r>
      <w:r w:rsidRPr="00A20DC3">
        <w:rPr>
          <w:rFonts w:eastAsia="Times New Roman" w:cs="Arial"/>
          <w:bCs/>
          <w:color w:val="000000"/>
          <w:szCs w:val="18"/>
          <w:lang w:val="ru-RU"/>
        </w:rPr>
        <w:t xml:space="preserve">, </w:t>
      </w:r>
      <w:r w:rsidRPr="00A20DC3">
        <w:rPr>
          <w:rFonts w:eastAsia="Times New Roman" w:cs="Arial"/>
          <w:bCs/>
          <w:color w:val="000000"/>
          <w:szCs w:val="18"/>
          <w:lang w:val="en-US"/>
        </w:rPr>
        <w:t>D</w:t>
      </w:r>
      <w:r w:rsidRPr="00A20DC3">
        <w:rPr>
          <w:rFonts w:eastAsia="Times New Roman" w:cs="Arial"/>
          <w:bCs/>
          <w:color w:val="000000"/>
          <w:szCs w:val="18"/>
          <w:vertAlign w:val="subscript"/>
          <w:lang w:val="ru-RU"/>
        </w:rPr>
        <w:t>4</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 xml:space="preserve">и </w:t>
      </w:r>
      <w:r w:rsidRPr="00A20DC3">
        <w:rPr>
          <w:rFonts w:eastAsia="Times New Roman" w:cs="Arial"/>
          <w:bCs/>
          <w:color w:val="000000"/>
          <w:szCs w:val="18"/>
          <w:lang w:val="en-US"/>
        </w:rPr>
        <w:t>D</w:t>
      </w:r>
      <w:r w:rsidRPr="00A20DC3">
        <w:rPr>
          <w:rFonts w:eastAsia="Times New Roman" w:cs="Arial"/>
          <w:bCs/>
          <w:color w:val="000000"/>
          <w:szCs w:val="18"/>
          <w:vertAlign w:val="subscript"/>
          <w:lang w:val="ru-RU"/>
        </w:rPr>
        <w:t>5</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 xml:space="preserve">допамина; холиергични мускаринови рецептори </w:t>
      </w:r>
      <w:r w:rsidRPr="00A20DC3">
        <w:rPr>
          <w:rFonts w:eastAsia="Times New Roman" w:cs="Arial"/>
          <w:bCs/>
          <w:color w:val="000000"/>
          <w:szCs w:val="18"/>
          <w:lang w:val="en-US"/>
        </w:rPr>
        <w:t>m</w:t>
      </w:r>
      <w:r w:rsidRPr="00A20DC3">
        <w:rPr>
          <w:rFonts w:eastAsia="Times New Roman" w:cs="Arial"/>
          <w:bCs/>
          <w:color w:val="000000"/>
          <w:szCs w:val="18"/>
          <w:vertAlign w:val="subscript"/>
          <w:lang w:val="ru-RU"/>
        </w:rPr>
        <w:t>1</w:t>
      </w:r>
      <w:r w:rsidRPr="00A20DC3">
        <w:rPr>
          <w:rFonts w:eastAsia="Times New Roman" w:cs="Arial"/>
          <w:bCs/>
          <w:color w:val="000000"/>
          <w:szCs w:val="18"/>
          <w:lang w:val="ru-RU"/>
        </w:rPr>
        <w:t>-</w:t>
      </w:r>
      <w:r w:rsidRPr="00A20DC3">
        <w:rPr>
          <w:rFonts w:eastAsia="Times New Roman" w:cs="Arial"/>
          <w:bCs/>
          <w:color w:val="000000"/>
          <w:szCs w:val="18"/>
          <w:lang w:val="en-US"/>
        </w:rPr>
        <w:t>m</w:t>
      </w:r>
      <w:r w:rsidRPr="00A20DC3">
        <w:rPr>
          <w:rFonts w:eastAsia="Times New Roman" w:cs="Arial"/>
          <w:bCs/>
          <w:color w:val="000000"/>
          <w:szCs w:val="18"/>
          <w:vertAlign w:val="subscript"/>
          <w:lang w:val="ru-RU"/>
        </w:rPr>
        <w:t>5</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α</w:t>
      </w:r>
      <w:r w:rsidRPr="00A20DC3">
        <w:rPr>
          <w:rFonts w:eastAsia="Times New Roman" w:cs="Arial"/>
          <w:bCs/>
          <w:color w:val="000000"/>
          <w:szCs w:val="18"/>
          <w:vertAlign w:val="subscript"/>
          <w:lang w:eastAsia="bg-BG"/>
        </w:rPr>
        <w:t>1</w:t>
      </w:r>
      <w:r w:rsidRPr="00A20DC3">
        <w:rPr>
          <w:rFonts w:eastAsia="Times New Roman" w:cs="Arial"/>
          <w:bCs/>
          <w:color w:val="000000"/>
          <w:szCs w:val="18"/>
          <w:lang w:eastAsia="bg-BG"/>
        </w:rPr>
        <w:t xml:space="preserve"> адренергични; и хистамин </w:t>
      </w:r>
      <w:r w:rsidRPr="00A20DC3">
        <w:rPr>
          <w:rFonts w:eastAsia="Times New Roman" w:cs="Arial"/>
          <w:bCs/>
          <w:color w:val="000000"/>
          <w:szCs w:val="18"/>
          <w:lang w:val="en-US"/>
        </w:rPr>
        <w:t>H</w:t>
      </w:r>
      <w:r w:rsidRPr="00A20DC3">
        <w:rPr>
          <w:rFonts w:eastAsia="Times New Roman" w:cs="Arial"/>
          <w:bCs/>
          <w:color w:val="000000"/>
          <w:szCs w:val="18"/>
          <w:vertAlign w:val="subscript"/>
          <w:lang w:val="ru-RU"/>
        </w:rPr>
        <w:t>1</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 xml:space="preserve">рецептори. Проучванията върху животинското поведение с оланзапин показват 5НТ, допаминов и холинергичен антагонизъм в съответствие с профила за рецепторно свързване. Оланзапин показва по-голям афинитет </w:t>
      </w:r>
      <w:r w:rsidRPr="00A20DC3">
        <w:rPr>
          <w:rFonts w:eastAsia="Times New Roman" w:cs="Arial"/>
          <w:bCs/>
          <w:i/>
          <w:iCs/>
          <w:color w:val="000000"/>
          <w:szCs w:val="18"/>
          <w:lang w:val="en-US"/>
        </w:rPr>
        <w:t>in</w:t>
      </w:r>
      <w:r w:rsidRPr="00A20DC3">
        <w:rPr>
          <w:rFonts w:eastAsia="Times New Roman" w:cs="Arial"/>
          <w:bCs/>
          <w:i/>
          <w:iCs/>
          <w:color w:val="000000"/>
          <w:szCs w:val="18"/>
          <w:lang w:val="ru-RU"/>
        </w:rPr>
        <w:t xml:space="preserve"> </w:t>
      </w:r>
      <w:r w:rsidRPr="00A20DC3">
        <w:rPr>
          <w:rFonts w:eastAsia="Times New Roman" w:cs="Arial"/>
          <w:bCs/>
          <w:i/>
          <w:iCs/>
          <w:color w:val="000000"/>
          <w:szCs w:val="18"/>
          <w:lang w:val="en-US"/>
        </w:rPr>
        <w:t>vitro</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за 5НТ</w:t>
      </w:r>
      <w:r w:rsidRPr="00A20DC3">
        <w:rPr>
          <w:rFonts w:eastAsia="Times New Roman" w:cs="Arial"/>
          <w:bCs/>
          <w:color w:val="000000"/>
          <w:szCs w:val="18"/>
          <w:vertAlign w:val="subscript"/>
          <w:lang w:eastAsia="bg-BG"/>
        </w:rPr>
        <w:t>2</w:t>
      </w:r>
      <w:r w:rsidRPr="00A20DC3">
        <w:rPr>
          <w:rFonts w:eastAsia="Times New Roman" w:cs="Arial"/>
          <w:bCs/>
          <w:color w:val="000000"/>
          <w:szCs w:val="18"/>
          <w:lang w:eastAsia="bg-BG"/>
        </w:rPr>
        <w:t xml:space="preserve"> серотонина сравнение с </w:t>
      </w:r>
      <w:r w:rsidRPr="00A20DC3">
        <w:rPr>
          <w:rFonts w:eastAsia="Times New Roman" w:cs="Arial"/>
          <w:bCs/>
          <w:color w:val="000000"/>
          <w:szCs w:val="18"/>
          <w:lang w:val="en-US"/>
        </w:rPr>
        <w:t>D</w:t>
      </w:r>
      <w:r w:rsidRPr="00A20DC3">
        <w:rPr>
          <w:rFonts w:eastAsia="Times New Roman" w:cs="Arial"/>
          <w:bCs/>
          <w:color w:val="000000"/>
          <w:szCs w:val="18"/>
          <w:vertAlign w:val="subscript"/>
          <w:lang w:val="ru-RU"/>
        </w:rPr>
        <w:t>2</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допамина и по-гол яма 5НТ</w:t>
      </w:r>
      <w:r w:rsidRPr="00A20DC3">
        <w:rPr>
          <w:rFonts w:eastAsia="Times New Roman" w:cs="Arial"/>
          <w:bCs/>
          <w:color w:val="000000"/>
          <w:szCs w:val="18"/>
          <w:vertAlign w:val="subscript"/>
          <w:lang w:eastAsia="bg-BG"/>
        </w:rPr>
        <w:t>2</w:t>
      </w:r>
      <w:r w:rsidRPr="00A20DC3">
        <w:rPr>
          <w:rFonts w:eastAsia="Times New Roman" w:cs="Arial"/>
          <w:bCs/>
          <w:color w:val="000000"/>
          <w:szCs w:val="18"/>
          <w:lang w:eastAsia="bg-BG"/>
        </w:rPr>
        <w:t xml:space="preserve"> отколкото </w:t>
      </w:r>
      <w:r w:rsidRPr="00A20DC3">
        <w:rPr>
          <w:rFonts w:eastAsia="Times New Roman" w:cs="Arial"/>
          <w:bCs/>
          <w:color w:val="000000"/>
          <w:szCs w:val="18"/>
          <w:lang w:val="en-US"/>
        </w:rPr>
        <w:t>D</w:t>
      </w:r>
      <w:r w:rsidRPr="00A20DC3">
        <w:rPr>
          <w:rFonts w:eastAsia="Times New Roman" w:cs="Arial"/>
          <w:bCs/>
          <w:color w:val="000000"/>
          <w:szCs w:val="18"/>
          <w:vertAlign w:val="subscript"/>
          <w:lang w:val="ru-RU"/>
        </w:rPr>
        <w:t>2</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 xml:space="preserve">активност при </w:t>
      </w:r>
      <w:r w:rsidRPr="00A20DC3">
        <w:rPr>
          <w:rFonts w:eastAsia="Times New Roman" w:cs="Arial"/>
          <w:bCs/>
          <w:i/>
          <w:iCs/>
          <w:color w:val="000000"/>
          <w:szCs w:val="18"/>
          <w:lang w:val="en-US"/>
        </w:rPr>
        <w:t>in</w:t>
      </w:r>
      <w:r w:rsidRPr="00A20DC3">
        <w:rPr>
          <w:rFonts w:eastAsia="Times New Roman" w:cs="Arial"/>
          <w:bCs/>
          <w:i/>
          <w:iCs/>
          <w:color w:val="000000"/>
          <w:szCs w:val="18"/>
          <w:lang w:val="ru-RU"/>
        </w:rPr>
        <w:t xml:space="preserve"> </w:t>
      </w:r>
      <w:r w:rsidRPr="00A20DC3">
        <w:rPr>
          <w:rFonts w:eastAsia="Times New Roman" w:cs="Arial"/>
          <w:bCs/>
          <w:i/>
          <w:iCs/>
          <w:color w:val="000000"/>
          <w:szCs w:val="18"/>
          <w:lang w:val="en-US"/>
        </w:rPr>
        <w:t>vivo</w:t>
      </w:r>
      <w:r w:rsidRPr="00A20DC3">
        <w:rPr>
          <w:rFonts w:eastAsia="Times New Roman" w:cs="Arial"/>
          <w:bCs/>
          <w:i/>
          <w:iCs/>
          <w:color w:val="000000"/>
          <w:szCs w:val="18"/>
          <w:lang w:val="ru-RU"/>
        </w:rPr>
        <w:t xml:space="preserve"> </w:t>
      </w:r>
      <w:r w:rsidRPr="00A20DC3">
        <w:rPr>
          <w:rFonts w:eastAsia="Times New Roman" w:cs="Arial"/>
          <w:bCs/>
          <w:i/>
          <w:iCs/>
          <w:color w:val="000000"/>
          <w:szCs w:val="18"/>
          <w:lang w:eastAsia="bg-BG"/>
        </w:rPr>
        <w:t xml:space="preserve">модели </w:t>
      </w:r>
      <w:r w:rsidRPr="00A20DC3">
        <w:rPr>
          <w:rFonts w:eastAsia="Times New Roman" w:cs="Arial"/>
          <w:bCs/>
          <w:color w:val="000000"/>
          <w:szCs w:val="18"/>
          <w:lang w:eastAsia="bg-BG"/>
        </w:rPr>
        <w:t>Електрофизиологичните проучвания показаха, че оланзапин селективно намалява импулсите на мезолимбичните (А10) допаминергични неврони, докато оказва малък</w:t>
      </w:r>
      <w:r w:rsidRPr="00A20DC3">
        <w:rPr>
          <w:rFonts w:eastAsia="Times New Roman" w:cs="Arial"/>
          <w:bCs/>
          <w:color w:val="000000"/>
          <w:szCs w:val="18"/>
          <w:lang w:val="ru-RU" w:eastAsia="bg-BG"/>
        </w:rPr>
        <w:t xml:space="preserve"> </w:t>
      </w:r>
      <w:r w:rsidRPr="00A20DC3">
        <w:rPr>
          <w:rFonts w:eastAsia="Times New Roman" w:cs="Arial"/>
          <w:bCs/>
          <w:color w:val="000000"/>
          <w:szCs w:val="18"/>
          <w:lang w:eastAsia="bg-BG"/>
        </w:rPr>
        <w:t>ефекти върху стриаталните (А9) пътища, включени в моторната функция. Оланзапин намалява условния отговор на избягване, представляващ индикативен тест за антипсихотична активност, при дози под тези, предизвикващи каталепсия, като този ефект е показателен за нежелани реакции от страна на двигателния апарат. За разлика от други антипсихотични средства, оланзапин повишава отговора в ”анксиолитичния” тест.</w:t>
      </w:r>
    </w:p>
    <w:p w14:paraId="089CBBE7" w14:textId="77777777" w:rsidR="00A20DC3" w:rsidRPr="00A20DC3" w:rsidRDefault="00A20DC3" w:rsidP="00A20DC3">
      <w:pPr>
        <w:spacing w:line="240" w:lineRule="auto"/>
        <w:rPr>
          <w:rFonts w:eastAsia="Times New Roman" w:cs="Arial"/>
          <w:bCs/>
          <w:color w:val="000000"/>
          <w:szCs w:val="18"/>
          <w:lang w:eastAsia="bg-BG"/>
        </w:rPr>
      </w:pPr>
    </w:p>
    <w:p w14:paraId="35309F24" w14:textId="6FA784C0"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 xml:space="preserve">При еднократна перорална доза (10 </w:t>
      </w:r>
      <w:r w:rsidRPr="00A20DC3">
        <w:rPr>
          <w:rFonts w:eastAsia="Times New Roman" w:cs="Arial"/>
          <w:bCs/>
          <w:color w:val="000000"/>
          <w:szCs w:val="18"/>
          <w:lang w:val="en-US"/>
        </w:rPr>
        <w:t>mg</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в проучване с позитронно-емисионната томография (РЕТ) при здрави доброволци оланзапин предизвиква по-многобройно заемане на 5НТ</w:t>
      </w:r>
      <w:r w:rsidRPr="00A20DC3">
        <w:rPr>
          <w:rFonts w:eastAsia="Times New Roman" w:cs="Arial"/>
          <w:bCs/>
          <w:color w:val="000000"/>
          <w:szCs w:val="18"/>
          <w:vertAlign w:val="subscript"/>
          <w:lang w:eastAsia="bg-BG"/>
        </w:rPr>
        <w:t>2А</w:t>
      </w:r>
      <w:r w:rsidRPr="00A20DC3">
        <w:rPr>
          <w:rFonts w:eastAsia="Times New Roman" w:cs="Arial"/>
          <w:bCs/>
          <w:color w:val="000000"/>
          <w:szCs w:val="18"/>
          <w:lang w:eastAsia="bg-BG"/>
        </w:rPr>
        <w:t xml:space="preserve">- отколкото </w:t>
      </w:r>
      <w:r w:rsidRPr="00A20DC3">
        <w:rPr>
          <w:rFonts w:eastAsia="Times New Roman" w:cs="Arial"/>
          <w:bCs/>
          <w:color w:val="000000"/>
          <w:szCs w:val="18"/>
          <w:lang w:val="en-US"/>
        </w:rPr>
        <w:t>D</w:t>
      </w:r>
      <w:r w:rsidRPr="00A20DC3">
        <w:rPr>
          <w:rFonts w:eastAsia="Times New Roman" w:cs="Arial"/>
          <w:bCs/>
          <w:color w:val="000000"/>
          <w:szCs w:val="18"/>
          <w:vertAlign w:val="subscript"/>
          <w:lang w:val="ru-RU"/>
        </w:rPr>
        <w:t>2</w:t>
      </w:r>
      <w:r w:rsidRPr="00A20DC3">
        <w:rPr>
          <w:rFonts w:eastAsia="Times New Roman" w:cs="Arial"/>
          <w:bCs/>
          <w:color w:val="000000"/>
          <w:szCs w:val="18"/>
          <w:lang w:eastAsia="bg-BG"/>
        </w:rPr>
        <w:t xml:space="preserve">-допаминови рецептори. В допълнение към това, в проучване с еднократна фотонно-емисионна компютърна томография </w:t>
      </w:r>
      <w:r w:rsidRPr="00A20DC3">
        <w:rPr>
          <w:rFonts w:eastAsia="Times New Roman" w:cs="Arial"/>
          <w:bCs/>
          <w:color w:val="000000"/>
          <w:szCs w:val="18"/>
          <w:lang w:val="ru-RU"/>
        </w:rPr>
        <w:t>(</w:t>
      </w:r>
      <w:r w:rsidRPr="00A20DC3">
        <w:rPr>
          <w:rFonts w:eastAsia="Times New Roman" w:cs="Arial"/>
          <w:bCs/>
          <w:color w:val="000000"/>
          <w:szCs w:val="18"/>
          <w:lang w:val="en-US"/>
        </w:rPr>
        <w:t>SPECT</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 xml:space="preserve">при шизофрении пациенти се установи, че пациентите, отговарящи на оланзапин имат по- малко заемане на стриаталните </w:t>
      </w:r>
      <w:r w:rsidRPr="00A20DC3">
        <w:rPr>
          <w:rFonts w:eastAsia="Times New Roman" w:cs="Arial"/>
          <w:bCs/>
          <w:color w:val="000000"/>
          <w:szCs w:val="18"/>
          <w:lang w:val="en-US"/>
        </w:rPr>
        <w:t>D</w:t>
      </w:r>
      <w:r w:rsidRPr="00A20DC3">
        <w:rPr>
          <w:rFonts w:eastAsia="Times New Roman" w:cs="Arial"/>
          <w:bCs/>
          <w:color w:val="000000"/>
          <w:szCs w:val="18"/>
          <w:vertAlign w:val="subscript"/>
          <w:lang w:val="ru-RU"/>
        </w:rPr>
        <w:t>2</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рецептори отколкото други пациенти, отговарящи на някои антипсихотици и рисперидон, като са сравними с пациентите, отговарящи на клозапин.</w:t>
      </w:r>
    </w:p>
    <w:p w14:paraId="7F3B7AB2" w14:textId="77777777" w:rsidR="00A20DC3" w:rsidRPr="00A20DC3" w:rsidRDefault="00A20DC3" w:rsidP="00A20DC3">
      <w:pPr>
        <w:spacing w:line="240" w:lineRule="auto"/>
        <w:rPr>
          <w:rFonts w:eastAsia="Times New Roman" w:cs="Arial"/>
          <w:bCs/>
          <w:color w:val="000000"/>
          <w:szCs w:val="18"/>
          <w:u w:val="single"/>
          <w:lang w:eastAsia="bg-BG"/>
        </w:rPr>
      </w:pPr>
    </w:p>
    <w:p w14:paraId="255607EA" w14:textId="6AA60C87"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u w:val="single"/>
          <w:lang w:eastAsia="bg-BG"/>
        </w:rPr>
        <w:t>Клинична ефикасност и безопасност</w:t>
      </w:r>
    </w:p>
    <w:p w14:paraId="0261527C" w14:textId="77777777" w:rsidR="00A20DC3" w:rsidRPr="00A20DC3" w:rsidRDefault="00A20DC3" w:rsidP="00A20DC3">
      <w:pPr>
        <w:spacing w:line="240" w:lineRule="auto"/>
        <w:rPr>
          <w:rFonts w:eastAsia="Times New Roman" w:cs="Arial"/>
          <w:bCs/>
          <w:color w:val="000000"/>
          <w:szCs w:val="18"/>
          <w:lang w:eastAsia="bg-BG"/>
        </w:rPr>
      </w:pPr>
    </w:p>
    <w:p w14:paraId="707A5BB2" w14:textId="7FE15405"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В две от две проучвания, контролирани с плацебо, и в две от три проучвания, контролирани със сравнителен продукт, при над 2 900 пациенти с шизофрения, проявяващи положителни и отрицателни симптоми, оланзапин е свързан със статистическо значимо подобрение както в отрицателните, така и в положителните симптоми.</w:t>
      </w:r>
    </w:p>
    <w:p w14:paraId="31EFB04B" w14:textId="77777777" w:rsidR="00A20DC3" w:rsidRPr="00A20DC3" w:rsidRDefault="00A20DC3" w:rsidP="00A20DC3">
      <w:pPr>
        <w:spacing w:line="240" w:lineRule="auto"/>
        <w:rPr>
          <w:rFonts w:eastAsia="Times New Roman" w:cs="Arial"/>
          <w:bCs/>
          <w:color w:val="000000"/>
          <w:szCs w:val="18"/>
          <w:lang w:eastAsia="bg-BG"/>
        </w:rPr>
      </w:pPr>
    </w:p>
    <w:p w14:paraId="211CA4A4" w14:textId="27DF05D6"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lastRenderedPageBreak/>
        <w:t xml:space="preserve">В едно международно, двойно-сляпо, сравнително проучване на шизофренията, шизоафективните и свързаните нарушения, което включва 1 481 пациенти с вариращи степени на асоцииран депресивен синдром (изходна средна стойност от 16,6 по скалата за оценка на депресията на </w:t>
      </w:r>
      <w:r w:rsidRPr="00A20DC3">
        <w:rPr>
          <w:rFonts w:eastAsia="Times New Roman" w:cs="Arial"/>
          <w:bCs/>
          <w:color w:val="000000"/>
          <w:szCs w:val="18"/>
          <w:lang w:val="en-US"/>
        </w:rPr>
        <w:t>Montgomery</w:t>
      </w:r>
      <w:r w:rsidRPr="00A20DC3">
        <w:rPr>
          <w:rFonts w:eastAsia="Times New Roman" w:cs="Arial"/>
          <w:bCs/>
          <w:color w:val="000000"/>
          <w:szCs w:val="18"/>
          <w:lang w:val="ru-RU"/>
        </w:rPr>
        <w:t>-</w:t>
      </w:r>
      <w:proofErr w:type="spellStart"/>
      <w:r w:rsidRPr="00A20DC3">
        <w:rPr>
          <w:rFonts w:eastAsia="Times New Roman" w:cs="Arial"/>
          <w:bCs/>
          <w:color w:val="000000"/>
          <w:szCs w:val="18"/>
          <w:lang w:val="en-US"/>
        </w:rPr>
        <w:t>Asberg</w:t>
      </w:r>
      <w:proofErr w:type="spellEnd"/>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 xml:space="preserve">проспективният вторичен анализ на промяната в скалата на настроението от изходно ниво до крайната точка показа статистическо значимо подобрение </w:t>
      </w:r>
      <w:r w:rsidRPr="00A20DC3">
        <w:rPr>
          <w:rFonts w:eastAsia="Times New Roman" w:cs="Arial"/>
          <w:bCs/>
          <w:i/>
          <w:iCs/>
          <w:color w:val="000000"/>
          <w:szCs w:val="18"/>
          <w:lang w:eastAsia="bg-BG"/>
        </w:rPr>
        <w:t>(Р =</w:t>
      </w:r>
      <w:r w:rsidRPr="00A20DC3">
        <w:rPr>
          <w:rFonts w:eastAsia="Times New Roman" w:cs="Arial"/>
          <w:bCs/>
          <w:color w:val="000000"/>
          <w:szCs w:val="18"/>
          <w:lang w:eastAsia="bg-BG"/>
        </w:rPr>
        <w:t xml:space="preserve"> 0,001) в полза на оланзапин (-6,0) спрямо халоперидол (-3,1).</w:t>
      </w:r>
    </w:p>
    <w:p w14:paraId="0058C8CC" w14:textId="77777777" w:rsidR="00A20DC3" w:rsidRPr="00A20DC3" w:rsidRDefault="00A20DC3" w:rsidP="00A20DC3">
      <w:pPr>
        <w:spacing w:line="240" w:lineRule="auto"/>
        <w:rPr>
          <w:rFonts w:eastAsia="Times New Roman" w:cs="Arial"/>
          <w:bCs/>
          <w:color w:val="000000"/>
          <w:szCs w:val="18"/>
          <w:lang w:eastAsia="bg-BG"/>
        </w:rPr>
      </w:pPr>
    </w:p>
    <w:p w14:paraId="62E4ED7C" w14:textId="534B0702"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 xml:space="preserve">При пациенти с манийни или смесени епизоди на биполярно разстройство оланзапин е показал по-висока ефективност спрямо плацебо и валпроат семинатрий (дивалпроекс) в намаляването на манийните симптоми в рамките на 3 седмици. Оланзапин също така е показал сравними резултати за ефективност спрямо халоперидол по отношение пропорцията на пациентите със симптоматична ремисия от мания и депресия на 6-та и 12-та седмица. В проучване със съпътстваща терапия при пациенти, лекувани с литий или валпроат за поне 2 седмици добавянето на оланзапин 10 </w:t>
      </w:r>
      <w:r w:rsidRPr="00A20DC3">
        <w:rPr>
          <w:rFonts w:eastAsia="Times New Roman" w:cs="Arial"/>
          <w:bCs/>
          <w:color w:val="000000"/>
          <w:szCs w:val="18"/>
          <w:lang w:val="en-US"/>
        </w:rPr>
        <w:t>mg</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(едновременна терапия с литий или валпроат) доведе до по-голямо намаление на симптомите на мания в сравнение с монотерапията с литий или валпроат след 6 седмици.</w:t>
      </w:r>
    </w:p>
    <w:p w14:paraId="70033ED3" w14:textId="77777777" w:rsidR="00A20DC3" w:rsidRPr="00A20DC3" w:rsidRDefault="00A20DC3" w:rsidP="00A20DC3">
      <w:pPr>
        <w:spacing w:line="240" w:lineRule="auto"/>
        <w:rPr>
          <w:rFonts w:eastAsia="Times New Roman" w:cs="Arial"/>
          <w:bCs/>
          <w:color w:val="000000"/>
          <w:szCs w:val="18"/>
          <w:lang w:eastAsia="bg-BG"/>
        </w:rPr>
      </w:pPr>
    </w:p>
    <w:p w14:paraId="037799F3" w14:textId="691BF141"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В 12-месечно проучване за предотвратяване на рецидив при пациенти с манийни епизоди, които са постигнали ремисия с оланзапин и впоследствие са рандомизирани за прием на оланзапин или плацебо, оланзапин е показал статистически значимо превъзходство пред плацебо по отношение на първичната крайна цел, а именно биполярен рецидив. Оланзапин също така е показал статистически значимо превъзходство пред плацебо по отношение на предотвратяване на рецидиви на мания или рецидиви на депресия.</w:t>
      </w:r>
    </w:p>
    <w:p w14:paraId="33BB50C9" w14:textId="77777777" w:rsidR="00A20DC3" w:rsidRPr="00A20DC3" w:rsidRDefault="00A20DC3" w:rsidP="00A20DC3">
      <w:pPr>
        <w:rPr>
          <w:rFonts w:eastAsia="Times New Roman" w:cs="Arial"/>
          <w:bCs/>
          <w:color w:val="000000"/>
          <w:szCs w:val="18"/>
          <w:lang w:eastAsia="bg-BG"/>
        </w:rPr>
      </w:pPr>
    </w:p>
    <w:p w14:paraId="77C058B2" w14:textId="77777777" w:rsidR="00A20DC3" w:rsidRPr="00A20DC3" w:rsidRDefault="00A20DC3" w:rsidP="00A20DC3">
      <w:pPr>
        <w:rPr>
          <w:rFonts w:eastAsia="Times New Roman" w:cs="Arial"/>
          <w:sz w:val="32"/>
          <w:szCs w:val="24"/>
        </w:rPr>
      </w:pPr>
      <w:r w:rsidRPr="00A20DC3">
        <w:rPr>
          <w:rFonts w:eastAsia="Times New Roman" w:cs="Arial"/>
          <w:bCs/>
          <w:color w:val="000000"/>
          <w:szCs w:val="18"/>
          <w:lang w:eastAsia="bg-BG"/>
        </w:rPr>
        <w:t>Във второ 12-месечно проучване за профилактика на рецидиви при пациенти с манийни епизоди, които са постигнали ремисия с комбинация от оланзапин и литий и</w:t>
      </w:r>
      <w:r w:rsidRPr="00A20DC3">
        <w:rPr>
          <w:rFonts w:eastAsia="Times New Roman" w:cs="Arial"/>
          <w:bCs/>
          <w:color w:val="000000"/>
          <w:szCs w:val="18"/>
          <w:lang w:val="ru-RU" w:eastAsia="bg-BG"/>
        </w:rPr>
        <w:t xml:space="preserve"> </w:t>
      </w:r>
      <w:r w:rsidRPr="00A20DC3">
        <w:rPr>
          <w:rFonts w:eastAsia="Times New Roman" w:cs="Arial"/>
          <w:bCs/>
          <w:color w:val="000000"/>
          <w:szCs w:val="18"/>
          <w:lang w:eastAsia="bg-BG"/>
        </w:rPr>
        <w:t>впоследствие са рандомизирани за самостоятелен прием на оланзапин или литий, оланзапин е показал статистически значима не по-слаба ефективност спрямо първичната крайна точка, а именно биполярен рецидив (оланзапин 30,0%, литий 38,3%; Р = 0,055).</w:t>
      </w:r>
    </w:p>
    <w:p w14:paraId="428F0414" w14:textId="77777777" w:rsidR="00A20DC3" w:rsidRPr="00A20DC3" w:rsidRDefault="00A20DC3" w:rsidP="00A20DC3">
      <w:pPr>
        <w:spacing w:line="240" w:lineRule="auto"/>
        <w:rPr>
          <w:rFonts w:eastAsia="Times New Roman" w:cs="Arial"/>
          <w:bCs/>
          <w:color w:val="000000"/>
          <w:szCs w:val="18"/>
          <w:lang w:eastAsia="bg-BG"/>
        </w:rPr>
      </w:pPr>
    </w:p>
    <w:p w14:paraId="2917AC70" w14:textId="282C3236"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В едно 18-месечно проучване със съпътстваща терапия при пациенти с манийни или смесени епизоди, стабилизирани с оланзапин плюс стабилизатор на настроението (литий или валпроат), продължителната съпътстваща терапия с оланзапин и литий или валпроат не е била статистически значимо по-ефективна спрямо самостоятелното приложение на литий или валпроат по отношение отлагане на биполярния рецидив, дефиниран според синдромни (диагностични) критерии.</w:t>
      </w:r>
    </w:p>
    <w:p w14:paraId="1EF06EDA" w14:textId="77777777" w:rsidR="00A20DC3" w:rsidRPr="00A20DC3" w:rsidRDefault="00A20DC3" w:rsidP="00A20DC3">
      <w:pPr>
        <w:spacing w:line="240" w:lineRule="auto"/>
        <w:rPr>
          <w:rFonts w:eastAsia="Times New Roman" w:cs="Arial"/>
          <w:bCs/>
          <w:i/>
          <w:iCs/>
          <w:color w:val="000000"/>
          <w:szCs w:val="18"/>
          <w:u w:val="single"/>
          <w:lang w:eastAsia="bg-BG"/>
        </w:rPr>
      </w:pPr>
    </w:p>
    <w:p w14:paraId="0C3EFD43" w14:textId="039C5188" w:rsidR="00A20DC3" w:rsidRPr="00A20DC3" w:rsidRDefault="00A20DC3" w:rsidP="00A20DC3">
      <w:pPr>
        <w:spacing w:line="240" w:lineRule="auto"/>
        <w:rPr>
          <w:rFonts w:eastAsia="Times New Roman" w:cs="Arial"/>
          <w:sz w:val="32"/>
          <w:szCs w:val="24"/>
        </w:rPr>
      </w:pPr>
      <w:r w:rsidRPr="00A20DC3">
        <w:rPr>
          <w:rFonts w:eastAsia="Times New Roman" w:cs="Arial"/>
          <w:bCs/>
          <w:i/>
          <w:iCs/>
          <w:color w:val="000000"/>
          <w:szCs w:val="18"/>
          <w:u w:val="single"/>
          <w:lang w:eastAsia="bg-BG"/>
        </w:rPr>
        <w:t>Педиатрична популаиия</w:t>
      </w:r>
    </w:p>
    <w:p w14:paraId="184F5118" w14:textId="77777777" w:rsidR="00A20DC3" w:rsidRPr="00A20DC3" w:rsidRDefault="00A20DC3" w:rsidP="00A20DC3">
      <w:pPr>
        <w:spacing w:line="240" w:lineRule="auto"/>
        <w:rPr>
          <w:rFonts w:eastAsia="Times New Roman" w:cs="Arial"/>
          <w:bCs/>
          <w:color w:val="000000"/>
          <w:szCs w:val="18"/>
          <w:lang w:eastAsia="bg-BG"/>
        </w:rPr>
      </w:pPr>
    </w:p>
    <w:p w14:paraId="6786AC22" w14:textId="08D96DA0"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Контролираните данни за ефикасност при юноши (възраст между 13 и 17 години) са ограничени до краткосрочни проучвания при шизофрения (6 седмици) и мания, свързана с биполярно разстройство (3 седмици) при по-малко от 200 юноши.</w:t>
      </w:r>
    </w:p>
    <w:p w14:paraId="3486886B" w14:textId="77777777"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 xml:space="preserve">Оланзапин е бил използван в гъвкава дозировка с начална доза 2,5 </w:t>
      </w:r>
      <w:r w:rsidRPr="00A20DC3">
        <w:rPr>
          <w:rFonts w:eastAsia="Times New Roman" w:cs="Arial"/>
          <w:bCs/>
          <w:color w:val="000000"/>
          <w:szCs w:val="18"/>
          <w:lang w:val="en-US"/>
        </w:rPr>
        <w:t>mg</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 xml:space="preserve">и варираща до 20 </w:t>
      </w:r>
      <w:r w:rsidRPr="00A20DC3">
        <w:rPr>
          <w:rFonts w:eastAsia="Times New Roman" w:cs="Arial"/>
          <w:bCs/>
          <w:color w:val="000000"/>
          <w:szCs w:val="18"/>
          <w:lang w:val="en-US"/>
        </w:rPr>
        <w:t>mg</w:t>
      </w:r>
      <w:r w:rsidRPr="00A20DC3">
        <w:rPr>
          <w:rFonts w:eastAsia="Times New Roman" w:cs="Arial"/>
          <w:bCs/>
          <w:color w:val="000000"/>
          <w:szCs w:val="18"/>
          <w:lang w:eastAsia="bg-BG"/>
        </w:rPr>
        <w:t xml:space="preserve">/дневно. По време на лечението с оланзапин юношите са увеличили значимо теглото си в сравнение с възрастните пациенти. Степента на промените в общия холестерол на гладно, </w:t>
      </w:r>
      <w:r w:rsidRPr="00A20DC3">
        <w:rPr>
          <w:rFonts w:eastAsia="Times New Roman" w:cs="Arial"/>
          <w:bCs/>
          <w:color w:val="000000"/>
          <w:szCs w:val="18"/>
          <w:lang w:val="en-US"/>
        </w:rPr>
        <w:t>LDL</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 xml:space="preserve">холестерол, триглицериди и пролактин (вж. точки 4.4 и 4.8) е била по- голяма при юношите в сравнение с възрастните индивиди. Няма контролирани данни по отношение поддържането на ефекта или за дългосрочната безопасност (вж. точки 4.4 и </w:t>
      </w:r>
      <w:r w:rsidRPr="00A20DC3">
        <w:rPr>
          <w:rFonts w:eastAsia="Times New Roman" w:cs="Arial"/>
          <w:bCs/>
          <w:color w:val="000000"/>
          <w:szCs w:val="18"/>
          <w:lang w:eastAsia="bg-BG"/>
        </w:rPr>
        <w:lastRenderedPageBreak/>
        <w:t>4.8). Информацията за дългосрочната безопасност е ограничена главно до отворени, неконтролирани данни.</w:t>
      </w:r>
    </w:p>
    <w:p w14:paraId="4A1F61FC" w14:textId="341703FD" w:rsidR="00A20DC3" w:rsidRPr="00A20DC3" w:rsidRDefault="00A20DC3" w:rsidP="00A20DC3"/>
    <w:p w14:paraId="78DD93AA" w14:textId="4532008D" w:rsidR="00B6672E" w:rsidRDefault="002C50EE" w:rsidP="00936AD0">
      <w:pPr>
        <w:pStyle w:val="Heading2"/>
      </w:pPr>
      <w:r>
        <w:t>5.2. Фармакокинетични свойства</w:t>
      </w:r>
    </w:p>
    <w:p w14:paraId="2A4C02C8" w14:textId="4113792A" w:rsidR="00A20DC3" w:rsidRDefault="00A20DC3" w:rsidP="00A20DC3"/>
    <w:p w14:paraId="1DE81D8E" w14:textId="77777777" w:rsidR="00A20DC3" w:rsidRPr="00A20DC3" w:rsidRDefault="00A20DC3" w:rsidP="00A20DC3">
      <w:pPr>
        <w:pStyle w:val="Heading3"/>
        <w:rPr>
          <w:rFonts w:eastAsia="Times New Roman"/>
          <w:sz w:val="32"/>
          <w:u w:val="single"/>
        </w:rPr>
      </w:pPr>
      <w:r w:rsidRPr="00A20DC3">
        <w:rPr>
          <w:rFonts w:eastAsia="Times New Roman"/>
          <w:u w:val="single"/>
          <w:lang w:eastAsia="bg-BG"/>
        </w:rPr>
        <w:t>Абсорбция</w:t>
      </w:r>
    </w:p>
    <w:p w14:paraId="6CC29824" w14:textId="77777777"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Оланзапин се абсорбира добре след перорално приложение, като достига пикови плазмени концентрации в рамките на 5 до 8 часа. Абсорбцията не се повлиява от храна. Абсолютната перорална бионаличност, в сравнение с интравенозното приложение не е определена.</w:t>
      </w:r>
    </w:p>
    <w:p w14:paraId="40B53BAA" w14:textId="77777777" w:rsidR="00A20DC3" w:rsidRPr="00A20DC3" w:rsidRDefault="00A20DC3" w:rsidP="00A20DC3">
      <w:pPr>
        <w:spacing w:line="240" w:lineRule="auto"/>
        <w:rPr>
          <w:rFonts w:eastAsia="Times New Roman" w:cs="Arial"/>
          <w:bCs/>
          <w:color w:val="000000"/>
          <w:szCs w:val="18"/>
          <w:u w:val="single"/>
          <w:lang w:eastAsia="bg-BG"/>
        </w:rPr>
      </w:pPr>
    </w:p>
    <w:p w14:paraId="005388D4" w14:textId="715E10BE" w:rsidR="00A20DC3" w:rsidRPr="00A20DC3" w:rsidRDefault="00A20DC3" w:rsidP="00A20DC3">
      <w:pPr>
        <w:pStyle w:val="Heading3"/>
        <w:rPr>
          <w:rFonts w:eastAsia="Times New Roman"/>
          <w:sz w:val="32"/>
          <w:u w:val="single"/>
        </w:rPr>
      </w:pPr>
      <w:r w:rsidRPr="00A20DC3">
        <w:rPr>
          <w:rFonts w:eastAsia="Times New Roman"/>
          <w:u w:val="single"/>
          <w:lang w:eastAsia="bg-BG"/>
        </w:rPr>
        <w:t>Разпределение</w:t>
      </w:r>
    </w:p>
    <w:p w14:paraId="47BDBEF2" w14:textId="77777777" w:rsidR="00A20DC3" w:rsidRPr="00A20DC3" w:rsidRDefault="00A20DC3" w:rsidP="00A20DC3">
      <w:pPr>
        <w:spacing w:line="240" w:lineRule="auto"/>
        <w:rPr>
          <w:rFonts w:eastAsia="Times New Roman" w:cs="Arial"/>
          <w:bCs/>
          <w:color w:val="000000"/>
          <w:szCs w:val="18"/>
          <w:lang w:eastAsia="bg-BG"/>
        </w:rPr>
      </w:pPr>
      <w:r w:rsidRPr="00A20DC3">
        <w:rPr>
          <w:rFonts w:eastAsia="Times New Roman" w:cs="Arial"/>
          <w:bCs/>
          <w:color w:val="000000"/>
          <w:szCs w:val="18"/>
          <w:lang w:eastAsia="bg-BG"/>
        </w:rPr>
        <w:t xml:space="preserve">Степента на свързване към протеините на оланзапин е около 93% при концентрация в диапазона от </w:t>
      </w:r>
    </w:p>
    <w:p w14:paraId="1FB4E849" w14:textId="03BEBF4E"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 xml:space="preserve">около 7 до около 1 000 </w:t>
      </w:r>
      <w:r w:rsidRPr="00A20DC3">
        <w:rPr>
          <w:rFonts w:eastAsia="Times New Roman" w:cs="Arial"/>
          <w:bCs/>
          <w:color w:val="000000"/>
          <w:szCs w:val="18"/>
          <w:lang w:val="en-US"/>
        </w:rPr>
        <w:t>ng</w:t>
      </w:r>
      <w:r w:rsidRPr="00A20DC3">
        <w:rPr>
          <w:rFonts w:eastAsia="Times New Roman" w:cs="Arial"/>
          <w:bCs/>
          <w:color w:val="000000"/>
          <w:szCs w:val="18"/>
          <w:lang w:val="ru-RU"/>
        </w:rPr>
        <w:t>/</w:t>
      </w:r>
      <w:r w:rsidRPr="00A20DC3">
        <w:rPr>
          <w:rFonts w:eastAsia="Times New Roman" w:cs="Arial"/>
          <w:bCs/>
          <w:color w:val="000000"/>
          <w:szCs w:val="18"/>
          <w:lang w:val="en-US"/>
        </w:rPr>
        <w:t>ml</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Оланзапин се свърза предимно към албумин и алфа</w:t>
      </w:r>
      <w:r w:rsidRPr="00A20DC3">
        <w:rPr>
          <w:rFonts w:eastAsia="Times New Roman" w:cs="Arial"/>
          <w:bCs/>
          <w:color w:val="000000"/>
          <w:szCs w:val="18"/>
          <w:vertAlign w:val="subscript"/>
          <w:lang w:eastAsia="bg-BG"/>
        </w:rPr>
        <w:t>1</w:t>
      </w:r>
      <w:r w:rsidRPr="00A20DC3">
        <w:rPr>
          <w:rFonts w:eastAsia="Times New Roman" w:cs="Arial"/>
          <w:bCs/>
          <w:color w:val="000000"/>
          <w:szCs w:val="18"/>
          <w:lang w:eastAsia="bg-BG"/>
        </w:rPr>
        <w:t>-кисел гликопротеин.</w:t>
      </w:r>
    </w:p>
    <w:p w14:paraId="6FEBC7AA" w14:textId="77777777" w:rsidR="00A20DC3" w:rsidRPr="00A20DC3" w:rsidRDefault="00A20DC3" w:rsidP="00A20DC3">
      <w:pPr>
        <w:spacing w:line="240" w:lineRule="auto"/>
        <w:rPr>
          <w:rFonts w:eastAsia="Times New Roman" w:cs="Arial"/>
          <w:bCs/>
          <w:color w:val="000000"/>
          <w:szCs w:val="18"/>
          <w:u w:val="single"/>
          <w:lang w:eastAsia="bg-BG"/>
        </w:rPr>
      </w:pPr>
    </w:p>
    <w:p w14:paraId="7A4005FE" w14:textId="555318D0" w:rsidR="00A20DC3" w:rsidRPr="00A20DC3" w:rsidRDefault="00A20DC3" w:rsidP="00A20DC3">
      <w:pPr>
        <w:pStyle w:val="Heading3"/>
        <w:rPr>
          <w:rFonts w:eastAsia="Times New Roman"/>
          <w:sz w:val="32"/>
          <w:u w:val="single"/>
        </w:rPr>
      </w:pPr>
      <w:r w:rsidRPr="00A20DC3">
        <w:rPr>
          <w:rFonts w:eastAsia="Times New Roman"/>
          <w:u w:val="single"/>
          <w:lang w:eastAsia="bg-BG"/>
        </w:rPr>
        <w:t>Биотрансформация</w:t>
      </w:r>
    </w:p>
    <w:p w14:paraId="0532E8D3" w14:textId="77777777"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Оланзапин се метаболизира в черния дроб посредством конюгация и окисление. Главният циркулиращ метаболит е 10</w:t>
      </w:r>
      <w:r w:rsidRPr="00A20DC3">
        <w:rPr>
          <w:rFonts w:eastAsia="Times New Roman" w:cs="Arial"/>
          <w:bCs/>
          <w:color w:val="000000"/>
          <w:szCs w:val="18"/>
          <w:lang w:val="ru-RU"/>
        </w:rPr>
        <w:t>-</w:t>
      </w:r>
      <w:r w:rsidRPr="00A20DC3">
        <w:rPr>
          <w:rFonts w:eastAsia="Times New Roman" w:cs="Arial"/>
          <w:bCs/>
          <w:color w:val="000000"/>
          <w:szCs w:val="18"/>
          <w:lang w:val="en-US"/>
        </w:rPr>
        <w:t>N</w:t>
      </w:r>
      <w:r w:rsidRPr="00A20DC3">
        <w:rPr>
          <w:rFonts w:eastAsia="Times New Roman" w:cs="Arial"/>
          <w:bCs/>
          <w:color w:val="000000"/>
          <w:szCs w:val="18"/>
          <w:lang w:eastAsia="bg-BG"/>
        </w:rPr>
        <w:t xml:space="preserve">-глюкуронид, който не преминава кръвно- мозъчната бариера. Цитохромите </w:t>
      </w:r>
      <w:r w:rsidRPr="00A20DC3">
        <w:rPr>
          <w:rFonts w:eastAsia="Times New Roman" w:cs="Arial"/>
          <w:bCs/>
          <w:color w:val="000000"/>
          <w:szCs w:val="18"/>
          <w:lang w:val="en-US"/>
        </w:rPr>
        <w:t>P</w:t>
      </w:r>
      <w:r w:rsidRPr="00A20DC3">
        <w:rPr>
          <w:rFonts w:eastAsia="Times New Roman" w:cs="Arial"/>
          <w:bCs/>
          <w:color w:val="000000"/>
          <w:szCs w:val="18"/>
          <w:lang w:val="ru-RU"/>
        </w:rPr>
        <w:t>450-</w:t>
      </w:r>
      <w:r w:rsidRPr="00A20DC3">
        <w:rPr>
          <w:rFonts w:eastAsia="Times New Roman" w:cs="Arial"/>
          <w:bCs/>
          <w:color w:val="000000"/>
          <w:szCs w:val="18"/>
          <w:lang w:val="en-US"/>
        </w:rPr>
        <w:t>CYP</w:t>
      </w:r>
      <w:r w:rsidRPr="00A20DC3">
        <w:rPr>
          <w:rFonts w:eastAsia="Times New Roman" w:cs="Arial"/>
          <w:bCs/>
          <w:color w:val="000000"/>
          <w:szCs w:val="18"/>
          <w:lang w:val="ru-RU"/>
        </w:rPr>
        <w:t>1</w:t>
      </w:r>
      <w:r w:rsidRPr="00A20DC3">
        <w:rPr>
          <w:rFonts w:eastAsia="Times New Roman" w:cs="Arial"/>
          <w:bCs/>
          <w:color w:val="000000"/>
          <w:szCs w:val="18"/>
          <w:lang w:eastAsia="bg-BG"/>
        </w:rPr>
        <w:t xml:space="preserve">А2 и </w:t>
      </w:r>
      <w:r w:rsidRPr="00A20DC3">
        <w:rPr>
          <w:rFonts w:eastAsia="Times New Roman" w:cs="Arial"/>
          <w:bCs/>
          <w:color w:val="000000"/>
          <w:szCs w:val="18"/>
          <w:lang w:val="en-US"/>
        </w:rPr>
        <w:t>P</w:t>
      </w:r>
      <w:r w:rsidRPr="00A20DC3">
        <w:rPr>
          <w:rFonts w:eastAsia="Times New Roman" w:cs="Arial"/>
          <w:bCs/>
          <w:color w:val="000000"/>
          <w:szCs w:val="18"/>
          <w:lang w:val="ru-RU"/>
        </w:rPr>
        <w:t>450-</w:t>
      </w:r>
      <w:r w:rsidRPr="00A20DC3">
        <w:rPr>
          <w:rFonts w:eastAsia="Times New Roman" w:cs="Arial"/>
          <w:bCs/>
          <w:color w:val="000000"/>
          <w:szCs w:val="18"/>
          <w:lang w:val="en-US"/>
        </w:rPr>
        <w:t>CYP</w:t>
      </w:r>
      <w:r w:rsidRPr="00A20DC3">
        <w:rPr>
          <w:rFonts w:eastAsia="Times New Roman" w:cs="Arial"/>
          <w:bCs/>
          <w:color w:val="000000"/>
          <w:szCs w:val="18"/>
          <w:lang w:val="ru-RU"/>
        </w:rPr>
        <w:t>2</w:t>
      </w:r>
      <w:r w:rsidRPr="00A20DC3">
        <w:rPr>
          <w:rFonts w:eastAsia="Times New Roman" w:cs="Arial"/>
          <w:bCs/>
          <w:color w:val="000000"/>
          <w:szCs w:val="18"/>
          <w:lang w:val="en-US"/>
        </w:rPr>
        <w:t>D</w:t>
      </w:r>
      <w:r w:rsidRPr="00A20DC3">
        <w:rPr>
          <w:rFonts w:eastAsia="Times New Roman" w:cs="Arial"/>
          <w:bCs/>
          <w:color w:val="000000"/>
          <w:szCs w:val="18"/>
          <w:lang w:val="ru-RU"/>
        </w:rPr>
        <w:t xml:space="preserve">6 </w:t>
      </w:r>
      <w:r w:rsidRPr="00A20DC3">
        <w:rPr>
          <w:rFonts w:eastAsia="Times New Roman" w:cs="Arial"/>
          <w:bCs/>
          <w:color w:val="000000"/>
          <w:szCs w:val="18"/>
          <w:lang w:eastAsia="bg-BG"/>
        </w:rPr>
        <w:t xml:space="preserve">спомагат за образуването на </w:t>
      </w:r>
      <w:r w:rsidRPr="00A20DC3">
        <w:rPr>
          <w:rFonts w:eastAsia="Times New Roman" w:cs="Arial"/>
          <w:bCs/>
          <w:color w:val="000000"/>
          <w:szCs w:val="18"/>
          <w:lang w:val="en-US"/>
        </w:rPr>
        <w:t>N</w:t>
      </w:r>
      <w:r w:rsidRPr="00A20DC3">
        <w:rPr>
          <w:rFonts w:eastAsia="Times New Roman" w:cs="Arial"/>
          <w:bCs/>
          <w:color w:val="000000"/>
          <w:szCs w:val="18"/>
          <w:lang w:eastAsia="bg-BG"/>
        </w:rPr>
        <w:t xml:space="preserve">-дезметил и 2-хидроксиметил метаболиги; и двата показват значимо по-ниска фармакологична активност </w:t>
      </w:r>
      <w:r w:rsidRPr="00A20DC3">
        <w:rPr>
          <w:rFonts w:eastAsia="Times New Roman" w:cs="Arial"/>
          <w:bCs/>
          <w:color w:val="000000"/>
          <w:szCs w:val="18"/>
          <w:lang w:val="en-US"/>
        </w:rPr>
        <w:t>in</w:t>
      </w:r>
      <w:r w:rsidRPr="00A20DC3">
        <w:rPr>
          <w:rFonts w:eastAsia="Times New Roman" w:cs="Arial"/>
          <w:bCs/>
          <w:color w:val="000000"/>
          <w:szCs w:val="18"/>
          <w:lang w:eastAsia="bg-BG"/>
        </w:rPr>
        <w:t xml:space="preserve"> </w:t>
      </w:r>
      <w:r w:rsidRPr="00A20DC3">
        <w:rPr>
          <w:rFonts w:eastAsia="Times New Roman" w:cs="Arial"/>
          <w:bCs/>
          <w:i/>
          <w:iCs/>
          <w:color w:val="000000"/>
          <w:szCs w:val="18"/>
          <w:lang w:val="en-US"/>
        </w:rPr>
        <w:t>vivo</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в сравнение с оланзапин в проучвания с животни. Преобладаващата фармакологична активност е от изходната молекула оланзапин.</w:t>
      </w:r>
    </w:p>
    <w:p w14:paraId="1748F8D8" w14:textId="77777777" w:rsidR="00A20DC3" w:rsidRPr="00A20DC3" w:rsidRDefault="00A20DC3" w:rsidP="00A20DC3">
      <w:pPr>
        <w:spacing w:line="240" w:lineRule="auto"/>
        <w:rPr>
          <w:rFonts w:eastAsia="Times New Roman" w:cs="Arial"/>
          <w:bCs/>
          <w:color w:val="000000"/>
          <w:szCs w:val="18"/>
          <w:u w:val="single"/>
          <w:lang w:eastAsia="bg-BG"/>
        </w:rPr>
      </w:pPr>
    </w:p>
    <w:p w14:paraId="0D1A8A66" w14:textId="4357B85F" w:rsidR="00A20DC3" w:rsidRPr="00A20DC3" w:rsidRDefault="00A20DC3" w:rsidP="00A20DC3">
      <w:pPr>
        <w:pStyle w:val="Heading3"/>
        <w:rPr>
          <w:rFonts w:eastAsia="Times New Roman"/>
          <w:sz w:val="32"/>
          <w:u w:val="single"/>
        </w:rPr>
      </w:pPr>
      <w:r w:rsidRPr="00A20DC3">
        <w:rPr>
          <w:rFonts w:eastAsia="Times New Roman"/>
          <w:u w:val="single"/>
          <w:lang w:eastAsia="bg-BG"/>
        </w:rPr>
        <w:t>Елиминиране</w:t>
      </w:r>
    </w:p>
    <w:p w14:paraId="231C172D" w14:textId="657F3242" w:rsidR="00A20DC3" w:rsidRPr="00A20DC3" w:rsidRDefault="00A20DC3" w:rsidP="00A20DC3">
      <w:pPr>
        <w:rPr>
          <w:rFonts w:eastAsia="Times New Roman" w:cs="Arial"/>
          <w:bCs/>
          <w:color w:val="000000"/>
          <w:szCs w:val="18"/>
          <w:lang w:eastAsia="bg-BG"/>
        </w:rPr>
      </w:pPr>
      <w:r w:rsidRPr="00A20DC3">
        <w:rPr>
          <w:rFonts w:eastAsia="Times New Roman" w:cs="Arial"/>
          <w:bCs/>
          <w:color w:val="000000"/>
          <w:szCs w:val="18"/>
          <w:lang w:eastAsia="bg-BG"/>
        </w:rPr>
        <w:t>След перорално приложение средният терминален полуживот на елиминиране на оланзапин при здрави индивиди варира в зависимост от възрастта и пола.</w:t>
      </w:r>
    </w:p>
    <w:p w14:paraId="5BB80C3B" w14:textId="3EBA0FBF" w:rsidR="00A20DC3" w:rsidRPr="00A20DC3" w:rsidRDefault="00A20DC3" w:rsidP="00A20DC3">
      <w:pPr>
        <w:rPr>
          <w:rFonts w:eastAsia="Times New Roman" w:cs="Arial"/>
          <w:bCs/>
          <w:color w:val="000000"/>
          <w:szCs w:val="18"/>
          <w:lang w:eastAsia="bg-BG"/>
        </w:rPr>
      </w:pPr>
    </w:p>
    <w:p w14:paraId="2C0AD448" w14:textId="77777777"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 xml:space="preserve">При здрави индивиди в старческа възраст (над 65 години) спрямо индивиди в ненапреднала възраст средният елиминационен полуживот е удължен (51,8 спрямо 33,8 часа), а клирънсът е намален (17,5 спрямо 18,21/час). Фармакокннетичната вариабилност, наблюдавана при индивиди в старческа възраст е в рамките на тази за индивидите в ненапреднала възраст. При 44 пациенти с шизофрения на възраст над 65 години приложението в дози от 5 до 20 </w:t>
      </w:r>
      <w:r w:rsidRPr="00A20DC3">
        <w:rPr>
          <w:rFonts w:eastAsia="Times New Roman" w:cs="Arial"/>
          <w:bCs/>
          <w:color w:val="000000"/>
          <w:szCs w:val="18"/>
          <w:lang w:val="en-US"/>
        </w:rPr>
        <w:t>mg</w:t>
      </w:r>
      <w:r w:rsidRPr="00A20DC3">
        <w:rPr>
          <w:rFonts w:eastAsia="Times New Roman" w:cs="Arial"/>
          <w:bCs/>
          <w:color w:val="000000"/>
          <w:szCs w:val="18"/>
          <w:lang w:eastAsia="bg-BG"/>
        </w:rPr>
        <w:t>/ден не е свързано с някакъв изявен профил на нежелани реакции.</w:t>
      </w:r>
    </w:p>
    <w:p w14:paraId="4CAF85AB" w14:textId="77777777" w:rsidR="00A20DC3" w:rsidRPr="00A20DC3" w:rsidRDefault="00A20DC3" w:rsidP="00A20DC3">
      <w:pPr>
        <w:spacing w:line="240" w:lineRule="auto"/>
        <w:rPr>
          <w:rFonts w:eastAsia="Times New Roman" w:cs="Arial"/>
          <w:bCs/>
          <w:color w:val="000000"/>
          <w:szCs w:val="18"/>
          <w:lang w:eastAsia="bg-BG"/>
        </w:rPr>
      </w:pPr>
    </w:p>
    <w:p w14:paraId="367E878D" w14:textId="7D5BFAC0"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 xml:space="preserve">При жени спрямо мъже средният елиминационен полуживот е удължен в известна степен (36,7 спрямо 32,3 часа),а клирънсът е намален (18,9 спрямо 27,31/час). Но оланзапин (5-20 </w:t>
      </w:r>
      <w:r w:rsidRPr="00A20DC3">
        <w:rPr>
          <w:rFonts w:eastAsia="Times New Roman" w:cs="Arial"/>
          <w:bCs/>
          <w:color w:val="000000"/>
          <w:szCs w:val="18"/>
          <w:lang w:val="en-US"/>
        </w:rPr>
        <w:t>mg</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показва сравним профил на безопасност при пациентите от женски пол (</w:t>
      </w:r>
      <w:r w:rsidRPr="00A20DC3">
        <w:rPr>
          <w:rFonts w:eastAsia="Times New Roman" w:cs="Arial"/>
          <w:bCs/>
          <w:color w:val="000000"/>
          <w:szCs w:val="18"/>
          <w:lang w:val="en-US"/>
        </w:rPr>
        <w:t>n</w:t>
      </w:r>
      <w:r w:rsidRPr="00A20DC3">
        <w:rPr>
          <w:rFonts w:eastAsia="Times New Roman" w:cs="Arial"/>
          <w:bCs/>
          <w:color w:val="000000"/>
          <w:szCs w:val="18"/>
          <w:lang w:eastAsia="bg-BG"/>
        </w:rPr>
        <w:t>=467) както при пациентите от мъжки пол (</w:t>
      </w:r>
      <w:r w:rsidRPr="00A20DC3">
        <w:rPr>
          <w:rFonts w:eastAsia="Times New Roman" w:cs="Arial"/>
          <w:bCs/>
          <w:color w:val="000000"/>
          <w:szCs w:val="18"/>
          <w:lang w:val="en-US"/>
        </w:rPr>
        <w:t>n</w:t>
      </w:r>
      <w:r w:rsidRPr="00A20DC3">
        <w:rPr>
          <w:rFonts w:eastAsia="Times New Roman" w:cs="Arial"/>
          <w:bCs/>
          <w:color w:val="000000"/>
          <w:szCs w:val="18"/>
          <w:lang w:eastAsia="bg-BG"/>
        </w:rPr>
        <w:t>=869).</w:t>
      </w:r>
    </w:p>
    <w:p w14:paraId="36D3F200" w14:textId="77777777" w:rsidR="00A20DC3" w:rsidRPr="00A20DC3" w:rsidRDefault="00A20DC3" w:rsidP="00A20DC3">
      <w:pPr>
        <w:spacing w:line="240" w:lineRule="auto"/>
        <w:rPr>
          <w:rFonts w:eastAsia="Times New Roman" w:cs="Arial"/>
          <w:bCs/>
          <w:i/>
          <w:iCs/>
          <w:color w:val="000000"/>
          <w:szCs w:val="18"/>
          <w:lang w:eastAsia="bg-BG"/>
        </w:rPr>
      </w:pPr>
    </w:p>
    <w:p w14:paraId="2F230B4F" w14:textId="04A7DCF2" w:rsidR="00A20DC3" w:rsidRPr="00A20DC3" w:rsidRDefault="00A20DC3" w:rsidP="00A20DC3">
      <w:pPr>
        <w:spacing w:line="240" w:lineRule="auto"/>
        <w:rPr>
          <w:rFonts w:eastAsia="Times New Roman" w:cs="Arial"/>
          <w:sz w:val="32"/>
          <w:szCs w:val="24"/>
        </w:rPr>
      </w:pPr>
      <w:r w:rsidRPr="00A20DC3">
        <w:rPr>
          <w:rFonts w:eastAsia="Times New Roman" w:cs="Arial"/>
          <w:bCs/>
          <w:i/>
          <w:iCs/>
          <w:color w:val="000000"/>
          <w:szCs w:val="18"/>
          <w:lang w:eastAsia="bg-BG"/>
        </w:rPr>
        <w:t>Бъбречно увреждане</w:t>
      </w:r>
    </w:p>
    <w:p w14:paraId="6E759C6E" w14:textId="77777777"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 xml:space="preserve">При пациенти бъбречни нарушения (клирънс на креатинина &lt;10 </w:t>
      </w:r>
      <w:r w:rsidRPr="00A20DC3">
        <w:rPr>
          <w:rFonts w:eastAsia="Times New Roman" w:cs="Arial"/>
          <w:bCs/>
          <w:color w:val="000000"/>
          <w:szCs w:val="18"/>
          <w:lang w:val="en-US"/>
        </w:rPr>
        <w:t>ml</w:t>
      </w:r>
      <w:r w:rsidRPr="00A20DC3">
        <w:rPr>
          <w:rFonts w:eastAsia="Times New Roman" w:cs="Arial"/>
          <w:bCs/>
          <w:color w:val="000000"/>
          <w:szCs w:val="18"/>
          <w:lang w:val="ru-RU"/>
        </w:rPr>
        <w:t>/</w:t>
      </w:r>
      <w:r w:rsidRPr="00A20DC3">
        <w:rPr>
          <w:rFonts w:eastAsia="Times New Roman" w:cs="Arial"/>
          <w:bCs/>
          <w:color w:val="000000"/>
          <w:szCs w:val="18"/>
          <w:lang w:val="en-US"/>
        </w:rPr>
        <w:t>min</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спрямо здрави индивиди не е имало значима разлика в средния елиминационен полуживот (37,7 спрямо 32,4 часа) или клирънс (21,2 спрямо 25,01/час). Проучване върху баланса на масата показа, че около 57% от радиомаркирания оланзапин се установява в урината, предимно под формата на метаболити.</w:t>
      </w:r>
    </w:p>
    <w:p w14:paraId="6C519311" w14:textId="77777777" w:rsidR="00A20DC3" w:rsidRPr="00A20DC3" w:rsidRDefault="00A20DC3" w:rsidP="00A20DC3">
      <w:pPr>
        <w:spacing w:line="240" w:lineRule="auto"/>
        <w:rPr>
          <w:rFonts w:eastAsia="Times New Roman" w:cs="Arial"/>
          <w:bCs/>
          <w:i/>
          <w:iCs/>
          <w:color w:val="000000"/>
          <w:szCs w:val="18"/>
          <w:lang w:eastAsia="bg-BG"/>
        </w:rPr>
      </w:pPr>
    </w:p>
    <w:p w14:paraId="30FF13C9" w14:textId="7BF7CBC7" w:rsidR="00A20DC3" w:rsidRPr="00A20DC3" w:rsidRDefault="00A20DC3" w:rsidP="00A20DC3">
      <w:pPr>
        <w:spacing w:line="240" w:lineRule="auto"/>
        <w:rPr>
          <w:rFonts w:eastAsia="Times New Roman" w:cs="Arial"/>
          <w:sz w:val="32"/>
          <w:szCs w:val="24"/>
        </w:rPr>
      </w:pPr>
      <w:r w:rsidRPr="00A20DC3">
        <w:rPr>
          <w:rFonts w:eastAsia="Times New Roman" w:cs="Arial"/>
          <w:bCs/>
          <w:i/>
          <w:iCs/>
          <w:color w:val="000000"/>
          <w:szCs w:val="18"/>
          <w:lang w:eastAsia="bg-BG"/>
        </w:rPr>
        <w:t>Чернодробно увреждане</w:t>
      </w:r>
    </w:p>
    <w:p w14:paraId="44A6C82E" w14:textId="77777777"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Малко проучване за влиянието на нарушената функция на черния дроб при 6 пациенти с клинично значима цироза (клас А (</w:t>
      </w:r>
      <w:r w:rsidRPr="00A20DC3">
        <w:rPr>
          <w:rFonts w:eastAsia="Times New Roman" w:cs="Arial"/>
          <w:bCs/>
          <w:color w:val="000000"/>
          <w:szCs w:val="18"/>
          <w:lang w:val="en-US"/>
        </w:rPr>
        <w:t>n</w:t>
      </w:r>
      <w:r w:rsidRPr="00A20DC3">
        <w:rPr>
          <w:rFonts w:eastAsia="Times New Roman" w:cs="Arial"/>
          <w:bCs/>
          <w:color w:val="000000"/>
          <w:szCs w:val="18"/>
          <w:lang w:eastAsia="bg-BG"/>
        </w:rPr>
        <w:t xml:space="preserve">=5) и клас В </w:t>
      </w:r>
      <w:r w:rsidRPr="00A20DC3">
        <w:rPr>
          <w:rFonts w:eastAsia="Times New Roman" w:cs="Arial"/>
          <w:bCs/>
          <w:color w:val="000000"/>
          <w:szCs w:val="18"/>
          <w:lang w:val="ru-RU"/>
        </w:rPr>
        <w:t>(</w:t>
      </w:r>
      <w:r w:rsidRPr="00A20DC3">
        <w:rPr>
          <w:rFonts w:eastAsia="Times New Roman" w:cs="Arial"/>
          <w:bCs/>
          <w:color w:val="000000"/>
          <w:szCs w:val="18"/>
          <w:lang w:val="en-US"/>
        </w:rPr>
        <w:t>n</w:t>
      </w:r>
      <w:r w:rsidRPr="00A20DC3">
        <w:rPr>
          <w:rFonts w:eastAsia="Times New Roman" w:cs="Arial"/>
          <w:bCs/>
          <w:color w:val="000000"/>
          <w:szCs w:val="18"/>
          <w:lang w:val="ru-RU"/>
        </w:rPr>
        <w:t>=</w:t>
      </w:r>
      <w:r w:rsidRPr="00A20DC3">
        <w:rPr>
          <w:rFonts w:eastAsia="Times New Roman" w:cs="Arial"/>
          <w:bCs/>
          <w:color w:val="000000"/>
          <w:szCs w:val="18"/>
          <w:lang w:val="en-US"/>
        </w:rPr>
        <w:t>l</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 xml:space="preserve">по </w:t>
      </w:r>
      <w:r w:rsidRPr="00A20DC3">
        <w:rPr>
          <w:rFonts w:eastAsia="Times New Roman" w:cs="Arial"/>
          <w:bCs/>
          <w:color w:val="000000"/>
          <w:szCs w:val="18"/>
          <w:lang w:val="en-US"/>
        </w:rPr>
        <w:t>Child</w:t>
      </w:r>
      <w:r w:rsidRPr="00A20DC3">
        <w:rPr>
          <w:rFonts w:eastAsia="Times New Roman" w:cs="Arial"/>
          <w:bCs/>
          <w:color w:val="000000"/>
          <w:szCs w:val="18"/>
          <w:lang w:val="ru-RU"/>
        </w:rPr>
        <w:t xml:space="preserve"> </w:t>
      </w:r>
      <w:r w:rsidRPr="00A20DC3">
        <w:rPr>
          <w:rFonts w:eastAsia="Times New Roman" w:cs="Arial"/>
          <w:bCs/>
          <w:color w:val="000000"/>
          <w:szCs w:val="18"/>
          <w:lang w:val="en-US"/>
        </w:rPr>
        <w:t>Pugh</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 xml:space="preserve">установява слаб ефект върху фармакокинетиката на оланзапин, приложен перорално (2,5-7,5 </w:t>
      </w:r>
      <w:r w:rsidRPr="00A20DC3">
        <w:rPr>
          <w:rFonts w:eastAsia="Times New Roman" w:cs="Arial"/>
          <w:bCs/>
          <w:color w:val="000000"/>
          <w:szCs w:val="18"/>
          <w:lang w:val="en-US"/>
        </w:rPr>
        <w:t>mg</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единична доза): при пациентите с умерена до тежка чернодробна дисфункция е леко завишен системенният клирънс и е по-кратък елиминационният полуживот в сравнение с пациентите без чернодробна дисфункция (</w:t>
      </w:r>
      <w:r w:rsidRPr="00A20DC3">
        <w:rPr>
          <w:rFonts w:eastAsia="Times New Roman" w:cs="Arial"/>
          <w:bCs/>
          <w:color w:val="000000"/>
          <w:szCs w:val="18"/>
          <w:lang w:val="en-US"/>
        </w:rPr>
        <w:t>n</w:t>
      </w:r>
      <w:r w:rsidRPr="00A20DC3">
        <w:rPr>
          <w:rFonts w:eastAsia="Times New Roman" w:cs="Arial"/>
          <w:bCs/>
          <w:color w:val="000000"/>
          <w:szCs w:val="18"/>
          <w:lang w:eastAsia="bg-BG"/>
        </w:rPr>
        <w:t>=3). По голям е броят на пациентите, които са пушачи с цироза (4/6; 67 %), от този на на пациенти без чернодробна дисфункция (0/3; 0 %).</w:t>
      </w:r>
    </w:p>
    <w:p w14:paraId="2ED23C5E" w14:textId="77777777" w:rsidR="00A20DC3" w:rsidRPr="00A20DC3" w:rsidRDefault="00A20DC3" w:rsidP="00A20DC3">
      <w:pPr>
        <w:spacing w:line="240" w:lineRule="auto"/>
        <w:rPr>
          <w:rFonts w:eastAsia="Times New Roman" w:cs="Arial"/>
          <w:bCs/>
          <w:i/>
          <w:iCs/>
          <w:color w:val="000000"/>
          <w:szCs w:val="18"/>
          <w:lang w:eastAsia="bg-BG"/>
        </w:rPr>
      </w:pPr>
    </w:p>
    <w:p w14:paraId="4D5A7576" w14:textId="1083E419" w:rsidR="00A20DC3" w:rsidRPr="00A20DC3" w:rsidRDefault="00A20DC3" w:rsidP="00A20DC3">
      <w:pPr>
        <w:spacing w:line="240" w:lineRule="auto"/>
        <w:rPr>
          <w:rFonts w:eastAsia="Times New Roman" w:cs="Arial"/>
          <w:sz w:val="32"/>
          <w:szCs w:val="24"/>
        </w:rPr>
      </w:pPr>
      <w:r w:rsidRPr="00A20DC3">
        <w:rPr>
          <w:rFonts w:eastAsia="Times New Roman" w:cs="Arial"/>
          <w:bCs/>
          <w:i/>
          <w:iCs/>
          <w:color w:val="000000"/>
          <w:szCs w:val="18"/>
          <w:lang w:eastAsia="bg-BG"/>
        </w:rPr>
        <w:t>Пушене</w:t>
      </w:r>
    </w:p>
    <w:p w14:paraId="22590729" w14:textId="77777777"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При непушачи спрямо пушачи (мъже и жени) средният елиминационен полуживот е удължен (38,6 спрямо 30,4 часа), а клирънсът е намален (18,6 спрямо 27,71/час).</w:t>
      </w:r>
    </w:p>
    <w:p w14:paraId="314E4506" w14:textId="77777777" w:rsidR="00A20DC3" w:rsidRPr="00A20DC3" w:rsidRDefault="00A20DC3" w:rsidP="00A20DC3">
      <w:pPr>
        <w:spacing w:line="240" w:lineRule="auto"/>
        <w:rPr>
          <w:rFonts w:eastAsia="Times New Roman" w:cs="Arial"/>
          <w:bCs/>
          <w:color w:val="000000"/>
          <w:szCs w:val="18"/>
          <w:lang w:eastAsia="bg-BG"/>
        </w:rPr>
      </w:pPr>
    </w:p>
    <w:p w14:paraId="4C747AD3" w14:textId="5262BF35"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Плазменият клирънс на оланзапин е по-нисък при индивиди в старческа възраст спрямо млади индивиди, при жени спрямо мъже и при непушачи спрямо пушачи. Но степента на влияние на възрастта, пола или тютюнопушенето върху клирънса на оланзапин и неговия полуживот е малка в сравнение с общата вариабилност между индивидите.</w:t>
      </w:r>
    </w:p>
    <w:p w14:paraId="70510842" w14:textId="77777777" w:rsidR="00A20DC3" w:rsidRPr="00A20DC3" w:rsidRDefault="00A20DC3" w:rsidP="00A20DC3">
      <w:pPr>
        <w:spacing w:line="240" w:lineRule="auto"/>
        <w:rPr>
          <w:rFonts w:eastAsia="Times New Roman" w:cs="Arial"/>
          <w:bCs/>
          <w:color w:val="000000"/>
          <w:szCs w:val="18"/>
          <w:lang w:eastAsia="bg-BG"/>
        </w:rPr>
      </w:pPr>
    </w:p>
    <w:p w14:paraId="2B98BCB5" w14:textId="22BAB8D2"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В проучване на индивиди от бялата раса, Япония и Китай не е наблюдавана разлика във фармакокинетичните параметри сред трите популации.</w:t>
      </w:r>
    </w:p>
    <w:p w14:paraId="172F1A25" w14:textId="77777777" w:rsidR="00A20DC3" w:rsidRPr="00A20DC3" w:rsidRDefault="00A20DC3" w:rsidP="00A20DC3">
      <w:pPr>
        <w:spacing w:line="240" w:lineRule="auto"/>
        <w:rPr>
          <w:rFonts w:eastAsia="Times New Roman" w:cs="Arial"/>
          <w:bCs/>
          <w:i/>
          <w:iCs/>
          <w:color w:val="000000"/>
          <w:szCs w:val="18"/>
          <w:u w:val="single"/>
          <w:lang w:eastAsia="bg-BG"/>
        </w:rPr>
      </w:pPr>
    </w:p>
    <w:p w14:paraId="1D8C2D3E" w14:textId="0FBE6B82" w:rsidR="00A20DC3" w:rsidRPr="00A20DC3" w:rsidRDefault="00A20DC3" w:rsidP="00A20DC3">
      <w:pPr>
        <w:spacing w:line="240" w:lineRule="auto"/>
        <w:rPr>
          <w:rFonts w:eastAsia="Times New Roman" w:cs="Arial"/>
          <w:sz w:val="32"/>
          <w:szCs w:val="24"/>
        </w:rPr>
      </w:pPr>
      <w:r w:rsidRPr="00A20DC3">
        <w:rPr>
          <w:rFonts w:eastAsia="Times New Roman" w:cs="Arial"/>
          <w:bCs/>
          <w:i/>
          <w:iCs/>
          <w:color w:val="000000"/>
          <w:szCs w:val="18"/>
          <w:u w:val="single"/>
          <w:lang w:eastAsia="bg-BG"/>
        </w:rPr>
        <w:t>Педиатрична популация</w:t>
      </w:r>
    </w:p>
    <w:p w14:paraId="05D8DD0E" w14:textId="77777777" w:rsidR="00A20DC3" w:rsidRPr="00A20DC3" w:rsidRDefault="00A20DC3" w:rsidP="00A20DC3">
      <w:pPr>
        <w:rPr>
          <w:rFonts w:eastAsia="Times New Roman" w:cs="Arial"/>
          <w:bCs/>
          <w:color w:val="000000"/>
          <w:szCs w:val="18"/>
          <w:lang w:eastAsia="bg-BG"/>
        </w:rPr>
      </w:pPr>
    </w:p>
    <w:p w14:paraId="02FAE3D6" w14:textId="6BA521C6" w:rsidR="00A20DC3" w:rsidRPr="00A20DC3" w:rsidRDefault="00A20DC3" w:rsidP="00A20DC3">
      <w:pPr>
        <w:rPr>
          <w:rFonts w:eastAsia="Times New Roman" w:cs="Arial"/>
          <w:bCs/>
          <w:color w:val="000000"/>
          <w:szCs w:val="18"/>
          <w:lang w:eastAsia="bg-BG"/>
        </w:rPr>
      </w:pPr>
      <w:r w:rsidRPr="00A20DC3">
        <w:rPr>
          <w:rFonts w:eastAsia="Times New Roman" w:cs="Arial"/>
          <w:bCs/>
          <w:color w:val="000000"/>
          <w:szCs w:val="18"/>
          <w:lang w:eastAsia="bg-BG"/>
        </w:rPr>
        <w:t>Юноши (на възраст от 13 до 17 години): Фармакокинетиката на оланзапин е сходна при юноши и възрастни индивиди. В клинични проучвания средната експозиция на оланзапин е около 27% по-висока при юноши. Демографските разлики между юноши и възрастни индивиди включват по-ниско средно телесно тегло и по-малко юноши са били пушачи. Подобни фактори вероятно допринасят за по-голямата средна експозиция, наблюдавана при юношите.</w:t>
      </w:r>
    </w:p>
    <w:p w14:paraId="390D91E8" w14:textId="77777777" w:rsidR="00A20DC3" w:rsidRPr="00A20DC3" w:rsidRDefault="00A20DC3" w:rsidP="00A20DC3"/>
    <w:p w14:paraId="4FB791BE" w14:textId="291E53DB" w:rsidR="00B6672E" w:rsidRDefault="002C50EE" w:rsidP="00936AD0">
      <w:pPr>
        <w:pStyle w:val="Heading2"/>
      </w:pPr>
      <w:r>
        <w:t>5.3. Предклинични данни за безопасност</w:t>
      </w:r>
    </w:p>
    <w:p w14:paraId="0B83BF98" w14:textId="5859E530" w:rsidR="00A20DC3" w:rsidRDefault="00A20DC3" w:rsidP="00A20DC3"/>
    <w:p w14:paraId="780E0617" w14:textId="77777777" w:rsidR="00A20DC3" w:rsidRPr="00A20DC3" w:rsidRDefault="00A20DC3" w:rsidP="00A20DC3">
      <w:pPr>
        <w:spacing w:line="240" w:lineRule="auto"/>
        <w:rPr>
          <w:rFonts w:eastAsia="Times New Roman" w:cs="Arial"/>
          <w:sz w:val="32"/>
          <w:szCs w:val="24"/>
        </w:rPr>
      </w:pPr>
      <w:r w:rsidRPr="00A20DC3">
        <w:rPr>
          <w:rFonts w:eastAsia="Times New Roman" w:cs="Arial"/>
          <w:bCs/>
          <w:i/>
          <w:iCs/>
          <w:color w:val="000000"/>
          <w:szCs w:val="18"/>
          <w:u w:val="single"/>
          <w:lang w:eastAsia="bg-BG"/>
        </w:rPr>
        <w:t>Остра (еднодозова) токсичност</w:t>
      </w:r>
    </w:p>
    <w:p w14:paraId="527A67B9" w14:textId="77777777" w:rsidR="00A20DC3" w:rsidRPr="00A20DC3" w:rsidRDefault="00A20DC3" w:rsidP="00A20DC3">
      <w:pPr>
        <w:spacing w:line="240" w:lineRule="auto"/>
        <w:rPr>
          <w:rFonts w:eastAsia="Times New Roman" w:cs="Arial"/>
          <w:bCs/>
          <w:color w:val="000000"/>
          <w:szCs w:val="18"/>
          <w:lang w:eastAsia="bg-BG"/>
        </w:rPr>
      </w:pPr>
    </w:p>
    <w:p w14:paraId="4D0C8C7A" w14:textId="473EE23F"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 xml:space="preserve">Признаци на перорална токсичност при гризачи са характерни за потентни невролептични лекарства: хипоактивност, кома, тремор, клонични конвулсии, саливация и депресивно повишаване на теглото. Средните летални дози са приблизително 210 </w:t>
      </w:r>
      <w:r w:rsidRPr="00A20DC3">
        <w:rPr>
          <w:rFonts w:eastAsia="Times New Roman" w:cs="Arial"/>
          <w:bCs/>
          <w:color w:val="000000"/>
          <w:szCs w:val="18"/>
          <w:lang w:val="en-US"/>
        </w:rPr>
        <w:t>mg</w:t>
      </w:r>
      <w:r w:rsidRPr="00A20DC3">
        <w:rPr>
          <w:rFonts w:eastAsia="Times New Roman" w:cs="Arial"/>
          <w:bCs/>
          <w:color w:val="000000"/>
          <w:szCs w:val="18"/>
          <w:lang w:val="ru-RU"/>
        </w:rPr>
        <w:t>/</w:t>
      </w:r>
      <w:r w:rsidRPr="00A20DC3">
        <w:rPr>
          <w:rFonts w:eastAsia="Times New Roman" w:cs="Arial"/>
          <w:bCs/>
          <w:color w:val="000000"/>
          <w:szCs w:val="18"/>
          <w:lang w:val="en-US"/>
        </w:rPr>
        <w:t>kg</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 xml:space="preserve">(мишки) и 175 </w:t>
      </w:r>
      <w:r w:rsidRPr="00A20DC3">
        <w:rPr>
          <w:rFonts w:eastAsia="Times New Roman" w:cs="Arial"/>
          <w:bCs/>
          <w:color w:val="000000"/>
          <w:szCs w:val="18"/>
          <w:lang w:val="en-US"/>
        </w:rPr>
        <w:t>mg</w:t>
      </w:r>
      <w:r w:rsidRPr="00A20DC3">
        <w:rPr>
          <w:rFonts w:eastAsia="Times New Roman" w:cs="Arial"/>
          <w:bCs/>
          <w:color w:val="000000"/>
          <w:szCs w:val="18"/>
          <w:lang w:val="ru-RU"/>
        </w:rPr>
        <w:t>/</w:t>
      </w:r>
      <w:r w:rsidRPr="00A20DC3">
        <w:rPr>
          <w:rFonts w:eastAsia="Times New Roman" w:cs="Arial"/>
          <w:bCs/>
          <w:color w:val="000000"/>
          <w:szCs w:val="18"/>
          <w:lang w:val="en-US"/>
        </w:rPr>
        <w:t>kg</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 xml:space="preserve">(плъхове). Кучетата са понасяли единични перорални дози до 100 </w:t>
      </w:r>
      <w:r w:rsidRPr="00A20DC3">
        <w:rPr>
          <w:rFonts w:eastAsia="Times New Roman" w:cs="Arial"/>
          <w:bCs/>
          <w:color w:val="000000"/>
          <w:szCs w:val="18"/>
          <w:lang w:val="en-US"/>
        </w:rPr>
        <w:t>mg</w:t>
      </w:r>
      <w:r w:rsidRPr="00A20DC3">
        <w:rPr>
          <w:rFonts w:eastAsia="Times New Roman" w:cs="Arial"/>
          <w:bCs/>
          <w:color w:val="000000"/>
          <w:szCs w:val="18"/>
          <w:lang w:val="ru-RU"/>
        </w:rPr>
        <w:t>/</w:t>
      </w:r>
      <w:r w:rsidRPr="00A20DC3">
        <w:rPr>
          <w:rFonts w:eastAsia="Times New Roman" w:cs="Arial"/>
          <w:bCs/>
          <w:color w:val="000000"/>
          <w:szCs w:val="18"/>
          <w:lang w:val="en-US"/>
        </w:rPr>
        <w:t>kg</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 xml:space="preserve">без да настъпи смърт. Клиничните белези са включвали седация, атаксия, тремори, ускорена сърдечна честота, задух, миоза и анорексия. При маймуни единични перорални дози до 100 </w:t>
      </w:r>
      <w:r w:rsidRPr="00A20DC3">
        <w:rPr>
          <w:rFonts w:eastAsia="Times New Roman" w:cs="Arial"/>
          <w:bCs/>
          <w:color w:val="000000"/>
          <w:szCs w:val="18"/>
          <w:lang w:val="en-US"/>
        </w:rPr>
        <w:t>mg</w:t>
      </w:r>
      <w:r w:rsidRPr="00A20DC3">
        <w:rPr>
          <w:rFonts w:eastAsia="Times New Roman" w:cs="Arial"/>
          <w:bCs/>
          <w:color w:val="000000"/>
          <w:szCs w:val="18"/>
          <w:lang w:val="ru-RU"/>
        </w:rPr>
        <w:t>/</w:t>
      </w:r>
      <w:r w:rsidRPr="00A20DC3">
        <w:rPr>
          <w:rFonts w:eastAsia="Times New Roman" w:cs="Arial"/>
          <w:bCs/>
          <w:color w:val="000000"/>
          <w:szCs w:val="18"/>
          <w:lang w:val="en-US"/>
        </w:rPr>
        <w:t>kg</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са довели до отпадналост и при по-високи дози - до полусъзнание.</w:t>
      </w:r>
    </w:p>
    <w:p w14:paraId="78118089" w14:textId="77777777" w:rsidR="00A20DC3" w:rsidRPr="00A20DC3" w:rsidRDefault="00A20DC3" w:rsidP="00A20DC3">
      <w:pPr>
        <w:spacing w:line="240" w:lineRule="auto"/>
        <w:rPr>
          <w:rFonts w:eastAsia="Times New Roman" w:cs="Arial"/>
          <w:bCs/>
          <w:i/>
          <w:iCs/>
          <w:color w:val="000000"/>
          <w:szCs w:val="18"/>
          <w:u w:val="single"/>
          <w:lang w:eastAsia="bg-BG"/>
        </w:rPr>
      </w:pPr>
    </w:p>
    <w:p w14:paraId="7576025A" w14:textId="3CEA0012" w:rsidR="00A20DC3" w:rsidRPr="00A20DC3" w:rsidRDefault="00A20DC3" w:rsidP="00A20DC3">
      <w:pPr>
        <w:spacing w:line="240" w:lineRule="auto"/>
        <w:rPr>
          <w:rFonts w:eastAsia="Times New Roman" w:cs="Arial"/>
          <w:sz w:val="32"/>
          <w:szCs w:val="24"/>
        </w:rPr>
      </w:pPr>
      <w:r w:rsidRPr="00A20DC3">
        <w:rPr>
          <w:rFonts w:eastAsia="Times New Roman" w:cs="Arial"/>
          <w:bCs/>
          <w:i/>
          <w:iCs/>
          <w:color w:val="000000"/>
          <w:szCs w:val="18"/>
          <w:u w:val="single"/>
          <w:lang w:eastAsia="bg-BG"/>
        </w:rPr>
        <w:t>Токсичност при многократно приложение</w:t>
      </w:r>
    </w:p>
    <w:p w14:paraId="22290750" w14:textId="77777777" w:rsidR="00A20DC3" w:rsidRPr="00A20DC3" w:rsidRDefault="00A20DC3" w:rsidP="00A20DC3">
      <w:pPr>
        <w:spacing w:line="240" w:lineRule="auto"/>
        <w:rPr>
          <w:rFonts w:eastAsia="Times New Roman" w:cs="Arial"/>
          <w:bCs/>
          <w:color w:val="000000"/>
          <w:szCs w:val="18"/>
          <w:lang w:eastAsia="bg-BG"/>
        </w:rPr>
      </w:pPr>
    </w:p>
    <w:p w14:paraId="4B453553" w14:textId="527D0B58"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 xml:space="preserve">В проучвания с продължителност до 3 месеца при мишки и до 1 година при плъхове и кучета доминиращите ефекти бяха депресия на ЦНС, антихолинергични ефекти и периферни хематологични нарушения. Поносимост се разви по отношение на потискането на ЦНС. Показателите на растежа бяха намалени при високите дози. </w:t>
      </w:r>
      <w:r w:rsidRPr="00A20DC3">
        <w:rPr>
          <w:rFonts w:eastAsia="Times New Roman" w:cs="Arial"/>
          <w:bCs/>
          <w:color w:val="000000"/>
          <w:szCs w:val="18"/>
          <w:lang w:eastAsia="bg-BG"/>
        </w:rPr>
        <w:lastRenderedPageBreak/>
        <w:t>Обратимите ефекти в съответствие с повишения пролактин при плъховете включваха намалено тегло на яйчниците и матката, както и морфологични промени във вагиналния епител и млечната жлеза.</w:t>
      </w:r>
    </w:p>
    <w:p w14:paraId="737E0496" w14:textId="77777777" w:rsidR="00A20DC3" w:rsidRPr="00A20DC3" w:rsidRDefault="00A20DC3" w:rsidP="00A20DC3">
      <w:pPr>
        <w:spacing w:line="240" w:lineRule="auto"/>
        <w:rPr>
          <w:rFonts w:eastAsia="Times New Roman" w:cs="Arial"/>
          <w:bCs/>
          <w:i/>
          <w:iCs/>
          <w:color w:val="000000"/>
          <w:szCs w:val="18"/>
          <w:u w:val="single"/>
          <w:lang w:eastAsia="bg-BG"/>
        </w:rPr>
      </w:pPr>
    </w:p>
    <w:p w14:paraId="391B8A18" w14:textId="1B0A4176" w:rsidR="00A20DC3" w:rsidRPr="00A20DC3" w:rsidRDefault="00A20DC3" w:rsidP="00A20DC3">
      <w:pPr>
        <w:spacing w:line="240" w:lineRule="auto"/>
        <w:rPr>
          <w:rFonts w:eastAsia="Times New Roman" w:cs="Arial"/>
          <w:sz w:val="32"/>
          <w:szCs w:val="24"/>
        </w:rPr>
      </w:pPr>
      <w:r w:rsidRPr="00A20DC3">
        <w:rPr>
          <w:rFonts w:eastAsia="Times New Roman" w:cs="Arial"/>
          <w:bCs/>
          <w:i/>
          <w:iCs/>
          <w:color w:val="000000"/>
          <w:szCs w:val="18"/>
          <w:u w:val="single"/>
          <w:lang w:eastAsia="bg-BG"/>
        </w:rPr>
        <w:t>Хематологична токсичност</w:t>
      </w:r>
    </w:p>
    <w:p w14:paraId="6B2EF550" w14:textId="77777777" w:rsidR="00A20DC3" w:rsidRPr="00A20DC3" w:rsidRDefault="00A20DC3" w:rsidP="00A20DC3">
      <w:pPr>
        <w:spacing w:line="240" w:lineRule="auto"/>
        <w:rPr>
          <w:rFonts w:eastAsia="Times New Roman" w:cs="Arial"/>
          <w:bCs/>
          <w:color w:val="000000"/>
          <w:szCs w:val="18"/>
          <w:lang w:eastAsia="bg-BG"/>
        </w:rPr>
      </w:pPr>
    </w:p>
    <w:p w14:paraId="708D857F" w14:textId="4482DB96"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 xml:space="preserve">Бяха установени ефекти върху хематологичните показатели във всеки един от видовете, включително свързано с дозата намаление на циркулиращите левкоцити при мишки и неспецифично намаляване броя на левкоцитите при плъхове, но въпреки това не бяха установени доказателства за костно-мозъчна токсичност. Обратима неутропения, тромбоцигопения или анемия се разви при няколко кучета, третирани с 8 или 10 </w:t>
      </w:r>
      <w:r w:rsidRPr="00A20DC3">
        <w:rPr>
          <w:rFonts w:eastAsia="Times New Roman" w:cs="Arial"/>
          <w:bCs/>
          <w:color w:val="000000"/>
          <w:szCs w:val="18"/>
          <w:lang w:val="en-US"/>
        </w:rPr>
        <w:t>mg</w:t>
      </w:r>
      <w:r w:rsidRPr="00A20DC3">
        <w:rPr>
          <w:rFonts w:eastAsia="Times New Roman" w:cs="Arial"/>
          <w:bCs/>
          <w:color w:val="000000"/>
          <w:szCs w:val="18"/>
          <w:lang w:val="ru-RU"/>
        </w:rPr>
        <w:t>/</w:t>
      </w:r>
      <w:r w:rsidRPr="00A20DC3">
        <w:rPr>
          <w:rFonts w:eastAsia="Times New Roman" w:cs="Arial"/>
          <w:bCs/>
          <w:color w:val="000000"/>
          <w:szCs w:val="18"/>
          <w:lang w:val="en-US"/>
        </w:rPr>
        <w:t>kg</w:t>
      </w:r>
      <w:r w:rsidRPr="00A20DC3">
        <w:rPr>
          <w:rFonts w:eastAsia="Times New Roman" w:cs="Arial"/>
          <w:bCs/>
          <w:color w:val="000000"/>
          <w:szCs w:val="18"/>
          <w:lang w:eastAsia="bg-BG"/>
        </w:rPr>
        <w:t xml:space="preserve">/ден (общата експозиция на оланзапин </w:t>
      </w:r>
      <w:r w:rsidRPr="00A20DC3">
        <w:rPr>
          <w:rFonts w:eastAsia="Times New Roman" w:cs="Arial"/>
          <w:bCs/>
          <w:color w:val="000000"/>
          <w:szCs w:val="18"/>
          <w:lang w:val="ru-RU"/>
        </w:rPr>
        <w:t>[</w:t>
      </w:r>
      <w:r w:rsidRPr="00A20DC3">
        <w:rPr>
          <w:rFonts w:eastAsia="Times New Roman" w:cs="Arial"/>
          <w:bCs/>
          <w:color w:val="000000"/>
          <w:szCs w:val="18"/>
          <w:lang w:val="en-US"/>
        </w:rPr>
        <w:t>AUC</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 xml:space="preserve">е 12- до 15- пъти по-висока в сравнение с клиничната доза от 12 </w:t>
      </w:r>
      <w:r w:rsidRPr="00A20DC3">
        <w:rPr>
          <w:rFonts w:eastAsia="Times New Roman" w:cs="Arial"/>
          <w:bCs/>
          <w:color w:val="000000"/>
          <w:szCs w:val="18"/>
          <w:lang w:val="en-US"/>
        </w:rPr>
        <w:t>mg</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При цитопенични кучета нямаше нежелани реакции върху клетките предшественици и пролифериращите клетки в костния мозък.</w:t>
      </w:r>
    </w:p>
    <w:p w14:paraId="42E91185" w14:textId="77777777" w:rsidR="00A20DC3" w:rsidRPr="00A20DC3" w:rsidRDefault="00A20DC3" w:rsidP="00A20DC3">
      <w:pPr>
        <w:spacing w:line="240" w:lineRule="auto"/>
        <w:rPr>
          <w:rFonts w:eastAsia="Times New Roman" w:cs="Arial"/>
          <w:bCs/>
          <w:i/>
          <w:iCs/>
          <w:color w:val="000000"/>
          <w:szCs w:val="18"/>
          <w:u w:val="single"/>
          <w:lang w:eastAsia="bg-BG"/>
        </w:rPr>
      </w:pPr>
    </w:p>
    <w:p w14:paraId="00473D9F" w14:textId="0385E684" w:rsidR="00A20DC3" w:rsidRPr="00A20DC3" w:rsidRDefault="00A20DC3" w:rsidP="00A20DC3">
      <w:pPr>
        <w:spacing w:line="240" w:lineRule="auto"/>
        <w:rPr>
          <w:rFonts w:eastAsia="Times New Roman" w:cs="Arial"/>
          <w:sz w:val="32"/>
          <w:szCs w:val="24"/>
        </w:rPr>
      </w:pPr>
      <w:r w:rsidRPr="00A20DC3">
        <w:rPr>
          <w:rFonts w:eastAsia="Times New Roman" w:cs="Arial"/>
          <w:bCs/>
          <w:i/>
          <w:iCs/>
          <w:color w:val="000000"/>
          <w:szCs w:val="18"/>
          <w:u w:val="single"/>
          <w:lang w:eastAsia="bg-BG"/>
        </w:rPr>
        <w:t>Репродуктивна токсичност</w:t>
      </w:r>
    </w:p>
    <w:p w14:paraId="1F89D66F" w14:textId="77777777" w:rsidR="00A20DC3" w:rsidRPr="00A20DC3" w:rsidRDefault="00A20DC3" w:rsidP="00A20DC3">
      <w:pPr>
        <w:spacing w:line="240" w:lineRule="auto"/>
        <w:rPr>
          <w:rFonts w:eastAsia="Times New Roman" w:cs="Arial"/>
          <w:bCs/>
          <w:color w:val="000000"/>
          <w:szCs w:val="18"/>
          <w:lang w:eastAsia="bg-BG"/>
        </w:rPr>
      </w:pPr>
    </w:p>
    <w:p w14:paraId="4813A034" w14:textId="025204AB"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 xml:space="preserve">Оланзапин няма тератогенни ефекти. Седацията повлия половата активност на мъжките плъхове. Естрогенните цикли бяха засегнати при дози от 1.1 </w:t>
      </w:r>
      <w:r w:rsidRPr="00A20DC3">
        <w:rPr>
          <w:rFonts w:eastAsia="Times New Roman" w:cs="Arial"/>
          <w:bCs/>
          <w:color w:val="000000"/>
          <w:szCs w:val="18"/>
          <w:lang w:val="en-US"/>
        </w:rPr>
        <w:t>mg</w:t>
      </w:r>
      <w:r w:rsidRPr="00A20DC3">
        <w:rPr>
          <w:rFonts w:eastAsia="Times New Roman" w:cs="Arial"/>
          <w:bCs/>
          <w:color w:val="000000"/>
          <w:szCs w:val="18"/>
          <w:lang w:val="ru-RU"/>
        </w:rPr>
        <w:t>/</w:t>
      </w:r>
      <w:r w:rsidRPr="00A20DC3">
        <w:rPr>
          <w:rFonts w:eastAsia="Times New Roman" w:cs="Arial"/>
          <w:bCs/>
          <w:color w:val="000000"/>
          <w:szCs w:val="18"/>
          <w:lang w:val="en-US"/>
        </w:rPr>
        <w:t>kg</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 xml:space="preserve">(3-пъти максималната човешка доза), а репродуктивните показатели бяха повлияни при плъхове с доза от 3 </w:t>
      </w:r>
      <w:r w:rsidRPr="00A20DC3">
        <w:rPr>
          <w:rFonts w:eastAsia="Times New Roman" w:cs="Arial"/>
          <w:bCs/>
          <w:color w:val="000000"/>
          <w:szCs w:val="18"/>
          <w:lang w:val="en-US"/>
        </w:rPr>
        <w:t>mg</w:t>
      </w:r>
      <w:r w:rsidRPr="00A20DC3">
        <w:rPr>
          <w:rFonts w:eastAsia="Times New Roman" w:cs="Arial"/>
          <w:bCs/>
          <w:color w:val="000000"/>
          <w:szCs w:val="18"/>
          <w:lang w:val="ru-RU"/>
        </w:rPr>
        <w:t>/</w:t>
      </w:r>
      <w:r w:rsidRPr="00A20DC3">
        <w:rPr>
          <w:rFonts w:eastAsia="Times New Roman" w:cs="Arial"/>
          <w:bCs/>
          <w:color w:val="000000"/>
          <w:szCs w:val="18"/>
          <w:lang w:val="en-US"/>
        </w:rPr>
        <w:t>kg</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(9 пъти максималната човешка доза). В поколението на плъхове третирани с оланзапин бяха наблюдавани забавяне на феталното развитие и преходно намаление на нивата на активност на поколението.</w:t>
      </w:r>
    </w:p>
    <w:p w14:paraId="4596611A" w14:textId="77777777" w:rsidR="00A20DC3" w:rsidRPr="00A20DC3" w:rsidRDefault="00A20DC3" w:rsidP="00A20DC3">
      <w:pPr>
        <w:spacing w:line="240" w:lineRule="auto"/>
        <w:rPr>
          <w:rFonts w:eastAsia="Times New Roman" w:cs="Arial"/>
          <w:bCs/>
          <w:i/>
          <w:iCs/>
          <w:color w:val="000000"/>
          <w:szCs w:val="18"/>
          <w:u w:val="single"/>
          <w:lang w:eastAsia="bg-BG"/>
        </w:rPr>
      </w:pPr>
    </w:p>
    <w:p w14:paraId="33F5C183" w14:textId="57612A08" w:rsidR="00A20DC3" w:rsidRPr="00A20DC3" w:rsidRDefault="00A20DC3" w:rsidP="00A20DC3">
      <w:pPr>
        <w:spacing w:line="240" w:lineRule="auto"/>
        <w:rPr>
          <w:rFonts w:eastAsia="Times New Roman" w:cs="Arial"/>
          <w:sz w:val="32"/>
          <w:szCs w:val="24"/>
        </w:rPr>
      </w:pPr>
      <w:r w:rsidRPr="00A20DC3">
        <w:rPr>
          <w:rFonts w:eastAsia="Times New Roman" w:cs="Arial"/>
          <w:bCs/>
          <w:i/>
          <w:iCs/>
          <w:color w:val="000000"/>
          <w:szCs w:val="18"/>
          <w:u w:val="single"/>
          <w:lang w:eastAsia="bg-BG"/>
        </w:rPr>
        <w:t>Мутагенност</w:t>
      </w:r>
    </w:p>
    <w:p w14:paraId="03FB365C" w14:textId="77777777" w:rsidR="00A20DC3" w:rsidRPr="00A20DC3" w:rsidRDefault="00A20DC3" w:rsidP="00A20DC3">
      <w:pPr>
        <w:spacing w:line="240" w:lineRule="auto"/>
        <w:rPr>
          <w:rFonts w:eastAsia="Times New Roman" w:cs="Arial"/>
          <w:bCs/>
          <w:color w:val="000000"/>
          <w:szCs w:val="18"/>
          <w:lang w:eastAsia="bg-BG"/>
        </w:rPr>
      </w:pPr>
    </w:p>
    <w:p w14:paraId="760D7F8D" w14:textId="05F430A7"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 xml:space="preserve">Оланзапин не е мутагенен или кластогенен при пълната гама от стандартни тестове, които включваха тестове за мутации при бактерии и </w:t>
      </w:r>
      <w:r w:rsidRPr="00A20DC3">
        <w:rPr>
          <w:rFonts w:eastAsia="Times New Roman" w:cs="Arial"/>
          <w:bCs/>
          <w:i/>
          <w:iCs/>
          <w:color w:val="000000"/>
          <w:szCs w:val="18"/>
          <w:lang w:val="en-US"/>
        </w:rPr>
        <w:t>in</w:t>
      </w:r>
      <w:r w:rsidRPr="00A20DC3">
        <w:rPr>
          <w:rFonts w:eastAsia="Times New Roman" w:cs="Arial"/>
          <w:bCs/>
          <w:i/>
          <w:iCs/>
          <w:color w:val="000000"/>
          <w:szCs w:val="18"/>
          <w:lang w:val="ru-RU"/>
        </w:rPr>
        <w:t xml:space="preserve"> </w:t>
      </w:r>
      <w:r w:rsidRPr="00A20DC3">
        <w:rPr>
          <w:rFonts w:eastAsia="Times New Roman" w:cs="Arial"/>
          <w:bCs/>
          <w:i/>
          <w:iCs/>
          <w:color w:val="000000"/>
          <w:szCs w:val="18"/>
          <w:lang w:val="en-US"/>
        </w:rPr>
        <w:t>vitro</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 xml:space="preserve">и </w:t>
      </w:r>
      <w:r w:rsidRPr="00A20DC3">
        <w:rPr>
          <w:rFonts w:eastAsia="Times New Roman" w:cs="Arial"/>
          <w:bCs/>
          <w:i/>
          <w:iCs/>
          <w:color w:val="000000"/>
          <w:szCs w:val="18"/>
          <w:lang w:val="en-US"/>
        </w:rPr>
        <w:t>in</w:t>
      </w:r>
      <w:r w:rsidRPr="00A20DC3">
        <w:rPr>
          <w:rFonts w:eastAsia="Times New Roman" w:cs="Arial"/>
          <w:bCs/>
          <w:i/>
          <w:iCs/>
          <w:color w:val="000000"/>
          <w:szCs w:val="18"/>
          <w:lang w:val="ru-RU"/>
        </w:rPr>
        <w:t xml:space="preserve"> </w:t>
      </w:r>
      <w:r w:rsidRPr="00A20DC3">
        <w:rPr>
          <w:rFonts w:eastAsia="Times New Roman" w:cs="Arial"/>
          <w:bCs/>
          <w:i/>
          <w:iCs/>
          <w:color w:val="000000"/>
          <w:szCs w:val="18"/>
          <w:lang w:val="en-US"/>
        </w:rPr>
        <w:t>vivo</w:t>
      </w:r>
      <w:r w:rsidRPr="00A20DC3">
        <w:rPr>
          <w:rFonts w:eastAsia="Times New Roman" w:cs="Arial"/>
          <w:bCs/>
          <w:color w:val="000000"/>
          <w:szCs w:val="18"/>
          <w:lang w:val="ru-RU"/>
        </w:rPr>
        <w:t xml:space="preserve"> </w:t>
      </w:r>
      <w:r w:rsidRPr="00A20DC3">
        <w:rPr>
          <w:rFonts w:eastAsia="Times New Roman" w:cs="Arial"/>
          <w:bCs/>
          <w:color w:val="000000"/>
          <w:szCs w:val="18"/>
          <w:lang w:eastAsia="bg-BG"/>
        </w:rPr>
        <w:t>тестове при бозайници.</w:t>
      </w:r>
    </w:p>
    <w:p w14:paraId="75DFBB0C" w14:textId="77777777" w:rsidR="00A20DC3" w:rsidRPr="00A20DC3" w:rsidRDefault="00A20DC3" w:rsidP="00A20DC3">
      <w:pPr>
        <w:spacing w:line="240" w:lineRule="auto"/>
        <w:rPr>
          <w:rFonts w:eastAsia="Times New Roman" w:cs="Arial"/>
          <w:bCs/>
          <w:i/>
          <w:iCs/>
          <w:color w:val="000000"/>
          <w:szCs w:val="18"/>
          <w:u w:val="single"/>
          <w:lang w:eastAsia="bg-BG"/>
        </w:rPr>
      </w:pPr>
    </w:p>
    <w:p w14:paraId="7EE33091" w14:textId="35180760" w:rsidR="00A20DC3" w:rsidRPr="00A20DC3" w:rsidRDefault="00A20DC3" w:rsidP="00A20DC3">
      <w:pPr>
        <w:spacing w:line="240" w:lineRule="auto"/>
        <w:rPr>
          <w:rFonts w:eastAsia="Times New Roman" w:cs="Arial"/>
          <w:sz w:val="32"/>
          <w:szCs w:val="24"/>
        </w:rPr>
      </w:pPr>
      <w:r w:rsidRPr="00A20DC3">
        <w:rPr>
          <w:rFonts w:eastAsia="Times New Roman" w:cs="Arial"/>
          <w:bCs/>
          <w:i/>
          <w:iCs/>
          <w:color w:val="000000"/>
          <w:szCs w:val="18"/>
          <w:u w:val="single"/>
          <w:lang w:eastAsia="bg-BG"/>
        </w:rPr>
        <w:t>Карииногенност</w:t>
      </w:r>
    </w:p>
    <w:p w14:paraId="61078F1C" w14:textId="77777777" w:rsidR="00A20DC3" w:rsidRPr="00A20DC3" w:rsidRDefault="00A20DC3" w:rsidP="00A20DC3">
      <w:pPr>
        <w:rPr>
          <w:rFonts w:eastAsia="Times New Roman" w:cs="Arial"/>
          <w:bCs/>
          <w:color w:val="000000"/>
          <w:szCs w:val="18"/>
          <w:lang w:eastAsia="bg-BG"/>
        </w:rPr>
      </w:pPr>
    </w:p>
    <w:p w14:paraId="0BBA3A68" w14:textId="7A0A07C6" w:rsidR="00A20DC3" w:rsidRPr="00A20DC3" w:rsidRDefault="00A20DC3" w:rsidP="00A20DC3">
      <w:pPr>
        <w:rPr>
          <w:rFonts w:eastAsia="Times New Roman" w:cs="Arial"/>
          <w:bCs/>
          <w:color w:val="000000"/>
          <w:szCs w:val="18"/>
          <w:lang w:eastAsia="bg-BG"/>
        </w:rPr>
      </w:pPr>
      <w:r w:rsidRPr="00A20DC3">
        <w:rPr>
          <w:rFonts w:eastAsia="Times New Roman" w:cs="Arial"/>
          <w:bCs/>
          <w:color w:val="000000"/>
          <w:szCs w:val="18"/>
          <w:lang w:eastAsia="bg-BG"/>
        </w:rPr>
        <w:t>Въз основа на резултатите от проучванията върху мишки и плъхове, беше заключено, че оланзапин не е карциногенен.</w:t>
      </w:r>
    </w:p>
    <w:p w14:paraId="6DD938A1" w14:textId="415E6283" w:rsidR="00A20DC3" w:rsidRPr="00A20DC3" w:rsidRDefault="00A20DC3" w:rsidP="00A20DC3">
      <w:pPr>
        <w:rPr>
          <w:rFonts w:eastAsia="Times New Roman" w:cs="Arial"/>
          <w:bCs/>
          <w:color w:val="000000"/>
          <w:szCs w:val="18"/>
          <w:lang w:eastAsia="bg-BG"/>
        </w:rPr>
      </w:pPr>
    </w:p>
    <w:p w14:paraId="47DAA2F6" w14:textId="77777777"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u w:val="single"/>
          <w:lang w:eastAsia="bg-BG"/>
        </w:rPr>
        <w:t>Оценка на риска за околната среда (ОРС)</w:t>
      </w:r>
    </w:p>
    <w:p w14:paraId="4BF139D3" w14:textId="77777777" w:rsidR="00A20DC3" w:rsidRPr="00A20DC3" w:rsidRDefault="00A20DC3" w:rsidP="00A20DC3">
      <w:pPr>
        <w:spacing w:line="240" w:lineRule="auto"/>
        <w:rPr>
          <w:rFonts w:eastAsia="Times New Roman" w:cs="Arial"/>
          <w:bCs/>
          <w:color w:val="000000"/>
          <w:szCs w:val="18"/>
          <w:lang w:eastAsia="bg-BG"/>
        </w:rPr>
      </w:pPr>
    </w:p>
    <w:p w14:paraId="29AA8811" w14:textId="0E32BFB5" w:rsidR="00A20DC3" w:rsidRPr="00A20DC3" w:rsidRDefault="00A20DC3" w:rsidP="00A20DC3">
      <w:pPr>
        <w:spacing w:line="240" w:lineRule="auto"/>
        <w:rPr>
          <w:rFonts w:eastAsia="Times New Roman" w:cs="Arial"/>
          <w:sz w:val="32"/>
          <w:szCs w:val="24"/>
        </w:rPr>
      </w:pPr>
      <w:r w:rsidRPr="00A20DC3">
        <w:rPr>
          <w:rFonts w:eastAsia="Times New Roman" w:cs="Arial"/>
          <w:bCs/>
          <w:color w:val="000000"/>
          <w:szCs w:val="18"/>
          <w:lang w:eastAsia="bg-BG"/>
        </w:rPr>
        <w:t>Използването на Еголанза в съответствие с продуктовата информация не би трябвало да причини неприемливо увреждане на околната среда.</w:t>
      </w:r>
    </w:p>
    <w:p w14:paraId="5CF61654" w14:textId="77777777" w:rsidR="00A20DC3" w:rsidRPr="00A20DC3" w:rsidRDefault="00A20DC3" w:rsidP="00A20DC3"/>
    <w:p w14:paraId="1BA6531D" w14:textId="2122687D" w:rsidR="00B6672E" w:rsidRDefault="002C50EE" w:rsidP="00936AD0">
      <w:pPr>
        <w:pStyle w:val="Heading1"/>
      </w:pPr>
      <w:r>
        <w:t>7. ПРИТЕЖАТЕЛ НА РАЗРЕШЕНИЕТО ЗА УПОТРЕБА</w:t>
      </w:r>
    </w:p>
    <w:p w14:paraId="400F44AC" w14:textId="24CA5C58" w:rsidR="00EC0BCB" w:rsidRDefault="00EC0BCB" w:rsidP="00EC0BCB"/>
    <w:p w14:paraId="24450A64" w14:textId="77777777" w:rsidR="00EC0BCB" w:rsidRPr="00EC0BCB" w:rsidRDefault="00EC0BCB" w:rsidP="00EC0BCB">
      <w:pPr>
        <w:rPr>
          <w:rFonts w:ascii="Times New Roman" w:hAnsi="Times New Roman" w:cs="Times New Roman"/>
          <w:sz w:val="24"/>
          <w:szCs w:val="24"/>
          <w:lang w:val="en-US"/>
        </w:rPr>
      </w:pPr>
      <w:r w:rsidRPr="00EC0BCB">
        <w:rPr>
          <w:lang w:val="en-US"/>
        </w:rPr>
        <w:t>Egis Pharmaceuticals PLC</w:t>
      </w:r>
    </w:p>
    <w:p w14:paraId="07AC715A" w14:textId="77777777" w:rsidR="00EC0BCB" w:rsidRPr="00EC0BCB" w:rsidRDefault="00EC0BCB" w:rsidP="00EC0BCB">
      <w:pPr>
        <w:rPr>
          <w:rFonts w:ascii="Times New Roman" w:hAnsi="Times New Roman" w:cs="Times New Roman"/>
          <w:sz w:val="24"/>
          <w:szCs w:val="24"/>
          <w:lang w:val="en-US"/>
        </w:rPr>
      </w:pPr>
      <w:r w:rsidRPr="00EC0BCB">
        <w:rPr>
          <w:lang w:eastAsia="bg-BG"/>
        </w:rPr>
        <w:t xml:space="preserve">1106 </w:t>
      </w:r>
      <w:r w:rsidRPr="00EC0BCB">
        <w:rPr>
          <w:lang w:val="en-US"/>
        </w:rPr>
        <w:t xml:space="preserve">Budapest, </w:t>
      </w:r>
      <w:proofErr w:type="spellStart"/>
      <w:r w:rsidRPr="00EC0BCB">
        <w:rPr>
          <w:lang w:val="en-US"/>
        </w:rPr>
        <w:t>Kereszturi</w:t>
      </w:r>
      <w:proofErr w:type="spellEnd"/>
      <w:r w:rsidRPr="00EC0BCB">
        <w:rPr>
          <w:lang w:val="en-US"/>
        </w:rPr>
        <w:t xml:space="preserve"> </w:t>
      </w:r>
      <w:proofErr w:type="spellStart"/>
      <w:r w:rsidRPr="00EC0BCB">
        <w:rPr>
          <w:lang w:val="en-US"/>
        </w:rPr>
        <w:t>ut</w:t>
      </w:r>
      <w:proofErr w:type="spellEnd"/>
      <w:r w:rsidRPr="00EC0BCB">
        <w:rPr>
          <w:lang w:val="en-US"/>
        </w:rPr>
        <w:t xml:space="preserve"> 30-38.</w:t>
      </w:r>
    </w:p>
    <w:p w14:paraId="024557FE" w14:textId="7D85470F" w:rsidR="00EC0BCB" w:rsidRPr="00EC0BCB" w:rsidRDefault="00EC0BCB" w:rsidP="00EC0BCB">
      <w:r w:rsidRPr="00EC0BCB">
        <w:rPr>
          <w:lang w:eastAsia="bg-BG"/>
        </w:rPr>
        <w:t>Унгария</w:t>
      </w:r>
    </w:p>
    <w:p w14:paraId="508F3A54" w14:textId="7D040195" w:rsidR="00B6672E" w:rsidRDefault="00936AD0" w:rsidP="00936AD0">
      <w:pPr>
        <w:pStyle w:val="Heading1"/>
      </w:pPr>
      <w:r>
        <w:t>8.</w:t>
      </w:r>
      <w:r w:rsidR="002C50EE">
        <w:t>НОМЕР НА РАЗРЕШЕНИЕТО ЗА УПОТРЕБА</w:t>
      </w:r>
    </w:p>
    <w:p w14:paraId="1DBDAA24" w14:textId="1034E80B" w:rsidR="00EC0BCB" w:rsidRDefault="00EC0BCB" w:rsidP="00EC0BCB"/>
    <w:p w14:paraId="6A239062" w14:textId="05594521" w:rsidR="00EC0BCB" w:rsidRPr="00EC0BCB" w:rsidRDefault="00EC0BCB" w:rsidP="00EC0BCB">
      <w:pPr>
        <w:rPr>
          <w:rFonts w:ascii="Times New Roman" w:hAnsi="Times New Roman" w:cs="Times New Roman"/>
          <w:sz w:val="24"/>
          <w:szCs w:val="24"/>
        </w:rPr>
      </w:pPr>
      <w:r w:rsidRPr="00EC0BCB">
        <w:rPr>
          <w:lang w:eastAsia="bg-BG"/>
        </w:rPr>
        <w:lastRenderedPageBreak/>
        <w:t xml:space="preserve">Еголанза 5 </w:t>
      </w:r>
      <w:r w:rsidRPr="00EC0BCB">
        <w:rPr>
          <w:lang w:val="en-US"/>
        </w:rPr>
        <w:t>mg</w:t>
      </w:r>
      <w:r w:rsidRPr="00EC0BCB">
        <w:rPr>
          <w:lang w:val="ru-RU"/>
        </w:rPr>
        <w:t xml:space="preserve"> </w:t>
      </w:r>
      <w:r w:rsidRPr="00EC0BCB">
        <w:rPr>
          <w:lang w:eastAsia="bg-BG"/>
        </w:rPr>
        <w:t xml:space="preserve">филмирани таблетки: </w:t>
      </w:r>
      <w:proofErr w:type="spellStart"/>
      <w:r>
        <w:rPr>
          <w:lang w:val="en-US"/>
        </w:rPr>
        <w:t>Pe</w:t>
      </w:r>
      <w:proofErr w:type="spellEnd"/>
      <w:r>
        <w:t>г</w:t>
      </w:r>
      <w:r w:rsidRPr="00EC0BCB">
        <w:rPr>
          <w:lang w:val="ru-RU"/>
        </w:rPr>
        <w:t xml:space="preserve">. </w:t>
      </w:r>
      <w:r w:rsidRPr="00EC0BCB">
        <w:rPr>
          <w:lang w:eastAsia="bg-BG"/>
        </w:rPr>
        <w:t>№: 20100483</w:t>
      </w:r>
    </w:p>
    <w:p w14:paraId="7166F6E2" w14:textId="3377B365" w:rsidR="00EC0BCB" w:rsidRPr="00EC0BCB" w:rsidRDefault="00EC0BCB" w:rsidP="00EC0BCB">
      <w:pPr>
        <w:rPr>
          <w:rFonts w:ascii="Times New Roman" w:hAnsi="Times New Roman" w:cs="Times New Roman"/>
          <w:sz w:val="24"/>
          <w:szCs w:val="24"/>
        </w:rPr>
      </w:pPr>
      <w:r w:rsidRPr="00EC0BCB">
        <w:rPr>
          <w:lang w:eastAsia="bg-BG"/>
        </w:rPr>
        <w:t xml:space="preserve">Еголанза 10 </w:t>
      </w:r>
      <w:r w:rsidRPr="00EC0BCB">
        <w:rPr>
          <w:lang w:val="en-US"/>
        </w:rPr>
        <w:t>mg</w:t>
      </w:r>
      <w:r w:rsidRPr="00EC0BCB">
        <w:rPr>
          <w:lang w:val="ru-RU"/>
        </w:rPr>
        <w:t xml:space="preserve"> </w:t>
      </w:r>
      <w:r w:rsidRPr="00EC0BCB">
        <w:rPr>
          <w:lang w:eastAsia="bg-BG"/>
        </w:rPr>
        <w:t xml:space="preserve">филмирани таблетки: </w:t>
      </w:r>
      <w:proofErr w:type="spellStart"/>
      <w:r>
        <w:rPr>
          <w:lang w:val="en-US"/>
        </w:rPr>
        <w:t>Pe</w:t>
      </w:r>
      <w:proofErr w:type="spellEnd"/>
      <w:r w:rsidRPr="00EC0BCB">
        <w:rPr>
          <w:lang w:val="ru-RU"/>
        </w:rPr>
        <w:t xml:space="preserve">г. </w:t>
      </w:r>
      <w:r w:rsidRPr="00EC0BCB">
        <w:rPr>
          <w:lang w:eastAsia="bg-BG"/>
        </w:rPr>
        <w:t>№: 20100485</w:t>
      </w:r>
    </w:p>
    <w:p w14:paraId="161A42E7" w14:textId="7D8B35FF" w:rsidR="00EC0BCB" w:rsidRPr="00EC0BCB" w:rsidRDefault="00EC0BCB" w:rsidP="00EC0BCB">
      <w:pPr>
        <w:rPr>
          <w:rFonts w:ascii="Times New Roman" w:hAnsi="Times New Roman" w:cs="Times New Roman"/>
          <w:sz w:val="24"/>
          <w:szCs w:val="24"/>
        </w:rPr>
      </w:pPr>
      <w:r w:rsidRPr="00EC0BCB">
        <w:rPr>
          <w:lang w:eastAsia="bg-BG"/>
        </w:rPr>
        <w:t xml:space="preserve">Еголанза 15 </w:t>
      </w:r>
      <w:r w:rsidRPr="00EC0BCB">
        <w:rPr>
          <w:lang w:val="en-US"/>
        </w:rPr>
        <w:t>mg</w:t>
      </w:r>
      <w:r w:rsidRPr="00EC0BCB">
        <w:rPr>
          <w:lang w:val="ru-RU"/>
        </w:rPr>
        <w:t xml:space="preserve"> </w:t>
      </w:r>
      <w:r w:rsidRPr="00EC0BCB">
        <w:rPr>
          <w:lang w:eastAsia="bg-BG"/>
        </w:rPr>
        <w:t xml:space="preserve">филмирани таблетки: </w:t>
      </w:r>
      <w:proofErr w:type="spellStart"/>
      <w:r>
        <w:rPr>
          <w:lang w:val="en-US"/>
        </w:rPr>
        <w:t>Pe</w:t>
      </w:r>
      <w:proofErr w:type="spellEnd"/>
      <w:r w:rsidRPr="00EC0BCB">
        <w:rPr>
          <w:lang w:val="ru-RU"/>
        </w:rPr>
        <w:t xml:space="preserve">г. </w:t>
      </w:r>
      <w:r w:rsidRPr="00EC0BCB">
        <w:rPr>
          <w:lang w:eastAsia="bg-BG"/>
        </w:rPr>
        <w:t>№: 20100486</w:t>
      </w:r>
    </w:p>
    <w:p w14:paraId="088542B5" w14:textId="17F7F51D" w:rsidR="00EC0BCB" w:rsidRPr="00EC0BCB" w:rsidRDefault="00EC0BCB" w:rsidP="00EC0BCB">
      <w:pPr>
        <w:rPr>
          <w:rFonts w:ascii="Times New Roman" w:hAnsi="Times New Roman" w:cs="Times New Roman"/>
          <w:sz w:val="24"/>
          <w:szCs w:val="24"/>
        </w:rPr>
      </w:pPr>
      <w:r w:rsidRPr="00EC0BCB">
        <w:rPr>
          <w:lang w:eastAsia="bg-BG"/>
        </w:rPr>
        <w:t xml:space="preserve">Еголанза 20 </w:t>
      </w:r>
      <w:r w:rsidRPr="00EC0BCB">
        <w:rPr>
          <w:lang w:val="en-US"/>
        </w:rPr>
        <w:t>mg</w:t>
      </w:r>
      <w:r w:rsidRPr="00EC0BCB">
        <w:rPr>
          <w:lang w:val="ru-RU"/>
        </w:rPr>
        <w:t xml:space="preserve"> </w:t>
      </w:r>
      <w:r w:rsidRPr="00EC0BCB">
        <w:rPr>
          <w:lang w:eastAsia="bg-BG"/>
        </w:rPr>
        <w:t xml:space="preserve">филмирани таблетки: </w:t>
      </w:r>
      <w:proofErr w:type="spellStart"/>
      <w:r>
        <w:rPr>
          <w:lang w:val="en-US"/>
        </w:rPr>
        <w:t>Pe</w:t>
      </w:r>
      <w:proofErr w:type="spellEnd"/>
      <w:r w:rsidRPr="00EC0BCB">
        <w:rPr>
          <w:lang w:val="ru-RU"/>
        </w:rPr>
        <w:t xml:space="preserve">г. </w:t>
      </w:r>
      <w:r w:rsidRPr="00EC0BCB">
        <w:rPr>
          <w:lang w:eastAsia="bg-BG"/>
        </w:rPr>
        <w:t>№: 20100487</w:t>
      </w:r>
    </w:p>
    <w:p w14:paraId="58B6B3FA" w14:textId="77777777" w:rsidR="00EC0BCB" w:rsidRPr="00EC0BCB" w:rsidRDefault="00EC0BCB" w:rsidP="00EC0BCB"/>
    <w:p w14:paraId="2CCB5832" w14:textId="1E831BB3" w:rsidR="007C605B" w:rsidRDefault="002C50EE" w:rsidP="007C605B">
      <w:pPr>
        <w:pStyle w:val="Heading1"/>
      </w:pPr>
      <w:r>
        <w:t>9. ДАТА НА ПЪРВО РАЗРЕШАВАНЕ/ПОДНОВЯВАНЕ НА РАЗРЕШЕНИЕТО ЗА УПОТРЕБА</w:t>
      </w:r>
    </w:p>
    <w:p w14:paraId="26CA646A" w14:textId="3D7B0DCD" w:rsidR="00EC0BCB" w:rsidRDefault="00EC0BCB" w:rsidP="00EC0BCB"/>
    <w:p w14:paraId="5E1BC678" w14:textId="77777777" w:rsidR="00EC0BCB" w:rsidRPr="00EC0BCB" w:rsidRDefault="00EC0BCB" w:rsidP="00EC0BCB">
      <w:pPr>
        <w:rPr>
          <w:rFonts w:ascii="Times New Roman" w:hAnsi="Times New Roman" w:cs="Times New Roman"/>
          <w:sz w:val="24"/>
          <w:szCs w:val="24"/>
        </w:rPr>
      </w:pPr>
      <w:r w:rsidRPr="00EC0BCB">
        <w:rPr>
          <w:lang w:eastAsia="bg-BG"/>
        </w:rPr>
        <w:t>Дата на първо разрешаване: 22.07.2010 г.</w:t>
      </w:r>
    </w:p>
    <w:p w14:paraId="34CD3C67" w14:textId="6A99CBE6" w:rsidR="00EC0BCB" w:rsidRPr="00EC0BCB" w:rsidRDefault="00EC0BCB" w:rsidP="00EC0BCB">
      <w:r w:rsidRPr="00EC0BCB">
        <w:rPr>
          <w:lang w:eastAsia="bg-BG"/>
        </w:rPr>
        <w:t>Дата на последно подновяване: 24.01.2017 г.</w:t>
      </w:r>
    </w:p>
    <w:p w14:paraId="0E9D0119" w14:textId="0245C6D7" w:rsidR="002C50EE" w:rsidRDefault="002C50EE" w:rsidP="002C50EE">
      <w:pPr>
        <w:pStyle w:val="Heading1"/>
      </w:pPr>
      <w:r>
        <w:t>10. ДАТА НА АКТУАЛИЗИРАНЕ НА ТЕКСТА</w:t>
      </w:r>
    </w:p>
    <w:bookmarkEnd w:id="0"/>
    <w:p w14:paraId="43FB38A2" w14:textId="57D26A7C" w:rsidR="007C605B" w:rsidRPr="003E3126" w:rsidRDefault="00EC0BCB" w:rsidP="00EC0BCB">
      <w:r>
        <w:t>Февруари, 2021 г.</w:t>
      </w:r>
      <w:bookmarkStart w:id="1" w:name="_GoBack"/>
      <w:bookmarkEnd w:id="1"/>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4"/>
  </w:num>
  <w:num w:numId="4">
    <w:abstractNumId w:val="3"/>
  </w:num>
  <w:num w:numId="5">
    <w:abstractNumId w:val="1"/>
  </w:num>
  <w:num w:numId="6">
    <w:abstractNumId w:val="17"/>
  </w:num>
  <w:num w:numId="7">
    <w:abstractNumId w:val="12"/>
  </w:num>
  <w:num w:numId="8">
    <w:abstractNumId w:val="16"/>
  </w:num>
  <w:num w:numId="9">
    <w:abstractNumId w:val="2"/>
  </w:num>
  <w:num w:numId="10">
    <w:abstractNumId w:val="4"/>
  </w:num>
  <w:num w:numId="11">
    <w:abstractNumId w:val="31"/>
  </w:num>
  <w:num w:numId="12">
    <w:abstractNumId w:val="15"/>
  </w:num>
  <w:num w:numId="13">
    <w:abstractNumId w:val="20"/>
  </w:num>
  <w:num w:numId="14">
    <w:abstractNumId w:val="13"/>
  </w:num>
  <w:num w:numId="15">
    <w:abstractNumId w:val="30"/>
  </w:num>
  <w:num w:numId="16">
    <w:abstractNumId w:val="11"/>
  </w:num>
  <w:num w:numId="17">
    <w:abstractNumId w:val="25"/>
  </w:num>
  <w:num w:numId="18">
    <w:abstractNumId w:val="8"/>
  </w:num>
  <w:num w:numId="19">
    <w:abstractNumId w:val="27"/>
  </w:num>
  <w:num w:numId="20">
    <w:abstractNumId w:val="24"/>
  </w:num>
  <w:num w:numId="21">
    <w:abstractNumId w:val="18"/>
  </w:num>
  <w:num w:numId="22">
    <w:abstractNumId w:val="26"/>
  </w:num>
  <w:num w:numId="23">
    <w:abstractNumId w:val="19"/>
  </w:num>
  <w:num w:numId="24">
    <w:abstractNumId w:val="9"/>
  </w:num>
  <w:num w:numId="25">
    <w:abstractNumId w:val="23"/>
  </w:num>
  <w:num w:numId="26">
    <w:abstractNumId w:val="22"/>
  </w:num>
  <w:num w:numId="27">
    <w:abstractNumId w:val="32"/>
  </w:num>
  <w:num w:numId="28">
    <w:abstractNumId w:val="6"/>
  </w:num>
  <w:num w:numId="29">
    <w:abstractNumId w:val="21"/>
  </w:num>
  <w:num w:numId="30">
    <w:abstractNumId w:val="35"/>
  </w:num>
  <w:num w:numId="31">
    <w:abstractNumId w:val="5"/>
  </w:num>
  <w:num w:numId="32">
    <w:abstractNumId w:val="34"/>
  </w:num>
  <w:num w:numId="33">
    <w:abstractNumId w:val="29"/>
  </w:num>
  <w:num w:numId="34">
    <w:abstractNumId w:val="33"/>
  </w:num>
  <w:num w:numId="35">
    <w:abstractNumId w:val="7"/>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20AB6"/>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773E4"/>
    <w:rsid w:val="009B171C"/>
    <w:rsid w:val="009F1313"/>
    <w:rsid w:val="00A20351"/>
    <w:rsid w:val="00A20DC3"/>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D466D"/>
    <w:rsid w:val="00EB6364"/>
    <w:rsid w:val="00EC0BCB"/>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7238</Words>
  <Characters>41259</Characters>
  <Application>Microsoft Office Word</Application>
  <DocSecurity>0</DocSecurity>
  <Lines>343</Lines>
  <Paragraphs>96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2022-07-29T19:33:00Z</dcterms:created>
  <dcterms:modified xsi:type="dcterms:W3CDTF">2022-07-29T19:33:00Z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