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68F4AEF7" w:rsidR="009F77A4" w:rsidRDefault="00DD466D" w:rsidP="00387A66">
      <w:pPr>
        <w:pStyle w:val="Heading1"/>
      </w:pPr>
      <w:r>
        <w:t>1.ИМЕ НА ЛЕКАРСТВЕНИЯ ПРОДУКТ</w:t>
      </w:r>
    </w:p>
    <w:p w14:paraId="0DE92D6C" w14:textId="45804D18" w:rsidR="00DF7655" w:rsidRDefault="00DF7655" w:rsidP="00DF7655"/>
    <w:p w14:paraId="04B05262" w14:textId="77777777" w:rsidR="00DF7655" w:rsidRPr="00DF7655" w:rsidRDefault="00DF7655" w:rsidP="00DF7655">
      <w:pPr>
        <w:rPr>
          <w:sz w:val="24"/>
          <w:szCs w:val="24"/>
          <w:lang w:val="en-US" w:eastAsia="bg-BG"/>
        </w:rPr>
      </w:pPr>
      <w:r w:rsidRPr="00DF7655">
        <w:rPr>
          <w:lang w:eastAsia="bg-BG"/>
        </w:rPr>
        <w:t xml:space="preserve">ЕМОКЛОТ 500 </w:t>
      </w:r>
      <w:r w:rsidRPr="00DF7655">
        <w:rPr>
          <w:lang w:val="en-US"/>
        </w:rPr>
        <w:t xml:space="preserve">IU </w:t>
      </w:r>
      <w:r w:rsidRPr="00DF7655">
        <w:rPr>
          <w:lang w:eastAsia="bg-BG"/>
        </w:rPr>
        <w:t>прах и разтворител за инфузионен разтвор</w:t>
      </w:r>
    </w:p>
    <w:p w14:paraId="661A68C9" w14:textId="7B553697" w:rsidR="00DF7655" w:rsidRPr="00DF7655" w:rsidRDefault="00DF7655" w:rsidP="00DF7655">
      <w:r w:rsidRPr="00DF7655">
        <w:rPr>
          <w:lang w:val="en-US"/>
        </w:rPr>
        <w:t xml:space="preserve">EMOCLOT </w:t>
      </w:r>
      <w:r w:rsidRPr="00DF7655">
        <w:rPr>
          <w:lang w:eastAsia="bg-BG"/>
        </w:rPr>
        <w:t xml:space="preserve">500 </w:t>
      </w:r>
      <w:r w:rsidRPr="00DF7655">
        <w:rPr>
          <w:lang w:val="en-US"/>
        </w:rPr>
        <w:t>IU powder and solvent for solution for infusion</w:t>
      </w:r>
    </w:p>
    <w:p w14:paraId="0DF202EC" w14:textId="3186227D" w:rsidR="00F53FB7" w:rsidRDefault="00DD466D" w:rsidP="00A93499">
      <w:pPr>
        <w:pStyle w:val="Heading1"/>
      </w:pPr>
      <w:r>
        <w:t>2. КАЧЕСТВЕН И КОЛИЧЕСТВЕН СЪСТАВ</w:t>
      </w:r>
    </w:p>
    <w:p w14:paraId="01E5D88D" w14:textId="69B1431B" w:rsidR="00DF7655" w:rsidRDefault="00DF7655" w:rsidP="00DF7655"/>
    <w:p w14:paraId="26206783" w14:textId="77777777" w:rsidR="00DF7655" w:rsidRPr="00DF7655" w:rsidRDefault="00DF7655" w:rsidP="00DF7655">
      <w:pPr>
        <w:rPr>
          <w:sz w:val="24"/>
          <w:szCs w:val="24"/>
          <w:lang w:eastAsia="bg-BG"/>
        </w:rPr>
      </w:pPr>
      <w:r w:rsidRPr="00DF7655">
        <w:rPr>
          <w:lang w:eastAsia="bg-BG"/>
        </w:rPr>
        <w:t>Човешки плазмен коагулационен фактор VIII, лиофилизиран.</w:t>
      </w:r>
    </w:p>
    <w:p w14:paraId="442FC0D1" w14:textId="77777777" w:rsidR="00DF7655" w:rsidRPr="00DF7655" w:rsidRDefault="00DF7655" w:rsidP="00DF7655">
      <w:pPr>
        <w:rPr>
          <w:sz w:val="24"/>
          <w:szCs w:val="24"/>
          <w:lang w:eastAsia="bg-BG"/>
        </w:rPr>
      </w:pPr>
      <w:r w:rsidRPr="00DF7655">
        <w:rPr>
          <w:lang w:eastAsia="bg-BG"/>
        </w:rPr>
        <w:t xml:space="preserve">Всеки флакон съдържа 500 </w:t>
      </w:r>
      <w:r w:rsidRPr="00DF7655">
        <w:rPr>
          <w:lang w:val="en-US"/>
        </w:rPr>
        <w:t xml:space="preserve">IU </w:t>
      </w:r>
      <w:r w:rsidRPr="00DF7655">
        <w:rPr>
          <w:lang w:eastAsia="bg-BG"/>
        </w:rPr>
        <w:t>човешки коагулационен фактор VIII.</w:t>
      </w:r>
    </w:p>
    <w:p w14:paraId="7704DC8D" w14:textId="77777777" w:rsidR="00DF7655" w:rsidRPr="00DF7655" w:rsidRDefault="00DF7655" w:rsidP="00DF7655">
      <w:pPr>
        <w:rPr>
          <w:sz w:val="24"/>
          <w:szCs w:val="24"/>
          <w:lang w:eastAsia="bg-BG"/>
        </w:rPr>
      </w:pPr>
      <w:r w:rsidRPr="00DF7655">
        <w:rPr>
          <w:lang w:eastAsia="bg-BG"/>
        </w:rPr>
        <w:t xml:space="preserve">ЕМОКЛОТ 500 </w:t>
      </w:r>
      <w:r w:rsidRPr="00DF7655">
        <w:rPr>
          <w:lang w:val="en-US"/>
        </w:rPr>
        <w:t>IU</w:t>
      </w:r>
      <w:r w:rsidRPr="00DF7655">
        <w:rPr>
          <w:lang w:eastAsia="bg-BG"/>
        </w:rPr>
        <w:t xml:space="preserve"> след разтваряне с 10 </w:t>
      </w:r>
      <w:r w:rsidRPr="00DF7655">
        <w:rPr>
          <w:lang w:val="en-US"/>
        </w:rPr>
        <w:t xml:space="preserve">ml </w:t>
      </w:r>
      <w:r w:rsidRPr="00DF7655">
        <w:rPr>
          <w:lang w:eastAsia="bg-BG"/>
        </w:rPr>
        <w:t>разтворител, съдържа приблизително 500 Ш човешки коагулационен фактор VIII.</w:t>
      </w:r>
    </w:p>
    <w:p w14:paraId="108E0A22" w14:textId="77777777" w:rsidR="00DF7655" w:rsidRPr="00DF7655" w:rsidRDefault="00DF7655" w:rsidP="00DF7655">
      <w:pPr>
        <w:rPr>
          <w:sz w:val="24"/>
          <w:szCs w:val="24"/>
          <w:lang w:eastAsia="bg-BG"/>
        </w:rPr>
      </w:pPr>
      <w:r w:rsidRPr="00DF7655">
        <w:rPr>
          <w:lang w:eastAsia="bg-BG"/>
        </w:rPr>
        <w:t xml:space="preserve">ЕМОКЛОТ 500 </w:t>
      </w:r>
      <w:r w:rsidRPr="00DF7655">
        <w:rPr>
          <w:lang w:val="en-US"/>
        </w:rPr>
        <w:t>IU</w:t>
      </w:r>
      <w:r w:rsidRPr="00DF7655">
        <w:rPr>
          <w:lang w:eastAsia="bg-BG"/>
        </w:rPr>
        <w:t xml:space="preserve"> се предлага под формата на прах и разтворител за инфузионен разтвор и съдържа:</w:t>
      </w:r>
    </w:p>
    <w:p w14:paraId="50685141" w14:textId="5C236B4B" w:rsidR="00DF7655" w:rsidRDefault="00DF7655" w:rsidP="00DF76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9"/>
        <w:gridCol w:w="2421"/>
      </w:tblGrid>
      <w:tr w:rsidR="00DF7655" w14:paraId="13C03A8C" w14:textId="77777777" w:rsidTr="00DF7655">
        <w:tc>
          <w:tcPr>
            <w:tcW w:w="7054" w:type="dxa"/>
          </w:tcPr>
          <w:p w14:paraId="1931EF39" w14:textId="77777777" w:rsidR="00DF7655" w:rsidRDefault="00DF7655" w:rsidP="00DF7655"/>
        </w:tc>
        <w:tc>
          <w:tcPr>
            <w:tcW w:w="2446" w:type="dxa"/>
          </w:tcPr>
          <w:p w14:paraId="2BB32C88" w14:textId="01B29088" w:rsidR="00DF7655" w:rsidRPr="00DF7655" w:rsidRDefault="00DF7655" w:rsidP="00DF7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7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ЕМОКЛОТ 500 </w:t>
            </w:r>
            <w:r w:rsidRPr="00DF76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IU</w:t>
            </w:r>
          </w:p>
        </w:tc>
      </w:tr>
      <w:tr w:rsidR="00DF7655" w14:paraId="722250C0" w14:textId="77777777" w:rsidTr="00DF7655">
        <w:tc>
          <w:tcPr>
            <w:tcW w:w="7054" w:type="dxa"/>
          </w:tcPr>
          <w:p w14:paraId="5092B7DE" w14:textId="6E4F70B1" w:rsidR="00DF7655" w:rsidRDefault="00DF7655" w:rsidP="00DF7655">
            <w:r>
              <w:t>човешки плазмен коагулационен фактор VIII</w:t>
            </w:r>
          </w:p>
        </w:tc>
        <w:tc>
          <w:tcPr>
            <w:tcW w:w="2446" w:type="dxa"/>
          </w:tcPr>
          <w:p w14:paraId="27A4A388" w14:textId="78A321F8" w:rsidR="00DF7655" w:rsidRDefault="00DF7655" w:rsidP="00DF7655">
            <w:r>
              <w:t xml:space="preserve">500 </w:t>
            </w:r>
            <w:r>
              <w:rPr>
                <w:lang w:val="en-US"/>
              </w:rPr>
              <w:t>IU</w:t>
            </w:r>
            <w:r>
              <w:t>/флакон</w:t>
            </w:r>
          </w:p>
        </w:tc>
      </w:tr>
      <w:tr w:rsidR="00DF7655" w14:paraId="55CA8410" w14:textId="77777777" w:rsidTr="00DF7655">
        <w:tc>
          <w:tcPr>
            <w:tcW w:w="7054" w:type="dxa"/>
          </w:tcPr>
          <w:p w14:paraId="2980C65E" w14:textId="255B280C" w:rsidR="00DF7655" w:rsidRDefault="00DF7655" w:rsidP="00DF7655">
            <w:r>
              <w:t>човешки плазмен коагулационен фактор</w:t>
            </w:r>
            <w:r>
              <w:rPr>
                <w:lang w:val="en-US"/>
              </w:rPr>
              <w:t xml:space="preserve"> </w:t>
            </w:r>
            <w:r>
              <w:t>VIII, разтворен с вода за инжекции</w:t>
            </w:r>
          </w:p>
        </w:tc>
        <w:tc>
          <w:tcPr>
            <w:tcW w:w="2446" w:type="dxa"/>
          </w:tcPr>
          <w:p w14:paraId="351C1F10" w14:textId="77777777" w:rsidR="00DF7655" w:rsidRDefault="00DF7655" w:rsidP="00DF7655">
            <w:r>
              <w:t xml:space="preserve">50 </w:t>
            </w:r>
            <w:r>
              <w:rPr>
                <w:lang w:val="en-US"/>
              </w:rPr>
              <w:t>IU</w:t>
            </w:r>
            <w:r>
              <w:t>/ мл.</w:t>
            </w:r>
          </w:p>
          <w:p w14:paraId="4C46DE49" w14:textId="12E08653" w:rsidR="00DF7655" w:rsidRDefault="00DF7655" w:rsidP="00DF7655">
            <w:r>
              <w:t xml:space="preserve">(500 </w:t>
            </w:r>
            <w:r>
              <w:rPr>
                <w:lang w:val="en-US"/>
              </w:rPr>
              <w:t>IU</w:t>
            </w:r>
            <w:r>
              <w:t>/10</w:t>
            </w:r>
            <w:r>
              <w:rPr>
                <w:lang w:val="en-US"/>
              </w:rPr>
              <w:t xml:space="preserve"> </w:t>
            </w:r>
            <w:r>
              <w:t>мл.)</w:t>
            </w:r>
          </w:p>
        </w:tc>
      </w:tr>
      <w:tr w:rsidR="00DF7655" w14:paraId="7A23B2B9" w14:textId="77777777" w:rsidTr="00DF7655">
        <w:tc>
          <w:tcPr>
            <w:tcW w:w="7054" w:type="dxa"/>
          </w:tcPr>
          <w:p w14:paraId="55394914" w14:textId="4A8DEC01" w:rsidR="00DF7655" w:rsidRDefault="00DF7655" w:rsidP="00DF7655">
            <w:r>
              <w:t>обем на разтворителя</w:t>
            </w:r>
          </w:p>
        </w:tc>
        <w:tc>
          <w:tcPr>
            <w:tcW w:w="2446" w:type="dxa"/>
          </w:tcPr>
          <w:p w14:paraId="11B57A5B" w14:textId="41A3B1A3" w:rsidR="00DF7655" w:rsidRDefault="00DF7655" w:rsidP="00DF7655">
            <w:r>
              <w:t>10 мл.</w:t>
            </w:r>
          </w:p>
        </w:tc>
      </w:tr>
    </w:tbl>
    <w:p w14:paraId="55D81148" w14:textId="2EE6011F" w:rsidR="00DF7655" w:rsidRDefault="00DF7655" w:rsidP="00DF7655"/>
    <w:p w14:paraId="65DE68AF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Активността е определена чрез хромогенен анализ по Европейската фармакопея.</w:t>
      </w:r>
    </w:p>
    <w:p w14:paraId="2062ED06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 xml:space="preserve">Специфичната активност на ЕМОКЛОТ е приблизително 80 </w:t>
      </w:r>
      <w:r w:rsidRPr="00DF7655">
        <w:rPr>
          <w:rFonts w:eastAsia="Times New Roman" w:cs="Arial"/>
          <w:color w:val="000000"/>
          <w:lang w:val="en-US"/>
        </w:rPr>
        <w:t>IU</w:t>
      </w:r>
      <w:r w:rsidRPr="00DF7655">
        <w:rPr>
          <w:rFonts w:eastAsia="Times New Roman" w:cs="Arial"/>
          <w:color w:val="000000"/>
          <w:lang w:eastAsia="bg-BG"/>
        </w:rPr>
        <w:t>/мг. белтък.</w:t>
      </w:r>
    </w:p>
    <w:p w14:paraId="0E2BC4CB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Произведен е от плазма от човешки донори.</w:t>
      </w:r>
    </w:p>
    <w:p w14:paraId="40294968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Този препарат съдържа човешки фактор на фон Вилебранд.</w:t>
      </w:r>
    </w:p>
    <w:p w14:paraId="5B84820A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AF1F453" w14:textId="1E2A657F" w:rsidR="00DF7655" w:rsidRPr="00DF7655" w:rsidRDefault="00DF7655" w:rsidP="00DF76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Ексципиент(и) с известен ефект: лекарственият продукт съдържа до 41 мг натрий в един флакон</w:t>
      </w:r>
      <w:r w:rsidRPr="00DF7655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14:paraId="48C5C420" w14:textId="77777777" w:rsidR="00DF7655" w:rsidRPr="00DF7655" w:rsidRDefault="00DF7655" w:rsidP="00DF7655"/>
    <w:p w14:paraId="4CABB9ED" w14:textId="1C9A271D" w:rsidR="00F53FB7" w:rsidRDefault="00DD466D" w:rsidP="00A93499">
      <w:pPr>
        <w:pStyle w:val="Heading1"/>
      </w:pPr>
      <w:r>
        <w:t>3. ЛЕКАРСТВЕНА ФОРМА</w:t>
      </w:r>
    </w:p>
    <w:p w14:paraId="60DB3A75" w14:textId="555E79D0" w:rsidR="00DF7655" w:rsidRDefault="00DF7655" w:rsidP="00DF7655"/>
    <w:p w14:paraId="14DD922D" w14:textId="77777777" w:rsidR="00DF7655" w:rsidRPr="00DF7655" w:rsidRDefault="00DF7655" w:rsidP="00DF7655">
      <w:pPr>
        <w:rPr>
          <w:sz w:val="24"/>
          <w:szCs w:val="24"/>
          <w:lang w:eastAsia="bg-BG"/>
        </w:rPr>
      </w:pPr>
      <w:r w:rsidRPr="00DF7655">
        <w:rPr>
          <w:lang w:eastAsia="bg-BG"/>
        </w:rPr>
        <w:t>Прах и разтворител за инфузионен разтвор.</w:t>
      </w:r>
    </w:p>
    <w:p w14:paraId="2473FC34" w14:textId="0DEDCFC2" w:rsidR="00DF7655" w:rsidRPr="00DF7655" w:rsidRDefault="00DF7655" w:rsidP="00DF7655">
      <w:pPr>
        <w:rPr>
          <w:sz w:val="24"/>
          <w:szCs w:val="24"/>
          <w:lang w:eastAsia="bg-BG"/>
        </w:rPr>
      </w:pPr>
      <w:r w:rsidRPr="00DF7655">
        <w:rPr>
          <w:lang w:eastAsia="bg-BG"/>
        </w:rPr>
        <w:t>Лекарственият продукт е бял или светло жълт, хигроскопичен прах или ронливо твърдо вещество.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17B26D65" w:rsidR="009F77A4" w:rsidRDefault="002C50EE" w:rsidP="00387A66">
      <w:pPr>
        <w:pStyle w:val="Heading2"/>
      </w:pPr>
      <w:r>
        <w:t>4.1. Терапевтични показания</w:t>
      </w:r>
    </w:p>
    <w:p w14:paraId="331B7769" w14:textId="3FC0C811" w:rsidR="00DF7655" w:rsidRDefault="00DF7655" w:rsidP="00DF7655"/>
    <w:p w14:paraId="61C8149B" w14:textId="12078ACD" w:rsidR="00DF7655" w:rsidRDefault="00DF7655" w:rsidP="00DF7655">
      <w:r>
        <w:t>Лечение и профилактика на кръвоизливи при пациенти с хемофилия А (вроден дефицит на фактор VIII).</w:t>
      </w:r>
    </w:p>
    <w:p w14:paraId="4664A10E" w14:textId="1D8373F9" w:rsidR="00DF7655" w:rsidRDefault="00DF7655" w:rsidP="00DF7655"/>
    <w:p w14:paraId="5A20067E" w14:textId="77777777" w:rsidR="00DF7655" w:rsidRPr="00DF7655" w:rsidRDefault="00DF7655" w:rsidP="00DF7655">
      <w:pPr>
        <w:rPr>
          <w:sz w:val="24"/>
          <w:szCs w:val="24"/>
          <w:lang w:eastAsia="bg-BG"/>
        </w:rPr>
      </w:pPr>
      <w:r w:rsidRPr="00DF7655">
        <w:rPr>
          <w:lang w:eastAsia="bg-BG"/>
        </w:rPr>
        <w:t>Лечение на придобит дефицит на фактор VIII.</w:t>
      </w:r>
    </w:p>
    <w:p w14:paraId="5704E1C9" w14:textId="19A5EAE4" w:rsidR="00DF7655" w:rsidRPr="00DF7655" w:rsidRDefault="00DF7655" w:rsidP="00DF7655">
      <w:r w:rsidRPr="00DF7655">
        <w:rPr>
          <w:lang w:eastAsia="bg-BG"/>
        </w:rPr>
        <w:t>Лечение на хемофилици с антитела срещу фактор VIII (инхибитори: виж също 4.4).</w:t>
      </w:r>
    </w:p>
    <w:p w14:paraId="31744E5A" w14:textId="16CC6639" w:rsidR="009F77A4" w:rsidRDefault="002C50EE" w:rsidP="00387A66">
      <w:pPr>
        <w:pStyle w:val="Heading2"/>
      </w:pPr>
      <w:r>
        <w:lastRenderedPageBreak/>
        <w:t>4.2. Дозировка и начин на приложение</w:t>
      </w:r>
    </w:p>
    <w:p w14:paraId="3A7A5C71" w14:textId="03393CB0" w:rsidR="00DF7655" w:rsidRDefault="00DF7655" w:rsidP="00DF7655"/>
    <w:p w14:paraId="17ADED91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Лечението трябва да започне под наблюдение на лекар специалист в лечението на хемо филия.</w:t>
      </w:r>
    </w:p>
    <w:p w14:paraId="75CE62F0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67F9D69" w14:textId="30C44D18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u w:val="single"/>
          <w:lang w:eastAsia="bg-BG"/>
        </w:rPr>
        <w:t>Проследяване на лечението</w:t>
      </w:r>
    </w:p>
    <w:p w14:paraId="68C66E6E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По време на лечението се препоръчва подходящо определяне на нивата на фактор VIII, за да се определи дозата, която трябва да се приложи и честотата на повторните инфузии. Отделните пациенти могат да варират в отговора си на фактор VIII, демонстрирайки различен полуживот и възстановяване. Дозата на базата на телесно тегло може да изисква корекция при пациенти с ниско тегло или с наднормено тегло.</w:t>
      </w:r>
    </w:p>
    <w:p w14:paraId="3B5F01CD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F874F06" w14:textId="09B68D7F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В случай на големи хирургични интервенции, е необходимо точното наблюдение на заместващата терапия чрез коагулационен анализ (активност на плазмения фактор VIII).</w:t>
      </w:r>
    </w:p>
    <w:p w14:paraId="708651E6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4EF6396" w14:textId="46D4E5F2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 xml:space="preserve">Когато за определяне на активността на фактор VIII се използва </w:t>
      </w:r>
      <w:r w:rsidRPr="00DF7655">
        <w:rPr>
          <w:rFonts w:eastAsia="Times New Roman" w:cs="Arial"/>
          <w:color w:val="000000"/>
          <w:lang w:val="en-US"/>
        </w:rPr>
        <w:t xml:space="preserve">in vitro </w:t>
      </w:r>
      <w:r w:rsidRPr="00DF7655">
        <w:rPr>
          <w:rFonts w:eastAsia="Times New Roman" w:cs="Arial"/>
          <w:color w:val="000000"/>
          <w:lang w:eastAsia="bg-BG"/>
        </w:rPr>
        <w:t>анали,з основан на тромбопластиново време (аРТТ)</w:t>
      </w:r>
      <w:r w:rsidRPr="00DF7655">
        <w:rPr>
          <w:rFonts w:eastAsia="Times New Roman" w:cs="Arial"/>
          <w:color w:val="000000"/>
          <w:lang w:val="en-US"/>
        </w:rPr>
        <w:t>I</w:t>
      </w:r>
      <w:r w:rsidRPr="00DF7655">
        <w:rPr>
          <w:rFonts w:eastAsia="Times New Roman" w:cs="Arial"/>
          <w:color w:val="000000"/>
          <w:lang w:eastAsia="bg-BG"/>
        </w:rPr>
        <w:t>, резултатите от активността на плазмения фактор VIII могат да бъдат значително повлияни както от типа на реагента на аРТТ, така и от референтиия стандарт, използван при анализа. Също така може да има значителни несъответствия между резултатите от анализа, получени чрез един етап на кръвосъсирване на базата на аРТТ, и хромогенния анализ съгласно Европейска фармакопея. Това е особено важно при смяна на лабораторията и / или реагентите, използвани в анализа.</w:t>
      </w:r>
    </w:p>
    <w:p w14:paraId="75F93ED0" w14:textId="77777777" w:rsidR="00DF7655" w:rsidRPr="00DF7655" w:rsidRDefault="00DF7655" w:rsidP="00DF765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ECC3322" w14:textId="6C00CE5A" w:rsidR="00DF7655" w:rsidRPr="00DF7655" w:rsidRDefault="00DF7655" w:rsidP="00DF7655">
      <w:pPr>
        <w:pStyle w:val="Heading3"/>
        <w:rPr>
          <w:rFonts w:eastAsia="Times New Roman"/>
          <w:u w:val="single"/>
          <w:lang w:eastAsia="bg-BG"/>
        </w:rPr>
      </w:pPr>
      <w:r w:rsidRPr="00DF7655">
        <w:rPr>
          <w:rFonts w:eastAsia="Times New Roman"/>
          <w:u w:val="single"/>
          <w:lang w:eastAsia="bg-BG"/>
        </w:rPr>
        <w:t>Дозировка</w:t>
      </w:r>
    </w:p>
    <w:p w14:paraId="4AD25753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Дозировката и продължителността на заместители ата терапия зависят от тежестта на дефицита на фактор VIII, локализацията и тежестта на кръвоизлива и клиничното състояние на пациента.</w:t>
      </w:r>
    </w:p>
    <w:p w14:paraId="6EB076B5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26CD8EF" w14:textId="75EBB5F5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Количеството единици на фактор VIII, които трябва да се приложат, се изразява в международни единици (</w:t>
      </w:r>
      <w:r w:rsidRPr="00DF7655">
        <w:rPr>
          <w:rFonts w:eastAsia="Times New Roman" w:cs="Arial"/>
          <w:color w:val="000000"/>
          <w:lang w:val="en-US"/>
        </w:rPr>
        <w:t>IU</w:t>
      </w:r>
      <w:r w:rsidRPr="00DF7655">
        <w:rPr>
          <w:rFonts w:eastAsia="Times New Roman" w:cs="Arial"/>
          <w:color w:val="000000"/>
          <w:lang w:eastAsia="bg-BG"/>
        </w:rPr>
        <w:t>), които са определени спрямо настоящия стандарт на СЗО за продукти, съдържащи фактор VIII. Активността на фактор VIII в плазмата се изразява в проценти (по отношение на нормалната човешка плазма).</w:t>
      </w:r>
    </w:p>
    <w:p w14:paraId="24CAEAC5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Една международна единица фактор VIII е еквивалентна на количеството фактор VIII, съдържащо се в един милилитър нормална човешка плазма.</w:t>
      </w:r>
    </w:p>
    <w:p w14:paraId="222FA99F" w14:textId="77777777" w:rsidR="00DF7655" w:rsidRPr="00DF7655" w:rsidRDefault="00DF7655" w:rsidP="00DF765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79D45E9" w14:textId="02C6DD9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i/>
          <w:iCs/>
          <w:color w:val="000000"/>
          <w:u w:val="single"/>
          <w:lang w:eastAsia="bg-BG"/>
        </w:rPr>
        <w:t>Лечение при нужда</w:t>
      </w:r>
    </w:p>
    <w:p w14:paraId="078FCAEC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 xml:space="preserve">Изчисляването на необходимата доза фактор VIII се базира на емпирично установения факт, че 1 международна единица </w:t>
      </w:r>
      <w:r w:rsidRPr="00DF7655">
        <w:rPr>
          <w:rFonts w:eastAsia="Times New Roman" w:cs="Arial"/>
          <w:color w:val="000000"/>
          <w:lang w:val="en-US"/>
        </w:rPr>
        <w:t xml:space="preserve">(IU) </w:t>
      </w:r>
      <w:r w:rsidRPr="00DF7655">
        <w:rPr>
          <w:rFonts w:eastAsia="Times New Roman" w:cs="Arial"/>
          <w:color w:val="000000"/>
          <w:lang w:eastAsia="bg-BG"/>
        </w:rPr>
        <w:t>фактор VIII на килограм телесно тегло повишава активността на плазмения фактор VIII с 1.5% до 2% от нормална активност. Нужната доза се определя, като се използва следната формула:</w:t>
      </w:r>
    </w:p>
    <w:p w14:paraId="04E5C2B0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26879F4" w14:textId="198B0259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 xml:space="preserve">Необходими единици = телесно тегло (кг) х желаното повишение на фактор VIII (%) </w:t>
      </w:r>
      <w:r w:rsidRPr="00DF7655">
        <w:rPr>
          <w:rFonts w:eastAsia="Times New Roman" w:cs="Arial"/>
          <w:color w:val="000000"/>
          <w:lang w:val="en-US"/>
        </w:rPr>
        <w:t xml:space="preserve">(IU/dl) </w:t>
      </w:r>
      <w:r w:rsidRPr="00DF7655">
        <w:rPr>
          <w:rFonts w:eastAsia="Times New Roman" w:cs="Arial"/>
          <w:color w:val="000000"/>
          <w:lang w:eastAsia="bg-BG"/>
        </w:rPr>
        <w:t>х 0.4</w:t>
      </w:r>
    </w:p>
    <w:p w14:paraId="7C1BE90A" w14:textId="77777777" w:rsidR="00DF7655" w:rsidRPr="00DF7655" w:rsidRDefault="00DF7655" w:rsidP="00DF7655">
      <w:pPr>
        <w:rPr>
          <w:rFonts w:eastAsia="Times New Roman" w:cs="Arial"/>
          <w:color w:val="000000"/>
          <w:lang w:eastAsia="bg-BG"/>
        </w:rPr>
      </w:pPr>
    </w:p>
    <w:p w14:paraId="45D9D30D" w14:textId="05FE413E" w:rsidR="00DF7655" w:rsidRPr="00DF7655" w:rsidRDefault="00DF7655" w:rsidP="00DF7655">
      <w:pPr>
        <w:rPr>
          <w:rFonts w:eastAsia="Times New Roman" w:cs="Arial"/>
          <w:color w:val="000000"/>
          <w:lang w:val="en-US" w:eastAsia="bg-BG"/>
        </w:rPr>
      </w:pPr>
      <w:r w:rsidRPr="00DF7655">
        <w:rPr>
          <w:rFonts w:eastAsia="Times New Roman" w:cs="Arial"/>
          <w:color w:val="000000"/>
          <w:lang w:eastAsia="bg-BG"/>
        </w:rPr>
        <w:t>Количеството, което трябва да се приложи, както и честотата на приложение, трябва винаги да бъдат съобразени с клиничната ефективност при всеки отделен случай</w:t>
      </w:r>
      <w:r w:rsidRPr="00DF7655">
        <w:rPr>
          <w:rFonts w:eastAsia="Times New Roman" w:cs="Arial"/>
          <w:color w:val="000000"/>
          <w:lang w:val="en-US" w:eastAsia="bg-BG"/>
        </w:rPr>
        <w:t>.</w:t>
      </w:r>
    </w:p>
    <w:p w14:paraId="0619A964" w14:textId="218407D8" w:rsidR="00DF7655" w:rsidRPr="00DF7655" w:rsidRDefault="00DF7655" w:rsidP="00DF7655">
      <w:pPr>
        <w:rPr>
          <w:rFonts w:eastAsia="Times New Roman" w:cs="Arial"/>
          <w:color w:val="000000"/>
          <w:lang w:val="en-US" w:eastAsia="bg-BG"/>
        </w:rPr>
      </w:pPr>
    </w:p>
    <w:p w14:paraId="612DAAE1" w14:textId="199C1619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 xml:space="preserve">В случай на следните хеморагични инциденти, активността на фактор VIII в съответния период не трябва да пада под даденото ниво на плазмена активност (в % от нормалното). </w:t>
      </w:r>
      <w:r w:rsidRPr="00DF7655">
        <w:rPr>
          <w:rFonts w:eastAsia="Times New Roman" w:cs="Arial"/>
          <w:color w:val="000000"/>
          <w:lang w:eastAsia="bg-BG"/>
        </w:rPr>
        <w:lastRenderedPageBreak/>
        <w:t xml:space="preserve">Следната таблица може да се използва като указание за определяне на дозировката при случаи на кръвоизливи и </w:t>
      </w:r>
      <w:r w:rsidRPr="00DF7655">
        <w:rPr>
          <w:rFonts w:eastAsia="Times New Roman" w:cs="Arial"/>
          <w:i/>
          <w:iCs/>
          <w:color w:val="000000"/>
          <w:lang w:eastAsia="bg-BG"/>
        </w:rPr>
        <w:t>в</w:t>
      </w:r>
      <w:r w:rsidRPr="00DF7655">
        <w:rPr>
          <w:rFonts w:eastAsia="Times New Roman" w:cs="Arial"/>
          <w:color w:val="000000"/>
          <w:lang w:eastAsia="bg-BG"/>
        </w:rPr>
        <w:t xml:space="preserve"> хирургията: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24"/>
      </w:tblGrid>
      <w:tr w:rsidR="00DF7655" w14:paraId="3232C453" w14:textId="77777777" w:rsidTr="00DF7655">
        <w:tc>
          <w:tcPr>
            <w:tcW w:w="3166" w:type="dxa"/>
          </w:tcPr>
          <w:p w14:paraId="4C347FE9" w14:textId="526862E9" w:rsidR="00DF7655" w:rsidRDefault="00DF7655" w:rsidP="00DF7655">
            <w:r>
              <w:rPr>
                <w:b/>
                <w:bCs/>
              </w:rPr>
              <w:t>Тежест на кръвоизлива/ тип хирургична интервенция</w:t>
            </w:r>
          </w:p>
        </w:tc>
        <w:tc>
          <w:tcPr>
            <w:tcW w:w="3167" w:type="dxa"/>
          </w:tcPr>
          <w:p w14:paraId="151BDD25" w14:textId="09A76B60" w:rsidR="00DF7655" w:rsidRDefault="00DF7655" w:rsidP="00DF7655">
            <w:r>
              <w:rPr>
                <w:b/>
                <w:bCs/>
              </w:rPr>
              <w:t xml:space="preserve">Прицелно ниво на фактор VIII (%) </w:t>
            </w:r>
            <w:r>
              <w:rPr>
                <w:b/>
                <w:bCs/>
                <w:lang w:val="en-US"/>
              </w:rPr>
              <w:t>(IU/dl)</w:t>
            </w:r>
          </w:p>
        </w:tc>
        <w:tc>
          <w:tcPr>
            <w:tcW w:w="3167" w:type="dxa"/>
          </w:tcPr>
          <w:p w14:paraId="68FFA390" w14:textId="76CEF679" w:rsidR="00DF7655" w:rsidRDefault="00DF7655" w:rsidP="00DF7655">
            <w:r>
              <w:rPr>
                <w:b/>
                <w:bCs/>
              </w:rPr>
              <w:t>Честота на приложение (часове)/ Продължителност на лечението (дни)</w:t>
            </w:r>
          </w:p>
        </w:tc>
      </w:tr>
      <w:tr w:rsidR="00DF7655" w14:paraId="21DDCE0B" w14:textId="77777777" w:rsidTr="00DF7655">
        <w:tc>
          <w:tcPr>
            <w:tcW w:w="3166" w:type="dxa"/>
          </w:tcPr>
          <w:p w14:paraId="7CD26D6D" w14:textId="77777777" w:rsidR="00DF7655" w:rsidRDefault="00DF7655" w:rsidP="00DF7655">
            <w:r>
              <w:rPr>
                <w:u w:val="single"/>
              </w:rPr>
              <w:t>Кръвоизливи</w:t>
            </w:r>
          </w:p>
          <w:p w14:paraId="60A2650A" w14:textId="2FBCD6F9" w:rsidR="00DF7655" w:rsidRDefault="00DF7655" w:rsidP="00DF7655">
            <w:r>
              <w:t>Начална хемартоза, мускулен кръвоизлив или кръвоизлив в устната кухина</w:t>
            </w:r>
          </w:p>
        </w:tc>
        <w:tc>
          <w:tcPr>
            <w:tcW w:w="3167" w:type="dxa"/>
          </w:tcPr>
          <w:p w14:paraId="510B1603" w14:textId="7A8FE958" w:rsidR="00DF7655" w:rsidRDefault="00DF7655" w:rsidP="00DF7655">
            <w:r>
              <w:t>20-40</w:t>
            </w:r>
          </w:p>
        </w:tc>
        <w:tc>
          <w:tcPr>
            <w:tcW w:w="3167" w:type="dxa"/>
          </w:tcPr>
          <w:p w14:paraId="315841B7" w14:textId="7DF7BB78" w:rsidR="00DF7655" w:rsidRDefault="00DF7655" w:rsidP="00DF7655">
            <w:r>
              <w:t>Повтарят се на всеки 12 до 24 часа. Най-малко 1 денонощие, докато кръвоизливът бъде овладян, като показател е болката, или се постигне адекватно заздравяване.</w:t>
            </w:r>
          </w:p>
        </w:tc>
      </w:tr>
      <w:tr w:rsidR="00DF7655" w14:paraId="75C1F5D8" w14:textId="77777777" w:rsidTr="00DF7655">
        <w:tc>
          <w:tcPr>
            <w:tcW w:w="3166" w:type="dxa"/>
          </w:tcPr>
          <w:p w14:paraId="55363730" w14:textId="23DFD704" w:rsidR="00DF7655" w:rsidRDefault="00DF7655" w:rsidP="00DF7655">
            <w:r>
              <w:t>По-силно изразена хемартроза, мускулен кръвоизлив или хематом</w:t>
            </w:r>
          </w:p>
        </w:tc>
        <w:tc>
          <w:tcPr>
            <w:tcW w:w="3167" w:type="dxa"/>
          </w:tcPr>
          <w:p w14:paraId="1BF01950" w14:textId="5D4887FF" w:rsidR="00DF7655" w:rsidRDefault="00DF7655" w:rsidP="00DF7655">
            <w:r>
              <w:t>30-60</w:t>
            </w:r>
          </w:p>
        </w:tc>
        <w:tc>
          <w:tcPr>
            <w:tcW w:w="3167" w:type="dxa"/>
          </w:tcPr>
          <w:p w14:paraId="6507C29D" w14:textId="42962FC8" w:rsidR="00DF7655" w:rsidRDefault="00DF7655" w:rsidP="00DF7655">
            <w:r>
              <w:t>Инфузиите се повтарят на всеки 12-24 часа в продължение на 3-4 дни или повече, до овладяване на болката и острите симптоми.</w:t>
            </w:r>
          </w:p>
        </w:tc>
      </w:tr>
      <w:tr w:rsidR="00DF7655" w14:paraId="3D63D031" w14:textId="77777777" w:rsidTr="00DF7655">
        <w:tc>
          <w:tcPr>
            <w:tcW w:w="3166" w:type="dxa"/>
          </w:tcPr>
          <w:p w14:paraId="2D01667E" w14:textId="16B3E5F3" w:rsidR="00DF7655" w:rsidRDefault="00DF7655" w:rsidP="00DF7655">
            <w:r>
              <w:t>Животозастрашаващи кръвоизливи</w:t>
            </w:r>
          </w:p>
        </w:tc>
        <w:tc>
          <w:tcPr>
            <w:tcW w:w="3167" w:type="dxa"/>
          </w:tcPr>
          <w:p w14:paraId="29C5AF8A" w14:textId="0E894A09" w:rsidR="00DF7655" w:rsidRDefault="00DF7655" w:rsidP="00DF7655">
            <w:r>
              <w:t>60-100</w:t>
            </w:r>
          </w:p>
        </w:tc>
        <w:tc>
          <w:tcPr>
            <w:tcW w:w="3167" w:type="dxa"/>
          </w:tcPr>
          <w:p w14:paraId="1FEC0AB7" w14:textId="43E9FBEF" w:rsidR="00DF7655" w:rsidRDefault="00DF7655" w:rsidP="00DF7655">
            <w:r>
              <w:t>Инфузиите се повтарят на всеки 8 до 24 часа до овладяване на състоянието.</w:t>
            </w:r>
          </w:p>
        </w:tc>
      </w:tr>
      <w:tr w:rsidR="00DF7655" w14:paraId="7E4F12D3" w14:textId="77777777" w:rsidTr="00DF7655">
        <w:tc>
          <w:tcPr>
            <w:tcW w:w="3166" w:type="dxa"/>
          </w:tcPr>
          <w:p w14:paraId="3936CD1B" w14:textId="0272D04D" w:rsidR="00DF7655" w:rsidRDefault="00DF7655" w:rsidP="00DF7655">
            <w:r>
              <w:rPr>
                <w:u w:val="single"/>
              </w:rPr>
              <w:t xml:space="preserve">Хирургични интервенции </w:t>
            </w:r>
            <w:r>
              <w:t>Малки, включително зъбни екстракции</w:t>
            </w:r>
          </w:p>
        </w:tc>
        <w:tc>
          <w:tcPr>
            <w:tcW w:w="3167" w:type="dxa"/>
          </w:tcPr>
          <w:p w14:paraId="06674E78" w14:textId="09ADD099" w:rsidR="00DF7655" w:rsidRDefault="00DF7655" w:rsidP="00DF7655">
            <w:r>
              <w:t>30-60</w:t>
            </w:r>
          </w:p>
        </w:tc>
        <w:tc>
          <w:tcPr>
            <w:tcW w:w="3167" w:type="dxa"/>
          </w:tcPr>
          <w:p w14:paraId="4439F3E9" w14:textId="6C284104" w:rsidR="00DF7655" w:rsidRDefault="00DF7655" w:rsidP="00DF7655">
            <w:r>
              <w:t>На всеки 24 часа, поне за 1 денонощие до заздравяване.</w:t>
            </w:r>
          </w:p>
        </w:tc>
      </w:tr>
      <w:tr w:rsidR="00DF7655" w14:paraId="638E0518" w14:textId="77777777" w:rsidTr="00DF7655">
        <w:tc>
          <w:tcPr>
            <w:tcW w:w="3166" w:type="dxa"/>
          </w:tcPr>
          <w:p w14:paraId="3A92190C" w14:textId="5F533991" w:rsidR="00DF7655" w:rsidRDefault="00DF7655" w:rsidP="00DF7655">
            <w:r>
              <w:rPr>
                <w:u w:val="single"/>
              </w:rPr>
              <w:t>Големи</w:t>
            </w:r>
          </w:p>
        </w:tc>
        <w:tc>
          <w:tcPr>
            <w:tcW w:w="3167" w:type="dxa"/>
          </w:tcPr>
          <w:p w14:paraId="11D7A685" w14:textId="16D45BCD" w:rsidR="00DF7655" w:rsidRDefault="00DF7655" w:rsidP="00DF7655">
            <w:r>
              <w:t>80-100 (пре- и пост- оперативно)</w:t>
            </w:r>
          </w:p>
        </w:tc>
        <w:tc>
          <w:tcPr>
            <w:tcW w:w="3167" w:type="dxa"/>
          </w:tcPr>
          <w:p w14:paraId="191C08E5" w14:textId="6BD27F11" w:rsidR="00DF7655" w:rsidRDefault="00DF7655" w:rsidP="00DF7655">
            <w:r>
              <w:t xml:space="preserve">Инфузиите се повтарят на всеки 8-24 часа до адекватно заздравяване на оперативната рана; след това се прилага лечение поне 7 дни за поддържане на активност на фактор VIII в границите на 30% до 60% (30 </w:t>
            </w:r>
            <w:r>
              <w:rPr>
                <w:lang w:val="en-US"/>
              </w:rPr>
              <w:t xml:space="preserve">IU/dl </w:t>
            </w:r>
            <w:r>
              <w:t xml:space="preserve">- 60 </w:t>
            </w:r>
            <w:r>
              <w:rPr>
                <w:lang w:val="en-US"/>
              </w:rPr>
              <w:t>IU/dl).</w:t>
            </w:r>
          </w:p>
        </w:tc>
      </w:tr>
    </w:tbl>
    <w:p w14:paraId="23AC20F3" w14:textId="1D78CEFD" w:rsidR="00DF7655" w:rsidRDefault="00DF7655" w:rsidP="00DF7655"/>
    <w:p w14:paraId="1CCA827D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i/>
          <w:iCs/>
          <w:color w:val="000000"/>
          <w:u w:val="single"/>
          <w:lang w:eastAsia="bg-BG"/>
        </w:rPr>
        <w:t>Профилактика</w:t>
      </w:r>
    </w:p>
    <w:p w14:paraId="1FFCB301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 xml:space="preserve">За дългосрочна профилактика на кръвоизливите при пациенти с тежка хемофилия А трябва да се прилагат дози от 20 до 40 </w:t>
      </w:r>
      <w:r w:rsidRPr="00DF7655">
        <w:rPr>
          <w:rFonts w:eastAsia="Times New Roman" w:cs="Arial"/>
          <w:color w:val="000000"/>
          <w:lang w:val="en-US"/>
        </w:rPr>
        <w:t>IU</w:t>
      </w:r>
      <w:r w:rsidRPr="00DF7655">
        <w:rPr>
          <w:rFonts w:eastAsia="Times New Roman" w:cs="Arial"/>
          <w:color w:val="000000"/>
          <w:lang w:eastAsia="bg-BG"/>
        </w:rPr>
        <w:t xml:space="preserve"> от фактор VIII на килограм телесно тегло на интервали от 2 до 3 дни. В някои случаи, особено при по-млади пациенти, може да са необходими по- кратки интервали на приложение или по-високи дози.</w:t>
      </w:r>
    </w:p>
    <w:p w14:paraId="0087AD6B" w14:textId="77777777" w:rsidR="00DF7655" w:rsidRPr="00DF7655" w:rsidRDefault="00DF7655" w:rsidP="00DF765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C6BECAE" w14:textId="0ECA4362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i/>
          <w:iCs/>
          <w:color w:val="000000"/>
          <w:u w:val="single"/>
          <w:lang w:eastAsia="bg-BG"/>
        </w:rPr>
        <w:t>Употреба при деца</w:t>
      </w:r>
    </w:p>
    <w:p w14:paraId="3EA9890A" w14:textId="13639559" w:rsidR="00DF7655" w:rsidRPr="00DF7655" w:rsidRDefault="00DF7655" w:rsidP="00DF7655">
      <w:pPr>
        <w:rPr>
          <w:rFonts w:cs="Arial"/>
        </w:rPr>
      </w:pPr>
      <w:r w:rsidRPr="00DF7655">
        <w:rPr>
          <w:rFonts w:eastAsia="Times New Roman" w:cs="Arial"/>
          <w:color w:val="000000"/>
          <w:lang w:eastAsia="bg-BG"/>
        </w:rPr>
        <w:t>Безопасността и ефикасността на ЕМОКЛОТ при деца под 12 години все още не са установени.</w:t>
      </w:r>
    </w:p>
    <w:p w14:paraId="266AC702" w14:textId="701498CA" w:rsidR="00DF7655" w:rsidRPr="00DF7655" w:rsidRDefault="00DF7655" w:rsidP="00DF7655">
      <w:pPr>
        <w:rPr>
          <w:rFonts w:cs="Arial"/>
        </w:rPr>
      </w:pPr>
    </w:p>
    <w:p w14:paraId="4F82872D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Понастоящем наличните данни са описани в раздел 5.1, но препоръки за дозировката не могат да се дават.</w:t>
      </w:r>
    </w:p>
    <w:p w14:paraId="270D6842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D88B11F" w14:textId="725AF8F3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lastRenderedPageBreak/>
        <w:t>При подрастващи (12 - 18 години) дозировката за всяко показание се определя според телесното тегло.</w:t>
      </w:r>
    </w:p>
    <w:p w14:paraId="7547E895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FFFE20E" w14:textId="486567B2" w:rsidR="00DF7655" w:rsidRPr="00DF7655" w:rsidRDefault="00DF7655" w:rsidP="00DF7655">
      <w:pPr>
        <w:pStyle w:val="Heading3"/>
        <w:rPr>
          <w:rFonts w:eastAsia="Times New Roman"/>
          <w:u w:val="single"/>
          <w:lang w:eastAsia="bg-BG"/>
        </w:rPr>
      </w:pPr>
      <w:r w:rsidRPr="00DF7655">
        <w:rPr>
          <w:rFonts w:eastAsia="Times New Roman"/>
          <w:u w:val="single"/>
          <w:lang w:eastAsia="bg-BG"/>
        </w:rPr>
        <w:t>Начин на приложение</w:t>
      </w:r>
    </w:p>
    <w:p w14:paraId="76900D39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Интравенозно приложение чрез инжектиране или бавна инфузия.</w:t>
      </w:r>
    </w:p>
    <w:p w14:paraId="7A212F3E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F583141" w14:textId="62B2A2EC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 xml:space="preserve">В случай на интравенозно инжектиране се препоръчва период за инжектиране от 3 до 5 мин., като се следи честотата на пулса на пациента </w:t>
      </w:r>
      <w:r w:rsidRPr="00DF7655">
        <w:rPr>
          <w:rFonts w:eastAsia="Times New Roman" w:cs="Arial"/>
          <w:i/>
          <w:iCs/>
          <w:color w:val="000000"/>
          <w:lang w:eastAsia="bg-BG"/>
        </w:rPr>
        <w:t>и при</w:t>
      </w:r>
      <w:r w:rsidRPr="00DF7655">
        <w:rPr>
          <w:rFonts w:eastAsia="Times New Roman" w:cs="Arial"/>
          <w:color w:val="000000"/>
          <w:lang w:eastAsia="bg-BG"/>
        </w:rPr>
        <w:t xml:space="preserve"> неговото учестяване инжектирането трябва да се забави или преустанови.</w:t>
      </w:r>
    </w:p>
    <w:p w14:paraId="345DAD25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56653AB" w14:textId="661E52DC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Скоростта на въвеждане трябва да се определя индивидуално за всеки отделен пациент.</w:t>
      </w:r>
    </w:p>
    <w:p w14:paraId="049FC69E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1A4A4C9" w14:textId="08C83B83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Инструкции относно разтварянето на лекарствения продукт преди прилагане са представени в раздел 6.</w:t>
      </w:r>
    </w:p>
    <w:p w14:paraId="6136830E" w14:textId="77777777" w:rsidR="00DF7655" w:rsidRPr="00DF7655" w:rsidRDefault="00DF7655" w:rsidP="00DF7655"/>
    <w:p w14:paraId="5D9E65DA" w14:textId="29352ADB" w:rsidR="009F77A4" w:rsidRDefault="002C50EE" w:rsidP="00387A66">
      <w:pPr>
        <w:pStyle w:val="Heading2"/>
      </w:pPr>
      <w:r>
        <w:t>4.3. Противопоказания</w:t>
      </w:r>
    </w:p>
    <w:p w14:paraId="77B9EAC6" w14:textId="5CB9ED0B" w:rsidR="00DF7655" w:rsidRDefault="00DF7655" w:rsidP="00DF7655"/>
    <w:p w14:paraId="63C7B4B5" w14:textId="47228508" w:rsidR="00DF7655" w:rsidRDefault="00DF7655" w:rsidP="00DF7655">
      <w:r>
        <w:t>Свръхчувствителност към активното вещество или някой от ексципиентите, изброени в раздел 6.1.</w:t>
      </w:r>
    </w:p>
    <w:p w14:paraId="248DC5DD" w14:textId="77777777" w:rsidR="00DF7655" w:rsidRPr="00DF7655" w:rsidRDefault="00DF7655" w:rsidP="00DF7655"/>
    <w:p w14:paraId="1C27CE53" w14:textId="0A064D90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2EDA34E0" w14:textId="042B4B9F" w:rsidR="00DF7655" w:rsidRDefault="00DF7655" w:rsidP="00DF7655"/>
    <w:p w14:paraId="1AAEB347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u w:val="single"/>
          <w:lang w:eastAsia="bg-BG"/>
        </w:rPr>
        <w:t>Проследимост</w:t>
      </w:r>
    </w:p>
    <w:p w14:paraId="3B207B6B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За да се подобри проследимостта на биологичните лекарствени продукти, името и партидният номер на администрирания продукт трябва да бъдат ясно записани</w:t>
      </w:r>
    </w:p>
    <w:p w14:paraId="3CCF69AE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82B7C6E" w14:textId="26E1BAFE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u w:val="single"/>
          <w:lang w:eastAsia="bg-BG"/>
        </w:rPr>
        <w:t>Свръхчувствителност</w:t>
      </w:r>
    </w:p>
    <w:p w14:paraId="67516984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При приложението на ЕМОКЛОТ са възможни алергичен тип реакции на свръхчувствителност.</w:t>
      </w:r>
    </w:p>
    <w:p w14:paraId="3949D9D3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 xml:space="preserve">Освен фактор VIII ЕМОКЛОТ съдържа и следи от други белтъци от човешки произход . Ако тези </w:t>
      </w:r>
      <w:r w:rsidRPr="00DF7655">
        <w:rPr>
          <w:rFonts w:eastAsia="Times New Roman" w:cs="Arial"/>
          <w:i/>
          <w:iCs/>
          <w:color w:val="000000"/>
          <w:lang w:eastAsia="bg-BG"/>
        </w:rPr>
        <w:t>симптоми на</w:t>
      </w:r>
      <w:r w:rsidRPr="00DF7655">
        <w:rPr>
          <w:rFonts w:eastAsia="Times New Roman" w:cs="Arial"/>
          <w:color w:val="000000"/>
          <w:lang w:eastAsia="bg-BG"/>
        </w:rPr>
        <w:t xml:space="preserve"> свръхчувствителност се проявят, употребата на лекарствения продукт трябва да бъде преустановена незабавно и пациентите следва да се свържат с лекуващия си лекар. Пациентите трябва да бъдат информирани за ранното проявление на признаци на свръхчувствителност, в това число обрив, генерализирана уртикария, чувство за стягане в гърдите, хрипове, хипотензия и анафилактична реакция.</w:t>
      </w:r>
    </w:p>
    <w:p w14:paraId="61364A91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В случай на шок, да се следват медицинските стандарти за лечение на шокови състояния.</w:t>
      </w:r>
    </w:p>
    <w:p w14:paraId="7657A78A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AD7917C" w14:textId="7C161605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u w:val="single"/>
          <w:lang w:eastAsia="bg-BG"/>
        </w:rPr>
        <w:t>Важна информация, относно състава на ЕМОКЛОТ</w:t>
      </w:r>
    </w:p>
    <w:p w14:paraId="3AF54911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Този лекарствен продукт съдържа до 41 мг натрий във флакон от 10 мл, еквивалентни на 2,05% от препоръката на СЗО за 2 г натрий максимален дневен прием за възрастен.</w:t>
      </w:r>
    </w:p>
    <w:p w14:paraId="2C3C388C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F00F74D" w14:textId="1BC33E5D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u w:val="single"/>
          <w:lang w:eastAsia="bg-BG"/>
        </w:rPr>
        <w:t>Инхибитори</w:t>
      </w:r>
    </w:p>
    <w:p w14:paraId="3FAFD1BA" w14:textId="77777777" w:rsidR="00DF7655" w:rsidRPr="00DF7655" w:rsidRDefault="00DF7655" w:rsidP="00DF7655">
      <w:pPr>
        <w:rPr>
          <w:rFonts w:eastAsia="Times New Roman" w:cs="Arial"/>
          <w:color w:val="000000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 xml:space="preserve">Образуването на неутрализиращи антитела (инхибитори) срещу фактор VIII е известно усложнение при лечението на пациенти с хемофилия А. Тези инхибитори обикновено са имуноглобулини от клас </w:t>
      </w:r>
      <w:r w:rsidRPr="00DF7655">
        <w:rPr>
          <w:rFonts w:eastAsia="Times New Roman" w:cs="Arial"/>
          <w:color w:val="000000"/>
          <w:lang w:val="en-US"/>
        </w:rPr>
        <w:t xml:space="preserve">IgG </w:t>
      </w:r>
      <w:r w:rsidRPr="00DF7655">
        <w:rPr>
          <w:rFonts w:eastAsia="Times New Roman" w:cs="Arial"/>
          <w:color w:val="000000"/>
          <w:lang w:eastAsia="bg-BG"/>
        </w:rPr>
        <w:t xml:space="preserve">и са насочени срещу прокоагулационната активност на фактор VIII. </w:t>
      </w:r>
    </w:p>
    <w:p w14:paraId="257E72E2" w14:textId="174B52AF" w:rsidR="00DF7655" w:rsidRPr="00DF7655" w:rsidRDefault="00DF7655" w:rsidP="00DF7655">
      <w:pPr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 xml:space="preserve">Количествено те се измерват в </w:t>
      </w:r>
      <w:r w:rsidRPr="00DF7655">
        <w:rPr>
          <w:rFonts w:eastAsia="Times New Roman" w:cs="Arial"/>
          <w:color w:val="000000"/>
          <w:lang w:val="en-US"/>
        </w:rPr>
        <w:t xml:space="preserve">Bethesda Units (BU) </w:t>
      </w:r>
      <w:r w:rsidRPr="00DF7655">
        <w:rPr>
          <w:rFonts w:eastAsia="Times New Roman" w:cs="Arial"/>
          <w:color w:val="000000"/>
          <w:lang w:eastAsia="bg-BG"/>
        </w:rPr>
        <w:t>на милилитър плазма, като се използва модифицирания анализ. Рискът от развитие на инхибитори е свързан със</w:t>
      </w:r>
      <w:r w:rsidRPr="00DF7655">
        <w:rPr>
          <w:rFonts w:eastAsia="Times New Roman" w:cs="Arial"/>
          <w:color w:val="000000"/>
          <w:lang w:val="en-US" w:eastAsia="bg-BG"/>
        </w:rPr>
        <w:t xml:space="preserve"> </w:t>
      </w:r>
      <w:r w:rsidRPr="00DF7655">
        <w:rPr>
          <w:rFonts w:eastAsia="Times New Roman" w:cs="Arial"/>
          <w:color w:val="000000"/>
          <w:lang w:eastAsia="bg-BG"/>
        </w:rPr>
        <w:lastRenderedPageBreak/>
        <w:t>сериозността на заболяването и с експозицията на фактор VIII, този риск е най-висок през първите 50 дни експозиция, но продължава през целия живот, въпреки че рискът е рядък.</w:t>
      </w:r>
    </w:p>
    <w:p w14:paraId="3E8E2028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F0A1799" w14:textId="570D915A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Клиничната зависимост от развитие на инхибитори зависи от титъра на инхибитора, като инхибиторите с нисък тигър, предизвикват по-малък риск от недостатъчен клиничен отговор, отколкото инхибиторите с висок тигър.</w:t>
      </w:r>
    </w:p>
    <w:p w14:paraId="293A7AAD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1383E12" w14:textId="6D747F09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Най-общо, всички пациенти, лекувани с продукти, съдържащи коагулационен фактор VIII, трябва да бъдат внимателно проследявани за развитие на инхибитори с подходящи клинични изследвания и лабораторни тестове. Ако очакваните нива на активност на фактор VIII в плазмата не бъдат постигнати или ако кръвоизливът не може да бъде овладян с подходяща доза, трябва да бъде проведено изследване за наличие на инхибитори на фактор VIII. При пациенти с висок тигър на инхибиторите, терапията с фактор VIII може да бъде неефективна и трябва да се обсъдят други терапевтични варианти. Лечението на такива пациенти трябва да се провежда само от лекари, специалисти в лечението на хемофилия и инхибитори на фактор VIII.</w:t>
      </w:r>
    </w:p>
    <w:p w14:paraId="47558F5F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5B20B30" w14:textId="438102CF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u w:val="single"/>
          <w:lang w:eastAsia="bg-BG"/>
        </w:rPr>
        <w:t>Сърдечносъдови събития</w:t>
      </w:r>
    </w:p>
    <w:p w14:paraId="3A63F153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 xml:space="preserve">При пациенти със съществуващи сърдечносъдови рискови фактори, заместващата терапия с </w:t>
      </w:r>
      <w:r w:rsidRPr="00DF7655">
        <w:rPr>
          <w:rFonts w:eastAsia="Times New Roman" w:cs="Arial"/>
          <w:color w:val="000000"/>
          <w:lang w:val="en-US"/>
        </w:rPr>
        <w:t xml:space="preserve">FVIII </w:t>
      </w:r>
      <w:r w:rsidRPr="00DF7655">
        <w:rPr>
          <w:rFonts w:eastAsia="Times New Roman" w:cs="Arial"/>
          <w:color w:val="000000"/>
          <w:lang w:eastAsia="bg-BG"/>
        </w:rPr>
        <w:t>може да увеличи сърдечносъдовия риск.</w:t>
      </w:r>
    </w:p>
    <w:p w14:paraId="5900BBD4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72DE288" w14:textId="386A16FD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u w:val="single"/>
          <w:lang w:eastAsia="bg-BG"/>
        </w:rPr>
        <w:t>Усложнения, свързани с катетеризация</w:t>
      </w:r>
    </w:p>
    <w:p w14:paraId="26584C08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Ако се налага употребата на набори за централен венозен достъп, трябва да бъде отчетен рискът от усложнения, свързани с употребата на такива набори, в това число локални инфекции, бактериемия и тромбоза на мястото на катеторизацията.</w:t>
      </w:r>
    </w:p>
    <w:p w14:paraId="0CFCBF44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4699378" w14:textId="0C329EA4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u w:val="single"/>
          <w:lang w:eastAsia="bg-BG"/>
        </w:rPr>
        <w:t>Вирусна безопасност</w:t>
      </w:r>
    </w:p>
    <w:p w14:paraId="014B1DCB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Стандартните мерки за предотвратяване на инфекции в резултат на употребата на лекарствени продукти, произведени от човешка кръв или плазма, включват селекция на донорите, скрининг на всяко отделно даряване и сборната плазма за специфични маркери на инфекциите и включване на ефективни производствени стъпки за инактивиране/ отстраняване на вирусите.</w:t>
      </w:r>
    </w:p>
    <w:p w14:paraId="2444464D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9C294E4" w14:textId="57424455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Въпреки това, когато се прилагат лекарствени продукти, произведени от човешка кръв или плазма, вероятността за предаване на инфекция не може да бъде напълно изключена. Това се отнася и за неизвестни или новопоявили се вируси и други патогени.</w:t>
      </w:r>
    </w:p>
    <w:p w14:paraId="27AAA7CC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8D6C5BE" w14:textId="6A49AE25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 xml:space="preserve">Мерките, които се предприемат, се считат за ефективни за обвити вируси като човешки имунодефицитен вирус </w:t>
      </w:r>
      <w:r w:rsidRPr="00DF7655">
        <w:rPr>
          <w:rFonts w:eastAsia="Times New Roman" w:cs="Arial"/>
          <w:color w:val="000000"/>
          <w:lang w:val="en-US"/>
        </w:rPr>
        <w:t xml:space="preserve">(HIV), </w:t>
      </w:r>
      <w:r w:rsidRPr="00DF7655">
        <w:rPr>
          <w:rFonts w:eastAsia="Times New Roman" w:cs="Arial"/>
          <w:color w:val="000000"/>
          <w:lang w:eastAsia="bg-BG"/>
        </w:rPr>
        <w:t xml:space="preserve">вирус на хепатит В </w:t>
      </w:r>
      <w:r w:rsidRPr="00DF7655">
        <w:rPr>
          <w:rFonts w:eastAsia="Times New Roman" w:cs="Arial"/>
          <w:color w:val="000000"/>
          <w:lang w:val="en-US"/>
        </w:rPr>
        <w:t xml:space="preserve">(HBV), </w:t>
      </w:r>
      <w:r w:rsidRPr="00DF7655">
        <w:rPr>
          <w:rFonts w:eastAsia="Times New Roman" w:cs="Arial"/>
          <w:color w:val="000000"/>
          <w:lang w:eastAsia="bg-BG"/>
        </w:rPr>
        <w:t xml:space="preserve">вирус на хепатит С </w:t>
      </w:r>
      <w:r w:rsidRPr="00DF7655">
        <w:rPr>
          <w:rFonts w:eastAsia="Times New Roman" w:cs="Arial"/>
          <w:color w:val="000000"/>
          <w:lang w:val="en-US"/>
        </w:rPr>
        <w:t xml:space="preserve">(HCV), </w:t>
      </w:r>
      <w:r w:rsidRPr="00DF7655">
        <w:rPr>
          <w:rFonts w:eastAsia="Times New Roman" w:cs="Arial"/>
          <w:color w:val="000000"/>
          <w:lang w:eastAsia="bg-BG"/>
        </w:rPr>
        <w:t xml:space="preserve">както и за необвития вирус на хепатит </w:t>
      </w:r>
      <w:r w:rsidRPr="00DF7655">
        <w:rPr>
          <w:rFonts w:eastAsia="Times New Roman" w:cs="Arial"/>
          <w:color w:val="000000"/>
          <w:lang w:val="en-US"/>
        </w:rPr>
        <w:t xml:space="preserve">A (HAV). </w:t>
      </w:r>
      <w:r w:rsidRPr="00DF7655">
        <w:rPr>
          <w:rFonts w:eastAsia="Times New Roman" w:cs="Arial"/>
          <w:color w:val="000000"/>
          <w:lang w:eastAsia="bg-BG"/>
        </w:rPr>
        <w:t>Мерките, които се предприемат, не могат да се определят като достатъчни за някои необвити вируси като парвовирус В19. Инфектирането с парвовирус В19 може да бъде сериозно за бременни жени (инфекция на плода) и за индивиди с имунодефицит или някои видове анемия (например, хемолитична анемия).</w:t>
      </w:r>
    </w:p>
    <w:p w14:paraId="2213B426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26D0A4D" w14:textId="58F3F53B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На пациентите, които редовно/ повторно се лекуват с човешки плазмен коагулационен фактор VIII, се препоръчва подходяща имунизация (срещу хепатит А и В).</w:t>
      </w:r>
    </w:p>
    <w:p w14:paraId="0C00C8DD" w14:textId="68F2D5DE" w:rsidR="00DF7655" w:rsidRPr="00DF7655" w:rsidRDefault="00DF7655" w:rsidP="00DF7655">
      <w:pPr>
        <w:rPr>
          <w:rFonts w:cs="Arial"/>
          <w:lang w:val="en-US"/>
        </w:rPr>
      </w:pPr>
    </w:p>
    <w:p w14:paraId="33D74799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Силно се препоръчва всеки път, когато на пациента се прилага ЕМОКЛОТ, да се записват името и партидния номер на продукта, с оглед създаването на връзка между пациента и приложената партида.</w:t>
      </w:r>
    </w:p>
    <w:p w14:paraId="5C228ACF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4E28B13" w14:textId="591D8274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u w:val="single"/>
          <w:lang w:eastAsia="bg-BG"/>
        </w:rPr>
        <w:t>Употреба при деца</w:t>
      </w:r>
    </w:p>
    <w:p w14:paraId="61FE5794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Няма конкретни данни по отношение на пациентите - деца.</w:t>
      </w:r>
    </w:p>
    <w:p w14:paraId="47038B1A" w14:textId="77777777" w:rsidR="00DF7655" w:rsidRPr="00DF7655" w:rsidRDefault="00DF7655" w:rsidP="00DF7655">
      <w:pPr>
        <w:rPr>
          <w:lang w:val="en-US"/>
        </w:rPr>
      </w:pPr>
    </w:p>
    <w:p w14:paraId="1DA47448" w14:textId="4E17F249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07B6A899" w14:textId="056EB367" w:rsidR="00DF7655" w:rsidRDefault="00DF7655" w:rsidP="00DF7655"/>
    <w:p w14:paraId="70A4198E" w14:textId="77777777" w:rsidR="00DF7655" w:rsidRPr="00DF7655" w:rsidRDefault="00DF7655" w:rsidP="00DF7655">
      <w:pPr>
        <w:rPr>
          <w:sz w:val="24"/>
          <w:szCs w:val="24"/>
          <w:lang w:eastAsia="bg-BG"/>
        </w:rPr>
      </w:pPr>
      <w:r w:rsidRPr="00DF7655">
        <w:rPr>
          <w:lang w:eastAsia="bg-BG"/>
        </w:rPr>
        <w:t>Няма известни взаимодействия на лекарствени продукти, съдържащи човешки коагулационен фактор VIII, с други лекарствени продукти.</w:t>
      </w:r>
    </w:p>
    <w:p w14:paraId="24A958DB" w14:textId="77777777" w:rsidR="00DF7655" w:rsidRDefault="00DF7655" w:rsidP="00DF7655">
      <w:pPr>
        <w:rPr>
          <w:u w:val="single"/>
          <w:lang w:eastAsia="bg-BG"/>
        </w:rPr>
      </w:pPr>
    </w:p>
    <w:p w14:paraId="62755119" w14:textId="359B5F72" w:rsidR="00DF7655" w:rsidRPr="00DF7655" w:rsidRDefault="00DF7655" w:rsidP="00DF7655">
      <w:pPr>
        <w:rPr>
          <w:sz w:val="24"/>
          <w:szCs w:val="24"/>
          <w:lang w:eastAsia="bg-BG"/>
        </w:rPr>
      </w:pPr>
      <w:r w:rsidRPr="00DF7655">
        <w:rPr>
          <w:u w:val="single"/>
          <w:lang w:eastAsia="bg-BG"/>
        </w:rPr>
        <w:t>Употреба при деца</w:t>
      </w:r>
    </w:p>
    <w:p w14:paraId="49B5174E" w14:textId="77777777" w:rsidR="00DF7655" w:rsidRPr="00DF7655" w:rsidRDefault="00DF7655" w:rsidP="00DF7655">
      <w:pPr>
        <w:rPr>
          <w:sz w:val="24"/>
          <w:szCs w:val="24"/>
          <w:lang w:eastAsia="bg-BG"/>
        </w:rPr>
      </w:pPr>
      <w:r w:rsidRPr="00DF7655">
        <w:rPr>
          <w:lang w:eastAsia="bg-BG"/>
        </w:rPr>
        <w:t>Няма конкретни данни по отношение на пациентите - деца.</w:t>
      </w:r>
    </w:p>
    <w:p w14:paraId="02E52447" w14:textId="77777777" w:rsidR="00DF7655" w:rsidRPr="00DF7655" w:rsidRDefault="00DF7655" w:rsidP="00DF7655"/>
    <w:p w14:paraId="48846BBA" w14:textId="6E264268" w:rsidR="009F77A4" w:rsidRDefault="002C50EE" w:rsidP="00387A66">
      <w:pPr>
        <w:pStyle w:val="Heading2"/>
      </w:pPr>
      <w:r>
        <w:t>4.6. Фертилитет, бременност и кърмене</w:t>
      </w:r>
    </w:p>
    <w:p w14:paraId="4CCE814C" w14:textId="294321A5" w:rsidR="00DF7655" w:rsidRDefault="00DF7655" w:rsidP="00DF7655"/>
    <w:p w14:paraId="1EB66F9F" w14:textId="77777777" w:rsidR="00DF7655" w:rsidRPr="00DF7655" w:rsidRDefault="00DF7655" w:rsidP="00DF7655">
      <w:pPr>
        <w:rPr>
          <w:sz w:val="24"/>
          <w:szCs w:val="24"/>
          <w:lang w:eastAsia="bg-BG"/>
        </w:rPr>
      </w:pPr>
      <w:r w:rsidRPr="00DF7655">
        <w:rPr>
          <w:lang w:eastAsia="bg-BG"/>
        </w:rPr>
        <w:t>Не са проведени експериментални проучвания с животни за влиянието на фактор VIII. Хемофилия А рядко се наблюдава при жени, поради което няма данни за употребата на фактор VIII по време на бременност и кърмене. Поради това фактор VIII трябва да се използва по време на бременност и кърмене само, ако е строго показан.</w:t>
      </w:r>
    </w:p>
    <w:p w14:paraId="0F6E730A" w14:textId="77777777" w:rsidR="00DF7655" w:rsidRPr="00DF7655" w:rsidRDefault="00DF7655" w:rsidP="00DF7655"/>
    <w:p w14:paraId="321AAB00" w14:textId="4EB3128E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46DBC354" w14:textId="77E13D03" w:rsidR="00DF7655" w:rsidRDefault="00DF7655" w:rsidP="00DF7655"/>
    <w:p w14:paraId="16EE9195" w14:textId="0B4C3A8C" w:rsidR="00DF7655" w:rsidRDefault="00DF7655" w:rsidP="00DF7655">
      <w:r>
        <w:t>ЕМОКЛОТ не влияе върху способността за шофиране и работа с машини.</w:t>
      </w:r>
    </w:p>
    <w:p w14:paraId="066ED34C" w14:textId="77777777" w:rsidR="00DF7655" w:rsidRPr="00DF7655" w:rsidRDefault="00DF7655" w:rsidP="00DF7655"/>
    <w:p w14:paraId="136C86B8" w14:textId="2A08AE3E" w:rsidR="009F77A4" w:rsidRDefault="002C50EE" w:rsidP="00387A66">
      <w:pPr>
        <w:pStyle w:val="Heading2"/>
      </w:pPr>
      <w:r>
        <w:t>4.8. Нежелани лекарствени реакции</w:t>
      </w:r>
    </w:p>
    <w:p w14:paraId="2A115C50" w14:textId="770F3017" w:rsidR="00DF7655" w:rsidRDefault="00DF7655" w:rsidP="00DF7655"/>
    <w:p w14:paraId="550D080B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u w:val="single"/>
          <w:lang w:eastAsia="bg-BG"/>
        </w:rPr>
        <w:t>Кратко описание на профила на безопасността</w:t>
      </w:r>
    </w:p>
    <w:p w14:paraId="6FFA6270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Свръхчувствителност или алергични реакции (които могат да включват ангиоедем, парене и болка на мястото на приложение, втрисане, зачервяване, генерализирана уртикария, главоболие, обрив, хипотензия, сънливост, гадене, безпокойство, тахикардия, чувство на стягане в гърдите, изтръпване, повръщане, хрипове) се установяват рядко и в някои случаи тези реакции могат да прогресират до тежка анафилактична реакция (включително шок).</w:t>
      </w:r>
    </w:p>
    <w:p w14:paraId="5101E8C5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39F57B9" w14:textId="5F797171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Наблюдавано е и повишение на температурата.</w:t>
      </w:r>
    </w:p>
    <w:p w14:paraId="7D4BC960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2F549EB" w14:textId="45A59B83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Развитие на неутрализиращи антитела (инхибитори) може да възникне при пациенти с хемофилия А лекувани с фактор VIII, включително ЕМОКЛОТ. Ако се появат такива инхибитори състоянието ще се проявява като незадоволителен клиничен отговор. В такива случаи се препоръчва контакт със специализиран център за лечение на хемофилия.</w:t>
      </w:r>
    </w:p>
    <w:p w14:paraId="2C1F3E4B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721A3FF" w14:textId="33B1192A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Информация относно безопасността, свързана с трансмисивни агенти, можете да намерите в раздел 4.4.</w:t>
      </w:r>
    </w:p>
    <w:p w14:paraId="1AD68B77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09D4F7E" w14:textId="0E241F6F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u w:val="single"/>
          <w:lang w:eastAsia="bg-BG"/>
        </w:rPr>
        <w:t>Таблично резюме на нежеланите реакции</w:t>
      </w:r>
    </w:p>
    <w:p w14:paraId="1CB4EA0E" w14:textId="514BBCE9" w:rsidR="00DF7655" w:rsidRPr="00DF7655" w:rsidRDefault="00DF7655" w:rsidP="00DF7655">
      <w:pPr>
        <w:rPr>
          <w:rFonts w:cs="Arial"/>
        </w:rPr>
      </w:pPr>
    </w:p>
    <w:p w14:paraId="718CDDDB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lastRenderedPageBreak/>
        <w:t xml:space="preserve">В таблицата нежеланите реакции са представени по системо-органни класове по </w:t>
      </w:r>
      <w:r w:rsidRPr="00DF7655">
        <w:rPr>
          <w:rFonts w:eastAsia="Times New Roman" w:cs="Arial"/>
          <w:color w:val="000000"/>
          <w:lang w:val="en-US"/>
        </w:rPr>
        <w:t xml:space="preserve">MedDRA </w:t>
      </w:r>
      <w:r w:rsidRPr="00DF7655">
        <w:rPr>
          <w:rFonts w:eastAsia="Times New Roman" w:cs="Arial"/>
          <w:color w:val="000000"/>
          <w:lang w:eastAsia="bg-BG"/>
        </w:rPr>
        <w:t>(системо-органен клас и предпочитан термин).</w:t>
      </w:r>
    </w:p>
    <w:p w14:paraId="442821A8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Таблицата отчита нежелани ефекти, свързани с използването на човешки плазмен коагулационен фактор VIII</w:t>
      </w:r>
    </w:p>
    <w:p w14:paraId="529FF0B0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Честотите са оценени съгласно следната конвенция: много чести (≥ 1/10), чести (≥ 1/100 до &lt; 1/10), нечести (≥ 1/1000 до &lt;1/100), редки (≥1/10000 до &lt;1/1000), много редки (&lt;1/10 000), неизвестни (не могат да бъдат оценени от наличните данни).</w:t>
      </w:r>
    </w:p>
    <w:p w14:paraId="5CE174CA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Няма надеждни данни за честотата на нежеланите реакции, получени от клинични изпитвания.</w:t>
      </w:r>
    </w:p>
    <w:p w14:paraId="0EE64992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04A55F4" w14:textId="6AB723D3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Следните данни са в съответствие с профила на безопасност на човешки коагулационен фактор VIII и са частично наблюдавани след пускането на продукта на пазара (опит след пускане на пазара); тъй като отчитането на нежеланите реакции след пускане на пазара е доброволно и от популация с неясни размери, не е възможно надеждно да се оцени честотата на тези реакции: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39"/>
        <w:gridCol w:w="3098"/>
      </w:tblGrid>
      <w:tr w:rsidR="00DF7655" w14:paraId="354165C8" w14:textId="77777777" w:rsidTr="00DF7655">
        <w:tc>
          <w:tcPr>
            <w:tcW w:w="3166" w:type="dxa"/>
          </w:tcPr>
          <w:p w14:paraId="36D9A6F1" w14:textId="77777777" w:rsidR="00DF7655" w:rsidRDefault="00DF7655" w:rsidP="00DF7655">
            <w:r>
              <w:rPr>
                <w:b/>
                <w:bCs/>
              </w:rPr>
              <w:t>Стандартни</w:t>
            </w:r>
            <w:r>
              <w:rPr>
                <w:b/>
                <w:bCs/>
              </w:rPr>
              <w:tab/>
              <w:t>системо-органни</w:t>
            </w:r>
          </w:p>
          <w:p w14:paraId="1E21EF63" w14:textId="56E634C1" w:rsidR="00DF7655" w:rsidRDefault="00DF7655" w:rsidP="00DF7655">
            <w:r>
              <w:rPr>
                <w:b/>
                <w:bCs/>
              </w:rPr>
              <w:t xml:space="preserve">класове по </w:t>
            </w:r>
            <w:r>
              <w:rPr>
                <w:b/>
                <w:bCs/>
                <w:lang w:val="en-US"/>
              </w:rPr>
              <w:t>MedDRA</w:t>
            </w:r>
          </w:p>
        </w:tc>
        <w:tc>
          <w:tcPr>
            <w:tcW w:w="3167" w:type="dxa"/>
          </w:tcPr>
          <w:p w14:paraId="16E9770B" w14:textId="5882BBB6" w:rsidR="00DF7655" w:rsidRDefault="00DF7655" w:rsidP="00DF7655">
            <w:r>
              <w:rPr>
                <w:b/>
                <w:bCs/>
              </w:rPr>
              <w:t>Нежелана реакция</w:t>
            </w:r>
          </w:p>
        </w:tc>
        <w:tc>
          <w:tcPr>
            <w:tcW w:w="3167" w:type="dxa"/>
          </w:tcPr>
          <w:p w14:paraId="15889ED1" w14:textId="2A6808AA" w:rsidR="00DF7655" w:rsidRDefault="00DF7655" w:rsidP="00DF7655">
            <w:r>
              <w:rPr>
                <w:b/>
                <w:bCs/>
              </w:rPr>
              <w:t>Честота</w:t>
            </w:r>
          </w:p>
        </w:tc>
      </w:tr>
      <w:tr w:rsidR="00DF7655" w14:paraId="4434561D" w14:textId="77777777" w:rsidTr="00DF7655">
        <w:tc>
          <w:tcPr>
            <w:tcW w:w="3166" w:type="dxa"/>
          </w:tcPr>
          <w:p w14:paraId="28EA89CA" w14:textId="74212989" w:rsidR="00DF7655" w:rsidRDefault="00DF7655" w:rsidP="00DF7655">
            <w:r>
              <w:t>Нарушения на кръвта и лимфната система</w:t>
            </w:r>
          </w:p>
        </w:tc>
        <w:tc>
          <w:tcPr>
            <w:tcW w:w="3167" w:type="dxa"/>
          </w:tcPr>
          <w:p w14:paraId="48B4E5F2" w14:textId="37436D6C" w:rsidR="00DF7655" w:rsidRDefault="00DF7655" w:rsidP="00DF7655">
            <w:r>
              <w:t>Инхибиране на фактор VIII</w:t>
            </w:r>
          </w:p>
        </w:tc>
        <w:tc>
          <w:tcPr>
            <w:tcW w:w="3167" w:type="dxa"/>
          </w:tcPr>
          <w:p w14:paraId="5EE64D67" w14:textId="30C99D6E" w:rsidR="00DF7655" w:rsidRDefault="00DF7655" w:rsidP="00DF7655">
            <w:r>
              <w:t xml:space="preserve">Нечести </w:t>
            </w:r>
            <w:r>
              <w:rPr>
                <w:lang w:val="en-US"/>
              </w:rPr>
              <w:t xml:space="preserve">PTPs)* </w:t>
            </w:r>
            <w:r>
              <w:t xml:space="preserve">Чести </w:t>
            </w:r>
            <w:r>
              <w:rPr>
                <w:lang w:val="en-US"/>
              </w:rPr>
              <w:t>(PUPs)</w:t>
            </w:r>
          </w:p>
        </w:tc>
      </w:tr>
      <w:tr w:rsidR="00DF7655" w14:paraId="4B65E55D" w14:textId="77777777" w:rsidTr="00DF7655">
        <w:tc>
          <w:tcPr>
            <w:tcW w:w="3166" w:type="dxa"/>
            <w:vMerge w:val="restart"/>
          </w:tcPr>
          <w:p w14:paraId="26D86D61" w14:textId="41A94C98" w:rsidR="00DF7655" w:rsidRDefault="00DF7655" w:rsidP="00DF7655">
            <w:r>
              <w:t>Нарушения на имунната система</w:t>
            </w:r>
          </w:p>
        </w:tc>
        <w:tc>
          <w:tcPr>
            <w:tcW w:w="3167" w:type="dxa"/>
          </w:tcPr>
          <w:p w14:paraId="57E8E9B8" w14:textId="16EC2F93" w:rsidR="00DF7655" w:rsidRDefault="00DF7655" w:rsidP="00DF7655">
            <w:r>
              <w:t>Свръхчувствителност</w:t>
            </w:r>
          </w:p>
        </w:tc>
        <w:tc>
          <w:tcPr>
            <w:tcW w:w="3167" w:type="dxa"/>
          </w:tcPr>
          <w:p w14:paraId="1D5B1CA0" w14:textId="7DE9D165" w:rsidR="00DF7655" w:rsidRDefault="00DF7655" w:rsidP="00DF7655">
            <w:r>
              <w:t>Неизвестна</w:t>
            </w:r>
          </w:p>
        </w:tc>
      </w:tr>
      <w:tr w:rsidR="00DF7655" w14:paraId="29EC005C" w14:textId="77777777" w:rsidTr="00DF7655">
        <w:tc>
          <w:tcPr>
            <w:tcW w:w="3166" w:type="dxa"/>
            <w:vMerge/>
          </w:tcPr>
          <w:p w14:paraId="1F1D0651" w14:textId="77777777" w:rsidR="00DF7655" w:rsidRDefault="00DF7655" w:rsidP="00DF7655"/>
        </w:tc>
        <w:tc>
          <w:tcPr>
            <w:tcW w:w="3167" w:type="dxa"/>
          </w:tcPr>
          <w:p w14:paraId="3788099F" w14:textId="0E131C56" w:rsidR="00DF7655" w:rsidRDefault="00DF7655" w:rsidP="00DF7655">
            <w:r>
              <w:t>Алергична реакция (Свръх чувствителност) *</w:t>
            </w:r>
          </w:p>
        </w:tc>
        <w:tc>
          <w:tcPr>
            <w:tcW w:w="3167" w:type="dxa"/>
          </w:tcPr>
          <w:p w14:paraId="78E5FB70" w14:textId="0E32C079" w:rsidR="00DF7655" w:rsidRDefault="00DF7655" w:rsidP="00DF7655">
            <w:r>
              <w:t>Неизвестна</w:t>
            </w:r>
          </w:p>
        </w:tc>
      </w:tr>
      <w:tr w:rsidR="00DF7655" w14:paraId="06357C8A" w14:textId="77777777" w:rsidTr="00DF7655">
        <w:tc>
          <w:tcPr>
            <w:tcW w:w="3166" w:type="dxa"/>
            <w:vMerge/>
          </w:tcPr>
          <w:p w14:paraId="5DD688E2" w14:textId="77777777" w:rsidR="00DF7655" w:rsidRDefault="00DF7655" w:rsidP="00DF7655"/>
        </w:tc>
        <w:tc>
          <w:tcPr>
            <w:tcW w:w="3167" w:type="dxa"/>
          </w:tcPr>
          <w:p w14:paraId="0A4E408A" w14:textId="4C0EA265" w:rsidR="00DF7655" w:rsidRDefault="00DF7655" w:rsidP="00DF7655">
            <w:r>
              <w:t>Анафилактична реакция</w:t>
            </w:r>
          </w:p>
        </w:tc>
        <w:tc>
          <w:tcPr>
            <w:tcW w:w="3167" w:type="dxa"/>
          </w:tcPr>
          <w:p w14:paraId="770E99F6" w14:textId="6878DE9F" w:rsidR="00DF7655" w:rsidRDefault="00DF7655" w:rsidP="00DF7655">
            <w:r>
              <w:t>Неизвестна</w:t>
            </w:r>
          </w:p>
        </w:tc>
      </w:tr>
      <w:tr w:rsidR="00DF7655" w14:paraId="6FDF79F8" w14:textId="77777777" w:rsidTr="00DF7655">
        <w:tc>
          <w:tcPr>
            <w:tcW w:w="3166" w:type="dxa"/>
            <w:vMerge/>
          </w:tcPr>
          <w:p w14:paraId="4CF76B83" w14:textId="77777777" w:rsidR="00DF7655" w:rsidRDefault="00DF7655" w:rsidP="00DF7655"/>
        </w:tc>
        <w:tc>
          <w:tcPr>
            <w:tcW w:w="3167" w:type="dxa"/>
          </w:tcPr>
          <w:p w14:paraId="4AE44EF7" w14:textId="0001631D" w:rsidR="00DF7655" w:rsidRDefault="00DF7655" w:rsidP="00DF7655">
            <w:r>
              <w:t>Анафилактичен шок</w:t>
            </w:r>
          </w:p>
        </w:tc>
        <w:tc>
          <w:tcPr>
            <w:tcW w:w="3167" w:type="dxa"/>
          </w:tcPr>
          <w:p w14:paraId="33B6336C" w14:textId="504411D9" w:rsidR="00DF7655" w:rsidRDefault="00DF7655" w:rsidP="00DF7655">
            <w:r>
              <w:t>Неизвестна</w:t>
            </w:r>
          </w:p>
        </w:tc>
      </w:tr>
      <w:tr w:rsidR="00DF7655" w14:paraId="07A1AF1F" w14:textId="77777777" w:rsidTr="00DF7655">
        <w:tc>
          <w:tcPr>
            <w:tcW w:w="3166" w:type="dxa"/>
          </w:tcPr>
          <w:p w14:paraId="6B5700B9" w14:textId="5E6D8228" w:rsidR="00DF7655" w:rsidRDefault="00DF7655" w:rsidP="00DF7655">
            <w:r>
              <w:t>Психични нарушения</w:t>
            </w:r>
          </w:p>
        </w:tc>
        <w:tc>
          <w:tcPr>
            <w:tcW w:w="3167" w:type="dxa"/>
          </w:tcPr>
          <w:p w14:paraId="03C3AD20" w14:textId="2A271572" w:rsidR="00DF7655" w:rsidRDefault="00DF7655" w:rsidP="00DF7655">
            <w:r>
              <w:t>Безпокойство</w:t>
            </w:r>
          </w:p>
        </w:tc>
        <w:tc>
          <w:tcPr>
            <w:tcW w:w="3167" w:type="dxa"/>
          </w:tcPr>
          <w:p w14:paraId="04D5581B" w14:textId="386E72E2" w:rsidR="00DF7655" w:rsidRDefault="00DF7655" w:rsidP="00DF7655">
            <w:r>
              <w:t>Неизвестна</w:t>
            </w:r>
          </w:p>
        </w:tc>
      </w:tr>
      <w:tr w:rsidR="00DF7655" w14:paraId="7F3D9D25" w14:textId="77777777" w:rsidTr="00DF7655">
        <w:tc>
          <w:tcPr>
            <w:tcW w:w="3166" w:type="dxa"/>
            <w:vMerge w:val="restart"/>
          </w:tcPr>
          <w:p w14:paraId="60C7EB49" w14:textId="003A11FC" w:rsidR="00DF7655" w:rsidRDefault="00DF7655" w:rsidP="00DF7655">
            <w:r>
              <w:t>Нарушения на нервната система</w:t>
            </w:r>
          </w:p>
        </w:tc>
        <w:tc>
          <w:tcPr>
            <w:tcW w:w="3167" w:type="dxa"/>
          </w:tcPr>
          <w:p w14:paraId="709A441B" w14:textId="4ED0A7C5" w:rsidR="00DF7655" w:rsidRDefault="00DF7655" w:rsidP="00DF7655">
            <w:r>
              <w:t>Главоболие</w:t>
            </w:r>
          </w:p>
        </w:tc>
        <w:tc>
          <w:tcPr>
            <w:tcW w:w="3167" w:type="dxa"/>
          </w:tcPr>
          <w:p w14:paraId="6933B1EC" w14:textId="35C10563" w:rsidR="00DF7655" w:rsidRDefault="00DF7655" w:rsidP="00DF7655">
            <w:r>
              <w:t>Неизвестна</w:t>
            </w:r>
          </w:p>
        </w:tc>
      </w:tr>
      <w:tr w:rsidR="00DF7655" w14:paraId="40685464" w14:textId="77777777" w:rsidTr="00DF7655">
        <w:tc>
          <w:tcPr>
            <w:tcW w:w="3166" w:type="dxa"/>
            <w:vMerge/>
          </w:tcPr>
          <w:p w14:paraId="79C2A2A7" w14:textId="77777777" w:rsidR="00DF7655" w:rsidRDefault="00DF7655" w:rsidP="00DF7655"/>
        </w:tc>
        <w:tc>
          <w:tcPr>
            <w:tcW w:w="3167" w:type="dxa"/>
          </w:tcPr>
          <w:p w14:paraId="3AE6D794" w14:textId="48F88081" w:rsidR="00DF7655" w:rsidRDefault="00DF7655" w:rsidP="00DF7655">
            <w:r>
              <w:t>Сънливост</w:t>
            </w:r>
          </w:p>
        </w:tc>
        <w:tc>
          <w:tcPr>
            <w:tcW w:w="3167" w:type="dxa"/>
          </w:tcPr>
          <w:p w14:paraId="44E92CCB" w14:textId="0066B107" w:rsidR="00DF7655" w:rsidRDefault="00DF7655" w:rsidP="00DF7655">
            <w:r>
              <w:t>Неизвестна</w:t>
            </w:r>
          </w:p>
        </w:tc>
      </w:tr>
      <w:tr w:rsidR="00DF7655" w14:paraId="35485DC7" w14:textId="77777777" w:rsidTr="00DF7655">
        <w:tc>
          <w:tcPr>
            <w:tcW w:w="3166" w:type="dxa"/>
            <w:vMerge/>
          </w:tcPr>
          <w:p w14:paraId="7D7A68B3" w14:textId="77777777" w:rsidR="00DF7655" w:rsidRDefault="00DF7655" w:rsidP="00DF7655"/>
        </w:tc>
        <w:tc>
          <w:tcPr>
            <w:tcW w:w="3167" w:type="dxa"/>
          </w:tcPr>
          <w:p w14:paraId="5C0F9C34" w14:textId="7EA21D0D" w:rsidR="00DF7655" w:rsidRDefault="00DF7655" w:rsidP="00DF7655">
            <w:r>
              <w:t>Парестезия</w:t>
            </w:r>
          </w:p>
        </w:tc>
        <w:tc>
          <w:tcPr>
            <w:tcW w:w="3167" w:type="dxa"/>
          </w:tcPr>
          <w:p w14:paraId="5DE8566C" w14:textId="2C416ED1" w:rsidR="00DF7655" w:rsidRDefault="00DF7655" w:rsidP="00DF7655">
            <w:r>
              <w:t>Неизвестна</w:t>
            </w:r>
          </w:p>
        </w:tc>
      </w:tr>
      <w:tr w:rsidR="00DF7655" w14:paraId="412DE317" w14:textId="77777777" w:rsidTr="00DF7655">
        <w:tc>
          <w:tcPr>
            <w:tcW w:w="3166" w:type="dxa"/>
          </w:tcPr>
          <w:p w14:paraId="34426E64" w14:textId="2BB5648C" w:rsidR="00DF7655" w:rsidRDefault="00DF7655" w:rsidP="00DF7655">
            <w:r>
              <w:t>Сърдечни нарушения</w:t>
            </w:r>
          </w:p>
        </w:tc>
        <w:tc>
          <w:tcPr>
            <w:tcW w:w="3167" w:type="dxa"/>
          </w:tcPr>
          <w:p w14:paraId="7391B6A9" w14:textId="68DF0F72" w:rsidR="00DF7655" w:rsidRDefault="00DF7655" w:rsidP="00DF7655">
            <w:r>
              <w:t>Тахикардия</w:t>
            </w:r>
          </w:p>
        </w:tc>
        <w:tc>
          <w:tcPr>
            <w:tcW w:w="3167" w:type="dxa"/>
          </w:tcPr>
          <w:p w14:paraId="38196469" w14:textId="50607848" w:rsidR="00DF7655" w:rsidRDefault="00DF7655" w:rsidP="00DF7655">
            <w:r>
              <w:t>Неизвестна</w:t>
            </w:r>
          </w:p>
        </w:tc>
      </w:tr>
      <w:tr w:rsidR="00DF7655" w14:paraId="4BA7537C" w14:textId="77777777" w:rsidTr="00DF7655">
        <w:tc>
          <w:tcPr>
            <w:tcW w:w="3166" w:type="dxa"/>
            <w:vMerge w:val="restart"/>
          </w:tcPr>
          <w:p w14:paraId="186DC61F" w14:textId="1FF34344" w:rsidR="00DF7655" w:rsidRDefault="00DF7655" w:rsidP="00DF7655">
            <w:r>
              <w:t>Съдови нарушения</w:t>
            </w:r>
          </w:p>
        </w:tc>
        <w:tc>
          <w:tcPr>
            <w:tcW w:w="3167" w:type="dxa"/>
          </w:tcPr>
          <w:p w14:paraId="465641CB" w14:textId="52684AC3" w:rsidR="00DF7655" w:rsidRDefault="00DF7655" w:rsidP="00DF7655">
            <w:r>
              <w:t>Зачервяване</w:t>
            </w:r>
          </w:p>
        </w:tc>
        <w:tc>
          <w:tcPr>
            <w:tcW w:w="3167" w:type="dxa"/>
          </w:tcPr>
          <w:p w14:paraId="7626DADD" w14:textId="06090A7D" w:rsidR="00DF7655" w:rsidRDefault="00DF7655" w:rsidP="00DF7655">
            <w:r>
              <w:t>Неизвестна</w:t>
            </w:r>
          </w:p>
        </w:tc>
      </w:tr>
      <w:tr w:rsidR="00DF7655" w14:paraId="47E30687" w14:textId="77777777" w:rsidTr="00DF7655">
        <w:tc>
          <w:tcPr>
            <w:tcW w:w="3166" w:type="dxa"/>
            <w:vMerge/>
          </w:tcPr>
          <w:p w14:paraId="6D3A97FB" w14:textId="77777777" w:rsidR="00DF7655" w:rsidRDefault="00DF7655" w:rsidP="00DF7655"/>
        </w:tc>
        <w:tc>
          <w:tcPr>
            <w:tcW w:w="3167" w:type="dxa"/>
          </w:tcPr>
          <w:p w14:paraId="7BE57383" w14:textId="23E40340" w:rsidR="00DF7655" w:rsidRDefault="00DF7655" w:rsidP="00DF7655">
            <w:r>
              <w:t>Хипотензия</w:t>
            </w:r>
          </w:p>
        </w:tc>
        <w:tc>
          <w:tcPr>
            <w:tcW w:w="3167" w:type="dxa"/>
          </w:tcPr>
          <w:p w14:paraId="2C8D6832" w14:textId="7D5D7DAC" w:rsidR="00DF7655" w:rsidRDefault="00DF7655" w:rsidP="00DF7655">
            <w:r>
              <w:t>Неизвестна</w:t>
            </w:r>
          </w:p>
        </w:tc>
      </w:tr>
      <w:tr w:rsidR="00DF7655" w14:paraId="7DA6ACEC" w14:textId="77777777" w:rsidTr="00DF7655">
        <w:tc>
          <w:tcPr>
            <w:tcW w:w="3166" w:type="dxa"/>
          </w:tcPr>
          <w:p w14:paraId="6B7E4401" w14:textId="06AB1E02" w:rsidR="00DF7655" w:rsidRDefault="00DF7655" w:rsidP="00DF7655">
            <w:r>
              <w:t>Дихателни, гръдни и медиастинални нарушения</w:t>
            </w:r>
          </w:p>
        </w:tc>
        <w:tc>
          <w:tcPr>
            <w:tcW w:w="3167" w:type="dxa"/>
          </w:tcPr>
          <w:p w14:paraId="6603C7D5" w14:textId="6DAAE334" w:rsidR="00DF7655" w:rsidRDefault="00DF7655" w:rsidP="00DF7655">
            <w:r>
              <w:t>Хрипове</w:t>
            </w:r>
          </w:p>
        </w:tc>
        <w:tc>
          <w:tcPr>
            <w:tcW w:w="3167" w:type="dxa"/>
          </w:tcPr>
          <w:p w14:paraId="3A161EC1" w14:textId="4FDB2FBC" w:rsidR="00DF7655" w:rsidRDefault="00DF7655" w:rsidP="00DF7655">
            <w:r>
              <w:t>Неизвестна</w:t>
            </w:r>
          </w:p>
        </w:tc>
      </w:tr>
      <w:tr w:rsidR="00DF7655" w14:paraId="618A1675" w14:textId="77777777" w:rsidTr="00DF7655">
        <w:trPr>
          <w:trHeight w:val="129"/>
        </w:trPr>
        <w:tc>
          <w:tcPr>
            <w:tcW w:w="3166" w:type="dxa"/>
            <w:vMerge w:val="restart"/>
          </w:tcPr>
          <w:p w14:paraId="7E44DFA1" w14:textId="26C3243A" w:rsidR="00DF7655" w:rsidRDefault="00DF7655" w:rsidP="00DF7655">
            <w:r>
              <w:t>Стомашно-чревни нарушения</w:t>
            </w:r>
          </w:p>
        </w:tc>
        <w:tc>
          <w:tcPr>
            <w:tcW w:w="3167" w:type="dxa"/>
          </w:tcPr>
          <w:p w14:paraId="3344141B" w14:textId="27519240" w:rsidR="00DF7655" w:rsidRDefault="00DF7655" w:rsidP="00DF7655">
            <w:r>
              <w:t>Гадене</w:t>
            </w:r>
          </w:p>
        </w:tc>
        <w:tc>
          <w:tcPr>
            <w:tcW w:w="3167" w:type="dxa"/>
          </w:tcPr>
          <w:p w14:paraId="55C429F2" w14:textId="7F64582B" w:rsidR="00DF7655" w:rsidRDefault="00DF7655" w:rsidP="00DF7655">
            <w:r>
              <w:t>Неизвестна</w:t>
            </w:r>
          </w:p>
        </w:tc>
      </w:tr>
      <w:tr w:rsidR="00DF7655" w14:paraId="68F97762" w14:textId="77777777" w:rsidTr="00DF7655">
        <w:tc>
          <w:tcPr>
            <w:tcW w:w="3166" w:type="dxa"/>
            <w:vMerge/>
          </w:tcPr>
          <w:p w14:paraId="098C75C7" w14:textId="77777777" w:rsidR="00DF7655" w:rsidRDefault="00DF7655" w:rsidP="00DF7655"/>
        </w:tc>
        <w:tc>
          <w:tcPr>
            <w:tcW w:w="3167" w:type="dxa"/>
          </w:tcPr>
          <w:p w14:paraId="6C8EFCA7" w14:textId="47976F4B" w:rsidR="00DF7655" w:rsidRDefault="00DF7655" w:rsidP="00DF7655">
            <w:r>
              <w:t>Повръщане</w:t>
            </w:r>
          </w:p>
        </w:tc>
        <w:tc>
          <w:tcPr>
            <w:tcW w:w="3167" w:type="dxa"/>
          </w:tcPr>
          <w:p w14:paraId="447F76B3" w14:textId="17956BE3" w:rsidR="00DF7655" w:rsidRDefault="00DF7655" w:rsidP="00DF7655">
            <w:r>
              <w:t>Неизвестна</w:t>
            </w:r>
          </w:p>
        </w:tc>
      </w:tr>
      <w:tr w:rsidR="00DF7655" w14:paraId="1A534401" w14:textId="77777777" w:rsidTr="00DF7655">
        <w:tc>
          <w:tcPr>
            <w:tcW w:w="3166" w:type="dxa"/>
            <w:vMerge w:val="restart"/>
          </w:tcPr>
          <w:p w14:paraId="4565D9F2" w14:textId="5A589C8F" w:rsidR="00DF7655" w:rsidRDefault="00DF7655" w:rsidP="00DF7655">
            <w:r>
              <w:t>Нарушения на кожата и на подкожната тъкан</w:t>
            </w:r>
          </w:p>
        </w:tc>
        <w:tc>
          <w:tcPr>
            <w:tcW w:w="3167" w:type="dxa"/>
          </w:tcPr>
          <w:p w14:paraId="6F66EF9B" w14:textId="147B0387" w:rsidR="00DF7655" w:rsidRDefault="00DF7655" w:rsidP="00DF7655">
            <w:r>
              <w:t>Ангиоедем</w:t>
            </w:r>
          </w:p>
        </w:tc>
        <w:tc>
          <w:tcPr>
            <w:tcW w:w="3167" w:type="dxa"/>
          </w:tcPr>
          <w:p w14:paraId="5B02ED37" w14:textId="77777777" w:rsidR="00DF7655" w:rsidRDefault="00DF7655" w:rsidP="00DF7655"/>
        </w:tc>
      </w:tr>
      <w:tr w:rsidR="00DF7655" w14:paraId="6AFB069B" w14:textId="77777777" w:rsidTr="00DF7655">
        <w:tc>
          <w:tcPr>
            <w:tcW w:w="3166" w:type="dxa"/>
            <w:vMerge/>
          </w:tcPr>
          <w:p w14:paraId="076498DB" w14:textId="77777777" w:rsidR="00DF7655" w:rsidRDefault="00DF7655" w:rsidP="00DF7655"/>
        </w:tc>
        <w:tc>
          <w:tcPr>
            <w:tcW w:w="3167" w:type="dxa"/>
          </w:tcPr>
          <w:p w14:paraId="4E4302E5" w14:textId="0EFC4841" w:rsidR="00DF7655" w:rsidRDefault="00DF7655" w:rsidP="00DF7655">
            <w:r>
              <w:t>Генерализирана</w:t>
            </w:r>
            <w:r>
              <w:rPr>
                <w:lang w:val="en-US"/>
              </w:rPr>
              <w:t xml:space="preserve"> </w:t>
            </w:r>
            <w:r>
              <w:t>уртикатия</w:t>
            </w:r>
          </w:p>
          <w:p w14:paraId="3948CFC4" w14:textId="7BD2F583" w:rsidR="00DF7655" w:rsidRDefault="00DF7655" w:rsidP="00DF7655">
            <w:r>
              <w:t>(уртикария)*</w:t>
            </w:r>
          </w:p>
        </w:tc>
        <w:tc>
          <w:tcPr>
            <w:tcW w:w="3167" w:type="dxa"/>
          </w:tcPr>
          <w:p w14:paraId="3957739C" w14:textId="67219920" w:rsidR="00DF7655" w:rsidRDefault="00DF7655" w:rsidP="00DF7655">
            <w:r>
              <w:t>Неизвестна</w:t>
            </w:r>
          </w:p>
        </w:tc>
      </w:tr>
      <w:tr w:rsidR="00DF7655" w14:paraId="4E024885" w14:textId="77777777" w:rsidTr="00DF7655">
        <w:tc>
          <w:tcPr>
            <w:tcW w:w="3166" w:type="dxa"/>
            <w:vMerge/>
          </w:tcPr>
          <w:p w14:paraId="3B394778" w14:textId="77777777" w:rsidR="00DF7655" w:rsidRDefault="00DF7655" w:rsidP="00DF7655"/>
        </w:tc>
        <w:tc>
          <w:tcPr>
            <w:tcW w:w="3167" w:type="dxa"/>
          </w:tcPr>
          <w:p w14:paraId="1F779472" w14:textId="285E908C" w:rsidR="00DF7655" w:rsidRDefault="00DF7655" w:rsidP="00DF7655">
            <w:r>
              <w:t>Копривна треска (уртикария)*</w:t>
            </w:r>
          </w:p>
        </w:tc>
        <w:tc>
          <w:tcPr>
            <w:tcW w:w="3167" w:type="dxa"/>
          </w:tcPr>
          <w:p w14:paraId="4986A8B0" w14:textId="4EDC1D5B" w:rsidR="00DF7655" w:rsidRDefault="00DF7655" w:rsidP="00DF7655">
            <w:r>
              <w:t>Неизвестна</w:t>
            </w:r>
          </w:p>
        </w:tc>
      </w:tr>
      <w:tr w:rsidR="00DF7655" w14:paraId="518ECA85" w14:textId="77777777" w:rsidTr="00DF7655">
        <w:tc>
          <w:tcPr>
            <w:tcW w:w="3166" w:type="dxa"/>
            <w:vMerge w:val="restart"/>
          </w:tcPr>
          <w:p w14:paraId="48A4F553" w14:textId="526CE608" w:rsidR="00DF7655" w:rsidRDefault="00DF7655" w:rsidP="00DF7655">
            <w:r>
              <w:t>Общи нарушения и ефекти на мястото на приложения</w:t>
            </w:r>
          </w:p>
        </w:tc>
        <w:tc>
          <w:tcPr>
            <w:tcW w:w="3167" w:type="dxa"/>
          </w:tcPr>
          <w:p w14:paraId="7B645747" w14:textId="36C19906" w:rsidR="00DF7655" w:rsidRDefault="00DF7655" w:rsidP="00DF7655">
            <w:r>
              <w:t>Зачервяване на мястото на приложение (болка на мястото на вливане)</w:t>
            </w:r>
          </w:p>
        </w:tc>
        <w:tc>
          <w:tcPr>
            <w:tcW w:w="3167" w:type="dxa"/>
          </w:tcPr>
          <w:p w14:paraId="53752EBC" w14:textId="3C184609" w:rsidR="00DF7655" w:rsidRDefault="00DF7655" w:rsidP="00DF7655">
            <w:r>
              <w:t>Неизвестна</w:t>
            </w:r>
          </w:p>
        </w:tc>
      </w:tr>
      <w:tr w:rsidR="00DF7655" w14:paraId="7A1262FD" w14:textId="77777777" w:rsidTr="00DF7655">
        <w:tc>
          <w:tcPr>
            <w:tcW w:w="3166" w:type="dxa"/>
            <w:vMerge/>
          </w:tcPr>
          <w:p w14:paraId="6DFC438E" w14:textId="77777777" w:rsidR="00DF7655" w:rsidRDefault="00DF7655" w:rsidP="00DF7655"/>
        </w:tc>
        <w:tc>
          <w:tcPr>
            <w:tcW w:w="3167" w:type="dxa"/>
          </w:tcPr>
          <w:p w14:paraId="01B8865E" w14:textId="0A438C5B" w:rsidR="00DF7655" w:rsidRDefault="00DF7655" w:rsidP="00DF7655">
            <w:r>
              <w:t>Парене на мястото на приложение (болка на мястото навливане)*</w:t>
            </w:r>
          </w:p>
        </w:tc>
        <w:tc>
          <w:tcPr>
            <w:tcW w:w="3167" w:type="dxa"/>
          </w:tcPr>
          <w:p w14:paraId="1F07674B" w14:textId="5C6C44AA" w:rsidR="00DF7655" w:rsidRDefault="00DF7655" w:rsidP="00DF7655">
            <w:r>
              <w:t>Неизвестна</w:t>
            </w:r>
          </w:p>
        </w:tc>
      </w:tr>
      <w:tr w:rsidR="00DF7655" w14:paraId="2BDB3C8F" w14:textId="77777777" w:rsidTr="00DF7655">
        <w:tc>
          <w:tcPr>
            <w:tcW w:w="3166" w:type="dxa"/>
            <w:vMerge/>
          </w:tcPr>
          <w:p w14:paraId="2E6C8457" w14:textId="77777777" w:rsidR="00DF7655" w:rsidRDefault="00DF7655" w:rsidP="00DF7655"/>
        </w:tc>
        <w:tc>
          <w:tcPr>
            <w:tcW w:w="3167" w:type="dxa"/>
          </w:tcPr>
          <w:p w14:paraId="141DBDF9" w14:textId="40932425" w:rsidR="00DF7655" w:rsidRDefault="00DF7655" w:rsidP="00DF7655">
            <w:r>
              <w:t>Втрисане</w:t>
            </w:r>
          </w:p>
        </w:tc>
        <w:tc>
          <w:tcPr>
            <w:tcW w:w="3167" w:type="dxa"/>
          </w:tcPr>
          <w:p w14:paraId="540DAE0E" w14:textId="67DE78FB" w:rsidR="00DF7655" w:rsidRDefault="00DF7655" w:rsidP="00DF7655">
            <w:r>
              <w:t>Неизвестна</w:t>
            </w:r>
          </w:p>
        </w:tc>
      </w:tr>
      <w:tr w:rsidR="00DF7655" w14:paraId="30747DDD" w14:textId="77777777" w:rsidTr="006D5399">
        <w:tc>
          <w:tcPr>
            <w:tcW w:w="3166" w:type="dxa"/>
            <w:vMerge/>
          </w:tcPr>
          <w:p w14:paraId="14AEFBE4" w14:textId="77777777" w:rsidR="00DF7655" w:rsidRDefault="00DF7655" w:rsidP="00DF7655"/>
        </w:tc>
        <w:tc>
          <w:tcPr>
            <w:tcW w:w="3167" w:type="dxa"/>
            <w:vAlign w:val="bottom"/>
          </w:tcPr>
          <w:p w14:paraId="18020750" w14:textId="5CD41158" w:rsidR="00DF7655" w:rsidRDefault="00DF7655" w:rsidP="00DF7655">
            <w:r>
              <w:t>Стягане в гърдите (дискомфорт в гърдите)</w:t>
            </w:r>
          </w:p>
        </w:tc>
        <w:tc>
          <w:tcPr>
            <w:tcW w:w="3167" w:type="dxa"/>
          </w:tcPr>
          <w:p w14:paraId="20DF455B" w14:textId="4EAA46D8" w:rsidR="00DF7655" w:rsidRDefault="00DF7655" w:rsidP="00DF7655">
            <w:r>
              <w:t>Неизвестна</w:t>
            </w:r>
          </w:p>
        </w:tc>
      </w:tr>
      <w:tr w:rsidR="00DF7655" w14:paraId="49DFB625" w14:textId="77777777" w:rsidTr="00DF7655">
        <w:tc>
          <w:tcPr>
            <w:tcW w:w="3166" w:type="dxa"/>
            <w:vMerge/>
          </w:tcPr>
          <w:p w14:paraId="000D5DE8" w14:textId="77777777" w:rsidR="00DF7655" w:rsidRDefault="00DF7655" w:rsidP="00DF7655"/>
        </w:tc>
        <w:tc>
          <w:tcPr>
            <w:tcW w:w="3167" w:type="dxa"/>
          </w:tcPr>
          <w:p w14:paraId="1BD83FDC" w14:textId="756C9931" w:rsidR="00DF7655" w:rsidRDefault="00DF7655" w:rsidP="00DF7655">
            <w:r>
              <w:t>Треска</w:t>
            </w:r>
          </w:p>
        </w:tc>
        <w:tc>
          <w:tcPr>
            <w:tcW w:w="3167" w:type="dxa"/>
          </w:tcPr>
          <w:p w14:paraId="5216A5B3" w14:textId="623DED00" w:rsidR="00DF7655" w:rsidRDefault="00DF7655" w:rsidP="00DF7655">
            <w:r>
              <w:t>Неизвестна</w:t>
            </w:r>
          </w:p>
        </w:tc>
      </w:tr>
    </w:tbl>
    <w:p w14:paraId="619B0D56" w14:textId="7CBA111B" w:rsidR="00DF7655" w:rsidRDefault="00DF7655" w:rsidP="00DF7655"/>
    <w:p w14:paraId="6E5F140A" w14:textId="77777777" w:rsidR="00DF7655" w:rsidRPr="00DF7655" w:rsidRDefault="00DF7655" w:rsidP="00DF7655">
      <w:pPr>
        <w:spacing w:line="240" w:lineRule="auto"/>
        <w:rPr>
          <w:rFonts w:eastAsia="Times New Roman" w:cs="Arial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 xml:space="preserve">* Термините на </w:t>
      </w:r>
      <w:r w:rsidRPr="00DF7655">
        <w:rPr>
          <w:rFonts w:eastAsia="Times New Roman" w:cs="Arial"/>
          <w:color w:val="000000"/>
          <w:lang w:val="en-US"/>
        </w:rPr>
        <w:t xml:space="preserve">MedDRA </w:t>
      </w:r>
      <w:r w:rsidRPr="00DF7655">
        <w:rPr>
          <w:rFonts w:eastAsia="Times New Roman" w:cs="Arial"/>
          <w:color w:val="000000"/>
          <w:lang w:eastAsia="bg-BG"/>
        </w:rPr>
        <w:t xml:space="preserve">от по-ниско ниво са по-подходящи за описанието на тези нежелани реакции; предпочитаните от </w:t>
      </w:r>
      <w:r w:rsidRPr="00DF7655">
        <w:rPr>
          <w:rFonts w:eastAsia="Times New Roman" w:cs="Arial"/>
          <w:color w:val="000000"/>
          <w:lang w:val="en-US"/>
        </w:rPr>
        <w:t xml:space="preserve">MedDRA </w:t>
      </w:r>
      <w:r w:rsidRPr="00DF7655">
        <w:rPr>
          <w:rFonts w:eastAsia="Times New Roman" w:cs="Arial"/>
          <w:color w:val="000000"/>
          <w:lang w:eastAsia="bg-BG"/>
        </w:rPr>
        <w:t>термини са дадени в скоби.</w:t>
      </w:r>
    </w:p>
    <w:p w14:paraId="307AEB55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090BEAA" w14:textId="1343F0D6" w:rsidR="00DF7655" w:rsidRPr="00DF7655" w:rsidRDefault="00DF7655" w:rsidP="00DF7655">
      <w:pPr>
        <w:spacing w:line="240" w:lineRule="auto"/>
        <w:rPr>
          <w:rFonts w:eastAsia="Times New Roman" w:cs="Arial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 xml:space="preserve">Честотата е базирана на проучвания с всички </w:t>
      </w:r>
      <w:r w:rsidRPr="00DF7655">
        <w:rPr>
          <w:rFonts w:eastAsia="Times New Roman" w:cs="Arial"/>
          <w:color w:val="000000"/>
          <w:lang w:val="en-US"/>
        </w:rPr>
        <w:t xml:space="preserve">FVIII </w:t>
      </w:r>
      <w:r w:rsidRPr="00DF7655">
        <w:rPr>
          <w:rFonts w:eastAsia="Times New Roman" w:cs="Arial"/>
          <w:color w:val="000000"/>
          <w:lang w:eastAsia="bg-BG"/>
        </w:rPr>
        <w:t xml:space="preserve">продукти, които са включвали пациенти с тежка хемофилия </w:t>
      </w:r>
      <w:r w:rsidRPr="00DF7655">
        <w:rPr>
          <w:rFonts w:eastAsia="Times New Roman" w:cs="Arial"/>
          <w:color w:val="000000"/>
          <w:lang w:val="en-US"/>
        </w:rPr>
        <w:t xml:space="preserve">A. PTPs </w:t>
      </w:r>
      <w:r w:rsidRPr="00DF7655">
        <w:rPr>
          <w:rFonts w:eastAsia="Times New Roman" w:cs="Arial"/>
          <w:color w:val="000000"/>
          <w:lang w:eastAsia="bg-BG"/>
        </w:rPr>
        <w:t xml:space="preserve">= лекувани преди това пациенти, </w:t>
      </w:r>
      <w:r w:rsidRPr="00DF7655">
        <w:rPr>
          <w:rFonts w:eastAsia="Times New Roman" w:cs="Arial"/>
          <w:color w:val="000000"/>
          <w:lang w:val="en-US"/>
        </w:rPr>
        <w:t xml:space="preserve">PUPs </w:t>
      </w:r>
      <w:r w:rsidRPr="00DF7655">
        <w:rPr>
          <w:rFonts w:eastAsia="Times New Roman" w:cs="Arial"/>
          <w:color w:val="000000"/>
          <w:lang w:eastAsia="bg-BG"/>
        </w:rPr>
        <w:t>= нелекувани преди това пациенти.</w:t>
      </w:r>
    </w:p>
    <w:p w14:paraId="5BEF637C" w14:textId="512BA269" w:rsidR="00DF7655" w:rsidRPr="00DF7655" w:rsidRDefault="00DF7655" w:rsidP="00DF7655">
      <w:pPr>
        <w:spacing w:line="240" w:lineRule="auto"/>
        <w:rPr>
          <w:rFonts w:eastAsia="Times New Roman" w:cs="Arial"/>
          <w:lang w:eastAsia="bg-BG"/>
        </w:rPr>
      </w:pPr>
      <w:r w:rsidRPr="00DF7655">
        <w:rPr>
          <w:rFonts w:eastAsia="Times New Roman" w:cs="Arial"/>
          <w:color w:val="000000"/>
          <w:u w:val="single"/>
          <w:lang w:eastAsia="bg-BG"/>
        </w:rPr>
        <w:t>Употреба при деца</w:t>
      </w:r>
    </w:p>
    <w:p w14:paraId="09C88330" w14:textId="77777777" w:rsidR="00DF7655" w:rsidRPr="00DF7655" w:rsidRDefault="00DF7655" w:rsidP="00DF7655">
      <w:pPr>
        <w:spacing w:line="240" w:lineRule="auto"/>
        <w:rPr>
          <w:rFonts w:eastAsia="Times New Roman" w:cs="Arial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Няма конкретни данни по отношение на пациентите - деца.</w:t>
      </w:r>
    </w:p>
    <w:p w14:paraId="020BA19F" w14:textId="77777777" w:rsidR="00DF7655" w:rsidRPr="00DF7655" w:rsidRDefault="00DF7655" w:rsidP="00DF76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C5D7491" w14:textId="049FD06D" w:rsidR="00DF7655" w:rsidRPr="00DF7655" w:rsidRDefault="00DF7655" w:rsidP="00DF7655">
      <w:pPr>
        <w:spacing w:line="240" w:lineRule="auto"/>
        <w:rPr>
          <w:rFonts w:eastAsia="Times New Roman" w:cs="Arial"/>
          <w:lang w:eastAsia="bg-BG"/>
        </w:rPr>
      </w:pPr>
      <w:r w:rsidRPr="00DF7655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584DDE5A" w14:textId="77777777" w:rsidR="00DF7655" w:rsidRPr="00DF7655" w:rsidRDefault="00DF7655" w:rsidP="00DF7655">
      <w:pPr>
        <w:spacing w:line="240" w:lineRule="auto"/>
        <w:rPr>
          <w:rFonts w:eastAsia="Times New Roman" w:cs="Arial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Съобщаването на евентуални нежелани реакции след употреба на лекарствения продукт е важно. По този начин се осигурява възможност за непрекъснато наблюдение на съотношението между ползи и риск от лекарствения продукт .Отправя се молба към здравните специалисти също да съобщават за всички подозрения за нежелани реакции чрез националната система за съобщаване:</w:t>
      </w:r>
    </w:p>
    <w:p w14:paraId="3E581051" w14:textId="77777777" w:rsidR="00DF7655" w:rsidRPr="00DF7655" w:rsidRDefault="00DF7655" w:rsidP="00DF7655">
      <w:pPr>
        <w:spacing w:line="240" w:lineRule="auto"/>
        <w:rPr>
          <w:rFonts w:eastAsia="Times New Roman" w:cs="Arial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5376C34C" w14:textId="77777777" w:rsidR="00DF7655" w:rsidRPr="00DF7655" w:rsidRDefault="00DF7655" w:rsidP="00DF7655">
      <w:pPr>
        <w:spacing w:line="240" w:lineRule="auto"/>
        <w:rPr>
          <w:rFonts w:eastAsia="Times New Roman" w:cs="Arial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ул. „Дамян Груев” № 8</w:t>
      </w:r>
    </w:p>
    <w:p w14:paraId="0E2F2C94" w14:textId="77777777" w:rsidR="00DF7655" w:rsidRPr="00DF7655" w:rsidRDefault="00DF7655" w:rsidP="00DF7655">
      <w:pPr>
        <w:spacing w:line="240" w:lineRule="auto"/>
        <w:rPr>
          <w:rFonts w:eastAsia="Times New Roman" w:cs="Arial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1303 София</w:t>
      </w:r>
    </w:p>
    <w:p w14:paraId="42CDE7CE" w14:textId="77777777" w:rsidR="00DF7655" w:rsidRPr="00DF7655" w:rsidRDefault="00DF7655" w:rsidP="00DF7655">
      <w:pPr>
        <w:spacing w:line="240" w:lineRule="auto"/>
        <w:rPr>
          <w:rFonts w:eastAsia="Times New Roman" w:cs="Arial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Тел.:+359 2 8903417</w:t>
      </w:r>
    </w:p>
    <w:p w14:paraId="7042B2F5" w14:textId="77777777" w:rsidR="00DF7655" w:rsidRPr="00DF7655" w:rsidRDefault="00DF7655" w:rsidP="00DF7655">
      <w:pPr>
        <w:spacing w:line="240" w:lineRule="auto"/>
        <w:rPr>
          <w:rFonts w:eastAsia="Times New Roman" w:cs="Arial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DF7655">
          <w:rPr>
            <w:rFonts w:eastAsia="Times New Roman" w:cs="Arial"/>
            <w:color w:val="000000"/>
            <w:lang w:val="en-US"/>
          </w:rPr>
          <w:t>www.bda.bg</w:t>
        </w:r>
      </w:hyperlink>
    </w:p>
    <w:p w14:paraId="092F3F89" w14:textId="77777777" w:rsidR="00DF7655" w:rsidRPr="00DF7655" w:rsidRDefault="00DF7655" w:rsidP="00DF7655"/>
    <w:p w14:paraId="378A0F20" w14:textId="788972FC" w:rsidR="001D095A" w:rsidRDefault="002C50EE" w:rsidP="00340E8D">
      <w:pPr>
        <w:pStyle w:val="Heading2"/>
      </w:pPr>
      <w:r>
        <w:t>4.9. Предозиране</w:t>
      </w:r>
    </w:p>
    <w:p w14:paraId="4C0D1596" w14:textId="2D01EA3E" w:rsidR="00DF7655" w:rsidRDefault="00DF7655" w:rsidP="00DF7655"/>
    <w:p w14:paraId="79BFA6FC" w14:textId="4875FE45" w:rsidR="00DF7655" w:rsidRPr="00DF7655" w:rsidRDefault="00DF7655" w:rsidP="00DF7655">
      <w:pPr>
        <w:rPr>
          <w:lang w:eastAsia="bg-BG"/>
        </w:rPr>
      </w:pPr>
      <w:r w:rsidRPr="00DF7655">
        <w:rPr>
          <w:lang w:eastAsia="bg-BG"/>
        </w:rPr>
        <w:t>Не са съобщавани симптоми след предозиране на човешки плазмен коагулационен фактор VIII.</w:t>
      </w:r>
    </w:p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71A8661E" w:rsidR="00F62E44" w:rsidRDefault="002C50EE" w:rsidP="00387A66">
      <w:pPr>
        <w:pStyle w:val="Heading2"/>
      </w:pPr>
      <w:r>
        <w:t>5.1. Фармакодинамични свойства</w:t>
      </w:r>
    </w:p>
    <w:p w14:paraId="646290EC" w14:textId="345E89AC" w:rsidR="00DF7655" w:rsidRDefault="00DF7655" w:rsidP="00DF7655"/>
    <w:p w14:paraId="6D4ED7FD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 xml:space="preserve">Фармакотерапевтична група: антихеморагици, кръвосъсирващ фактор VIII, АТС код: </w:t>
      </w:r>
      <w:r w:rsidRPr="00DF7655">
        <w:rPr>
          <w:rFonts w:eastAsia="Times New Roman" w:cs="Arial"/>
          <w:color w:val="000000"/>
          <w:lang w:val="en-US"/>
        </w:rPr>
        <w:t>B02BD02.</w:t>
      </w:r>
    </w:p>
    <w:p w14:paraId="28513F32" w14:textId="77777777" w:rsidR="00DF7655" w:rsidRPr="00F10A52" w:rsidRDefault="00DF7655" w:rsidP="00DF76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4C1038B" w14:textId="14A8BC6C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Комплексът фактор VIII/ фактор на фон Вилебранд се състои от две молекули (фактор VIII и фактор на фон Вилебранд) с различно физиологично действие.</w:t>
      </w:r>
    </w:p>
    <w:p w14:paraId="7BB19E12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Когато се влива на пациент, страдащ от хемофилия, фактор VIII се свързва с фактора на фон Вилебранд в кръвообращението на пациента.</w:t>
      </w:r>
    </w:p>
    <w:p w14:paraId="680A09AE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Активираният фактор VIII действа като ко-фактор на активирания фактор IX, ускорявайки преобразуването на фактор X в активиран фактор X. Активираният фактор X преобразува протромбин в тромбин. След това тромбинът преобразува фибриноген във фибрин и може да се образува съсирек. Хемофилия А представлява свързана с пола наследствена дисфункция на кръвосъсирването в резултат на повишените нива на фактор VIII :С и води до профузни кръвоизливи в ставите, мускулите или вътрешните органи - спонтанни или в резултат на травма, получена при инцидент или операция. Чрез заместителната терапия нивата на фактор VIII в плазмата се повишават, което позволява временно преодоляване на дефицита на фактора и справяне със склонността към кървене.</w:t>
      </w:r>
    </w:p>
    <w:p w14:paraId="195B97B9" w14:textId="77777777" w:rsidR="00DF7655" w:rsidRPr="00F10A52" w:rsidRDefault="00DF7655" w:rsidP="00DF76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4223CD6" w14:textId="4FF23156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 xml:space="preserve">Трябва да се отбележи, че годишната честота на кървене </w:t>
      </w:r>
      <w:r w:rsidRPr="00DF7655">
        <w:rPr>
          <w:rFonts w:eastAsia="Times New Roman" w:cs="Arial"/>
          <w:color w:val="000000"/>
          <w:lang w:val="en-US"/>
        </w:rPr>
        <w:t xml:space="preserve">(ABR) </w:t>
      </w:r>
      <w:r w:rsidRPr="00DF7655">
        <w:rPr>
          <w:rFonts w:eastAsia="Times New Roman" w:cs="Arial"/>
          <w:color w:val="000000"/>
          <w:lang w:eastAsia="bg-BG"/>
        </w:rPr>
        <w:t>не е сравнима между различни факторни концентрати и между различни клинични изследвания.</w:t>
      </w:r>
    </w:p>
    <w:p w14:paraId="285FC077" w14:textId="77777777" w:rsidR="00DF7655" w:rsidRPr="00F10A52" w:rsidRDefault="00DF7655" w:rsidP="00DF76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084DBC6" w14:textId="69D841C3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>Като допълнение към ролята на защитен протеин на фактор VIII, факторът на фон Вилебранд спомага за заздравяване на съдови наранявания и способства за агрегирането на тромбоцити.</w:t>
      </w:r>
    </w:p>
    <w:p w14:paraId="24179A00" w14:textId="77777777" w:rsidR="00DF7655" w:rsidRPr="00F10A52" w:rsidRDefault="00DF7655" w:rsidP="00DF765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3F00256" w14:textId="7C675AE9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 xml:space="preserve">10 пациента с тежка форма на хемофилия А (средна възраст 15 години, диапазон 5-51 г.) с висок инхибиторен титър, включени в регистъра на </w:t>
      </w:r>
      <w:r w:rsidRPr="00DF7655">
        <w:rPr>
          <w:rFonts w:eastAsia="Times New Roman" w:cs="Arial"/>
          <w:color w:val="000000"/>
          <w:lang w:val="en-US"/>
        </w:rPr>
        <w:t xml:space="preserve">PROFIT, </w:t>
      </w:r>
      <w:r w:rsidRPr="00DF7655">
        <w:rPr>
          <w:rFonts w:eastAsia="Times New Roman" w:cs="Arial"/>
          <w:color w:val="000000"/>
          <w:lang w:eastAsia="bg-BG"/>
        </w:rPr>
        <w:t xml:space="preserve">управляван от Италианската асоциация на центровете за хемофилия </w:t>
      </w:r>
      <w:r w:rsidRPr="00DF7655">
        <w:rPr>
          <w:rFonts w:eastAsia="Times New Roman" w:cs="Arial"/>
          <w:color w:val="000000"/>
          <w:lang w:val="en-US"/>
        </w:rPr>
        <w:t xml:space="preserve">(AICE), </w:t>
      </w:r>
      <w:r w:rsidRPr="00DF7655">
        <w:rPr>
          <w:rFonts w:eastAsia="Times New Roman" w:cs="Arial"/>
          <w:color w:val="000000"/>
          <w:lang w:eastAsia="bg-BG"/>
        </w:rPr>
        <w:t xml:space="preserve">са лекувани с </w:t>
      </w:r>
      <w:r w:rsidRPr="00DF7655">
        <w:rPr>
          <w:rFonts w:eastAsia="Times New Roman" w:cs="Arial"/>
          <w:color w:val="000000"/>
          <w:lang w:val="en-US"/>
        </w:rPr>
        <w:t xml:space="preserve">EMOCLOT </w:t>
      </w:r>
      <w:r w:rsidRPr="00DF7655">
        <w:rPr>
          <w:rFonts w:eastAsia="Times New Roman" w:cs="Arial"/>
          <w:color w:val="000000"/>
          <w:lang w:eastAsia="bg-BG"/>
        </w:rPr>
        <w:t xml:space="preserve">за ликвидиране на инхибиторите, използвайки индукция на имунотолерантност </w:t>
      </w:r>
      <w:r w:rsidRPr="00DF7655">
        <w:rPr>
          <w:rFonts w:eastAsia="Times New Roman" w:cs="Arial"/>
          <w:color w:val="000000"/>
          <w:lang w:val="en-US"/>
        </w:rPr>
        <w:t xml:space="preserve">(ITI). </w:t>
      </w:r>
      <w:r w:rsidRPr="00DF7655">
        <w:rPr>
          <w:rFonts w:eastAsia="Times New Roman" w:cs="Arial"/>
          <w:color w:val="000000"/>
          <w:lang w:eastAsia="bg-BG"/>
        </w:rPr>
        <w:t xml:space="preserve">8 от тези 10 са получили </w:t>
      </w:r>
      <w:r w:rsidRPr="00DF7655">
        <w:rPr>
          <w:rFonts w:eastAsia="Times New Roman" w:cs="Arial"/>
          <w:color w:val="000000"/>
          <w:lang w:val="en-US"/>
        </w:rPr>
        <w:t xml:space="preserve">ITI </w:t>
      </w:r>
      <w:r w:rsidRPr="00DF7655">
        <w:rPr>
          <w:rFonts w:eastAsia="Times New Roman" w:cs="Arial"/>
          <w:color w:val="000000"/>
          <w:lang w:eastAsia="bg-BG"/>
        </w:rPr>
        <w:t xml:space="preserve">от първа линия, а 2 са преминали спасителни </w:t>
      </w:r>
      <w:r w:rsidRPr="00DF7655">
        <w:rPr>
          <w:rFonts w:eastAsia="Times New Roman" w:cs="Arial"/>
          <w:color w:val="000000"/>
          <w:lang w:val="en-US"/>
        </w:rPr>
        <w:t xml:space="preserve">ITI, </w:t>
      </w:r>
      <w:r w:rsidRPr="00DF7655">
        <w:rPr>
          <w:rFonts w:eastAsia="Times New Roman" w:cs="Arial"/>
          <w:color w:val="000000"/>
          <w:lang w:eastAsia="bg-BG"/>
        </w:rPr>
        <w:t xml:space="preserve">след предходен неуспешен опит с различен </w:t>
      </w:r>
      <w:r w:rsidRPr="00DF7655">
        <w:rPr>
          <w:rFonts w:eastAsia="Times New Roman" w:cs="Arial"/>
          <w:color w:val="000000"/>
          <w:lang w:val="en-US"/>
        </w:rPr>
        <w:t xml:space="preserve">FVIII </w:t>
      </w:r>
      <w:r w:rsidRPr="00DF7655">
        <w:rPr>
          <w:rFonts w:eastAsia="Times New Roman" w:cs="Arial"/>
          <w:color w:val="000000"/>
          <w:lang w:eastAsia="bg-BG"/>
        </w:rPr>
        <w:t xml:space="preserve">концентрат. 5 пациенти са били лекувани с междинни / високи дневни схеми на дозиране (100/200 </w:t>
      </w:r>
      <w:r w:rsidRPr="00DF7655">
        <w:rPr>
          <w:rFonts w:eastAsia="Times New Roman" w:cs="Arial"/>
          <w:color w:val="000000"/>
          <w:lang w:val="en-US"/>
        </w:rPr>
        <w:t>IU/Kg</w:t>
      </w:r>
      <w:r w:rsidRPr="00DF7655">
        <w:rPr>
          <w:rFonts w:eastAsia="Times New Roman" w:cs="Arial"/>
          <w:color w:val="000000"/>
          <w:lang w:eastAsia="bg-BG"/>
        </w:rPr>
        <w:t xml:space="preserve">/ден), а 5 са били лекувани в алтернативни дни или 3 пъти седмично при различни дози (50-150 </w:t>
      </w:r>
      <w:r w:rsidRPr="00DF7655">
        <w:rPr>
          <w:rFonts w:eastAsia="Times New Roman" w:cs="Arial"/>
          <w:color w:val="000000"/>
          <w:lang w:val="en-US"/>
        </w:rPr>
        <w:t xml:space="preserve">IU/kg). </w:t>
      </w:r>
      <w:r w:rsidRPr="00DF7655">
        <w:rPr>
          <w:rFonts w:eastAsia="Times New Roman" w:cs="Arial"/>
          <w:color w:val="000000"/>
          <w:lang w:eastAsia="bg-BG"/>
        </w:rPr>
        <w:t xml:space="preserve">Пълен или частичен отговор, постоянен след средно проследяване от 9 години, е получен в 50% от случаите. При 4-те пациенти, достигнали пълен успех, средното време за ликвидиране на инхибиторите е било 26 месеца. В допълнение, опитът с 11 пациенти (средна възраст 17 години) с висок инхибиторен титър, подложени на </w:t>
      </w:r>
      <w:r w:rsidRPr="00DF7655">
        <w:rPr>
          <w:rFonts w:eastAsia="Times New Roman" w:cs="Arial"/>
          <w:color w:val="000000"/>
          <w:lang w:val="en-US"/>
        </w:rPr>
        <w:t xml:space="preserve">ITI </w:t>
      </w:r>
      <w:r w:rsidRPr="00DF7655">
        <w:rPr>
          <w:rFonts w:eastAsia="Times New Roman" w:cs="Arial"/>
          <w:color w:val="000000"/>
          <w:lang w:eastAsia="bg-BG"/>
        </w:rPr>
        <w:t xml:space="preserve">с </w:t>
      </w:r>
      <w:r w:rsidRPr="00DF7655">
        <w:rPr>
          <w:rFonts w:eastAsia="Times New Roman" w:cs="Arial"/>
          <w:color w:val="000000"/>
          <w:lang w:val="en-US"/>
        </w:rPr>
        <w:t xml:space="preserve">EMOCLOT, </w:t>
      </w:r>
      <w:r w:rsidRPr="00DF7655">
        <w:rPr>
          <w:rFonts w:eastAsia="Times New Roman" w:cs="Arial"/>
          <w:color w:val="000000"/>
          <w:lang w:eastAsia="bg-BG"/>
        </w:rPr>
        <w:t xml:space="preserve">е описан в литературата; като цялостно, </w:t>
      </w:r>
      <w:r w:rsidRPr="00DF7655">
        <w:rPr>
          <w:rFonts w:eastAsia="Times New Roman" w:cs="Arial"/>
          <w:color w:val="000000"/>
          <w:lang w:val="en-US"/>
        </w:rPr>
        <w:t xml:space="preserve">ITI </w:t>
      </w:r>
      <w:r w:rsidRPr="00DF7655">
        <w:rPr>
          <w:rFonts w:eastAsia="Times New Roman" w:cs="Arial"/>
          <w:color w:val="000000"/>
          <w:lang w:eastAsia="bg-BG"/>
        </w:rPr>
        <w:t>е успешен при 9 от 11 пациента (82%), с пълна ерадикация на инхибиторите при 4 (36%) и частичен успех при 5 (45%).</w:t>
      </w:r>
    </w:p>
    <w:p w14:paraId="7FA11046" w14:textId="77777777" w:rsidR="00DF7655" w:rsidRPr="00F10A52" w:rsidRDefault="00DF7655" w:rsidP="00DF76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9967B0E" w14:textId="387BC77E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u w:val="single"/>
          <w:lang w:eastAsia="bg-BG"/>
        </w:rPr>
        <w:t>Употреба при деца</w:t>
      </w:r>
    </w:p>
    <w:p w14:paraId="29D46074" w14:textId="60FA5606" w:rsidR="00DF7655" w:rsidRPr="00F10A52" w:rsidRDefault="00DF7655" w:rsidP="00DF7655">
      <w:pPr>
        <w:rPr>
          <w:rFonts w:eastAsia="Times New Roman" w:cs="Arial"/>
          <w:color w:val="000000"/>
          <w:lang w:eastAsia="bg-BG"/>
        </w:rPr>
      </w:pPr>
      <w:r w:rsidRPr="00F10A52">
        <w:rPr>
          <w:rFonts w:eastAsia="Times New Roman" w:cs="Arial"/>
          <w:color w:val="000000"/>
          <w:lang w:eastAsia="bg-BG"/>
        </w:rPr>
        <w:t xml:space="preserve">125 деца без инхибитори на възраст под 6 години, без предишна или минимална експозиция на </w:t>
      </w:r>
      <w:r w:rsidRPr="00F10A52">
        <w:rPr>
          <w:rFonts w:eastAsia="Times New Roman" w:cs="Arial"/>
          <w:color w:val="000000"/>
          <w:lang w:val="en-US"/>
        </w:rPr>
        <w:t>F</w:t>
      </w:r>
      <w:r w:rsidRPr="00F10A52">
        <w:rPr>
          <w:rFonts w:eastAsia="Times New Roman" w:cs="Arial"/>
          <w:color w:val="000000"/>
          <w:lang w:eastAsia="bg-BG"/>
        </w:rPr>
        <w:t xml:space="preserve">VIII, са лекувани с плазмен </w:t>
      </w:r>
      <w:r w:rsidRPr="00F10A52">
        <w:rPr>
          <w:rFonts w:eastAsia="Times New Roman" w:cs="Arial"/>
          <w:color w:val="000000"/>
          <w:lang w:val="en-US"/>
        </w:rPr>
        <w:t>F</w:t>
      </w:r>
      <w:r w:rsidRPr="00F10A52">
        <w:rPr>
          <w:rFonts w:eastAsia="Times New Roman" w:cs="Arial"/>
          <w:color w:val="000000"/>
          <w:lang w:eastAsia="bg-BG"/>
        </w:rPr>
        <w:t xml:space="preserve">VIII </w:t>
      </w:r>
      <w:r w:rsidRPr="00F10A52">
        <w:rPr>
          <w:rFonts w:eastAsia="Times New Roman" w:cs="Arial"/>
          <w:color w:val="000000"/>
          <w:lang w:val="en-US"/>
        </w:rPr>
        <w:t xml:space="preserve">EMOCLOT </w:t>
      </w:r>
      <w:r w:rsidRPr="00F10A52">
        <w:rPr>
          <w:rFonts w:eastAsia="Times New Roman" w:cs="Arial"/>
          <w:color w:val="000000"/>
          <w:lang w:eastAsia="bg-BG"/>
        </w:rPr>
        <w:t xml:space="preserve">в рамките на контролирано, рандомизирано проучване </w:t>
      </w:r>
      <w:r w:rsidRPr="00F10A52">
        <w:rPr>
          <w:rFonts w:eastAsia="Times New Roman" w:cs="Arial"/>
          <w:color w:val="000000"/>
          <w:lang w:val="en-US"/>
        </w:rPr>
        <w:t xml:space="preserve">(SIPPET), </w:t>
      </w:r>
      <w:r w:rsidRPr="00F10A52">
        <w:rPr>
          <w:rFonts w:eastAsia="Times New Roman" w:cs="Arial"/>
          <w:color w:val="000000"/>
          <w:lang w:eastAsia="bg-BG"/>
        </w:rPr>
        <w:t xml:space="preserve">насочено към оценка на честотата на инхибиторите сред пациенти, лекувани с плазмен или рекомбинантен фактор VIII. </w:t>
      </w:r>
      <w:r w:rsidRPr="00F10A52">
        <w:rPr>
          <w:rFonts w:eastAsia="Times New Roman" w:cs="Arial"/>
          <w:color w:val="000000"/>
          <w:lang w:val="en-US"/>
        </w:rPr>
        <w:t xml:space="preserve">EMOCLOT. </w:t>
      </w:r>
      <w:r w:rsidRPr="00F10A52">
        <w:rPr>
          <w:rFonts w:eastAsia="Times New Roman" w:cs="Arial"/>
          <w:color w:val="000000"/>
          <w:lang w:eastAsia="bg-BG"/>
        </w:rPr>
        <w:t xml:space="preserve">61 пациенти от горепосочените 125 са били лекувани с </w:t>
      </w:r>
      <w:r w:rsidRPr="00F10A52">
        <w:rPr>
          <w:rFonts w:eastAsia="Times New Roman" w:cs="Arial"/>
          <w:color w:val="000000"/>
          <w:lang w:val="en-US"/>
        </w:rPr>
        <w:t xml:space="preserve">EMOCLOT </w:t>
      </w:r>
      <w:r w:rsidRPr="00F10A52">
        <w:rPr>
          <w:rFonts w:eastAsia="Times New Roman" w:cs="Arial"/>
          <w:color w:val="000000"/>
          <w:lang w:eastAsia="bg-BG"/>
        </w:rPr>
        <w:t>в съответствие с дозов модел при нужда или профилактичен. А именно 34 пациенти от 61 са получили лечение при нужда 5 на стандартна профилактика (3 вливания на седмица), 15 на модифицирана профилактика (2 вливания на седмица) и 7 на различни комбинации от схеми на лечение.</w:t>
      </w:r>
    </w:p>
    <w:p w14:paraId="7EC3031C" w14:textId="1A5B4EB2" w:rsidR="00DF7655" w:rsidRPr="00F10A52" w:rsidRDefault="00DF7655" w:rsidP="00DF7655">
      <w:pPr>
        <w:rPr>
          <w:rFonts w:eastAsia="Times New Roman" w:cs="Arial"/>
          <w:color w:val="000000"/>
          <w:lang w:eastAsia="bg-BG"/>
        </w:rPr>
      </w:pPr>
    </w:p>
    <w:p w14:paraId="5E011F0B" w14:textId="77777777" w:rsidR="00DF7655" w:rsidRPr="00DF7655" w:rsidRDefault="00DF7655" w:rsidP="00DF76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F7655">
        <w:rPr>
          <w:rFonts w:eastAsia="Times New Roman" w:cs="Arial"/>
          <w:color w:val="000000"/>
          <w:lang w:eastAsia="bg-BG"/>
        </w:rPr>
        <w:t xml:space="preserve">Пост-хок анализ, насочен към оценка на годишната честота на кървене </w:t>
      </w:r>
      <w:r w:rsidRPr="00DF7655">
        <w:rPr>
          <w:rFonts w:eastAsia="Times New Roman" w:cs="Arial"/>
          <w:color w:val="000000"/>
          <w:lang w:val="en-US"/>
        </w:rPr>
        <w:t xml:space="preserve">(ABR) </w:t>
      </w:r>
      <w:r w:rsidRPr="00DF7655">
        <w:rPr>
          <w:rFonts w:eastAsia="Times New Roman" w:cs="Arial"/>
          <w:color w:val="000000"/>
          <w:lang w:eastAsia="bg-BG"/>
        </w:rPr>
        <w:t xml:space="preserve">само при пациенти, лекувани с </w:t>
      </w:r>
      <w:r w:rsidRPr="00DF7655">
        <w:rPr>
          <w:rFonts w:eastAsia="Times New Roman" w:cs="Arial"/>
          <w:color w:val="000000"/>
          <w:lang w:val="en-US"/>
        </w:rPr>
        <w:t xml:space="preserve">EMOCLOT, </w:t>
      </w:r>
      <w:r w:rsidRPr="00DF7655">
        <w:rPr>
          <w:rFonts w:eastAsia="Times New Roman" w:cs="Arial"/>
          <w:color w:val="000000"/>
          <w:lang w:eastAsia="bg-BG"/>
        </w:rPr>
        <w:t xml:space="preserve">регистрира </w:t>
      </w:r>
      <w:r w:rsidRPr="00DF7655">
        <w:rPr>
          <w:rFonts w:eastAsia="Times New Roman" w:cs="Arial"/>
          <w:color w:val="000000"/>
          <w:lang w:val="en-US"/>
        </w:rPr>
        <w:t xml:space="preserve">ABR </w:t>
      </w:r>
      <w:r w:rsidRPr="00DF7655">
        <w:rPr>
          <w:rFonts w:eastAsia="Times New Roman" w:cs="Arial"/>
          <w:color w:val="000000"/>
          <w:lang w:eastAsia="bg-BG"/>
        </w:rPr>
        <w:t xml:space="preserve">от 4.2 (342 епизода) при пациенти на режим при нужда, 7,5 (25 епизода) при пациенти на стандартна профилактика (от общо 25 епизода на кървене, регистрирани в тази група, 24 са възникнали при 1 пациент; изключвайки този пациент от анализа, </w:t>
      </w:r>
      <w:r w:rsidRPr="00DF7655">
        <w:rPr>
          <w:rFonts w:eastAsia="Times New Roman" w:cs="Arial"/>
          <w:color w:val="000000"/>
          <w:lang w:val="en-US"/>
        </w:rPr>
        <w:t xml:space="preserve">ABR </w:t>
      </w:r>
      <w:r w:rsidRPr="00DF7655">
        <w:rPr>
          <w:rFonts w:eastAsia="Times New Roman" w:cs="Arial"/>
          <w:color w:val="000000"/>
          <w:lang w:eastAsia="bg-BG"/>
        </w:rPr>
        <w:t>намалява до 0,24), 5,8 (92 епизода) при пациенти на модифицирана профилактика и 5,9 (60 епизода) при пациенти третирани с различни комбинации от режими.</w:t>
      </w:r>
    </w:p>
    <w:p w14:paraId="3BE6D084" w14:textId="77777777" w:rsidR="00DF7655" w:rsidRPr="00DF7655" w:rsidRDefault="00DF7655" w:rsidP="00DF7655"/>
    <w:p w14:paraId="544FFDAF" w14:textId="1ACE0577" w:rsidR="00F62E44" w:rsidRDefault="002C50EE" w:rsidP="00387A66">
      <w:pPr>
        <w:pStyle w:val="Heading2"/>
      </w:pPr>
      <w:r>
        <w:t>5.2. Фармакокинетични свойства</w:t>
      </w:r>
    </w:p>
    <w:p w14:paraId="6CB460E6" w14:textId="5EF63A02" w:rsidR="00F10A52" w:rsidRDefault="00F10A52" w:rsidP="00F10A52"/>
    <w:p w14:paraId="73DC626A" w14:textId="77777777" w:rsidR="00F10A52" w:rsidRPr="00F10A52" w:rsidRDefault="00F10A52" w:rsidP="00F10A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0A52">
        <w:rPr>
          <w:rFonts w:eastAsia="Times New Roman" w:cs="Arial"/>
          <w:color w:val="000000"/>
          <w:lang w:eastAsia="bg-BG"/>
        </w:rPr>
        <w:t>След инжектиране на продукта, приблизително три четвърти от фактор VIII остават в кръвообращението.</w:t>
      </w:r>
    </w:p>
    <w:p w14:paraId="68B86541" w14:textId="77777777" w:rsidR="00F10A52" w:rsidRPr="00F10A52" w:rsidRDefault="00F10A52" w:rsidP="00F10A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0A52">
        <w:rPr>
          <w:rFonts w:eastAsia="Times New Roman" w:cs="Arial"/>
          <w:color w:val="000000"/>
          <w:lang w:eastAsia="bg-BG"/>
        </w:rPr>
        <w:t>Нивото на активност на фактор VIII, което е достигнато в плазмата, варира между 80 - 120% от прогнозираната активност на фактор VIII в плазмата.</w:t>
      </w:r>
    </w:p>
    <w:p w14:paraId="05116C6C" w14:textId="77777777" w:rsidR="00F10A52" w:rsidRPr="00F10A52" w:rsidRDefault="00F10A52" w:rsidP="00F10A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0A52">
        <w:rPr>
          <w:rFonts w:eastAsia="Times New Roman" w:cs="Arial"/>
          <w:color w:val="000000"/>
          <w:lang w:eastAsia="bg-BG"/>
        </w:rPr>
        <w:t>Активността на фактор VIII в плазмата намалява посредством двуфазно експоненциално разлагане.</w:t>
      </w:r>
    </w:p>
    <w:p w14:paraId="08791DBD" w14:textId="77777777" w:rsidR="00F10A52" w:rsidRPr="00F10A52" w:rsidRDefault="00F10A52" w:rsidP="00F10A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0A52">
        <w:rPr>
          <w:rFonts w:eastAsia="Times New Roman" w:cs="Arial"/>
          <w:color w:val="000000"/>
          <w:lang w:eastAsia="bg-BG"/>
        </w:rPr>
        <w:lastRenderedPageBreak/>
        <w:t>През първата фаза се прави разпределение между флуидите на вътресъдоводото пространство и останалите флуиди в тялото, като елиминирането му от плазмата е с време на полуживот от 3 до 6 часа.</w:t>
      </w:r>
    </w:p>
    <w:p w14:paraId="29769F79" w14:textId="77777777" w:rsidR="00F10A52" w:rsidRPr="00F10A52" w:rsidRDefault="00F10A52" w:rsidP="00F10A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0A52">
        <w:rPr>
          <w:rFonts w:eastAsia="Times New Roman" w:cs="Arial"/>
          <w:color w:val="000000"/>
          <w:lang w:eastAsia="bg-BG"/>
        </w:rPr>
        <w:t>През следващата по-бавна фаза (която вероятно отразява консумацията на фактор VIII) времето на полуживот варира между 8 и 20 часа, като средното време е 12 часа. Това изглежда съответства на реалното биологично време на полуживот.</w:t>
      </w:r>
    </w:p>
    <w:p w14:paraId="53C1A88A" w14:textId="77777777" w:rsidR="00F10A52" w:rsidRPr="00F10A52" w:rsidRDefault="00F10A52" w:rsidP="00F10A5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6D0A732" w14:textId="47A9AF94" w:rsidR="00F10A52" w:rsidRPr="00F10A52" w:rsidRDefault="00F10A52" w:rsidP="00F10A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0A52">
        <w:rPr>
          <w:rFonts w:eastAsia="Times New Roman" w:cs="Arial"/>
          <w:color w:val="000000"/>
          <w:lang w:eastAsia="bg-BG"/>
        </w:rPr>
        <w:t>Фармакокинетичните свойства на ЕМОКЛОТ са обект на оценка по време на клиничното изследване „Оценка на фармакокинетичната и клинична ефикасност на концентрат на фактор VIII, ЕМОКЛОД Д.И., при пациенти, страдащи от хемофилия А“ (код на изследването КВОЗО), проведено с 15 пациента с тежка хемофилия А (с ниво на Ф</w:t>
      </w:r>
      <w:r w:rsidRPr="00F10A52">
        <w:rPr>
          <w:rFonts w:eastAsia="Times New Roman" w:cs="Arial"/>
          <w:color w:val="000000"/>
          <w:lang w:val="en-US"/>
        </w:rPr>
        <w:t>VIII</w:t>
      </w:r>
      <w:r w:rsidRPr="00F10A52">
        <w:rPr>
          <w:rFonts w:eastAsia="Times New Roman" w:cs="Arial"/>
          <w:color w:val="000000"/>
          <w:lang w:eastAsia="bg-BG"/>
        </w:rPr>
        <w:t xml:space="preserve"> &lt;1). Фармакокинетичните параметри са изчислени при две единични вливания (с доза 25 </w:t>
      </w:r>
      <w:r w:rsidRPr="00F10A52">
        <w:rPr>
          <w:rFonts w:eastAsia="Times New Roman" w:cs="Arial"/>
          <w:color w:val="000000"/>
          <w:lang w:val="en-US"/>
        </w:rPr>
        <w:t>IU</w:t>
      </w:r>
      <w:r w:rsidRPr="00F10A52">
        <w:rPr>
          <w:rFonts w:eastAsia="Times New Roman" w:cs="Arial"/>
          <w:color w:val="000000"/>
          <w:lang w:eastAsia="bg-BG"/>
        </w:rPr>
        <w:t>/кг), извършени в рамките на 3 - 6 месеца. През периода между двете вливания пациентите са лекувани с ЕМОКЛОТ съгласно техния обичаен терапевтичен режим (при нужда или профилактично).</w:t>
      </w:r>
    </w:p>
    <w:p w14:paraId="07C94F3D" w14:textId="77777777" w:rsidR="00F10A52" w:rsidRPr="00F10A52" w:rsidRDefault="00F10A52" w:rsidP="00F10A5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DAAF285" w14:textId="47D25D81" w:rsidR="00F10A52" w:rsidRDefault="00F10A52" w:rsidP="00F10A52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10A52">
        <w:rPr>
          <w:rFonts w:eastAsia="Times New Roman" w:cs="Arial"/>
          <w:color w:val="000000"/>
          <w:lang w:eastAsia="bg-BG"/>
        </w:rPr>
        <w:t>Средните стойности на фармакокинетичните параметри на ЕМОКЛОТ по време на изследването са представени в следващата таблица.</w:t>
      </w:r>
    </w:p>
    <w:p w14:paraId="6C59E950" w14:textId="50589EE4" w:rsidR="00F10A52" w:rsidRDefault="00F10A52" w:rsidP="00F10A52">
      <w:pPr>
        <w:spacing w:line="240" w:lineRule="auto"/>
        <w:rPr>
          <w:rFonts w:eastAsia="Times New Roman" w:cs="Arial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63"/>
        <w:gridCol w:w="1863"/>
        <w:gridCol w:w="1863"/>
        <w:gridCol w:w="1863"/>
      </w:tblGrid>
      <w:tr w:rsidR="00F10A52" w14:paraId="522C0FA4" w14:textId="77777777" w:rsidTr="00073645">
        <w:tc>
          <w:tcPr>
            <w:tcW w:w="1900" w:type="dxa"/>
          </w:tcPr>
          <w:p w14:paraId="22F2427E" w14:textId="77777777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00" w:type="dxa"/>
            <w:gridSpan w:val="2"/>
          </w:tcPr>
          <w:p w14:paraId="32ED2A43" w14:textId="614432D6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Първо вливане</w:t>
            </w:r>
          </w:p>
        </w:tc>
        <w:tc>
          <w:tcPr>
            <w:tcW w:w="3800" w:type="dxa"/>
            <w:gridSpan w:val="2"/>
          </w:tcPr>
          <w:p w14:paraId="40F355B6" w14:textId="105F16B5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Второ вливане</w:t>
            </w:r>
          </w:p>
        </w:tc>
      </w:tr>
      <w:tr w:rsidR="00F10A52" w14:paraId="6D5E9EA5" w14:textId="77777777" w:rsidTr="00F10A52">
        <w:tc>
          <w:tcPr>
            <w:tcW w:w="1900" w:type="dxa"/>
          </w:tcPr>
          <w:p w14:paraId="7F60EF53" w14:textId="77777777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00" w:type="dxa"/>
          </w:tcPr>
          <w:p w14:paraId="44CA40CF" w14:textId="138D800B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Без субтракция на базовата линия</w:t>
            </w:r>
          </w:p>
        </w:tc>
        <w:tc>
          <w:tcPr>
            <w:tcW w:w="1900" w:type="dxa"/>
          </w:tcPr>
          <w:p w14:paraId="1E251034" w14:textId="3675F353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Със субтракция на базовата линия</w:t>
            </w:r>
          </w:p>
        </w:tc>
        <w:tc>
          <w:tcPr>
            <w:tcW w:w="1900" w:type="dxa"/>
          </w:tcPr>
          <w:p w14:paraId="0EEB6DEA" w14:textId="66047C02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Без субтракция на базовата линия</w:t>
            </w:r>
          </w:p>
        </w:tc>
        <w:tc>
          <w:tcPr>
            <w:tcW w:w="1900" w:type="dxa"/>
          </w:tcPr>
          <w:p w14:paraId="55165628" w14:textId="77777777" w:rsidR="00F10A52" w:rsidRDefault="00F10A52" w:rsidP="00F10A52">
            <w:r>
              <w:t>Със субтракция на базовата</w:t>
            </w:r>
          </w:p>
          <w:p w14:paraId="78E4675F" w14:textId="54F418EB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линия</w:t>
            </w:r>
          </w:p>
        </w:tc>
      </w:tr>
      <w:tr w:rsidR="00F10A52" w14:paraId="2307A39C" w14:textId="77777777" w:rsidTr="00F10A52">
        <w:tc>
          <w:tcPr>
            <w:tcW w:w="1900" w:type="dxa"/>
          </w:tcPr>
          <w:p w14:paraId="61F918F3" w14:textId="7BE18B8C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lang w:val="en-US"/>
              </w:rPr>
              <w:t>AUCo</w:t>
            </w:r>
            <w:proofErr w:type="spellEnd"/>
            <w:r>
              <w:rPr>
                <w:lang w:val="en-US"/>
              </w:rPr>
              <w:t>-t (IU.ml</w:t>
            </w:r>
            <w:r>
              <w:rPr>
                <w:vertAlign w:val="superscript"/>
                <w:lang w:val="en-US"/>
              </w:rPr>
              <w:t>-1.</w:t>
            </w:r>
            <w:r>
              <w:rPr>
                <w:lang w:val="en-US"/>
              </w:rPr>
              <w:t>h)</w:t>
            </w:r>
          </w:p>
        </w:tc>
        <w:tc>
          <w:tcPr>
            <w:tcW w:w="1900" w:type="dxa"/>
          </w:tcPr>
          <w:p w14:paraId="2C3F099B" w14:textId="16B36A54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10.94</w:t>
            </w:r>
          </w:p>
        </w:tc>
        <w:tc>
          <w:tcPr>
            <w:tcW w:w="1900" w:type="dxa"/>
          </w:tcPr>
          <w:p w14:paraId="0960454C" w14:textId="7C02E4B7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9.96</w:t>
            </w:r>
          </w:p>
        </w:tc>
        <w:tc>
          <w:tcPr>
            <w:tcW w:w="1900" w:type="dxa"/>
          </w:tcPr>
          <w:p w14:paraId="4D4F1ABF" w14:textId="160D3645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10.75</w:t>
            </w:r>
          </w:p>
        </w:tc>
        <w:tc>
          <w:tcPr>
            <w:tcW w:w="1900" w:type="dxa"/>
          </w:tcPr>
          <w:p w14:paraId="6EC1FCAE" w14:textId="13E7BD3A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8.95</w:t>
            </w:r>
          </w:p>
        </w:tc>
      </w:tr>
      <w:tr w:rsidR="00F10A52" w14:paraId="4EB8654D" w14:textId="77777777" w:rsidTr="00F10A52">
        <w:tc>
          <w:tcPr>
            <w:tcW w:w="1900" w:type="dxa"/>
          </w:tcPr>
          <w:p w14:paraId="771C7002" w14:textId="3C530A79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lang w:val="en-US"/>
              </w:rPr>
              <w:t>AUC</w:t>
            </w:r>
            <w:r>
              <w:rPr>
                <w:vertAlign w:val="subscript"/>
                <w:lang w:val="en-US"/>
              </w:rPr>
              <w:t>0-</w:t>
            </w:r>
            <w:proofErr w:type="gramStart"/>
            <w:r>
              <w:rPr>
                <w:vertAlign w:val="subscript"/>
                <w:lang w:val="en-US"/>
              </w:rPr>
              <w:t>∞</w:t>
            </w:r>
            <w:r>
              <w:rPr>
                <w:lang w:val="en-US"/>
              </w:rPr>
              <w:t>(</w:t>
            </w:r>
            <w:proofErr w:type="spellStart"/>
            <w:proofErr w:type="gramEnd"/>
            <w:r>
              <w:rPr>
                <w:lang w:val="en-US"/>
              </w:rPr>
              <w:t>IUml.h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900" w:type="dxa"/>
          </w:tcPr>
          <w:p w14:paraId="190202DA" w14:textId="58C5AAD5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13.08</w:t>
            </w:r>
          </w:p>
        </w:tc>
        <w:tc>
          <w:tcPr>
            <w:tcW w:w="1900" w:type="dxa"/>
          </w:tcPr>
          <w:p w14:paraId="7D341E10" w14:textId="32379648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11.22</w:t>
            </w:r>
          </w:p>
        </w:tc>
        <w:tc>
          <w:tcPr>
            <w:tcW w:w="1900" w:type="dxa"/>
          </w:tcPr>
          <w:p w14:paraId="537246D8" w14:textId="198D0706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12.07</w:t>
            </w:r>
          </w:p>
        </w:tc>
        <w:tc>
          <w:tcPr>
            <w:tcW w:w="1900" w:type="dxa"/>
          </w:tcPr>
          <w:p w14:paraId="6214B032" w14:textId="525333DD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9.89</w:t>
            </w:r>
          </w:p>
        </w:tc>
      </w:tr>
      <w:tr w:rsidR="00F10A52" w14:paraId="47895CBC" w14:textId="77777777" w:rsidTr="00F10A52">
        <w:tc>
          <w:tcPr>
            <w:tcW w:w="1900" w:type="dxa"/>
          </w:tcPr>
          <w:p w14:paraId="13130D79" w14:textId="5CF99873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lang w:val="en-US"/>
              </w:rPr>
              <w:t>Cl</w:t>
            </w:r>
            <w:r>
              <w:rPr>
                <w:vertAlign w:val="subscript"/>
                <w:lang w:val="en-US"/>
              </w:rPr>
              <w:t>tot</w:t>
            </w:r>
            <w:proofErr w:type="spellEnd"/>
            <w:r>
              <w:rPr>
                <w:lang w:val="en-US"/>
              </w:rPr>
              <w:t xml:space="preserve"> (ml.h</w:t>
            </w: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.kg</w:t>
            </w:r>
            <w:r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)</w:t>
            </w:r>
          </w:p>
        </w:tc>
        <w:tc>
          <w:tcPr>
            <w:tcW w:w="1900" w:type="dxa"/>
          </w:tcPr>
          <w:p w14:paraId="5CF88DE8" w14:textId="6E5A5495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2.63</w:t>
            </w:r>
          </w:p>
        </w:tc>
        <w:tc>
          <w:tcPr>
            <w:tcW w:w="1900" w:type="dxa"/>
          </w:tcPr>
          <w:p w14:paraId="4668EAE7" w14:textId="1A6BCC0C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2.89</w:t>
            </w:r>
          </w:p>
        </w:tc>
        <w:tc>
          <w:tcPr>
            <w:tcW w:w="1900" w:type="dxa"/>
          </w:tcPr>
          <w:p w14:paraId="42086FCB" w14:textId="347F9BD6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2.51</w:t>
            </w:r>
          </w:p>
        </w:tc>
        <w:tc>
          <w:tcPr>
            <w:tcW w:w="1900" w:type="dxa"/>
          </w:tcPr>
          <w:p w14:paraId="58B58A59" w14:textId="1E8A326B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2.99</w:t>
            </w:r>
          </w:p>
        </w:tc>
      </w:tr>
      <w:tr w:rsidR="00F10A52" w14:paraId="4CE244BA" w14:textId="77777777" w:rsidTr="00F10A52">
        <w:tc>
          <w:tcPr>
            <w:tcW w:w="1900" w:type="dxa"/>
          </w:tcPr>
          <w:p w14:paraId="7BB7816B" w14:textId="36BCE5E6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Постепенно възстановяване </w:t>
            </w:r>
            <w:r>
              <w:rPr>
                <w:lang w:val="en-US"/>
              </w:rPr>
              <w:t>(%)</w:t>
            </w:r>
          </w:p>
        </w:tc>
        <w:tc>
          <w:tcPr>
            <w:tcW w:w="1900" w:type="dxa"/>
          </w:tcPr>
          <w:p w14:paraId="49ECE001" w14:textId="07CC76C9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2.688</w:t>
            </w:r>
          </w:p>
        </w:tc>
        <w:tc>
          <w:tcPr>
            <w:tcW w:w="1900" w:type="dxa"/>
          </w:tcPr>
          <w:p w14:paraId="1F5A6334" w14:textId="77777777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00" w:type="dxa"/>
          </w:tcPr>
          <w:p w14:paraId="699C7763" w14:textId="49F5A269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2.671</w:t>
            </w:r>
          </w:p>
        </w:tc>
        <w:tc>
          <w:tcPr>
            <w:tcW w:w="1900" w:type="dxa"/>
          </w:tcPr>
          <w:p w14:paraId="329D0554" w14:textId="77777777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10A52" w14:paraId="1DF22129" w14:textId="77777777" w:rsidTr="00F10A52">
        <w:tc>
          <w:tcPr>
            <w:tcW w:w="1900" w:type="dxa"/>
          </w:tcPr>
          <w:p w14:paraId="1F736BEA" w14:textId="6F64621F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sz w:val="20"/>
                <w:szCs w:val="20"/>
                <w:lang w:val="en-US"/>
              </w:rPr>
              <w:t>t1/2</w:t>
            </w:r>
            <w:r>
              <w:rPr>
                <w:sz w:val="20"/>
                <w:szCs w:val="20"/>
              </w:rPr>
              <w:t>α</w:t>
            </w:r>
            <w:r>
              <w:rPr>
                <w:sz w:val="20"/>
                <w:szCs w:val="20"/>
                <w:lang w:val="en-US"/>
              </w:rPr>
              <w:t xml:space="preserve"> (h)</w:t>
            </w:r>
          </w:p>
        </w:tc>
        <w:tc>
          <w:tcPr>
            <w:tcW w:w="1900" w:type="dxa"/>
          </w:tcPr>
          <w:p w14:paraId="29FFA968" w14:textId="79152024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0.543</w:t>
            </w:r>
          </w:p>
        </w:tc>
        <w:tc>
          <w:tcPr>
            <w:tcW w:w="1900" w:type="dxa"/>
          </w:tcPr>
          <w:p w14:paraId="5012B380" w14:textId="77777777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00" w:type="dxa"/>
          </w:tcPr>
          <w:p w14:paraId="787D2298" w14:textId="3A7F0009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0.768</w:t>
            </w:r>
          </w:p>
        </w:tc>
        <w:tc>
          <w:tcPr>
            <w:tcW w:w="1900" w:type="dxa"/>
          </w:tcPr>
          <w:p w14:paraId="73A50D0A" w14:textId="77777777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10A52" w14:paraId="573827B9" w14:textId="77777777" w:rsidTr="00F10A52">
        <w:tc>
          <w:tcPr>
            <w:tcW w:w="1900" w:type="dxa"/>
          </w:tcPr>
          <w:p w14:paraId="6CEEE45A" w14:textId="353135F5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lang w:val="en-US"/>
              </w:rPr>
              <w:t>t1/2</w:t>
            </w:r>
            <w:r>
              <w:t>β</w:t>
            </w:r>
            <w:r>
              <w:rPr>
                <w:lang w:val="en-US"/>
              </w:rPr>
              <w:t xml:space="preserve"> (h)</w:t>
            </w:r>
          </w:p>
        </w:tc>
        <w:tc>
          <w:tcPr>
            <w:tcW w:w="1900" w:type="dxa"/>
          </w:tcPr>
          <w:p w14:paraId="23BB5552" w14:textId="3BEFC5EE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12.05</w:t>
            </w:r>
          </w:p>
        </w:tc>
        <w:tc>
          <w:tcPr>
            <w:tcW w:w="1900" w:type="dxa"/>
          </w:tcPr>
          <w:p w14:paraId="64C4F1BF" w14:textId="77777777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00" w:type="dxa"/>
          </w:tcPr>
          <w:p w14:paraId="727B06BF" w14:textId="788911B3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15.16</w:t>
            </w:r>
          </w:p>
        </w:tc>
        <w:tc>
          <w:tcPr>
            <w:tcW w:w="1900" w:type="dxa"/>
          </w:tcPr>
          <w:p w14:paraId="74BECFD6" w14:textId="77777777" w:rsidR="00F10A52" w:rsidRDefault="00F10A52" w:rsidP="00F10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2D48257" w14:textId="7EA7376B" w:rsidR="00F10A52" w:rsidRDefault="00F10A52" w:rsidP="00F10A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CA28D2" w14:textId="77777777" w:rsidR="00F10A52" w:rsidRPr="00F10A52" w:rsidRDefault="00F10A52" w:rsidP="00F10A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0A52">
        <w:rPr>
          <w:rFonts w:eastAsia="Times New Roman" w:cs="Arial"/>
          <w:color w:val="000000"/>
          <w:u w:val="single"/>
          <w:lang w:eastAsia="bg-BG"/>
        </w:rPr>
        <w:t>Употреба при деца</w:t>
      </w:r>
    </w:p>
    <w:p w14:paraId="70061228" w14:textId="558CD256" w:rsidR="00F10A52" w:rsidRPr="00F10A52" w:rsidRDefault="00F10A52" w:rsidP="00F10A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0A52">
        <w:rPr>
          <w:rFonts w:eastAsia="Times New Roman" w:cs="Arial"/>
          <w:color w:val="000000"/>
          <w:lang w:eastAsia="bg-BG"/>
        </w:rPr>
        <w:t>Въпреки че няма конкретни данни за децата, малкото публикувана информация, свързана с изследвания за фармакокинетиката, не показва съществени разлики между възрастни и деца, страдащи от едно и също заболяване.</w:t>
      </w:r>
    </w:p>
    <w:p w14:paraId="271C52A4" w14:textId="77777777" w:rsidR="00F10A52" w:rsidRPr="00F10A52" w:rsidRDefault="00F10A52" w:rsidP="00F10A52"/>
    <w:p w14:paraId="6925FEB0" w14:textId="77853879" w:rsidR="00F62E44" w:rsidRDefault="002C50EE" w:rsidP="00387A66">
      <w:pPr>
        <w:pStyle w:val="Heading2"/>
      </w:pPr>
      <w:r>
        <w:t>5.3. Предклинични данни за безопасност</w:t>
      </w:r>
    </w:p>
    <w:p w14:paraId="4CD479B6" w14:textId="0E4E096C" w:rsidR="00F10A52" w:rsidRDefault="00F10A52" w:rsidP="00F10A52"/>
    <w:p w14:paraId="645B2629" w14:textId="77777777" w:rsidR="00F10A52" w:rsidRPr="00F10A52" w:rsidRDefault="00F10A52" w:rsidP="00F10A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0A52">
        <w:rPr>
          <w:rFonts w:eastAsia="Times New Roman" w:cs="Arial"/>
          <w:color w:val="000000"/>
          <w:lang w:eastAsia="bg-BG"/>
        </w:rPr>
        <w:t>Човешкия плазмен коагулационен фактор VIII (концентрата) е нормална съставка на човешката плазма и функционира като ендогенен фактор VIII.</w:t>
      </w:r>
    </w:p>
    <w:p w14:paraId="12BC65BB" w14:textId="77777777" w:rsidR="00F10A52" w:rsidRPr="00F10A52" w:rsidRDefault="00F10A52" w:rsidP="00F10A5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7D3D07C" w14:textId="5A809AB8" w:rsidR="00F10A52" w:rsidRPr="00F10A52" w:rsidRDefault="00F10A52" w:rsidP="00F10A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0A52">
        <w:rPr>
          <w:rFonts w:eastAsia="Times New Roman" w:cs="Arial"/>
          <w:color w:val="000000"/>
          <w:lang w:eastAsia="bg-BG"/>
        </w:rPr>
        <w:t>Изследването за токсичност на единична доза не е от значение, тъй като по-високите дози водят до претоварване.</w:t>
      </w:r>
    </w:p>
    <w:p w14:paraId="2E80714C" w14:textId="77777777" w:rsidR="00F10A52" w:rsidRPr="00F10A52" w:rsidRDefault="00F10A52" w:rsidP="00F10A5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3F1D381" w14:textId="60977C17" w:rsidR="00F10A52" w:rsidRPr="00F10A52" w:rsidRDefault="00F10A52" w:rsidP="00F10A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0A52">
        <w:rPr>
          <w:rFonts w:eastAsia="Times New Roman" w:cs="Arial"/>
          <w:color w:val="000000"/>
          <w:lang w:eastAsia="bg-BG"/>
        </w:rPr>
        <w:t>Изследването за токсичност на многократни дози при животните е емпирично, поради интерференцията между развиващите се антитела и хетероложния белтък.</w:t>
      </w:r>
    </w:p>
    <w:p w14:paraId="2F294781" w14:textId="77777777" w:rsidR="00F10A52" w:rsidRPr="00F10A52" w:rsidRDefault="00F10A52" w:rsidP="00F10A5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F4BC704" w14:textId="10873C84" w:rsidR="00F10A52" w:rsidRPr="00F10A52" w:rsidRDefault="00F10A52" w:rsidP="00F10A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0A52">
        <w:rPr>
          <w:rFonts w:eastAsia="Times New Roman" w:cs="Arial"/>
          <w:color w:val="000000"/>
          <w:lang w:eastAsia="bg-BG"/>
        </w:rPr>
        <w:lastRenderedPageBreak/>
        <w:t>Дори и дозите, надвишаващи препоръчителната доза за хората на килограм телесно тегло, не показват токсични ефекти при лабораторните животни.</w:t>
      </w:r>
    </w:p>
    <w:p w14:paraId="36524222" w14:textId="77777777" w:rsidR="00F10A52" w:rsidRPr="00F10A52" w:rsidRDefault="00F10A52" w:rsidP="00F10A5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91EC568" w14:textId="5DA8F881" w:rsidR="00F10A52" w:rsidRPr="00F10A52" w:rsidRDefault="00F10A52" w:rsidP="00F10A5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F10A52">
        <w:rPr>
          <w:rFonts w:eastAsia="Times New Roman" w:cs="Arial"/>
          <w:color w:val="000000"/>
          <w:lang w:eastAsia="bg-BG"/>
        </w:rPr>
        <w:t>Тъй като клиничният опит не дава индикации за онкогенични и мутагенни ефекти върху човешкия плазмен коагулационен фактор VIII, експерименталните изследвания, и по- конкретно с хетероложни видове, не се считат за императивни.</w:t>
      </w:r>
    </w:p>
    <w:p w14:paraId="62CC2097" w14:textId="77777777" w:rsidR="00F10A52" w:rsidRPr="00F10A52" w:rsidRDefault="00F10A52" w:rsidP="00F10A52"/>
    <w:p w14:paraId="357049A8" w14:textId="27C73666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207EA253" w14:textId="352617A1" w:rsidR="00F10A52" w:rsidRDefault="00F10A52" w:rsidP="00F10A52"/>
    <w:p w14:paraId="11654E4A" w14:textId="646CA16A" w:rsidR="00F10A52" w:rsidRPr="00F10A52" w:rsidRDefault="00F10A52" w:rsidP="00F10A52">
      <w:r>
        <w:t>Kedrion S.p.A. Loc. Ai Conti, 55051 Castelvecchio Pascoli, Barga (Lucca).</w:t>
      </w:r>
    </w:p>
    <w:p w14:paraId="0A53321D" w14:textId="1763FAE8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719D658D" w14:textId="3E4DD92B" w:rsidR="00F10A52" w:rsidRDefault="00F10A52" w:rsidP="00F10A52"/>
    <w:p w14:paraId="4B9125B4" w14:textId="2ACCC916" w:rsidR="00F10A52" w:rsidRPr="00F10A52" w:rsidRDefault="00F10A52" w:rsidP="00F10A52">
      <w:r>
        <w:t xml:space="preserve">ЕМОКЛОТ 500 </w:t>
      </w:r>
      <w:r>
        <w:rPr>
          <w:lang w:val="en-US"/>
        </w:rPr>
        <w:t xml:space="preserve">IU </w:t>
      </w:r>
      <w:r>
        <w:t>прах и разтворител за инфузионен разтвор</w:t>
      </w:r>
    </w:p>
    <w:p w14:paraId="7C2688F5" w14:textId="6D610EDF" w:rsidR="00F62E44" w:rsidRDefault="00F62E44" w:rsidP="00F62E44"/>
    <w:p w14:paraId="00481C21" w14:textId="17E2CB00" w:rsid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72928BA6" w14:textId="7B045889" w:rsidR="00F10A52" w:rsidRDefault="00F10A52" w:rsidP="00F10A52"/>
    <w:p w14:paraId="70C57C13" w14:textId="3E788D8C" w:rsidR="00F10A52" w:rsidRPr="00F10A52" w:rsidRDefault="00F10A52" w:rsidP="00F10A52">
      <w:pPr>
        <w:rPr>
          <w:sz w:val="24"/>
          <w:szCs w:val="24"/>
          <w:lang w:eastAsia="bg-BG"/>
        </w:rPr>
      </w:pPr>
      <w:r w:rsidRPr="00F10A52">
        <w:rPr>
          <w:lang w:eastAsia="bg-BG"/>
        </w:rPr>
        <w:t>Подновяване: юни 2009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0063EE0A" w:rsidR="00BB22B4" w:rsidRPr="00BB22B4" w:rsidRDefault="00F10A52" w:rsidP="00F10A52">
      <w:r>
        <w:t>06/2020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0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3"/>
  </w:num>
  <w:num w:numId="12" w16cid:durableId="1434934028">
    <w:abstractNumId w:val="16"/>
  </w:num>
  <w:num w:numId="13" w16cid:durableId="479157895">
    <w:abstractNumId w:val="22"/>
  </w:num>
  <w:num w:numId="14" w16cid:durableId="1670476636">
    <w:abstractNumId w:val="14"/>
  </w:num>
  <w:num w:numId="15" w16cid:durableId="1000155783">
    <w:abstractNumId w:val="32"/>
  </w:num>
  <w:num w:numId="16" w16cid:durableId="2056420707">
    <w:abstractNumId w:val="11"/>
  </w:num>
  <w:num w:numId="17" w16cid:durableId="1787119182">
    <w:abstractNumId w:val="27"/>
  </w:num>
  <w:num w:numId="18" w16cid:durableId="722945139">
    <w:abstractNumId w:val="8"/>
  </w:num>
  <w:num w:numId="19" w16cid:durableId="1678728408">
    <w:abstractNumId w:val="29"/>
  </w:num>
  <w:num w:numId="20" w16cid:durableId="1970816657">
    <w:abstractNumId w:val="26"/>
  </w:num>
  <w:num w:numId="21" w16cid:durableId="1531146514">
    <w:abstractNumId w:val="20"/>
  </w:num>
  <w:num w:numId="22" w16cid:durableId="1276465">
    <w:abstractNumId w:val="28"/>
  </w:num>
  <w:num w:numId="23" w16cid:durableId="1624310558">
    <w:abstractNumId w:val="21"/>
  </w:num>
  <w:num w:numId="24" w16cid:durableId="1692877547">
    <w:abstractNumId w:val="9"/>
  </w:num>
  <w:num w:numId="25" w16cid:durableId="50930855">
    <w:abstractNumId w:val="25"/>
  </w:num>
  <w:num w:numId="26" w16cid:durableId="176701536">
    <w:abstractNumId w:val="24"/>
  </w:num>
  <w:num w:numId="27" w16cid:durableId="2050564750">
    <w:abstractNumId w:val="34"/>
  </w:num>
  <w:num w:numId="28" w16cid:durableId="1820733422">
    <w:abstractNumId w:val="6"/>
  </w:num>
  <w:num w:numId="29" w16cid:durableId="973678124">
    <w:abstractNumId w:val="23"/>
  </w:num>
  <w:num w:numId="30" w16cid:durableId="154884452">
    <w:abstractNumId w:val="38"/>
  </w:num>
  <w:num w:numId="31" w16cid:durableId="1053964910">
    <w:abstractNumId w:val="5"/>
  </w:num>
  <w:num w:numId="32" w16cid:durableId="2073575793">
    <w:abstractNumId w:val="36"/>
  </w:num>
  <w:num w:numId="33" w16cid:durableId="1566643170">
    <w:abstractNumId w:val="31"/>
  </w:num>
  <w:num w:numId="34" w16cid:durableId="2060787732">
    <w:abstractNumId w:val="35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7"/>
  </w:num>
  <w:num w:numId="39" w16cid:durableId="934825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DF7655"/>
    <w:rsid w:val="00E9184E"/>
    <w:rsid w:val="00EB6364"/>
    <w:rsid w:val="00EE6C97"/>
    <w:rsid w:val="00F10A52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3477</Words>
  <Characters>19824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2023-02-27T14:53:00Z</dcterms:created>
  <dcterms:modified xsi:type="dcterms:W3CDTF">2023-02-27T14:53:00Z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