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770095E6" w:rsidR="00AA23EC" w:rsidRDefault="00DD466D" w:rsidP="00DD466D">
      <w:pPr>
        <w:pStyle w:val="Heading1"/>
      </w:pPr>
      <w:r>
        <w:t>1.ИМЕ НА ЛЕКАРСТВЕНИЯ ПРОДУКТ</w:t>
      </w:r>
    </w:p>
    <w:p w14:paraId="7A4A3223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 xml:space="preserve">ЕНДОТЕЛОН 150 </w:t>
      </w:r>
      <w:r w:rsidRPr="00FB5B85">
        <w:rPr>
          <w:lang w:val="en-US"/>
        </w:rPr>
        <w:t xml:space="preserve">mg </w:t>
      </w:r>
      <w:r w:rsidRPr="00FB5B85">
        <w:rPr>
          <w:lang w:eastAsia="bg-BG"/>
        </w:rPr>
        <w:t>стомашно-устойчиви таблетки</w:t>
      </w:r>
    </w:p>
    <w:p w14:paraId="6C838769" w14:textId="0B726673" w:rsidR="00FB5B85" w:rsidRPr="00FB5B85" w:rsidRDefault="00FB5B85" w:rsidP="00FB5B85">
      <w:r w:rsidRPr="00FB5B85">
        <w:rPr>
          <w:lang w:val="en-US"/>
        </w:rPr>
        <w:t xml:space="preserve">ENDOTELON </w:t>
      </w:r>
      <w:r w:rsidRPr="00FB5B85">
        <w:rPr>
          <w:lang w:eastAsia="bg-BG"/>
        </w:rPr>
        <w:t xml:space="preserve">150 </w:t>
      </w:r>
      <w:r w:rsidRPr="00FB5B85">
        <w:rPr>
          <w:lang w:val="en-US"/>
        </w:rPr>
        <w:t>mg gastro-resistant tablets</w:t>
      </w:r>
    </w:p>
    <w:p w14:paraId="4D88B710" w14:textId="5EC85D47" w:rsidR="00D86297" w:rsidRDefault="00DD466D" w:rsidP="00AA23EC">
      <w:pPr>
        <w:pStyle w:val="Heading1"/>
      </w:pPr>
      <w:r>
        <w:t>2. КАЧЕСТВЕН И КОЛИЧЕСТВЕН СЪСТАВ</w:t>
      </w:r>
    </w:p>
    <w:p w14:paraId="2F929E49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Всяка стомашно-устойчива таблетка съдържа:</w:t>
      </w:r>
    </w:p>
    <w:p w14:paraId="26CF29EB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 xml:space="preserve">Пречистен екстракт от гроздови семки, стандартизиран като </w:t>
      </w:r>
      <w:proofErr w:type="spellStart"/>
      <w:r w:rsidRPr="00FB5B85">
        <w:rPr>
          <w:lang w:eastAsia="bg-BG"/>
        </w:rPr>
        <w:t>процианидолови</w:t>
      </w:r>
      <w:proofErr w:type="spellEnd"/>
      <w:r w:rsidRPr="00FB5B85">
        <w:rPr>
          <w:lang w:eastAsia="bg-BG"/>
        </w:rPr>
        <w:t xml:space="preserve"> </w:t>
      </w:r>
      <w:proofErr w:type="spellStart"/>
      <w:r w:rsidRPr="00FB5B85">
        <w:rPr>
          <w:lang w:eastAsia="bg-BG"/>
        </w:rPr>
        <w:t>олигомери</w:t>
      </w:r>
      <w:proofErr w:type="spellEnd"/>
      <w:r w:rsidRPr="00FB5B85">
        <w:rPr>
          <w:lang w:eastAsia="bg-BG"/>
        </w:rPr>
        <w:t xml:space="preserve"> </w:t>
      </w:r>
      <w:r w:rsidRPr="00FB5B85">
        <w:rPr>
          <w:i/>
          <w:iCs/>
          <w:lang w:val="en-US"/>
        </w:rPr>
        <w:t>(procyanidolic oligomers)</w:t>
      </w:r>
      <w:r w:rsidRPr="00FB5B85">
        <w:rPr>
          <w:lang w:val="en-US"/>
        </w:rPr>
        <w:t xml:space="preserve"> </w:t>
      </w:r>
      <w:r w:rsidRPr="00FB5B85">
        <w:rPr>
          <w:lang w:eastAsia="bg-BG"/>
        </w:rPr>
        <w:t xml:space="preserve">-150 </w:t>
      </w:r>
      <w:r w:rsidRPr="00FB5B85">
        <w:rPr>
          <w:lang w:val="en-US"/>
        </w:rPr>
        <w:t>mg</w:t>
      </w:r>
    </w:p>
    <w:p w14:paraId="4B6A53F2" w14:textId="77777777" w:rsidR="00FB5B85" w:rsidRDefault="00FB5B85" w:rsidP="00FB5B85">
      <w:pPr>
        <w:rPr>
          <w:lang w:eastAsia="bg-BG"/>
        </w:rPr>
      </w:pPr>
    </w:p>
    <w:p w14:paraId="7487D636" w14:textId="06321C0A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Помощни вещества с известно действие:</w:t>
      </w:r>
    </w:p>
    <w:p w14:paraId="47AF60DB" w14:textId="1A31DE84" w:rsidR="00FB5B85" w:rsidRPr="00FB5B85" w:rsidRDefault="00FB5B85" w:rsidP="00FB5B85">
      <w:r w:rsidRPr="00FB5B85">
        <w:rPr>
          <w:lang w:eastAsia="bg-BG"/>
        </w:rPr>
        <w:t xml:space="preserve">Всяка таблетка съдържа 165,9 </w:t>
      </w:r>
      <w:r w:rsidRPr="00FB5B85">
        <w:rPr>
          <w:lang w:val="en-US"/>
        </w:rPr>
        <w:t xml:space="preserve">mg </w:t>
      </w:r>
      <w:r w:rsidRPr="00FB5B85">
        <w:rPr>
          <w:lang w:eastAsia="bg-BG"/>
        </w:rPr>
        <w:t>захароза</w:t>
      </w:r>
    </w:p>
    <w:p w14:paraId="5E332777" w14:textId="49233A1D" w:rsidR="005A66D9" w:rsidRDefault="00DD466D" w:rsidP="00CA1B57">
      <w:pPr>
        <w:pStyle w:val="Heading1"/>
      </w:pPr>
      <w:r>
        <w:t>3. ЛЕКАРСТВЕНА ФОРМА</w:t>
      </w:r>
    </w:p>
    <w:p w14:paraId="40F4D3A3" w14:textId="77777777" w:rsidR="00FB5B85" w:rsidRDefault="00FB5B85" w:rsidP="00FB5B85"/>
    <w:p w14:paraId="67794426" w14:textId="74E2EEEC" w:rsidR="00FB5B85" w:rsidRPr="00FB5B85" w:rsidRDefault="00FB5B85" w:rsidP="00FB5B85">
      <w:r>
        <w:t>Стомашно-устойчиви таблетки, оцветени в жълто.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633AC4E2" w:rsidR="00FD69E8" w:rsidRDefault="002C50EE" w:rsidP="00AA23EC">
      <w:pPr>
        <w:pStyle w:val="Heading2"/>
      </w:pPr>
      <w:r>
        <w:t>4.1. Терапевтични показания</w:t>
      </w:r>
    </w:p>
    <w:p w14:paraId="776EC309" w14:textId="77777777" w:rsidR="00FB5B85" w:rsidRDefault="00FB5B85" w:rsidP="00FB5B85">
      <w:pPr>
        <w:rPr>
          <w:lang w:eastAsia="bg-BG"/>
        </w:rPr>
      </w:pPr>
    </w:p>
    <w:p w14:paraId="5CB225CB" w14:textId="42029083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 xml:space="preserve">Симптоматично лечение на венозно-лимфна недостатъчност, свързана с оплаквания като: умора, тежест, подуване и болки в краката, </w:t>
      </w:r>
      <w:proofErr w:type="spellStart"/>
      <w:r w:rsidRPr="00FB5B85">
        <w:rPr>
          <w:lang w:eastAsia="bg-BG"/>
        </w:rPr>
        <w:t>крампи</w:t>
      </w:r>
      <w:proofErr w:type="spellEnd"/>
      <w:r w:rsidRPr="00FB5B85">
        <w:rPr>
          <w:lang w:eastAsia="bg-BG"/>
        </w:rPr>
        <w:t xml:space="preserve">, „синдром на неспокойните крака”, начален </w:t>
      </w:r>
      <w:proofErr w:type="spellStart"/>
      <w:r w:rsidRPr="00FB5B85">
        <w:rPr>
          <w:lang w:eastAsia="bg-BG"/>
        </w:rPr>
        <w:t>декубитус</w:t>
      </w:r>
      <w:proofErr w:type="spellEnd"/>
      <w:r w:rsidRPr="00FB5B85">
        <w:rPr>
          <w:lang w:eastAsia="bg-BG"/>
        </w:rPr>
        <w:t>.</w:t>
      </w:r>
    </w:p>
    <w:p w14:paraId="609FFE12" w14:textId="77777777" w:rsidR="00FB5B85" w:rsidRPr="00FB5B85" w:rsidRDefault="00FB5B85" w:rsidP="00FB5B85"/>
    <w:p w14:paraId="127F2AC9" w14:textId="3960BEE7" w:rsidR="00FD69E8" w:rsidRDefault="002C50EE" w:rsidP="00AA23EC">
      <w:pPr>
        <w:pStyle w:val="Heading2"/>
      </w:pPr>
      <w:r>
        <w:t>4.2. Дозировка и начин на приложение</w:t>
      </w:r>
    </w:p>
    <w:p w14:paraId="01C0937A" w14:textId="77777777" w:rsidR="00FB5B85" w:rsidRDefault="00FB5B85" w:rsidP="00FB5B85">
      <w:pPr>
        <w:rPr>
          <w:lang w:eastAsia="bg-BG"/>
        </w:rPr>
      </w:pPr>
    </w:p>
    <w:p w14:paraId="5E6395F2" w14:textId="45C716C0" w:rsidR="00FB5B85" w:rsidRPr="00FB5B85" w:rsidRDefault="00FB5B85" w:rsidP="00FB5B85">
      <w:pPr>
        <w:pStyle w:val="Heading3"/>
        <w:rPr>
          <w:rFonts w:eastAsia="Times New Roman"/>
          <w:u w:val="single"/>
        </w:rPr>
      </w:pPr>
      <w:r w:rsidRPr="00FB5B85">
        <w:rPr>
          <w:rFonts w:eastAsia="Times New Roman"/>
          <w:u w:val="single"/>
          <w:lang w:eastAsia="bg-BG"/>
        </w:rPr>
        <w:t>Дозировка</w:t>
      </w:r>
    </w:p>
    <w:p w14:paraId="2D7C4D24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За подобряване на симптомите свързани с венозна и лимфна недостатъчност:</w:t>
      </w:r>
    </w:p>
    <w:p w14:paraId="14A82AF5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По една таблетка сутрин и вечер в продължение на 20 дни в месеца (прекъсващи курсове).</w:t>
      </w:r>
    </w:p>
    <w:p w14:paraId="2C57F7B8" w14:textId="77777777" w:rsidR="00FB5B85" w:rsidRDefault="00FB5B85" w:rsidP="00FB5B85">
      <w:pPr>
        <w:rPr>
          <w:i/>
          <w:iCs/>
          <w:lang w:eastAsia="bg-BG"/>
        </w:rPr>
      </w:pPr>
    </w:p>
    <w:p w14:paraId="1284BA6B" w14:textId="0944B81D" w:rsidR="00FB5B85" w:rsidRPr="00FB5B85" w:rsidRDefault="00FB5B85" w:rsidP="00FB5B85">
      <w:pPr>
        <w:rPr>
          <w:sz w:val="24"/>
          <w:szCs w:val="24"/>
        </w:rPr>
      </w:pPr>
      <w:r w:rsidRPr="00FB5B85">
        <w:rPr>
          <w:i/>
          <w:iCs/>
          <w:lang w:eastAsia="bg-BG"/>
        </w:rPr>
        <w:t>Педиатрична популация</w:t>
      </w:r>
    </w:p>
    <w:p w14:paraId="4F887BCF" w14:textId="5695E0C9" w:rsidR="00FB5B85" w:rsidRDefault="00FB5B85" w:rsidP="00FB5B85">
      <w:pPr>
        <w:rPr>
          <w:lang w:eastAsia="bg-BG"/>
        </w:rPr>
      </w:pPr>
      <w:r w:rsidRPr="00FB5B85">
        <w:rPr>
          <w:lang w:eastAsia="bg-BG"/>
        </w:rPr>
        <w:t>Безопасността и ефикасността при деца под 18 годишна възраст все още не са установени.</w:t>
      </w:r>
    </w:p>
    <w:p w14:paraId="4EDD5FD4" w14:textId="77777777" w:rsidR="00FB5B85" w:rsidRPr="00FB5B85" w:rsidRDefault="00FB5B85" w:rsidP="00FB5B85"/>
    <w:p w14:paraId="0E366821" w14:textId="53E66CFC" w:rsidR="00FD69E8" w:rsidRDefault="002C50EE" w:rsidP="00AA23EC">
      <w:pPr>
        <w:pStyle w:val="Heading2"/>
      </w:pPr>
      <w:r>
        <w:t>4.3. Противопоказания</w:t>
      </w:r>
    </w:p>
    <w:p w14:paraId="53F23570" w14:textId="77777777" w:rsidR="00FB5B85" w:rsidRDefault="00FB5B85" w:rsidP="00FB5B85">
      <w:pPr>
        <w:rPr>
          <w:lang w:eastAsia="bg-BG"/>
        </w:rPr>
      </w:pPr>
    </w:p>
    <w:p w14:paraId="14ECAC2C" w14:textId="1DB21592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Свръхчувствителност към активното вещество или към някое от помощните вещества изброени в точка 6.1.</w:t>
      </w:r>
    </w:p>
    <w:p w14:paraId="49EFEC32" w14:textId="77777777" w:rsidR="00FB5B85" w:rsidRPr="00FB5B85" w:rsidRDefault="00FB5B85" w:rsidP="00FB5B85"/>
    <w:p w14:paraId="6DDF89B4" w14:textId="0DF8FAC2" w:rsidR="00C809A7" w:rsidRDefault="002C50EE" w:rsidP="00AA23EC">
      <w:pPr>
        <w:pStyle w:val="Heading2"/>
      </w:pPr>
      <w:r>
        <w:t>4.4. Специални предупреждения и предпазни мерки при употреба</w:t>
      </w:r>
    </w:p>
    <w:p w14:paraId="6016E738" w14:textId="77777777" w:rsidR="00FB5B85" w:rsidRDefault="00FB5B85" w:rsidP="00FB5B85">
      <w:pPr>
        <w:rPr>
          <w:lang w:eastAsia="bg-BG"/>
        </w:rPr>
      </w:pPr>
    </w:p>
    <w:p w14:paraId="61F3EAD2" w14:textId="23571D9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lastRenderedPageBreak/>
        <w:t>Да не се превишават 3 месеца лечение без консултация с медицински специалист.</w:t>
      </w:r>
    </w:p>
    <w:p w14:paraId="658477B8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Ако симптомите не се повлияват или се задълбочават, и вероятно са свързани с основната съдова патология (</w:t>
      </w:r>
      <w:proofErr w:type="spellStart"/>
      <w:r w:rsidRPr="00FB5B85">
        <w:rPr>
          <w:lang w:eastAsia="bg-BG"/>
        </w:rPr>
        <w:t>кръвонасядания</w:t>
      </w:r>
      <w:proofErr w:type="spellEnd"/>
      <w:r w:rsidRPr="00FB5B85">
        <w:rPr>
          <w:lang w:eastAsia="bg-BG"/>
        </w:rPr>
        <w:t>, пурпура и др.), лечението трябва да бъдат преоценено.</w:t>
      </w:r>
    </w:p>
    <w:p w14:paraId="7ABF98D5" w14:textId="77777777" w:rsidR="00FB5B85" w:rsidRDefault="00FB5B85" w:rsidP="00FB5B85">
      <w:pPr>
        <w:rPr>
          <w:lang w:eastAsia="bg-BG"/>
        </w:rPr>
      </w:pPr>
    </w:p>
    <w:p w14:paraId="25F1AA3B" w14:textId="6BD2381D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 xml:space="preserve">Пациенти с редки наследствени проблеми на непоносимост към </w:t>
      </w:r>
      <w:proofErr w:type="spellStart"/>
      <w:r w:rsidRPr="00FB5B85">
        <w:rPr>
          <w:lang w:eastAsia="bg-BG"/>
        </w:rPr>
        <w:t>фрукгоза</w:t>
      </w:r>
      <w:proofErr w:type="spellEnd"/>
      <w:r w:rsidRPr="00FB5B85">
        <w:rPr>
          <w:lang w:eastAsia="bg-BG"/>
        </w:rPr>
        <w:t xml:space="preserve">, </w:t>
      </w:r>
      <w:proofErr w:type="spellStart"/>
      <w:r w:rsidRPr="00FB5B85">
        <w:rPr>
          <w:lang w:eastAsia="bg-BG"/>
        </w:rPr>
        <w:t>глюкозо</w:t>
      </w:r>
      <w:proofErr w:type="spellEnd"/>
      <w:r w:rsidRPr="00FB5B85">
        <w:rPr>
          <w:lang w:eastAsia="bg-BG"/>
        </w:rPr>
        <w:t xml:space="preserve"> - </w:t>
      </w:r>
      <w:proofErr w:type="spellStart"/>
      <w:r w:rsidRPr="00FB5B85">
        <w:rPr>
          <w:lang w:eastAsia="bg-BG"/>
        </w:rPr>
        <w:t>галакгозна</w:t>
      </w:r>
      <w:proofErr w:type="spellEnd"/>
      <w:r w:rsidRPr="00FB5B85">
        <w:rPr>
          <w:lang w:eastAsia="bg-BG"/>
        </w:rPr>
        <w:t xml:space="preserve"> малабсорбция или </w:t>
      </w:r>
      <w:proofErr w:type="spellStart"/>
      <w:r w:rsidRPr="00FB5B85">
        <w:rPr>
          <w:lang w:eastAsia="bg-BG"/>
        </w:rPr>
        <w:t>сукрозо-изомалтазна</w:t>
      </w:r>
      <w:proofErr w:type="spellEnd"/>
      <w:r w:rsidRPr="00FB5B85">
        <w:rPr>
          <w:lang w:eastAsia="bg-BG"/>
        </w:rPr>
        <w:t xml:space="preserve"> недостатъчност не трябва да приемат това лекарство.</w:t>
      </w:r>
    </w:p>
    <w:p w14:paraId="3845E0EA" w14:textId="77777777" w:rsidR="00FB5B85" w:rsidRDefault="00FB5B85" w:rsidP="00FB5B85">
      <w:pPr>
        <w:rPr>
          <w:lang w:eastAsia="bg-BG"/>
        </w:rPr>
      </w:pPr>
    </w:p>
    <w:p w14:paraId="431C71D9" w14:textId="3548788F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 xml:space="preserve">Този лекарствен продукт съдържа по-малко от 1 </w:t>
      </w:r>
      <w:r w:rsidRPr="00FB5B85">
        <w:rPr>
          <w:lang w:val="en-US"/>
        </w:rPr>
        <w:t xml:space="preserve">mmol </w:t>
      </w:r>
      <w:r w:rsidRPr="00FB5B85">
        <w:rPr>
          <w:lang w:eastAsia="bg-BG"/>
        </w:rPr>
        <w:t xml:space="preserve">натрий (23 </w:t>
      </w:r>
      <w:r w:rsidRPr="00FB5B85">
        <w:rPr>
          <w:lang w:val="en-US"/>
        </w:rPr>
        <w:t xml:space="preserve">mg) </w:t>
      </w:r>
      <w:r w:rsidRPr="00FB5B85">
        <w:rPr>
          <w:lang w:eastAsia="bg-BG"/>
        </w:rPr>
        <w:t>на таблетка, т.е. по същество е „без натрий“.</w:t>
      </w:r>
    </w:p>
    <w:p w14:paraId="23B89BA0" w14:textId="77777777" w:rsidR="00FB5B85" w:rsidRPr="00FB5B85" w:rsidRDefault="00FB5B85" w:rsidP="00FB5B85"/>
    <w:p w14:paraId="5D37E947" w14:textId="51BFCA15" w:rsidR="00C809A7" w:rsidRDefault="002C50EE" w:rsidP="00AA23EC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356EAA49" w14:textId="77777777" w:rsidR="00FB5B85" w:rsidRDefault="00FB5B85" w:rsidP="00FB5B85"/>
    <w:p w14:paraId="45B87A0B" w14:textId="718776DA" w:rsidR="00FB5B85" w:rsidRDefault="00FB5B85" w:rsidP="00FB5B85">
      <w:r>
        <w:t>Не са провеждани проучвания за взаимодействие с други лекарствени продукти.</w:t>
      </w:r>
    </w:p>
    <w:p w14:paraId="74E77C35" w14:textId="77777777" w:rsidR="00FB5B85" w:rsidRPr="00FB5B85" w:rsidRDefault="00FB5B85" w:rsidP="00FB5B85"/>
    <w:p w14:paraId="2A6346D7" w14:textId="6F94F68F" w:rsidR="00C809A7" w:rsidRDefault="002C50EE" w:rsidP="00AA23EC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59EA0978" w14:textId="77777777" w:rsidR="00FB5B85" w:rsidRDefault="00FB5B85" w:rsidP="00FB5B85">
      <w:pPr>
        <w:rPr>
          <w:lang w:eastAsia="bg-BG"/>
        </w:rPr>
      </w:pPr>
      <w:bookmarkStart w:id="1" w:name="bookmark0"/>
    </w:p>
    <w:p w14:paraId="7845844C" w14:textId="13590A3A" w:rsidR="00FB5B85" w:rsidRPr="00FB5B85" w:rsidRDefault="00FB5B85" w:rsidP="00FB5B85">
      <w:pPr>
        <w:pStyle w:val="Heading3"/>
        <w:rPr>
          <w:rFonts w:eastAsia="Times New Roman"/>
          <w:b/>
          <w:bCs/>
          <w:u w:val="single"/>
        </w:rPr>
      </w:pPr>
      <w:r w:rsidRPr="00FB5B85">
        <w:rPr>
          <w:rFonts w:eastAsia="Times New Roman"/>
          <w:b/>
          <w:bCs/>
          <w:u w:val="single"/>
          <w:lang w:eastAsia="bg-BG"/>
        </w:rPr>
        <w:t>Бременност:</w:t>
      </w:r>
      <w:bookmarkEnd w:id="1"/>
    </w:p>
    <w:p w14:paraId="1DF14921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Известно е, че всички вещества, отговорни за малформации при хората досега, са доказали, че са тератогенен при изследвания проведени върху два вида животни.</w:t>
      </w:r>
    </w:p>
    <w:p w14:paraId="4C8F31A8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И двете проучвания при тези животни с това лекарство, не показват тератогенен ефект.</w:t>
      </w:r>
    </w:p>
    <w:p w14:paraId="2C70DC7D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 xml:space="preserve">В клиничния опит, не са настъпили </w:t>
      </w:r>
      <w:proofErr w:type="spellStart"/>
      <w:r w:rsidRPr="00FB5B85">
        <w:rPr>
          <w:lang w:eastAsia="bg-BG"/>
        </w:rPr>
        <w:t>фетотоксични</w:t>
      </w:r>
      <w:proofErr w:type="spellEnd"/>
      <w:r w:rsidRPr="00FB5B85">
        <w:rPr>
          <w:lang w:eastAsia="bg-BG"/>
        </w:rPr>
        <w:t xml:space="preserve"> ефекти към днешна дата.</w:t>
      </w:r>
    </w:p>
    <w:p w14:paraId="00C774D1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Въпреки това, данните при бременните жени и тяхното потомство, които са били изложени на това лекарство не са напълно достатъчно за да се изключи всякакъв възможен риск.</w:t>
      </w:r>
    </w:p>
    <w:p w14:paraId="7ED91B63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 xml:space="preserve">Следователно, е препоръчително да </w:t>
      </w:r>
      <w:r w:rsidRPr="00FB5B85">
        <w:rPr>
          <w:i/>
          <w:iCs/>
          <w:lang w:eastAsia="bg-BG"/>
        </w:rPr>
        <w:t>не се</w:t>
      </w:r>
      <w:r w:rsidRPr="00FB5B85">
        <w:rPr>
          <w:lang w:eastAsia="bg-BG"/>
        </w:rPr>
        <w:t xml:space="preserve"> използват </w:t>
      </w:r>
      <w:proofErr w:type="spellStart"/>
      <w:r w:rsidRPr="00FB5B85">
        <w:rPr>
          <w:lang w:eastAsia="bg-BG"/>
        </w:rPr>
        <w:t>процианидолови</w:t>
      </w:r>
      <w:proofErr w:type="spellEnd"/>
      <w:r w:rsidRPr="00FB5B85">
        <w:rPr>
          <w:lang w:eastAsia="bg-BG"/>
        </w:rPr>
        <w:t xml:space="preserve"> </w:t>
      </w:r>
      <w:proofErr w:type="spellStart"/>
      <w:r w:rsidRPr="00FB5B85">
        <w:rPr>
          <w:lang w:eastAsia="bg-BG"/>
        </w:rPr>
        <w:t>олигомери</w:t>
      </w:r>
      <w:proofErr w:type="spellEnd"/>
      <w:r w:rsidRPr="00FB5B85">
        <w:rPr>
          <w:lang w:eastAsia="bg-BG"/>
        </w:rPr>
        <w:t xml:space="preserve"> по време на бременност.</w:t>
      </w:r>
    </w:p>
    <w:p w14:paraId="071031F4" w14:textId="77777777" w:rsidR="00FB5B85" w:rsidRDefault="00FB5B85" w:rsidP="00FB5B85">
      <w:pPr>
        <w:rPr>
          <w:lang w:eastAsia="bg-BG"/>
        </w:rPr>
      </w:pPr>
      <w:bookmarkStart w:id="2" w:name="bookmark2"/>
    </w:p>
    <w:p w14:paraId="69FC9E46" w14:textId="797E8DBB" w:rsidR="00FB5B85" w:rsidRPr="00FB5B85" w:rsidRDefault="00FB5B85" w:rsidP="00FB5B85">
      <w:pPr>
        <w:pStyle w:val="Heading3"/>
        <w:rPr>
          <w:rFonts w:eastAsia="Times New Roman"/>
          <w:b/>
          <w:bCs/>
          <w:u w:val="single"/>
        </w:rPr>
      </w:pPr>
      <w:r w:rsidRPr="00FB5B85">
        <w:rPr>
          <w:rFonts w:eastAsia="Times New Roman"/>
          <w:b/>
          <w:bCs/>
          <w:u w:val="single"/>
          <w:lang w:eastAsia="bg-BG"/>
        </w:rPr>
        <w:t>Кърмене:</w:t>
      </w:r>
      <w:bookmarkEnd w:id="2"/>
    </w:p>
    <w:p w14:paraId="1B50CBCF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Поради липса на данни за преминаването на това лекарство в майчиното мляко, употребата му трябва да се избягва от кърмещи жени.</w:t>
      </w:r>
    </w:p>
    <w:p w14:paraId="40C3CF26" w14:textId="77777777" w:rsidR="00FB5B85" w:rsidRPr="00FB5B85" w:rsidRDefault="00FB5B85" w:rsidP="00FB5B85"/>
    <w:p w14:paraId="71DE6E9A" w14:textId="537461DF" w:rsidR="00C809A7" w:rsidRDefault="002C50EE" w:rsidP="00AA23EC">
      <w:pPr>
        <w:pStyle w:val="Heading2"/>
      </w:pPr>
      <w:r>
        <w:t>4.7. Ефекти върху способността за шофиране и работа с машини</w:t>
      </w:r>
    </w:p>
    <w:p w14:paraId="464047B0" w14:textId="77777777" w:rsidR="00FB5B85" w:rsidRDefault="00FB5B85" w:rsidP="00FB5B85">
      <w:pPr>
        <w:rPr>
          <w:lang w:eastAsia="bg-BG"/>
        </w:rPr>
      </w:pPr>
    </w:p>
    <w:p w14:paraId="5BA5B11A" w14:textId="7E881952" w:rsidR="00FB5B85" w:rsidRPr="00FB5B85" w:rsidRDefault="00FB5B85" w:rsidP="00FB5B85">
      <w:pPr>
        <w:rPr>
          <w:sz w:val="24"/>
          <w:szCs w:val="24"/>
        </w:rPr>
      </w:pPr>
      <w:proofErr w:type="spellStart"/>
      <w:r w:rsidRPr="00FB5B85">
        <w:rPr>
          <w:lang w:eastAsia="bg-BG"/>
        </w:rPr>
        <w:t>Ендотелон</w:t>
      </w:r>
      <w:proofErr w:type="spellEnd"/>
      <w:r w:rsidRPr="00FB5B85">
        <w:rPr>
          <w:lang w:eastAsia="bg-BG"/>
        </w:rPr>
        <w:t xml:space="preserve"> не повлиява способността за шофиране и работа с машини.</w:t>
      </w:r>
    </w:p>
    <w:p w14:paraId="32DB8227" w14:textId="77777777" w:rsidR="00FB5B85" w:rsidRPr="00FB5B85" w:rsidRDefault="00FB5B85" w:rsidP="00FB5B85"/>
    <w:p w14:paraId="6698E6B8" w14:textId="2B0B102B" w:rsidR="00C809A7" w:rsidRDefault="002C50EE" w:rsidP="00AA23EC">
      <w:pPr>
        <w:pStyle w:val="Heading2"/>
      </w:pPr>
      <w:r>
        <w:t>4.8. Нежелани лекарствени реакции</w:t>
      </w:r>
    </w:p>
    <w:p w14:paraId="0066FD31" w14:textId="77777777" w:rsidR="00FB5B85" w:rsidRDefault="00FB5B85" w:rsidP="00FB5B85">
      <w:pPr>
        <w:rPr>
          <w:lang w:eastAsia="bg-BG"/>
        </w:rPr>
      </w:pPr>
    </w:p>
    <w:p w14:paraId="29C4BC3D" w14:textId="7B7631F2" w:rsidR="00FB5B85" w:rsidRDefault="00FB5B85" w:rsidP="00FB5B85">
      <w:pPr>
        <w:rPr>
          <w:lang w:eastAsia="bg-BG"/>
        </w:rPr>
      </w:pPr>
      <w:r w:rsidRPr="00FB5B85">
        <w:rPr>
          <w:lang w:eastAsia="bg-BG"/>
        </w:rPr>
        <w:t xml:space="preserve">Нежелани лекарствени реакции настъпили по време на клиничните проучвания или </w:t>
      </w:r>
    </w:p>
    <w:p w14:paraId="049EFC63" w14:textId="11706D6E" w:rsidR="00FB5B85" w:rsidRDefault="00FB5B85" w:rsidP="00FB5B85">
      <w:pPr>
        <w:rPr>
          <w:lang w:eastAsia="bg-BG"/>
        </w:rPr>
      </w:pPr>
      <w:r w:rsidRPr="00FB5B85">
        <w:rPr>
          <w:lang w:eastAsia="bg-BG"/>
        </w:rPr>
        <w:t>съобщени спонтанно, са представени по-долу. Тяхната честота е определена въз основа на следната конвенция: чести (</w:t>
      </w:r>
      <w:r w:rsidRPr="00FB5B85">
        <w:rPr>
          <w:lang w:val="en-US"/>
        </w:rPr>
        <w:t>≥</w:t>
      </w:r>
      <w:r w:rsidRPr="00FB5B85">
        <w:rPr>
          <w:lang w:eastAsia="bg-BG"/>
        </w:rPr>
        <w:t>1/100 до &lt;1/10); нечести (</w:t>
      </w:r>
      <w:r w:rsidRPr="00FB5B85">
        <w:rPr>
          <w:lang w:val="en-US"/>
        </w:rPr>
        <w:t>≥</w:t>
      </w:r>
      <w:r w:rsidRPr="00FB5B85">
        <w:rPr>
          <w:lang w:eastAsia="bg-BG"/>
        </w:rPr>
        <w:t>1/1 000 до&lt;1/100); редки (</w:t>
      </w:r>
      <w:r w:rsidRPr="00FB5B85">
        <w:rPr>
          <w:lang w:val="en-US"/>
        </w:rPr>
        <w:t>≥</w:t>
      </w:r>
      <w:r w:rsidRPr="00FB5B85">
        <w:rPr>
          <w:lang w:eastAsia="bg-BG"/>
        </w:rPr>
        <w:t xml:space="preserve">1/10 000 до &lt; 1/1 000); много редки (&lt; 1/10 000), с неизвестна честота (от наличните данни не може да бъде направена оценка). Във всеки </w:t>
      </w:r>
      <w:proofErr w:type="spellStart"/>
      <w:r w:rsidRPr="00FB5B85">
        <w:rPr>
          <w:lang w:eastAsia="bg-BG"/>
        </w:rPr>
        <w:t>системо</w:t>
      </w:r>
      <w:proofErr w:type="spellEnd"/>
      <w:r w:rsidRPr="00FB5B85">
        <w:rPr>
          <w:lang w:eastAsia="bg-BG"/>
        </w:rPr>
        <w:t>-органен клас, нежеланите реакции се изброяват в низходящ ред по отношение на тяхната сериозност.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5B85" w14:paraId="7A06D658" w14:textId="77777777" w:rsidTr="00FB5B85">
        <w:tc>
          <w:tcPr>
            <w:tcW w:w="3192" w:type="dxa"/>
          </w:tcPr>
          <w:p w14:paraId="37086E19" w14:textId="643F36B8" w:rsidR="00FB5B85" w:rsidRDefault="00FB5B85" w:rsidP="00FB5B85">
            <w:pPr>
              <w:rPr>
                <w:lang w:eastAsia="bg-BG"/>
              </w:rPr>
            </w:pPr>
            <w:r>
              <w:lastRenderedPageBreak/>
              <w:t>Система Орган /Клас</w:t>
            </w:r>
          </w:p>
        </w:tc>
        <w:tc>
          <w:tcPr>
            <w:tcW w:w="3192" w:type="dxa"/>
          </w:tcPr>
          <w:p w14:paraId="59747A3D" w14:textId="6823103A" w:rsidR="00FB5B85" w:rsidRDefault="00FB5B85" w:rsidP="00FB5B85">
            <w:pPr>
              <w:rPr>
                <w:lang w:eastAsia="bg-BG"/>
              </w:rPr>
            </w:pPr>
            <w:r>
              <w:t>Редки</w:t>
            </w:r>
          </w:p>
        </w:tc>
        <w:tc>
          <w:tcPr>
            <w:tcW w:w="3192" w:type="dxa"/>
          </w:tcPr>
          <w:p w14:paraId="64826919" w14:textId="243263AE" w:rsidR="00FB5B85" w:rsidRDefault="00FB5B85" w:rsidP="00FB5B85">
            <w:pPr>
              <w:rPr>
                <w:lang w:eastAsia="bg-BG"/>
              </w:rPr>
            </w:pPr>
            <w:r>
              <w:t>Много редки</w:t>
            </w:r>
          </w:p>
        </w:tc>
      </w:tr>
      <w:tr w:rsidR="00FB5B85" w14:paraId="3A947289" w14:textId="77777777" w:rsidTr="00FB5B85">
        <w:tc>
          <w:tcPr>
            <w:tcW w:w="3192" w:type="dxa"/>
          </w:tcPr>
          <w:p w14:paraId="7359EE3E" w14:textId="3C26BF30" w:rsidR="00FB5B85" w:rsidRDefault="00FB5B85" w:rsidP="00FB5B85">
            <w:pPr>
              <w:rPr>
                <w:lang w:eastAsia="bg-BG"/>
              </w:rPr>
            </w:pPr>
            <w:r>
              <w:rPr>
                <w:i/>
                <w:iCs/>
              </w:rPr>
              <w:t>Нарушения на нервната система</w:t>
            </w:r>
          </w:p>
        </w:tc>
        <w:tc>
          <w:tcPr>
            <w:tcW w:w="3192" w:type="dxa"/>
          </w:tcPr>
          <w:p w14:paraId="5C15BF87" w14:textId="77777777" w:rsidR="00FB5B85" w:rsidRDefault="00FB5B85" w:rsidP="00FB5B85">
            <w:pPr>
              <w:rPr>
                <w:lang w:eastAsia="bg-BG"/>
              </w:rPr>
            </w:pPr>
          </w:p>
        </w:tc>
        <w:tc>
          <w:tcPr>
            <w:tcW w:w="3192" w:type="dxa"/>
          </w:tcPr>
          <w:p w14:paraId="49617363" w14:textId="35815806" w:rsidR="00FB5B85" w:rsidRDefault="00FB5B85" w:rsidP="00FB5B85">
            <w:pPr>
              <w:rPr>
                <w:lang w:eastAsia="bg-BG"/>
              </w:rPr>
            </w:pPr>
            <w:r>
              <w:t>главоболие</w:t>
            </w:r>
          </w:p>
        </w:tc>
      </w:tr>
      <w:tr w:rsidR="00FB5B85" w14:paraId="46463AD8" w14:textId="77777777" w:rsidTr="00FB5B85">
        <w:tc>
          <w:tcPr>
            <w:tcW w:w="3192" w:type="dxa"/>
          </w:tcPr>
          <w:p w14:paraId="6BFAB5E1" w14:textId="3E1AB1E0" w:rsidR="00FB5B85" w:rsidRDefault="00FB5B85" w:rsidP="00FB5B85">
            <w:pPr>
              <w:rPr>
                <w:lang w:eastAsia="bg-BG"/>
              </w:rPr>
            </w:pPr>
            <w:r>
              <w:rPr>
                <w:i/>
                <w:iCs/>
              </w:rPr>
              <w:t>Стомашно-чревни нарушения</w:t>
            </w:r>
          </w:p>
        </w:tc>
        <w:tc>
          <w:tcPr>
            <w:tcW w:w="3192" w:type="dxa"/>
          </w:tcPr>
          <w:p w14:paraId="0C2056DA" w14:textId="2126B418" w:rsidR="00FB5B85" w:rsidRDefault="00FB5B85" w:rsidP="00FB5B85">
            <w:pPr>
              <w:rPr>
                <w:lang w:eastAsia="bg-BG"/>
              </w:rPr>
            </w:pPr>
            <w:r>
              <w:t>стомашни болки, гадене и диария</w:t>
            </w:r>
          </w:p>
        </w:tc>
        <w:tc>
          <w:tcPr>
            <w:tcW w:w="3192" w:type="dxa"/>
          </w:tcPr>
          <w:p w14:paraId="4FB0A211" w14:textId="77777777" w:rsidR="00FB5B85" w:rsidRDefault="00FB5B85" w:rsidP="00FB5B85">
            <w:pPr>
              <w:rPr>
                <w:lang w:eastAsia="bg-BG"/>
              </w:rPr>
            </w:pPr>
          </w:p>
        </w:tc>
      </w:tr>
      <w:tr w:rsidR="00FB5B85" w14:paraId="5C962194" w14:textId="77777777" w:rsidTr="00FB5B85">
        <w:tc>
          <w:tcPr>
            <w:tcW w:w="3192" w:type="dxa"/>
          </w:tcPr>
          <w:p w14:paraId="0F4C540D" w14:textId="64D7CEC3" w:rsidR="00FB5B85" w:rsidRDefault="00FB5B85" w:rsidP="00FB5B85">
            <w:pPr>
              <w:rPr>
                <w:lang w:eastAsia="bg-BG"/>
              </w:rPr>
            </w:pPr>
            <w:r>
              <w:rPr>
                <w:i/>
                <w:iCs/>
              </w:rPr>
              <w:t>Нарушения на кожата и подкожните тъкани</w:t>
            </w:r>
          </w:p>
        </w:tc>
        <w:tc>
          <w:tcPr>
            <w:tcW w:w="3192" w:type="dxa"/>
          </w:tcPr>
          <w:p w14:paraId="46240B12" w14:textId="77777777" w:rsidR="00FB5B85" w:rsidRDefault="00FB5B85" w:rsidP="00FB5B85">
            <w:r>
              <w:t xml:space="preserve">Алергични прояви: уртикария, обрив с или без </w:t>
            </w:r>
            <w:proofErr w:type="spellStart"/>
            <w:r>
              <w:t>пруритус</w:t>
            </w:r>
            <w:proofErr w:type="spellEnd"/>
            <w:r>
              <w:t>, фоточувствителност, екзема.</w:t>
            </w:r>
          </w:p>
          <w:p w14:paraId="7E41398E" w14:textId="6FC99185" w:rsidR="00FB5B85" w:rsidRDefault="00FB5B85" w:rsidP="00FB5B85">
            <w:pPr>
              <w:rPr>
                <w:lang w:eastAsia="bg-BG"/>
              </w:rPr>
            </w:pPr>
            <w:r>
              <w:t xml:space="preserve">Тези прояви са обратими и спират след прекъсване </w:t>
            </w:r>
            <w:r>
              <w:rPr>
                <w:i/>
                <w:iCs/>
              </w:rPr>
              <w:t xml:space="preserve">на </w:t>
            </w:r>
            <w:r>
              <w:t>лечението.</w:t>
            </w:r>
          </w:p>
        </w:tc>
        <w:tc>
          <w:tcPr>
            <w:tcW w:w="3192" w:type="dxa"/>
          </w:tcPr>
          <w:p w14:paraId="2749FDB0" w14:textId="22E08F4F" w:rsidR="00FB5B85" w:rsidRDefault="00FB5B85" w:rsidP="00FB5B85">
            <w:pPr>
              <w:rPr>
                <w:lang w:eastAsia="bg-BG"/>
              </w:rPr>
            </w:pPr>
            <w:r>
              <w:t>ангиоедем</w:t>
            </w:r>
          </w:p>
        </w:tc>
      </w:tr>
    </w:tbl>
    <w:p w14:paraId="595BE042" w14:textId="77777777" w:rsidR="00FB5B85" w:rsidRDefault="00FB5B85" w:rsidP="00FB5B85">
      <w:pPr>
        <w:rPr>
          <w:u w:val="single"/>
          <w:lang w:eastAsia="bg-BG"/>
        </w:rPr>
      </w:pPr>
    </w:p>
    <w:p w14:paraId="6BFD53CA" w14:textId="31A67178" w:rsidR="00FB5B85" w:rsidRPr="00FB5B85" w:rsidRDefault="00FB5B85" w:rsidP="00FB5B85">
      <w:pPr>
        <w:rPr>
          <w:sz w:val="24"/>
          <w:szCs w:val="24"/>
          <w:u w:val="single"/>
        </w:rPr>
      </w:pPr>
      <w:r w:rsidRPr="00FB5B85">
        <w:rPr>
          <w:u w:val="single"/>
          <w:lang w:eastAsia="bg-BG"/>
        </w:rPr>
        <w:t>Съобщаване на подозирани нежелани реакции</w:t>
      </w:r>
    </w:p>
    <w:p w14:paraId="7084526F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08CB6C78" w14:textId="77777777" w:rsidR="00FB5B85" w:rsidRDefault="00FB5B85" w:rsidP="00FB5B85">
      <w:pPr>
        <w:rPr>
          <w:b/>
          <w:bCs/>
          <w:lang w:eastAsia="bg-BG"/>
        </w:rPr>
      </w:pPr>
    </w:p>
    <w:p w14:paraId="2D8064C4" w14:textId="77777777" w:rsidR="00FB5B85" w:rsidRDefault="00FB5B85" w:rsidP="00FB5B85">
      <w:pPr>
        <w:rPr>
          <w:b/>
          <w:bCs/>
          <w:lang w:eastAsia="bg-BG"/>
        </w:rPr>
      </w:pPr>
      <w:r w:rsidRPr="00FB5B85">
        <w:rPr>
          <w:b/>
          <w:bCs/>
          <w:lang w:eastAsia="bg-BG"/>
        </w:rPr>
        <w:t xml:space="preserve">Изпълнителна агенция по лекарствата </w:t>
      </w:r>
    </w:p>
    <w:p w14:paraId="1F5B5573" w14:textId="7F0CEA2B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ул. „Дамян Груев” № 8 1303 София, България</w:t>
      </w:r>
    </w:p>
    <w:p w14:paraId="0DE9F0A0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Тел.:+359 28903417</w:t>
      </w:r>
    </w:p>
    <w:p w14:paraId="2122C5D1" w14:textId="3C244DCB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 xml:space="preserve">уебсайт: </w:t>
      </w:r>
      <w:hyperlink r:id="rId5" w:history="1">
        <w:r w:rsidRPr="00FB5B85">
          <w:rPr>
            <w:lang w:val="en-US"/>
          </w:rPr>
          <w:t>www.bda.bg</w:t>
        </w:r>
      </w:hyperlink>
    </w:p>
    <w:p w14:paraId="6278044E" w14:textId="77777777" w:rsidR="00FB5B85" w:rsidRPr="00FB5B85" w:rsidRDefault="00FB5B85" w:rsidP="00FB5B85"/>
    <w:p w14:paraId="4239D218" w14:textId="34B731BF" w:rsidR="00C809A7" w:rsidRDefault="002C50EE" w:rsidP="00AA23EC">
      <w:pPr>
        <w:pStyle w:val="Heading2"/>
      </w:pPr>
      <w:r>
        <w:t>4.9. Предозиране</w:t>
      </w:r>
    </w:p>
    <w:p w14:paraId="598C3313" w14:textId="77777777" w:rsidR="00FB5B85" w:rsidRDefault="00FB5B85" w:rsidP="00FB5B85">
      <w:pPr>
        <w:rPr>
          <w:lang w:eastAsia="bg-BG"/>
        </w:rPr>
      </w:pPr>
    </w:p>
    <w:p w14:paraId="72FC4A32" w14:textId="72903398" w:rsidR="00FB5B85" w:rsidRPr="00FB5B85" w:rsidRDefault="00FB5B85" w:rsidP="00FB5B85">
      <w:pPr>
        <w:rPr>
          <w:lang w:eastAsia="bg-BG"/>
        </w:rPr>
      </w:pPr>
      <w:r w:rsidRPr="00FB5B85">
        <w:rPr>
          <w:lang w:eastAsia="bg-BG"/>
        </w:rPr>
        <w:t>Не са докладвани данни за предозиране до момента.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6CDB2723" w14:textId="21184A4D" w:rsidR="00C809A7" w:rsidRDefault="002C50EE" w:rsidP="00AA23EC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07F4C209" w14:textId="77777777" w:rsidR="00FB5B85" w:rsidRDefault="00FB5B85" w:rsidP="00FB5B85">
      <w:pPr>
        <w:rPr>
          <w:lang w:eastAsia="bg-BG"/>
        </w:rPr>
      </w:pPr>
    </w:p>
    <w:p w14:paraId="782BB698" w14:textId="06B5CFE2" w:rsidR="00FB5B85" w:rsidRPr="00FB5B85" w:rsidRDefault="00FB5B85" w:rsidP="00FB5B85">
      <w:pPr>
        <w:rPr>
          <w:sz w:val="24"/>
          <w:szCs w:val="24"/>
        </w:rPr>
      </w:pPr>
      <w:proofErr w:type="spellStart"/>
      <w:r w:rsidRPr="00FB5B85">
        <w:rPr>
          <w:lang w:eastAsia="bg-BG"/>
        </w:rPr>
        <w:t>Фармакотерапевтична</w:t>
      </w:r>
      <w:proofErr w:type="spellEnd"/>
      <w:r w:rsidRPr="00FB5B85">
        <w:rPr>
          <w:lang w:eastAsia="bg-BG"/>
        </w:rPr>
        <w:t xml:space="preserve"> група: Други средства, стабилизиращи капилярите </w:t>
      </w:r>
      <w:r w:rsidRPr="00FB5B85">
        <w:rPr>
          <w:b/>
          <w:bCs/>
          <w:lang w:eastAsia="bg-BG"/>
        </w:rPr>
        <w:t xml:space="preserve">АТС код С05СХ </w:t>
      </w:r>
      <w:r w:rsidRPr="00FB5B85">
        <w:rPr>
          <w:lang w:eastAsia="bg-BG"/>
        </w:rPr>
        <w:t>СЪДОВ ПРОТЕКТОР - ВЕНОТОНИК</w:t>
      </w:r>
    </w:p>
    <w:p w14:paraId="333618CC" w14:textId="77777777" w:rsidR="00FB5B85" w:rsidRDefault="00FB5B85" w:rsidP="00FB5B85">
      <w:pPr>
        <w:rPr>
          <w:u w:val="single"/>
          <w:lang w:eastAsia="bg-BG"/>
        </w:rPr>
      </w:pPr>
    </w:p>
    <w:p w14:paraId="4008E113" w14:textId="53C477D5" w:rsidR="00FB5B85" w:rsidRPr="00FB5B85" w:rsidRDefault="00FB5B85" w:rsidP="00FB5B85">
      <w:pPr>
        <w:rPr>
          <w:sz w:val="24"/>
          <w:szCs w:val="24"/>
        </w:rPr>
      </w:pPr>
      <w:r w:rsidRPr="00FB5B85">
        <w:rPr>
          <w:u w:val="single"/>
          <w:lang w:eastAsia="bg-BG"/>
        </w:rPr>
        <w:t>Механизъм на действие</w:t>
      </w:r>
    </w:p>
    <w:p w14:paraId="2FAF797C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 xml:space="preserve">Увеличава съдовата резистентност и намалява съдовия </w:t>
      </w:r>
      <w:proofErr w:type="spellStart"/>
      <w:r w:rsidRPr="00FB5B85">
        <w:rPr>
          <w:lang w:eastAsia="bg-BG"/>
        </w:rPr>
        <w:t>пермеабилитет</w:t>
      </w:r>
      <w:proofErr w:type="spellEnd"/>
      <w:r w:rsidRPr="00FB5B85">
        <w:rPr>
          <w:lang w:eastAsia="bg-BG"/>
        </w:rPr>
        <w:t>.</w:t>
      </w:r>
    </w:p>
    <w:p w14:paraId="7563BCFA" w14:textId="77777777" w:rsidR="00FB5B85" w:rsidRDefault="00FB5B85" w:rsidP="00FB5B85">
      <w:pPr>
        <w:rPr>
          <w:u w:val="single"/>
          <w:lang w:eastAsia="bg-BG"/>
        </w:rPr>
      </w:pPr>
    </w:p>
    <w:p w14:paraId="79D44CE1" w14:textId="3D620B99" w:rsidR="00FB5B85" w:rsidRPr="00FB5B85" w:rsidRDefault="00FB5B85" w:rsidP="00FB5B85">
      <w:pPr>
        <w:rPr>
          <w:sz w:val="24"/>
          <w:szCs w:val="24"/>
        </w:rPr>
      </w:pPr>
      <w:proofErr w:type="spellStart"/>
      <w:r w:rsidRPr="00FB5B85">
        <w:rPr>
          <w:u w:val="single"/>
          <w:lang w:eastAsia="bg-BG"/>
        </w:rPr>
        <w:t>Фармакодинамични</w:t>
      </w:r>
      <w:proofErr w:type="spellEnd"/>
      <w:r w:rsidRPr="00FB5B85">
        <w:rPr>
          <w:u w:val="single"/>
          <w:lang w:eastAsia="bg-BG"/>
        </w:rPr>
        <w:t xml:space="preserve"> ефекти</w:t>
      </w:r>
    </w:p>
    <w:p w14:paraId="609654D7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 xml:space="preserve">Проучванията </w:t>
      </w:r>
      <w:r w:rsidRPr="00FB5B85">
        <w:rPr>
          <w:i/>
          <w:iCs/>
          <w:lang w:val="en-US"/>
        </w:rPr>
        <w:t>in vitro</w:t>
      </w:r>
      <w:r w:rsidRPr="00FB5B85">
        <w:rPr>
          <w:lang w:val="en-US"/>
        </w:rPr>
        <w:t xml:space="preserve"> </w:t>
      </w:r>
      <w:r w:rsidRPr="00FB5B85">
        <w:rPr>
          <w:lang w:eastAsia="bg-BG"/>
        </w:rPr>
        <w:t xml:space="preserve">показват, че </w:t>
      </w:r>
      <w:proofErr w:type="spellStart"/>
      <w:r w:rsidRPr="00FB5B85">
        <w:rPr>
          <w:lang w:eastAsia="bg-BG"/>
        </w:rPr>
        <w:t>процианидоловите</w:t>
      </w:r>
      <w:proofErr w:type="spellEnd"/>
      <w:r w:rsidRPr="00FB5B85">
        <w:rPr>
          <w:lang w:eastAsia="bg-BG"/>
        </w:rPr>
        <w:t xml:space="preserve"> </w:t>
      </w:r>
      <w:proofErr w:type="spellStart"/>
      <w:r w:rsidRPr="00FB5B85">
        <w:rPr>
          <w:lang w:eastAsia="bg-BG"/>
        </w:rPr>
        <w:t>олигомери</w:t>
      </w:r>
      <w:proofErr w:type="spellEnd"/>
      <w:r w:rsidRPr="00FB5B85">
        <w:rPr>
          <w:lang w:eastAsia="bg-BG"/>
        </w:rPr>
        <w:t xml:space="preserve"> </w:t>
      </w:r>
      <w:proofErr w:type="spellStart"/>
      <w:r w:rsidRPr="00FB5B85">
        <w:rPr>
          <w:lang w:eastAsia="bg-BG"/>
        </w:rPr>
        <w:t>протектират</w:t>
      </w:r>
      <w:proofErr w:type="spellEnd"/>
      <w:r w:rsidRPr="00FB5B85">
        <w:rPr>
          <w:lang w:eastAsia="bg-BG"/>
        </w:rPr>
        <w:t xml:space="preserve"> </w:t>
      </w:r>
      <w:proofErr w:type="spellStart"/>
      <w:r w:rsidRPr="00FB5B85">
        <w:rPr>
          <w:lang w:eastAsia="bg-BG"/>
        </w:rPr>
        <w:t>фибриларните</w:t>
      </w:r>
      <w:proofErr w:type="spellEnd"/>
      <w:r w:rsidRPr="00FB5B85">
        <w:rPr>
          <w:lang w:eastAsia="bg-BG"/>
        </w:rPr>
        <w:t xml:space="preserve"> протеини, особено колаген и </w:t>
      </w:r>
      <w:proofErr w:type="spellStart"/>
      <w:r w:rsidRPr="00FB5B85">
        <w:rPr>
          <w:lang w:eastAsia="bg-BG"/>
        </w:rPr>
        <w:t>еластин</w:t>
      </w:r>
      <w:proofErr w:type="spellEnd"/>
      <w:r w:rsidRPr="00FB5B85">
        <w:rPr>
          <w:lang w:eastAsia="bg-BG"/>
        </w:rPr>
        <w:t xml:space="preserve"> от ензимно разграждане и имат </w:t>
      </w:r>
      <w:proofErr w:type="spellStart"/>
      <w:r w:rsidRPr="00FB5B85">
        <w:rPr>
          <w:lang w:eastAsia="bg-BG"/>
        </w:rPr>
        <w:t>протективен</w:t>
      </w:r>
      <w:proofErr w:type="spellEnd"/>
      <w:r w:rsidRPr="00FB5B85">
        <w:rPr>
          <w:lang w:eastAsia="bg-BG"/>
        </w:rPr>
        <w:t xml:space="preserve"> ефект срещу термичната </w:t>
      </w:r>
      <w:proofErr w:type="spellStart"/>
      <w:r w:rsidRPr="00FB5B85">
        <w:rPr>
          <w:lang w:eastAsia="bg-BG"/>
        </w:rPr>
        <w:t>денатурация</w:t>
      </w:r>
      <w:proofErr w:type="spellEnd"/>
      <w:r w:rsidRPr="00FB5B85">
        <w:rPr>
          <w:lang w:eastAsia="bg-BG"/>
        </w:rPr>
        <w:t xml:space="preserve"> на колаген.</w:t>
      </w:r>
    </w:p>
    <w:p w14:paraId="0A94F573" w14:textId="77777777" w:rsidR="00FB5B85" w:rsidRDefault="00FB5B85" w:rsidP="00FB5B85">
      <w:pPr>
        <w:rPr>
          <w:u w:val="single"/>
          <w:lang w:eastAsia="bg-BG"/>
        </w:rPr>
      </w:pPr>
    </w:p>
    <w:p w14:paraId="024194C0" w14:textId="0E55BF34" w:rsidR="00FB5B85" w:rsidRPr="00FB5B85" w:rsidRDefault="00FB5B85" w:rsidP="00FB5B85">
      <w:pPr>
        <w:rPr>
          <w:sz w:val="24"/>
          <w:szCs w:val="24"/>
        </w:rPr>
      </w:pPr>
      <w:r w:rsidRPr="00FB5B85">
        <w:rPr>
          <w:u w:val="single"/>
          <w:lang w:eastAsia="bg-BG"/>
        </w:rPr>
        <w:t>Клинична ефикасност и безопасност</w:t>
      </w:r>
    </w:p>
    <w:p w14:paraId="28F438A8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lastRenderedPageBreak/>
        <w:t xml:space="preserve">Действието на </w:t>
      </w:r>
      <w:proofErr w:type="spellStart"/>
      <w:r w:rsidRPr="00FB5B85">
        <w:rPr>
          <w:lang w:eastAsia="bg-BG"/>
        </w:rPr>
        <w:t>Ендотелон</w:t>
      </w:r>
      <w:proofErr w:type="spellEnd"/>
      <w:r w:rsidRPr="00FB5B85">
        <w:rPr>
          <w:lang w:eastAsia="bg-BG"/>
        </w:rPr>
        <w:t xml:space="preserve"> върху съдовите стени, демонстрирано при животни и потвърдено при хора, е следното:</w:t>
      </w:r>
    </w:p>
    <w:p w14:paraId="3C2E53A2" w14:textId="60871B51" w:rsidR="00FB5B85" w:rsidRPr="00FB5B85" w:rsidRDefault="00FB5B85" w:rsidP="00FB5B85">
      <w:pPr>
        <w:pStyle w:val="ListParagraph"/>
        <w:numPr>
          <w:ilvl w:val="0"/>
          <w:numId w:val="24"/>
        </w:numPr>
        <w:rPr>
          <w:lang w:eastAsia="bg-BG"/>
        </w:rPr>
      </w:pPr>
      <w:r w:rsidRPr="00FB5B85">
        <w:rPr>
          <w:lang w:eastAsia="bg-BG"/>
        </w:rPr>
        <w:t>подобряване на капилярната резистентност (</w:t>
      </w:r>
      <w:proofErr w:type="spellStart"/>
      <w:r w:rsidRPr="00FB5B85">
        <w:rPr>
          <w:lang w:eastAsia="bg-BG"/>
        </w:rPr>
        <w:t>капиляро</w:t>
      </w:r>
      <w:proofErr w:type="spellEnd"/>
      <w:r w:rsidRPr="00FB5B85">
        <w:rPr>
          <w:lang w:eastAsia="bg-BG"/>
        </w:rPr>
        <w:t xml:space="preserve">-динамометър на </w:t>
      </w:r>
      <w:proofErr w:type="spellStart"/>
      <w:r w:rsidRPr="00FB5B85">
        <w:rPr>
          <w:lang w:val="en-US"/>
        </w:rPr>
        <w:t>Lavollay</w:t>
      </w:r>
      <w:proofErr w:type="spellEnd"/>
      <w:r w:rsidRPr="00FB5B85">
        <w:rPr>
          <w:lang w:val="en-US"/>
        </w:rPr>
        <w:t xml:space="preserve">, </w:t>
      </w:r>
      <w:proofErr w:type="spellStart"/>
      <w:r w:rsidRPr="00FB5B85">
        <w:rPr>
          <w:lang w:eastAsia="bg-BG"/>
        </w:rPr>
        <w:t>ангиостерометър</w:t>
      </w:r>
      <w:proofErr w:type="spellEnd"/>
      <w:r w:rsidRPr="00FB5B85">
        <w:rPr>
          <w:lang w:eastAsia="bg-BG"/>
        </w:rPr>
        <w:t xml:space="preserve"> на </w:t>
      </w:r>
      <w:r w:rsidRPr="00FB5B85">
        <w:rPr>
          <w:lang w:val="en-US"/>
        </w:rPr>
        <w:t xml:space="preserve">Parrot), </w:t>
      </w:r>
      <w:r w:rsidRPr="00FB5B85">
        <w:rPr>
          <w:lang w:eastAsia="bg-BG"/>
        </w:rPr>
        <w:t>демонстрирана при пациенти с повишена съдова чупливост.</w:t>
      </w:r>
    </w:p>
    <w:p w14:paraId="584B4D16" w14:textId="3C9B7393" w:rsidR="00FB5B85" w:rsidRPr="00FB5B85" w:rsidRDefault="00FB5B85" w:rsidP="00FB5B85">
      <w:pPr>
        <w:pStyle w:val="ListParagraph"/>
        <w:numPr>
          <w:ilvl w:val="0"/>
          <w:numId w:val="24"/>
        </w:numPr>
        <w:rPr>
          <w:lang w:eastAsia="bg-BG"/>
        </w:rPr>
      </w:pPr>
      <w:r w:rsidRPr="00FB5B85">
        <w:rPr>
          <w:lang w:eastAsia="bg-BG"/>
        </w:rPr>
        <w:t xml:space="preserve">намаляване на капилярния </w:t>
      </w:r>
      <w:proofErr w:type="spellStart"/>
      <w:r w:rsidRPr="00FB5B85">
        <w:rPr>
          <w:lang w:eastAsia="bg-BG"/>
        </w:rPr>
        <w:t>пермеабилитет</w:t>
      </w:r>
      <w:proofErr w:type="spellEnd"/>
      <w:r w:rsidRPr="00FB5B85">
        <w:rPr>
          <w:lang w:eastAsia="bg-BG"/>
        </w:rPr>
        <w:t>, демонстриран с различни тестове (</w:t>
      </w:r>
      <w:proofErr w:type="spellStart"/>
      <w:r w:rsidRPr="00FB5B85">
        <w:rPr>
          <w:lang w:eastAsia="bg-BG"/>
        </w:rPr>
        <w:t>хистаминов</w:t>
      </w:r>
      <w:proofErr w:type="spellEnd"/>
      <w:r w:rsidRPr="00FB5B85">
        <w:rPr>
          <w:lang w:eastAsia="bg-BG"/>
        </w:rPr>
        <w:t xml:space="preserve"> тест, тест на </w:t>
      </w:r>
      <w:r w:rsidRPr="00FB5B85">
        <w:rPr>
          <w:lang w:val="en-US"/>
        </w:rPr>
        <w:t xml:space="preserve">Landis </w:t>
      </w:r>
      <w:r w:rsidRPr="00FB5B85">
        <w:rPr>
          <w:lang w:eastAsia="bg-BG"/>
        </w:rPr>
        <w:t xml:space="preserve">и </w:t>
      </w:r>
      <w:proofErr w:type="spellStart"/>
      <w:r w:rsidRPr="00FB5B85">
        <w:rPr>
          <w:lang w:eastAsia="bg-BG"/>
        </w:rPr>
        <w:t>изотопичен</w:t>
      </w:r>
      <w:proofErr w:type="spellEnd"/>
      <w:r w:rsidRPr="00FB5B85">
        <w:rPr>
          <w:lang w:eastAsia="bg-BG"/>
        </w:rPr>
        <w:t xml:space="preserve"> тест на </w:t>
      </w:r>
      <w:r w:rsidRPr="00FB5B85">
        <w:rPr>
          <w:lang w:val="en-US"/>
        </w:rPr>
        <w:t>Landis).</w:t>
      </w:r>
    </w:p>
    <w:p w14:paraId="7BF4C05F" w14:textId="77777777" w:rsidR="00FB5B85" w:rsidRDefault="00FB5B85" w:rsidP="00FB5B85">
      <w:pPr>
        <w:rPr>
          <w:u w:val="single"/>
          <w:lang w:eastAsia="bg-BG"/>
        </w:rPr>
      </w:pPr>
    </w:p>
    <w:p w14:paraId="5BD919A9" w14:textId="0F99022A" w:rsidR="00FB5B85" w:rsidRPr="00FB5B85" w:rsidRDefault="00FB5B85" w:rsidP="00FB5B85">
      <w:pPr>
        <w:rPr>
          <w:sz w:val="24"/>
          <w:szCs w:val="24"/>
        </w:rPr>
      </w:pPr>
      <w:r w:rsidRPr="00FB5B85">
        <w:rPr>
          <w:u w:val="single"/>
          <w:lang w:eastAsia="bg-BG"/>
        </w:rPr>
        <w:t>Педиатрична популация</w:t>
      </w:r>
    </w:p>
    <w:p w14:paraId="32BA4BFA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Няма данни за употреба при деца.</w:t>
      </w:r>
    </w:p>
    <w:p w14:paraId="3BE73E05" w14:textId="77777777" w:rsidR="00FB5B85" w:rsidRPr="00FB5B85" w:rsidRDefault="00FB5B85" w:rsidP="00FB5B85"/>
    <w:p w14:paraId="0A962168" w14:textId="77E2E1A1" w:rsidR="00C809A7" w:rsidRDefault="002C50EE" w:rsidP="00AA23EC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1746C685" w14:textId="77777777" w:rsidR="00FB5B85" w:rsidRDefault="00FB5B85" w:rsidP="00FB5B85">
      <w:pPr>
        <w:rPr>
          <w:lang w:eastAsia="bg-BG"/>
        </w:rPr>
      </w:pPr>
    </w:p>
    <w:p w14:paraId="7F34954B" w14:textId="713EF4EB" w:rsidR="00FB5B85" w:rsidRPr="00FB5B85" w:rsidRDefault="00FB5B85" w:rsidP="00FB5B85">
      <w:pPr>
        <w:pStyle w:val="Heading3"/>
        <w:rPr>
          <w:rFonts w:eastAsia="Times New Roman"/>
          <w:u w:val="single"/>
        </w:rPr>
      </w:pPr>
      <w:r w:rsidRPr="00FB5B85">
        <w:rPr>
          <w:rFonts w:eastAsia="Times New Roman"/>
          <w:u w:val="single"/>
          <w:lang w:eastAsia="bg-BG"/>
        </w:rPr>
        <w:t>Абсорбция</w:t>
      </w:r>
    </w:p>
    <w:p w14:paraId="1F506199" w14:textId="77777777" w:rsidR="00FB5B85" w:rsidRPr="00FB5B85" w:rsidRDefault="00FB5B85" w:rsidP="00FB5B85">
      <w:pPr>
        <w:rPr>
          <w:sz w:val="24"/>
          <w:szCs w:val="24"/>
        </w:rPr>
      </w:pPr>
      <w:proofErr w:type="spellStart"/>
      <w:r w:rsidRPr="00FB5B85">
        <w:rPr>
          <w:lang w:eastAsia="bg-BG"/>
        </w:rPr>
        <w:t>Процианидоловите</w:t>
      </w:r>
      <w:proofErr w:type="spellEnd"/>
      <w:r w:rsidRPr="00FB5B85">
        <w:rPr>
          <w:lang w:eastAsia="bg-BG"/>
        </w:rPr>
        <w:t xml:space="preserve"> </w:t>
      </w:r>
      <w:proofErr w:type="spellStart"/>
      <w:r w:rsidRPr="00FB5B85">
        <w:rPr>
          <w:lang w:eastAsia="bg-BG"/>
        </w:rPr>
        <w:t>олигомери</w:t>
      </w:r>
      <w:proofErr w:type="spellEnd"/>
      <w:r w:rsidRPr="00FB5B85">
        <w:rPr>
          <w:lang w:eastAsia="bg-BG"/>
        </w:rPr>
        <w:t xml:space="preserve"> са </w:t>
      </w:r>
      <w:proofErr w:type="spellStart"/>
      <w:r w:rsidRPr="00FB5B85">
        <w:rPr>
          <w:lang w:eastAsia="bg-BG"/>
        </w:rPr>
        <w:t>флавилиеви</w:t>
      </w:r>
      <w:proofErr w:type="spellEnd"/>
      <w:r w:rsidRPr="00FB5B85">
        <w:rPr>
          <w:lang w:eastAsia="bg-BG"/>
        </w:rPr>
        <w:t xml:space="preserve"> производни, които бързо се абсорбират от стомашно-чревния тракт.</w:t>
      </w:r>
    </w:p>
    <w:p w14:paraId="3B9C2B89" w14:textId="77777777" w:rsidR="00FB5B85" w:rsidRDefault="00FB5B85" w:rsidP="00FB5B85">
      <w:pPr>
        <w:rPr>
          <w:lang w:eastAsia="bg-BG"/>
        </w:rPr>
      </w:pPr>
    </w:p>
    <w:p w14:paraId="69BCEE17" w14:textId="716E9D79" w:rsidR="00FB5B85" w:rsidRPr="00FB5B85" w:rsidRDefault="00FB5B85" w:rsidP="00FB5B85">
      <w:pPr>
        <w:pStyle w:val="Heading3"/>
        <w:rPr>
          <w:rFonts w:eastAsia="Times New Roman"/>
          <w:u w:val="single"/>
        </w:rPr>
      </w:pPr>
      <w:r w:rsidRPr="00FB5B85">
        <w:rPr>
          <w:rFonts w:eastAsia="Times New Roman"/>
          <w:u w:val="single"/>
          <w:lang w:eastAsia="bg-BG"/>
        </w:rPr>
        <w:t>Разпределение</w:t>
      </w:r>
    </w:p>
    <w:p w14:paraId="1006DB73" w14:textId="77777777" w:rsidR="00FB5B85" w:rsidRPr="00FB5B85" w:rsidRDefault="00FB5B85" w:rsidP="00FB5B85">
      <w:pPr>
        <w:rPr>
          <w:sz w:val="24"/>
          <w:szCs w:val="24"/>
        </w:rPr>
      </w:pPr>
      <w:proofErr w:type="spellStart"/>
      <w:r w:rsidRPr="00FB5B85">
        <w:rPr>
          <w:lang w:eastAsia="bg-BG"/>
        </w:rPr>
        <w:t>Процианидоловите</w:t>
      </w:r>
      <w:proofErr w:type="spellEnd"/>
      <w:r w:rsidRPr="00FB5B85">
        <w:rPr>
          <w:lang w:eastAsia="bg-BG"/>
        </w:rPr>
        <w:t xml:space="preserve"> </w:t>
      </w:r>
      <w:proofErr w:type="spellStart"/>
      <w:r w:rsidRPr="00FB5B85">
        <w:rPr>
          <w:lang w:eastAsia="bg-BG"/>
        </w:rPr>
        <w:t>олигомери</w:t>
      </w:r>
      <w:proofErr w:type="spellEnd"/>
      <w:r w:rsidRPr="00FB5B85">
        <w:rPr>
          <w:lang w:eastAsia="bg-BG"/>
        </w:rPr>
        <w:t xml:space="preserve"> се свързват с тъкани, съдържащи </w:t>
      </w:r>
      <w:proofErr w:type="spellStart"/>
      <w:r w:rsidRPr="00FB5B85">
        <w:rPr>
          <w:lang w:eastAsia="bg-BG"/>
        </w:rPr>
        <w:t>аминогликан</w:t>
      </w:r>
      <w:proofErr w:type="spellEnd"/>
      <w:r w:rsidRPr="00FB5B85">
        <w:rPr>
          <w:lang w:eastAsia="bg-BG"/>
        </w:rPr>
        <w:t xml:space="preserve">, включително </w:t>
      </w:r>
      <w:proofErr w:type="spellStart"/>
      <w:r w:rsidRPr="00FB5B85">
        <w:rPr>
          <w:lang w:eastAsia="bg-BG"/>
        </w:rPr>
        <w:t>периваскуларна</w:t>
      </w:r>
      <w:proofErr w:type="spellEnd"/>
      <w:r w:rsidRPr="00FB5B85">
        <w:rPr>
          <w:lang w:eastAsia="bg-BG"/>
        </w:rPr>
        <w:t xml:space="preserve"> съединителна тъкан.</w:t>
      </w:r>
    </w:p>
    <w:p w14:paraId="721D7E40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Пикова плазмена концентрация се достига след час и половина и плазмен полуживот от 72 часа.</w:t>
      </w:r>
    </w:p>
    <w:p w14:paraId="05643C6C" w14:textId="77777777" w:rsidR="00FB5B85" w:rsidRDefault="00FB5B85" w:rsidP="00FB5B85">
      <w:pPr>
        <w:rPr>
          <w:lang w:eastAsia="bg-BG"/>
        </w:rPr>
      </w:pPr>
    </w:p>
    <w:p w14:paraId="70815548" w14:textId="36FC3AB0" w:rsidR="00FB5B85" w:rsidRPr="00FB5B85" w:rsidRDefault="00FB5B85" w:rsidP="00FB5B85">
      <w:pPr>
        <w:pStyle w:val="Heading3"/>
        <w:rPr>
          <w:rFonts w:eastAsia="Times New Roman"/>
          <w:u w:val="single"/>
        </w:rPr>
      </w:pPr>
      <w:r w:rsidRPr="00FB5B85">
        <w:rPr>
          <w:rFonts w:eastAsia="Times New Roman"/>
          <w:u w:val="single"/>
          <w:lang w:eastAsia="bg-BG"/>
        </w:rPr>
        <w:t>Елиминиране</w:t>
      </w:r>
    </w:p>
    <w:p w14:paraId="2CB1AB0F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 xml:space="preserve">Елиминирането на </w:t>
      </w:r>
      <w:proofErr w:type="spellStart"/>
      <w:r w:rsidRPr="00FB5B85">
        <w:rPr>
          <w:lang w:eastAsia="bg-BG"/>
        </w:rPr>
        <w:t>Ендотелон</w:t>
      </w:r>
      <w:proofErr w:type="spellEnd"/>
      <w:r w:rsidRPr="00FB5B85">
        <w:rPr>
          <w:lang w:eastAsia="bg-BG"/>
        </w:rPr>
        <w:t xml:space="preserve"> и неговите метаболити става основно чрез фекалиите (± 70%), понякога чрез урината (± 20%) и респираторния (± 5%) тракт.</w:t>
      </w:r>
    </w:p>
    <w:p w14:paraId="55F6C3C4" w14:textId="77777777" w:rsidR="00FB5B85" w:rsidRPr="00FB5B85" w:rsidRDefault="00FB5B85" w:rsidP="00FB5B85"/>
    <w:p w14:paraId="674BE4E2" w14:textId="20298B5C" w:rsidR="009B171C" w:rsidRDefault="002C50EE" w:rsidP="00CA1B57">
      <w:pPr>
        <w:pStyle w:val="Heading2"/>
      </w:pPr>
      <w:r>
        <w:t>5.3. Предклинични данни за безопасност</w:t>
      </w:r>
    </w:p>
    <w:p w14:paraId="6940F72E" w14:textId="113AAC91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6C537EDB" w14:textId="77777777" w:rsidR="00FB5B85" w:rsidRPr="00FB5B85" w:rsidRDefault="00FB5B85" w:rsidP="00FB5B85">
      <w:pPr>
        <w:rPr>
          <w:sz w:val="24"/>
          <w:szCs w:val="24"/>
          <w:lang w:val="en-US"/>
        </w:rPr>
      </w:pPr>
      <w:r w:rsidRPr="00FB5B85">
        <w:rPr>
          <w:lang w:val="en-US"/>
        </w:rPr>
        <w:t xml:space="preserve">CHEPLAPHARM </w:t>
      </w:r>
      <w:proofErr w:type="spellStart"/>
      <w:r w:rsidRPr="00FB5B85">
        <w:rPr>
          <w:lang w:val="en-US"/>
        </w:rPr>
        <w:t>Arzneimittel</w:t>
      </w:r>
      <w:proofErr w:type="spellEnd"/>
      <w:r w:rsidRPr="00FB5B85">
        <w:rPr>
          <w:lang w:val="en-US"/>
        </w:rPr>
        <w:t xml:space="preserve"> GmbH</w:t>
      </w:r>
    </w:p>
    <w:p w14:paraId="5A367D29" w14:textId="77777777" w:rsidR="00FB5B85" w:rsidRPr="00FB5B85" w:rsidRDefault="00FB5B85" w:rsidP="00FB5B85">
      <w:pPr>
        <w:rPr>
          <w:sz w:val="24"/>
          <w:szCs w:val="24"/>
          <w:lang w:val="en-US"/>
        </w:rPr>
      </w:pPr>
      <w:proofErr w:type="spellStart"/>
      <w:r w:rsidRPr="00FB5B85">
        <w:rPr>
          <w:lang w:val="en-US"/>
        </w:rPr>
        <w:t>Ziegelhof</w:t>
      </w:r>
      <w:proofErr w:type="spellEnd"/>
      <w:r w:rsidRPr="00FB5B85">
        <w:rPr>
          <w:lang w:val="en-US"/>
        </w:rPr>
        <w:t xml:space="preserve"> 24</w:t>
      </w:r>
    </w:p>
    <w:p w14:paraId="776C736B" w14:textId="77777777" w:rsidR="00FB5B85" w:rsidRPr="00FB5B85" w:rsidRDefault="00FB5B85" w:rsidP="00FB5B85">
      <w:pPr>
        <w:rPr>
          <w:sz w:val="24"/>
          <w:szCs w:val="24"/>
          <w:lang w:val="en-US"/>
        </w:rPr>
      </w:pPr>
      <w:r w:rsidRPr="00FB5B85">
        <w:rPr>
          <w:lang w:val="en-US"/>
        </w:rPr>
        <w:t>17489 Greifswald</w:t>
      </w:r>
    </w:p>
    <w:p w14:paraId="12FAFEC3" w14:textId="1694D4CC" w:rsidR="00FB5B85" w:rsidRPr="00FB5B85" w:rsidRDefault="00FB5B85" w:rsidP="00FB5B85">
      <w:r w:rsidRPr="00FB5B85">
        <w:rPr>
          <w:lang w:eastAsia="bg-BG"/>
        </w:rPr>
        <w:t xml:space="preserve">Г </w:t>
      </w:r>
      <w:proofErr w:type="spellStart"/>
      <w:r w:rsidRPr="00FB5B85">
        <w:rPr>
          <w:lang w:eastAsia="bg-BG"/>
        </w:rPr>
        <w:t>ермания</w:t>
      </w:r>
      <w:proofErr w:type="spellEnd"/>
    </w:p>
    <w:p w14:paraId="04840D59" w14:textId="66B45293" w:rsidR="002C50EE" w:rsidRDefault="002C50EE" w:rsidP="002C50EE">
      <w:pPr>
        <w:pStyle w:val="Heading1"/>
      </w:pPr>
      <w:r>
        <w:t>8. НОМЕР НА РАЗРЕШЕНИЕТО ЗА УПОТРЕБА</w:t>
      </w:r>
    </w:p>
    <w:p w14:paraId="2ED0C1A5" w14:textId="128EC830" w:rsidR="00FB5B85" w:rsidRPr="00FB5B85" w:rsidRDefault="00FB5B85" w:rsidP="00FB5B85">
      <w:r>
        <w:t>9600281</w:t>
      </w:r>
    </w:p>
    <w:p w14:paraId="5900CBF3" w14:textId="0AA287D2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520B4587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Дата на първо разрешаване: 01.11.1996</w:t>
      </w:r>
    </w:p>
    <w:p w14:paraId="1841477A" w14:textId="15771A45" w:rsidR="00FB5B85" w:rsidRPr="00FB5B85" w:rsidRDefault="00FB5B85" w:rsidP="00FB5B85">
      <w:r w:rsidRPr="00FB5B85">
        <w:rPr>
          <w:lang w:eastAsia="bg-BG"/>
        </w:rPr>
        <w:t>Дата на последно подновяване: 15.11.2007</w:t>
      </w:r>
    </w:p>
    <w:p w14:paraId="0E9D0119" w14:textId="153794D2" w:rsidR="002C50EE" w:rsidRDefault="002C50EE" w:rsidP="002C50EE">
      <w:pPr>
        <w:pStyle w:val="Heading1"/>
      </w:pPr>
      <w:r>
        <w:lastRenderedPageBreak/>
        <w:t>10. ДАТА НА АКТУАЛИЗИРАНЕ НА ТЕКСТА</w:t>
      </w:r>
    </w:p>
    <w:p w14:paraId="4C398728" w14:textId="77777777" w:rsidR="00FB5B85" w:rsidRPr="00FB5B85" w:rsidRDefault="00FB5B85" w:rsidP="00FB5B85">
      <w:pPr>
        <w:rPr>
          <w:sz w:val="24"/>
          <w:szCs w:val="24"/>
        </w:rPr>
      </w:pPr>
      <w:r w:rsidRPr="00FB5B85">
        <w:rPr>
          <w:lang w:eastAsia="bg-BG"/>
        </w:rPr>
        <w:t>07/2020</w:t>
      </w:r>
    </w:p>
    <w:p w14:paraId="10550845" w14:textId="77777777" w:rsidR="00FB5B85" w:rsidRPr="00FB5B85" w:rsidRDefault="00FB5B85" w:rsidP="00FB5B85"/>
    <w:bookmarkEnd w:id="0"/>
    <w:p w14:paraId="423F4C2A" w14:textId="1CF79E3E" w:rsidR="00C87E90" w:rsidRPr="003E3126" w:rsidRDefault="00C87E90" w:rsidP="00C809A7"/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F5B13"/>
    <w:multiLevelType w:val="hybridMultilevel"/>
    <w:tmpl w:val="204EBD32"/>
    <w:lvl w:ilvl="0" w:tplc="D85CC4D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23"/>
  </w:num>
  <w:num w:numId="12">
    <w:abstractNumId w:val="10"/>
  </w:num>
  <w:num w:numId="13">
    <w:abstractNumId w:val="16"/>
  </w:num>
  <w:num w:numId="14">
    <w:abstractNumId w:val="8"/>
  </w:num>
  <w:num w:numId="15">
    <w:abstractNumId w:val="22"/>
  </w:num>
  <w:num w:numId="16">
    <w:abstractNumId w:val="6"/>
  </w:num>
  <w:num w:numId="17">
    <w:abstractNumId w:val="18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9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B5B85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2021-08-10T11:32:00Z</dcterms:created>
  <dcterms:modified xsi:type="dcterms:W3CDTF">2021-08-10T11:32:00Z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