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33CA98C6" w:rsidR="007122AD" w:rsidRDefault="00DD466D" w:rsidP="00936AD0">
      <w:pPr>
        <w:pStyle w:val="Heading1"/>
      </w:pPr>
      <w:r>
        <w:t>1.ИМЕ НА ЛЕКАРСТВЕНИЯ ПРОДУКТ</w:t>
      </w:r>
    </w:p>
    <w:p w14:paraId="7E53BDEA" w14:textId="6DA9BFFA" w:rsidR="002B6140" w:rsidRDefault="002B6140" w:rsidP="002B6140"/>
    <w:p w14:paraId="22D4A40F" w14:textId="77777777" w:rsidR="002B6140" w:rsidRPr="002B6140" w:rsidRDefault="002B6140" w:rsidP="002B6140">
      <w:pPr>
        <w:rPr>
          <w:sz w:val="24"/>
          <w:szCs w:val="24"/>
        </w:rPr>
      </w:pPr>
      <w:r w:rsidRPr="002B6140">
        <w:rPr>
          <w:lang w:eastAsia="bg-BG"/>
        </w:rPr>
        <w:t xml:space="preserve">Енприл 10 </w:t>
      </w:r>
      <w:r w:rsidRPr="002B6140">
        <w:rPr>
          <w:lang w:val="en-US"/>
        </w:rPr>
        <w:t>mg</w:t>
      </w:r>
      <w:r w:rsidRPr="002B6140">
        <w:t xml:space="preserve"> </w:t>
      </w:r>
      <w:r w:rsidRPr="002B6140">
        <w:rPr>
          <w:lang w:eastAsia="bg-BG"/>
        </w:rPr>
        <w:t>таблетки</w:t>
      </w:r>
    </w:p>
    <w:p w14:paraId="2436D155" w14:textId="52A68B0C" w:rsidR="002B6140" w:rsidRPr="002B6140" w:rsidRDefault="002B6140" w:rsidP="002B6140">
      <w:proofErr w:type="spellStart"/>
      <w:r w:rsidRPr="002B6140">
        <w:rPr>
          <w:lang w:val="en-US"/>
        </w:rPr>
        <w:t>Enpril</w:t>
      </w:r>
      <w:proofErr w:type="spellEnd"/>
      <w:r w:rsidRPr="002B6140">
        <w:t xml:space="preserve"> </w:t>
      </w:r>
      <w:r w:rsidRPr="002B6140">
        <w:rPr>
          <w:lang w:eastAsia="bg-BG"/>
        </w:rPr>
        <w:t xml:space="preserve">10 </w:t>
      </w:r>
      <w:r w:rsidRPr="002B6140">
        <w:rPr>
          <w:lang w:val="en-US"/>
        </w:rPr>
        <w:t>mg</w:t>
      </w:r>
      <w:r w:rsidRPr="002B6140">
        <w:t xml:space="preserve"> </w:t>
      </w:r>
      <w:r w:rsidRPr="002B6140">
        <w:rPr>
          <w:lang w:val="en-US"/>
        </w:rPr>
        <w:t>tablets</w:t>
      </w:r>
    </w:p>
    <w:p w14:paraId="6920A680" w14:textId="5A3133A9" w:rsidR="00C40420" w:rsidRDefault="00DD466D" w:rsidP="004A448E">
      <w:pPr>
        <w:pStyle w:val="Heading1"/>
      </w:pPr>
      <w:r>
        <w:t>2. КАЧЕСТВЕН И КОЛИЧЕСТВЕН СЪСТАВ</w:t>
      </w:r>
    </w:p>
    <w:p w14:paraId="2C97AE3E" w14:textId="52043DD0" w:rsidR="002B6140" w:rsidRDefault="002B6140" w:rsidP="002B6140"/>
    <w:p w14:paraId="5A28A12B" w14:textId="77777777" w:rsidR="002B6140" w:rsidRPr="002B6140" w:rsidRDefault="002B6140" w:rsidP="002B6140">
      <w:pPr>
        <w:rPr>
          <w:sz w:val="24"/>
          <w:szCs w:val="24"/>
        </w:rPr>
      </w:pPr>
      <w:r w:rsidRPr="002B6140">
        <w:rPr>
          <w:lang w:eastAsia="bg-BG"/>
        </w:rPr>
        <w:t xml:space="preserve">Всяка таблетка съдържа 10 </w:t>
      </w:r>
      <w:r w:rsidRPr="002B6140">
        <w:rPr>
          <w:lang w:val="en-US"/>
        </w:rPr>
        <w:t>mg</w:t>
      </w:r>
      <w:r w:rsidRPr="002B6140">
        <w:t xml:space="preserve"> </w:t>
      </w:r>
      <w:r w:rsidRPr="002B6140">
        <w:rPr>
          <w:lang w:eastAsia="bg-BG"/>
        </w:rPr>
        <w:t xml:space="preserve">еналаприлов малеат </w:t>
      </w:r>
      <w:r w:rsidRPr="002B6140">
        <w:t>(</w:t>
      </w:r>
      <w:proofErr w:type="spellStart"/>
      <w:r w:rsidRPr="002B6140">
        <w:rPr>
          <w:lang w:val="en-US"/>
        </w:rPr>
        <w:t>enalapril</w:t>
      </w:r>
      <w:proofErr w:type="spellEnd"/>
      <w:r w:rsidRPr="002B6140">
        <w:t xml:space="preserve"> </w:t>
      </w:r>
      <w:r w:rsidRPr="002B6140">
        <w:rPr>
          <w:lang w:val="en-US"/>
        </w:rPr>
        <w:t>maleate</w:t>
      </w:r>
      <w:r w:rsidRPr="002B6140">
        <w:t>).</w:t>
      </w:r>
    </w:p>
    <w:p w14:paraId="6AEBFB84" w14:textId="77777777" w:rsidR="002B6140" w:rsidRDefault="002B6140" w:rsidP="002B6140">
      <w:pPr>
        <w:rPr>
          <w:lang w:eastAsia="bg-BG"/>
        </w:rPr>
      </w:pPr>
    </w:p>
    <w:p w14:paraId="07C444BC" w14:textId="75E846AB" w:rsidR="002B6140" w:rsidRPr="002B6140" w:rsidRDefault="002B6140" w:rsidP="002B6140">
      <w:r w:rsidRPr="002B6140">
        <w:rPr>
          <w:lang w:eastAsia="bg-BG"/>
        </w:rPr>
        <w:t>Помощно вещество с известно действие: съдържа лактоза монохидрат.</w:t>
      </w:r>
    </w:p>
    <w:p w14:paraId="614984C4" w14:textId="7A1CD848" w:rsidR="008A6AF2" w:rsidRDefault="00DD466D" w:rsidP="002C50EE">
      <w:pPr>
        <w:pStyle w:val="Heading1"/>
      </w:pPr>
      <w:r>
        <w:t>3. ЛЕКАРСТВЕНА ФОРМА</w:t>
      </w:r>
    </w:p>
    <w:p w14:paraId="3FA24090" w14:textId="4E939846" w:rsidR="002B6140" w:rsidRDefault="002B6140" w:rsidP="002B6140"/>
    <w:p w14:paraId="77FD376B" w14:textId="77777777" w:rsidR="002B6140" w:rsidRPr="002B6140" w:rsidRDefault="002B6140" w:rsidP="002B6140">
      <w:pPr>
        <w:rPr>
          <w:sz w:val="24"/>
          <w:szCs w:val="24"/>
        </w:rPr>
      </w:pPr>
      <w:r w:rsidRPr="002B6140">
        <w:rPr>
          <w:lang w:eastAsia="bg-BG"/>
        </w:rPr>
        <w:t>Таблетка</w:t>
      </w:r>
    </w:p>
    <w:p w14:paraId="07E275C4" w14:textId="77777777" w:rsidR="002B6140" w:rsidRPr="002B6140" w:rsidRDefault="002B6140" w:rsidP="002B6140">
      <w:pPr>
        <w:rPr>
          <w:lang w:eastAsia="bg-BG"/>
        </w:rPr>
      </w:pPr>
    </w:p>
    <w:p w14:paraId="0F45859B" w14:textId="75B04F63" w:rsidR="002B6140" w:rsidRPr="002B6140" w:rsidRDefault="002B6140" w:rsidP="002B6140">
      <w:r w:rsidRPr="002B6140">
        <w:rPr>
          <w:lang w:eastAsia="bg-BG"/>
        </w:rPr>
        <w:t>Кръгли, бели до почти бели плоски таблетки, с фасета и делителна черта от едната страна.</w:t>
      </w:r>
    </w:p>
    <w:p w14:paraId="490FC2C4" w14:textId="0F4A4A75" w:rsidR="002C50EE" w:rsidRDefault="002C50EE" w:rsidP="002C50EE">
      <w:pPr>
        <w:pStyle w:val="Heading1"/>
      </w:pPr>
      <w:r>
        <w:t>4. КЛИНИЧНИ ДАННИ</w:t>
      </w:r>
    </w:p>
    <w:p w14:paraId="74330405" w14:textId="15CC89CB" w:rsidR="007122AD" w:rsidRDefault="002C50EE" w:rsidP="00936AD0">
      <w:pPr>
        <w:pStyle w:val="Heading2"/>
      </w:pPr>
      <w:r>
        <w:t>4.1. Терапевтични показания</w:t>
      </w:r>
    </w:p>
    <w:p w14:paraId="62CEDCF4" w14:textId="34FF5CED" w:rsidR="002B6140" w:rsidRDefault="002B6140" w:rsidP="002B6140"/>
    <w:p w14:paraId="05377B2A" w14:textId="2129EC04" w:rsidR="002B6140" w:rsidRDefault="002B6140" w:rsidP="002B6140">
      <w:pPr>
        <w:spacing w:line="240" w:lineRule="auto"/>
        <w:rPr>
          <w:rFonts w:eastAsia="Times New Roman" w:cs="Arial"/>
          <w:color w:val="000000"/>
          <w:lang w:eastAsia="bg-BG"/>
        </w:rPr>
      </w:pPr>
      <w:r w:rsidRPr="002B6140">
        <w:rPr>
          <w:rFonts w:eastAsia="Times New Roman" w:cs="Arial"/>
          <w:color w:val="000000"/>
          <w:lang w:eastAsia="bg-BG"/>
        </w:rPr>
        <w:t>Енприл е показан за лечение на:</w:t>
      </w:r>
    </w:p>
    <w:p w14:paraId="60502C85" w14:textId="77777777" w:rsidR="002B6140" w:rsidRPr="002B6140" w:rsidRDefault="002B6140" w:rsidP="002B6140">
      <w:pPr>
        <w:spacing w:line="240" w:lineRule="auto"/>
        <w:rPr>
          <w:rFonts w:eastAsia="Times New Roman" w:cs="Arial"/>
        </w:rPr>
      </w:pPr>
    </w:p>
    <w:p w14:paraId="3C7CA066" w14:textId="07F64B75" w:rsidR="002B6140" w:rsidRPr="002B6140" w:rsidRDefault="002B6140" w:rsidP="002B6140">
      <w:pPr>
        <w:pStyle w:val="ListParagraph"/>
        <w:numPr>
          <w:ilvl w:val="0"/>
          <w:numId w:val="38"/>
        </w:numPr>
        <w:spacing w:line="240" w:lineRule="auto"/>
        <w:rPr>
          <w:rFonts w:eastAsia="Times New Roman" w:cs="Arial"/>
          <w:color w:val="000000"/>
          <w:lang w:eastAsia="bg-BG"/>
        </w:rPr>
      </w:pPr>
      <w:r w:rsidRPr="002B6140">
        <w:rPr>
          <w:rFonts w:eastAsia="Times New Roman" w:cs="Arial"/>
          <w:color w:val="000000"/>
          <w:lang w:eastAsia="bg-BG"/>
        </w:rPr>
        <w:t>Всички степени на есенциална хипертония.</w:t>
      </w:r>
    </w:p>
    <w:p w14:paraId="14222DFE" w14:textId="617A2890" w:rsidR="002B6140" w:rsidRPr="002B6140" w:rsidRDefault="002B6140" w:rsidP="002B6140">
      <w:pPr>
        <w:pStyle w:val="ListParagraph"/>
        <w:numPr>
          <w:ilvl w:val="0"/>
          <w:numId w:val="39"/>
        </w:numPr>
        <w:spacing w:line="240" w:lineRule="auto"/>
        <w:rPr>
          <w:rFonts w:eastAsia="Times New Roman" w:cs="Arial"/>
        </w:rPr>
      </w:pPr>
      <w:r w:rsidRPr="002B6140">
        <w:rPr>
          <w:rFonts w:eastAsia="Times New Roman" w:cs="Arial"/>
          <w:color w:val="000000"/>
          <w:lang w:eastAsia="bg-BG"/>
        </w:rPr>
        <w:t>При използване за лечение на деца, вж. точки 4.2 Дозировка и начин на употреба и 4.4 Специални противопоказания и специални предупреждения за употреба.</w:t>
      </w:r>
    </w:p>
    <w:p w14:paraId="7E4B20F1" w14:textId="58E46306" w:rsidR="002B6140" w:rsidRPr="002B6140" w:rsidRDefault="002B6140" w:rsidP="002B6140">
      <w:pPr>
        <w:pStyle w:val="ListParagraph"/>
        <w:numPr>
          <w:ilvl w:val="0"/>
          <w:numId w:val="38"/>
        </w:numPr>
        <w:spacing w:line="240" w:lineRule="auto"/>
        <w:rPr>
          <w:rFonts w:eastAsia="Times New Roman" w:cs="Arial"/>
          <w:color w:val="000000"/>
          <w:lang w:eastAsia="bg-BG"/>
        </w:rPr>
      </w:pPr>
      <w:r w:rsidRPr="002B6140">
        <w:rPr>
          <w:rFonts w:eastAsia="Times New Roman" w:cs="Arial"/>
          <w:color w:val="000000"/>
          <w:lang w:eastAsia="bg-BG"/>
        </w:rPr>
        <w:t>Всички степени на сърдечна недостатъчност.</w:t>
      </w:r>
    </w:p>
    <w:p w14:paraId="233BBC2F" w14:textId="05BBF7CA" w:rsidR="002B6140" w:rsidRPr="002B6140" w:rsidRDefault="002B6140" w:rsidP="002B6140">
      <w:pPr>
        <w:pStyle w:val="ListParagraph"/>
        <w:numPr>
          <w:ilvl w:val="0"/>
          <w:numId w:val="39"/>
        </w:numPr>
        <w:spacing w:line="240" w:lineRule="auto"/>
        <w:rPr>
          <w:rFonts w:eastAsia="Times New Roman" w:cs="Arial"/>
        </w:rPr>
      </w:pPr>
      <w:r w:rsidRPr="002B6140">
        <w:rPr>
          <w:rFonts w:eastAsia="Times New Roman" w:cs="Arial"/>
          <w:color w:val="000000"/>
          <w:lang w:eastAsia="bg-BG"/>
        </w:rPr>
        <w:t>При пациенти със симптоматична сърдечна надостатьчност Енприл е показан също за подобряване на преживяемостта; забавяне прогресията на сърдечната недостатъчност; намаляване броя на хоспитализациите по повод на сърдечна недостатъчност.</w:t>
      </w:r>
    </w:p>
    <w:p w14:paraId="45AF09A7" w14:textId="77777777" w:rsidR="002B6140" w:rsidRPr="002B6140" w:rsidRDefault="002B6140" w:rsidP="002B6140">
      <w:pPr>
        <w:numPr>
          <w:ilvl w:val="0"/>
          <w:numId w:val="38"/>
        </w:numPr>
        <w:spacing w:line="240" w:lineRule="auto"/>
        <w:rPr>
          <w:rFonts w:eastAsia="Times New Roman" w:cs="Arial"/>
          <w:color w:val="000000"/>
          <w:lang w:eastAsia="bg-BG"/>
        </w:rPr>
      </w:pPr>
      <w:r w:rsidRPr="002B6140">
        <w:rPr>
          <w:rFonts w:eastAsia="Times New Roman" w:cs="Arial"/>
          <w:color w:val="000000"/>
          <w:lang w:eastAsia="bg-BG"/>
        </w:rPr>
        <w:t>Някои типове реноваскуларна хипертония *.</w:t>
      </w:r>
    </w:p>
    <w:p w14:paraId="7530E9FA" w14:textId="77777777" w:rsidR="002B6140" w:rsidRDefault="002B6140" w:rsidP="002B6140">
      <w:pPr>
        <w:spacing w:line="240" w:lineRule="auto"/>
        <w:rPr>
          <w:rFonts w:eastAsia="Times New Roman" w:cs="Arial"/>
          <w:color w:val="000000"/>
          <w:lang w:eastAsia="bg-BG"/>
        </w:rPr>
      </w:pPr>
    </w:p>
    <w:p w14:paraId="67121672" w14:textId="279AB57B" w:rsidR="002B6140" w:rsidRPr="002B6140" w:rsidRDefault="002B6140" w:rsidP="002B6140">
      <w:pPr>
        <w:spacing w:line="240" w:lineRule="auto"/>
        <w:rPr>
          <w:rFonts w:eastAsia="Times New Roman" w:cs="Arial"/>
        </w:rPr>
      </w:pPr>
      <w:r w:rsidRPr="002B6140">
        <w:rPr>
          <w:rFonts w:eastAsia="Times New Roman" w:cs="Arial"/>
          <w:color w:val="000000"/>
          <w:lang w:eastAsia="bg-BG"/>
        </w:rPr>
        <w:t>Енприл е показан за</w:t>
      </w:r>
    </w:p>
    <w:p w14:paraId="7E0CF6F0" w14:textId="77777777" w:rsidR="002B6140" w:rsidRDefault="002B6140" w:rsidP="002B6140">
      <w:pPr>
        <w:numPr>
          <w:ilvl w:val="0"/>
          <w:numId w:val="38"/>
        </w:numPr>
        <w:spacing w:line="240" w:lineRule="auto"/>
        <w:rPr>
          <w:rFonts w:eastAsia="Times New Roman" w:cs="Arial"/>
          <w:color w:val="000000"/>
          <w:lang w:eastAsia="bg-BG"/>
        </w:rPr>
      </w:pPr>
      <w:r w:rsidRPr="002B6140">
        <w:rPr>
          <w:rFonts w:eastAsia="Times New Roman" w:cs="Arial"/>
          <w:color w:val="000000"/>
          <w:lang w:eastAsia="bg-BG"/>
        </w:rPr>
        <w:t>Профилактика при пациенти със сърдечна недостатъчност **</w:t>
      </w:r>
    </w:p>
    <w:p w14:paraId="42F97264" w14:textId="77777777" w:rsidR="002B6140" w:rsidRDefault="002B6140" w:rsidP="002B6140">
      <w:pPr>
        <w:pStyle w:val="ListParagraph"/>
        <w:numPr>
          <w:ilvl w:val="0"/>
          <w:numId w:val="39"/>
        </w:numPr>
        <w:spacing w:line="240" w:lineRule="auto"/>
        <w:rPr>
          <w:rFonts w:eastAsia="Times New Roman" w:cs="Arial"/>
          <w:color w:val="000000"/>
          <w:lang w:eastAsia="bg-BG"/>
        </w:rPr>
      </w:pPr>
      <w:r w:rsidRPr="002B6140">
        <w:rPr>
          <w:rFonts w:eastAsia="Times New Roman" w:cs="Arial"/>
          <w:color w:val="000000"/>
          <w:lang w:eastAsia="bg-BG"/>
        </w:rPr>
        <w:t>При асимптомни пациенти с дисфункция на лявата камера за забавяне</w:t>
      </w:r>
      <w:r w:rsidRPr="002B6140">
        <w:rPr>
          <w:rFonts w:eastAsia="Times New Roman" w:cs="Arial"/>
          <w:color w:val="000000"/>
          <w:lang w:val="ru-RU" w:eastAsia="bg-BG"/>
        </w:rPr>
        <w:t xml:space="preserve"> </w:t>
      </w:r>
      <w:r w:rsidRPr="002B6140">
        <w:rPr>
          <w:rFonts w:eastAsia="Times New Roman" w:cs="Arial"/>
          <w:color w:val="000000"/>
          <w:lang w:eastAsia="bg-BG"/>
        </w:rPr>
        <w:t>развитието на изявена сърдечна недостатъчност; намаляване броя на хоспитализациите по повод на сърдечна недостатъчност.</w:t>
      </w:r>
    </w:p>
    <w:p w14:paraId="44C59E50" w14:textId="56D110A6" w:rsidR="002B6140" w:rsidRPr="002B6140" w:rsidRDefault="002B6140" w:rsidP="002B6140">
      <w:pPr>
        <w:pStyle w:val="ListParagraph"/>
        <w:numPr>
          <w:ilvl w:val="0"/>
          <w:numId w:val="39"/>
        </w:numPr>
        <w:spacing w:line="240" w:lineRule="auto"/>
        <w:rPr>
          <w:rFonts w:eastAsia="Times New Roman" w:cs="Arial"/>
          <w:color w:val="000000"/>
          <w:lang w:eastAsia="bg-BG"/>
        </w:rPr>
      </w:pPr>
      <w:r w:rsidRPr="002B6140">
        <w:rPr>
          <w:rFonts w:eastAsia="Times New Roman" w:cs="Arial"/>
          <w:color w:val="000000"/>
          <w:lang w:eastAsia="bg-BG"/>
        </w:rPr>
        <w:t>При пациенти с левокамерна дисфункция (фракция на изтласкване на лява</w:t>
      </w:r>
      <w:r w:rsidRPr="002B6140">
        <w:rPr>
          <w:rFonts w:eastAsia="Times New Roman" w:cs="Arial"/>
          <w:color w:val="000000"/>
          <w:lang w:val="ru-RU" w:eastAsia="bg-BG"/>
        </w:rPr>
        <w:t xml:space="preserve"> </w:t>
      </w:r>
      <w:r w:rsidRPr="002B6140">
        <w:rPr>
          <w:rFonts w:eastAsia="Times New Roman" w:cs="Arial"/>
          <w:color w:val="000000"/>
          <w:lang w:eastAsia="bg-BG"/>
        </w:rPr>
        <w:t>камера равна на или под 35%) за намаляване честотата на миокардите инфаркти и хоспитализациите по повод на нестабилна стенокардия, придружаващи появата на симптоматична сърдечна недостатъчност.</w:t>
      </w:r>
    </w:p>
    <w:p w14:paraId="6C5732A3" w14:textId="2D788221" w:rsidR="002B6140" w:rsidRPr="002B6140" w:rsidRDefault="002B6140" w:rsidP="002B6140">
      <w:pPr>
        <w:spacing w:line="240" w:lineRule="auto"/>
        <w:rPr>
          <w:rFonts w:eastAsia="Times New Roman" w:cs="Arial"/>
          <w:color w:val="000000"/>
          <w:lang w:eastAsia="bg-BG"/>
        </w:rPr>
      </w:pPr>
      <w:r w:rsidRPr="002B6140">
        <w:rPr>
          <w:rFonts w:eastAsia="Times New Roman" w:cs="Arial"/>
          <w:color w:val="000000"/>
          <w:lang w:val="ru-RU" w:eastAsia="bg-BG"/>
        </w:rPr>
        <w:lastRenderedPageBreak/>
        <w:t>*</w:t>
      </w:r>
      <w:r w:rsidRPr="002B6140">
        <w:rPr>
          <w:rFonts w:eastAsia="Times New Roman" w:cs="Arial"/>
          <w:color w:val="000000"/>
          <w:lang w:eastAsia="bg-BG"/>
        </w:rPr>
        <w:t>виж точка 4.4 Специални противопоказания и специални предупреждения при употреба. Приложение при пациенти с двустранна стеноза на бъбречните артерии или стеноза на артерията на единствен бъбрек.</w:t>
      </w:r>
    </w:p>
    <w:p w14:paraId="439CB33C" w14:textId="49380C6D" w:rsidR="002B6140" w:rsidRDefault="002B6140" w:rsidP="002B6140">
      <w:pPr>
        <w:rPr>
          <w:rFonts w:eastAsia="Times New Roman" w:cs="Arial"/>
          <w:color w:val="000000"/>
          <w:lang w:val="en-US"/>
        </w:rPr>
      </w:pPr>
      <w:r>
        <w:rPr>
          <w:rFonts w:eastAsia="Times New Roman" w:cs="Arial"/>
          <w:color w:val="000000"/>
          <w:lang w:eastAsia="bg-BG"/>
        </w:rPr>
        <w:t>*</w:t>
      </w:r>
      <w:r>
        <w:rPr>
          <w:rFonts w:eastAsia="Times New Roman" w:cs="Arial"/>
          <w:color w:val="000000"/>
          <w:lang w:val="en-US" w:eastAsia="bg-BG"/>
        </w:rPr>
        <w:t>*</w:t>
      </w:r>
      <w:r w:rsidRPr="002B6140">
        <w:rPr>
          <w:rFonts w:eastAsia="Times New Roman" w:cs="Arial"/>
          <w:color w:val="000000"/>
          <w:lang w:eastAsia="bg-BG"/>
        </w:rPr>
        <w:t xml:space="preserve">виж точка 5.1. Фармакодинамични свойства. Резултати от проучването </w:t>
      </w:r>
      <w:r w:rsidRPr="002B6140">
        <w:rPr>
          <w:rFonts w:eastAsia="Times New Roman" w:cs="Arial"/>
          <w:color w:val="000000"/>
          <w:lang w:val="en-US"/>
        </w:rPr>
        <w:t>SOLVD</w:t>
      </w:r>
    </w:p>
    <w:p w14:paraId="5BEBD4EB" w14:textId="0154179D" w:rsidR="002B6140" w:rsidRPr="002B6140" w:rsidRDefault="002B6140" w:rsidP="002B6140">
      <w:pPr>
        <w:rPr>
          <w:rFonts w:cs="Arial"/>
        </w:rPr>
      </w:pPr>
    </w:p>
    <w:p w14:paraId="53F5B866" w14:textId="121A8627" w:rsidR="007122AD" w:rsidRDefault="002C50EE" w:rsidP="00936AD0">
      <w:pPr>
        <w:pStyle w:val="Heading2"/>
      </w:pPr>
      <w:r>
        <w:t>4.2. Дозировка и начин на приложение</w:t>
      </w:r>
    </w:p>
    <w:p w14:paraId="1E994EC7" w14:textId="7185B722" w:rsidR="002B6140" w:rsidRDefault="002B6140" w:rsidP="002B6140"/>
    <w:p w14:paraId="78959358" w14:textId="77777777" w:rsidR="002B6140" w:rsidRPr="002B6140" w:rsidRDefault="002B6140" w:rsidP="002B6140">
      <w:pPr>
        <w:pStyle w:val="Heading3"/>
        <w:rPr>
          <w:rFonts w:eastAsia="Times New Roman"/>
          <w:u w:val="single"/>
        </w:rPr>
      </w:pPr>
      <w:r w:rsidRPr="002B6140">
        <w:rPr>
          <w:rFonts w:eastAsia="Times New Roman"/>
          <w:u w:val="single"/>
          <w:lang w:eastAsia="bg-BG"/>
        </w:rPr>
        <w:t>Дозировка</w:t>
      </w:r>
    </w:p>
    <w:p w14:paraId="1D428929"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Тъй като абсорбцията на таблетките Енприл не се повлиява от приемането на храна, те могат да се назначават преди, по време или след хранене.</w:t>
      </w:r>
    </w:p>
    <w:p w14:paraId="4FF3848B" w14:textId="77777777" w:rsidR="002B6140" w:rsidRDefault="002B6140" w:rsidP="002B6140">
      <w:pPr>
        <w:spacing w:line="240" w:lineRule="auto"/>
        <w:rPr>
          <w:rFonts w:eastAsia="Times New Roman" w:cs="Arial"/>
          <w:color w:val="000000"/>
          <w:lang w:eastAsia="bg-BG"/>
        </w:rPr>
      </w:pPr>
    </w:p>
    <w:p w14:paraId="1C94BCD8" w14:textId="74C8A1C9" w:rsidR="002B6140" w:rsidRPr="002B6140" w:rsidRDefault="002B6140" w:rsidP="002B6140">
      <w:pPr>
        <w:spacing w:line="240" w:lineRule="auto"/>
        <w:rPr>
          <w:rFonts w:eastAsia="Times New Roman" w:cs="Arial"/>
        </w:rPr>
      </w:pPr>
      <w:r w:rsidRPr="002B6140">
        <w:rPr>
          <w:rFonts w:eastAsia="Times New Roman" w:cs="Arial"/>
          <w:color w:val="000000"/>
          <w:lang w:eastAsia="bg-BG"/>
        </w:rPr>
        <w:t>Дозата трябва да бъде определена индивидуално в зависимост от профила на пациента (вж. точка 4.4) и отговора на кръвното налягане.</w:t>
      </w:r>
    </w:p>
    <w:p w14:paraId="6FD26063" w14:textId="77777777" w:rsidR="002B6140" w:rsidRDefault="002B6140" w:rsidP="002B6140">
      <w:pPr>
        <w:spacing w:line="240" w:lineRule="auto"/>
        <w:rPr>
          <w:rFonts w:eastAsia="Times New Roman" w:cs="Arial"/>
          <w:i/>
          <w:iCs/>
          <w:color w:val="000000"/>
          <w:lang w:eastAsia="bg-BG"/>
        </w:rPr>
      </w:pPr>
    </w:p>
    <w:p w14:paraId="111D60DF" w14:textId="751633E9" w:rsidR="002B6140" w:rsidRPr="002B6140" w:rsidRDefault="002B6140" w:rsidP="002B6140">
      <w:pPr>
        <w:spacing w:line="240" w:lineRule="auto"/>
        <w:rPr>
          <w:rFonts w:eastAsia="Times New Roman" w:cs="Arial"/>
        </w:rPr>
      </w:pPr>
      <w:r w:rsidRPr="002B6140">
        <w:rPr>
          <w:rFonts w:eastAsia="Times New Roman" w:cs="Arial"/>
          <w:i/>
          <w:iCs/>
          <w:color w:val="000000"/>
          <w:lang w:eastAsia="bg-BG"/>
        </w:rPr>
        <w:t>Педиатрична популация</w:t>
      </w:r>
    </w:p>
    <w:p w14:paraId="2F19F98B"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Опитът от клинични изпитвания с употреба на Енприл при педиатрични пациенти с хипертония е ограничен (вж. точки 4.4, 5.1 и 5.2).</w:t>
      </w:r>
    </w:p>
    <w:p w14:paraId="030F750E" w14:textId="77777777" w:rsidR="002B6140" w:rsidRDefault="002B6140" w:rsidP="002B6140">
      <w:pPr>
        <w:spacing w:line="240" w:lineRule="auto"/>
        <w:rPr>
          <w:rFonts w:eastAsia="Times New Roman" w:cs="Arial"/>
          <w:b/>
          <w:bCs/>
          <w:color w:val="000000"/>
          <w:lang w:eastAsia="bg-BG"/>
        </w:rPr>
      </w:pPr>
      <w:bookmarkStart w:id="1" w:name="bookmark0"/>
    </w:p>
    <w:p w14:paraId="12871B9F" w14:textId="4C30B152" w:rsidR="002B6140" w:rsidRPr="002B6140" w:rsidRDefault="002B6140" w:rsidP="002B6140">
      <w:pPr>
        <w:spacing w:line="240" w:lineRule="auto"/>
        <w:rPr>
          <w:rFonts w:eastAsia="Times New Roman" w:cs="Arial"/>
        </w:rPr>
      </w:pPr>
      <w:r w:rsidRPr="002B6140">
        <w:rPr>
          <w:rFonts w:eastAsia="Times New Roman" w:cs="Arial"/>
          <w:b/>
          <w:bCs/>
          <w:color w:val="000000"/>
          <w:lang w:eastAsia="bg-BG"/>
        </w:rPr>
        <w:t>Хипертония</w:t>
      </w:r>
      <w:bookmarkEnd w:id="1"/>
    </w:p>
    <w:p w14:paraId="643B593C"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Началната доза е от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до максимално 20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в зависимост от степента на хипертонията и състоянието на пациента. Енприл се приема един път дневно. При лека степен на хипертония препоръчваната начална доза е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до 10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дневно. След началната доза при пациенти със силно активирана ренин-ангиотензин-алдостеронова система (напр. реноваскуларна хипертония, недостиг на соли и/или воден дефицит, сърдечна декомпенсация или тежка хипертония) може да настъпи прекомерно понижаване на кръвното налягане. При такива пациенти препоръчителната първоначална доза е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или по-ниска и лечението трябва да започне под лекарско наблюдение.</w:t>
      </w:r>
    </w:p>
    <w:p w14:paraId="3A743FD6" w14:textId="77777777" w:rsidR="002B6140" w:rsidRDefault="002B6140" w:rsidP="002B6140">
      <w:pPr>
        <w:spacing w:line="240" w:lineRule="auto"/>
        <w:rPr>
          <w:rFonts w:eastAsia="Times New Roman" w:cs="Arial"/>
          <w:color w:val="000000"/>
          <w:lang w:eastAsia="bg-BG"/>
        </w:rPr>
      </w:pPr>
    </w:p>
    <w:p w14:paraId="5D63F633" w14:textId="77777777" w:rsidR="002B6140" w:rsidRDefault="002B6140" w:rsidP="002B6140">
      <w:pPr>
        <w:spacing w:line="240" w:lineRule="auto"/>
        <w:rPr>
          <w:rFonts w:eastAsia="Times New Roman" w:cs="Arial"/>
          <w:color w:val="000000"/>
          <w:lang w:eastAsia="bg-BG"/>
        </w:rPr>
      </w:pPr>
      <w:r w:rsidRPr="002B6140">
        <w:rPr>
          <w:rFonts w:eastAsia="Times New Roman" w:cs="Arial"/>
          <w:color w:val="000000"/>
          <w:lang w:eastAsia="bg-BG"/>
        </w:rPr>
        <w:t xml:space="preserve">Предшестващо лечение с високи дози диуретици може да доведе до вроден дефицит и риск от хипотония при започване на лечение с еналаприл. Начална доза от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или по-ниска е препоръчителна при такива пациенти. Ако е възможно, диуретичната терапия трябва да бъде преустановена за 2-3 дни преди започване на лечението с Енприл. </w:t>
      </w:r>
    </w:p>
    <w:p w14:paraId="53DB2EA8" w14:textId="2BD9507D" w:rsidR="002B6140" w:rsidRPr="002B6140" w:rsidRDefault="002B6140" w:rsidP="002B6140">
      <w:pPr>
        <w:spacing w:line="240" w:lineRule="auto"/>
        <w:rPr>
          <w:rFonts w:eastAsia="Times New Roman" w:cs="Arial"/>
        </w:rPr>
      </w:pPr>
      <w:r w:rsidRPr="002B6140">
        <w:rPr>
          <w:rFonts w:eastAsia="Times New Roman" w:cs="Arial"/>
          <w:color w:val="000000"/>
          <w:lang w:eastAsia="bg-BG"/>
        </w:rPr>
        <w:t>Бъбречната функция и серумният калий трябва да бъдат мониторирани.</w:t>
      </w:r>
    </w:p>
    <w:p w14:paraId="317A6FA6" w14:textId="77777777" w:rsidR="002B6140" w:rsidRDefault="002B6140" w:rsidP="002B6140">
      <w:pPr>
        <w:spacing w:line="240" w:lineRule="auto"/>
        <w:rPr>
          <w:rFonts w:eastAsia="Times New Roman" w:cs="Arial"/>
          <w:color w:val="000000"/>
          <w:lang w:eastAsia="bg-BG"/>
        </w:rPr>
      </w:pPr>
    </w:p>
    <w:p w14:paraId="13081778" w14:textId="4AF198A9" w:rsidR="002B6140" w:rsidRDefault="002B6140" w:rsidP="002B6140">
      <w:pPr>
        <w:spacing w:line="240" w:lineRule="auto"/>
        <w:rPr>
          <w:rFonts w:eastAsia="Times New Roman" w:cs="Arial"/>
          <w:color w:val="000000"/>
          <w:lang w:val="ru-RU"/>
        </w:rPr>
      </w:pPr>
      <w:r w:rsidRPr="002B6140">
        <w:rPr>
          <w:rFonts w:eastAsia="Times New Roman" w:cs="Arial"/>
          <w:color w:val="000000"/>
          <w:lang w:eastAsia="bg-BG"/>
        </w:rPr>
        <w:t xml:space="preserve">Обичайната поддържаща доза е 20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дневно. Максималната поддържаща доза е 40 </w:t>
      </w:r>
      <w:r w:rsidRPr="002B6140">
        <w:rPr>
          <w:rFonts w:eastAsia="Times New Roman" w:cs="Arial"/>
          <w:color w:val="000000"/>
          <w:lang w:val="en-US"/>
        </w:rPr>
        <w:t>mg</w:t>
      </w:r>
      <w:r w:rsidRPr="002B6140">
        <w:rPr>
          <w:rFonts w:eastAsia="Times New Roman" w:cs="Arial"/>
          <w:color w:val="000000"/>
          <w:lang w:val="ru-RU"/>
        </w:rPr>
        <w:t xml:space="preserve"> </w:t>
      </w:r>
    </w:p>
    <w:p w14:paraId="1A99D766" w14:textId="4DECDDDC" w:rsidR="002B6140" w:rsidRPr="002B6140" w:rsidRDefault="002B6140" w:rsidP="002B6140">
      <w:pPr>
        <w:spacing w:line="240" w:lineRule="auto"/>
        <w:rPr>
          <w:rFonts w:eastAsia="Times New Roman" w:cs="Arial"/>
        </w:rPr>
      </w:pPr>
      <w:r w:rsidRPr="002B6140">
        <w:rPr>
          <w:rFonts w:eastAsia="Times New Roman" w:cs="Arial"/>
          <w:color w:val="000000"/>
          <w:lang w:eastAsia="bg-BG"/>
        </w:rPr>
        <w:t>дневно.</w:t>
      </w:r>
    </w:p>
    <w:p w14:paraId="155653CB" w14:textId="77777777" w:rsidR="002B6140" w:rsidRDefault="002B6140" w:rsidP="002B6140">
      <w:pPr>
        <w:spacing w:line="240" w:lineRule="auto"/>
        <w:rPr>
          <w:rFonts w:eastAsia="Times New Roman" w:cs="Arial"/>
          <w:b/>
          <w:bCs/>
          <w:color w:val="000000"/>
          <w:lang w:eastAsia="bg-BG"/>
        </w:rPr>
      </w:pPr>
      <w:bookmarkStart w:id="2" w:name="bookmark2"/>
    </w:p>
    <w:p w14:paraId="1AE91AE8" w14:textId="38790234" w:rsidR="002B6140" w:rsidRPr="002B6140" w:rsidRDefault="002B6140" w:rsidP="002B6140">
      <w:pPr>
        <w:spacing w:line="240" w:lineRule="auto"/>
        <w:rPr>
          <w:rFonts w:eastAsia="Times New Roman" w:cs="Arial"/>
        </w:rPr>
      </w:pPr>
      <w:r w:rsidRPr="002B6140">
        <w:rPr>
          <w:rFonts w:eastAsia="Times New Roman" w:cs="Arial"/>
          <w:b/>
          <w:bCs/>
          <w:color w:val="000000"/>
          <w:lang w:eastAsia="bg-BG"/>
        </w:rPr>
        <w:t>Рено-васкуларна хипертония</w:t>
      </w:r>
      <w:bookmarkEnd w:id="2"/>
    </w:p>
    <w:p w14:paraId="7BB9E841"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Тъй като реналната функция и артериалното налягане при такива пациенти могат да бъдат чувствителни към АСЕ инхибиране терапията с Енприл би трябвало да започне с по-ниски дози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дневно или по-малко). След това дозата трябва да се адаптира в зависимост от индивидуалните нужди на пациента. Повечето пациенти се повлияват от една таблетка 20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веднъж дневно. При пациенти с хипертония, на които непосредствено преди това са били прилагани диуретици, е необходимо да се подходи с повишено внимание (вж. следващия параграф).</w:t>
      </w:r>
    </w:p>
    <w:p w14:paraId="1FAAD3CA" w14:textId="77777777" w:rsidR="002B6140" w:rsidRDefault="002B6140" w:rsidP="002B6140">
      <w:pPr>
        <w:spacing w:line="240" w:lineRule="auto"/>
        <w:rPr>
          <w:rFonts w:eastAsia="Times New Roman" w:cs="Arial"/>
          <w:b/>
          <w:bCs/>
          <w:color w:val="000000"/>
          <w:lang w:eastAsia="bg-BG"/>
        </w:rPr>
      </w:pPr>
      <w:bookmarkStart w:id="3" w:name="bookmark4"/>
    </w:p>
    <w:p w14:paraId="26100BBD" w14:textId="411A0E7E" w:rsidR="002B6140" w:rsidRPr="002B6140" w:rsidRDefault="002B6140" w:rsidP="002B6140">
      <w:pPr>
        <w:spacing w:line="240" w:lineRule="auto"/>
        <w:rPr>
          <w:rFonts w:eastAsia="Times New Roman" w:cs="Arial"/>
        </w:rPr>
      </w:pPr>
      <w:r w:rsidRPr="002B6140">
        <w:rPr>
          <w:rFonts w:eastAsia="Times New Roman" w:cs="Arial"/>
          <w:b/>
          <w:bCs/>
          <w:color w:val="000000"/>
          <w:lang w:eastAsia="bg-BG"/>
        </w:rPr>
        <w:t>Съпътстваща диуретична терапия при хипертония</w:t>
      </w:r>
      <w:bookmarkEnd w:id="3"/>
    </w:p>
    <w:p w14:paraId="509F0A88"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След приемането на първата доза може да се появи симптоматична хипотония, по-вероятно при пациенти, които се лекуват понастоящем с диуретици. Препоръчва се особено внимание към тези пациенти, поради вероятност от нарушен водно-солеви </w:t>
      </w:r>
      <w:r w:rsidRPr="002B6140">
        <w:rPr>
          <w:rFonts w:eastAsia="Times New Roman" w:cs="Arial"/>
          <w:color w:val="000000"/>
          <w:lang w:eastAsia="bg-BG"/>
        </w:rPr>
        <w:lastRenderedPageBreak/>
        <w:t xml:space="preserve">баланс. Приемът на диуретик трябва да бъде преустановен 2-3 дни преди началото на терапията с Енприл. Ако това не е възможно, се прилага доза, по-ниска от началната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дневно или по-малко) до определяне на началния ефект върху кръвното налягане. След това дозата трябва да се адаптира в зависимост от индивидуалните нужди на пациента.</w:t>
      </w:r>
    </w:p>
    <w:p w14:paraId="42D108F9" w14:textId="77777777" w:rsidR="002B6140" w:rsidRDefault="002B6140" w:rsidP="002B6140">
      <w:pPr>
        <w:spacing w:line="240" w:lineRule="auto"/>
        <w:rPr>
          <w:rFonts w:eastAsia="Times New Roman" w:cs="Arial"/>
          <w:i/>
          <w:iCs/>
          <w:color w:val="000000"/>
          <w:lang w:eastAsia="bg-BG"/>
        </w:rPr>
      </w:pPr>
    </w:p>
    <w:p w14:paraId="0063D814" w14:textId="778BA1F4" w:rsidR="002B6140" w:rsidRPr="002B6140" w:rsidRDefault="002B6140" w:rsidP="002B6140">
      <w:pPr>
        <w:spacing w:line="240" w:lineRule="auto"/>
        <w:rPr>
          <w:rFonts w:eastAsia="Times New Roman" w:cs="Arial"/>
        </w:rPr>
      </w:pPr>
      <w:r w:rsidRPr="002B6140">
        <w:rPr>
          <w:rFonts w:eastAsia="Times New Roman" w:cs="Arial"/>
          <w:i/>
          <w:iCs/>
          <w:color w:val="000000"/>
          <w:lang w:eastAsia="bg-BG"/>
        </w:rPr>
        <w:t>Дозировка при бъбречна недостатъчност</w:t>
      </w:r>
    </w:p>
    <w:p w14:paraId="31CF8F36" w14:textId="685211B2" w:rsidR="002B6140" w:rsidRDefault="002B6140" w:rsidP="002B6140">
      <w:pPr>
        <w:rPr>
          <w:rFonts w:eastAsia="Times New Roman" w:cs="Arial"/>
          <w:color w:val="000000"/>
          <w:lang w:eastAsia="bg-BG"/>
        </w:rPr>
      </w:pPr>
      <w:r w:rsidRPr="002B6140">
        <w:rPr>
          <w:rFonts w:eastAsia="Times New Roman" w:cs="Arial"/>
          <w:color w:val="000000"/>
          <w:lang w:eastAsia="bg-BG"/>
        </w:rPr>
        <w:t>Най-общо интервалите между отделните приеми трябва да бъдат удължени и/или дозата намалена.</w:t>
      </w:r>
    </w:p>
    <w:p w14:paraId="2F7DC051" w14:textId="0647B76D" w:rsidR="002B6140" w:rsidRDefault="002B6140" w:rsidP="002B6140">
      <w:pPr>
        <w:rPr>
          <w:rFonts w:eastAsia="Times New Roman" w:cs="Arial"/>
          <w:color w:val="000000"/>
          <w:lang w:eastAsia="bg-BG"/>
        </w:rPr>
      </w:pPr>
    </w:p>
    <w:p w14:paraId="08547577" w14:textId="52D2832E" w:rsidR="002B6140" w:rsidRDefault="002B6140" w:rsidP="002B6140">
      <w:pPr>
        <w:jc w:val="center"/>
      </w:pPr>
      <w:r>
        <w:t>Дозировка при бъбречна недостатъчност</w:t>
      </w:r>
    </w:p>
    <w:tbl>
      <w:tblPr>
        <w:tblStyle w:val="TableGrid"/>
        <w:tblW w:w="0" w:type="auto"/>
        <w:tblLook w:val="04A0" w:firstRow="1" w:lastRow="0" w:firstColumn="1" w:lastColumn="0" w:noHBand="0" w:noVBand="1"/>
      </w:tblPr>
      <w:tblGrid>
        <w:gridCol w:w="4669"/>
        <w:gridCol w:w="4681"/>
      </w:tblGrid>
      <w:tr w:rsidR="002B6140" w14:paraId="76C638FC" w14:textId="77777777" w:rsidTr="002B6140">
        <w:tc>
          <w:tcPr>
            <w:tcW w:w="4788" w:type="dxa"/>
          </w:tcPr>
          <w:p w14:paraId="6B3B0880" w14:textId="3D69F49A" w:rsidR="002B6140" w:rsidRDefault="002B6140" w:rsidP="002B6140">
            <w:pPr>
              <w:rPr>
                <w:rFonts w:cs="Arial"/>
              </w:rPr>
            </w:pPr>
            <w:r>
              <w:t xml:space="preserve">клирънс на креатинина </w:t>
            </w:r>
            <w:r w:rsidRPr="002B6140">
              <w:rPr>
                <w:lang w:val="ru-RU"/>
              </w:rPr>
              <w:t>(</w:t>
            </w:r>
            <w:proofErr w:type="spellStart"/>
            <w:r>
              <w:rPr>
                <w:lang w:val="en-US"/>
              </w:rPr>
              <w:t>CrCl</w:t>
            </w:r>
            <w:proofErr w:type="spellEnd"/>
            <w:r w:rsidRPr="002B6140">
              <w:rPr>
                <w:lang w:val="ru-RU"/>
              </w:rPr>
              <w:t xml:space="preserve">) </w:t>
            </w:r>
            <w:r>
              <w:rPr>
                <w:lang w:val="en-US"/>
              </w:rPr>
              <w:t>ml</w:t>
            </w:r>
            <w:r w:rsidRPr="002B6140">
              <w:rPr>
                <w:lang w:val="ru-RU"/>
              </w:rPr>
              <w:t>/</w:t>
            </w:r>
            <w:r>
              <w:rPr>
                <w:lang w:val="en-US"/>
              </w:rPr>
              <w:t>min</w:t>
            </w:r>
          </w:p>
        </w:tc>
        <w:tc>
          <w:tcPr>
            <w:tcW w:w="4788" w:type="dxa"/>
          </w:tcPr>
          <w:p w14:paraId="52C1FAFA" w14:textId="24D98161" w:rsidR="002B6140" w:rsidRDefault="002B6140" w:rsidP="002B6140">
            <w:pPr>
              <w:rPr>
                <w:rFonts w:cs="Arial"/>
              </w:rPr>
            </w:pPr>
            <w:r>
              <w:t xml:space="preserve">начална доза в </w:t>
            </w:r>
            <w:r>
              <w:rPr>
                <w:lang w:val="en-US"/>
              </w:rPr>
              <w:t>mg</w:t>
            </w:r>
            <w:r>
              <w:t>/ден</w:t>
            </w:r>
          </w:p>
        </w:tc>
      </w:tr>
      <w:tr w:rsidR="002B6140" w14:paraId="47404D53" w14:textId="77777777" w:rsidTr="002B6140">
        <w:tc>
          <w:tcPr>
            <w:tcW w:w="4788" w:type="dxa"/>
          </w:tcPr>
          <w:p w14:paraId="2D851887" w14:textId="47451A03" w:rsidR="002B6140" w:rsidRDefault="002B6140" w:rsidP="002B6140">
            <w:pPr>
              <w:rPr>
                <w:rFonts w:cs="Arial"/>
              </w:rPr>
            </w:pPr>
            <w:r>
              <w:t xml:space="preserve">между 30 и 80 </w:t>
            </w:r>
            <w:r>
              <w:rPr>
                <w:lang w:val="en-US"/>
              </w:rPr>
              <w:t>ml/min</w:t>
            </w:r>
          </w:p>
        </w:tc>
        <w:tc>
          <w:tcPr>
            <w:tcW w:w="4788" w:type="dxa"/>
          </w:tcPr>
          <w:p w14:paraId="660ACBFB" w14:textId="4103D2A3" w:rsidR="002B6140" w:rsidRDefault="002B6140" w:rsidP="002B6140">
            <w:pPr>
              <w:rPr>
                <w:rFonts w:cs="Arial"/>
              </w:rPr>
            </w:pPr>
            <w:r>
              <w:t xml:space="preserve">5-10 </w:t>
            </w:r>
            <w:r>
              <w:rPr>
                <w:lang w:val="en-US"/>
              </w:rPr>
              <w:t xml:space="preserve">mg </w:t>
            </w:r>
            <w:r>
              <w:t>на ден</w:t>
            </w:r>
          </w:p>
        </w:tc>
      </w:tr>
      <w:tr w:rsidR="002B6140" w14:paraId="354A68C7" w14:textId="77777777" w:rsidTr="002B6140">
        <w:tc>
          <w:tcPr>
            <w:tcW w:w="4788" w:type="dxa"/>
          </w:tcPr>
          <w:p w14:paraId="08E34DA3" w14:textId="4AB4801F" w:rsidR="002B6140" w:rsidRDefault="002B6140" w:rsidP="002B6140">
            <w:pPr>
              <w:rPr>
                <w:rFonts w:cs="Arial"/>
              </w:rPr>
            </w:pPr>
            <w:r>
              <w:t xml:space="preserve">между 10 и 30 </w:t>
            </w:r>
            <w:r>
              <w:rPr>
                <w:lang w:val="en-US"/>
              </w:rPr>
              <w:t>ml/min</w:t>
            </w:r>
          </w:p>
        </w:tc>
        <w:tc>
          <w:tcPr>
            <w:tcW w:w="4788" w:type="dxa"/>
          </w:tcPr>
          <w:p w14:paraId="13260996" w14:textId="09A3F4FD" w:rsidR="002B6140" w:rsidRDefault="002B6140" w:rsidP="002B6140">
            <w:pPr>
              <w:rPr>
                <w:rFonts w:cs="Arial"/>
              </w:rPr>
            </w:pPr>
            <w:r>
              <w:t xml:space="preserve">2,5 </w:t>
            </w:r>
            <w:r>
              <w:rPr>
                <w:lang w:val="en-US"/>
              </w:rPr>
              <w:t xml:space="preserve">mg </w:t>
            </w:r>
            <w:r>
              <w:t>на ден</w:t>
            </w:r>
          </w:p>
        </w:tc>
      </w:tr>
      <w:tr w:rsidR="002B6140" w14:paraId="2C509EDF" w14:textId="77777777" w:rsidTr="002B6140">
        <w:tc>
          <w:tcPr>
            <w:tcW w:w="4788" w:type="dxa"/>
          </w:tcPr>
          <w:p w14:paraId="02A2775C" w14:textId="71FA4B93" w:rsidR="002B6140" w:rsidRDefault="002B6140" w:rsidP="002B6140">
            <w:pPr>
              <w:rPr>
                <w:rFonts w:cs="Arial"/>
              </w:rPr>
            </w:pPr>
            <w:r>
              <w:t xml:space="preserve">по-малко от </w:t>
            </w:r>
            <w:r w:rsidRPr="002B6140">
              <w:t xml:space="preserve">10 </w:t>
            </w:r>
            <w:r w:rsidRPr="002B6140">
              <w:rPr>
                <w:lang w:val="en-US"/>
              </w:rPr>
              <w:t>ml</w:t>
            </w:r>
            <w:r w:rsidRPr="002B6140">
              <w:rPr>
                <w:lang w:val="ru-RU"/>
              </w:rPr>
              <w:t>/</w:t>
            </w:r>
            <w:r w:rsidRPr="002B6140">
              <w:rPr>
                <w:lang w:val="en-US"/>
              </w:rPr>
              <w:t>min</w:t>
            </w:r>
          </w:p>
        </w:tc>
        <w:tc>
          <w:tcPr>
            <w:tcW w:w="4788" w:type="dxa"/>
          </w:tcPr>
          <w:p w14:paraId="2DC9A877" w14:textId="2A32330D" w:rsidR="002B6140" w:rsidRDefault="002B6140" w:rsidP="002B6140">
            <w:pPr>
              <w:rPr>
                <w:rFonts w:cs="Arial"/>
              </w:rPr>
            </w:pPr>
            <w:r>
              <w:t xml:space="preserve">2,5 </w:t>
            </w:r>
            <w:r>
              <w:rPr>
                <w:lang w:val="en-US"/>
              </w:rPr>
              <w:t>mg</w:t>
            </w:r>
            <w:r w:rsidRPr="002B6140">
              <w:rPr>
                <w:lang w:val="ru-RU"/>
              </w:rPr>
              <w:t xml:space="preserve"> </w:t>
            </w:r>
            <w:r>
              <w:t>в деня на хемодиализа**</w:t>
            </w:r>
          </w:p>
        </w:tc>
      </w:tr>
    </w:tbl>
    <w:p w14:paraId="6DA502CC" w14:textId="30B41AAD" w:rsidR="002B6140" w:rsidRPr="002B6140" w:rsidRDefault="002B6140" w:rsidP="002B6140">
      <w:pPr>
        <w:spacing w:line="240" w:lineRule="auto"/>
        <w:rPr>
          <w:rFonts w:eastAsia="Times New Roman" w:cs="Arial"/>
          <w:color w:val="000000"/>
          <w:lang w:eastAsia="bg-BG"/>
        </w:rPr>
      </w:pPr>
      <w:r w:rsidRPr="002B6140">
        <w:rPr>
          <w:rFonts w:eastAsia="Times New Roman" w:cs="Arial"/>
          <w:color w:val="000000"/>
          <w:lang w:val="ru-RU" w:eastAsia="bg-BG"/>
        </w:rPr>
        <w:t>*</w:t>
      </w:r>
      <w:r w:rsidRPr="002B6140">
        <w:rPr>
          <w:rFonts w:eastAsia="Times New Roman" w:cs="Arial"/>
          <w:color w:val="000000"/>
          <w:lang w:eastAsia="bg-BG"/>
        </w:rPr>
        <w:t>* Вж. точка 4.4 Специални противопоказания и специални предупрежедения и предпазни мерки при употреба. Енаприлат се отстранява чрез диализа. Дозата през дните на хемодиализа трябва да се адаптира в зависимост от промените в кръвното налягане.</w:t>
      </w:r>
    </w:p>
    <w:p w14:paraId="54A8C4B2" w14:textId="77777777" w:rsidR="002B6140" w:rsidRDefault="002B6140" w:rsidP="002B6140">
      <w:pPr>
        <w:spacing w:line="240" w:lineRule="auto"/>
        <w:rPr>
          <w:rFonts w:eastAsia="Times New Roman" w:cs="Arial"/>
          <w:b/>
          <w:bCs/>
          <w:color w:val="000000"/>
          <w:lang w:eastAsia="bg-BG"/>
        </w:rPr>
      </w:pPr>
    </w:p>
    <w:p w14:paraId="6E69353B" w14:textId="08703B8A" w:rsidR="002B6140" w:rsidRPr="002B6140" w:rsidRDefault="002B6140" w:rsidP="002B6140">
      <w:pPr>
        <w:pStyle w:val="ListParagraph"/>
        <w:numPr>
          <w:ilvl w:val="0"/>
          <w:numId w:val="40"/>
        </w:numPr>
        <w:spacing w:line="240" w:lineRule="auto"/>
        <w:rPr>
          <w:rFonts w:eastAsia="Times New Roman" w:cs="Arial"/>
          <w:b/>
          <w:bCs/>
          <w:color w:val="000000"/>
          <w:lang w:eastAsia="bg-BG"/>
        </w:rPr>
      </w:pPr>
      <w:r w:rsidRPr="002B6140">
        <w:rPr>
          <w:rFonts w:eastAsia="Times New Roman" w:cs="Arial"/>
          <w:b/>
          <w:bCs/>
          <w:color w:val="000000"/>
          <w:lang w:eastAsia="bg-BG"/>
        </w:rPr>
        <w:t>Сърдечна недостатъчност/ Асимптоматична левокамерна дисфункция</w:t>
      </w:r>
    </w:p>
    <w:p w14:paraId="552C12A4"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Енприл може да се използва за лечение на симптоматична сърдечна недостатъчност обичайно с диуретици и когато е подходящо с дигиталисови гликозиди или бета-блокери. Началната доза при пациенти със симптоматична сърдечна недостатъчност или асимптоматична дисфункция на лявата камера е 2,5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и тя трябва да се прилага под строг медицински контрол за оценка на началния ефект върху кръвното налягане. При отсъствието на симптоматична хипотония или след ефективното и овладяване след започване на терапията с Енприл при сърдечна недостатъчност, дозата трябва постепенно да се увеличава до достигане на обичайната поддържаща доза от 20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приемана еднократно или разделена на два приема, в зависимост от поносимостта на пациента. Адаптирането на дозата може да се направи в рамките на 2 до 4 седмици. Максималната доза е 40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разделена на два приема дневно.</w:t>
      </w:r>
    </w:p>
    <w:p w14:paraId="3D2D8C74" w14:textId="77777777" w:rsidR="002B6140" w:rsidRDefault="002B6140" w:rsidP="002B6140">
      <w:pPr>
        <w:spacing w:line="240" w:lineRule="auto"/>
        <w:rPr>
          <w:rFonts w:eastAsia="Times New Roman" w:cs="Arial"/>
          <w:color w:val="000000"/>
          <w:lang w:eastAsia="bg-BG"/>
        </w:rPr>
      </w:pPr>
    </w:p>
    <w:p w14:paraId="16D4014F" w14:textId="5BA0A6D8" w:rsidR="002B6140" w:rsidRPr="002B6140" w:rsidRDefault="002B6140" w:rsidP="002B6140">
      <w:pPr>
        <w:spacing w:line="240" w:lineRule="auto"/>
        <w:jc w:val="center"/>
        <w:rPr>
          <w:rFonts w:eastAsia="Times New Roman" w:cs="Arial"/>
        </w:rPr>
      </w:pPr>
      <w:r w:rsidRPr="002B6140">
        <w:rPr>
          <w:rFonts w:eastAsia="Times New Roman" w:cs="Arial"/>
          <w:color w:val="000000"/>
          <w:lang w:eastAsia="bg-BG"/>
        </w:rPr>
        <w:t>Предложено титриране на дозата на Енприл при пациенти със сърдечна недостатъчност/ асимптоматична дисфункция на лявата камера</w:t>
      </w:r>
    </w:p>
    <w:tbl>
      <w:tblPr>
        <w:tblStyle w:val="TableGrid"/>
        <w:tblW w:w="0" w:type="auto"/>
        <w:tblLook w:val="04A0" w:firstRow="1" w:lastRow="0" w:firstColumn="1" w:lastColumn="0" w:noHBand="0" w:noVBand="1"/>
      </w:tblPr>
      <w:tblGrid>
        <w:gridCol w:w="4669"/>
        <w:gridCol w:w="4681"/>
      </w:tblGrid>
      <w:tr w:rsidR="002B6140" w14:paraId="3A05F5A6" w14:textId="77777777" w:rsidTr="002B6140">
        <w:tc>
          <w:tcPr>
            <w:tcW w:w="4788" w:type="dxa"/>
          </w:tcPr>
          <w:p w14:paraId="5CFF1553" w14:textId="1598278E" w:rsidR="002B6140" w:rsidRPr="002B6140" w:rsidRDefault="002B6140" w:rsidP="002B6140">
            <w:pPr>
              <w:rPr>
                <w:rFonts w:cs="Arial"/>
              </w:rPr>
            </w:pPr>
            <w:r w:rsidRPr="002B6140">
              <w:rPr>
                <w:b/>
                <w:bCs/>
                <w:szCs w:val="44"/>
              </w:rPr>
              <w:t>Седмица</w:t>
            </w:r>
          </w:p>
        </w:tc>
        <w:tc>
          <w:tcPr>
            <w:tcW w:w="4788" w:type="dxa"/>
          </w:tcPr>
          <w:p w14:paraId="40E205D1" w14:textId="09323E58" w:rsidR="002B6140" w:rsidRPr="002B6140" w:rsidRDefault="002B6140" w:rsidP="002B6140">
            <w:pPr>
              <w:rPr>
                <w:rFonts w:cs="Arial"/>
              </w:rPr>
            </w:pPr>
            <w:r w:rsidRPr="002B6140">
              <w:rPr>
                <w:b/>
                <w:bCs/>
                <w:szCs w:val="44"/>
              </w:rPr>
              <w:t xml:space="preserve">Доза </w:t>
            </w:r>
            <w:r w:rsidRPr="002B6140">
              <w:rPr>
                <w:b/>
                <w:bCs/>
                <w:szCs w:val="44"/>
                <w:lang w:val="en-US"/>
              </w:rPr>
              <w:t>(mg</w:t>
            </w:r>
            <w:r w:rsidRPr="002B6140">
              <w:rPr>
                <w:b/>
                <w:bCs/>
                <w:szCs w:val="44"/>
              </w:rPr>
              <w:t>/дневно)</w:t>
            </w:r>
          </w:p>
        </w:tc>
      </w:tr>
      <w:tr w:rsidR="002B6140" w14:paraId="71FE882A" w14:textId="77777777" w:rsidTr="002B6140">
        <w:tc>
          <w:tcPr>
            <w:tcW w:w="4788" w:type="dxa"/>
          </w:tcPr>
          <w:p w14:paraId="11ADA92A" w14:textId="678E5B95" w:rsidR="002B6140" w:rsidRPr="002B6140" w:rsidRDefault="002B6140" w:rsidP="002B6140">
            <w:pPr>
              <w:rPr>
                <w:rFonts w:cs="Arial"/>
              </w:rPr>
            </w:pPr>
            <w:r w:rsidRPr="002B6140">
              <w:rPr>
                <w:szCs w:val="44"/>
              </w:rPr>
              <w:t>Седмица 1</w:t>
            </w:r>
          </w:p>
        </w:tc>
        <w:tc>
          <w:tcPr>
            <w:tcW w:w="4788" w:type="dxa"/>
          </w:tcPr>
          <w:p w14:paraId="4E3F6B27" w14:textId="5B5C4403" w:rsidR="002B6140" w:rsidRPr="002B6140" w:rsidRDefault="002B6140" w:rsidP="002B6140">
            <w:pPr>
              <w:rPr>
                <w:rFonts w:cs="Arial"/>
              </w:rPr>
            </w:pPr>
            <w:r w:rsidRPr="002B6140">
              <w:rPr>
                <w:szCs w:val="44"/>
              </w:rPr>
              <w:t xml:space="preserve">1-3 ден: 2,5 </w:t>
            </w:r>
            <w:r w:rsidRPr="002B6140">
              <w:rPr>
                <w:szCs w:val="44"/>
                <w:lang w:val="en-US"/>
              </w:rPr>
              <w:t>mg</w:t>
            </w:r>
            <w:r w:rsidRPr="002B6140">
              <w:rPr>
                <w:szCs w:val="44"/>
                <w:lang w:val="ru-RU"/>
              </w:rPr>
              <w:t xml:space="preserve"> </w:t>
            </w:r>
            <w:r w:rsidRPr="002B6140">
              <w:rPr>
                <w:szCs w:val="44"/>
              </w:rPr>
              <w:t xml:space="preserve">дневно* еднократно 4-7 ден : 5 </w:t>
            </w:r>
            <w:r w:rsidRPr="002B6140">
              <w:rPr>
                <w:szCs w:val="44"/>
                <w:lang w:val="en-US"/>
              </w:rPr>
              <w:t>mg</w:t>
            </w:r>
            <w:r w:rsidRPr="002B6140">
              <w:rPr>
                <w:szCs w:val="44"/>
                <w:lang w:val="ru-RU"/>
              </w:rPr>
              <w:t xml:space="preserve"> </w:t>
            </w:r>
            <w:r w:rsidRPr="002B6140">
              <w:rPr>
                <w:szCs w:val="44"/>
              </w:rPr>
              <w:t>дневно, разделена на два приема</w:t>
            </w:r>
          </w:p>
        </w:tc>
      </w:tr>
      <w:tr w:rsidR="002B6140" w14:paraId="08E8A8B7" w14:textId="77777777" w:rsidTr="002B6140">
        <w:tc>
          <w:tcPr>
            <w:tcW w:w="4788" w:type="dxa"/>
          </w:tcPr>
          <w:p w14:paraId="4CBA9AA9" w14:textId="7DA9FB9B" w:rsidR="002B6140" w:rsidRPr="002B6140" w:rsidRDefault="002B6140" w:rsidP="002B6140">
            <w:pPr>
              <w:rPr>
                <w:rFonts w:cs="Arial"/>
              </w:rPr>
            </w:pPr>
            <w:r w:rsidRPr="002B6140">
              <w:rPr>
                <w:szCs w:val="44"/>
              </w:rPr>
              <w:t>Седмица 2</w:t>
            </w:r>
          </w:p>
        </w:tc>
        <w:tc>
          <w:tcPr>
            <w:tcW w:w="4788" w:type="dxa"/>
          </w:tcPr>
          <w:p w14:paraId="2DCC1259" w14:textId="7D266550" w:rsidR="002B6140" w:rsidRPr="002B6140" w:rsidRDefault="002B6140" w:rsidP="002B6140">
            <w:pPr>
              <w:rPr>
                <w:rFonts w:cs="Arial"/>
              </w:rPr>
            </w:pPr>
            <w:r w:rsidRPr="002B6140">
              <w:rPr>
                <w:szCs w:val="44"/>
              </w:rPr>
              <w:t xml:space="preserve">10 </w:t>
            </w:r>
            <w:r w:rsidRPr="002B6140">
              <w:rPr>
                <w:szCs w:val="44"/>
                <w:lang w:val="en-US"/>
              </w:rPr>
              <w:t>mg</w:t>
            </w:r>
            <w:r w:rsidRPr="002B6140">
              <w:rPr>
                <w:szCs w:val="44"/>
                <w:lang w:val="ru-RU"/>
              </w:rPr>
              <w:t xml:space="preserve"> </w:t>
            </w:r>
            <w:r w:rsidRPr="002B6140">
              <w:rPr>
                <w:szCs w:val="44"/>
              </w:rPr>
              <w:t>дневно еднократно или разделена на два приема</w:t>
            </w:r>
          </w:p>
        </w:tc>
      </w:tr>
      <w:tr w:rsidR="002B6140" w14:paraId="55FA3F37" w14:textId="77777777" w:rsidTr="002B6140">
        <w:tc>
          <w:tcPr>
            <w:tcW w:w="4788" w:type="dxa"/>
          </w:tcPr>
          <w:p w14:paraId="609D39CA" w14:textId="45099F94" w:rsidR="002B6140" w:rsidRPr="002B6140" w:rsidRDefault="002B6140" w:rsidP="002B6140">
            <w:pPr>
              <w:rPr>
                <w:rFonts w:cs="Arial"/>
              </w:rPr>
            </w:pPr>
            <w:r w:rsidRPr="002B6140">
              <w:rPr>
                <w:szCs w:val="44"/>
              </w:rPr>
              <w:t>Седмица 3 и 4</w:t>
            </w:r>
          </w:p>
        </w:tc>
        <w:tc>
          <w:tcPr>
            <w:tcW w:w="4788" w:type="dxa"/>
          </w:tcPr>
          <w:p w14:paraId="0ABED4E6" w14:textId="1D3BD1CD" w:rsidR="002B6140" w:rsidRPr="002B6140" w:rsidRDefault="002B6140" w:rsidP="002B6140">
            <w:pPr>
              <w:rPr>
                <w:rFonts w:cs="Arial"/>
              </w:rPr>
            </w:pPr>
            <w:r w:rsidRPr="002B6140">
              <w:rPr>
                <w:szCs w:val="44"/>
              </w:rPr>
              <w:t xml:space="preserve">20 </w:t>
            </w:r>
            <w:r w:rsidRPr="002B6140">
              <w:rPr>
                <w:szCs w:val="44"/>
                <w:lang w:val="en-US"/>
              </w:rPr>
              <w:t>mg</w:t>
            </w:r>
            <w:r w:rsidRPr="002B6140">
              <w:rPr>
                <w:szCs w:val="44"/>
                <w:lang w:val="ru-RU"/>
              </w:rPr>
              <w:t xml:space="preserve"> </w:t>
            </w:r>
            <w:r w:rsidRPr="002B6140">
              <w:rPr>
                <w:szCs w:val="44"/>
              </w:rPr>
              <w:t>дневно еднократно или разделена на два приема</w:t>
            </w:r>
          </w:p>
        </w:tc>
      </w:tr>
    </w:tbl>
    <w:p w14:paraId="70FF5D31" w14:textId="1AEC6191" w:rsidR="002B6140" w:rsidRDefault="002B6140" w:rsidP="002B6140">
      <w:pPr>
        <w:rPr>
          <w:rFonts w:cs="Arial"/>
        </w:rPr>
      </w:pPr>
    </w:p>
    <w:p w14:paraId="7E0E74CD" w14:textId="6CEA6FC4" w:rsidR="002B6140" w:rsidRPr="002B6140" w:rsidRDefault="002B6140" w:rsidP="002B6140">
      <w:pPr>
        <w:spacing w:line="240" w:lineRule="auto"/>
        <w:rPr>
          <w:rFonts w:eastAsia="Times New Roman" w:cs="Arial"/>
          <w:color w:val="000000"/>
          <w:lang w:eastAsia="bg-BG"/>
        </w:rPr>
      </w:pPr>
      <w:r w:rsidRPr="002B6140">
        <w:rPr>
          <w:rFonts w:eastAsia="Times New Roman" w:cs="Arial"/>
          <w:color w:val="000000"/>
          <w:lang w:val="ru-RU" w:eastAsia="bg-BG"/>
        </w:rPr>
        <w:t>*</w:t>
      </w:r>
      <w:r w:rsidRPr="002B6140">
        <w:rPr>
          <w:rFonts w:eastAsia="Times New Roman" w:cs="Arial"/>
          <w:color w:val="000000"/>
          <w:lang w:eastAsia="bg-BG"/>
        </w:rPr>
        <w:t>Специални предпазни мерки трябва да се вземат при пациенти с увредена бъбречна функция или приемащи диуретици (</w:t>
      </w:r>
      <w:proofErr w:type="gramStart"/>
      <w:r w:rsidRPr="002B6140">
        <w:rPr>
          <w:rFonts w:eastAsia="Times New Roman" w:cs="Arial"/>
          <w:color w:val="000000"/>
          <w:lang w:eastAsia="bg-BG"/>
        </w:rPr>
        <w:t>вж.точка</w:t>
      </w:r>
      <w:proofErr w:type="gramEnd"/>
      <w:r w:rsidRPr="002B6140">
        <w:rPr>
          <w:rFonts w:eastAsia="Times New Roman" w:cs="Arial"/>
          <w:color w:val="000000"/>
          <w:lang w:eastAsia="bg-BG"/>
        </w:rPr>
        <w:t xml:space="preserve"> 4.4)</w:t>
      </w:r>
    </w:p>
    <w:p w14:paraId="287D4F82" w14:textId="77777777" w:rsidR="002B6140" w:rsidRDefault="002B6140" w:rsidP="002B6140">
      <w:pPr>
        <w:spacing w:line="240" w:lineRule="auto"/>
        <w:rPr>
          <w:rFonts w:eastAsia="Times New Roman" w:cs="Arial"/>
          <w:color w:val="000000"/>
          <w:lang w:eastAsia="bg-BG"/>
        </w:rPr>
      </w:pPr>
    </w:p>
    <w:p w14:paraId="0BA3DC3B" w14:textId="78CE96D5"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Кръвното налягане и бъбречната функция трябва да бъдат проследявани внимателно както преди, така и след започване на лечението с Енприл (вж. точка 4.4), поради съобщения за настъпване на хипотония и (по-рядко) на последваща бъбречна </w:t>
      </w:r>
      <w:r w:rsidRPr="002B6140">
        <w:rPr>
          <w:rFonts w:eastAsia="Times New Roman" w:cs="Arial"/>
          <w:color w:val="000000"/>
          <w:lang w:eastAsia="bg-BG"/>
        </w:rPr>
        <w:lastRenderedPageBreak/>
        <w:t>недостатъчност. При пациенти, лекувани с диуретици, дозата трябва са се намали, ако е възможно още преди започване на терапията с Енприл. Появата на хипотония след прилагане на начална доза Енприл не означава, че хипотония ще възникне при по-нататъшна терапия с Енприл и не налага прекратяване на започналото лечение. Необходимо е също така да бъдат проследявани нивото на серумния калий и бъбречната функция.</w:t>
      </w:r>
    </w:p>
    <w:p w14:paraId="7EB561C7" w14:textId="77777777" w:rsidR="002B6140" w:rsidRDefault="002B6140" w:rsidP="002B6140">
      <w:pPr>
        <w:spacing w:line="240" w:lineRule="auto"/>
        <w:rPr>
          <w:rFonts w:eastAsia="Times New Roman" w:cs="Arial"/>
          <w:i/>
          <w:iCs/>
          <w:color w:val="000000"/>
          <w:lang w:eastAsia="bg-BG"/>
        </w:rPr>
      </w:pPr>
    </w:p>
    <w:p w14:paraId="28446B5F" w14:textId="6A5FF7E1" w:rsidR="002B6140" w:rsidRPr="002B6140" w:rsidRDefault="002B6140" w:rsidP="002B6140">
      <w:pPr>
        <w:spacing w:line="240" w:lineRule="auto"/>
        <w:rPr>
          <w:rFonts w:eastAsia="Times New Roman" w:cs="Arial"/>
        </w:rPr>
      </w:pPr>
      <w:r w:rsidRPr="002B6140">
        <w:rPr>
          <w:rFonts w:eastAsia="Times New Roman" w:cs="Arial"/>
          <w:i/>
          <w:iCs/>
          <w:color w:val="000000"/>
          <w:lang w:eastAsia="bg-BG"/>
        </w:rPr>
        <w:t>Употреба при пациенти в старческа възраст</w:t>
      </w:r>
    </w:p>
    <w:p w14:paraId="63D7EE3B"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Дозата трябва да бъде съобразена с бъбречната функция при пациенти в старческа възраст (вж. точка 4.4).</w:t>
      </w:r>
    </w:p>
    <w:p w14:paraId="6DDB3BA7" w14:textId="77777777" w:rsidR="002B6140" w:rsidRPr="002B6140" w:rsidRDefault="002B6140" w:rsidP="002B6140">
      <w:pPr>
        <w:spacing w:line="240" w:lineRule="auto"/>
        <w:rPr>
          <w:rFonts w:eastAsia="Times New Roman" w:cs="Arial"/>
        </w:rPr>
      </w:pPr>
    </w:p>
    <w:p w14:paraId="0E8C56EE" w14:textId="77777777" w:rsidR="002B6140" w:rsidRPr="002B6140" w:rsidRDefault="002B6140" w:rsidP="002B6140">
      <w:pPr>
        <w:spacing w:line="240" w:lineRule="auto"/>
        <w:rPr>
          <w:rFonts w:eastAsia="Times New Roman" w:cs="Arial"/>
        </w:rPr>
      </w:pPr>
      <w:r w:rsidRPr="002B6140">
        <w:rPr>
          <w:rFonts w:eastAsia="Times New Roman" w:cs="Arial"/>
          <w:i/>
          <w:iCs/>
          <w:color w:val="000000"/>
          <w:lang w:eastAsia="bg-BG"/>
        </w:rPr>
        <w:t>Употреба при педиатрични пациенти</w:t>
      </w:r>
    </w:p>
    <w:p w14:paraId="68810D27" w14:textId="77777777" w:rsidR="002B6140" w:rsidRPr="002B6140" w:rsidRDefault="002B6140" w:rsidP="002B6140">
      <w:pPr>
        <w:rPr>
          <w:rFonts w:eastAsia="Times New Roman" w:cs="Arial"/>
          <w:sz w:val="12"/>
          <w:szCs w:val="24"/>
        </w:rPr>
      </w:pPr>
      <w:r w:rsidRPr="002B6140">
        <w:rPr>
          <w:rFonts w:eastAsia="Times New Roman" w:cs="Arial"/>
          <w:color w:val="000000"/>
          <w:lang w:eastAsia="bg-BG"/>
        </w:rPr>
        <w:t>При пациенти, които могат да поглъщат таблетки, дозата трябва да бъде</w:t>
      </w:r>
      <w:r w:rsidRPr="002B6140">
        <w:rPr>
          <w:rFonts w:eastAsia="Times New Roman" w:cs="Arial"/>
          <w:color w:val="000000"/>
          <w:lang w:val="ru-RU"/>
        </w:rPr>
        <w:t xml:space="preserve"> </w:t>
      </w:r>
      <w:r w:rsidRPr="002B6140">
        <w:rPr>
          <w:rFonts w:eastAsia="Times New Roman" w:cs="Arial"/>
          <w:color w:val="000000"/>
          <w:lang w:eastAsia="bg-BG"/>
        </w:rPr>
        <w:t>определна индивидуално според профила на пациента и отговора на кръвното налягане</w:t>
      </w:r>
      <w:r w:rsidRPr="002B6140">
        <w:rPr>
          <w:rFonts w:eastAsia="Times New Roman" w:cs="Arial"/>
          <w:i/>
          <w:iCs/>
          <w:color w:val="000000"/>
          <w:lang w:eastAsia="bg-BG"/>
        </w:rPr>
        <w:t xml:space="preserve"> </w:t>
      </w:r>
      <w:r w:rsidRPr="002B6140">
        <w:rPr>
          <w:rFonts w:eastAsia="Times New Roman" w:cs="Arial"/>
          <w:color w:val="000000"/>
          <w:lang w:eastAsia="bg-BG"/>
        </w:rPr>
        <w:t xml:space="preserve">Препоръчваната начална доза е 2,5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при пациенти с тегло от 20 до &lt; 50 </w:t>
      </w:r>
      <w:r w:rsidRPr="002B6140">
        <w:rPr>
          <w:rFonts w:eastAsia="Times New Roman" w:cs="Arial"/>
          <w:color w:val="000000"/>
          <w:lang w:val="en-US"/>
        </w:rPr>
        <w:t>kg</w:t>
      </w:r>
      <w:r w:rsidRPr="002B6140">
        <w:rPr>
          <w:rFonts w:eastAsia="Times New Roman" w:cs="Arial"/>
          <w:color w:val="000000"/>
          <w:lang w:val="ru-RU"/>
        </w:rPr>
        <w:t xml:space="preserve"> </w:t>
      </w:r>
      <w:r w:rsidRPr="002B6140">
        <w:rPr>
          <w:rFonts w:eastAsia="Times New Roman" w:cs="Arial"/>
          <w:color w:val="000000"/>
          <w:lang w:eastAsia="bg-BG"/>
        </w:rPr>
        <w:t xml:space="preserve">и 5 </w:t>
      </w:r>
      <w:r w:rsidRPr="002B6140">
        <w:rPr>
          <w:rFonts w:eastAsia="Times New Roman" w:cs="Arial"/>
          <w:color w:val="000000"/>
          <w:lang w:val="en-US"/>
        </w:rPr>
        <w:t>mg</w:t>
      </w:r>
      <w:r w:rsidRPr="002B6140">
        <w:rPr>
          <w:rFonts w:eastAsia="Times New Roman" w:cs="Arial"/>
          <w:color w:val="000000"/>
          <w:lang w:val="ru-RU"/>
        </w:rPr>
        <w:t xml:space="preserve"> </w:t>
      </w:r>
      <w:r w:rsidRPr="002B6140">
        <w:rPr>
          <w:rFonts w:eastAsia="Times New Roman" w:cs="Arial"/>
          <w:color w:val="000000"/>
          <w:lang w:eastAsia="bg-BG"/>
        </w:rPr>
        <w:t xml:space="preserve">при пациенти с тегло ≥50 </w:t>
      </w:r>
      <w:r w:rsidRPr="002B6140">
        <w:rPr>
          <w:rFonts w:eastAsia="Times New Roman" w:cs="Arial"/>
          <w:color w:val="000000"/>
          <w:lang w:val="en-US"/>
        </w:rPr>
        <w:t>kg</w:t>
      </w:r>
      <w:r w:rsidRPr="002B6140">
        <w:rPr>
          <w:rFonts w:eastAsia="Times New Roman" w:cs="Arial"/>
          <w:color w:val="000000"/>
          <w:lang w:val="ru-RU"/>
        </w:rPr>
        <w:t xml:space="preserve">. </w:t>
      </w:r>
      <w:r w:rsidRPr="002B6140">
        <w:rPr>
          <w:rFonts w:eastAsia="Times New Roman" w:cs="Arial"/>
          <w:color w:val="000000"/>
          <w:lang w:eastAsia="bg-BG"/>
        </w:rPr>
        <w:t>Енприл се приема веднъж дневно. Дозата трябва да бъде</w:t>
      </w:r>
      <w:r w:rsidRPr="002B6140">
        <w:rPr>
          <w:rFonts w:eastAsia="Times New Roman" w:cs="Arial"/>
          <w:color w:val="000000"/>
          <w:lang w:val="ru-RU" w:eastAsia="bg-BG"/>
        </w:rPr>
        <w:t xml:space="preserve"> </w:t>
      </w:r>
      <w:r w:rsidRPr="002B6140">
        <w:rPr>
          <w:rFonts w:eastAsia="Times New Roman" w:cs="Arial"/>
          <w:color w:val="000000"/>
          <w:szCs w:val="44"/>
          <w:lang w:eastAsia="bg-BG"/>
        </w:rPr>
        <w:t xml:space="preserve">коригирана спрямо нуждите на пациента максимум до 20 </w:t>
      </w:r>
      <w:r w:rsidRPr="002B6140">
        <w:rPr>
          <w:rFonts w:eastAsia="Times New Roman" w:cs="Arial"/>
          <w:color w:val="000000"/>
          <w:szCs w:val="44"/>
          <w:lang w:val="en-US"/>
        </w:rPr>
        <w:t>mg</w:t>
      </w:r>
      <w:r w:rsidRPr="002B6140">
        <w:rPr>
          <w:rFonts w:eastAsia="Times New Roman" w:cs="Arial"/>
          <w:color w:val="000000"/>
          <w:szCs w:val="44"/>
          <w:lang w:val="ru-RU"/>
        </w:rPr>
        <w:t xml:space="preserve"> </w:t>
      </w:r>
      <w:r w:rsidRPr="002B6140">
        <w:rPr>
          <w:rFonts w:eastAsia="Times New Roman" w:cs="Arial"/>
          <w:color w:val="000000"/>
          <w:szCs w:val="44"/>
          <w:lang w:eastAsia="bg-BG"/>
        </w:rPr>
        <w:t xml:space="preserve">дневно при пациенти с тегло от 20 до &lt; 50 </w:t>
      </w:r>
      <w:r w:rsidRPr="002B6140">
        <w:rPr>
          <w:rFonts w:eastAsia="Times New Roman" w:cs="Arial"/>
          <w:color w:val="000000"/>
          <w:szCs w:val="44"/>
          <w:lang w:val="en-US"/>
        </w:rPr>
        <w:t>kg</w:t>
      </w:r>
      <w:r w:rsidRPr="002B6140">
        <w:rPr>
          <w:rFonts w:eastAsia="Times New Roman" w:cs="Arial"/>
          <w:color w:val="000000"/>
          <w:szCs w:val="44"/>
          <w:lang w:val="ru-RU"/>
        </w:rPr>
        <w:t xml:space="preserve"> </w:t>
      </w:r>
      <w:r w:rsidRPr="002B6140">
        <w:rPr>
          <w:rFonts w:eastAsia="Times New Roman" w:cs="Arial"/>
          <w:color w:val="000000"/>
          <w:szCs w:val="44"/>
          <w:lang w:eastAsia="bg-BG"/>
        </w:rPr>
        <w:t xml:space="preserve">и 40 </w:t>
      </w:r>
      <w:r w:rsidRPr="002B6140">
        <w:rPr>
          <w:rFonts w:eastAsia="Times New Roman" w:cs="Arial"/>
          <w:color w:val="000000"/>
          <w:szCs w:val="44"/>
          <w:lang w:val="en-US"/>
        </w:rPr>
        <w:t>mg</w:t>
      </w:r>
      <w:r w:rsidRPr="002B6140">
        <w:rPr>
          <w:rFonts w:eastAsia="Times New Roman" w:cs="Arial"/>
          <w:color w:val="000000"/>
          <w:szCs w:val="44"/>
          <w:lang w:val="ru-RU"/>
        </w:rPr>
        <w:t xml:space="preserve"> </w:t>
      </w:r>
      <w:r w:rsidRPr="002B6140">
        <w:rPr>
          <w:rFonts w:eastAsia="Times New Roman" w:cs="Arial"/>
          <w:color w:val="000000"/>
          <w:szCs w:val="44"/>
          <w:lang w:eastAsia="bg-BG"/>
        </w:rPr>
        <w:t xml:space="preserve">дневно при пациенти с тегло &gt; 50 </w:t>
      </w:r>
      <w:r w:rsidRPr="002B6140">
        <w:rPr>
          <w:rFonts w:eastAsia="Times New Roman" w:cs="Arial"/>
          <w:color w:val="000000"/>
          <w:szCs w:val="44"/>
          <w:lang w:val="en-US"/>
        </w:rPr>
        <w:t>kg</w:t>
      </w:r>
      <w:r w:rsidRPr="002B6140">
        <w:rPr>
          <w:rFonts w:eastAsia="Times New Roman" w:cs="Arial"/>
          <w:color w:val="000000"/>
          <w:szCs w:val="44"/>
          <w:lang w:val="ru-RU"/>
        </w:rPr>
        <w:t xml:space="preserve"> </w:t>
      </w:r>
      <w:r w:rsidRPr="002B6140">
        <w:rPr>
          <w:rFonts w:eastAsia="Times New Roman" w:cs="Arial"/>
          <w:color w:val="000000"/>
          <w:szCs w:val="44"/>
          <w:lang w:eastAsia="bg-BG"/>
        </w:rPr>
        <w:t>(вж. точка 4.4).</w:t>
      </w:r>
    </w:p>
    <w:p w14:paraId="3CCA09F5" w14:textId="77777777" w:rsidR="002B6140" w:rsidRDefault="002B6140" w:rsidP="002B6140">
      <w:pPr>
        <w:spacing w:line="240" w:lineRule="auto"/>
        <w:rPr>
          <w:rFonts w:eastAsia="Times New Roman" w:cs="Arial"/>
          <w:color w:val="000000"/>
          <w:szCs w:val="44"/>
          <w:lang w:eastAsia="bg-BG"/>
        </w:rPr>
      </w:pPr>
    </w:p>
    <w:p w14:paraId="39E28CBA" w14:textId="280401E9"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 xml:space="preserve">Енприл не се препоръчва при новородени и при педиатрични пациенти с ниво на гломерулната филтрация &lt; 30 </w:t>
      </w:r>
      <w:r w:rsidRPr="002B6140">
        <w:rPr>
          <w:rFonts w:eastAsia="Times New Roman" w:cs="Arial"/>
          <w:color w:val="000000"/>
          <w:szCs w:val="44"/>
          <w:lang w:val="en-US"/>
        </w:rPr>
        <w:t>ml</w:t>
      </w:r>
      <w:r w:rsidRPr="002B6140">
        <w:rPr>
          <w:rFonts w:eastAsia="Times New Roman" w:cs="Arial"/>
          <w:color w:val="000000"/>
          <w:szCs w:val="44"/>
          <w:lang w:val="ru-RU"/>
        </w:rPr>
        <w:t>/</w:t>
      </w:r>
      <w:r w:rsidRPr="002B6140">
        <w:rPr>
          <w:rFonts w:eastAsia="Times New Roman" w:cs="Arial"/>
          <w:color w:val="000000"/>
          <w:szCs w:val="44"/>
          <w:lang w:val="en-US"/>
        </w:rPr>
        <w:t>min</w:t>
      </w:r>
      <w:r w:rsidRPr="002B6140">
        <w:rPr>
          <w:rFonts w:eastAsia="Times New Roman" w:cs="Arial"/>
          <w:color w:val="000000"/>
          <w:szCs w:val="44"/>
          <w:lang w:val="ru-RU"/>
        </w:rPr>
        <w:t>/</w:t>
      </w:r>
      <w:r w:rsidRPr="002B6140">
        <w:rPr>
          <w:rFonts w:eastAsia="Times New Roman" w:cs="Arial"/>
          <w:color w:val="000000"/>
          <w:szCs w:val="44"/>
          <w:lang w:val="en-US"/>
        </w:rPr>
        <w:t>l</w:t>
      </w:r>
      <w:r w:rsidRPr="002B6140">
        <w:rPr>
          <w:rFonts w:eastAsia="Times New Roman" w:cs="Arial"/>
          <w:color w:val="000000"/>
          <w:szCs w:val="44"/>
          <w:lang w:val="ru-RU"/>
        </w:rPr>
        <w:t xml:space="preserve"> ,73</w:t>
      </w:r>
      <w:r w:rsidRPr="002B6140">
        <w:rPr>
          <w:rFonts w:eastAsia="Times New Roman" w:cs="Arial"/>
          <w:color w:val="000000"/>
          <w:szCs w:val="44"/>
          <w:lang w:val="en-US"/>
        </w:rPr>
        <w:t>m</w:t>
      </w:r>
      <w:r w:rsidRPr="002B6140">
        <w:rPr>
          <w:rFonts w:eastAsia="Times New Roman" w:cs="Arial"/>
          <w:color w:val="000000"/>
          <w:szCs w:val="44"/>
          <w:vertAlign w:val="superscript"/>
          <w:lang w:val="ru-RU"/>
        </w:rPr>
        <w:t>2</w:t>
      </w:r>
      <w:r w:rsidRPr="002B6140">
        <w:rPr>
          <w:rFonts w:eastAsia="Times New Roman" w:cs="Arial"/>
          <w:color w:val="000000"/>
          <w:szCs w:val="44"/>
          <w:lang w:val="ru-RU"/>
        </w:rPr>
        <w:t xml:space="preserve">, </w:t>
      </w:r>
      <w:r w:rsidRPr="002B6140">
        <w:rPr>
          <w:rFonts w:eastAsia="Times New Roman" w:cs="Arial"/>
          <w:color w:val="000000"/>
          <w:szCs w:val="44"/>
          <w:lang w:eastAsia="bg-BG"/>
        </w:rPr>
        <w:t>поради липса на данни при тези групи пациенти.</w:t>
      </w:r>
    </w:p>
    <w:p w14:paraId="71FDDDE2" w14:textId="77777777" w:rsidR="002B6140" w:rsidRPr="002B6140" w:rsidRDefault="002B6140" w:rsidP="002B6140">
      <w:pPr>
        <w:spacing w:line="240" w:lineRule="auto"/>
        <w:rPr>
          <w:rFonts w:eastAsia="Times New Roman" w:cs="Arial"/>
          <w:color w:val="000000"/>
          <w:szCs w:val="44"/>
          <w:u w:val="single"/>
          <w:lang w:eastAsia="bg-BG"/>
        </w:rPr>
      </w:pPr>
    </w:p>
    <w:p w14:paraId="3BAC19D4" w14:textId="77777777" w:rsidR="002B6140" w:rsidRPr="002B6140" w:rsidRDefault="002B6140" w:rsidP="002B6140">
      <w:pPr>
        <w:pStyle w:val="Heading3"/>
        <w:rPr>
          <w:rFonts w:eastAsia="Times New Roman"/>
          <w:u w:val="single"/>
          <w:lang w:eastAsia="bg-BG"/>
        </w:rPr>
      </w:pPr>
      <w:r w:rsidRPr="002B6140">
        <w:rPr>
          <w:rFonts w:eastAsia="Times New Roman"/>
          <w:u w:val="single"/>
          <w:lang w:eastAsia="bg-BG"/>
        </w:rPr>
        <w:t xml:space="preserve">Начин на приложение </w:t>
      </w:r>
    </w:p>
    <w:p w14:paraId="433D8334" w14:textId="33360D61"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Перорално приложение.</w:t>
      </w:r>
    </w:p>
    <w:p w14:paraId="7967C513" w14:textId="0F7516D7" w:rsidR="002B6140" w:rsidRPr="002B6140" w:rsidRDefault="002B6140" w:rsidP="002B6140">
      <w:pPr>
        <w:rPr>
          <w:rFonts w:cs="Arial"/>
        </w:rPr>
      </w:pPr>
    </w:p>
    <w:p w14:paraId="0F253247" w14:textId="4DE2635A" w:rsidR="007122AD" w:rsidRDefault="002C50EE" w:rsidP="00936AD0">
      <w:pPr>
        <w:pStyle w:val="Heading2"/>
      </w:pPr>
      <w:r>
        <w:t>4.3. Противопоказания</w:t>
      </w:r>
    </w:p>
    <w:p w14:paraId="010A5F39" w14:textId="25F9A3F2" w:rsidR="002B6140" w:rsidRDefault="002B6140" w:rsidP="002B6140"/>
    <w:p w14:paraId="2BAD8303" w14:textId="77777777" w:rsidR="002B6140" w:rsidRPr="002B6140" w:rsidRDefault="002B6140" w:rsidP="002B6140">
      <w:pPr>
        <w:pStyle w:val="ListParagraph"/>
        <w:numPr>
          <w:ilvl w:val="0"/>
          <w:numId w:val="41"/>
        </w:numPr>
        <w:spacing w:line="240" w:lineRule="auto"/>
        <w:rPr>
          <w:rFonts w:eastAsia="Times New Roman" w:cs="Arial"/>
          <w:sz w:val="12"/>
          <w:szCs w:val="24"/>
        </w:rPr>
      </w:pPr>
      <w:r w:rsidRPr="002B6140">
        <w:rPr>
          <w:rFonts w:eastAsia="Times New Roman" w:cs="Arial"/>
          <w:color w:val="000000"/>
          <w:szCs w:val="44"/>
          <w:lang w:eastAsia="bg-BG"/>
        </w:rPr>
        <w:t>Свръхчувствителност към активното вещество или към някое от помощните вещества, изброени в точка 6.1, или друг АСЕ инхибитор .</w:t>
      </w:r>
    </w:p>
    <w:p w14:paraId="75600903" w14:textId="77777777" w:rsidR="002B6140" w:rsidRPr="002B6140" w:rsidRDefault="002B6140" w:rsidP="002B6140">
      <w:pPr>
        <w:pStyle w:val="ListParagraph"/>
        <w:numPr>
          <w:ilvl w:val="0"/>
          <w:numId w:val="41"/>
        </w:numPr>
        <w:spacing w:line="240" w:lineRule="auto"/>
        <w:rPr>
          <w:rFonts w:eastAsia="Times New Roman" w:cs="Arial"/>
          <w:sz w:val="12"/>
          <w:szCs w:val="24"/>
        </w:rPr>
      </w:pPr>
      <w:r w:rsidRPr="002B6140">
        <w:rPr>
          <w:rFonts w:eastAsia="Times New Roman" w:cs="Arial"/>
          <w:color w:val="000000"/>
          <w:szCs w:val="44"/>
          <w:lang w:eastAsia="bg-BG"/>
        </w:rPr>
        <w:t xml:space="preserve">Анамнеза за ангиоедем при предишно лечение с АСЕ инхибитор </w:t>
      </w:r>
    </w:p>
    <w:p w14:paraId="4B4C9FCE" w14:textId="7D886A39" w:rsidR="002B6140" w:rsidRPr="002B6140" w:rsidRDefault="002B6140" w:rsidP="002B6140">
      <w:pPr>
        <w:pStyle w:val="ListParagraph"/>
        <w:numPr>
          <w:ilvl w:val="0"/>
          <w:numId w:val="41"/>
        </w:numPr>
        <w:spacing w:line="240" w:lineRule="auto"/>
        <w:rPr>
          <w:rFonts w:eastAsia="Times New Roman" w:cs="Arial"/>
          <w:sz w:val="12"/>
          <w:szCs w:val="24"/>
        </w:rPr>
      </w:pPr>
      <w:r w:rsidRPr="002B6140">
        <w:rPr>
          <w:rFonts w:eastAsia="Times New Roman" w:cs="Arial"/>
          <w:color w:val="000000"/>
          <w:szCs w:val="44"/>
          <w:lang w:eastAsia="bg-BG"/>
        </w:rPr>
        <w:t>Наследствен или идиопатичен ангиоедем.</w:t>
      </w:r>
    </w:p>
    <w:p w14:paraId="686BC7E5" w14:textId="77777777" w:rsidR="002B6140" w:rsidRPr="002B6140" w:rsidRDefault="002B6140" w:rsidP="002B6140">
      <w:pPr>
        <w:pStyle w:val="ListParagraph"/>
        <w:numPr>
          <w:ilvl w:val="0"/>
          <w:numId w:val="41"/>
        </w:numPr>
        <w:spacing w:line="240" w:lineRule="auto"/>
        <w:rPr>
          <w:rFonts w:eastAsia="Times New Roman" w:cs="Arial"/>
          <w:sz w:val="12"/>
          <w:szCs w:val="24"/>
        </w:rPr>
      </w:pPr>
      <w:r w:rsidRPr="002B6140">
        <w:rPr>
          <w:rFonts w:eastAsia="Times New Roman" w:cs="Arial"/>
          <w:color w:val="000000"/>
          <w:szCs w:val="44"/>
          <w:lang w:eastAsia="bg-BG"/>
        </w:rPr>
        <w:t>Втори и трети триместьр на бременността (вж. точки 4.4 и 4.6).</w:t>
      </w:r>
    </w:p>
    <w:p w14:paraId="40404AF5" w14:textId="77777777" w:rsidR="002B6140" w:rsidRDefault="002B6140" w:rsidP="002B6140">
      <w:pPr>
        <w:spacing w:line="240" w:lineRule="auto"/>
        <w:rPr>
          <w:rFonts w:eastAsia="Times New Roman" w:cs="Arial"/>
          <w:color w:val="000000"/>
          <w:szCs w:val="44"/>
          <w:lang w:eastAsia="bg-BG"/>
        </w:rPr>
      </w:pPr>
    </w:p>
    <w:p w14:paraId="43129514" w14:textId="5544821C"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 xml:space="preserve">Едновременната употреба на Енприл с алискирен-съдържащи продукти е противопоказана при пациенти със захарен диабет или бъбречно увреждане </w:t>
      </w:r>
      <w:r w:rsidRPr="002B6140">
        <w:rPr>
          <w:rFonts w:eastAsia="Times New Roman" w:cs="Arial"/>
          <w:color w:val="000000"/>
          <w:szCs w:val="44"/>
          <w:lang w:val="ru-RU"/>
        </w:rPr>
        <w:t>(</w:t>
      </w:r>
      <w:r w:rsidRPr="002B6140">
        <w:rPr>
          <w:rFonts w:eastAsia="Times New Roman" w:cs="Arial"/>
          <w:color w:val="000000"/>
          <w:szCs w:val="44"/>
          <w:lang w:val="en-US"/>
        </w:rPr>
        <w:t>GFR</w:t>
      </w:r>
      <w:r w:rsidRPr="002B6140">
        <w:rPr>
          <w:rFonts w:eastAsia="Times New Roman" w:cs="Arial"/>
          <w:color w:val="000000"/>
          <w:szCs w:val="44"/>
          <w:lang w:val="ru-RU"/>
        </w:rPr>
        <w:t xml:space="preserve"> </w:t>
      </w:r>
      <w:r w:rsidRPr="002B6140">
        <w:rPr>
          <w:rFonts w:eastAsia="Times New Roman" w:cs="Arial"/>
          <w:color w:val="000000"/>
          <w:szCs w:val="44"/>
          <w:lang w:eastAsia="bg-BG"/>
        </w:rPr>
        <w:t xml:space="preserve">&lt; 60 </w:t>
      </w:r>
      <w:r w:rsidRPr="002B6140">
        <w:rPr>
          <w:rFonts w:eastAsia="Times New Roman" w:cs="Arial"/>
          <w:color w:val="000000"/>
          <w:szCs w:val="44"/>
          <w:lang w:val="en-US"/>
        </w:rPr>
        <w:t>ml</w:t>
      </w:r>
      <w:r w:rsidRPr="002B6140">
        <w:rPr>
          <w:rFonts w:eastAsia="Times New Roman" w:cs="Arial"/>
          <w:color w:val="000000"/>
          <w:szCs w:val="44"/>
          <w:lang w:val="ru-RU"/>
        </w:rPr>
        <w:t>/</w:t>
      </w:r>
      <w:r w:rsidRPr="002B6140">
        <w:rPr>
          <w:rFonts w:eastAsia="Times New Roman" w:cs="Arial"/>
          <w:color w:val="000000"/>
          <w:szCs w:val="44"/>
          <w:lang w:val="en-US"/>
        </w:rPr>
        <w:t>min</w:t>
      </w:r>
      <w:r w:rsidRPr="002B6140">
        <w:rPr>
          <w:rFonts w:eastAsia="Times New Roman" w:cs="Arial"/>
          <w:color w:val="000000"/>
          <w:szCs w:val="44"/>
          <w:lang w:val="ru-RU"/>
        </w:rPr>
        <w:t>/</w:t>
      </w:r>
      <w:r w:rsidRPr="002B6140">
        <w:rPr>
          <w:rFonts w:eastAsia="Times New Roman" w:cs="Arial"/>
          <w:color w:val="000000"/>
          <w:szCs w:val="44"/>
          <w:lang w:val="en-US"/>
        </w:rPr>
        <w:t>l</w:t>
      </w:r>
      <w:r w:rsidRPr="002B6140">
        <w:rPr>
          <w:rFonts w:eastAsia="Times New Roman" w:cs="Arial"/>
          <w:color w:val="000000"/>
          <w:szCs w:val="44"/>
          <w:lang w:val="ru-RU"/>
        </w:rPr>
        <w:t>,</w:t>
      </w:r>
      <w:r w:rsidRPr="002B6140">
        <w:rPr>
          <w:rFonts w:eastAsia="Times New Roman" w:cs="Arial"/>
          <w:color w:val="000000"/>
          <w:szCs w:val="44"/>
          <w:lang w:eastAsia="bg-BG"/>
        </w:rPr>
        <w:t>73 m2) (вж. точки 4.5 и 5.1).</w:t>
      </w:r>
    </w:p>
    <w:p w14:paraId="75134504" w14:textId="77777777" w:rsidR="002B6140" w:rsidRPr="002B6140" w:rsidRDefault="002B6140" w:rsidP="002B6140"/>
    <w:p w14:paraId="0E0BDCC7" w14:textId="00469F1F" w:rsidR="007122AD" w:rsidRDefault="002C50EE" w:rsidP="00936AD0">
      <w:pPr>
        <w:pStyle w:val="Heading2"/>
      </w:pPr>
      <w:r>
        <w:t>4.4. Специални предупреждения и предпазни мерки при употреба</w:t>
      </w:r>
    </w:p>
    <w:p w14:paraId="30531273" w14:textId="3BBF2625" w:rsidR="002B6140" w:rsidRDefault="002B6140" w:rsidP="002B6140"/>
    <w:p w14:paraId="1DA26935" w14:textId="77777777"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Симптоматична хипотония</w:t>
      </w:r>
    </w:p>
    <w:p w14:paraId="7AAAE766"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Симптоматичната хипотония се наблюдава рядко при хипертоници без усложнения. При хипертониците, получаващи Енприл е по-вероятно да се наблюдава хипотония, ако пациентите са с хиповолемия в резултат на диуретична терапия, ограничаваща солта диета, диализа, диария или повръщане (вж. точки 4.5 и 4.8). Симптоматична хипотония е наблюдавана при пациенти със сърдечна недостатъчност със или без бъбречна недостатъчност. По-вероятно е тя да се прояви при пациенти с по-тежка степен на сърдечна недостатъчност, както и да бъде обусловена от високи дози диуретици, хипонатриемия или функционално бъбречно увреждане. При такива пациенти терапията </w:t>
      </w:r>
      <w:r w:rsidRPr="002B6140">
        <w:rPr>
          <w:rFonts w:eastAsia="Times New Roman" w:cs="Arial"/>
          <w:color w:val="000000"/>
          <w:lang w:eastAsia="bg-BG"/>
        </w:rPr>
        <w:lastRenderedPageBreak/>
        <w:t>трябва да започне под лекарски контрол, и той трябва да е особено прецизен при каквато и да е промяна в дозата на Енприл и/или диуретика. Същите изисквания важат и за пациентите с исхемична болест на сърцето или мозъчно-съдово заболяване, при които прекомерното понижаване на кръвното налягане може да бъде причина за миокарден инфаркт или мозъчно-съдов инцидент.</w:t>
      </w:r>
    </w:p>
    <w:p w14:paraId="0DE3B6DD" w14:textId="77777777" w:rsidR="002B6140" w:rsidRDefault="002B6140" w:rsidP="002B6140">
      <w:pPr>
        <w:spacing w:line="240" w:lineRule="auto"/>
        <w:rPr>
          <w:rFonts w:eastAsia="Times New Roman" w:cs="Arial"/>
          <w:color w:val="000000"/>
          <w:lang w:eastAsia="bg-BG"/>
        </w:rPr>
      </w:pPr>
    </w:p>
    <w:p w14:paraId="097C2965" w14:textId="69416C46" w:rsidR="002B6140" w:rsidRPr="002B6140" w:rsidRDefault="002B6140" w:rsidP="002B6140">
      <w:pPr>
        <w:spacing w:line="240" w:lineRule="auto"/>
        <w:rPr>
          <w:rFonts w:eastAsia="Times New Roman" w:cs="Arial"/>
        </w:rPr>
      </w:pPr>
      <w:r w:rsidRPr="002B6140">
        <w:rPr>
          <w:rFonts w:eastAsia="Times New Roman" w:cs="Arial"/>
          <w:color w:val="000000"/>
          <w:lang w:eastAsia="bg-BG"/>
        </w:rPr>
        <w:t>Ако при пациента настъпи хипотония, той трябва да легне по гръб и при необходимост може да се назначи интравенозна инфузия на изотоничен солеви разтвор.</w:t>
      </w:r>
    </w:p>
    <w:p w14:paraId="7B4CCC8C"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Появата на преходно хипотензивно състояние не е противопоказание за по-нататъшно приложение на Енприл и то може да продължи без затруднения при възстановен обем и съответно повишено в желани граници кръвно налягане.</w:t>
      </w:r>
    </w:p>
    <w:p w14:paraId="175E991E" w14:textId="77777777" w:rsidR="002B6140" w:rsidRDefault="002B6140" w:rsidP="002B6140">
      <w:pPr>
        <w:spacing w:line="240" w:lineRule="auto"/>
        <w:rPr>
          <w:rFonts w:eastAsia="Times New Roman" w:cs="Arial"/>
          <w:color w:val="000000"/>
          <w:lang w:eastAsia="bg-BG"/>
        </w:rPr>
      </w:pPr>
    </w:p>
    <w:p w14:paraId="4C50144A" w14:textId="73EAF24E" w:rsidR="002B6140" w:rsidRPr="002B6140" w:rsidRDefault="002B6140" w:rsidP="002B6140">
      <w:pPr>
        <w:spacing w:line="240" w:lineRule="auto"/>
        <w:rPr>
          <w:rFonts w:eastAsia="Times New Roman" w:cs="Arial"/>
        </w:rPr>
      </w:pPr>
      <w:r w:rsidRPr="002B6140">
        <w:rPr>
          <w:rFonts w:eastAsia="Times New Roman" w:cs="Arial"/>
          <w:color w:val="000000"/>
          <w:lang w:eastAsia="bg-BG"/>
        </w:rPr>
        <w:t>При някои пациенти със сърдечна недостатъчност, които имат нормално или ниско кръвно налягане, може да настъпи допълнително понижаване на кръвното им налягане при употребата на Енприл. Този ефект е очакван и обикновено не става причина за прекъсване на лечението. Ако хипотонията стане симптоматична, може да се наложи редуциране на дозата и/или спиране на диуретика и/или на Енприл.</w:t>
      </w:r>
    </w:p>
    <w:p w14:paraId="56EFE94D" w14:textId="77777777" w:rsidR="002B6140" w:rsidRDefault="002B6140" w:rsidP="002B6140">
      <w:pPr>
        <w:rPr>
          <w:rFonts w:eastAsia="Times New Roman" w:cs="Arial"/>
          <w:color w:val="000000"/>
          <w:u w:val="single"/>
          <w:lang w:eastAsia="bg-BG"/>
        </w:rPr>
      </w:pPr>
    </w:p>
    <w:p w14:paraId="4D0E035A" w14:textId="77777777" w:rsidR="002B6140" w:rsidRDefault="002B6140" w:rsidP="002B6140">
      <w:pPr>
        <w:rPr>
          <w:rFonts w:eastAsia="Times New Roman" w:cs="Arial"/>
          <w:color w:val="000000"/>
          <w:u w:val="single"/>
          <w:lang w:eastAsia="bg-BG"/>
        </w:rPr>
      </w:pPr>
      <w:r w:rsidRPr="002B6140">
        <w:rPr>
          <w:rFonts w:eastAsia="Times New Roman" w:cs="Arial"/>
          <w:color w:val="000000"/>
          <w:u w:val="single"/>
          <w:lang w:eastAsia="bg-BG"/>
        </w:rPr>
        <w:t xml:space="preserve">Двойно блокиране на ренин-ангиотензин-алдостероновата система (РААС) </w:t>
      </w:r>
    </w:p>
    <w:p w14:paraId="2F2733E2" w14:textId="2DA3678B" w:rsidR="002B6140" w:rsidRDefault="002B6140" w:rsidP="002B6140">
      <w:pPr>
        <w:rPr>
          <w:rFonts w:eastAsia="Times New Roman" w:cs="Arial"/>
          <w:color w:val="000000"/>
          <w:lang w:eastAsia="bg-BG"/>
        </w:rPr>
      </w:pPr>
      <w:r w:rsidRPr="002B6140">
        <w:rPr>
          <w:rFonts w:eastAsia="Times New Roman" w:cs="Arial"/>
          <w:color w:val="000000"/>
          <w:lang w:eastAsia="bg-BG"/>
        </w:rPr>
        <w:t xml:space="preserve">Има данни, че едновременната употреба на АСЕ инхибитори, аетиотензин </w:t>
      </w:r>
      <w:r w:rsidRPr="002B6140">
        <w:rPr>
          <w:rFonts w:eastAsia="Times New Roman" w:cs="Arial"/>
          <w:color w:val="000000"/>
          <w:lang w:val="en-US"/>
        </w:rPr>
        <w:t>II</w:t>
      </w:r>
      <w:r w:rsidRPr="002B6140">
        <w:rPr>
          <w:rFonts w:eastAsia="Times New Roman" w:cs="Arial"/>
          <w:color w:val="000000"/>
          <w:lang w:val="ru-RU"/>
        </w:rPr>
        <w:t>-</w:t>
      </w:r>
      <w:r w:rsidRPr="002B6140">
        <w:rPr>
          <w:rFonts w:eastAsia="Times New Roman" w:cs="Arial"/>
          <w:color w:val="000000"/>
          <w:lang w:eastAsia="bg-BG"/>
        </w:rPr>
        <w:t xml:space="preserve">рецепторни блокери или алискирен повишава риска от хипотония, хиперкалиемия и намялване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w:t>
      </w:r>
      <w:r w:rsidRPr="002B6140">
        <w:rPr>
          <w:rFonts w:eastAsia="Times New Roman" w:cs="Arial"/>
          <w:color w:val="000000"/>
          <w:lang w:val="en-US"/>
        </w:rPr>
        <w:t>ACE</w:t>
      </w:r>
      <w:r w:rsidRPr="002B6140">
        <w:rPr>
          <w:rFonts w:eastAsia="Times New Roman" w:cs="Arial"/>
          <w:color w:val="000000"/>
          <w:lang w:val="ru-RU"/>
        </w:rPr>
        <w:t xml:space="preserve"> </w:t>
      </w:r>
      <w:r w:rsidRPr="002B6140">
        <w:rPr>
          <w:rFonts w:eastAsia="Times New Roman" w:cs="Arial"/>
          <w:color w:val="000000"/>
          <w:lang w:eastAsia="bg-BG"/>
        </w:rPr>
        <w:t xml:space="preserve">инхибитори ангиотензин </w:t>
      </w:r>
      <w:r w:rsidRPr="002B6140">
        <w:rPr>
          <w:rFonts w:eastAsia="Times New Roman" w:cs="Arial"/>
          <w:color w:val="000000"/>
          <w:lang w:val="en-US"/>
        </w:rPr>
        <w:t>II</w:t>
      </w:r>
      <w:r w:rsidRPr="002B6140">
        <w:rPr>
          <w:rFonts w:eastAsia="Times New Roman" w:cs="Arial"/>
          <w:color w:val="000000"/>
          <w:lang w:eastAsia="bg-BG"/>
        </w:rPr>
        <w:t>-рецепторни блокери или алискирен (вж. точки 4.5 и 5.1).</w:t>
      </w:r>
    </w:p>
    <w:p w14:paraId="70C7FCC9" w14:textId="43399B30" w:rsidR="002B6140" w:rsidRDefault="002B6140" w:rsidP="002B6140">
      <w:pPr>
        <w:rPr>
          <w:rFonts w:eastAsia="Times New Roman" w:cs="Arial"/>
          <w:color w:val="000000"/>
          <w:lang w:eastAsia="bg-BG"/>
        </w:rPr>
      </w:pPr>
    </w:p>
    <w:p w14:paraId="03552805"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74ED0A80"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АСЕ инхибитори и ангиотензин П-рецепторни блокери не трябва да се използват едновременно при пациенти с диабетна нефропатия.</w:t>
      </w:r>
    </w:p>
    <w:p w14:paraId="37F802C4" w14:textId="77777777" w:rsidR="002B6140" w:rsidRDefault="002B6140" w:rsidP="002B6140">
      <w:pPr>
        <w:spacing w:line="240" w:lineRule="auto"/>
        <w:rPr>
          <w:rFonts w:eastAsia="Times New Roman" w:cs="Arial"/>
          <w:color w:val="000000"/>
          <w:u w:val="single"/>
          <w:lang w:eastAsia="bg-BG"/>
        </w:rPr>
      </w:pPr>
    </w:p>
    <w:p w14:paraId="44B8C3AB" w14:textId="1EDDA462"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Стеноза на аортната или митралната клапа/Хипертрофична кардиомиопатия</w:t>
      </w:r>
    </w:p>
    <w:p w14:paraId="7F374891"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Както всички вазодилататори АСЕ инхибигорите трябва да бъдат прилагани с повишено внимание при пациенти с обструкция на кръвния поток на левокамерния изход и да бъдат избягвани в случаи на кардиогенен шок и хемодинамично значима обструкция.</w:t>
      </w:r>
    </w:p>
    <w:p w14:paraId="47C3D685" w14:textId="77777777" w:rsidR="002B6140" w:rsidRDefault="002B6140" w:rsidP="002B6140">
      <w:pPr>
        <w:spacing w:line="240" w:lineRule="auto"/>
        <w:rPr>
          <w:rFonts w:eastAsia="Times New Roman" w:cs="Arial"/>
          <w:color w:val="000000"/>
          <w:u w:val="single"/>
          <w:lang w:eastAsia="bg-BG"/>
        </w:rPr>
      </w:pPr>
    </w:p>
    <w:p w14:paraId="06E7CD87" w14:textId="408EF7C3"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Увреждане на бъбречната Функция</w:t>
      </w:r>
    </w:p>
    <w:p w14:paraId="05C4686C"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В случаи на бъбречно увреждане (креатининов клирънс &lt; 80 </w:t>
      </w:r>
      <w:r w:rsidRPr="002B6140">
        <w:rPr>
          <w:rFonts w:eastAsia="Times New Roman" w:cs="Arial"/>
          <w:color w:val="000000"/>
          <w:lang w:val="en-US"/>
        </w:rPr>
        <w:t>ml</w:t>
      </w:r>
      <w:r w:rsidRPr="002B6140">
        <w:rPr>
          <w:rFonts w:eastAsia="Times New Roman" w:cs="Arial"/>
          <w:color w:val="000000"/>
          <w:lang w:val="ru-RU"/>
        </w:rPr>
        <w:t>/</w:t>
      </w:r>
      <w:r w:rsidRPr="002B6140">
        <w:rPr>
          <w:rFonts w:eastAsia="Times New Roman" w:cs="Arial"/>
          <w:color w:val="000000"/>
          <w:lang w:val="en-US"/>
        </w:rPr>
        <w:t>min</w:t>
      </w:r>
      <w:r w:rsidRPr="002B6140">
        <w:rPr>
          <w:rFonts w:eastAsia="Times New Roman" w:cs="Arial"/>
          <w:color w:val="000000"/>
          <w:lang w:val="ru-RU"/>
        </w:rPr>
        <w:t xml:space="preserve">) </w:t>
      </w:r>
      <w:r w:rsidRPr="002B6140">
        <w:rPr>
          <w:rFonts w:eastAsia="Times New Roman" w:cs="Arial"/>
          <w:color w:val="000000"/>
          <w:lang w:eastAsia="bg-BG"/>
        </w:rPr>
        <w:t>началната доза еналаприл трябва да бъде коригирана спрямо креатининовия клирънс на пациента (вж. точка 4.2) и след това като функция на отговора на пациента към лечението. При тези пациенти, рутинното мониториране на калий и креатинин са част от нормалната лекарска практика.</w:t>
      </w:r>
    </w:p>
    <w:p w14:paraId="6CB14F96" w14:textId="77777777" w:rsidR="002B6140" w:rsidRDefault="002B6140" w:rsidP="002B6140">
      <w:pPr>
        <w:spacing w:line="240" w:lineRule="auto"/>
        <w:rPr>
          <w:rFonts w:eastAsia="Times New Roman" w:cs="Arial"/>
          <w:color w:val="000000"/>
          <w:lang w:eastAsia="bg-BG"/>
        </w:rPr>
      </w:pPr>
    </w:p>
    <w:p w14:paraId="5AE6A96F" w14:textId="3F098E9F" w:rsidR="002B6140" w:rsidRPr="002B6140" w:rsidRDefault="002B6140" w:rsidP="002B6140">
      <w:pPr>
        <w:spacing w:line="240" w:lineRule="auto"/>
        <w:rPr>
          <w:rFonts w:eastAsia="Times New Roman" w:cs="Arial"/>
        </w:rPr>
      </w:pPr>
      <w:r w:rsidRPr="002B6140">
        <w:rPr>
          <w:rFonts w:eastAsia="Times New Roman" w:cs="Arial"/>
          <w:color w:val="000000"/>
          <w:lang w:eastAsia="bg-BG"/>
        </w:rPr>
        <w:t>Има съобщения за бъбречна недостатъчност, свързана с приложението на еналаприл, главно при пациенти с тежка сърдечна недостатъчност или подлежащо бъбречно заболяване, включително стеноза на бъбречната артерия. Ако се разпознае бързо и се лекува подходящо, бъбречната недостатъчност, свързана с лечение с еналаприл, обикновено е обратима.</w:t>
      </w:r>
    </w:p>
    <w:p w14:paraId="69D38171" w14:textId="77777777" w:rsidR="002B6140" w:rsidRDefault="002B6140" w:rsidP="002B6140">
      <w:pPr>
        <w:spacing w:line="240" w:lineRule="auto"/>
        <w:rPr>
          <w:rFonts w:eastAsia="Times New Roman" w:cs="Arial"/>
          <w:color w:val="000000"/>
          <w:lang w:eastAsia="bg-BG"/>
        </w:rPr>
      </w:pPr>
    </w:p>
    <w:p w14:paraId="5DFEFBFC" w14:textId="694727EC" w:rsidR="002B6140" w:rsidRPr="002B6140" w:rsidRDefault="002B6140" w:rsidP="002B6140">
      <w:pPr>
        <w:spacing w:line="240" w:lineRule="auto"/>
        <w:rPr>
          <w:rFonts w:eastAsia="Times New Roman" w:cs="Arial"/>
        </w:rPr>
      </w:pPr>
      <w:r w:rsidRPr="002B6140">
        <w:rPr>
          <w:rFonts w:eastAsia="Times New Roman" w:cs="Arial"/>
          <w:color w:val="000000"/>
          <w:lang w:eastAsia="bg-BG"/>
        </w:rPr>
        <w:lastRenderedPageBreak/>
        <w:t>При някои пациенти с хипертония без проявено предшестващо бъбречно заболяване се наблюдават обикновенно незначителни и преходни покачвания на серумните урея и креатинин, когато Енприл се прилага едновременно с диуретик. В такива случаи може да се наложи редуциране на дозата и/или прекъсване на диуретика. При това състояние трябва да се обсъди възможността за подлежаща стеноза на бъбречната артерия (вж. точка 4.4 Реноваскуларна хипертония)</w:t>
      </w:r>
    </w:p>
    <w:p w14:paraId="6092E43E" w14:textId="77777777" w:rsidR="002B6140" w:rsidRDefault="002B6140" w:rsidP="002B6140">
      <w:pPr>
        <w:spacing w:line="240" w:lineRule="auto"/>
        <w:rPr>
          <w:rFonts w:eastAsia="Times New Roman" w:cs="Arial"/>
          <w:color w:val="000000"/>
          <w:u w:val="single"/>
          <w:lang w:eastAsia="bg-BG"/>
        </w:rPr>
      </w:pPr>
    </w:p>
    <w:p w14:paraId="1A15EBA2" w14:textId="7219BDCA"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Реноваскуларна хипертония</w:t>
      </w:r>
    </w:p>
    <w:p w14:paraId="55FD6DB5"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Съществува повишен риск от хипотония и бъбречна недостатъчност, когато пациенти с билатерална бъбречна артериална стеноза или стеноза на артерията при единствен функциониращ бъбрек са лекувани с АСЕ инхибитори. Загуба на бъбречна функция може да се получи само с леки промени на серумния креатинин. При тези пациенти лечението трябва да започне под непосредствен лекарски контрол с ниски дози, внимателно титриране и проследяване на бъбречната функция.</w:t>
      </w:r>
    </w:p>
    <w:p w14:paraId="214E699C" w14:textId="77777777" w:rsidR="002B6140" w:rsidRDefault="002B6140" w:rsidP="002B6140">
      <w:pPr>
        <w:spacing w:line="240" w:lineRule="auto"/>
        <w:rPr>
          <w:rFonts w:eastAsia="Times New Roman" w:cs="Arial"/>
          <w:color w:val="000000"/>
          <w:u w:val="single"/>
          <w:lang w:eastAsia="bg-BG"/>
        </w:rPr>
      </w:pPr>
    </w:p>
    <w:p w14:paraId="76669A02" w14:textId="7E4B1415"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Бъбречна трансплантация</w:t>
      </w:r>
    </w:p>
    <w:p w14:paraId="592F3616"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Няма опит по отношение на приложението на Енприл при пациенти с неотдавнашна бъбречна трансплантация. По тази причина, лечение с Енприл не се препоръчва.</w:t>
      </w:r>
    </w:p>
    <w:p w14:paraId="349FA871" w14:textId="77777777" w:rsidR="002B6140" w:rsidRDefault="002B6140" w:rsidP="002B6140">
      <w:pPr>
        <w:spacing w:line="240" w:lineRule="auto"/>
        <w:rPr>
          <w:rFonts w:eastAsia="Times New Roman" w:cs="Arial"/>
          <w:color w:val="000000"/>
          <w:u w:val="single"/>
          <w:lang w:eastAsia="bg-BG"/>
        </w:rPr>
      </w:pPr>
    </w:p>
    <w:p w14:paraId="033AD179" w14:textId="58364270"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Чернодробна недостатъчност</w:t>
      </w:r>
    </w:p>
    <w:p w14:paraId="0282BC84"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Рядко АСЕ инхибиторите са били свързвани със синдром, които започва с холестатичен иктер и прогресира до фулминантна чернодробна некроза и (понякога) смърт. Механизмът на този синдром не е ясен. Пациентите, получаващи АСЕ инхибитори, които развиват иктер или изразено повишение на чернодробните ензими, трябва да прекратят лечението с АСЕ инхибитори и да бъдат проследявани след това.</w:t>
      </w:r>
    </w:p>
    <w:p w14:paraId="672AE27C" w14:textId="77777777" w:rsidR="002B6140" w:rsidRDefault="002B6140" w:rsidP="002B6140">
      <w:pPr>
        <w:spacing w:line="240" w:lineRule="auto"/>
        <w:rPr>
          <w:rFonts w:eastAsia="Times New Roman" w:cs="Arial"/>
          <w:color w:val="000000"/>
          <w:u w:val="single"/>
          <w:lang w:eastAsia="bg-BG"/>
        </w:rPr>
      </w:pPr>
    </w:p>
    <w:p w14:paraId="6C86D836" w14:textId="6C0DC426"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Неутропения/Агранулоцитоза</w:t>
      </w:r>
    </w:p>
    <w:p w14:paraId="6C5DCBF3" w14:textId="77777777" w:rsidR="002B6140" w:rsidRPr="002B6140" w:rsidRDefault="002B6140" w:rsidP="002B6140">
      <w:pPr>
        <w:rPr>
          <w:rFonts w:eastAsia="Times New Roman" w:cs="Arial"/>
        </w:rPr>
      </w:pPr>
      <w:r w:rsidRPr="002B6140">
        <w:rPr>
          <w:rFonts w:eastAsia="Times New Roman" w:cs="Arial"/>
          <w:color w:val="000000"/>
          <w:lang w:eastAsia="bg-BG"/>
        </w:rPr>
        <w:t>При пациенти, получаващи АСЕ инхибитори, се съобщава за неутропения/агранулоцитоза, тромбоцитопения и анемия. При пациенти с нормална бъбречна функция и без други усложняващи фактори, неутропения се развива рядко. Енприл трябва да се прилага изключително внимателно при пациенти със съдова колагеноза, имуносупресвна терапия, лечение с алопуринол или прокаинамид, или комбинация от тези усложняващи фактори особено при предварително съществуваща увредена бъбречна функция. Някои от тези пациенти развиват тежки инфекции, които в някои случаи случаи не се повлиява от</w:t>
      </w:r>
      <w:r w:rsidRPr="002B6140">
        <w:rPr>
          <w:rFonts w:eastAsia="Times New Roman" w:cs="Arial"/>
          <w:lang w:val="ru-RU"/>
        </w:rPr>
        <w:t xml:space="preserve"> </w:t>
      </w:r>
      <w:r w:rsidRPr="002B6140">
        <w:rPr>
          <w:rFonts w:eastAsia="Times New Roman" w:cs="Arial"/>
          <w:color w:val="000000"/>
          <w:lang w:eastAsia="bg-BG"/>
        </w:rPr>
        <w:t>интензивно антибиотично лечение. Ако Енприл се прилага на такива пациенти се</w:t>
      </w:r>
      <w:r w:rsidRPr="002B6140">
        <w:rPr>
          <w:rFonts w:eastAsia="Times New Roman" w:cs="Arial"/>
          <w:color w:val="000000"/>
          <w:lang w:val="ru-RU" w:eastAsia="bg-BG"/>
        </w:rPr>
        <w:t xml:space="preserve"> </w:t>
      </w:r>
      <w:r w:rsidRPr="002B6140">
        <w:rPr>
          <w:rFonts w:eastAsia="Times New Roman" w:cs="Arial"/>
          <w:color w:val="000000"/>
          <w:lang w:eastAsia="bg-BG"/>
        </w:rPr>
        <w:t>препоръчва периодичен контрол на нивата на левкоцитите и пациентите трябва да бъдат уведомени да съобщават за всяка проява на инфекция.</w:t>
      </w:r>
    </w:p>
    <w:p w14:paraId="5509805B" w14:textId="77777777" w:rsidR="002B6140" w:rsidRDefault="002B6140" w:rsidP="002B6140">
      <w:pPr>
        <w:spacing w:line="240" w:lineRule="auto"/>
        <w:rPr>
          <w:rFonts w:eastAsia="Times New Roman" w:cs="Arial"/>
          <w:color w:val="000000"/>
          <w:u w:val="single"/>
          <w:lang w:eastAsia="bg-BG"/>
        </w:rPr>
      </w:pPr>
    </w:p>
    <w:p w14:paraId="65662954" w14:textId="5F798C55"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Свръхчувствителност /Ангионевротичен оток</w:t>
      </w:r>
    </w:p>
    <w:p w14:paraId="1B4C65B1"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Съобщава се за ангионевротичен оток, обхващащ лицето, крайниците, устните, езика, глотиса, и/или ларинкса при пациенти, лекувани с АСЕ инхибитори, включително еналаприл. Това може да се случи по всяко време на лечението. В такива случаи приемът на Енприл трябва да бъде спрян незабавно и пациентът да бъде подложен на наблюдение до пълно изчезване на симптомите преди изписването. Дори в случаите, когато отокът обхваща само езика, без да има респираторен дистрес синдром, може да се наложи по-продължително наблюдение на пациентите, тъй като лечението с антихистамини и кортикостероиди може да не е достатъчно.</w:t>
      </w:r>
    </w:p>
    <w:p w14:paraId="5CE5F989"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Много рядко е било докладвано за смъртни случаи в резултат на ангионевротичен оток, засягащ областта на ларинкса или езика. Пациенти, при които е обхванат езика, глотиса или ларинкса, е възможно да получат обструкция на дихателните пътища, особено онези, </w:t>
      </w:r>
      <w:r w:rsidRPr="002B6140">
        <w:rPr>
          <w:rFonts w:eastAsia="Times New Roman" w:cs="Arial"/>
          <w:color w:val="000000"/>
          <w:lang w:eastAsia="bg-BG"/>
        </w:rPr>
        <w:lastRenderedPageBreak/>
        <w:t xml:space="preserve">които имат анамнеза за оперативна интервенция в областта на дихателните пътища. Когато са въвлечени езика, глотиса или ларинкса, е възможно да настъпи остра обструкция на дихателните пътища и в такива случаи трябва незабавно да се предприемат подходящи мерки, включващи подкожно приложение на 1:1000 разтвор на адреналин (0,3 </w:t>
      </w:r>
      <w:r w:rsidRPr="002B6140">
        <w:rPr>
          <w:rFonts w:eastAsia="Times New Roman" w:cs="Arial"/>
          <w:color w:val="000000"/>
          <w:lang w:val="en-US"/>
        </w:rPr>
        <w:t>ml</w:t>
      </w:r>
      <w:r w:rsidRPr="002B6140">
        <w:rPr>
          <w:rFonts w:eastAsia="Times New Roman" w:cs="Arial"/>
          <w:color w:val="000000"/>
          <w:lang w:val="ru-RU"/>
        </w:rPr>
        <w:t xml:space="preserve"> </w:t>
      </w:r>
      <w:r w:rsidRPr="002B6140">
        <w:rPr>
          <w:rFonts w:eastAsia="Times New Roman" w:cs="Arial"/>
          <w:color w:val="000000"/>
          <w:lang w:eastAsia="bg-BG"/>
        </w:rPr>
        <w:t xml:space="preserve">до 0,5 </w:t>
      </w:r>
      <w:r w:rsidRPr="002B6140">
        <w:rPr>
          <w:rFonts w:eastAsia="Times New Roman" w:cs="Arial"/>
          <w:color w:val="000000"/>
          <w:lang w:val="en-US"/>
        </w:rPr>
        <w:t>ml</w:t>
      </w:r>
      <w:r w:rsidRPr="002B6140">
        <w:rPr>
          <w:rFonts w:eastAsia="Times New Roman" w:cs="Arial"/>
          <w:color w:val="000000"/>
          <w:lang w:val="ru-RU"/>
        </w:rPr>
        <w:t xml:space="preserve">) </w:t>
      </w:r>
      <w:r w:rsidRPr="002B6140">
        <w:rPr>
          <w:rFonts w:eastAsia="Times New Roman" w:cs="Arial"/>
          <w:color w:val="000000"/>
          <w:lang w:eastAsia="bg-BG"/>
        </w:rPr>
        <w:t>и/или мерки за освобождаване на дихателните пътища.</w:t>
      </w:r>
    </w:p>
    <w:p w14:paraId="2948BF72" w14:textId="77777777" w:rsidR="002B6140" w:rsidRDefault="002B6140" w:rsidP="002B6140">
      <w:pPr>
        <w:spacing w:line="240" w:lineRule="auto"/>
        <w:rPr>
          <w:rFonts w:eastAsia="Times New Roman" w:cs="Arial"/>
          <w:color w:val="000000"/>
          <w:lang w:eastAsia="bg-BG"/>
        </w:rPr>
      </w:pPr>
    </w:p>
    <w:p w14:paraId="7DA2EC7C" w14:textId="688DF6FA" w:rsidR="002B6140" w:rsidRPr="002B6140" w:rsidRDefault="002B6140" w:rsidP="002B6140">
      <w:pPr>
        <w:spacing w:line="240" w:lineRule="auto"/>
        <w:rPr>
          <w:rFonts w:eastAsia="Times New Roman" w:cs="Arial"/>
        </w:rPr>
      </w:pPr>
      <w:r w:rsidRPr="002B6140">
        <w:rPr>
          <w:rFonts w:eastAsia="Times New Roman" w:cs="Arial"/>
          <w:color w:val="000000"/>
          <w:lang w:eastAsia="bg-BG"/>
        </w:rPr>
        <w:t>Докладвана е по-голяма честота на ангионевротичен оток при чернокожи пациенти, лекувани с АСЕ инхибитори, в сравнение с пациенти от бялата раса.</w:t>
      </w:r>
    </w:p>
    <w:p w14:paraId="038C1C14" w14:textId="77777777" w:rsidR="002B6140" w:rsidRDefault="002B6140" w:rsidP="002B6140">
      <w:pPr>
        <w:spacing w:line="240" w:lineRule="auto"/>
        <w:rPr>
          <w:rFonts w:eastAsia="Times New Roman" w:cs="Arial"/>
          <w:color w:val="000000"/>
          <w:lang w:eastAsia="bg-BG"/>
        </w:rPr>
      </w:pPr>
    </w:p>
    <w:p w14:paraId="6E574A94" w14:textId="66E53E18" w:rsidR="002B6140" w:rsidRPr="002B6140" w:rsidRDefault="002B6140" w:rsidP="002B6140">
      <w:pPr>
        <w:spacing w:line="240" w:lineRule="auto"/>
        <w:rPr>
          <w:rFonts w:eastAsia="Times New Roman" w:cs="Arial"/>
        </w:rPr>
      </w:pPr>
      <w:r w:rsidRPr="002B6140">
        <w:rPr>
          <w:rFonts w:eastAsia="Times New Roman" w:cs="Arial"/>
          <w:color w:val="000000"/>
          <w:lang w:eastAsia="bg-BG"/>
        </w:rPr>
        <w:t>Пациенти с анамнеза за ангионевротичен оток, несвързан с приложение на АСЕ инхибитори могат да бъдат с повишен риск за развитие на ангиоедем при употреба на АСЕ инхибитори, (вж. също точка 4.3).</w:t>
      </w:r>
    </w:p>
    <w:p w14:paraId="614D5853" w14:textId="77777777" w:rsidR="002B6140" w:rsidRDefault="002B6140" w:rsidP="002B6140">
      <w:pPr>
        <w:spacing w:line="240" w:lineRule="auto"/>
        <w:rPr>
          <w:rFonts w:eastAsia="Times New Roman" w:cs="Arial"/>
          <w:color w:val="000000"/>
          <w:u w:val="single"/>
          <w:lang w:eastAsia="bg-BG"/>
        </w:rPr>
      </w:pPr>
    </w:p>
    <w:p w14:paraId="25D50195" w14:textId="311DDA52"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Анафилактоидна реакция при десенбилизация с хименоптера</w:t>
      </w:r>
    </w:p>
    <w:p w14:paraId="77AA87AB"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Рядко, пациенти приемащи АСЕ инхибитори по време на десензибилизация с отрова от хименоптера са развивали живото-застрашаващи анафилактоидни реакции. Тези реакции са били избягвани чрез прекратяване на АСЕ инхибиторното лечение преди всяка десензибилизация.</w:t>
      </w:r>
    </w:p>
    <w:p w14:paraId="5DCA8959" w14:textId="77777777" w:rsidR="002B6140" w:rsidRDefault="002B6140" w:rsidP="002B6140">
      <w:pPr>
        <w:spacing w:line="240" w:lineRule="auto"/>
        <w:rPr>
          <w:rFonts w:eastAsia="Times New Roman" w:cs="Arial"/>
          <w:color w:val="000000"/>
          <w:u w:val="single"/>
          <w:lang w:eastAsia="bg-BG"/>
        </w:rPr>
      </w:pPr>
    </w:p>
    <w:p w14:paraId="6423A374" w14:textId="6F424E80"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 xml:space="preserve">Анафилактоидни реакции по време на </w:t>
      </w:r>
      <w:r w:rsidRPr="002B6140">
        <w:rPr>
          <w:rFonts w:eastAsia="Times New Roman" w:cs="Arial"/>
          <w:color w:val="000000"/>
          <w:u w:val="single"/>
          <w:lang w:val="en-US"/>
        </w:rPr>
        <w:t>LDL</w:t>
      </w:r>
      <w:r w:rsidRPr="002B6140">
        <w:rPr>
          <w:rFonts w:eastAsia="Times New Roman" w:cs="Arial"/>
          <w:color w:val="000000"/>
          <w:u w:val="single"/>
          <w:lang w:val="ru-RU"/>
        </w:rPr>
        <w:t xml:space="preserve"> </w:t>
      </w:r>
      <w:r w:rsidRPr="002B6140">
        <w:rPr>
          <w:rFonts w:eastAsia="Times New Roman" w:cs="Arial"/>
          <w:color w:val="000000"/>
          <w:u w:val="single"/>
          <w:lang w:eastAsia="bg-BG"/>
        </w:rPr>
        <w:t>афереза</w:t>
      </w:r>
    </w:p>
    <w:p w14:paraId="46428E8E"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Рядко пациенти, лекувани с АСЕ инхибитори, получават живото-застрашаващи анафилактоидни реакции по време на </w:t>
      </w:r>
      <w:r w:rsidRPr="002B6140">
        <w:rPr>
          <w:rFonts w:eastAsia="Times New Roman" w:cs="Arial"/>
          <w:color w:val="000000"/>
          <w:lang w:val="en-US"/>
        </w:rPr>
        <w:t>LDL</w:t>
      </w:r>
      <w:r w:rsidRPr="002B6140">
        <w:rPr>
          <w:rFonts w:eastAsia="Times New Roman" w:cs="Arial"/>
          <w:color w:val="000000"/>
          <w:lang w:val="ru-RU"/>
        </w:rPr>
        <w:t xml:space="preserve"> (</w:t>
      </w:r>
      <w:r w:rsidRPr="002B6140">
        <w:rPr>
          <w:rFonts w:eastAsia="Times New Roman" w:cs="Arial"/>
          <w:color w:val="000000"/>
          <w:lang w:val="en-US"/>
        </w:rPr>
        <w:t>Low</w:t>
      </w:r>
      <w:r w:rsidRPr="002B6140">
        <w:rPr>
          <w:rFonts w:eastAsia="Times New Roman" w:cs="Arial"/>
          <w:color w:val="000000"/>
          <w:lang w:val="ru-RU"/>
        </w:rPr>
        <w:t xml:space="preserve"> </w:t>
      </w:r>
      <w:r w:rsidRPr="002B6140">
        <w:rPr>
          <w:rFonts w:eastAsia="Times New Roman" w:cs="Arial"/>
          <w:color w:val="000000"/>
          <w:lang w:val="en-US"/>
        </w:rPr>
        <w:t>Density</w:t>
      </w:r>
      <w:r w:rsidRPr="002B6140">
        <w:rPr>
          <w:rFonts w:eastAsia="Times New Roman" w:cs="Arial"/>
          <w:color w:val="000000"/>
          <w:lang w:val="ru-RU"/>
        </w:rPr>
        <w:t xml:space="preserve"> </w:t>
      </w:r>
      <w:r w:rsidRPr="002B6140">
        <w:rPr>
          <w:rFonts w:eastAsia="Times New Roman" w:cs="Arial"/>
          <w:color w:val="000000"/>
          <w:lang w:val="en-US"/>
        </w:rPr>
        <w:t>Lipoproteins</w:t>
      </w:r>
      <w:r w:rsidRPr="002B6140">
        <w:rPr>
          <w:rFonts w:eastAsia="Times New Roman" w:cs="Arial"/>
          <w:color w:val="000000"/>
          <w:lang w:eastAsia="bg-BG"/>
        </w:rPr>
        <w:t>-липопротеини с ниска плътност) афереза с декстран сулфат. Тези реакции се избягват чрез временно прекъсване на терапията с АСЕ инхибитор преди всяка афереза.</w:t>
      </w:r>
    </w:p>
    <w:p w14:paraId="392C274B" w14:textId="77777777" w:rsidR="002B6140" w:rsidRDefault="002B6140" w:rsidP="002B6140">
      <w:pPr>
        <w:spacing w:line="240" w:lineRule="auto"/>
        <w:rPr>
          <w:rFonts w:eastAsia="Times New Roman" w:cs="Arial"/>
          <w:color w:val="000000"/>
          <w:u w:val="single"/>
          <w:lang w:eastAsia="bg-BG"/>
        </w:rPr>
      </w:pPr>
    </w:p>
    <w:p w14:paraId="0263A945" w14:textId="3E03F71F"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Пациенти на хемодиализа</w:t>
      </w:r>
    </w:p>
    <w:p w14:paraId="44615AB6"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 xml:space="preserve">Анафилактоидни реакции са наблюдавани при пациенти, подложени на диализа с високо- пропускливи мембрани (напр. </w:t>
      </w:r>
      <w:r w:rsidRPr="002B6140">
        <w:rPr>
          <w:rFonts w:eastAsia="Times New Roman" w:cs="Arial"/>
          <w:color w:val="000000"/>
          <w:lang w:val="en-US"/>
        </w:rPr>
        <w:t>AN</w:t>
      </w:r>
      <w:r w:rsidRPr="002B6140">
        <w:rPr>
          <w:rFonts w:eastAsia="Times New Roman" w:cs="Arial"/>
          <w:color w:val="000000"/>
          <w:lang w:val="ru-RU"/>
        </w:rPr>
        <w:t>69</w:t>
      </w:r>
      <w:r w:rsidRPr="002B6140">
        <w:rPr>
          <w:rFonts w:eastAsia="Times New Roman" w:cs="Arial"/>
          <w:color w:val="000000"/>
          <w:vertAlign w:val="superscript"/>
          <w:lang w:val="ru-RU"/>
        </w:rPr>
        <w:t>®</w:t>
      </w:r>
      <w:r w:rsidRPr="002B6140">
        <w:rPr>
          <w:rFonts w:eastAsia="Times New Roman" w:cs="Arial"/>
          <w:color w:val="000000"/>
          <w:lang w:val="ru-RU"/>
        </w:rPr>
        <w:t xml:space="preserve">) </w:t>
      </w:r>
      <w:r w:rsidRPr="002B6140">
        <w:rPr>
          <w:rFonts w:eastAsia="Times New Roman" w:cs="Arial"/>
          <w:color w:val="000000"/>
          <w:lang w:eastAsia="bg-BG"/>
        </w:rPr>
        <w:t>и лекувани същевременно с АСЕ инхибитори, вкл. еналаприл. При тези пациенти би трябвало да се обсъди използването на друг вид диализни мембрани или друг клас антихипертензивни средства.</w:t>
      </w:r>
    </w:p>
    <w:p w14:paraId="1CCF8ABC" w14:textId="77777777" w:rsidR="002B6140" w:rsidRDefault="002B6140" w:rsidP="002B6140">
      <w:pPr>
        <w:spacing w:line="240" w:lineRule="auto"/>
        <w:rPr>
          <w:rFonts w:eastAsia="Times New Roman" w:cs="Arial"/>
          <w:color w:val="000000"/>
          <w:u w:val="single"/>
          <w:lang w:eastAsia="bg-BG"/>
        </w:rPr>
      </w:pPr>
    </w:p>
    <w:p w14:paraId="65E1DD1F" w14:textId="6DEC4993"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Кашлица</w:t>
      </w:r>
    </w:p>
    <w:p w14:paraId="24ECD969" w14:textId="77777777" w:rsidR="002B6140" w:rsidRPr="002B6140" w:rsidRDefault="002B6140" w:rsidP="002B6140">
      <w:pPr>
        <w:spacing w:line="240" w:lineRule="auto"/>
        <w:rPr>
          <w:rFonts w:eastAsia="Times New Roman" w:cs="Arial"/>
        </w:rPr>
      </w:pPr>
      <w:r w:rsidRPr="002B6140">
        <w:rPr>
          <w:rFonts w:eastAsia="Times New Roman" w:cs="Arial"/>
          <w:color w:val="000000"/>
          <w:lang w:eastAsia="bg-BG"/>
        </w:rPr>
        <w:t>При употреба на АСЕ инхибитори е възможна поява на кашлица. Тя обикновено е непродуктивна, персистираща и изчезва след спиране на терапията. Предизвиканата от АСЕ инхибитор кашлица трябва да се има предвид при диференциалната диагноза на кашлицата.</w:t>
      </w:r>
    </w:p>
    <w:p w14:paraId="5962CA0C" w14:textId="77777777" w:rsidR="002B6140" w:rsidRDefault="002B6140" w:rsidP="002B6140">
      <w:pPr>
        <w:spacing w:line="240" w:lineRule="auto"/>
        <w:rPr>
          <w:rFonts w:eastAsia="Times New Roman" w:cs="Arial"/>
          <w:color w:val="000000"/>
          <w:u w:val="single"/>
          <w:lang w:eastAsia="bg-BG"/>
        </w:rPr>
      </w:pPr>
    </w:p>
    <w:p w14:paraId="2D5D613F" w14:textId="610A0B5D" w:rsidR="002B6140" w:rsidRPr="002B6140" w:rsidRDefault="002B6140" w:rsidP="002B6140">
      <w:pPr>
        <w:spacing w:line="240" w:lineRule="auto"/>
        <w:rPr>
          <w:rFonts w:eastAsia="Times New Roman" w:cs="Arial"/>
        </w:rPr>
      </w:pPr>
      <w:r w:rsidRPr="002B6140">
        <w:rPr>
          <w:rFonts w:eastAsia="Times New Roman" w:cs="Arial"/>
          <w:color w:val="000000"/>
          <w:u w:val="single"/>
          <w:lang w:eastAsia="bg-BG"/>
        </w:rPr>
        <w:t>Хирургия/анестезия</w:t>
      </w:r>
    </w:p>
    <w:p w14:paraId="14035722" w14:textId="72686807" w:rsidR="002B6140" w:rsidRPr="002B6140" w:rsidRDefault="002B6140" w:rsidP="002B6140">
      <w:pPr>
        <w:spacing w:line="240" w:lineRule="auto"/>
        <w:rPr>
          <w:rFonts w:eastAsia="Times New Roman" w:cs="Arial"/>
          <w:lang w:val="ru-RU"/>
        </w:rPr>
      </w:pPr>
      <w:r w:rsidRPr="002B6140">
        <w:rPr>
          <w:rFonts w:eastAsia="Times New Roman" w:cs="Arial"/>
          <w:color w:val="000000"/>
          <w:lang w:eastAsia="bg-BG"/>
        </w:rPr>
        <w:t xml:space="preserve">При пациенти, подложени на голяма хирургическа интервенция или при използване на анестетици, предизвикващи хипотония, еналаприл блокира образуването на ангиотензин </w:t>
      </w:r>
      <w:r w:rsidRPr="002B6140">
        <w:rPr>
          <w:rFonts w:eastAsia="Times New Roman" w:cs="Arial"/>
          <w:color w:val="000000"/>
          <w:lang w:val="en-US"/>
        </w:rPr>
        <w:t>II</w:t>
      </w:r>
      <w:r w:rsidRPr="002B6140">
        <w:rPr>
          <w:rFonts w:eastAsia="Times New Roman" w:cs="Arial"/>
          <w:color w:val="000000"/>
          <w:lang w:val="ru-RU"/>
        </w:rPr>
        <w:t>,</w:t>
      </w:r>
      <w:r w:rsidRPr="002B6140">
        <w:rPr>
          <w:rFonts w:eastAsia="Times New Roman" w:cs="Arial"/>
          <w:color w:val="000000"/>
          <w:lang w:eastAsia="bg-BG"/>
        </w:rPr>
        <w:t xml:space="preserve"> обусловено от компенсаторното освобождаване на ренин. Ако настъпи състояние на хипотония и се приеме, че това е резултат на вече описания механизъм, тя може да се коригира чрез възстановяване на обема.</w:t>
      </w:r>
    </w:p>
    <w:p w14:paraId="0A776B32" w14:textId="3DEE1157" w:rsidR="002B6140" w:rsidRDefault="002B6140" w:rsidP="002B6140"/>
    <w:p w14:paraId="0101DFD9"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Хиперкалиемия</w:t>
      </w:r>
    </w:p>
    <w:p w14:paraId="3FF54499"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 xml:space="preserve">При някои пациенти, лекувани с АСЕ инхибитори, включително еналаприл са наблюдавани покачвания в нивата на серумния калий. Рисковите фактори за развитие на хиперкалиемия включват бъбречна недостатъчност, влошаване на бъбречната функция, възраст (&gt; 70 години), захарен диабет, съпътстващи събития, особено дехидратация, остра сърдечна декомпенсация, метаболитна ацидоза и едновременна употреба на калий-съхраняващи диуретици (напр. спиронолактон, еплеренон, триамтерен или </w:t>
      </w:r>
      <w:r w:rsidRPr="002B6140">
        <w:rPr>
          <w:rFonts w:eastAsia="Times New Roman" w:cs="Arial"/>
          <w:color w:val="000000"/>
          <w:szCs w:val="44"/>
          <w:lang w:eastAsia="bg-BG"/>
        </w:rPr>
        <w:lastRenderedPageBreak/>
        <w:t>амилорид), добавки съдържащи калий или заместители на солта или такива пациенти, приемащи други лекарства, свързани с повишаване на серумния калий (напр. хепарин).</w:t>
      </w:r>
    </w:p>
    <w:p w14:paraId="4235AC92" w14:textId="77777777" w:rsidR="002B6140" w:rsidRDefault="002B6140" w:rsidP="002B6140">
      <w:pPr>
        <w:spacing w:line="240" w:lineRule="auto"/>
        <w:rPr>
          <w:rFonts w:eastAsia="Times New Roman" w:cs="Arial"/>
          <w:color w:val="000000"/>
          <w:szCs w:val="44"/>
          <w:lang w:eastAsia="bg-BG"/>
        </w:rPr>
      </w:pPr>
    </w:p>
    <w:p w14:paraId="3F558756" w14:textId="138075D8"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Употребата на добавки, съдържащи калий, на калий-съхраняващи диуретици или на заместители на солта, съдържащи калий, особено при пациенти с увредена бъбречна функция, може да доведе до значимо повишение на серумния калий. Хиперкалиемията може да причини сериозни, понякога фатални аритмии.</w:t>
      </w:r>
    </w:p>
    <w:p w14:paraId="0E010D7E" w14:textId="77777777" w:rsidR="002B6140" w:rsidRDefault="002B6140" w:rsidP="002B6140">
      <w:pPr>
        <w:spacing w:line="240" w:lineRule="auto"/>
        <w:rPr>
          <w:rFonts w:eastAsia="Times New Roman" w:cs="Arial"/>
          <w:color w:val="000000"/>
          <w:szCs w:val="44"/>
          <w:lang w:eastAsia="bg-BG"/>
        </w:rPr>
      </w:pPr>
    </w:p>
    <w:p w14:paraId="4F35C6CF" w14:textId="202A335C"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Ако се налага съпътстваща употреба на еналаприл с кое да е от гореспоменатите средства, то те трябва да се използват внимателно и с често мониториране на нивата на серумния калий (вж. точка 4.5).</w:t>
      </w:r>
    </w:p>
    <w:p w14:paraId="1E505C78" w14:textId="77777777" w:rsidR="002B6140" w:rsidRDefault="002B6140" w:rsidP="002B6140">
      <w:pPr>
        <w:spacing w:line="240" w:lineRule="auto"/>
        <w:rPr>
          <w:rFonts w:eastAsia="Times New Roman" w:cs="Arial"/>
          <w:color w:val="000000"/>
          <w:szCs w:val="44"/>
          <w:u w:val="single"/>
          <w:lang w:eastAsia="bg-BG"/>
        </w:rPr>
      </w:pPr>
    </w:p>
    <w:p w14:paraId="5D18C17F" w14:textId="596F4FAC"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Хипогликемия</w:t>
      </w:r>
    </w:p>
    <w:p w14:paraId="19C41E39"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Пациенти с диабет, лекувани с перорални антидиабетни средства или с инсулин, започващи лечение с АСЕ инхибитор, трябва внимателно да се проследяват за хипогликемия, особено през първия месец на комбинираното лечение (вж. точка 4.5).</w:t>
      </w:r>
    </w:p>
    <w:p w14:paraId="47E5B6B4" w14:textId="77777777" w:rsidR="002B6140" w:rsidRDefault="002B6140" w:rsidP="002B6140">
      <w:pPr>
        <w:spacing w:line="240" w:lineRule="auto"/>
        <w:rPr>
          <w:rFonts w:eastAsia="Times New Roman" w:cs="Arial"/>
          <w:color w:val="000000"/>
          <w:szCs w:val="44"/>
          <w:u w:val="single"/>
          <w:lang w:eastAsia="bg-BG"/>
        </w:rPr>
      </w:pPr>
    </w:p>
    <w:p w14:paraId="13C83891" w14:textId="0BF8190D"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Литий</w:t>
      </w:r>
    </w:p>
    <w:p w14:paraId="032ECD93"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Комбинирането на литий и еналаприл по принцип не се препоръчва (вж. точка 4.5).</w:t>
      </w:r>
    </w:p>
    <w:p w14:paraId="35F55D7A" w14:textId="77777777" w:rsidR="002B6140" w:rsidRDefault="002B6140" w:rsidP="002B6140">
      <w:pPr>
        <w:spacing w:line="240" w:lineRule="auto"/>
        <w:rPr>
          <w:rFonts w:eastAsia="Times New Roman" w:cs="Arial"/>
          <w:color w:val="000000"/>
          <w:szCs w:val="44"/>
          <w:u w:val="single"/>
          <w:lang w:eastAsia="bg-BG"/>
        </w:rPr>
      </w:pPr>
    </w:p>
    <w:p w14:paraId="35912B0A" w14:textId="529EECF5"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Лактоза</w:t>
      </w:r>
    </w:p>
    <w:p w14:paraId="1D2CDFAD"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 xml:space="preserve">Енприл съдържа лактоза и затова не трябва да се прилага при пациенти с редки наследствени проблеми на галактозна непоносимост, </w:t>
      </w:r>
      <w:r w:rsidRPr="002B6140">
        <w:rPr>
          <w:rFonts w:eastAsia="Times New Roman" w:cs="Arial"/>
          <w:color w:val="000000"/>
          <w:szCs w:val="44"/>
          <w:lang w:val="en-US"/>
        </w:rPr>
        <w:t>Lapp</w:t>
      </w:r>
      <w:r w:rsidRPr="002B6140">
        <w:rPr>
          <w:rFonts w:eastAsia="Times New Roman" w:cs="Arial"/>
          <w:color w:val="000000"/>
          <w:szCs w:val="44"/>
          <w:lang w:eastAsia="bg-BG"/>
        </w:rPr>
        <w:t xml:space="preserve">-лактазен дефицит или глюкозо- галактозна малабсорбция. Енприл съдържа по-малко от 200 </w:t>
      </w:r>
      <w:r w:rsidRPr="002B6140">
        <w:rPr>
          <w:rFonts w:eastAsia="Times New Roman" w:cs="Arial"/>
          <w:color w:val="000000"/>
          <w:szCs w:val="44"/>
          <w:lang w:val="en-US"/>
        </w:rPr>
        <w:t>mg</w:t>
      </w:r>
      <w:r w:rsidRPr="002B6140">
        <w:rPr>
          <w:rFonts w:eastAsia="Times New Roman" w:cs="Arial"/>
          <w:color w:val="000000"/>
          <w:szCs w:val="44"/>
          <w:lang w:val="ru-RU"/>
        </w:rPr>
        <w:t xml:space="preserve"> </w:t>
      </w:r>
      <w:r w:rsidRPr="002B6140">
        <w:rPr>
          <w:rFonts w:eastAsia="Times New Roman" w:cs="Arial"/>
          <w:color w:val="000000"/>
          <w:szCs w:val="44"/>
          <w:lang w:eastAsia="bg-BG"/>
        </w:rPr>
        <w:t>лактоза в една таблетка.</w:t>
      </w:r>
    </w:p>
    <w:p w14:paraId="7B612E31" w14:textId="77777777" w:rsidR="002B6140" w:rsidRDefault="002B6140" w:rsidP="002B6140">
      <w:pPr>
        <w:spacing w:line="240" w:lineRule="auto"/>
        <w:rPr>
          <w:rFonts w:eastAsia="Times New Roman" w:cs="Arial"/>
          <w:color w:val="000000"/>
          <w:szCs w:val="44"/>
          <w:u w:val="single"/>
          <w:lang w:eastAsia="bg-BG"/>
        </w:rPr>
      </w:pPr>
    </w:p>
    <w:p w14:paraId="5D8DAD70" w14:textId="210FEF6F"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Употреба при деца</w:t>
      </w:r>
    </w:p>
    <w:p w14:paraId="1F43875E"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Има ограничени данни за безопасността и ефективността при деца с хипертония &gt; 6 години, но няма опит за другите показания. Налични са ограничени фармакокинетични данни при деца над 2 месеца (вж. също точки 4.2, 5.1 и 5.2). Енприл не се препоръчва при деца с други показания освен хипертония.</w:t>
      </w:r>
    </w:p>
    <w:p w14:paraId="630F4E1F" w14:textId="77777777" w:rsidR="002B6140" w:rsidRDefault="002B6140" w:rsidP="002B6140">
      <w:pPr>
        <w:spacing w:line="240" w:lineRule="auto"/>
        <w:rPr>
          <w:rFonts w:eastAsia="Times New Roman" w:cs="Arial"/>
          <w:color w:val="000000"/>
          <w:szCs w:val="44"/>
          <w:lang w:eastAsia="bg-BG"/>
        </w:rPr>
      </w:pPr>
    </w:p>
    <w:p w14:paraId="7CACE747" w14:textId="1BF6B876"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 xml:space="preserve">Енприл таблетки не се препоръчва при новородени и при деца с ниво на гломерулната филтрация &lt; 30 </w:t>
      </w:r>
      <w:r w:rsidRPr="002B6140">
        <w:rPr>
          <w:rFonts w:eastAsia="Times New Roman" w:cs="Arial"/>
          <w:color w:val="000000"/>
          <w:szCs w:val="44"/>
          <w:lang w:val="en-US"/>
        </w:rPr>
        <w:t>ml</w:t>
      </w:r>
      <w:r w:rsidRPr="002B6140">
        <w:rPr>
          <w:rFonts w:eastAsia="Times New Roman" w:cs="Arial"/>
          <w:color w:val="000000"/>
          <w:szCs w:val="44"/>
          <w:lang w:val="ru-RU"/>
        </w:rPr>
        <w:t>/</w:t>
      </w:r>
      <w:r w:rsidRPr="002B6140">
        <w:rPr>
          <w:rFonts w:eastAsia="Times New Roman" w:cs="Arial"/>
          <w:color w:val="000000"/>
          <w:szCs w:val="44"/>
          <w:lang w:val="en-US"/>
        </w:rPr>
        <w:t>min</w:t>
      </w:r>
      <w:r w:rsidRPr="002B6140">
        <w:rPr>
          <w:rFonts w:eastAsia="Times New Roman" w:cs="Arial"/>
          <w:color w:val="000000"/>
          <w:szCs w:val="44"/>
          <w:lang w:val="ru-RU"/>
        </w:rPr>
        <w:t xml:space="preserve">/1,73 </w:t>
      </w:r>
      <w:r w:rsidRPr="002B6140">
        <w:rPr>
          <w:rFonts w:eastAsia="Times New Roman" w:cs="Arial"/>
          <w:color w:val="000000"/>
          <w:szCs w:val="44"/>
          <w:lang w:eastAsia="bg-BG"/>
        </w:rPr>
        <w:t>кв.м, поради липса на данни при тези групи пациенти (вж.точка 4.2).</w:t>
      </w:r>
    </w:p>
    <w:p w14:paraId="65FDB71B" w14:textId="77777777" w:rsidR="002B6140" w:rsidRDefault="002B6140" w:rsidP="002B6140">
      <w:pPr>
        <w:spacing w:line="240" w:lineRule="auto"/>
        <w:rPr>
          <w:rFonts w:eastAsia="Times New Roman" w:cs="Arial"/>
          <w:color w:val="000000"/>
          <w:szCs w:val="44"/>
          <w:u w:val="single"/>
          <w:lang w:eastAsia="bg-BG"/>
        </w:rPr>
      </w:pPr>
    </w:p>
    <w:p w14:paraId="10318F99" w14:textId="5A3608D5"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Бременност</w:t>
      </w:r>
    </w:p>
    <w:p w14:paraId="585E9D59" w14:textId="77777777"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lang w:eastAsia="bg-BG"/>
        </w:rPr>
        <w:t>По време на бременност не трябва да се започва лечение с АСЕ инхибитори. Освен ако продължаването на терапията с АСЕ инхибитор не се счита за наложителна, пациентките, планиращи бременност трябва да преминат на друга алтернативна антихипертензивна терапия, която имат установен профил на безопасност при употреба по време на бременност. Когато се установи бременност, лечението с АСЕ инхибитори трябва да се преустанови незабавно и да се започне алтернативна терапия, ако е подходящо (вж. точки 4.3 и 4.6).</w:t>
      </w:r>
    </w:p>
    <w:p w14:paraId="63FA7F69" w14:textId="77777777" w:rsidR="002B6140" w:rsidRDefault="002B6140" w:rsidP="002B6140">
      <w:pPr>
        <w:spacing w:line="240" w:lineRule="auto"/>
        <w:rPr>
          <w:rFonts w:eastAsia="Times New Roman" w:cs="Arial"/>
          <w:color w:val="000000"/>
          <w:szCs w:val="44"/>
          <w:u w:val="single"/>
          <w:lang w:eastAsia="bg-BG"/>
        </w:rPr>
      </w:pPr>
    </w:p>
    <w:p w14:paraId="40C74516" w14:textId="51667DF2" w:rsidR="002B6140" w:rsidRPr="002B6140" w:rsidRDefault="002B6140" w:rsidP="002B6140">
      <w:pPr>
        <w:spacing w:line="240" w:lineRule="auto"/>
        <w:rPr>
          <w:rFonts w:eastAsia="Times New Roman" w:cs="Arial"/>
          <w:sz w:val="12"/>
          <w:szCs w:val="24"/>
        </w:rPr>
      </w:pPr>
      <w:r w:rsidRPr="002B6140">
        <w:rPr>
          <w:rFonts w:eastAsia="Times New Roman" w:cs="Arial"/>
          <w:color w:val="000000"/>
          <w:szCs w:val="44"/>
          <w:u w:val="single"/>
          <w:lang w:eastAsia="bg-BG"/>
        </w:rPr>
        <w:t>Етнически различия</w:t>
      </w:r>
    </w:p>
    <w:p w14:paraId="711C0E6B" w14:textId="4905B109" w:rsidR="002B6140" w:rsidRPr="002B6140" w:rsidRDefault="002B6140" w:rsidP="002B6140">
      <w:pPr>
        <w:rPr>
          <w:rFonts w:eastAsia="Times New Roman" w:cs="Arial"/>
          <w:color w:val="000000"/>
          <w:szCs w:val="44"/>
          <w:lang w:eastAsia="bg-BG"/>
        </w:rPr>
      </w:pPr>
      <w:r w:rsidRPr="002B6140">
        <w:rPr>
          <w:rFonts w:eastAsia="Times New Roman" w:cs="Arial"/>
          <w:color w:val="000000"/>
          <w:szCs w:val="44"/>
          <w:lang w:eastAsia="bg-BG"/>
        </w:rPr>
        <w:t>Както и останалите инхибитори на ангиотензин конвертиращ ензим, еналаприл е по-слабо ефикасен за понижаване на кръвното налягане при чернокожи пациенти, в сравнение с останалите пациенти, най-вероятно поради високата честота на разпространение на състояния с нисък ренин при чернокожиге пациенти с хипертония.</w:t>
      </w:r>
    </w:p>
    <w:p w14:paraId="7A6589B2" w14:textId="77777777" w:rsidR="002B6140" w:rsidRPr="002B6140" w:rsidRDefault="002B6140" w:rsidP="002B6140"/>
    <w:p w14:paraId="5321871A" w14:textId="77777777" w:rsidR="002B6140"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A6ADD67" w14:textId="77777777" w:rsidR="002B6140" w:rsidRDefault="002B6140" w:rsidP="00936AD0">
      <w:pPr>
        <w:pStyle w:val="Heading2"/>
      </w:pPr>
    </w:p>
    <w:p w14:paraId="1029D4AD" w14:textId="77777777" w:rsidR="002B6140" w:rsidRPr="002B6140" w:rsidRDefault="002B6140" w:rsidP="002B6140">
      <w:pPr>
        <w:rPr>
          <w:rFonts w:cs="Arial"/>
        </w:rPr>
      </w:pPr>
      <w:r w:rsidRPr="002B6140">
        <w:rPr>
          <w:rFonts w:cs="Arial"/>
          <w:u w:val="single"/>
        </w:rPr>
        <w:t>Калий-съхраняващи диуретици или добавки, съдържащи калий</w:t>
      </w:r>
    </w:p>
    <w:p w14:paraId="2FD09F74" w14:textId="77777777" w:rsidR="002B6140" w:rsidRPr="002B6140" w:rsidRDefault="002B6140" w:rsidP="002B6140">
      <w:pPr>
        <w:rPr>
          <w:rFonts w:cs="Arial"/>
        </w:rPr>
      </w:pPr>
      <w:r w:rsidRPr="002B6140">
        <w:rPr>
          <w:rFonts w:cs="Arial"/>
        </w:rPr>
        <w:t>АСЕ инхибиторите отслабват индуцираната от диуретиците загуба на калий. Калий- съхраняващите диуретици (напр. спиронолактон, еплеренон, триамтерен или амилорид), добавките, съдържащи калий или заместителите на солта, съдържащи калий могат да доведат до значимо повишение на серумния калий.</w:t>
      </w:r>
    </w:p>
    <w:p w14:paraId="7181FE3A" w14:textId="77777777" w:rsidR="002B6140" w:rsidRPr="002B6140" w:rsidRDefault="002B6140" w:rsidP="002B6140">
      <w:pPr>
        <w:rPr>
          <w:rFonts w:cs="Arial"/>
        </w:rPr>
      </w:pPr>
      <w:r w:rsidRPr="002B6140">
        <w:rPr>
          <w:rFonts w:cs="Arial"/>
        </w:rPr>
        <w:t>Ако се налага едновременна употреба поради установена хипокалиемия, те трябва да бъдат използвани с повишено внимание и при често проследяване на серумния калий вж. точка 4.4).</w:t>
      </w:r>
    </w:p>
    <w:p w14:paraId="6361E1C0" w14:textId="77777777" w:rsidR="002B6140" w:rsidRDefault="002B6140" w:rsidP="002B6140">
      <w:pPr>
        <w:rPr>
          <w:rFonts w:cs="Arial"/>
          <w:u w:val="single"/>
        </w:rPr>
      </w:pPr>
    </w:p>
    <w:p w14:paraId="2302F627" w14:textId="0EE7883A" w:rsidR="002B6140" w:rsidRPr="002B6140" w:rsidRDefault="002B6140" w:rsidP="002B6140">
      <w:pPr>
        <w:rPr>
          <w:rFonts w:cs="Arial"/>
        </w:rPr>
      </w:pPr>
      <w:r w:rsidRPr="002B6140">
        <w:rPr>
          <w:rFonts w:cs="Arial"/>
          <w:u w:val="single"/>
        </w:rPr>
        <w:t>Диуретици (тиазиди и бримкови диуретици)</w:t>
      </w:r>
    </w:p>
    <w:p w14:paraId="43A9EC0B" w14:textId="77777777" w:rsidR="002B6140" w:rsidRPr="002B6140" w:rsidRDefault="002B6140" w:rsidP="002B6140">
      <w:pPr>
        <w:rPr>
          <w:rFonts w:cs="Arial"/>
        </w:rPr>
      </w:pPr>
      <w:r w:rsidRPr="002B6140">
        <w:rPr>
          <w:rFonts w:cs="Arial"/>
        </w:rPr>
        <w:t>Предшестващо лечение с високи дози диуретици може да доведе до воден дефицит и риск от хипотония при започване на лечение с еналаприл (вж.точка 4.4). Хипотоничните ефекти могат да бъдат намалени чрез преустановяване на лечението с диуретици, чрез повишаване на обема или прием на сол, или чрез започване на лечение с ниска доза еналаприл.</w:t>
      </w:r>
    </w:p>
    <w:p w14:paraId="51EC91DA" w14:textId="77777777" w:rsidR="002B6140" w:rsidRDefault="002B6140" w:rsidP="002B6140">
      <w:pPr>
        <w:rPr>
          <w:rFonts w:cs="Arial"/>
          <w:u w:val="single"/>
        </w:rPr>
      </w:pPr>
    </w:p>
    <w:p w14:paraId="68D12C79" w14:textId="3D1E63EF" w:rsidR="002B6140" w:rsidRPr="002B6140" w:rsidRDefault="002B6140" w:rsidP="002B6140">
      <w:pPr>
        <w:rPr>
          <w:rFonts w:cs="Arial"/>
        </w:rPr>
      </w:pPr>
      <w:r w:rsidRPr="002B6140">
        <w:rPr>
          <w:rFonts w:cs="Arial"/>
          <w:u w:val="single"/>
        </w:rPr>
        <w:t>Други антихипертензивни средства</w:t>
      </w:r>
    </w:p>
    <w:p w14:paraId="3BA40CED" w14:textId="77777777" w:rsidR="002B6140" w:rsidRPr="002B6140" w:rsidRDefault="002B6140" w:rsidP="002B6140">
      <w:pPr>
        <w:rPr>
          <w:rFonts w:cs="Arial"/>
        </w:rPr>
      </w:pPr>
      <w:r w:rsidRPr="002B6140">
        <w:rPr>
          <w:rFonts w:cs="Arial"/>
        </w:rPr>
        <w:t>Едновременно приложение с други антихипертензивни средства може да увеличи хипотоничните ефекти на еналаприл. Едновременната употреба с нитроглицерин и други нитрати или други вазодилататори може допълнително да понижи кръвното налягане.</w:t>
      </w:r>
    </w:p>
    <w:p w14:paraId="6298FEE2" w14:textId="77777777" w:rsidR="00503B43" w:rsidRDefault="00503B43" w:rsidP="002B6140">
      <w:pPr>
        <w:rPr>
          <w:rFonts w:cs="Arial"/>
        </w:rPr>
      </w:pPr>
    </w:p>
    <w:p w14:paraId="1F90BA50" w14:textId="56930E50" w:rsidR="002B6140" w:rsidRPr="002B6140" w:rsidRDefault="002B6140" w:rsidP="002B6140">
      <w:pPr>
        <w:rPr>
          <w:rFonts w:cs="Arial"/>
        </w:rPr>
      </w:pPr>
      <w:r w:rsidRPr="002B6140">
        <w:rPr>
          <w:rFonts w:cs="Arial"/>
        </w:rPr>
        <w:t>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П-рецепторни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 4.4 и 5.1)</w:t>
      </w:r>
    </w:p>
    <w:p w14:paraId="791931A9" w14:textId="77777777" w:rsidR="00503B43" w:rsidRDefault="00503B43" w:rsidP="002B6140">
      <w:pPr>
        <w:rPr>
          <w:rFonts w:cs="Arial"/>
          <w:u w:val="single"/>
        </w:rPr>
      </w:pPr>
    </w:p>
    <w:p w14:paraId="0E485D37" w14:textId="37F625E9" w:rsidR="002B6140" w:rsidRPr="002B6140" w:rsidRDefault="002B6140" w:rsidP="002B6140">
      <w:pPr>
        <w:rPr>
          <w:rFonts w:cs="Arial"/>
        </w:rPr>
      </w:pPr>
      <w:r w:rsidRPr="002B6140">
        <w:rPr>
          <w:rFonts w:cs="Arial"/>
          <w:u w:val="single"/>
        </w:rPr>
        <w:t>Литий</w:t>
      </w:r>
    </w:p>
    <w:p w14:paraId="092CCBC5" w14:textId="77777777" w:rsidR="002B6140" w:rsidRPr="002B6140" w:rsidRDefault="002B6140" w:rsidP="002B6140">
      <w:pPr>
        <w:rPr>
          <w:rFonts w:cs="Arial"/>
        </w:rPr>
      </w:pPr>
      <w:r w:rsidRPr="002B6140">
        <w:rPr>
          <w:rFonts w:cs="Arial"/>
        </w:rPr>
        <w:t>При едновременно прилагане на литий с АСЕ инхибитори са съобщени обратими повишения на серумните концентрации на литий и токсичност. Едновременната употреба с тиазидни диуретици може допълнително да повиши нивата на литий и да увеличи риска от литиева токсичност с АСЕ инхибитори. Употребата на еналаприл с литий не се препоръчва, но ако комбинацията се окаже необходима, трябва да се извърши внимателно мониториране на серумните литиеви нива (вж.точка 4.4).</w:t>
      </w:r>
    </w:p>
    <w:p w14:paraId="4C295F01" w14:textId="77777777" w:rsidR="00503B43" w:rsidRDefault="00503B43" w:rsidP="002B6140">
      <w:pPr>
        <w:rPr>
          <w:rFonts w:cs="Arial"/>
          <w:u w:val="single"/>
        </w:rPr>
      </w:pPr>
    </w:p>
    <w:p w14:paraId="1691EE4E" w14:textId="22770C8E" w:rsidR="002B6140" w:rsidRPr="002B6140" w:rsidRDefault="002B6140" w:rsidP="002B6140">
      <w:pPr>
        <w:rPr>
          <w:rFonts w:cs="Arial"/>
        </w:rPr>
      </w:pPr>
      <w:r w:rsidRPr="002B6140">
        <w:rPr>
          <w:rFonts w:cs="Arial"/>
          <w:u w:val="single"/>
        </w:rPr>
        <w:t xml:space="preserve">Три циклични антидепресанти/ антипсихотици/ анестетихш/ наркотични средства </w:t>
      </w:r>
      <w:r w:rsidRPr="002B6140">
        <w:rPr>
          <w:rFonts w:cs="Arial"/>
        </w:rPr>
        <w:t>Едновременното приложение на определени анестетици, трициклични антидепресанти и антипсихотици с АСЕ инхибитори може да доведе до по-нататъшно намаляване на кръвното налягане (вж.точка 4.4).</w:t>
      </w:r>
    </w:p>
    <w:p w14:paraId="15A890D9" w14:textId="77777777" w:rsidR="00503B43" w:rsidRDefault="00503B43" w:rsidP="002B6140">
      <w:pPr>
        <w:rPr>
          <w:rFonts w:cs="Arial"/>
          <w:u w:val="single"/>
        </w:rPr>
      </w:pPr>
    </w:p>
    <w:p w14:paraId="776FE07A" w14:textId="6A2E84C6" w:rsidR="002B6140" w:rsidRPr="002B6140" w:rsidRDefault="002B6140" w:rsidP="002B6140">
      <w:pPr>
        <w:rPr>
          <w:rFonts w:cs="Arial"/>
        </w:rPr>
      </w:pPr>
      <w:r w:rsidRPr="002B6140">
        <w:rPr>
          <w:rFonts w:cs="Arial"/>
          <w:u w:val="single"/>
        </w:rPr>
        <w:t>Нестероидни противовъзпалителни средства (НСПВС) включително селективни циклооксигеназа-2-инхибитори</w:t>
      </w:r>
    </w:p>
    <w:p w14:paraId="1A03A6BA" w14:textId="77777777" w:rsidR="002B6140" w:rsidRPr="002B6140" w:rsidRDefault="002B6140" w:rsidP="002B6140">
      <w:pPr>
        <w:rPr>
          <w:rFonts w:cs="Arial"/>
        </w:rPr>
      </w:pPr>
      <w:r w:rsidRPr="002B6140">
        <w:rPr>
          <w:rFonts w:cs="Arial"/>
        </w:rPr>
        <w:lastRenderedPageBreak/>
        <w:t>Продължителното прилагане на НСПВС може да понижи антихипертензивния ефект на АСЕ инхибитор. Нестероидните противовъзпалителни средства (НСПВС), включително селективни циклооксигеназа-2-инхибиторите и АСЕ инхибиторите проявяват адитивен ефект върху повишаването на серумния калий и могат да доведат до влошаване на бъбречната функция. Тези ефекти обикновено са обратими. Рядко може да се поя</w:t>
      </w:r>
      <w:r w:rsidRPr="002B6140">
        <w:rPr>
          <w:rFonts w:cs="Arial"/>
          <w:u w:val="single"/>
        </w:rPr>
        <w:t>ви ост</w:t>
      </w:r>
      <w:r w:rsidRPr="002B6140">
        <w:rPr>
          <w:rFonts w:cs="Arial"/>
        </w:rPr>
        <w:t>ра бъбречна недостатъчност, особено при пациенти с увредена бъбречна функция (като например пациенти в старческа възраст или пациенти с обемен дефицит, включително тези на диуретична терапия).</w:t>
      </w:r>
    </w:p>
    <w:p w14:paraId="0734264C" w14:textId="7C6B0DB2" w:rsidR="007122AD" w:rsidRDefault="002B6140" w:rsidP="00503B43">
      <w:pPr>
        <w:rPr>
          <w:rFonts w:cs="Arial"/>
        </w:rPr>
      </w:pPr>
      <w:r w:rsidRPr="002B6140">
        <w:rPr>
          <w:rFonts w:cs="Arial"/>
        </w:rPr>
        <w:t>Пациентите трябва да бъдат адекватно хидратирани и трябва да се обмисли мониториране н</w:t>
      </w:r>
      <w:r w:rsidR="00503B43" w:rsidRPr="00503B43">
        <w:rPr>
          <w:rFonts w:cs="Arial"/>
          <w:lang w:val="ru-RU"/>
        </w:rPr>
        <w:t xml:space="preserve"> </w:t>
      </w:r>
      <w:r w:rsidRPr="002B6140">
        <w:rPr>
          <w:rFonts w:cs="Arial"/>
        </w:rPr>
        <w:t>абъбречната функция след започване на едновременното лечение и периодично след това.</w:t>
      </w:r>
    </w:p>
    <w:p w14:paraId="31F9583B" w14:textId="45BA9EEF" w:rsidR="00503B43" w:rsidRDefault="00503B43" w:rsidP="00503B43">
      <w:pPr>
        <w:rPr>
          <w:rFonts w:cs="Arial"/>
        </w:rPr>
      </w:pPr>
    </w:p>
    <w:p w14:paraId="237005F3" w14:textId="0EC22FB4" w:rsidR="00503B43" w:rsidRDefault="00503B43" w:rsidP="00503B43">
      <w:pPr>
        <w:rPr>
          <w:rFonts w:cs="Arial"/>
          <w:u w:val="single"/>
        </w:rPr>
      </w:pPr>
      <w:r w:rsidRPr="00503B43">
        <w:rPr>
          <w:rFonts w:cs="Arial"/>
          <w:u w:val="single"/>
        </w:rPr>
        <w:t>Злато</w:t>
      </w:r>
    </w:p>
    <w:p w14:paraId="4CAE4983" w14:textId="77777777"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lang w:eastAsia="bg-BG"/>
        </w:rPr>
        <w:t xml:space="preserve">Нитритни реакции (симптоми, включващи зачервяване на лицето, гадене, повръщане и ниско кръвно налягане) са съобщавани рядко при пациенти на лечение с инжекционна форма, съдържаща злато </w:t>
      </w:r>
      <w:r w:rsidRPr="00503B43">
        <w:rPr>
          <w:rFonts w:eastAsia="Times New Roman" w:cs="Arial"/>
          <w:color w:val="000000"/>
          <w:szCs w:val="44"/>
          <w:lang w:val="ru-RU"/>
        </w:rPr>
        <w:t>(</w:t>
      </w:r>
      <w:r w:rsidRPr="00503B43">
        <w:rPr>
          <w:rFonts w:eastAsia="Times New Roman" w:cs="Arial"/>
          <w:color w:val="000000"/>
          <w:szCs w:val="44"/>
          <w:lang w:val="en-US"/>
        </w:rPr>
        <w:t>sodium</w:t>
      </w:r>
      <w:r w:rsidRPr="00503B43">
        <w:rPr>
          <w:rFonts w:eastAsia="Times New Roman" w:cs="Arial"/>
          <w:color w:val="000000"/>
          <w:szCs w:val="44"/>
          <w:lang w:val="ru-RU"/>
        </w:rPr>
        <w:t xml:space="preserve"> </w:t>
      </w:r>
      <w:proofErr w:type="spellStart"/>
      <w:r w:rsidRPr="00503B43">
        <w:rPr>
          <w:rFonts w:eastAsia="Times New Roman" w:cs="Arial"/>
          <w:color w:val="000000"/>
          <w:szCs w:val="44"/>
          <w:lang w:val="en-US"/>
        </w:rPr>
        <w:t>aurothiomalate</w:t>
      </w:r>
      <w:proofErr w:type="spellEnd"/>
      <w:r w:rsidRPr="00503B43">
        <w:rPr>
          <w:rFonts w:eastAsia="Times New Roman" w:cs="Arial"/>
          <w:color w:val="000000"/>
          <w:szCs w:val="44"/>
          <w:lang w:val="ru-RU"/>
        </w:rPr>
        <w:t xml:space="preserve">) </w:t>
      </w:r>
      <w:r w:rsidRPr="00503B43">
        <w:rPr>
          <w:rFonts w:eastAsia="Times New Roman" w:cs="Arial"/>
          <w:color w:val="000000"/>
          <w:szCs w:val="44"/>
          <w:lang w:eastAsia="bg-BG"/>
        </w:rPr>
        <w:t>и едновременно лечение с АСЕ инхибитори, включително еналаприл.</w:t>
      </w:r>
    </w:p>
    <w:p w14:paraId="260D02D1" w14:textId="77777777" w:rsidR="00503B43" w:rsidRDefault="00503B43" w:rsidP="00503B43">
      <w:pPr>
        <w:spacing w:line="240" w:lineRule="auto"/>
        <w:rPr>
          <w:rFonts w:eastAsia="Times New Roman" w:cs="Arial"/>
          <w:color w:val="000000"/>
          <w:szCs w:val="44"/>
          <w:u w:val="single"/>
          <w:lang w:eastAsia="bg-BG"/>
        </w:rPr>
      </w:pPr>
    </w:p>
    <w:p w14:paraId="5547169B" w14:textId="5150DBCC"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u w:val="single"/>
          <w:lang w:eastAsia="bg-BG"/>
        </w:rPr>
        <w:t>Симпатикомиметици</w:t>
      </w:r>
    </w:p>
    <w:p w14:paraId="233B275B" w14:textId="77777777"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lang w:eastAsia="bg-BG"/>
        </w:rPr>
        <w:t>Симпатикомиметиците могат да намалят антихипертензивния ефект на АСЕ инхибиторите.</w:t>
      </w:r>
    </w:p>
    <w:p w14:paraId="00796B31" w14:textId="77777777" w:rsidR="00503B43" w:rsidRDefault="00503B43" w:rsidP="00503B43">
      <w:pPr>
        <w:spacing w:line="240" w:lineRule="auto"/>
        <w:rPr>
          <w:rFonts w:eastAsia="Times New Roman" w:cs="Arial"/>
          <w:color w:val="000000"/>
          <w:szCs w:val="44"/>
          <w:u w:val="single"/>
          <w:lang w:eastAsia="bg-BG"/>
        </w:rPr>
      </w:pPr>
    </w:p>
    <w:p w14:paraId="2F6188E1" w14:textId="5C31E05E"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u w:val="single"/>
          <w:lang w:eastAsia="bg-BG"/>
        </w:rPr>
        <w:t>Антидиабетни лекарствени продукти</w:t>
      </w:r>
    </w:p>
    <w:p w14:paraId="4BCCE9C4" w14:textId="77777777"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lang w:eastAsia="bg-BG"/>
        </w:rPr>
        <w:t>Епидемиологични проучвания предполагат, че при едновременно приложение на АСЕ инхибитори и антидиабетни лекарствени продукти (инсулин, перорални антидиабетни лекарствени продукти) е възможно да се усили ефекта на намаляване на нивото на кръвната захар с риск от хипогликемия. Този феномен може по-вероятно да се появи през първите седмици от комбинираното лечение и при пациенти с бъбречно увреждане (вж.точки 4.4 и 4.8).</w:t>
      </w:r>
    </w:p>
    <w:p w14:paraId="41BD49D5" w14:textId="77777777" w:rsidR="00503B43" w:rsidRDefault="00503B43" w:rsidP="00503B43">
      <w:pPr>
        <w:spacing w:line="240" w:lineRule="auto"/>
        <w:rPr>
          <w:rFonts w:eastAsia="Times New Roman" w:cs="Arial"/>
          <w:color w:val="000000"/>
          <w:szCs w:val="44"/>
          <w:u w:val="single"/>
          <w:lang w:eastAsia="bg-BG"/>
        </w:rPr>
      </w:pPr>
    </w:p>
    <w:p w14:paraId="0F30EFBB" w14:textId="4D11DFA3"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u w:val="single"/>
          <w:lang w:eastAsia="bg-BG"/>
        </w:rPr>
        <w:t>Алкохол</w:t>
      </w:r>
    </w:p>
    <w:p w14:paraId="63697F25" w14:textId="77777777"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lang w:eastAsia="bg-BG"/>
        </w:rPr>
        <w:t>Алкохолът повишава хипотензивния ефект на АСЕ инхибиторите.</w:t>
      </w:r>
    </w:p>
    <w:p w14:paraId="70769668" w14:textId="77777777" w:rsidR="00503B43" w:rsidRDefault="00503B43" w:rsidP="00503B43">
      <w:pPr>
        <w:spacing w:line="240" w:lineRule="auto"/>
        <w:rPr>
          <w:rFonts w:eastAsia="Times New Roman" w:cs="Arial"/>
          <w:color w:val="000000"/>
          <w:szCs w:val="44"/>
          <w:u w:val="single"/>
          <w:lang w:eastAsia="bg-BG"/>
        </w:rPr>
      </w:pPr>
    </w:p>
    <w:p w14:paraId="613FA0B5" w14:textId="15C6389D"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u w:val="single"/>
          <w:lang w:eastAsia="bg-BG"/>
        </w:rPr>
        <w:t>Ацетилсалицилова киселина, тромболитици и β-блокери</w:t>
      </w:r>
    </w:p>
    <w:p w14:paraId="610519AB" w14:textId="77777777"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lang w:eastAsia="bg-BG"/>
        </w:rPr>
        <w:t xml:space="preserve">Едновременното прилагане на еналаприл с ацетилсалицилова киселина (в кардиологични дози), тромболитици и </w:t>
      </w:r>
      <w:r w:rsidRPr="00503B43">
        <w:rPr>
          <w:rFonts w:eastAsia="Times New Roman" w:cs="Arial"/>
          <w:color w:val="000000"/>
          <w:szCs w:val="44"/>
          <w:lang w:val="en-US"/>
        </w:rPr>
        <w:t>p</w:t>
      </w:r>
      <w:r w:rsidRPr="00503B43">
        <w:rPr>
          <w:rFonts w:eastAsia="Times New Roman" w:cs="Arial"/>
          <w:color w:val="000000"/>
          <w:szCs w:val="44"/>
          <w:lang w:eastAsia="bg-BG"/>
        </w:rPr>
        <w:t>-блокери е безопасно.</w:t>
      </w:r>
    </w:p>
    <w:p w14:paraId="7222CF31" w14:textId="77777777" w:rsidR="00503B43" w:rsidRDefault="00503B43" w:rsidP="00503B43">
      <w:pPr>
        <w:spacing w:line="240" w:lineRule="auto"/>
        <w:rPr>
          <w:rFonts w:eastAsia="Times New Roman" w:cs="Arial"/>
          <w:color w:val="000000"/>
          <w:szCs w:val="44"/>
          <w:u w:val="single"/>
          <w:lang w:eastAsia="bg-BG"/>
        </w:rPr>
      </w:pPr>
    </w:p>
    <w:p w14:paraId="1BB68DC4" w14:textId="1074F68A" w:rsidR="00503B43" w:rsidRPr="00503B43" w:rsidRDefault="00503B43" w:rsidP="00503B43">
      <w:pPr>
        <w:spacing w:line="240" w:lineRule="auto"/>
        <w:rPr>
          <w:rFonts w:eastAsia="Times New Roman" w:cs="Arial"/>
          <w:sz w:val="12"/>
          <w:szCs w:val="24"/>
        </w:rPr>
      </w:pPr>
      <w:r w:rsidRPr="00503B43">
        <w:rPr>
          <w:rFonts w:eastAsia="Times New Roman" w:cs="Arial"/>
          <w:color w:val="000000"/>
          <w:szCs w:val="44"/>
          <w:u w:val="single"/>
          <w:lang w:eastAsia="bg-BG"/>
        </w:rPr>
        <w:t>Педиатрична популация</w:t>
      </w:r>
    </w:p>
    <w:p w14:paraId="4AACC6AF" w14:textId="2648F3D9" w:rsidR="00503B43" w:rsidRDefault="00503B43" w:rsidP="00503B43">
      <w:pPr>
        <w:rPr>
          <w:rFonts w:eastAsia="Times New Roman" w:cs="Arial"/>
          <w:color w:val="000000"/>
          <w:szCs w:val="44"/>
          <w:lang w:eastAsia="bg-BG"/>
        </w:rPr>
      </w:pPr>
      <w:r w:rsidRPr="00503B43">
        <w:rPr>
          <w:rFonts w:eastAsia="Times New Roman" w:cs="Arial"/>
          <w:color w:val="000000"/>
          <w:szCs w:val="44"/>
          <w:lang w:eastAsia="bg-BG"/>
        </w:rPr>
        <w:t>Проучвания за взаимодействията са провеждани само при възрастни.</w:t>
      </w:r>
    </w:p>
    <w:p w14:paraId="57BF8DEB" w14:textId="77777777" w:rsidR="00503B43" w:rsidRPr="00503B43" w:rsidRDefault="00503B43" w:rsidP="00503B43">
      <w:pPr>
        <w:rPr>
          <w:rFonts w:cs="Arial"/>
          <w:sz w:val="10"/>
          <w:u w:val="single"/>
        </w:rPr>
      </w:pPr>
    </w:p>
    <w:p w14:paraId="5D9F40EA" w14:textId="3C737A72" w:rsidR="007122AD" w:rsidRDefault="002C50EE" w:rsidP="00936AD0">
      <w:pPr>
        <w:pStyle w:val="Heading2"/>
      </w:pPr>
      <w:r>
        <w:t>4.6. Фертилитет, бременност и кърмене</w:t>
      </w:r>
    </w:p>
    <w:p w14:paraId="352D33C4" w14:textId="6AB45226" w:rsidR="00503B43" w:rsidRDefault="00503B43" w:rsidP="00503B43"/>
    <w:p w14:paraId="4B32E3E9" w14:textId="77777777" w:rsidR="00503B43" w:rsidRPr="00FA5220" w:rsidRDefault="00503B43" w:rsidP="00FA5220">
      <w:pPr>
        <w:pStyle w:val="Heading3"/>
        <w:rPr>
          <w:rFonts w:eastAsia="Times New Roman"/>
          <w:u w:val="single"/>
        </w:rPr>
      </w:pPr>
      <w:r w:rsidRPr="00FA5220">
        <w:rPr>
          <w:rFonts w:eastAsia="Times New Roman"/>
          <w:u w:val="single"/>
          <w:lang w:eastAsia="bg-BG"/>
        </w:rPr>
        <w:t>Бременност</w:t>
      </w:r>
    </w:p>
    <w:p w14:paraId="7A5E510F" w14:textId="77777777" w:rsidR="00503B43" w:rsidRPr="00503B43" w:rsidRDefault="00503B43" w:rsidP="00503B43">
      <w:pPr>
        <w:rPr>
          <w:sz w:val="24"/>
          <w:szCs w:val="24"/>
          <w:u w:val="single"/>
        </w:rPr>
      </w:pPr>
      <w:r w:rsidRPr="00503B43">
        <w:rPr>
          <w:u w:val="single"/>
          <w:lang w:eastAsia="bg-BG"/>
        </w:rPr>
        <w:t>АСЕ инхибитори</w:t>
      </w:r>
    </w:p>
    <w:p w14:paraId="22C07D95" w14:textId="0F58B07A" w:rsidR="00503B43" w:rsidRDefault="00503B43" w:rsidP="00503B43"/>
    <w:tbl>
      <w:tblPr>
        <w:tblStyle w:val="TableGrid"/>
        <w:tblW w:w="0" w:type="auto"/>
        <w:tblLook w:val="04A0" w:firstRow="1" w:lastRow="0" w:firstColumn="1" w:lastColumn="0" w:noHBand="0" w:noVBand="1"/>
      </w:tblPr>
      <w:tblGrid>
        <w:gridCol w:w="9350"/>
      </w:tblGrid>
      <w:tr w:rsidR="00503B43" w14:paraId="4DFF09EE" w14:textId="77777777" w:rsidTr="00503B43">
        <w:tc>
          <w:tcPr>
            <w:tcW w:w="9576" w:type="dxa"/>
          </w:tcPr>
          <w:p w14:paraId="28E756F0" w14:textId="6F4A07FB" w:rsidR="00503B43" w:rsidRPr="00503B43" w:rsidRDefault="00503B43" w:rsidP="00503B43">
            <w:pPr>
              <w:rPr>
                <w:sz w:val="24"/>
                <w:szCs w:val="24"/>
              </w:rPr>
            </w:pPr>
            <w:r w:rsidRPr="00503B43">
              <w:rPr>
                <w:lang w:eastAsia="bg-BG"/>
              </w:rPr>
              <w:t>Не се препоръчва употребата на АСЕ инхибитори по време на първия триместър на бременността (вж, точка 4.4). Употребата на АСЕ инхибитори е противопоказана по време на втория и третия триместър на бременността (вж. точки 4.3 и 4.4).</w:t>
            </w:r>
          </w:p>
        </w:tc>
      </w:tr>
    </w:tbl>
    <w:p w14:paraId="5876EDE5" w14:textId="06211C07" w:rsidR="00503B43" w:rsidRDefault="00503B43" w:rsidP="00503B43"/>
    <w:p w14:paraId="0D6116A2" w14:textId="77777777" w:rsidR="00503B43" w:rsidRPr="00503B43" w:rsidRDefault="00503B43" w:rsidP="00503B43">
      <w:pPr>
        <w:spacing w:line="240" w:lineRule="auto"/>
        <w:rPr>
          <w:rFonts w:eastAsia="Times New Roman" w:cs="Arial"/>
        </w:rPr>
      </w:pPr>
      <w:r w:rsidRPr="00503B43">
        <w:rPr>
          <w:rFonts w:eastAsia="Times New Roman" w:cs="Arial"/>
          <w:color w:val="000000"/>
          <w:lang w:eastAsia="bg-BG"/>
        </w:rPr>
        <w:lastRenderedPageBreak/>
        <w:t>Епидемиологичните данни по отношение на тератогенния риск след излагане на АСЕ инхибитори по време на първия триместър на бременността не са окончателни, но малко повишаване на риска не може да бъде изключено. Освен ако продължаването на терапията с АСЕ инхибитор не се счита за наложително, пациентки планиращи бременност трябва да преминат на алтернативни антихипертензивни терапии, които имат установен профил на безопасност при употреба по време на бременност.</w:t>
      </w:r>
    </w:p>
    <w:p w14:paraId="60ADF747" w14:textId="77777777" w:rsidR="00503B43" w:rsidRPr="00503B43" w:rsidRDefault="00503B43" w:rsidP="00503B43">
      <w:pPr>
        <w:spacing w:line="240" w:lineRule="auto"/>
        <w:rPr>
          <w:rFonts w:eastAsia="Times New Roman" w:cs="Arial"/>
        </w:rPr>
      </w:pPr>
      <w:r w:rsidRPr="00503B43">
        <w:rPr>
          <w:rFonts w:eastAsia="Times New Roman" w:cs="Arial"/>
          <w:color w:val="000000"/>
          <w:lang w:eastAsia="bg-BG"/>
        </w:rPr>
        <w:t>Когато се установи бременност, лечението с АСЕ инхибитори трябва да се преустанови незабавно и да се започне алтернативна терапия, ако е подходящо.</w:t>
      </w:r>
    </w:p>
    <w:p w14:paraId="0CF44200" w14:textId="77777777" w:rsidR="00503B43" w:rsidRPr="00503B43" w:rsidRDefault="00503B43" w:rsidP="00503B43">
      <w:pPr>
        <w:spacing w:line="240" w:lineRule="auto"/>
        <w:rPr>
          <w:rFonts w:eastAsia="Times New Roman" w:cs="Arial"/>
        </w:rPr>
      </w:pPr>
      <w:r w:rsidRPr="00503B43">
        <w:rPr>
          <w:rFonts w:eastAsia="Times New Roman" w:cs="Arial"/>
          <w:color w:val="000000"/>
          <w:lang w:eastAsia="bg-BG"/>
        </w:rPr>
        <w:t>Известно е, че излагането на терапия с АСЕ инхибитор по време на втория и третия триместър индуцира фетотоксичност при хора (намалена бъбречна функция, олигохидрамнион, забавяне на осификацията на черепа) и неонатална токсичност (бъбречна недостатъчност, хипотензия, хиперкалиемия) (вж. точка 5.3). Олигохидрамнион при майката, вероятно представляващ намалена ембрионална бъбречна функция се появява и може да доведе до контрактура на крайниците, черепно-лицеви деформации и хиполазия на белия дроб.</w:t>
      </w:r>
    </w:p>
    <w:p w14:paraId="1194C05C" w14:textId="77777777" w:rsidR="00503B43" w:rsidRPr="00503B43" w:rsidRDefault="00503B43" w:rsidP="00503B43">
      <w:pPr>
        <w:spacing w:line="240" w:lineRule="auto"/>
        <w:rPr>
          <w:rFonts w:eastAsia="Times New Roman" w:cs="Arial"/>
        </w:rPr>
      </w:pPr>
      <w:r w:rsidRPr="00503B43">
        <w:rPr>
          <w:rFonts w:eastAsia="Times New Roman" w:cs="Arial"/>
          <w:color w:val="000000"/>
          <w:lang w:eastAsia="bg-BG"/>
        </w:rPr>
        <w:t>Ако излагането на АСЕ инхибитор е било от втория триместър на бременността, се</w:t>
      </w:r>
      <w:r w:rsidRPr="00503B43">
        <w:rPr>
          <w:rFonts w:eastAsia="Times New Roman" w:cs="Arial"/>
          <w:color w:val="000000"/>
          <w:u w:val="single"/>
          <w:lang w:eastAsia="bg-BG"/>
        </w:rPr>
        <w:t xml:space="preserve"> </w:t>
      </w:r>
      <w:r w:rsidRPr="00503B43">
        <w:rPr>
          <w:rFonts w:eastAsia="Times New Roman" w:cs="Arial"/>
          <w:color w:val="000000"/>
          <w:lang w:eastAsia="bg-BG"/>
        </w:rPr>
        <w:t>препоръчва ехографско изследване на бъбречната функция и черепа. Бебета, чиито майки са приемали АСЕ инхибитори трябва да бъдат внимателно наблюдавани за хипотония (вж. точки 4.3 и 4.4).</w:t>
      </w:r>
    </w:p>
    <w:p w14:paraId="2F16064A" w14:textId="77777777" w:rsidR="00503B43" w:rsidRPr="00503B43" w:rsidRDefault="00503B43" w:rsidP="00503B43">
      <w:pPr>
        <w:spacing w:line="240" w:lineRule="auto"/>
        <w:rPr>
          <w:rFonts w:eastAsia="Times New Roman" w:cs="Arial"/>
          <w:color w:val="000000"/>
          <w:u w:val="single"/>
          <w:lang w:eastAsia="bg-BG"/>
        </w:rPr>
      </w:pPr>
    </w:p>
    <w:p w14:paraId="12A45268" w14:textId="4848E214" w:rsidR="00503B43" w:rsidRPr="00FA5220" w:rsidRDefault="00503B43" w:rsidP="00FA5220">
      <w:pPr>
        <w:pStyle w:val="Heading3"/>
        <w:rPr>
          <w:rFonts w:eastAsia="Times New Roman"/>
          <w:u w:val="single"/>
        </w:rPr>
      </w:pPr>
      <w:r w:rsidRPr="00FA5220">
        <w:rPr>
          <w:rFonts w:eastAsia="Times New Roman"/>
          <w:u w:val="single"/>
          <w:lang w:eastAsia="bg-BG"/>
        </w:rPr>
        <w:t>Кърмене</w:t>
      </w:r>
    </w:p>
    <w:p w14:paraId="02AC0D79" w14:textId="77777777" w:rsidR="00503B43" w:rsidRPr="00503B43" w:rsidRDefault="00503B43" w:rsidP="00503B43">
      <w:pPr>
        <w:rPr>
          <w:rFonts w:ascii="Times New Roman" w:eastAsia="Times New Roman" w:hAnsi="Times New Roman" w:cs="Times New Roman"/>
          <w:sz w:val="24"/>
          <w:szCs w:val="24"/>
        </w:rPr>
      </w:pPr>
      <w:r w:rsidRPr="00503B43">
        <w:rPr>
          <w:rFonts w:eastAsia="Times New Roman" w:cs="Arial"/>
          <w:color w:val="000000"/>
          <w:lang w:eastAsia="bg-BG"/>
        </w:rPr>
        <w:t>Ограничените фармакокинетични данни показват много ниски концентрации в кърмата (вж. точка 5.2). Въпреки, че тези концентрации изглежда нямат клинично значение, употребата</w:t>
      </w:r>
      <w:r>
        <w:rPr>
          <w:rFonts w:eastAsia="Times New Roman" w:cs="Arial"/>
          <w:color w:val="000000"/>
          <w:lang w:eastAsia="bg-BG"/>
        </w:rPr>
        <w:t xml:space="preserve"> </w:t>
      </w:r>
      <w:r w:rsidRPr="00503B43">
        <w:rPr>
          <w:lang w:eastAsia="bg-BG"/>
        </w:rPr>
        <w:t>на Енприл при кърмене не се препоръчва при недоносени кърмачета и през първите седмици след раждане, поради възможния риск от сърдечно-съдови и бъбречни ефекти и поради липсата на достатъчен клиничен опит. В случаи на по-големи кърмачета, може да се обмисли употребата на Енприл от кърмещата майка, ако лечението е необходимо за майката и ако детето се наблюдава за всяка нежелана реакция.</w:t>
      </w:r>
    </w:p>
    <w:p w14:paraId="3F3CE520" w14:textId="7F192AF0" w:rsidR="00503B43" w:rsidRPr="00503B43" w:rsidRDefault="00503B43" w:rsidP="00503B43">
      <w:pPr>
        <w:rPr>
          <w:rFonts w:cs="Arial"/>
        </w:rPr>
      </w:pPr>
    </w:p>
    <w:p w14:paraId="5DD7A76D" w14:textId="4E7518DA" w:rsidR="007122AD" w:rsidRDefault="002C50EE" w:rsidP="00936AD0">
      <w:pPr>
        <w:pStyle w:val="Heading2"/>
      </w:pPr>
      <w:r>
        <w:t>4.7. Ефекти върху способността за шофиране и работа с машини</w:t>
      </w:r>
    </w:p>
    <w:p w14:paraId="7D473503" w14:textId="27CB0139" w:rsidR="00FA5220" w:rsidRDefault="00FA5220" w:rsidP="00FA5220"/>
    <w:p w14:paraId="31FAB40F" w14:textId="64273E11" w:rsidR="00FA5220" w:rsidRDefault="00FA5220" w:rsidP="00FA5220">
      <w:r>
        <w:t>При шофиране или работа с машини трябва да се има предвид, че понякога може да се появи замайване или обща отпадналост (вж.точка 4.8).</w:t>
      </w:r>
    </w:p>
    <w:p w14:paraId="508501E5" w14:textId="77777777" w:rsidR="00FA5220" w:rsidRPr="00FA5220" w:rsidRDefault="00FA5220" w:rsidP="00FA5220"/>
    <w:p w14:paraId="44CE30A3" w14:textId="140172A7" w:rsidR="007122AD" w:rsidRDefault="002C50EE" w:rsidP="00936AD0">
      <w:pPr>
        <w:pStyle w:val="Heading2"/>
      </w:pPr>
      <w:r>
        <w:t>4.8. Нежелани лекарствени реакции</w:t>
      </w:r>
    </w:p>
    <w:p w14:paraId="16983C33" w14:textId="19A6815D" w:rsidR="00FA5220" w:rsidRDefault="00FA5220" w:rsidP="00FA5220"/>
    <w:p w14:paraId="4F40A9C1"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Енприл показва добра обща поносимост. При клинични проучвания общата честота на страничните ефекти не е по-висока при Енприл, в сравнение с плацебо. В по-голямата си част нежеланите реакции са леки и преходни по характер и не изискват прекратяване на терапията.</w:t>
      </w:r>
    </w:p>
    <w:p w14:paraId="5B8EC1EA" w14:textId="77777777" w:rsidR="00FA5220" w:rsidRDefault="00FA5220" w:rsidP="00FA5220">
      <w:pPr>
        <w:spacing w:line="240" w:lineRule="auto"/>
        <w:rPr>
          <w:rFonts w:eastAsia="Times New Roman" w:cs="Arial"/>
          <w:color w:val="000000"/>
          <w:lang w:eastAsia="bg-BG"/>
        </w:rPr>
      </w:pPr>
    </w:p>
    <w:p w14:paraId="7EBD2D6C" w14:textId="50796118"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Честотата на представените по-долу нежеланите реакции е определена както следва: много чести (≥1/10); чести (≥ 1/100 до &lt; 1/10); нечести (≥ 1/1 000 до &lt; 1/100); редки (≥ 1/10 000 до &lt; 1/1 000); много редки (&lt; 1/10 000), с неизвестна честота (от наличните данни не може да бъде направена оценка). 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608D4E5D" w14:textId="77777777" w:rsidR="00FA5220" w:rsidRDefault="00FA5220" w:rsidP="00FA5220">
      <w:pPr>
        <w:spacing w:line="240" w:lineRule="auto"/>
        <w:rPr>
          <w:rFonts w:eastAsia="Times New Roman" w:cs="Arial"/>
          <w:color w:val="000000"/>
          <w:lang w:eastAsia="bg-BG"/>
        </w:rPr>
      </w:pPr>
    </w:p>
    <w:p w14:paraId="3A84800C" w14:textId="0EB212F1" w:rsidR="00FA5220" w:rsidRPr="00FA5220" w:rsidRDefault="00FA5220" w:rsidP="00FA5220">
      <w:pPr>
        <w:spacing w:line="240" w:lineRule="auto"/>
        <w:rPr>
          <w:rFonts w:eastAsia="Times New Roman" w:cs="Arial"/>
        </w:rPr>
      </w:pPr>
      <w:r w:rsidRPr="00FA5220">
        <w:rPr>
          <w:rFonts w:eastAsia="Times New Roman" w:cs="Arial"/>
          <w:color w:val="000000"/>
          <w:lang w:eastAsia="bg-BG"/>
        </w:rPr>
        <w:lastRenderedPageBreak/>
        <w:t>Съобщавани са следните нежелани лекарствени реакции за еналаприл при клинични проучвания и постмаркетингов опит:</w:t>
      </w:r>
    </w:p>
    <w:p w14:paraId="41C248D9" w14:textId="77777777" w:rsidR="00FA5220" w:rsidRDefault="00FA5220" w:rsidP="00FA5220">
      <w:pPr>
        <w:spacing w:line="240" w:lineRule="auto"/>
        <w:rPr>
          <w:rFonts w:eastAsia="Times New Roman" w:cs="Arial"/>
          <w:color w:val="000000"/>
          <w:u w:val="single"/>
          <w:lang w:eastAsia="bg-BG"/>
        </w:rPr>
      </w:pPr>
    </w:p>
    <w:p w14:paraId="083110EC" w14:textId="28042313"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Нарушения на кръвта и лимфната система</w:t>
      </w:r>
    </w:p>
    <w:p w14:paraId="5D62E8ED"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нечести: анемия (включително апластична и хемолитична)</w:t>
      </w:r>
    </w:p>
    <w:p w14:paraId="368EB8F8"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неутропения, намален хемоглобин, намален хемагокрит, тромбоцитопения, агранулоцитоза, костно-мозъчно потискане, панцитопения, лимфаденопатия, автоимунни заболявания</w:t>
      </w:r>
    </w:p>
    <w:p w14:paraId="7F8D430D" w14:textId="77777777" w:rsidR="00FA5220" w:rsidRDefault="00FA5220" w:rsidP="00FA5220">
      <w:pPr>
        <w:spacing w:line="240" w:lineRule="auto"/>
        <w:rPr>
          <w:rFonts w:eastAsia="Times New Roman" w:cs="Arial"/>
          <w:color w:val="000000"/>
          <w:u w:val="single"/>
          <w:lang w:eastAsia="bg-BG"/>
        </w:rPr>
      </w:pPr>
    </w:p>
    <w:p w14:paraId="1C5AD903" w14:textId="55718878"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Нарушения на ендокринната система</w:t>
      </w:r>
    </w:p>
    <w:p w14:paraId="6444168A"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с неизвестна честота (от наличните данни не може да бъде направена оценка): синдром на несъответна секреция на антидиуретичен хормон </w:t>
      </w:r>
      <w:r w:rsidRPr="00FA5220">
        <w:rPr>
          <w:rFonts w:eastAsia="Times New Roman" w:cs="Arial"/>
          <w:color w:val="000000"/>
          <w:lang w:val="ru-RU"/>
        </w:rPr>
        <w:t>(</w:t>
      </w:r>
      <w:r w:rsidRPr="00FA5220">
        <w:rPr>
          <w:rFonts w:eastAsia="Times New Roman" w:cs="Arial"/>
          <w:color w:val="000000"/>
          <w:lang w:val="en-US"/>
        </w:rPr>
        <w:t>SIADH</w:t>
      </w:r>
      <w:r w:rsidRPr="00FA5220">
        <w:rPr>
          <w:rFonts w:eastAsia="Times New Roman" w:cs="Arial"/>
          <w:color w:val="000000"/>
          <w:lang w:val="ru-RU"/>
        </w:rPr>
        <w:t>)</w:t>
      </w:r>
    </w:p>
    <w:p w14:paraId="1186C1E7" w14:textId="77777777" w:rsidR="00FA5220" w:rsidRDefault="00FA5220" w:rsidP="00FA5220">
      <w:pPr>
        <w:spacing w:line="240" w:lineRule="auto"/>
        <w:rPr>
          <w:rFonts w:eastAsia="Times New Roman" w:cs="Arial"/>
          <w:color w:val="000000"/>
          <w:u w:val="single"/>
          <w:lang w:eastAsia="bg-BG"/>
        </w:rPr>
      </w:pPr>
    </w:p>
    <w:p w14:paraId="56EB3AE9" w14:textId="77777777" w:rsidR="00FA5220" w:rsidRDefault="00FA5220" w:rsidP="00FA5220">
      <w:pPr>
        <w:spacing w:line="240" w:lineRule="auto"/>
        <w:rPr>
          <w:rFonts w:eastAsia="Times New Roman" w:cs="Arial"/>
          <w:color w:val="000000"/>
          <w:u w:val="single"/>
          <w:lang w:eastAsia="bg-BG"/>
        </w:rPr>
      </w:pPr>
      <w:r w:rsidRPr="00FA5220">
        <w:rPr>
          <w:rFonts w:eastAsia="Times New Roman" w:cs="Arial"/>
          <w:color w:val="000000"/>
          <w:u w:val="single"/>
          <w:lang w:eastAsia="bg-BG"/>
        </w:rPr>
        <w:t xml:space="preserve">Нарушения на метаболизма и храненето </w:t>
      </w:r>
    </w:p>
    <w:p w14:paraId="23218CCB" w14:textId="55EF4307" w:rsidR="00FA5220" w:rsidRPr="00FA5220" w:rsidRDefault="00FA5220" w:rsidP="00FA5220">
      <w:pPr>
        <w:spacing w:line="240" w:lineRule="auto"/>
        <w:rPr>
          <w:rFonts w:eastAsia="Times New Roman" w:cs="Arial"/>
        </w:rPr>
      </w:pPr>
      <w:r w:rsidRPr="00FA5220">
        <w:rPr>
          <w:rFonts w:eastAsia="Times New Roman" w:cs="Arial"/>
          <w:color w:val="000000"/>
          <w:lang w:eastAsia="bg-BG"/>
        </w:rPr>
        <w:t>нечести: хипогликемия (вж. точка 4.4).</w:t>
      </w:r>
    </w:p>
    <w:p w14:paraId="4320A1E2" w14:textId="77777777" w:rsidR="00FA5220" w:rsidRDefault="00FA5220" w:rsidP="00FA5220">
      <w:pPr>
        <w:spacing w:line="240" w:lineRule="auto"/>
        <w:rPr>
          <w:rFonts w:eastAsia="Times New Roman" w:cs="Arial"/>
          <w:color w:val="000000"/>
          <w:u w:val="single"/>
          <w:lang w:eastAsia="bg-BG"/>
        </w:rPr>
      </w:pPr>
    </w:p>
    <w:p w14:paraId="5923075C" w14:textId="79C985D8"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Нарушения на нервната система и психични нарушения</w:t>
      </w:r>
    </w:p>
    <w:p w14:paraId="2FDE366E"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чести: главоболие, депресия</w:t>
      </w:r>
    </w:p>
    <w:p w14:paraId="7ADAE3E9"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нечести: обърканост, сънливост, безсъние, нервност, парастезии, вертиго;</w:t>
      </w:r>
    </w:p>
    <w:p w14:paraId="3A666C90"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нарушен сън, необичайни сънища</w:t>
      </w:r>
    </w:p>
    <w:p w14:paraId="3FE3726D" w14:textId="77777777" w:rsidR="00FA5220" w:rsidRDefault="00FA5220" w:rsidP="00FA5220">
      <w:pPr>
        <w:spacing w:line="240" w:lineRule="auto"/>
        <w:rPr>
          <w:rFonts w:eastAsia="Times New Roman" w:cs="Arial"/>
          <w:color w:val="000000"/>
          <w:u w:val="single"/>
          <w:lang w:eastAsia="bg-BG"/>
        </w:rPr>
      </w:pPr>
    </w:p>
    <w:p w14:paraId="065FA12A" w14:textId="193FCE8B"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Нарушения на очите</w:t>
      </w:r>
    </w:p>
    <w:p w14:paraId="1DB67B5D"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много чести: замъглено виждане</w:t>
      </w:r>
    </w:p>
    <w:p w14:paraId="6E981687" w14:textId="77777777" w:rsidR="00FA5220" w:rsidRDefault="00FA5220" w:rsidP="00FA5220">
      <w:pPr>
        <w:spacing w:line="240" w:lineRule="auto"/>
        <w:rPr>
          <w:rFonts w:eastAsia="Times New Roman" w:cs="Arial"/>
          <w:color w:val="000000"/>
          <w:u w:val="single"/>
          <w:lang w:eastAsia="bg-BG"/>
        </w:rPr>
      </w:pPr>
    </w:p>
    <w:p w14:paraId="7CA74D9D" w14:textId="13A9A7D3"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Сърдечни и съдови нарушения</w:t>
      </w:r>
    </w:p>
    <w:p w14:paraId="39596E08"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много чести: замайване</w:t>
      </w:r>
    </w:p>
    <w:p w14:paraId="36DEF542"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чести: хипотония, включително ортостатична хипотония, синкоп, болка в гръдния кош, ритъмни нарушения, стенокардия, тахикардия</w:t>
      </w:r>
    </w:p>
    <w:p w14:paraId="2273C257"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нечести: ортостатична хипотония, палпитации, инфаркт на миокарда и мозъчно съдов инцидент*, възможно вследствие на ексцесивна хипотония при пациенти с висок риск (вж. точка 4.4);</w:t>
      </w:r>
    </w:p>
    <w:p w14:paraId="4DF34385"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синдром на Рейно</w:t>
      </w:r>
    </w:p>
    <w:p w14:paraId="68E8E1CB" w14:textId="77777777" w:rsidR="00FA5220" w:rsidRDefault="00FA5220" w:rsidP="00FA5220">
      <w:pPr>
        <w:spacing w:line="240" w:lineRule="auto"/>
        <w:rPr>
          <w:rFonts w:eastAsia="Times New Roman" w:cs="Arial"/>
          <w:color w:val="000000"/>
          <w:u w:val="single"/>
          <w:lang w:eastAsia="bg-BG"/>
        </w:rPr>
      </w:pPr>
    </w:p>
    <w:p w14:paraId="08721CD6" w14:textId="5BA520D1"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Респираторни, гръдни и медиастинални нарушения</w:t>
      </w:r>
    </w:p>
    <w:p w14:paraId="1F0E7BFC"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много чести: кашлица</w:t>
      </w:r>
    </w:p>
    <w:p w14:paraId="09B72EDE"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чести: задух</w:t>
      </w:r>
    </w:p>
    <w:p w14:paraId="538DB697"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нечести: назална секреция, болки в гърлото и дрезгав глас, бронхоспазъм, астма, редки: белодробни инфилтрати; ринит, алергичен алвеолит/еозинофилна пневмония</w:t>
      </w:r>
    </w:p>
    <w:p w14:paraId="65459792" w14:textId="77777777" w:rsidR="00FA5220" w:rsidRDefault="00FA5220" w:rsidP="00FA5220">
      <w:pPr>
        <w:spacing w:line="240" w:lineRule="auto"/>
        <w:rPr>
          <w:rFonts w:eastAsia="Times New Roman" w:cs="Arial"/>
          <w:color w:val="000000"/>
          <w:u w:val="single"/>
          <w:lang w:eastAsia="bg-BG"/>
        </w:rPr>
      </w:pPr>
    </w:p>
    <w:p w14:paraId="2C55A11A" w14:textId="77777777" w:rsidR="00FA5220" w:rsidRDefault="00FA5220" w:rsidP="00FA5220">
      <w:pPr>
        <w:spacing w:line="240" w:lineRule="auto"/>
        <w:rPr>
          <w:rFonts w:eastAsia="Times New Roman" w:cs="Arial"/>
          <w:color w:val="000000"/>
          <w:u w:val="single"/>
          <w:lang w:eastAsia="bg-BG"/>
        </w:rPr>
      </w:pPr>
      <w:r w:rsidRPr="00FA5220">
        <w:rPr>
          <w:rFonts w:eastAsia="Times New Roman" w:cs="Arial"/>
          <w:color w:val="000000"/>
          <w:u w:val="single"/>
          <w:lang w:eastAsia="bg-BG"/>
        </w:rPr>
        <w:t xml:space="preserve">Стомашно-чревни нарушения </w:t>
      </w:r>
    </w:p>
    <w:p w14:paraId="7EA2A4AE" w14:textId="39D49B46" w:rsidR="00FA5220" w:rsidRPr="00FA5220" w:rsidRDefault="00FA5220" w:rsidP="00FA5220">
      <w:pPr>
        <w:spacing w:line="240" w:lineRule="auto"/>
        <w:rPr>
          <w:rFonts w:eastAsia="Times New Roman" w:cs="Arial"/>
        </w:rPr>
      </w:pPr>
      <w:r w:rsidRPr="00FA5220">
        <w:rPr>
          <w:rFonts w:eastAsia="Times New Roman" w:cs="Arial"/>
          <w:color w:val="000000"/>
          <w:lang w:eastAsia="bg-BG"/>
        </w:rPr>
        <w:t>много чести: гадене чести: диария, коремни болки, променен вкус нечести: илеус, панкреатит, повръщане, констипация, диспепсия, анорексия, стомашно дразнене, сухота в устата, пептична язва;</w:t>
      </w:r>
    </w:p>
    <w:p w14:paraId="4094A1A5"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стоматит/афтозни улцерации (язви), глосиг много редки: интестинален ангиоедем</w:t>
      </w:r>
    </w:p>
    <w:p w14:paraId="0E557F99" w14:textId="77777777" w:rsidR="00FA5220" w:rsidRDefault="00FA5220" w:rsidP="00FA5220">
      <w:pPr>
        <w:spacing w:line="240" w:lineRule="auto"/>
        <w:rPr>
          <w:rFonts w:eastAsia="Times New Roman" w:cs="Arial"/>
          <w:color w:val="000000"/>
          <w:u w:val="single"/>
          <w:lang w:eastAsia="bg-BG"/>
        </w:rPr>
      </w:pPr>
    </w:p>
    <w:p w14:paraId="210A094A" w14:textId="6C121FA9"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Хепатобилиарни нарушения</w:t>
      </w:r>
    </w:p>
    <w:p w14:paraId="19132743"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чернодробна недостатъчност, хепатит (хепатоцелуларен или холестатичен), хепатит включващ некроза, холестаза (включително иктер)</w:t>
      </w:r>
    </w:p>
    <w:p w14:paraId="61ECC391" w14:textId="77777777" w:rsidR="00FA5220" w:rsidRDefault="00FA5220" w:rsidP="00FA5220">
      <w:pPr>
        <w:spacing w:line="240" w:lineRule="auto"/>
        <w:rPr>
          <w:rFonts w:eastAsia="Times New Roman" w:cs="Arial"/>
          <w:color w:val="000000"/>
          <w:u w:val="single"/>
          <w:lang w:eastAsia="bg-BG"/>
        </w:rPr>
      </w:pPr>
    </w:p>
    <w:p w14:paraId="49D9B62B" w14:textId="77777777" w:rsidR="00FA5220" w:rsidRDefault="00FA5220" w:rsidP="00FA5220">
      <w:pPr>
        <w:spacing w:line="240" w:lineRule="auto"/>
        <w:rPr>
          <w:rFonts w:eastAsia="Times New Roman" w:cs="Arial"/>
          <w:color w:val="000000"/>
          <w:u w:val="single"/>
          <w:lang w:eastAsia="bg-BG"/>
        </w:rPr>
      </w:pPr>
      <w:r w:rsidRPr="00FA5220">
        <w:rPr>
          <w:rFonts w:eastAsia="Times New Roman" w:cs="Arial"/>
          <w:color w:val="000000"/>
          <w:u w:val="single"/>
          <w:lang w:eastAsia="bg-BG"/>
        </w:rPr>
        <w:t xml:space="preserve">Нарушения на кожата и подкожната тъкан </w:t>
      </w:r>
    </w:p>
    <w:p w14:paraId="0ED604D8" w14:textId="32BE4E97" w:rsidR="00FA5220" w:rsidRP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lastRenderedPageBreak/>
        <w:t>чести: обрив, свръхчувствителност, ангионевротичен оток; ангионевротичен оток на лицето, крайниците, устните, езика, глотиса и/или ларинкса са били съобщени (вж. точка 4.4); нечести: диафореза, сърбеж, уртикария, алопеция;</w:t>
      </w:r>
    </w:p>
    <w:p w14:paraId="43847B3B"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редки: еритема мултиформе, синдром на Стивънс-Джонсън, ексфолиативен дерматит, токсична епидермална некролиза, пемфигус, еритродерма</w:t>
      </w:r>
    </w:p>
    <w:p w14:paraId="4C785914"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с неизвестна честота (от наличните данни не може да бъде направена оценка): съобщава се за симптомокомплекс, който може да включва някои или всички от следните прояви: висока температура, серозит, васкулит, миалгия/миозит, артралгия/артрит, положителен </w:t>
      </w:r>
      <w:r w:rsidRPr="00FA5220">
        <w:rPr>
          <w:rFonts w:eastAsia="Times New Roman" w:cs="Arial"/>
          <w:color w:val="000000"/>
          <w:lang w:val="en-US"/>
        </w:rPr>
        <w:t>ANA</w:t>
      </w:r>
      <w:r w:rsidRPr="00FA5220">
        <w:rPr>
          <w:rFonts w:eastAsia="Times New Roman" w:cs="Arial"/>
          <w:color w:val="000000"/>
          <w:lang w:val="ru-RU"/>
        </w:rPr>
        <w:t xml:space="preserve">, </w:t>
      </w:r>
      <w:r w:rsidRPr="00FA5220">
        <w:rPr>
          <w:rFonts w:eastAsia="Times New Roman" w:cs="Arial"/>
          <w:color w:val="000000"/>
          <w:lang w:eastAsia="bg-BG"/>
        </w:rPr>
        <w:t>повишено СУЕ, еозинофилия и левкоцитоза. Могат да възникнат обрив, фоточувствителност или други кожни прояви.</w:t>
      </w:r>
    </w:p>
    <w:p w14:paraId="525C6556" w14:textId="77777777" w:rsidR="00FA5220" w:rsidRDefault="00FA5220" w:rsidP="00FA5220">
      <w:pPr>
        <w:spacing w:line="240" w:lineRule="auto"/>
        <w:rPr>
          <w:rFonts w:eastAsia="Times New Roman" w:cs="Arial"/>
          <w:color w:val="000000"/>
          <w:u w:val="single"/>
          <w:lang w:eastAsia="bg-BG"/>
        </w:rPr>
      </w:pPr>
    </w:p>
    <w:p w14:paraId="3FFE3B84" w14:textId="402E7C1E"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 xml:space="preserve">Нарушения на бъбреците и пикочните пътища </w:t>
      </w:r>
      <w:r w:rsidRPr="00FA5220">
        <w:rPr>
          <w:rFonts w:eastAsia="Times New Roman" w:cs="Arial"/>
          <w:color w:val="000000"/>
          <w:lang w:eastAsia="bg-BG"/>
        </w:rPr>
        <w:t>нечести: бъбречна дисфункция, бъбречна недостатъчност, протеинурия редки: олигурия</w:t>
      </w:r>
    </w:p>
    <w:p w14:paraId="590C0799" w14:textId="77777777" w:rsidR="00FA5220" w:rsidRDefault="00FA5220" w:rsidP="00FA5220">
      <w:pPr>
        <w:spacing w:line="240" w:lineRule="auto"/>
        <w:rPr>
          <w:rFonts w:eastAsia="Times New Roman" w:cs="Arial"/>
          <w:color w:val="000000"/>
          <w:u w:val="single"/>
          <w:lang w:eastAsia="bg-BG"/>
        </w:rPr>
      </w:pPr>
    </w:p>
    <w:p w14:paraId="1EA2D688" w14:textId="77777777" w:rsidR="00FA5220" w:rsidRDefault="00FA5220" w:rsidP="00FA5220">
      <w:pPr>
        <w:spacing w:line="240" w:lineRule="auto"/>
        <w:rPr>
          <w:rFonts w:eastAsia="Times New Roman" w:cs="Arial"/>
          <w:color w:val="000000"/>
          <w:u w:val="single"/>
          <w:lang w:eastAsia="bg-BG"/>
        </w:rPr>
      </w:pPr>
      <w:r w:rsidRPr="00FA5220">
        <w:rPr>
          <w:rFonts w:eastAsia="Times New Roman" w:cs="Arial"/>
          <w:color w:val="000000"/>
          <w:u w:val="single"/>
          <w:lang w:eastAsia="bg-BG"/>
        </w:rPr>
        <w:t xml:space="preserve">Нарушения на възпроизводителната система и гърдата </w:t>
      </w:r>
    </w:p>
    <w:p w14:paraId="02F57D66" w14:textId="563DDF0D" w:rsid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t xml:space="preserve">нечести: импотентност редки: </w:t>
      </w:r>
    </w:p>
    <w:p w14:paraId="173E1C55" w14:textId="2F88323C" w:rsidR="00FA5220" w:rsidRPr="00FA5220" w:rsidRDefault="00FA5220" w:rsidP="00FA5220">
      <w:pPr>
        <w:spacing w:line="240" w:lineRule="auto"/>
        <w:rPr>
          <w:rFonts w:eastAsia="Times New Roman" w:cs="Arial"/>
        </w:rPr>
      </w:pPr>
      <w:r w:rsidRPr="00FA5220">
        <w:rPr>
          <w:rFonts w:eastAsia="Times New Roman" w:cs="Arial"/>
          <w:color w:val="000000"/>
          <w:lang w:eastAsia="bg-BG"/>
        </w:rPr>
        <w:t>гинекомастия</w:t>
      </w:r>
    </w:p>
    <w:p w14:paraId="4CF7B740" w14:textId="77777777" w:rsidR="00FA5220" w:rsidRDefault="00FA5220" w:rsidP="00FA5220">
      <w:pPr>
        <w:spacing w:line="240" w:lineRule="auto"/>
        <w:rPr>
          <w:rFonts w:eastAsia="Times New Roman" w:cs="Arial"/>
          <w:color w:val="000000"/>
          <w:u w:val="single"/>
          <w:lang w:eastAsia="bg-BG"/>
        </w:rPr>
      </w:pPr>
    </w:p>
    <w:p w14:paraId="44D1B980" w14:textId="3D8C5DD0"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 xml:space="preserve">Общи нарушения и ефекти на мястото на приложение </w:t>
      </w:r>
      <w:r w:rsidRPr="00FA5220">
        <w:rPr>
          <w:rFonts w:eastAsia="Times New Roman" w:cs="Arial"/>
          <w:color w:val="000000"/>
          <w:lang w:eastAsia="bg-BG"/>
        </w:rPr>
        <w:t>много чести: астения</w:t>
      </w:r>
    </w:p>
    <w:p w14:paraId="3CC64E6C"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чести: умора нечести: мускулни крампи, зачервяване на лицето, шум в ушите, общо неразположение, висока температура</w:t>
      </w:r>
    </w:p>
    <w:p w14:paraId="52EB4CC4" w14:textId="77777777" w:rsidR="00FA5220" w:rsidRDefault="00FA5220" w:rsidP="00FA5220">
      <w:pPr>
        <w:spacing w:line="240" w:lineRule="auto"/>
        <w:rPr>
          <w:rFonts w:eastAsia="Times New Roman" w:cs="Arial"/>
          <w:color w:val="000000"/>
          <w:u w:val="single"/>
          <w:lang w:eastAsia="bg-BG"/>
        </w:rPr>
      </w:pPr>
    </w:p>
    <w:p w14:paraId="1EBB66CB" w14:textId="680CECF4"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Изследвания</w:t>
      </w:r>
    </w:p>
    <w:p w14:paraId="16634042"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чести: хиперкалиемия, повишен серумен креатинин нечести: повишена кръвна урея, хипонатриемия редки: повишени стойности на чернодробните ензими, повишени стойности на серумния билирубин</w:t>
      </w:r>
    </w:p>
    <w:p w14:paraId="4730F094" w14:textId="77777777" w:rsidR="00FA5220" w:rsidRDefault="00FA5220" w:rsidP="00FA5220">
      <w:pPr>
        <w:spacing w:line="240" w:lineRule="auto"/>
        <w:rPr>
          <w:rFonts w:eastAsia="Times New Roman" w:cs="Arial"/>
          <w:color w:val="000000"/>
          <w:u w:val="single"/>
          <w:lang w:eastAsia="bg-BG"/>
        </w:rPr>
      </w:pPr>
    </w:p>
    <w:p w14:paraId="78A4D487" w14:textId="27ECEC46"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Съобщаване на подозирани нежелани реакции</w:t>
      </w:r>
    </w:p>
    <w:p w14:paraId="667A33DB"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Съобщаването на подозирани нежелани реакции след разрешаване за употреба на</w:t>
      </w:r>
      <w:r w:rsidRPr="00FA5220">
        <w:rPr>
          <w:rFonts w:eastAsia="Times New Roman" w:cs="Arial"/>
          <w:color w:val="000000"/>
          <w:u w:val="single"/>
          <w:lang w:eastAsia="bg-BG"/>
        </w:rPr>
        <w:t xml:space="preserve"> </w:t>
      </w:r>
      <w:r w:rsidRPr="00FA5220">
        <w:rPr>
          <w:rFonts w:eastAsia="Times New Roman" w:cs="Arial"/>
          <w:color w:val="000000"/>
          <w:lang w:eastAsia="bg-BG"/>
        </w:rPr>
        <w:t>лекарствения продукт е важно. Това позволява да продължи наблюдението на съотношението полза/риск на лекарствения продукт. От медицинските специалисти се\ изисква да съобщават всяка подозирана нежелана реакция чрез националната системеа за съобщаване:</w:t>
      </w:r>
    </w:p>
    <w:p w14:paraId="3EB81BAC" w14:textId="77777777" w:rsidR="00FA5220" w:rsidRDefault="00FA5220" w:rsidP="00FA5220">
      <w:pPr>
        <w:spacing w:line="240" w:lineRule="auto"/>
        <w:rPr>
          <w:rFonts w:eastAsia="Times New Roman" w:cs="Arial"/>
          <w:color w:val="000000"/>
          <w:lang w:eastAsia="bg-BG"/>
        </w:rPr>
      </w:pPr>
    </w:p>
    <w:p w14:paraId="04604930" w14:textId="77777777" w:rsid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t xml:space="preserve">Изпълнителна агенция по лекарствата </w:t>
      </w:r>
    </w:p>
    <w:p w14:paraId="7924394A" w14:textId="380A7611" w:rsidR="00FA5220" w:rsidRPr="00FA5220" w:rsidRDefault="00FA5220" w:rsidP="00FA5220">
      <w:pPr>
        <w:spacing w:line="240" w:lineRule="auto"/>
        <w:rPr>
          <w:rFonts w:eastAsia="Times New Roman" w:cs="Arial"/>
        </w:rPr>
      </w:pPr>
      <w:r w:rsidRPr="00FA5220">
        <w:rPr>
          <w:rFonts w:eastAsia="Times New Roman" w:cs="Arial"/>
          <w:color w:val="000000"/>
          <w:lang w:eastAsia="bg-BG"/>
        </w:rPr>
        <w:t>ул. „Дамян Груев" № 8</w:t>
      </w:r>
    </w:p>
    <w:p w14:paraId="71D00DE9" w14:textId="77777777" w:rsidR="00FA5220" w:rsidRPr="00FA5220" w:rsidRDefault="00FA5220" w:rsidP="00FA5220">
      <w:pPr>
        <w:rPr>
          <w:sz w:val="24"/>
          <w:szCs w:val="24"/>
        </w:rPr>
      </w:pPr>
      <w:r w:rsidRPr="00FA5220">
        <w:rPr>
          <w:lang w:eastAsia="bg-BG"/>
        </w:rPr>
        <w:t>1303 София</w:t>
      </w:r>
    </w:p>
    <w:p w14:paraId="55B299E1" w14:textId="77777777" w:rsidR="00FA5220" w:rsidRPr="00FA5220" w:rsidRDefault="00FA5220" w:rsidP="00FA5220">
      <w:pPr>
        <w:rPr>
          <w:sz w:val="24"/>
          <w:szCs w:val="24"/>
        </w:rPr>
      </w:pPr>
      <w:r w:rsidRPr="00FA5220">
        <w:rPr>
          <w:lang w:eastAsia="bg-BG"/>
        </w:rPr>
        <w:t>тел.:+ 359 2 890 34 17</w:t>
      </w:r>
    </w:p>
    <w:p w14:paraId="3FC63EDB" w14:textId="77777777" w:rsidR="00FA5220" w:rsidRPr="00FA5220" w:rsidRDefault="00FA5220" w:rsidP="00FA5220">
      <w:pPr>
        <w:rPr>
          <w:sz w:val="24"/>
          <w:szCs w:val="24"/>
        </w:rPr>
      </w:pPr>
      <w:r w:rsidRPr="00FA5220">
        <w:rPr>
          <w:lang w:eastAsia="bg-BG"/>
        </w:rPr>
        <w:t xml:space="preserve">уебсайт: </w:t>
      </w:r>
      <w:r w:rsidRPr="00FA5220">
        <w:rPr>
          <w:sz w:val="24"/>
          <w:szCs w:val="24"/>
        </w:rPr>
        <w:fldChar w:fldCharType="begin"/>
      </w:r>
      <w:r w:rsidRPr="00FA5220">
        <w:rPr>
          <w:sz w:val="24"/>
          <w:szCs w:val="24"/>
        </w:rPr>
        <w:instrText xml:space="preserve"> HYPERLINK "http://www.bda.bg" </w:instrText>
      </w:r>
      <w:r w:rsidRPr="00FA5220">
        <w:rPr>
          <w:sz w:val="24"/>
          <w:szCs w:val="24"/>
        </w:rPr>
      </w:r>
      <w:r w:rsidRPr="00FA5220">
        <w:rPr>
          <w:sz w:val="24"/>
          <w:szCs w:val="24"/>
        </w:rPr>
        <w:fldChar w:fldCharType="separate"/>
      </w:r>
      <w:r w:rsidRPr="00FA5220">
        <w:rPr>
          <w:lang w:val="en-US"/>
        </w:rPr>
        <w:t>www</w:t>
      </w:r>
      <w:r w:rsidRPr="00FA5220">
        <w:rPr>
          <w:lang w:val="ru-RU"/>
        </w:rPr>
        <w:t>.</w:t>
      </w:r>
      <w:proofErr w:type="spellStart"/>
      <w:r w:rsidRPr="00FA5220">
        <w:rPr>
          <w:lang w:val="en-US"/>
        </w:rPr>
        <w:t>bda</w:t>
      </w:r>
      <w:proofErr w:type="spellEnd"/>
      <w:r w:rsidRPr="00FA5220">
        <w:rPr>
          <w:lang w:val="ru-RU"/>
        </w:rPr>
        <w:t>.</w:t>
      </w:r>
      <w:proofErr w:type="spellStart"/>
      <w:r w:rsidRPr="00FA5220">
        <w:rPr>
          <w:lang w:val="en-US"/>
        </w:rPr>
        <w:t>bg</w:t>
      </w:r>
      <w:proofErr w:type="spellEnd"/>
      <w:r w:rsidRPr="00FA5220">
        <w:rPr>
          <w:sz w:val="24"/>
          <w:szCs w:val="24"/>
        </w:rPr>
        <w:fldChar w:fldCharType="end"/>
      </w:r>
    </w:p>
    <w:p w14:paraId="23BD9817" w14:textId="77777777" w:rsidR="00FA5220" w:rsidRPr="00FA5220" w:rsidRDefault="00FA5220" w:rsidP="00FA5220"/>
    <w:p w14:paraId="5A87DBA3" w14:textId="33662389" w:rsidR="007122AD" w:rsidRDefault="002C50EE" w:rsidP="00936AD0">
      <w:pPr>
        <w:pStyle w:val="Heading2"/>
      </w:pPr>
      <w:r>
        <w:t>4.9. Предозиране</w:t>
      </w:r>
    </w:p>
    <w:p w14:paraId="706E1FA6" w14:textId="69B0CCC9" w:rsidR="00FA5220" w:rsidRDefault="00FA5220" w:rsidP="00FA5220"/>
    <w:p w14:paraId="72A86592"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Има ограничени сведения относно предозиране при хора. Най-важните симптоми свързани с предозиране са: изразена хипотония, започваща около 6 часа след прилагане на таблетките, придружена с блокада на ренин-ангиотензиновата система и ступор. Симптомите, свързани с предозиране на АСЕ инхибитори може да включват циркулаторен шок, електролитни нарушения, бъбречна недостатъчност, хипервентилация, тахикардия, палпитации, брадикардия, замайване, безпокойство и кашлица. Има съобщения за сто до двеста пъти по- високи серумни нива еналаприлат </w:t>
      </w:r>
      <w:r w:rsidRPr="00FA5220">
        <w:rPr>
          <w:rFonts w:eastAsia="Times New Roman" w:cs="Arial"/>
          <w:color w:val="000000"/>
          <w:lang w:eastAsia="bg-BG"/>
        </w:rPr>
        <w:lastRenderedPageBreak/>
        <w:t xml:space="preserve">след приемане на 300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 xml:space="preserve">респективно 440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еналаприл, в сравнение с обичайно наблюдаваните след прилагане на терапевтични дози.</w:t>
      </w:r>
    </w:p>
    <w:p w14:paraId="35B47646" w14:textId="77777777" w:rsidR="00FA5220" w:rsidRDefault="00FA5220" w:rsidP="00FA5220">
      <w:pPr>
        <w:spacing w:line="240" w:lineRule="auto"/>
        <w:rPr>
          <w:rFonts w:eastAsia="Times New Roman" w:cs="Arial"/>
          <w:color w:val="000000"/>
          <w:lang w:eastAsia="bg-BG"/>
        </w:rPr>
      </w:pPr>
    </w:p>
    <w:p w14:paraId="414D77F1" w14:textId="29802FBF" w:rsidR="00FA5220" w:rsidRPr="00FA5220" w:rsidRDefault="00FA5220" w:rsidP="00FA5220">
      <w:pPr>
        <w:spacing w:line="240" w:lineRule="auto"/>
        <w:rPr>
          <w:rFonts w:eastAsia="Times New Roman" w:cs="Arial"/>
        </w:rPr>
      </w:pPr>
      <w:r w:rsidRPr="00FA5220">
        <w:rPr>
          <w:rFonts w:eastAsia="Times New Roman" w:cs="Arial"/>
          <w:color w:val="000000"/>
          <w:lang w:eastAsia="bg-BG"/>
        </w:rPr>
        <w:t>При предозиране се препоръчваното лечение е интравенозна инфузия с изотоничен физиологичен разтвор. Ако възникне хипотония, пациентът трябва да се постави в легнало положение. Ако са налични, инфузия с ангиотензин II и/или интравенозни катехоламини може да бъдат от полза. Ако приемането на препарата е станало наскоро, е необходимо да се вземат мерки за елиминиране на еналаприловия малеат ( напр. предизвикване на повръщане, стомашна промивка, приемане на адсорбенти и натриев сулфат). Еналаприлат може да бъде отстранен от кръвообращението и чрез хемодиализа (вж.точка 4.4). Пейсмейкър терапията е показана за лечение на резистентна брадикардия. Жизнените показатели, серумните електролити и концентрациите на креатинина трябва да бъдат непрекъснато мониторирани.</w:t>
      </w:r>
    </w:p>
    <w:p w14:paraId="3EAD377A" w14:textId="77777777" w:rsidR="00FA5220" w:rsidRPr="00FA5220" w:rsidRDefault="00FA5220" w:rsidP="00FA5220"/>
    <w:p w14:paraId="02081B24" w14:textId="1F46E296" w:rsidR="00395555" w:rsidRPr="00395555" w:rsidRDefault="002C50EE" w:rsidP="008A6AF2">
      <w:pPr>
        <w:pStyle w:val="Heading1"/>
      </w:pPr>
      <w:r>
        <w:t>5. ФАРМАКОЛОГИЧНИ СВОЙСТВА</w:t>
      </w:r>
    </w:p>
    <w:p w14:paraId="7DE36AC8" w14:textId="672A24A2" w:rsidR="00B6672E" w:rsidRDefault="002C50EE" w:rsidP="00936AD0">
      <w:pPr>
        <w:pStyle w:val="Heading2"/>
      </w:pPr>
      <w:r>
        <w:t>5.1. Фармакодинамични свойства</w:t>
      </w:r>
    </w:p>
    <w:p w14:paraId="56CC4673" w14:textId="58DDCB43" w:rsidR="00FA5220" w:rsidRDefault="00FA5220" w:rsidP="00FA5220"/>
    <w:p w14:paraId="4F66B606"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Фармакотерапевтична група: инхибитори на ангиотензин-конвертиращия ензим, самостоятелно</w:t>
      </w:r>
    </w:p>
    <w:p w14:paraId="3261EE94"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АТС код: С09АА02</w:t>
      </w:r>
    </w:p>
    <w:p w14:paraId="6ACCF548" w14:textId="77777777" w:rsidR="00FA5220" w:rsidRDefault="00FA5220" w:rsidP="00FA5220">
      <w:pPr>
        <w:spacing w:line="240" w:lineRule="auto"/>
        <w:rPr>
          <w:rFonts w:eastAsia="Times New Roman" w:cs="Arial"/>
          <w:color w:val="000000"/>
          <w:lang w:eastAsia="bg-BG"/>
        </w:rPr>
      </w:pPr>
    </w:p>
    <w:p w14:paraId="720A7AE8" w14:textId="26B437CA"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Енприл (еналаприлов малеат) е малеатна сол на еналаприл, дериват на две аминокиселини, </w:t>
      </w:r>
      <w:r w:rsidRPr="00FA5220">
        <w:rPr>
          <w:rFonts w:eastAsia="Times New Roman" w:cs="Arial"/>
          <w:color w:val="000000"/>
          <w:lang w:val="en-US"/>
        </w:rPr>
        <w:t>L</w:t>
      </w:r>
      <w:r w:rsidRPr="00FA5220">
        <w:rPr>
          <w:rFonts w:eastAsia="Times New Roman" w:cs="Arial"/>
          <w:color w:val="000000"/>
          <w:lang w:eastAsia="bg-BG"/>
        </w:rPr>
        <w:t xml:space="preserve">-аланин и </w:t>
      </w:r>
      <w:r w:rsidRPr="00FA5220">
        <w:rPr>
          <w:rFonts w:eastAsia="Times New Roman" w:cs="Arial"/>
          <w:color w:val="000000"/>
          <w:lang w:val="en-US"/>
        </w:rPr>
        <w:t>L</w:t>
      </w:r>
      <w:r w:rsidRPr="00FA5220">
        <w:rPr>
          <w:rFonts w:eastAsia="Times New Roman" w:cs="Arial"/>
          <w:color w:val="000000"/>
          <w:lang w:eastAsia="bg-BG"/>
        </w:rPr>
        <w:t>-пролин. Ангиотензин конвертиращия ензим (АСЕ) е пептидил дипептидаза, която катализира конверсията на ангиотензин I до пресорната субстанция ангиотензин II. След абсорбцията, еналаприл се хидролизира до еналаприлат, който инхибира ангиотензин- конвертиращия ензим (АСЕ). Това води до намаляване на плазмения ангиотензин II (силен вазоконстриктор и стимулатор на алдостероновата секреция), което води до увеличаване на плазмената ренинова активност (в резултат на премахване на негативната обратна връзка на рениновото освобождаване) и намаляване на алдостероновата секреция.</w:t>
      </w:r>
    </w:p>
    <w:p w14:paraId="6D274C9A" w14:textId="77777777" w:rsidR="00FA5220" w:rsidRDefault="00FA5220" w:rsidP="00FA5220">
      <w:pPr>
        <w:spacing w:line="240" w:lineRule="auto"/>
        <w:rPr>
          <w:rFonts w:eastAsia="Times New Roman" w:cs="Arial"/>
          <w:color w:val="000000"/>
          <w:lang w:eastAsia="bg-BG"/>
        </w:rPr>
      </w:pPr>
    </w:p>
    <w:p w14:paraId="1719F9A4" w14:textId="53EAAE23"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АСЕ е идентичен на киназа </w:t>
      </w:r>
      <w:r w:rsidRPr="00FA5220">
        <w:rPr>
          <w:rFonts w:eastAsia="Times New Roman" w:cs="Arial"/>
          <w:color w:val="000000"/>
          <w:lang w:val="en-US"/>
        </w:rPr>
        <w:t>II</w:t>
      </w:r>
      <w:r w:rsidRPr="00FA5220">
        <w:rPr>
          <w:rFonts w:eastAsia="Times New Roman" w:cs="Arial"/>
          <w:color w:val="000000"/>
          <w:lang w:eastAsia="bg-BG"/>
        </w:rPr>
        <w:t>. Така, Енприл може също да блокира разграждането на брадикинин, мощен вазодепресорен пептид. Ролята на този ефект на Енприл в терапевтично отношение обаче остава да се изясни.</w:t>
      </w:r>
    </w:p>
    <w:p w14:paraId="3D7B4F36" w14:textId="77777777" w:rsidR="00FA5220" w:rsidRDefault="00FA5220" w:rsidP="00FA5220">
      <w:pPr>
        <w:spacing w:line="240" w:lineRule="auto"/>
        <w:rPr>
          <w:rFonts w:eastAsia="Times New Roman" w:cs="Arial"/>
          <w:color w:val="000000"/>
          <w:u w:val="single"/>
          <w:lang w:eastAsia="bg-BG"/>
        </w:rPr>
      </w:pPr>
    </w:p>
    <w:p w14:paraId="5A8AB6A8" w14:textId="17B2B29F"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Механизъм на действие</w:t>
      </w:r>
    </w:p>
    <w:p w14:paraId="168E4012"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Въпреки че се счита, че механизмът, чрез който Енприл понижава кръвното налягане, е първично потискане на ренин-ангиотензин-алдостероновата система, която играе главна роля в регулацията на кръвното налягане, Енприл има антихипертензивен ефект, дори при пациенти с ниско-ренинова хипертония.</w:t>
      </w:r>
    </w:p>
    <w:p w14:paraId="6A3CC1BC" w14:textId="77777777" w:rsidR="00FA5220" w:rsidRPr="00FA5220" w:rsidRDefault="00FA5220" w:rsidP="00FA5220">
      <w:pPr>
        <w:spacing w:line="240" w:lineRule="auto"/>
        <w:rPr>
          <w:rFonts w:eastAsia="Times New Roman" w:cs="Arial"/>
        </w:rPr>
      </w:pPr>
    </w:p>
    <w:p w14:paraId="37E14946" w14:textId="77777777"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Фармакодинамични ефекти</w:t>
      </w:r>
    </w:p>
    <w:p w14:paraId="14A784B4" w14:textId="3C279019" w:rsid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t>Приемът на Енприл при пациенти с артериална хипертония води до намаляване на кръвното налягане, както в легнало, така и в изправено положение без значително увеличване на</w:t>
      </w:r>
      <w:r>
        <w:rPr>
          <w:rFonts w:eastAsia="Times New Roman" w:cs="Arial"/>
        </w:rPr>
        <w:t xml:space="preserve"> </w:t>
      </w:r>
      <w:r w:rsidRPr="00FA5220">
        <w:rPr>
          <w:rFonts w:eastAsia="Times New Roman" w:cs="Arial"/>
          <w:color w:val="000000"/>
          <w:lang w:eastAsia="bg-BG"/>
        </w:rPr>
        <w:t>сърдечната честота.</w:t>
      </w:r>
    </w:p>
    <w:p w14:paraId="54CFE10D" w14:textId="45F9A4FC" w:rsidR="00FA5220" w:rsidRDefault="00FA5220" w:rsidP="00FA5220">
      <w:pPr>
        <w:spacing w:line="240" w:lineRule="auto"/>
        <w:rPr>
          <w:rFonts w:eastAsia="Times New Roman" w:cs="Arial"/>
          <w:color w:val="000000"/>
          <w:lang w:eastAsia="bg-BG"/>
        </w:rPr>
      </w:pPr>
    </w:p>
    <w:p w14:paraId="4DF9542F"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Симптоматичната ортостатична хипотония е рядка. При някои пациенти оптималното понижаване на кръвното налягане може да изисква продължителност на терапията </w:t>
      </w:r>
      <w:r w:rsidRPr="00FA5220">
        <w:rPr>
          <w:rFonts w:eastAsia="Times New Roman" w:cs="Arial"/>
          <w:color w:val="000000"/>
          <w:lang w:eastAsia="bg-BG"/>
        </w:rPr>
        <w:lastRenderedPageBreak/>
        <w:t>няколко седмици. Внезапното спиране на Енприл не би трябвало да се свързва с рязко увеличаване на кръвното налягане.</w:t>
      </w:r>
    </w:p>
    <w:p w14:paraId="4A25C063" w14:textId="77777777" w:rsidR="00FA5220" w:rsidRDefault="00FA5220" w:rsidP="00FA5220">
      <w:pPr>
        <w:spacing w:line="240" w:lineRule="auto"/>
        <w:rPr>
          <w:rFonts w:eastAsia="Times New Roman" w:cs="Arial"/>
          <w:color w:val="000000"/>
          <w:lang w:eastAsia="bg-BG"/>
        </w:rPr>
      </w:pPr>
    </w:p>
    <w:p w14:paraId="711F6B9C" w14:textId="4500C8D7" w:rsidR="00FA5220" w:rsidRPr="00FA5220" w:rsidRDefault="00FA5220" w:rsidP="00FA5220">
      <w:pPr>
        <w:spacing w:line="240" w:lineRule="auto"/>
        <w:rPr>
          <w:rFonts w:eastAsia="Times New Roman" w:cs="Arial"/>
        </w:rPr>
      </w:pPr>
      <w:r w:rsidRPr="00FA5220">
        <w:rPr>
          <w:rFonts w:eastAsia="Times New Roman" w:cs="Arial"/>
          <w:color w:val="000000"/>
          <w:lang w:eastAsia="bg-BG"/>
        </w:rPr>
        <w:t>Ефективното инхибиране на АСЕ активността обикновено настъпва още на 2-ия до 4-ия час след перорален прием на еднократна доза еналаприл. Началото на антихипертензивната активност е наблюдавано обикновено на първия час, с пиково намаляване на стойностите на кръвното налягане на 2-ия до 6-ия час след приема. Продължителността на ефекта е зависима от дозата. При препоръчваната доза антихипертензивният и хемодинамичен ефект се поддържат най-малко в продължение на 24 часа.</w:t>
      </w:r>
    </w:p>
    <w:p w14:paraId="68F0C87A" w14:textId="77777777" w:rsidR="00FA5220" w:rsidRDefault="00FA5220" w:rsidP="00FA5220">
      <w:pPr>
        <w:spacing w:line="240" w:lineRule="auto"/>
        <w:rPr>
          <w:rFonts w:eastAsia="Times New Roman" w:cs="Arial"/>
          <w:color w:val="000000"/>
          <w:lang w:eastAsia="bg-BG"/>
        </w:rPr>
      </w:pPr>
    </w:p>
    <w:p w14:paraId="5D702606" w14:textId="25527F77" w:rsidR="00FA5220" w:rsidRPr="00FA5220" w:rsidRDefault="00FA5220" w:rsidP="00FA5220">
      <w:pPr>
        <w:spacing w:line="240" w:lineRule="auto"/>
        <w:rPr>
          <w:rFonts w:eastAsia="Times New Roman" w:cs="Arial"/>
        </w:rPr>
      </w:pPr>
      <w:r w:rsidRPr="00FA5220">
        <w:rPr>
          <w:rFonts w:eastAsia="Times New Roman" w:cs="Arial"/>
          <w:color w:val="000000"/>
          <w:lang w:eastAsia="bg-BG"/>
        </w:rPr>
        <w:t>В хемодинамични проучвания на пациенти с есенциална хипертония, намаляването на кръвното налягане е придружено от намаляване на периферната артериална резистентност с увеличаване на сърдечния обем и малка или липсваща промяна в сърдечната честота.</w:t>
      </w:r>
    </w:p>
    <w:p w14:paraId="7839D500" w14:textId="77777777" w:rsidR="00FA5220" w:rsidRDefault="00FA5220" w:rsidP="00FA5220">
      <w:pPr>
        <w:spacing w:line="240" w:lineRule="auto"/>
        <w:rPr>
          <w:rFonts w:eastAsia="Times New Roman" w:cs="Arial"/>
          <w:color w:val="000000"/>
          <w:lang w:eastAsia="bg-BG"/>
        </w:rPr>
      </w:pPr>
    </w:p>
    <w:p w14:paraId="326F92D1" w14:textId="7847DEC3" w:rsidR="00FA5220" w:rsidRPr="00FA5220" w:rsidRDefault="00FA5220" w:rsidP="00FA5220">
      <w:pPr>
        <w:spacing w:line="240" w:lineRule="auto"/>
        <w:rPr>
          <w:rFonts w:eastAsia="Times New Roman" w:cs="Arial"/>
        </w:rPr>
      </w:pPr>
      <w:r w:rsidRPr="00FA5220">
        <w:rPr>
          <w:rFonts w:eastAsia="Times New Roman" w:cs="Arial"/>
          <w:color w:val="000000"/>
          <w:lang w:eastAsia="bg-BG"/>
        </w:rPr>
        <w:t>Вследствие приема на еналаприл се увеличава бъбречния кръвен ток; нивото на гломерулната филтрация остава непроменено. Няма доказателства за задръжка на натрий или вода. Обаче, при пациенти с ниско ниво на гломерулната филтрация преди лечението, това ниво обикновено се увеличава.</w:t>
      </w:r>
    </w:p>
    <w:p w14:paraId="5C4C3E1B" w14:textId="77777777" w:rsidR="00FA5220" w:rsidRDefault="00FA5220" w:rsidP="00FA5220">
      <w:pPr>
        <w:spacing w:line="240" w:lineRule="auto"/>
        <w:rPr>
          <w:rFonts w:eastAsia="Times New Roman" w:cs="Arial"/>
          <w:color w:val="000000"/>
          <w:lang w:eastAsia="bg-BG"/>
        </w:rPr>
      </w:pPr>
    </w:p>
    <w:p w14:paraId="7892D253" w14:textId="77777777" w:rsid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t xml:space="preserve">В краткотрайни клинични проучвания при пациенти с и без диабет, имащи бъбречно заболяване, след приема на еналаприл е наблюдавано намаление на албуминурията и </w:t>
      </w:r>
    </w:p>
    <w:p w14:paraId="7D601F35" w14:textId="73F77D6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на екскрецията с урина на </w:t>
      </w:r>
      <w:r w:rsidRPr="00FA5220">
        <w:rPr>
          <w:rFonts w:eastAsia="Times New Roman" w:cs="Arial"/>
          <w:color w:val="000000"/>
          <w:lang w:val="en-US"/>
        </w:rPr>
        <w:t>IgG</w:t>
      </w:r>
      <w:r w:rsidRPr="00FA5220">
        <w:rPr>
          <w:rFonts w:eastAsia="Times New Roman" w:cs="Arial"/>
          <w:color w:val="000000"/>
          <w:lang w:val="ru-RU"/>
        </w:rPr>
        <w:t xml:space="preserve"> </w:t>
      </w:r>
      <w:r w:rsidRPr="00FA5220">
        <w:rPr>
          <w:rFonts w:eastAsia="Times New Roman" w:cs="Arial"/>
          <w:color w:val="000000"/>
          <w:lang w:eastAsia="bg-BG"/>
        </w:rPr>
        <w:t>и общ белтък.</w:t>
      </w:r>
    </w:p>
    <w:p w14:paraId="759725D7" w14:textId="77777777" w:rsidR="00FA5220" w:rsidRDefault="00FA5220" w:rsidP="00FA5220">
      <w:pPr>
        <w:spacing w:line="240" w:lineRule="auto"/>
        <w:rPr>
          <w:rFonts w:eastAsia="Times New Roman" w:cs="Arial"/>
          <w:color w:val="000000"/>
          <w:lang w:eastAsia="bg-BG"/>
        </w:rPr>
      </w:pPr>
    </w:p>
    <w:p w14:paraId="6B9A38CD" w14:textId="339BA85F" w:rsidR="00FA5220" w:rsidRPr="00FA5220" w:rsidRDefault="00FA5220" w:rsidP="00FA5220">
      <w:pPr>
        <w:spacing w:line="240" w:lineRule="auto"/>
        <w:rPr>
          <w:rFonts w:eastAsia="Times New Roman" w:cs="Arial"/>
        </w:rPr>
      </w:pPr>
      <w:r w:rsidRPr="00FA5220">
        <w:rPr>
          <w:rFonts w:eastAsia="Times New Roman" w:cs="Arial"/>
          <w:color w:val="000000"/>
          <w:lang w:eastAsia="bg-BG"/>
        </w:rPr>
        <w:t>Когато се дава заедно с тиазидни диуретици, ефектът на Енприл, водещ до намаляване на кръвното налягане, е най-малко адитивен. Енприл може да намали или да предпази от развитие на гиазид-индуцирана хипокалиемия.</w:t>
      </w:r>
    </w:p>
    <w:p w14:paraId="358B30C1" w14:textId="77777777" w:rsidR="00FA5220" w:rsidRDefault="00FA5220" w:rsidP="00FA5220">
      <w:pPr>
        <w:spacing w:line="240" w:lineRule="auto"/>
        <w:rPr>
          <w:rFonts w:eastAsia="Times New Roman" w:cs="Arial"/>
          <w:color w:val="000000"/>
          <w:lang w:eastAsia="bg-BG"/>
        </w:rPr>
      </w:pPr>
    </w:p>
    <w:p w14:paraId="1681F6C1" w14:textId="4293A76F" w:rsidR="00FA5220" w:rsidRPr="00FA5220" w:rsidRDefault="00FA5220" w:rsidP="00FA5220">
      <w:pPr>
        <w:spacing w:line="240" w:lineRule="auto"/>
        <w:rPr>
          <w:rFonts w:eastAsia="Times New Roman" w:cs="Arial"/>
        </w:rPr>
      </w:pPr>
      <w:r w:rsidRPr="00FA5220">
        <w:rPr>
          <w:rFonts w:eastAsia="Times New Roman" w:cs="Arial"/>
          <w:color w:val="000000"/>
          <w:lang w:eastAsia="bg-BG"/>
        </w:rPr>
        <w:t>Лечението с Енприл е свързано с благоприятен ефект върху фракциите на плазмените липо- протеинии благоприятен или липсващ ефект върху нивата на общия холестерол.</w:t>
      </w:r>
    </w:p>
    <w:p w14:paraId="498B40DB" w14:textId="77777777" w:rsidR="00FA5220" w:rsidRDefault="00FA5220" w:rsidP="00FA5220">
      <w:pPr>
        <w:spacing w:line="240" w:lineRule="auto"/>
        <w:rPr>
          <w:rFonts w:eastAsia="Times New Roman" w:cs="Arial"/>
          <w:color w:val="000000"/>
          <w:lang w:eastAsia="bg-BG"/>
        </w:rPr>
      </w:pPr>
    </w:p>
    <w:p w14:paraId="12E3FB58" w14:textId="37DA3760"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При пациенти със сърдечна недостатъчност на терапия с дигиталисови гликозиди и диуретици, лечението с Енприл е свързано с намаляване на периферната резистентност и кръвно налягане. Сърдечният ударен обем е увеличен, докато сърдечната честота (обичайно висока при пациенти със сърдечна недостатъчност) е намалена. Подобрени са физическата активност и тежестта на сърдечна недостатъчност, измервана спрямо критериите на </w:t>
      </w:r>
      <w:r w:rsidRPr="00FA5220">
        <w:rPr>
          <w:rFonts w:eastAsia="Times New Roman" w:cs="Arial"/>
          <w:color w:val="000000"/>
          <w:lang w:val="en-US"/>
        </w:rPr>
        <w:t>New</w:t>
      </w:r>
      <w:r w:rsidRPr="00FA5220">
        <w:rPr>
          <w:rFonts w:eastAsia="Times New Roman" w:cs="Arial"/>
          <w:color w:val="000000"/>
          <w:lang w:val="ru-RU"/>
        </w:rPr>
        <w:t xml:space="preserve"> </w:t>
      </w:r>
      <w:r w:rsidRPr="00FA5220">
        <w:rPr>
          <w:rFonts w:eastAsia="Times New Roman" w:cs="Arial"/>
          <w:color w:val="000000"/>
          <w:lang w:val="en-US"/>
        </w:rPr>
        <w:t>York</w:t>
      </w:r>
      <w:r w:rsidRPr="00FA5220">
        <w:rPr>
          <w:rFonts w:eastAsia="Times New Roman" w:cs="Arial"/>
          <w:color w:val="000000"/>
          <w:lang w:val="ru-RU"/>
        </w:rPr>
        <w:t xml:space="preserve"> </w:t>
      </w:r>
      <w:r w:rsidRPr="00FA5220">
        <w:rPr>
          <w:rFonts w:eastAsia="Times New Roman" w:cs="Arial"/>
          <w:color w:val="000000"/>
          <w:lang w:val="en-US"/>
        </w:rPr>
        <w:t>Heart</w:t>
      </w:r>
      <w:r w:rsidRPr="00FA5220">
        <w:rPr>
          <w:rFonts w:eastAsia="Times New Roman" w:cs="Arial"/>
          <w:color w:val="000000"/>
          <w:lang w:val="ru-RU"/>
        </w:rPr>
        <w:t xml:space="preserve"> </w:t>
      </w:r>
      <w:r w:rsidRPr="00FA5220">
        <w:rPr>
          <w:rFonts w:eastAsia="Times New Roman" w:cs="Arial"/>
          <w:color w:val="000000"/>
          <w:lang w:val="en-US"/>
        </w:rPr>
        <w:t>Association</w:t>
      </w:r>
      <w:r w:rsidRPr="00FA5220">
        <w:rPr>
          <w:rFonts w:eastAsia="Times New Roman" w:cs="Arial"/>
          <w:color w:val="000000"/>
          <w:lang w:val="ru-RU"/>
        </w:rPr>
        <w:t xml:space="preserve"> (</w:t>
      </w:r>
      <w:r w:rsidRPr="00FA5220">
        <w:rPr>
          <w:rFonts w:eastAsia="Times New Roman" w:cs="Arial"/>
          <w:color w:val="000000"/>
          <w:lang w:val="en-US"/>
        </w:rPr>
        <w:t>NYHA</w:t>
      </w:r>
      <w:r w:rsidRPr="00FA5220">
        <w:rPr>
          <w:rFonts w:eastAsia="Times New Roman" w:cs="Arial"/>
          <w:color w:val="000000"/>
          <w:lang w:val="ru-RU"/>
        </w:rPr>
        <w:t xml:space="preserve">). </w:t>
      </w:r>
      <w:r w:rsidRPr="00FA5220">
        <w:rPr>
          <w:rFonts w:eastAsia="Times New Roman" w:cs="Arial"/>
          <w:color w:val="000000"/>
          <w:lang w:eastAsia="bg-BG"/>
        </w:rPr>
        <w:t>Тези ефекти са продължили по време на хроничната терапия.</w:t>
      </w:r>
    </w:p>
    <w:p w14:paraId="0E5CDD39" w14:textId="77777777" w:rsidR="00FA5220" w:rsidRDefault="00FA5220" w:rsidP="00FA5220">
      <w:pPr>
        <w:spacing w:line="240" w:lineRule="auto"/>
        <w:rPr>
          <w:rFonts w:eastAsia="Times New Roman" w:cs="Arial"/>
          <w:color w:val="000000"/>
          <w:lang w:eastAsia="bg-BG"/>
        </w:rPr>
      </w:pPr>
    </w:p>
    <w:p w14:paraId="4F2E1F68" w14:textId="7E43E95F" w:rsidR="00FA5220" w:rsidRPr="00FA5220" w:rsidRDefault="00FA5220" w:rsidP="00FA5220">
      <w:pPr>
        <w:spacing w:line="240" w:lineRule="auto"/>
        <w:rPr>
          <w:rFonts w:eastAsia="Times New Roman" w:cs="Arial"/>
        </w:rPr>
      </w:pPr>
      <w:r w:rsidRPr="00FA5220">
        <w:rPr>
          <w:rFonts w:eastAsia="Times New Roman" w:cs="Arial"/>
          <w:color w:val="000000"/>
          <w:lang w:eastAsia="bg-BG"/>
        </w:rPr>
        <w:t>При пациенти с лека до умерено тежка сърдечна недостатъчност, еналаприл забавя прогресията на сърдечната дилатация и недостатъчност, доказано чрез редукцията на левокамерния краен диастолен и систолен обем и подобрената фракция на изтласкване.</w:t>
      </w:r>
    </w:p>
    <w:p w14:paraId="5170EEFD" w14:textId="77777777" w:rsidR="00FA5220" w:rsidRDefault="00FA5220" w:rsidP="00FA5220">
      <w:pPr>
        <w:spacing w:line="240" w:lineRule="auto"/>
        <w:rPr>
          <w:rFonts w:eastAsia="Times New Roman" w:cs="Arial"/>
          <w:color w:val="000000"/>
          <w:u w:val="single"/>
          <w:lang w:eastAsia="bg-BG"/>
        </w:rPr>
      </w:pPr>
    </w:p>
    <w:p w14:paraId="3777BAB7" w14:textId="1B9F82FD"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Клинична ефикасност и безопасност</w:t>
      </w:r>
    </w:p>
    <w:p w14:paraId="2704DAE8" w14:textId="3F1E6330"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Едно многоцентрово, плацебо-контролирано, двойно сляпо клинично проучване при дисфункция на лявата камера </w:t>
      </w:r>
      <w:r w:rsidRPr="00FA5220">
        <w:rPr>
          <w:rFonts w:eastAsia="Times New Roman" w:cs="Arial"/>
          <w:color w:val="000000"/>
          <w:lang w:val="ru-RU"/>
        </w:rPr>
        <w:t>(</w:t>
      </w:r>
      <w:r w:rsidRPr="00FA5220">
        <w:rPr>
          <w:rFonts w:eastAsia="Times New Roman" w:cs="Arial"/>
          <w:color w:val="000000"/>
          <w:lang w:val="en-US"/>
        </w:rPr>
        <w:t>SOLVD</w:t>
      </w:r>
      <w:r w:rsidRPr="00FA5220">
        <w:rPr>
          <w:rFonts w:eastAsia="Times New Roman" w:cs="Arial"/>
          <w:color w:val="000000"/>
          <w:lang w:val="ru-RU"/>
        </w:rPr>
        <w:t xml:space="preserve">), </w:t>
      </w:r>
      <w:r w:rsidRPr="00FA5220">
        <w:rPr>
          <w:rFonts w:eastAsia="Times New Roman" w:cs="Arial"/>
          <w:color w:val="000000"/>
          <w:lang w:eastAsia="bg-BG"/>
        </w:rPr>
        <w:t xml:space="preserve">проведено върху 6 797 пациенти е имало за цел да оцени ефективността на еналаприл. 2 569 пациенти с всички възможни степени на проявена сърдечна недостатъчност (главно лека до средна — </w:t>
      </w:r>
      <w:r w:rsidRPr="00FA5220">
        <w:rPr>
          <w:rFonts w:eastAsia="Times New Roman" w:cs="Arial"/>
          <w:color w:val="000000"/>
          <w:lang w:val="en-US"/>
        </w:rPr>
        <w:t>II</w:t>
      </w:r>
      <w:r w:rsidRPr="00FA5220">
        <w:rPr>
          <w:rFonts w:eastAsia="Times New Roman" w:cs="Arial"/>
          <w:color w:val="000000"/>
          <w:lang w:eastAsia="bg-BG"/>
        </w:rPr>
        <w:t xml:space="preserve"> и </w:t>
      </w:r>
      <w:r w:rsidRPr="00FA5220">
        <w:rPr>
          <w:rFonts w:eastAsia="Times New Roman" w:cs="Arial"/>
          <w:color w:val="000000"/>
          <w:lang w:val="en-US"/>
        </w:rPr>
        <w:t>III</w:t>
      </w:r>
      <w:r w:rsidRPr="00FA5220">
        <w:rPr>
          <w:rFonts w:eastAsia="Times New Roman" w:cs="Arial"/>
          <w:color w:val="000000"/>
          <w:lang w:eastAsia="bg-BG"/>
        </w:rPr>
        <w:t xml:space="preserve"> клас по </w:t>
      </w:r>
      <w:r w:rsidRPr="00FA5220">
        <w:rPr>
          <w:rFonts w:eastAsia="Times New Roman" w:cs="Arial"/>
          <w:color w:val="000000"/>
          <w:lang w:val="en-US"/>
        </w:rPr>
        <w:t>NYHA</w:t>
      </w:r>
      <w:r w:rsidRPr="00FA5220">
        <w:rPr>
          <w:rFonts w:eastAsia="Times New Roman" w:cs="Arial"/>
          <w:color w:val="000000"/>
          <w:lang w:val="ru-RU"/>
        </w:rPr>
        <w:t xml:space="preserve">) </w:t>
      </w:r>
      <w:r w:rsidRPr="00FA5220">
        <w:rPr>
          <w:rFonts w:eastAsia="Times New Roman" w:cs="Arial"/>
          <w:color w:val="000000"/>
          <w:lang w:eastAsia="bg-BG"/>
        </w:rPr>
        <w:t xml:space="preserve">са били включени в рандомизирана терапевтична група, а 4 228 пациенти с асимптомна дисфункция на лявата камера са били включени в рандомизирана профилактична група. </w:t>
      </w:r>
      <w:r w:rsidRPr="00FA5220">
        <w:rPr>
          <w:rFonts w:eastAsia="Times New Roman" w:cs="Arial"/>
          <w:color w:val="000000"/>
          <w:lang w:eastAsia="bg-BG"/>
        </w:rPr>
        <w:lastRenderedPageBreak/>
        <w:t>Обединените резултати показват един средно понижен риск от развитие на сериозни исхемични инциденти</w:t>
      </w:r>
      <w:r w:rsidRPr="00FA5220">
        <w:rPr>
          <w:rFonts w:eastAsia="Times New Roman" w:cs="Arial"/>
          <w:i/>
          <w:iCs/>
          <w:color w:val="000000"/>
          <w:lang w:eastAsia="bg-BG"/>
        </w:rPr>
        <w:t xml:space="preserve"> </w:t>
      </w:r>
      <w:r w:rsidRPr="00FA5220">
        <w:rPr>
          <w:rFonts w:eastAsia="Times New Roman" w:cs="Arial"/>
          <w:color w:val="000000"/>
          <w:lang w:eastAsia="bg-BG"/>
        </w:rPr>
        <w:t>Еналаприл понижава честотата на миокардния инфаркт и намалява броя на</w:t>
      </w:r>
      <w:r>
        <w:rPr>
          <w:rFonts w:eastAsia="Times New Roman" w:cs="Arial"/>
        </w:rPr>
        <w:t xml:space="preserve"> </w:t>
      </w:r>
      <w:r w:rsidRPr="00FA5220">
        <w:rPr>
          <w:rFonts w:eastAsia="Times New Roman" w:cs="Arial"/>
          <w:color w:val="000000"/>
          <w:lang w:eastAsia="bg-BG"/>
        </w:rPr>
        <w:t>хоспитализациите по повод нестабилна стенокардия при пациенти с дисфункция на лявата камера.</w:t>
      </w:r>
    </w:p>
    <w:p w14:paraId="68F30C29" w14:textId="77777777" w:rsidR="00FA5220" w:rsidRDefault="00FA5220" w:rsidP="00FA5220">
      <w:pPr>
        <w:spacing w:line="240" w:lineRule="auto"/>
        <w:rPr>
          <w:rFonts w:eastAsia="Times New Roman" w:cs="Arial"/>
          <w:color w:val="000000"/>
          <w:lang w:eastAsia="bg-BG"/>
        </w:rPr>
      </w:pPr>
    </w:p>
    <w:p w14:paraId="566B01B1" w14:textId="77777777" w:rsidR="00FA5220" w:rsidRPr="00FA5220" w:rsidRDefault="00FA5220" w:rsidP="00FA5220">
      <w:pPr>
        <w:rPr>
          <w:rFonts w:eastAsia="Times New Roman" w:cs="Arial"/>
        </w:rPr>
      </w:pPr>
      <w:r w:rsidRPr="00FA5220">
        <w:rPr>
          <w:rFonts w:eastAsia="Times New Roman" w:cs="Arial"/>
          <w:color w:val="000000"/>
          <w:lang w:eastAsia="bg-BG"/>
        </w:rPr>
        <w:t>Освен това в профилактичната група еналаприл значимо предотвратява развитието на симптомите на сърдечна недостатъчност и редуцира броя на хоспитализациите по повод на</w:t>
      </w:r>
      <w:r>
        <w:rPr>
          <w:rFonts w:eastAsia="Times New Roman" w:cs="Arial"/>
          <w:color w:val="000000"/>
          <w:lang w:eastAsia="bg-BG"/>
        </w:rPr>
        <w:t xml:space="preserve"> </w:t>
      </w:r>
      <w:r w:rsidRPr="00FA5220">
        <w:rPr>
          <w:rFonts w:eastAsia="Times New Roman" w:cs="Arial"/>
          <w:color w:val="000000"/>
          <w:lang w:eastAsia="bg-BG"/>
        </w:rPr>
        <w:t xml:space="preserve">сърдечна недостатъчност. В терапевтичната група еналаприл, приложен в допълнение към конвенционалната терапия, сигнификантно е редуцирал общата смъртност и хоспитализациите по повод сърдечна недостатъчност и в този смисъл е подобрил съответния функционален клас по </w:t>
      </w:r>
      <w:r w:rsidRPr="00FA5220">
        <w:rPr>
          <w:rFonts w:eastAsia="Times New Roman" w:cs="Arial"/>
          <w:color w:val="000000"/>
          <w:lang w:val="en-US"/>
        </w:rPr>
        <w:t>NYHA</w:t>
      </w:r>
      <w:r w:rsidRPr="00FA5220">
        <w:rPr>
          <w:rFonts w:eastAsia="Times New Roman" w:cs="Arial"/>
          <w:color w:val="000000"/>
          <w:lang w:val="ru-RU"/>
        </w:rPr>
        <w:t>.</w:t>
      </w:r>
    </w:p>
    <w:p w14:paraId="76C6E4BC" w14:textId="77777777" w:rsidR="00FA5220" w:rsidRDefault="00FA5220" w:rsidP="00FA5220">
      <w:pPr>
        <w:spacing w:line="240" w:lineRule="auto"/>
        <w:rPr>
          <w:rFonts w:eastAsia="Times New Roman" w:cs="Arial"/>
          <w:color w:val="000000"/>
          <w:lang w:eastAsia="bg-BG"/>
        </w:rPr>
      </w:pPr>
    </w:p>
    <w:p w14:paraId="622CC561" w14:textId="0C0D56C8"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В друго подобно проучване, в което са били включени 253 пациенти с тежка сърдечна недостатъчност (IV клас по </w:t>
      </w:r>
      <w:r w:rsidRPr="00FA5220">
        <w:rPr>
          <w:rFonts w:eastAsia="Times New Roman" w:cs="Arial"/>
          <w:color w:val="000000"/>
          <w:lang w:val="en-US"/>
        </w:rPr>
        <w:t>NYHA</w:t>
      </w:r>
      <w:r w:rsidRPr="00FA5220">
        <w:rPr>
          <w:rFonts w:eastAsia="Times New Roman" w:cs="Arial"/>
          <w:color w:val="000000"/>
          <w:lang w:val="ru-RU"/>
        </w:rPr>
        <w:t xml:space="preserve">), </w:t>
      </w:r>
      <w:r w:rsidRPr="00FA5220">
        <w:rPr>
          <w:rFonts w:eastAsia="Times New Roman" w:cs="Arial"/>
          <w:color w:val="000000"/>
          <w:lang w:eastAsia="bg-BG"/>
        </w:rPr>
        <w:t>приложението на еналаприл е довело до положителни промени в симптоматиката и значимо намаление на смъртността.</w:t>
      </w:r>
    </w:p>
    <w:p w14:paraId="486DB397" w14:textId="77777777" w:rsidR="00FA5220" w:rsidRDefault="00FA5220" w:rsidP="00FA5220">
      <w:pPr>
        <w:spacing w:line="240" w:lineRule="auto"/>
        <w:rPr>
          <w:rFonts w:eastAsia="Times New Roman" w:cs="Arial"/>
          <w:color w:val="000000"/>
          <w:lang w:eastAsia="bg-BG"/>
        </w:rPr>
      </w:pPr>
    </w:p>
    <w:p w14:paraId="6A9D1186" w14:textId="4741F556" w:rsidR="00FA5220" w:rsidRPr="00FA5220" w:rsidRDefault="00FA5220" w:rsidP="00FA5220">
      <w:pPr>
        <w:spacing w:line="240" w:lineRule="auto"/>
        <w:rPr>
          <w:rFonts w:eastAsia="Times New Roman" w:cs="Arial"/>
        </w:rPr>
      </w:pPr>
      <w:r w:rsidRPr="00FA5220">
        <w:rPr>
          <w:rFonts w:eastAsia="Times New Roman" w:cs="Arial"/>
          <w:color w:val="000000"/>
          <w:lang w:eastAsia="bg-BG"/>
        </w:rPr>
        <w:t>Кардиопротективните свойства на еналаприл са демонстрирани в тези проучвания, чрез подобряване на преживяемостта и забавяне на прогресията при сърдечна недостатъчност на пациенти със симптоматична такава; забавяне на развитието на симптоматичната сърдечна недостатъчност при асимптомни пациенти с дисфункция на лявата камера; и предпазване от коронаро-исхемични инциденти при пациенти с дисфункция на лявата камера, отчетливо намаление на честотата на миокардния инфаркт и хоспитализирането по повод нестабилна стенокардия.</w:t>
      </w:r>
    </w:p>
    <w:p w14:paraId="257D63AC" w14:textId="77777777" w:rsidR="00FA5220" w:rsidRDefault="00FA5220" w:rsidP="00FA5220">
      <w:pPr>
        <w:spacing w:line="240" w:lineRule="auto"/>
        <w:rPr>
          <w:rFonts w:eastAsia="Times New Roman" w:cs="Arial"/>
          <w:color w:val="000000"/>
          <w:lang w:eastAsia="bg-BG"/>
        </w:rPr>
      </w:pPr>
    </w:p>
    <w:p w14:paraId="26B6221D" w14:textId="338F8F68"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Две големи рандомизирани контролирани проучвания - </w:t>
      </w:r>
      <w:r w:rsidRPr="00FA5220">
        <w:rPr>
          <w:rFonts w:eastAsia="Times New Roman" w:cs="Arial"/>
          <w:color w:val="000000"/>
          <w:lang w:val="en-US"/>
        </w:rPr>
        <w:t>ONTARGET</w:t>
      </w:r>
      <w:r w:rsidRPr="00FA5220">
        <w:rPr>
          <w:rFonts w:eastAsia="Times New Roman" w:cs="Arial"/>
          <w:color w:val="000000"/>
        </w:rPr>
        <w:t xml:space="preserve"> (</w:t>
      </w:r>
      <w:proofErr w:type="spellStart"/>
      <w:r w:rsidRPr="00FA5220">
        <w:rPr>
          <w:rFonts w:eastAsia="Times New Roman" w:cs="Arial"/>
          <w:color w:val="000000"/>
          <w:lang w:val="en-US"/>
        </w:rPr>
        <w:t>ONgoing</w:t>
      </w:r>
      <w:proofErr w:type="spellEnd"/>
      <w:r w:rsidRPr="00FA5220">
        <w:rPr>
          <w:rFonts w:eastAsia="Times New Roman" w:cs="Arial"/>
          <w:color w:val="000000"/>
        </w:rPr>
        <w:t xml:space="preserve"> </w:t>
      </w:r>
      <w:proofErr w:type="spellStart"/>
      <w:r w:rsidRPr="00FA5220">
        <w:rPr>
          <w:rFonts w:eastAsia="Times New Roman" w:cs="Arial"/>
          <w:color w:val="000000"/>
          <w:lang w:val="en-US"/>
        </w:rPr>
        <w:t>Telmisartan</w:t>
      </w:r>
      <w:proofErr w:type="spellEnd"/>
      <w:r w:rsidRPr="00FA5220">
        <w:rPr>
          <w:rFonts w:eastAsia="Times New Roman" w:cs="Arial"/>
          <w:color w:val="000000"/>
        </w:rPr>
        <w:t xml:space="preserve"> </w:t>
      </w:r>
      <w:r w:rsidRPr="00FA5220">
        <w:rPr>
          <w:rFonts w:eastAsia="Times New Roman" w:cs="Arial"/>
          <w:color w:val="000000"/>
          <w:lang w:val="en-US"/>
        </w:rPr>
        <w:t>Alone</w:t>
      </w:r>
      <w:r w:rsidRPr="00FA5220">
        <w:rPr>
          <w:rFonts w:eastAsia="Times New Roman" w:cs="Arial"/>
          <w:color w:val="000000"/>
        </w:rPr>
        <w:t xml:space="preserve"> </w:t>
      </w:r>
      <w:r w:rsidRPr="00FA5220">
        <w:rPr>
          <w:rFonts w:eastAsia="Times New Roman" w:cs="Arial"/>
          <w:color w:val="000000"/>
          <w:lang w:val="en-US"/>
        </w:rPr>
        <w:t>and</w:t>
      </w:r>
      <w:r w:rsidRPr="00FA5220">
        <w:rPr>
          <w:rFonts w:eastAsia="Times New Roman" w:cs="Arial"/>
          <w:color w:val="000000"/>
        </w:rPr>
        <w:t xml:space="preserve"> </w:t>
      </w:r>
      <w:r w:rsidRPr="00FA5220">
        <w:rPr>
          <w:rFonts w:eastAsia="Times New Roman" w:cs="Arial"/>
          <w:color w:val="000000"/>
          <w:lang w:val="en-US"/>
        </w:rPr>
        <w:t>in</w:t>
      </w:r>
      <w:r w:rsidRPr="00FA5220">
        <w:rPr>
          <w:rFonts w:eastAsia="Times New Roman" w:cs="Arial"/>
          <w:color w:val="000000"/>
        </w:rPr>
        <w:t xml:space="preserve"> </w:t>
      </w:r>
      <w:r w:rsidRPr="00FA5220">
        <w:rPr>
          <w:rFonts w:eastAsia="Times New Roman" w:cs="Arial"/>
          <w:color w:val="000000"/>
          <w:lang w:val="en-US"/>
        </w:rPr>
        <w:t>combination</w:t>
      </w:r>
      <w:r w:rsidRPr="00FA5220">
        <w:rPr>
          <w:rFonts w:eastAsia="Times New Roman" w:cs="Arial"/>
          <w:color w:val="000000"/>
        </w:rPr>
        <w:t xml:space="preserve"> </w:t>
      </w:r>
      <w:r w:rsidRPr="00FA5220">
        <w:rPr>
          <w:rFonts w:eastAsia="Times New Roman" w:cs="Arial"/>
          <w:color w:val="000000"/>
          <w:lang w:val="en-US"/>
        </w:rPr>
        <w:t>with</w:t>
      </w:r>
      <w:r w:rsidRPr="00FA5220">
        <w:rPr>
          <w:rFonts w:eastAsia="Times New Roman" w:cs="Arial"/>
          <w:color w:val="000000"/>
        </w:rPr>
        <w:t xml:space="preserve"> </w:t>
      </w:r>
      <w:r w:rsidRPr="00FA5220">
        <w:rPr>
          <w:rFonts w:eastAsia="Times New Roman" w:cs="Arial"/>
          <w:color w:val="000000"/>
          <w:lang w:val="en-US"/>
        </w:rPr>
        <w:t>Ramipril</w:t>
      </w:r>
      <w:r w:rsidRPr="00FA5220">
        <w:rPr>
          <w:rFonts w:eastAsia="Times New Roman" w:cs="Arial"/>
          <w:color w:val="000000"/>
        </w:rPr>
        <w:t xml:space="preserve"> </w:t>
      </w:r>
      <w:r w:rsidRPr="00FA5220">
        <w:rPr>
          <w:rFonts w:eastAsia="Times New Roman" w:cs="Arial"/>
          <w:color w:val="000000"/>
          <w:lang w:val="en-US"/>
        </w:rPr>
        <w:t>Global</w:t>
      </w:r>
      <w:r w:rsidRPr="00FA5220">
        <w:rPr>
          <w:rFonts w:eastAsia="Times New Roman" w:cs="Arial"/>
          <w:color w:val="000000"/>
        </w:rPr>
        <w:t xml:space="preserve"> </w:t>
      </w:r>
      <w:r w:rsidRPr="00FA5220">
        <w:rPr>
          <w:rFonts w:eastAsia="Times New Roman" w:cs="Arial"/>
          <w:color w:val="000000"/>
          <w:lang w:val="en-US"/>
        </w:rPr>
        <w:t>Endpoint</w:t>
      </w:r>
      <w:r w:rsidRPr="00FA5220">
        <w:rPr>
          <w:rFonts w:eastAsia="Times New Roman" w:cs="Arial"/>
          <w:color w:val="000000"/>
        </w:rPr>
        <w:t xml:space="preserve"> </w:t>
      </w:r>
      <w:r w:rsidRPr="00FA5220">
        <w:rPr>
          <w:rFonts w:eastAsia="Times New Roman" w:cs="Arial"/>
          <w:color w:val="000000"/>
          <w:lang w:val="en-US"/>
        </w:rPr>
        <w:t>Trial</w:t>
      </w:r>
      <w:r w:rsidRPr="00FA5220">
        <w:rPr>
          <w:rFonts w:eastAsia="Times New Roman" w:cs="Arial"/>
          <w:color w:val="000000"/>
        </w:rPr>
        <w:t xml:space="preserve"> - </w:t>
      </w:r>
      <w:r w:rsidRPr="00FA5220">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FA5220">
        <w:rPr>
          <w:rFonts w:eastAsia="Times New Roman" w:cs="Arial"/>
          <w:color w:val="000000"/>
          <w:lang w:val="en-US"/>
        </w:rPr>
        <w:t>VA</w:t>
      </w:r>
      <w:r w:rsidRPr="00FA5220">
        <w:rPr>
          <w:rFonts w:eastAsia="Times New Roman" w:cs="Arial"/>
          <w:color w:val="000000"/>
        </w:rPr>
        <w:t xml:space="preserve"> </w:t>
      </w:r>
      <w:r w:rsidRPr="00FA5220">
        <w:rPr>
          <w:rFonts w:eastAsia="Times New Roman" w:cs="Arial"/>
          <w:color w:val="000000"/>
          <w:lang w:val="en-US"/>
        </w:rPr>
        <w:t>NEPHRON</w:t>
      </w:r>
      <w:r w:rsidRPr="00FA5220">
        <w:rPr>
          <w:rFonts w:eastAsia="Times New Roman" w:cs="Arial"/>
          <w:color w:val="000000"/>
        </w:rPr>
        <w:t xml:space="preserve">- </w:t>
      </w:r>
      <w:r w:rsidRPr="00FA5220">
        <w:rPr>
          <w:rFonts w:eastAsia="Times New Roman" w:cs="Arial"/>
          <w:color w:val="000000"/>
          <w:lang w:val="en-US"/>
        </w:rPr>
        <w:t>D</w:t>
      </w:r>
      <w:r w:rsidRPr="00FA5220">
        <w:rPr>
          <w:rFonts w:eastAsia="Times New Roman" w:cs="Arial"/>
          <w:color w:val="000000"/>
        </w:rPr>
        <w:t xml:space="preserve"> </w:t>
      </w:r>
      <w:r w:rsidRPr="00FA5220">
        <w:rPr>
          <w:rFonts w:eastAsia="Times New Roman" w:cs="Arial"/>
          <w:color w:val="000000"/>
          <w:lang w:eastAsia="bg-BG"/>
        </w:rPr>
        <w:t>(Клинично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П-рецепторен блокер.</w:t>
      </w:r>
    </w:p>
    <w:p w14:paraId="3447839C" w14:textId="77777777" w:rsidR="00FA5220" w:rsidRPr="00FA5220" w:rsidRDefault="00FA5220" w:rsidP="00FA5220">
      <w:pPr>
        <w:spacing w:line="240" w:lineRule="auto"/>
        <w:rPr>
          <w:rFonts w:eastAsia="Times New Roman" w:cs="Arial"/>
        </w:rPr>
      </w:pPr>
      <w:r w:rsidRPr="00FA5220">
        <w:rPr>
          <w:rFonts w:eastAsia="Times New Roman" w:cs="Arial"/>
          <w:color w:val="000000"/>
          <w:lang w:val="en-US"/>
        </w:rPr>
        <w:t>ONTARGET</w:t>
      </w:r>
      <w:r w:rsidRPr="00FA5220">
        <w:rPr>
          <w:rFonts w:eastAsia="Times New Roman" w:cs="Arial"/>
          <w:color w:val="000000"/>
          <w:lang w:val="ru-RU"/>
        </w:rPr>
        <w:t xml:space="preserve"> </w:t>
      </w:r>
      <w:r w:rsidRPr="00FA5220">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FA5220">
        <w:rPr>
          <w:rFonts w:eastAsia="Times New Roman" w:cs="Arial"/>
          <w:color w:val="000000"/>
          <w:lang w:val="en-US"/>
        </w:rPr>
        <w:t>VA</w:t>
      </w:r>
      <w:r w:rsidRPr="00FA5220">
        <w:rPr>
          <w:rFonts w:eastAsia="Times New Roman" w:cs="Arial"/>
          <w:color w:val="000000"/>
          <w:lang w:val="ru-RU"/>
        </w:rPr>
        <w:t xml:space="preserve"> </w:t>
      </w:r>
      <w:r w:rsidRPr="00FA5220">
        <w:rPr>
          <w:rFonts w:eastAsia="Times New Roman" w:cs="Arial"/>
          <w:color w:val="000000"/>
          <w:lang w:val="en-US"/>
        </w:rPr>
        <w:t>NEPHRON</w:t>
      </w:r>
      <w:r w:rsidRPr="00FA5220">
        <w:rPr>
          <w:rFonts w:eastAsia="Times New Roman" w:cs="Arial"/>
          <w:color w:val="000000"/>
          <w:lang w:val="ru-RU"/>
        </w:rPr>
        <w:t>-</w:t>
      </w:r>
      <w:r w:rsidRPr="00FA5220">
        <w:rPr>
          <w:rFonts w:eastAsia="Times New Roman" w:cs="Arial"/>
          <w:color w:val="000000"/>
          <w:lang w:val="en-US"/>
        </w:rPr>
        <w:t>D</w:t>
      </w:r>
      <w:r w:rsidRPr="00FA5220">
        <w:rPr>
          <w:rFonts w:eastAsia="Times New Roman" w:cs="Arial"/>
          <w:color w:val="000000"/>
          <w:lang w:val="ru-RU"/>
        </w:rPr>
        <w:t xml:space="preserve"> </w:t>
      </w:r>
      <w:r w:rsidRPr="00FA5220">
        <w:rPr>
          <w:rFonts w:eastAsia="Times New Roman" w:cs="Arial"/>
          <w:color w:val="000000"/>
          <w:lang w:eastAsia="bg-BG"/>
        </w:rPr>
        <w:t>е проучване при пациенти със захарен диабет тип 2 и диабетна нефропатия.</w:t>
      </w:r>
    </w:p>
    <w:p w14:paraId="3690BFAE"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Тези проучвания не показват значим благоприятен ефект върху бъбречните и/или сърдечно</w:t>
      </w:r>
      <w:r w:rsidRPr="00FA5220">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FA5220">
        <w:rPr>
          <w:rFonts w:eastAsia="Times New Roman" w:cs="Arial"/>
          <w:color w:val="000000"/>
          <w:lang w:val="en-US"/>
        </w:rPr>
        <w:t>II</w:t>
      </w:r>
      <w:r w:rsidRPr="00FA5220">
        <w:rPr>
          <w:rFonts w:eastAsia="Times New Roman" w:cs="Arial"/>
          <w:color w:val="000000"/>
          <w:lang w:eastAsia="bg-BG"/>
        </w:rPr>
        <w:t>-рецепторни блокери. АСЕ инхибитори и ангиотензин П-рецепторни блокери следователно не трябва да се използват едновременно при пациенти с диабетна нефропатия.</w:t>
      </w:r>
    </w:p>
    <w:p w14:paraId="0E912930" w14:textId="77777777" w:rsidR="00FA5220" w:rsidRDefault="00FA5220" w:rsidP="00FA5220">
      <w:pPr>
        <w:spacing w:line="240" w:lineRule="auto"/>
        <w:rPr>
          <w:rFonts w:eastAsia="Times New Roman" w:cs="Arial"/>
          <w:color w:val="000000"/>
          <w:lang w:val="en-US"/>
        </w:rPr>
      </w:pPr>
    </w:p>
    <w:p w14:paraId="6A163F0A" w14:textId="0386AEF9" w:rsidR="00FA5220" w:rsidRPr="00FA5220" w:rsidRDefault="00FA5220" w:rsidP="00FA5220">
      <w:pPr>
        <w:spacing w:line="240" w:lineRule="auto"/>
        <w:rPr>
          <w:rFonts w:eastAsia="Times New Roman" w:cs="Arial"/>
        </w:rPr>
      </w:pPr>
      <w:r w:rsidRPr="00FA5220">
        <w:rPr>
          <w:rFonts w:eastAsia="Times New Roman" w:cs="Arial"/>
          <w:color w:val="000000"/>
          <w:lang w:val="en-US"/>
        </w:rPr>
        <w:t>ALTITUDE</w:t>
      </w:r>
      <w:r w:rsidRPr="00FA5220">
        <w:rPr>
          <w:rFonts w:eastAsia="Times New Roman" w:cs="Arial"/>
          <w:color w:val="000000"/>
          <w:lang w:val="ru-RU"/>
        </w:rPr>
        <w:t xml:space="preserve"> </w:t>
      </w:r>
      <w:r w:rsidRPr="00FA5220">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FA5220">
        <w:rPr>
          <w:rFonts w:eastAsia="Times New Roman" w:cs="Arial"/>
          <w:color w:val="000000"/>
          <w:lang w:val="en-US"/>
        </w:rPr>
        <w:t>II</w:t>
      </w:r>
      <w:r w:rsidRPr="00FA5220">
        <w:rPr>
          <w:rFonts w:eastAsia="Times New Roman" w:cs="Arial"/>
          <w:color w:val="000000"/>
          <w:lang w:eastAsia="bg-BG"/>
        </w:rPr>
        <w:t xml:space="preserve">-рецепторен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w:t>
      </w:r>
      <w:r w:rsidRPr="00FA5220">
        <w:rPr>
          <w:rFonts w:eastAsia="Times New Roman" w:cs="Arial"/>
          <w:color w:val="000000"/>
          <w:lang w:eastAsia="bg-BG"/>
        </w:rPr>
        <w:lastRenderedPageBreak/>
        <w:t>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r>
        <w:rPr>
          <w:rFonts w:eastAsia="Times New Roman" w:cs="Arial"/>
          <w:color w:val="000000"/>
          <w:lang w:eastAsia="bg-BG"/>
        </w:rPr>
        <w:t>.</w:t>
      </w:r>
    </w:p>
    <w:p w14:paraId="168B92AD" w14:textId="77777777" w:rsidR="00FA5220" w:rsidRDefault="00FA5220" w:rsidP="00FA5220">
      <w:pPr>
        <w:spacing w:line="240" w:lineRule="auto"/>
        <w:rPr>
          <w:rFonts w:eastAsia="Times New Roman" w:cs="Arial"/>
          <w:color w:val="000000"/>
          <w:u w:val="single"/>
          <w:lang w:eastAsia="bg-BG"/>
        </w:rPr>
      </w:pPr>
    </w:p>
    <w:p w14:paraId="727D51C0" w14:textId="71E5C38B"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Педиатрична популация</w:t>
      </w:r>
    </w:p>
    <w:p w14:paraId="153B3BA7" w14:textId="60F33BCE" w:rsidR="00FA5220" w:rsidRDefault="00FA5220" w:rsidP="00FA5220">
      <w:pPr>
        <w:spacing w:line="240" w:lineRule="auto"/>
        <w:rPr>
          <w:rFonts w:eastAsia="Times New Roman" w:cs="Arial"/>
          <w:color w:val="000000"/>
          <w:lang w:eastAsia="bg-BG"/>
        </w:rPr>
      </w:pPr>
      <w:r w:rsidRPr="00FA5220">
        <w:rPr>
          <w:rFonts w:eastAsia="Times New Roman" w:cs="Arial"/>
          <w:color w:val="000000"/>
          <w:lang w:eastAsia="bg-BG"/>
        </w:rPr>
        <w:t xml:space="preserve">В клинично проучване, включващо 110 деца с хипертония на възраст от 6 до 16 години, пациентите с тегло &lt; 50 </w:t>
      </w:r>
      <w:r w:rsidRPr="00FA5220">
        <w:rPr>
          <w:rFonts w:eastAsia="Times New Roman" w:cs="Arial"/>
          <w:color w:val="000000"/>
          <w:lang w:val="en-US"/>
        </w:rPr>
        <w:t>kg</w:t>
      </w:r>
      <w:r w:rsidRPr="00FA5220">
        <w:rPr>
          <w:rFonts w:eastAsia="Times New Roman" w:cs="Arial"/>
          <w:color w:val="000000"/>
          <w:lang w:val="ru-RU"/>
        </w:rPr>
        <w:t xml:space="preserve"> </w:t>
      </w:r>
      <w:r w:rsidRPr="00FA5220">
        <w:rPr>
          <w:rFonts w:eastAsia="Times New Roman" w:cs="Arial"/>
          <w:color w:val="000000"/>
          <w:lang w:eastAsia="bg-BG"/>
        </w:rPr>
        <w:t xml:space="preserve">са получавали 0,625,2,5 или 20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 xml:space="preserve">еналаприл дневно и пациентите с тегло равно или повече от 50 </w:t>
      </w:r>
      <w:r w:rsidRPr="00FA5220">
        <w:rPr>
          <w:rFonts w:eastAsia="Times New Roman" w:cs="Arial"/>
          <w:color w:val="000000"/>
          <w:lang w:val="en-US"/>
        </w:rPr>
        <w:t>kg</w:t>
      </w:r>
      <w:r w:rsidRPr="00FA5220">
        <w:rPr>
          <w:rFonts w:eastAsia="Times New Roman" w:cs="Arial"/>
          <w:color w:val="000000"/>
          <w:lang w:val="ru-RU"/>
        </w:rPr>
        <w:t xml:space="preserve"> </w:t>
      </w:r>
      <w:r w:rsidRPr="00FA5220">
        <w:rPr>
          <w:rFonts w:eastAsia="Times New Roman" w:cs="Arial"/>
          <w:color w:val="000000"/>
          <w:lang w:eastAsia="bg-BG"/>
        </w:rPr>
        <w:t xml:space="preserve">са получавали 1,25, 5 или 40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 xml:space="preserve">еналаприл дневно. Приемът на еналаприл веднъж на ден е намалил дозозавиСимо най-ниските стойности на кръвното налягане. Дозозависимият антихипертензивен ефект на еналприл е бил проявен по сходен начин при всички подгрупи (възраст, степен по скалата на </w:t>
      </w:r>
      <w:r w:rsidRPr="00FA5220">
        <w:rPr>
          <w:rFonts w:eastAsia="Times New Roman" w:cs="Arial"/>
          <w:color w:val="000000"/>
          <w:lang w:val="en-US"/>
        </w:rPr>
        <w:t>Tanner</w:t>
      </w:r>
      <w:r w:rsidRPr="00FA5220">
        <w:rPr>
          <w:rFonts w:eastAsia="Times New Roman" w:cs="Arial"/>
          <w:color w:val="000000"/>
          <w:lang w:val="ru-RU"/>
        </w:rPr>
        <w:t>,</w:t>
      </w:r>
      <w:r w:rsidRPr="00FA5220">
        <w:rPr>
          <w:rFonts w:eastAsia="Times New Roman" w:cs="Arial"/>
          <w:color w:val="000000"/>
          <w:lang w:eastAsia="bg-BG"/>
        </w:rPr>
        <w:t xml:space="preserve"> пол, раса). Обаче най-ниските изследвани дози, 0,625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 xml:space="preserve">и 1,25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съответстващи на средно</w:t>
      </w:r>
      <w:r w:rsidRPr="00FA5220">
        <w:rPr>
          <w:rFonts w:eastAsia="Times New Roman" w:cs="Arial"/>
          <w:b/>
          <w:bCs/>
          <w:color w:val="000000"/>
          <w:w w:val="80"/>
          <w:lang w:eastAsia="bg-BG"/>
        </w:rPr>
        <w:t xml:space="preserve"> </w:t>
      </w:r>
      <w:r w:rsidRPr="00FA5220">
        <w:rPr>
          <w:rFonts w:eastAsia="Times New Roman" w:cs="Arial"/>
          <w:color w:val="000000"/>
          <w:lang w:eastAsia="bg-BG"/>
        </w:rPr>
        <w:t xml:space="preserve">0,02 </w:t>
      </w:r>
      <w:r w:rsidRPr="00FA5220">
        <w:rPr>
          <w:rFonts w:eastAsia="Times New Roman" w:cs="Arial"/>
          <w:color w:val="000000"/>
          <w:lang w:val="en-US"/>
        </w:rPr>
        <w:t>mg</w:t>
      </w:r>
      <w:r w:rsidRPr="00FA5220">
        <w:rPr>
          <w:rFonts w:eastAsia="Times New Roman" w:cs="Arial"/>
          <w:color w:val="000000"/>
          <w:lang w:val="ru-RU"/>
        </w:rPr>
        <w:t>/</w:t>
      </w:r>
      <w:r w:rsidRPr="00FA5220">
        <w:rPr>
          <w:rFonts w:eastAsia="Times New Roman" w:cs="Arial"/>
          <w:color w:val="000000"/>
          <w:lang w:val="en-US"/>
        </w:rPr>
        <w:t>kg</w:t>
      </w:r>
      <w:r w:rsidRPr="00FA5220">
        <w:rPr>
          <w:rFonts w:eastAsia="Times New Roman" w:cs="Arial"/>
          <w:color w:val="000000"/>
          <w:lang w:val="ru-RU"/>
        </w:rPr>
        <w:t xml:space="preserve"> </w:t>
      </w:r>
      <w:r w:rsidRPr="00FA5220">
        <w:rPr>
          <w:rFonts w:eastAsia="Times New Roman" w:cs="Arial"/>
          <w:color w:val="000000"/>
          <w:lang w:eastAsia="bg-BG"/>
        </w:rPr>
        <w:t xml:space="preserve">еднократно дневно, не са показали съществена антихипертензивна ефективност Максималната изследвана доза е била 0,58 </w:t>
      </w:r>
      <w:r w:rsidRPr="00FA5220">
        <w:rPr>
          <w:rFonts w:eastAsia="Times New Roman" w:cs="Arial"/>
          <w:color w:val="000000"/>
          <w:lang w:val="en-US"/>
        </w:rPr>
        <w:t>mg</w:t>
      </w:r>
      <w:r w:rsidRPr="00FA5220">
        <w:rPr>
          <w:rFonts w:eastAsia="Times New Roman" w:cs="Arial"/>
          <w:color w:val="000000"/>
          <w:lang w:val="ru-RU"/>
        </w:rPr>
        <w:t>/</w:t>
      </w:r>
      <w:r w:rsidRPr="00FA5220">
        <w:rPr>
          <w:rFonts w:eastAsia="Times New Roman" w:cs="Arial"/>
          <w:color w:val="000000"/>
          <w:lang w:val="en-US"/>
        </w:rPr>
        <w:t>kg</w:t>
      </w:r>
      <w:r w:rsidRPr="00FA5220">
        <w:rPr>
          <w:rFonts w:eastAsia="Times New Roman" w:cs="Arial"/>
          <w:color w:val="000000"/>
          <w:lang w:val="ru-RU"/>
        </w:rPr>
        <w:t xml:space="preserve"> </w:t>
      </w:r>
      <w:r w:rsidRPr="00FA5220">
        <w:rPr>
          <w:rFonts w:eastAsia="Times New Roman" w:cs="Arial"/>
          <w:color w:val="000000"/>
          <w:lang w:eastAsia="bg-BG"/>
        </w:rPr>
        <w:t xml:space="preserve">(до 40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еднократно дневно. В това проучване еналаприл е бил общо добре поносим.</w:t>
      </w:r>
    </w:p>
    <w:p w14:paraId="08991F5C" w14:textId="77777777" w:rsidR="00FA5220" w:rsidRDefault="00FA5220" w:rsidP="00FA5220">
      <w:pPr>
        <w:rPr>
          <w:lang w:eastAsia="bg-BG"/>
        </w:rPr>
      </w:pPr>
    </w:p>
    <w:p w14:paraId="42615F67" w14:textId="2C95C451" w:rsidR="00FA5220" w:rsidRPr="00FA5220" w:rsidRDefault="00FA5220" w:rsidP="00FA5220">
      <w:pPr>
        <w:rPr>
          <w:sz w:val="24"/>
          <w:szCs w:val="24"/>
        </w:rPr>
      </w:pPr>
      <w:r w:rsidRPr="00FA5220">
        <w:rPr>
          <w:lang w:eastAsia="bg-BG"/>
        </w:rPr>
        <w:t>Профилът на нежеланите лекарствени реакции при деца не се различава от този, наблюдаван при възрастни пациенти.</w:t>
      </w:r>
    </w:p>
    <w:p w14:paraId="1B4FA0F0" w14:textId="517A9365" w:rsidR="00FA5220" w:rsidRPr="00FA5220" w:rsidRDefault="00FA5220" w:rsidP="00FA5220"/>
    <w:p w14:paraId="78DD93AA" w14:textId="6675719D" w:rsidR="00B6672E" w:rsidRDefault="002C50EE" w:rsidP="00936AD0">
      <w:pPr>
        <w:pStyle w:val="Heading2"/>
      </w:pPr>
      <w:r>
        <w:t>5.2. Фармакокинетични свойства</w:t>
      </w:r>
    </w:p>
    <w:p w14:paraId="429491C4" w14:textId="58A8DE19" w:rsidR="00FA5220" w:rsidRDefault="00FA5220" w:rsidP="00FA5220"/>
    <w:p w14:paraId="4C3D1B2F" w14:textId="77777777" w:rsidR="00FA5220" w:rsidRPr="00FA5220" w:rsidRDefault="00FA5220" w:rsidP="00FA5220">
      <w:pPr>
        <w:pStyle w:val="Heading3"/>
        <w:rPr>
          <w:rFonts w:eastAsia="Times New Roman"/>
          <w:u w:val="single"/>
        </w:rPr>
      </w:pPr>
      <w:r w:rsidRPr="00FA5220">
        <w:rPr>
          <w:rFonts w:eastAsia="Times New Roman"/>
          <w:u w:val="single"/>
          <w:lang w:eastAsia="bg-BG"/>
        </w:rPr>
        <w:t>Абсорбция</w:t>
      </w:r>
    </w:p>
    <w:p w14:paraId="5F48B26A"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След перорално приложение еналаприл малеат се абсорбира бързо, с пикови серумни концентрации на еналаприл, настъпващи в рамките на първия час. На базата на откриването в урината, степента на абсорбция на еналаприл от таблетките е приблизително 60%. След абсорбцията, пероралният еналаприл бързо и продължително се хидролизира до еналаприлат, мощен инхибитор на ангиотензин конвертиращия ензим. Подобни пикови серумни концентрации на еналаприлат настъпват около 4-ия час след пероралната доза от таблетки еналаприл. Отделянето на еналаприлат е първично през бъбреците. Ефективното време на полуотделяне за кумулиране на еналаприлат, следваща многократен прием на еналаприл е 11 часа. Абсорбцията на перорално приложения еналаприл не се влияе от наличието на храна в гастро-интестиналния тракт.</w:t>
      </w:r>
    </w:p>
    <w:p w14:paraId="637A6673" w14:textId="77777777" w:rsidR="00FA5220" w:rsidRDefault="00FA5220" w:rsidP="00FA5220">
      <w:pPr>
        <w:spacing w:line="240" w:lineRule="auto"/>
        <w:rPr>
          <w:rFonts w:eastAsia="Times New Roman" w:cs="Arial"/>
          <w:color w:val="000000"/>
          <w:u w:val="single"/>
          <w:lang w:eastAsia="bg-BG"/>
        </w:rPr>
      </w:pPr>
    </w:p>
    <w:p w14:paraId="02F16C45" w14:textId="4C9AA360" w:rsidR="00FA5220" w:rsidRPr="00FA5220" w:rsidRDefault="00FA5220" w:rsidP="00FA5220">
      <w:pPr>
        <w:pStyle w:val="Heading3"/>
        <w:rPr>
          <w:rFonts w:eastAsia="Times New Roman"/>
          <w:u w:val="single"/>
        </w:rPr>
      </w:pPr>
      <w:r w:rsidRPr="00FA5220">
        <w:rPr>
          <w:rFonts w:eastAsia="Times New Roman"/>
          <w:u w:val="single"/>
          <w:lang w:eastAsia="bg-BG"/>
        </w:rPr>
        <w:t>Разпределение</w:t>
      </w:r>
    </w:p>
    <w:p w14:paraId="02D34BCB"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 xml:space="preserve">Свързването на еналаприлат с човешката плазма, определено или чрез балансирана диализа, или чрез ултрафилтрация, изявява двуфазни </w:t>
      </w:r>
      <w:proofErr w:type="spellStart"/>
      <w:r w:rsidRPr="00FA5220">
        <w:rPr>
          <w:rFonts w:eastAsia="Times New Roman" w:cs="Arial"/>
          <w:color w:val="000000"/>
          <w:lang w:val="en-US"/>
        </w:rPr>
        <w:t>Scatchard</w:t>
      </w:r>
      <w:proofErr w:type="spellEnd"/>
      <w:r w:rsidRPr="00FA5220">
        <w:rPr>
          <w:rFonts w:eastAsia="Times New Roman" w:cs="Arial"/>
          <w:color w:val="000000"/>
          <w:lang w:val="ru-RU"/>
        </w:rPr>
        <w:t xml:space="preserve"> </w:t>
      </w:r>
      <w:r w:rsidRPr="00FA5220">
        <w:rPr>
          <w:rFonts w:eastAsia="Times New Roman" w:cs="Arial"/>
          <w:color w:val="000000"/>
          <w:lang w:eastAsia="bg-BG"/>
        </w:rPr>
        <w:t xml:space="preserve">плотове, показващо наличието на две свързващи места. Едното е с висок афинитет, нисък капацитет, което доминира при концентрации на еналаприлат по-малки от 8 </w:t>
      </w:r>
      <w:r w:rsidRPr="00FA5220">
        <w:rPr>
          <w:rFonts w:eastAsia="Times New Roman" w:cs="Arial"/>
          <w:color w:val="000000"/>
          <w:lang w:val="en-US"/>
        </w:rPr>
        <w:t>ng</w:t>
      </w:r>
      <w:r w:rsidRPr="00FA5220">
        <w:rPr>
          <w:rFonts w:eastAsia="Times New Roman" w:cs="Arial"/>
          <w:color w:val="000000"/>
          <w:lang w:val="ru-RU"/>
        </w:rPr>
        <w:t>/</w:t>
      </w:r>
      <w:r w:rsidRPr="00FA5220">
        <w:rPr>
          <w:rFonts w:eastAsia="Times New Roman" w:cs="Arial"/>
          <w:color w:val="000000"/>
          <w:lang w:val="en-US"/>
        </w:rPr>
        <w:t>ml</w:t>
      </w:r>
      <w:r w:rsidRPr="00FA5220">
        <w:rPr>
          <w:rFonts w:eastAsia="Times New Roman" w:cs="Arial"/>
          <w:color w:val="000000"/>
          <w:lang w:val="ru-RU"/>
        </w:rPr>
        <w:t xml:space="preserve">. </w:t>
      </w:r>
      <w:r w:rsidRPr="00FA5220">
        <w:rPr>
          <w:rFonts w:eastAsia="Times New Roman" w:cs="Arial"/>
          <w:color w:val="000000"/>
          <w:lang w:eastAsia="bg-BG"/>
        </w:rPr>
        <w:t>Това свързване с висок афинитет се отдава на плазмения АСЕ. Другото има по-голям капацитет и по-нисък афинитет, но над нивата на концентрациите, които са с терапевтична зависимост, свързването не надвишава 60%, което внушава, че не е важно по отношение на фармакокинетиката на лекарството. Проучвания при кучета показват, че еналаприл преминава трудно кръвно-мозъчна бариера, ако не и въобще; енаприлат не навлиза в мозъка.</w:t>
      </w:r>
    </w:p>
    <w:p w14:paraId="02414BEA" w14:textId="77777777" w:rsidR="00FA5220" w:rsidRDefault="00FA5220" w:rsidP="00FA5220">
      <w:pPr>
        <w:spacing w:line="240" w:lineRule="auto"/>
        <w:rPr>
          <w:rFonts w:eastAsia="Times New Roman" w:cs="Arial"/>
          <w:color w:val="000000"/>
          <w:u w:val="single"/>
          <w:lang w:eastAsia="bg-BG"/>
        </w:rPr>
      </w:pPr>
    </w:p>
    <w:p w14:paraId="7F0F4B1D" w14:textId="69B93C0A" w:rsidR="00FA5220" w:rsidRPr="00FA5220" w:rsidRDefault="00FA5220" w:rsidP="00FA5220">
      <w:pPr>
        <w:pStyle w:val="Heading3"/>
        <w:rPr>
          <w:rFonts w:eastAsia="Times New Roman"/>
          <w:u w:val="single"/>
        </w:rPr>
      </w:pPr>
      <w:r w:rsidRPr="00FA5220">
        <w:rPr>
          <w:rFonts w:eastAsia="Times New Roman"/>
          <w:u w:val="single"/>
          <w:lang w:eastAsia="bg-BG"/>
        </w:rPr>
        <w:t>Биотрансформация</w:t>
      </w:r>
    </w:p>
    <w:p w14:paraId="08C19A5C"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С изключение на конверсията в еналаприлат, липсват доказателства за значителен метаболизъм на еналаприла.</w:t>
      </w:r>
    </w:p>
    <w:p w14:paraId="01067FCB" w14:textId="77777777" w:rsidR="00FA5220" w:rsidRDefault="00FA5220" w:rsidP="00FA5220">
      <w:pPr>
        <w:spacing w:line="240" w:lineRule="auto"/>
        <w:rPr>
          <w:rFonts w:eastAsia="Times New Roman" w:cs="Arial"/>
          <w:color w:val="000000"/>
          <w:u w:val="single"/>
          <w:lang w:eastAsia="bg-BG"/>
        </w:rPr>
      </w:pPr>
    </w:p>
    <w:p w14:paraId="064B6CF4" w14:textId="1E0A0249" w:rsidR="00FA5220" w:rsidRPr="00FA5220" w:rsidRDefault="00FA5220" w:rsidP="00FA5220">
      <w:pPr>
        <w:pStyle w:val="Heading3"/>
        <w:rPr>
          <w:rFonts w:eastAsia="Times New Roman"/>
          <w:u w:val="single"/>
        </w:rPr>
      </w:pPr>
      <w:r w:rsidRPr="00FA5220">
        <w:rPr>
          <w:rFonts w:eastAsia="Times New Roman"/>
          <w:u w:val="single"/>
          <w:lang w:eastAsia="bg-BG"/>
        </w:rPr>
        <w:lastRenderedPageBreak/>
        <w:t>Елиминиране</w:t>
      </w:r>
    </w:p>
    <w:p w14:paraId="169F8298"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Елиминирането на еналаприл е предимно чрез бъбреците. Основните компоненти в урината са еналаприлат, изчисляващ се на около 40% от дозата и интактен еналаприл.</w:t>
      </w:r>
    </w:p>
    <w:p w14:paraId="3CF9A214" w14:textId="77777777" w:rsidR="00FA5220" w:rsidRDefault="00FA5220" w:rsidP="00FA5220">
      <w:pPr>
        <w:spacing w:line="240" w:lineRule="auto"/>
        <w:rPr>
          <w:rFonts w:eastAsia="Times New Roman" w:cs="Arial"/>
          <w:color w:val="000000"/>
          <w:u w:val="single"/>
          <w:lang w:eastAsia="bg-BG"/>
        </w:rPr>
      </w:pPr>
    </w:p>
    <w:p w14:paraId="0061AC4F" w14:textId="71614DFC" w:rsidR="00FA5220" w:rsidRPr="00FA5220" w:rsidRDefault="00FA5220" w:rsidP="00FA5220">
      <w:pPr>
        <w:spacing w:line="240" w:lineRule="auto"/>
        <w:rPr>
          <w:rFonts w:eastAsia="Times New Roman" w:cs="Arial"/>
        </w:rPr>
      </w:pPr>
      <w:r w:rsidRPr="00FA5220">
        <w:rPr>
          <w:rFonts w:eastAsia="Times New Roman" w:cs="Arial"/>
          <w:color w:val="000000"/>
          <w:u w:val="single"/>
          <w:lang w:eastAsia="bg-BG"/>
        </w:rPr>
        <w:t>Характерни особености при пациента</w:t>
      </w:r>
    </w:p>
    <w:p w14:paraId="3E1BF0D2" w14:textId="77777777" w:rsidR="00FA5220" w:rsidRPr="00FA5220" w:rsidRDefault="00FA5220" w:rsidP="00FA5220">
      <w:pPr>
        <w:spacing w:line="240" w:lineRule="auto"/>
        <w:rPr>
          <w:rFonts w:eastAsia="Times New Roman" w:cs="Arial"/>
        </w:rPr>
      </w:pPr>
      <w:r w:rsidRPr="00FA5220">
        <w:rPr>
          <w:rFonts w:eastAsia="Times New Roman" w:cs="Arial"/>
          <w:color w:val="000000"/>
          <w:lang w:eastAsia="bg-BG"/>
        </w:rPr>
        <w:t>Енаприлат може да се премахне от циркулацията чрез хемодиализа.</w:t>
      </w:r>
    </w:p>
    <w:p w14:paraId="5155CA80" w14:textId="77777777" w:rsidR="00FA5220" w:rsidRDefault="00FA5220" w:rsidP="00FA5220">
      <w:pPr>
        <w:spacing w:line="240" w:lineRule="auto"/>
        <w:rPr>
          <w:rFonts w:eastAsia="Times New Roman" w:cs="Arial"/>
          <w:color w:val="000000"/>
          <w:u w:val="single"/>
          <w:lang w:eastAsia="bg-BG"/>
        </w:rPr>
      </w:pPr>
    </w:p>
    <w:p w14:paraId="50F282E1" w14:textId="4FCB9D13" w:rsidR="00FA5220" w:rsidRPr="00FA5220" w:rsidRDefault="00FA5220" w:rsidP="00FA5220">
      <w:pPr>
        <w:pStyle w:val="Heading3"/>
        <w:rPr>
          <w:rFonts w:eastAsia="Times New Roman"/>
          <w:u w:val="single"/>
        </w:rPr>
      </w:pPr>
      <w:r w:rsidRPr="00FA5220">
        <w:rPr>
          <w:rFonts w:eastAsia="Times New Roman"/>
          <w:u w:val="single"/>
          <w:lang w:eastAsia="bg-BG"/>
        </w:rPr>
        <w:t>Кърмене</w:t>
      </w:r>
    </w:p>
    <w:p w14:paraId="615D5360" w14:textId="7AD61FDB" w:rsidR="00FA5220" w:rsidRPr="00FA5220" w:rsidRDefault="00FA5220" w:rsidP="00FA5220">
      <w:pPr>
        <w:rPr>
          <w:rFonts w:eastAsia="Times New Roman" w:cs="Arial"/>
          <w:color w:val="000000"/>
          <w:lang w:eastAsia="bg-BG"/>
        </w:rPr>
      </w:pPr>
      <w:r w:rsidRPr="00FA5220">
        <w:rPr>
          <w:rFonts w:eastAsia="Times New Roman" w:cs="Arial"/>
          <w:color w:val="000000"/>
          <w:lang w:eastAsia="bg-BG"/>
        </w:rPr>
        <w:t xml:space="preserve">След еднократна перорална доза от 20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при пет жени след раждане, средната пикова концентрация на еналаприл в кърмата е била 1,7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(граници 0,54 до 5,9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на 4 до 6 часа след дозирането. Средното пиково ниво на еналаприл е било 1,7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(граници 1,2 до 2,3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 xml:space="preserve">пиковете се наблюдават в различно време за период от 24 часа. Използвайки данните за пиковото ниво в кърмата, установеният максимален прием от кърмаче, хранено само с кърма ще бъде около 0,16 % от адаптираната доза към теглото на майката. Жена, която е приемала перорално 10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еналаприл дневно за 11 месеца е имала пикови концентрации на еналаприл в кърмата от 2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eastAsia="bg-BG"/>
        </w:rPr>
        <w:t xml:space="preserve">4 часа след дозата и пикови нива на еналаприлат от 0,75 </w:t>
      </w:r>
      <w:proofErr w:type="spellStart"/>
      <w:r w:rsidRPr="00FA5220">
        <w:rPr>
          <w:rFonts w:eastAsia="Times New Roman" w:cs="Arial"/>
          <w:color w:val="000000"/>
          <w:lang w:val="en-US"/>
        </w:rPr>
        <w:t>pg</w:t>
      </w:r>
      <w:proofErr w:type="spellEnd"/>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 xml:space="preserve">около 9 часа след дозата. Общото количество на еналаприл и еналаприлат, измерени в кърмата по време на 24 часовия период е било 1,44 </w:t>
      </w:r>
      <w:proofErr w:type="spellStart"/>
      <w:r w:rsidRPr="00FA5220">
        <w:rPr>
          <w:rFonts w:eastAsia="Times New Roman" w:cs="Arial"/>
          <w:color w:val="000000"/>
          <w:lang w:val="en-US"/>
        </w:rPr>
        <w:t>pg</w:t>
      </w:r>
      <w:proofErr w:type="spellEnd"/>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 xml:space="preserve">и 0,63 </w:t>
      </w:r>
      <w:proofErr w:type="spellStart"/>
      <w:r w:rsidRPr="00FA5220">
        <w:rPr>
          <w:rFonts w:eastAsia="Times New Roman" w:cs="Arial"/>
          <w:color w:val="000000"/>
          <w:lang w:val="en-US"/>
        </w:rPr>
        <w:t>pg</w:t>
      </w:r>
      <w:proofErr w:type="spellEnd"/>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съответно от кърмата. Нивата на еналаприлат в кърмата не са могли да бъдат усташвени (&lt;0,2 μ</w:t>
      </w:r>
      <w:r w:rsidRPr="00FA5220">
        <w:rPr>
          <w:rFonts w:eastAsia="Times New Roman" w:cs="Arial"/>
          <w:color w:val="000000"/>
          <w:lang w:val="en-US"/>
        </w:rPr>
        <w:t>g</w:t>
      </w:r>
      <w:r w:rsidRPr="00FA5220">
        <w:rPr>
          <w:rFonts w:eastAsia="Times New Roman" w:cs="Arial"/>
          <w:color w:val="000000"/>
          <w:lang w:val="ru-RU"/>
        </w:rPr>
        <w:t>/</w:t>
      </w:r>
      <w:r w:rsidRPr="00FA5220">
        <w:rPr>
          <w:rFonts w:eastAsia="Times New Roman" w:cs="Arial"/>
          <w:color w:val="000000"/>
          <w:lang w:val="en-US"/>
        </w:rPr>
        <w:t>l</w:t>
      </w:r>
      <w:r w:rsidRPr="00FA5220">
        <w:rPr>
          <w:rFonts w:eastAsia="Times New Roman" w:cs="Arial"/>
          <w:color w:val="000000"/>
          <w:lang w:val="ru-RU"/>
        </w:rPr>
        <w:t xml:space="preserve">) </w:t>
      </w:r>
      <w:r w:rsidRPr="00FA5220">
        <w:rPr>
          <w:rFonts w:eastAsia="Times New Roman" w:cs="Arial"/>
          <w:color w:val="000000"/>
          <w:lang w:eastAsia="bg-BG"/>
        </w:rPr>
        <w:t xml:space="preserve">4 часа след еднократно дозиране на еналаприл 5 </w:t>
      </w:r>
      <w:r w:rsidRPr="00FA5220">
        <w:rPr>
          <w:rFonts w:eastAsia="Times New Roman" w:cs="Arial"/>
          <w:color w:val="000000"/>
          <w:lang w:val="en-US"/>
        </w:rPr>
        <w:t>mg</w:t>
      </w:r>
      <w:r w:rsidRPr="00FA5220">
        <w:rPr>
          <w:rFonts w:eastAsia="Times New Roman" w:cs="Arial"/>
          <w:color w:val="000000"/>
          <w:lang w:val="ru-RU"/>
        </w:rPr>
        <w:t xml:space="preserve"> </w:t>
      </w:r>
      <w:r w:rsidRPr="00FA5220">
        <w:rPr>
          <w:rFonts w:eastAsia="Times New Roman" w:cs="Arial"/>
          <w:color w:val="000000"/>
          <w:lang w:eastAsia="bg-BG"/>
        </w:rPr>
        <w:t xml:space="preserve">при една от майките и 10 </w:t>
      </w:r>
      <w:r w:rsidRPr="00FA5220">
        <w:rPr>
          <w:rFonts w:eastAsia="Times New Roman" w:cs="Arial"/>
          <w:color w:val="000000"/>
          <w:lang w:val="en-US"/>
        </w:rPr>
        <w:t>mg</w:t>
      </w:r>
      <w:r w:rsidRPr="00FA5220">
        <w:rPr>
          <w:rFonts w:eastAsia="Times New Roman" w:cs="Arial"/>
          <w:color w:val="000000"/>
          <w:vertAlign w:val="superscript"/>
          <w:lang w:eastAsia="bg-BG"/>
        </w:rPr>
        <w:t xml:space="preserve"> </w:t>
      </w:r>
      <w:r w:rsidRPr="00FA5220">
        <w:rPr>
          <w:rFonts w:eastAsia="Times New Roman" w:cs="Arial"/>
          <w:color w:val="000000"/>
          <w:lang w:eastAsia="bg-BG"/>
        </w:rPr>
        <w:t>при две от майките; нива на еналаприл не са определяни.</w:t>
      </w:r>
    </w:p>
    <w:p w14:paraId="03911B49" w14:textId="77777777" w:rsidR="00FA5220" w:rsidRPr="00FA5220" w:rsidRDefault="00FA5220" w:rsidP="00FA5220"/>
    <w:p w14:paraId="4FB791BE" w14:textId="63468037" w:rsidR="00B6672E" w:rsidRDefault="002C50EE" w:rsidP="00936AD0">
      <w:pPr>
        <w:pStyle w:val="Heading2"/>
      </w:pPr>
      <w:r>
        <w:t>5.3. Предклинични данни за безопасност</w:t>
      </w:r>
    </w:p>
    <w:p w14:paraId="22B1B784" w14:textId="16DA0E42" w:rsidR="00FA5220" w:rsidRDefault="00FA5220" w:rsidP="00FA5220"/>
    <w:p w14:paraId="4661C282" w14:textId="4F68512B" w:rsidR="00FA5220" w:rsidRPr="00FA5220" w:rsidRDefault="00FA5220" w:rsidP="00FA5220">
      <w:pPr>
        <w:rPr>
          <w:rFonts w:cs="Arial"/>
          <w:szCs w:val="44"/>
        </w:rPr>
      </w:pPr>
      <w:r w:rsidRPr="00FA5220">
        <w:rPr>
          <w:rFonts w:cs="Arial"/>
          <w:szCs w:val="44"/>
        </w:rPr>
        <w:t>Еналаприлов малеат</w:t>
      </w:r>
    </w:p>
    <w:p w14:paraId="6FFECBA4" w14:textId="1CD7376F" w:rsidR="00FA5220" w:rsidRPr="00FA5220" w:rsidRDefault="00FA5220" w:rsidP="00FA5220">
      <w:pPr>
        <w:rPr>
          <w:rFonts w:cs="Arial"/>
          <w:szCs w:val="44"/>
        </w:rPr>
      </w:pPr>
    </w:p>
    <w:p w14:paraId="15783F0E" w14:textId="77777777"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lang w:eastAsia="bg-BG"/>
        </w:rPr>
        <w:t xml:space="preserve">Токсичността е проучена при мишки, плъхове, кучета и маймуни. Еналаприл има ниска остра токсичност. Пероралната </w:t>
      </w:r>
      <w:r w:rsidRPr="00FA5220">
        <w:rPr>
          <w:rFonts w:eastAsia="Times New Roman" w:cs="Arial"/>
          <w:color w:val="000000"/>
          <w:szCs w:val="44"/>
          <w:lang w:val="en-US"/>
        </w:rPr>
        <w:t>LD</w:t>
      </w:r>
      <w:r w:rsidRPr="00FA5220">
        <w:rPr>
          <w:rFonts w:eastAsia="Times New Roman" w:cs="Arial"/>
          <w:color w:val="000000"/>
          <w:szCs w:val="44"/>
          <w:vertAlign w:val="subscript"/>
          <w:lang w:val="ru-RU"/>
        </w:rPr>
        <w:t xml:space="preserve">50 </w:t>
      </w:r>
      <w:r w:rsidRPr="00FA5220">
        <w:rPr>
          <w:rFonts w:eastAsia="Times New Roman" w:cs="Arial"/>
          <w:color w:val="000000"/>
          <w:szCs w:val="44"/>
          <w:lang w:eastAsia="bg-BG"/>
        </w:rPr>
        <w:t xml:space="preserve">при мишки и плъхове е 2000 </w:t>
      </w:r>
      <w:r w:rsidRPr="00FA5220">
        <w:rPr>
          <w:rFonts w:eastAsia="Times New Roman" w:cs="Arial"/>
          <w:color w:val="000000"/>
          <w:szCs w:val="44"/>
          <w:lang w:val="en-US"/>
        </w:rPr>
        <w:t>mg</w:t>
      </w:r>
      <w:r w:rsidRPr="00FA5220">
        <w:rPr>
          <w:rFonts w:eastAsia="Times New Roman" w:cs="Arial"/>
          <w:color w:val="000000"/>
          <w:szCs w:val="44"/>
          <w:lang w:val="ru-RU"/>
        </w:rPr>
        <w:t>/</w:t>
      </w:r>
      <w:r w:rsidRPr="00FA5220">
        <w:rPr>
          <w:rFonts w:eastAsia="Times New Roman" w:cs="Arial"/>
          <w:color w:val="000000"/>
          <w:szCs w:val="44"/>
          <w:lang w:val="en-US"/>
        </w:rPr>
        <w:t>kg</w:t>
      </w:r>
      <w:r w:rsidRPr="00FA5220">
        <w:rPr>
          <w:rFonts w:eastAsia="Times New Roman" w:cs="Arial"/>
          <w:color w:val="000000"/>
          <w:szCs w:val="44"/>
          <w:lang w:val="ru-RU"/>
        </w:rPr>
        <w:t>.</w:t>
      </w:r>
    </w:p>
    <w:p w14:paraId="5D7ED722" w14:textId="77777777" w:rsidR="00FA5220" w:rsidRPr="00FA5220" w:rsidRDefault="00FA5220" w:rsidP="00FA5220">
      <w:pPr>
        <w:spacing w:line="240" w:lineRule="auto"/>
        <w:rPr>
          <w:rFonts w:eastAsia="Times New Roman" w:cs="Arial"/>
          <w:color w:val="000000"/>
          <w:szCs w:val="44"/>
          <w:lang w:eastAsia="bg-BG"/>
        </w:rPr>
      </w:pPr>
    </w:p>
    <w:p w14:paraId="4117CA3D" w14:textId="35E64200"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lang w:eastAsia="bg-BG"/>
        </w:rPr>
        <w:t xml:space="preserve">Подчертано потенциране на токсичността е наблюдавано при плъхове, приемащи 90 </w:t>
      </w:r>
      <w:r w:rsidRPr="00FA5220">
        <w:rPr>
          <w:rFonts w:eastAsia="Times New Roman" w:cs="Arial"/>
          <w:color w:val="000000"/>
          <w:szCs w:val="44"/>
          <w:lang w:val="en-US"/>
        </w:rPr>
        <w:t>mg</w:t>
      </w:r>
      <w:r w:rsidRPr="00FA5220">
        <w:rPr>
          <w:rFonts w:eastAsia="Times New Roman" w:cs="Arial"/>
          <w:color w:val="000000"/>
          <w:szCs w:val="44"/>
          <w:lang w:val="ru-RU"/>
        </w:rPr>
        <w:t>/</w:t>
      </w:r>
      <w:r w:rsidRPr="00FA5220">
        <w:rPr>
          <w:rFonts w:eastAsia="Times New Roman" w:cs="Arial"/>
          <w:color w:val="000000"/>
          <w:szCs w:val="44"/>
          <w:lang w:val="en-US"/>
        </w:rPr>
        <w:t>kg</w:t>
      </w:r>
      <w:r w:rsidRPr="00FA5220">
        <w:rPr>
          <w:rFonts w:eastAsia="Times New Roman" w:cs="Arial"/>
          <w:color w:val="000000"/>
          <w:szCs w:val="44"/>
          <w:lang w:val="ru-RU"/>
        </w:rPr>
        <w:t xml:space="preserve"> </w:t>
      </w:r>
      <w:r w:rsidRPr="00FA5220">
        <w:rPr>
          <w:rFonts w:eastAsia="Times New Roman" w:cs="Arial"/>
          <w:color w:val="000000"/>
          <w:szCs w:val="44"/>
          <w:lang w:eastAsia="bg-BG"/>
        </w:rPr>
        <w:t>еналаприл дневно, подложени на диета без достатъчен прием на натрий.</w:t>
      </w:r>
    </w:p>
    <w:p w14:paraId="75C23132" w14:textId="77777777" w:rsidR="00FA5220" w:rsidRPr="00FA5220" w:rsidRDefault="00FA5220" w:rsidP="00FA5220">
      <w:pPr>
        <w:spacing w:line="240" w:lineRule="auto"/>
        <w:rPr>
          <w:rFonts w:eastAsia="Times New Roman" w:cs="Arial"/>
          <w:color w:val="000000"/>
          <w:szCs w:val="44"/>
          <w:u w:val="single"/>
          <w:lang w:eastAsia="bg-BG"/>
        </w:rPr>
      </w:pPr>
    </w:p>
    <w:p w14:paraId="48B64AF2" w14:textId="4533F81C"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u w:val="single"/>
          <w:lang w:eastAsia="bg-BG"/>
        </w:rPr>
        <w:t>Тератогенност</w:t>
      </w:r>
    </w:p>
    <w:p w14:paraId="1465F604" w14:textId="77777777"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lang w:eastAsia="bg-BG"/>
        </w:rPr>
        <w:t>Няма доказателства за тератогенен ефект при плъхове и зайци, както и за неблагоприятни ефекти върху репродуктивната способност на мъжки и женски плъхове.</w:t>
      </w:r>
    </w:p>
    <w:p w14:paraId="3BE7C316" w14:textId="77777777" w:rsidR="00FA5220" w:rsidRPr="00FA5220" w:rsidRDefault="00FA5220" w:rsidP="00FA5220">
      <w:pPr>
        <w:spacing w:line="240" w:lineRule="auto"/>
        <w:rPr>
          <w:rFonts w:eastAsia="Times New Roman" w:cs="Arial"/>
          <w:color w:val="000000"/>
          <w:szCs w:val="44"/>
          <w:u w:val="single"/>
          <w:lang w:eastAsia="bg-BG"/>
        </w:rPr>
      </w:pPr>
    </w:p>
    <w:p w14:paraId="269BB199" w14:textId="2BC4E73C"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u w:val="single"/>
          <w:lang w:eastAsia="bg-BG"/>
        </w:rPr>
        <w:t>Карциногенност</w:t>
      </w:r>
    </w:p>
    <w:p w14:paraId="3DF912A0" w14:textId="77777777"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lang w:eastAsia="bg-BG"/>
        </w:rPr>
        <w:t>Няма доказателства за карциногенен ефект.</w:t>
      </w:r>
    </w:p>
    <w:p w14:paraId="34513E04" w14:textId="77777777" w:rsidR="00FA5220" w:rsidRPr="00FA5220" w:rsidRDefault="00FA5220" w:rsidP="00FA5220">
      <w:pPr>
        <w:spacing w:line="240" w:lineRule="auto"/>
        <w:rPr>
          <w:rFonts w:eastAsia="Times New Roman" w:cs="Arial"/>
          <w:color w:val="000000"/>
          <w:szCs w:val="44"/>
          <w:u w:val="single"/>
          <w:lang w:eastAsia="bg-BG"/>
        </w:rPr>
      </w:pPr>
    </w:p>
    <w:p w14:paraId="174C4803" w14:textId="39DB7CD8"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u w:val="single"/>
          <w:lang w:eastAsia="bg-BG"/>
        </w:rPr>
        <w:t>Мутагенност</w:t>
      </w:r>
    </w:p>
    <w:p w14:paraId="6473644B" w14:textId="77777777" w:rsidR="00FA5220" w:rsidRPr="00FA5220" w:rsidRDefault="00FA5220" w:rsidP="00FA5220">
      <w:pPr>
        <w:spacing w:line="240" w:lineRule="auto"/>
        <w:rPr>
          <w:rFonts w:eastAsia="Times New Roman" w:cs="Arial"/>
          <w:sz w:val="12"/>
          <w:szCs w:val="24"/>
        </w:rPr>
      </w:pPr>
      <w:r w:rsidRPr="00FA5220">
        <w:rPr>
          <w:rFonts w:eastAsia="Times New Roman" w:cs="Arial"/>
          <w:color w:val="000000"/>
          <w:szCs w:val="44"/>
          <w:lang w:eastAsia="bg-BG"/>
        </w:rPr>
        <w:t>Еналаприл и еналаприлат не са проявили мутагенен ефект.</w:t>
      </w:r>
    </w:p>
    <w:p w14:paraId="077663B0" w14:textId="77777777" w:rsidR="00FA5220" w:rsidRPr="00FA5220" w:rsidRDefault="00FA5220" w:rsidP="00FA5220"/>
    <w:p w14:paraId="1BA6531D" w14:textId="7E7A1FB8" w:rsidR="00B6672E" w:rsidRDefault="002C50EE" w:rsidP="00936AD0">
      <w:pPr>
        <w:pStyle w:val="Heading1"/>
      </w:pPr>
      <w:r>
        <w:t>7. ПРИТЕЖАТЕЛ НА РАЗРЕШЕНИЕТО ЗА УПОТРЕБА</w:t>
      </w:r>
    </w:p>
    <w:p w14:paraId="2E1FC676" w14:textId="140D7702" w:rsidR="00FA5220" w:rsidRDefault="00FA5220" w:rsidP="00FA5220"/>
    <w:p w14:paraId="649BFCA4" w14:textId="77777777" w:rsidR="00FA5220" w:rsidRPr="00FA5220" w:rsidRDefault="00FA5220" w:rsidP="00FA5220">
      <w:pPr>
        <w:rPr>
          <w:sz w:val="24"/>
          <w:szCs w:val="24"/>
        </w:rPr>
      </w:pPr>
      <w:r w:rsidRPr="00FA5220">
        <w:rPr>
          <w:lang w:eastAsia="bg-BG"/>
        </w:rPr>
        <w:t>ИНБИОТЕХ ООД</w:t>
      </w:r>
    </w:p>
    <w:p w14:paraId="2E7EDFA3" w14:textId="77777777" w:rsidR="00FA5220" w:rsidRDefault="00FA5220" w:rsidP="00FA5220">
      <w:pPr>
        <w:rPr>
          <w:lang w:eastAsia="bg-BG"/>
        </w:rPr>
      </w:pPr>
      <w:r w:rsidRPr="00FA5220">
        <w:rPr>
          <w:lang w:eastAsia="bg-BG"/>
        </w:rPr>
        <w:t xml:space="preserve">София 1000, ул. Триадица № 5 А </w:t>
      </w:r>
    </w:p>
    <w:p w14:paraId="4F381451" w14:textId="3570411E" w:rsidR="00FA5220" w:rsidRPr="00FA5220" w:rsidRDefault="00FA5220" w:rsidP="00FA5220">
      <w:pPr>
        <w:rPr>
          <w:sz w:val="24"/>
          <w:szCs w:val="24"/>
        </w:rPr>
      </w:pPr>
      <w:r w:rsidRPr="00FA5220">
        <w:rPr>
          <w:lang w:eastAsia="bg-BG"/>
        </w:rPr>
        <w:t>България</w:t>
      </w:r>
    </w:p>
    <w:p w14:paraId="639B4EE8" w14:textId="77777777" w:rsidR="00FA5220" w:rsidRPr="00FA5220" w:rsidRDefault="00FA5220" w:rsidP="00FA5220"/>
    <w:p w14:paraId="508F3A54" w14:textId="54562B7B" w:rsidR="00B6672E" w:rsidRDefault="00936AD0" w:rsidP="00936AD0">
      <w:pPr>
        <w:pStyle w:val="Heading1"/>
      </w:pPr>
      <w:r>
        <w:t>8.</w:t>
      </w:r>
      <w:r w:rsidR="002C50EE">
        <w:t>НОМЕР НА РАЗРЕШЕНИЕТО ЗА УПОТРЕБА</w:t>
      </w:r>
    </w:p>
    <w:p w14:paraId="08CF0187" w14:textId="087A447B" w:rsidR="00FA5220" w:rsidRDefault="00FA5220" w:rsidP="00FA5220"/>
    <w:p w14:paraId="55A1CB25" w14:textId="76F5EE9C" w:rsidR="00FA5220" w:rsidRPr="00FA5220" w:rsidRDefault="00FA5220" w:rsidP="00FA5220">
      <w:proofErr w:type="spellStart"/>
      <w:r>
        <w:rPr>
          <w:lang w:val="en-US"/>
        </w:rPr>
        <w:t>Peг</w:t>
      </w:r>
      <w:proofErr w:type="spellEnd"/>
      <w:r w:rsidRPr="00FA5220">
        <w:rPr>
          <w:lang w:val="ru-RU"/>
        </w:rPr>
        <w:t xml:space="preserve">. </w:t>
      </w:r>
      <w:r>
        <w:t>№20130276</w:t>
      </w:r>
    </w:p>
    <w:p w14:paraId="2CCB5832" w14:textId="53CFDC7E" w:rsidR="007C605B" w:rsidRDefault="002C50EE" w:rsidP="007C605B">
      <w:pPr>
        <w:pStyle w:val="Heading1"/>
      </w:pPr>
      <w:r>
        <w:t>9. ДАТА НА ПЪРВО РАЗРЕШАВАНЕ/ПОДНОВЯВАНЕ НА РАЗРЕШЕНИЕТО ЗА УПОТРЕБА</w:t>
      </w:r>
    </w:p>
    <w:p w14:paraId="684AB77F" w14:textId="156E684B" w:rsidR="00FA5220" w:rsidRDefault="00FA5220" w:rsidP="00FA5220"/>
    <w:p w14:paraId="47A3C0F7" w14:textId="69FAB44E" w:rsidR="00FA5220" w:rsidRPr="00FA5220" w:rsidRDefault="00FA5220" w:rsidP="00FA5220">
      <w:pPr>
        <w:rPr>
          <w:sz w:val="24"/>
          <w:szCs w:val="24"/>
        </w:rPr>
      </w:pPr>
      <w:r w:rsidRPr="00FA5220">
        <w:rPr>
          <w:lang w:eastAsia="bg-BG"/>
        </w:rPr>
        <w:t>Дата на първо Разрешаване за употреба: 01.10.2013</w:t>
      </w:r>
    </w:p>
    <w:p w14:paraId="0E9D0119" w14:textId="0245C6D7" w:rsidR="002C50EE" w:rsidRDefault="002C50EE" w:rsidP="002C50EE">
      <w:pPr>
        <w:pStyle w:val="Heading1"/>
      </w:pPr>
      <w:r>
        <w:t>10. ДАТА НА АКТУАЛИЗИРАНЕ НА ТЕКСТА</w:t>
      </w:r>
    </w:p>
    <w:bookmarkEnd w:id="0"/>
    <w:p w14:paraId="43FB38A2" w14:textId="6E7283B9" w:rsidR="007C605B" w:rsidRPr="00FA5220" w:rsidRDefault="00FA5220" w:rsidP="00FA5220">
      <w:pPr>
        <w:rPr>
          <w:sz w:val="24"/>
          <w:szCs w:val="24"/>
        </w:rPr>
      </w:pPr>
      <w:r w:rsidRPr="00FA5220">
        <w:rPr>
          <w:lang w:eastAsia="bg-BG"/>
        </w:rPr>
        <w:t>септември 2018</w:t>
      </w:r>
      <w:bookmarkStart w:id="4" w:name="_GoBack"/>
      <w:bookmarkEnd w:id="4"/>
    </w:p>
    <w:sectPr w:rsidR="007C605B" w:rsidRPr="00FA5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abstractNum>
  <w:abstractNum w:abstractNumId="3"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B97B27"/>
    <w:multiLevelType w:val="hybridMultilevel"/>
    <w:tmpl w:val="4B58F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9"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4"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DC77E1"/>
    <w:multiLevelType w:val="hybridMultilevel"/>
    <w:tmpl w:val="F6C6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05AC0"/>
    <w:multiLevelType w:val="hybridMultilevel"/>
    <w:tmpl w:val="43D6CCE4"/>
    <w:lvl w:ilvl="0" w:tplc="412CC66A">
      <w:start w:val="4"/>
      <w:numFmt w:val="bullet"/>
      <w:lvlText w:val="-"/>
      <w:lvlJc w:val="left"/>
      <w:pPr>
        <w:ind w:left="720" w:hanging="360"/>
      </w:pPr>
      <w:rPr>
        <w:rFonts w:ascii="Arial" w:eastAsia="Times New Roman" w:hAnsi="Arial" w:cs="Arial"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6"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8D230B"/>
    <w:multiLevelType w:val="hybridMultilevel"/>
    <w:tmpl w:val="29421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2"/>
  </w:num>
  <w:num w:numId="2">
    <w:abstractNumId w:val="0"/>
  </w:num>
  <w:num w:numId="3">
    <w:abstractNumId w:val="16"/>
  </w:num>
  <w:num w:numId="4">
    <w:abstractNumId w:val="4"/>
  </w:num>
  <w:num w:numId="5">
    <w:abstractNumId w:val="1"/>
  </w:num>
  <w:num w:numId="6">
    <w:abstractNumId w:val="21"/>
  </w:num>
  <w:num w:numId="7">
    <w:abstractNumId w:val="14"/>
  </w:num>
  <w:num w:numId="8">
    <w:abstractNumId w:val="20"/>
  </w:num>
  <w:num w:numId="9">
    <w:abstractNumId w:val="3"/>
  </w:num>
  <w:num w:numId="10">
    <w:abstractNumId w:val="5"/>
  </w:num>
  <w:num w:numId="11">
    <w:abstractNumId w:val="35"/>
  </w:num>
  <w:num w:numId="12">
    <w:abstractNumId w:val="19"/>
  </w:num>
  <w:num w:numId="13">
    <w:abstractNumId w:val="24"/>
  </w:num>
  <w:num w:numId="14">
    <w:abstractNumId w:val="15"/>
  </w:num>
  <w:num w:numId="15">
    <w:abstractNumId w:val="34"/>
  </w:num>
  <w:num w:numId="16">
    <w:abstractNumId w:val="13"/>
  </w:num>
  <w:num w:numId="17">
    <w:abstractNumId w:val="29"/>
  </w:num>
  <w:num w:numId="18">
    <w:abstractNumId w:val="10"/>
  </w:num>
  <w:num w:numId="19">
    <w:abstractNumId w:val="31"/>
  </w:num>
  <w:num w:numId="20">
    <w:abstractNumId w:val="28"/>
  </w:num>
  <w:num w:numId="21">
    <w:abstractNumId w:val="22"/>
  </w:num>
  <w:num w:numId="22">
    <w:abstractNumId w:val="30"/>
  </w:num>
  <w:num w:numId="23">
    <w:abstractNumId w:val="23"/>
  </w:num>
  <w:num w:numId="24">
    <w:abstractNumId w:val="11"/>
  </w:num>
  <w:num w:numId="25">
    <w:abstractNumId w:val="27"/>
  </w:num>
  <w:num w:numId="26">
    <w:abstractNumId w:val="26"/>
  </w:num>
  <w:num w:numId="27">
    <w:abstractNumId w:val="37"/>
  </w:num>
  <w:num w:numId="28">
    <w:abstractNumId w:val="8"/>
  </w:num>
  <w:num w:numId="29">
    <w:abstractNumId w:val="25"/>
  </w:num>
  <w:num w:numId="30">
    <w:abstractNumId w:val="40"/>
  </w:num>
  <w:num w:numId="31">
    <w:abstractNumId w:val="6"/>
  </w:num>
  <w:num w:numId="32">
    <w:abstractNumId w:val="39"/>
  </w:num>
  <w:num w:numId="33">
    <w:abstractNumId w:val="33"/>
  </w:num>
  <w:num w:numId="34">
    <w:abstractNumId w:val="38"/>
  </w:num>
  <w:num w:numId="35">
    <w:abstractNumId w:val="9"/>
  </w:num>
  <w:num w:numId="36">
    <w:abstractNumId w:val="12"/>
  </w:num>
  <w:num w:numId="37">
    <w:abstractNumId w:val="2"/>
  </w:num>
  <w:num w:numId="38">
    <w:abstractNumId w:val="7"/>
  </w:num>
  <w:num w:numId="39">
    <w:abstractNumId w:val="17"/>
  </w:num>
  <w:num w:numId="40">
    <w:abstractNumId w:val="36"/>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B6140"/>
    <w:rsid w:val="002C50EE"/>
    <w:rsid w:val="00340A0A"/>
    <w:rsid w:val="003765DC"/>
    <w:rsid w:val="00395555"/>
    <w:rsid w:val="003E3126"/>
    <w:rsid w:val="00426E5F"/>
    <w:rsid w:val="004A448E"/>
    <w:rsid w:val="004D4D6B"/>
    <w:rsid w:val="004F1CE7"/>
    <w:rsid w:val="004F498A"/>
    <w:rsid w:val="00503B43"/>
    <w:rsid w:val="00517A5B"/>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A5220"/>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7050</Words>
  <Characters>40191</Characters>
  <Application>Microsoft Office Word</Application>
  <DocSecurity>0</DocSecurity>
  <Lines>334</Lines>
  <Paragraphs>94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2022-07-29T15:07:00Z</dcterms:created>
  <dcterms:modified xsi:type="dcterms:W3CDTF">2022-07-29T15:07:00Z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