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21DD1FD8" w:rsidR="007122AD" w:rsidRDefault="00DD466D" w:rsidP="00936AD0">
      <w:pPr>
        <w:pStyle w:val="Heading1"/>
      </w:pPr>
      <w:r>
        <w:t>1.ИМЕ НА ЛЕКАРСТВЕНИЯ ПРОДУКТ</w:t>
      </w:r>
    </w:p>
    <w:p w14:paraId="3B1B54F2" w14:textId="22969997" w:rsidR="00A520F5" w:rsidRDefault="00A520F5" w:rsidP="00A520F5"/>
    <w:p w14:paraId="26F87345" w14:textId="77777777" w:rsidR="00A520F5" w:rsidRPr="00A520F5" w:rsidRDefault="00A520F5" w:rsidP="00A520F5">
      <w:pPr>
        <w:rPr>
          <w:sz w:val="24"/>
          <w:szCs w:val="24"/>
        </w:rPr>
      </w:pPr>
      <w:r w:rsidRPr="00A520F5">
        <w:rPr>
          <w:lang w:eastAsia="bg-BG"/>
        </w:rPr>
        <w:t xml:space="preserve">Ентекавир Алвоген 0,5 </w:t>
      </w:r>
      <w:r w:rsidRPr="00A520F5">
        <w:rPr>
          <w:lang w:val="en-US"/>
        </w:rPr>
        <w:t>mg</w:t>
      </w:r>
      <w:r w:rsidRPr="00A520F5">
        <w:t xml:space="preserve"> </w:t>
      </w:r>
      <w:r w:rsidRPr="00A520F5">
        <w:rPr>
          <w:lang w:eastAsia="bg-BG"/>
        </w:rPr>
        <w:t>филмирани таблетки</w:t>
      </w:r>
    </w:p>
    <w:p w14:paraId="246ADEBB" w14:textId="77777777" w:rsidR="00A520F5" w:rsidRPr="00A520F5" w:rsidRDefault="00A520F5" w:rsidP="00A520F5">
      <w:pPr>
        <w:rPr>
          <w:sz w:val="24"/>
          <w:szCs w:val="24"/>
        </w:rPr>
      </w:pPr>
      <w:r w:rsidRPr="00A520F5">
        <w:rPr>
          <w:lang w:val="en-US"/>
        </w:rPr>
        <w:t>Entecavir</w:t>
      </w:r>
      <w:r w:rsidRPr="00A520F5">
        <w:t xml:space="preserve"> </w:t>
      </w:r>
      <w:r w:rsidRPr="00A520F5">
        <w:rPr>
          <w:lang w:val="en-US"/>
        </w:rPr>
        <w:t>Alvogen</w:t>
      </w:r>
      <w:r w:rsidRPr="00A520F5">
        <w:t xml:space="preserve"> </w:t>
      </w:r>
      <w:r w:rsidRPr="00A520F5">
        <w:rPr>
          <w:lang w:eastAsia="bg-BG"/>
        </w:rPr>
        <w:t>0</w:t>
      </w:r>
      <w:proofErr w:type="gramStart"/>
      <w:r w:rsidRPr="00A520F5">
        <w:rPr>
          <w:lang w:eastAsia="bg-BG"/>
        </w:rPr>
        <w:t>,5</w:t>
      </w:r>
      <w:proofErr w:type="gramEnd"/>
      <w:r w:rsidRPr="00A520F5">
        <w:rPr>
          <w:lang w:eastAsia="bg-BG"/>
        </w:rPr>
        <w:t xml:space="preserve"> </w:t>
      </w:r>
      <w:r w:rsidRPr="00A520F5">
        <w:rPr>
          <w:lang w:val="en-US"/>
        </w:rPr>
        <w:t>mg</w:t>
      </w:r>
      <w:r w:rsidRPr="00A520F5">
        <w:t xml:space="preserve"> </w:t>
      </w:r>
      <w:r w:rsidRPr="00A520F5">
        <w:rPr>
          <w:lang w:val="en-US"/>
        </w:rPr>
        <w:t>film</w:t>
      </w:r>
      <w:r w:rsidRPr="00A520F5">
        <w:t>-</w:t>
      </w:r>
      <w:r w:rsidRPr="00A520F5">
        <w:rPr>
          <w:lang w:val="en-US"/>
        </w:rPr>
        <w:t>coated</w:t>
      </w:r>
      <w:r w:rsidRPr="00A520F5">
        <w:t xml:space="preserve"> </w:t>
      </w:r>
      <w:r w:rsidRPr="00A520F5">
        <w:rPr>
          <w:lang w:val="en-US"/>
        </w:rPr>
        <w:t>tablets</w:t>
      </w:r>
    </w:p>
    <w:p w14:paraId="068EE8E3" w14:textId="77777777" w:rsidR="00A520F5" w:rsidRPr="00A520F5" w:rsidRDefault="00A520F5" w:rsidP="00A520F5"/>
    <w:p w14:paraId="6920A680" w14:textId="32EF7C68" w:rsidR="00C40420" w:rsidRDefault="00DD466D" w:rsidP="004A448E">
      <w:pPr>
        <w:pStyle w:val="Heading1"/>
      </w:pPr>
      <w:r>
        <w:t>2. КАЧЕСТВЕН И КОЛИЧЕСТВЕН СЪСТАВ</w:t>
      </w:r>
    </w:p>
    <w:p w14:paraId="28847EC5" w14:textId="7E000F00" w:rsidR="00A520F5" w:rsidRDefault="00A520F5" w:rsidP="00A520F5"/>
    <w:p w14:paraId="645D4C54" w14:textId="77777777" w:rsidR="00A520F5" w:rsidRPr="00A520F5" w:rsidRDefault="00A520F5" w:rsidP="00A520F5">
      <w:pPr>
        <w:spacing w:line="240" w:lineRule="auto"/>
        <w:rPr>
          <w:rFonts w:eastAsia="Times New Roman" w:cs="Arial"/>
          <w:sz w:val="28"/>
          <w:szCs w:val="24"/>
        </w:rPr>
      </w:pPr>
      <w:r w:rsidRPr="00A520F5">
        <w:rPr>
          <w:rFonts w:eastAsia="Times New Roman" w:cs="Arial"/>
          <w:color w:val="000000"/>
          <w:szCs w:val="20"/>
          <w:lang w:eastAsia="bg-BG"/>
        </w:rPr>
        <w:t xml:space="preserve">Ентекавир Алвоген 0,5 </w:t>
      </w:r>
      <w:r w:rsidRPr="00A520F5">
        <w:rPr>
          <w:rFonts w:eastAsia="Times New Roman" w:cs="Arial"/>
          <w:color w:val="000000"/>
          <w:szCs w:val="20"/>
          <w:lang w:val="en-US"/>
        </w:rPr>
        <w:t>mg</w:t>
      </w:r>
      <w:r w:rsidRPr="00A520F5">
        <w:rPr>
          <w:rFonts w:eastAsia="Times New Roman" w:cs="Arial"/>
          <w:color w:val="000000"/>
          <w:szCs w:val="20"/>
        </w:rPr>
        <w:t xml:space="preserve"> </w:t>
      </w:r>
      <w:r w:rsidRPr="00A520F5">
        <w:rPr>
          <w:rFonts w:eastAsia="Times New Roman" w:cs="Arial"/>
          <w:color w:val="000000"/>
          <w:szCs w:val="20"/>
          <w:lang w:eastAsia="bg-BG"/>
        </w:rPr>
        <w:t>филмирани таблетки</w:t>
      </w:r>
    </w:p>
    <w:p w14:paraId="6A461E56" w14:textId="77777777" w:rsidR="00A520F5" w:rsidRPr="00A520F5" w:rsidRDefault="00A520F5" w:rsidP="00A520F5">
      <w:pPr>
        <w:spacing w:line="240" w:lineRule="auto"/>
        <w:rPr>
          <w:rFonts w:eastAsia="Times New Roman" w:cs="Arial"/>
          <w:sz w:val="28"/>
          <w:szCs w:val="24"/>
        </w:rPr>
      </w:pPr>
      <w:r w:rsidRPr="00A520F5">
        <w:rPr>
          <w:rFonts w:eastAsia="Times New Roman" w:cs="Arial"/>
          <w:color w:val="000000"/>
          <w:szCs w:val="20"/>
          <w:lang w:eastAsia="bg-BG"/>
        </w:rPr>
        <w:t xml:space="preserve">Всяка таблетка съдържа ентекавир монохидрат </w:t>
      </w:r>
      <w:r w:rsidRPr="00A520F5">
        <w:rPr>
          <w:rFonts w:eastAsia="Times New Roman" w:cs="Arial"/>
          <w:color w:val="000000"/>
          <w:szCs w:val="20"/>
        </w:rPr>
        <w:t>(</w:t>
      </w:r>
      <w:r w:rsidRPr="00A520F5">
        <w:rPr>
          <w:rFonts w:eastAsia="Times New Roman" w:cs="Arial"/>
          <w:color w:val="000000"/>
          <w:szCs w:val="20"/>
          <w:lang w:val="en-US"/>
        </w:rPr>
        <w:t>entecavir</w:t>
      </w:r>
      <w:r w:rsidRPr="00A520F5">
        <w:rPr>
          <w:rFonts w:eastAsia="Times New Roman" w:cs="Arial"/>
          <w:color w:val="000000"/>
          <w:szCs w:val="20"/>
        </w:rPr>
        <w:t xml:space="preserve"> </w:t>
      </w:r>
      <w:r w:rsidRPr="00A520F5">
        <w:rPr>
          <w:rFonts w:eastAsia="Times New Roman" w:cs="Arial"/>
          <w:color w:val="000000"/>
          <w:szCs w:val="20"/>
          <w:lang w:val="en-US"/>
        </w:rPr>
        <w:t>monohydrate</w:t>
      </w:r>
      <w:r w:rsidRPr="00A520F5">
        <w:rPr>
          <w:rFonts w:eastAsia="Times New Roman" w:cs="Arial"/>
          <w:color w:val="000000"/>
          <w:szCs w:val="20"/>
        </w:rPr>
        <w:t xml:space="preserve">), </w:t>
      </w:r>
      <w:r w:rsidRPr="00A520F5">
        <w:rPr>
          <w:rFonts w:eastAsia="Times New Roman" w:cs="Arial"/>
          <w:color w:val="000000"/>
          <w:szCs w:val="20"/>
          <w:lang w:eastAsia="bg-BG"/>
        </w:rPr>
        <w:t xml:space="preserve">който съответства на 0,5 </w:t>
      </w:r>
      <w:r w:rsidRPr="00A520F5">
        <w:rPr>
          <w:rFonts w:eastAsia="Times New Roman" w:cs="Arial"/>
          <w:color w:val="000000"/>
          <w:szCs w:val="20"/>
          <w:lang w:val="en-US"/>
        </w:rPr>
        <w:t>mg</w:t>
      </w:r>
      <w:r w:rsidRPr="00A520F5">
        <w:rPr>
          <w:rFonts w:eastAsia="Times New Roman" w:cs="Arial"/>
          <w:color w:val="000000"/>
          <w:szCs w:val="20"/>
        </w:rPr>
        <w:t xml:space="preserve"> </w:t>
      </w:r>
      <w:r w:rsidRPr="00A520F5">
        <w:rPr>
          <w:rFonts w:eastAsia="Times New Roman" w:cs="Arial"/>
          <w:color w:val="000000"/>
          <w:szCs w:val="20"/>
          <w:lang w:eastAsia="bg-BG"/>
        </w:rPr>
        <w:t xml:space="preserve">ентекавир </w:t>
      </w:r>
      <w:r w:rsidRPr="00A520F5">
        <w:rPr>
          <w:rFonts w:eastAsia="Times New Roman" w:cs="Arial"/>
          <w:color w:val="000000"/>
          <w:szCs w:val="20"/>
        </w:rPr>
        <w:t>(</w:t>
      </w:r>
      <w:r w:rsidRPr="00A520F5">
        <w:rPr>
          <w:rFonts w:eastAsia="Times New Roman" w:cs="Arial"/>
          <w:color w:val="000000"/>
          <w:szCs w:val="20"/>
          <w:lang w:val="en-US"/>
        </w:rPr>
        <w:t>entecavir</w:t>
      </w:r>
      <w:r w:rsidRPr="00A520F5">
        <w:rPr>
          <w:rFonts w:eastAsia="Times New Roman" w:cs="Arial"/>
          <w:color w:val="000000"/>
          <w:szCs w:val="20"/>
        </w:rPr>
        <w:t>).</w:t>
      </w:r>
    </w:p>
    <w:p w14:paraId="0A26EA8E" w14:textId="77777777" w:rsidR="00A520F5" w:rsidRPr="00A520F5" w:rsidRDefault="00A520F5" w:rsidP="00A520F5">
      <w:pPr>
        <w:spacing w:line="240" w:lineRule="auto"/>
        <w:rPr>
          <w:rFonts w:eastAsia="Times New Roman" w:cs="Arial"/>
          <w:color w:val="000000"/>
          <w:szCs w:val="20"/>
          <w:lang w:eastAsia="bg-BG"/>
        </w:rPr>
      </w:pPr>
    </w:p>
    <w:p w14:paraId="1F06B1B2" w14:textId="2DBEC20B" w:rsidR="00A520F5" w:rsidRPr="00A520F5" w:rsidRDefault="00A520F5" w:rsidP="00A520F5">
      <w:pPr>
        <w:spacing w:line="240" w:lineRule="auto"/>
        <w:rPr>
          <w:rFonts w:eastAsia="Times New Roman" w:cs="Arial"/>
          <w:sz w:val="28"/>
          <w:szCs w:val="24"/>
        </w:rPr>
      </w:pPr>
      <w:r w:rsidRPr="00A520F5">
        <w:rPr>
          <w:rFonts w:eastAsia="Times New Roman" w:cs="Arial"/>
          <w:color w:val="000000"/>
          <w:szCs w:val="20"/>
          <w:lang w:eastAsia="bg-BG"/>
        </w:rPr>
        <w:t>Помощни вещества с известно действие:</w:t>
      </w:r>
    </w:p>
    <w:p w14:paraId="5EDBB515" w14:textId="77777777" w:rsidR="00A520F5" w:rsidRPr="00A520F5" w:rsidRDefault="00A520F5" w:rsidP="00A520F5">
      <w:pPr>
        <w:spacing w:line="240" w:lineRule="auto"/>
        <w:rPr>
          <w:rFonts w:eastAsia="Times New Roman" w:cs="Arial"/>
          <w:sz w:val="28"/>
          <w:szCs w:val="24"/>
        </w:rPr>
      </w:pPr>
      <w:r w:rsidRPr="00A520F5">
        <w:rPr>
          <w:rFonts w:eastAsia="Times New Roman" w:cs="Arial"/>
          <w:color w:val="000000"/>
          <w:szCs w:val="20"/>
          <w:lang w:eastAsia="bg-BG"/>
        </w:rPr>
        <w:t xml:space="preserve">Всяка филмирана таблетка от 0,5 </w:t>
      </w:r>
      <w:r w:rsidRPr="00A520F5">
        <w:rPr>
          <w:rFonts w:eastAsia="Times New Roman" w:cs="Arial"/>
          <w:color w:val="000000"/>
          <w:szCs w:val="20"/>
          <w:lang w:val="en-US"/>
        </w:rPr>
        <w:t>mg</w:t>
      </w:r>
      <w:r w:rsidRPr="00A520F5">
        <w:rPr>
          <w:rFonts w:eastAsia="Times New Roman" w:cs="Arial"/>
          <w:color w:val="000000"/>
          <w:szCs w:val="20"/>
          <w:lang w:val="ru-RU"/>
        </w:rPr>
        <w:t xml:space="preserve"> </w:t>
      </w:r>
      <w:r w:rsidRPr="00A520F5">
        <w:rPr>
          <w:rFonts w:eastAsia="Times New Roman" w:cs="Arial"/>
          <w:color w:val="000000"/>
          <w:szCs w:val="20"/>
          <w:lang w:eastAsia="bg-BG"/>
        </w:rPr>
        <w:t xml:space="preserve">съдържа 121 </w:t>
      </w:r>
      <w:r w:rsidRPr="00A520F5">
        <w:rPr>
          <w:rFonts w:eastAsia="Times New Roman" w:cs="Arial"/>
          <w:color w:val="000000"/>
          <w:szCs w:val="20"/>
          <w:lang w:val="en-US"/>
        </w:rPr>
        <w:t>mg</w:t>
      </w:r>
      <w:r w:rsidRPr="00A520F5">
        <w:rPr>
          <w:rFonts w:eastAsia="Times New Roman" w:cs="Arial"/>
          <w:color w:val="000000"/>
          <w:szCs w:val="20"/>
          <w:lang w:val="ru-RU"/>
        </w:rPr>
        <w:t xml:space="preserve"> </w:t>
      </w:r>
      <w:r w:rsidRPr="00A520F5">
        <w:rPr>
          <w:rFonts w:eastAsia="Times New Roman" w:cs="Arial"/>
          <w:color w:val="000000"/>
          <w:szCs w:val="20"/>
          <w:lang w:eastAsia="bg-BG"/>
        </w:rPr>
        <w:t>лактоза монохидрат.</w:t>
      </w:r>
    </w:p>
    <w:p w14:paraId="634C5F1F" w14:textId="77777777" w:rsidR="00A520F5" w:rsidRPr="00A520F5" w:rsidRDefault="00A520F5" w:rsidP="00A520F5"/>
    <w:p w14:paraId="614984C4" w14:textId="4EB1636A" w:rsidR="008A6AF2" w:rsidRDefault="00DD466D" w:rsidP="002C50EE">
      <w:pPr>
        <w:pStyle w:val="Heading1"/>
      </w:pPr>
      <w:r>
        <w:t>3. ЛЕКАРСТВЕНА ФОРМА</w:t>
      </w:r>
    </w:p>
    <w:p w14:paraId="063FC123" w14:textId="56E11735" w:rsidR="00A520F5" w:rsidRDefault="00A520F5" w:rsidP="00A520F5"/>
    <w:p w14:paraId="1BFD9F60" w14:textId="77777777" w:rsidR="00A520F5" w:rsidRPr="00A520F5" w:rsidRDefault="00A520F5" w:rsidP="00A520F5">
      <w:pPr>
        <w:spacing w:line="240" w:lineRule="auto"/>
        <w:rPr>
          <w:rFonts w:eastAsia="Times New Roman" w:cs="Arial"/>
          <w:sz w:val="28"/>
          <w:szCs w:val="24"/>
        </w:rPr>
      </w:pPr>
      <w:r w:rsidRPr="00A520F5">
        <w:rPr>
          <w:rFonts w:eastAsia="Times New Roman" w:cs="Arial"/>
          <w:color w:val="000000"/>
          <w:szCs w:val="20"/>
          <w:lang w:eastAsia="bg-BG"/>
        </w:rPr>
        <w:t>Филмирана таблетка (таблетка).</w:t>
      </w:r>
    </w:p>
    <w:p w14:paraId="60837140" w14:textId="77777777" w:rsidR="00A520F5" w:rsidRPr="00A520F5" w:rsidRDefault="00A520F5" w:rsidP="00A520F5">
      <w:pPr>
        <w:spacing w:line="240" w:lineRule="auto"/>
        <w:rPr>
          <w:rFonts w:eastAsia="Times New Roman" w:cs="Arial"/>
          <w:color w:val="000000"/>
          <w:szCs w:val="20"/>
          <w:lang w:eastAsia="bg-BG"/>
        </w:rPr>
      </w:pPr>
    </w:p>
    <w:p w14:paraId="6BD7DBE5" w14:textId="6F45B6D1" w:rsidR="00A520F5" w:rsidRPr="00A520F5" w:rsidRDefault="00A520F5" w:rsidP="00A520F5">
      <w:pPr>
        <w:spacing w:line="240" w:lineRule="auto"/>
        <w:rPr>
          <w:rFonts w:eastAsia="Times New Roman" w:cs="Arial"/>
          <w:sz w:val="28"/>
          <w:szCs w:val="24"/>
        </w:rPr>
      </w:pPr>
      <w:r w:rsidRPr="00A520F5">
        <w:rPr>
          <w:rFonts w:eastAsia="Times New Roman" w:cs="Arial"/>
          <w:color w:val="000000"/>
          <w:szCs w:val="20"/>
          <w:lang w:eastAsia="bg-BG"/>
        </w:rPr>
        <w:t xml:space="preserve">Ентекавир Алвоген 0,5 </w:t>
      </w:r>
      <w:r w:rsidRPr="00A520F5">
        <w:rPr>
          <w:rFonts w:eastAsia="Times New Roman" w:cs="Arial"/>
          <w:color w:val="000000"/>
          <w:szCs w:val="20"/>
          <w:lang w:val="en-US"/>
        </w:rPr>
        <w:t>mg</w:t>
      </w:r>
      <w:r w:rsidRPr="00A520F5">
        <w:rPr>
          <w:rFonts w:eastAsia="Times New Roman" w:cs="Arial"/>
          <w:color w:val="000000"/>
          <w:szCs w:val="20"/>
          <w:lang w:val="ru-RU"/>
        </w:rPr>
        <w:t xml:space="preserve"> </w:t>
      </w:r>
      <w:r w:rsidRPr="00A520F5">
        <w:rPr>
          <w:rFonts w:eastAsia="Times New Roman" w:cs="Arial"/>
          <w:color w:val="000000"/>
          <w:szCs w:val="20"/>
          <w:lang w:eastAsia="bg-BG"/>
        </w:rPr>
        <w:t>филмирани таблетки</w:t>
      </w:r>
    </w:p>
    <w:p w14:paraId="531BDEF8" w14:textId="77777777" w:rsidR="00A520F5" w:rsidRPr="00A520F5" w:rsidRDefault="00A520F5" w:rsidP="00A520F5">
      <w:pPr>
        <w:spacing w:line="240" w:lineRule="auto"/>
        <w:rPr>
          <w:rFonts w:eastAsia="Times New Roman" w:cs="Arial"/>
          <w:sz w:val="28"/>
          <w:szCs w:val="24"/>
        </w:rPr>
      </w:pPr>
      <w:r w:rsidRPr="00A520F5">
        <w:rPr>
          <w:rFonts w:eastAsia="Times New Roman" w:cs="Arial"/>
          <w:color w:val="000000"/>
          <w:szCs w:val="20"/>
          <w:lang w:eastAsia="bg-BG"/>
        </w:rPr>
        <w:t xml:space="preserve">Бяла таблетка с овална форма с размер около 10,1 </w:t>
      </w:r>
      <w:r w:rsidRPr="00A520F5">
        <w:rPr>
          <w:rFonts w:eastAsia="Times New Roman" w:cs="Arial"/>
          <w:color w:val="000000"/>
          <w:szCs w:val="20"/>
          <w:lang w:val="en-US"/>
        </w:rPr>
        <w:t>mm</w:t>
      </w:r>
      <w:r w:rsidRPr="00A520F5">
        <w:rPr>
          <w:rFonts w:eastAsia="Times New Roman" w:cs="Arial"/>
          <w:color w:val="000000"/>
          <w:szCs w:val="20"/>
          <w:lang w:val="ru-RU"/>
        </w:rPr>
        <w:t xml:space="preserve"> </w:t>
      </w:r>
      <w:r w:rsidRPr="00A520F5">
        <w:rPr>
          <w:rFonts w:eastAsia="Times New Roman" w:cs="Arial"/>
          <w:color w:val="000000"/>
          <w:szCs w:val="20"/>
          <w:lang w:eastAsia="bg-BG"/>
        </w:rPr>
        <w:t xml:space="preserve">х 3,7 </w:t>
      </w:r>
      <w:r w:rsidRPr="00A520F5">
        <w:rPr>
          <w:rFonts w:eastAsia="Times New Roman" w:cs="Arial"/>
          <w:color w:val="000000"/>
          <w:szCs w:val="20"/>
          <w:lang w:val="en-US"/>
        </w:rPr>
        <w:t>mm</w:t>
      </w:r>
      <w:r w:rsidRPr="00A520F5">
        <w:rPr>
          <w:rFonts w:eastAsia="Times New Roman" w:cs="Arial"/>
          <w:color w:val="000000"/>
          <w:szCs w:val="20"/>
          <w:lang w:val="ru-RU"/>
        </w:rPr>
        <w:t xml:space="preserve"> </w:t>
      </w:r>
      <w:r w:rsidRPr="00A520F5">
        <w:rPr>
          <w:rFonts w:eastAsia="Times New Roman" w:cs="Arial"/>
          <w:color w:val="000000"/>
          <w:szCs w:val="20"/>
          <w:lang w:eastAsia="bg-BG"/>
        </w:rPr>
        <w:t>с делителна черта от двете страни. Таблетката може да се раздели на равни половини.</w:t>
      </w:r>
    </w:p>
    <w:p w14:paraId="14442EA3" w14:textId="77777777" w:rsidR="00A520F5" w:rsidRPr="00A520F5" w:rsidRDefault="00A520F5" w:rsidP="00A520F5"/>
    <w:p w14:paraId="490FC2C4" w14:textId="0F4A4A75" w:rsidR="002C50EE" w:rsidRDefault="002C50EE" w:rsidP="002C50EE">
      <w:pPr>
        <w:pStyle w:val="Heading1"/>
      </w:pPr>
      <w:r>
        <w:t>4. КЛИНИЧНИ ДАННИ</w:t>
      </w:r>
    </w:p>
    <w:p w14:paraId="74330405" w14:textId="6D90BB11" w:rsidR="007122AD" w:rsidRDefault="002C50EE" w:rsidP="00936AD0">
      <w:pPr>
        <w:pStyle w:val="Heading2"/>
      </w:pPr>
      <w:r>
        <w:t>4.1. Терапевтични показания</w:t>
      </w:r>
    </w:p>
    <w:p w14:paraId="64655F94" w14:textId="201099E4" w:rsidR="00A520F5" w:rsidRDefault="00A520F5" w:rsidP="00A520F5"/>
    <w:p w14:paraId="76A22869" w14:textId="77777777" w:rsidR="00A520F5" w:rsidRPr="00A520F5" w:rsidRDefault="00A520F5" w:rsidP="00A520F5">
      <w:pPr>
        <w:spacing w:line="240" w:lineRule="auto"/>
        <w:rPr>
          <w:rFonts w:eastAsia="Times New Roman" w:cs="Arial"/>
          <w:sz w:val="28"/>
          <w:szCs w:val="24"/>
        </w:rPr>
      </w:pPr>
      <w:bookmarkStart w:id="1" w:name="bookmark0"/>
      <w:r w:rsidRPr="00A520F5">
        <w:rPr>
          <w:rFonts w:eastAsia="Times New Roman" w:cs="Arial"/>
          <w:b/>
          <w:bCs/>
          <w:color w:val="000000"/>
          <w:szCs w:val="20"/>
          <w:lang w:eastAsia="bg-BG"/>
        </w:rPr>
        <w:t>Показания при възрастни</w:t>
      </w:r>
      <w:bookmarkEnd w:id="1"/>
    </w:p>
    <w:p w14:paraId="45F53F8D" w14:textId="77777777" w:rsidR="00A520F5" w:rsidRPr="00A520F5" w:rsidRDefault="00A520F5" w:rsidP="00A520F5">
      <w:pPr>
        <w:spacing w:line="240" w:lineRule="auto"/>
        <w:rPr>
          <w:rFonts w:eastAsia="Times New Roman" w:cs="Arial"/>
          <w:sz w:val="28"/>
          <w:szCs w:val="24"/>
        </w:rPr>
      </w:pPr>
      <w:r w:rsidRPr="00A520F5">
        <w:rPr>
          <w:rFonts w:eastAsia="Times New Roman" w:cs="Arial"/>
          <w:color w:val="000000"/>
          <w:szCs w:val="20"/>
          <w:lang w:eastAsia="bg-BG"/>
        </w:rPr>
        <w:t xml:space="preserve">Лечение на хронична инфекция с вируса на хепатит В </w:t>
      </w:r>
      <w:r w:rsidRPr="00A520F5">
        <w:rPr>
          <w:rFonts w:eastAsia="Times New Roman" w:cs="Arial"/>
          <w:color w:val="000000"/>
          <w:szCs w:val="20"/>
          <w:lang w:val="ru-RU"/>
        </w:rPr>
        <w:t>(</w:t>
      </w:r>
      <w:r w:rsidRPr="00A520F5">
        <w:rPr>
          <w:rFonts w:eastAsia="Times New Roman" w:cs="Arial"/>
          <w:color w:val="000000"/>
          <w:szCs w:val="20"/>
          <w:lang w:val="en-US"/>
        </w:rPr>
        <w:t>HBV</w:t>
      </w:r>
      <w:r w:rsidRPr="00A520F5">
        <w:rPr>
          <w:rFonts w:eastAsia="Times New Roman" w:cs="Arial"/>
          <w:color w:val="000000"/>
          <w:szCs w:val="20"/>
          <w:lang w:val="ru-RU"/>
        </w:rPr>
        <w:t xml:space="preserve">) </w:t>
      </w:r>
      <w:r w:rsidRPr="00A520F5">
        <w:rPr>
          <w:rFonts w:eastAsia="Times New Roman" w:cs="Arial"/>
          <w:color w:val="000000"/>
          <w:szCs w:val="20"/>
          <w:lang w:eastAsia="bg-BG"/>
        </w:rPr>
        <w:t>(вж. точка 5.1) при възрастни с:</w:t>
      </w:r>
    </w:p>
    <w:p w14:paraId="06A1C128" w14:textId="77777777" w:rsidR="00A520F5" w:rsidRPr="00A520F5" w:rsidRDefault="00A520F5" w:rsidP="00A520F5">
      <w:pPr>
        <w:pStyle w:val="ListParagraph"/>
        <w:numPr>
          <w:ilvl w:val="0"/>
          <w:numId w:val="37"/>
        </w:numPr>
        <w:spacing w:line="240" w:lineRule="auto"/>
        <w:rPr>
          <w:rFonts w:eastAsia="Times New Roman" w:cs="Arial"/>
          <w:sz w:val="28"/>
          <w:szCs w:val="24"/>
        </w:rPr>
      </w:pPr>
      <w:r w:rsidRPr="00A520F5">
        <w:rPr>
          <w:rFonts w:eastAsia="Times New Roman" w:cs="Arial"/>
          <w:color w:val="000000"/>
          <w:szCs w:val="20"/>
          <w:lang w:eastAsia="bg-BG"/>
        </w:rPr>
        <w:t xml:space="preserve">компенсирано чернодробно заболяване и данни за активна вирусна репликация, персистиращо повишение на серумните нива на аланин аминотрансферазата </w:t>
      </w:r>
      <w:r w:rsidRPr="00A520F5">
        <w:rPr>
          <w:rFonts w:eastAsia="Times New Roman" w:cs="Arial"/>
          <w:color w:val="000000"/>
          <w:szCs w:val="20"/>
          <w:lang w:val="ru-RU"/>
        </w:rPr>
        <w:t>(</w:t>
      </w:r>
      <w:r w:rsidRPr="00A520F5">
        <w:rPr>
          <w:rFonts w:eastAsia="Times New Roman" w:cs="Arial"/>
          <w:color w:val="000000"/>
          <w:szCs w:val="20"/>
          <w:lang w:val="en-US"/>
        </w:rPr>
        <w:t>ALT</w:t>
      </w:r>
      <w:r w:rsidRPr="00A520F5">
        <w:rPr>
          <w:rFonts w:eastAsia="Times New Roman" w:cs="Arial"/>
          <w:color w:val="000000"/>
          <w:szCs w:val="20"/>
          <w:lang w:val="ru-RU"/>
        </w:rPr>
        <w:t xml:space="preserve">) </w:t>
      </w:r>
      <w:r w:rsidRPr="00A520F5">
        <w:rPr>
          <w:rFonts w:eastAsia="Times New Roman" w:cs="Arial"/>
          <w:color w:val="000000"/>
          <w:szCs w:val="20"/>
          <w:lang w:eastAsia="bg-BG"/>
        </w:rPr>
        <w:t>и хистологични данни за активно възпаление и/или фиброза.</w:t>
      </w:r>
    </w:p>
    <w:p w14:paraId="00AC52A0" w14:textId="292B8BDF" w:rsidR="00A520F5" w:rsidRPr="00A520F5" w:rsidRDefault="00A520F5" w:rsidP="00A520F5">
      <w:pPr>
        <w:pStyle w:val="ListParagraph"/>
        <w:numPr>
          <w:ilvl w:val="0"/>
          <w:numId w:val="37"/>
        </w:numPr>
        <w:spacing w:line="240" w:lineRule="auto"/>
        <w:rPr>
          <w:rFonts w:eastAsia="Times New Roman" w:cs="Arial"/>
          <w:sz w:val="28"/>
          <w:szCs w:val="24"/>
        </w:rPr>
      </w:pPr>
      <w:r w:rsidRPr="00A520F5">
        <w:rPr>
          <w:rFonts w:eastAsia="Times New Roman" w:cs="Arial"/>
          <w:color w:val="000000"/>
          <w:szCs w:val="20"/>
          <w:lang w:eastAsia="bg-BG"/>
        </w:rPr>
        <w:t>декомпенсирано чернодробно заболяване (вж. точка 4.4)</w:t>
      </w:r>
    </w:p>
    <w:p w14:paraId="582E60F9" w14:textId="77777777" w:rsidR="00A520F5" w:rsidRPr="00A520F5" w:rsidRDefault="00A520F5" w:rsidP="00A520F5">
      <w:pPr>
        <w:spacing w:line="240" w:lineRule="auto"/>
        <w:rPr>
          <w:rFonts w:eastAsia="Times New Roman" w:cs="Arial"/>
          <w:color w:val="000000"/>
          <w:szCs w:val="20"/>
          <w:lang w:eastAsia="bg-BG"/>
        </w:rPr>
      </w:pPr>
    </w:p>
    <w:p w14:paraId="6DEA7666" w14:textId="067BD887" w:rsidR="00A520F5" w:rsidRPr="00A520F5" w:rsidRDefault="00A520F5" w:rsidP="00A520F5">
      <w:pPr>
        <w:spacing w:line="240" w:lineRule="auto"/>
        <w:rPr>
          <w:rFonts w:eastAsia="Times New Roman" w:cs="Arial"/>
          <w:sz w:val="28"/>
          <w:szCs w:val="24"/>
        </w:rPr>
      </w:pPr>
      <w:r w:rsidRPr="00A520F5">
        <w:rPr>
          <w:rFonts w:eastAsia="Times New Roman" w:cs="Arial"/>
          <w:color w:val="000000"/>
          <w:szCs w:val="20"/>
          <w:lang w:eastAsia="bg-BG"/>
        </w:rPr>
        <w:t xml:space="preserve">И за компенсирано, и за декомпенсирано чернодробно заболяване това показание се базира на данните от клинично проучване при пациенти, които досега не са лекувани с нуклеозиди с </w:t>
      </w:r>
      <w:r w:rsidRPr="00A520F5">
        <w:rPr>
          <w:rFonts w:eastAsia="Times New Roman" w:cs="Arial"/>
          <w:color w:val="000000"/>
          <w:szCs w:val="20"/>
          <w:lang w:val="en-US"/>
        </w:rPr>
        <w:t>HBeAg</w:t>
      </w:r>
      <w:r w:rsidRPr="00A520F5">
        <w:rPr>
          <w:rFonts w:eastAsia="Times New Roman" w:cs="Arial"/>
          <w:color w:val="000000"/>
          <w:szCs w:val="20"/>
          <w:lang w:val="ru-RU"/>
        </w:rPr>
        <w:t xml:space="preserve"> </w:t>
      </w:r>
      <w:r w:rsidRPr="00A520F5">
        <w:rPr>
          <w:rFonts w:eastAsia="Times New Roman" w:cs="Arial"/>
          <w:color w:val="000000"/>
          <w:szCs w:val="20"/>
          <w:lang w:eastAsia="bg-BG"/>
        </w:rPr>
        <w:t xml:space="preserve">положителна и </w:t>
      </w:r>
      <w:r w:rsidRPr="00A520F5">
        <w:rPr>
          <w:rFonts w:eastAsia="Times New Roman" w:cs="Arial"/>
          <w:color w:val="000000"/>
          <w:szCs w:val="20"/>
          <w:lang w:val="en-US"/>
        </w:rPr>
        <w:t>HBeAg</w:t>
      </w:r>
      <w:r w:rsidRPr="00A520F5">
        <w:rPr>
          <w:rFonts w:eastAsia="Times New Roman" w:cs="Arial"/>
          <w:color w:val="000000"/>
          <w:szCs w:val="20"/>
          <w:lang w:val="ru-RU"/>
        </w:rPr>
        <w:t xml:space="preserve"> </w:t>
      </w:r>
      <w:r w:rsidRPr="00A520F5">
        <w:rPr>
          <w:rFonts w:eastAsia="Times New Roman" w:cs="Arial"/>
          <w:color w:val="000000"/>
          <w:szCs w:val="20"/>
          <w:lang w:eastAsia="bg-BG"/>
        </w:rPr>
        <w:t xml:space="preserve">отрицателна </w:t>
      </w:r>
      <w:r w:rsidRPr="00A520F5">
        <w:rPr>
          <w:rFonts w:eastAsia="Times New Roman" w:cs="Arial"/>
          <w:color w:val="000000"/>
          <w:szCs w:val="20"/>
          <w:lang w:val="en-US"/>
        </w:rPr>
        <w:t>HBV</w:t>
      </w:r>
      <w:r w:rsidRPr="00A520F5">
        <w:rPr>
          <w:rFonts w:eastAsia="Times New Roman" w:cs="Arial"/>
          <w:color w:val="000000"/>
          <w:szCs w:val="20"/>
          <w:lang w:val="ru-RU"/>
        </w:rPr>
        <w:t xml:space="preserve"> </w:t>
      </w:r>
      <w:r w:rsidRPr="00A520F5">
        <w:rPr>
          <w:rFonts w:eastAsia="Times New Roman" w:cs="Arial"/>
          <w:color w:val="000000"/>
          <w:szCs w:val="20"/>
          <w:lang w:eastAsia="bg-BG"/>
        </w:rPr>
        <w:t>инфекция. За пациенти с рефрактерен на ламивудин хепатит В вижте точки 4.2, 4.4 и 5.1.</w:t>
      </w:r>
    </w:p>
    <w:p w14:paraId="09D3A065" w14:textId="77777777" w:rsidR="00A520F5" w:rsidRPr="00A520F5" w:rsidRDefault="00A520F5" w:rsidP="00A520F5">
      <w:pPr>
        <w:spacing w:line="240" w:lineRule="auto"/>
        <w:rPr>
          <w:rFonts w:eastAsia="Times New Roman" w:cs="Arial"/>
          <w:b/>
          <w:bCs/>
          <w:color w:val="000000"/>
          <w:szCs w:val="20"/>
          <w:lang w:eastAsia="bg-BG"/>
        </w:rPr>
      </w:pPr>
      <w:bookmarkStart w:id="2" w:name="bookmark2"/>
    </w:p>
    <w:p w14:paraId="56CD22B0" w14:textId="064B1790" w:rsidR="00A520F5" w:rsidRPr="00A520F5" w:rsidRDefault="00A520F5" w:rsidP="00A520F5">
      <w:pPr>
        <w:spacing w:line="240" w:lineRule="auto"/>
        <w:rPr>
          <w:rFonts w:eastAsia="Times New Roman" w:cs="Arial"/>
          <w:sz w:val="28"/>
          <w:szCs w:val="24"/>
        </w:rPr>
      </w:pPr>
      <w:r w:rsidRPr="00A520F5">
        <w:rPr>
          <w:rFonts w:eastAsia="Times New Roman" w:cs="Arial"/>
          <w:b/>
          <w:bCs/>
          <w:color w:val="000000"/>
          <w:szCs w:val="20"/>
          <w:lang w:eastAsia="bg-BG"/>
        </w:rPr>
        <w:t>Педиатрична популация</w:t>
      </w:r>
      <w:bookmarkEnd w:id="2"/>
    </w:p>
    <w:p w14:paraId="37EC9399" w14:textId="16BCF532" w:rsidR="00A520F5" w:rsidRDefault="00A520F5" w:rsidP="00A520F5">
      <w:pPr>
        <w:rPr>
          <w:rFonts w:ascii="Times New Roman" w:eastAsia="Times New Roman" w:hAnsi="Times New Roman" w:cs="Times New Roman"/>
          <w:color w:val="000000"/>
          <w:sz w:val="20"/>
          <w:szCs w:val="20"/>
          <w:lang w:eastAsia="bg-BG"/>
        </w:rPr>
      </w:pPr>
      <w:r w:rsidRPr="00A520F5">
        <w:rPr>
          <w:rFonts w:eastAsia="Times New Roman" w:cs="Arial"/>
          <w:color w:val="000000"/>
          <w:szCs w:val="20"/>
          <w:lang w:eastAsia="bg-BG"/>
        </w:rPr>
        <w:t xml:space="preserve">Лечение на хронична </w:t>
      </w:r>
      <w:r w:rsidRPr="00A520F5">
        <w:rPr>
          <w:rFonts w:eastAsia="Times New Roman" w:cs="Arial"/>
          <w:color w:val="000000"/>
          <w:szCs w:val="20"/>
          <w:lang w:val="en-US"/>
        </w:rPr>
        <w:t>HBV</w:t>
      </w:r>
      <w:r w:rsidRPr="00A520F5">
        <w:rPr>
          <w:rFonts w:eastAsia="Times New Roman" w:cs="Arial"/>
          <w:color w:val="000000"/>
          <w:szCs w:val="20"/>
          <w:lang w:val="ru-RU"/>
        </w:rPr>
        <w:t xml:space="preserve"> </w:t>
      </w:r>
      <w:r w:rsidRPr="00A520F5">
        <w:rPr>
          <w:rFonts w:eastAsia="Times New Roman" w:cs="Arial"/>
          <w:color w:val="000000"/>
          <w:szCs w:val="20"/>
          <w:lang w:eastAsia="bg-BG"/>
        </w:rPr>
        <w:t xml:space="preserve">инфекция при педиатрични пациенти на възраст от 2 до 18 години, които досега не са лекувани с нуклеозиди, с компенсирано чернодробно </w:t>
      </w:r>
      <w:r w:rsidRPr="00A520F5">
        <w:rPr>
          <w:rFonts w:eastAsia="Times New Roman" w:cs="Arial"/>
          <w:color w:val="000000"/>
          <w:szCs w:val="20"/>
          <w:lang w:eastAsia="bg-BG"/>
        </w:rPr>
        <w:lastRenderedPageBreak/>
        <w:t xml:space="preserve">заболяване, при които има данни за активна вирусна репликация и персистиращо повишение на серумните нива на </w:t>
      </w:r>
      <w:r w:rsidRPr="00A520F5">
        <w:rPr>
          <w:rFonts w:eastAsia="Times New Roman" w:cs="Arial"/>
          <w:color w:val="000000"/>
          <w:szCs w:val="20"/>
          <w:lang w:val="en-US"/>
        </w:rPr>
        <w:t>ALT</w:t>
      </w:r>
      <w:r w:rsidRPr="00A520F5">
        <w:rPr>
          <w:rFonts w:eastAsia="Times New Roman" w:cs="Arial"/>
          <w:color w:val="000000"/>
          <w:szCs w:val="20"/>
          <w:lang w:val="ru-RU"/>
        </w:rPr>
        <w:t xml:space="preserve"> </w:t>
      </w:r>
      <w:r w:rsidRPr="00A520F5">
        <w:rPr>
          <w:rFonts w:eastAsia="Times New Roman" w:cs="Arial"/>
          <w:color w:val="000000"/>
          <w:szCs w:val="20"/>
          <w:lang w:eastAsia="bg-BG"/>
        </w:rPr>
        <w:t>или хистологични данни за умерено до тежко възпаление и/или фиброза. За вземане на решение за започване на лечение на медиатичи пациенти вижте точки 4.2, 4.4 и 5.1.</w:t>
      </w:r>
    </w:p>
    <w:p w14:paraId="6A1742F9" w14:textId="77777777" w:rsidR="00A520F5" w:rsidRPr="00A520F5" w:rsidRDefault="00A520F5" w:rsidP="00A520F5"/>
    <w:p w14:paraId="53F5B866" w14:textId="6A846423" w:rsidR="007122AD" w:rsidRDefault="002C50EE" w:rsidP="00936AD0">
      <w:pPr>
        <w:pStyle w:val="Heading2"/>
      </w:pPr>
      <w:r>
        <w:t>4.2. Дозировка и начин на приложение</w:t>
      </w:r>
    </w:p>
    <w:p w14:paraId="74027564" w14:textId="1D5E8600" w:rsidR="00A520F5" w:rsidRDefault="00A520F5" w:rsidP="00A520F5"/>
    <w:p w14:paraId="586CD0B3" w14:textId="77777777" w:rsidR="00A520F5" w:rsidRPr="00A520F5" w:rsidRDefault="00A520F5" w:rsidP="00A520F5">
      <w:pPr>
        <w:spacing w:line="240" w:lineRule="auto"/>
        <w:rPr>
          <w:rFonts w:eastAsia="Times New Roman" w:cs="Arial"/>
          <w:sz w:val="28"/>
          <w:szCs w:val="24"/>
        </w:rPr>
      </w:pPr>
      <w:r w:rsidRPr="00A520F5">
        <w:rPr>
          <w:rFonts w:eastAsia="Times New Roman" w:cs="Arial"/>
          <w:color w:val="000000"/>
          <w:szCs w:val="20"/>
          <w:lang w:eastAsia="bg-BG"/>
        </w:rPr>
        <w:t>Лечението трябва да бъде започнато от лекар с опит в лечението на хронична инфекция с вируса на хепатит В.</w:t>
      </w:r>
    </w:p>
    <w:p w14:paraId="41305F0E" w14:textId="77777777" w:rsidR="00A520F5" w:rsidRPr="00A520F5" w:rsidRDefault="00A520F5" w:rsidP="00A520F5">
      <w:pPr>
        <w:spacing w:line="240" w:lineRule="auto"/>
        <w:rPr>
          <w:rFonts w:eastAsia="Times New Roman" w:cs="Arial"/>
          <w:color w:val="000000"/>
          <w:szCs w:val="20"/>
          <w:u w:val="single"/>
          <w:lang w:eastAsia="bg-BG"/>
        </w:rPr>
      </w:pPr>
    </w:p>
    <w:p w14:paraId="618F5597" w14:textId="522A70A6" w:rsidR="00A520F5" w:rsidRPr="00A520F5" w:rsidRDefault="00A520F5" w:rsidP="00A520F5">
      <w:pPr>
        <w:pStyle w:val="Heading3"/>
        <w:rPr>
          <w:rFonts w:eastAsia="Times New Roman"/>
          <w:sz w:val="28"/>
          <w:u w:val="single"/>
        </w:rPr>
      </w:pPr>
      <w:r w:rsidRPr="00A520F5">
        <w:rPr>
          <w:rFonts w:eastAsia="Times New Roman"/>
          <w:u w:val="single"/>
          <w:lang w:eastAsia="bg-BG"/>
        </w:rPr>
        <w:t>Дозировка</w:t>
      </w:r>
    </w:p>
    <w:p w14:paraId="6D1AFD1B" w14:textId="77777777" w:rsidR="00A520F5" w:rsidRPr="00A520F5" w:rsidRDefault="00A520F5" w:rsidP="00A520F5">
      <w:pPr>
        <w:spacing w:line="240" w:lineRule="auto"/>
        <w:rPr>
          <w:rFonts w:eastAsia="Times New Roman" w:cs="Arial"/>
          <w:i/>
          <w:iCs/>
          <w:color w:val="000000"/>
          <w:szCs w:val="20"/>
          <w:lang w:eastAsia="bg-BG"/>
        </w:rPr>
      </w:pPr>
    </w:p>
    <w:p w14:paraId="52D377A4" w14:textId="77BB7240" w:rsidR="00A520F5" w:rsidRPr="00A520F5" w:rsidRDefault="00A520F5" w:rsidP="00A520F5">
      <w:pPr>
        <w:spacing w:line="240" w:lineRule="auto"/>
        <w:rPr>
          <w:rFonts w:eastAsia="Times New Roman" w:cs="Arial"/>
          <w:sz w:val="28"/>
          <w:szCs w:val="24"/>
        </w:rPr>
      </w:pPr>
      <w:r w:rsidRPr="00A520F5">
        <w:rPr>
          <w:rFonts w:eastAsia="Times New Roman" w:cs="Arial"/>
          <w:i/>
          <w:iCs/>
          <w:color w:val="000000"/>
          <w:szCs w:val="20"/>
          <w:lang w:eastAsia="bg-BG"/>
        </w:rPr>
        <w:t>Компенсирано чернодробно заболяване</w:t>
      </w:r>
    </w:p>
    <w:p w14:paraId="4DB6373D" w14:textId="77777777" w:rsidR="00A520F5" w:rsidRPr="00A520F5" w:rsidRDefault="00A520F5" w:rsidP="00A520F5">
      <w:pPr>
        <w:spacing w:line="240" w:lineRule="auto"/>
        <w:rPr>
          <w:rFonts w:eastAsia="Times New Roman" w:cs="Arial"/>
          <w:i/>
          <w:iCs/>
          <w:color w:val="000000"/>
          <w:szCs w:val="20"/>
          <w:lang w:eastAsia="bg-BG"/>
        </w:rPr>
      </w:pPr>
    </w:p>
    <w:p w14:paraId="15A1BD1A" w14:textId="3F6CD863" w:rsidR="00A520F5" w:rsidRPr="00A520F5" w:rsidRDefault="00A520F5" w:rsidP="00A520F5">
      <w:pPr>
        <w:spacing w:line="240" w:lineRule="auto"/>
        <w:rPr>
          <w:rFonts w:eastAsia="Times New Roman" w:cs="Arial"/>
          <w:sz w:val="28"/>
          <w:szCs w:val="24"/>
        </w:rPr>
      </w:pPr>
      <w:r w:rsidRPr="00A520F5">
        <w:rPr>
          <w:rFonts w:eastAsia="Times New Roman" w:cs="Arial"/>
          <w:i/>
          <w:iCs/>
          <w:color w:val="000000"/>
          <w:szCs w:val="20"/>
          <w:lang w:eastAsia="bg-BG"/>
        </w:rPr>
        <w:t>Пациенти, нелекувани с нуклеозиди:</w:t>
      </w:r>
      <w:r w:rsidRPr="00A520F5">
        <w:rPr>
          <w:rFonts w:eastAsia="Times New Roman" w:cs="Arial"/>
          <w:color w:val="000000"/>
          <w:szCs w:val="20"/>
          <w:lang w:eastAsia="bg-BG"/>
        </w:rPr>
        <w:t xml:space="preserve"> препоръчаната доза при възрастни е 0,5 </w:t>
      </w:r>
      <w:r w:rsidRPr="00A520F5">
        <w:rPr>
          <w:rFonts w:eastAsia="Times New Roman" w:cs="Arial"/>
          <w:color w:val="000000"/>
          <w:szCs w:val="20"/>
          <w:lang w:val="en-US"/>
        </w:rPr>
        <w:t>mg</w:t>
      </w:r>
      <w:r w:rsidRPr="00A520F5">
        <w:rPr>
          <w:rFonts w:eastAsia="Times New Roman" w:cs="Arial"/>
          <w:color w:val="000000"/>
          <w:szCs w:val="20"/>
          <w:lang w:val="ru-RU"/>
        </w:rPr>
        <w:t xml:space="preserve"> </w:t>
      </w:r>
      <w:r w:rsidRPr="00A520F5">
        <w:rPr>
          <w:rFonts w:eastAsia="Times New Roman" w:cs="Arial"/>
          <w:color w:val="000000"/>
          <w:szCs w:val="20"/>
          <w:lang w:eastAsia="bg-BG"/>
        </w:rPr>
        <w:t>веднъж дневно със или без храна.</w:t>
      </w:r>
    </w:p>
    <w:p w14:paraId="4A981918" w14:textId="77777777" w:rsidR="00A520F5" w:rsidRPr="00A520F5" w:rsidRDefault="00A520F5" w:rsidP="00A520F5">
      <w:pPr>
        <w:spacing w:line="240" w:lineRule="auto"/>
        <w:rPr>
          <w:rFonts w:eastAsia="Times New Roman" w:cs="Arial"/>
          <w:i/>
          <w:iCs/>
          <w:color w:val="000000"/>
          <w:szCs w:val="20"/>
          <w:lang w:eastAsia="bg-BG"/>
        </w:rPr>
      </w:pPr>
    </w:p>
    <w:p w14:paraId="78E03ED9" w14:textId="627200DD" w:rsidR="00A520F5" w:rsidRPr="00A520F5" w:rsidRDefault="00A520F5" w:rsidP="00A520F5">
      <w:pPr>
        <w:spacing w:line="240" w:lineRule="auto"/>
        <w:rPr>
          <w:rFonts w:eastAsia="Times New Roman" w:cs="Arial"/>
          <w:sz w:val="28"/>
          <w:szCs w:val="24"/>
        </w:rPr>
      </w:pPr>
      <w:r w:rsidRPr="00A520F5">
        <w:rPr>
          <w:rFonts w:eastAsia="Times New Roman" w:cs="Arial"/>
          <w:i/>
          <w:iCs/>
          <w:color w:val="000000"/>
          <w:szCs w:val="20"/>
          <w:lang w:eastAsia="bg-BG"/>
        </w:rPr>
        <w:t>Рефрактерни на ламивудин пациенти</w:t>
      </w:r>
      <w:r w:rsidRPr="00A520F5">
        <w:rPr>
          <w:rFonts w:eastAsia="Times New Roman" w:cs="Arial"/>
          <w:color w:val="000000"/>
          <w:szCs w:val="20"/>
          <w:lang w:eastAsia="bg-BG"/>
        </w:rPr>
        <w:t xml:space="preserve"> (т.е. с данни за виремия по време на лечението с ламивудин или наличието на мутации, обуславящи ламивудиновата резистентност </w:t>
      </w:r>
      <w:r w:rsidRPr="00A520F5">
        <w:rPr>
          <w:rFonts w:eastAsia="Times New Roman" w:cs="Arial"/>
          <w:color w:val="000000"/>
          <w:szCs w:val="20"/>
          <w:lang w:val="ru-RU"/>
        </w:rPr>
        <w:t>[</w:t>
      </w:r>
      <w:r w:rsidRPr="00A520F5">
        <w:rPr>
          <w:rFonts w:eastAsia="Times New Roman" w:cs="Arial"/>
          <w:color w:val="000000"/>
          <w:szCs w:val="20"/>
          <w:lang w:val="en-US"/>
        </w:rPr>
        <w:t>LVDr</w:t>
      </w:r>
      <w:r w:rsidRPr="00A520F5">
        <w:rPr>
          <w:rFonts w:eastAsia="Times New Roman" w:cs="Arial"/>
          <w:color w:val="000000"/>
          <w:szCs w:val="20"/>
          <w:lang w:val="ru-RU"/>
        </w:rPr>
        <w:t xml:space="preserve">]) </w:t>
      </w:r>
      <w:r w:rsidRPr="00A520F5">
        <w:rPr>
          <w:rFonts w:eastAsia="Times New Roman" w:cs="Arial"/>
          <w:color w:val="000000"/>
          <w:szCs w:val="20"/>
          <w:lang w:eastAsia="bg-BG"/>
        </w:rPr>
        <w:t xml:space="preserve">(вж. точки 4.4 и 5.1): препоръчаната доза при възрастни е 1 </w:t>
      </w:r>
      <w:r w:rsidRPr="00A520F5">
        <w:rPr>
          <w:rFonts w:eastAsia="Times New Roman" w:cs="Arial"/>
          <w:color w:val="000000"/>
          <w:szCs w:val="20"/>
          <w:lang w:val="en-US"/>
        </w:rPr>
        <w:t>mg</w:t>
      </w:r>
      <w:r w:rsidRPr="00A520F5">
        <w:rPr>
          <w:rFonts w:eastAsia="Times New Roman" w:cs="Arial"/>
          <w:color w:val="000000"/>
          <w:szCs w:val="20"/>
          <w:lang w:val="ru-RU"/>
        </w:rPr>
        <w:t xml:space="preserve"> </w:t>
      </w:r>
      <w:r w:rsidRPr="00A520F5">
        <w:rPr>
          <w:rFonts w:eastAsia="Times New Roman" w:cs="Arial"/>
          <w:color w:val="000000"/>
          <w:szCs w:val="20"/>
          <w:lang w:eastAsia="bg-BG"/>
        </w:rPr>
        <w:t xml:space="preserve">веднъж дневно, която трябва да се приема на гладно (повече от 2 часа преди и повече от 2 часа след хранене) (вж. точка 5.2). При наличие на </w:t>
      </w:r>
      <w:r w:rsidRPr="00A520F5">
        <w:rPr>
          <w:rFonts w:eastAsia="Times New Roman" w:cs="Arial"/>
          <w:color w:val="000000"/>
          <w:szCs w:val="20"/>
          <w:lang w:val="en-US"/>
        </w:rPr>
        <w:t>LVDr</w:t>
      </w:r>
      <w:r w:rsidRPr="00A520F5">
        <w:rPr>
          <w:rFonts w:eastAsia="Times New Roman" w:cs="Arial"/>
          <w:color w:val="000000"/>
          <w:szCs w:val="20"/>
          <w:lang w:val="ru-RU"/>
        </w:rPr>
        <w:t xml:space="preserve"> </w:t>
      </w:r>
      <w:r w:rsidRPr="00A520F5">
        <w:rPr>
          <w:rFonts w:eastAsia="Times New Roman" w:cs="Arial"/>
          <w:color w:val="000000"/>
          <w:szCs w:val="20"/>
          <w:lang w:eastAsia="bg-BG"/>
        </w:rPr>
        <w:t>мутации комбинираната употреба на ентекавир с второ антивирусно средство (което не показва кръстосана резистентност с ламивудин или ентекавир) следва да се предпочита пред монотерапия с ентекавир (вж. точка 4.4.).</w:t>
      </w:r>
    </w:p>
    <w:p w14:paraId="623BFDE4" w14:textId="77777777" w:rsidR="00A520F5" w:rsidRPr="00A520F5" w:rsidRDefault="00A520F5" w:rsidP="00A520F5">
      <w:pPr>
        <w:spacing w:line="240" w:lineRule="auto"/>
        <w:rPr>
          <w:rFonts w:eastAsia="Times New Roman" w:cs="Arial"/>
          <w:i/>
          <w:iCs/>
          <w:color w:val="000000"/>
          <w:szCs w:val="20"/>
          <w:lang w:eastAsia="bg-BG"/>
        </w:rPr>
      </w:pPr>
    </w:p>
    <w:p w14:paraId="4DD7F1B5" w14:textId="48077C65" w:rsidR="00A520F5" w:rsidRPr="00A520F5" w:rsidRDefault="00A520F5" w:rsidP="00A520F5">
      <w:pPr>
        <w:spacing w:line="240" w:lineRule="auto"/>
        <w:rPr>
          <w:rFonts w:eastAsia="Times New Roman" w:cs="Arial"/>
          <w:sz w:val="28"/>
          <w:szCs w:val="24"/>
        </w:rPr>
      </w:pPr>
      <w:r w:rsidRPr="00A520F5">
        <w:rPr>
          <w:rFonts w:eastAsia="Times New Roman" w:cs="Arial"/>
          <w:i/>
          <w:iCs/>
          <w:color w:val="000000"/>
          <w:szCs w:val="20"/>
          <w:lang w:eastAsia="bg-BG"/>
        </w:rPr>
        <w:t>Декомпенсирано чернодробно заболяване</w:t>
      </w:r>
    </w:p>
    <w:p w14:paraId="23ACEB2F" w14:textId="77777777" w:rsidR="00A520F5" w:rsidRPr="00A520F5" w:rsidRDefault="00A520F5" w:rsidP="00A520F5">
      <w:pPr>
        <w:spacing w:line="240" w:lineRule="auto"/>
        <w:rPr>
          <w:rFonts w:eastAsia="Times New Roman" w:cs="Arial"/>
          <w:color w:val="000000"/>
          <w:szCs w:val="20"/>
          <w:lang w:eastAsia="bg-BG"/>
        </w:rPr>
      </w:pPr>
    </w:p>
    <w:p w14:paraId="706095BA" w14:textId="3287ED72" w:rsidR="00A520F5" w:rsidRPr="00A520F5" w:rsidRDefault="00A520F5" w:rsidP="00A520F5">
      <w:pPr>
        <w:spacing w:line="240" w:lineRule="auto"/>
        <w:rPr>
          <w:rFonts w:eastAsia="Times New Roman" w:cs="Arial"/>
          <w:sz w:val="28"/>
          <w:szCs w:val="24"/>
        </w:rPr>
      </w:pPr>
      <w:r w:rsidRPr="00A520F5">
        <w:rPr>
          <w:rFonts w:eastAsia="Times New Roman" w:cs="Arial"/>
          <w:color w:val="000000"/>
          <w:szCs w:val="20"/>
          <w:lang w:eastAsia="bg-BG"/>
        </w:rPr>
        <w:t xml:space="preserve">Препоръчителната доза при възрастни пациенти с декомпенсирано чернодробно заболяване е 1 </w:t>
      </w:r>
      <w:r w:rsidRPr="00A520F5">
        <w:rPr>
          <w:rFonts w:eastAsia="Times New Roman" w:cs="Arial"/>
          <w:color w:val="000000"/>
          <w:szCs w:val="20"/>
          <w:lang w:val="en-US"/>
        </w:rPr>
        <w:t>mg</w:t>
      </w:r>
      <w:r w:rsidRPr="00A520F5">
        <w:rPr>
          <w:rFonts w:eastAsia="Times New Roman" w:cs="Arial"/>
          <w:color w:val="000000"/>
          <w:szCs w:val="20"/>
          <w:lang w:val="ru-RU"/>
        </w:rPr>
        <w:t xml:space="preserve"> </w:t>
      </w:r>
      <w:r w:rsidRPr="00A520F5">
        <w:rPr>
          <w:rFonts w:eastAsia="Times New Roman" w:cs="Arial"/>
          <w:color w:val="000000"/>
          <w:szCs w:val="20"/>
          <w:lang w:eastAsia="bg-BG"/>
        </w:rPr>
        <w:t>веднъж дневно, която трябва да се приеме на гладно (повече от 2 часа преди и повече от 2 часа след хранене) (вж. точка 5.2). За пациенти с рефрактерен на ламивудин хепатит В вижте точки 4.4 и 5.1.</w:t>
      </w:r>
    </w:p>
    <w:p w14:paraId="628E8754" w14:textId="77777777" w:rsidR="00A520F5" w:rsidRPr="00A520F5" w:rsidRDefault="00A520F5" w:rsidP="00A520F5">
      <w:pPr>
        <w:spacing w:line="240" w:lineRule="auto"/>
        <w:rPr>
          <w:rFonts w:eastAsia="Times New Roman" w:cs="Arial"/>
          <w:i/>
          <w:iCs/>
          <w:color w:val="000000"/>
          <w:szCs w:val="20"/>
          <w:lang w:eastAsia="bg-BG"/>
        </w:rPr>
      </w:pPr>
    </w:p>
    <w:p w14:paraId="445CECC4" w14:textId="3BC72977" w:rsidR="00A520F5" w:rsidRPr="00A520F5" w:rsidRDefault="00A520F5" w:rsidP="00A520F5">
      <w:pPr>
        <w:spacing w:line="240" w:lineRule="auto"/>
        <w:rPr>
          <w:rFonts w:eastAsia="Times New Roman" w:cs="Arial"/>
          <w:sz w:val="28"/>
          <w:szCs w:val="24"/>
        </w:rPr>
      </w:pPr>
      <w:r w:rsidRPr="00A520F5">
        <w:rPr>
          <w:rFonts w:eastAsia="Times New Roman" w:cs="Arial"/>
          <w:i/>
          <w:iCs/>
          <w:color w:val="000000"/>
          <w:szCs w:val="20"/>
          <w:lang w:eastAsia="bg-BG"/>
        </w:rPr>
        <w:t>Продължителност на лечението</w:t>
      </w:r>
    </w:p>
    <w:p w14:paraId="3BF40022" w14:textId="77777777" w:rsidR="00A520F5" w:rsidRPr="00A520F5" w:rsidRDefault="00A520F5" w:rsidP="00A520F5">
      <w:pPr>
        <w:spacing w:line="240" w:lineRule="auto"/>
        <w:rPr>
          <w:rFonts w:eastAsia="Times New Roman" w:cs="Arial"/>
          <w:sz w:val="28"/>
          <w:szCs w:val="24"/>
        </w:rPr>
      </w:pPr>
      <w:r w:rsidRPr="00A520F5">
        <w:rPr>
          <w:rFonts w:eastAsia="Times New Roman" w:cs="Arial"/>
          <w:color w:val="000000"/>
          <w:szCs w:val="20"/>
          <w:lang w:eastAsia="bg-BG"/>
        </w:rPr>
        <w:t>Не е известна оптималната продължителност на лечението. Преустановяване на лечението може да се обмисли в следните случаи:</w:t>
      </w:r>
    </w:p>
    <w:p w14:paraId="1C2715B7" w14:textId="77777777" w:rsidR="00A520F5" w:rsidRPr="00A520F5" w:rsidRDefault="00A520F5" w:rsidP="00A520F5">
      <w:pPr>
        <w:pStyle w:val="ListParagraph"/>
        <w:numPr>
          <w:ilvl w:val="0"/>
          <w:numId w:val="37"/>
        </w:numPr>
        <w:spacing w:line="240" w:lineRule="auto"/>
        <w:rPr>
          <w:rFonts w:eastAsia="Times New Roman" w:cs="Arial"/>
          <w:sz w:val="28"/>
          <w:szCs w:val="24"/>
        </w:rPr>
      </w:pPr>
      <w:r w:rsidRPr="00A520F5">
        <w:rPr>
          <w:rFonts w:eastAsia="Times New Roman" w:cs="Arial"/>
          <w:color w:val="000000"/>
          <w:szCs w:val="20"/>
          <w:lang w:eastAsia="bg-BG"/>
        </w:rPr>
        <w:t xml:space="preserve">При </w:t>
      </w:r>
      <w:r w:rsidRPr="00A520F5">
        <w:rPr>
          <w:rFonts w:eastAsia="Times New Roman" w:cs="Arial"/>
          <w:color w:val="000000"/>
          <w:szCs w:val="20"/>
          <w:lang w:val="en-US"/>
        </w:rPr>
        <w:t>HBeAg</w:t>
      </w:r>
      <w:r w:rsidRPr="00A520F5">
        <w:rPr>
          <w:rFonts w:eastAsia="Times New Roman" w:cs="Arial"/>
          <w:color w:val="000000"/>
          <w:szCs w:val="20"/>
          <w:lang w:val="ru-RU"/>
        </w:rPr>
        <w:t xml:space="preserve"> </w:t>
      </w:r>
      <w:r w:rsidRPr="00A520F5">
        <w:rPr>
          <w:rFonts w:eastAsia="Times New Roman" w:cs="Arial"/>
          <w:color w:val="000000"/>
          <w:szCs w:val="20"/>
          <w:lang w:eastAsia="bg-BG"/>
        </w:rPr>
        <w:t xml:space="preserve">положителни възрастни пациенти лечението трябва да бъде прилагано най-малко 12 месеца след постигане на НВе сероконверсия (липса на </w:t>
      </w:r>
      <w:r w:rsidRPr="00A520F5">
        <w:rPr>
          <w:rFonts w:eastAsia="Times New Roman" w:cs="Arial"/>
          <w:color w:val="000000"/>
          <w:szCs w:val="20"/>
          <w:lang w:val="en-US"/>
        </w:rPr>
        <w:t>HBeAg</w:t>
      </w:r>
      <w:r w:rsidRPr="00A520F5">
        <w:rPr>
          <w:rFonts w:eastAsia="Times New Roman" w:cs="Arial"/>
          <w:color w:val="000000"/>
          <w:szCs w:val="20"/>
          <w:lang w:val="ru-RU"/>
        </w:rPr>
        <w:t xml:space="preserve"> </w:t>
      </w:r>
      <w:r w:rsidRPr="00A520F5">
        <w:rPr>
          <w:rFonts w:eastAsia="Times New Roman" w:cs="Arial"/>
          <w:color w:val="000000"/>
          <w:szCs w:val="20"/>
          <w:lang w:eastAsia="bg-BG"/>
        </w:rPr>
        <w:t xml:space="preserve">и липса на </w:t>
      </w:r>
      <w:r w:rsidRPr="00A520F5">
        <w:rPr>
          <w:rFonts w:eastAsia="Times New Roman" w:cs="Arial"/>
          <w:color w:val="000000"/>
          <w:szCs w:val="20"/>
          <w:lang w:val="en-US"/>
        </w:rPr>
        <w:t>HBV</w:t>
      </w:r>
      <w:r w:rsidRPr="00A520F5">
        <w:rPr>
          <w:rFonts w:eastAsia="Times New Roman" w:cs="Arial"/>
          <w:color w:val="000000"/>
          <w:szCs w:val="20"/>
          <w:lang w:val="ru-RU"/>
        </w:rPr>
        <w:t xml:space="preserve"> </w:t>
      </w:r>
      <w:r w:rsidRPr="00A520F5">
        <w:rPr>
          <w:rFonts w:eastAsia="Times New Roman" w:cs="Arial"/>
          <w:color w:val="000000"/>
          <w:szCs w:val="20"/>
          <w:lang w:eastAsia="bg-BG"/>
        </w:rPr>
        <w:t xml:space="preserve">ДНК при наличието на анти-НВе в две последователни серумни проби с интервал между тях най-малко 3-6 месеца) или до появата на </w:t>
      </w:r>
      <w:r w:rsidRPr="00A520F5">
        <w:rPr>
          <w:rFonts w:eastAsia="Times New Roman" w:cs="Arial"/>
          <w:color w:val="000000"/>
          <w:szCs w:val="20"/>
          <w:lang w:val="en-US"/>
        </w:rPr>
        <w:t>HBs</w:t>
      </w:r>
      <w:r w:rsidRPr="00A520F5">
        <w:rPr>
          <w:rFonts w:eastAsia="Times New Roman" w:cs="Arial"/>
          <w:color w:val="000000"/>
          <w:szCs w:val="20"/>
          <w:lang w:val="ru-RU"/>
        </w:rPr>
        <w:t xml:space="preserve"> </w:t>
      </w:r>
      <w:r w:rsidRPr="00A520F5">
        <w:rPr>
          <w:rFonts w:eastAsia="Times New Roman" w:cs="Arial"/>
          <w:color w:val="000000"/>
          <w:szCs w:val="20"/>
          <w:lang w:eastAsia="bg-BG"/>
        </w:rPr>
        <w:t>сероконверсия или загуба на ефикасност (вж. точка 4.4).</w:t>
      </w:r>
    </w:p>
    <w:p w14:paraId="4F334954" w14:textId="31F4ECA4" w:rsidR="00A520F5" w:rsidRPr="00A520F5" w:rsidRDefault="00A520F5" w:rsidP="00A520F5">
      <w:pPr>
        <w:pStyle w:val="ListParagraph"/>
        <w:numPr>
          <w:ilvl w:val="0"/>
          <w:numId w:val="37"/>
        </w:numPr>
        <w:spacing w:line="240" w:lineRule="auto"/>
        <w:rPr>
          <w:rFonts w:eastAsia="Times New Roman" w:cs="Arial"/>
          <w:sz w:val="28"/>
          <w:szCs w:val="24"/>
        </w:rPr>
      </w:pPr>
      <w:r w:rsidRPr="00A520F5">
        <w:rPr>
          <w:rFonts w:eastAsia="Times New Roman" w:cs="Arial"/>
          <w:color w:val="000000"/>
          <w:szCs w:val="20"/>
          <w:lang w:eastAsia="bg-BG"/>
        </w:rPr>
        <w:t xml:space="preserve">При </w:t>
      </w:r>
      <w:r w:rsidRPr="00A520F5">
        <w:rPr>
          <w:rFonts w:eastAsia="Times New Roman" w:cs="Arial"/>
          <w:color w:val="000000"/>
          <w:szCs w:val="20"/>
          <w:lang w:val="en-US"/>
        </w:rPr>
        <w:t>HBeAg</w:t>
      </w:r>
      <w:r w:rsidRPr="00A520F5">
        <w:rPr>
          <w:rFonts w:eastAsia="Times New Roman" w:cs="Arial"/>
          <w:color w:val="000000"/>
          <w:szCs w:val="20"/>
          <w:lang w:val="ru-RU"/>
        </w:rPr>
        <w:t xml:space="preserve"> </w:t>
      </w:r>
      <w:r w:rsidRPr="00A520F5">
        <w:rPr>
          <w:rFonts w:eastAsia="Times New Roman" w:cs="Arial"/>
          <w:color w:val="000000"/>
          <w:szCs w:val="20"/>
          <w:lang w:eastAsia="bg-BG"/>
        </w:rPr>
        <w:t xml:space="preserve">отрицателни възрастни пациенти лечението трябва да бъде прилагано най-малко до появата на </w:t>
      </w:r>
      <w:r w:rsidRPr="00A520F5">
        <w:rPr>
          <w:rFonts w:eastAsia="Times New Roman" w:cs="Arial"/>
          <w:color w:val="000000"/>
          <w:szCs w:val="20"/>
          <w:lang w:val="en-US"/>
        </w:rPr>
        <w:t>HBs</w:t>
      </w:r>
      <w:r w:rsidRPr="00A520F5">
        <w:rPr>
          <w:rFonts w:eastAsia="Times New Roman" w:cs="Arial"/>
          <w:color w:val="000000"/>
          <w:szCs w:val="20"/>
          <w:lang w:val="ru-RU"/>
        </w:rPr>
        <w:t xml:space="preserve"> </w:t>
      </w:r>
      <w:r w:rsidRPr="00A520F5">
        <w:rPr>
          <w:rFonts w:eastAsia="Times New Roman" w:cs="Arial"/>
          <w:color w:val="000000"/>
          <w:szCs w:val="20"/>
          <w:lang w:eastAsia="bg-BG"/>
        </w:rPr>
        <w:t>сероконверсия или на данни за загуба на ефикасност. При продължително лечение повече от 2 години се препоръчва редовна преоценка на избраното лечение с оглед потвърждаване на целесъобразността на неговото продължаване при пациента.</w:t>
      </w:r>
    </w:p>
    <w:p w14:paraId="0DA647A5" w14:textId="77777777" w:rsidR="00A520F5" w:rsidRPr="00A520F5" w:rsidRDefault="00A520F5" w:rsidP="00A520F5">
      <w:pPr>
        <w:spacing w:line="240" w:lineRule="auto"/>
        <w:rPr>
          <w:rFonts w:eastAsia="Times New Roman" w:cs="Arial"/>
          <w:color w:val="000000"/>
          <w:szCs w:val="20"/>
          <w:lang w:eastAsia="bg-BG"/>
        </w:rPr>
      </w:pPr>
    </w:p>
    <w:p w14:paraId="7D90FAD2" w14:textId="2278C18F" w:rsidR="00A520F5" w:rsidRPr="00A520F5" w:rsidRDefault="00A520F5" w:rsidP="00A520F5">
      <w:pPr>
        <w:spacing w:line="240" w:lineRule="auto"/>
        <w:rPr>
          <w:rFonts w:eastAsia="Times New Roman" w:cs="Arial"/>
          <w:sz w:val="28"/>
          <w:szCs w:val="24"/>
        </w:rPr>
      </w:pPr>
      <w:r w:rsidRPr="00A520F5">
        <w:rPr>
          <w:rFonts w:eastAsia="Times New Roman" w:cs="Arial"/>
          <w:color w:val="000000"/>
          <w:szCs w:val="20"/>
          <w:lang w:eastAsia="bg-BG"/>
        </w:rPr>
        <w:t>При пациенти с декомпенсирано чернодробно заболяване или цироза не се препоръчва прекратяване на лечението.</w:t>
      </w:r>
    </w:p>
    <w:p w14:paraId="7999EA01" w14:textId="77777777" w:rsidR="00A520F5" w:rsidRPr="00A520F5" w:rsidRDefault="00A520F5" w:rsidP="00A520F5">
      <w:pPr>
        <w:spacing w:line="240" w:lineRule="auto"/>
        <w:rPr>
          <w:rFonts w:eastAsia="Times New Roman" w:cs="Arial"/>
          <w:i/>
          <w:iCs/>
          <w:color w:val="000000"/>
          <w:szCs w:val="20"/>
          <w:lang w:eastAsia="bg-BG"/>
        </w:rPr>
      </w:pPr>
    </w:p>
    <w:p w14:paraId="3DF34C4A" w14:textId="3F173D5D" w:rsidR="00A520F5" w:rsidRPr="00A520F5" w:rsidRDefault="00A520F5" w:rsidP="00A520F5">
      <w:pPr>
        <w:spacing w:line="240" w:lineRule="auto"/>
        <w:rPr>
          <w:rFonts w:eastAsia="Times New Roman" w:cs="Arial"/>
          <w:sz w:val="28"/>
          <w:szCs w:val="24"/>
        </w:rPr>
      </w:pPr>
      <w:r w:rsidRPr="00A520F5">
        <w:rPr>
          <w:rFonts w:eastAsia="Times New Roman" w:cs="Arial"/>
          <w:i/>
          <w:iCs/>
          <w:color w:val="000000"/>
          <w:szCs w:val="20"/>
          <w:lang w:eastAsia="bg-BG"/>
        </w:rPr>
        <w:lastRenderedPageBreak/>
        <w:t>Педиатрична популация</w:t>
      </w:r>
    </w:p>
    <w:p w14:paraId="13929B27" w14:textId="77777777" w:rsidR="00A520F5" w:rsidRPr="00A520F5" w:rsidRDefault="00A520F5" w:rsidP="00A520F5">
      <w:pPr>
        <w:spacing w:line="240" w:lineRule="auto"/>
        <w:rPr>
          <w:rFonts w:eastAsia="Times New Roman" w:cs="Arial"/>
          <w:color w:val="000000"/>
          <w:szCs w:val="20"/>
          <w:lang w:eastAsia="bg-BG"/>
        </w:rPr>
      </w:pPr>
    </w:p>
    <w:p w14:paraId="39C2926B" w14:textId="20B324AC" w:rsidR="00A520F5" w:rsidRPr="00A520F5" w:rsidRDefault="00A520F5" w:rsidP="00A520F5">
      <w:pPr>
        <w:spacing w:line="240" w:lineRule="auto"/>
        <w:rPr>
          <w:rFonts w:eastAsia="Times New Roman" w:cs="Arial"/>
          <w:sz w:val="28"/>
          <w:szCs w:val="24"/>
        </w:rPr>
      </w:pPr>
      <w:r w:rsidRPr="00A520F5">
        <w:rPr>
          <w:rFonts w:eastAsia="Times New Roman" w:cs="Arial"/>
          <w:color w:val="000000"/>
          <w:szCs w:val="20"/>
          <w:lang w:eastAsia="bg-BG"/>
        </w:rPr>
        <w:t xml:space="preserve">За подходящо дозиране при педиатричната популация са налични Ентекавир Алвоген 0,5 </w:t>
      </w:r>
      <w:r w:rsidRPr="00A520F5">
        <w:rPr>
          <w:rFonts w:eastAsia="Times New Roman" w:cs="Arial"/>
          <w:color w:val="000000"/>
          <w:szCs w:val="20"/>
          <w:lang w:val="en-US"/>
        </w:rPr>
        <w:t>mg</w:t>
      </w:r>
      <w:r w:rsidRPr="00A520F5">
        <w:rPr>
          <w:rFonts w:eastAsia="Times New Roman" w:cs="Arial"/>
          <w:color w:val="000000"/>
          <w:szCs w:val="20"/>
          <w:lang w:val="ru-RU"/>
        </w:rPr>
        <w:t xml:space="preserve"> </w:t>
      </w:r>
      <w:r w:rsidRPr="00A520F5">
        <w:rPr>
          <w:rFonts w:eastAsia="Times New Roman" w:cs="Arial"/>
          <w:color w:val="000000"/>
          <w:szCs w:val="20"/>
          <w:lang w:eastAsia="bg-BG"/>
        </w:rPr>
        <w:t xml:space="preserve">филмирани таблетки, а за дози под 0,5 </w:t>
      </w:r>
      <w:r w:rsidRPr="00A520F5">
        <w:rPr>
          <w:rFonts w:eastAsia="Times New Roman" w:cs="Arial"/>
          <w:color w:val="000000"/>
          <w:szCs w:val="20"/>
          <w:lang w:val="en-US"/>
        </w:rPr>
        <w:t>mg</w:t>
      </w:r>
      <w:r w:rsidRPr="00A520F5">
        <w:rPr>
          <w:rFonts w:eastAsia="Times New Roman" w:cs="Arial"/>
          <w:color w:val="000000"/>
          <w:szCs w:val="20"/>
          <w:lang w:val="ru-RU"/>
        </w:rPr>
        <w:t xml:space="preserve"> </w:t>
      </w:r>
      <w:r w:rsidRPr="00A520F5">
        <w:rPr>
          <w:rFonts w:eastAsia="Times New Roman" w:cs="Arial"/>
          <w:color w:val="000000"/>
          <w:szCs w:val="20"/>
          <w:lang w:eastAsia="bg-BG"/>
        </w:rPr>
        <w:t>е наличен перорален разтвор.</w:t>
      </w:r>
    </w:p>
    <w:p w14:paraId="6FA76DC7" w14:textId="77777777" w:rsidR="00A520F5" w:rsidRPr="00A520F5" w:rsidRDefault="00A520F5" w:rsidP="00A520F5">
      <w:pPr>
        <w:spacing w:line="240" w:lineRule="auto"/>
        <w:rPr>
          <w:rFonts w:eastAsia="Times New Roman" w:cs="Arial"/>
          <w:color w:val="000000"/>
          <w:szCs w:val="20"/>
          <w:lang w:eastAsia="bg-BG"/>
        </w:rPr>
      </w:pPr>
    </w:p>
    <w:p w14:paraId="7877DD0C" w14:textId="7A56D146" w:rsidR="00A520F5" w:rsidRPr="00A520F5" w:rsidRDefault="00A520F5" w:rsidP="00A520F5">
      <w:pPr>
        <w:spacing w:line="240" w:lineRule="auto"/>
        <w:rPr>
          <w:rFonts w:eastAsia="Times New Roman" w:cs="Arial"/>
          <w:sz w:val="28"/>
          <w:szCs w:val="24"/>
        </w:rPr>
      </w:pPr>
      <w:r w:rsidRPr="00A520F5">
        <w:rPr>
          <w:rFonts w:eastAsia="Times New Roman" w:cs="Arial"/>
          <w:color w:val="000000"/>
          <w:szCs w:val="20"/>
          <w:lang w:eastAsia="bg-BG"/>
        </w:rPr>
        <w:t>Решението за лечение при педиатрични пациенти трябва да се основава на внимателна преценка на индивидуалните нужди на пациента и да бъде в съответствие с настоящите насоки за лечение в педиатрията, включително хистологичните данни на изходно ниво. Необходимо е да се направи оценка на ползите от вирусологична супресия в дългосрочен план с продължителна терапия спрямо риска от продължително лечение, включително появата на резистентен вирус на хепатит В.</w:t>
      </w:r>
    </w:p>
    <w:p w14:paraId="4415530B" w14:textId="77777777" w:rsidR="00A520F5" w:rsidRPr="00A520F5" w:rsidRDefault="00A520F5" w:rsidP="00A520F5">
      <w:pPr>
        <w:rPr>
          <w:rFonts w:eastAsia="Times New Roman" w:cs="Arial"/>
          <w:sz w:val="28"/>
          <w:szCs w:val="24"/>
        </w:rPr>
      </w:pPr>
    </w:p>
    <w:p w14:paraId="0D8C9A42" w14:textId="77777777" w:rsidR="00A520F5" w:rsidRPr="00A520F5" w:rsidRDefault="00A520F5" w:rsidP="00A520F5">
      <w:pPr>
        <w:rPr>
          <w:rFonts w:eastAsia="Times New Roman" w:cs="Arial"/>
          <w:sz w:val="28"/>
          <w:szCs w:val="24"/>
        </w:rPr>
      </w:pPr>
      <w:r w:rsidRPr="00A520F5">
        <w:rPr>
          <w:rFonts w:eastAsia="Times New Roman" w:cs="Arial"/>
          <w:color w:val="000000"/>
          <w:szCs w:val="20"/>
          <w:lang w:eastAsia="bg-BG"/>
        </w:rPr>
        <w:t xml:space="preserve">Нивата на </w:t>
      </w:r>
      <w:r w:rsidRPr="00A520F5">
        <w:rPr>
          <w:rFonts w:eastAsia="Times New Roman" w:cs="Arial"/>
          <w:color w:val="000000"/>
          <w:szCs w:val="20"/>
          <w:lang w:val="en-US"/>
        </w:rPr>
        <w:t>ALT</w:t>
      </w:r>
      <w:r w:rsidRPr="00A520F5">
        <w:rPr>
          <w:rFonts w:eastAsia="Times New Roman" w:cs="Arial"/>
          <w:color w:val="000000"/>
          <w:szCs w:val="20"/>
          <w:lang w:val="ru-RU"/>
        </w:rPr>
        <w:t xml:space="preserve"> </w:t>
      </w:r>
      <w:r w:rsidRPr="00A520F5">
        <w:rPr>
          <w:rFonts w:eastAsia="Times New Roman" w:cs="Arial"/>
          <w:color w:val="000000"/>
          <w:szCs w:val="20"/>
          <w:lang w:eastAsia="bg-BG"/>
        </w:rPr>
        <w:t xml:space="preserve">в серума трябва да бъдат трайно повишени в продължение най-малко на 6 месеца преди лечението на педиатрични пациенти с компенсирано чернодробно заболяване при </w:t>
      </w:r>
      <w:r w:rsidRPr="00A520F5">
        <w:rPr>
          <w:rFonts w:eastAsia="Times New Roman" w:cs="Arial"/>
          <w:color w:val="000000"/>
          <w:szCs w:val="20"/>
          <w:lang w:val="en-US"/>
        </w:rPr>
        <w:t>HBeAg</w:t>
      </w:r>
      <w:r w:rsidRPr="00A520F5">
        <w:rPr>
          <w:rFonts w:eastAsia="Times New Roman" w:cs="Arial"/>
          <w:color w:val="000000"/>
          <w:szCs w:val="20"/>
          <w:lang w:val="ru-RU"/>
        </w:rPr>
        <w:t xml:space="preserve"> </w:t>
      </w:r>
      <w:r w:rsidRPr="00A520F5">
        <w:rPr>
          <w:rFonts w:eastAsia="Times New Roman" w:cs="Arial"/>
          <w:color w:val="000000"/>
          <w:szCs w:val="20"/>
          <w:lang w:eastAsia="bg-BG"/>
        </w:rPr>
        <w:t>положителен хроничен хепатит В и в продължение най-малко на 12</w:t>
      </w:r>
      <w:r w:rsidRPr="00A520F5">
        <w:rPr>
          <w:rFonts w:eastAsia="Times New Roman" w:cs="Arial"/>
          <w:color w:val="000000"/>
          <w:szCs w:val="20"/>
          <w:lang w:val="ru-RU" w:eastAsia="bg-BG"/>
        </w:rPr>
        <w:t xml:space="preserve"> </w:t>
      </w:r>
      <w:r w:rsidRPr="00A520F5">
        <w:rPr>
          <w:rFonts w:eastAsia="Times New Roman" w:cs="Arial"/>
          <w:color w:val="000000"/>
          <w:szCs w:val="20"/>
          <w:lang w:eastAsia="bg-BG"/>
        </w:rPr>
        <w:t xml:space="preserve">месеца при пациенти с </w:t>
      </w:r>
      <w:r w:rsidRPr="00A520F5">
        <w:rPr>
          <w:rFonts w:eastAsia="Times New Roman" w:cs="Arial"/>
          <w:color w:val="000000"/>
          <w:szCs w:val="20"/>
          <w:lang w:val="en-US"/>
        </w:rPr>
        <w:t>HBeAg</w:t>
      </w:r>
      <w:r w:rsidRPr="00A520F5">
        <w:rPr>
          <w:rFonts w:eastAsia="Times New Roman" w:cs="Arial"/>
          <w:color w:val="000000"/>
          <w:szCs w:val="20"/>
          <w:lang w:val="ru-RU"/>
        </w:rPr>
        <w:t xml:space="preserve"> </w:t>
      </w:r>
      <w:r w:rsidRPr="00A520F5">
        <w:rPr>
          <w:rFonts w:eastAsia="Times New Roman" w:cs="Arial"/>
          <w:color w:val="000000"/>
          <w:szCs w:val="20"/>
          <w:lang w:eastAsia="bg-BG"/>
        </w:rPr>
        <w:t>отрицателно заболяване.</w:t>
      </w:r>
    </w:p>
    <w:p w14:paraId="52D42122" w14:textId="77777777" w:rsidR="00A520F5" w:rsidRPr="00A520F5" w:rsidRDefault="00A520F5" w:rsidP="00A520F5">
      <w:pPr>
        <w:spacing w:line="240" w:lineRule="auto"/>
        <w:rPr>
          <w:rFonts w:eastAsia="Times New Roman" w:cs="Arial"/>
          <w:color w:val="000000"/>
          <w:szCs w:val="20"/>
          <w:lang w:eastAsia="bg-BG"/>
        </w:rPr>
      </w:pPr>
    </w:p>
    <w:p w14:paraId="66069E6E" w14:textId="6C4FF76E" w:rsidR="00A520F5" w:rsidRPr="00A520F5" w:rsidRDefault="00A520F5" w:rsidP="00A520F5">
      <w:pPr>
        <w:spacing w:line="240" w:lineRule="auto"/>
        <w:rPr>
          <w:rFonts w:eastAsia="Times New Roman" w:cs="Arial"/>
          <w:sz w:val="28"/>
          <w:szCs w:val="24"/>
        </w:rPr>
      </w:pPr>
      <w:r w:rsidRPr="00A520F5">
        <w:rPr>
          <w:rFonts w:eastAsia="Times New Roman" w:cs="Arial"/>
          <w:color w:val="000000"/>
          <w:szCs w:val="20"/>
          <w:lang w:eastAsia="bg-BG"/>
        </w:rPr>
        <w:t xml:space="preserve">При педиатрични пациенти с телесно тегло от най-малко 32,6 </w:t>
      </w:r>
      <w:r w:rsidRPr="00A520F5">
        <w:rPr>
          <w:rFonts w:eastAsia="Times New Roman" w:cs="Arial"/>
          <w:color w:val="000000"/>
          <w:szCs w:val="20"/>
          <w:lang w:val="en-US"/>
        </w:rPr>
        <w:t>kg</w:t>
      </w:r>
      <w:r w:rsidRPr="00A520F5">
        <w:rPr>
          <w:rFonts w:eastAsia="Times New Roman" w:cs="Arial"/>
          <w:color w:val="000000"/>
          <w:szCs w:val="20"/>
          <w:lang w:val="ru-RU"/>
        </w:rPr>
        <w:t xml:space="preserve"> </w:t>
      </w:r>
      <w:r w:rsidRPr="00A520F5">
        <w:rPr>
          <w:rFonts w:eastAsia="Times New Roman" w:cs="Arial"/>
          <w:color w:val="000000"/>
          <w:szCs w:val="20"/>
          <w:lang w:eastAsia="bg-BG"/>
        </w:rPr>
        <w:t xml:space="preserve">трябва да бъде прилагана дневна доза от една таблетка по 0,5 </w:t>
      </w:r>
      <w:r w:rsidRPr="00A520F5">
        <w:rPr>
          <w:rFonts w:eastAsia="Times New Roman" w:cs="Arial"/>
          <w:color w:val="000000"/>
          <w:szCs w:val="20"/>
          <w:lang w:val="en-US"/>
        </w:rPr>
        <w:t>mg</w:t>
      </w:r>
      <w:r w:rsidRPr="00A520F5">
        <w:rPr>
          <w:rFonts w:eastAsia="Times New Roman" w:cs="Arial"/>
          <w:color w:val="000000"/>
          <w:szCs w:val="20"/>
          <w:lang w:val="ru-RU"/>
        </w:rPr>
        <w:t xml:space="preserve"> </w:t>
      </w:r>
      <w:r w:rsidRPr="00A520F5">
        <w:rPr>
          <w:rFonts w:eastAsia="Times New Roman" w:cs="Arial"/>
          <w:color w:val="000000"/>
          <w:szCs w:val="20"/>
          <w:lang w:eastAsia="bg-BG"/>
        </w:rPr>
        <w:t xml:space="preserve">със или без храна. Пероралният разтвор трябва да бъде прилаган при пациенти с телесно тегло по-малко от 32,6 </w:t>
      </w:r>
      <w:r w:rsidRPr="00A520F5">
        <w:rPr>
          <w:rFonts w:eastAsia="Times New Roman" w:cs="Arial"/>
          <w:color w:val="000000"/>
          <w:szCs w:val="20"/>
          <w:lang w:val="en-US"/>
        </w:rPr>
        <w:t>kg</w:t>
      </w:r>
      <w:r w:rsidRPr="00A520F5">
        <w:rPr>
          <w:rFonts w:eastAsia="Times New Roman" w:cs="Arial"/>
          <w:color w:val="000000"/>
          <w:szCs w:val="20"/>
          <w:lang w:val="ru-RU"/>
        </w:rPr>
        <w:t>.</w:t>
      </w:r>
    </w:p>
    <w:p w14:paraId="60A922DD" w14:textId="77777777" w:rsidR="00A520F5" w:rsidRPr="00A520F5" w:rsidRDefault="00A520F5" w:rsidP="00A520F5">
      <w:pPr>
        <w:spacing w:line="240" w:lineRule="auto"/>
        <w:rPr>
          <w:rFonts w:eastAsia="Times New Roman" w:cs="Arial"/>
          <w:i/>
          <w:iCs/>
          <w:color w:val="000000"/>
          <w:szCs w:val="20"/>
          <w:lang w:eastAsia="bg-BG"/>
        </w:rPr>
      </w:pPr>
    </w:p>
    <w:p w14:paraId="26F8D49A" w14:textId="2F07FE07" w:rsidR="00A520F5" w:rsidRPr="00A520F5" w:rsidRDefault="00A520F5" w:rsidP="00A520F5">
      <w:pPr>
        <w:spacing w:line="240" w:lineRule="auto"/>
        <w:rPr>
          <w:rFonts w:eastAsia="Times New Roman" w:cs="Arial"/>
          <w:sz w:val="28"/>
          <w:szCs w:val="24"/>
        </w:rPr>
      </w:pPr>
      <w:r w:rsidRPr="00A520F5">
        <w:rPr>
          <w:rFonts w:eastAsia="Times New Roman" w:cs="Arial"/>
          <w:i/>
          <w:iCs/>
          <w:color w:val="000000"/>
          <w:szCs w:val="20"/>
          <w:lang w:eastAsia="bg-BG"/>
        </w:rPr>
        <w:t>Продължителност на лечението при педиатрични пациенти</w:t>
      </w:r>
    </w:p>
    <w:p w14:paraId="3300EE57" w14:textId="77777777" w:rsidR="00A520F5" w:rsidRPr="00A520F5" w:rsidRDefault="00A520F5" w:rsidP="00A520F5">
      <w:pPr>
        <w:spacing w:line="240" w:lineRule="auto"/>
        <w:rPr>
          <w:rFonts w:eastAsia="Times New Roman" w:cs="Arial"/>
          <w:sz w:val="28"/>
          <w:szCs w:val="24"/>
        </w:rPr>
      </w:pPr>
      <w:r w:rsidRPr="00A520F5">
        <w:rPr>
          <w:rFonts w:eastAsia="Times New Roman" w:cs="Arial"/>
          <w:color w:val="000000"/>
          <w:szCs w:val="20"/>
          <w:lang w:eastAsia="bg-BG"/>
        </w:rPr>
        <w:t>Не е известна оптималната продължителност на лечението. В съответствие с настоящите насоки в педиатричната практика преустановяване на лечението може да се обмисли в следните случаи:</w:t>
      </w:r>
    </w:p>
    <w:p w14:paraId="47475AAF" w14:textId="77777777" w:rsidR="00A520F5" w:rsidRPr="00A520F5" w:rsidRDefault="00A520F5" w:rsidP="00A520F5">
      <w:pPr>
        <w:pStyle w:val="ListParagraph"/>
        <w:numPr>
          <w:ilvl w:val="0"/>
          <w:numId w:val="37"/>
        </w:numPr>
        <w:spacing w:line="240" w:lineRule="auto"/>
        <w:rPr>
          <w:rFonts w:eastAsia="Times New Roman" w:cs="Arial"/>
          <w:sz w:val="28"/>
          <w:szCs w:val="24"/>
        </w:rPr>
      </w:pPr>
      <w:r w:rsidRPr="00A520F5">
        <w:rPr>
          <w:rFonts w:eastAsia="Times New Roman" w:cs="Arial"/>
          <w:color w:val="000000"/>
          <w:szCs w:val="20"/>
          <w:lang w:eastAsia="bg-BG"/>
        </w:rPr>
        <w:t xml:space="preserve">При </w:t>
      </w:r>
      <w:r w:rsidRPr="00A520F5">
        <w:rPr>
          <w:rFonts w:eastAsia="Times New Roman" w:cs="Arial"/>
          <w:color w:val="000000"/>
          <w:szCs w:val="20"/>
          <w:lang w:val="en-US"/>
        </w:rPr>
        <w:t>HBeAg</w:t>
      </w:r>
      <w:r w:rsidRPr="00A520F5">
        <w:rPr>
          <w:rFonts w:eastAsia="Times New Roman" w:cs="Arial"/>
          <w:color w:val="000000"/>
          <w:szCs w:val="20"/>
          <w:lang w:val="ru-RU"/>
        </w:rPr>
        <w:t xml:space="preserve"> </w:t>
      </w:r>
      <w:r w:rsidRPr="00A520F5">
        <w:rPr>
          <w:rFonts w:eastAsia="Times New Roman" w:cs="Arial"/>
          <w:color w:val="000000"/>
          <w:szCs w:val="20"/>
          <w:lang w:eastAsia="bg-BG"/>
        </w:rPr>
        <w:t xml:space="preserve">положителни педиатрични пациенти лечението трябва да бъде прилагано най-малко 12 месеца след постигане на неустановима </w:t>
      </w:r>
      <w:r w:rsidRPr="00A520F5">
        <w:rPr>
          <w:rFonts w:eastAsia="Times New Roman" w:cs="Arial"/>
          <w:color w:val="000000"/>
          <w:szCs w:val="20"/>
          <w:lang w:val="en-US"/>
        </w:rPr>
        <w:t>HBV</w:t>
      </w:r>
      <w:r w:rsidRPr="00A520F5">
        <w:rPr>
          <w:rFonts w:eastAsia="Times New Roman" w:cs="Arial"/>
          <w:color w:val="000000"/>
          <w:szCs w:val="20"/>
          <w:lang w:val="ru-RU"/>
        </w:rPr>
        <w:t xml:space="preserve"> </w:t>
      </w:r>
      <w:r w:rsidRPr="00A520F5">
        <w:rPr>
          <w:rFonts w:eastAsia="Times New Roman" w:cs="Arial"/>
          <w:color w:val="000000"/>
          <w:szCs w:val="20"/>
          <w:lang w:eastAsia="bg-BG"/>
        </w:rPr>
        <w:t xml:space="preserve">ДНК и </w:t>
      </w:r>
      <w:r w:rsidRPr="00A520F5">
        <w:rPr>
          <w:rFonts w:eastAsia="Times New Roman" w:cs="Arial"/>
          <w:color w:val="000000"/>
          <w:szCs w:val="20"/>
          <w:lang w:val="en-US"/>
        </w:rPr>
        <w:t>HBeAg</w:t>
      </w:r>
      <w:r w:rsidRPr="00A520F5">
        <w:rPr>
          <w:rFonts w:eastAsia="Times New Roman" w:cs="Arial"/>
          <w:color w:val="000000"/>
          <w:szCs w:val="20"/>
          <w:lang w:val="ru-RU"/>
        </w:rPr>
        <w:t xml:space="preserve"> </w:t>
      </w:r>
      <w:r w:rsidRPr="00A520F5">
        <w:rPr>
          <w:rFonts w:eastAsia="Times New Roman" w:cs="Arial"/>
          <w:color w:val="000000"/>
          <w:szCs w:val="20"/>
          <w:lang w:eastAsia="bg-BG"/>
        </w:rPr>
        <w:t xml:space="preserve">сероконверсия (липса на </w:t>
      </w:r>
      <w:r w:rsidRPr="00A520F5">
        <w:rPr>
          <w:rFonts w:eastAsia="Times New Roman" w:cs="Arial"/>
          <w:color w:val="000000"/>
          <w:szCs w:val="20"/>
          <w:lang w:val="en-US"/>
        </w:rPr>
        <w:t>HBeAg</w:t>
      </w:r>
      <w:r w:rsidRPr="00A520F5">
        <w:rPr>
          <w:rFonts w:eastAsia="Times New Roman" w:cs="Arial"/>
          <w:color w:val="000000"/>
          <w:szCs w:val="20"/>
          <w:lang w:val="ru-RU"/>
        </w:rPr>
        <w:t xml:space="preserve"> </w:t>
      </w:r>
      <w:r w:rsidRPr="00A520F5">
        <w:rPr>
          <w:rFonts w:eastAsia="Times New Roman" w:cs="Arial"/>
          <w:color w:val="000000"/>
          <w:szCs w:val="20"/>
          <w:lang w:eastAsia="bg-BG"/>
        </w:rPr>
        <w:t xml:space="preserve">и наличието на анти-НВе в две последователни серумни проби с интервал между тях най-малко 3-6 месеца) или до появата на </w:t>
      </w:r>
      <w:r w:rsidRPr="00A520F5">
        <w:rPr>
          <w:rFonts w:eastAsia="Times New Roman" w:cs="Arial"/>
          <w:color w:val="000000"/>
          <w:szCs w:val="20"/>
          <w:lang w:val="en-US"/>
        </w:rPr>
        <w:t>HBs</w:t>
      </w:r>
      <w:r w:rsidRPr="00A520F5">
        <w:rPr>
          <w:rFonts w:eastAsia="Times New Roman" w:cs="Arial"/>
          <w:color w:val="000000"/>
          <w:szCs w:val="20"/>
          <w:lang w:val="ru-RU"/>
        </w:rPr>
        <w:t xml:space="preserve"> </w:t>
      </w:r>
      <w:r w:rsidRPr="00A520F5">
        <w:rPr>
          <w:rFonts w:eastAsia="Times New Roman" w:cs="Arial"/>
          <w:color w:val="000000"/>
          <w:szCs w:val="20"/>
          <w:lang w:eastAsia="bg-BG"/>
        </w:rPr>
        <w:t xml:space="preserve">сероконверсия или загуба на ефикасност. Серумните нива на </w:t>
      </w:r>
      <w:r w:rsidRPr="00A520F5">
        <w:rPr>
          <w:rFonts w:eastAsia="Times New Roman" w:cs="Arial"/>
          <w:color w:val="000000"/>
          <w:szCs w:val="20"/>
          <w:lang w:val="en-US"/>
        </w:rPr>
        <w:t>ALT</w:t>
      </w:r>
      <w:r w:rsidRPr="00A520F5">
        <w:rPr>
          <w:rFonts w:eastAsia="Times New Roman" w:cs="Arial"/>
          <w:color w:val="000000"/>
          <w:szCs w:val="20"/>
          <w:lang w:val="ru-RU"/>
        </w:rPr>
        <w:t xml:space="preserve"> </w:t>
      </w:r>
      <w:r w:rsidRPr="00A520F5">
        <w:rPr>
          <w:rFonts w:eastAsia="Times New Roman" w:cs="Arial"/>
          <w:color w:val="000000"/>
          <w:szCs w:val="20"/>
          <w:lang w:eastAsia="bg-BG"/>
        </w:rPr>
        <w:t xml:space="preserve">и </w:t>
      </w:r>
      <w:r w:rsidRPr="00A520F5">
        <w:rPr>
          <w:rFonts w:eastAsia="Times New Roman" w:cs="Arial"/>
          <w:color w:val="000000"/>
          <w:szCs w:val="20"/>
          <w:lang w:val="en-US"/>
        </w:rPr>
        <w:t>HBV</w:t>
      </w:r>
      <w:r w:rsidRPr="00A520F5">
        <w:rPr>
          <w:rFonts w:eastAsia="Times New Roman" w:cs="Arial"/>
          <w:color w:val="000000"/>
          <w:szCs w:val="20"/>
          <w:lang w:val="ru-RU"/>
        </w:rPr>
        <w:t xml:space="preserve"> </w:t>
      </w:r>
      <w:r w:rsidRPr="00A520F5">
        <w:rPr>
          <w:rFonts w:eastAsia="Times New Roman" w:cs="Arial"/>
          <w:color w:val="000000"/>
          <w:szCs w:val="20"/>
          <w:lang w:eastAsia="bg-BG"/>
        </w:rPr>
        <w:t>ДНК трябва да се проследяват редовно след преустановяване на лечението (вж. точка 4.4).</w:t>
      </w:r>
    </w:p>
    <w:p w14:paraId="1563C1B9" w14:textId="158C6D3C" w:rsidR="00A520F5" w:rsidRPr="00A520F5" w:rsidRDefault="00A520F5" w:rsidP="00A520F5">
      <w:pPr>
        <w:pStyle w:val="ListParagraph"/>
        <w:numPr>
          <w:ilvl w:val="0"/>
          <w:numId w:val="37"/>
        </w:numPr>
        <w:spacing w:line="240" w:lineRule="auto"/>
        <w:rPr>
          <w:rFonts w:eastAsia="Times New Roman" w:cs="Arial"/>
          <w:sz w:val="28"/>
          <w:szCs w:val="24"/>
        </w:rPr>
      </w:pPr>
      <w:r w:rsidRPr="00A520F5">
        <w:rPr>
          <w:rFonts w:eastAsia="Times New Roman" w:cs="Arial"/>
          <w:color w:val="000000"/>
          <w:szCs w:val="20"/>
          <w:lang w:eastAsia="bg-BG"/>
        </w:rPr>
        <w:t xml:space="preserve">При </w:t>
      </w:r>
      <w:r w:rsidRPr="00A520F5">
        <w:rPr>
          <w:rFonts w:eastAsia="Times New Roman" w:cs="Arial"/>
          <w:color w:val="000000"/>
          <w:szCs w:val="20"/>
          <w:lang w:val="en-US"/>
        </w:rPr>
        <w:t>HBeAg</w:t>
      </w:r>
      <w:r w:rsidRPr="00A520F5">
        <w:rPr>
          <w:rFonts w:eastAsia="Times New Roman" w:cs="Arial"/>
          <w:color w:val="000000"/>
          <w:szCs w:val="20"/>
          <w:lang w:val="ru-RU"/>
        </w:rPr>
        <w:t xml:space="preserve"> </w:t>
      </w:r>
      <w:r w:rsidRPr="00A520F5">
        <w:rPr>
          <w:rFonts w:eastAsia="Times New Roman" w:cs="Arial"/>
          <w:color w:val="000000"/>
          <w:szCs w:val="20"/>
          <w:lang w:eastAsia="bg-BG"/>
        </w:rPr>
        <w:t xml:space="preserve">отрицателни педиатрични пациенти лечението трябва да бъде прилагано до появата на </w:t>
      </w:r>
      <w:r w:rsidRPr="00A520F5">
        <w:rPr>
          <w:rFonts w:eastAsia="Times New Roman" w:cs="Arial"/>
          <w:color w:val="000000"/>
          <w:szCs w:val="20"/>
          <w:lang w:val="en-US"/>
        </w:rPr>
        <w:t>HBs</w:t>
      </w:r>
      <w:r w:rsidRPr="00A520F5">
        <w:rPr>
          <w:rFonts w:eastAsia="Times New Roman" w:cs="Arial"/>
          <w:color w:val="000000"/>
          <w:szCs w:val="20"/>
          <w:lang w:val="ru-RU"/>
        </w:rPr>
        <w:t xml:space="preserve"> </w:t>
      </w:r>
      <w:r w:rsidRPr="00A520F5">
        <w:rPr>
          <w:rFonts w:eastAsia="Times New Roman" w:cs="Arial"/>
          <w:color w:val="000000"/>
          <w:szCs w:val="20"/>
          <w:lang w:eastAsia="bg-BG"/>
        </w:rPr>
        <w:t>сероконверсия или на данни за загуба на ефикасност.</w:t>
      </w:r>
    </w:p>
    <w:p w14:paraId="0D1A21E5" w14:textId="77777777" w:rsidR="00A520F5" w:rsidRPr="00A520F5" w:rsidRDefault="00A520F5" w:rsidP="00A520F5">
      <w:pPr>
        <w:spacing w:line="240" w:lineRule="auto"/>
        <w:rPr>
          <w:rFonts w:eastAsia="Times New Roman" w:cs="Arial"/>
          <w:color w:val="000000"/>
          <w:szCs w:val="20"/>
          <w:lang w:eastAsia="bg-BG"/>
        </w:rPr>
      </w:pPr>
    </w:p>
    <w:p w14:paraId="2F0B9333" w14:textId="176EB4C8" w:rsidR="00A520F5" w:rsidRPr="00A520F5" w:rsidRDefault="00A520F5" w:rsidP="00A520F5">
      <w:pPr>
        <w:spacing w:line="240" w:lineRule="auto"/>
        <w:rPr>
          <w:rFonts w:eastAsia="Times New Roman" w:cs="Arial"/>
          <w:sz w:val="28"/>
          <w:szCs w:val="24"/>
        </w:rPr>
      </w:pPr>
      <w:r w:rsidRPr="00A520F5">
        <w:rPr>
          <w:rFonts w:eastAsia="Times New Roman" w:cs="Arial"/>
          <w:color w:val="000000"/>
          <w:szCs w:val="20"/>
          <w:lang w:eastAsia="bg-BG"/>
        </w:rPr>
        <w:t>Фармакокинетиката при педиатрични пациенти с бъбречно или чернодробно увреждане не е проучвана.</w:t>
      </w:r>
    </w:p>
    <w:p w14:paraId="27C259A8" w14:textId="77777777" w:rsidR="00A520F5" w:rsidRPr="00A520F5" w:rsidRDefault="00A520F5" w:rsidP="00A520F5">
      <w:pPr>
        <w:spacing w:line="240" w:lineRule="auto"/>
        <w:rPr>
          <w:rFonts w:eastAsia="Times New Roman" w:cs="Arial"/>
          <w:i/>
          <w:iCs/>
          <w:color w:val="000000"/>
          <w:szCs w:val="20"/>
          <w:lang w:eastAsia="bg-BG"/>
        </w:rPr>
      </w:pPr>
    </w:p>
    <w:p w14:paraId="6A1ADFD2" w14:textId="3E92FB60" w:rsidR="00A520F5" w:rsidRPr="00A520F5" w:rsidRDefault="00A520F5" w:rsidP="00A520F5">
      <w:pPr>
        <w:spacing w:line="240" w:lineRule="auto"/>
        <w:rPr>
          <w:rFonts w:eastAsia="Times New Roman" w:cs="Arial"/>
          <w:sz w:val="28"/>
          <w:szCs w:val="24"/>
        </w:rPr>
      </w:pPr>
      <w:r w:rsidRPr="00A520F5">
        <w:rPr>
          <w:rFonts w:eastAsia="Times New Roman" w:cs="Arial"/>
          <w:i/>
          <w:iCs/>
          <w:color w:val="000000"/>
          <w:szCs w:val="20"/>
          <w:lang w:eastAsia="bg-BG"/>
        </w:rPr>
        <w:t>Старческа възраст:</w:t>
      </w:r>
      <w:r w:rsidRPr="00A520F5">
        <w:rPr>
          <w:rFonts w:eastAsia="Times New Roman" w:cs="Arial"/>
          <w:color w:val="000000"/>
          <w:szCs w:val="20"/>
          <w:lang w:eastAsia="bg-BG"/>
        </w:rPr>
        <w:t xml:space="preserve"> не е необходима промяна на дозата във връзка с възрастта. Дозата трябва да бъде коригирана според бъбречната функция на пациента (вижте препоръчвана доза при бъбречни нарушения и точка 5.2).</w:t>
      </w:r>
    </w:p>
    <w:p w14:paraId="37408AE9" w14:textId="77777777" w:rsidR="00A520F5" w:rsidRPr="00A520F5" w:rsidRDefault="00A520F5" w:rsidP="00A520F5">
      <w:pPr>
        <w:spacing w:line="240" w:lineRule="auto"/>
        <w:rPr>
          <w:rFonts w:eastAsia="Times New Roman" w:cs="Arial"/>
          <w:i/>
          <w:iCs/>
          <w:color w:val="000000"/>
          <w:szCs w:val="20"/>
          <w:lang w:eastAsia="bg-BG"/>
        </w:rPr>
      </w:pPr>
    </w:p>
    <w:p w14:paraId="24096264" w14:textId="65F65C51" w:rsidR="00A520F5" w:rsidRPr="00A520F5" w:rsidRDefault="00A520F5" w:rsidP="00A520F5">
      <w:pPr>
        <w:spacing w:line="240" w:lineRule="auto"/>
        <w:rPr>
          <w:rFonts w:eastAsia="Times New Roman" w:cs="Arial"/>
          <w:sz w:val="28"/>
          <w:szCs w:val="24"/>
        </w:rPr>
      </w:pPr>
      <w:r w:rsidRPr="00A520F5">
        <w:rPr>
          <w:rFonts w:eastAsia="Times New Roman" w:cs="Arial"/>
          <w:i/>
          <w:iCs/>
          <w:color w:val="000000"/>
          <w:szCs w:val="20"/>
          <w:lang w:eastAsia="bg-BG"/>
        </w:rPr>
        <w:t>Пол и раса:</w:t>
      </w:r>
      <w:r w:rsidRPr="00A520F5">
        <w:rPr>
          <w:rFonts w:eastAsia="Times New Roman" w:cs="Arial"/>
          <w:color w:val="000000"/>
          <w:szCs w:val="20"/>
          <w:lang w:eastAsia="bg-BG"/>
        </w:rPr>
        <w:t xml:space="preserve"> не е необходима промяна на дозата във връзка с пола или расата.</w:t>
      </w:r>
    </w:p>
    <w:p w14:paraId="0C5A202D" w14:textId="77777777" w:rsidR="00A520F5" w:rsidRPr="00A520F5" w:rsidRDefault="00A520F5" w:rsidP="00A520F5">
      <w:pPr>
        <w:spacing w:line="240" w:lineRule="auto"/>
        <w:rPr>
          <w:rFonts w:eastAsia="Times New Roman" w:cs="Arial"/>
          <w:i/>
          <w:iCs/>
          <w:color w:val="000000"/>
          <w:szCs w:val="20"/>
          <w:lang w:eastAsia="bg-BG"/>
        </w:rPr>
      </w:pPr>
    </w:p>
    <w:p w14:paraId="17106DC6" w14:textId="421DCD4F" w:rsidR="00A520F5" w:rsidRPr="00A520F5" w:rsidRDefault="00A520F5" w:rsidP="00A520F5">
      <w:pPr>
        <w:spacing w:line="240" w:lineRule="auto"/>
        <w:rPr>
          <w:rFonts w:eastAsia="Times New Roman" w:cs="Arial"/>
          <w:sz w:val="28"/>
          <w:szCs w:val="24"/>
        </w:rPr>
      </w:pPr>
      <w:r w:rsidRPr="00A520F5">
        <w:rPr>
          <w:rFonts w:eastAsia="Times New Roman" w:cs="Arial"/>
          <w:i/>
          <w:iCs/>
          <w:color w:val="000000"/>
          <w:szCs w:val="20"/>
          <w:lang w:eastAsia="bg-BG"/>
        </w:rPr>
        <w:t>Бъбречно увреждане:</w:t>
      </w:r>
      <w:r w:rsidRPr="00A520F5">
        <w:rPr>
          <w:rFonts w:eastAsia="Times New Roman" w:cs="Arial"/>
          <w:color w:val="000000"/>
          <w:szCs w:val="20"/>
          <w:lang w:eastAsia="bg-BG"/>
        </w:rPr>
        <w:t xml:space="preserve"> клирънса на ентекавир намалява с намаляването на креатининовия клирънс (вж. точка 5.2). Коригиране на дозата се препоръчва при пациенти с креатининов клирънс &lt;50 </w:t>
      </w:r>
      <w:r w:rsidRPr="00A520F5">
        <w:rPr>
          <w:rFonts w:eastAsia="Times New Roman" w:cs="Arial"/>
          <w:color w:val="000000"/>
          <w:szCs w:val="20"/>
          <w:lang w:val="en-US"/>
        </w:rPr>
        <w:t>ml</w:t>
      </w:r>
      <w:r w:rsidRPr="00A520F5">
        <w:rPr>
          <w:rFonts w:eastAsia="Times New Roman" w:cs="Arial"/>
          <w:color w:val="000000"/>
          <w:szCs w:val="20"/>
          <w:lang w:val="ru-RU"/>
        </w:rPr>
        <w:t>/</w:t>
      </w:r>
      <w:r w:rsidRPr="00A520F5">
        <w:rPr>
          <w:rFonts w:eastAsia="Times New Roman" w:cs="Arial"/>
          <w:color w:val="000000"/>
          <w:szCs w:val="20"/>
          <w:lang w:val="en-US"/>
        </w:rPr>
        <w:t>min</w:t>
      </w:r>
      <w:r w:rsidRPr="00A520F5">
        <w:rPr>
          <w:rFonts w:eastAsia="Times New Roman" w:cs="Arial"/>
          <w:color w:val="000000"/>
          <w:szCs w:val="20"/>
          <w:lang w:val="ru-RU"/>
        </w:rPr>
        <w:t xml:space="preserve">, </w:t>
      </w:r>
      <w:r w:rsidRPr="00A520F5">
        <w:rPr>
          <w:rFonts w:eastAsia="Times New Roman" w:cs="Arial"/>
          <w:color w:val="000000"/>
          <w:szCs w:val="20"/>
          <w:lang w:eastAsia="bg-BG"/>
        </w:rPr>
        <w:t xml:space="preserve">включително и такива на хемодиализа или продължителна амбулаторна перитонеална диализа </w:t>
      </w:r>
      <w:r w:rsidRPr="00A520F5">
        <w:rPr>
          <w:rFonts w:eastAsia="Times New Roman" w:cs="Arial"/>
          <w:color w:val="000000"/>
          <w:szCs w:val="20"/>
          <w:lang w:val="ru-RU"/>
        </w:rPr>
        <w:t>(</w:t>
      </w:r>
      <w:r w:rsidRPr="00A520F5">
        <w:rPr>
          <w:rFonts w:eastAsia="Times New Roman" w:cs="Arial"/>
          <w:color w:val="000000"/>
          <w:szCs w:val="20"/>
          <w:lang w:val="en-US"/>
        </w:rPr>
        <w:t>CAPD</w:t>
      </w:r>
      <w:r w:rsidRPr="00A520F5">
        <w:rPr>
          <w:rFonts w:eastAsia="Times New Roman" w:cs="Arial"/>
          <w:color w:val="000000"/>
          <w:szCs w:val="20"/>
          <w:lang w:val="ru-RU"/>
        </w:rPr>
        <w:t xml:space="preserve">). </w:t>
      </w:r>
      <w:r w:rsidRPr="00A520F5">
        <w:rPr>
          <w:rFonts w:eastAsia="Times New Roman" w:cs="Arial"/>
          <w:color w:val="000000"/>
          <w:szCs w:val="20"/>
          <w:lang w:eastAsia="bg-BG"/>
        </w:rPr>
        <w:t xml:space="preserve">Препоръчва се намаляване на дневната доза чрез използване на ентекавир перорален разтвор, както подробно е описано в </w:t>
      </w:r>
      <w:r w:rsidRPr="00A520F5">
        <w:rPr>
          <w:rFonts w:eastAsia="Times New Roman" w:cs="Arial"/>
          <w:color w:val="000000"/>
          <w:szCs w:val="20"/>
          <w:lang w:eastAsia="bg-BG"/>
        </w:rPr>
        <w:lastRenderedPageBreak/>
        <w:t>таблицата. Като алтернатива в случаите, когато перорален разтвор не е наличен, дозата може да се коригира чрез увеличаване на дозовия интервал, който също е показан в таблицата. Предлаганите корекции на дозата се основават на екстраполация от ограничени данни, а тяхната безопасност и ефективност не са оценявани клинично. Поради тази причина вирусологичният отговор трябва да се следи внимателно.</w:t>
      </w:r>
    </w:p>
    <w:p w14:paraId="4E476D77" w14:textId="1CDEB1F4" w:rsidR="00A520F5" w:rsidRDefault="00A520F5" w:rsidP="00A520F5"/>
    <w:tbl>
      <w:tblPr>
        <w:tblStyle w:val="TableGrid"/>
        <w:tblW w:w="0" w:type="auto"/>
        <w:tblLook w:val="04A0" w:firstRow="1" w:lastRow="0" w:firstColumn="1" w:lastColumn="0" w:noHBand="0" w:noVBand="1"/>
      </w:tblPr>
      <w:tblGrid>
        <w:gridCol w:w="3116"/>
        <w:gridCol w:w="3104"/>
        <w:gridCol w:w="3130"/>
      </w:tblGrid>
      <w:tr w:rsidR="00A520F5" w14:paraId="36C57DE6" w14:textId="77777777" w:rsidTr="00775E52">
        <w:tc>
          <w:tcPr>
            <w:tcW w:w="3192" w:type="dxa"/>
            <w:vMerge w:val="restart"/>
          </w:tcPr>
          <w:p w14:paraId="4A4B8041" w14:textId="43658493" w:rsidR="00A520F5" w:rsidRPr="00A520F5" w:rsidRDefault="00A520F5" w:rsidP="00A520F5">
            <w:pPr>
              <w:spacing w:line="240" w:lineRule="auto"/>
              <w:rPr>
                <w:rFonts w:eastAsia="Times New Roman" w:cs="Arial"/>
                <w:szCs w:val="24"/>
              </w:rPr>
            </w:pPr>
            <w:r w:rsidRPr="00A520F5">
              <w:rPr>
                <w:rFonts w:eastAsia="Times New Roman" w:cs="Arial"/>
                <w:b/>
                <w:bCs/>
                <w:color w:val="000000"/>
                <w:szCs w:val="20"/>
                <w:lang w:eastAsia="bg-BG"/>
              </w:rPr>
              <w:t xml:space="preserve">Креатининов клирънс </w:t>
            </w:r>
            <w:r w:rsidRPr="00A520F5">
              <w:rPr>
                <w:rFonts w:eastAsia="Times New Roman" w:cs="Arial"/>
                <w:b/>
                <w:bCs/>
                <w:color w:val="000000"/>
                <w:szCs w:val="20"/>
                <w:lang w:val="en-US"/>
              </w:rPr>
              <w:t>(ml/min)</w:t>
            </w:r>
          </w:p>
        </w:tc>
        <w:tc>
          <w:tcPr>
            <w:tcW w:w="6384" w:type="dxa"/>
            <w:gridSpan w:val="2"/>
          </w:tcPr>
          <w:p w14:paraId="5DC702DB" w14:textId="4BEDCC38" w:rsidR="00A520F5" w:rsidRPr="00A520F5" w:rsidRDefault="00A520F5" w:rsidP="00A520F5">
            <w:pPr>
              <w:rPr>
                <w:rFonts w:cs="Arial"/>
              </w:rPr>
            </w:pPr>
            <w:r w:rsidRPr="00A520F5">
              <w:rPr>
                <w:rFonts w:eastAsia="Times New Roman" w:cs="Arial"/>
                <w:b/>
                <w:bCs/>
                <w:color w:val="000000"/>
                <w:szCs w:val="20"/>
                <w:lang w:eastAsia="bg-BG"/>
              </w:rPr>
              <w:t>Доза ентекавир</w:t>
            </w:r>
          </w:p>
        </w:tc>
      </w:tr>
      <w:tr w:rsidR="00A520F5" w14:paraId="2A7B3AA2" w14:textId="77777777" w:rsidTr="00A520F5">
        <w:tc>
          <w:tcPr>
            <w:tcW w:w="3192" w:type="dxa"/>
            <w:vMerge/>
          </w:tcPr>
          <w:p w14:paraId="517BC170" w14:textId="77777777" w:rsidR="00A520F5" w:rsidRPr="00A520F5" w:rsidRDefault="00A520F5" w:rsidP="00A520F5">
            <w:pPr>
              <w:rPr>
                <w:rFonts w:cs="Arial"/>
              </w:rPr>
            </w:pPr>
          </w:p>
        </w:tc>
        <w:tc>
          <w:tcPr>
            <w:tcW w:w="3192" w:type="dxa"/>
          </w:tcPr>
          <w:p w14:paraId="13B8BA36" w14:textId="4A06B498" w:rsidR="00A520F5" w:rsidRPr="00A520F5" w:rsidRDefault="00A520F5" w:rsidP="00A520F5">
            <w:pPr>
              <w:rPr>
                <w:rFonts w:cs="Arial"/>
              </w:rPr>
            </w:pPr>
            <w:r w:rsidRPr="00A520F5">
              <w:rPr>
                <w:rFonts w:cs="Arial"/>
                <w:szCs w:val="20"/>
              </w:rPr>
              <w:t>Пациенти, нелекувани с нуклеозиди</w:t>
            </w:r>
          </w:p>
        </w:tc>
        <w:tc>
          <w:tcPr>
            <w:tcW w:w="3192" w:type="dxa"/>
          </w:tcPr>
          <w:p w14:paraId="30CC58E6" w14:textId="7E4AFFCF" w:rsidR="00A520F5" w:rsidRPr="00A520F5" w:rsidRDefault="00A520F5" w:rsidP="00A520F5">
            <w:pPr>
              <w:rPr>
                <w:rFonts w:cs="Arial"/>
              </w:rPr>
            </w:pPr>
            <w:r w:rsidRPr="00A520F5">
              <w:rPr>
                <w:rFonts w:cs="Arial"/>
                <w:szCs w:val="20"/>
              </w:rPr>
              <w:t>Ламивудинова рефрактерност или декомпенсирано чернодробно заболяване</w:t>
            </w:r>
          </w:p>
        </w:tc>
      </w:tr>
      <w:tr w:rsidR="00A520F5" w14:paraId="26DD2177" w14:textId="77777777" w:rsidTr="00A520F5">
        <w:tc>
          <w:tcPr>
            <w:tcW w:w="3192" w:type="dxa"/>
          </w:tcPr>
          <w:p w14:paraId="548532D7" w14:textId="1CC3A08C" w:rsidR="00A520F5" w:rsidRPr="00A520F5" w:rsidRDefault="00A520F5" w:rsidP="00A520F5">
            <w:pPr>
              <w:rPr>
                <w:rFonts w:cs="Arial"/>
              </w:rPr>
            </w:pPr>
            <w:r w:rsidRPr="00A520F5">
              <w:rPr>
                <w:rFonts w:cs="Arial"/>
                <w:szCs w:val="20"/>
              </w:rPr>
              <w:t>≥50</w:t>
            </w:r>
          </w:p>
        </w:tc>
        <w:tc>
          <w:tcPr>
            <w:tcW w:w="3192" w:type="dxa"/>
          </w:tcPr>
          <w:p w14:paraId="14FC41B8" w14:textId="17F2CF3D" w:rsidR="00A520F5" w:rsidRPr="00A520F5" w:rsidRDefault="00A520F5" w:rsidP="00A520F5">
            <w:pPr>
              <w:rPr>
                <w:rFonts w:cs="Arial"/>
              </w:rPr>
            </w:pPr>
            <w:r w:rsidRPr="00A520F5">
              <w:rPr>
                <w:rFonts w:cs="Arial"/>
                <w:szCs w:val="20"/>
              </w:rPr>
              <w:t xml:space="preserve">0,5 </w:t>
            </w:r>
            <w:r w:rsidRPr="00A520F5">
              <w:rPr>
                <w:rFonts w:cs="Arial"/>
                <w:szCs w:val="20"/>
                <w:lang w:val="en-US"/>
              </w:rPr>
              <w:t xml:space="preserve">mg </w:t>
            </w:r>
            <w:r w:rsidRPr="00A520F5">
              <w:rPr>
                <w:rFonts w:cs="Arial"/>
                <w:szCs w:val="20"/>
              </w:rPr>
              <w:t>веднъж дневно</w:t>
            </w:r>
          </w:p>
        </w:tc>
        <w:tc>
          <w:tcPr>
            <w:tcW w:w="3192" w:type="dxa"/>
          </w:tcPr>
          <w:p w14:paraId="2C71DAA1" w14:textId="5905095C" w:rsidR="00A520F5" w:rsidRPr="00A520F5" w:rsidRDefault="00A520F5" w:rsidP="00A520F5">
            <w:pPr>
              <w:rPr>
                <w:rFonts w:cs="Arial"/>
              </w:rPr>
            </w:pPr>
            <w:r w:rsidRPr="00A520F5">
              <w:rPr>
                <w:rFonts w:cs="Arial"/>
                <w:szCs w:val="20"/>
              </w:rPr>
              <w:t xml:space="preserve">1 </w:t>
            </w:r>
            <w:r w:rsidRPr="00A520F5">
              <w:rPr>
                <w:rFonts w:cs="Arial"/>
                <w:szCs w:val="20"/>
                <w:lang w:val="en-US"/>
              </w:rPr>
              <w:t xml:space="preserve">mg </w:t>
            </w:r>
            <w:r w:rsidRPr="00A520F5">
              <w:rPr>
                <w:rFonts w:cs="Arial"/>
                <w:szCs w:val="20"/>
              </w:rPr>
              <w:t>веднъж дневно</w:t>
            </w:r>
          </w:p>
        </w:tc>
      </w:tr>
      <w:tr w:rsidR="00A520F5" w14:paraId="2B214EC6" w14:textId="77777777" w:rsidTr="00A520F5">
        <w:tc>
          <w:tcPr>
            <w:tcW w:w="3192" w:type="dxa"/>
          </w:tcPr>
          <w:p w14:paraId="0C5996F1" w14:textId="31450316" w:rsidR="00A520F5" w:rsidRPr="00A520F5" w:rsidRDefault="00A520F5" w:rsidP="00A520F5">
            <w:pPr>
              <w:rPr>
                <w:rFonts w:cs="Arial"/>
              </w:rPr>
            </w:pPr>
            <w:r w:rsidRPr="00A520F5">
              <w:rPr>
                <w:rFonts w:cs="Arial"/>
                <w:szCs w:val="20"/>
              </w:rPr>
              <w:t>30-49</w:t>
            </w:r>
          </w:p>
        </w:tc>
        <w:tc>
          <w:tcPr>
            <w:tcW w:w="3192" w:type="dxa"/>
          </w:tcPr>
          <w:p w14:paraId="640064AE" w14:textId="3F9435B7" w:rsidR="00A520F5" w:rsidRPr="00A520F5" w:rsidRDefault="00A520F5" w:rsidP="00A520F5">
            <w:pPr>
              <w:rPr>
                <w:rFonts w:cs="Arial"/>
              </w:rPr>
            </w:pPr>
            <w:r w:rsidRPr="00A520F5">
              <w:rPr>
                <w:rFonts w:cs="Arial"/>
                <w:szCs w:val="20"/>
              </w:rPr>
              <w:t xml:space="preserve">0,25 </w:t>
            </w:r>
            <w:r w:rsidRPr="00A520F5">
              <w:rPr>
                <w:rFonts w:cs="Arial"/>
                <w:szCs w:val="20"/>
                <w:lang w:val="en-US"/>
              </w:rPr>
              <w:t>mg</w:t>
            </w:r>
            <w:r w:rsidRPr="00A520F5">
              <w:rPr>
                <w:rFonts w:cs="Arial"/>
                <w:szCs w:val="20"/>
                <w:lang w:val="ru-RU"/>
              </w:rPr>
              <w:t xml:space="preserve"> </w:t>
            </w:r>
            <w:r w:rsidRPr="00A520F5">
              <w:rPr>
                <w:rFonts w:cs="Arial"/>
                <w:szCs w:val="20"/>
              </w:rPr>
              <w:t xml:space="preserve">веднъж дневно* ИЛИ 0,5 </w:t>
            </w:r>
            <w:r w:rsidRPr="00A520F5">
              <w:rPr>
                <w:rFonts w:cs="Arial"/>
                <w:szCs w:val="20"/>
                <w:lang w:val="en-US"/>
              </w:rPr>
              <w:t>mg</w:t>
            </w:r>
            <w:r w:rsidRPr="00A520F5">
              <w:rPr>
                <w:rFonts w:cs="Arial"/>
                <w:szCs w:val="20"/>
                <w:lang w:val="ru-RU"/>
              </w:rPr>
              <w:t xml:space="preserve"> </w:t>
            </w:r>
            <w:r w:rsidRPr="00A520F5">
              <w:rPr>
                <w:rFonts w:cs="Arial"/>
                <w:szCs w:val="20"/>
              </w:rPr>
              <w:t>на всеки 48 часа</w:t>
            </w:r>
          </w:p>
        </w:tc>
        <w:tc>
          <w:tcPr>
            <w:tcW w:w="3192" w:type="dxa"/>
          </w:tcPr>
          <w:p w14:paraId="7E234BD6" w14:textId="33DD7556" w:rsidR="00A520F5" w:rsidRPr="00A520F5" w:rsidRDefault="00A520F5" w:rsidP="00A520F5">
            <w:pPr>
              <w:rPr>
                <w:rFonts w:cs="Arial"/>
              </w:rPr>
            </w:pPr>
            <w:r w:rsidRPr="00A520F5">
              <w:rPr>
                <w:rFonts w:cs="Arial"/>
                <w:szCs w:val="20"/>
              </w:rPr>
              <w:t xml:space="preserve">0,5 </w:t>
            </w:r>
            <w:r w:rsidRPr="00A520F5">
              <w:rPr>
                <w:rFonts w:cs="Arial"/>
                <w:szCs w:val="20"/>
                <w:lang w:val="en-US"/>
              </w:rPr>
              <w:t xml:space="preserve">mg </w:t>
            </w:r>
            <w:r w:rsidRPr="00A520F5">
              <w:rPr>
                <w:rFonts w:cs="Arial"/>
                <w:szCs w:val="20"/>
              </w:rPr>
              <w:t>веднъж дневно</w:t>
            </w:r>
          </w:p>
        </w:tc>
      </w:tr>
      <w:tr w:rsidR="00A520F5" w14:paraId="4BB8FD0C" w14:textId="77777777" w:rsidTr="00A520F5">
        <w:tc>
          <w:tcPr>
            <w:tcW w:w="3192" w:type="dxa"/>
          </w:tcPr>
          <w:p w14:paraId="37D7C97D" w14:textId="51EB4580" w:rsidR="00A520F5" w:rsidRPr="00A520F5" w:rsidRDefault="00A520F5" w:rsidP="00A520F5">
            <w:pPr>
              <w:rPr>
                <w:rFonts w:cs="Arial"/>
              </w:rPr>
            </w:pPr>
            <w:r w:rsidRPr="00A520F5">
              <w:rPr>
                <w:rFonts w:cs="Arial"/>
                <w:szCs w:val="20"/>
              </w:rPr>
              <w:t>10-29</w:t>
            </w:r>
          </w:p>
        </w:tc>
        <w:tc>
          <w:tcPr>
            <w:tcW w:w="3192" w:type="dxa"/>
          </w:tcPr>
          <w:p w14:paraId="6C5985CB" w14:textId="49D6107F" w:rsidR="00A520F5" w:rsidRPr="00A520F5" w:rsidRDefault="00A520F5" w:rsidP="00A520F5">
            <w:pPr>
              <w:rPr>
                <w:rFonts w:cs="Arial"/>
              </w:rPr>
            </w:pPr>
            <w:r w:rsidRPr="00A520F5">
              <w:rPr>
                <w:rFonts w:cs="Arial"/>
                <w:szCs w:val="20"/>
              </w:rPr>
              <w:t xml:space="preserve">0,15 </w:t>
            </w:r>
            <w:r w:rsidRPr="00A520F5">
              <w:rPr>
                <w:rFonts w:cs="Arial"/>
                <w:szCs w:val="20"/>
                <w:lang w:val="en-US"/>
              </w:rPr>
              <w:t>mg</w:t>
            </w:r>
            <w:r w:rsidRPr="00A520F5">
              <w:rPr>
                <w:rFonts w:cs="Arial"/>
                <w:szCs w:val="20"/>
                <w:lang w:val="ru-RU"/>
              </w:rPr>
              <w:t xml:space="preserve"> </w:t>
            </w:r>
            <w:r w:rsidRPr="00A520F5">
              <w:rPr>
                <w:rFonts w:cs="Arial"/>
                <w:szCs w:val="20"/>
              </w:rPr>
              <w:t xml:space="preserve">веднъж дневно* ИЛИ 0,5 </w:t>
            </w:r>
            <w:r w:rsidRPr="00A520F5">
              <w:rPr>
                <w:rFonts w:cs="Arial"/>
                <w:szCs w:val="20"/>
                <w:lang w:val="en-US"/>
              </w:rPr>
              <w:t>mg</w:t>
            </w:r>
            <w:r w:rsidRPr="00A520F5">
              <w:rPr>
                <w:rFonts w:cs="Arial"/>
                <w:szCs w:val="20"/>
                <w:lang w:val="ru-RU"/>
              </w:rPr>
              <w:t xml:space="preserve"> </w:t>
            </w:r>
            <w:r w:rsidRPr="00A520F5">
              <w:rPr>
                <w:rFonts w:cs="Arial"/>
                <w:szCs w:val="20"/>
              </w:rPr>
              <w:t>на всеки 72 часа</w:t>
            </w:r>
          </w:p>
        </w:tc>
        <w:tc>
          <w:tcPr>
            <w:tcW w:w="3192" w:type="dxa"/>
          </w:tcPr>
          <w:p w14:paraId="3443BF8A" w14:textId="77777777" w:rsidR="00A520F5" w:rsidRPr="00A520F5" w:rsidRDefault="00A520F5" w:rsidP="00A520F5">
            <w:pPr>
              <w:rPr>
                <w:rFonts w:cs="Arial"/>
              </w:rPr>
            </w:pPr>
            <w:r w:rsidRPr="00A520F5">
              <w:rPr>
                <w:rFonts w:cs="Arial"/>
                <w:szCs w:val="20"/>
              </w:rPr>
              <w:t xml:space="preserve">0,3 </w:t>
            </w:r>
            <w:r w:rsidRPr="00A520F5">
              <w:rPr>
                <w:rFonts w:cs="Arial"/>
                <w:szCs w:val="20"/>
                <w:lang w:val="en-US"/>
              </w:rPr>
              <w:t>mg</w:t>
            </w:r>
            <w:r w:rsidRPr="00A520F5">
              <w:rPr>
                <w:rFonts w:cs="Arial"/>
                <w:szCs w:val="20"/>
              </w:rPr>
              <w:t xml:space="preserve"> веднъж дневно*</w:t>
            </w:r>
          </w:p>
          <w:p w14:paraId="2617DE16" w14:textId="77777777" w:rsidR="00A520F5" w:rsidRPr="00A520F5" w:rsidRDefault="00A520F5" w:rsidP="00A520F5">
            <w:pPr>
              <w:rPr>
                <w:rFonts w:cs="Arial"/>
              </w:rPr>
            </w:pPr>
            <w:r w:rsidRPr="00A520F5">
              <w:rPr>
                <w:rFonts w:cs="Arial"/>
                <w:szCs w:val="20"/>
              </w:rPr>
              <w:t>или</w:t>
            </w:r>
          </w:p>
          <w:p w14:paraId="416E9E3A" w14:textId="7CAFBA5F" w:rsidR="00A520F5" w:rsidRPr="00A520F5" w:rsidRDefault="00A520F5" w:rsidP="00A520F5">
            <w:pPr>
              <w:rPr>
                <w:rFonts w:cs="Arial"/>
              </w:rPr>
            </w:pPr>
            <w:r w:rsidRPr="00A520F5">
              <w:rPr>
                <w:rFonts w:cs="Arial"/>
                <w:szCs w:val="20"/>
              </w:rPr>
              <w:t xml:space="preserve">0,5 </w:t>
            </w:r>
            <w:r w:rsidRPr="00A520F5">
              <w:rPr>
                <w:rFonts w:cs="Arial"/>
                <w:szCs w:val="20"/>
                <w:lang w:val="en-US"/>
              </w:rPr>
              <w:t>mg</w:t>
            </w:r>
            <w:r w:rsidRPr="00A520F5">
              <w:rPr>
                <w:rFonts w:cs="Arial"/>
                <w:szCs w:val="20"/>
                <w:lang w:val="ru-RU"/>
              </w:rPr>
              <w:t xml:space="preserve"> </w:t>
            </w:r>
            <w:r w:rsidRPr="00A520F5">
              <w:rPr>
                <w:rFonts w:cs="Arial"/>
                <w:szCs w:val="20"/>
              </w:rPr>
              <w:t>на  всеки 48 часа</w:t>
            </w:r>
          </w:p>
        </w:tc>
      </w:tr>
      <w:tr w:rsidR="00A520F5" w14:paraId="76A705B2" w14:textId="77777777" w:rsidTr="00A520F5">
        <w:tc>
          <w:tcPr>
            <w:tcW w:w="3192" w:type="dxa"/>
          </w:tcPr>
          <w:p w14:paraId="12D0975E" w14:textId="7C8DBA2E" w:rsidR="00A520F5" w:rsidRPr="00A520F5" w:rsidRDefault="00A520F5" w:rsidP="00A520F5">
            <w:pPr>
              <w:rPr>
                <w:rFonts w:cs="Arial"/>
              </w:rPr>
            </w:pPr>
            <w:r w:rsidRPr="00A520F5">
              <w:rPr>
                <w:rFonts w:cs="Arial"/>
                <w:szCs w:val="20"/>
              </w:rPr>
              <w:t xml:space="preserve">&lt;10 Хемодиализа или </w:t>
            </w:r>
            <w:r w:rsidRPr="00A520F5">
              <w:rPr>
                <w:rFonts w:cs="Arial"/>
                <w:szCs w:val="20"/>
                <w:lang w:val="en-US"/>
              </w:rPr>
              <w:t>CAPD**</w:t>
            </w:r>
          </w:p>
        </w:tc>
        <w:tc>
          <w:tcPr>
            <w:tcW w:w="3192" w:type="dxa"/>
          </w:tcPr>
          <w:p w14:paraId="642C77A9" w14:textId="77777777" w:rsidR="00A520F5" w:rsidRPr="00A520F5" w:rsidRDefault="00A520F5" w:rsidP="00A520F5">
            <w:pPr>
              <w:rPr>
                <w:rFonts w:cs="Arial"/>
              </w:rPr>
            </w:pPr>
            <w:r w:rsidRPr="00A520F5">
              <w:rPr>
                <w:rFonts w:cs="Arial"/>
                <w:szCs w:val="20"/>
              </w:rPr>
              <w:t xml:space="preserve">0,05 </w:t>
            </w:r>
            <w:r w:rsidRPr="00A520F5">
              <w:rPr>
                <w:rFonts w:cs="Arial"/>
                <w:szCs w:val="20"/>
                <w:lang w:val="en-US"/>
              </w:rPr>
              <w:t>mg</w:t>
            </w:r>
            <w:r w:rsidRPr="00A520F5">
              <w:rPr>
                <w:rFonts w:cs="Arial"/>
                <w:szCs w:val="20"/>
                <w:lang w:val="ru-RU"/>
              </w:rPr>
              <w:t xml:space="preserve"> </w:t>
            </w:r>
            <w:r w:rsidRPr="00A520F5">
              <w:rPr>
                <w:rFonts w:cs="Arial"/>
                <w:szCs w:val="20"/>
              </w:rPr>
              <w:t>веднъж дневно* ИЛИ</w:t>
            </w:r>
          </w:p>
          <w:p w14:paraId="674BBB1A" w14:textId="18F77F77" w:rsidR="00A520F5" w:rsidRPr="00A520F5" w:rsidRDefault="00A520F5" w:rsidP="00A520F5">
            <w:pPr>
              <w:rPr>
                <w:rFonts w:cs="Arial"/>
              </w:rPr>
            </w:pPr>
            <w:r w:rsidRPr="00A520F5">
              <w:rPr>
                <w:rFonts w:cs="Arial"/>
                <w:szCs w:val="20"/>
              </w:rPr>
              <w:t xml:space="preserve">0,5 </w:t>
            </w:r>
            <w:r w:rsidRPr="00A520F5">
              <w:rPr>
                <w:rFonts w:cs="Arial"/>
                <w:szCs w:val="20"/>
                <w:lang w:val="en-US"/>
              </w:rPr>
              <w:t>mg</w:t>
            </w:r>
            <w:r w:rsidRPr="00A520F5">
              <w:rPr>
                <w:rFonts w:cs="Arial"/>
                <w:szCs w:val="20"/>
                <w:lang w:val="ru-RU"/>
              </w:rPr>
              <w:t xml:space="preserve"> </w:t>
            </w:r>
            <w:r w:rsidRPr="00A520F5">
              <w:rPr>
                <w:rFonts w:cs="Arial"/>
                <w:szCs w:val="20"/>
              </w:rPr>
              <w:t>на всеки 5-7 дни</w:t>
            </w:r>
          </w:p>
        </w:tc>
        <w:tc>
          <w:tcPr>
            <w:tcW w:w="3192" w:type="dxa"/>
          </w:tcPr>
          <w:p w14:paraId="69E1AF60" w14:textId="77777777" w:rsidR="00A520F5" w:rsidRPr="00A520F5" w:rsidRDefault="00A520F5" w:rsidP="00A520F5">
            <w:pPr>
              <w:rPr>
                <w:rFonts w:cs="Arial"/>
              </w:rPr>
            </w:pPr>
            <w:r w:rsidRPr="00A520F5">
              <w:rPr>
                <w:rFonts w:cs="Arial"/>
                <w:szCs w:val="20"/>
              </w:rPr>
              <w:t xml:space="preserve">0,1 </w:t>
            </w:r>
            <w:r w:rsidRPr="00A520F5">
              <w:rPr>
                <w:rFonts w:cs="Arial"/>
                <w:szCs w:val="20"/>
                <w:lang w:val="en-US"/>
              </w:rPr>
              <w:t>mg</w:t>
            </w:r>
            <w:r w:rsidRPr="00A520F5">
              <w:rPr>
                <w:rFonts w:cs="Arial"/>
                <w:szCs w:val="20"/>
              </w:rPr>
              <w:t xml:space="preserve"> веднъж дневно</w:t>
            </w:r>
          </w:p>
          <w:p w14:paraId="1211EA18" w14:textId="77777777" w:rsidR="00A520F5" w:rsidRPr="00A520F5" w:rsidRDefault="00A520F5" w:rsidP="00A520F5">
            <w:pPr>
              <w:rPr>
                <w:rFonts w:cs="Arial"/>
              </w:rPr>
            </w:pPr>
            <w:r w:rsidRPr="00A520F5">
              <w:rPr>
                <w:rFonts w:cs="Arial"/>
                <w:szCs w:val="20"/>
              </w:rPr>
              <w:t>или</w:t>
            </w:r>
          </w:p>
          <w:p w14:paraId="5F55B8FF" w14:textId="544E43A1" w:rsidR="00A520F5" w:rsidRPr="00A520F5" w:rsidRDefault="00A520F5" w:rsidP="00A520F5">
            <w:pPr>
              <w:rPr>
                <w:rFonts w:cs="Arial"/>
              </w:rPr>
            </w:pPr>
            <w:r w:rsidRPr="00A520F5">
              <w:rPr>
                <w:rFonts w:cs="Arial"/>
                <w:szCs w:val="20"/>
              </w:rPr>
              <w:t xml:space="preserve">0,5 </w:t>
            </w:r>
            <w:r w:rsidRPr="00A520F5">
              <w:rPr>
                <w:rFonts w:cs="Arial"/>
                <w:szCs w:val="20"/>
                <w:lang w:val="en-US"/>
              </w:rPr>
              <w:t>mg</w:t>
            </w:r>
            <w:r w:rsidRPr="00A520F5">
              <w:rPr>
                <w:rFonts w:cs="Arial"/>
                <w:szCs w:val="20"/>
              </w:rPr>
              <w:t xml:space="preserve"> на всеки 72 часа</w:t>
            </w:r>
          </w:p>
        </w:tc>
      </w:tr>
    </w:tbl>
    <w:p w14:paraId="22D3DF3E" w14:textId="72BD0ED9" w:rsidR="00A520F5" w:rsidRPr="00A520F5" w:rsidRDefault="00A520F5" w:rsidP="00A520F5">
      <w:pPr>
        <w:rPr>
          <w:rFonts w:cs="Arial"/>
          <w:szCs w:val="20"/>
        </w:rPr>
      </w:pPr>
      <w:r w:rsidRPr="00A520F5">
        <w:rPr>
          <w:rFonts w:cs="Arial"/>
          <w:szCs w:val="20"/>
        </w:rPr>
        <w:t xml:space="preserve">* За дози &lt; 0,5 </w:t>
      </w:r>
      <w:r w:rsidRPr="00A520F5">
        <w:rPr>
          <w:rFonts w:cs="Arial"/>
          <w:szCs w:val="20"/>
          <w:lang w:val="en-US"/>
        </w:rPr>
        <w:t>mg</w:t>
      </w:r>
      <w:r w:rsidRPr="00A520F5">
        <w:rPr>
          <w:rFonts w:cs="Arial"/>
          <w:szCs w:val="20"/>
          <w:lang w:val="ru-RU"/>
        </w:rPr>
        <w:t xml:space="preserve"> </w:t>
      </w:r>
      <w:r w:rsidRPr="00A520F5">
        <w:rPr>
          <w:rFonts w:cs="Arial"/>
          <w:szCs w:val="20"/>
        </w:rPr>
        <w:t>ентекавир се препоръчва перорален разтвор</w:t>
      </w:r>
    </w:p>
    <w:p w14:paraId="5B6A432A" w14:textId="77777777" w:rsidR="00A520F5" w:rsidRPr="00A520F5" w:rsidRDefault="00A520F5" w:rsidP="00A520F5">
      <w:pPr>
        <w:spacing w:line="240" w:lineRule="auto"/>
        <w:rPr>
          <w:rFonts w:eastAsia="Times New Roman" w:cs="Arial"/>
          <w:sz w:val="28"/>
          <w:szCs w:val="24"/>
        </w:rPr>
      </w:pPr>
      <w:r w:rsidRPr="00A520F5">
        <w:rPr>
          <w:rFonts w:eastAsia="Times New Roman" w:cs="Arial"/>
          <w:i/>
          <w:iCs/>
          <w:color w:val="000000"/>
          <w:szCs w:val="20"/>
          <w:lang w:eastAsia="bg-BG"/>
        </w:rPr>
        <w:t>** В</w:t>
      </w:r>
      <w:r w:rsidRPr="00A520F5">
        <w:rPr>
          <w:rFonts w:eastAsia="Times New Roman" w:cs="Arial"/>
          <w:color w:val="000000"/>
          <w:szCs w:val="20"/>
          <w:lang w:eastAsia="bg-BG"/>
        </w:rPr>
        <w:t xml:space="preserve"> дните на хемодиализа да се прилага ентекавир след хемодиализата.</w:t>
      </w:r>
    </w:p>
    <w:p w14:paraId="020EE9B2" w14:textId="77777777" w:rsidR="00A520F5" w:rsidRPr="00A520F5" w:rsidRDefault="00A520F5" w:rsidP="00A520F5">
      <w:pPr>
        <w:spacing w:line="240" w:lineRule="auto"/>
        <w:rPr>
          <w:rFonts w:eastAsia="Times New Roman" w:cs="Arial"/>
          <w:i/>
          <w:iCs/>
          <w:color w:val="000000"/>
          <w:szCs w:val="20"/>
          <w:lang w:eastAsia="bg-BG"/>
        </w:rPr>
      </w:pPr>
    </w:p>
    <w:p w14:paraId="169F974C" w14:textId="492A97D0" w:rsidR="00A520F5" w:rsidRPr="00A520F5" w:rsidRDefault="00A520F5" w:rsidP="00A520F5">
      <w:pPr>
        <w:spacing w:line="240" w:lineRule="auto"/>
        <w:rPr>
          <w:rFonts w:eastAsia="Times New Roman" w:cs="Arial"/>
          <w:sz w:val="28"/>
          <w:szCs w:val="24"/>
        </w:rPr>
      </w:pPr>
      <w:r w:rsidRPr="00A520F5">
        <w:rPr>
          <w:rFonts w:eastAsia="Times New Roman" w:cs="Arial"/>
          <w:i/>
          <w:iCs/>
          <w:color w:val="000000"/>
          <w:szCs w:val="20"/>
          <w:lang w:eastAsia="bg-BG"/>
        </w:rPr>
        <w:t>Чернодробно увреждане:</w:t>
      </w:r>
      <w:r w:rsidRPr="00A520F5">
        <w:rPr>
          <w:rFonts w:eastAsia="Times New Roman" w:cs="Arial"/>
          <w:color w:val="000000"/>
          <w:szCs w:val="20"/>
          <w:lang w:eastAsia="bg-BG"/>
        </w:rPr>
        <w:t xml:space="preserve"> не е необходима промяна на дозата при пациенти с чернодробно нарушение.</w:t>
      </w:r>
    </w:p>
    <w:p w14:paraId="49231330" w14:textId="77777777" w:rsidR="00A520F5" w:rsidRPr="00A520F5" w:rsidRDefault="00A520F5" w:rsidP="00A520F5">
      <w:pPr>
        <w:spacing w:line="240" w:lineRule="auto"/>
        <w:rPr>
          <w:rFonts w:eastAsia="Times New Roman" w:cs="Arial"/>
          <w:color w:val="000000"/>
          <w:szCs w:val="20"/>
          <w:u w:val="single"/>
          <w:lang w:eastAsia="bg-BG"/>
        </w:rPr>
      </w:pPr>
    </w:p>
    <w:p w14:paraId="0500B16C" w14:textId="77777777" w:rsidR="00A520F5" w:rsidRPr="00A520F5" w:rsidRDefault="00A520F5" w:rsidP="00A520F5">
      <w:pPr>
        <w:pStyle w:val="Heading3"/>
        <w:rPr>
          <w:rFonts w:eastAsia="Times New Roman"/>
          <w:u w:val="single"/>
          <w:lang w:eastAsia="bg-BG"/>
        </w:rPr>
      </w:pPr>
      <w:r w:rsidRPr="00A520F5">
        <w:rPr>
          <w:rFonts w:eastAsia="Times New Roman"/>
          <w:u w:val="single"/>
          <w:lang w:eastAsia="bg-BG"/>
        </w:rPr>
        <w:t xml:space="preserve">Начин на приложение </w:t>
      </w:r>
    </w:p>
    <w:p w14:paraId="037C0DD0" w14:textId="39336D9B" w:rsidR="00A520F5" w:rsidRPr="00A520F5" w:rsidRDefault="00A520F5" w:rsidP="00A520F5">
      <w:pPr>
        <w:spacing w:line="240" w:lineRule="auto"/>
        <w:rPr>
          <w:rFonts w:eastAsia="Times New Roman" w:cs="Arial"/>
          <w:sz w:val="28"/>
          <w:szCs w:val="24"/>
        </w:rPr>
      </w:pPr>
      <w:r w:rsidRPr="00A520F5">
        <w:rPr>
          <w:rFonts w:eastAsia="Times New Roman" w:cs="Arial"/>
          <w:color w:val="000000"/>
          <w:szCs w:val="20"/>
          <w:lang w:eastAsia="bg-BG"/>
        </w:rPr>
        <w:t>Перорална употреба.</w:t>
      </w:r>
    </w:p>
    <w:p w14:paraId="6B54DA0A" w14:textId="77777777" w:rsidR="00A520F5" w:rsidRPr="00A520F5" w:rsidRDefault="00A520F5" w:rsidP="00A520F5"/>
    <w:p w14:paraId="0F253247" w14:textId="60E72F7F" w:rsidR="007122AD" w:rsidRDefault="002C50EE" w:rsidP="00936AD0">
      <w:pPr>
        <w:pStyle w:val="Heading2"/>
      </w:pPr>
      <w:r>
        <w:t>4.3. Противопоказания</w:t>
      </w:r>
    </w:p>
    <w:p w14:paraId="201617F8" w14:textId="0AA2501A" w:rsidR="00775E52" w:rsidRDefault="00775E52" w:rsidP="00775E52"/>
    <w:p w14:paraId="0FE7A21B" w14:textId="47EB790D" w:rsidR="00775E52" w:rsidRPr="00775E52" w:rsidRDefault="00775E52" w:rsidP="00775E52">
      <w:pPr>
        <w:rPr>
          <w:sz w:val="24"/>
          <w:szCs w:val="24"/>
        </w:rPr>
      </w:pPr>
      <w:r w:rsidRPr="00775E52">
        <w:rPr>
          <w:lang w:eastAsia="bg-BG"/>
        </w:rPr>
        <w:t>Свръхчувствителност към активното вещество или към някое от помощните вещества, изброени в точка 6.1.</w:t>
      </w:r>
    </w:p>
    <w:p w14:paraId="57EA9C4A" w14:textId="630EC5A5" w:rsidR="00A520F5" w:rsidRDefault="00A520F5" w:rsidP="00A520F5"/>
    <w:p w14:paraId="34EC1B7C" w14:textId="77777777" w:rsidR="00775E52" w:rsidRPr="007122AD" w:rsidRDefault="00775E52" w:rsidP="00775E52">
      <w:pPr>
        <w:pStyle w:val="Heading2"/>
      </w:pPr>
      <w:r>
        <w:t>4.4. Специални предупреждения и предпазни мерки при употреба</w:t>
      </w:r>
    </w:p>
    <w:p w14:paraId="48C1266E" w14:textId="77777777" w:rsidR="00775E52" w:rsidRDefault="00775E52" w:rsidP="00A520F5"/>
    <w:p w14:paraId="67DAED4F" w14:textId="77777777" w:rsidR="00A520F5" w:rsidRPr="00A520F5" w:rsidRDefault="00A520F5" w:rsidP="00A520F5">
      <w:pPr>
        <w:spacing w:line="240" w:lineRule="auto"/>
        <w:rPr>
          <w:rFonts w:eastAsia="Times New Roman" w:cs="Arial"/>
          <w:sz w:val="28"/>
          <w:szCs w:val="24"/>
        </w:rPr>
      </w:pPr>
      <w:r w:rsidRPr="00A520F5">
        <w:rPr>
          <w:rFonts w:eastAsia="Times New Roman" w:cs="Arial"/>
          <w:i/>
          <w:iCs/>
          <w:color w:val="000000"/>
          <w:szCs w:val="20"/>
          <w:lang w:eastAsia="bg-BG"/>
        </w:rPr>
        <w:t>Бъбречно увреждане:</w:t>
      </w:r>
      <w:r w:rsidRPr="00A520F5">
        <w:rPr>
          <w:rFonts w:eastAsia="Times New Roman" w:cs="Arial"/>
          <w:color w:val="000000"/>
          <w:szCs w:val="20"/>
          <w:lang w:eastAsia="bg-BG"/>
        </w:rPr>
        <w:t xml:space="preserve"> промяна на дозата се препоръчва при пациенти с бъбречно увреждане (вж. точка 4.2). Предлаганите корекции на дозата се основават на екстраполация от ограничени данни, а тяхната безопасност и ефективност не са оценявани клинично. Поради тази причина вирусологичният отговор трябва да се следи внимателно.</w:t>
      </w:r>
    </w:p>
    <w:p w14:paraId="3A131E8A" w14:textId="77777777" w:rsidR="00A520F5" w:rsidRPr="00775E52" w:rsidRDefault="00A520F5" w:rsidP="00A520F5">
      <w:pPr>
        <w:spacing w:line="240" w:lineRule="auto"/>
        <w:rPr>
          <w:rFonts w:eastAsia="Times New Roman" w:cs="Arial"/>
          <w:i/>
          <w:iCs/>
          <w:color w:val="000000"/>
          <w:szCs w:val="20"/>
          <w:lang w:eastAsia="bg-BG"/>
        </w:rPr>
      </w:pPr>
    </w:p>
    <w:p w14:paraId="54CEEC4E" w14:textId="7BF32659" w:rsidR="00A520F5" w:rsidRPr="00A520F5" w:rsidRDefault="00A520F5" w:rsidP="00A520F5">
      <w:pPr>
        <w:spacing w:line="240" w:lineRule="auto"/>
        <w:rPr>
          <w:rFonts w:eastAsia="Times New Roman" w:cs="Arial"/>
          <w:sz w:val="28"/>
          <w:szCs w:val="24"/>
        </w:rPr>
      </w:pPr>
      <w:r w:rsidRPr="00A520F5">
        <w:rPr>
          <w:rFonts w:eastAsia="Times New Roman" w:cs="Arial"/>
          <w:i/>
          <w:iCs/>
          <w:color w:val="000000"/>
          <w:szCs w:val="20"/>
          <w:lang w:eastAsia="bg-BG"/>
        </w:rPr>
        <w:t>Екзацербации на хепатита:</w:t>
      </w:r>
      <w:r w:rsidRPr="00A520F5">
        <w:rPr>
          <w:rFonts w:eastAsia="Times New Roman" w:cs="Arial"/>
          <w:color w:val="000000"/>
          <w:szCs w:val="20"/>
          <w:lang w:eastAsia="bg-BG"/>
        </w:rPr>
        <w:t xml:space="preserve"> спонтанните екзацербации на хроничния хепатит В са относително чести и се характеризират с преходно повишаване на серумната </w:t>
      </w:r>
      <w:r w:rsidRPr="00A520F5">
        <w:rPr>
          <w:rFonts w:eastAsia="Times New Roman" w:cs="Arial"/>
          <w:color w:val="000000"/>
          <w:szCs w:val="20"/>
          <w:lang w:val="en-US"/>
        </w:rPr>
        <w:t>ALT</w:t>
      </w:r>
      <w:r w:rsidRPr="00A520F5">
        <w:rPr>
          <w:rFonts w:eastAsia="Times New Roman" w:cs="Arial"/>
          <w:color w:val="000000"/>
          <w:szCs w:val="20"/>
          <w:lang w:val="ru-RU"/>
        </w:rPr>
        <w:t xml:space="preserve">. </w:t>
      </w:r>
      <w:r w:rsidRPr="00A520F5">
        <w:rPr>
          <w:rFonts w:eastAsia="Times New Roman" w:cs="Arial"/>
          <w:color w:val="000000"/>
          <w:szCs w:val="20"/>
          <w:lang w:eastAsia="bg-BG"/>
        </w:rPr>
        <w:t xml:space="preserve">След започване на антивирусното лечение серумната </w:t>
      </w:r>
      <w:r w:rsidRPr="00A520F5">
        <w:rPr>
          <w:rFonts w:eastAsia="Times New Roman" w:cs="Arial"/>
          <w:color w:val="000000"/>
          <w:szCs w:val="20"/>
          <w:lang w:val="en-US"/>
        </w:rPr>
        <w:t>ALT</w:t>
      </w:r>
      <w:r w:rsidRPr="00A520F5">
        <w:rPr>
          <w:rFonts w:eastAsia="Times New Roman" w:cs="Arial"/>
          <w:color w:val="000000"/>
          <w:szCs w:val="20"/>
          <w:lang w:val="ru-RU"/>
        </w:rPr>
        <w:t xml:space="preserve"> </w:t>
      </w:r>
      <w:r w:rsidRPr="00A520F5">
        <w:rPr>
          <w:rFonts w:eastAsia="Times New Roman" w:cs="Arial"/>
          <w:color w:val="000000"/>
          <w:szCs w:val="20"/>
          <w:lang w:eastAsia="bg-BG"/>
        </w:rPr>
        <w:t xml:space="preserve">може да се увеличи при някои пациенти, като нивата на серумната </w:t>
      </w:r>
      <w:r w:rsidRPr="00A520F5">
        <w:rPr>
          <w:rFonts w:eastAsia="Times New Roman" w:cs="Arial"/>
          <w:color w:val="000000"/>
          <w:szCs w:val="20"/>
          <w:lang w:val="en-US"/>
        </w:rPr>
        <w:t>HBV</w:t>
      </w:r>
      <w:r w:rsidRPr="00A520F5">
        <w:rPr>
          <w:rFonts w:eastAsia="Times New Roman" w:cs="Arial"/>
          <w:color w:val="000000"/>
          <w:szCs w:val="20"/>
          <w:lang w:val="ru-RU"/>
        </w:rPr>
        <w:t xml:space="preserve"> </w:t>
      </w:r>
      <w:r w:rsidRPr="00A520F5">
        <w:rPr>
          <w:rFonts w:eastAsia="Times New Roman" w:cs="Arial"/>
          <w:color w:val="000000"/>
          <w:szCs w:val="20"/>
          <w:lang w:eastAsia="bg-BG"/>
        </w:rPr>
        <w:t xml:space="preserve">ДНК намаляват (вж. точка 4.8). Сред лекуваните с ентекавир пациенти средното време за поява на екзацербациите при лечение е 4-5 </w:t>
      </w:r>
      <w:r w:rsidRPr="00A520F5">
        <w:rPr>
          <w:rFonts w:eastAsia="Times New Roman" w:cs="Arial"/>
          <w:color w:val="000000"/>
          <w:szCs w:val="20"/>
          <w:lang w:eastAsia="bg-BG"/>
        </w:rPr>
        <w:lastRenderedPageBreak/>
        <w:t xml:space="preserve">седмици. При пациентите с компенсирано чернодробно заболяване тези повишения на серумната </w:t>
      </w:r>
      <w:r w:rsidRPr="00A520F5">
        <w:rPr>
          <w:rFonts w:eastAsia="Times New Roman" w:cs="Arial"/>
          <w:color w:val="000000"/>
          <w:szCs w:val="20"/>
          <w:lang w:val="en-US"/>
        </w:rPr>
        <w:t>ALT</w:t>
      </w:r>
      <w:r w:rsidRPr="00A520F5">
        <w:rPr>
          <w:rFonts w:eastAsia="Times New Roman" w:cs="Arial"/>
          <w:color w:val="000000"/>
          <w:szCs w:val="20"/>
          <w:lang w:val="ru-RU"/>
        </w:rPr>
        <w:t xml:space="preserve"> </w:t>
      </w:r>
      <w:r w:rsidRPr="00A520F5">
        <w:rPr>
          <w:rFonts w:eastAsia="Times New Roman" w:cs="Arial"/>
          <w:color w:val="000000"/>
          <w:szCs w:val="20"/>
          <w:lang w:eastAsia="bg-BG"/>
        </w:rPr>
        <w:t>обикновено не са придружени с повишаване на концентрациите на серумния билирубин или чернодробна декомпенсация. Пациентите с напреднало чернодробно заболяване или цироза може да бъдат с повишен риск от чернодробна декомпенсация в резултат на екзацербацията на хепатита, поради което трябва да бъдат редовно проследявани по време на лечението.</w:t>
      </w:r>
    </w:p>
    <w:p w14:paraId="0A0E2A10" w14:textId="77777777" w:rsidR="00A520F5" w:rsidRPr="00775E52" w:rsidRDefault="00A520F5" w:rsidP="00A520F5">
      <w:pPr>
        <w:spacing w:line="240" w:lineRule="auto"/>
        <w:rPr>
          <w:rFonts w:eastAsia="Times New Roman" w:cs="Arial"/>
          <w:color w:val="000000"/>
          <w:szCs w:val="20"/>
          <w:lang w:eastAsia="bg-BG"/>
        </w:rPr>
      </w:pPr>
    </w:p>
    <w:p w14:paraId="214C48CD" w14:textId="0A8777DE" w:rsidR="00A520F5" w:rsidRPr="00A520F5" w:rsidRDefault="00A520F5" w:rsidP="00A520F5">
      <w:pPr>
        <w:spacing w:line="240" w:lineRule="auto"/>
        <w:rPr>
          <w:rFonts w:eastAsia="Times New Roman" w:cs="Arial"/>
          <w:sz w:val="28"/>
          <w:szCs w:val="24"/>
        </w:rPr>
      </w:pPr>
      <w:r w:rsidRPr="00A520F5">
        <w:rPr>
          <w:rFonts w:eastAsia="Times New Roman" w:cs="Arial"/>
          <w:color w:val="000000"/>
          <w:szCs w:val="20"/>
          <w:lang w:eastAsia="bg-BG"/>
        </w:rPr>
        <w:t xml:space="preserve">Остра екзацербация на хепатита е докладвана и при пациенти, прекратили лечението на хепатит В (вж. точка 4.2). Появяващите се след прекратяване на лечението екзацербации обикновено са свързани с повишаване на </w:t>
      </w:r>
      <w:r w:rsidRPr="00A520F5">
        <w:rPr>
          <w:rFonts w:eastAsia="Times New Roman" w:cs="Arial"/>
          <w:color w:val="000000"/>
          <w:szCs w:val="20"/>
          <w:lang w:val="en-US"/>
        </w:rPr>
        <w:t>HBV</w:t>
      </w:r>
      <w:r w:rsidRPr="00A520F5">
        <w:rPr>
          <w:rFonts w:eastAsia="Times New Roman" w:cs="Arial"/>
          <w:color w:val="000000"/>
          <w:szCs w:val="20"/>
          <w:lang w:val="ru-RU"/>
        </w:rPr>
        <w:t xml:space="preserve"> </w:t>
      </w:r>
      <w:r w:rsidRPr="00A520F5">
        <w:rPr>
          <w:rFonts w:eastAsia="Times New Roman" w:cs="Arial"/>
          <w:color w:val="000000"/>
          <w:szCs w:val="20"/>
          <w:lang w:eastAsia="bg-BG"/>
        </w:rPr>
        <w:t>ДНК, като в по-голяма част от случаите са самоограничаващи се. Въпреки това има данни за тежки, включително фатални, екзацербации.</w:t>
      </w:r>
    </w:p>
    <w:p w14:paraId="0691997F" w14:textId="77777777" w:rsidR="00A520F5" w:rsidRPr="00A520F5" w:rsidRDefault="00A520F5" w:rsidP="00A520F5">
      <w:pPr>
        <w:spacing w:line="240" w:lineRule="auto"/>
        <w:rPr>
          <w:rFonts w:eastAsia="Times New Roman" w:cs="Arial"/>
          <w:sz w:val="28"/>
          <w:szCs w:val="24"/>
        </w:rPr>
      </w:pPr>
      <w:r w:rsidRPr="00A520F5">
        <w:rPr>
          <w:rFonts w:eastAsia="Times New Roman" w:cs="Arial"/>
          <w:color w:val="000000"/>
          <w:szCs w:val="20"/>
          <w:lang w:eastAsia="bg-BG"/>
        </w:rPr>
        <w:t xml:space="preserve">Сред нелекуваните преди това с нуклеозиди пациенти, лекувани с ентекавир, времето за поява на екзацербации след прекратяване на лечението е средно 23 - 24 седмици, като повечето от тях се наблюдават при </w:t>
      </w:r>
      <w:r w:rsidRPr="00A520F5">
        <w:rPr>
          <w:rFonts w:eastAsia="Times New Roman" w:cs="Arial"/>
          <w:color w:val="000000"/>
          <w:szCs w:val="20"/>
          <w:lang w:val="en-US"/>
        </w:rPr>
        <w:t>HBeAg</w:t>
      </w:r>
      <w:r w:rsidRPr="00A520F5">
        <w:rPr>
          <w:rFonts w:eastAsia="Times New Roman" w:cs="Arial"/>
          <w:color w:val="000000"/>
          <w:szCs w:val="20"/>
          <w:lang w:val="ru-RU"/>
        </w:rPr>
        <w:t xml:space="preserve"> </w:t>
      </w:r>
      <w:r w:rsidRPr="00A520F5">
        <w:rPr>
          <w:rFonts w:eastAsia="Times New Roman" w:cs="Arial"/>
          <w:color w:val="000000"/>
          <w:szCs w:val="20"/>
          <w:lang w:eastAsia="bg-BG"/>
        </w:rPr>
        <w:t>отрицателни пациенти (вж. точка 4.8). Чернодробната функция трябва да бъде проследявана на повтарящи се интервали, като това включва както клинично, така и лабораторно проследяване най-малко 6 месеца след прекратяване на лечението на хепатит В. Ако е оправдано, лечението на хепатит В може да се възобнови.</w:t>
      </w:r>
    </w:p>
    <w:p w14:paraId="5E78202C" w14:textId="77777777" w:rsidR="00A520F5" w:rsidRPr="00775E52" w:rsidRDefault="00A520F5" w:rsidP="00A520F5">
      <w:pPr>
        <w:spacing w:line="240" w:lineRule="auto"/>
        <w:rPr>
          <w:rFonts w:eastAsia="Times New Roman" w:cs="Arial"/>
          <w:i/>
          <w:iCs/>
          <w:color w:val="000000"/>
          <w:szCs w:val="20"/>
          <w:lang w:eastAsia="bg-BG"/>
        </w:rPr>
      </w:pPr>
    </w:p>
    <w:p w14:paraId="1ABA5962" w14:textId="34B352B1" w:rsidR="00A520F5" w:rsidRPr="00A520F5" w:rsidRDefault="00A520F5" w:rsidP="00A520F5">
      <w:pPr>
        <w:spacing w:line="240" w:lineRule="auto"/>
        <w:rPr>
          <w:rFonts w:eastAsia="Times New Roman" w:cs="Arial"/>
          <w:sz w:val="28"/>
          <w:szCs w:val="24"/>
        </w:rPr>
      </w:pPr>
      <w:r w:rsidRPr="00A520F5">
        <w:rPr>
          <w:rFonts w:eastAsia="Times New Roman" w:cs="Arial"/>
          <w:i/>
          <w:iCs/>
          <w:color w:val="000000"/>
          <w:szCs w:val="20"/>
          <w:lang w:eastAsia="bg-BG"/>
        </w:rPr>
        <w:t>Пациенти с декомпенсирано чернодробно заболяване:</w:t>
      </w:r>
      <w:r w:rsidRPr="00A520F5">
        <w:rPr>
          <w:rFonts w:eastAsia="Times New Roman" w:cs="Arial"/>
          <w:color w:val="000000"/>
          <w:szCs w:val="20"/>
          <w:lang w:eastAsia="bg-BG"/>
        </w:rPr>
        <w:t xml:space="preserve"> при пациентите с декомпенсирано чернодробно заболяване и по-специално при тези с </w:t>
      </w:r>
      <w:r w:rsidRPr="00A520F5">
        <w:rPr>
          <w:rFonts w:eastAsia="Times New Roman" w:cs="Arial"/>
          <w:color w:val="000000"/>
          <w:szCs w:val="20"/>
          <w:lang w:val="en-US"/>
        </w:rPr>
        <w:t>Child</w:t>
      </w:r>
      <w:r w:rsidRPr="00A520F5">
        <w:rPr>
          <w:rFonts w:eastAsia="Times New Roman" w:cs="Arial"/>
          <w:color w:val="000000"/>
          <w:szCs w:val="20"/>
          <w:lang w:val="ru-RU"/>
        </w:rPr>
        <w:t>-</w:t>
      </w:r>
      <w:r w:rsidRPr="00A520F5">
        <w:rPr>
          <w:rFonts w:eastAsia="Times New Roman" w:cs="Arial"/>
          <w:color w:val="000000"/>
          <w:szCs w:val="20"/>
          <w:lang w:val="en-US"/>
        </w:rPr>
        <w:t>Turcotte</w:t>
      </w:r>
      <w:r w:rsidRPr="00A520F5">
        <w:rPr>
          <w:rFonts w:eastAsia="Times New Roman" w:cs="Arial"/>
          <w:color w:val="000000"/>
          <w:szCs w:val="20"/>
          <w:lang w:val="ru-RU"/>
        </w:rPr>
        <w:t>-</w:t>
      </w:r>
      <w:r w:rsidRPr="00A520F5">
        <w:rPr>
          <w:rFonts w:eastAsia="Times New Roman" w:cs="Arial"/>
          <w:color w:val="000000"/>
          <w:szCs w:val="20"/>
          <w:lang w:val="en-US"/>
        </w:rPr>
        <w:t>Pugh</w:t>
      </w:r>
      <w:r w:rsidRPr="00A520F5">
        <w:rPr>
          <w:rFonts w:eastAsia="Times New Roman" w:cs="Arial"/>
          <w:color w:val="000000"/>
          <w:szCs w:val="20"/>
          <w:lang w:val="ru-RU"/>
        </w:rPr>
        <w:t xml:space="preserve"> </w:t>
      </w:r>
      <w:r w:rsidRPr="00A520F5">
        <w:rPr>
          <w:rFonts w:eastAsia="Times New Roman" w:cs="Arial"/>
          <w:color w:val="000000"/>
          <w:szCs w:val="20"/>
          <w:lang w:eastAsia="bg-BG"/>
        </w:rPr>
        <w:t>(СТР) клас С заболяване е наблюдавана по-висока честота на тежки чернодробни нежелани събития (независимо от причинността) в сравнение с честотата при пациентите с компенсирана чернодробна функция. Също така пациентите с декомпенсирано чернодробно заболяване са изложени на по-висок риск от лактатна ацидоза и на специфични бъбречни нежелани събития като хепаторенален синдром. Затова при тази популация пациенти клиничните и лабораторните параметри трябва да бъдат следени внимателно (вж. също точки 4.8 и 5.1)</w:t>
      </w:r>
    </w:p>
    <w:p w14:paraId="5C51443A" w14:textId="77777777" w:rsidR="00A520F5" w:rsidRPr="00775E52" w:rsidRDefault="00A520F5" w:rsidP="00A520F5">
      <w:pPr>
        <w:rPr>
          <w:rFonts w:eastAsia="Times New Roman" w:cs="Arial"/>
          <w:i/>
          <w:iCs/>
          <w:color w:val="000000"/>
          <w:szCs w:val="20"/>
          <w:lang w:eastAsia="bg-BG"/>
        </w:rPr>
      </w:pPr>
    </w:p>
    <w:p w14:paraId="6EBBB424" w14:textId="77777777" w:rsidR="00775E52" w:rsidRPr="00775E52" w:rsidRDefault="00A520F5" w:rsidP="00775E52">
      <w:pPr>
        <w:rPr>
          <w:rFonts w:eastAsia="Times New Roman" w:cs="Arial"/>
          <w:sz w:val="28"/>
          <w:szCs w:val="24"/>
        </w:rPr>
      </w:pPr>
      <w:r w:rsidRPr="00775E52">
        <w:rPr>
          <w:rFonts w:eastAsia="Times New Roman" w:cs="Arial"/>
          <w:i/>
          <w:iCs/>
          <w:color w:val="000000"/>
          <w:szCs w:val="20"/>
          <w:lang w:eastAsia="bg-BG"/>
        </w:rPr>
        <w:t>Лактатна ацидоза и тежка хепатомегалия със стеатоза:</w:t>
      </w:r>
      <w:r w:rsidRPr="00775E52">
        <w:rPr>
          <w:rFonts w:eastAsia="Times New Roman" w:cs="Arial"/>
          <w:color w:val="000000"/>
          <w:szCs w:val="20"/>
          <w:lang w:eastAsia="bg-BG"/>
        </w:rPr>
        <w:t xml:space="preserve"> появата на лактатна ацидоза (без хипоксемия), понякога фатална, обикновено придружена с тежка хепатомегалия и</w:t>
      </w:r>
      <w:r w:rsidR="00775E52" w:rsidRPr="00775E52">
        <w:rPr>
          <w:rFonts w:eastAsia="Times New Roman" w:cs="Arial"/>
          <w:color w:val="000000"/>
          <w:szCs w:val="20"/>
          <w:lang w:val="ru-RU" w:eastAsia="bg-BG"/>
        </w:rPr>
        <w:t xml:space="preserve"> </w:t>
      </w:r>
      <w:r w:rsidR="00775E52" w:rsidRPr="00775E52">
        <w:rPr>
          <w:rFonts w:eastAsia="Times New Roman" w:cs="Arial"/>
          <w:color w:val="000000"/>
          <w:szCs w:val="20"/>
          <w:lang w:eastAsia="bg-BG"/>
        </w:rPr>
        <w:t>чернодробна стеатоза, е наблюдавана при употребата на нуклеозидни аналози. Тъй като ентекавир е нуклеозиден аналог, този риск не може да бъде изключен. Лечението с нуклеозидни аналози трябва да бъде преустановено при появата на бързо покачване на нивата на аминотрансферазите, прогресивна хепатомегалия или метаболитна/лактатна ацидоза с неизвестна етиология. Доброкачествените храносмилателни симптоми като гадене, повръщане и коремни болки могат да са показателни за развитието на лактатна ацидоза. Тежките случаи, понякога с фатален изход, са свързани с панкреатит, чернодробна недостатъчност/чернодробна стеатоза, бъбречна недостатъчност и повишени нива на серумен лактат.</w:t>
      </w:r>
    </w:p>
    <w:p w14:paraId="31FAB234" w14:textId="77777777" w:rsidR="00775E52" w:rsidRPr="00775E52" w:rsidRDefault="00775E52" w:rsidP="00775E52">
      <w:pPr>
        <w:spacing w:line="240" w:lineRule="auto"/>
        <w:rPr>
          <w:rFonts w:eastAsia="Times New Roman" w:cs="Arial"/>
          <w:sz w:val="28"/>
          <w:szCs w:val="24"/>
        </w:rPr>
      </w:pPr>
      <w:r w:rsidRPr="00775E52">
        <w:rPr>
          <w:rFonts w:eastAsia="Times New Roman" w:cs="Arial"/>
          <w:color w:val="000000"/>
          <w:szCs w:val="20"/>
          <w:lang w:eastAsia="bg-BG"/>
        </w:rPr>
        <w:t>Необходимо е повишено внимание при предписването на нуклеозидни аналози при всеки пациент (особено жени със затлъстяване) с хепатомегалия, хепатит или други известни рискови фактори за чернодробно заболяване. Тези пациенти трябва да бъдат проследявани редовно.</w:t>
      </w:r>
    </w:p>
    <w:p w14:paraId="799348BB" w14:textId="77777777" w:rsidR="00775E52" w:rsidRPr="00775E52" w:rsidRDefault="00775E52" w:rsidP="00775E52">
      <w:pPr>
        <w:spacing w:line="240" w:lineRule="auto"/>
        <w:rPr>
          <w:rFonts w:eastAsia="Times New Roman" w:cs="Arial"/>
          <w:sz w:val="28"/>
          <w:szCs w:val="24"/>
        </w:rPr>
      </w:pPr>
      <w:r w:rsidRPr="00775E52">
        <w:rPr>
          <w:rFonts w:eastAsia="Times New Roman" w:cs="Arial"/>
          <w:color w:val="000000"/>
          <w:szCs w:val="20"/>
          <w:lang w:eastAsia="bg-BG"/>
        </w:rPr>
        <w:t xml:space="preserve">За разграничаване на повишаването на аминотрансферазите като отговор на лечението и повишаването, което е потенциално свързано с лактатна ацидоза, лекарите трябва да се уверят, че промените в </w:t>
      </w:r>
      <w:r w:rsidRPr="00775E52">
        <w:rPr>
          <w:rFonts w:eastAsia="Times New Roman" w:cs="Arial"/>
          <w:color w:val="000000"/>
          <w:szCs w:val="20"/>
          <w:lang w:val="en-US"/>
        </w:rPr>
        <w:t>ALT</w:t>
      </w:r>
      <w:r w:rsidRPr="00775E52">
        <w:rPr>
          <w:rFonts w:eastAsia="Times New Roman" w:cs="Arial"/>
          <w:color w:val="000000"/>
          <w:szCs w:val="20"/>
          <w:lang w:val="ru-RU"/>
        </w:rPr>
        <w:t xml:space="preserve"> </w:t>
      </w:r>
      <w:r w:rsidRPr="00775E52">
        <w:rPr>
          <w:rFonts w:eastAsia="Times New Roman" w:cs="Arial"/>
          <w:color w:val="000000"/>
          <w:szCs w:val="20"/>
          <w:lang w:eastAsia="bg-BG"/>
        </w:rPr>
        <w:t>са свързани с подобрението на другите лабораторни маркери при хроничния хепатит В.</w:t>
      </w:r>
    </w:p>
    <w:p w14:paraId="19A9FE8B" w14:textId="77777777" w:rsidR="00775E52" w:rsidRPr="00775E52" w:rsidRDefault="00775E52" w:rsidP="00775E52">
      <w:pPr>
        <w:spacing w:line="240" w:lineRule="auto"/>
        <w:rPr>
          <w:rFonts w:eastAsia="Times New Roman" w:cs="Arial"/>
          <w:i/>
          <w:iCs/>
          <w:color w:val="000000"/>
          <w:szCs w:val="20"/>
          <w:lang w:eastAsia="bg-BG"/>
        </w:rPr>
      </w:pPr>
    </w:p>
    <w:p w14:paraId="225A37F4" w14:textId="7D50A3D4" w:rsidR="00775E52" w:rsidRPr="00775E52" w:rsidRDefault="00775E52" w:rsidP="00775E52">
      <w:pPr>
        <w:spacing w:line="240" w:lineRule="auto"/>
        <w:rPr>
          <w:rFonts w:eastAsia="Times New Roman" w:cs="Arial"/>
          <w:sz w:val="28"/>
          <w:szCs w:val="24"/>
        </w:rPr>
      </w:pPr>
      <w:r w:rsidRPr="00775E52">
        <w:rPr>
          <w:rFonts w:eastAsia="Times New Roman" w:cs="Arial"/>
          <w:i/>
          <w:iCs/>
          <w:color w:val="000000"/>
          <w:szCs w:val="20"/>
          <w:lang w:eastAsia="bg-BG"/>
        </w:rPr>
        <w:lastRenderedPageBreak/>
        <w:t xml:space="preserve">Резистентност и специални предупреждения за ламивудин-рефрактерни пациенти: </w:t>
      </w:r>
      <w:r w:rsidRPr="00775E52">
        <w:rPr>
          <w:rFonts w:eastAsia="Times New Roman" w:cs="Arial"/>
          <w:color w:val="000000"/>
          <w:szCs w:val="20"/>
          <w:lang w:eastAsia="bg-BG"/>
        </w:rPr>
        <w:t xml:space="preserve">мутациите в </w:t>
      </w:r>
      <w:r w:rsidRPr="00775E52">
        <w:rPr>
          <w:rFonts w:eastAsia="Times New Roman" w:cs="Arial"/>
          <w:color w:val="000000"/>
          <w:szCs w:val="20"/>
          <w:lang w:val="en-US"/>
        </w:rPr>
        <w:t>HBV</w:t>
      </w:r>
      <w:r w:rsidRPr="00775E52">
        <w:rPr>
          <w:rFonts w:eastAsia="Times New Roman" w:cs="Arial"/>
          <w:color w:val="000000"/>
          <w:szCs w:val="20"/>
          <w:lang w:val="ru-RU"/>
        </w:rPr>
        <w:t xml:space="preserve"> </w:t>
      </w:r>
      <w:r w:rsidRPr="00775E52">
        <w:rPr>
          <w:rFonts w:eastAsia="Times New Roman" w:cs="Arial"/>
          <w:color w:val="000000"/>
          <w:szCs w:val="20"/>
          <w:lang w:eastAsia="bg-BG"/>
        </w:rPr>
        <w:t xml:space="preserve">полимеразата, които кодират замени, определящи ламивудиновата резистентност, могат да доведат до последващо възникване на вторични замени, включително такива, свързани с резистентност към ентекавир </w:t>
      </w:r>
      <w:r w:rsidRPr="00775E52">
        <w:rPr>
          <w:rFonts w:eastAsia="Times New Roman" w:cs="Arial"/>
          <w:color w:val="000000"/>
          <w:szCs w:val="20"/>
          <w:lang w:val="ru-RU"/>
        </w:rPr>
        <w:t>(</w:t>
      </w:r>
      <w:r w:rsidRPr="00775E52">
        <w:rPr>
          <w:rFonts w:eastAsia="Times New Roman" w:cs="Arial"/>
          <w:color w:val="000000"/>
          <w:szCs w:val="20"/>
          <w:lang w:val="en-US"/>
        </w:rPr>
        <w:t>ETVr</w:t>
      </w:r>
      <w:r w:rsidRPr="00775E52">
        <w:rPr>
          <w:rFonts w:eastAsia="Times New Roman" w:cs="Arial"/>
          <w:color w:val="000000"/>
          <w:szCs w:val="20"/>
          <w:lang w:val="ru-RU"/>
        </w:rPr>
        <w:t xml:space="preserve">). </w:t>
      </w:r>
      <w:r w:rsidRPr="00775E52">
        <w:rPr>
          <w:rFonts w:eastAsia="Times New Roman" w:cs="Arial"/>
          <w:color w:val="000000"/>
          <w:szCs w:val="20"/>
          <w:lang w:eastAsia="bg-BG"/>
        </w:rPr>
        <w:t xml:space="preserve">При малък процент от ламивудин-рефрактерните пациенти са установени замествания на </w:t>
      </w:r>
      <w:r w:rsidRPr="00775E52">
        <w:rPr>
          <w:rFonts w:eastAsia="Times New Roman" w:cs="Arial"/>
          <w:color w:val="000000"/>
          <w:szCs w:val="20"/>
          <w:lang w:val="en-US"/>
        </w:rPr>
        <w:t>ETVr</w:t>
      </w:r>
      <w:r w:rsidRPr="00775E52">
        <w:rPr>
          <w:rFonts w:eastAsia="Times New Roman" w:cs="Arial"/>
          <w:color w:val="000000"/>
          <w:szCs w:val="20"/>
          <w:lang w:val="ru-RU"/>
        </w:rPr>
        <w:t xml:space="preserve"> </w:t>
      </w:r>
      <w:r w:rsidRPr="00775E52">
        <w:rPr>
          <w:rFonts w:eastAsia="Times New Roman" w:cs="Arial"/>
          <w:color w:val="000000"/>
          <w:szCs w:val="20"/>
          <w:lang w:eastAsia="bg-BG"/>
        </w:rPr>
        <w:t xml:space="preserve">при остатъците </w:t>
      </w:r>
      <w:r w:rsidRPr="00775E52">
        <w:rPr>
          <w:rFonts w:eastAsia="Times New Roman" w:cs="Arial"/>
          <w:color w:val="000000"/>
          <w:szCs w:val="20"/>
          <w:lang w:val="en-US"/>
        </w:rPr>
        <w:t>rtT</w:t>
      </w:r>
      <w:r w:rsidRPr="00775E52">
        <w:rPr>
          <w:rFonts w:eastAsia="Times New Roman" w:cs="Arial"/>
          <w:color w:val="000000"/>
          <w:szCs w:val="20"/>
          <w:lang w:val="ru-RU"/>
        </w:rPr>
        <w:t xml:space="preserve">184, </w:t>
      </w:r>
      <w:r w:rsidRPr="00775E52">
        <w:rPr>
          <w:rFonts w:eastAsia="Times New Roman" w:cs="Arial"/>
          <w:color w:val="000000"/>
          <w:szCs w:val="20"/>
          <w:lang w:val="en-US"/>
        </w:rPr>
        <w:t>rtS</w:t>
      </w:r>
      <w:r w:rsidRPr="00775E52">
        <w:rPr>
          <w:rFonts w:eastAsia="Times New Roman" w:cs="Arial"/>
          <w:color w:val="000000"/>
          <w:szCs w:val="20"/>
          <w:lang w:val="ru-RU"/>
        </w:rPr>
        <w:t xml:space="preserve">202 </w:t>
      </w:r>
      <w:r w:rsidRPr="00775E52">
        <w:rPr>
          <w:rFonts w:eastAsia="Times New Roman" w:cs="Arial"/>
          <w:color w:val="000000"/>
          <w:szCs w:val="20"/>
          <w:lang w:eastAsia="bg-BG"/>
        </w:rPr>
        <w:t xml:space="preserve">или </w:t>
      </w:r>
      <w:r w:rsidRPr="00775E52">
        <w:rPr>
          <w:rFonts w:eastAsia="Times New Roman" w:cs="Arial"/>
          <w:color w:val="000000"/>
          <w:szCs w:val="20"/>
          <w:lang w:val="en-US"/>
        </w:rPr>
        <w:t>rtM</w:t>
      </w:r>
      <w:r w:rsidRPr="00775E52">
        <w:rPr>
          <w:rFonts w:eastAsia="Times New Roman" w:cs="Arial"/>
          <w:color w:val="000000"/>
          <w:szCs w:val="20"/>
          <w:lang w:val="ru-RU"/>
        </w:rPr>
        <w:t xml:space="preserve">250 </w:t>
      </w:r>
      <w:r w:rsidRPr="00775E52">
        <w:rPr>
          <w:rFonts w:eastAsia="Times New Roman" w:cs="Arial"/>
          <w:color w:val="000000"/>
          <w:szCs w:val="20"/>
          <w:lang w:eastAsia="bg-BG"/>
        </w:rPr>
        <w:t xml:space="preserve">на изходно ниво. Пациенти с ламивудин-резистентен </w:t>
      </w:r>
      <w:r w:rsidRPr="00775E52">
        <w:rPr>
          <w:rFonts w:eastAsia="Times New Roman" w:cs="Arial"/>
          <w:color w:val="000000"/>
          <w:szCs w:val="20"/>
          <w:lang w:val="en-US"/>
        </w:rPr>
        <w:t>HBV</w:t>
      </w:r>
      <w:r w:rsidRPr="00775E52">
        <w:rPr>
          <w:rFonts w:eastAsia="Times New Roman" w:cs="Arial"/>
          <w:color w:val="000000"/>
          <w:szCs w:val="20"/>
          <w:lang w:val="ru-RU"/>
        </w:rPr>
        <w:t xml:space="preserve"> </w:t>
      </w:r>
      <w:r w:rsidRPr="00775E52">
        <w:rPr>
          <w:rFonts w:eastAsia="Times New Roman" w:cs="Arial"/>
          <w:color w:val="000000"/>
          <w:szCs w:val="20"/>
          <w:lang w:eastAsia="bg-BG"/>
        </w:rPr>
        <w:t xml:space="preserve">са с по-висок риск от развитие на последваща резистентност към ентекавир, отколкото пациенти без резистентност към ламивудин. Кумулативната вероятност от поява на генотипна резистентност към ентекавир след 1, 2, 3, 4 и 5 години лечение при ламивудин- рефрактерните проучвания е съответно 6%, 15%, 36%, 47% и 51%. Вирусологичният отговор трябва често да се проследява при ламивудин-рефрактерната популация и да се правят съответните изследвания за резистентност. При пациенти със субоптимален вирусологичен отговор след 24-седмично лечение с ентекавир трябва да се обсъди промяна на лечението (вж. точки 4.5 и 5.1). При започване на лечение при пациенти с анамнеза за ламивудин-резистентен </w:t>
      </w:r>
      <w:r w:rsidRPr="00775E52">
        <w:rPr>
          <w:rFonts w:eastAsia="Times New Roman" w:cs="Arial"/>
          <w:color w:val="000000"/>
          <w:szCs w:val="20"/>
          <w:lang w:val="en-US"/>
        </w:rPr>
        <w:t>HBV</w:t>
      </w:r>
      <w:r w:rsidRPr="00775E52">
        <w:rPr>
          <w:rFonts w:eastAsia="Times New Roman" w:cs="Arial"/>
          <w:color w:val="000000"/>
          <w:szCs w:val="20"/>
          <w:lang w:val="ru-RU"/>
        </w:rPr>
        <w:t xml:space="preserve"> </w:t>
      </w:r>
      <w:r w:rsidRPr="00775E52">
        <w:rPr>
          <w:rFonts w:eastAsia="Times New Roman" w:cs="Arial"/>
          <w:color w:val="000000"/>
          <w:szCs w:val="20"/>
          <w:lang w:eastAsia="bg-BG"/>
        </w:rPr>
        <w:t>комбинираната употреба на ентекавир с второ антивирусно средство (което не показва кръстосана резистентност с ламивудин или ентекавир) следва да се предпочита пред монотерапия с ентекавир.</w:t>
      </w:r>
    </w:p>
    <w:p w14:paraId="1BD57F32" w14:textId="77777777" w:rsidR="00775E52" w:rsidRPr="00775E52" w:rsidRDefault="00775E52" w:rsidP="00775E52">
      <w:pPr>
        <w:spacing w:line="240" w:lineRule="auto"/>
        <w:rPr>
          <w:rFonts w:eastAsia="Times New Roman" w:cs="Arial"/>
          <w:color w:val="000000"/>
          <w:szCs w:val="20"/>
          <w:lang w:eastAsia="bg-BG"/>
        </w:rPr>
      </w:pPr>
    </w:p>
    <w:p w14:paraId="7A215597" w14:textId="2996DE28" w:rsidR="00775E52" w:rsidRPr="00775E52" w:rsidRDefault="00775E52" w:rsidP="00775E52">
      <w:pPr>
        <w:spacing w:line="240" w:lineRule="auto"/>
        <w:rPr>
          <w:rFonts w:eastAsia="Times New Roman" w:cs="Arial"/>
          <w:sz w:val="28"/>
          <w:szCs w:val="24"/>
        </w:rPr>
      </w:pPr>
      <w:r w:rsidRPr="00775E52">
        <w:rPr>
          <w:rFonts w:eastAsia="Times New Roman" w:cs="Arial"/>
          <w:color w:val="000000"/>
          <w:szCs w:val="20"/>
          <w:lang w:eastAsia="bg-BG"/>
        </w:rPr>
        <w:t xml:space="preserve">Съществуващ по-рано ламивудин-резистентен </w:t>
      </w:r>
      <w:r w:rsidRPr="00775E52">
        <w:rPr>
          <w:rFonts w:eastAsia="Times New Roman" w:cs="Arial"/>
          <w:color w:val="000000"/>
          <w:szCs w:val="20"/>
          <w:lang w:val="en-US"/>
        </w:rPr>
        <w:t>HBV</w:t>
      </w:r>
      <w:r w:rsidRPr="00775E52">
        <w:rPr>
          <w:rFonts w:eastAsia="Times New Roman" w:cs="Arial"/>
          <w:color w:val="000000"/>
          <w:szCs w:val="20"/>
          <w:lang w:val="ru-RU"/>
        </w:rPr>
        <w:t xml:space="preserve"> </w:t>
      </w:r>
      <w:r w:rsidRPr="00775E52">
        <w:rPr>
          <w:rFonts w:eastAsia="Times New Roman" w:cs="Arial"/>
          <w:color w:val="000000"/>
          <w:szCs w:val="20"/>
          <w:lang w:eastAsia="bg-BG"/>
        </w:rPr>
        <w:t xml:space="preserve">се асоциира с по-висок риск за последваща резистентност към ентекавир независимо от степента на чернодробното заболяване; при пациенти с декомпенсирано чернодробно заболяване вирусологичният пробив може да бъде асоцииран със сериозни клинични усложнения на основното чернодробно заболяване. Затова при пациенти с декомпенсирано чернодробно заболяване и ламивудин-резистентен </w:t>
      </w:r>
      <w:r w:rsidRPr="00775E52">
        <w:rPr>
          <w:rFonts w:eastAsia="Times New Roman" w:cs="Arial"/>
          <w:color w:val="000000"/>
          <w:szCs w:val="20"/>
          <w:lang w:val="en-US"/>
        </w:rPr>
        <w:t>HBV</w:t>
      </w:r>
      <w:r w:rsidRPr="00775E52">
        <w:rPr>
          <w:rFonts w:eastAsia="Times New Roman" w:cs="Arial"/>
          <w:color w:val="000000"/>
          <w:szCs w:val="20"/>
          <w:lang w:val="ru-RU"/>
        </w:rPr>
        <w:t xml:space="preserve"> </w:t>
      </w:r>
      <w:r w:rsidRPr="00775E52">
        <w:rPr>
          <w:rFonts w:eastAsia="Times New Roman" w:cs="Arial"/>
          <w:color w:val="000000"/>
          <w:szCs w:val="20"/>
          <w:lang w:eastAsia="bg-BG"/>
        </w:rPr>
        <w:t>комбинираната употреба на ентекавир с второ антивирусно средство (което не показва кръстосана резистентност с ламивудин или ентекавир) следва да се предпочита пред монотерапия с ентекавир.</w:t>
      </w:r>
    </w:p>
    <w:p w14:paraId="2FA87543" w14:textId="77777777" w:rsidR="00775E52" w:rsidRPr="00775E52" w:rsidRDefault="00775E52" w:rsidP="00775E52">
      <w:pPr>
        <w:spacing w:line="240" w:lineRule="auto"/>
        <w:rPr>
          <w:rFonts w:eastAsia="Times New Roman" w:cs="Arial"/>
          <w:i/>
          <w:iCs/>
          <w:color w:val="000000"/>
          <w:szCs w:val="20"/>
          <w:lang w:eastAsia="bg-BG"/>
        </w:rPr>
      </w:pPr>
    </w:p>
    <w:p w14:paraId="6BDD8CC5" w14:textId="687D72C2" w:rsidR="00775E52" w:rsidRPr="00775E52" w:rsidRDefault="00775E52" w:rsidP="00775E52">
      <w:pPr>
        <w:spacing w:line="240" w:lineRule="auto"/>
        <w:rPr>
          <w:rFonts w:eastAsia="Times New Roman" w:cs="Arial"/>
          <w:sz w:val="28"/>
          <w:szCs w:val="24"/>
        </w:rPr>
      </w:pPr>
      <w:r w:rsidRPr="00775E52">
        <w:rPr>
          <w:rFonts w:eastAsia="Times New Roman" w:cs="Arial"/>
          <w:i/>
          <w:iCs/>
          <w:color w:val="000000"/>
          <w:szCs w:val="20"/>
          <w:lang w:eastAsia="bg-BG"/>
        </w:rPr>
        <w:t>Педиатрична популация:</w:t>
      </w:r>
      <w:r w:rsidRPr="00775E52">
        <w:rPr>
          <w:rFonts w:eastAsia="Times New Roman" w:cs="Arial"/>
          <w:color w:val="000000"/>
          <w:szCs w:val="20"/>
          <w:lang w:eastAsia="bg-BG"/>
        </w:rPr>
        <w:t xml:space="preserve"> наблюдаван е по-нисък вирусологичен отговор </w:t>
      </w:r>
      <w:r w:rsidRPr="00775E52">
        <w:rPr>
          <w:rFonts w:eastAsia="Times New Roman" w:cs="Arial"/>
          <w:color w:val="000000"/>
          <w:szCs w:val="20"/>
          <w:lang w:val="ru-RU"/>
        </w:rPr>
        <w:t>(</w:t>
      </w:r>
      <w:r w:rsidRPr="00775E52">
        <w:rPr>
          <w:rFonts w:eastAsia="Times New Roman" w:cs="Arial"/>
          <w:color w:val="000000"/>
          <w:szCs w:val="20"/>
          <w:lang w:val="en-US"/>
        </w:rPr>
        <w:t>HBV</w:t>
      </w:r>
      <w:r w:rsidRPr="00775E52">
        <w:rPr>
          <w:rFonts w:eastAsia="Times New Roman" w:cs="Arial"/>
          <w:color w:val="000000"/>
          <w:szCs w:val="20"/>
          <w:lang w:val="ru-RU"/>
        </w:rPr>
        <w:t xml:space="preserve"> </w:t>
      </w:r>
      <w:r w:rsidRPr="00775E52">
        <w:rPr>
          <w:rFonts w:eastAsia="Times New Roman" w:cs="Arial"/>
          <w:color w:val="000000"/>
          <w:szCs w:val="20"/>
          <w:lang w:eastAsia="bg-BG"/>
        </w:rPr>
        <w:t xml:space="preserve">ДНК &lt;50 </w:t>
      </w:r>
      <w:r w:rsidRPr="00775E52">
        <w:rPr>
          <w:rFonts w:eastAsia="Times New Roman" w:cs="Arial"/>
          <w:color w:val="000000"/>
          <w:szCs w:val="20"/>
          <w:lang w:val="en-US"/>
        </w:rPr>
        <w:t>IU</w:t>
      </w:r>
      <w:r w:rsidRPr="00775E52">
        <w:rPr>
          <w:rFonts w:eastAsia="Times New Roman" w:cs="Arial"/>
          <w:color w:val="000000"/>
          <w:szCs w:val="20"/>
          <w:lang w:val="ru-RU"/>
        </w:rPr>
        <w:t>/</w:t>
      </w:r>
      <w:r w:rsidRPr="00775E52">
        <w:rPr>
          <w:rFonts w:eastAsia="Times New Roman" w:cs="Arial"/>
          <w:color w:val="000000"/>
          <w:szCs w:val="20"/>
          <w:lang w:val="en-US"/>
        </w:rPr>
        <w:t>ml</w:t>
      </w:r>
      <w:r w:rsidRPr="00775E52">
        <w:rPr>
          <w:rFonts w:eastAsia="Times New Roman" w:cs="Arial"/>
          <w:color w:val="000000"/>
          <w:szCs w:val="20"/>
          <w:lang w:val="ru-RU"/>
        </w:rPr>
        <w:t xml:space="preserve">) </w:t>
      </w:r>
      <w:r w:rsidRPr="00775E52">
        <w:rPr>
          <w:rFonts w:eastAsia="Times New Roman" w:cs="Arial"/>
          <w:color w:val="000000"/>
          <w:szCs w:val="20"/>
          <w:lang w:eastAsia="bg-BG"/>
        </w:rPr>
        <w:t xml:space="preserve">при педиатрични пациенти с изходно ниво на </w:t>
      </w:r>
      <w:r w:rsidRPr="00775E52">
        <w:rPr>
          <w:rFonts w:eastAsia="Times New Roman" w:cs="Arial"/>
          <w:color w:val="000000"/>
          <w:szCs w:val="20"/>
          <w:lang w:val="en-US"/>
        </w:rPr>
        <w:t>HBV</w:t>
      </w:r>
      <w:r w:rsidRPr="00775E52">
        <w:rPr>
          <w:rFonts w:eastAsia="Times New Roman" w:cs="Arial"/>
          <w:color w:val="000000"/>
          <w:szCs w:val="20"/>
          <w:lang w:val="ru-RU"/>
        </w:rPr>
        <w:t xml:space="preserve"> </w:t>
      </w:r>
      <w:r w:rsidRPr="00775E52">
        <w:rPr>
          <w:rFonts w:eastAsia="Times New Roman" w:cs="Arial"/>
          <w:color w:val="000000"/>
          <w:szCs w:val="20"/>
          <w:lang w:eastAsia="bg-BG"/>
        </w:rPr>
        <w:t xml:space="preserve">ДНК ≥8,0 </w:t>
      </w:r>
      <w:r w:rsidRPr="00775E52">
        <w:rPr>
          <w:rFonts w:eastAsia="Times New Roman" w:cs="Arial"/>
          <w:color w:val="000000"/>
          <w:szCs w:val="20"/>
          <w:lang w:val="en-US"/>
        </w:rPr>
        <w:t>log</w:t>
      </w:r>
      <w:r w:rsidRPr="00775E52">
        <w:rPr>
          <w:rFonts w:eastAsia="Times New Roman" w:cs="Arial"/>
          <w:color w:val="000000"/>
          <w:szCs w:val="20"/>
          <w:vertAlign w:val="subscript"/>
          <w:lang w:val="ru-RU"/>
        </w:rPr>
        <w:t>10</w:t>
      </w:r>
      <w:r w:rsidRPr="00775E52">
        <w:rPr>
          <w:rFonts w:eastAsia="Times New Roman" w:cs="Arial"/>
          <w:color w:val="000000"/>
          <w:szCs w:val="20"/>
          <w:lang w:val="ru-RU"/>
        </w:rPr>
        <w:t xml:space="preserve"> </w:t>
      </w:r>
      <w:r w:rsidRPr="00775E52">
        <w:rPr>
          <w:rFonts w:eastAsia="Times New Roman" w:cs="Arial"/>
          <w:color w:val="000000"/>
          <w:szCs w:val="20"/>
          <w:lang w:val="en-US"/>
        </w:rPr>
        <w:t>IU</w:t>
      </w:r>
      <w:r w:rsidRPr="00775E52">
        <w:rPr>
          <w:rFonts w:eastAsia="Times New Roman" w:cs="Arial"/>
          <w:color w:val="000000"/>
          <w:szCs w:val="20"/>
          <w:lang w:val="ru-RU"/>
        </w:rPr>
        <w:t>/</w:t>
      </w:r>
      <w:r w:rsidRPr="00775E52">
        <w:rPr>
          <w:rFonts w:eastAsia="Times New Roman" w:cs="Arial"/>
          <w:color w:val="000000"/>
          <w:szCs w:val="20"/>
          <w:lang w:val="en-US"/>
        </w:rPr>
        <w:t>ml</w:t>
      </w:r>
      <w:r w:rsidRPr="00775E52">
        <w:rPr>
          <w:rFonts w:eastAsia="Times New Roman" w:cs="Arial"/>
          <w:color w:val="000000"/>
          <w:szCs w:val="20"/>
          <w:lang w:val="ru-RU"/>
        </w:rPr>
        <w:t xml:space="preserve"> </w:t>
      </w:r>
      <w:r w:rsidRPr="00775E52">
        <w:rPr>
          <w:rFonts w:eastAsia="Times New Roman" w:cs="Arial"/>
          <w:color w:val="000000"/>
          <w:szCs w:val="20"/>
          <w:lang w:eastAsia="bg-BG"/>
        </w:rPr>
        <w:t>(вж. точка 5.1). Ентекавир може да бъде използван при тези пациенти само ако потенциалната полза оправдава потенциалния риск за детето (напр. резистентност). Тъй като някои педиатрични пациенти може да се нуждаят от продължително или дори доживотно лечение на хроничен активен хепатит В, трябва да се обмисли какво въздействие ще има ентекавир върху възможностите за лечение в бъдеще.</w:t>
      </w:r>
    </w:p>
    <w:p w14:paraId="6BC1F450" w14:textId="77777777" w:rsidR="00775E52" w:rsidRPr="00775E52" w:rsidRDefault="00775E52" w:rsidP="00775E52">
      <w:pPr>
        <w:spacing w:line="240" w:lineRule="auto"/>
        <w:rPr>
          <w:rFonts w:eastAsia="Times New Roman" w:cs="Arial"/>
          <w:i/>
          <w:iCs/>
          <w:color w:val="000000"/>
          <w:szCs w:val="20"/>
          <w:lang w:eastAsia="bg-BG"/>
        </w:rPr>
      </w:pPr>
    </w:p>
    <w:p w14:paraId="2D6E58C7" w14:textId="0AC69714" w:rsidR="00775E52" w:rsidRPr="00775E52" w:rsidRDefault="00775E52" w:rsidP="00775E52">
      <w:pPr>
        <w:spacing w:line="240" w:lineRule="auto"/>
        <w:rPr>
          <w:rFonts w:eastAsia="Times New Roman" w:cs="Arial"/>
          <w:color w:val="000000"/>
          <w:szCs w:val="20"/>
          <w:lang w:eastAsia="bg-BG"/>
        </w:rPr>
      </w:pPr>
      <w:r w:rsidRPr="00775E52">
        <w:rPr>
          <w:rFonts w:eastAsia="Times New Roman" w:cs="Arial"/>
          <w:i/>
          <w:iCs/>
          <w:color w:val="000000"/>
          <w:szCs w:val="20"/>
          <w:lang w:eastAsia="bg-BG"/>
        </w:rPr>
        <w:t>Пациенти с чернодробна трансплантация:</w:t>
      </w:r>
      <w:r w:rsidRPr="00775E52">
        <w:rPr>
          <w:rFonts w:eastAsia="Times New Roman" w:cs="Arial"/>
          <w:color w:val="000000"/>
          <w:szCs w:val="20"/>
          <w:lang w:eastAsia="bg-BG"/>
        </w:rPr>
        <w:t xml:space="preserve"> необходима е внимателна оценка на бъбречната функция преди и по време на лечението с ентекавир при пациенти с чернодробна трансплантация, които приемат циклоспорин или такролимус (вж. точка 5.2).</w:t>
      </w:r>
    </w:p>
    <w:p w14:paraId="7F9E9109" w14:textId="012EFE02" w:rsidR="00775E52" w:rsidRPr="00775E52" w:rsidRDefault="00775E52" w:rsidP="00775E52">
      <w:pPr>
        <w:spacing w:line="240" w:lineRule="auto"/>
        <w:rPr>
          <w:rFonts w:eastAsia="Times New Roman" w:cs="Arial"/>
          <w:color w:val="000000"/>
          <w:szCs w:val="20"/>
          <w:lang w:eastAsia="bg-BG"/>
        </w:rPr>
      </w:pPr>
    </w:p>
    <w:p w14:paraId="2E88F87B" w14:textId="77777777" w:rsidR="00775E52" w:rsidRPr="00775E52" w:rsidRDefault="00775E52" w:rsidP="00775E52">
      <w:pPr>
        <w:spacing w:line="240" w:lineRule="auto"/>
        <w:rPr>
          <w:rFonts w:eastAsia="Times New Roman" w:cs="Arial"/>
          <w:sz w:val="28"/>
          <w:szCs w:val="24"/>
        </w:rPr>
      </w:pPr>
      <w:r w:rsidRPr="00775E52">
        <w:rPr>
          <w:rFonts w:eastAsia="Times New Roman" w:cs="Arial"/>
          <w:i/>
          <w:iCs/>
          <w:color w:val="000000"/>
          <w:szCs w:val="20"/>
          <w:lang w:eastAsia="bg-BG"/>
        </w:rPr>
        <w:t xml:space="preserve">Пациенти, едновременно инфектирани с хепатит С или </w:t>
      </w:r>
      <w:r w:rsidRPr="00775E52">
        <w:rPr>
          <w:rFonts w:eastAsia="Times New Roman" w:cs="Arial"/>
          <w:i/>
          <w:iCs/>
          <w:color w:val="000000"/>
          <w:szCs w:val="20"/>
          <w:lang w:val="en-US"/>
        </w:rPr>
        <w:t>D</w:t>
      </w:r>
      <w:r w:rsidRPr="00775E52">
        <w:rPr>
          <w:rFonts w:eastAsia="Times New Roman" w:cs="Arial"/>
          <w:i/>
          <w:iCs/>
          <w:color w:val="000000"/>
          <w:szCs w:val="20"/>
          <w:lang w:val="ru-RU"/>
        </w:rPr>
        <w:t>:</w:t>
      </w:r>
      <w:r w:rsidRPr="00775E52">
        <w:rPr>
          <w:rFonts w:eastAsia="Times New Roman" w:cs="Arial"/>
          <w:color w:val="000000"/>
          <w:szCs w:val="20"/>
          <w:lang w:val="ru-RU"/>
        </w:rPr>
        <w:t xml:space="preserve"> </w:t>
      </w:r>
      <w:r w:rsidRPr="00775E52">
        <w:rPr>
          <w:rFonts w:eastAsia="Times New Roman" w:cs="Arial"/>
          <w:color w:val="000000"/>
          <w:szCs w:val="20"/>
          <w:lang w:eastAsia="bg-BG"/>
        </w:rPr>
        <w:t xml:space="preserve">няма данни относно ефикасността на ентекавир при пациенти, едновременно инфектирани с вируса на хепатит С или </w:t>
      </w:r>
      <w:r w:rsidRPr="00775E52">
        <w:rPr>
          <w:rFonts w:eastAsia="Times New Roman" w:cs="Arial"/>
          <w:color w:val="000000"/>
          <w:szCs w:val="20"/>
          <w:lang w:val="en-US"/>
        </w:rPr>
        <w:t>D</w:t>
      </w:r>
      <w:r w:rsidRPr="00775E52">
        <w:rPr>
          <w:rFonts w:eastAsia="Times New Roman" w:cs="Arial"/>
          <w:color w:val="000000"/>
          <w:szCs w:val="20"/>
          <w:lang w:val="ru-RU"/>
        </w:rPr>
        <w:t>.</w:t>
      </w:r>
    </w:p>
    <w:p w14:paraId="7A53F5BF" w14:textId="77777777" w:rsidR="00775E52" w:rsidRPr="00775E52" w:rsidRDefault="00775E52" w:rsidP="00775E52">
      <w:pPr>
        <w:spacing w:line="240" w:lineRule="auto"/>
        <w:rPr>
          <w:rFonts w:eastAsia="Times New Roman" w:cs="Arial"/>
          <w:i/>
          <w:iCs/>
          <w:color w:val="000000"/>
          <w:szCs w:val="20"/>
          <w:lang w:eastAsia="bg-BG"/>
        </w:rPr>
      </w:pPr>
    </w:p>
    <w:p w14:paraId="57B15C8D" w14:textId="3B2AF709" w:rsidR="00775E52" w:rsidRPr="00775E52" w:rsidRDefault="00775E52" w:rsidP="00775E52">
      <w:pPr>
        <w:spacing w:line="240" w:lineRule="auto"/>
        <w:rPr>
          <w:rFonts w:eastAsia="Times New Roman" w:cs="Arial"/>
          <w:sz w:val="28"/>
          <w:szCs w:val="24"/>
        </w:rPr>
      </w:pPr>
      <w:r w:rsidRPr="00775E52">
        <w:rPr>
          <w:rFonts w:eastAsia="Times New Roman" w:cs="Arial"/>
          <w:i/>
          <w:iCs/>
          <w:color w:val="000000"/>
          <w:szCs w:val="20"/>
          <w:lang w:eastAsia="bg-BG"/>
        </w:rPr>
        <w:t xml:space="preserve">Човешки имунодефицитен вирус </w:t>
      </w:r>
      <w:r w:rsidRPr="00775E52">
        <w:rPr>
          <w:rFonts w:eastAsia="Times New Roman" w:cs="Arial"/>
          <w:i/>
          <w:iCs/>
          <w:color w:val="000000"/>
          <w:szCs w:val="20"/>
          <w:lang w:val="ru-RU"/>
        </w:rPr>
        <w:t>(</w:t>
      </w:r>
      <w:r w:rsidRPr="00775E52">
        <w:rPr>
          <w:rFonts w:eastAsia="Times New Roman" w:cs="Arial"/>
          <w:i/>
          <w:iCs/>
          <w:color w:val="000000"/>
          <w:szCs w:val="20"/>
          <w:lang w:val="en-US"/>
        </w:rPr>
        <w:t>HIV</w:t>
      </w:r>
      <w:r w:rsidRPr="00775E52">
        <w:rPr>
          <w:rFonts w:eastAsia="Times New Roman" w:cs="Arial"/>
          <w:i/>
          <w:iCs/>
          <w:color w:val="000000"/>
          <w:szCs w:val="20"/>
          <w:lang w:val="ru-RU"/>
        </w:rPr>
        <w:t>)/</w:t>
      </w:r>
      <w:r w:rsidRPr="00775E52">
        <w:rPr>
          <w:rFonts w:eastAsia="Times New Roman" w:cs="Arial"/>
          <w:i/>
          <w:iCs/>
          <w:color w:val="000000"/>
          <w:szCs w:val="20"/>
          <w:lang w:val="en-US"/>
        </w:rPr>
        <w:t>HBV</w:t>
      </w:r>
      <w:r w:rsidRPr="00775E52">
        <w:rPr>
          <w:rFonts w:eastAsia="Times New Roman" w:cs="Arial"/>
          <w:i/>
          <w:iCs/>
          <w:color w:val="000000"/>
          <w:szCs w:val="20"/>
          <w:lang w:eastAsia="bg-BG"/>
        </w:rPr>
        <w:t xml:space="preserve"> коинфектирани пациенти, които не получават съпътстващо антиретровирусно лечение:</w:t>
      </w:r>
      <w:r w:rsidRPr="00775E52">
        <w:rPr>
          <w:rFonts w:eastAsia="Times New Roman" w:cs="Arial"/>
          <w:color w:val="000000"/>
          <w:szCs w:val="20"/>
          <w:lang w:eastAsia="bg-BG"/>
        </w:rPr>
        <w:t xml:space="preserve"> ентекавир не е оценяван при </w:t>
      </w:r>
      <w:r w:rsidRPr="00775E52">
        <w:rPr>
          <w:rFonts w:eastAsia="Times New Roman" w:cs="Arial"/>
          <w:color w:val="000000"/>
          <w:szCs w:val="20"/>
          <w:lang w:val="en-US"/>
        </w:rPr>
        <w:t>HIV</w:t>
      </w:r>
      <w:r w:rsidRPr="00775E52">
        <w:rPr>
          <w:rFonts w:eastAsia="Times New Roman" w:cs="Arial"/>
          <w:color w:val="000000"/>
          <w:szCs w:val="20"/>
          <w:lang w:val="ru-RU"/>
        </w:rPr>
        <w:t>/</w:t>
      </w:r>
      <w:r w:rsidRPr="00775E52">
        <w:rPr>
          <w:rFonts w:eastAsia="Times New Roman" w:cs="Arial"/>
          <w:color w:val="000000"/>
          <w:szCs w:val="20"/>
          <w:lang w:val="en-US"/>
        </w:rPr>
        <w:t>HBV</w:t>
      </w:r>
      <w:r w:rsidRPr="00775E52">
        <w:rPr>
          <w:rFonts w:eastAsia="Times New Roman" w:cs="Arial"/>
          <w:color w:val="000000"/>
          <w:szCs w:val="20"/>
          <w:lang w:val="ru-RU"/>
        </w:rPr>
        <w:t xml:space="preserve"> </w:t>
      </w:r>
      <w:r w:rsidRPr="00775E52">
        <w:rPr>
          <w:rFonts w:eastAsia="Times New Roman" w:cs="Arial"/>
          <w:color w:val="000000"/>
          <w:szCs w:val="20"/>
          <w:lang w:eastAsia="bg-BG"/>
        </w:rPr>
        <w:t xml:space="preserve">коинфектирани пациенти, които не получават едновременно ефективно лечение за </w:t>
      </w:r>
      <w:r w:rsidRPr="00775E52">
        <w:rPr>
          <w:rFonts w:eastAsia="Times New Roman" w:cs="Arial"/>
          <w:color w:val="000000"/>
          <w:szCs w:val="20"/>
          <w:lang w:val="en-US"/>
        </w:rPr>
        <w:t>HIV</w:t>
      </w:r>
      <w:r w:rsidRPr="00775E52">
        <w:rPr>
          <w:rFonts w:eastAsia="Times New Roman" w:cs="Arial"/>
          <w:color w:val="000000"/>
          <w:szCs w:val="20"/>
          <w:lang w:val="ru-RU"/>
        </w:rPr>
        <w:t xml:space="preserve">. </w:t>
      </w:r>
      <w:r w:rsidRPr="00775E52">
        <w:rPr>
          <w:rFonts w:eastAsia="Times New Roman" w:cs="Arial"/>
          <w:color w:val="000000"/>
          <w:szCs w:val="20"/>
          <w:lang w:eastAsia="bg-BG"/>
        </w:rPr>
        <w:t xml:space="preserve">Поява на </w:t>
      </w:r>
      <w:r w:rsidRPr="00775E52">
        <w:rPr>
          <w:rFonts w:eastAsia="Times New Roman" w:cs="Arial"/>
          <w:color w:val="000000"/>
          <w:szCs w:val="20"/>
          <w:lang w:val="en-US"/>
        </w:rPr>
        <w:t>HIV</w:t>
      </w:r>
      <w:r w:rsidRPr="00775E52">
        <w:rPr>
          <w:rFonts w:eastAsia="Times New Roman" w:cs="Arial"/>
          <w:color w:val="000000"/>
          <w:szCs w:val="20"/>
          <w:lang w:val="ru-RU"/>
        </w:rPr>
        <w:t xml:space="preserve"> </w:t>
      </w:r>
      <w:r w:rsidRPr="00775E52">
        <w:rPr>
          <w:rFonts w:eastAsia="Times New Roman" w:cs="Arial"/>
          <w:color w:val="000000"/>
          <w:szCs w:val="20"/>
          <w:lang w:eastAsia="bg-BG"/>
        </w:rPr>
        <w:t xml:space="preserve">резистентност е наблюдавана, когато ентекавир е използван за лечение на хронична инфекция с хепатит В при пациенти с </w:t>
      </w:r>
      <w:r w:rsidRPr="00775E52">
        <w:rPr>
          <w:rFonts w:eastAsia="Times New Roman" w:cs="Arial"/>
          <w:color w:val="000000"/>
          <w:szCs w:val="20"/>
          <w:lang w:val="en-US"/>
        </w:rPr>
        <w:t>HIV</w:t>
      </w:r>
      <w:r w:rsidRPr="00775E52">
        <w:rPr>
          <w:rFonts w:eastAsia="Times New Roman" w:cs="Arial"/>
          <w:color w:val="000000"/>
          <w:szCs w:val="20"/>
          <w:lang w:val="ru-RU"/>
        </w:rPr>
        <w:t xml:space="preserve"> </w:t>
      </w:r>
      <w:r w:rsidRPr="00775E52">
        <w:rPr>
          <w:rFonts w:eastAsia="Times New Roman" w:cs="Arial"/>
          <w:color w:val="000000"/>
          <w:szCs w:val="20"/>
          <w:lang w:eastAsia="bg-BG"/>
        </w:rPr>
        <w:t xml:space="preserve">инфекция, които не са получавали високо активна антиретровирусна терапия </w:t>
      </w:r>
      <w:r w:rsidRPr="00775E52">
        <w:rPr>
          <w:rFonts w:eastAsia="Times New Roman" w:cs="Arial"/>
          <w:color w:val="000000"/>
          <w:szCs w:val="20"/>
          <w:lang w:val="ru-RU"/>
        </w:rPr>
        <w:t>(</w:t>
      </w:r>
      <w:r w:rsidRPr="00775E52">
        <w:rPr>
          <w:rFonts w:eastAsia="Times New Roman" w:cs="Arial"/>
          <w:color w:val="000000"/>
          <w:szCs w:val="20"/>
          <w:lang w:val="en-US"/>
        </w:rPr>
        <w:t>HAART</w:t>
      </w:r>
      <w:r w:rsidRPr="00775E52">
        <w:rPr>
          <w:rFonts w:eastAsia="Times New Roman" w:cs="Arial"/>
          <w:color w:val="000000"/>
          <w:szCs w:val="20"/>
          <w:lang w:val="ru-RU"/>
        </w:rPr>
        <w:t xml:space="preserve">) </w:t>
      </w:r>
      <w:r w:rsidRPr="00775E52">
        <w:rPr>
          <w:rFonts w:eastAsia="Times New Roman" w:cs="Arial"/>
          <w:color w:val="000000"/>
          <w:szCs w:val="20"/>
          <w:lang w:eastAsia="bg-BG"/>
        </w:rPr>
        <w:t xml:space="preserve">(вж. точка 5.1). Следователно не трябва да се прилага лечение с ентекавир при </w:t>
      </w:r>
      <w:r w:rsidRPr="00775E52">
        <w:rPr>
          <w:rFonts w:eastAsia="Times New Roman" w:cs="Arial"/>
          <w:color w:val="000000"/>
          <w:szCs w:val="20"/>
          <w:lang w:val="en-US"/>
        </w:rPr>
        <w:t>HIV</w:t>
      </w:r>
      <w:r w:rsidRPr="00775E52">
        <w:rPr>
          <w:rFonts w:eastAsia="Times New Roman" w:cs="Arial"/>
          <w:color w:val="000000"/>
          <w:szCs w:val="20"/>
          <w:lang w:val="ru-RU"/>
        </w:rPr>
        <w:t>/</w:t>
      </w:r>
      <w:r w:rsidRPr="00775E52">
        <w:rPr>
          <w:rFonts w:eastAsia="Times New Roman" w:cs="Arial"/>
          <w:color w:val="000000"/>
          <w:szCs w:val="20"/>
          <w:lang w:val="en-US"/>
        </w:rPr>
        <w:t>HBV</w:t>
      </w:r>
      <w:r w:rsidRPr="00775E52">
        <w:rPr>
          <w:rFonts w:eastAsia="Times New Roman" w:cs="Arial"/>
          <w:color w:val="000000"/>
          <w:szCs w:val="20"/>
          <w:lang w:val="ru-RU"/>
        </w:rPr>
        <w:t xml:space="preserve"> </w:t>
      </w:r>
      <w:r w:rsidRPr="00775E52">
        <w:rPr>
          <w:rFonts w:eastAsia="Times New Roman" w:cs="Arial"/>
          <w:color w:val="000000"/>
          <w:szCs w:val="20"/>
          <w:lang w:eastAsia="bg-BG"/>
        </w:rPr>
        <w:t xml:space="preserve">коинфектирани </w:t>
      </w:r>
      <w:r w:rsidRPr="00775E52">
        <w:rPr>
          <w:rFonts w:eastAsia="Times New Roman" w:cs="Arial"/>
          <w:color w:val="000000"/>
          <w:szCs w:val="20"/>
          <w:lang w:eastAsia="bg-BG"/>
        </w:rPr>
        <w:lastRenderedPageBreak/>
        <w:t xml:space="preserve">пациенти, които не получават </w:t>
      </w:r>
      <w:r w:rsidRPr="00775E52">
        <w:rPr>
          <w:rFonts w:eastAsia="Times New Roman" w:cs="Arial"/>
          <w:color w:val="000000"/>
          <w:szCs w:val="20"/>
          <w:lang w:val="en-US"/>
        </w:rPr>
        <w:t>HAART</w:t>
      </w:r>
      <w:r w:rsidRPr="00775E52">
        <w:rPr>
          <w:rFonts w:eastAsia="Times New Roman" w:cs="Arial"/>
          <w:color w:val="000000"/>
          <w:szCs w:val="20"/>
          <w:lang w:val="ru-RU"/>
        </w:rPr>
        <w:t xml:space="preserve">. </w:t>
      </w:r>
      <w:r w:rsidRPr="00775E52">
        <w:rPr>
          <w:rFonts w:eastAsia="Times New Roman" w:cs="Arial"/>
          <w:color w:val="000000"/>
          <w:szCs w:val="20"/>
          <w:lang w:eastAsia="bg-BG"/>
        </w:rPr>
        <w:t xml:space="preserve">Ентекавир не е изпитван за лечение на </w:t>
      </w:r>
      <w:r w:rsidRPr="00775E52">
        <w:rPr>
          <w:rFonts w:eastAsia="Times New Roman" w:cs="Arial"/>
          <w:color w:val="000000"/>
          <w:szCs w:val="20"/>
          <w:lang w:val="en-US"/>
        </w:rPr>
        <w:t>HIV</w:t>
      </w:r>
      <w:r w:rsidRPr="00775E52">
        <w:rPr>
          <w:rFonts w:eastAsia="Times New Roman" w:cs="Arial"/>
          <w:color w:val="000000"/>
          <w:szCs w:val="20"/>
          <w:lang w:val="ru-RU"/>
        </w:rPr>
        <w:t xml:space="preserve"> </w:t>
      </w:r>
      <w:r w:rsidRPr="00775E52">
        <w:rPr>
          <w:rFonts w:eastAsia="Times New Roman" w:cs="Arial"/>
          <w:color w:val="000000"/>
          <w:szCs w:val="20"/>
          <w:lang w:eastAsia="bg-BG"/>
        </w:rPr>
        <w:t>инфекция и не се препоръчва за такава употреба.</w:t>
      </w:r>
    </w:p>
    <w:p w14:paraId="7B775DB4" w14:textId="77777777" w:rsidR="00775E52" w:rsidRPr="00775E52" w:rsidRDefault="00775E52" w:rsidP="00775E52">
      <w:pPr>
        <w:spacing w:line="240" w:lineRule="auto"/>
        <w:rPr>
          <w:rFonts w:eastAsia="Times New Roman" w:cs="Arial"/>
          <w:i/>
          <w:iCs/>
          <w:color w:val="000000"/>
          <w:szCs w:val="20"/>
          <w:lang w:val="en-US"/>
        </w:rPr>
      </w:pPr>
    </w:p>
    <w:p w14:paraId="71C257E0" w14:textId="4E7FCFA4" w:rsidR="00775E52" w:rsidRPr="00775E52" w:rsidRDefault="00775E52" w:rsidP="00775E52">
      <w:pPr>
        <w:spacing w:line="240" w:lineRule="auto"/>
        <w:rPr>
          <w:rFonts w:eastAsia="Times New Roman" w:cs="Arial"/>
          <w:sz w:val="28"/>
          <w:szCs w:val="24"/>
        </w:rPr>
      </w:pPr>
      <w:r w:rsidRPr="00775E52">
        <w:rPr>
          <w:rFonts w:eastAsia="Times New Roman" w:cs="Arial"/>
          <w:i/>
          <w:iCs/>
          <w:color w:val="000000"/>
          <w:szCs w:val="20"/>
          <w:lang w:val="en-US"/>
        </w:rPr>
        <w:t>HIV</w:t>
      </w:r>
      <w:r w:rsidRPr="00775E52">
        <w:rPr>
          <w:rFonts w:eastAsia="Times New Roman" w:cs="Arial"/>
          <w:i/>
          <w:iCs/>
          <w:color w:val="000000"/>
          <w:szCs w:val="20"/>
        </w:rPr>
        <w:t>/</w:t>
      </w:r>
      <w:r w:rsidRPr="00775E52">
        <w:rPr>
          <w:rFonts w:eastAsia="Times New Roman" w:cs="Arial"/>
          <w:i/>
          <w:iCs/>
          <w:color w:val="000000"/>
          <w:szCs w:val="20"/>
          <w:lang w:val="en-US"/>
        </w:rPr>
        <w:t>HB</w:t>
      </w:r>
      <w:r w:rsidRPr="00775E52">
        <w:rPr>
          <w:rFonts w:eastAsia="Times New Roman" w:cs="Arial"/>
          <w:i/>
          <w:iCs/>
          <w:color w:val="000000"/>
          <w:szCs w:val="20"/>
        </w:rPr>
        <w:t xml:space="preserve"> </w:t>
      </w:r>
      <w:r w:rsidRPr="00775E52">
        <w:rPr>
          <w:rFonts w:eastAsia="Times New Roman" w:cs="Arial"/>
          <w:i/>
          <w:iCs/>
          <w:color w:val="000000"/>
          <w:szCs w:val="20"/>
          <w:lang w:eastAsia="bg-BG"/>
        </w:rPr>
        <w:t>V коинфектирани пациенти, които получават съпътстващо антиретровирусно лечение:</w:t>
      </w:r>
      <w:r w:rsidRPr="00775E52">
        <w:rPr>
          <w:rFonts w:eastAsia="Times New Roman" w:cs="Arial"/>
          <w:color w:val="000000"/>
          <w:szCs w:val="20"/>
          <w:lang w:eastAsia="bg-BG"/>
        </w:rPr>
        <w:t xml:space="preserve"> ентекавир е изпитван при 68 възрастни с </w:t>
      </w:r>
      <w:r w:rsidRPr="00775E52">
        <w:rPr>
          <w:rFonts w:eastAsia="Times New Roman" w:cs="Arial"/>
          <w:color w:val="000000"/>
          <w:szCs w:val="20"/>
          <w:lang w:val="en-US"/>
        </w:rPr>
        <w:t>HIV</w:t>
      </w:r>
      <w:r w:rsidRPr="00775E52">
        <w:rPr>
          <w:rFonts w:eastAsia="Times New Roman" w:cs="Arial"/>
          <w:color w:val="000000"/>
          <w:szCs w:val="20"/>
        </w:rPr>
        <w:t>/</w:t>
      </w:r>
      <w:r w:rsidRPr="00775E52">
        <w:rPr>
          <w:rFonts w:eastAsia="Times New Roman" w:cs="Arial"/>
          <w:color w:val="000000"/>
          <w:szCs w:val="20"/>
          <w:lang w:val="en-US"/>
        </w:rPr>
        <w:t>HBV</w:t>
      </w:r>
      <w:r w:rsidRPr="00775E52">
        <w:rPr>
          <w:rFonts w:eastAsia="Times New Roman" w:cs="Arial"/>
          <w:color w:val="000000"/>
          <w:szCs w:val="20"/>
        </w:rPr>
        <w:t xml:space="preserve"> </w:t>
      </w:r>
      <w:r w:rsidRPr="00775E52">
        <w:rPr>
          <w:rFonts w:eastAsia="Times New Roman" w:cs="Arial"/>
          <w:color w:val="000000"/>
          <w:szCs w:val="20"/>
          <w:lang w:eastAsia="bg-BG"/>
        </w:rPr>
        <w:t xml:space="preserve">коинфекция, които получават схема на </w:t>
      </w:r>
      <w:r w:rsidRPr="00775E52">
        <w:rPr>
          <w:rFonts w:eastAsia="Times New Roman" w:cs="Arial"/>
          <w:color w:val="000000"/>
          <w:szCs w:val="20"/>
          <w:lang w:val="en-US"/>
        </w:rPr>
        <w:t>HAART</w:t>
      </w:r>
      <w:r w:rsidRPr="00775E52">
        <w:rPr>
          <w:rFonts w:eastAsia="Times New Roman" w:cs="Arial"/>
          <w:color w:val="000000"/>
          <w:szCs w:val="20"/>
        </w:rPr>
        <w:t xml:space="preserve">, </w:t>
      </w:r>
      <w:r w:rsidRPr="00775E52">
        <w:rPr>
          <w:rFonts w:eastAsia="Times New Roman" w:cs="Arial"/>
          <w:color w:val="000000"/>
          <w:szCs w:val="20"/>
          <w:lang w:eastAsia="bg-BG"/>
        </w:rPr>
        <w:t xml:space="preserve">включваща ламивудин (вж. точка 5.1). Няма данни относно ефикасността на ентекавир при </w:t>
      </w:r>
      <w:r w:rsidRPr="00775E52">
        <w:rPr>
          <w:rFonts w:eastAsia="Times New Roman" w:cs="Arial"/>
          <w:color w:val="000000"/>
          <w:szCs w:val="20"/>
          <w:lang w:val="en-US"/>
        </w:rPr>
        <w:t>HBeAg</w:t>
      </w:r>
      <w:r w:rsidRPr="00775E52">
        <w:rPr>
          <w:rFonts w:eastAsia="Times New Roman" w:cs="Arial"/>
          <w:color w:val="000000"/>
          <w:szCs w:val="20"/>
          <w:lang w:val="ru-RU"/>
        </w:rPr>
        <w:t xml:space="preserve"> </w:t>
      </w:r>
      <w:r w:rsidRPr="00775E52">
        <w:rPr>
          <w:rFonts w:eastAsia="Times New Roman" w:cs="Arial"/>
          <w:color w:val="000000"/>
          <w:szCs w:val="20"/>
          <w:lang w:eastAsia="bg-BG"/>
        </w:rPr>
        <w:t xml:space="preserve">отрицателни пациенти, едновременно инфектирани с </w:t>
      </w:r>
      <w:r w:rsidRPr="00775E52">
        <w:rPr>
          <w:rFonts w:eastAsia="Times New Roman" w:cs="Arial"/>
          <w:color w:val="000000"/>
          <w:szCs w:val="20"/>
          <w:lang w:val="en-US"/>
        </w:rPr>
        <w:t>HIV</w:t>
      </w:r>
      <w:r w:rsidRPr="00775E52">
        <w:rPr>
          <w:rFonts w:eastAsia="Times New Roman" w:cs="Arial"/>
          <w:color w:val="000000"/>
          <w:szCs w:val="20"/>
          <w:lang w:val="ru-RU"/>
        </w:rPr>
        <w:t xml:space="preserve">. </w:t>
      </w:r>
      <w:r w:rsidRPr="00775E52">
        <w:rPr>
          <w:rFonts w:eastAsia="Times New Roman" w:cs="Arial"/>
          <w:color w:val="000000"/>
          <w:szCs w:val="20"/>
          <w:lang w:eastAsia="bg-BG"/>
        </w:rPr>
        <w:t xml:space="preserve">Съществуват ограничени данни за пациенти, едновременно инфектирани с </w:t>
      </w:r>
      <w:r w:rsidRPr="00775E52">
        <w:rPr>
          <w:rFonts w:eastAsia="Times New Roman" w:cs="Arial"/>
          <w:color w:val="000000"/>
          <w:szCs w:val="20"/>
          <w:lang w:val="en-US"/>
        </w:rPr>
        <w:t>HIV</w:t>
      </w:r>
      <w:r w:rsidRPr="00775E52">
        <w:rPr>
          <w:rFonts w:eastAsia="Times New Roman" w:cs="Arial"/>
          <w:color w:val="000000"/>
          <w:szCs w:val="20"/>
          <w:lang w:val="ru-RU"/>
        </w:rPr>
        <w:t>,</w:t>
      </w:r>
      <w:r w:rsidRPr="00775E52">
        <w:rPr>
          <w:rFonts w:eastAsia="Times New Roman" w:cs="Arial"/>
          <w:sz w:val="28"/>
          <w:szCs w:val="24"/>
          <w:lang w:val="ru-RU"/>
        </w:rPr>
        <w:t xml:space="preserve"> </w:t>
      </w:r>
      <w:r w:rsidRPr="00775E52">
        <w:rPr>
          <w:rFonts w:eastAsia="Times New Roman" w:cs="Arial"/>
          <w:color w:val="000000"/>
          <w:szCs w:val="20"/>
          <w:lang w:eastAsia="bg-BG"/>
        </w:rPr>
        <w:t xml:space="preserve">които имат малък брой </w:t>
      </w:r>
      <w:r w:rsidRPr="00775E52">
        <w:rPr>
          <w:rFonts w:eastAsia="Times New Roman" w:cs="Arial"/>
          <w:color w:val="000000"/>
          <w:szCs w:val="20"/>
          <w:lang w:val="en-US"/>
        </w:rPr>
        <w:t>CD</w:t>
      </w:r>
      <w:r w:rsidRPr="00775E52">
        <w:rPr>
          <w:rFonts w:eastAsia="Times New Roman" w:cs="Arial"/>
          <w:color w:val="000000"/>
          <w:szCs w:val="20"/>
          <w:lang w:val="ru-RU"/>
        </w:rPr>
        <w:t xml:space="preserve">4 </w:t>
      </w:r>
      <w:r w:rsidRPr="00775E52">
        <w:rPr>
          <w:rFonts w:eastAsia="Times New Roman" w:cs="Arial"/>
          <w:color w:val="000000"/>
          <w:szCs w:val="20"/>
          <w:lang w:eastAsia="bg-BG"/>
        </w:rPr>
        <w:t>клетки (&lt; 200 клетки</w:t>
      </w:r>
      <w:r w:rsidRPr="00775E52">
        <w:rPr>
          <w:rFonts w:eastAsia="Times New Roman" w:cs="Arial"/>
          <w:color w:val="000000"/>
          <w:szCs w:val="20"/>
          <w:lang w:val="ru-RU"/>
        </w:rPr>
        <w:t>/</w:t>
      </w:r>
      <w:r w:rsidRPr="00775E52">
        <w:rPr>
          <w:rFonts w:eastAsia="Times New Roman" w:cs="Arial"/>
          <w:color w:val="000000"/>
          <w:szCs w:val="20"/>
          <w:lang w:val="en-US"/>
        </w:rPr>
        <w:t>mm</w:t>
      </w:r>
      <w:r w:rsidRPr="00775E52">
        <w:rPr>
          <w:rFonts w:eastAsia="Times New Roman" w:cs="Arial"/>
          <w:color w:val="000000"/>
          <w:szCs w:val="20"/>
          <w:vertAlign w:val="superscript"/>
          <w:lang w:val="ru-RU"/>
        </w:rPr>
        <w:t>3</w:t>
      </w:r>
      <w:r w:rsidRPr="00775E52">
        <w:rPr>
          <w:rFonts w:eastAsia="Times New Roman" w:cs="Arial"/>
          <w:color w:val="000000"/>
          <w:szCs w:val="20"/>
          <w:lang w:eastAsia="bg-BG"/>
        </w:rPr>
        <w:t>).</w:t>
      </w:r>
    </w:p>
    <w:p w14:paraId="593CDE45" w14:textId="77777777" w:rsidR="00775E52" w:rsidRPr="00775E52" w:rsidRDefault="00775E52" w:rsidP="00775E52">
      <w:pPr>
        <w:spacing w:line="240" w:lineRule="auto"/>
        <w:rPr>
          <w:rFonts w:eastAsia="Times New Roman" w:cs="Arial"/>
          <w:i/>
          <w:iCs/>
          <w:color w:val="000000"/>
          <w:szCs w:val="20"/>
          <w:lang w:eastAsia="bg-BG"/>
        </w:rPr>
      </w:pPr>
    </w:p>
    <w:p w14:paraId="47B23378" w14:textId="2D52B6D5" w:rsidR="00775E52" w:rsidRPr="00775E52" w:rsidRDefault="00775E52" w:rsidP="00775E52">
      <w:pPr>
        <w:spacing w:line="240" w:lineRule="auto"/>
        <w:rPr>
          <w:rFonts w:eastAsia="Times New Roman" w:cs="Arial"/>
          <w:sz w:val="28"/>
          <w:szCs w:val="24"/>
        </w:rPr>
      </w:pPr>
      <w:r w:rsidRPr="00775E52">
        <w:rPr>
          <w:rFonts w:eastAsia="Times New Roman" w:cs="Arial"/>
          <w:i/>
          <w:iCs/>
          <w:color w:val="000000"/>
          <w:szCs w:val="20"/>
          <w:lang w:eastAsia="bg-BG"/>
        </w:rPr>
        <w:t>Обобщение:</w:t>
      </w:r>
      <w:r w:rsidRPr="00775E52">
        <w:rPr>
          <w:rFonts w:eastAsia="Times New Roman" w:cs="Arial"/>
          <w:color w:val="000000"/>
          <w:szCs w:val="20"/>
          <w:lang w:eastAsia="bg-BG"/>
        </w:rPr>
        <w:t xml:space="preserve"> пациентите трябва да бъдат предупредени, че при лечението с ентекавир не е доказано намаляване на риска от предаване на </w:t>
      </w:r>
      <w:r w:rsidRPr="00775E52">
        <w:rPr>
          <w:rFonts w:eastAsia="Times New Roman" w:cs="Arial"/>
          <w:color w:val="000000"/>
          <w:szCs w:val="20"/>
          <w:lang w:val="en-US"/>
        </w:rPr>
        <w:t>HBV</w:t>
      </w:r>
      <w:r w:rsidRPr="00775E52">
        <w:rPr>
          <w:rFonts w:eastAsia="Times New Roman" w:cs="Arial"/>
          <w:color w:val="000000"/>
          <w:szCs w:val="20"/>
          <w:lang w:val="ru-RU"/>
        </w:rPr>
        <w:t xml:space="preserve"> </w:t>
      </w:r>
      <w:r w:rsidRPr="00775E52">
        <w:rPr>
          <w:rFonts w:eastAsia="Times New Roman" w:cs="Arial"/>
          <w:color w:val="000000"/>
          <w:szCs w:val="20"/>
          <w:lang w:eastAsia="bg-BG"/>
        </w:rPr>
        <w:t>и заради това трябва да се предприемат подходящи предпазни мерки.</w:t>
      </w:r>
    </w:p>
    <w:p w14:paraId="0B03FF10" w14:textId="77777777" w:rsidR="00775E52" w:rsidRPr="00775E52" w:rsidRDefault="00775E52" w:rsidP="00775E52">
      <w:pPr>
        <w:spacing w:line="240" w:lineRule="auto"/>
        <w:rPr>
          <w:rFonts w:eastAsia="Times New Roman" w:cs="Arial"/>
          <w:i/>
          <w:iCs/>
          <w:color w:val="000000"/>
          <w:szCs w:val="20"/>
          <w:lang w:eastAsia="bg-BG"/>
        </w:rPr>
      </w:pPr>
    </w:p>
    <w:p w14:paraId="1A6D6F9E" w14:textId="0F27F58E" w:rsidR="00775E52" w:rsidRPr="00775E52" w:rsidRDefault="00775E52" w:rsidP="00775E52">
      <w:pPr>
        <w:spacing w:line="240" w:lineRule="auto"/>
        <w:rPr>
          <w:rFonts w:eastAsia="Times New Roman" w:cs="Arial"/>
          <w:sz w:val="28"/>
          <w:szCs w:val="24"/>
        </w:rPr>
      </w:pPr>
      <w:r w:rsidRPr="00775E52">
        <w:rPr>
          <w:rFonts w:eastAsia="Times New Roman" w:cs="Arial"/>
          <w:i/>
          <w:iCs/>
          <w:color w:val="000000"/>
          <w:szCs w:val="20"/>
          <w:lang w:eastAsia="bg-BG"/>
        </w:rPr>
        <w:t>Лактоза:</w:t>
      </w:r>
      <w:r w:rsidRPr="00775E52">
        <w:rPr>
          <w:rFonts w:eastAsia="Times New Roman" w:cs="Arial"/>
          <w:color w:val="000000"/>
          <w:szCs w:val="20"/>
          <w:lang w:eastAsia="bg-BG"/>
        </w:rPr>
        <w:t xml:space="preserve"> този лекарствен продукт съдържа 121 </w:t>
      </w:r>
      <w:r w:rsidRPr="00775E52">
        <w:rPr>
          <w:rFonts w:eastAsia="Times New Roman" w:cs="Arial"/>
          <w:color w:val="000000"/>
          <w:szCs w:val="20"/>
          <w:lang w:val="en-US"/>
        </w:rPr>
        <w:t>mg</w:t>
      </w:r>
      <w:r w:rsidRPr="00775E52">
        <w:rPr>
          <w:rFonts w:eastAsia="Times New Roman" w:cs="Arial"/>
          <w:color w:val="000000"/>
          <w:szCs w:val="20"/>
          <w:lang w:val="ru-RU"/>
        </w:rPr>
        <w:t xml:space="preserve"> </w:t>
      </w:r>
      <w:r w:rsidRPr="00775E52">
        <w:rPr>
          <w:rFonts w:eastAsia="Times New Roman" w:cs="Arial"/>
          <w:color w:val="000000"/>
          <w:szCs w:val="20"/>
          <w:lang w:eastAsia="bg-BG"/>
        </w:rPr>
        <w:t xml:space="preserve">лактоза във всеки 0,5 </w:t>
      </w:r>
      <w:r w:rsidRPr="00775E52">
        <w:rPr>
          <w:rFonts w:eastAsia="Times New Roman" w:cs="Arial"/>
          <w:color w:val="000000"/>
          <w:szCs w:val="20"/>
          <w:lang w:val="en-US"/>
        </w:rPr>
        <w:t>mg</w:t>
      </w:r>
      <w:r w:rsidRPr="00775E52">
        <w:rPr>
          <w:rFonts w:eastAsia="Times New Roman" w:cs="Arial"/>
          <w:color w:val="000000"/>
          <w:szCs w:val="20"/>
          <w:lang w:val="ru-RU"/>
        </w:rPr>
        <w:t xml:space="preserve"> </w:t>
      </w:r>
      <w:r w:rsidRPr="00775E52">
        <w:rPr>
          <w:rFonts w:eastAsia="Times New Roman" w:cs="Arial"/>
          <w:color w:val="000000"/>
          <w:szCs w:val="20"/>
          <w:lang w:eastAsia="bg-BG"/>
        </w:rPr>
        <w:t xml:space="preserve">от дневната доза или 242 </w:t>
      </w:r>
      <w:r w:rsidRPr="00775E52">
        <w:rPr>
          <w:rFonts w:eastAsia="Times New Roman" w:cs="Arial"/>
          <w:color w:val="000000"/>
          <w:szCs w:val="20"/>
          <w:lang w:val="en-US"/>
        </w:rPr>
        <w:t>mg</w:t>
      </w:r>
      <w:r w:rsidRPr="00775E52">
        <w:rPr>
          <w:rFonts w:eastAsia="Times New Roman" w:cs="Arial"/>
          <w:color w:val="000000"/>
          <w:szCs w:val="20"/>
          <w:lang w:val="ru-RU"/>
        </w:rPr>
        <w:t xml:space="preserve"> </w:t>
      </w:r>
      <w:r w:rsidRPr="00775E52">
        <w:rPr>
          <w:rFonts w:eastAsia="Times New Roman" w:cs="Arial"/>
          <w:color w:val="000000"/>
          <w:szCs w:val="20"/>
          <w:lang w:eastAsia="bg-BG"/>
        </w:rPr>
        <w:t xml:space="preserve">лактоза във всеки 1 </w:t>
      </w:r>
      <w:r w:rsidRPr="00775E52">
        <w:rPr>
          <w:rFonts w:eastAsia="Times New Roman" w:cs="Arial"/>
          <w:color w:val="000000"/>
          <w:szCs w:val="20"/>
          <w:lang w:val="en-US"/>
        </w:rPr>
        <w:t>mg</w:t>
      </w:r>
      <w:r w:rsidRPr="00775E52">
        <w:rPr>
          <w:rFonts w:eastAsia="Times New Roman" w:cs="Arial"/>
          <w:color w:val="000000"/>
          <w:szCs w:val="20"/>
          <w:lang w:val="ru-RU"/>
        </w:rPr>
        <w:t xml:space="preserve"> </w:t>
      </w:r>
      <w:r w:rsidRPr="00775E52">
        <w:rPr>
          <w:rFonts w:eastAsia="Times New Roman" w:cs="Arial"/>
          <w:color w:val="000000"/>
          <w:szCs w:val="20"/>
          <w:lang w:eastAsia="bg-BG"/>
        </w:rPr>
        <w:t>от дневната доза.</w:t>
      </w:r>
    </w:p>
    <w:p w14:paraId="02D35066" w14:textId="735FBEE3" w:rsidR="00775E52" w:rsidRPr="00775E52" w:rsidRDefault="00775E52" w:rsidP="00775E52">
      <w:pPr>
        <w:spacing w:line="240" w:lineRule="auto"/>
        <w:rPr>
          <w:rFonts w:eastAsia="Times New Roman" w:cs="Arial"/>
          <w:sz w:val="28"/>
          <w:szCs w:val="24"/>
        </w:rPr>
      </w:pPr>
      <w:r w:rsidRPr="00775E52">
        <w:rPr>
          <w:rFonts w:eastAsia="Times New Roman" w:cs="Arial"/>
          <w:color w:val="000000"/>
          <w:szCs w:val="20"/>
          <w:lang w:eastAsia="bg-BG"/>
        </w:rPr>
        <w:t>Пациенти с редки наследствени проблеми на непоносимост към галактоза, пълен лактазен дефицит или глюкозо-галактозна малабсорбция не трябва да приемат това лекарство. Ентекавир перорален разтвор без лактоза се предлага за тези пациенти.</w:t>
      </w:r>
    </w:p>
    <w:p w14:paraId="21E0CB1D" w14:textId="3CE4A5C7" w:rsidR="00A520F5" w:rsidRPr="00775E52" w:rsidRDefault="00A520F5" w:rsidP="00A520F5"/>
    <w:p w14:paraId="0734264C" w14:textId="2F8FD4AB"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BDE8202" w14:textId="622E510E" w:rsidR="00775E52" w:rsidRDefault="00775E52" w:rsidP="00775E52"/>
    <w:p w14:paraId="4B1FDD28" w14:textId="77777777" w:rsidR="00775E52" w:rsidRPr="00775E52" w:rsidRDefault="00775E52" w:rsidP="00775E52">
      <w:pPr>
        <w:tabs>
          <w:tab w:val="left" w:pos="993"/>
        </w:tabs>
        <w:spacing w:line="240" w:lineRule="auto"/>
        <w:rPr>
          <w:rFonts w:eastAsia="Times New Roman" w:cs="Arial"/>
          <w:sz w:val="28"/>
          <w:szCs w:val="24"/>
        </w:rPr>
      </w:pPr>
      <w:r w:rsidRPr="00775E52">
        <w:rPr>
          <w:rFonts w:eastAsia="Times New Roman" w:cs="Arial"/>
          <w:color w:val="000000"/>
          <w:szCs w:val="20"/>
          <w:lang w:eastAsia="bg-BG"/>
        </w:rPr>
        <w:t>Тъй като ентекавир се елиминира предимно чрез бъбреците (вж. точка 5.2), едновременното приложение с лекарствени продукти, които понижават бъбречната функция или се конкурират за отделяне чрез активна тубулна секреция, може да повиши серумните концентрации и на единия, и на другия лекарствен продукт. С изключение на ламивудин, адефовир дипивоксил и тенофовир дизопроксил фумарат ефектите от едновременното приложение на ентекавир с лекарствени продукти, екскретирани през бъбреците или повлияващи на бъбречната функция, не са оценени. Пациентите трябва да бъдат проследявани редовно за появата на нежелани реакции при едновременното приложение на ентекавир с такива лекарствени продукти.</w:t>
      </w:r>
    </w:p>
    <w:p w14:paraId="55B4CFBE" w14:textId="77777777" w:rsidR="00775E52" w:rsidRPr="00775E52" w:rsidRDefault="00775E52" w:rsidP="00775E52">
      <w:pPr>
        <w:tabs>
          <w:tab w:val="left" w:pos="993"/>
        </w:tabs>
        <w:spacing w:line="240" w:lineRule="auto"/>
        <w:rPr>
          <w:rFonts w:eastAsia="Times New Roman" w:cs="Arial"/>
          <w:color w:val="000000"/>
          <w:szCs w:val="20"/>
          <w:lang w:eastAsia="bg-BG"/>
        </w:rPr>
      </w:pPr>
    </w:p>
    <w:p w14:paraId="20742292" w14:textId="741145EF" w:rsidR="00775E52" w:rsidRPr="00775E52" w:rsidRDefault="00775E52" w:rsidP="00775E52">
      <w:pPr>
        <w:tabs>
          <w:tab w:val="left" w:pos="993"/>
        </w:tabs>
        <w:spacing w:line="240" w:lineRule="auto"/>
        <w:rPr>
          <w:rFonts w:eastAsia="Times New Roman" w:cs="Arial"/>
          <w:sz w:val="28"/>
          <w:szCs w:val="24"/>
        </w:rPr>
      </w:pPr>
      <w:r w:rsidRPr="00775E52">
        <w:rPr>
          <w:rFonts w:eastAsia="Times New Roman" w:cs="Arial"/>
          <w:color w:val="000000"/>
          <w:szCs w:val="20"/>
          <w:lang w:eastAsia="bg-BG"/>
        </w:rPr>
        <w:t>Не са наблюдавани фармакокинетични взаимодействия между ентекавир и ламивудин, адефовир или тенофовир.</w:t>
      </w:r>
    </w:p>
    <w:p w14:paraId="713E09F7" w14:textId="77777777" w:rsidR="00775E52" w:rsidRPr="00775E52" w:rsidRDefault="00775E52" w:rsidP="00775E52">
      <w:pPr>
        <w:tabs>
          <w:tab w:val="left" w:pos="993"/>
        </w:tabs>
        <w:spacing w:line="240" w:lineRule="auto"/>
        <w:rPr>
          <w:rFonts w:eastAsia="Times New Roman" w:cs="Arial"/>
          <w:color w:val="000000"/>
          <w:szCs w:val="20"/>
          <w:lang w:eastAsia="bg-BG"/>
        </w:rPr>
      </w:pPr>
    </w:p>
    <w:p w14:paraId="225F091E" w14:textId="6DEE7CFE" w:rsidR="00775E52" w:rsidRPr="00775E52" w:rsidRDefault="00775E52" w:rsidP="00775E52">
      <w:pPr>
        <w:tabs>
          <w:tab w:val="left" w:pos="993"/>
        </w:tabs>
        <w:spacing w:line="240" w:lineRule="auto"/>
        <w:rPr>
          <w:rFonts w:eastAsia="Times New Roman" w:cs="Arial"/>
          <w:sz w:val="28"/>
          <w:szCs w:val="24"/>
        </w:rPr>
      </w:pPr>
      <w:r w:rsidRPr="00775E52">
        <w:rPr>
          <w:rFonts w:eastAsia="Times New Roman" w:cs="Arial"/>
          <w:color w:val="000000"/>
          <w:szCs w:val="20"/>
          <w:lang w:eastAsia="bg-BG"/>
        </w:rPr>
        <w:t xml:space="preserve">Ентекавир не е субстрат, индуктор или инхибитор на ензимите от групата на цитохром Р450 </w:t>
      </w:r>
      <w:r w:rsidRPr="00775E52">
        <w:rPr>
          <w:rFonts w:eastAsia="Times New Roman" w:cs="Arial"/>
          <w:color w:val="000000"/>
          <w:szCs w:val="20"/>
          <w:lang w:val="ru-RU"/>
        </w:rPr>
        <w:t>(</w:t>
      </w:r>
      <w:r w:rsidRPr="00775E52">
        <w:rPr>
          <w:rFonts w:eastAsia="Times New Roman" w:cs="Arial"/>
          <w:color w:val="000000"/>
          <w:szCs w:val="20"/>
          <w:lang w:val="en-US"/>
        </w:rPr>
        <w:t>CYP</w:t>
      </w:r>
      <w:r w:rsidRPr="00775E52">
        <w:rPr>
          <w:rFonts w:eastAsia="Times New Roman" w:cs="Arial"/>
          <w:color w:val="000000"/>
          <w:szCs w:val="20"/>
          <w:lang w:val="ru-RU"/>
        </w:rPr>
        <w:t xml:space="preserve">450) </w:t>
      </w:r>
      <w:r w:rsidRPr="00775E52">
        <w:rPr>
          <w:rFonts w:eastAsia="Times New Roman" w:cs="Arial"/>
          <w:color w:val="000000"/>
          <w:szCs w:val="20"/>
          <w:lang w:eastAsia="bg-BG"/>
        </w:rPr>
        <w:t xml:space="preserve">(вж. точка 5.2). Следователно не се очакват медиирани от </w:t>
      </w:r>
      <w:r w:rsidRPr="00775E52">
        <w:rPr>
          <w:rFonts w:eastAsia="Times New Roman" w:cs="Arial"/>
          <w:color w:val="000000"/>
          <w:szCs w:val="20"/>
          <w:lang w:val="en-US"/>
        </w:rPr>
        <w:t>CYP</w:t>
      </w:r>
      <w:r w:rsidRPr="00775E52">
        <w:rPr>
          <w:rFonts w:eastAsia="Times New Roman" w:cs="Arial"/>
          <w:color w:val="000000"/>
          <w:szCs w:val="20"/>
          <w:lang w:val="ru-RU"/>
        </w:rPr>
        <w:t xml:space="preserve">450 </w:t>
      </w:r>
      <w:r w:rsidRPr="00775E52">
        <w:rPr>
          <w:rFonts w:eastAsia="Times New Roman" w:cs="Arial"/>
          <w:color w:val="000000"/>
          <w:szCs w:val="20"/>
          <w:lang w:eastAsia="bg-BG"/>
        </w:rPr>
        <w:t>лекарствени взаимодействия с ентекавир.</w:t>
      </w:r>
    </w:p>
    <w:p w14:paraId="0556CC76" w14:textId="77777777" w:rsidR="00775E52" w:rsidRPr="00775E52" w:rsidRDefault="00775E52" w:rsidP="00775E52">
      <w:pPr>
        <w:tabs>
          <w:tab w:val="left" w:pos="993"/>
        </w:tabs>
        <w:spacing w:line="240" w:lineRule="auto"/>
        <w:rPr>
          <w:rFonts w:eastAsia="Times New Roman" w:cs="Arial"/>
          <w:i/>
          <w:iCs/>
          <w:color w:val="000000"/>
          <w:szCs w:val="20"/>
          <w:lang w:eastAsia="bg-BG"/>
        </w:rPr>
      </w:pPr>
    </w:p>
    <w:p w14:paraId="32ED81B7" w14:textId="05FE3C2A" w:rsidR="00775E52" w:rsidRPr="00775E52" w:rsidRDefault="00775E52" w:rsidP="00775E52">
      <w:pPr>
        <w:tabs>
          <w:tab w:val="left" w:pos="993"/>
        </w:tabs>
        <w:spacing w:line="240" w:lineRule="auto"/>
        <w:rPr>
          <w:rFonts w:eastAsia="Times New Roman" w:cs="Arial"/>
          <w:sz w:val="28"/>
          <w:szCs w:val="24"/>
        </w:rPr>
      </w:pPr>
      <w:r w:rsidRPr="00775E52">
        <w:rPr>
          <w:rFonts w:eastAsia="Times New Roman" w:cs="Arial"/>
          <w:i/>
          <w:iCs/>
          <w:color w:val="000000"/>
          <w:szCs w:val="20"/>
          <w:lang w:eastAsia="bg-BG"/>
        </w:rPr>
        <w:t>Педиатрична популация</w:t>
      </w:r>
    </w:p>
    <w:p w14:paraId="25E8671F" w14:textId="14A575DC" w:rsidR="00775E52" w:rsidRDefault="00775E52" w:rsidP="00775E52">
      <w:pPr>
        <w:tabs>
          <w:tab w:val="left" w:pos="993"/>
        </w:tabs>
        <w:rPr>
          <w:rFonts w:eastAsia="Times New Roman" w:cs="Arial"/>
          <w:color w:val="000000"/>
          <w:szCs w:val="20"/>
          <w:lang w:eastAsia="bg-BG"/>
        </w:rPr>
      </w:pPr>
      <w:r w:rsidRPr="00775E52">
        <w:rPr>
          <w:rFonts w:eastAsia="Times New Roman" w:cs="Arial"/>
          <w:color w:val="000000"/>
          <w:szCs w:val="20"/>
          <w:lang w:eastAsia="bg-BG"/>
        </w:rPr>
        <w:t>Проучвания за взаимодействия са провеждани само при възрастни.</w:t>
      </w:r>
    </w:p>
    <w:p w14:paraId="2AA72D26" w14:textId="77777777" w:rsidR="00775E52" w:rsidRPr="00775E52" w:rsidRDefault="00775E52" w:rsidP="00775E52">
      <w:pPr>
        <w:tabs>
          <w:tab w:val="left" w:pos="993"/>
        </w:tabs>
        <w:rPr>
          <w:rFonts w:cs="Arial"/>
          <w:sz w:val="24"/>
        </w:rPr>
      </w:pPr>
    </w:p>
    <w:p w14:paraId="5D9F40EA" w14:textId="78B96BAE" w:rsidR="007122AD" w:rsidRDefault="002C50EE" w:rsidP="00936AD0">
      <w:pPr>
        <w:pStyle w:val="Heading2"/>
      </w:pPr>
      <w:r>
        <w:t>4.6. Фертилитет, бременност и кърмене</w:t>
      </w:r>
    </w:p>
    <w:p w14:paraId="7C64E838" w14:textId="462DAFD8" w:rsidR="00775E52" w:rsidRDefault="00775E52" w:rsidP="00775E52"/>
    <w:p w14:paraId="2C317F44" w14:textId="77777777" w:rsidR="00775E52" w:rsidRPr="00775E52" w:rsidRDefault="00775E52" w:rsidP="00775E52">
      <w:pPr>
        <w:rPr>
          <w:rFonts w:eastAsia="Times New Roman" w:cs="Arial"/>
          <w:sz w:val="28"/>
          <w:szCs w:val="24"/>
        </w:rPr>
      </w:pPr>
      <w:r w:rsidRPr="00775E52">
        <w:rPr>
          <w:rFonts w:cs="Arial"/>
          <w:i/>
          <w:iCs/>
          <w:szCs w:val="20"/>
        </w:rPr>
        <w:t>Жени с детероден потенциал:</w:t>
      </w:r>
      <w:r w:rsidRPr="00775E52">
        <w:rPr>
          <w:rFonts w:cs="Arial"/>
          <w:szCs w:val="20"/>
        </w:rPr>
        <w:t xml:space="preserve"> тъй като потенциалните рискове за развитието на плода не</w:t>
      </w:r>
      <w:r w:rsidRPr="00775E52">
        <w:rPr>
          <w:rFonts w:cs="Arial"/>
          <w:szCs w:val="20"/>
          <w:lang w:val="ru-RU"/>
        </w:rPr>
        <w:t xml:space="preserve"> </w:t>
      </w:r>
      <w:r w:rsidRPr="00775E52">
        <w:rPr>
          <w:rFonts w:eastAsia="Times New Roman" w:cs="Arial"/>
          <w:color w:val="000000"/>
          <w:szCs w:val="20"/>
          <w:lang w:eastAsia="bg-BG"/>
        </w:rPr>
        <w:t>са известни, жените с детероден потенциал трябва да използват ефективна контрацепция.</w:t>
      </w:r>
    </w:p>
    <w:p w14:paraId="628F0A41" w14:textId="77777777" w:rsidR="00775E52" w:rsidRPr="00775E52" w:rsidRDefault="00775E52" w:rsidP="00775E52">
      <w:pPr>
        <w:spacing w:line="240" w:lineRule="auto"/>
        <w:rPr>
          <w:rFonts w:eastAsia="Times New Roman" w:cs="Arial"/>
          <w:i/>
          <w:iCs/>
          <w:color w:val="000000"/>
          <w:szCs w:val="20"/>
          <w:lang w:eastAsia="bg-BG"/>
        </w:rPr>
      </w:pPr>
    </w:p>
    <w:p w14:paraId="7FBF9586" w14:textId="77777777" w:rsidR="00775E52" w:rsidRPr="00775E52" w:rsidRDefault="00775E52" w:rsidP="00775E52">
      <w:pPr>
        <w:pStyle w:val="Heading3"/>
        <w:rPr>
          <w:rFonts w:eastAsia="Times New Roman"/>
          <w:u w:val="single"/>
          <w:lang w:eastAsia="bg-BG"/>
        </w:rPr>
      </w:pPr>
      <w:r w:rsidRPr="00775E52">
        <w:rPr>
          <w:rFonts w:eastAsia="Times New Roman"/>
          <w:u w:val="single"/>
          <w:lang w:eastAsia="bg-BG"/>
        </w:rPr>
        <w:lastRenderedPageBreak/>
        <w:t xml:space="preserve">Бременност: </w:t>
      </w:r>
    </w:p>
    <w:p w14:paraId="01EC0D41" w14:textId="00F2DAC6" w:rsidR="00775E52" w:rsidRPr="00775E52" w:rsidRDefault="00775E52" w:rsidP="00775E52">
      <w:pPr>
        <w:spacing w:line="240" w:lineRule="auto"/>
        <w:rPr>
          <w:rFonts w:eastAsia="Times New Roman" w:cs="Arial"/>
          <w:sz w:val="28"/>
          <w:szCs w:val="24"/>
        </w:rPr>
      </w:pPr>
      <w:r w:rsidRPr="00775E52">
        <w:rPr>
          <w:rFonts w:eastAsia="Times New Roman" w:cs="Arial"/>
          <w:color w:val="000000"/>
          <w:szCs w:val="20"/>
          <w:lang w:eastAsia="bg-BG"/>
        </w:rPr>
        <w:t xml:space="preserve">няма достатъчно данни от употребата на ентекавир при бременни жени. Проучвания при животни показват репродуктивна токсичност при високи дози (вж. точка 5.3). Потенциалният риск при хора не е известен. Ентекавир Алвоген не трябва да се използва по време на бременност, освен ако това не е абсолютно необходимо. Няма данни относно ефекта на ентекавир върху предаването на </w:t>
      </w:r>
      <w:r w:rsidRPr="00775E52">
        <w:rPr>
          <w:rFonts w:eastAsia="Times New Roman" w:cs="Arial"/>
          <w:color w:val="000000"/>
          <w:szCs w:val="20"/>
          <w:lang w:val="en-US"/>
        </w:rPr>
        <w:t>HBV</w:t>
      </w:r>
      <w:r w:rsidRPr="00775E52">
        <w:rPr>
          <w:rFonts w:eastAsia="Times New Roman" w:cs="Arial"/>
          <w:color w:val="000000"/>
          <w:szCs w:val="20"/>
          <w:lang w:val="ru-RU"/>
        </w:rPr>
        <w:t xml:space="preserve"> </w:t>
      </w:r>
      <w:r w:rsidRPr="00775E52">
        <w:rPr>
          <w:rFonts w:eastAsia="Times New Roman" w:cs="Arial"/>
          <w:color w:val="000000"/>
          <w:szCs w:val="20"/>
          <w:lang w:eastAsia="bg-BG"/>
        </w:rPr>
        <w:t xml:space="preserve">от майката на новороденото. Следователно трябва да се използват подходящи интервенции, за да се предотврати придобиването на </w:t>
      </w:r>
      <w:r w:rsidRPr="00775E52">
        <w:rPr>
          <w:rFonts w:eastAsia="Times New Roman" w:cs="Arial"/>
          <w:color w:val="000000"/>
          <w:szCs w:val="20"/>
          <w:lang w:val="en-US"/>
        </w:rPr>
        <w:t>HBV</w:t>
      </w:r>
      <w:r w:rsidRPr="00775E52">
        <w:rPr>
          <w:rFonts w:eastAsia="Times New Roman" w:cs="Arial"/>
          <w:color w:val="000000"/>
          <w:szCs w:val="20"/>
          <w:lang w:val="ru-RU"/>
        </w:rPr>
        <w:t xml:space="preserve"> </w:t>
      </w:r>
      <w:r w:rsidRPr="00775E52">
        <w:rPr>
          <w:rFonts w:eastAsia="Times New Roman" w:cs="Arial"/>
          <w:color w:val="000000"/>
          <w:szCs w:val="20"/>
          <w:lang w:eastAsia="bg-BG"/>
        </w:rPr>
        <w:t>от страна на новороденото.</w:t>
      </w:r>
    </w:p>
    <w:p w14:paraId="12004A71" w14:textId="77777777" w:rsidR="00775E52" w:rsidRPr="00775E52" w:rsidRDefault="00775E52" w:rsidP="00775E52">
      <w:pPr>
        <w:spacing w:line="240" w:lineRule="auto"/>
        <w:rPr>
          <w:rFonts w:eastAsia="Times New Roman" w:cs="Arial"/>
          <w:i/>
          <w:iCs/>
          <w:color w:val="000000"/>
          <w:szCs w:val="20"/>
          <w:lang w:eastAsia="bg-BG"/>
        </w:rPr>
      </w:pPr>
    </w:p>
    <w:p w14:paraId="47504B21" w14:textId="77777777" w:rsidR="00775E52" w:rsidRPr="00775E52" w:rsidRDefault="00775E52" w:rsidP="00775E52">
      <w:pPr>
        <w:pStyle w:val="Heading3"/>
        <w:rPr>
          <w:rFonts w:eastAsia="Times New Roman"/>
          <w:u w:val="single"/>
          <w:lang w:eastAsia="bg-BG"/>
        </w:rPr>
      </w:pPr>
      <w:r w:rsidRPr="00775E52">
        <w:rPr>
          <w:rFonts w:eastAsia="Times New Roman"/>
          <w:u w:val="single"/>
          <w:lang w:eastAsia="bg-BG"/>
        </w:rPr>
        <w:t xml:space="preserve">Кърмене: </w:t>
      </w:r>
    </w:p>
    <w:p w14:paraId="57C516E8" w14:textId="73D82D57" w:rsidR="00775E52" w:rsidRPr="00775E52" w:rsidRDefault="00775E52" w:rsidP="00775E52">
      <w:pPr>
        <w:spacing w:line="240" w:lineRule="auto"/>
        <w:rPr>
          <w:rFonts w:eastAsia="Times New Roman" w:cs="Arial"/>
          <w:sz w:val="28"/>
          <w:szCs w:val="24"/>
        </w:rPr>
      </w:pPr>
      <w:r w:rsidRPr="00775E52">
        <w:rPr>
          <w:rFonts w:eastAsia="Times New Roman" w:cs="Arial"/>
          <w:color w:val="000000"/>
          <w:szCs w:val="20"/>
          <w:lang w:eastAsia="bg-BG"/>
        </w:rPr>
        <w:t>не е известно дали ентекавир се екскретира в кърмата. Налични токсикологични данни при животни показват отделянето на ентекавир в млякото (за повече подробности вж. точка 5.3). Не е изключен риск за новородените. Кърменето трябва да бъде прекратено по време на лечение с Ентекавир Алвоген.</w:t>
      </w:r>
    </w:p>
    <w:p w14:paraId="6AB0167F" w14:textId="77777777" w:rsidR="00775E52" w:rsidRPr="00775E52" w:rsidRDefault="00775E52" w:rsidP="00775E52">
      <w:pPr>
        <w:rPr>
          <w:rFonts w:eastAsia="Times New Roman" w:cs="Arial"/>
          <w:i/>
          <w:iCs/>
          <w:color w:val="000000"/>
          <w:szCs w:val="20"/>
          <w:lang w:eastAsia="bg-BG"/>
        </w:rPr>
      </w:pPr>
    </w:p>
    <w:p w14:paraId="516E1ED2" w14:textId="77777777" w:rsidR="00775E52" w:rsidRPr="00775E52" w:rsidRDefault="00775E52" w:rsidP="00775E52">
      <w:pPr>
        <w:pStyle w:val="Heading3"/>
        <w:rPr>
          <w:rFonts w:eastAsia="Times New Roman"/>
          <w:u w:val="single"/>
          <w:lang w:eastAsia="bg-BG"/>
        </w:rPr>
      </w:pPr>
      <w:r w:rsidRPr="00775E52">
        <w:rPr>
          <w:rFonts w:eastAsia="Times New Roman"/>
          <w:u w:val="single"/>
          <w:lang w:eastAsia="bg-BG"/>
        </w:rPr>
        <w:t xml:space="preserve">Фертилитет: </w:t>
      </w:r>
    </w:p>
    <w:p w14:paraId="61BFC2EA" w14:textId="6E5F19CF" w:rsidR="00775E52" w:rsidRDefault="00775E52" w:rsidP="00775E52">
      <w:pPr>
        <w:rPr>
          <w:rFonts w:ascii="Times New Roman" w:eastAsia="Times New Roman" w:hAnsi="Times New Roman" w:cs="Times New Roman"/>
          <w:color w:val="000000"/>
          <w:sz w:val="20"/>
          <w:szCs w:val="20"/>
          <w:lang w:eastAsia="bg-BG"/>
        </w:rPr>
      </w:pPr>
      <w:r w:rsidRPr="00775E52">
        <w:rPr>
          <w:rFonts w:eastAsia="Times New Roman" w:cs="Arial"/>
          <w:color w:val="000000"/>
          <w:szCs w:val="20"/>
          <w:lang w:eastAsia="bg-BG"/>
        </w:rPr>
        <w:t>токсикологични проучвания при животни, приемали ентекавир, не показват данни за нарушения по отношение на фертилитета (вж. точка 5.3).</w:t>
      </w:r>
    </w:p>
    <w:p w14:paraId="419E7DFB" w14:textId="77777777" w:rsidR="00775E52" w:rsidRPr="00775E52" w:rsidRDefault="00775E52" w:rsidP="00775E52">
      <w:pPr>
        <w:rPr>
          <w:lang w:val="ru-RU"/>
        </w:rPr>
      </w:pPr>
    </w:p>
    <w:p w14:paraId="5DD7A76D" w14:textId="08A14B9D" w:rsidR="007122AD" w:rsidRDefault="002C50EE" w:rsidP="00936AD0">
      <w:pPr>
        <w:pStyle w:val="Heading2"/>
      </w:pPr>
      <w:r>
        <w:t>4.7. Ефекти върху способността за шофиране и работа с машини</w:t>
      </w:r>
    </w:p>
    <w:p w14:paraId="2EDE7A09" w14:textId="27FC875C" w:rsidR="00775E52" w:rsidRDefault="00775E52" w:rsidP="00775E52"/>
    <w:p w14:paraId="1DE190F7" w14:textId="773DB8AD" w:rsidR="00775E52" w:rsidRDefault="00775E52" w:rsidP="00775E52">
      <w:r>
        <w:t>Не са извършвани проучвания относно ефектите върху способността за шофиране и работа с машини. Замаяност, умора и унесеност са чести нежелани лекарствени реакции, които биха могли да намалят способността Ви за шофиране и работа с машини.</w:t>
      </w:r>
    </w:p>
    <w:p w14:paraId="15E2AC07" w14:textId="77777777" w:rsidR="00775E52" w:rsidRPr="00775E52" w:rsidRDefault="00775E52" w:rsidP="00775E52"/>
    <w:p w14:paraId="44CE30A3" w14:textId="33EE40AA" w:rsidR="007122AD" w:rsidRDefault="002C50EE" w:rsidP="00936AD0">
      <w:pPr>
        <w:pStyle w:val="Heading2"/>
      </w:pPr>
      <w:r>
        <w:t>4.8. Нежелани лекарствени реакции</w:t>
      </w:r>
    </w:p>
    <w:p w14:paraId="56339578" w14:textId="13FA0306" w:rsidR="00775E52" w:rsidRDefault="00775E52" w:rsidP="00775E52"/>
    <w:p w14:paraId="602A44A5" w14:textId="12456ACA" w:rsidR="00775E52" w:rsidRPr="00775E52" w:rsidRDefault="00775E52" w:rsidP="00775E52">
      <w:pPr>
        <w:spacing w:line="240" w:lineRule="auto"/>
        <w:rPr>
          <w:rFonts w:eastAsia="Times New Roman" w:cs="Arial"/>
          <w:i/>
          <w:iCs/>
          <w:color w:val="000000"/>
          <w:lang w:eastAsia="bg-BG"/>
        </w:rPr>
      </w:pPr>
      <w:r w:rsidRPr="00775E52">
        <w:rPr>
          <w:rFonts w:eastAsia="Times New Roman" w:cs="Arial"/>
          <w:i/>
          <w:iCs/>
          <w:color w:val="000000"/>
          <w:lang w:eastAsia="bg-BG"/>
        </w:rPr>
        <w:t>А. Резюме на профила за безопасност</w:t>
      </w:r>
    </w:p>
    <w:p w14:paraId="5098580A" w14:textId="77777777" w:rsidR="00775E52" w:rsidRPr="00775E52" w:rsidRDefault="00775E52" w:rsidP="00775E52">
      <w:pPr>
        <w:spacing w:line="240" w:lineRule="auto"/>
        <w:rPr>
          <w:rFonts w:eastAsia="Times New Roman" w:cs="Arial"/>
        </w:rPr>
      </w:pPr>
      <w:r w:rsidRPr="00775E52">
        <w:rPr>
          <w:rFonts w:eastAsia="Times New Roman" w:cs="Arial"/>
          <w:color w:val="000000"/>
          <w:lang w:eastAsia="bg-BG"/>
        </w:rPr>
        <w:t xml:space="preserve">В клинични проучвания при пациенти с компенсирано чернодробно заболяване най- честите нежелани реакции независимо от тяхната тежест при най-малката възможна връзка с ентекавир са главоболие (9%), умора (6%), замаяност (4%) и гадене (3%). Има съобщения и за екзацербации на хепатита по време на и след прекратяване на терапията с ентекавир (вж. точка 4.4 и в. </w:t>
      </w:r>
      <w:r w:rsidRPr="00775E52">
        <w:rPr>
          <w:rFonts w:eastAsia="Times New Roman" w:cs="Arial"/>
          <w:i/>
          <w:iCs/>
          <w:color w:val="000000"/>
          <w:lang w:eastAsia="bg-BG"/>
        </w:rPr>
        <w:t>Описание на избрани нежелани реакции).</w:t>
      </w:r>
    </w:p>
    <w:p w14:paraId="04423AD8" w14:textId="77777777" w:rsidR="00775E52" w:rsidRPr="00775E52" w:rsidRDefault="00775E52" w:rsidP="00775E52">
      <w:pPr>
        <w:spacing w:line="240" w:lineRule="auto"/>
        <w:rPr>
          <w:rFonts w:eastAsia="Times New Roman" w:cs="Arial"/>
          <w:i/>
          <w:iCs/>
          <w:color w:val="000000"/>
          <w:lang w:eastAsia="bg-BG"/>
        </w:rPr>
      </w:pPr>
    </w:p>
    <w:p w14:paraId="7F765943" w14:textId="7A7F0E1D" w:rsidR="00775E52" w:rsidRPr="00775E52" w:rsidRDefault="00775E52" w:rsidP="00775E52">
      <w:pPr>
        <w:spacing w:line="240" w:lineRule="auto"/>
        <w:rPr>
          <w:rFonts w:eastAsia="Times New Roman" w:cs="Arial"/>
          <w:i/>
          <w:iCs/>
          <w:color w:val="000000"/>
          <w:lang w:eastAsia="bg-BG"/>
        </w:rPr>
      </w:pPr>
      <w:r w:rsidRPr="00775E52">
        <w:rPr>
          <w:rFonts w:eastAsia="Times New Roman" w:cs="Arial"/>
          <w:i/>
          <w:iCs/>
          <w:color w:val="000000"/>
          <w:lang w:eastAsia="bg-BG"/>
        </w:rPr>
        <w:t>Б. Табличен списък на нежеланите реакции</w:t>
      </w:r>
    </w:p>
    <w:p w14:paraId="7A4B532D" w14:textId="77777777" w:rsidR="00775E52" w:rsidRPr="00775E52" w:rsidRDefault="00775E52" w:rsidP="00775E52">
      <w:pPr>
        <w:spacing w:line="240" w:lineRule="auto"/>
        <w:rPr>
          <w:rFonts w:eastAsia="Times New Roman" w:cs="Arial"/>
        </w:rPr>
      </w:pPr>
      <w:r w:rsidRPr="00775E52">
        <w:rPr>
          <w:rFonts w:eastAsia="Times New Roman" w:cs="Arial"/>
          <w:color w:val="000000"/>
          <w:lang w:eastAsia="bg-BG"/>
        </w:rPr>
        <w:t>Оценката на нежеланите реакции е направена въз основа на постмаркетингово проучване и четири клинични проучвания, при които 1720 пациенти с хронична хепатит В инфекция и компенсирано чернодробно заболяване са получавали двойно-сляпо лечение с ентекавир (</w:t>
      </w:r>
      <w:r w:rsidRPr="00775E52">
        <w:rPr>
          <w:rFonts w:eastAsia="Times New Roman" w:cs="Arial"/>
          <w:color w:val="000000"/>
          <w:lang w:val="en-US"/>
        </w:rPr>
        <w:t>n</w:t>
      </w:r>
      <w:r w:rsidRPr="00775E52">
        <w:rPr>
          <w:rFonts w:eastAsia="Times New Roman" w:cs="Arial"/>
          <w:color w:val="000000"/>
          <w:lang w:eastAsia="bg-BG"/>
        </w:rPr>
        <w:t xml:space="preserve"> =862) или ламивудин (</w:t>
      </w:r>
      <w:r w:rsidRPr="00775E52">
        <w:rPr>
          <w:rFonts w:eastAsia="Times New Roman" w:cs="Arial"/>
          <w:color w:val="000000"/>
          <w:lang w:val="en-US"/>
        </w:rPr>
        <w:t>n</w:t>
      </w:r>
      <w:r w:rsidRPr="00775E52">
        <w:rPr>
          <w:rFonts w:eastAsia="Times New Roman" w:cs="Arial"/>
          <w:color w:val="000000"/>
          <w:lang w:val="ru-RU"/>
        </w:rPr>
        <w:t>=</w:t>
      </w:r>
      <w:r w:rsidRPr="00775E52">
        <w:rPr>
          <w:rFonts w:eastAsia="Times New Roman" w:cs="Arial"/>
          <w:color w:val="000000"/>
          <w:lang w:eastAsia="bg-BG"/>
        </w:rPr>
        <w:t xml:space="preserve"> 858) до 107 седмици (вж. точка 5.1). В тези проучвания профилът на безопасност, включително отклонения в лабораторните изследвания, е сравним за ентекавир по 0,5 </w:t>
      </w:r>
      <w:r w:rsidRPr="00775E52">
        <w:rPr>
          <w:rFonts w:eastAsia="Times New Roman" w:cs="Arial"/>
          <w:color w:val="000000"/>
          <w:lang w:val="en-US"/>
        </w:rPr>
        <w:t>mg</w:t>
      </w:r>
      <w:r w:rsidRPr="00775E52">
        <w:rPr>
          <w:rFonts w:eastAsia="Times New Roman" w:cs="Arial"/>
          <w:color w:val="000000"/>
          <w:lang w:val="ru-RU"/>
        </w:rPr>
        <w:t xml:space="preserve"> </w:t>
      </w:r>
      <w:r w:rsidRPr="00775E52">
        <w:rPr>
          <w:rFonts w:eastAsia="Times New Roman" w:cs="Arial"/>
          <w:color w:val="000000"/>
          <w:lang w:eastAsia="bg-BG"/>
        </w:rPr>
        <w:t xml:space="preserve">дневно (679 нелекувани с нуклеозиди </w:t>
      </w:r>
      <w:r w:rsidRPr="00775E52">
        <w:rPr>
          <w:rFonts w:eastAsia="Times New Roman" w:cs="Arial"/>
          <w:color w:val="000000"/>
          <w:lang w:val="en-US"/>
        </w:rPr>
        <w:t>HBeAg</w:t>
      </w:r>
      <w:r w:rsidRPr="00775E52">
        <w:rPr>
          <w:rFonts w:eastAsia="Times New Roman" w:cs="Arial"/>
          <w:color w:val="000000"/>
          <w:lang w:val="ru-RU"/>
        </w:rPr>
        <w:t xml:space="preserve"> </w:t>
      </w:r>
      <w:r w:rsidRPr="00775E52">
        <w:rPr>
          <w:rFonts w:eastAsia="Times New Roman" w:cs="Arial"/>
          <w:color w:val="000000"/>
          <w:lang w:eastAsia="bg-BG"/>
        </w:rPr>
        <w:t xml:space="preserve">положителни или отрицателни пациенти, лекувани средно по 53 седмици), ентекавир по 1 </w:t>
      </w:r>
      <w:r w:rsidRPr="00775E52">
        <w:rPr>
          <w:rFonts w:eastAsia="Times New Roman" w:cs="Arial"/>
          <w:color w:val="000000"/>
          <w:lang w:val="en-US"/>
        </w:rPr>
        <w:t>mg</w:t>
      </w:r>
      <w:r w:rsidRPr="00775E52">
        <w:rPr>
          <w:rFonts w:eastAsia="Times New Roman" w:cs="Arial"/>
          <w:color w:val="000000"/>
          <w:lang w:val="ru-RU"/>
        </w:rPr>
        <w:t xml:space="preserve"> </w:t>
      </w:r>
      <w:r w:rsidRPr="00775E52">
        <w:rPr>
          <w:rFonts w:eastAsia="Times New Roman" w:cs="Arial"/>
          <w:color w:val="000000"/>
          <w:lang w:eastAsia="bg-BG"/>
        </w:rPr>
        <w:t>дневно (183 ламивудин-рефрактерни пациенти, лекувани средно по 69 седмици) и ламивудин.</w:t>
      </w:r>
    </w:p>
    <w:p w14:paraId="3D63F68B" w14:textId="77777777" w:rsidR="00775E52" w:rsidRPr="00775E52" w:rsidRDefault="00775E52" w:rsidP="00775E52">
      <w:pPr>
        <w:spacing w:line="240" w:lineRule="auto"/>
        <w:rPr>
          <w:rFonts w:eastAsia="Times New Roman" w:cs="Arial"/>
          <w:color w:val="000000"/>
          <w:lang w:eastAsia="bg-BG"/>
        </w:rPr>
      </w:pPr>
    </w:p>
    <w:p w14:paraId="36C2DEA8" w14:textId="313445BB" w:rsidR="00775E52" w:rsidRPr="00775E52" w:rsidRDefault="00775E52" w:rsidP="00775E52">
      <w:pPr>
        <w:spacing w:line="240" w:lineRule="auto"/>
        <w:rPr>
          <w:rFonts w:eastAsia="Times New Roman" w:cs="Arial"/>
        </w:rPr>
      </w:pPr>
      <w:r w:rsidRPr="00775E52">
        <w:rPr>
          <w:rFonts w:eastAsia="Times New Roman" w:cs="Arial"/>
          <w:color w:val="000000"/>
          <w:lang w:eastAsia="bg-BG"/>
        </w:rPr>
        <w:t xml:space="preserve">Нежеланите реакции, отнесени към най-малката възможност за връзка с лечението с ентекавир, са представени въз основа на класификацията по органи и системи. Честотата е определена по следния начин: много чести (≥ 1/10); чести (≥ 1/100 до &lt; 1/10); нечести (≥ </w:t>
      </w:r>
      <w:r w:rsidRPr="00775E52">
        <w:rPr>
          <w:rFonts w:eastAsia="Times New Roman" w:cs="Arial"/>
          <w:color w:val="000000"/>
          <w:lang w:eastAsia="bg-BG"/>
        </w:rPr>
        <w:lastRenderedPageBreak/>
        <w:t>1/1000 до &lt; 1/100); редки (≥1/10 000 до &lt; 1/1000). При всяко групиране в зависимост от честотата нежеланите лекарствени реакции се изброяват в низходящ ред по отношение на тежестта.</w:t>
      </w:r>
    </w:p>
    <w:p w14:paraId="07BB22D7" w14:textId="77777777" w:rsidR="00775E52" w:rsidRPr="00775E52" w:rsidRDefault="00775E52" w:rsidP="00775E52">
      <w:pPr>
        <w:spacing w:line="240" w:lineRule="auto"/>
        <w:rPr>
          <w:rFonts w:eastAsia="Times New Roman" w:cs="Arial"/>
          <w:i/>
          <w:iCs/>
          <w:color w:val="000000"/>
          <w:lang w:eastAsia="bg-BG"/>
        </w:rPr>
      </w:pPr>
    </w:p>
    <w:p w14:paraId="6CE4AFDD" w14:textId="121F5453" w:rsidR="00775E52" w:rsidRPr="00775E52" w:rsidRDefault="00775E52" w:rsidP="00775E52">
      <w:pPr>
        <w:spacing w:line="240" w:lineRule="auto"/>
        <w:rPr>
          <w:rFonts w:eastAsia="Times New Roman" w:cs="Arial"/>
        </w:rPr>
      </w:pPr>
      <w:r w:rsidRPr="00775E52">
        <w:rPr>
          <w:rFonts w:eastAsia="Times New Roman" w:cs="Arial"/>
          <w:i/>
          <w:iCs/>
          <w:color w:val="000000"/>
          <w:lang w:eastAsia="bg-BG"/>
        </w:rPr>
        <w:t xml:space="preserve">Нарушения на имунната система: </w:t>
      </w:r>
      <w:r w:rsidRPr="00775E52">
        <w:rPr>
          <w:rFonts w:eastAsia="Times New Roman" w:cs="Arial"/>
          <w:color w:val="000000"/>
          <w:lang w:eastAsia="bg-BG"/>
        </w:rPr>
        <w:t>редки: анафилактоидна реакция</w:t>
      </w:r>
    </w:p>
    <w:p w14:paraId="1C3BB383" w14:textId="77777777" w:rsidR="00775E52" w:rsidRPr="00775E52" w:rsidRDefault="00775E52" w:rsidP="00775E52">
      <w:pPr>
        <w:spacing w:line="240" w:lineRule="auto"/>
        <w:rPr>
          <w:rFonts w:eastAsia="Times New Roman" w:cs="Arial"/>
        </w:rPr>
      </w:pPr>
    </w:p>
    <w:p w14:paraId="396276BE" w14:textId="4B0C43FA" w:rsidR="00775E52" w:rsidRPr="00775E52" w:rsidRDefault="00775E52" w:rsidP="00775E52">
      <w:pPr>
        <w:spacing w:line="240" w:lineRule="auto"/>
        <w:rPr>
          <w:rFonts w:eastAsia="Times New Roman" w:cs="Arial"/>
        </w:rPr>
      </w:pPr>
      <w:r w:rsidRPr="00775E52">
        <w:rPr>
          <w:rFonts w:eastAsia="Times New Roman" w:cs="Arial"/>
          <w:i/>
          <w:iCs/>
          <w:color w:val="000000"/>
          <w:lang w:eastAsia="bg-BG"/>
        </w:rPr>
        <w:t>Психични нарушения:</w:t>
      </w:r>
      <w:r w:rsidRPr="00775E52">
        <w:rPr>
          <w:rFonts w:eastAsia="Times New Roman" w:cs="Arial"/>
          <w:color w:val="000000"/>
          <w:lang w:eastAsia="bg-BG"/>
        </w:rPr>
        <w:t xml:space="preserve"> чести: безсъние</w:t>
      </w:r>
    </w:p>
    <w:p w14:paraId="11721BD0" w14:textId="77777777" w:rsidR="00775E52" w:rsidRPr="00775E52" w:rsidRDefault="00775E52" w:rsidP="00775E52">
      <w:pPr>
        <w:spacing w:line="240" w:lineRule="auto"/>
        <w:rPr>
          <w:rFonts w:eastAsia="Times New Roman" w:cs="Arial"/>
        </w:rPr>
      </w:pPr>
    </w:p>
    <w:p w14:paraId="61A1A44C" w14:textId="667436BF" w:rsidR="00775E52" w:rsidRPr="00775E52" w:rsidRDefault="00775E52" w:rsidP="00775E52">
      <w:pPr>
        <w:spacing w:line="240" w:lineRule="auto"/>
        <w:rPr>
          <w:rFonts w:eastAsia="Times New Roman" w:cs="Arial"/>
        </w:rPr>
      </w:pPr>
      <w:r w:rsidRPr="00775E52">
        <w:rPr>
          <w:rFonts w:eastAsia="Times New Roman" w:cs="Arial"/>
          <w:i/>
          <w:iCs/>
          <w:color w:val="000000"/>
          <w:lang w:eastAsia="bg-BG"/>
        </w:rPr>
        <w:t>Нарушения на нервната система:</w:t>
      </w:r>
      <w:r w:rsidRPr="00775E52">
        <w:rPr>
          <w:rFonts w:eastAsia="Times New Roman" w:cs="Arial"/>
          <w:color w:val="000000"/>
          <w:lang w:eastAsia="bg-BG"/>
        </w:rPr>
        <w:t xml:space="preserve"> чести: главоболие, замаяност,</w:t>
      </w:r>
      <w:r w:rsidRPr="00775E52">
        <w:rPr>
          <w:rFonts w:eastAsia="Times New Roman" w:cs="Arial"/>
          <w:color w:val="000000"/>
          <w:lang w:val="ru-RU"/>
        </w:rPr>
        <w:t xml:space="preserve"> </w:t>
      </w:r>
      <w:r w:rsidRPr="00775E52">
        <w:rPr>
          <w:rFonts w:eastAsia="Times New Roman" w:cs="Arial"/>
          <w:color w:val="000000"/>
          <w:lang w:eastAsia="bg-BG"/>
        </w:rPr>
        <w:t>сомнолентност</w:t>
      </w:r>
    </w:p>
    <w:p w14:paraId="7952BC44" w14:textId="56F2AAC6" w:rsidR="00775E52" w:rsidRPr="00775E52" w:rsidRDefault="00775E52" w:rsidP="00775E52">
      <w:pPr>
        <w:rPr>
          <w:rFonts w:cs="Arial"/>
        </w:rPr>
      </w:pPr>
    </w:p>
    <w:p w14:paraId="1C60E76A" w14:textId="0C5EABE0" w:rsidR="00775E52" w:rsidRPr="00775E52" w:rsidRDefault="00775E52" w:rsidP="00775E52">
      <w:pPr>
        <w:spacing w:line="240" w:lineRule="auto"/>
        <w:rPr>
          <w:rFonts w:eastAsia="Times New Roman" w:cs="Arial"/>
        </w:rPr>
      </w:pPr>
      <w:r w:rsidRPr="00775E52">
        <w:rPr>
          <w:rFonts w:eastAsia="Times New Roman" w:cs="Arial"/>
          <w:i/>
          <w:iCs/>
          <w:color w:val="000000"/>
          <w:lang w:eastAsia="bg-BG"/>
        </w:rPr>
        <w:t>Стомашно-чревни нарушения:</w:t>
      </w:r>
      <w:r w:rsidRPr="00775E52">
        <w:rPr>
          <w:rFonts w:eastAsia="Times New Roman" w:cs="Arial"/>
          <w:color w:val="000000"/>
          <w:lang w:eastAsia="bg-BG"/>
        </w:rPr>
        <w:t xml:space="preserve"> чести: повръщане, диария, гадене, диспепсия</w:t>
      </w:r>
    </w:p>
    <w:p w14:paraId="46A22D13" w14:textId="77777777" w:rsidR="00775E52" w:rsidRPr="00775E52" w:rsidRDefault="00775E52" w:rsidP="00775E52">
      <w:pPr>
        <w:spacing w:line="240" w:lineRule="auto"/>
        <w:rPr>
          <w:rFonts w:eastAsia="Times New Roman" w:cs="Arial"/>
          <w:i/>
          <w:iCs/>
          <w:color w:val="000000"/>
          <w:lang w:eastAsia="bg-BG"/>
        </w:rPr>
      </w:pPr>
    </w:p>
    <w:p w14:paraId="4C9A8627" w14:textId="251235AE" w:rsidR="00775E52" w:rsidRPr="00775E52" w:rsidRDefault="00775E52" w:rsidP="00775E52">
      <w:pPr>
        <w:spacing w:line="240" w:lineRule="auto"/>
        <w:rPr>
          <w:rFonts w:eastAsia="Times New Roman" w:cs="Arial"/>
        </w:rPr>
      </w:pPr>
      <w:r w:rsidRPr="00775E52">
        <w:rPr>
          <w:rFonts w:eastAsia="Times New Roman" w:cs="Arial"/>
          <w:i/>
          <w:iCs/>
          <w:color w:val="000000"/>
          <w:lang w:eastAsia="bg-BG"/>
        </w:rPr>
        <w:t>Хепатобилиарни нарушения:</w:t>
      </w:r>
      <w:r w:rsidRPr="00775E52">
        <w:rPr>
          <w:rFonts w:eastAsia="Times New Roman" w:cs="Arial"/>
          <w:color w:val="000000"/>
          <w:lang w:eastAsia="bg-BG"/>
        </w:rPr>
        <w:t xml:space="preserve"> чести: увеличени трансаминази</w:t>
      </w:r>
    </w:p>
    <w:p w14:paraId="10254ED1" w14:textId="77777777" w:rsidR="00775E52" w:rsidRPr="00775E52" w:rsidRDefault="00775E52" w:rsidP="00775E52">
      <w:pPr>
        <w:spacing w:line="240" w:lineRule="auto"/>
        <w:rPr>
          <w:rFonts w:eastAsia="Times New Roman" w:cs="Arial"/>
          <w:i/>
          <w:iCs/>
          <w:color w:val="000000"/>
          <w:lang w:eastAsia="bg-BG"/>
        </w:rPr>
      </w:pPr>
    </w:p>
    <w:p w14:paraId="5F196C4B" w14:textId="7D49B803" w:rsidR="00775E52" w:rsidRPr="00775E52" w:rsidRDefault="00775E52" w:rsidP="00775E52">
      <w:pPr>
        <w:spacing w:line="240" w:lineRule="auto"/>
        <w:rPr>
          <w:rFonts w:eastAsia="Times New Roman" w:cs="Arial"/>
        </w:rPr>
      </w:pPr>
      <w:r w:rsidRPr="00775E52">
        <w:rPr>
          <w:rFonts w:eastAsia="Times New Roman" w:cs="Arial"/>
          <w:i/>
          <w:iCs/>
          <w:color w:val="000000"/>
          <w:lang w:eastAsia="bg-BG"/>
        </w:rPr>
        <w:t>Нарушения на кожата и подкожната</w:t>
      </w:r>
      <w:r w:rsidRPr="00775E52">
        <w:rPr>
          <w:rFonts w:eastAsia="Times New Roman" w:cs="Arial"/>
          <w:color w:val="000000"/>
          <w:lang w:eastAsia="bg-BG"/>
        </w:rPr>
        <w:t xml:space="preserve"> нечести: обрив, алопеция </w:t>
      </w:r>
      <w:r w:rsidRPr="00775E52">
        <w:rPr>
          <w:rFonts w:eastAsia="Times New Roman" w:cs="Arial"/>
          <w:i/>
          <w:iCs/>
          <w:color w:val="000000"/>
          <w:lang w:eastAsia="bg-BG"/>
        </w:rPr>
        <w:t>тъкан:</w:t>
      </w:r>
    </w:p>
    <w:p w14:paraId="5A294BB1" w14:textId="77777777" w:rsidR="00775E52" w:rsidRPr="00775E52" w:rsidRDefault="00775E52" w:rsidP="00775E52">
      <w:pPr>
        <w:spacing w:line="240" w:lineRule="auto"/>
        <w:rPr>
          <w:rFonts w:eastAsia="Times New Roman" w:cs="Arial"/>
          <w:i/>
          <w:iCs/>
          <w:color w:val="000000"/>
          <w:lang w:eastAsia="bg-BG"/>
        </w:rPr>
      </w:pPr>
    </w:p>
    <w:p w14:paraId="6C00BFD4" w14:textId="5A67E2B7" w:rsidR="00775E52" w:rsidRPr="00775E52" w:rsidRDefault="00775E52" w:rsidP="00775E52">
      <w:pPr>
        <w:spacing w:line="240" w:lineRule="auto"/>
        <w:rPr>
          <w:rFonts w:eastAsia="Times New Roman" w:cs="Arial"/>
        </w:rPr>
      </w:pPr>
      <w:r w:rsidRPr="00775E52">
        <w:rPr>
          <w:rFonts w:eastAsia="Times New Roman" w:cs="Arial"/>
          <w:i/>
          <w:iCs/>
          <w:color w:val="000000"/>
          <w:lang w:eastAsia="bg-BG"/>
        </w:rPr>
        <w:t>Общи нарушения и ефекти на мястото</w:t>
      </w:r>
      <w:r w:rsidRPr="00775E52">
        <w:rPr>
          <w:rFonts w:eastAsia="Times New Roman" w:cs="Arial"/>
          <w:color w:val="000000"/>
          <w:lang w:eastAsia="bg-BG"/>
        </w:rPr>
        <w:t xml:space="preserve"> </w:t>
      </w:r>
      <w:r w:rsidRPr="00775E52">
        <w:rPr>
          <w:rFonts w:eastAsia="Times New Roman" w:cs="Arial"/>
          <w:i/>
          <w:iCs/>
          <w:color w:val="000000"/>
          <w:lang w:eastAsia="bg-BG"/>
        </w:rPr>
        <w:t>на приложение:</w:t>
      </w:r>
      <w:r w:rsidRPr="00775E52">
        <w:rPr>
          <w:rFonts w:eastAsia="Times New Roman" w:cs="Arial"/>
        </w:rPr>
        <w:t xml:space="preserve"> </w:t>
      </w:r>
      <w:r w:rsidRPr="00775E52">
        <w:rPr>
          <w:rFonts w:eastAsia="Times New Roman" w:cs="Arial"/>
          <w:color w:val="000000"/>
          <w:lang w:eastAsia="bg-BG"/>
        </w:rPr>
        <w:t>чести: умора</w:t>
      </w:r>
    </w:p>
    <w:p w14:paraId="774A1F74" w14:textId="77777777" w:rsidR="00775E52" w:rsidRPr="00775E52" w:rsidRDefault="00775E52" w:rsidP="00775E52">
      <w:pPr>
        <w:spacing w:line="240" w:lineRule="auto"/>
        <w:rPr>
          <w:rFonts w:eastAsia="Times New Roman" w:cs="Arial"/>
        </w:rPr>
      </w:pPr>
    </w:p>
    <w:p w14:paraId="5B370CF7" w14:textId="73CC14E2" w:rsidR="00775E52" w:rsidRPr="00775E52" w:rsidRDefault="00775E52" w:rsidP="00775E52">
      <w:pPr>
        <w:spacing w:line="240" w:lineRule="auto"/>
        <w:rPr>
          <w:rFonts w:eastAsia="Times New Roman" w:cs="Arial"/>
        </w:rPr>
      </w:pPr>
      <w:r w:rsidRPr="00775E52">
        <w:rPr>
          <w:rFonts w:eastAsia="Times New Roman" w:cs="Arial"/>
          <w:color w:val="000000"/>
          <w:lang w:eastAsia="bg-BG"/>
        </w:rPr>
        <w:t>Съобщавани са случаи на лактатна ацидоза, често свързвани с чернодробна декомпенсация, други сериозни заболявания или експозиция на лекарства (вж. точка 4.4).</w:t>
      </w:r>
    </w:p>
    <w:p w14:paraId="3B49DA12" w14:textId="77777777" w:rsidR="00775E52" w:rsidRPr="00775E52" w:rsidRDefault="00775E52" w:rsidP="00775E52">
      <w:pPr>
        <w:spacing w:line="240" w:lineRule="auto"/>
        <w:rPr>
          <w:rFonts w:eastAsia="Times New Roman" w:cs="Arial"/>
          <w:color w:val="000000"/>
          <w:lang w:eastAsia="bg-BG"/>
        </w:rPr>
      </w:pPr>
    </w:p>
    <w:p w14:paraId="69F956B7" w14:textId="49116483" w:rsidR="00775E52" w:rsidRPr="00775E52" w:rsidRDefault="00775E52" w:rsidP="00775E52">
      <w:pPr>
        <w:spacing w:line="240" w:lineRule="auto"/>
        <w:rPr>
          <w:rFonts w:eastAsia="Times New Roman" w:cs="Arial"/>
        </w:rPr>
      </w:pPr>
      <w:r w:rsidRPr="00775E52">
        <w:rPr>
          <w:rFonts w:eastAsia="Times New Roman" w:cs="Arial"/>
          <w:color w:val="000000"/>
          <w:lang w:eastAsia="bg-BG"/>
        </w:rPr>
        <w:t>Лечение над 48 седмици: продължителното лечение с ентекавир за средно 96 седмици не показва някакви нови данни относно профила на безопасност.</w:t>
      </w:r>
    </w:p>
    <w:p w14:paraId="2638698B" w14:textId="77777777" w:rsidR="00775E52" w:rsidRPr="00775E52" w:rsidRDefault="00775E52" w:rsidP="00775E52">
      <w:pPr>
        <w:spacing w:line="240" w:lineRule="auto"/>
        <w:rPr>
          <w:rFonts w:eastAsia="Times New Roman" w:cs="Arial"/>
          <w:i/>
          <w:iCs/>
          <w:color w:val="000000"/>
          <w:lang w:eastAsia="bg-BG"/>
        </w:rPr>
      </w:pPr>
    </w:p>
    <w:p w14:paraId="1D809568" w14:textId="5D2D1982" w:rsidR="00775E52" w:rsidRPr="00775E52" w:rsidRDefault="00775E52" w:rsidP="00775E52">
      <w:pPr>
        <w:spacing w:line="240" w:lineRule="auto"/>
        <w:rPr>
          <w:rFonts w:eastAsia="Times New Roman" w:cs="Arial"/>
        </w:rPr>
      </w:pPr>
      <w:r w:rsidRPr="00775E52">
        <w:rPr>
          <w:rFonts w:eastAsia="Times New Roman" w:cs="Arial"/>
          <w:i/>
          <w:iCs/>
          <w:color w:val="000000"/>
          <w:lang w:eastAsia="bg-BG"/>
        </w:rPr>
        <w:t>в.Описание на избрани нежелани реакции</w:t>
      </w:r>
    </w:p>
    <w:p w14:paraId="72307BFC" w14:textId="77777777" w:rsidR="00775E52" w:rsidRPr="00775E52" w:rsidRDefault="00775E52" w:rsidP="00775E52">
      <w:pPr>
        <w:spacing w:line="240" w:lineRule="auto"/>
        <w:rPr>
          <w:rFonts w:eastAsia="Times New Roman" w:cs="Arial"/>
          <w:color w:val="000000"/>
          <w:u w:val="single"/>
          <w:lang w:eastAsia="bg-BG"/>
        </w:rPr>
      </w:pPr>
    </w:p>
    <w:p w14:paraId="68F071F9" w14:textId="5D35C0C0" w:rsidR="00775E52" w:rsidRPr="00775E52" w:rsidRDefault="00775E52" w:rsidP="00775E52">
      <w:pPr>
        <w:spacing w:line="240" w:lineRule="auto"/>
        <w:rPr>
          <w:rFonts w:eastAsia="Times New Roman" w:cs="Arial"/>
        </w:rPr>
      </w:pPr>
      <w:r w:rsidRPr="00775E52">
        <w:rPr>
          <w:rFonts w:eastAsia="Times New Roman" w:cs="Arial"/>
          <w:color w:val="000000"/>
          <w:u w:val="single"/>
          <w:lang w:eastAsia="bg-BG"/>
        </w:rPr>
        <w:t>Отклонения при лабораторните изследвания</w:t>
      </w:r>
      <w:r w:rsidRPr="00775E52">
        <w:rPr>
          <w:rFonts w:eastAsia="Times New Roman" w:cs="Arial"/>
          <w:color w:val="000000"/>
          <w:lang w:eastAsia="bg-BG"/>
        </w:rPr>
        <w:t xml:space="preserve">: при клинични проучвания с нелекувани с нуклеозиди пациенти 5% имат повишаване на </w:t>
      </w:r>
      <w:r w:rsidRPr="00775E52">
        <w:rPr>
          <w:rFonts w:eastAsia="Times New Roman" w:cs="Arial"/>
          <w:color w:val="000000"/>
          <w:lang w:val="en-US"/>
        </w:rPr>
        <w:t>ALT</w:t>
      </w:r>
      <w:r w:rsidRPr="00775E52">
        <w:rPr>
          <w:rFonts w:eastAsia="Times New Roman" w:cs="Arial"/>
          <w:color w:val="000000"/>
          <w:lang w:val="ru-RU"/>
        </w:rPr>
        <w:t xml:space="preserve"> </w:t>
      </w:r>
      <w:r w:rsidRPr="00775E52">
        <w:rPr>
          <w:rFonts w:eastAsia="Times New Roman" w:cs="Arial"/>
          <w:color w:val="000000"/>
          <w:lang w:eastAsia="bg-BG"/>
        </w:rPr>
        <w:t xml:space="preserve">&gt; 3 пъти спрямо изходното ниво и &lt; 1% имат повишаване на </w:t>
      </w:r>
      <w:r w:rsidRPr="00775E52">
        <w:rPr>
          <w:rFonts w:eastAsia="Times New Roman" w:cs="Arial"/>
          <w:color w:val="000000"/>
          <w:lang w:val="en-US"/>
        </w:rPr>
        <w:t>ALT</w:t>
      </w:r>
      <w:r w:rsidRPr="00775E52">
        <w:rPr>
          <w:rFonts w:eastAsia="Times New Roman" w:cs="Arial"/>
          <w:color w:val="000000"/>
          <w:lang w:val="ru-RU"/>
        </w:rPr>
        <w:t xml:space="preserve"> </w:t>
      </w:r>
      <w:r w:rsidRPr="00775E52">
        <w:rPr>
          <w:rFonts w:eastAsia="Times New Roman" w:cs="Arial"/>
          <w:color w:val="000000"/>
          <w:lang w:eastAsia="bg-BG"/>
        </w:rPr>
        <w:t xml:space="preserve">&gt; 2 пъти спрямо изходното ниво заедно с общия билирубин &gt; 2 пъти над горната граница на нормата </w:t>
      </w:r>
      <w:r w:rsidRPr="00775E52">
        <w:rPr>
          <w:rFonts w:eastAsia="Times New Roman" w:cs="Arial"/>
          <w:color w:val="000000"/>
          <w:lang w:val="ru-RU"/>
        </w:rPr>
        <w:t>(</w:t>
      </w:r>
      <w:r w:rsidRPr="00775E52">
        <w:rPr>
          <w:rFonts w:eastAsia="Times New Roman" w:cs="Arial"/>
          <w:color w:val="000000"/>
          <w:lang w:val="en-US"/>
        </w:rPr>
        <w:t>ULN</w:t>
      </w:r>
      <w:r w:rsidRPr="00775E52">
        <w:rPr>
          <w:rFonts w:eastAsia="Times New Roman" w:cs="Arial"/>
          <w:color w:val="000000"/>
          <w:lang w:val="ru-RU"/>
        </w:rPr>
        <w:t xml:space="preserve">) </w:t>
      </w:r>
      <w:r w:rsidRPr="00775E52">
        <w:rPr>
          <w:rFonts w:eastAsia="Times New Roman" w:cs="Arial"/>
          <w:color w:val="000000"/>
          <w:lang w:eastAsia="bg-BG"/>
        </w:rPr>
        <w:t xml:space="preserve">и &gt; 2 пъти спрямо изходното ниво. Нива на албумин &lt; 2,5 </w:t>
      </w:r>
      <w:r w:rsidRPr="00775E52">
        <w:rPr>
          <w:rFonts w:eastAsia="Times New Roman" w:cs="Arial"/>
          <w:color w:val="000000"/>
          <w:lang w:val="en-US"/>
        </w:rPr>
        <w:t>g</w:t>
      </w:r>
      <w:r w:rsidRPr="00775E52">
        <w:rPr>
          <w:rFonts w:eastAsia="Times New Roman" w:cs="Arial"/>
          <w:color w:val="000000"/>
          <w:lang w:val="ru-RU"/>
        </w:rPr>
        <w:t>/</w:t>
      </w:r>
      <w:r w:rsidRPr="00775E52">
        <w:rPr>
          <w:rFonts w:eastAsia="Times New Roman" w:cs="Arial"/>
          <w:color w:val="000000"/>
          <w:lang w:val="en-US"/>
        </w:rPr>
        <w:t>dl</w:t>
      </w:r>
      <w:r w:rsidRPr="00775E52">
        <w:rPr>
          <w:rFonts w:eastAsia="Times New Roman" w:cs="Arial"/>
          <w:color w:val="000000"/>
          <w:lang w:val="ru-RU"/>
        </w:rPr>
        <w:t xml:space="preserve"> </w:t>
      </w:r>
      <w:r w:rsidRPr="00775E52">
        <w:rPr>
          <w:rFonts w:eastAsia="Times New Roman" w:cs="Arial"/>
          <w:color w:val="000000"/>
          <w:lang w:eastAsia="bg-BG"/>
        </w:rPr>
        <w:t xml:space="preserve">са наблюдавани при &lt; 1% от пациентите, нива на амилаза &gt; 3 пъти спрямо изходното ниво при 2%, нива на липаза &gt; 3 пъти спрямо изходното ниво при 11% и тромбоцити &lt; 50 </w:t>
      </w:r>
      <w:r w:rsidRPr="00775E52">
        <w:rPr>
          <w:rFonts w:eastAsia="Times New Roman" w:cs="Arial"/>
          <w:color w:val="000000"/>
          <w:lang w:val="ru-RU"/>
        </w:rPr>
        <w:t>000/</w:t>
      </w:r>
      <w:r w:rsidRPr="00775E52">
        <w:rPr>
          <w:rFonts w:eastAsia="Times New Roman" w:cs="Arial"/>
          <w:color w:val="000000"/>
          <w:lang w:val="en-US"/>
        </w:rPr>
        <w:t>mm</w:t>
      </w:r>
      <w:r w:rsidRPr="00775E52">
        <w:rPr>
          <w:rFonts w:eastAsia="Times New Roman" w:cs="Arial"/>
          <w:color w:val="000000"/>
          <w:vertAlign w:val="superscript"/>
          <w:lang w:val="ru-RU"/>
        </w:rPr>
        <w:t>3</w:t>
      </w:r>
      <w:r w:rsidRPr="00775E52">
        <w:rPr>
          <w:rFonts w:eastAsia="Times New Roman" w:cs="Arial"/>
          <w:color w:val="000000"/>
          <w:lang w:val="ru-RU"/>
        </w:rPr>
        <w:t xml:space="preserve"> </w:t>
      </w:r>
      <w:r w:rsidRPr="00775E52">
        <w:rPr>
          <w:rFonts w:eastAsia="Times New Roman" w:cs="Arial"/>
          <w:color w:val="000000"/>
          <w:lang w:eastAsia="bg-BG"/>
        </w:rPr>
        <w:t>при &lt; 1%.</w:t>
      </w:r>
    </w:p>
    <w:p w14:paraId="750D5CB6" w14:textId="77777777" w:rsidR="00775E52" w:rsidRPr="00775E52" w:rsidRDefault="00775E52" w:rsidP="00775E52">
      <w:pPr>
        <w:spacing w:line="240" w:lineRule="auto"/>
        <w:rPr>
          <w:rFonts w:eastAsia="Times New Roman" w:cs="Arial"/>
          <w:color w:val="000000"/>
          <w:lang w:eastAsia="bg-BG"/>
        </w:rPr>
      </w:pPr>
    </w:p>
    <w:p w14:paraId="6B514A53" w14:textId="1B3FAE45" w:rsidR="00775E52" w:rsidRPr="00775E52" w:rsidRDefault="00775E52" w:rsidP="00775E52">
      <w:pPr>
        <w:spacing w:line="240" w:lineRule="auto"/>
        <w:rPr>
          <w:rFonts w:eastAsia="Times New Roman" w:cs="Arial"/>
        </w:rPr>
      </w:pPr>
      <w:r w:rsidRPr="00775E52">
        <w:rPr>
          <w:rFonts w:eastAsia="Times New Roman" w:cs="Arial"/>
          <w:color w:val="000000"/>
          <w:lang w:eastAsia="bg-BG"/>
        </w:rPr>
        <w:t xml:space="preserve">При клинични проучвания с ламивудин-рефрактерни пациенти 4% имат повишаване на </w:t>
      </w:r>
      <w:r w:rsidRPr="00775E52">
        <w:rPr>
          <w:rFonts w:eastAsia="Times New Roman" w:cs="Arial"/>
          <w:color w:val="000000"/>
          <w:lang w:val="en-US"/>
        </w:rPr>
        <w:t>ALT</w:t>
      </w:r>
      <w:r w:rsidRPr="00775E52">
        <w:rPr>
          <w:rFonts w:eastAsia="Times New Roman" w:cs="Arial"/>
          <w:color w:val="000000"/>
          <w:lang w:val="ru-RU"/>
        </w:rPr>
        <w:t xml:space="preserve"> </w:t>
      </w:r>
      <w:r w:rsidRPr="00775E52">
        <w:rPr>
          <w:rFonts w:eastAsia="Times New Roman" w:cs="Arial"/>
          <w:color w:val="000000"/>
          <w:lang w:eastAsia="bg-BG"/>
        </w:rPr>
        <w:t xml:space="preserve">&gt; 3 пъти спрямо изходното ниво и &lt; 1% имат повишаване на </w:t>
      </w:r>
      <w:r w:rsidRPr="00775E52">
        <w:rPr>
          <w:rFonts w:eastAsia="Times New Roman" w:cs="Arial"/>
          <w:color w:val="000000"/>
          <w:lang w:val="en-US"/>
        </w:rPr>
        <w:t>ALT</w:t>
      </w:r>
      <w:r w:rsidRPr="00775E52">
        <w:rPr>
          <w:rFonts w:eastAsia="Times New Roman" w:cs="Arial"/>
          <w:color w:val="000000"/>
          <w:lang w:val="ru-RU"/>
        </w:rPr>
        <w:t xml:space="preserve"> </w:t>
      </w:r>
      <w:r w:rsidRPr="00775E52">
        <w:rPr>
          <w:rFonts w:eastAsia="Times New Roman" w:cs="Arial"/>
          <w:color w:val="000000"/>
          <w:lang w:eastAsia="bg-BG"/>
        </w:rPr>
        <w:t xml:space="preserve">&gt; 2 пъти спрямо изходното ниво заедно с общия билирубин &gt; 2 пъти над </w:t>
      </w:r>
      <w:r w:rsidRPr="00775E52">
        <w:rPr>
          <w:rFonts w:eastAsia="Times New Roman" w:cs="Arial"/>
          <w:color w:val="000000"/>
          <w:lang w:val="en-US"/>
        </w:rPr>
        <w:t>ULN</w:t>
      </w:r>
      <w:r w:rsidRPr="00775E52">
        <w:rPr>
          <w:rFonts w:eastAsia="Times New Roman" w:cs="Arial"/>
          <w:color w:val="000000"/>
          <w:lang w:val="ru-RU"/>
        </w:rPr>
        <w:t xml:space="preserve"> </w:t>
      </w:r>
      <w:r w:rsidRPr="00775E52">
        <w:rPr>
          <w:rFonts w:eastAsia="Times New Roman" w:cs="Arial"/>
          <w:color w:val="000000"/>
          <w:lang w:eastAsia="bg-BG"/>
        </w:rPr>
        <w:t xml:space="preserve">и &gt; 2 пъти спрямо изходното ниво. Нива на амилазата &gt; 3 пъти спрямо изходното ниво са наблюдавани при 2% от пациентите, нива на липазата &gt; 3 пъти спрямо изходното ниво при 18% и тромбоцити &lt;50 </w:t>
      </w:r>
      <w:r w:rsidRPr="00775E52">
        <w:rPr>
          <w:rFonts w:eastAsia="Times New Roman" w:cs="Arial"/>
          <w:color w:val="000000"/>
          <w:lang w:val="ru-RU"/>
        </w:rPr>
        <w:t>000/</w:t>
      </w:r>
      <w:r w:rsidRPr="00775E52">
        <w:rPr>
          <w:rFonts w:eastAsia="Times New Roman" w:cs="Arial"/>
          <w:color w:val="000000"/>
          <w:lang w:val="en-US"/>
        </w:rPr>
        <w:t>mm</w:t>
      </w:r>
      <w:r w:rsidRPr="00775E52">
        <w:rPr>
          <w:rFonts w:eastAsia="Times New Roman" w:cs="Arial"/>
          <w:color w:val="000000"/>
          <w:vertAlign w:val="superscript"/>
          <w:lang w:val="ru-RU"/>
        </w:rPr>
        <w:t>3</w:t>
      </w:r>
      <w:r w:rsidRPr="00775E52">
        <w:rPr>
          <w:rFonts w:eastAsia="Times New Roman" w:cs="Arial"/>
          <w:color w:val="000000"/>
          <w:lang w:val="ru-RU"/>
        </w:rPr>
        <w:t xml:space="preserve"> </w:t>
      </w:r>
      <w:r w:rsidRPr="00775E52">
        <w:rPr>
          <w:rFonts w:eastAsia="Times New Roman" w:cs="Arial"/>
          <w:color w:val="000000"/>
          <w:lang w:eastAsia="bg-BG"/>
        </w:rPr>
        <w:t>при &lt; 1%.</w:t>
      </w:r>
    </w:p>
    <w:p w14:paraId="5C03600C" w14:textId="77777777" w:rsidR="00775E52" w:rsidRPr="00775E52" w:rsidRDefault="00775E52" w:rsidP="00775E52">
      <w:pPr>
        <w:spacing w:line="240" w:lineRule="auto"/>
        <w:rPr>
          <w:rFonts w:eastAsia="Times New Roman" w:cs="Arial"/>
          <w:color w:val="000000"/>
          <w:u w:val="single"/>
          <w:lang w:eastAsia="bg-BG"/>
        </w:rPr>
      </w:pPr>
    </w:p>
    <w:p w14:paraId="289D4F6F" w14:textId="1CAAB58B" w:rsidR="00775E52" w:rsidRPr="00775E52" w:rsidRDefault="00775E52" w:rsidP="00775E52">
      <w:pPr>
        <w:spacing w:line="240" w:lineRule="auto"/>
        <w:rPr>
          <w:rFonts w:eastAsia="Times New Roman" w:cs="Arial"/>
        </w:rPr>
      </w:pPr>
      <w:r w:rsidRPr="00775E52">
        <w:rPr>
          <w:rFonts w:eastAsia="Times New Roman" w:cs="Arial"/>
          <w:color w:val="000000"/>
          <w:u w:val="single"/>
          <w:lang w:eastAsia="bg-BG"/>
        </w:rPr>
        <w:t>Екзацербации по време на лечението:</w:t>
      </w:r>
      <w:r w:rsidRPr="00775E52">
        <w:rPr>
          <w:rFonts w:eastAsia="Times New Roman" w:cs="Arial"/>
          <w:color w:val="000000"/>
          <w:lang w:eastAsia="bg-BG"/>
        </w:rPr>
        <w:t xml:space="preserve"> при проучвания при нелекувани преди това с нуклеозиди пациенти по време на лечението повишаване на </w:t>
      </w:r>
      <w:r w:rsidRPr="00775E52">
        <w:rPr>
          <w:rFonts w:eastAsia="Times New Roman" w:cs="Arial"/>
          <w:color w:val="000000"/>
          <w:lang w:val="en-US"/>
        </w:rPr>
        <w:t>ALT</w:t>
      </w:r>
      <w:r w:rsidRPr="00775E52">
        <w:rPr>
          <w:rFonts w:eastAsia="Times New Roman" w:cs="Arial"/>
          <w:color w:val="000000"/>
          <w:lang w:val="ru-RU"/>
        </w:rPr>
        <w:t xml:space="preserve"> </w:t>
      </w:r>
      <w:r w:rsidRPr="00775E52">
        <w:rPr>
          <w:rFonts w:eastAsia="Times New Roman" w:cs="Arial"/>
          <w:color w:val="000000"/>
          <w:lang w:eastAsia="bg-BG"/>
        </w:rPr>
        <w:t xml:space="preserve">&gt;10 пъти спрямо </w:t>
      </w:r>
      <w:r w:rsidRPr="00775E52">
        <w:rPr>
          <w:rFonts w:eastAsia="Times New Roman" w:cs="Arial"/>
          <w:color w:val="000000"/>
          <w:lang w:val="en-US"/>
        </w:rPr>
        <w:t>ULN</w:t>
      </w:r>
      <w:r w:rsidRPr="00775E52">
        <w:rPr>
          <w:rFonts w:eastAsia="Times New Roman" w:cs="Arial"/>
          <w:color w:val="000000"/>
          <w:lang w:val="ru-RU"/>
        </w:rPr>
        <w:t xml:space="preserve"> </w:t>
      </w:r>
      <w:r w:rsidRPr="00775E52">
        <w:rPr>
          <w:rFonts w:eastAsia="Times New Roman" w:cs="Arial"/>
          <w:color w:val="000000"/>
          <w:lang w:eastAsia="bg-BG"/>
        </w:rPr>
        <w:t xml:space="preserve">и &gt; 2 спрямо изходното ниво е наблюдавано при 2% от пациентите, лекувани с ентекавир, спрямо 4% от пациентите, лекувани с ламивудин. При проучвания при ламивудин- рефрактерни пациенти по време на лечението повишаване на </w:t>
      </w:r>
      <w:r w:rsidRPr="00775E52">
        <w:rPr>
          <w:rFonts w:eastAsia="Times New Roman" w:cs="Arial"/>
          <w:color w:val="000000"/>
          <w:lang w:val="en-US"/>
        </w:rPr>
        <w:t>ALT</w:t>
      </w:r>
      <w:r w:rsidRPr="00775E52">
        <w:rPr>
          <w:rFonts w:eastAsia="Times New Roman" w:cs="Arial"/>
          <w:color w:val="000000"/>
          <w:lang w:val="ru-RU"/>
        </w:rPr>
        <w:t xml:space="preserve"> </w:t>
      </w:r>
      <w:r w:rsidRPr="00775E52">
        <w:rPr>
          <w:rFonts w:eastAsia="Times New Roman" w:cs="Arial"/>
          <w:color w:val="000000"/>
          <w:lang w:eastAsia="bg-BG"/>
        </w:rPr>
        <w:t xml:space="preserve">&gt;10 пъти спрямо </w:t>
      </w:r>
      <w:r w:rsidRPr="00775E52">
        <w:rPr>
          <w:rFonts w:eastAsia="Times New Roman" w:cs="Arial"/>
          <w:color w:val="000000"/>
          <w:lang w:val="en-US"/>
        </w:rPr>
        <w:t>ULN</w:t>
      </w:r>
      <w:r w:rsidRPr="00775E52">
        <w:rPr>
          <w:rFonts w:eastAsia="Times New Roman" w:cs="Arial"/>
          <w:color w:val="000000"/>
          <w:lang w:val="ru-RU"/>
        </w:rPr>
        <w:t xml:space="preserve"> </w:t>
      </w:r>
      <w:r w:rsidRPr="00775E52">
        <w:rPr>
          <w:rFonts w:eastAsia="Times New Roman" w:cs="Arial"/>
          <w:color w:val="000000"/>
          <w:lang w:eastAsia="bg-BG"/>
        </w:rPr>
        <w:t xml:space="preserve">и &gt; 2 пъти спрямо изходното ниво е наблюдавано при 2% от пациентите, лекувани с ентекавир, спрямо 11% от пациентите, лекувани с ламивудин. Сред лекуваните с ентекавир пациенти по време на лечението повишаването на </w:t>
      </w:r>
      <w:r w:rsidRPr="00775E52">
        <w:rPr>
          <w:rFonts w:eastAsia="Times New Roman" w:cs="Arial"/>
          <w:color w:val="000000"/>
          <w:lang w:val="en-US"/>
        </w:rPr>
        <w:t>ALT</w:t>
      </w:r>
      <w:r w:rsidRPr="00775E52">
        <w:rPr>
          <w:rFonts w:eastAsia="Times New Roman" w:cs="Arial"/>
          <w:color w:val="000000"/>
          <w:lang w:val="ru-RU"/>
        </w:rPr>
        <w:t xml:space="preserve"> </w:t>
      </w:r>
      <w:r w:rsidRPr="00775E52">
        <w:rPr>
          <w:rFonts w:eastAsia="Times New Roman" w:cs="Arial"/>
          <w:color w:val="000000"/>
          <w:lang w:eastAsia="bg-BG"/>
        </w:rPr>
        <w:t xml:space="preserve">настъпва средно за 4-5 седмици, обикновено преминава в хода на продължителното лечение и в по-голяма част от случаите е свързано с ≥ 2 </w:t>
      </w:r>
      <w:r w:rsidRPr="00775E52">
        <w:rPr>
          <w:rFonts w:eastAsia="Times New Roman" w:cs="Arial"/>
          <w:color w:val="000000"/>
          <w:lang w:val="en-US"/>
        </w:rPr>
        <w:t>log</w:t>
      </w:r>
      <w:r w:rsidRPr="00775E52">
        <w:rPr>
          <w:rFonts w:eastAsia="Times New Roman" w:cs="Arial"/>
          <w:color w:val="000000"/>
          <w:vertAlign w:val="subscript"/>
          <w:lang w:val="ru-RU"/>
        </w:rPr>
        <w:t>10</w:t>
      </w:r>
      <w:r w:rsidRPr="00775E52">
        <w:rPr>
          <w:rFonts w:eastAsia="Times New Roman" w:cs="Arial"/>
          <w:color w:val="000000"/>
          <w:lang w:val="ru-RU"/>
        </w:rPr>
        <w:t>/</w:t>
      </w:r>
      <w:r w:rsidRPr="00775E52">
        <w:rPr>
          <w:rFonts w:eastAsia="Times New Roman" w:cs="Arial"/>
          <w:color w:val="000000"/>
          <w:lang w:val="en-US"/>
        </w:rPr>
        <w:t>ml</w:t>
      </w:r>
      <w:r w:rsidRPr="00775E52">
        <w:rPr>
          <w:rFonts w:eastAsia="Times New Roman" w:cs="Arial"/>
          <w:color w:val="000000"/>
          <w:lang w:val="ru-RU"/>
        </w:rPr>
        <w:t xml:space="preserve"> </w:t>
      </w:r>
      <w:r w:rsidRPr="00775E52">
        <w:rPr>
          <w:rFonts w:eastAsia="Times New Roman" w:cs="Arial"/>
          <w:color w:val="000000"/>
          <w:lang w:eastAsia="bg-BG"/>
        </w:rPr>
        <w:t xml:space="preserve">редукция на вирусния товар, предшестваща или </w:t>
      </w:r>
      <w:r w:rsidRPr="00775E52">
        <w:rPr>
          <w:rFonts w:eastAsia="Times New Roman" w:cs="Arial"/>
          <w:color w:val="000000"/>
          <w:lang w:eastAsia="bg-BG"/>
        </w:rPr>
        <w:lastRenderedPageBreak/>
        <w:t xml:space="preserve">съпътстваща повишението на </w:t>
      </w:r>
      <w:r w:rsidRPr="00775E52">
        <w:rPr>
          <w:rFonts w:eastAsia="Times New Roman" w:cs="Arial"/>
          <w:color w:val="000000"/>
          <w:lang w:val="en-US"/>
        </w:rPr>
        <w:t>ALT</w:t>
      </w:r>
      <w:r w:rsidRPr="00775E52">
        <w:rPr>
          <w:rFonts w:eastAsia="Times New Roman" w:cs="Arial"/>
          <w:color w:val="000000"/>
          <w:lang w:val="ru-RU"/>
        </w:rPr>
        <w:t xml:space="preserve">. </w:t>
      </w:r>
      <w:r w:rsidRPr="00775E52">
        <w:rPr>
          <w:rFonts w:eastAsia="Times New Roman" w:cs="Arial"/>
          <w:color w:val="000000"/>
          <w:lang w:eastAsia="bg-BG"/>
        </w:rPr>
        <w:t>По време на лечението се препоръчва периодично проследяване на чернодробната функция.</w:t>
      </w:r>
    </w:p>
    <w:p w14:paraId="7CC713B3" w14:textId="77777777" w:rsidR="00775E52" w:rsidRPr="00775E52" w:rsidRDefault="00775E52" w:rsidP="00775E52">
      <w:pPr>
        <w:spacing w:line="240" w:lineRule="auto"/>
        <w:rPr>
          <w:rFonts w:eastAsia="Times New Roman" w:cs="Arial"/>
          <w:color w:val="000000"/>
          <w:u w:val="single"/>
          <w:lang w:eastAsia="bg-BG"/>
        </w:rPr>
      </w:pPr>
    </w:p>
    <w:p w14:paraId="25E66908" w14:textId="77777777" w:rsidR="00775E52" w:rsidRPr="00775E52" w:rsidRDefault="00775E52" w:rsidP="00775E52">
      <w:pPr>
        <w:rPr>
          <w:rFonts w:eastAsia="Times New Roman" w:cs="Arial"/>
        </w:rPr>
      </w:pPr>
      <w:r w:rsidRPr="00775E52">
        <w:rPr>
          <w:rFonts w:eastAsia="Times New Roman" w:cs="Arial"/>
          <w:color w:val="000000"/>
          <w:u w:val="single"/>
          <w:lang w:eastAsia="bg-BG"/>
        </w:rPr>
        <w:t>Екзацербации след преустановяване на лечението:</w:t>
      </w:r>
      <w:r w:rsidRPr="00775E52">
        <w:rPr>
          <w:rFonts w:eastAsia="Times New Roman" w:cs="Arial"/>
          <w:color w:val="000000"/>
          <w:lang w:eastAsia="bg-BG"/>
        </w:rPr>
        <w:t xml:space="preserve"> силни екзацербации на хепатит са съобщавани при пациенти, прекратили анти-хепатит В вирусното лечение, включително лечението с ентекавир (вж. точка 4.4). При проучванията с пациенти, нелекувани преди това с нуклеозиди, 6% от лекуваните с ентекавир пациенти и 10% от лекуваните с ламивудин пациенти са имали повишаване на </w:t>
      </w:r>
      <w:r w:rsidRPr="00775E52">
        <w:rPr>
          <w:rFonts w:eastAsia="Times New Roman" w:cs="Arial"/>
          <w:color w:val="000000"/>
          <w:lang w:val="en-US"/>
        </w:rPr>
        <w:t>ALT</w:t>
      </w:r>
      <w:r w:rsidRPr="00775E52">
        <w:rPr>
          <w:rFonts w:eastAsia="Times New Roman" w:cs="Arial"/>
          <w:color w:val="000000"/>
          <w:lang w:val="ru-RU"/>
        </w:rPr>
        <w:t xml:space="preserve"> </w:t>
      </w:r>
      <w:r w:rsidRPr="00775E52">
        <w:rPr>
          <w:rFonts w:eastAsia="Times New Roman" w:cs="Arial"/>
          <w:color w:val="000000"/>
          <w:lang w:eastAsia="bg-BG"/>
        </w:rPr>
        <w:t xml:space="preserve">(&gt; 10 пъти спрямо </w:t>
      </w:r>
      <w:r w:rsidRPr="00775E52">
        <w:rPr>
          <w:rFonts w:eastAsia="Times New Roman" w:cs="Arial"/>
          <w:color w:val="000000"/>
          <w:lang w:val="en-US"/>
        </w:rPr>
        <w:t>ULN</w:t>
      </w:r>
      <w:r w:rsidRPr="00775E52">
        <w:rPr>
          <w:rFonts w:eastAsia="Times New Roman" w:cs="Arial"/>
          <w:color w:val="000000"/>
          <w:lang w:val="ru-RU"/>
        </w:rPr>
        <w:t xml:space="preserve"> </w:t>
      </w:r>
      <w:r w:rsidRPr="00775E52">
        <w:rPr>
          <w:rFonts w:eastAsia="Times New Roman" w:cs="Arial"/>
          <w:color w:val="000000"/>
          <w:lang w:eastAsia="bg-BG"/>
        </w:rPr>
        <w:t>и &gt; 2 пъти спрямо референтните стойности [минималното изходно ниво или последната стойност измерена след края на лечението]) по време на проследяването след спиране на лчението.</w:t>
      </w:r>
      <w:r w:rsidRPr="00775E52">
        <w:rPr>
          <w:rFonts w:eastAsia="Times New Roman" w:cs="Arial"/>
        </w:rPr>
        <w:t xml:space="preserve"> </w:t>
      </w:r>
      <w:r w:rsidRPr="00775E52">
        <w:rPr>
          <w:rFonts w:eastAsia="Times New Roman" w:cs="Arial"/>
          <w:color w:val="000000"/>
          <w:lang w:eastAsia="bg-BG"/>
        </w:rPr>
        <w:t>Сред лекуваните с ентекавир пациенти, нелекувани преди това с нуклеозиди,</w:t>
      </w:r>
      <w:r w:rsidRPr="00775E52">
        <w:rPr>
          <w:rFonts w:eastAsia="Times New Roman" w:cs="Arial"/>
        </w:rPr>
        <w:t xml:space="preserve"> </w:t>
      </w:r>
      <w:r w:rsidRPr="00775E52">
        <w:rPr>
          <w:rFonts w:eastAsia="Times New Roman" w:cs="Arial"/>
          <w:color w:val="000000"/>
          <w:lang w:eastAsia="bg-BG"/>
        </w:rPr>
        <w:t xml:space="preserve">повишаването на </w:t>
      </w:r>
      <w:r w:rsidRPr="00775E52">
        <w:rPr>
          <w:rFonts w:eastAsia="Times New Roman" w:cs="Arial"/>
          <w:color w:val="000000"/>
          <w:lang w:val="en-US"/>
        </w:rPr>
        <w:t>ALT</w:t>
      </w:r>
      <w:r w:rsidRPr="00775E52">
        <w:rPr>
          <w:rFonts w:eastAsia="Times New Roman" w:cs="Arial"/>
          <w:color w:val="000000"/>
          <w:lang w:val="ru-RU"/>
        </w:rPr>
        <w:t xml:space="preserve"> </w:t>
      </w:r>
      <w:r w:rsidRPr="00775E52">
        <w:rPr>
          <w:rFonts w:eastAsia="Times New Roman" w:cs="Arial"/>
          <w:color w:val="000000"/>
          <w:lang w:eastAsia="bg-BG"/>
        </w:rPr>
        <w:t>настъпва средно за 23 - 24 седмици, като 86% (24/28) от случаите с</w:t>
      </w:r>
      <w:r w:rsidRPr="00775E52">
        <w:rPr>
          <w:rFonts w:eastAsia="Times New Roman" w:cs="Arial"/>
        </w:rPr>
        <w:t xml:space="preserve"> </w:t>
      </w:r>
      <w:r w:rsidRPr="00775E52">
        <w:rPr>
          <w:rFonts w:eastAsia="Times New Roman" w:cs="Arial"/>
          <w:color w:val="000000"/>
          <w:lang w:eastAsia="bg-BG"/>
        </w:rPr>
        <w:t xml:space="preserve">повишаване на </w:t>
      </w:r>
      <w:r w:rsidRPr="00775E52">
        <w:rPr>
          <w:rFonts w:eastAsia="Times New Roman" w:cs="Arial"/>
          <w:color w:val="000000"/>
          <w:lang w:val="en-US"/>
        </w:rPr>
        <w:t>ALT</w:t>
      </w:r>
      <w:r w:rsidRPr="00775E52">
        <w:rPr>
          <w:rFonts w:eastAsia="Times New Roman" w:cs="Arial"/>
          <w:color w:val="000000"/>
          <w:lang w:val="ru-RU"/>
        </w:rPr>
        <w:t xml:space="preserve"> </w:t>
      </w:r>
      <w:r w:rsidRPr="00775E52">
        <w:rPr>
          <w:rFonts w:eastAsia="Times New Roman" w:cs="Arial"/>
          <w:color w:val="000000"/>
          <w:lang w:eastAsia="bg-BG"/>
        </w:rPr>
        <w:t xml:space="preserve">се наблюдават при </w:t>
      </w:r>
      <w:r w:rsidRPr="00775E52">
        <w:rPr>
          <w:rFonts w:eastAsia="Times New Roman" w:cs="Arial"/>
          <w:color w:val="000000"/>
          <w:lang w:val="en-US"/>
        </w:rPr>
        <w:t>HBeAg</w:t>
      </w:r>
      <w:r w:rsidRPr="00775E52">
        <w:rPr>
          <w:rFonts w:eastAsia="Times New Roman" w:cs="Arial"/>
          <w:color w:val="000000"/>
          <w:lang w:val="ru-RU"/>
        </w:rPr>
        <w:t xml:space="preserve"> </w:t>
      </w:r>
      <w:r w:rsidRPr="00775E52">
        <w:rPr>
          <w:rFonts w:eastAsia="Times New Roman" w:cs="Arial"/>
          <w:color w:val="000000"/>
          <w:lang w:eastAsia="bg-BG"/>
        </w:rPr>
        <w:t>отрицателни пациенти. При проучванията с</w:t>
      </w:r>
      <w:r w:rsidRPr="00775E52">
        <w:rPr>
          <w:rFonts w:eastAsia="Times New Roman" w:cs="Arial"/>
          <w:i/>
          <w:iCs/>
          <w:color w:val="000000"/>
          <w:lang w:eastAsia="bg-BG"/>
        </w:rPr>
        <w:t xml:space="preserve"> </w:t>
      </w:r>
      <w:r w:rsidRPr="00775E52">
        <w:rPr>
          <w:rFonts w:eastAsia="Times New Roman" w:cs="Arial"/>
          <w:color w:val="000000"/>
          <w:lang w:eastAsia="bg-BG"/>
        </w:rPr>
        <w:t xml:space="preserve">ламивудин-рефрактерни пациенти сред ограничения брой проследени пациенти при 11% от пациентите, лекувани с ентекавир, и при нито един от пациентите, лекувани с ламивудин, е наблюдавано повишаване на </w:t>
      </w:r>
      <w:r w:rsidRPr="00775E52">
        <w:rPr>
          <w:rFonts w:eastAsia="Times New Roman" w:cs="Arial"/>
          <w:color w:val="000000"/>
          <w:lang w:val="en-US"/>
        </w:rPr>
        <w:t>ALT</w:t>
      </w:r>
      <w:r w:rsidRPr="00775E52">
        <w:rPr>
          <w:rFonts w:eastAsia="Times New Roman" w:cs="Arial"/>
          <w:color w:val="000000"/>
          <w:lang w:val="ru-RU"/>
        </w:rPr>
        <w:t xml:space="preserve"> </w:t>
      </w:r>
      <w:r w:rsidRPr="00775E52">
        <w:rPr>
          <w:rFonts w:eastAsia="Times New Roman" w:cs="Arial"/>
          <w:color w:val="000000"/>
          <w:lang w:eastAsia="bg-BG"/>
        </w:rPr>
        <w:t>в периода на проследяване след спиране на лечението.</w:t>
      </w:r>
    </w:p>
    <w:p w14:paraId="5926C40F" w14:textId="77777777" w:rsidR="00775E52" w:rsidRPr="00775E52" w:rsidRDefault="00775E52" w:rsidP="00775E52">
      <w:pPr>
        <w:spacing w:line="240" w:lineRule="auto"/>
        <w:rPr>
          <w:rFonts w:eastAsia="Times New Roman" w:cs="Arial"/>
          <w:color w:val="000000"/>
          <w:lang w:eastAsia="bg-BG"/>
        </w:rPr>
      </w:pPr>
    </w:p>
    <w:p w14:paraId="1358204A" w14:textId="71656028" w:rsidR="00775E52" w:rsidRPr="00775E52" w:rsidRDefault="00775E52" w:rsidP="00775E52">
      <w:pPr>
        <w:spacing w:line="240" w:lineRule="auto"/>
        <w:rPr>
          <w:rFonts w:eastAsia="Times New Roman" w:cs="Arial"/>
        </w:rPr>
      </w:pPr>
      <w:r w:rsidRPr="00775E52">
        <w:rPr>
          <w:rFonts w:eastAsia="Times New Roman" w:cs="Arial"/>
          <w:color w:val="000000"/>
          <w:lang w:eastAsia="bg-BG"/>
        </w:rPr>
        <w:t xml:space="preserve">При клиничните проучвания лечението с ентекавир е преустановявано при постигане на предварително определения отговор от пациентите. В случай че лечението е преустановено, без това да е свързано с отговора къч лечението, честотата на възникващото след прекъсване на лечението повишаване на </w:t>
      </w:r>
      <w:r w:rsidRPr="00775E52">
        <w:rPr>
          <w:rFonts w:eastAsia="Times New Roman" w:cs="Arial"/>
          <w:color w:val="000000"/>
          <w:lang w:val="en-US"/>
        </w:rPr>
        <w:t>ALT</w:t>
      </w:r>
      <w:r w:rsidRPr="00775E52">
        <w:rPr>
          <w:rFonts w:eastAsia="Times New Roman" w:cs="Arial"/>
          <w:color w:val="000000"/>
          <w:lang w:val="ru-RU"/>
        </w:rPr>
        <w:t xml:space="preserve"> </w:t>
      </w:r>
      <w:r w:rsidRPr="00775E52">
        <w:rPr>
          <w:rFonts w:eastAsia="Times New Roman" w:cs="Arial"/>
          <w:color w:val="000000"/>
          <w:lang w:eastAsia="bg-BG"/>
        </w:rPr>
        <w:t>може да бъде по-висока</w:t>
      </w:r>
    </w:p>
    <w:p w14:paraId="2DCE9B06" w14:textId="77777777" w:rsidR="00775E52" w:rsidRPr="00775E52" w:rsidRDefault="00775E52" w:rsidP="00775E52">
      <w:pPr>
        <w:spacing w:line="240" w:lineRule="auto"/>
        <w:rPr>
          <w:rFonts w:eastAsia="Times New Roman" w:cs="Arial"/>
          <w:color w:val="000000"/>
          <w:lang w:eastAsia="bg-BG"/>
        </w:rPr>
      </w:pPr>
    </w:p>
    <w:p w14:paraId="36DB7C31" w14:textId="2F0D56FB" w:rsidR="00775E52" w:rsidRPr="00775E52" w:rsidRDefault="00775E52" w:rsidP="00775E52">
      <w:pPr>
        <w:spacing w:line="240" w:lineRule="auto"/>
        <w:rPr>
          <w:rFonts w:eastAsia="Times New Roman" w:cs="Arial"/>
        </w:rPr>
      </w:pPr>
      <w:r w:rsidRPr="00775E52">
        <w:rPr>
          <w:rFonts w:eastAsia="Times New Roman" w:cs="Arial"/>
          <w:color w:val="000000"/>
          <w:lang w:eastAsia="bg-BG"/>
        </w:rPr>
        <w:t>г.</w:t>
      </w:r>
      <w:r w:rsidRPr="00775E52">
        <w:rPr>
          <w:rFonts w:eastAsia="Times New Roman" w:cs="Arial"/>
          <w:i/>
          <w:iCs/>
          <w:color w:val="000000"/>
          <w:lang w:eastAsia="bg-BG"/>
        </w:rPr>
        <w:t>Педиатрична популация</w:t>
      </w:r>
    </w:p>
    <w:p w14:paraId="1CCE9487" w14:textId="77777777" w:rsidR="00775E52" w:rsidRPr="00775E52" w:rsidRDefault="00775E52" w:rsidP="00775E52">
      <w:pPr>
        <w:spacing w:line="240" w:lineRule="auto"/>
        <w:rPr>
          <w:rFonts w:eastAsia="Times New Roman" w:cs="Arial"/>
          <w:color w:val="000000"/>
          <w:lang w:eastAsia="bg-BG"/>
        </w:rPr>
      </w:pPr>
    </w:p>
    <w:p w14:paraId="10834EDD" w14:textId="77777777" w:rsidR="00775E52" w:rsidRPr="00775E52" w:rsidRDefault="00775E52" w:rsidP="00775E52">
      <w:pPr>
        <w:spacing w:line="240" w:lineRule="auto"/>
        <w:rPr>
          <w:rFonts w:eastAsia="Times New Roman" w:cs="Arial"/>
        </w:rPr>
      </w:pPr>
      <w:r w:rsidRPr="00775E52">
        <w:rPr>
          <w:rFonts w:eastAsia="Times New Roman" w:cs="Arial"/>
          <w:color w:val="000000"/>
          <w:lang w:eastAsia="bg-BG"/>
        </w:rPr>
        <w:t xml:space="preserve">Безопасността на ентекавир при педиатрични пациенти на възраст от 2 до &lt; 18 години се основава на две клинични проучвания при пациенти с хронична </w:t>
      </w:r>
      <w:r w:rsidRPr="00775E52">
        <w:rPr>
          <w:rFonts w:eastAsia="Times New Roman" w:cs="Arial"/>
          <w:color w:val="000000"/>
          <w:lang w:val="en-US"/>
        </w:rPr>
        <w:t>HBV</w:t>
      </w:r>
      <w:r w:rsidRPr="00775E52">
        <w:rPr>
          <w:rFonts w:eastAsia="Times New Roman" w:cs="Arial"/>
          <w:color w:val="000000"/>
          <w:lang w:val="ru-RU"/>
        </w:rPr>
        <w:t xml:space="preserve"> </w:t>
      </w:r>
      <w:r w:rsidRPr="00775E52">
        <w:rPr>
          <w:rFonts w:eastAsia="Times New Roman" w:cs="Arial"/>
          <w:color w:val="000000"/>
          <w:lang w:eastAsia="bg-BG"/>
        </w:rPr>
        <w:t xml:space="preserve">инфекция: едно фармакокинетично проучване фаза 2 (проучване 028) и едно проучване фаза 3 (проучване 189). Тези проучвания предоставят данни за 195 </w:t>
      </w:r>
      <w:r w:rsidRPr="00775E52">
        <w:rPr>
          <w:rFonts w:eastAsia="Times New Roman" w:cs="Arial"/>
          <w:color w:val="000000"/>
          <w:lang w:val="en-US"/>
        </w:rPr>
        <w:t>HBeAg</w:t>
      </w:r>
      <w:r w:rsidRPr="00775E52">
        <w:rPr>
          <w:rFonts w:eastAsia="Times New Roman" w:cs="Arial"/>
          <w:color w:val="000000"/>
          <w:lang w:val="ru-RU"/>
        </w:rPr>
        <w:t xml:space="preserve"> </w:t>
      </w:r>
      <w:r w:rsidRPr="00775E52">
        <w:rPr>
          <w:rFonts w:eastAsia="Times New Roman" w:cs="Arial"/>
          <w:color w:val="000000"/>
          <w:lang w:eastAsia="bg-BG"/>
        </w:rPr>
        <w:t>положителни, нелекувани с нуклеозиди пациенти, получили лечение с ентекавир със средна продължителност от 99 седмици. Нежеланите реакции, наблюдавани при педиатричните пациенти, лекувани с ентекавир, съответстват на наблюдаваните нежелани реакции в клинични проучвания на ентекавир при възрастни (вж. точка а. Резюме на профила за безопасност и точка 5.1) със следното изключение при педиатричните пациенти:</w:t>
      </w:r>
      <w:r w:rsidRPr="00775E52">
        <w:rPr>
          <w:rFonts w:eastAsia="Times New Roman" w:cs="Arial"/>
        </w:rPr>
        <w:t xml:space="preserve"> </w:t>
      </w:r>
    </w:p>
    <w:p w14:paraId="11BB6D17" w14:textId="7BF40FC9" w:rsidR="00775E52" w:rsidRPr="00775E52" w:rsidRDefault="00775E52" w:rsidP="00775E52">
      <w:pPr>
        <w:pStyle w:val="ListParagraph"/>
        <w:numPr>
          <w:ilvl w:val="0"/>
          <w:numId w:val="37"/>
        </w:numPr>
        <w:spacing w:line="240" w:lineRule="auto"/>
        <w:rPr>
          <w:rFonts w:eastAsia="Times New Roman" w:cs="Arial"/>
        </w:rPr>
      </w:pPr>
      <w:r w:rsidRPr="00775E52">
        <w:rPr>
          <w:rFonts w:eastAsia="Times New Roman" w:cs="Arial"/>
          <w:color w:val="000000"/>
          <w:lang w:eastAsia="bg-BG"/>
        </w:rPr>
        <w:t>много чести нежелани реакции: неутропения.</w:t>
      </w:r>
    </w:p>
    <w:p w14:paraId="68A7958D" w14:textId="77777777" w:rsidR="00775E52" w:rsidRPr="00775E52" w:rsidRDefault="00775E52" w:rsidP="00775E52">
      <w:pPr>
        <w:spacing w:line="240" w:lineRule="auto"/>
        <w:rPr>
          <w:rFonts w:eastAsia="Times New Roman" w:cs="Arial"/>
          <w:i/>
          <w:iCs/>
          <w:color w:val="000000"/>
          <w:lang w:eastAsia="bg-BG"/>
        </w:rPr>
      </w:pPr>
    </w:p>
    <w:p w14:paraId="5E54BFA7" w14:textId="3C24BE5C" w:rsidR="00775E52" w:rsidRPr="00775E52" w:rsidRDefault="00775E52" w:rsidP="00775E52">
      <w:pPr>
        <w:spacing w:line="240" w:lineRule="auto"/>
        <w:rPr>
          <w:rFonts w:eastAsia="Times New Roman" w:cs="Arial"/>
        </w:rPr>
      </w:pPr>
      <w:r w:rsidRPr="00775E52">
        <w:rPr>
          <w:rFonts w:eastAsia="Times New Roman" w:cs="Arial"/>
          <w:i/>
          <w:iCs/>
          <w:color w:val="000000"/>
          <w:lang w:eastAsia="bg-BG"/>
        </w:rPr>
        <w:t>е. Други специални популации</w:t>
      </w:r>
    </w:p>
    <w:p w14:paraId="00D543A0" w14:textId="77777777" w:rsidR="00775E52" w:rsidRPr="00775E52" w:rsidRDefault="00775E52" w:rsidP="00775E52">
      <w:pPr>
        <w:spacing w:line="240" w:lineRule="auto"/>
        <w:rPr>
          <w:rFonts w:eastAsia="Times New Roman" w:cs="Arial"/>
          <w:color w:val="000000"/>
          <w:lang w:eastAsia="bg-BG"/>
        </w:rPr>
      </w:pPr>
    </w:p>
    <w:p w14:paraId="744961A0" w14:textId="51DF5BE5" w:rsidR="00775E52" w:rsidRPr="00775E52" w:rsidRDefault="00775E52" w:rsidP="00775E52">
      <w:pPr>
        <w:spacing w:line="240" w:lineRule="auto"/>
        <w:rPr>
          <w:rFonts w:eastAsia="Times New Roman" w:cs="Arial"/>
        </w:rPr>
      </w:pPr>
      <w:r w:rsidRPr="00775E52">
        <w:rPr>
          <w:rFonts w:eastAsia="Times New Roman" w:cs="Arial"/>
          <w:color w:val="000000"/>
          <w:lang w:eastAsia="bg-BG"/>
        </w:rPr>
        <w:t xml:space="preserve">Опит при пациенти с декомпенсирано чернодробно заболяване: профилът на безопасност на ентекавир при пациенти с декомпенсирано чернодробно заболяване е оценен в рандомизирано отворено сравнително проучване, в което пациентите са получавали лечение с ентекавир 1 </w:t>
      </w:r>
      <w:r w:rsidRPr="00775E52">
        <w:rPr>
          <w:rFonts w:eastAsia="Times New Roman" w:cs="Arial"/>
          <w:color w:val="000000"/>
          <w:lang w:val="en-US"/>
        </w:rPr>
        <w:t>mg</w:t>
      </w:r>
      <w:r w:rsidRPr="00775E52">
        <w:rPr>
          <w:rFonts w:eastAsia="Times New Roman" w:cs="Arial"/>
          <w:color w:val="000000"/>
          <w:lang w:val="ru-RU"/>
        </w:rPr>
        <w:t xml:space="preserve"> </w:t>
      </w:r>
      <w:r w:rsidRPr="00775E52">
        <w:rPr>
          <w:rFonts w:eastAsia="Times New Roman" w:cs="Arial"/>
          <w:color w:val="000000"/>
          <w:lang w:eastAsia="bg-BG"/>
        </w:rPr>
        <w:t>дневно (</w:t>
      </w:r>
      <w:r w:rsidRPr="00775E52">
        <w:rPr>
          <w:rFonts w:eastAsia="Times New Roman" w:cs="Arial"/>
          <w:color w:val="000000"/>
          <w:lang w:val="en-US"/>
        </w:rPr>
        <w:t>n</w:t>
      </w:r>
      <w:r w:rsidRPr="00775E52">
        <w:rPr>
          <w:rFonts w:eastAsia="Times New Roman" w:cs="Arial"/>
          <w:color w:val="000000"/>
          <w:lang w:val="ru-RU"/>
        </w:rPr>
        <w:t>=</w:t>
      </w:r>
      <w:r w:rsidRPr="00775E52">
        <w:rPr>
          <w:rFonts w:eastAsia="Times New Roman" w:cs="Arial"/>
          <w:color w:val="000000"/>
          <w:lang w:eastAsia="bg-BG"/>
        </w:rPr>
        <w:t xml:space="preserve"> 102) или адефовир дипивоксил 10 </w:t>
      </w:r>
      <w:r w:rsidRPr="00775E52">
        <w:rPr>
          <w:rFonts w:eastAsia="Times New Roman" w:cs="Arial"/>
          <w:color w:val="000000"/>
          <w:lang w:val="en-US"/>
        </w:rPr>
        <w:t>mg</w:t>
      </w:r>
      <w:r w:rsidRPr="00775E52">
        <w:rPr>
          <w:rFonts w:eastAsia="Times New Roman" w:cs="Arial"/>
          <w:color w:val="000000"/>
          <w:lang w:val="ru-RU"/>
        </w:rPr>
        <w:t xml:space="preserve"> </w:t>
      </w:r>
      <w:r w:rsidRPr="00775E52">
        <w:rPr>
          <w:rFonts w:eastAsia="Times New Roman" w:cs="Arial"/>
          <w:color w:val="000000"/>
          <w:lang w:eastAsia="bg-BG"/>
        </w:rPr>
        <w:t>дневно (</w:t>
      </w:r>
      <w:r w:rsidRPr="00775E52">
        <w:rPr>
          <w:rFonts w:eastAsia="Times New Roman" w:cs="Arial"/>
          <w:color w:val="000000"/>
          <w:lang w:val="en-US"/>
        </w:rPr>
        <w:t>n</w:t>
      </w:r>
      <w:r w:rsidRPr="00775E52">
        <w:rPr>
          <w:rFonts w:eastAsia="Times New Roman" w:cs="Arial"/>
          <w:color w:val="000000"/>
          <w:lang w:eastAsia="bg-BG"/>
        </w:rPr>
        <w:t xml:space="preserve"> = 89) (проучване 048). Във връзка с нежеланите реакции, отбелязани в точка б. Табличен преглед на нежеланите реакции, допълнително една нежелана реакция [намаляване на бикарбонат в кръвта (2 </w:t>
      </w:r>
      <w:r w:rsidRPr="00775E52">
        <w:rPr>
          <w:rFonts w:eastAsia="Times New Roman" w:cs="Arial"/>
          <w:i/>
          <w:iCs/>
          <w:color w:val="000000"/>
          <w:lang w:eastAsia="bg-BG"/>
        </w:rPr>
        <w:t>%)] е</w:t>
      </w:r>
      <w:r w:rsidRPr="00775E52">
        <w:rPr>
          <w:rFonts w:eastAsia="Times New Roman" w:cs="Arial"/>
          <w:color w:val="000000"/>
          <w:lang w:eastAsia="bg-BG"/>
        </w:rPr>
        <w:t xml:space="preserve"> наблюдавана при пациентите, лекувани с ентекавир, през седмица 48. Кумулативната степен на смъртност в хода на проучването е 23% (23/102), като причините за смърт са предимно чернодробно-свързани, както се очаква в тази популация. Кумулативната степен на хепатоцелуларен карцином в хода на проучването (НСС) е 12% (12/102). Сериозните нежелани събития са основно чернодробно-свързани с кумулативна честота в хода на проучването от 69%. Пациенти с </w:t>
      </w:r>
      <w:r w:rsidRPr="00775E52">
        <w:rPr>
          <w:rFonts w:eastAsia="Times New Roman" w:cs="Arial"/>
          <w:color w:val="000000"/>
          <w:lang w:eastAsia="bg-BG"/>
        </w:rPr>
        <w:lastRenderedPageBreak/>
        <w:t>висок СТР скор на изходно ниво са изложени на по-висок риск от развиване на сериозни нежелани събития (вж. точка 4.4).</w:t>
      </w:r>
    </w:p>
    <w:p w14:paraId="0043F72A" w14:textId="77777777" w:rsidR="00775E52" w:rsidRPr="00775E52" w:rsidRDefault="00775E52" w:rsidP="00775E52">
      <w:pPr>
        <w:spacing w:line="240" w:lineRule="auto"/>
        <w:rPr>
          <w:rFonts w:eastAsia="Times New Roman" w:cs="Arial"/>
          <w:color w:val="000000"/>
          <w:lang w:eastAsia="bg-BG"/>
        </w:rPr>
      </w:pPr>
    </w:p>
    <w:p w14:paraId="42550EA7" w14:textId="73BB9768" w:rsidR="00775E52" w:rsidRPr="00775E52" w:rsidRDefault="00775E52" w:rsidP="00775E52">
      <w:pPr>
        <w:spacing w:line="240" w:lineRule="auto"/>
        <w:rPr>
          <w:rFonts w:eastAsia="Times New Roman" w:cs="Arial"/>
        </w:rPr>
      </w:pPr>
      <w:r w:rsidRPr="00775E52">
        <w:rPr>
          <w:rFonts w:eastAsia="Times New Roman" w:cs="Arial"/>
          <w:color w:val="000000"/>
          <w:lang w:eastAsia="bg-BG"/>
        </w:rPr>
        <w:t xml:space="preserve">Отклонения при лабораторните изследвания: през седмица 48 нито един от пациентите, лекувани с ентекавир, с декомпенсирано чернодробно заболяване не е показал повишаване на </w:t>
      </w:r>
      <w:r w:rsidRPr="00775E52">
        <w:rPr>
          <w:rFonts w:eastAsia="Times New Roman" w:cs="Arial"/>
          <w:color w:val="000000"/>
          <w:lang w:val="en-US"/>
        </w:rPr>
        <w:t>ALT</w:t>
      </w:r>
      <w:r w:rsidRPr="00775E52">
        <w:rPr>
          <w:rFonts w:eastAsia="Times New Roman" w:cs="Arial"/>
          <w:color w:val="000000"/>
          <w:lang w:val="ru-RU"/>
        </w:rPr>
        <w:t xml:space="preserve"> </w:t>
      </w:r>
      <w:r w:rsidRPr="00775E52">
        <w:rPr>
          <w:rFonts w:eastAsia="Times New Roman" w:cs="Arial"/>
          <w:color w:val="000000"/>
          <w:lang w:eastAsia="bg-BG"/>
        </w:rPr>
        <w:t xml:space="preserve">&gt;10 пъти спрямо </w:t>
      </w:r>
      <w:r w:rsidRPr="00775E52">
        <w:rPr>
          <w:rFonts w:eastAsia="Times New Roman" w:cs="Arial"/>
          <w:color w:val="000000"/>
          <w:lang w:val="en-US"/>
        </w:rPr>
        <w:t>ULN</w:t>
      </w:r>
      <w:r w:rsidRPr="00775E52">
        <w:rPr>
          <w:rFonts w:eastAsia="Times New Roman" w:cs="Arial"/>
          <w:color w:val="000000"/>
          <w:lang w:val="ru-RU"/>
        </w:rPr>
        <w:t xml:space="preserve"> </w:t>
      </w:r>
      <w:r w:rsidRPr="00775E52">
        <w:rPr>
          <w:rFonts w:eastAsia="Times New Roman" w:cs="Arial"/>
          <w:color w:val="000000"/>
          <w:lang w:eastAsia="bg-BG"/>
        </w:rPr>
        <w:t xml:space="preserve">и &gt; 2 пъти спрямо изходно ниво, а 1% от пациентите са показали повишаване на </w:t>
      </w:r>
      <w:r w:rsidRPr="00775E52">
        <w:rPr>
          <w:rFonts w:eastAsia="Times New Roman" w:cs="Arial"/>
          <w:color w:val="000000"/>
          <w:lang w:val="en-US"/>
        </w:rPr>
        <w:t>ALT</w:t>
      </w:r>
      <w:r w:rsidRPr="00775E52">
        <w:rPr>
          <w:rFonts w:eastAsia="Times New Roman" w:cs="Arial"/>
          <w:color w:val="000000"/>
          <w:lang w:val="ru-RU"/>
        </w:rPr>
        <w:t xml:space="preserve"> </w:t>
      </w:r>
      <w:r w:rsidRPr="00775E52">
        <w:rPr>
          <w:rFonts w:eastAsia="Times New Roman" w:cs="Arial"/>
          <w:color w:val="000000"/>
          <w:lang w:eastAsia="bg-BG"/>
        </w:rPr>
        <w:t xml:space="preserve">&gt; 2 пъти спрямо изходно ниво едновременно с общ билирубин &gt; 2 пъти спрямо </w:t>
      </w:r>
      <w:r w:rsidRPr="00775E52">
        <w:rPr>
          <w:rFonts w:eastAsia="Times New Roman" w:cs="Arial"/>
          <w:color w:val="000000"/>
          <w:lang w:val="en-US"/>
        </w:rPr>
        <w:t>ULN</w:t>
      </w:r>
      <w:r w:rsidRPr="00775E52">
        <w:rPr>
          <w:rFonts w:eastAsia="Times New Roman" w:cs="Arial"/>
          <w:color w:val="000000"/>
          <w:lang w:val="ru-RU"/>
        </w:rPr>
        <w:t xml:space="preserve"> </w:t>
      </w:r>
      <w:r w:rsidRPr="00775E52">
        <w:rPr>
          <w:rFonts w:eastAsia="Times New Roman" w:cs="Arial"/>
          <w:color w:val="000000"/>
          <w:lang w:eastAsia="bg-BG"/>
        </w:rPr>
        <w:t xml:space="preserve">и &gt; 2 пъти спрямо изходно ниво. Нива на албумин &gt;2,5 </w:t>
      </w:r>
      <w:r w:rsidRPr="00775E52">
        <w:rPr>
          <w:rFonts w:eastAsia="Times New Roman" w:cs="Arial"/>
          <w:color w:val="000000"/>
          <w:lang w:val="en-US"/>
        </w:rPr>
        <w:t>g</w:t>
      </w:r>
      <w:r w:rsidRPr="00775E52">
        <w:rPr>
          <w:rFonts w:eastAsia="Times New Roman" w:cs="Arial"/>
          <w:color w:val="000000"/>
          <w:lang w:val="ru-RU"/>
        </w:rPr>
        <w:t>/</w:t>
      </w:r>
      <w:r w:rsidRPr="00775E52">
        <w:rPr>
          <w:rFonts w:eastAsia="Times New Roman" w:cs="Arial"/>
          <w:color w:val="000000"/>
          <w:lang w:val="en-US"/>
        </w:rPr>
        <w:t>dl</w:t>
      </w:r>
      <w:r w:rsidRPr="00775E52">
        <w:rPr>
          <w:rFonts w:eastAsia="Times New Roman" w:cs="Arial"/>
          <w:color w:val="000000"/>
          <w:lang w:val="ru-RU"/>
        </w:rPr>
        <w:t xml:space="preserve"> </w:t>
      </w:r>
      <w:r w:rsidRPr="00775E52">
        <w:rPr>
          <w:rFonts w:eastAsia="Times New Roman" w:cs="Arial"/>
          <w:color w:val="000000"/>
          <w:lang w:eastAsia="bg-BG"/>
        </w:rPr>
        <w:t>са наблюдавани при 30% от пациентите, нива на липазата &gt; 3 пъти спрямо изходното</w:t>
      </w:r>
      <w:r>
        <w:rPr>
          <w:rFonts w:eastAsia="Times New Roman" w:cs="Arial"/>
        </w:rPr>
        <w:t xml:space="preserve"> </w:t>
      </w:r>
      <w:r w:rsidRPr="00775E52">
        <w:rPr>
          <w:rFonts w:eastAsia="Times New Roman" w:cs="Arial"/>
          <w:color w:val="000000"/>
          <w:lang w:eastAsia="bg-BG"/>
        </w:rPr>
        <w:t xml:space="preserve">ниво при 10% и тромбоцити &lt; 50 </w:t>
      </w:r>
      <w:r w:rsidRPr="00775E52">
        <w:rPr>
          <w:rFonts w:eastAsia="Times New Roman" w:cs="Arial"/>
          <w:color w:val="000000"/>
          <w:lang w:val="ru-RU"/>
        </w:rPr>
        <w:t>000/</w:t>
      </w:r>
      <w:r w:rsidRPr="00775E52">
        <w:rPr>
          <w:rFonts w:eastAsia="Times New Roman" w:cs="Arial"/>
          <w:color w:val="000000"/>
          <w:lang w:val="en-US"/>
        </w:rPr>
        <w:t>mm</w:t>
      </w:r>
      <w:r w:rsidRPr="00775E52">
        <w:rPr>
          <w:rFonts w:eastAsia="Times New Roman" w:cs="Arial"/>
          <w:color w:val="000000"/>
          <w:vertAlign w:val="superscript"/>
          <w:lang w:val="ru-RU"/>
        </w:rPr>
        <w:t>3</w:t>
      </w:r>
      <w:r w:rsidRPr="00775E52">
        <w:rPr>
          <w:rFonts w:eastAsia="Times New Roman" w:cs="Arial"/>
          <w:color w:val="000000"/>
          <w:lang w:val="ru-RU"/>
        </w:rPr>
        <w:t xml:space="preserve"> </w:t>
      </w:r>
      <w:r w:rsidRPr="00775E52">
        <w:rPr>
          <w:rFonts w:eastAsia="Times New Roman" w:cs="Arial"/>
          <w:color w:val="000000"/>
          <w:lang w:eastAsia="bg-BG"/>
        </w:rPr>
        <w:t>при 20%.</w:t>
      </w:r>
    </w:p>
    <w:p w14:paraId="052A8F01" w14:textId="77777777" w:rsidR="00775E52" w:rsidRPr="00775E52" w:rsidRDefault="00775E52" w:rsidP="00775E52">
      <w:pPr>
        <w:spacing w:line="240" w:lineRule="auto"/>
        <w:rPr>
          <w:rFonts w:eastAsia="Times New Roman" w:cs="Arial"/>
          <w:color w:val="000000"/>
          <w:u w:val="single"/>
          <w:lang w:eastAsia="bg-BG"/>
        </w:rPr>
      </w:pPr>
    </w:p>
    <w:p w14:paraId="541FEC2A" w14:textId="6FE6D29C" w:rsidR="00775E52" w:rsidRPr="00775E52" w:rsidRDefault="00775E52" w:rsidP="00775E52">
      <w:pPr>
        <w:spacing w:line="240" w:lineRule="auto"/>
        <w:rPr>
          <w:rFonts w:eastAsia="Times New Roman" w:cs="Arial"/>
        </w:rPr>
      </w:pPr>
      <w:r w:rsidRPr="00775E52">
        <w:rPr>
          <w:rFonts w:eastAsia="Times New Roman" w:cs="Arial"/>
          <w:color w:val="000000"/>
          <w:u w:val="single"/>
          <w:lang w:eastAsia="bg-BG"/>
        </w:rPr>
        <w:t xml:space="preserve">Опит при пациентите, коинфектирани с </w:t>
      </w:r>
      <w:r w:rsidRPr="00775E52">
        <w:rPr>
          <w:rFonts w:eastAsia="Times New Roman" w:cs="Arial"/>
          <w:color w:val="000000"/>
          <w:u w:val="single"/>
          <w:lang w:val="en-US"/>
        </w:rPr>
        <w:t>HIV</w:t>
      </w:r>
      <w:r w:rsidRPr="00775E52">
        <w:rPr>
          <w:rFonts w:eastAsia="Times New Roman" w:cs="Arial"/>
          <w:color w:val="000000"/>
          <w:u w:val="single"/>
          <w:lang w:val="ru-RU"/>
        </w:rPr>
        <w:t xml:space="preserve">: </w:t>
      </w:r>
      <w:r w:rsidRPr="00775E52">
        <w:rPr>
          <w:rFonts w:eastAsia="Times New Roman" w:cs="Arial"/>
          <w:color w:val="000000"/>
          <w:lang w:eastAsia="bg-BG"/>
        </w:rPr>
        <w:t xml:space="preserve">профилът на безопасност на ентекавир при ограничен брой </w:t>
      </w:r>
      <w:r w:rsidRPr="00775E52">
        <w:rPr>
          <w:rFonts w:eastAsia="Times New Roman" w:cs="Arial"/>
          <w:color w:val="000000"/>
          <w:lang w:val="en-US"/>
        </w:rPr>
        <w:t>HIV</w:t>
      </w:r>
      <w:r w:rsidRPr="00775E52">
        <w:rPr>
          <w:rFonts w:eastAsia="Times New Roman" w:cs="Arial"/>
          <w:color w:val="000000"/>
          <w:lang w:val="ru-RU"/>
        </w:rPr>
        <w:t>/</w:t>
      </w:r>
      <w:r w:rsidRPr="00775E52">
        <w:rPr>
          <w:rFonts w:eastAsia="Times New Roman" w:cs="Arial"/>
          <w:color w:val="000000"/>
          <w:lang w:val="en-US"/>
        </w:rPr>
        <w:t>HBV</w:t>
      </w:r>
      <w:r w:rsidRPr="00775E52">
        <w:rPr>
          <w:rFonts w:eastAsia="Times New Roman" w:cs="Arial"/>
          <w:color w:val="000000"/>
          <w:lang w:val="ru-RU"/>
        </w:rPr>
        <w:t xml:space="preserve"> </w:t>
      </w:r>
      <w:r w:rsidRPr="00775E52">
        <w:rPr>
          <w:rFonts w:eastAsia="Times New Roman" w:cs="Arial"/>
          <w:color w:val="000000"/>
          <w:lang w:eastAsia="bg-BG"/>
        </w:rPr>
        <w:t xml:space="preserve">коинфектирани пациенти, подложени на съдържаща ламивудин високо активна антиретровирусна терапия </w:t>
      </w:r>
      <w:r w:rsidRPr="00775E52">
        <w:rPr>
          <w:rFonts w:eastAsia="Times New Roman" w:cs="Arial"/>
          <w:color w:val="000000"/>
          <w:lang w:val="ru-RU"/>
        </w:rPr>
        <w:t>(</w:t>
      </w:r>
      <w:r w:rsidRPr="00775E52">
        <w:rPr>
          <w:rFonts w:eastAsia="Times New Roman" w:cs="Arial"/>
          <w:color w:val="000000"/>
          <w:lang w:val="en-US"/>
        </w:rPr>
        <w:t>HAART</w:t>
      </w:r>
      <w:r w:rsidRPr="00775E52">
        <w:rPr>
          <w:rFonts w:eastAsia="Times New Roman" w:cs="Arial"/>
          <w:color w:val="000000"/>
          <w:lang w:val="ru-RU"/>
        </w:rPr>
        <w:t xml:space="preserve">), </w:t>
      </w:r>
      <w:r w:rsidRPr="00775E52">
        <w:rPr>
          <w:rFonts w:eastAsia="Times New Roman" w:cs="Arial"/>
          <w:color w:val="000000"/>
          <w:lang w:eastAsia="bg-BG"/>
        </w:rPr>
        <w:t>е сходен с профила на безопасност при инфектираните само с вируса на хепатит В пациенти (вж. точка 4.4).</w:t>
      </w:r>
    </w:p>
    <w:p w14:paraId="0E8329AF" w14:textId="77777777" w:rsidR="00775E52" w:rsidRPr="00775E52" w:rsidRDefault="00775E52" w:rsidP="00775E52">
      <w:pPr>
        <w:spacing w:line="240" w:lineRule="auto"/>
        <w:rPr>
          <w:rFonts w:eastAsia="Times New Roman" w:cs="Arial"/>
          <w:color w:val="000000"/>
          <w:u w:val="single"/>
          <w:lang w:eastAsia="bg-BG"/>
        </w:rPr>
      </w:pPr>
    </w:p>
    <w:p w14:paraId="67B3FCBE" w14:textId="67E9C6F9" w:rsidR="00775E52" w:rsidRPr="00775E52" w:rsidRDefault="00775E52" w:rsidP="00775E52">
      <w:pPr>
        <w:spacing w:line="240" w:lineRule="auto"/>
        <w:rPr>
          <w:rFonts w:eastAsia="Times New Roman" w:cs="Arial"/>
        </w:rPr>
      </w:pPr>
      <w:r w:rsidRPr="00775E52">
        <w:rPr>
          <w:rFonts w:eastAsia="Times New Roman" w:cs="Arial"/>
          <w:color w:val="000000"/>
          <w:u w:val="single"/>
          <w:lang w:eastAsia="bg-BG"/>
        </w:rPr>
        <w:t>Пол/възраст:</w:t>
      </w:r>
      <w:r w:rsidRPr="00775E52">
        <w:rPr>
          <w:rFonts w:eastAsia="Times New Roman" w:cs="Arial"/>
          <w:color w:val="000000"/>
          <w:lang w:eastAsia="bg-BG"/>
        </w:rPr>
        <w:t xml:space="preserve"> няма явни различия в профила на безопасност на ентекавир по отношение на пола (≈25% жени в клиничните проучвания) или възрастта (≈5% от пациентите на възраст &gt; 65 години).</w:t>
      </w:r>
    </w:p>
    <w:p w14:paraId="1036B32F" w14:textId="77777777" w:rsidR="00775E52" w:rsidRPr="00775E52" w:rsidRDefault="00775E52" w:rsidP="00775E52">
      <w:pPr>
        <w:spacing w:line="240" w:lineRule="auto"/>
        <w:rPr>
          <w:rFonts w:eastAsia="Times New Roman" w:cs="Arial"/>
          <w:color w:val="000000"/>
          <w:u w:val="single"/>
          <w:lang w:eastAsia="bg-BG"/>
        </w:rPr>
      </w:pPr>
    </w:p>
    <w:p w14:paraId="7EF3FE07" w14:textId="58E2CF47" w:rsidR="00775E52" w:rsidRPr="00775E52" w:rsidRDefault="00775E52" w:rsidP="00775E52">
      <w:pPr>
        <w:spacing w:line="240" w:lineRule="auto"/>
        <w:rPr>
          <w:rFonts w:eastAsia="Times New Roman" w:cs="Arial"/>
        </w:rPr>
      </w:pPr>
      <w:r w:rsidRPr="00775E52">
        <w:rPr>
          <w:rFonts w:eastAsia="Times New Roman" w:cs="Arial"/>
          <w:color w:val="000000"/>
          <w:u w:val="single"/>
          <w:lang w:eastAsia="bg-BG"/>
        </w:rPr>
        <w:t>Съобщаване на подозирани нежелани реакции:</w:t>
      </w:r>
    </w:p>
    <w:p w14:paraId="368E57BB" w14:textId="7EAC6105" w:rsidR="00775E52" w:rsidRDefault="00775E52" w:rsidP="00775E52">
      <w:pPr>
        <w:spacing w:line="240" w:lineRule="auto"/>
        <w:rPr>
          <w:rFonts w:cs="Arial"/>
        </w:rPr>
      </w:pPr>
      <w:r w:rsidRPr="00775E52">
        <w:rPr>
          <w:rFonts w:cs="Arial"/>
        </w:rPr>
        <w:t xml:space="preserve">Съобщаването на подозирани нежелани реакции след разрешаване за употреба на лекарствения продукт е важно. Това позволява продължително наблюдение на съотношението полза/риск за лекарствения продукт. От медицинските специалисти се изисква да съобщават всяка подозирана нежелана реакция чрез </w:t>
      </w:r>
      <w:r w:rsidRPr="00775E52">
        <w:rPr>
          <w:rFonts w:cs="Arial"/>
          <w:lang w:val="en-US"/>
        </w:rPr>
        <w:t>Bulgarian</w:t>
      </w:r>
      <w:r w:rsidRPr="00775E52">
        <w:rPr>
          <w:rFonts w:cs="Arial"/>
        </w:rPr>
        <w:t xml:space="preserve"> </w:t>
      </w:r>
      <w:r w:rsidRPr="00775E52">
        <w:rPr>
          <w:rFonts w:cs="Arial"/>
          <w:lang w:val="en-US"/>
        </w:rPr>
        <w:t>Drug</w:t>
      </w:r>
      <w:r w:rsidRPr="00775E52">
        <w:rPr>
          <w:rFonts w:cs="Arial"/>
        </w:rPr>
        <w:t xml:space="preserve"> </w:t>
      </w:r>
      <w:r w:rsidRPr="00775E52">
        <w:rPr>
          <w:rFonts w:cs="Arial"/>
          <w:lang w:val="en-US"/>
        </w:rPr>
        <w:t>Agency</w:t>
      </w:r>
      <w:r w:rsidRPr="00775E52">
        <w:rPr>
          <w:rFonts w:cs="Arial"/>
        </w:rPr>
        <w:t xml:space="preserve">, 8 </w:t>
      </w:r>
      <w:r w:rsidRPr="00775E52">
        <w:rPr>
          <w:rFonts w:cs="Arial"/>
          <w:lang w:val="en-US"/>
        </w:rPr>
        <w:t>Damyan</w:t>
      </w:r>
      <w:r w:rsidRPr="00775E52">
        <w:rPr>
          <w:rFonts w:cs="Arial"/>
        </w:rPr>
        <w:t xml:space="preserve"> </w:t>
      </w:r>
      <w:r w:rsidRPr="00775E52">
        <w:rPr>
          <w:rFonts w:cs="Arial"/>
          <w:lang w:val="en-US"/>
        </w:rPr>
        <w:t>Gruev</w:t>
      </w:r>
      <w:r w:rsidRPr="00775E52">
        <w:rPr>
          <w:rFonts w:cs="Arial"/>
        </w:rPr>
        <w:t xml:space="preserve"> </w:t>
      </w:r>
      <w:r w:rsidRPr="00775E52">
        <w:rPr>
          <w:rFonts w:cs="Arial"/>
          <w:lang w:val="en-US"/>
        </w:rPr>
        <w:t>Str</w:t>
      </w:r>
      <w:r w:rsidRPr="00775E52">
        <w:rPr>
          <w:rFonts w:cs="Arial"/>
        </w:rPr>
        <w:t xml:space="preserve">., </w:t>
      </w:r>
      <w:r w:rsidRPr="00775E52">
        <w:rPr>
          <w:rFonts w:cs="Arial"/>
          <w:lang w:val="en-US"/>
        </w:rPr>
        <w:t>Sofia</w:t>
      </w:r>
      <w:r w:rsidRPr="00775E52">
        <w:rPr>
          <w:rFonts w:cs="Arial"/>
        </w:rPr>
        <w:t xml:space="preserve"> 1303, </w:t>
      </w:r>
      <w:r w:rsidRPr="00775E52">
        <w:rPr>
          <w:rFonts w:cs="Arial"/>
          <w:lang w:val="en-US"/>
        </w:rPr>
        <w:t>phone</w:t>
      </w:r>
      <w:r w:rsidRPr="00775E52">
        <w:rPr>
          <w:rFonts w:cs="Arial"/>
        </w:rPr>
        <w:t xml:space="preserve">: +359 28903417, уебсайт: </w:t>
      </w:r>
      <w:hyperlink r:id="rId5" w:history="1">
        <w:r w:rsidRPr="00775E52">
          <w:rPr>
            <w:rFonts w:cs="Arial"/>
            <w:lang w:val="en-US"/>
          </w:rPr>
          <w:t>www</w:t>
        </w:r>
        <w:r w:rsidRPr="00775E52">
          <w:rPr>
            <w:rFonts w:cs="Arial"/>
          </w:rPr>
          <w:t>.</w:t>
        </w:r>
        <w:r w:rsidRPr="00775E52">
          <w:rPr>
            <w:rFonts w:cs="Arial"/>
            <w:lang w:val="en-US"/>
          </w:rPr>
          <w:t>bda</w:t>
        </w:r>
        <w:r w:rsidRPr="00775E52">
          <w:rPr>
            <w:rFonts w:cs="Arial"/>
          </w:rPr>
          <w:t>.</w:t>
        </w:r>
        <w:r w:rsidRPr="00775E52">
          <w:rPr>
            <w:rFonts w:cs="Arial"/>
            <w:lang w:val="en-US"/>
          </w:rPr>
          <w:t>bg</w:t>
        </w:r>
      </w:hyperlink>
      <w:r w:rsidRPr="00775E52">
        <w:rPr>
          <w:rFonts w:cs="Arial"/>
        </w:rPr>
        <w:t>.</w:t>
      </w:r>
    </w:p>
    <w:p w14:paraId="361300EA" w14:textId="77777777" w:rsidR="00775E52" w:rsidRPr="00775E52" w:rsidRDefault="00775E52" w:rsidP="00775E52">
      <w:pPr>
        <w:spacing w:line="240" w:lineRule="auto"/>
        <w:rPr>
          <w:rFonts w:eastAsia="Times New Roman" w:cs="Arial"/>
        </w:rPr>
      </w:pPr>
    </w:p>
    <w:p w14:paraId="5A87DBA3" w14:textId="1216F3D7" w:rsidR="007122AD" w:rsidRDefault="002C50EE" w:rsidP="00936AD0">
      <w:pPr>
        <w:pStyle w:val="Heading2"/>
      </w:pPr>
      <w:r>
        <w:t>4.9. Предозиране</w:t>
      </w:r>
    </w:p>
    <w:p w14:paraId="159548FD" w14:textId="1B1DC923" w:rsidR="00775E52" w:rsidRDefault="00775E52" w:rsidP="00775E52"/>
    <w:p w14:paraId="53919442" w14:textId="77777777" w:rsidR="00775E52" w:rsidRPr="00775E52" w:rsidRDefault="00775E52" w:rsidP="00775E52">
      <w:pPr>
        <w:rPr>
          <w:sz w:val="24"/>
          <w:szCs w:val="24"/>
        </w:rPr>
      </w:pPr>
      <w:r w:rsidRPr="00775E52">
        <w:rPr>
          <w:lang w:eastAsia="bg-BG"/>
        </w:rPr>
        <w:t xml:space="preserve">Наличен е ограничен опит за случаи с предозиране с ентекавир, докладвани при пациенти. При здрави пациенти, приемали до 20 </w:t>
      </w:r>
      <w:r w:rsidRPr="00775E52">
        <w:rPr>
          <w:lang w:val="en-US"/>
        </w:rPr>
        <w:t>mg</w:t>
      </w:r>
      <w:r w:rsidRPr="00775E52">
        <w:rPr>
          <w:lang w:eastAsia="bg-BG"/>
        </w:rPr>
        <w:t xml:space="preserve">/дневно в продължение на до 14 дни и до 40 </w:t>
      </w:r>
      <w:r w:rsidRPr="00775E52">
        <w:rPr>
          <w:lang w:val="en-US"/>
        </w:rPr>
        <w:t>mg</w:t>
      </w:r>
      <w:r w:rsidRPr="00775E52">
        <w:rPr>
          <w:lang w:val="ru-RU"/>
        </w:rPr>
        <w:t xml:space="preserve"> </w:t>
      </w:r>
      <w:r w:rsidRPr="00775E52">
        <w:rPr>
          <w:lang w:eastAsia="bg-BG"/>
        </w:rPr>
        <w:t>като единична доза, не са наблюдавани неочаквани нежелани реакции. В случай на предозиране пациентът трябва да бъде проследен за наличието на токсичност и при необходимост да бъде подложен на стандартно поддържащо лечение.</w:t>
      </w:r>
    </w:p>
    <w:p w14:paraId="60B9F22B" w14:textId="77777777" w:rsidR="00775E52" w:rsidRPr="00775E52" w:rsidRDefault="00775E52" w:rsidP="00775E52"/>
    <w:p w14:paraId="02081B24" w14:textId="1F46E296" w:rsidR="00395555" w:rsidRPr="00395555" w:rsidRDefault="002C50EE" w:rsidP="008A6AF2">
      <w:pPr>
        <w:pStyle w:val="Heading1"/>
      </w:pPr>
      <w:r>
        <w:t>5. ФАРМАКОЛОГИЧНИ СВОЙСТВА</w:t>
      </w:r>
    </w:p>
    <w:p w14:paraId="7DE36AC8" w14:textId="12F18916" w:rsidR="00B6672E" w:rsidRDefault="002C50EE" w:rsidP="00936AD0">
      <w:pPr>
        <w:pStyle w:val="Heading2"/>
      </w:pPr>
      <w:r>
        <w:t>5.1. Фармакодинамични свойства</w:t>
      </w:r>
    </w:p>
    <w:p w14:paraId="5724DF84" w14:textId="3C9FB294" w:rsidR="00775E52" w:rsidRDefault="00775E52" w:rsidP="00775E52"/>
    <w:p w14:paraId="7DA3609F" w14:textId="77777777" w:rsidR="00775E52" w:rsidRPr="00E110B4" w:rsidRDefault="00775E52" w:rsidP="00775E52">
      <w:pPr>
        <w:spacing w:line="240" w:lineRule="auto"/>
        <w:rPr>
          <w:rFonts w:eastAsia="Times New Roman" w:cs="Arial"/>
          <w:sz w:val="28"/>
          <w:szCs w:val="24"/>
        </w:rPr>
      </w:pPr>
      <w:r w:rsidRPr="00E110B4">
        <w:rPr>
          <w:rFonts w:eastAsia="Times New Roman" w:cs="Arial"/>
          <w:color w:val="000000"/>
          <w:szCs w:val="20"/>
          <w:lang w:eastAsia="bg-BG"/>
        </w:rPr>
        <w:t xml:space="preserve">Фармакотерапевтична група: антивирусни средства за системно приложение, нуклеозидни и нуклеотидни инхибитори на обратната транскриптаза АТС код: </w:t>
      </w:r>
      <w:r w:rsidRPr="00E110B4">
        <w:rPr>
          <w:rFonts w:eastAsia="Times New Roman" w:cs="Arial"/>
          <w:color w:val="000000"/>
          <w:szCs w:val="20"/>
          <w:lang w:val="en-US"/>
        </w:rPr>
        <w:t>J</w:t>
      </w:r>
      <w:r w:rsidRPr="00E110B4">
        <w:rPr>
          <w:rFonts w:eastAsia="Times New Roman" w:cs="Arial"/>
          <w:color w:val="000000"/>
          <w:szCs w:val="20"/>
          <w:lang w:val="ru-RU"/>
        </w:rPr>
        <w:t>05</w:t>
      </w:r>
      <w:r w:rsidRPr="00E110B4">
        <w:rPr>
          <w:rFonts w:eastAsia="Times New Roman" w:cs="Arial"/>
          <w:color w:val="000000"/>
          <w:szCs w:val="20"/>
          <w:lang w:val="en-US"/>
        </w:rPr>
        <w:t>AF</w:t>
      </w:r>
      <w:r w:rsidRPr="00E110B4">
        <w:rPr>
          <w:rFonts w:eastAsia="Times New Roman" w:cs="Arial"/>
          <w:color w:val="000000"/>
          <w:szCs w:val="20"/>
          <w:lang w:val="ru-RU"/>
        </w:rPr>
        <w:t>10</w:t>
      </w:r>
    </w:p>
    <w:p w14:paraId="1B4B8DD6" w14:textId="77777777" w:rsidR="00775E52" w:rsidRPr="00E110B4" w:rsidRDefault="00775E52" w:rsidP="00775E52">
      <w:pPr>
        <w:spacing w:line="240" w:lineRule="auto"/>
        <w:rPr>
          <w:rFonts w:eastAsia="Times New Roman" w:cs="Arial"/>
          <w:b/>
          <w:bCs/>
          <w:color w:val="000000"/>
          <w:szCs w:val="20"/>
          <w:lang w:eastAsia="bg-BG"/>
        </w:rPr>
      </w:pPr>
    </w:p>
    <w:p w14:paraId="4465796A" w14:textId="03EFA2F7" w:rsidR="00775E52" w:rsidRPr="00E110B4" w:rsidRDefault="00775E52" w:rsidP="00775E52">
      <w:pPr>
        <w:spacing w:line="240" w:lineRule="auto"/>
        <w:rPr>
          <w:rFonts w:eastAsia="Times New Roman" w:cs="Arial"/>
          <w:color w:val="000000"/>
          <w:szCs w:val="20"/>
          <w:lang w:eastAsia="bg-BG"/>
        </w:rPr>
      </w:pPr>
      <w:r w:rsidRPr="00E110B4">
        <w:rPr>
          <w:rFonts w:eastAsia="Times New Roman" w:cs="Arial"/>
          <w:b/>
          <w:bCs/>
          <w:color w:val="000000"/>
          <w:szCs w:val="20"/>
          <w:lang w:eastAsia="bg-BG"/>
        </w:rPr>
        <w:t xml:space="preserve">Механизъм на действие: </w:t>
      </w:r>
      <w:r w:rsidRPr="00E110B4">
        <w:rPr>
          <w:rFonts w:eastAsia="Times New Roman" w:cs="Arial"/>
          <w:color w:val="000000"/>
          <w:szCs w:val="20"/>
          <w:lang w:eastAsia="bg-BG"/>
        </w:rPr>
        <w:t xml:space="preserve">ентекавир, гуанозинов нуклеозиден аналог с активност срещу </w:t>
      </w:r>
      <w:r w:rsidRPr="00E110B4">
        <w:rPr>
          <w:rFonts w:eastAsia="Times New Roman" w:cs="Arial"/>
          <w:color w:val="000000"/>
          <w:szCs w:val="20"/>
          <w:lang w:val="en-US"/>
        </w:rPr>
        <w:t>HBV</w:t>
      </w:r>
      <w:r w:rsidRPr="00E110B4">
        <w:rPr>
          <w:rFonts w:eastAsia="Times New Roman" w:cs="Arial"/>
          <w:color w:val="000000"/>
          <w:szCs w:val="20"/>
          <w:lang w:val="ru-RU"/>
        </w:rPr>
        <w:t xml:space="preserve"> </w:t>
      </w:r>
      <w:r w:rsidRPr="00E110B4">
        <w:rPr>
          <w:rFonts w:eastAsia="Times New Roman" w:cs="Arial"/>
          <w:color w:val="000000"/>
          <w:szCs w:val="20"/>
          <w:lang w:eastAsia="bg-BG"/>
        </w:rPr>
        <w:t xml:space="preserve">полимеразата, </w:t>
      </w:r>
    </w:p>
    <w:p w14:paraId="7FBEBD8D" w14:textId="73029044" w:rsidR="00775E52" w:rsidRPr="00E110B4" w:rsidRDefault="00775E52" w:rsidP="00775E52">
      <w:pPr>
        <w:spacing w:line="240" w:lineRule="auto"/>
        <w:rPr>
          <w:rFonts w:eastAsia="Times New Roman" w:cs="Arial"/>
          <w:sz w:val="28"/>
          <w:szCs w:val="24"/>
        </w:rPr>
      </w:pPr>
      <w:r w:rsidRPr="00E110B4">
        <w:rPr>
          <w:rFonts w:eastAsia="Times New Roman" w:cs="Arial"/>
          <w:color w:val="000000"/>
          <w:szCs w:val="20"/>
          <w:lang w:eastAsia="bg-BG"/>
        </w:rPr>
        <w:t xml:space="preserve">се фосфорилира ефективно до активната трифосфатна (ТР) форма, която има вътреклетъчен полуживот от 15 часа. Конкурирайки се с естествения субстрат деоксигуанозин трифосфат, ентекавир трифосфат инхибира функционално трите действия на вирусната полимераза: (1) прайминг на </w:t>
      </w:r>
      <w:r w:rsidRPr="00E110B4">
        <w:rPr>
          <w:rFonts w:eastAsia="Times New Roman" w:cs="Arial"/>
          <w:color w:val="000000"/>
          <w:szCs w:val="20"/>
          <w:lang w:val="en-US"/>
        </w:rPr>
        <w:t>HBV</w:t>
      </w:r>
      <w:r w:rsidRPr="00E110B4">
        <w:rPr>
          <w:rFonts w:eastAsia="Times New Roman" w:cs="Arial"/>
          <w:color w:val="000000"/>
          <w:szCs w:val="20"/>
          <w:lang w:val="ru-RU"/>
        </w:rPr>
        <w:t xml:space="preserve"> </w:t>
      </w:r>
      <w:r w:rsidRPr="00E110B4">
        <w:rPr>
          <w:rFonts w:eastAsia="Times New Roman" w:cs="Arial"/>
          <w:color w:val="000000"/>
          <w:szCs w:val="20"/>
          <w:lang w:eastAsia="bg-BG"/>
        </w:rPr>
        <w:t xml:space="preserve">полимеразата, (2) обратна транскрипция на отрицателната ДНК верига от прегеномната РНК и (3) синтез на </w:t>
      </w:r>
      <w:r w:rsidRPr="00E110B4">
        <w:rPr>
          <w:rFonts w:eastAsia="Times New Roman" w:cs="Arial"/>
          <w:color w:val="000000"/>
          <w:szCs w:val="20"/>
          <w:lang w:eastAsia="bg-BG"/>
        </w:rPr>
        <w:lastRenderedPageBreak/>
        <w:t xml:space="preserve">положителната верига на </w:t>
      </w:r>
      <w:r w:rsidRPr="00E110B4">
        <w:rPr>
          <w:rFonts w:eastAsia="Times New Roman" w:cs="Arial"/>
          <w:color w:val="000000"/>
          <w:szCs w:val="20"/>
          <w:lang w:val="en-US"/>
        </w:rPr>
        <w:t>HBV</w:t>
      </w:r>
      <w:r w:rsidRPr="00E110B4">
        <w:rPr>
          <w:rFonts w:eastAsia="Times New Roman" w:cs="Arial"/>
          <w:color w:val="000000"/>
          <w:szCs w:val="20"/>
          <w:lang w:val="ru-RU"/>
        </w:rPr>
        <w:t xml:space="preserve"> </w:t>
      </w:r>
      <w:r w:rsidRPr="00E110B4">
        <w:rPr>
          <w:rFonts w:eastAsia="Times New Roman" w:cs="Arial"/>
          <w:color w:val="000000"/>
          <w:szCs w:val="20"/>
          <w:lang w:eastAsia="bg-BG"/>
        </w:rPr>
        <w:t xml:space="preserve">ДНК. </w:t>
      </w:r>
      <w:r w:rsidRPr="00E110B4">
        <w:rPr>
          <w:rFonts w:eastAsia="Times New Roman" w:cs="Arial"/>
          <w:color w:val="000000"/>
          <w:szCs w:val="20"/>
          <w:lang w:val="en-US"/>
        </w:rPr>
        <w:t>Ki</w:t>
      </w:r>
      <w:r w:rsidRPr="00E110B4">
        <w:rPr>
          <w:rFonts w:eastAsia="Times New Roman" w:cs="Arial"/>
          <w:color w:val="000000"/>
          <w:szCs w:val="20"/>
          <w:lang w:val="ru-RU"/>
        </w:rPr>
        <w:t xml:space="preserve"> </w:t>
      </w:r>
      <w:r w:rsidRPr="00E110B4">
        <w:rPr>
          <w:rFonts w:eastAsia="Times New Roman" w:cs="Arial"/>
          <w:color w:val="000000"/>
          <w:szCs w:val="20"/>
          <w:lang w:eastAsia="bg-BG"/>
        </w:rPr>
        <w:t xml:space="preserve">на ентекавир трифосфат върху </w:t>
      </w:r>
      <w:r w:rsidRPr="00E110B4">
        <w:rPr>
          <w:rFonts w:eastAsia="Times New Roman" w:cs="Arial"/>
          <w:color w:val="000000"/>
          <w:szCs w:val="20"/>
          <w:lang w:val="en-US"/>
        </w:rPr>
        <w:t>HBV</w:t>
      </w:r>
      <w:r w:rsidRPr="00E110B4">
        <w:rPr>
          <w:rFonts w:eastAsia="Times New Roman" w:cs="Arial"/>
          <w:color w:val="000000"/>
          <w:szCs w:val="20"/>
          <w:lang w:val="ru-RU"/>
        </w:rPr>
        <w:t xml:space="preserve"> </w:t>
      </w:r>
      <w:r w:rsidRPr="00E110B4">
        <w:rPr>
          <w:rFonts w:eastAsia="Times New Roman" w:cs="Arial"/>
          <w:color w:val="000000"/>
          <w:szCs w:val="20"/>
          <w:lang w:eastAsia="bg-BG"/>
        </w:rPr>
        <w:t>ДНК полимеразата е 0</w:t>
      </w:r>
      <w:proofErr w:type="gramStart"/>
      <w:r w:rsidRPr="00E110B4">
        <w:rPr>
          <w:rFonts w:eastAsia="Times New Roman" w:cs="Arial"/>
          <w:color w:val="000000"/>
          <w:szCs w:val="20"/>
          <w:lang w:eastAsia="bg-BG"/>
        </w:rPr>
        <w:t>,0012</w:t>
      </w:r>
      <w:proofErr w:type="gramEnd"/>
      <w:r w:rsidRPr="00E110B4">
        <w:rPr>
          <w:rFonts w:eastAsia="Times New Roman" w:cs="Arial"/>
          <w:color w:val="000000"/>
          <w:szCs w:val="20"/>
          <w:lang w:eastAsia="bg-BG"/>
        </w:rPr>
        <w:t xml:space="preserve"> рМ. Ентекавир трифосфат е слаб инхибитор на клетъчната ДНК полимераза α, β и δ със стойности на </w:t>
      </w:r>
      <w:r w:rsidRPr="00E110B4">
        <w:rPr>
          <w:rFonts w:eastAsia="Times New Roman" w:cs="Arial"/>
          <w:color w:val="000000"/>
          <w:szCs w:val="20"/>
          <w:lang w:val="en-US"/>
        </w:rPr>
        <w:t>Ki</w:t>
      </w:r>
      <w:r w:rsidRPr="00E110B4">
        <w:rPr>
          <w:rFonts w:eastAsia="Times New Roman" w:cs="Arial"/>
          <w:color w:val="000000"/>
          <w:szCs w:val="20"/>
          <w:lang w:val="ru-RU"/>
        </w:rPr>
        <w:t xml:space="preserve"> </w:t>
      </w:r>
      <w:r w:rsidRPr="00E110B4">
        <w:rPr>
          <w:rFonts w:eastAsia="Times New Roman" w:cs="Arial"/>
          <w:color w:val="000000"/>
          <w:szCs w:val="20"/>
          <w:lang w:eastAsia="bg-BG"/>
        </w:rPr>
        <w:t xml:space="preserve">от 18 до 40 рМ. Освен това високата експозиция на ентекавир няма значими нежелани ефекти върху синтеза на </w:t>
      </w:r>
      <w:r w:rsidRPr="00E110B4">
        <w:rPr>
          <w:rFonts w:eastAsia="Times New Roman" w:cs="Arial"/>
          <w:i/>
          <w:iCs/>
          <w:color w:val="000000"/>
          <w:szCs w:val="20"/>
          <w:lang w:eastAsia="bg-BG"/>
        </w:rPr>
        <w:t>у</w:t>
      </w:r>
      <w:r w:rsidRPr="00E110B4">
        <w:rPr>
          <w:rFonts w:eastAsia="Times New Roman" w:cs="Arial"/>
          <w:color w:val="000000"/>
          <w:szCs w:val="20"/>
          <w:lang w:eastAsia="bg-BG"/>
        </w:rPr>
        <w:t xml:space="preserve"> полимеразата или митохондриалната ДНК в </w:t>
      </w:r>
      <w:r w:rsidRPr="00E110B4">
        <w:rPr>
          <w:rFonts w:eastAsia="Times New Roman" w:cs="Arial"/>
          <w:color w:val="000000"/>
          <w:szCs w:val="20"/>
          <w:lang w:val="en-US"/>
        </w:rPr>
        <w:t>HepG</w:t>
      </w:r>
      <w:r w:rsidRPr="00E110B4">
        <w:rPr>
          <w:rFonts w:eastAsia="Times New Roman" w:cs="Arial"/>
          <w:color w:val="000000"/>
          <w:szCs w:val="20"/>
          <w:lang w:val="ru-RU"/>
        </w:rPr>
        <w:t xml:space="preserve">2 </w:t>
      </w:r>
      <w:r w:rsidRPr="00E110B4">
        <w:rPr>
          <w:rFonts w:eastAsia="Times New Roman" w:cs="Arial"/>
          <w:color w:val="000000"/>
          <w:szCs w:val="20"/>
          <w:lang w:eastAsia="bg-BG"/>
        </w:rPr>
        <w:t xml:space="preserve">клетките </w:t>
      </w:r>
      <w:r w:rsidRPr="00E110B4">
        <w:rPr>
          <w:rFonts w:eastAsia="Times New Roman" w:cs="Arial"/>
          <w:color w:val="000000"/>
          <w:szCs w:val="20"/>
          <w:lang w:val="ru-RU"/>
        </w:rPr>
        <w:t>(</w:t>
      </w:r>
      <w:r w:rsidRPr="00E110B4">
        <w:rPr>
          <w:rFonts w:eastAsia="Times New Roman" w:cs="Arial"/>
          <w:color w:val="000000"/>
          <w:szCs w:val="20"/>
          <w:lang w:val="en-US"/>
        </w:rPr>
        <w:t>Ki</w:t>
      </w:r>
      <w:r w:rsidRPr="00E110B4">
        <w:rPr>
          <w:rFonts w:eastAsia="Times New Roman" w:cs="Arial"/>
          <w:color w:val="000000"/>
          <w:szCs w:val="20"/>
          <w:lang w:val="ru-RU"/>
        </w:rPr>
        <w:t xml:space="preserve"> </w:t>
      </w:r>
      <w:r w:rsidRPr="00E110B4">
        <w:rPr>
          <w:rFonts w:eastAsia="Times New Roman" w:cs="Arial"/>
          <w:color w:val="000000"/>
          <w:szCs w:val="20"/>
          <w:lang w:eastAsia="bg-BG"/>
        </w:rPr>
        <w:t>&gt; 160 рМ).</w:t>
      </w:r>
    </w:p>
    <w:p w14:paraId="0B881369" w14:textId="77777777" w:rsidR="00775E52" w:rsidRPr="00E110B4" w:rsidRDefault="00775E52" w:rsidP="00775E52">
      <w:pPr>
        <w:spacing w:line="240" w:lineRule="auto"/>
        <w:rPr>
          <w:rFonts w:eastAsia="Times New Roman" w:cs="Arial"/>
          <w:b/>
          <w:bCs/>
          <w:color w:val="000000"/>
          <w:szCs w:val="20"/>
          <w:lang w:eastAsia="bg-BG"/>
        </w:rPr>
      </w:pPr>
    </w:p>
    <w:p w14:paraId="537ACBEC" w14:textId="3C8D15BF" w:rsidR="00775E52" w:rsidRPr="00E110B4" w:rsidRDefault="00775E52" w:rsidP="00775E52">
      <w:pPr>
        <w:spacing w:line="240" w:lineRule="auto"/>
        <w:rPr>
          <w:rFonts w:eastAsia="Times New Roman" w:cs="Arial"/>
          <w:sz w:val="28"/>
          <w:szCs w:val="24"/>
        </w:rPr>
      </w:pPr>
      <w:r w:rsidRPr="00E110B4">
        <w:rPr>
          <w:rFonts w:eastAsia="Times New Roman" w:cs="Arial"/>
          <w:b/>
          <w:bCs/>
          <w:color w:val="000000"/>
          <w:szCs w:val="20"/>
          <w:lang w:eastAsia="bg-BG"/>
        </w:rPr>
        <w:t xml:space="preserve">Антивирусна активност: </w:t>
      </w:r>
      <w:r w:rsidRPr="00E110B4">
        <w:rPr>
          <w:rFonts w:eastAsia="Times New Roman" w:cs="Arial"/>
          <w:color w:val="000000"/>
          <w:szCs w:val="20"/>
          <w:lang w:eastAsia="bg-BG"/>
        </w:rPr>
        <w:t xml:space="preserve">ентекавир инхибира ДНК-синтеза на </w:t>
      </w:r>
      <w:r w:rsidRPr="00E110B4">
        <w:rPr>
          <w:rFonts w:eastAsia="Times New Roman" w:cs="Arial"/>
          <w:color w:val="000000"/>
          <w:szCs w:val="20"/>
          <w:lang w:val="en-US"/>
        </w:rPr>
        <w:t>HBV</w:t>
      </w:r>
      <w:r w:rsidRPr="00E110B4">
        <w:rPr>
          <w:rFonts w:eastAsia="Times New Roman" w:cs="Arial"/>
          <w:color w:val="000000"/>
          <w:szCs w:val="20"/>
          <w:lang w:val="ru-RU"/>
        </w:rPr>
        <w:t xml:space="preserve"> </w:t>
      </w:r>
      <w:r w:rsidRPr="00E110B4">
        <w:rPr>
          <w:rFonts w:eastAsia="Times New Roman" w:cs="Arial"/>
          <w:color w:val="000000"/>
          <w:szCs w:val="20"/>
          <w:lang w:eastAsia="bg-BG"/>
        </w:rPr>
        <w:t xml:space="preserve">(50% редукция, ЕС50) при концентрация 0,004 μМ в човешки </w:t>
      </w:r>
      <w:r w:rsidRPr="00E110B4">
        <w:rPr>
          <w:rFonts w:eastAsia="Times New Roman" w:cs="Arial"/>
          <w:color w:val="000000"/>
          <w:szCs w:val="20"/>
          <w:lang w:val="en-US"/>
        </w:rPr>
        <w:t>HepG</w:t>
      </w:r>
      <w:r w:rsidRPr="00E110B4">
        <w:rPr>
          <w:rFonts w:eastAsia="Times New Roman" w:cs="Arial"/>
          <w:color w:val="000000"/>
          <w:szCs w:val="20"/>
          <w:lang w:val="ru-RU"/>
        </w:rPr>
        <w:t xml:space="preserve">2 </w:t>
      </w:r>
      <w:r w:rsidRPr="00E110B4">
        <w:rPr>
          <w:rFonts w:eastAsia="Times New Roman" w:cs="Arial"/>
          <w:color w:val="000000"/>
          <w:szCs w:val="20"/>
          <w:lang w:eastAsia="bg-BG"/>
        </w:rPr>
        <w:t xml:space="preserve">клетки, трансфектирани с дивия тип на </w:t>
      </w:r>
      <w:r w:rsidRPr="00E110B4">
        <w:rPr>
          <w:rFonts w:eastAsia="Times New Roman" w:cs="Arial"/>
          <w:color w:val="000000"/>
          <w:szCs w:val="20"/>
          <w:lang w:val="en-US"/>
        </w:rPr>
        <w:t>HBV</w:t>
      </w:r>
      <w:r w:rsidRPr="00E110B4">
        <w:rPr>
          <w:rFonts w:eastAsia="Times New Roman" w:cs="Arial"/>
          <w:color w:val="000000"/>
          <w:szCs w:val="20"/>
          <w:lang w:val="ru-RU"/>
        </w:rPr>
        <w:t xml:space="preserve">. </w:t>
      </w:r>
      <w:r w:rsidRPr="00E110B4">
        <w:rPr>
          <w:rFonts w:eastAsia="Times New Roman" w:cs="Arial"/>
          <w:color w:val="000000"/>
          <w:szCs w:val="20"/>
          <w:lang w:eastAsia="bg-BG"/>
        </w:rPr>
        <w:t xml:space="preserve">Средната стойност на ЕС50 на ентекавир срещу </w:t>
      </w:r>
      <w:r w:rsidRPr="00E110B4">
        <w:rPr>
          <w:rFonts w:eastAsia="Times New Roman" w:cs="Arial"/>
          <w:color w:val="000000"/>
          <w:szCs w:val="20"/>
          <w:lang w:val="en-US"/>
        </w:rPr>
        <w:t>LVDr</w:t>
      </w:r>
      <w:r w:rsidRPr="00E110B4">
        <w:rPr>
          <w:rFonts w:eastAsia="Times New Roman" w:cs="Arial"/>
          <w:color w:val="000000"/>
          <w:szCs w:val="20"/>
          <w:lang w:val="ru-RU"/>
        </w:rPr>
        <w:t xml:space="preserve"> </w:t>
      </w:r>
      <w:r w:rsidRPr="00E110B4">
        <w:rPr>
          <w:rFonts w:eastAsia="Times New Roman" w:cs="Arial"/>
          <w:color w:val="000000"/>
          <w:szCs w:val="20"/>
          <w:lang w:val="en-US"/>
        </w:rPr>
        <w:t>HBV</w:t>
      </w:r>
      <w:r w:rsidRPr="00E110B4">
        <w:rPr>
          <w:rFonts w:eastAsia="Times New Roman" w:cs="Arial"/>
          <w:color w:val="000000"/>
          <w:szCs w:val="20"/>
          <w:lang w:val="ru-RU"/>
        </w:rPr>
        <w:t xml:space="preserve"> (</w:t>
      </w:r>
      <w:r w:rsidRPr="00E110B4">
        <w:rPr>
          <w:rFonts w:eastAsia="Times New Roman" w:cs="Arial"/>
          <w:color w:val="000000"/>
          <w:szCs w:val="20"/>
          <w:lang w:val="en-US"/>
        </w:rPr>
        <w:t>rtL</w:t>
      </w:r>
      <w:r w:rsidRPr="00E110B4">
        <w:rPr>
          <w:rFonts w:eastAsia="Times New Roman" w:cs="Arial"/>
          <w:color w:val="000000"/>
          <w:szCs w:val="20"/>
          <w:lang w:val="ru-RU"/>
        </w:rPr>
        <w:t>180</w:t>
      </w:r>
      <w:r w:rsidRPr="00E110B4">
        <w:rPr>
          <w:rFonts w:eastAsia="Times New Roman" w:cs="Arial"/>
          <w:color w:val="000000"/>
          <w:szCs w:val="20"/>
          <w:lang w:val="en-US"/>
        </w:rPr>
        <w:t>M</w:t>
      </w:r>
      <w:r w:rsidRPr="00E110B4">
        <w:rPr>
          <w:rFonts w:eastAsia="Times New Roman" w:cs="Arial"/>
          <w:color w:val="000000"/>
          <w:szCs w:val="20"/>
          <w:lang w:val="ru-RU"/>
        </w:rPr>
        <w:t xml:space="preserve"> </w:t>
      </w:r>
      <w:r w:rsidRPr="00E110B4">
        <w:rPr>
          <w:rFonts w:eastAsia="Times New Roman" w:cs="Arial"/>
          <w:color w:val="000000"/>
          <w:szCs w:val="20"/>
          <w:lang w:eastAsia="bg-BG"/>
        </w:rPr>
        <w:t xml:space="preserve">и </w:t>
      </w:r>
      <w:r w:rsidRPr="00E110B4">
        <w:rPr>
          <w:rFonts w:eastAsia="Times New Roman" w:cs="Arial"/>
          <w:color w:val="000000"/>
          <w:szCs w:val="20"/>
          <w:lang w:val="en-US"/>
        </w:rPr>
        <w:t>rtM</w:t>
      </w:r>
      <w:r w:rsidRPr="00E110B4">
        <w:rPr>
          <w:rFonts w:eastAsia="Times New Roman" w:cs="Arial"/>
          <w:color w:val="000000"/>
          <w:szCs w:val="20"/>
          <w:lang w:val="ru-RU"/>
        </w:rPr>
        <w:t>204</w:t>
      </w:r>
      <w:r w:rsidRPr="00E110B4">
        <w:rPr>
          <w:rFonts w:eastAsia="Times New Roman" w:cs="Arial"/>
          <w:color w:val="000000"/>
          <w:szCs w:val="20"/>
          <w:lang w:val="en-US"/>
        </w:rPr>
        <w:t>V</w:t>
      </w:r>
      <w:r w:rsidRPr="00E110B4">
        <w:rPr>
          <w:rFonts w:eastAsia="Times New Roman" w:cs="Arial"/>
          <w:color w:val="000000"/>
          <w:szCs w:val="20"/>
          <w:lang w:val="ru-RU"/>
        </w:rPr>
        <w:t xml:space="preserve">) </w:t>
      </w:r>
      <w:r w:rsidRPr="00E110B4">
        <w:rPr>
          <w:rFonts w:eastAsia="Times New Roman" w:cs="Arial"/>
          <w:color w:val="000000"/>
          <w:szCs w:val="20"/>
          <w:lang w:eastAsia="bg-BG"/>
        </w:rPr>
        <w:t xml:space="preserve">е 0,026 μМ (варираща от 0,010 до 0,059 рМ). Рекомбинантните вируси, които кодират адефовир-резистентните замени при </w:t>
      </w:r>
      <w:r w:rsidRPr="00E110B4">
        <w:rPr>
          <w:rFonts w:eastAsia="Times New Roman" w:cs="Arial"/>
          <w:color w:val="000000"/>
          <w:szCs w:val="20"/>
          <w:lang w:val="en-US"/>
        </w:rPr>
        <w:t>rtN</w:t>
      </w:r>
      <w:r w:rsidRPr="00E110B4">
        <w:rPr>
          <w:rFonts w:eastAsia="Times New Roman" w:cs="Arial"/>
          <w:color w:val="000000"/>
          <w:szCs w:val="20"/>
          <w:lang w:val="ru-RU"/>
        </w:rPr>
        <w:t>236</w:t>
      </w:r>
      <w:r w:rsidRPr="00E110B4">
        <w:rPr>
          <w:rFonts w:eastAsia="Times New Roman" w:cs="Arial"/>
          <w:color w:val="000000"/>
          <w:szCs w:val="20"/>
          <w:lang w:val="en-US"/>
        </w:rPr>
        <w:t>T</w:t>
      </w:r>
      <w:r w:rsidRPr="00E110B4">
        <w:rPr>
          <w:rFonts w:eastAsia="Times New Roman" w:cs="Arial"/>
          <w:color w:val="000000"/>
          <w:szCs w:val="20"/>
          <w:lang w:val="ru-RU"/>
        </w:rPr>
        <w:t xml:space="preserve"> </w:t>
      </w:r>
      <w:r w:rsidRPr="00E110B4">
        <w:rPr>
          <w:rFonts w:eastAsia="Times New Roman" w:cs="Arial"/>
          <w:color w:val="000000"/>
          <w:szCs w:val="20"/>
          <w:lang w:eastAsia="bg-BG"/>
        </w:rPr>
        <w:t xml:space="preserve">или </w:t>
      </w:r>
      <w:r w:rsidRPr="00E110B4">
        <w:rPr>
          <w:rFonts w:eastAsia="Times New Roman" w:cs="Arial"/>
          <w:color w:val="000000"/>
          <w:szCs w:val="20"/>
          <w:lang w:val="en-US"/>
        </w:rPr>
        <w:t>rtA</w:t>
      </w:r>
      <w:r w:rsidRPr="00E110B4">
        <w:rPr>
          <w:rFonts w:eastAsia="Times New Roman" w:cs="Arial"/>
          <w:color w:val="000000"/>
          <w:szCs w:val="20"/>
          <w:lang w:val="ru-RU"/>
        </w:rPr>
        <w:t>181</w:t>
      </w:r>
      <w:r w:rsidRPr="00E110B4">
        <w:rPr>
          <w:rFonts w:eastAsia="Times New Roman" w:cs="Arial"/>
          <w:color w:val="000000"/>
          <w:szCs w:val="20"/>
          <w:lang w:val="en-US"/>
        </w:rPr>
        <w:t>V</w:t>
      </w:r>
      <w:r w:rsidRPr="00E110B4">
        <w:rPr>
          <w:rFonts w:eastAsia="Times New Roman" w:cs="Arial"/>
          <w:color w:val="000000"/>
          <w:szCs w:val="20"/>
          <w:lang w:val="ru-RU"/>
        </w:rPr>
        <w:t xml:space="preserve">, </w:t>
      </w:r>
      <w:r w:rsidRPr="00E110B4">
        <w:rPr>
          <w:rFonts w:eastAsia="Times New Roman" w:cs="Arial"/>
          <w:color w:val="000000"/>
          <w:szCs w:val="20"/>
          <w:lang w:eastAsia="bg-BG"/>
        </w:rPr>
        <w:t>остават напълно податливи на ентекавир.</w:t>
      </w:r>
    </w:p>
    <w:p w14:paraId="28EE06C2" w14:textId="77777777" w:rsidR="00775E52" w:rsidRPr="00E110B4" w:rsidRDefault="00775E52" w:rsidP="00775E52">
      <w:pPr>
        <w:spacing w:line="240" w:lineRule="auto"/>
        <w:rPr>
          <w:rFonts w:eastAsia="Times New Roman" w:cs="Arial"/>
          <w:sz w:val="28"/>
          <w:szCs w:val="24"/>
        </w:rPr>
      </w:pPr>
      <w:r w:rsidRPr="00E110B4">
        <w:rPr>
          <w:rFonts w:eastAsia="Times New Roman" w:cs="Arial"/>
          <w:color w:val="000000"/>
          <w:szCs w:val="20"/>
          <w:lang w:eastAsia="bg-BG"/>
        </w:rPr>
        <w:t xml:space="preserve">Анализ на инхибиторната активност на ентекавир срещу панел от лабораторни и клиничш </w:t>
      </w:r>
      <w:r w:rsidRPr="00E110B4">
        <w:rPr>
          <w:rFonts w:eastAsia="Times New Roman" w:cs="Arial"/>
          <w:color w:val="000000"/>
          <w:szCs w:val="20"/>
          <w:lang w:val="en-US"/>
        </w:rPr>
        <w:t>HIV</w:t>
      </w:r>
      <w:r w:rsidRPr="00E110B4">
        <w:rPr>
          <w:rFonts w:eastAsia="Times New Roman" w:cs="Arial"/>
          <w:color w:val="000000"/>
          <w:szCs w:val="20"/>
          <w:lang w:val="ru-RU"/>
        </w:rPr>
        <w:t xml:space="preserve">-1 </w:t>
      </w:r>
      <w:r w:rsidRPr="00E110B4">
        <w:rPr>
          <w:rFonts w:eastAsia="Times New Roman" w:cs="Arial"/>
          <w:color w:val="000000"/>
          <w:szCs w:val="20"/>
          <w:lang w:eastAsia="bg-BG"/>
        </w:rPr>
        <w:t>изолати при използване на различни разновидности от клетки и условия на анализ дава стойности за ЕС50 в диапазона от 0,026 до &gt; 10 μМ; по-ниските стойности на ЕС50 са наблюдавани, когато в анализа са използвани по-ниски нива на вируса.</w:t>
      </w:r>
    </w:p>
    <w:p w14:paraId="4E861B24" w14:textId="77777777" w:rsidR="00775E52" w:rsidRPr="00E110B4" w:rsidRDefault="00775E52" w:rsidP="00775E52">
      <w:pPr>
        <w:spacing w:line="240" w:lineRule="auto"/>
        <w:rPr>
          <w:rFonts w:eastAsia="Times New Roman" w:cs="Arial"/>
          <w:sz w:val="28"/>
          <w:szCs w:val="24"/>
        </w:rPr>
      </w:pPr>
      <w:r w:rsidRPr="00E110B4">
        <w:rPr>
          <w:rFonts w:eastAsia="Times New Roman" w:cs="Arial"/>
          <w:color w:val="000000"/>
          <w:szCs w:val="20"/>
          <w:lang w:eastAsia="bg-BG"/>
        </w:rPr>
        <w:t xml:space="preserve">В клетъчна култура ентекавир е действал селективно при </w:t>
      </w:r>
      <w:r w:rsidRPr="00E110B4">
        <w:rPr>
          <w:rFonts w:eastAsia="Times New Roman" w:cs="Arial"/>
          <w:color w:val="000000"/>
          <w:szCs w:val="20"/>
          <w:lang w:val="en-US"/>
        </w:rPr>
        <w:t>M</w:t>
      </w:r>
      <w:r w:rsidRPr="00E110B4">
        <w:rPr>
          <w:rFonts w:eastAsia="Times New Roman" w:cs="Arial"/>
          <w:color w:val="000000"/>
          <w:szCs w:val="20"/>
          <w:lang w:val="ru-RU"/>
        </w:rPr>
        <w:t>1</w:t>
      </w:r>
      <w:r w:rsidRPr="00E110B4">
        <w:rPr>
          <w:rFonts w:eastAsia="Times New Roman" w:cs="Arial"/>
          <w:color w:val="000000"/>
          <w:szCs w:val="20"/>
          <w:lang w:eastAsia="bg-BG"/>
        </w:rPr>
        <w:t xml:space="preserve">841 субституция при микромоларни концентрации, което потвърждава инхибиторния ефект при високи концентрации на ентекавир. </w:t>
      </w:r>
      <w:r w:rsidRPr="00E110B4">
        <w:rPr>
          <w:rFonts w:eastAsia="Times New Roman" w:cs="Arial"/>
          <w:color w:val="000000"/>
          <w:szCs w:val="20"/>
          <w:lang w:val="en-US"/>
        </w:rPr>
        <w:t>HIV</w:t>
      </w:r>
      <w:r w:rsidRPr="00E110B4">
        <w:rPr>
          <w:rFonts w:eastAsia="Times New Roman" w:cs="Arial"/>
          <w:color w:val="000000"/>
          <w:szCs w:val="20"/>
          <w:lang w:val="ru-RU"/>
        </w:rPr>
        <w:t xml:space="preserve"> </w:t>
      </w:r>
      <w:r w:rsidRPr="00E110B4">
        <w:rPr>
          <w:rFonts w:eastAsia="Times New Roman" w:cs="Arial"/>
          <w:color w:val="000000"/>
          <w:szCs w:val="20"/>
          <w:lang w:eastAsia="bg-BG"/>
        </w:rPr>
        <w:t xml:space="preserve">варианти, които съдържат замяна на </w:t>
      </w:r>
      <w:r w:rsidRPr="00E110B4">
        <w:rPr>
          <w:rFonts w:eastAsia="Times New Roman" w:cs="Arial"/>
          <w:color w:val="000000"/>
          <w:szCs w:val="20"/>
          <w:lang w:val="en-US"/>
        </w:rPr>
        <w:t>M</w:t>
      </w:r>
      <w:r w:rsidRPr="00E110B4">
        <w:rPr>
          <w:rFonts w:eastAsia="Times New Roman" w:cs="Arial"/>
          <w:color w:val="000000"/>
          <w:szCs w:val="20"/>
          <w:lang w:val="ru-RU"/>
        </w:rPr>
        <w:t>184</w:t>
      </w:r>
      <w:r w:rsidRPr="00E110B4">
        <w:rPr>
          <w:rFonts w:eastAsia="Times New Roman" w:cs="Arial"/>
          <w:color w:val="000000"/>
          <w:szCs w:val="20"/>
          <w:lang w:val="en-US"/>
        </w:rPr>
        <w:t>V</w:t>
      </w:r>
      <w:r w:rsidRPr="00E110B4">
        <w:rPr>
          <w:rFonts w:eastAsia="Times New Roman" w:cs="Arial"/>
          <w:color w:val="000000"/>
          <w:szCs w:val="20"/>
          <w:lang w:val="ru-RU"/>
        </w:rPr>
        <w:t xml:space="preserve">, </w:t>
      </w:r>
      <w:r w:rsidRPr="00E110B4">
        <w:rPr>
          <w:rFonts w:eastAsia="Times New Roman" w:cs="Arial"/>
          <w:color w:val="000000"/>
          <w:szCs w:val="20"/>
          <w:lang w:eastAsia="bg-BG"/>
        </w:rPr>
        <w:t>показват загуба на чувствителност към ентекавир (вж. точка 4.4).</w:t>
      </w:r>
    </w:p>
    <w:p w14:paraId="46183F36" w14:textId="77777777" w:rsidR="005C5F4B" w:rsidRPr="00E110B4" w:rsidRDefault="005C5F4B" w:rsidP="00775E52">
      <w:pPr>
        <w:rPr>
          <w:rFonts w:eastAsia="Times New Roman" w:cs="Arial"/>
          <w:color w:val="000000"/>
          <w:szCs w:val="20"/>
          <w:lang w:eastAsia="bg-BG"/>
        </w:rPr>
      </w:pPr>
    </w:p>
    <w:p w14:paraId="5592B99F" w14:textId="0C2E43EB" w:rsidR="00775E52" w:rsidRPr="00E110B4" w:rsidRDefault="00775E52" w:rsidP="00775E52">
      <w:pPr>
        <w:rPr>
          <w:rFonts w:eastAsia="Times New Roman" w:cs="Arial"/>
          <w:color w:val="000000"/>
          <w:szCs w:val="20"/>
          <w:lang w:eastAsia="bg-BG"/>
        </w:rPr>
      </w:pPr>
      <w:r w:rsidRPr="00E110B4">
        <w:rPr>
          <w:rFonts w:eastAsia="Times New Roman" w:cs="Arial"/>
          <w:color w:val="000000"/>
          <w:szCs w:val="20"/>
          <w:lang w:eastAsia="bg-BG"/>
        </w:rPr>
        <w:t xml:space="preserve">При оценка на комбинациите при </w:t>
      </w:r>
      <w:r w:rsidRPr="00E110B4">
        <w:rPr>
          <w:rFonts w:eastAsia="Times New Roman" w:cs="Arial"/>
          <w:color w:val="000000"/>
          <w:szCs w:val="20"/>
          <w:lang w:val="en-US"/>
        </w:rPr>
        <w:t>HBV</w:t>
      </w:r>
      <w:r w:rsidRPr="00E110B4">
        <w:rPr>
          <w:rFonts w:eastAsia="Times New Roman" w:cs="Arial"/>
          <w:color w:val="000000"/>
          <w:szCs w:val="20"/>
          <w:lang w:val="ru-RU"/>
        </w:rPr>
        <w:t xml:space="preserve"> </w:t>
      </w:r>
      <w:r w:rsidRPr="00E110B4">
        <w:rPr>
          <w:rFonts w:eastAsia="Times New Roman" w:cs="Arial"/>
          <w:color w:val="000000"/>
          <w:szCs w:val="20"/>
          <w:lang w:eastAsia="bg-BG"/>
        </w:rPr>
        <w:t>в клетъчна култура абакавир, диданозин, ламивудин, ставудин, тенофовир или зидовудин не са показали антагонизъм по отношение на анти</w:t>
      </w:r>
      <w:r w:rsidRPr="00E110B4">
        <w:rPr>
          <w:rFonts w:eastAsia="Times New Roman" w:cs="Arial"/>
          <w:color w:val="000000"/>
          <w:szCs w:val="20"/>
          <w:lang w:val="ru-RU"/>
        </w:rPr>
        <w:t>-</w:t>
      </w:r>
      <w:r w:rsidRPr="00E110B4">
        <w:rPr>
          <w:rFonts w:eastAsia="Times New Roman" w:cs="Arial"/>
          <w:color w:val="000000"/>
          <w:szCs w:val="20"/>
          <w:lang w:val="en-US"/>
        </w:rPr>
        <w:t>HBV</w:t>
      </w:r>
      <w:r w:rsidRPr="00E110B4">
        <w:rPr>
          <w:rFonts w:eastAsia="Times New Roman" w:cs="Arial"/>
          <w:color w:val="000000"/>
          <w:szCs w:val="20"/>
          <w:lang w:val="ru-RU"/>
        </w:rPr>
        <w:t xml:space="preserve"> </w:t>
      </w:r>
      <w:r w:rsidRPr="00E110B4">
        <w:rPr>
          <w:rFonts w:eastAsia="Times New Roman" w:cs="Arial"/>
          <w:color w:val="000000"/>
          <w:szCs w:val="20"/>
          <w:lang w:eastAsia="bg-BG"/>
        </w:rPr>
        <w:t xml:space="preserve">активността на ентекавир при широк спектър от концентрации. Ентекавир в микромоларни концентрации не е показал антагонизъм по отношение на анти </w:t>
      </w:r>
      <w:r w:rsidRPr="00E110B4">
        <w:rPr>
          <w:rFonts w:eastAsia="Times New Roman" w:cs="Arial"/>
          <w:color w:val="000000"/>
          <w:szCs w:val="20"/>
          <w:lang w:val="en-US"/>
        </w:rPr>
        <w:t>HIV</w:t>
      </w:r>
      <w:r w:rsidRPr="00E110B4">
        <w:rPr>
          <w:rFonts w:eastAsia="Times New Roman" w:cs="Arial"/>
          <w:color w:val="000000"/>
          <w:szCs w:val="20"/>
          <w:lang w:eastAsia="bg-BG"/>
        </w:rPr>
        <w:t xml:space="preserve"> активността в клетъчна култура на тези шест </w:t>
      </w:r>
      <w:r w:rsidRPr="00E110B4">
        <w:rPr>
          <w:rFonts w:eastAsia="Times New Roman" w:cs="Arial"/>
          <w:color w:val="000000"/>
          <w:szCs w:val="20"/>
          <w:lang w:val="en-US"/>
        </w:rPr>
        <w:t>NRTI</w:t>
      </w:r>
      <w:r w:rsidRPr="00E110B4">
        <w:rPr>
          <w:rFonts w:eastAsia="Times New Roman" w:cs="Arial"/>
          <w:color w:val="000000"/>
          <w:szCs w:val="20"/>
          <w:lang w:val="ru-RU"/>
        </w:rPr>
        <w:t xml:space="preserve"> </w:t>
      </w:r>
      <w:r w:rsidRPr="00E110B4">
        <w:rPr>
          <w:rFonts w:eastAsia="Times New Roman" w:cs="Arial"/>
          <w:color w:val="000000"/>
          <w:szCs w:val="20"/>
          <w:lang w:eastAsia="bg-BG"/>
        </w:rPr>
        <w:t xml:space="preserve">или емтрицитабин при </w:t>
      </w:r>
      <w:r w:rsidRPr="00E110B4">
        <w:rPr>
          <w:rFonts w:eastAsia="Times New Roman" w:cs="Arial"/>
          <w:color w:val="000000"/>
          <w:szCs w:val="20"/>
          <w:lang w:val="en-US"/>
        </w:rPr>
        <w:t>HIV</w:t>
      </w:r>
      <w:r w:rsidRPr="00E110B4">
        <w:rPr>
          <w:rFonts w:eastAsia="Times New Roman" w:cs="Arial"/>
          <w:color w:val="000000"/>
          <w:szCs w:val="20"/>
          <w:lang w:eastAsia="bg-BG"/>
        </w:rPr>
        <w:t xml:space="preserve"> антивирусната оценка.</w:t>
      </w:r>
    </w:p>
    <w:p w14:paraId="65F03ACD" w14:textId="4C0CBFA9" w:rsidR="00E110B4" w:rsidRPr="00E110B4" w:rsidRDefault="00E110B4" w:rsidP="00775E52">
      <w:pPr>
        <w:rPr>
          <w:rFonts w:eastAsia="Times New Roman" w:cs="Arial"/>
          <w:color w:val="000000"/>
          <w:szCs w:val="20"/>
          <w:lang w:eastAsia="bg-BG"/>
        </w:rPr>
      </w:pPr>
    </w:p>
    <w:p w14:paraId="191766C0" w14:textId="77777777" w:rsidR="00E110B4" w:rsidRPr="00E110B4" w:rsidRDefault="00E110B4" w:rsidP="00E110B4">
      <w:pPr>
        <w:spacing w:line="240" w:lineRule="auto"/>
        <w:rPr>
          <w:rFonts w:eastAsia="Times New Roman" w:cs="Arial"/>
          <w:sz w:val="28"/>
          <w:szCs w:val="24"/>
        </w:rPr>
      </w:pPr>
      <w:r w:rsidRPr="00E110B4">
        <w:rPr>
          <w:rFonts w:eastAsia="Times New Roman" w:cs="Arial"/>
          <w:b/>
          <w:bCs/>
          <w:color w:val="000000"/>
          <w:szCs w:val="20"/>
          <w:lang w:eastAsia="bg-BG"/>
        </w:rPr>
        <w:t xml:space="preserve">Резистентност в клетъчна култура: </w:t>
      </w:r>
      <w:r w:rsidRPr="00E110B4">
        <w:rPr>
          <w:rFonts w:eastAsia="Times New Roman" w:cs="Arial"/>
          <w:color w:val="000000"/>
          <w:szCs w:val="20"/>
          <w:lang w:eastAsia="bg-BG"/>
        </w:rPr>
        <w:t>по</w:t>
      </w:r>
      <w:r w:rsidRPr="00E110B4">
        <w:rPr>
          <w:rFonts w:eastAsia="Times New Roman" w:cs="Arial"/>
          <w:color w:val="000000"/>
          <w:szCs w:val="20"/>
          <w:lang w:val="ru-RU"/>
        </w:rPr>
        <w:t xml:space="preserve"> </w:t>
      </w:r>
      <w:r w:rsidRPr="00E110B4">
        <w:rPr>
          <w:rFonts w:eastAsia="Times New Roman" w:cs="Arial"/>
          <w:color w:val="000000"/>
          <w:szCs w:val="20"/>
          <w:lang w:eastAsia="bg-BG"/>
        </w:rPr>
        <w:t>отношение на</w:t>
      </w:r>
      <w:r w:rsidRPr="00E110B4">
        <w:rPr>
          <w:rFonts w:eastAsia="Times New Roman" w:cs="Arial"/>
          <w:color w:val="000000"/>
          <w:szCs w:val="20"/>
          <w:lang w:val="ru-RU"/>
        </w:rPr>
        <w:t xml:space="preserve"> </w:t>
      </w:r>
      <w:r w:rsidRPr="00E110B4">
        <w:rPr>
          <w:rFonts w:eastAsia="Times New Roman" w:cs="Arial"/>
          <w:color w:val="000000"/>
          <w:szCs w:val="20"/>
          <w:lang w:eastAsia="bg-BG"/>
        </w:rPr>
        <w:t>дивия</w:t>
      </w:r>
      <w:r w:rsidRPr="00E110B4">
        <w:rPr>
          <w:rFonts w:eastAsia="Times New Roman" w:cs="Arial"/>
          <w:color w:val="000000"/>
          <w:szCs w:val="20"/>
          <w:lang w:val="ru-RU"/>
        </w:rPr>
        <w:t xml:space="preserve"> </w:t>
      </w:r>
      <w:r w:rsidRPr="00E110B4">
        <w:rPr>
          <w:rFonts w:eastAsia="Times New Roman" w:cs="Arial"/>
          <w:color w:val="000000"/>
          <w:szCs w:val="20"/>
          <w:lang w:eastAsia="bg-BG"/>
        </w:rPr>
        <w:t>тип</w:t>
      </w:r>
      <w:r w:rsidRPr="00E110B4">
        <w:rPr>
          <w:rFonts w:eastAsia="Times New Roman" w:cs="Arial"/>
          <w:color w:val="000000"/>
          <w:szCs w:val="20"/>
          <w:lang w:val="ru-RU"/>
        </w:rPr>
        <w:t xml:space="preserve"> </w:t>
      </w:r>
      <w:r w:rsidRPr="00E110B4">
        <w:rPr>
          <w:rFonts w:eastAsia="Times New Roman" w:cs="Arial"/>
          <w:color w:val="000000"/>
          <w:szCs w:val="20"/>
          <w:lang w:val="en-US"/>
        </w:rPr>
        <w:t>HBV</w:t>
      </w:r>
      <w:r w:rsidRPr="00E110B4">
        <w:rPr>
          <w:rFonts w:eastAsia="Times New Roman" w:cs="Arial"/>
          <w:color w:val="000000"/>
          <w:szCs w:val="20"/>
          <w:lang w:val="ru-RU"/>
        </w:rPr>
        <w:t xml:space="preserve"> </w:t>
      </w:r>
      <w:r w:rsidRPr="00E110B4">
        <w:rPr>
          <w:rFonts w:eastAsia="Times New Roman" w:cs="Arial"/>
          <w:color w:val="000000"/>
          <w:szCs w:val="20"/>
          <w:lang w:val="en-US"/>
        </w:rPr>
        <w:t>LVDr</w:t>
      </w:r>
      <w:r w:rsidRPr="00E110B4">
        <w:rPr>
          <w:rFonts w:eastAsia="Times New Roman" w:cs="Arial"/>
          <w:color w:val="000000"/>
          <w:szCs w:val="20"/>
          <w:lang w:val="ru-RU"/>
        </w:rPr>
        <w:t xml:space="preserve"> </w:t>
      </w:r>
      <w:r w:rsidRPr="00E110B4">
        <w:rPr>
          <w:rFonts w:eastAsia="Times New Roman" w:cs="Arial"/>
          <w:color w:val="000000"/>
          <w:szCs w:val="20"/>
          <w:lang w:eastAsia="bg-BG"/>
        </w:rPr>
        <w:t xml:space="preserve">вирусите, които съдържат </w:t>
      </w:r>
      <w:r w:rsidRPr="00E110B4">
        <w:rPr>
          <w:rFonts w:eastAsia="Times New Roman" w:cs="Arial"/>
          <w:color w:val="000000"/>
          <w:szCs w:val="20"/>
          <w:lang w:val="en-US"/>
        </w:rPr>
        <w:t>rtM</w:t>
      </w:r>
      <w:r w:rsidRPr="00E110B4">
        <w:rPr>
          <w:rFonts w:eastAsia="Times New Roman" w:cs="Arial"/>
          <w:color w:val="000000"/>
          <w:szCs w:val="20"/>
          <w:lang w:val="ru-RU"/>
        </w:rPr>
        <w:t>204</w:t>
      </w:r>
      <w:r w:rsidRPr="00E110B4">
        <w:rPr>
          <w:rFonts w:eastAsia="Times New Roman" w:cs="Arial"/>
          <w:color w:val="000000"/>
          <w:szCs w:val="20"/>
          <w:lang w:val="en-US"/>
        </w:rPr>
        <w:t>V</w:t>
      </w:r>
      <w:r w:rsidRPr="00E110B4">
        <w:rPr>
          <w:rFonts w:eastAsia="Times New Roman" w:cs="Arial"/>
          <w:color w:val="000000"/>
          <w:szCs w:val="20"/>
          <w:lang w:val="ru-RU"/>
        </w:rPr>
        <w:t xml:space="preserve"> </w:t>
      </w:r>
      <w:r w:rsidRPr="00E110B4">
        <w:rPr>
          <w:rFonts w:eastAsia="Times New Roman" w:cs="Arial"/>
          <w:color w:val="000000"/>
          <w:szCs w:val="20"/>
          <w:lang w:eastAsia="bg-BG"/>
        </w:rPr>
        <w:t xml:space="preserve">и </w:t>
      </w:r>
      <w:r w:rsidRPr="00E110B4">
        <w:rPr>
          <w:rFonts w:eastAsia="Times New Roman" w:cs="Arial"/>
          <w:color w:val="000000"/>
          <w:szCs w:val="20"/>
          <w:lang w:val="en-US"/>
        </w:rPr>
        <w:t>rtL</w:t>
      </w:r>
      <w:r w:rsidRPr="00E110B4">
        <w:rPr>
          <w:rFonts w:eastAsia="Times New Roman" w:cs="Arial"/>
          <w:color w:val="000000"/>
          <w:szCs w:val="20"/>
          <w:lang w:val="ru-RU"/>
        </w:rPr>
        <w:t>180</w:t>
      </w:r>
      <w:r w:rsidRPr="00E110B4">
        <w:rPr>
          <w:rFonts w:eastAsia="Times New Roman" w:cs="Arial"/>
          <w:color w:val="000000"/>
          <w:szCs w:val="20"/>
          <w:lang w:val="en-US"/>
        </w:rPr>
        <w:t>M</w:t>
      </w:r>
      <w:r w:rsidRPr="00E110B4">
        <w:rPr>
          <w:rFonts w:eastAsia="Times New Roman" w:cs="Arial"/>
          <w:color w:val="000000"/>
          <w:szCs w:val="20"/>
          <w:lang w:val="ru-RU"/>
        </w:rPr>
        <w:t xml:space="preserve"> </w:t>
      </w:r>
      <w:r w:rsidRPr="00E110B4">
        <w:rPr>
          <w:rFonts w:eastAsia="Times New Roman" w:cs="Arial"/>
          <w:color w:val="000000"/>
          <w:szCs w:val="20"/>
          <w:lang w:eastAsia="bg-BG"/>
        </w:rPr>
        <w:t xml:space="preserve">замени в обратната транскриптаза, имат 8 пъти намалена чувствителност към ентекавир. Включването на допълнителни </w:t>
      </w:r>
      <w:r w:rsidRPr="00E110B4">
        <w:rPr>
          <w:rFonts w:eastAsia="Times New Roman" w:cs="Arial"/>
          <w:color w:val="000000"/>
          <w:szCs w:val="20"/>
          <w:lang w:val="en-US"/>
        </w:rPr>
        <w:t>ETVr</w:t>
      </w:r>
      <w:r w:rsidRPr="00E110B4">
        <w:rPr>
          <w:rFonts w:eastAsia="Times New Roman" w:cs="Arial"/>
          <w:color w:val="000000"/>
          <w:szCs w:val="20"/>
        </w:rPr>
        <w:t xml:space="preserve"> </w:t>
      </w:r>
      <w:r w:rsidRPr="00E110B4">
        <w:rPr>
          <w:rFonts w:eastAsia="Times New Roman" w:cs="Arial"/>
          <w:color w:val="000000"/>
          <w:szCs w:val="20"/>
          <w:lang w:eastAsia="bg-BG"/>
        </w:rPr>
        <w:t xml:space="preserve">аминокисепиини замени </w:t>
      </w:r>
      <w:r w:rsidRPr="00E110B4">
        <w:rPr>
          <w:rFonts w:eastAsia="Times New Roman" w:cs="Arial"/>
          <w:color w:val="000000"/>
          <w:szCs w:val="20"/>
          <w:lang w:val="en-US"/>
        </w:rPr>
        <w:t>rtT</w:t>
      </w:r>
      <w:r w:rsidRPr="00E110B4">
        <w:rPr>
          <w:rFonts w:eastAsia="Times New Roman" w:cs="Arial"/>
          <w:color w:val="000000"/>
          <w:szCs w:val="20"/>
        </w:rPr>
        <w:t xml:space="preserve">184, </w:t>
      </w:r>
      <w:r w:rsidRPr="00E110B4">
        <w:rPr>
          <w:rFonts w:eastAsia="Times New Roman" w:cs="Arial"/>
          <w:color w:val="000000"/>
          <w:szCs w:val="20"/>
          <w:lang w:val="en-US"/>
        </w:rPr>
        <w:t>rtS</w:t>
      </w:r>
      <w:r w:rsidRPr="00E110B4">
        <w:rPr>
          <w:rFonts w:eastAsia="Times New Roman" w:cs="Arial"/>
          <w:color w:val="000000"/>
          <w:szCs w:val="20"/>
        </w:rPr>
        <w:t xml:space="preserve">202 </w:t>
      </w:r>
      <w:r w:rsidRPr="00E110B4">
        <w:rPr>
          <w:rFonts w:eastAsia="Times New Roman" w:cs="Arial"/>
          <w:color w:val="000000"/>
          <w:szCs w:val="20"/>
          <w:lang w:eastAsia="bg-BG"/>
        </w:rPr>
        <w:t xml:space="preserve">или </w:t>
      </w:r>
      <w:r w:rsidRPr="00E110B4">
        <w:rPr>
          <w:rFonts w:eastAsia="Times New Roman" w:cs="Arial"/>
          <w:color w:val="000000"/>
          <w:szCs w:val="20"/>
          <w:lang w:val="en-US"/>
        </w:rPr>
        <w:t>rtM</w:t>
      </w:r>
      <w:r w:rsidRPr="00E110B4">
        <w:rPr>
          <w:rFonts w:eastAsia="Times New Roman" w:cs="Arial"/>
          <w:color w:val="000000"/>
          <w:szCs w:val="20"/>
        </w:rPr>
        <w:t xml:space="preserve">250 </w:t>
      </w:r>
      <w:r w:rsidRPr="00E110B4">
        <w:rPr>
          <w:rFonts w:eastAsia="Times New Roman" w:cs="Arial"/>
          <w:color w:val="000000"/>
          <w:szCs w:val="20"/>
          <w:lang w:eastAsia="bg-BG"/>
        </w:rPr>
        <w:t>намалява чувствителността към ентекавир в клетъчна култура. Замени, наблюдавани в клинични изолати (</w:t>
      </w:r>
      <w:r w:rsidRPr="00E110B4">
        <w:rPr>
          <w:rFonts w:eastAsia="Times New Roman" w:cs="Arial"/>
          <w:color w:val="000000"/>
          <w:szCs w:val="20"/>
          <w:lang w:val="en-US"/>
        </w:rPr>
        <w:t>rtT</w:t>
      </w:r>
      <w:r w:rsidRPr="00E110B4">
        <w:rPr>
          <w:rFonts w:eastAsia="Times New Roman" w:cs="Arial"/>
          <w:color w:val="000000"/>
          <w:szCs w:val="20"/>
          <w:lang w:eastAsia="bg-BG"/>
        </w:rPr>
        <w:t xml:space="preserve">84А, С, </w:t>
      </w:r>
      <w:r w:rsidRPr="00E110B4">
        <w:rPr>
          <w:rFonts w:eastAsia="Times New Roman" w:cs="Arial"/>
          <w:color w:val="000000"/>
          <w:szCs w:val="20"/>
          <w:lang w:val="en-US"/>
        </w:rPr>
        <w:t>F</w:t>
      </w:r>
      <w:r w:rsidRPr="00E110B4">
        <w:rPr>
          <w:rFonts w:eastAsia="Times New Roman" w:cs="Arial"/>
          <w:color w:val="000000"/>
          <w:szCs w:val="20"/>
          <w:lang w:val="ru-RU"/>
        </w:rPr>
        <w:t xml:space="preserve">, </w:t>
      </w:r>
      <w:r w:rsidRPr="00E110B4">
        <w:rPr>
          <w:rFonts w:eastAsia="Times New Roman" w:cs="Arial"/>
          <w:color w:val="000000"/>
          <w:szCs w:val="20"/>
          <w:lang w:val="en-US"/>
        </w:rPr>
        <w:t>G</w:t>
      </w:r>
      <w:r w:rsidRPr="00E110B4">
        <w:rPr>
          <w:rFonts w:eastAsia="Times New Roman" w:cs="Arial"/>
          <w:color w:val="000000"/>
          <w:szCs w:val="20"/>
          <w:lang w:val="ru-RU"/>
        </w:rPr>
        <w:t xml:space="preserve">, </w:t>
      </w:r>
      <w:r w:rsidRPr="00E110B4">
        <w:rPr>
          <w:rFonts w:eastAsia="Times New Roman" w:cs="Arial"/>
          <w:color w:val="000000"/>
          <w:szCs w:val="20"/>
          <w:lang w:val="en-US"/>
        </w:rPr>
        <w:t>I</w:t>
      </w:r>
      <w:r w:rsidRPr="00E110B4">
        <w:rPr>
          <w:rFonts w:eastAsia="Times New Roman" w:cs="Arial"/>
          <w:color w:val="000000"/>
          <w:szCs w:val="20"/>
          <w:lang w:val="ru-RU"/>
        </w:rPr>
        <w:t xml:space="preserve">, </w:t>
      </w:r>
      <w:r w:rsidRPr="00E110B4">
        <w:rPr>
          <w:rFonts w:eastAsia="Times New Roman" w:cs="Arial"/>
          <w:color w:val="000000"/>
          <w:szCs w:val="20"/>
          <w:lang w:val="en-US"/>
        </w:rPr>
        <w:t>L</w:t>
      </w:r>
      <w:r w:rsidRPr="00E110B4">
        <w:rPr>
          <w:rFonts w:eastAsia="Times New Roman" w:cs="Arial"/>
          <w:color w:val="000000"/>
          <w:szCs w:val="20"/>
          <w:lang w:val="ru-RU"/>
        </w:rPr>
        <w:t xml:space="preserve">, </w:t>
      </w:r>
      <w:r w:rsidRPr="00E110B4">
        <w:rPr>
          <w:rFonts w:eastAsia="Times New Roman" w:cs="Arial"/>
          <w:color w:val="000000"/>
          <w:szCs w:val="20"/>
          <w:lang w:eastAsia="bg-BG"/>
        </w:rPr>
        <w:t xml:space="preserve">М или </w:t>
      </w:r>
      <w:r w:rsidRPr="00E110B4">
        <w:rPr>
          <w:rFonts w:eastAsia="Times New Roman" w:cs="Arial"/>
          <w:color w:val="000000"/>
          <w:szCs w:val="20"/>
          <w:lang w:val="en-US"/>
        </w:rPr>
        <w:t>S</w:t>
      </w:r>
      <w:r w:rsidRPr="00E110B4">
        <w:rPr>
          <w:rFonts w:eastAsia="Times New Roman" w:cs="Arial"/>
          <w:color w:val="000000"/>
          <w:szCs w:val="20"/>
          <w:lang w:val="ru-RU"/>
        </w:rPr>
        <w:t xml:space="preserve">; </w:t>
      </w:r>
      <w:r w:rsidRPr="00E110B4">
        <w:rPr>
          <w:rFonts w:eastAsia="Times New Roman" w:cs="Arial"/>
          <w:color w:val="000000"/>
          <w:szCs w:val="20"/>
          <w:lang w:val="en-US"/>
        </w:rPr>
        <w:t>rtS</w:t>
      </w:r>
      <w:r w:rsidRPr="00E110B4">
        <w:rPr>
          <w:rFonts w:eastAsia="Times New Roman" w:cs="Arial"/>
          <w:color w:val="000000"/>
          <w:szCs w:val="20"/>
          <w:lang w:val="ru-RU"/>
        </w:rPr>
        <w:t>202</w:t>
      </w:r>
      <w:r w:rsidRPr="00E110B4">
        <w:rPr>
          <w:rFonts w:eastAsia="Times New Roman" w:cs="Arial"/>
          <w:color w:val="000000"/>
          <w:szCs w:val="20"/>
          <w:lang w:eastAsia="bg-BG"/>
        </w:rPr>
        <w:t xml:space="preserve">С, </w:t>
      </w:r>
      <w:r w:rsidRPr="00E110B4">
        <w:rPr>
          <w:rFonts w:eastAsia="Times New Roman" w:cs="Arial"/>
          <w:color w:val="000000"/>
          <w:szCs w:val="20"/>
          <w:lang w:val="en-US"/>
        </w:rPr>
        <w:t>G</w:t>
      </w:r>
      <w:r w:rsidRPr="00E110B4">
        <w:rPr>
          <w:rFonts w:eastAsia="Times New Roman" w:cs="Arial"/>
          <w:color w:val="000000"/>
          <w:szCs w:val="20"/>
          <w:lang w:val="ru-RU"/>
        </w:rPr>
        <w:t xml:space="preserve"> </w:t>
      </w:r>
      <w:r w:rsidRPr="00E110B4">
        <w:rPr>
          <w:rFonts w:eastAsia="Times New Roman" w:cs="Arial"/>
          <w:color w:val="000000"/>
          <w:szCs w:val="20"/>
          <w:lang w:eastAsia="bg-BG"/>
        </w:rPr>
        <w:t xml:space="preserve">или I; и/или </w:t>
      </w:r>
      <w:r w:rsidRPr="00E110B4">
        <w:rPr>
          <w:rFonts w:eastAsia="Times New Roman" w:cs="Arial"/>
          <w:color w:val="000000"/>
          <w:szCs w:val="20"/>
          <w:lang w:val="en-US"/>
        </w:rPr>
        <w:t>rtM</w:t>
      </w:r>
      <w:r w:rsidRPr="00E110B4">
        <w:rPr>
          <w:rFonts w:eastAsia="Times New Roman" w:cs="Arial"/>
          <w:color w:val="000000"/>
          <w:szCs w:val="20"/>
          <w:lang w:val="ru-RU"/>
        </w:rPr>
        <w:t>250</w:t>
      </w:r>
      <w:r w:rsidRPr="00E110B4">
        <w:rPr>
          <w:rFonts w:eastAsia="Times New Roman" w:cs="Arial"/>
          <w:color w:val="000000"/>
          <w:szCs w:val="20"/>
          <w:lang w:val="en-US"/>
        </w:rPr>
        <w:t>I</w:t>
      </w:r>
      <w:r w:rsidRPr="00E110B4">
        <w:rPr>
          <w:rFonts w:eastAsia="Times New Roman" w:cs="Arial"/>
          <w:color w:val="000000"/>
          <w:szCs w:val="20"/>
          <w:lang w:val="ru-RU"/>
        </w:rPr>
        <w:t xml:space="preserve">, </w:t>
      </w:r>
      <w:r w:rsidRPr="00E110B4">
        <w:rPr>
          <w:rFonts w:eastAsia="Times New Roman" w:cs="Arial"/>
          <w:color w:val="000000"/>
          <w:szCs w:val="20"/>
          <w:lang w:val="en-US"/>
        </w:rPr>
        <w:t>L</w:t>
      </w:r>
      <w:r w:rsidRPr="00E110B4">
        <w:rPr>
          <w:rFonts w:eastAsia="Times New Roman" w:cs="Arial"/>
          <w:color w:val="000000"/>
          <w:szCs w:val="20"/>
          <w:lang w:val="ru-RU"/>
        </w:rPr>
        <w:t xml:space="preserve"> </w:t>
      </w:r>
      <w:r w:rsidRPr="00E110B4">
        <w:rPr>
          <w:rFonts w:eastAsia="Times New Roman" w:cs="Arial"/>
          <w:color w:val="000000"/>
          <w:szCs w:val="20"/>
          <w:lang w:eastAsia="bg-BG"/>
        </w:rPr>
        <w:t xml:space="preserve">или V), допълнително намаляват чувствителността към ентекавир от 16 до 741 пъти по отношение на дивия тип вирус. Резистентни на ламивудин щамове, съдържащи </w:t>
      </w:r>
      <w:r w:rsidRPr="00E110B4">
        <w:rPr>
          <w:rFonts w:eastAsia="Times New Roman" w:cs="Arial"/>
          <w:color w:val="000000"/>
          <w:szCs w:val="20"/>
          <w:lang w:val="en-US"/>
        </w:rPr>
        <w:t>rtLl</w:t>
      </w:r>
      <w:r w:rsidRPr="00E110B4">
        <w:rPr>
          <w:rFonts w:eastAsia="Times New Roman" w:cs="Arial"/>
          <w:color w:val="000000"/>
          <w:szCs w:val="20"/>
          <w:lang w:eastAsia="bg-BG"/>
        </w:rPr>
        <w:t xml:space="preserve">80М плюс </w:t>
      </w:r>
      <w:r w:rsidRPr="00E110B4">
        <w:rPr>
          <w:rFonts w:eastAsia="Times New Roman" w:cs="Arial"/>
          <w:color w:val="000000"/>
          <w:szCs w:val="20"/>
          <w:lang w:val="en-US"/>
        </w:rPr>
        <w:t>KM</w:t>
      </w:r>
      <w:r w:rsidRPr="00E110B4">
        <w:rPr>
          <w:rFonts w:eastAsia="Times New Roman" w:cs="Arial"/>
          <w:color w:val="000000"/>
          <w:szCs w:val="20"/>
          <w:lang w:val="ru-RU"/>
        </w:rPr>
        <w:t>204</w:t>
      </w:r>
      <w:r w:rsidRPr="00E110B4">
        <w:rPr>
          <w:rFonts w:eastAsia="Times New Roman" w:cs="Arial"/>
          <w:color w:val="000000"/>
          <w:szCs w:val="20"/>
          <w:lang w:val="en-US"/>
        </w:rPr>
        <w:t>V</w:t>
      </w:r>
      <w:r w:rsidRPr="00E110B4">
        <w:rPr>
          <w:rFonts w:eastAsia="Times New Roman" w:cs="Arial"/>
          <w:color w:val="000000"/>
          <w:szCs w:val="20"/>
          <w:lang w:val="ru-RU"/>
        </w:rPr>
        <w:t xml:space="preserve"> </w:t>
      </w:r>
      <w:r w:rsidRPr="00E110B4">
        <w:rPr>
          <w:rFonts w:eastAsia="Times New Roman" w:cs="Arial"/>
          <w:color w:val="000000"/>
          <w:szCs w:val="20"/>
          <w:lang w:eastAsia="bg-BG"/>
        </w:rPr>
        <w:t xml:space="preserve">в комбинация с аминокиселинна субституция </w:t>
      </w:r>
      <w:r w:rsidRPr="00E110B4">
        <w:rPr>
          <w:rFonts w:eastAsia="Times New Roman" w:cs="Arial"/>
          <w:color w:val="000000"/>
          <w:szCs w:val="20"/>
          <w:lang w:val="en-US"/>
        </w:rPr>
        <w:t>rtA</w:t>
      </w:r>
      <w:r w:rsidRPr="00E110B4">
        <w:rPr>
          <w:rFonts w:eastAsia="Times New Roman" w:cs="Arial"/>
          <w:color w:val="000000"/>
          <w:szCs w:val="20"/>
          <w:lang w:val="ru-RU"/>
        </w:rPr>
        <w:t>181</w:t>
      </w:r>
      <w:r w:rsidRPr="00E110B4">
        <w:rPr>
          <w:rFonts w:eastAsia="Times New Roman" w:cs="Arial"/>
          <w:color w:val="000000"/>
          <w:szCs w:val="20"/>
          <w:lang w:val="en-US"/>
        </w:rPr>
        <w:t>C</w:t>
      </w:r>
      <w:r w:rsidRPr="00E110B4">
        <w:rPr>
          <w:rFonts w:eastAsia="Times New Roman" w:cs="Arial"/>
          <w:color w:val="000000"/>
          <w:szCs w:val="20"/>
          <w:lang w:val="ru-RU"/>
        </w:rPr>
        <w:t xml:space="preserve">, </w:t>
      </w:r>
      <w:r w:rsidRPr="00E110B4">
        <w:rPr>
          <w:rFonts w:eastAsia="Times New Roman" w:cs="Arial"/>
          <w:color w:val="000000"/>
          <w:szCs w:val="20"/>
          <w:lang w:eastAsia="bg-BG"/>
        </w:rPr>
        <w:t xml:space="preserve">дават 16-до 122-кратно намаляване на фенотипната чувствителност към ентекавир. </w:t>
      </w:r>
      <w:r w:rsidRPr="00E110B4">
        <w:rPr>
          <w:rFonts w:eastAsia="Times New Roman" w:cs="Arial"/>
          <w:color w:val="000000"/>
          <w:szCs w:val="20"/>
          <w:lang w:val="en-US"/>
        </w:rPr>
        <w:t>ETVr</w:t>
      </w:r>
      <w:r w:rsidRPr="00E110B4">
        <w:rPr>
          <w:rFonts w:eastAsia="Times New Roman" w:cs="Arial"/>
          <w:color w:val="000000"/>
          <w:szCs w:val="20"/>
          <w:lang w:val="ru-RU"/>
        </w:rPr>
        <w:t xml:space="preserve"> </w:t>
      </w:r>
      <w:r w:rsidRPr="00E110B4">
        <w:rPr>
          <w:rFonts w:eastAsia="Times New Roman" w:cs="Arial"/>
          <w:color w:val="000000"/>
          <w:szCs w:val="20"/>
          <w:lang w:eastAsia="bg-BG"/>
        </w:rPr>
        <w:t xml:space="preserve">замените само при остатъците </w:t>
      </w:r>
      <w:r w:rsidRPr="00E110B4">
        <w:rPr>
          <w:rFonts w:eastAsia="Times New Roman" w:cs="Arial"/>
          <w:color w:val="000000"/>
          <w:szCs w:val="20"/>
          <w:lang w:val="en-US"/>
        </w:rPr>
        <w:t>rtTl</w:t>
      </w:r>
      <w:r w:rsidRPr="00E110B4">
        <w:rPr>
          <w:rFonts w:eastAsia="Times New Roman" w:cs="Arial"/>
          <w:color w:val="000000"/>
          <w:szCs w:val="20"/>
          <w:lang w:val="ru-RU"/>
        </w:rPr>
        <w:t xml:space="preserve"> </w:t>
      </w:r>
      <w:r w:rsidRPr="00E110B4">
        <w:rPr>
          <w:rFonts w:eastAsia="Times New Roman" w:cs="Arial"/>
          <w:color w:val="000000"/>
          <w:szCs w:val="20"/>
          <w:lang w:eastAsia="bg-BG"/>
        </w:rPr>
        <w:t xml:space="preserve">84, </w:t>
      </w:r>
      <w:r w:rsidRPr="00E110B4">
        <w:rPr>
          <w:rFonts w:eastAsia="Times New Roman" w:cs="Arial"/>
          <w:color w:val="000000"/>
          <w:szCs w:val="20"/>
          <w:lang w:val="en-US"/>
        </w:rPr>
        <w:t>rtS</w:t>
      </w:r>
      <w:r w:rsidRPr="00E110B4">
        <w:rPr>
          <w:rFonts w:eastAsia="Times New Roman" w:cs="Arial"/>
          <w:color w:val="000000"/>
          <w:szCs w:val="20"/>
          <w:lang w:val="ru-RU"/>
        </w:rPr>
        <w:t xml:space="preserve">202 </w:t>
      </w:r>
      <w:r w:rsidRPr="00E110B4">
        <w:rPr>
          <w:rFonts w:eastAsia="Times New Roman" w:cs="Arial"/>
          <w:color w:val="000000"/>
          <w:szCs w:val="20"/>
          <w:lang w:eastAsia="bg-BG"/>
        </w:rPr>
        <w:t xml:space="preserve">и </w:t>
      </w:r>
      <w:r w:rsidRPr="00E110B4">
        <w:rPr>
          <w:rFonts w:eastAsia="Times New Roman" w:cs="Arial"/>
          <w:color w:val="000000"/>
          <w:szCs w:val="20"/>
          <w:lang w:val="en-US"/>
        </w:rPr>
        <w:t>rtM</w:t>
      </w:r>
      <w:r w:rsidRPr="00E110B4">
        <w:rPr>
          <w:rFonts w:eastAsia="Times New Roman" w:cs="Arial"/>
          <w:color w:val="000000"/>
          <w:szCs w:val="20"/>
          <w:lang w:val="ru-RU"/>
        </w:rPr>
        <w:t xml:space="preserve">250 </w:t>
      </w:r>
      <w:r w:rsidRPr="00E110B4">
        <w:rPr>
          <w:rFonts w:eastAsia="Times New Roman" w:cs="Arial"/>
          <w:color w:val="000000"/>
          <w:szCs w:val="20"/>
          <w:lang w:eastAsia="bg-BG"/>
        </w:rPr>
        <w:t xml:space="preserve">имат само умерен ефект върху чувствителността към ентекавир и не са наблюдавани при отсъствие на </w:t>
      </w:r>
      <w:r w:rsidRPr="00E110B4">
        <w:rPr>
          <w:rFonts w:eastAsia="Times New Roman" w:cs="Arial"/>
          <w:color w:val="000000"/>
          <w:szCs w:val="20"/>
          <w:lang w:val="en-US"/>
        </w:rPr>
        <w:t>LVDr</w:t>
      </w:r>
      <w:r w:rsidRPr="00E110B4">
        <w:rPr>
          <w:rFonts w:eastAsia="Times New Roman" w:cs="Arial"/>
          <w:color w:val="000000"/>
          <w:szCs w:val="20"/>
          <w:lang w:val="ru-RU"/>
        </w:rPr>
        <w:t xml:space="preserve"> </w:t>
      </w:r>
      <w:r w:rsidRPr="00E110B4">
        <w:rPr>
          <w:rFonts w:eastAsia="Times New Roman" w:cs="Arial"/>
          <w:color w:val="000000"/>
          <w:szCs w:val="20"/>
          <w:lang w:eastAsia="bg-BG"/>
        </w:rPr>
        <w:t xml:space="preserve">замени при повече от 1000 последователни проби от пациенти. Резистентността е осъществена чрез намалено свързване на инхибитора към променената </w:t>
      </w:r>
      <w:r w:rsidRPr="00E110B4">
        <w:rPr>
          <w:rFonts w:eastAsia="Times New Roman" w:cs="Arial"/>
          <w:color w:val="000000"/>
          <w:szCs w:val="20"/>
          <w:lang w:val="en-US"/>
        </w:rPr>
        <w:t>HBV</w:t>
      </w:r>
      <w:r w:rsidRPr="00E110B4">
        <w:rPr>
          <w:rFonts w:eastAsia="Times New Roman" w:cs="Arial"/>
          <w:color w:val="000000"/>
          <w:szCs w:val="20"/>
          <w:lang w:val="ru-RU"/>
        </w:rPr>
        <w:t xml:space="preserve"> </w:t>
      </w:r>
      <w:r w:rsidRPr="00E110B4">
        <w:rPr>
          <w:rFonts w:eastAsia="Times New Roman" w:cs="Arial"/>
          <w:color w:val="000000"/>
          <w:szCs w:val="20"/>
          <w:lang w:eastAsia="bg-BG"/>
        </w:rPr>
        <w:t>обратна транскриптаза, а резистентният НВV показва намалена способност за репликация в клетъчна култура.</w:t>
      </w:r>
    </w:p>
    <w:p w14:paraId="0224693E" w14:textId="77777777" w:rsidR="00E110B4" w:rsidRPr="00E110B4" w:rsidRDefault="00E110B4" w:rsidP="00E110B4">
      <w:pPr>
        <w:spacing w:line="240" w:lineRule="auto"/>
        <w:rPr>
          <w:rFonts w:eastAsia="Times New Roman" w:cs="Arial"/>
          <w:b/>
          <w:bCs/>
          <w:color w:val="000000"/>
          <w:szCs w:val="20"/>
          <w:lang w:eastAsia="bg-BG"/>
        </w:rPr>
      </w:pPr>
    </w:p>
    <w:p w14:paraId="31CD8A00" w14:textId="64072BB3" w:rsidR="00E110B4" w:rsidRPr="00E110B4" w:rsidRDefault="00E110B4" w:rsidP="00E110B4">
      <w:pPr>
        <w:spacing w:line="240" w:lineRule="auto"/>
        <w:rPr>
          <w:rFonts w:eastAsia="Times New Roman" w:cs="Arial"/>
          <w:sz w:val="28"/>
          <w:szCs w:val="24"/>
        </w:rPr>
      </w:pPr>
      <w:r w:rsidRPr="00E110B4">
        <w:rPr>
          <w:rFonts w:eastAsia="Times New Roman" w:cs="Arial"/>
          <w:b/>
          <w:bCs/>
          <w:color w:val="000000"/>
          <w:szCs w:val="20"/>
          <w:lang w:eastAsia="bg-BG"/>
        </w:rPr>
        <w:t xml:space="preserve">Клиничен опит: </w:t>
      </w:r>
      <w:r w:rsidRPr="00E110B4">
        <w:rPr>
          <w:rFonts w:eastAsia="Times New Roman" w:cs="Arial"/>
          <w:color w:val="000000"/>
          <w:szCs w:val="20"/>
          <w:lang w:eastAsia="bg-BG"/>
        </w:rPr>
        <w:t xml:space="preserve">демонстрирането на ползата </w:t>
      </w:r>
      <w:r w:rsidRPr="00E110B4">
        <w:rPr>
          <w:rFonts w:eastAsia="Times New Roman" w:cs="Arial"/>
          <w:i/>
          <w:iCs/>
          <w:color w:val="000000"/>
          <w:szCs w:val="20"/>
          <w:lang w:eastAsia="bg-BG"/>
        </w:rPr>
        <w:t>се</w:t>
      </w:r>
      <w:r w:rsidRPr="00E110B4">
        <w:rPr>
          <w:rFonts w:eastAsia="Times New Roman" w:cs="Arial"/>
          <w:color w:val="000000"/>
          <w:szCs w:val="20"/>
          <w:lang w:eastAsia="bg-BG"/>
        </w:rPr>
        <w:t xml:space="preserve"> основава на хистологичния, вирусологичния, биохимичния и серологичен отговор след 48 седмици лечение в активно-контролирани клинични проучвания при 1633 възрастни с хронична инфекция на хепатит В, данни за вирусна репликация и компенсирано чернодробно заболяване. Също така безопасността и ефикасността на ентекавир са оценени в активно контролирано клинично </w:t>
      </w:r>
      <w:r w:rsidRPr="00E110B4">
        <w:rPr>
          <w:rFonts w:eastAsia="Times New Roman" w:cs="Arial"/>
          <w:color w:val="000000"/>
          <w:szCs w:val="20"/>
          <w:lang w:eastAsia="bg-BG"/>
        </w:rPr>
        <w:lastRenderedPageBreak/>
        <w:t xml:space="preserve">изпитване при 191 пациенти с </w:t>
      </w:r>
      <w:r w:rsidRPr="00E110B4">
        <w:rPr>
          <w:rFonts w:eastAsia="Times New Roman" w:cs="Arial"/>
          <w:color w:val="000000"/>
          <w:szCs w:val="20"/>
          <w:lang w:val="en-US"/>
        </w:rPr>
        <w:t>HBV</w:t>
      </w:r>
      <w:r w:rsidRPr="00E110B4">
        <w:rPr>
          <w:rFonts w:eastAsia="Times New Roman" w:cs="Arial"/>
          <w:color w:val="000000"/>
          <w:szCs w:val="20"/>
          <w:lang w:val="ru-RU"/>
        </w:rPr>
        <w:t xml:space="preserve"> </w:t>
      </w:r>
      <w:r w:rsidRPr="00E110B4">
        <w:rPr>
          <w:rFonts w:eastAsia="Times New Roman" w:cs="Arial"/>
          <w:color w:val="000000"/>
          <w:szCs w:val="20"/>
          <w:lang w:eastAsia="bg-BG"/>
        </w:rPr>
        <w:t xml:space="preserve">и декомпенсирано чернодробно заболяване, както и в клинично изпитване при 68 пациенти, коинфектирани с </w:t>
      </w:r>
      <w:r w:rsidRPr="00E110B4">
        <w:rPr>
          <w:rFonts w:eastAsia="Times New Roman" w:cs="Arial"/>
          <w:color w:val="000000"/>
          <w:szCs w:val="20"/>
          <w:lang w:val="en-US"/>
        </w:rPr>
        <w:t>HBV</w:t>
      </w:r>
      <w:r w:rsidRPr="00E110B4">
        <w:rPr>
          <w:rFonts w:eastAsia="Times New Roman" w:cs="Arial"/>
          <w:color w:val="000000"/>
          <w:szCs w:val="20"/>
          <w:lang w:val="ru-RU"/>
        </w:rPr>
        <w:t xml:space="preserve"> </w:t>
      </w:r>
      <w:r w:rsidRPr="00E110B4">
        <w:rPr>
          <w:rFonts w:eastAsia="Times New Roman" w:cs="Arial"/>
          <w:color w:val="000000"/>
          <w:szCs w:val="20"/>
          <w:lang w:eastAsia="bg-BG"/>
        </w:rPr>
        <w:t xml:space="preserve">и </w:t>
      </w:r>
      <w:r w:rsidRPr="00E110B4">
        <w:rPr>
          <w:rFonts w:eastAsia="Times New Roman" w:cs="Arial"/>
          <w:color w:val="000000"/>
          <w:szCs w:val="20"/>
          <w:lang w:val="en-US"/>
        </w:rPr>
        <w:t>HIV</w:t>
      </w:r>
      <w:r w:rsidRPr="00E110B4">
        <w:rPr>
          <w:rFonts w:eastAsia="Times New Roman" w:cs="Arial"/>
          <w:color w:val="000000"/>
          <w:szCs w:val="20"/>
          <w:lang w:val="ru-RU"/>
        </w:rPr>
        <w:t>.</w:t>
      </w:r>
    </w:p>
    <w:p w14:paraId="1CCB2953" w14:textId="77777777" w:rsidR="00E110B4" w:rsidRPr="00E110B4" w:rsidRDefault="00E110B4" w:rsidP="00E110B4">
      <w:pPr>
        <w:spacing w:line="240" w:lineRule="auto"/>
        <w:rPr>
          <w:rFonts w:eastAsia="Times New Roman" w:cs="Arial"/>
          <w:color w:val="000000"/>
          <w:szCs w:val="20"/>
          <w:lang w:eastAsia="bg-BG"/>
        </w:rPr>
      </w:pPr>
    </w:p>
    <w:p w14:paraId="3533E8F5" w14:textId="49E622A0" w:rsidR="00E110B4" w:rsidRPr="00E110B4" w:rsidRDefault="00E110B4" w:rsidP="00E110B4">
      <w:pPr>
        <w:spacing w:line="240" w:lineRule="auto"/>
        <w:rPr>
          <w:rFonts w:eastAsia="Times New Roman" w:cs="Arial"/>
          <w:sz w:val="28"/>
          <w:szCs w:val="24"/>
        </w:rPr>
      </w:pPr>
      <w:r w:rsidRPr="00E110B4">
        <w:rPr>
          <w:rFonts w:eastAsia="Times New Roman" w:cs="Arial"/>
          <w:color w:val="000000"/>
          <w:szCs w:val="20"/>
          <w:lang w:eastAsia="bg-BG"/>
        </w:rPr>
        <w:t xml:space="preserve">При проучвания с пациенти с компенсирано чернодробно заболяване хистологичното подобрение е определено като понижение с ≥ 2 точки в некро-възпалителния скор на Кнодел спрямо изходното ниво без влошаване на скора на Кнодел по отношение на фиброзата. Отговорите при пациентите с изходно ниво на скора на Кнодел по отношение на фиброзата от порядъка на 4 (цироза) е сравним с цялостния отговор по отношение на всички резултати, свързани с определяне на ефикасността (всички пациенти са били с компенсирано чернодробно заболяване). Високите изходни нива на Кнодел по отношение на некро-възпалителния скор (&gt; 10) са свързани с по-голямо хистологично подобрение при нелекуваните преди това с нуклеозиди пациенти. Изходните </w:t>
      </w:r>
      <w:r w:rsidRPr="00E110B4">
        <w:rPr>
          <w:rFonts w:eastAsia="Times New Roman" w:cs="Arial"/>
          <w:color w:val="000000"/>
          <w:szCs w:val="20"/>
          <w:lang w:val="en-US"/>
        </w:rPr>
        <w:t>ALT</w:t>
      </w:r>
      <w:r w:rsidRPr="00E110B4">
        <w:rPr>
          <w:rFonts w:eastAsia="Times New Roman" w:cs="Arial"/>
          <w:color w:val="000000"/>
          <w:szCs w:val="20"/>
          <w:lang w:val="ru-RU"/>
        </w:rPr>
        <w:t xml:space="preserve"> </w:t>
      </w:r>
      <w:r w:rsidRPr="00E110B4">
        <w:rPr>
          <w:rFonts w:eastAsia="Times New Roman" w:cs="Arial"/>
          <w:color w:val="000000"/>
          <w:szCs w:val="20"/>
          <w:lang w:eastAsia="bg-BG"/>
        </w:rPr>
        <w:t xml:space="preserve">нива ≥ 2 пъти спрямо </w:t>
      </w:r>
      <w:r w:rsidRPr="00E110B4">
        <w:rPr>
          <w:rFonts w:eastAsia="Times New Roman" w:cs="Arial"/>
          <w:color w:val="000000"/>
          <w:szCs w:val="20"/>
          <w:lang w:val="en-US"/>
        </w:rPr>
        <w:t>ULN</w:t>
      </w:r>
      <w:r w:rsidRPr="00E110B4">
        <w:rPr>
          <w:rFonts w:eastAsia="Times New Roman" w:cs="Arial"/>
          <w:color w:val="000000"/>
          <w:szCs w:val="20"/>
          <w:lang w:val="ru-RU"/>
        </w:rPr>
        <w:t xml:space="preserve"> </w:t>
      </w:r>
      <w:r w:rsidRPr="00E110B4">
        <w:rPr>
          <w:rFonts w:eastAsia="Times New Roman" w:cs="Arial"/>
          <w:color w:val="000000"/>
          <w:szCs w:val="20"/>
          <w:lang w:eastAsia="bg-BG"/>
        </w:rPr>
        <w:t xml:space="preserve">и изходните </w:t>
      </w:r>
      <w:r w:rsidRPr="00E110B4">
        <w:rPr>
          <w:rFonts w:eastAsia="Times New Roman" w:cs="Arial"/>
          <w:color w:val="000000"/>
          <w:szCs w:val="20"/>
          <w:lang w:val="en-US"/>
        </w:rPr>
        <w:t>HBV</w:t>
      </w:r>
      <w:r w:rsidRPr="00E110B4">
        <w:rPr>
          <w:rFonts w:eastAsia="Times New Roman" w:cs="Arial"/>
          <w:color w:val="000000"/>
          <w:szCs w:val="20"/>
          <w:lang w:val="ru-RU"/>
        </w:rPr>
        <w:t xml:space="preserve"> </w:t>
      </w:r>
      <w:r w:rsidRPr="00E110B4">
        <w:rPr>
          <w:rFonts w:eastAsia="Times New Roman" w:cs="Arial"/>
          <w:color w:val="000000"/>
          <w:szCs w:val="20"/>
          <w:lang w:eastAsia="bg-BG"/>
        </w:rPr>
        <w:t xml:space="preserve">ДНК ≤9,0 </w:t>
      </w:r>
      <w:r w:rsidRPr="00E110B4">
        <w:rPr>
          <w:rFonts w:eastAsia="Times New Roman" w:cs="Arial"/>
          <w:color w:val="000000"/>
          <w:szCs w:val="20"/>
          <w:lang w:val="en-US"/>
        </w:rPr>
        <w:t>log</w:t>
      </w:r>
      <w:r w:rsidRPr="00E110B4">
        <w:rPr>
          <w:rFonts w:eastAsia="Times New Roman" w:cs="Arial"/>
          <w:color w:val="000000"/>
          <w:szCs w:val="20"/>
          <w:vertAlign w:val="subscript"/>
          <w:lang w:val="ru-RU"/>
        </w:rPr>
        <w:t>10</w:t>
      </w:r>
      <w:r w:rsidRPr="00E110B4">
        <w:rPr>
          <w:rFonts w:eastAsia="Times New Roman" w:cs="Arial"/>
          <w:color w:val="000000"/>
          <w:szCs w:val="20"/>
          <w:lang w:val="ru-RU"/>
        </w:rPr>
        <w:t xml:space="preserve"> </w:t>
      </w:r>
      <w:r w:rsidRPr="00E110B4">
        <w:rPr>
          <w:rFonts w:eastAsia="Times New Roman" w:cs="Arial"/>
          <w:color w:val="000000"/>
          <w:szCs w:val="20"/>
          <w:lang w:eastAsia="bg-BG"/>
        </w:rPr>
        <w:t>копия</w:t>
      </w:r>
      <w:r w:rsidRPr="00E110B4">
        <w:rPr>
          <w:rFonts w:eastAsia="Times New Roman" w:cs="Arial"/>
          <w:color w:val="000000"/>
          <w:szCs w:val="20"/>
          <w:lang w:val="ru-RU"/>
        </w:rPr>
        <w:t>/</w:t>
      </w:r>
      <w:r w:rsidRPr="00E110B4">
        <w:rPr>
          <w:rFonts w:eastAsia="Times New Roman" w:cs="Arial"/>
          <w:color w:val="000000"/>
          <w:szCs w:val="20"/>
          <w:lang w:val="en-US"/>
        </w:rPr>
        <w:t>ml</w:t>
      </w:r>
      <w:r w:rsidRPr="00E110B4">
        <w:rPr>
          <w:rFonts w:eastAsia="Times New Roman" w:cs="Arial"/>
          <w:color w:val="000000"/>
          <w:szCs w:val="20"/>
          <w:lang w:val="ru-RU"/>
        </w:rPr>
        <w:t xml:space="preserve"> </w:t>
      </w:r>
      <w:r w:rsidRPr="00E110B4">
        <w:rPr>
          <w:rFonts w:eastAsia="Times New Roman" w:cs="Arial"/>
          <w:color w:val="000000"/>
          <w:szCs w:val="20"/>
          <w:lang w:eastAsia="bg-BG"/>
        </w:rPr>
        <w:t xml:space="preserve">при нелекуваните преди това с нуклеозиди </w:t>
      </w:r>
      <w:r w:rsidRPr="00E110B4">
        <w:rPr>
          <w:rFonts w:eastAsia="Times New Roman" w:cs="Arial"/>
          <w:color w:val="000000"/>
          <w:szCs w:val="20"/>
          <w:lang w:val="en-US"/>
        </w:rPr>
        <w:t>HBeAg</w:t>
      </w:r>
      <w:r w:rsidRPr="00E110B4">
        <w:rPr>
          <w:rFonts w:eastAsia="Times New Roman" w:cs="Arial"/>
          <w:color w:val="000000"/>
          <w:szCs w:val="20"/>
          <w:lang w:val="ru-RU"/>
        </w:rPr>
        <w:t xml:space="preserve"> </w:t>
      </w:r>
      <w:r w:rsidRPr="00E110B4">
        <w:rPr>
          <w:rFonts w:eastAsia="Times New Roman" w:cs="Arial"/>
          <w:color w:val="000000"/>
          <w:szCs w:val="20"/>
          <w:lang w:eastAsia="bg-BG"/>
        </w:rPr>
        <w:t xml:space="preserve">положителни пациенти са свързани с по-висока степен на вирусологичен отговор (седмица 48 </w:t>
      </w:r>
      <w:r w:rsidRPr="00E110B4">
        <w:rPr>
          <w:rFonts w:eastAsia="Times New Roman" w:cs="Arial"/>
          <w:color w:val="000000"/>
          <w:szCs w:val="20"/>
          <w:lang w:val="en-US"/>
        </w:rPr>
        <w:t>HBV</w:t>
      </w:r>
      <w:r w:rsidRPr="00E110B4">
        <w:rPr>
          <w:rFonts w:eastAsia="Times New Roman" w:cs="Arial"/>
          <w:color w:val="000000"/>
          <w:szCs w:val="20"/>
          <w:lang w:val="ru-RU"/>
        </w:rPr>
        <w:t xml:space="preserve"> </w:t>
      </w:r>
      <w:r w:rsidRPr="00E110B4">
        <w:rPr>
          <w:rFonts w:eastAsia="Times New Roman" w:cs="Arial"/>
          <w:color w:val="000000"/>
          <w:szCs w:val="20"/>
          <w:lang w:eastAsia="bg-BG"/>
        </w:rPr>
        <w:t>ДНК &lt; 400 копия</w:t>
      </w:r>
      <w:r w:rsidRPr="00E110B4">
        <w:rPr>
          <w:rFonts w:eastAsia="Times New Roman" w:cs="Arial"/>
          <w:color w:val="000000"/>
          <w:szCs w:val="20"/>
          <w:lang w:val="ru-RU"/>
        </w:rPr>
        <w:t>/</w:t>
      </w:r>
      <w:r w:rsidRPr="00E110B4">
        <w:rPr>
          <w:rFonts w:eastAsia="Times New Roman" w:cs="Arial"/>
          <w:color w:val="000000"/>
          <w:szCs w:val="20"/>
          <w:lang w:val="en-US"/>
        </w:rPr>
        <w:t>ml</w:t>
      </w:r>
      <w:r w:rsidRPr="00E110B4">
        <w:rPr>
          <w:rFonts w:eastAsia="Times New Roman" w:cs="Arial"/>
          <w:color w:val="000000"/>
          <w:szCs w:val="20"/>
          <w:lang w:val="ru-RU"/>
        </w:rPr>
        <w:t xml:space="preserve">). </w:t>
      </w:r>
      <w:r w:rsidRPr="00E110B4">
        <w:rPr>
          <w:rFonts w:eastAsia="Times New Roman" w:cs="Arial"/>
          <w:color w:val="000000"/>
          <w:szCs w:val="20"/>
          <w:lang w:eastAsia="bg-BG"/>
        </w:rPr>
        <w:t>Независимо от изходните характеристики по-голямата част от пациентите са показали хистологичен и вирусологичен отговор на лечението.</w:t>
      </w:r>
    </w:p>
    <w:p w14:paraId="5EF8D1E2" w14:textId="77777777" w:rsidR="00E110B4" w:rsidRPr="00E110B4" w:rsidRDefault="00E110B4" w:rsidP="00E110B4">
      <w:pPr>
        <w:spacing w:line="240" w:lineRule="auto"/>
        <w:rPr>
          <w:rFonts w:eastAsia="Times New Roman" w:cs="Arial"/>
          <w:i/>
          <w:iCs/>
          <w:color w:val="000000"/>
          <w:szCs w:val="20"/>
          <w:u w:val="single"/>
          <w:lang w:eastAsia="bg-BG"/>
        </w:rPr>
      </w:pPr>
    </w:p>
    <w:p w14:paraId="237CD95F" w14:textId="38FD0D6D" w:rsidR="00E110B4" w:rsidRPr="00E110B4" w:rsidRDefault="00E110B4" w:rsidP="00E110B4">
      <w:pPr>
        <w:spacing w:line="240" w:lineRule="auto"/>
        <w:rPr>
          <w:rFonts w:eastAsia="Times New Roman" w:cs="Arial"/>
          <w:sz w:val="28"/>
          <w:szCs w:val="24"/>
        </w:rPr>
      </w:pPr>
      <w:r w:rsidRPr="00E110B4">
        <w:rPr>
          <w:rFonts w:eastAsia="Times New Roman" w:cs="Arial"/>
          <w:i/>
          <w:iCs/>
          <w:color w:val="000000"/>
          <w:szCs w:val="20"/>
          <w:u w:val="single"/>
          <w:lang w:eastAsia="bg-BG"/>
        </w:rPr>
        <w:t>Опит пои пациенти, нелекувани преди това с нуклеозиди, с компенсирано чернодробно заболяване:</w:t>
      </w:r>
    </w:p>
    <w:p w14:paraId="07ABC73D" w14:textId="77777777" w:rsidR="00E110B4" w:rsidRPr="00E110B4" w:rsidRDefault="00E110B4" w:rsidP="00E110B4">
      <w:pPr>
        <w:spacing w:line="240" w:lineRule="auto"/>
        <w:rPr>
          <w:rFonts w:eastAsia="Times New Roman" w:cs="Arial"/>
          <w:sz w:val="28"/>
          <w:szCs w:val="24"/>
        </w:rPr>
      </w:pPr>
      <w:r w:rsidRPr="00E110B4">
        <w:rPr>
          <w:rFonts w:eastAsia="Times New Roman" w:cs="Arial"/>
          <w:color w:val="000000"/>
          <w:szCs w:val="20"/>
          <w:lang w:eastAsia="bg-BG"/>
        </w:rPr>
        <w:t xml:space="preserve">В таблицата са представени резултатите от 48-седмични рандомизирани, двойно-слепи проучвания, които сравняват ентекавир </w:t>
      </w:r>
      <w:r w:rsidRPr="00E110B4">
        <w:rPr>
          <w:rFonts w:eastAsia="Times New Roman" w:cs="Arial"/>
          <w:color w:val="000000"/>
          <w:szCs w:val="20"/>
          <w:lang w:val="ru-RU"/>
        </w:rPr>
        <w:t>(</w:t>
      </w:r>
      <w:r w:rsidRPr="00E110B4">
        <w:rPr>
          <w:rFonts w:eastAsia="Times New Roman" w:cs="Arial"/>
          <w:color w:val="000000"/>
          <w:szCs w:val="20"/>
          <w:lang w:val="en-US"/>
        </w:rPr>
        <w:t>ETV</w:t>
      </w:r>
      <w:r w:rsidRPr="00E110B4">
        <w:rPr>
          <w:rFonts w:eastAsia="Times New Roman" w:cs="Arial"/>
          <w:color w:val="000000"/>
          <w:szCs w:val="20"/>
          <w:lang w:val="ru-RU"/>
        </w:rPr>
        <w:t xml:space="preserve">) </w:t>
      </w:r>
      <w:r w:rsidRPr="00E110B4">
        <w:rPr>
          <w:rFonts w:eastAsia="Times New Roman" w:cs="Arial"/>
          <w:color w:val="000000"/>
          <w:szCs w:val="20"/>
          <w:lang w:eastAsia="bg-BG"/>
        </w:rPr>
        <w:t xml:space="preserve">с ламивудин </w:t>
      </w:r>
      <w:r w:rsidRPr="00E110B4">
        <w:rPr>
          <w:rFonts w:eastAsia="Times New Roman" w:cs="Arial"/>
          <w:color w:val="000000"/>
          <w:szCs w:val="20"/>
          <w:lang w:val="ru-RU"/>
        </w:rPr>
        <w:t>(</w:t>
      </w:r>
      <w:r w:rsidRPr="00E110B4">
        <w:rPr>
          <w:rFonts w:eastAsia="Times New Roman" w:cs="Arial"/>
          <w:color w:val="000000"/>
          <w:szCs w:val="20"/>
          <w:lang w:val="en-US"/>
        </w:rPr>
        <w:t>LVD</w:t>
      </w:r>
      <w:r w:rsidRPr="00E110B4">
        <w:rPr>
          <w:rFonts w:eastAsia="Times New Roman" w:cs="Arial"/>
          <w:color w:val="000000"/>
          <w:szCs w:val="20"/>
          <w:lang w:val="ru-RU"/>
        </w:rPr>
        <w:t xml:space="preserve">) </w:t>
      </w:r>
      <w:r w:rsidRPr="00E110B4">
        <w:rPr>
          <w:rFonts w:eastAsia="Times New Roman" w:cs="Arial"/>
          <w:color w:val="000000"/>
          <w:szCs w:val="20"/>
          <w:lang w:eastAsia="bg-BG"/>
        </w:rPr>
        <w:t xml:space="preserve">при </w:t>
      </w:r>
      <w:r w:rsidRPr="00E110B4">
        <w:rPr>
          <w:rFonts w:eastAsia="Times New Roman" w:cs="Arial"/>
          <w:color w:val="000000"/>
          <w:szCs w:val="20"/>
          <w:lang w:val="en-US"/>
        </w:rPr>
        <w:t>HBeAg</w:t>
      </w:r>
      <w:r w:rsidRPr="00E110B4">
        <w:rPr>
          <w:rFonts w:eastAsia="Times New Roman" w:cs="Arial"/>
          <w:color w:val="000000"/>
          <w:szCs w:val="20"/>
          <w:lang w:val="ru-RU"/>
        </w:rPr>
        <w:t xml:space="preserve"> </w:t>
      </w:r>
      <w:r w:rsidRPr="00E110B4">
        <w:rPr>
          <w:rFonts w:eastAsia="Times New Roman" w:cs="Arial"/>
          <w:color w:val="000000"/>
          <w:szCs w:val="20"/>
          <w:lang w:eastAsia="bg-BG"/>
        </w:rPr>
        <w:t xml:space="preserve">положителни (022) и </w:t>
      </w:r>
      <w:r w:rsidRPr="00E110B4">
        <w:rPr>
          <w:rFonts w:eastAsia="Times New Roman" w:cs="Arial"/>
          <w:color w:val="000000"/>
          <w:szCs w:val="20"/>
          <w:lang w:val="en-US"/>
        </w:rPr>
        <w:t>HBeAg</w:t>
      </w:r>
      <w:r w:rsidRPr="00E110B4">
        <w:rPr>
          <w:rFonts w:eastAsia="Times New Roman" w:cs="Arial"/>
          <w:color w:val="000000"/>
          <w:szCs w:val="20"/>
          <w:lang w:val="ru-RU"/>
        </w:rPr>
        <w:t xml:space="preserve"> </w:t>
      </w:r>
      <w:r w:rsidRPr="00E110B4">
        <w:rPr>
          <w:rFonts w:eastAsia="Times New Roman" w:cs="Arial"/>
          <w:color w:val="000000"/>
          <w:szCs w:val="20"/>
          <w:lang w:eastAsia="bg-BG"/>
        </w:rPr>
        <w:t>отрицателни (027) пациенти.</w:t>
      </w:r>
    </w:p>
    <w:p w14:paraId="49F1E811" w14:textId="79C6CCB0" w:rsidR="00E110B4" w:rsidRDefault="00E110B4" w:rsidP="00775E52"/>
    <w:tbl>
      <w:tblPr>
        <w:tblStyle w:val="TableGrid"/>
        <w:tblW w:w="0" w:type="auto"/>
        <w:tblLook w:val="04A0" w:firstRow="1" w:lastRow="0" w:firstColumn="1" w:lastColumn="0" w:noHBand="0" w:noVBand="1"/>
      </w:tblPr>
      <w:tblGrid>
        <w:gridCol w:w="2479"/>
        <w:gridCol w:w="1293"/>
        <w:gridCol w:w="2157"/>
        <w:gridCol w:w="1561"/>
        <w:gridCol w:w="1860"/>
      </w:tblGrid>
      <w:tr w:rsidR="00E110B4" w14:paraId="61E54108" w14:textId="77777777" w:rsidTr="00E110B4">
        <w:tc>
          <w:tcPr>
            <w:tcW w:w="2518" w:type="dxa"/>
            <w:vMerge w:val="restart"/>
          </w:tcPr>
          <w:p w14:paraId="301873EA" w14:textId="77777777" w:rsidR="00E110B4" w:rsidRDefault="00E110B4" w:rsidP="00775E52"/>
        </w:tc>
        <w:tc>
          <w:tcPr>
            <w:tcW w:w="7058" w:type="dxa"/>
            <w:gridSpan w:val="4"/>
          </w:tcPr>
          <w:p w14:paraId="08C3FD9E" w14:textId="2673F77F" w:rsidR="00E110B4" w:rsidRDefault="00E110B4" w:rsidP="00E110B4">
            <w:pPr>
              <w:jc w:val="center"/>
            </w:pPr>
            <w:r w:rsidRPr="00E110B4">
              <w:rPr>
                <w:lang w:eastAsia="bg-BG"/>
              </w:rPr>
              <w:t>Нелекувани с нуклеозиди пациенти</w:t>
            </w:r>
          </w:p>
        </w:tc>
      </w:tr>
      <w:tr w:rsidR="00E110B4" w14:paraId="130D5F6D" w14:textId="77777777" w:rsidTr="00E110B4">
        <w:tc>
          <w:tcPr>
            <w:tcW w:w="2518" w:type="dxa"/>
            <w:vMerge/>
          </w:tcPr>
          <w:p w14:paraId="32FCC2CF" w14:textId="77777777" w:rsidR="00E110B4" w:rsidRDefault="00E110B4" w:rsidP="00E110B4"/>
        </w:tc>
        <w:tc>
          <w:tcPr>
            <w:tcW w:w="3544" w:type="dxa"/>
            <w:gridSpan w:val="2"/>
          </w:tcPr>
          <w:p w14:paraId="5F08C354" w14:textId="04341274" w:rsidR="00E110B4" w:rsidRDefault="00E110B4" w:rsidP="00E110B4">
            <w:r>
              <w:rPr>
                <w:lang w:val="en-US"/>
              </w:rPr>
              <w:t xml:space="preserve">HBeAg </w:t>
            </w:r>
            <w:r>
              <w:t>положителни (проучване 022)</w:t>
            </w:r>
          </w:p>
        </w:tc>
        <w:tc>
          <w:tcPr>
            <w:tcW w:w="3514" w:type="dxa"/>
            <w:gridSpan w:val="2"/>
          </w:tcPr>
          <w:p w14:paraId="4FC9FD75" w14:textId="5CB4B0EC" w:rsidR="00E110B4" w:rsidRDefault="00E110B4" w:rsidP="00E110B4">
            <w:r>
              <w:rPr>
                <w:lang w:val="en-US"/>
              </w:rPr>
              <w:t xml:space="preserve">HBeAg </w:t>
            </w:r>
            <w:r>
              <w:t>отрицателни (проучване 027)</w:t>
            </w:r>
          </w:p>
        </w:tc>
      </w:tr>
      <w:tr w:rsidR="00E110B4" w14:paraId="207F738F" w14:textId="77777777" w:rsidTr="00E110B4">
        <w:tc>
          <w:tcPr>
            <w:tcW w:w="2518" w:type="dxa"/>
            <w:vMerge/>
          </w:tcPr>
          <w:p w14:paraId="03129DFC" w14:textId="77777777" w:rsidR="00E110B4" w:rsidRDefault="00E110B4" w:rsidP="00E110B4"/>
        </w:tc>
        <w:tc>
          <w:tcPr>
            <w:tcW w:w="1312" w:type="dxa"/>
          </w:tcPr>
          <w:p w14:paraId="7C4387A9" w14:textId="082AB338" w:rsidR="00E110B4" w:rsidRDefault="00E110B4" w:rsidP="00E110B4">
            <w:r>
              <w:rPr>
                <w:lang w:val="en-US"/>
              </w:rPr>
              <w:t xml:space="preserve">ETV </w:t>
            </w:r>
            <w:r>
              <w:t xml:space="preserve">0,5 </w:t>
            </w:r>
            <w:r>
              <w:rPr>
                <w:lang w:val="en-US"/>
              </w:rPr>
              <w:t xml:space="preserve">mg </w:t>
            </w:r>
            <w:r>
              <w:t>веднъж</w:t>
            </w:r>
          </w:p>
        </w:tc>
        <w:tc>
          <w:tcPr>
            <w:tcW w:w="2232" w:type="dxa"/>
          </w:tcPr>
          <w:p w14:paraId="45B86AAA" w14:textId="692A1693" w:rsidR="00E110B4" w:rsidRDefault="00E110B4" w:rsidP="00E110B4">
            <w:r>
              <w:rPr>
                <w:lang w:val="en-US"/>
              </w:rPr>
              <w:t xml:space="preserve">LVD </w:t>
            </w:r>
            <w:r>
              <w:t xml:space="preserve">100 </w:t>
            </w:r>
            <w:r>
              <w:rPr>
                <w:lang w:val="en-US"/>
              </w:rPr>
              <w:t xml:space="preserve">mg </w:t>
            </w:r>
            <w:r>
              <w:t>веднъж</w:t>
            </w:r>
          </w:p>
        </w:tc>
        <w:tc>
          <w:tcPr>
            <w:tcW w:w="1598" w:type="dxa"/>
          </w:tcPr>
          <w:p w14:paraId="4EE0C782" w14:textId="0EB0FE31" w:rsidR="00E110B4" w:rsidRDefault="00E110B4" w:rsidP="00E110B4">
            <w:r>
              <w:rPr>
                <w:lang w:val="en-US"/>
              </w:rPr>
              <w:t xml:space="preserve">ETV </w:t>
            </w:r>
            <w:r>
              <w:t xml:space="preserve">0,5 </w:t>
            </w:r>
            <w:r>
              <w:rPr>
                <w:lang w:val="en-US"/>
              </w:rPr>
              <w:t xml:space="preserve">mg </w:t>
            </w:r>
            <w:r>
              <w:t>веднъж</w:t>
            </w:r>
          </w:p>
        </w:tc>
        <w:tc>
          <w:tcPr>
            <w:tcW w:w="1916" w:type="dxa"/>
          </w:tcPr>
          <w:p w14:paraId="2052B892" w14:textId="371449C9" w:rsidR="00E110B4" w:rsidRDefault="00E110B4" w:rsidP="00E110B4">
            <w:r>
              <w:rPr>
                <w:lang w:val="en-US"/>
              </w:rPr>
              <w:t xml:space="preserve">LVD </w:t>
            </w:r>
            <w:r>
              <w:t xml:space="preserve">100 </w:t>
            </w:r>
            <w:r>
              <w:rPr>
                <w:lang w:val="en-US"/>
              </w:rPr>
              <w:t xml:space="preserve">mg </w:t>
            </w:r>
            <w:r>
              <w:t>веднъж</w:t>
            </w:r>
          </w:p>
        </w:tc>
      </w:tr>
      <w:tr w:rsidR="00E110B4" w14:paraId="7F2F436F" w14:textId="77777777" w:rsidTr="00E110B4">
        <w:tc>
          <w:tcPr>
            <w:tcW w:w="2518" w:type="dxa"/>
          </w:tcPr>
          <w:p w14:paraId="54810978" w14:textId="5DECA140" w:rsidR="00E110B4" w:rsidRPr="00E110B4" w:rsidRDefault="00E110B4" w:rsidP="00E110B4">
            <w:r w:rsidRPr="00E110B4">
              <w:rPr>
                <w:szCs w:val="20"/>
                <w:lang w:val="en-US"/>
              </w:rPr>
              <w:t>n</w:t>
            </w:r>
          </w:p>
        </w:tc>
        <w:tc>
          <w:tcPr>
            <w:tcW w:w="1312" w:type="dxa"/>
          </w:tcPr>
          <w:p w14:paraId="7555163C" w14:textId="59F2F295" w:rsidR="00E110B4" w:rsidRPr="00E110B4" w:rsidRDefault="00E110B4" w:rsidP="00E110B4">
            <w:r w:rsidRPr="00E110B4">
              <w:rPr>
                <w:szCs w:val="20"/>
              </w:rPr>
              <w:t>а 314</w:t>
            </w:r>
          </w:p>
        </w:tc>
        <w:tc>
          <w:tcPr>
            <w:tcW w:w="2232" w:type="dxa"/>
          </w:tcPr>
          <w:p w14:paraId="5C42ED3D" w14:textId="58513244" w:rsidR="00E110B4" w:rsidRPr="00E110B4" w:rsidRDefault="00E110B4" w:rsidP="00E110B4">
            <w:r w:rsidRPr="00E110B4">
              <w:rPr>
                <w:szCs w:val="20"/>
              </w:rPr>
              <w:t>314</w:t>
            </w:r>
            <w:r w:rsidRPr="00E110B4">
              <w:rPr>
                <w:szCs w:val="20"/>
                <w:vertAlign w:val="superscript"/>
                <w:lang w:val="en-US"/>
              </w:rPr>
              <w:t>a</w:t>
            </w:r>
          </w:p>
        </w:tc>
        <w:tc>
          <w:tcPr>
            <w:tcW w:w="1598" w:type="dxa"/>
          </w:tcPr>
          <w:p w14:paraId="0E94174D" w14:textId="3E02495F" w:rsidR="00E110B4" w:rsidRPr="00E110B4" w:rsidRDefault="00E110B4" w:rsidP="00E110B4">
            <w:r w:rsidRPr="00E110B4">
              <w:rPr>
                <w:szCs w:val="20"/>
              </w:rPr>
              <w:t>296</w:t>
            </w:r>
            <w:r w:rsidRPr="00E110B4">
              <w:rPr>
                <w:szCs w:val="20"/>
                <w:vertAlign w:val="superscript"/>
              </w:rPr>
              <w:t>а</w:t>
            </w:r>
          </w:p>
        </w:tc>
        <w:tc>
          <w:tcPr>
            <w:tcW w:w="1916" w:type="dxa"/>
          </w:tcPr>
          <w:p w14:paraId="624EAC27" w14:textId="78C5A636" w:rsidR="00E110B4" w:rsidRPr="00E110B4" w:rsidRDefault="00E110B4" w:rsidP="00E110B4">
            <w:r w:rsidRPr="00E110B4">
              <w:rPr>
                <w:szCs w:val="20"/>
              </w:rPr>
              <w:t>287</w:t>
            </w:r>
            <w:r w:rsidRPr="00E110B4">
              <w:rPr>
                <w:szCs w:val="20"/>
                <w:vertAlign w:val="superscript"/>
              </w:rPr>
              <w:t>а</w:t>
            </w:r>
          </w:p>
        </w:tc>
      </w:tr>
      <w:tr w:rsidR="00E110B4" w14:paraId="6D08D29D" w14:textId="77777777" w:rsidTr="00E110B4">
        <w:tc>
          <w:tcPr>
            <w:tcW w:w="2518" w:type="dxa"/>
          </w:tcPr>
          <w:p w14:paraId="51866A9D" w14:textId="77777777" w:rsidR="00E110B4" w:rsidRPr="00E110B4" w:rsidRDefault="00E110B4" w:rsidP="00E110B4"/>
          <w:p w14:paraId="533AEF69" w14:textId="2CB4F2C3" w:rsidR="00E110B4" w:rsidRPr="00E110B4" w:rsidRDefault="00E110B4" w:rsidP="00E110B4">
            <w:r w:rsidRPr="00E110B4">
              <w:rPr>
                <w:szCs w:val="20"/>
              </w:rPr>
              <w:t>Хистологично подобрение</w:t>
            </w:r>
            <w:r w:rsidRPr="00E110B4">
              <w:rPr>
                <w:szCs w:val="20"/>
                <w:vertAlign w:val="superscript"/>
                <w:lang w:val="en-US"/>
              </w:rPr>
              <w:t>b</w:t>
            </w:r>
          </w:p>
        </w:tc>
        <w:tc>
          <w:tcPr>
            <w:tcW w:w="1312" w:type="dxa"/>
          </w:tcPr>
          <w:p w14:paraId="16FF732D" w14:textId="34D1E1A1" w:rsidR="00E110B4" w:rsidRPr="00E110B4" w:rsidRDefault="00E110B4" w:rsidP="00E110B4">
            <w:r w:rsidRPr="00E110B4">
              <w:rPr>
                <w:szCs w:val="20"/>
              </w:rPr>
              <w:t>72%*</w:t>
            </w:r>
          </w:p>
        </w:tc>
        <w:tc>
          <w:tcPr>
            <w:tcW w:w="2232" w:type="dxa"/>
          </w:tcPr>
          <w:p w14:paraId="60F24BA1" w14:textId="72C9BF91" w:rsidR="00E110B4" w:rsidRPr="00E110B4" w:rsidRDefault="00E110B4" w:rsidP="00E110B4">
            <w:r w:rsidRPr="00E110B4">
              <w:rPr>
                <w:szCs w:val="20"/>
              </w:rPr>
              <w:t>62%</w:t>
            </w:r>
          </w:p>
        </w:tc>
        <w:tc>
          <w:tcPr>
            <w:tcW w:w="1598" w:type="dxa"/>
          </w:tcPr>
          <w:p w14:paraId="4A4C47DD" w14:textId="40C714F6" w:rsidR="00E110B4" w:rsidRPr="00E110B4" w:rsidRDefault="00E110B4" w:rsidP="00E110B4">
            <w:r w:rsidRPr="00E110B4">
              <w:rPr>
                <w:szCs w:val="20"/>
              </w:rPr>
              <w:t>70%*</w:t>
            </w:r>
          </w:p>
        </w:tc>
        <w:tc>
          <w:tcPr>
            <w:tcW w:w="1916" w:type="dxa"/>
          </w:tcPr>
          <w:p w14:paraId="6B6DC419" w14:textId="307C01CD" w:rsidR="00E110B4" w:rsidRPr="00E110B4" w:rsidRDefault="00E110B4" w:rsidP="00E110B4">
            <w:r w:rsidRPr="00E110B4">
              <w:rPr>
                <w:szCs w:val="20"/>
                <w:u w:val="single"/>
                <w:lang w:val="en-US"/>
              </w:rPr>
              <w:t>61%</w:t>
            </w:r>
          </w:p>
        </w:tc>
      </w:tr>
      <w:tr w:rsidR="00E110B4" w14:paraId="57FAF14E" w14:textId="77777777" w:rsidTr="00E110B4">
        <w:tc>
          <w:tcPr>
            <w:tcW w:w="2518" w:type="dxa"/>
          </w:tcPr>
          <w:p w14:paraId="0684C1A8" w14:textId="205DE68C" w:rsidR="00E110B4" w:rsidRPr="00E110B4" w:rsidRDefault="00E110B4" w:rsidP="00E110B4">
            <w:r w:rsidRPr="00E110B4">
              <w:rPr>
                <w:szCs w:val="20"/>
              </w:rPr>
              <w:t xml:space="preserve">Подобрение на скора за фиброза на </w:t>
            </w:r>
            <w:r w:rsidRPr="00E110B4">
              <w:rPr>
                <w:szCs w:val="20"/>
                <w:lang w:val="en-US"/>
              </w:rPr>
              <w:t>Ishak</w:t>
            </w:r>
          </w:p>
        </w:tc>
        <w:tc>
          <w:tcPr>
            <w:tcW w:w="1312" w:type="dxa"/>
          </w:tcPr>
          <w:p w14:paraId="2E05FDCF" w14:textId="4D6250DD" w:rsidR="00E110B4" w:rsidRPr="00E110B4" w:rsidRDefault="00E110B4" w:rsidP="00E110B4">
            <w:r w:rsidRPr="00E110B4">
              <w:rPr>
                <w:szCs w:val="20"/>
              </w:rPr>
              <w:t>39%</w:t>
            </w:r>
          </w:p>
        </w:tc>
        <w:tc>
          <w:tcPr>
            <w:tcW w:w="2232" w:type="dxa"/>
          </w:tcPr>
          <w:p w14:paraId="36E6B562" w14:textId="4FC51D7A" w:rsidR="00E110B4" w:rsidRPr="00E110B4" w:rsidRDefault="00E110B4" w:rsidP="00E110B4">
            <w:r w:rsidRPr="00E110B4">
              <w:rPr>
                <w:szCs w:val="20"/>
              </w:rPr>
              <w:t>35%</w:t>
            </w:r>
          </w:p>
        </w:tc>
        <w:tc>
          <w:tcPr>
            <w:tcW w:w="1598" w:type="dxa"/>
          </w:tcPr>
          <w:p w14:paraId="4BC93982" w14:textId="5808C070" w:rsidR="00E110B4" w:rsidRPr="00E110B4" w:rsidRDefault="00E110B4" w:rsidP="00E110B4">
            <w:r w:rsidRPr="00E110B4">
              <w:rPr>
                <w:szCs w:val="20"/>
              </w:rPr>
              <w:t xml:space="preserve">36% </w:t>
            </w:r>
          </w:p>
        </w:tc>
        <w:tc>
          <w:tcPr>
            <w:tcW w:w="1916" w:type="dxa"/>
          </w:tcPr>
          <w:p w14:paraId="01AFFFF4" w14:textId="62CB70D6" w:rsidR="00E110B4" w:rsidRPr="00E110B4" w:rsidRDefault="00E110B4" w:rsidP="00E110B4">
            <w:r w:rsidRPr="00E110B4">
              <w:rPr>
                <w:szCs w:val="20"/>
                <w:lang w:val="en-US"/>
              </w:rPr>
              <w:t>38%</w:t>
            </w:r>
          </w:p>
        </w:tc>
      </w:tr>
      <w:tr w:rsidR="00E110B4" w14:paraId="6F9A5589" w14:textId="77777777" w:rsidTr="00E110B4">
        <w:tc>
          <w:tcPr>
            <w:tcW w:w="2518" w:type="dxa"/>
          </w:tcPr>
          <w:p w14:paraId="510829FC" w14:textId="773A712B" w:rsidR="00E110B4" w:rsidRPr="00E110B4" w:rsidRDefault="00E110B4" w:rsidP="00E110B4">
            <w:r w:rsidRPr="00E110B4">
              <w:rPr>
                <w:szCs w:val="20"/>
              </w:rPr>
              <w:t xml:space="preserve">Влошаване на скора за фиброза на </w:t>
            </w:r>
            <w:r w:rsidRPr="00E110B4">
              <w:rPr>
                <w:szCs w:val="20"/>
                <w:lang w:val="en-US"/>
              </w:rPr>
              <w:t>Ishak</w:t>
            </w:r>
          </w:p>
        </w:tc>
        <w:tc>
          <w:tcPr>
            <w:tcW w:w="1312" w:type="dxa"/>
          </w:tcPr>
          <w:p w14:paraId="413F8190" w14:textId="181463B4" w:rsidR="00E110B4" w:rsidRPr="00E110B4" w:rsidRDefault="00E110B4" w:rsidP="00E110B4">
            <w:r w:rsidRPr="00E110B4">
              <w:rPr>
                <w:szCs w:val="20"/>
              </w:rPr>
              <w:t>8%</w:t>
            </w:r>
          </w:p>
        </w:tc>
        <w:tc>
          <w:tcPr>
            <w:tcW w:w="2232" w:type="dxa"/>
          </w:tcPr>
          <w:p w14:paraId="3C5A430F" w14:textId="6141A537" w:rsidR="00E110B4" w:rsidRPr="00E110B4" w:rsidRDefault="00E110B4" w:rsidP="00E110B4">
            <w:r w:rsidRPr="00E110B4">
              <w:rPr>
                <w:szCs w:val="20"/>
              </w:rPr>
              <w:t>10%</w:t>
            </w:r>
          </w:p>
        </w:tc>
        <w:tc>
          <w:tcPr>
            <w:tcW w:w="1598" w:type="dxa"/>
          </w:tcPr>
          <w:p w14:paraId="6DCB76CE" w14:textId="2E6C0AFE" w:rsidR="00E110B4" w:rsidRPr="00E110B4" w:rsidRDefault="00E110B4" w:rsidP="00E110B4">
            <w:r w:rsidRPr="00E110B4">
              <w:rPr>
                <w:szCs w:val="20"/>
              </w:rPr>
              <w:t>12%</w:t>
            </w:r>
          </w:p>
        </w:tc>
        <w:tc>
          <w:tcPr>
            <w:tcW w:w="1916" w:type="dxa"/>
          </w:tcPr>
          <w:p w14:paraId="3199AD4E" w14:textId="21E88D96" w:rsidR="00E110B4" w:rsidRDefault="00E110B4" w:rsidP="00E110B4">
            <w:r>
              <w:t>15%</w:t>
            </w:r>
          </w:p>
        </w:tc>
      </w:tr>
      <w:tr w:rsidR="00E110B4" w14:paraId="40A87F4F" w14:textId="77777777" w:rsidTr="00E110B4">
        <w:tc>
          <w:tcPr>
            <w:tcW w:w="2518" w:type="dxa"/>
          </w:tcPr>
          <w:p w14:paraId="0ED05E8F" w14:textId="0B7216AA" w:rsidR="00E110B4" w:rsidRPr="00E110B4" w:rsidRDefault="00E110B4" w:rsidP="00E110B4">
            <w:r w:rsidRPr="00E110B4">
              <w:rPr>
                <w:rFonts w:cs="Arial"/>
                <w:lang w:val="en-US"/>
              </w:rPr>
              <w:t>n</w:t>
            </w:r>
          </w:p>
        </w:tc>
        <w:tc>
          <w:tcPr>
            <w:tcW w:w="1312" w:type="dxa"/>
          </w:tcPr>
          <w:p w14:paraId="6AC85C1A" w14:textId="32DC35F3" w:rsidR="00E110B4" w:rsidRPr="00E110B4" w:rsidRDefault="00E110B4" w:rsidP="00E110B4">
            <w:r w:rsidRPr="00E110B4">
              <w:t>354</w:t>
            </w:r>
          </w:p>
        </w:tc>
        <w:tc>
          <w:tcPr>
            <w:tcW w:w="2232" w:type="dxa"/>
          </w:tcPr>
          <w:p w14:paraId="23824E94" w14:textId="450E7BFA" w:rsidR="00E110B4" w:rsidRPr="00E110B4" w:rsidRDefault="00E110B4" w:rsidP="00E110B4">
            <w:r w:rsidRPr="00E110B4">
              <w:t>355</w:t>
            </w:r>
          </w:p>
        </w:tc>
        <w:tc>
          <w:tcPr>
            <w:tcW w:w="1598" w:type="dxa"/>
          </w:tcPr>
          <w:p w14:paraId="590D446D" w14:textId="57B6F159" w:rsidR="00E110B4" w:rsidRPr="00E110B4" w:rsidRDefault="00E110B4" w:rsidP="00E110B4">
            <w:r w:rsidRPr="00E110B4">
              <w:t>325</w:t>
            </w:r>
          </w:p>
        </w:tc>
        <w:tc>
          <w:tcPr>
            <w:tcW w:w="1916" w:type="dxa"/>
          </w:tcPr>
          <w:p w14:paraId="6D07006E" w14:textId="2055C0C5" w:rsidR="00E110B4" w:rsidRPr="00E110B4" w:rsidRDefault="00E110B4" w:rsidP="00E110B4">
            <w:r w:rsidRPr="00E110B4">
              <w:t>313</w:t>
            </w:r>
          </w:p>
        </w:tc>
      </w:tr>
      <w:tr w:rsidR="00E110B4" w14:paraId="54C928BE" w14:textId="77777777" w:rsidTr="00E110B4">
        <w:tc>
          <w:tcPr>
            <w:tcW w:w="2518" w:type="dxa"/>
          </w:tcPr>
          <w:p w14:paraId="1B28E393" w14:textId="14D10C74" w:rsidR="00E110B4" w:rsidRPr="00E110B4" w:rsidRDefault="00E110B4" w:rsidP="00E110B4">
            <w:r w:rsidRPr="00E110B4">
              <w:t xml:space="preserve">Намаляване на вирусния товар </w:t>
            </w:r>
            <w:r w:rsidRPr="00E110B4">
              <w:rPr>
                <w:lang w:val="ru-RU"/>
              </w:rPr>
              <w:t>(</w:t>
            </w:r>
            <w:r w:rsidRPr="00E110B4">
              <w:rPr>
                <w:lang w:val="en-US"/>
              </w:rPr>
              <w:t>log</w:t>
            </w:r>
            <w:r w:rsidRPr="00E110B4">
              <w:rPr>
                <w:vertAlign w:val="subscript"/>
                <w:lang w:val="ru-RU"/>
              </w:rPr>
              <w:t xml:space="preserve">10 </w:t>
            </w:r>
            <w:r w:rsidRPr="00E110B4">
              <w:t>копия</w:t>
            </w:r>
            <w:r w:rsidRPr="00E110B4">
              <w:rPr>
                <w:lang w:val="ru-RU"/>
              </w:rPr>
              <w:t>/</w:t>
            </w:r>
            <w:r w:rsidRPr="00E110B4">
              <w:rPr>
                <w:lang w:val="en-US"/>
              </w:rPr>
              <w:t>ml</w:t>
            </w:r>
            <w:r w:rsidRPr="00E110B4">
              <w:rPr>
                <w:lang w:val="ru-RU"/>
              </w:rPr>
              <w:t>)</w:t>
            </w:r>
            <w:r w:rsidRPr="00E110B4">
              <w:rPr>
                <w:vertAlign w:val="superscript"/>
                <w:lang w:val="en-US"/>
              </w:rPr>
              <w:t>c</w:t>
            </w:r>
          </w:p>
        </w:tc>
        <w:tc>
          <w:tcPr>
            <w:tcW w:w="1312" w:type="dxa"/>
          </w:tcPr>
          <w:p w14:paraId="0AAF4B22" w14:textId="32D76B2C" w:rsidR="00E110B4" w:rsidRPr="00E110B4" w:rsidRDefault="00E110B4" w:rsidP="00E110B4">
            <w:r w:rsidRPr="00E110B4">
              <w:t>-6,86*</w:t>
            </w:r>
          </w:p>
        </w:tc>
        <w:tc>
          <w:tcPr>
            <w:tcW w:w="2232" w:type="dxa"/>
          </w:tcPr>
          <w:p w14:paraId="01E20AD5" w14:textId="0D375732" w:rsidR="00E110B4" w:rsidRPr="00E110B4" w:rsidRDefault="00E110B4" w:rsidP="00E110B4">
            <w:r w:rsidRPr="00E110B4">
              <w:t>-5,39</w:t>
            </w:r>
          </w:p>
        </w:tc>
        <w:tc>
          <w:tcPr>
            <w:tcW w:w="1598" w:type="dxa"/>
          </w:tcPr>
          <w:p w14:paraId="57C638B0" w14:textId="1F18D555" w:rsidR="00E110B4" w:rsidRPr="00E110B4" w:rsidRDefault="00E110B4" w:rsidP="00E110B4">
            <w:r w:rsidRPr="00E110B4">
              <w:t>-5,04*</w:t>
            </w:r>
          </w:p>
        </w:tc>
        <w:tc>
          <w:tcPr>
            <w:tcW w:w="1916" w:type="dxa"/>
          </w:tcPr>
          <w:p w14:paraId="6A799154" w14:textId="16BCF240" w:rsidR="00E110B4" w:rsidRPr="00E110B4" w:rsidRDefault="00E110B4" w:rsidP="00E110B4">
            <w:r w:rsidRPr="00E110B4">
              <w:t>-4,53</w:t>
            </w:r>
          </w:p>
        </w:tc>
      </w:tr>
      <w:tr w:rsidR="00E110B4" w14:paraId="33E9ED9C" w14:textId="77777777" w:rsidTr="00E110B4">
        <w:tc>
          <w:tcPr>
            <w:tcW w:w="2518" w:type="dxa"/>
          </w:tcPr>
          <w:p w14:paraId="69A648F4" w14:textId="77777777" w:rsidR="00E110B4" w:rsidRPr="00E110B4" w:rsidRDefault="00E110B4" w:rsidP="00E110B4">
            <w:r w:rsidRPr="00E110B4">
              <w:t xml:space="preserve">Неустановима </w:t>
            </w:r>
            <w:r w:rsidRPr="00E110B4">
              <w:rPr>
                <w:lang w:val="en-US"/>
              </w:rPr>
              <w:t>HBV</w:t>
            </w:r>
            <w:r w:rsidRPr="00E110B4">
              <w:rPr>
                <w:lang w:val="ru-RU"/>
              </w:rPr>
              <w:t xml:space="preserve"> </w:t>
            </w:r>
            <w:r w:rsidRPr="00E110B4">
              <w:t>ДНК (&lt; 300</w:t>
            </w:r>
          </w:p>
          <w:p w14:paraId="2B49B253" w14:textId="77777777" w:rsidR="00E110B4" w:rsidRPr="00E110B4" w:rsidRDefault="00E110B4" w:rsidP="00E110B4"/>
          <w:p w14:paraId="442CEA13" w14:textId="454AF364" w:rsidR="00E110B4" w:rsidRPr="00E110B4" w:rsidRDefault="00E110B4" w:rsidP="00E110B4">
            <w:r w:rsidRPr="00E110B4">
              <w:t>копия</w:t>
            </w:r>
            <w:r w:rsidRPr="00E110B4">
              <w:rPr>
                <w:lang w:val="ru-RU"/>
              </w:rPr>
              <w:t>/</w:t>
            </w:r>
            <w:r w:rsidRPr="00E110B4">
              <w:rPr>
                <w:lang w:val="en-US"/>
              </w:rPr>
              <w:t>ml</w:t>
            </w:r>
            <w:r w:rsidRPr="00E110B4">
              <w:rPr>
                <w:lang w:val="ru-RU"/>
              </w:rPr>
              <w:t xml:space="preserve"> </w:t>
            </w:r>
            <w:r w:rsidRPr="00E110B4">
              <w:t xml:space="preserve">чрез </w:t>
            </w:r>
            <w:r w:rsidRPr="00E110B4">
              <w:rPr>
                <w:lang w:val="en-US"/>
              </w:rPr>
              <w:t>PCR</w:t>
            </w:r>
            <w:r w:rsidRPr="00E110B4">
              <w:rPr>
                <w:lang w:val="ru-RU"/>
              </w:rPr>
              <w:t>)</w:t>
            </w:r>
            <w:r w:rsidRPr="00E110B4">
              <w:rPr>
                <w:vertAlign w:val="superscript"/>
                <w:lang w:val="en-US"/>
              </w:rPr>
              <w:t>c</w:t>
            </w:r>
          </w:p>
        </w:tc>
        <w:tc>
          <w:tcPr>
            <w:tcW w:w="1312" w:type="dxa"/>
          </w:tcPr>
          <w:p w14:paraId="0A1CA7B5" w14:textId="676829FA" w:rsidR="00E110B4" w:rsidRPr="00E110B4" w:rsidRDefault="00E110B4" w:rsidP="00E110B4">
            <w:r w:rsidRPr="00E110B4">
              <w:t>67%*</w:t>
            </w:r>
          </w:p>
        </w:tc>
        <w:tc>
          <w:tcPr>
            <w:tcW w:w="2232" w:type="dxa"/>
          </w:tcPr>
          <w:p w14:paraId="085A8534" w14:textId="221F562E" w:rsidR="00E110B4" w:rsidRPr="00E110B4" w:rsidRDefault="00E110B4" w:rsidP="00E110B4">
            <w:r w:rsidRPr="00E110B4">
              <w:t>36%</w:t>
            </w:r>
          </w:p>
        </w:tc>
        <w:tc>
          <w:tcPr>
            <w:tcW w:w="1598" w:type="dxa"/>
          </w:tcPr>
          <w:p w14:paraId="13B4C315" w14:textId="2739EDF1" w:rsidR="00E110B4" w:rsidRPr="00E110B4" w:rsidRDefault="00E110B4" w:rsidP="00E110B4">
            <w:r w:rsidRPr="00E110B4">
              <w:t>90%*</w:t>
            </w:r>
          </w:p>
        </w:tc>
        <w:tc>
          <w:tcPr>
            <w:tcW w:w="1916" w:type="dxa"/>
          </w:tcPr>
          <w:p w14:paraId="18ACB008" w14:textId="7469F81C" w:rsidR="00E110B4" w:rsidRPr="00E110B4" w:rsidRDefault="00E110B4" w:rsidP="00E110B4">
            <w:r w:rsidRPr="00E110B4">
              <w:t>72%</w:t>
            </w:r>
          </w:p>
        </w:tc>
      </w:tr>
      <w:tr w:rsidR="00E110B4" w14:paraId="3FE347B3" w14:textId="77777777" w:rsidTr="00E110B4">
        <w:tc>
          <w:tcPr>
            <w:tcW w:w="2518" w:type="dxa"/>
          </w:tcPr>
          <w:p w14:paraId="304D572F" w14:textId="206047E7" w:rsidR="00E110B4" w:rsidRPr="00E110B4" w:rsidRDefault="00E110B4" w:rsidP="00E110B4">
            <w:r w:rsidRPr="00E110B4">
              <w:t xml:space="preserve">Нормализиране на </w:t>
            </w:r>
            <w:r w:rsidRPr="00E110B4">
              <w:rPr>
                <w:lang w:val="en-US"/>
              </w:rPr>
              <w:t>ALT</w:t>
            </w:r>
            <w:r w:rsidRPr="00E110B4">
              <w:rPr>
                <w:lang w:val="ru-RU"/>
              </w:rPr>
              <w:t xml:space="preserve"> </w:t>
            </w:r>
            <w:r w:rsidRPr="00E110B4">
              <w:t xml:space="preserve">(≤1 пъти спрямо </w:t>
            </w:r>
            <w:r w:rsidRPr="00E110B4">
              <w:rPr>
                <w:lang w:val="en-US"/>
              </w:rPr>
              <w:t>ULN</w:t>
            </w:r>
            <w:r w:rsidRPr="00E110B4">
              <w:rPr>
                <w:lang w:val="ru-RU"/>
              </w:rPr>
              <w:t>)</w:t>
            </w:r>
          </w:p>
        </w:tc>
        <w:tc>
          <w:tcPr>
            <w:tcW w:w="1312" w:type="dxa"/>
          </w:tcPr>
          <w:p w14:paraId="221673ED" w14:textId="28B33AF7" w:rsidR="00E110B4" w:rsidRPr="00E110B4" w:rsidRDefault="00E110B4" w:rsidP="00E110B4">
            <w:r w:rsidRPr="00E110B4">
              <w:t>68%*</w:t>
            </w:r>
          </w:p>
        </w:tc>
        <w:tc>
          <w:tcPr>
            <w:tcW w:w="2232" w:type="dxa"/>
          </w:tcPr>
          <w:p w14:paraId="526A1A5F" w14:textId="7EE9EB98" w:rsidR="00E110B4" w:rsidRPr="00E110B4" w:rsidRDefault="00E110B4" w:rsidP="00E110B4">
            <w:r w:rsidRPr="00E110B4">
              <w:t>60%</w:t>
            </w:r>
          </w:p>
        </w:tc>
        <w:tc>
          <w:tcPr>
            <w:tcW w:w="1598" w:type="dxa"/>
          </w:tcPr>
          <w:p w14:paraId="4B828F18" w14:textId="6F002C90" w:rsidR="00E110B4" w:rsidRPr="00E110B4" w:rsidRDefault="00E110B4" w:rsidP="00E110B4">
            <w:r w:rsidRPr="00E110B4">
              <w:t>78%*</w:t>
            </w:r>
          </w:p>
        </w:tc>
        <w:tc>
          <w:tcPr>
            <w:tcW w:w="1916" w:type="dxa"/>
          </w:tcPr>
          <w:p w14:paraId="6AB86ABA" w14:textId="74BA8460" w:rsidR="00E110B4" w:rsidRPr="00E110B4" w:rsidRDefault="00E110B4" w:rsidP="00E110B4">
            <w:r w:rsidRPr="00E110B4">
              <w:t>71%</w:t>
            </w:r>
          </w:p>
        </w:tc>
      </w:tr>
      <w:tr w:rsidR="00E110B4" w14:paraId="6C213EFA" w14:textId="77777777" w:rsidTr="00E110B4">
        <w:tc>
          <w:tcPr>
            <w:tcW w:w="2518" w:type="dxa"/>
          </w:tcPr>
          <w:p w14:paraId="0D42679C" w14:textId="68AC39A4" w:rsidR="00E110B4" w:rsidRPr="00E110B4" w:rsidRDefault="00E110B4" w:rsidP="00E110B4">
            <w:r w:rsidRPr="00E110B4">
              <w:rPr>
                <w:szCs w:val="20"/>
                <w:lang w:val="en-US"/>
              </w:rPr>
              <w:lastRenderedPageBreak/>
              <w:t xml:space="preserve">HBeAg </w:t>
            </w:r>
            <w:r w:rsidRPr="00E110B4">
              <w:rPr>
                <w:szCs w:val="20"/>
              </w:rPr>
              <w:t>сероконверсия</w:t>
            </w:r>
          </w:p>
        </w:tc>
        <w:tc>
          <w:tcPr>
            <w:tcW w:w="1312" w:type="dxa"/>
          </w:tcPr>
          <w:p w14:paraId="478D8D62" w14:textId="322C4077" w:rsidR="00E110B4" w:rsidRPr="00E110B4" w:rsidRDefault="00E110B4" w:rsidP="00E110B4">
            <w:r w:rsidRPr="00E110B4">
              <w:rPr>
                <w:szCs w:val="20"/>
              </w:rPr>
              <w:t>21%</w:t>
            </w:r>
          </w:p>
        </w:tc>
        <w:tc>
          <w:tcPr>
            <w:tcW w:w="2232" w:type="dxa"/>
          </w:tcPr>
          <w:p w14:paraId="1C75CDE8" w14:textId="66B1E0AE" w:rsidR="00E110B4" w:rsidRPr="00E110B4" w:rsidRDefault="00E110B4" w:rsidP="00E110B4">
            <w:r w:rsidRPr="00E110B4">
              <w:rPr>
                <w:szCs w:val="20"/>
              </w:rPr>
              <w:t>18%</w:t>
            </w:r>
          </w:p>
        </w:tc>
        <w:tc>
          <w:tcPr>
            <w:tcW w:w="1598" w:type="dxa"/>
          </w:tcPr>
          <w:p w14:paraId="6E6906EF" w14:textId="77777777" w:rsidR="00E110B4" w:rsidRDefault="00E110B4" w:rsidP="00E110B4"/>
        </w:tc>
        <w:tc>
          <w:tcPr>
            <w:tcW w:w="1916" w:type="dxa"/>
          </w:tcPr>
          <w:p w14:paraId="4E3BEDDE" w14:textId="77777777" w:rsidR="00E110B4" w:rsidRDefault="00E110B4" w:rsidP="00E110B4"/>
        </w:tc>
      </w:tr>
    </w:tbl>
    <w:p w14:paraId="27D8EE20" w14:textId="77777777" w:rsidR="00E110B4" w:rsidRPr="00E110B4" w:rsidRDefault="00E110B4" w:rsidP="00E110B4">
      <w:pPr>
        <w:spacing w:line="240" w:lineRule="auto"/>
        <w:rPr>
          <w:rFonts w:eastAsia="Times New Roman" w:cs="Arial"/>
        </w:rPr>
      </w:pPr>
      <w:r w:rsidRPr="00E110B4">
        <w:rPr>
          <w:rFonts w:eastAsia="Times New Roman" w:cs="Arial"/>
          <w:color w:val="000000"/>
          <w:lang w:eastAsia="bg-BG"/>
        </w:rPr>
        <w:t>*р стойност спрямо ламивудин &lt; 0,05</w:t>
      </w:r>
    </w:p>
    <w:p w14:paraId="18A3B823" w14:textId="77777777" w:rsidR="00E110B4" w:rsidRDefault="00E110B4" w:rsidP="00E110B4">
      <w:pPr>
        <w:spacing w:line="240" w:lineRule="auto"/>
        <w:rPr>
          <w:rFonts w:eastAsia="Times New Roman" w:cs="Arial"/>
          <w:color w:val="000000"/>
          <w:lang w:eastAsia="bg-BG"/>
        </w:rPr>
      </w:pPr>
      <w:proofErr w:type="gramStart"/>
      <w:r w:rsidRPr="00E110B4">
        <w:rPr>
          <w:rFonts w:eastAsia="Times New Roman" w:cs="Arial"/>
          <w:color w:val="000000"/>
          <w:vertAlign w:val="superscript"/>
          <w:lang w:val="en-US"/>
        </w:rPr>
        <w:t>a</w:t>
      </w:r>
      <w:r w:rsidRPr="00E110B4">
        <w:rPr>
          <w:rFonts w:eastAsia="Times New Roman" w:cs="Arial"/>
          <w:color w:val="000000"/>
          <w:lang w:eastAsia="bg-BG"/>
        </w:rPr>
        <w:t>пациенти</w:t>
      </w:r>
      <w:proofErr w:type="gramEnd"/>
      <w:r w:rsidRPr="00E110B4">
        <w:rPr>
          <w:rFonts w:eastAsia="Times New Roman" w:cs="Arial"/>
          <w:color w:val="000000"/>
          <w:lang w:eastAsia="bg-BG"/>
        </w:rPr>
        <w:t xml:space="preserve">, при които е направена изходна хистологична оценка (изходен некро-възпалителен скор на Кнодел ≥ 2) </w:t>
      </w:r>
    </w:p>
    <w:p w14:paraId="48340EA7" w14:textId="23FF6A74" w:rsidR="00E110B4" w:rsidRPr="00E110B4" w:rsidRDefault="00E110B4" w:rsidP="00E110B4">
      <w:pPr>
        <w:spacing w:line="240" w:lineRule="auto"/>
        <w:rPr>
          <w:rFonts w:eastAsia="Times New Roman" w:cs="Arial"/>
        </w:rPr>
      </w:pPr>
      <w:proofErr w:type="gramStart"/>
      <w:r w:rsidRPr="00E110B4">
        <w:rPr>
          <w:rFonts w:eastAsia="Times New Roman" w:cs="Arial"/>
          <w:color w:val="000000"/>
          <w:vertAlign w:val="superscript"/>
          <w:lang w:val="en-US"/>
        </w:rPr>
        <w:t>b</w:t>
      </w:r>
      <w:r w:rsidRPr="00E110B4">
        <w:rPr>
          <w:rFonts w:eastAsia="Times New Roman" w:cs="Arial"/>
          <w:color w:val="000000"/>
          <w:lang w:eastAsia="bg-BG"/>
        </w:rPr>
        <w:t>първична</w:t>
      </w:r>
      <w:proofErr w:type="gramEnd"/>
      <w:r w:rsidRPr="00E110B4">
        <w:rPr>
          <w:rFonts w:eastAsia="Times New Roman" w:cs="Arial"/>
          <w:color w:val="000000"/>
          <w:lang w:eastAsia="bg-BG"/>
        </w:rPr>
        <w:t xml:space="preserve"> крайна точка</w:t>
      </w:r>
    </w:p>
    <w:p w14:paraId="1022EC05" w14:textId="77777777" w:rsidR="00E110B4" w:rsidRPr="00E110B4" w:rsidRDefault="00E110B4" w:rsidP="00E110B4">
      <w:pPr>
        <w:spacing w:line="240" w:lineRule="auto"/>
        <w:rPr>
          <w:rFonts w:eastAsia="Times New Roman" w:cs="Arial"/>
        </w:rPr>
      </w:pPr>
      <w:proofErr w:type="gramStart"/>
      <w:r w:rsidRPr="00E110B4">
        <w:rPr>
          <w:rFonts w:eastAsia="Times New Roman" w:cs="Arial"/>
          <w:color w:val="000000"/>
          <w:vertAlign w:val="superscript"/>
          <w:lang w:val="en-US"/>
        </w:rPr>
        <w:t>c</w:t>
      </w:r>
      <w:r w:rsidRPr="00E110B4">
        <w:rPr>
          <w:rFonts w:eastAsia="Times New Roman" w:cs="Arial"/>
          <w:color w:val="000000"/>
          <w:lang w:val="en-US"/>
        </w:rPr>
        <w:t>Roche</w:t>
      </w:r>
      <w:proofErr w:type="gramEnd"/>
      <w:r w:rsidRPr="00E110B4">
        <w:rPr>
          <w:rFonts w:eastAsia="Times New Roman" w:cs="Arial"/>
          <w:color w:val="000000"/>
        </w:rPr>
        <w:t xml:space="preserve"> </w:t>
      </w:r>
      <w:r w:rsidRPr="00E110B4">
        <w:rPr>
          <w:rFonts w:eastAsia="Times New Roman" w:cs="Arial"/>
          <w:color w:val="000000"/>
          <w:lang w:val="en-US"/>
        </w:rPr>
        <w:t>Cobas</w:t>
      </w:r>
      <w:r w:rsidRPr="00E110B4">
        <w:rPr>
          <w:rFonts w:eastAsia="Times New Roman" w:cs="Arial"/>
          <w:color w:val="000000"/>
        </w:rPr>
        <w:t xml:space="preserve"> </w:t>
      </w:r>
      <w:r w:rsidRPr="00E110B4">
        <w:rPr>
          <w:rFonts w:eastAsia="Times New Roman" w:cs="Arial"/>
          <w:color w:val="000000"/>
          <w:lang w:val="en-US"/>
        </w:rPr>
        <w:t>Amplicor</w:t>
      </w:r>
      <w:r w:rsidRPr="00E110B4">
        <w:rPr>
          <w:rFonts w:eastAsia="Times New Roman" w:cs="Arial"/>
          <w:color w:val="000000"/>
        </w:rPr>
        <w:t xml:space="preserve"> </w:t>
      </w:r>
      <w:r w:rsidRPr="00E110B4">
        <w:rPr>
          <w:rFonts w:eastAsia="Times New Roman" w:cs="Arial"/>
          <w:color w:val="000000"/>
          <w:lang w:val="en-US"/>
        </w:rPr>
        <w:t>PCR</w:t>
      </w:r>
      <w:r w:rsidRPr="00E110B4">
        <w:rPr>
          <w:rFonts w:eastAsia="Times New Roman" w:cs="Arial"/>
          <w:color w:val="000000"/>
        </w:rPr>
        <w:t xml:space="preserve"> </w:t>
      </w:r>
      <w:r w:rsidRPr="00E110B4">
        <w:rPr>
          <w:rFonts w:eastAsia="Times New Roman" w:cs="Arial"/>
          <w:color w:val="000000"/>
          <w:lang w:eastAsia="bg-BG"/>
        </w:rPr>
        <w:t xml:space="preserve">анализ </w:t>
      </w:r>
      <w:r w:rsidRPr="00E110B4">
        <w:rPr>
          <w:rFonts w:eastAsia="Times New Roman" w:cs="Arial"/>
          <w:color w:val="000000"/>
        </w:rPr>
        <w:t>(</w:t>
      </w:r>
      <w:r w:rsidRPr="00E110B4">
        <w:rPr>
          <w:rFonts w:eastAsia="Times New Roman" w:cs="Arial"/>
          <w:color w:val="000000"/>
          <w:lang w:val="en-US"/>
        </w:rPr>
        <w:t>LLOQ</w:t>
      </w:r>
      <w:r w:rsidRPr="00E110B4">
        <w:rPr>
          <w:rFonts w:eastAsia="Times New Roman" w:cs="Arial"/>
          <w:color w:val="000000"/>
        </w:rPr>
        <w:t xml:space="preserve"> = 300 </w:t>
      </w:r>
      <w:r w:rsidRPr="00E110B4">
        <w:rPr>
          <w:rFonts w:eastAsia="Times New Roman" w:cs="Arial"/>
          <w:color w:val="000000"/>
          <w:lang w:eastAsia="bg-BG"/>
        </w:rPr>
        <w:t>копия</w:t>
      </w:r>
      <w:r w:rsidRPr="00E110B4">
        <w:rPr>
          <w:rFonts w:eastAsia="Times New Roman" w:cs="Arial"/>
          <w:color w:val="000000"/>
        </w:rPr>
        <w:t>/</w:t>
      </w:r>
      <w:r w:rsidRPr="00E110B4">
        <w:rPr>
          <w:rFonts w:eastAsia="Times New Roman" w:cs="Arial"/>
          <w:color w:val="000000"/>
          <w:lang w:val="en-US"/>
        </w:rPr>
        <w:t>ml</w:t>
      </w:r>
      <w:r w:rsidRPr="00E110B4">
        <w:rPr>
          <w:rFonts w:eastAsia="Times New Roman" w:cs="Arial"/>
          <w:color w:val="000000"/>
        </w:rPr>
        <w:t>)</w:t>
      </w:r>
    </w:p>
    <w:p w14:paraId="6EDBBFC0" w14:textId="77777777" w:rsidR="00E110B4" w:rsidRPr="00E110B4" w:rsidRDefault="00E110B4" w:rsidP="00E110B4">
      <w:pPr>
        <w:spacing w:line="240" w:lineRule="auto"/>
        <w:rPr>
          <w:rFonts w:eastAsia="Times New Roman" w:cs="Arial"/>
          <w:i/>
          <w:iCs/>
          <w:color w:val="000000"/>
          <w:u w:val="single"/>
          <w:lang w:eastAsia="bg-BG"/>
        </w:rPr>
      </w:pPr>
    </w:p>
    <w:p w14:paraId="26C53D02" w14:textId="77C22A40" w:rsidR="00E110B4" w:rsidRPr="00E110B4" w:rsidRDefault="00E110B4" w:rsidP="00E110B4">
      <w:pPr>
        <w:spacing w:line="240" w:lineRule="auto"/>
        <w:rPr>
          <w:rFonts w:eastAsia="Times New Roman" w:cs="Arial"/>
        </w:rPr>
      </w:pPr>
      <w:r w:rsidRPr="00E110B4">
        <w:rPr>
          <w:rFonts w:eastAsia="Times New Roman" w:cs="Arial"/>
          <w:i/>
          <w:iCs/>
          <w:color w:val="000000"/>
          <w:u w:val="single"/>
          <w:lang w:eastAsia="bg-BG"/>
        </w:rPr>
        <w:t xml:space="preserve">Опит при ламивудин-рефрактерни пациенти с компенсирано чернодробно заболяване: </w:t>
      </w:r>
      <w:r w:rsidRPr="00E110B4">
        <w:rPr>
          <w:rFonts w:eastAsia="Times New Roman" w:cs="Arial"/>
          <w:color w:val="000000"/>
          <w:lang w:eastAsia="bg-BG"/>
        </w:rPr>
        <w:t xml:space="preserve">В рандомизирано, двойно-сляпо проучване при </w:t>
      </w:r>
      <w:r w:rsidRPr="00E110B4">
        <w:rPr>
          <w:rFonts w:eastAsia="Times New Roman" w:cs="Arial"/>
          <w:color w:val="000000"/>
          <w:lang w:val="en-US"/>
        </w:rPr>
        <w:t>HBeAg</w:t>
      </w:r>
      <w:r w:rsidRPr="00E110B4">
        <w:rPr>
          <w:rFonts w:eastAsia="Times New Roman" w:cs="Arial"/>
          <w:color w:val="000000"/>
          <w:lang w:val="ru-RU"/>
        </w:rPr>
        <w:t xml:space="preserve"> </w:t>
      </w:r>
      <w:r w:rsidRPr="00E110B4">
        <w:rPr>
          <w:rFonts w:eastAsia="Times New Roman" w:cs="Arial"/>
          <w:color w:val="000000"/>
          <w:lang w:eastAsia="bg-BG"/>
        </w:rPr>
        <w:t xml:space="preserve">положителни ламивудин- рефрактерни пациенти (026), 85% от които са с </w:t>
      </w:r>
      <w:r w:rsidRPr="00E110B4">
        <w:rPr>
          <w:rFonts w:eastAsia="Times New Roman" w:cs="Arial"/>
          <w:color w:val="000000"/>
          <w:lang w:val="en-US"/>
        </w:rPr>
        <w:t>LVDr</w:t>
      </w:r>
      <w:r w:rsidRPr="00E110B4">
        <w:rPr>
          <w:rFonts w:eastAsia="Times New Roman" w:cs="Arial"/>
          <w:color w:val="000000"/>
          <w:lang w:val="ru-RU"/>
        </w:rPr>
        <w:t xml:space="preserve"> </w:t>
      </w:r>
      <w:r w:rsidRPr="00E110B4">
        <w:rPr>
          <w:rFonts w:eastAsia="Times New Roman" w:cs="Arial"/>
          <w:color w:val="000000"/>
          <w:lang w:eastAsia="bg-BG"/>
        </w:rPr>
        <w:t xml:space="preserve">мутации на изходно ниво, пациентите, приемали ламивудин при включване в проучването, или са преминали на ентекавир по 1 </w:t>
      </w:r>
      <w:r w:rsidRPr="00E110B4">
        <w:rPr>
          <w:rFonts w:eastAsia="Times New Roman" w:cs="Arial"/>
          <w:color w:val="000000"/>
          <w:lang w:val="en-US"/>
        </w:rPr>
        <w:t>mg</w:t>
      </w:r>
      <w:r w:rsidRPr="00E110B4">
        <w:rPr>
          <w:rFonts w:eastAsia="Times New Roman" w:cs="Arial"/>
          <w:color w:val="000000"/>
          <w:lang w:val="ru-RU"/>
        </w:rPr>
        <w:t xml:space="preserve"> </w:t>
      </w:r>
      <w:r w:rsidRPr="00E110B4">
        <w:rPr>
          <w:rFonts w:eastAsia="Times New Roman" w:cs="Arial"/>
          <w:color w:val="000000"/>
          <w:lang w:eastAsia="bg-BG"/>
        </w:rPr>
        <w:t>веднъж дневно без период на очистване или застъпване (</w:t>
      </w:r>
      <w:r w:rsidRPr="00E110B4">
        <w:rPr>
          <w:rFonts w:eastAsia="Times New Roman" w:cs="Arial"/>
          <w:color w:val="000000"/>
          <w:lang w:val="en-US"/>
        </w:rPr>
        <w:t>n</w:t>
      </w:r>
      <w:r w:rsidRPr="00E110B4">
        <w:rPr>
          <w:rFonts w:eastAsia="Times New Roman" w:cs="Arial"/>
          <w:color w:val="000000"/>
          <w:lang w:eastAsia="bg-BG"/>
        </w:rPr>
        <w:t xml:space="preserve"> = 141), или са продължили приема на ламивудин по 100 </w:t>
      </w:r>
      <w:r w:rsidRPr="00E110B4">
        <w:rPr>
          <w:rFonts w:eastAsia="Times New Roman" w:cs="Arial"/>
          <w:color w:val="000000"/>
          <w:lang w:val="en-US"/>
        </w:rPr>
        <w:t>mg</w:t>
      </w:r>
      <w:r w:rsidRPr="00E110B4">
        <w:rPr>
          <w:rFonts w:eastAsia="Times New Roman" w:cs="Arial"/>
          <w:color w:val="000000"/>
          <w:lang w:val="ru-RU"/>
        </w:rPr>
        <w:t xml:space="preserve"> </w:t>
      </w:r>
      <w:r w:rsidRPr="00E110B4">
        <w:rPr>
          <w:rFonts w:eastAsia="Times New Roman" w:cs="Arial"/>
          <w:color w:val="000000"/>
          <w:lang w:eastAsia="bg-BG"/>
        </w:rPr>
        <w:t>веднъж дневно (</w:t>
      </w:r>
      <w:r w:rsidRPr="00E110B4">
        <w:rPr>
          <w:rFonts w:eastAsia="Times New Roman" w:cs="Arial"/>
          <w:color w:val="000000"/>
          <w:lang w:val="en-US"/>
        </w:rPr>
        <w:t>n</w:t>
      </w:r>
      <w:r w:rsidRPr="00E110B4">
        <w:rPr>
          <w:rFonts w:eastAsia="Times New Roman" w:cs="Arial"/>
          <w:color w:val="000000"/>
          <w:lang w:eastAsia="bg-BG"/>
        </w:rPr>
        <w:t xml:space="preserve"> = 145). В таблицата по- долу са представени резултатите от 48-седмичния период.</w:t>
      </w:r>
    </w:p>
    <w:p w14:paraId="5AA77CBD" w14:textId="5BDBE1F1" w:rsidR="00E110B4" w:rsidRDefault="00E110B4" w:rsidP="00775E52"/>
    <w:tbl>
      <w:tblPr>
        <w:tblStyle w:val="TableGrid"/>
        <w:tblW w:w="0" w:type="auto"/>
        <w:tblLook w:val="04A0" w:firstRow="1" w:lastRow="0" w:firstColumn="1" w:lastColumn="0" w:noHBand="0" w:noVBand="1"/>
      </w:tblPr>
      <w:tblGrid>
        <w:gridCol w:w="3140"/>
        <w:gridCol w:w="3105"/>
        <w:gridCol w:w="3105"/>
      </w:tblGrid>
      <w:tr w:rsidR="00E110B4" w14:paraId="2A61D2C3" w14:textId="77777777" w:rsidTr="00E110B4">
        <w:tc>
          <w:tcPr>
            <w:tcW w:w="3192" w:type="dxa"/>
            <w:vMerge w:val="restart"/>
          </w:tcPr>
          <w:p w14:paraId="7B7A77B2" w14:textId="77777777" w:rsidR="00E110B4" w:rsidRPr="00E110B4" w:rsidRDefault="00E110B4" w:rsidP="00E110B4"/>
        </w:tc>
        <w:tc>
          <w:tcPr>
            <w:tcW w:w="6384" w:type="dxa"/>
            <w:gridSpan w:val="2"/>
          </w:tcPr>
          <w:p w14:paraId="03B74F17" w14:textId="4BC9C8F5" w:rsidR="00E110B4" w:rsidRPr="00E110B4" w:rsidRDefault="00E110B4" w:rsidP="00E110B4">
            <w:r w:rsidRPr="00E110B4">
              <w:rPr>
                <w:szCs w:val="20"/>
              </w:rPr>
              <w:t>Ламивудин-рефрактерни пациенти</w:t>
            </w:r>
          </w:p>
        </w:tc>
      </w:tr>
      <w:tr w:rsidR="00E110B4" w14:paraId="7CAFE2B3" w14:textId="77777777" w:rsidTr="00E110B4">
        <w:tc>
          <w:tcPr>
            <w:tcW w:w="3192" w:type="dxa"/>
            <w:vMerge/>
          </w:tcPr>
          <w:p w14:paraId="05DF5F88" w14:textId="77777777" w:rsidR="00E110B4" w:rsidRPr="00E110B4" w:rsidRDefault="00E110B4" w:rsidP="00E110B4"/>
        </w:tc>
        <w:tc>
          <w:tcPr>
            <w:tcW w:w="6384" w:type="dxa"/>
            <w:gridSpan w:val="2"/>
          </w:tcPr>
          <w:p w14:paraId="43E67F56" w14:textId="172F3061" w:rsidR="00E110B4" w:rsidRPr="00E110B4" w:rsidRDefault="00E110B4" w:rsidP="00E110B4">
            <w:r w:rsidRPr="00E110B4">
              <w:rPr>
                <w:szCs w:val="20"/>
              </w:rPr>
              <w:t>НВеАя положителни (проучване 026)</w:t>
            </w:r>
          </w:p>
        </w:tc>
      </w:tr>
      <w:tr w:rsidR="00E110B4" w14:paraId="0A76A5A8" w14:textId="77777777" w:rsidTr="00E110B4">
        <w:tc>
          <w:tcPr>
            <w:tcW w:w="3192" w:type="dxa"/>
            <w:vMerge/>
          </w:tcPr>
          <w:p w14:paraId="0298F2C7" w14:textId="77777777" w:rsidR="00E110B4" w:rsidRPr="00E110B4" w:rsidRDefault="00E110B4" w:rsidP="00E110B4"/>
        </w:tc>
        <w:tc>
          <w:tcPr>
            <w:tcW w:w="3192" w:type="dxa"/>
          </w:tcPr>
          <w:p w14:paraId="40A6789C" w14:textId="3A525F4F" w:rsidR="00E110B4" w:rsidRPr="00E110B4" w:rsidRDefault="00E110B4" w:rsidP="00E110B4">
            <w:r w:rsidRPr="00E110B4">
              <w:rPr>
                <w:szCs w:val="20"/>
                <w:lang w:val="en-US"/>
              </w:rPr>
              <w:t xml:space="preserve">ETV </w:t>
            </w:r>
            <w:r w:rsidRPr="00E110B4">
              <w:rPr>
                <w:szCs w:val="20"/>
              </w:rPr>
              <w:t>1,0 тя веднъж</w:t>
            </w:r>
          </w:p>
        </w:tc>
        <w:tc>
          <w:tcPr>
            <w:tcW w:w="3192" w:type="dxa"/>
          </w:tcPr>
          <w:p w14:paraId="4D6DDAFB" w14:textId="051F2FCC" w:rsidR="00E110B4" w:rsidRPr="00E110B4" w:rsidRDefault="00E110B4" w:rsidP="00E110B4">
            <w:r w:rsidRPr="00E110B4">
              <w:rPr>
                <w:szCs w:val="20"/>
                <w:lang w:val="en-US"/>
              </w:rPr>
              <w:t xml:space="preserve">LVD </w:t>
            </w:r>
            <w:r w:rsidRPr="00E110B4">
              <w:rPr>
                <w:szCs w:val="20"/>
              </w:rPr>
              <w:t xml:space="preserve">100 </w:t>
            </w:r>
            <w:r w:rsidRPr="00E110B4">
              <w:rPr>
                <w:szCs w:val="20"/>
                <w:lang w:val="en-US"/>
              </w:rPr>
              <w:t xml:space="preserve">mg </w:t>
            </w:r>
            <w:r w:rsidRPr="00E110B4">
              <w:rPr>
                <w:szCs w:val="20"/>
              </w:rPr>
              <w:t>веднъж</w:t>
            </w:r>
          </w:p>
        </w:tc>
      </w:tr>
      <w:tr w:rsidR="00E110B4" w14:paraId="72AFDB10" w14:textId="77777777" w:rsidTr="00E110B4">
        <w:tc>
          <w:tcPr>
            <w:tcW w:w="3192" w:type="dxa"/>
          </w:tcPr>
          <w:p w14:paraId="04BDC2AD" w14:textId="3F72E725" w:rsidR="00E110B4" w:rsidRPr="00E110B4" w:rsidRDefault="00E110B4" w:rsidP="00E110B4">
            <w:r w:rsidRPr="00E110B4">
              <w:rPr>
                <w:szCs w:val="20"/>
                <w:lang w:val="en-US"/>
              </w:rPr>
              <w:t>n</w:t>
            </w:r>
          </w:p>
        </w:tc>
        <w:tc>
          <w:tcPr>
            <w:tcW w:w="3192" w:type="dxa"/>
          </w:tcPr>
          <w:p w14:paraId="7EE21380" w14:textId="361A4BC9" w:rsidR="00E110B4" w:rsidRPr="00E110B4" w:rsidRDefault="00E110B4" w:rsidP="00E110B4">
            <w:r w:rsidRPr="00E110B4">
              <w:rPr>
                <w:szCs w:val="20"/>
              </w:rPr>
              <w:t>а 124</w:t>
            </w:r>
          </w:p>
        </w:tc>
        <w:tc>
          <w:tcPr>
            <w:tcW w:w="3192" w:type="dxa"/>
          </w:tcPr>
          <w:p w14:paraId="42131F98" w14:textId="29DA3397" w:rsidR="00E110B4" w:rsidRPr="00E110B4" w:rsidRDefault="00E110B4" w:rsidP="00E110B4">
            <w:r w:rsidRPr="00E110B4">
              <w:rPr>
                <w:szCs w:val="20"/>
              </w:rPr>
              <w:t>а 116</w:t>
            </w:r>
          </w:p>
        </w:tc>
      </w:tr>
      <w:tr w:rsidR="00E110B4" w14:paraId="39376799" w14:textId="77777777" w:rsidTr="00E110B4">
        <w:tc>
          <w:tcPr>
            <w:tcW w:w="3192" w:type="dxa"/>
          </w:tcPr>
          <w:p w14:paraId="32F9EBF7" w14:textId="77777777" w:rsidR="00E110B4" w:rsidRPr="00E110B4" w:rsidRDefault="00E110B4" w:rsidP="00E110B4"/>
          <w:p w14:paraId="5F73F4A3" w14:textId="38DE40D7" w:rsidR="00E110B4" w:rsidRPr="00E110B4" w:rsidRDefault="00E110B4" w:rsidP="00E110B4">
            <w:r w:rsidRPr="00E110B4">
              <w:rPr>
                <w:szCs w:val="20"/>
              </w:rPr>
              <w:t>Хистологично подобрение</w:t>
            </w:r>
            <w:r w:rsidRPr="00E110B4">
              <w:rPr>
                <w:szCs w:val="20"/>
                <w:vertAlign w:val="superscript"/>
                <w:lang w:val="en-US"/>
              </w:rPr>
              <w:t>b</w:t>
            </w:r>
          </w:p>
        </w:tc>
        <w:tc>
          <w:tcPr>
            <w:tcW w:w="3192" w:type="dxa"/>
          </w:tcPr>
          <w:p w14:paraId="7E7D0CEB" w14:textId="416A5757" w:rsidR="00E110B4" w:rsidRPr="00E110B4" w:rsidRDefault="00E110B4" w:rsidP="00E110B4">
            <w:r w:rsidRPr="00E110B4">
              <w:rPr>
                <w:szCs w:val="20"/>
              </w:rPr>
              <w:t>55%*</w:t>
            </w:r>
          </w:p>
        </w:tc>
        <w:tc>
          <w:tcPr>
            <w:tcW w:w="3192" w:type="dxa"/>
          </w:tcPr>
          <w:p w14:paraId="1E658F4E" w14:textId="27A57947" w:rsidR="00E110B4" w:rsidRPr="00E110B4" w:rsidRDefault="00E110B4" w:rsidP="00E110B4">
            <w:r w:rsidRPr="00E110B4">
              <w:rPr>
                <w:szCs w:val="20"/>
              </w:rPr>
              <w:t>28%</w:t>
            </w:r>
          </w:p>
        </w:tc>
      </w:tr>
      <w:tr w:rsidR="00E110B4" w14:paraId="292C512B" w14:textId="77777777" w:rsidTr="00E110B4">
        <w:tc>
          <w:tcPr>
            <w:tcW w:w="3192" w:type="dxa"/>
          </w:tcPr>
          <w:p w14:paraId="1D8E1E45" w14:textId="122A5603" w:rsidR="00E110B4" w:rsidRPr="00E110B4" w:rsidRDefault="00E110B4" w:rsidP="00E110B4">
            <w:r w:rsidRPr="00E110B4">
              <w:rPr>
                <w:szCs w:val="20"/>
              </w:rPr>
              <w:t xml:space="preserve">Подобрение на скора за фиброза на </w:t>
            </w:r>
            <w:r w:rsidRPr="00E110B4">
              <w:rPr>
                <w:szCs w:val="20"/>
                <w:lang w:val="en-US"/>
              </w:rPr>
              <w:t>Ishak</w:t>
            </w:r>
          </w:p>
        </w:tc>
        <w:tc>
          <w:tcPr>
            <w:tcW w:w="3192" w:type="dxa"/>
          </w:tcPr>
          <w:p w14:paraId="702BEDB1" w14:textId="7D3273EC" w:rsidR="00E110B4" w:rsidRPr="00E110B4" w:rsidRDefault="00E110B4" w:rsidP="00E110B4">
            <w:r w:rsidRPr="00E110B4">
              <w:rPr>
                <w:szCs w:val="20"/>
              </w:rPr>
              <w:t>34%*</w:t>
            </w:r>
          </w:p>
        </w:tc>
        <w:tc>
          <w:tcPr>
            <w:tcW w:w="3192" w:type="dxa"/>
          </w:tcPr>
          <w:p w14:paraId="604A9B15" w14:textId="139625D7" w:rsidR="00E110B4" w:rsidRPr="00E110B4" w:rsidRDefault="00E110B4" w:rsidP="00E110B4">
            <w:r w:rsidRPr="00E110B4">
              <w:rPr>
                <w:szCs w:val="20"/>
              </w:rPr>
              <w:t>16%</w:t>
            </w:r>
          </w:p>
        </w:tc>
      </w:tr>
      <w:tr w:rsidR="00E110B4" w14:paraId="4AB0EFF3" w14:textId="77777777" w:rsidTr="00E110B4">
        <w:tc>
          <w:tcPr>
            <w:tcW w:w="3192" w:type="dxa"/>
          </w:tcPr>
          <w:p w14:paraId="24329E9D" w14:textId="02365B63" w:rsidR="00E110B4" w:rsidRPr="00E110B4" w:rsidRDefault="00E110B4" w:rsidP="00E110B4">
            <w:r w:rsidRPr="00E110B4">
              <w:rPr>
                <w:szCs w:val="20"/>
              </w:rPr>
              <w:t xml:space="preserve">Влошаване на скора за фиброза на </w:t>
            </w:r>
            <w:r w:rsidRPr="00E110B4">
              <w:rPr>
                <w:szCs w:val="20"/>
                <w:lang w:val="en-US"/>
              </w:rPr>
              <w:t>Ishak</w:t>
            </w:r>
          </w:p>
        </w:tc>
        <w:tc>
          <w:tcPr>
            <w:tcW w:w="3192" w:type="dxa"/>
          </w:tcPr>
          <w:p w14:paraId="44FBA528" w14:textId="7A5C93DE" w:rsidR="00E110B4" w:rsidRPr="00E110B4" w:rsidRDefault="00E110B4" w:rsidP="00E110B4">
            <w:r w:rsidRPr="00E110B4">
              <w:rPr>
                <w:szCs w:val="20"/>
              </w:rPr>
              <w:t>11%</w:t>
            </w:r>
          </w:p>
        </w:tc>
        <w:tc>
          <w:tcPr>
            <w:tcW w:w="3192" w:type="dxa"/>
          </w:tcPr>
          <w:p w14:paraId="04FBCB3F" w14:textId="4CA1A09D" w:rsidR="00E110B4" w:rsidRPr="00E110B4" w:rsidRDefault="00E110B4" w:rsidP="00E110B4">
            <w:r w:rsidRPr="00E110B4">
              <w:rPr>
                <w:szCs w:val="20"/>
              </w:rPr>
              <w:t>26%</w:t>
            </w:r>
          </w:p>
        </w:tc>
      </w:tr>
      <w:tr w:rsidR="00E110B4" w14:paraId="71E5BA14" w14:textId="77777777" w:rsidTr="00E110B4">
        <w:tc>
          <w:tcPr>
            <w:tcW w:w="3192" w:type="dxa"/>
          </w:tcPr>
          <w:p w14:paraId="00F222BC" w14:textId="6F9B8644" w:rsidR="00E110B4" w:rsidRPr="00E110B4" w:rsidRDefault="00E110B4" w:rsidP="00E110B4">
            <w:r w:rsidRPr="00E110B4">
              <w:rPr>
                <w:szCs w:val="20"/>
                <w:lang w:val="en-US"/>
              </w:rPr>
              <w:t>n</w:t>
            </w:r>
          </w:p>
        </w:tc>
        <w:tc>
          <w:tcPr>
            <w:tcW w:w="3192" w:type="dxa"/>
          </w:tcPr>
          <w:p w14:paraId="642B3786" w14:textId="3C7AD9BC" w:rsidR="00E110B4" w:rsidRPr="00E110B4" w:rsidRDefault="00E110B4" w:rsidP="00E110B4">
            <w:r w:rsidRPr="00E110B4">
              <w:rPr>
                <w:szCs w:val="20"/>
              </w:rPr>
              <w:t>141</w:t>
            </w:r>
          </w:p>
        </w:tc>
        <w:tc>
          <w:tcPr>
            <w:tcW w:w="3192" w:type="dxa"/>
          </w:tcPr>
          <w:p w14:paraId="68FDF67B" w14:textId="4FFFE507" w:rsidR="00E110B4" w:rsidRPr="00E110B4" w:rsidRDefault="00E110B4" w:rsidP="00E110B4">
            <w:r w:rsidRPr="00E110B4">
              <w:rPr>
                <w:szCs w:val="20"/>
              </w:rPr>
              <w:t>145</w:t>
            </w:r>
          </w:p>
        </w:tc>
      </w:tr>
      <w:tr w:rsidR="00E110B4" w14:paraId="56D3294B" w14:textId="77777777" w:rsidTr="00E110B4">
        <w:tc>
          <w:tcPr>
            <w:tcW w:w="3192" w:type="dxa"/>
          </w:tcPr>
          <w:p w14:paraId="27020E51" w14:textId="77777777" w:rsidR="00E110B4" w:rsidRPr="00E110B4" w:rsidRDefault="00E110B4" w:rsidP="00E110B4">
            <w:r w:rsidRPr="00E110B4">
              <w:rPr>
                <w:szCs w:val="20"/>
              </w:rPr>
              <w:t xml:space="preserve">Намаляване на вирусния товар </w:t>
            </w:r>
            <w:r w:rsidRPr="00E110B4">
              <w:rPr>
                <w:szCs w:val="20"/>
                <w:lang w:val="ru-RU"/>
              </w:rPr>
              <w:t>(</w:t>
            </w:r>
            <w:r w:rsidRPr="00E110B4">
              <w:rPr>
                <w:szCs w:val="20"/>
                <w:lang w:val="en-US"/>
              </w:rPr>
              <w:t>log</w:t>
            </w:r>
            <w:r w:rsidRPr="00E110B4">
              <w:rPr>
                <w:szCs w:val="20"/>
                <w:vertAlign w:val="subscript"/>
                <w:lang w:val="ru-RU"/>
              </w:rPr>
              <w:t>10</w:t>
            </w:r>
          </w:p>
          <w:p w14:paraId="1520729A" w14:textId="14EC0BED" w:rsidR="00E110B4" w:rsidRPr="00E110B4" w:rsidRDefault="00E110B4" w:rsidP="00E110B4">
            <w:r w:rsidRPr="00E110B4">
              <w:rPr>
                <w:szCs w:val="20"/>
              </w:rPr>
              <w:t>копия</w:t>
            </w:r>
            <w:r w:rsidRPr="00E110B4">
              <w:rPr>
                <w:szCs w:val="20"/>
                <w:lang w:val="ru-RU"/>
              </w:rPr>
              <w:t>/</w:t>
            </w:r>
            <w:r w:rsidRPr="00E110B4">
              <w:rPr>
                <w:szCs w:val="20"/>
                <w:lang w:val="en-US"/>
              </w:rPr>
              <w:t>ml</w:t>
            </w:r>
            <w:r w:rsidRPr="00E110B4">
              <w:rPr>
                <w:szCs w:val="20"/>
                <w:lang w:val="ru-RU"/>
              </w:rPr>
              <w:t>)</w:t>
            </w:r>
            <w:r w:rsidRPr="00E110B4">
              <w:rPr>
                <w:szCs w:val="20"/>
                <w:vertAlign w:val="superscript"/>
                <w:lang w:val="en-US"/>
              </w:rPr>
              <w:t>c</w:t>
            </w:r>
          </w:p>
        </w:tc>
        <w:tc>
          <w:tcPr>
            <w:tcW w:w="3192" w:type="dxa"/>
          </w:tcPr>
          <w:p w14:paraId="18D92FA0" w14:textId="3E92360D" w:rsidR="00E110B4" w:rsidRPr="00E110B4" w:rsidRDefault="00E110B4" w:rsidP="00E110B4">
            <w:r w:rsidRPr="00E110B4">
              <w:rPr>
                <w:szCs w:val="20"/>
              </w:rPr>
              <w:t>-5,11*</w:t>
            </w:r>
          </w:p>
        </w:tc>
        <w:tc>
          <w:tcPr>
            <w:tcW w:w="3192" w:type="dxa"/>
          </w:tcPr>
          <w:p w14:paraId="5F04D102" w14:textId="0A3057FC" w:rsidR="00E110B4" w:rsidRPr="00E110B4" w:rsidRDefault="00E110B4" w:rsidP="00E110B4">
            <w:r w:rsidRPr="00E110B4">
              <w:rPr>
                <w:szCs w:val="20"/>
              </w:rPr>
              <w:t>-0,48</w:t>
            </w:r>
          </w:p>
        </w:tc>
      </w:tr>
      <w:tr w:rsidR="00E110B4" w14:paraId="445D77F5" w14:textId="77777777" w:rsidTr="00E110B4">
        <w:tc>
          <w:tcPr>
            <w:tcW w:w="3192" w:type="dxa"/>
          </w:tcPr>
          <w:p w14:paraId="7BAC080E" w14:textId="77777777" w:rsidR="00E110B4" w:rsidRPr="00E110B4" w:rsidRDefault="00E110B4" w:rsidP="00E110B4">
            <w:r w:rsidRPr="00E110B4">
              <w:rPr>
                <w:szCs w:val="20"/>
              </w:rPr>
              <w:t xml:space="preserve">Неустановима </w:t>
            </w:r>
            <w:r w:rsidRPr="00E110B4">
              <w:rPr>
                <w:szCs w:val="20"/>
                <w:lang w:val="en-US"/>
              </w:rPr>
              <w:t>HBV</w:t>
            </w:r>
            <w:r w:rsidRPr="00E110B4">
              <w:rPr>
                <w:szCs w:val="20"/>
                <w:lang w:val="ru-RU"/>
              </w:rPr>
              <w:t xml:space="preserve"> </w:t>
            </w:r>
            <w:r w:rsidRPr="00E110B4">
              <w:rPr>
                <w:szCs w:val="20"/>
              </w:rPr>
              <w:t>ДНК (&lt; 300</w:t>
            </w:r>
          </w:p>
          <w:p w14:paraId="11BDF30E" w14:textId="77777777" w:rsidR="00E110B4" w:rsidRPr="00E110B4" w:rsidRDefault="00E110B4" w:rsidP="00E110B4"/>
          <w:p w14:paraId="7DE40DD7" w14:textId="3F221E34" w:rsidR="00E110B4" w:rsidRPr="00E110B4" w:rsidRDefault="00E110B4" w:rsidP="00E110B4">
            <w:r w:rsidRPr="00E110B4">
              <w:rPr>
                <w:szCs w:val="20"/>
              </w:rPr>
              <w:t>копия</w:t>
            </w:r>
            <w:r w:rsidRPr="00E110B4">
              <w:rPr>
                <w:szCs w:val="20"/>
                <w:lang w:val="ru-RU"/>
              </w:rPr>
              <w:t>/</w:t>
            </w:r>
            <w:r w:rsidRPr="00E110B4">
              <w:rPr>
                <w:szCs w:val="20"/>
                <w:lang w:val="en-US"/>
              </w:rPr>
              <w:t>ml</w:t>
            </w:r>
            <w:r w:rsidRPr="00E110B4">
              <w:rPr>
                <w:szCs w:val="20"/>
                <w:lang w:val="ru-RU"/>
              </w:rPr>
              <w:t xml:space="preserve"> </w:t>
            </w:r>
            <w:r w:rsidRPr="00E110B4">
              <w:rPr>
                <w:szCs w:val="20"/>
              </w:rPr>
              <w:t xml:space="preserve">чрез </w:t>
            </w:r>
            <w:r w:rsidRPr="00E110B4">
              <w:rPr>
                <w:szCs w:val="20"/>
                <w:lang w:val="en-US"/>
              </w:rPr>
              <w:t>PCR</w:t>
            </w:r>
            <w:r w:rsidRPr="00E110B4">
              <w:rPr>
                <w:szCs w:val="20"/>
                <w:lang w:val="ru-RU"/>
              </w:rPr>
              <w:t>)</w:t>
            </w:r>
            <w:r w:rsidRPr="00E110B4">
              <w:rPr>
                <w:szCs w:val="20"/>
                <w:vertAlign w:val="superscript"/>
                <w:lang w:val="en-US"/>
              </w:rPr>
              <w:t>c</w:t>
            </w:r>
          </w:p>
        </w:tc>
        <w:tc>
          <w:tcPr>
            <w:tcW w:w="3192" w:type="dxa"/>
          </w:tcPr>
          <w:p w14:paraId="30F3EB04" w14:textId="1AED7A9F" w:rsidR="00E110B4" w:rsidRPr="00E110B4" w:rsidRDefault="00E110B4" w:rsidP="00E110B4">
            <w:r w:rsidRPr="00E110B4">
              <w:rPr>
                <w:szCs w:val="20"/>
              </w:rPr>
              <w:t>19%*</w:t>
            </w:r>
          </w:p>
        </w:tc>
        <w:tc>
          <w:tcPr>
            <w:tcW w:w="3192" w:type="dxa"/>
          </w:tcPr>
          <w:p w14:paraId="188BC050" w14:textId="2385F56A" w:rsidR="00E110B4" w:rsidRPr="00E110B4" w:rsidRDefault="00E110B4" w:rsidP="00E110B4">
            <w:r w:rsidRPr="00E110B4">
              <w:rPr>
                <w:szCs w:val="20"/>
              </w:rPr>
              <w:t>1%</w:t>
            </w:r>
          </w:p>
        </w:tc>
      </w:tr>
      <w:tr w:rsidR="00E110B4" w14:paraId="5F57FEE4" w14:textId="77777777" w:rsidTr="00E110B4">
        <w:tc>
          <w:tcPr>
            <w:tcW w:w="3192" w:type="dxa"/>
          </w:tcPr>
          <w:p w14:paraId="50CFC300" w14:textId="3165B7DE" w:rsidR="00E110B4" w:rsidRPr="00E110B4" w:rsidRDefault="00E110B4" w:rsidP="00E110B4">
            <w:r w:rsidRPr="00E110B4">
              <w:rPr>
                <w:szCs w:val="20"/>
              </w:rPr>
              <w:t xml:space="preserve">Нормализиране на </w:t>
            </w:r>
            <w:r w:rsidRPr="00E110B4">
              <w:rPr>
                <w:szCs w:val="20"/>
                <w:lang w:val="en-US"/>
              </w:rPr>
              <w:t>ALT</w:t>
            </w:r>
            <w:r w:rsidRPr="00E110B4">
              <w:rPr>
                <w:szCs w:val="20"/>
                <w:lang w:val="ru-RU"/>
              </w:rPr>
              <w:t xml:space="preserve"> </w:t>
            </w:r>
            <w:r>
              <w:rPr>
                <w:szCs w:val="20"/>
              </w:rPr>
              <w:t>(</w:t>
            </w:r>
            <w:r w:rsidRPr="00E110B4">
              <w:rPr>
                <w:szCs w:val="20"/>
              </w:rPr>
              <w:t xml:space="preserve">≤ 1 пъти спрямо </w:t>
            </w:r>
            <w:r w:rsidRPr="00E110B4">
              <w:rPr>
                <w:szCs w:val="20"/>
                <w:lang w:val="en-US"/>
              </w:rPr>
              <w:t>ULN</w:t>
            </w:r>
            <w:r w:rsidRPr="00E110B4">
              <w:rPr>
                <w:szCs w:val="20"/>
                <w:lang w:val="ru-RU"/>
              </w:rPr>
              <w:t>)</w:t>
            </w:r>
          </w:p>
        </w:tc>
        <w:tc>
          <w:tcPr>
            <w:tcW w:w="3192" w:type="dxa"/>
          </w:tcPr>
          <w:p w14:paraId="4D78BE67" w14:textId="483CADA8" w:rsidR="00E110B4" w:rsidRPr="00E110B4" w:rsidRDefault="00E110B4" w:rsidP="00E110B4">
            <w:r w:rsidRPr="00E110B4">
              <w:rPr>
                <w:szCs w:val="20"/>
              </w:rPr>
              <w:t>61%*</w:t>
            </w:r>
          </w:p>
        </w:tc>
        <w:tc>
          <w:tcPr>
            <w:tcW w:w="3192" w:type="dxa"/>
          </w:tcPr>
          <w:p w14:paraId="2C2D425F" w14:textId="5ADEEE08" w:rsidR="00E110B4" w:rsidRPr="00E110B4" w:rsidRDefault="00E110B4" w:rsidP="00E110B4">
            <w:r w:rsidRPr="00E110B4">
              <w:rPr>
                <w:szCs w:val="20"/>
              </w:rPr>
              <w:t>15%</w:t>
            </w:r>
          </w:p>
        </w:tc>
      </w:tr>
      <w:tr w:rsidR="00E110B4" w14:paraId="05A9D934" w14:textId="77777777" w:rsidTr="00E110B4">
        <w:tc>
          <w:tcPr>
            <w:tcW w:w="3192" w:type="dxa"/>
          </w:tcPr>
          <w:p w14:paraId="4DDA5C80" w14:textId="6F0EB89A" w:rsidR="00E110B4" w:rsidRPr="00E110B4" w:rsidRDefault="00E110B4" w:rsidP="00E110B4">
            <w:r w:rsidRPr="00E110B4">
              <w:rPr>
                <w:szCs w:val="20"/>
                <w:lang w:val="en-US"/>
              </w:rPr>
              <w:t xml:space="preserve">HBeAg </w:t>
            </w:r>
            <w:r w:rsidRPr="00E110B4">
              <w:rPr>
                <w:szCs w:val="20"/>
              </w:rPr>
              <w:t>сероконверсия</w:t>
            </w:r>
          </w:p>
        </w:tc>
        <w:tc>
          <w:tcPr>
            <w:tcW w:w="3192" w:type="dxa"/>
          </w:tcPr>
          <w:p w14:paraId="4D1B7503" w14:textId="22CCD7B2" w:rsidR="00E110B4" w:rsidRPr="00E110B4" w:rsidRDefault="00E110B4" w:rsidP="00E110B4">
            <w:r w:rsidRPr="00E110B4">
              <w:rPr>
                <w:szCs w:val="20"/>
              </w:rPr>
              <w:t>8%</w:t>
            </w:r>
          </w:p>
        </w:tc>
        <w:tc>
          <w:tcPr>
            <w:tcW w:w="3192" w:type="dxa"/>
          </w:tcPr>
          <w:p w14:paraId="3164DE1D" w14:textId="277B82EF" w:rsidR="00E110B4" w:rsidRPr="00E110B4" w:rsidRDefault="00E110B4" w:rsidP="00E110B4">
            <w:r w:rsidRPr="00E110B4">
              <w:rPr>
                <w:szCs w:val="20"/>
              </w:rPr>
              <w:t>3%</w:t>
            </w:r>
          </w:p>
        </w:tc>
      </w:tr>
    </w:tbl>
    <w:p w14:paraId="1790F569" w14:textId="77777777" w:rsidR="00E110B4" w:rsidRPr="00E110B4" w:rsidRDefault="00E110B4" w:rsidP="00E110B4">
      <w:pPr>
        <w:spacing w:line="240" w:lineRule="auto"/>
        <w:rPr>
          <w:rFonts w:eastAsia="Times New Roman" w:cs="Arial"/>
        </w:rPr>
      </w:pPr>
      <w:r w:rsidRPr="00E110B4">
        <w:rPr>
          <w:rFonts w:eastAsia="Times New Roman" w:cs="Arial"/>
          <w:color w:val="000000"/>
          <w:lang w:eastAsia="bg-BG"/>
        </w:rPr>
        <w:t>*р стойност спрямо ламивудин &lt; 0,05</w:t>
      </w:r>
    </w:p>
    <w:p w14:paraId="2F237EEF" w14:textId="1D85656C" w:rsidR="00E110B4" w:rsidRPr="00E110B4" w:rsidRDefault="00E110B4" w:rsidP="00E110B4">
      <w:pPr>
        <w:spacing w:line="240" w:lineRule="auto"/>
        <w:rPr>
          <w:rFonts w:eastAsia="Times New Roman" w:cs="Arial"/>
        </w:rPr>
      </w:pPr>
      <w:proofErr w:type="gramStart"/>
      <w:r w:rsidRPr="00E110B4">
        <w:rPr>
          <w:rFonts w:eastAsia="Times New Roman" w:cs="Arial"/>
          <w:color w:val="000000"/>
          <w:vertAlign w:val="superscript"/>
          <w:lang w:val="en-US"/>
        </w:rPr>
        <w:t>a</w:t>
      </w:r>
      <w:r w:rsidRPr="00E110B4">
        <w:rPr>
          <w:rFonts w:eastAsia="Times New Roman" w:cs="Arial"/>
          <w:color w:val="000000"/>
          <w:lang w:eastAsia="bg-BG"/>
        </w:rPr>
        <w:t>пациенти</w:t>
      </w:r>
      <w:proofErr w:type="gramEnd"/>
      <w:r w:rsidRPr="00E110B4">
        <w:rPr>
          <w:rFonts w:eastAsia="Times New Roman" w:cs="Arial"/>
          <w:color w:val="000000"/>
          <w:lang w:eastAsia="bg-BG"/>
        </w:rPr>
        <w:t xml:space="preserve">, при които е направена изходна хистологична оценка (изходен некро-възпалителен скор на Кнодел </w:t>
      </w:r>
      <w:r w:rsidRPr="00E110B4">
        <w:rPr>
          <w:rFonts w:eastAsia="Times New Roman" w:cs="Arial"/>
          <w:i/>
          <w:iCs/>
          <w:color w:val="000000"/>
          <w:lang w:eastAsia="bg-BG"/>
        </w:rPr>
        <w:t>≥2)</w:t>
      </w:r>
    </w:p>
    <w:p w14:paraId="6AF75DD4" w14:textId="7217D009" w:rsidR="00E110B4" w:rsidRPr="00E110B4" w:rsidRDefault="00E110B4" w:rsidP="00E110B4">
      <w:pPr>
        <w:spacing w:line="240" w:lineRule="auto"/>
        <w:rPr>
          <w:rFonts w:eastAsia="Times New Roman" w:cs="Arial"/>
        </w:rPr>
      </w:pPr>
      <w:proofErr w:type="gramStart"/>
      <w:r w:rsidRPr="00E110B4">
        <w:rPr>
          <w:rFonts w:eastAsia="Times New Roman" w:cs="Arial"/>
          <w:color w:val="000000"/>
          <w:vertAlign w:val="superscript"/>
          <w:lang w:val="en-US"/>
        </w:rPr>
        <w:t>b</w:t>
      </w:r>
      <w:r w:rsidRPr="00E110B4">
        <w:rPr>
          <w:rFonts w:eastAsia="Times New Roman" w:cs="Arial"/>
          <w:color w:val="000000"/>
          <w:lang w:eastAsia="bg-BG"/>
        </w:rPr>
        <w:t>първична</w:t>
      </w:r>
      <w:proofErr w:type="gramEnd"/>
      <w:r w:rsidRPr="00E110B4">
        <w:rPr>
          <w:rFonts w:eastAsia="Times New Roman" w:cs="Arial"/>
          <w:color w:val="000000"/>
          <w:lang w:eastAsia="bg-BG"/>
        </w:rPr>
        <w:t xml:space="preserve"> крайна точка</w:t>
      </w:r>
    </w:p>
    <w:p w14:paraId="2ED77D6F" w14:textId="77777777" w:rsidR="00E110B4" w:rsidRPr="00E110B4" w:rsidRDefault="00E110B4" w:rsidP="00E110B4">
      <w:pPr>
        <w:spacing w:line="240" w:lineRule="auto"/>
        <w:rPr>
          <w:rFonts w:eastAsia="Times New Roman" w:cs="Arial"/>
        </w:rPr>
      </w:pPr>
      <w:r w:rsidRPr="00E110B4">
        <w:rPr>
          <w:rFonts w:eastAsia="Times New Roman" w:cs="Arial"/>
          <w:color w:val="000000"/>
          <w:vertAlign w:val="superscript"/>
          <w:lang w:eastAsia="bg-BG"/>
        </w:rPr>
        <w:t>с</w:t>
      </w:r>
      <w:r w:rsidRPr="00E110B4">
        <w:rPr>
          <w:rFonts w:eastAsia="Times New Roman" w:cs="Arial"/>
          <w:color w:val="000000"/>
          <w:lang w:val="en-US"/>
        </w:rPr>
        <w:t>Roche</w:t>
      </w:r>
      <w:r w:rsidRPr="00E110B4">
        <w:rPr>
          <w:rFonts w:eastAsia="Times New Roman" w:cs="Arial"/>
          <w:color w:val="000000"/>
        </w:rPr>
        <w:t xml:space="preserve"> </w:t>
      </w:r>
      <w:r w:rsidRPr="00E110B4">
        <w:rPr>
          <w:rFonts w:eastAsia="Times New Roman" w:cs="Arial"/>
          <w:color w:val="000000"/>
          <w:lang w:val="en-US"/>
        </w:rPr>
        <w:t>Cobas</w:t>
      </w:r>
      <w:r w:rsidRPr="00E110B4">
        <w:rPr>
          <w:rFonts w:eastAsia="Times New Roman" w:cs="Arial"/>
          <w:color w:val="000000"/>
        </w:rPr>
        <w:t xml:space="preserve"> </w:t>
      </w:r>
      <w:r w:rsidRPr="00E110B4">
        <w:rPr>
          <w:rFonts w:eastAsia="Times New Roman" w:cs="Arial"/>
          <w:color w:val="000000"/>
          <w:lang w:val="en-US"/>
        </w:rPr>
        <w:t>Amplicor</w:t>
      </w:r>
      <w:r w:rsidRPr="00E110B4">
        <w:rPr>
          <w:rFonts w:eastAsia="Times New Roman" w:cs="Arial"/>
          <w:color w:val="000000"/>
        </w:rPr>
        <w:t xml:space="preserve"> </w:t>
      </w:r>
      <w:r w:rsidRPr="00E110B4">
        <w:rPr>
          <w:rFonts w:eastAsia="Times New Roman" w:cs="Arial"/>
          <w:color w:val="000000"/>
          <w:lang w:val="en-US"/>
        </w:rPr>
        <w:t>PCR</w:t>
      </w:r>
      <w:r w:rsidRPr="00E110B4">
        <w:rPr>
          <w:rFonts w:eastAsia="Times New Roman" w:cs="Arial"/>
          <w:color w:val="000000"/>
        </w:rPr>
        <w:t xml:space="preserve"> </w:t>
      </w:r>
      <w:r w:rsidRPr="00E110B4">
        <w:rPr>
          <w:rFonts w:eastAsia="Times New Roman" w:cs="Arial"/>
          <w:color w:val="000000"/>
          <w:lang w:eastAsia="bg-BG"/>
        </w:rPr>
        <w:t xml:space="preserve">анализ </w:t>
      </w:r>
      <w:r w:rsidRPr="00E110B4">
        <w:rPr>
          <w:rFonts w:eastAsia="Times New Roman" w:cs="Arial"/>
          <w:color w:val="000000"/>
        </w:rPr>
        <w:t>(</w:t>
      </w:r>
      <w:r w:rsidRPr="00E110B4">
        <w:rPr>
          <w:rFonts w:eastAsia="Times New Roman" w:cs="Arial"/>
          <w:color w:val="000000"/>
          <w:lang w:val="en-US"/>
        </w:rPr>
        <w:t>LLOQ</w:t>
      </w:r>
      <w:r w:rsidRPr="00E110B4">
        <w:rPr>
          <w:rFonts w:eastAsia="Times New Roman" w:cs="Arial"/>
          <w:color w:val="000000"/>
        </w:rPr>
        <w:t xml:space="preserve"> = 300 </w:t>
      </w:r>
      <w:r w:rsidRPr="00E110B4">
        <w:rPr>
          <w:rFonts w:eastAsia="Times New Roman" w:cs="Arial"/>
          <w:color w:val="000000"/>
          <w:lang w:eastAsia="bg-BG"/>
        </w:rPr>
        <w:t>копия</w:t>
      </w:r>
      <w:r w:rsidRPr="00E110B4">
        <w:rPr>
          <w:rFonts w:eastAsia="Times New Roman" w:cs="Arial"/>
          <w:color w:val="000000"/>
        </w:rPr>
        <w:t>/</w:t>
      </w:r>
      <w:r w:rsidRPr="00E110B4">
        <w:rPr>
          <w:rFonts w:eastAsia="Times New Roman" w:cs="Arial"/>
          <w:color w:val="000000"/>
          <w:lang w:val="en-US"/>
        </w:rPr>
        <w:t>ml</w:t>
      </w:r>
      <w:r w:rsidRPr="00E110B4">
        <w:rPr>
          <w:rFonts w:eastAsia="Times New Roman" w:cs="Arial"/>
          <w:color w:val="000000"/>
        </w:rPr>
        <w:t>)</w:t>
      </w:r>
    </w:p>
    <w:p w14:paraId="0B26FF2B" w14:textId="77777777" w:rsidR="00E110B4" w:rsidRPr="00E110B4" w:rsidRDefault="00E110B4" w:rsidP="00E110B4">
      <w:pPr>
        <w:spacing w:line="240" w:lineRule="auto"/>
        <w:rPr>
          <w:rFonts w:eastAsia="Times New Roman" w:cs="Arial"/>
          <w:i/>
          <w:iCs/>
          <w:color w:val="000000"/>
          <w:u w:val="single"/>
          <w:lang w:eastAsia="bg-BG"/>
        </w:rPr>
      </w:pPr>
    </w:p>
    <w:p w14:paraId="1BF3E910" w14:textId="7740C734" w:rsidR="00E110B4" w:rsidRPr="00E110B4" w:rsidRDefault="00E110B4" w:rsidP="00E110B4">
      <w:pPr>
        <w:spacing w:line="240" w:lineRule="auto"/>
        <w:rPr>
          <w:rFonts w:eastAsia="Times New Roman" w:cs="Arial"/>
        </w:rPr>
      </w:pPr>
      <w:r w:rsidRPr="00E110B4">
        <w:rPr>
          <w:rFonts w:eastAsia="Times New Roman" w:cs="Arial"/>
          <w:i/>
          <w:iCs/>
          <w:color w:val="000000"/>
          <w:u w:val="single"/>
          <w:lang w:eastAsia="bg-BG"/>
        </w:rPr>
        <w:t>Резултати при лечение повече от 48 седмици:</w:t>
      </w:r>
    </w:p>
    <w:p w14:paraId="6DF0BA28" w14:textId="77777777" w:rsidR="00E110B4" w:rsidRPr="00E110B4" w:rsidRDefault="00E110B4" w:rsidP="00E110B4">
      <w:pPr>
        <w:spacing w:line="240" w:lineRule="auto"/>
        <w:rPr>
          <w:rFonts w:eastAsia="Times New Roman" w:cs="Arial"/>
        </w:rPr>
      </w:pPr>
      <w:r w:rsidRPr="00E110B4">
        <w:rPr>
          <w:rFonts w:eastAsia="Times New Roman" w:cs="Arial"/>
          <w:color w:val="000000"/>
          <w:lang w:eastAsia="bg-BG"/>
        </w:rPr>
        <w:t xml:space="preserve">Лечението се прекратява, когато предварително поставените критерии за отговор се постигнат или за 48 седмици, или през втората година на лечението. Критерии за отговор са </w:t>
      </w:r>
      <w:r w:rsidRPr="00E110B4">
        <w:rPr>
          <w:rFonts w:eastAsia="Times New Roman" w:cs="Arial"/>
          <w:color w:val="000000"/>
          <w:lang w:val="en-US"/>
        </w:rPr>
        <w:t>HBV</w:t>
      </w:r>
      <w:r w:rsidRPr="00E110B4">
        <w:rPr>
          <w:rFonts w:eastAsia="Times New Roman" w:cs="Arial"/>
          <w:color w:val="000000"/>
        </w:rPr>
        <w:t xml:space="preserve"> </w:t>
      </w:r>
      <w:r w:rsidRPr="00E110B4">
        <w:rPr>
          <w:rFonts w:eastAsia="Times New Roman" w:cs="Arial"/>
          <w:color w:val="000000"/>
          <w:lang w:eastAsia="bg-BG"/>
        </w:rPr>
        <w:t xml:space="preserve">вирусната супресия </w:t>
      </w:r>
      <w:r w:rsidRPr="00E110B4">
        <w:rPr>
          <w:rFonts w:eastAsia="Times New Roman" w:cs="Arial"/>
          <w:color w:val="000000"/>
        </w:rPr>
        <w:t>(</w:t>
      </w:r>
      <w:r w:rsidRPr="00E110B4">
        <w:rPr>
          <w:rFonts w:eastAsia="Times New Roman" w:cs="Arial"/>
          <w:color w:val="000000"/>
          <w:lang w:val="en-US"/>
        </w:rPr>
        <w:t>HBV</w:t>
      </w:r>
      <w:r w:rsidRPr="00E110B4">
        <w:rPr>
          <w:rFonts w:eastAsia="Times New Roman" w:cs="Arial"/>
          <w:color w:val="000000"/>
        </w:rPr>
        <w:t xml:space="preserve"> </w:t>
      </w:r>
      <w:r w:rsidRPr="00E110B4">
        <w:rPr>
          <w:rFonts w:eastAsia="Times New Roman" w:cs="Arial"/>
          <w:color w:val="000000"/>
          <w:lang w:eastAsia="bg-BG"/>
        </w:rPr>
        <w:t xml:space="preserve">ДНК &lt; 0,7 </w:t>
      </w:r>
      <w:r w:rsidRPr="00E110B4">
        <w:rPr>
          <w:rFonts w:eastAsia="Times New Roman" w:cs="Arial"/>
          <w:color w:val="000000"/>
          <w:lang w:val="en-US"/>
        </w:rPr>
        <w:t>MEq</w:t>
      </w:r>
      <w:r w:rsidRPr="00E110B4">
        <w:rPr>
          <w:rFonts w:eastAsia="Times New Roman" w:cs="Arial"/>
          <w:color w:val="000000"/>
        </w:rPr>
        <w:t>/</w:t>
      </w:r>
      <w:r w:rsidRPr="00E110B4">
        <w:rPr>
          <w:rFonts w:eastAsia="Times New Roman" w:cs="Arial"/>
          <w:color w:val="000000"/>
          <w:lang w:val="en-US"/>
        </w:rPr>
        <w:t>ml</w:t>
      </w:r>
      <w:r w:rsidRPr="00E110B4">
        <w:rPr>
          <w:rFonts w:eastAsia="Times New Roman" w:cs="Arial"/>
          <w:color w:val="000000"/>
        </w:rPr>
        <w:t xml:space="preserve"> </w:t>
      </w:r>
      <w:r w:rsidRPr="00E110B4">
        <w:rPr>
          <w:rFonts w:eastAsia="Times New Roman" w:cs="Arial"/>
          <w:color w:val="000000"/>
          <w:lang w:eastAsia="bg-BG"/>
        </w:rPr>
        <w:t xml:space="preserve">чрез ЬДНК) и загубата на </w:t>
      </w:r>
      <w:r w:rsidRPr="00E110B4">
        <w:rPr>
          <w:rFonts w:eastAsia="Times New Roman" w:cs="Arial"/>
          <w:color w:val="000000"/>
          <w:lang w:val="en-US"/>
        </w:rPr>
        <w:t>HBeAg</w:t>
      </w:r>
      <w:r w:rsidRPr="00E110B4">
        <w:rPr>
          <w:rFonts w:eastAsia="Times New Roman" w:cs="Arial"/>
          <w:color w:val="000000"/>
        </w:rPr>
        <w:t xml:space="preserve"> </w:t>
      </w:r>
      <w:r w:rsidRPr="00E110B4">
        <w:rPr>
          <w:rFonts w:eastAsia="Times New Roman" w:cs="Arial"/>
          <w:color w:val="000000"/>
          <w:lang w:eastAsia="bg-BG"/>
        </w:rPr>
        <w:t xml:space="preserve">(при </w:t>
      </w:r>
      <w:r w:rsidRPr="00E110B4">
        <w:rPr>
          <w:rFonts w:eastAsia="Times New Roman" w:cs="Arial"/>
          <w:color w:val="000000"/>
          <w:lang w:val="en-US"/>
        </w:rPr>
        <w:t>HBeAg</w:t>
      </w:r>
      <w:r w:rsidRPr="00E110B4">
        <w:rPr>
          <w:rFonts w:eastAsia="Times New Roman" w:cs="Arial"/>
          <w:color w:val="000000"/>
        </w:rPr>
        <w:t xml:space="preserve"> </w:t>
      </w:r>
      <w:r w:rsidRPr="00E110B4">
        <w:rPr>
          <w:rFonts w:eastAsia="Times New Roman" w:cs="Arial"/>
          <w:color w:val="000000"/>
          <w:lang w:eastAsia="bg-BG"/>
        </w:rPr>
        <w:t xml:space="preserve">положителни пациенти) или </w:t>
      </w:r>
      <w:r w:rsidRPr="00E110B4">
        <w:rPr>
          <w:rFonts w:eastAsia="Times New Roman" w:cs="Arial"/>
          <w:color w:val="000000"/>
          <w:lang w:val="en-US"/>
        </w:rPr>
        <w:t>ALT</w:t>
      </w:r>
      <w:r w:rsidRPr="00E110B4">
        <w:rPr>
          <w:rFonts w:eastAsia="Times New Roman" w:cs="Arial"/>
          <w:color w:val="000000"/>
        </w:rPr>
        <w:t xml:space="preserve"> </w:t>
      </w:r>
      <w:r w:rsidRPr="00E110B4">
        <w:rPr>
          <w:rFonts w:eastAsia="Times New Roman" w:cs="Arial"/>
          <w:color w:val="000000"/>
          <w:lang w:eastAsia="bg-BG"/>
        </w:rPr>
        <w:t xml:space="preserve">&lt; 1,25 пъти спрямо </w:t>
      </w:r>
      <w:r w:rsidRPr="00E110B4">
        <w:rPr>
          <w:rFonts w:eastAsia="Times New Roman" w:cs="Arial"/>
          <w:color w:val="000000"/>
          <w:lang w:val="en-US"/>
        </w:rPr>
        <w:t>ULN</w:t>
      </w:r>
      <w:r w:rsidRPr="00E110B4">
        <w:rPr>
          <w:rFonts w:eastAsia="Times New Roman" w:cs="Arial"/>
          <w:color w:val="000000"/>
        </w:rPr>
        <w:t xml:space="preserve"> </w:t>
      </w:r>
      <w:r w:rsidRPr="00E110B4">
        <w:rPr>
          <w:rFonts w:eastAsia="Times New Roman" w:cs="Arial"/>
          <w:color w:val="000000"/>
          <w:lang w:eastAsia="bg-BG"/>
        </w:rPr>
        <w:t xml:space="preserve">(при </w:t>
      </w:r>
      <w:r w:rsidRPr="00E110B4">
        <w:rPr>
          <w:rFonts w:eastAsia="Times New Roman" w:cs="Arial"/>
          <w:color w:val="000000"/>
          <w:lang w:val="en-US"/>
        </w:rPr>
        <w:t>HBeAg</w:t>
      </w:r>
      <w:r w:rsidRPr="00E110B4">
        <w:rPr>
          <w:rFonts w:eastAsia="Times New Roman" w:cs="Arial"/>
          <w:color w:val="000000"/>
        </w:rPr>
        <w:t xml:space="preserve"> </w:t>
      </w:r>
      <w:r w:rsidRPr="00E110B4">
        <w:rPr>
          <w:rFonts w:eastAsia="Times New Roman" w:cs="Arial"/>
          <w:color w:val="000000"/>
          <w:lang w:eastAsia="bg-BG"/>
        </w:rPr>
        <w:t xml:space="preserve">отрицателни пациенти). Пациентите, при които е постигнат отговор от лечението, са проследявани </w:t>
      </w:r>
      <w:r w:rsidRPr="00E110B4">
        <w:rPr>
          <w:rFonts w:eastAsia="Times New Roman" w:cs="Arial"/>
          <w:color w:val="000000"/>
          <w:lang w:eastAsia="bg-BG"/>
        </w:rPr>
        <w:lastRenderedPageBreak/>
        <w:t>допълнително за 24-седмичен период без лечение. Пациентите, които са отговорили на критериите за вирусологичен, но не и серологичен или биохимичен отговор, продължават сляпото лечение. На пациентите, при които не е постигнат вирусологичен отговор, се предлага алтернативно лечение.</w:t>
      </w:r>
    </w:p>
    <w:p w14:paraId="30FE7105" w14:textId="77777777" w:rsidR="00E110B4" w:rsidRPr="00E110B4" w:rsidRDefault="00E110B4" w:rsidP="00E110B4">
      <w:pPr>
        <w:spacing w:line="240" w:lineRule="auto"/>
        <w:rPr>
          <w:rFonts w:eastAsia="Times New Roman" w:cs="Arial"/>
          <w:i/>
          <w:iCs/>
          <w:color w:val="000000"/>
          <w:lang w:eastAsia="bg-BG"/>
        </w:rPr>
      </w:pPr>
    </w:p>
    <w:p w14:paraId="47227815" w14:textId="5374556F" w:rsidR="00E110B4" w:rsidRPr="00E110B4" w:rsidRDefault="00E110B4" w:rsidP="00E110B4">
      <w:pPr>
        <w:spacing w:line="240" w:lineRule="auto"/>
        <w:rPr>
          <w:rFonts w:eastAsia="Times New Roman" w:cs="Arial"/>
        </w:rPr>
      </w:pPr>
      <w:r w:rsidRPr="00E110B4">
        <w:rPr>
          <w:rFonts w:eastAsia="Times New Roman" w:cs="Arial"/>
          <w:i/>
          <w:iCs/>
          <w:color w:val="000000"/>
          <w:lang w:eastAsia="bg-BG"/>
        </w:rPr>
        <w:t>Пациенти, нелекувани преди това с нуклеозиди:</w:t>
      </w:r>
    </w:p>
    <w:p w14:paraId="138D51E1" w14:textId="73AA4F17" w:rsidR="00E110B4" w:rsidRPr="00E110B4" w:rsidRDefault="00E110B4" w:rsidP="00E110B4">
      <w:pPr>
        <w:spacing w:line="240" w:lineRule="auto"/>
        <w:rPr>
          <w:rFonts w:eastAsia="Times New Roman" w:cs="Arial"/>
          <w:color w:val="000000"/>
          <w:lang w:eastAsia="bg-BG"/>
        </w:rPr>
      </w:pPr>
      <w:r w:rsidRPr="00E110B4">
        <w:rPr>
          <w:rFonts w:eastAsia="Times New Roman" w:cs="Arial"/>
          <w:color w:val="000000"/>
          <w:lang w:val="en-US"/>
        </w:rPr>
        <w:t>HBeAg</w:t>
      </w:r>
      <w:r w:rsidRPr="00E110B4">
        <w:rPr>
          <w:rFonts w:eastAsia="Times New Roman" w:cs="Arial"/>
          <w:color w:val="000000"/>
          <w:lang w:val="ru-RU"/>
        </w:rPr>
        <w:t xml:space="preserve"> </w:t>
      </w:r>
      <w:r w:rsidRPr="00E110B4">
        <w:rPr>
          <w:rFonts w:eastAsia="Times New Roman" w:cs="Arial"/>
          <w:color w:val="000000"/>
          <w:lang w:eastAsia="bg-BG"/>
        </w:rPr>
        <w:t>положителни (проучване 022): лечението с ентекавир за период до 96 седмици (</w:t>
      </w:r>
      <w:r w:rsidRPr="00E110B4">
        <w:rPr>
          <w:rFonts w:eastAsia="Times New Roman" w:cs="Arial"/>
          <w:color w:val="000000"/>
          <w:lang w:val="en-US"/>
        </w:rPr>
        <w:t>n</w:t>
      </w:r>
      <w:r w:rsidRPr="00E110B4">
        <w:rPr>
          <w:rFonts w:eastAsia="Times New Roman" w:cs="Arial"/>
          <w:color w:val="000000"/>
          <w:lang w:eastAsia="bg-BG"/>
        </w:rPr>
        <w:t xml:space="preserve"> = 354) води до кумулативен отговор от порядъка на 80% по отношение на </w:t>
      </w:r>
      <w:r w:rsidRPr="00E110B4">
        <w:rPr>
          <w:rFonts w:eastAsia="Times New Roman" w:cs="Arial"/>
          <w:color w:val="000000"/>
          <w:lang w:val="en-US"/>
        </w:rPr>
        <w:t>HBV</w:t>
      </w:r>
      <w:r w:rsidRPr="00E110B4">
        <w:rPr>
          <w:rFonts w:eastAsia="Times New Roman" w:cs="Arial"/>
          <w:color w:val="000000"/>
          <w:lang w:val="ru-RU"/>
        </w:rPr>
        <w:t xml:space="preserve"> </w:t>
      </w:r>
      <w:r w:rsidRPr="00E110B4">
        <w:rPr>
          <w:rFonts w:eastAsia="Times New Roman" w:cs="Arial"/>
          <w:color w:val="000000"/>
          <w:lang w:eastAsia="bg-BG"/>
        </w:rPr>
        <w:t>ДНК &lt;300 копия</w:t>
      </w:r>
      <w:r w:rsidRPr="00E110B4">
        <w:rPr>
          <w:rFonts w:eastAsia="Times New Roman" w:cs="Arial"/>
          <w:color w:val="000000"/>
          <w:lang w:val="ru-RU"/>
        </w:rPr>
        <w:t>/</w:t>
      </w:r>
      <w:r w:rsidRPr="00E110B4">
        <w:rPr>
          <w:rFonts w:eastAsia="Times New Roman" w:cs="Arial"/>
          <w:color w:val="000000"/>
          <w:lang w:val="en-US"/>
        </w:rPr>
        <w:t>ml</w:t>
      </w:r>
      <w:r w:rsidRPr="00E110B4">
        <w:rPr>
          <w:rFonts w:eastAsia="Times New Roman" w:cs="Arial"/>
          <w:color w:val="000000"/>
          <w:lang w:val="ru-RU"/>
        </w:rPr>
        <w:t xml:space="preserve"> </w:t>
      </w:r>
      <w:r w:rsidRPr="00E110B4">
        <w:rPr>
          <w:rFonts w:eastAsia="Times New Roman" w:cs="Arial"/>
          <w:color w:val="000000"/>
          <w:lang w:eastAsia="bg-BG"/>
        </w:rPr>
        <w:t xml:space="preserve">чрез </w:t>
      </w:r>
      <w:r w:rsidRPr="00E110B4">
        <w:rPr>
          <w:rFonts w:eastAsia="Times New Roman" w:cs="Arial"/>
          <w:color w:val="000000"/>
          <w:lang w:val="en-US"/>
        </w:rPr>
        <w:t>PCR</w:t>
      </w:r>
      <w:r w:rsidRPr="00E110B4">
        <w:rPr>
          <w:rFonts w:eastAsia="Times New Roman" w:cs="Arial"/>
          <w:color w:val="000000"/>
          <w:lang w:val="ru-RU"/>
        </w:rPr>
        <w:t xml:space="preserve">, </w:t>
      </w:r>
      <w:r w:rsidRPr="00E110B4">
        <w:rPr>
          <w:rFonts w:eastAsia="Times New Roman" w:cs="Arial"/>
          <w:color w:val="000000"/>
          <w:lang w:eastAsia="bg-BG"/>
        </w:rPr>
        <w:t xml:space="preserve">87% по отношение на нормализиране на </w:t>
      </w:r>
      <w:r w:rsidRPr="00E110B4">
        <w:rPr>
          <w:rFonts w:eastAsia="Times New Roman" w:cs="Arial"/>
          <w:color w:val="000000"/>
          <w:lang w:val="en-US"/>
        </w:rPr>
        <w:t>ALT</w:t>
      </w:r>
      <w:r w:rsidRPr="00E110B4">
        <w:rPr>
          <w:rFonts w:eastAsia="Times New Roman" w:cs="Arial"/>
          <w:color w:val="000000"/>
          <w:lang w:val="ru-RU"/>
        </w:rPr>
        <w:t xml:space="preserve">, </w:t>
      </w:r>
      <w:r w:rsidRPr="00E110B4">
        <w:rPr>
          <w:rFonts w:eastAsia="Times New Roman" w:cs="Arial"/>
          <w:color w:val="000000"/>
          <w:lang w:eastAsia="bg-BG"/>
        </w:rPr>
        <w:t xml:space="preserve">31% по отношение на </w:t>
      </w:r>
      <w:r w:rsidRPr="00E110B4">
        <w:rPr>
          <w:rFonts w:eastAsia="Times New Roman" w:cs="Arial"/>
          <w:color w:val="000000"/>
          <w:lang w:val="en-US"/>
        </w:rPr>
        <w:t>HBeAg</w:t>
      </w:r>
      <w:r w:rsidRPr="00E110B4">
        <w:rPr>
          <w:rFonts w:eastAsia="Times New Roman" w:cs="Arial"/>
          <w:color w:val="000000"/>
          <w:lang w:val="ru-RU"/>
        </w:rPr>
        <w:t xml:space="preserve"> </w:t>
      </w:r>
      <w:r w:rsidRPr="00E110B4">
        <w:rPr>
          <w:rFonts w:eastAsia="Times New Roman" w:cs="Arial"/>
          <w:color w:val="000000"/>
          <w:lang w:eastAsia="bg-BG"/>
        </w:rPr>
        <w:t xml:space="preserve">сероконверсията и 2% по отношение на </w:t>
      </w:r>
    </w:p>
    <w:p w14:paraId="106598AC" w14:textId="2C42A3A9" w:rsidR="00E110B4" w:rsidRPr="00E110B4" w:rsidRDefault="00E110B4" w:rsidP="00E110B4">
      <w:pPr>
        <w:spacing w:line="240" w:lineRule="auto"/>
        <w:rPr>
          <w:rFonts w:eastAsia="Times New Roman" w:cs="Arial"/>
        </w:rPr>
      </w:pPr>
      <w:r w:rsidRPr="00E110B4">
        <w:rPr>
          <w:rFonts w:eastAsia="Times New Roman" w:cs="Arial"/>
          <w:color w:val="000000"/>
          <w:lang w:val="en-US"/>
        </w:rPr>
        <w:t>HBsAg</w:t>
      </w:r>
      <w:r w:rsidRPr="00E110B4">
        <w:rPr>
          <w:rFonts w:eastAsia="Times New Roman" w:cs="Arial"/>
          <w:color w:val="000000"/>
          <w:lang w:val="ru-RU"/>
        </w:rPr>
        <w:t xml:space="preserve"> </w:t>
      </w:r>
      <w:r w:rsidRPr="00E110B4">
        <w:rPr>
          <w:rFonts w:eastAsia="Times New Roman" w:cs="Arial"/>
          <w:color w:val="000000"/>
          <w:lang w:eastAsia="bg-BG"/>
        </w:rPr>
        <w:t xml:space="preserve">сероконверсия (5% по отношение на загубата на </w:t>
      </w:r>
      <w:r w:rsidRPr="00E110B4">
        <w:rPr>
          <w:rFonts w:eastAsia="Times New Roman" w:cs="Arial"/>
          <w:color w:val="000000"/>
          <w:lang w:val="en-US"/>
        </w:rPr>
        <w:t>HBsAg</w:t>
      </w:r>
      <w:r w:rsidRPr="00E110B4">
        <w:rPr>
          <w:rFonts w:eastAsia="Times New Roman" w:cs="Arial"/>
          <w:color w:val="000000"/>
          <w:lang w:val="ru-RU"/>
        </w:rPr>
        <w:t xml:space="preserve">). </w:t>
      </w:r>
      <w:r w:rsidRPr="00E110B4">
        <w:rPr>
          <w:rFonts w:eastAsia="Times New Roman" w:cs="Arial"/>
          <w:color w:val="000000"/>
          <w:lang w:eastAsia="bg-BG"/>
        </w:rPr>
        <w:t>При ламивудин (</w:t>
      </w:r>
      <w:r w:rsidRPr="00E110B4">
        <w:rPr>
          <w:rFonts w:eastAsia="Times New Roman" w:cs="Arial"/>
          <w:color w:val="000000"/>
          <w:lang w:val="en-US"/>
        </w:rPr>
        <w:t>n</w:t>
      </w:r>
      <w:r w:rsidRPr="00E110B4">
        <w:rPr>
          <w:rFonts w:eastAsia="Times New Roman" w:cs="Arial"/>
          <w:color w:val="000000"/>
          <w:lang w:eastAsia="bg-BG"/>
        </w:rPr>
        <w:t xml:space="preserve"> = 355) степента на кумулативния отговор е 39% по отношение на </w:t>
      </w:r>
      <w:r w:rsidRPr="00E110B4">
        <w:rPr>
          <w:rFonts w:eastAsia="Times New Roman" w:cs="Arial"/>
          <w:color w:val="000000"/>
          <w:lang w:val="en-US"/>
        </w:rPr>
        <w:t>HBV</w:t>
      </w:r>
      <w:r w:rsidRPr="00E110B4">
        <w:rPr>
          <w:rFonts w:eastAsia="Times New Roman" w:cs="Arial"/>
          <w:color w:val="000000"/>
          <w:lang w:val="ru-RU"/>
        </w:rPr>
        <w:t xml:space="preserve"> </w:t>
      </w:r>
      <w:r w:rsidRPr="00E110B4">
        <w:rPr>
          <w:rFonts w:eastAsia="Times New Roman" w:cs="Arial"/>
          <w:color w:val="000000"/>
          <w:lang w:eastAsia="bg-BG"/>
        </w:rPr>
        <w:t>ДНК &lt;300 копия</w:t>
      </w:r>
      <w:r w:rsidRPr="00E110B4">
        <w:rPr>
          <w:rFonts w:eastAsia="Times New Roman" w:cs="Arial"/>
          <w:color w:val="000000"/>
          <w:lang w:val="ru-RU"/>
        </w:rPr>
        <w:t>/</w:t>
      </w:r>
      <w:r w:rsidRPr="00E110B4">
        <w:rPr>
          <w:rFonts w:eastAsia="Times New Roman" w:cs="Arial"/>
          <w:color w:val="000000"/>
          <w:lang w:val="en-US"/>
        </w:rPr>
        <w:t>ml</w:t>
      </w:r>
      <w:r w:rsidRPr="00E110B4">
        <w:rPr>
          <w:rFonts w:eastAsia="Times New Roman" w:cs="Arial"/>
          <w:color w:val="000000"/>
          <w:lang w:val="ru-RU"/>
        </w:rPr>
        <w:t xml:space="preserve"> </w:t>
      </w:r>
      <w:r w:rsidRPr="00E110B4">
        <w:rPr>
          <w:rFonts w:eastAsia="Times New Roman" w:cs="Arial"/>
          <w:color w:val="000000"/>
          <w:lang w:eastAsia="bg-BG"/>
        </w:rPr>
        <w:t xml:space="preserve">чрез </w:t>
      </w:r>
      <w:r w:rsidRPr="00E110B4">
        <w:rPr>
          <w:rFonts w:eastAsia="Times New Roman" w:cs="Arial"/>
          <w:color w:val="000000"/>
          <w:lang w:val="en-US"/>
        </w:rPr>
        <w:t>PCR</w:t>
      </w:r>
      <w:r w:rsidRPr="00E110B4">
        <w:rPr>
          <w:rFonts w:eastAsia="Times New Roman" w:cs="Arial"/>
          <w:color w:val="000000"/>
          <w:lang w:val="ru-RU"/>
        </w:rPr>
        <w:t xml:space="preserve">, </w:t>
      </w:r>
      <w:r w:rsidRPr="00E110B4">
        <w:rPr>
          <w:rFonts w:eastAsia="Times New Roman" w:cs="Arial"/>
          <w:color w:val="000000"/>
          <w:lang w:eastAsia="bg-BG"/>
        </w:rPr>
        <w:t xml:space="preserve">79% по отношение на нормализиране на </w:t>
      </w:r>
      <w:r w:rsidRPr="00E110B4">
        <w:rPr>
          <w:rFonts w:eastAsia="Times New Roman" w:cs="Arial"/>
          <w:color w:val="000000"/>
          <w:lang w:val="en-US"/>
        </w:rPr>
        <w:t>ALT</w:t>
      </w:r>
      <w:r w:rsidRPr="00E110B4">
        <w:rPr>
          <w:rFonts w:eastAsia="Times New Roman" w:cs="Arial"/>
          <w:color w:val="000000"/>
          <w:lang w:val="ru-RU"/>
        </w:rPr>
        <w:t xml:space="preserve">, </w:t>
      </w:r>
      <w:r w:rsidRPr="00E110B4">
        <w:rPr>
          <w:rFonts w:eastAsia="Times New Roman" w:cs="Arial"/>
          <w:color w:val="000000"/>
          <w:lang w:eastAsia="bg-BG"/>
        </w:rPr>
        <w:t xml:space="preserve">26% по отношение на </w:t>
      </w:r>
      <w:r w:rsidRPr="00E110B4">
        <w:rPr>
          <w:rFonts w:eastAsia="Times New Roman" w:cs="Arial"/>
          <w:color w:val="000000"/>
          <w:lang w:val="en-US"/>
        </w:rPr>
        <w:t>HBeAg</w:t>
      </w:r>
      <w:r w:rsidRPr="00E110B4">
        <w:rPr>
          <w:rFonts w:eastAsia="Times New Roman" w:cs="Arial"/>
          <w:color w:val="000000"/>
          <w:lang w:val="ru-RU"/>
        </w:rPr>
        <w:t xml:space="preserve"> </w:t>
      </w:r>
      <w:r w:rsidRPr="00E110B4">
        <w:rPr>
          <w:rFonts w:eastAsia="Times New Roman" w:cs="Arial"/>
          <w:color w:val="000000"/>
          <w:lang w:eastAsia="bg-BG"/>
        </w:rPr>
        <w:t xml:space="preserve">сероконверсията и 2% по отношение на </w:t>
      </w:r>
      <w:r w:rsidRPr="00E110B4">
        <w:rPr>
          <w:rFonts w:eastAsia="Times New Roman" w:cs="Arial"/>
          <w:color w:val="000000"/>
          <w:lang w:val="en-US"/>
        </w:rPr>
        <w:t>HBsAg</w:t>
      </w:r>
      <w:r w:rsidRPr="00E110B4">
        <w:rPr>
          <w:rFonts w:eastAsia="Times New Roman" w:cs="Arial"/>
          <w:color w:val="000000"/>
          <w:lang w:val="ru-RU"/>
        </w:rPr>
        <w:t xml:space="preserve"> </w:t>
      </w:r>
      <w:r w:rsidRPr="00E110B4">
        <w:rPr>
          <w:rFonts w:eastAsia="Times New Roman" w:cs="Arial"/>
          <w:color w:val="000000"/>
          <w:lang w:eastAsia="bg-BG"/>
        </w:rPr>
        <w:t xml:space="preserve">сероконверсията (3% по отношение на загубата на </w:t>
      </w:r>
      <w:r w:rsidRPr="00E110B4">
        <w:rPr>
          <w:rFonts w:eastAsia="Times New Roman" w:cs="Arial"/>
          <w:color w:val="000000"/>
          <w:lang w:val="en-US"/>
        </w:rPr>
        <w:t>HBsAg</w:t>
      </w:r>
      <w:r w:rsidRPr="00E110B4">
        <w:rPr>
          <w:rFonts w:eastAsia="Times New Roman" w:cs="Arial"/>
          <w:color w:val="000000"/>
          <w:lang w:val="ru-RU"/>
        </w:rPr>
        <w:t>).</w:t>
      </w:r>
    </w:p>
    <w:p w14:paraId="249EA633" w14:textId="77777777" w:rsidR="00E110B4" w:rsidRPr="00E110B4" w:rsidRDefault="00E110B4" w:rsidP="00E110B4">
      <w:pPr>
        <w:spacing w:line="240" w:lineRule="auto"/>
        <w:rPr>
          <w:rFonts w:eastAsia="Times New Roman" w:cs="Arial"/>
        </w:rPr>
      </w:pPr>
      <w:r w:rsidRPr="00E110B4">
        <w:rPr>
          <w:rFonts w:eastAsia="Times New Roman" w:cs="Arial"/>
          <w:color w:val="000000"/>
          <w:lang w:eastAsia="bg-BG"/>
        </w:rPr>
        <w:t xml:space="preserve">В края на лечението сред пациентите, продължили лечението над 52 седмици (средно 96 седмици), 81% от 243 пациенти, лекувани с ентекавир, и 39% от 164 пациенти, лекувани с ламивудин, имат </w:t>
      </w:r>
      <w:r w:rsidRPr="00E110B4">
        <w:rPr>
          <w:rFonts w:eastAsia="Times New Roman" w:cs="Arial"/>
          <w:color w:val="000000"/>
          <w:lang w:val="en-US"/>
        </w:rPr>
        <w:t>HBV</w:t>
      </w:r>
      <w:r w:rsidRPr="00E110B4">
        <w:rPr>
          <w:rFonts w:eastAsia="Times New Roman" w:cs="Arial"/>
          <w:color w:val="000000"/>
          <w:lang w:val="ru-RU"/>
        </w:rPr>
        <w:t xml:space="preserve"> </w:t>
      </w:r>
      <w:r w:rsidRPr="00E110B4">
        <w:rPr>
          <w:rFonts w:eastAsia="Times New Roman" w:cs="Arial"/>
          <w:color w:val="000000"/>
          <w:lang w:eastAsia="bg-BG"/>
        </w:rPr>
        <w:t>ДНК &lt; 300 копия</w:t>
      </w:r>
      <w:r w:rsidRPr="00E110B4">
        <w:rPr>
          <w:rFonts w:eastAsia="Times New Roman" w:cs="Arial"/>
          <w:color w:val="000000"/>
          <w:lang w:val="ru-RU"/>
        </w:rPr>
        <w:t>/</w:t>
      </w:r>
      <w:r w:rsidRPr="00E110B4">
        <w:rPr>
          <w:rFonts w:eastAsia="Times New Roman" w:cs="Arial"/>
          <w:color w:val="000000"/>
          <w:lang w:val="en-US"/>
        </w:rPr>
        <w:t>ml</w:t>
      </w:r>
      <w:r w:rsidRPr="00E110B4">
        <w:rPr>
          <w:rFonts w:eastAsia="Times New Roman" w:cs="Arial"/>
          <w:color w:val="000000"/>
          <w:lang w:val="ru-RU"/>
        </w:rPr>
        <w:t xml:space="preserve"> </w:t>
      </w:r>
      <w:r w:rsidRPr="00E110B4">
        <w:rPr>
          <w:rFonts w:eastAsia="Times New Roman" w:cs="Arial"/>
          <w:color w:val="000000"/>
          <w:lang w:eastAsia="bg-BG"/>
        </w:rPr>
        <w:t xml:space="preserve">чрез </w:t>
      </w:r>
      <w:r w:rsidRPr="00E110B4">
        <w:rPr>
          <w:rFonts w:eastAsia="Times New Roman" w:cs="Arial"/>
          <w:color w:val="000000"/>
          <w:lang w:val="en-US"/>
        </w:rPr>
        <w:t>PCR</w:t>
      </w:r>
      <w:r w:rsidRPr="00E110B4">
        <w:rPr>
          <w:rFonts w:eastAsia="Times New Roman" w:cs="Arial"/>
          <w:color w:val="000000"/>
          <w:lang w:val="ru-RU"/>
        </w:rPr>
        <w:t xml:space="preserve">, </w:t>
      </w:r>
      <w:r w:rsidRPr="00E110B4">
        <w:rPr>
          <w:rFonts w:eastAsia="Times New Roman" w:cs="Arial"/>
          <w:color w:val="000000"/>
          <w:lang w:eastAsia="bg-BG"/>
        </w:rPr>
        <w:t xml:space="preserve">докато нормализиране на </w:t>
      </w:r>
      <w:r w:rsidRPr="00E110B4">
        <w:rPr>
          <w:rFonts w:eastAsia="Times New Roman" w:cs="Arial"/>
          <w:color w:val="000000"/>
          <w:lang w:val="en-US"/>
        </w:rPr>
        <w:t>ALT</w:t>
      </w:r>
      <w:r w:rsidRPr="00E110B4">
        <w:rPr>
          <w:rFonts w:eastAsia="Times New Roman" w:cs="Arial"/>
          <w:color w:val="000000"/>
          <w:lang w:val="ru-RU"/>
        </w:rPr>
        <w:t xml:space="preserve"> </w:t>
      </w:r>
      <w:r w:rsidRPr="00E110B4">
        <w:rPr>
          <w:rFonts w:eastAsia="Times New Roman" w:cs="Arial"/>
          <w:color w:val="000000"/>
          <w:lang w:eastAsia="bg-BG"/>
        </w:rPr>
        <w:t xml:space="preserve">(≤ 1 пъти спрямо </w:t>
      </w:r>
      <w:r w:rsidRPr="00E110B4">
        <w:rPr>
          <w:rFonts w:eastAsia="Times New Roman" w:cs="Arial"/>
          <w:color w:val="000000"/>
          <w:lang w:val="en-US"/>
        </w:rPr>
        <w:t>ULN</w:t>
      </w:r>
      <w:r w:rsidRPr="00E110B4">
        <w:rPr>
          <w:rFonts w:eastAsia="Times New Roman" w:cs="Arial"/>
          <w:color w:val="000000"/>
          <w:lang w:val="ru-RU"/>
        </w:rPr>
        <w:t xml:space="preserve">) </w:t>
      </w:r>
      <w:r w:rsidRPr="00E110B4">
        <w:rPr>
          <w:rFonts w:eastAsia="Times New Roman" w:cs="Arial"/>
          <w:color w:val="000000"/>
          <w:lang w:eastAsia="bg-BG"/>
        </w:rPr>
        <w:t>е наблюдавано при 79% от лекуваните с ентекавир пациенти и при 68% от лекуваните с ламивудин пациенти.</w:t>
      </w:r>
    </w:p>
    <w:p w14:paraId="5FCAA86B" w14:textId="77777777" w:rsidR="00E110B4" w:rsidRPr="00E110B4" w:rsidRDefault="00E110B4" w:rsidP="00E110B4">
      <w:pPr>
        <w:spacing w:line="240" w:lineRule="auto"/>
        <w:rPr>
          <w:rFonts w:eastAsia="Times New Roman" w:cs="Arial"/>
          <w:color w:val="000000"/>
          <w:lang w:val="en-US"/>
        </w:rPr>
      </w:pPr>
    </w:p>
    <w:p w14:paraId="755AB057" w14:textId="67A92A5A" w:rsidR="00E110B4" w:rsidRPr="00E110B4" w:rsidRDefault="00E110B4" w:rsidP="00E110B4">
      <w:pPr>
        <w:spacing w:line="240" w:lineRule="auto"/>
        <w:rPr>
          <w:rFonts w:eastAsia="Times New Roman" w:cs="Arial"/>
        </w:rPr>
      </w:pPr>
      <w:proofErr w:type="gramStart"/>
      <w:r w:rsidRPr="00E110B4">
        <w:rPr>
          <w:rFonts w:eastAsia="Times New Roman" w:cs="Arial"/>
          <w:color w:val="000000"/>
          <w:lang w:val="en-US"/>
        </w:rPr>
        <w:t>HBeAg</w:t>
      </w:r>
      <w:r w:rsidRPr="00E110B4">
        <w:rPr>
          <w:rFonts w:eastAsia="Times New Roman" w:cs="Arial"/>
          <w:color w:val="000000"/>
          <w:lang w:val="ru-RU"/>
        </w:rPr>
        <w:t xml:space="preserve"> </w:t>
      </w:r>
      <w:r w:rsidRPr="00E110B4">
        <w:rPr>
          <w:rFonts w:eastAsia="Times New Roman" w:cs="Arial"/>
          <w:color w:val="000000"/>
          <w:lang w:eastAsia="bg-BG"/>
        </w:rPr>
        <w:t>отрицателни (проучване 027): лечението с ентекавир за период до 96 седмици (</w:t>
      </w:r>
      <w:r w:rsidRPr="00E110B4">
        <w:rPr>
          <w:rFonts w:eastAsia="Times New Roman" w:cs="Arial"/>
          <w:color w:val="000000"/>
          <w:lang w:val="en-US"/>
        </w:rPr>
        <w:t>n</w:t>
      </w:r>
      <w:r w:rsidRPr="00E110B4">
        <w:rPr>
          <w:rFonts w:eastAsia="Times New Roman" w:cs="Arial"/>
          <w:color w:val="000000"/>
          <w:lang w:eastAsia="bg-BG"/>
        </w:rPr>
        <w:t xml:space="preserve"> = 325) води до кумулативен отговор от порядъка на 94% по отношение на </w:t>
      </w:r>
      <w:r w:rsidRPr="00E110B4">
        <w:rPr>
          <w:rFonts w:eastAsia="Times New Roman" w:cs="Arial"/>
          <w:color w:val="000000"/>
          <w:lang w:val="en-US"/>
        </w:rPr>
        <w:t>HBV</w:t>
      </w:r>
      <w:r w:rsidRPr="00E110B4">
        <w:rPr>
          <w:rFonts w:eastAsia="Times New Roman" w:cs="Arial"/>
          <w:color w:val="000000"/>
          <w:lang w:val="ru-RU"/>
        </w:rPr>
        <w:t xml:space="preserve"> </w:t>
      </w:r>
      <w:r w:rsidRPr="00E110B4">
        <w:rPr>
          <w:rFonts w:eastAsia="Times New Roman" w:cs="Arial"/>
          <w:color w:val="000000"/>
          <w:lang w:eastAsia="bg-BG"/>
        </w:rPr>
        <w:t>ДНК &lt; 300 копия</w:t>
      </w:r>
      <w:r w:rsidRPr="00E110B4">
        <w:rPr>
          <w:rFonts w:eastAsia="Times New Roman" w:cs="Arial"/>
          <w:color w:val="000000"/>
          <w:lang w:val="ru-RU"/>
        </w:rPr>
        <w:t>/</w:t>
      </w:r>
      <w:r w:rsidRPr="00E110B4">
        <w:rPr>
          <w:rFonts w:eastAsia="Times New Roman" w:cs="Arial"/>
          <w:color w:val="000000"/>
          <w:lang w:val="en-US"/>
        </w:rPr>
        <w:t>ml</w:t>
      </w:r>
      <w:r w:rsidRPr="00E110B4">
        <w:rPr>
          <w:rFonts w:eastAsia="Times New Roman" w:cs="Arial"/>
          <w:color w:val="000000"/>
          <w:lang w:val="ru-RU"/>
        </w:rPr>
        <w:t xml:space="preserve"> </w:t>
      </w:r>
      <w:r w:rsidRPr="00E110B4">
        <w:rPr>
          <w:rFonts w:eastAsia="Times New Roman" w:cs="Arial"/>
          <w:color w:val="000000"/>
          <w:lang w:eastAsia="bg-BG"/>
        </w:rPr>
        <w:t xml:space="preserve">чрез </w:t>
      </w:r>
      <w:r w:rsidRPr="00E110B4">
        <w:rPr>
          <w:rFonts w:eastAsia="Times New Roman" w:cs="Arial"/>
          <w:color w:val="000000"/>
          <w:lang w:val="en-US"/>
        </w:rPr>
        <w:t>PCR</w:t>
      </w:r>
      <w:r w:rsidRPr="00E110B4">
        <w:rPr>
          <w:rFonts w:eastAsia="Times New Roman" w:cs="Arial"/>
          <w:color w:val="000000"/>
          <w:lang w:val="ru-RU"/>
        </w:rPr>
        <w:t xml:space="preserve"> </w:t>
      </w:r>
      <w:r w:rsidRPr="00E110B4">
        <w:rPr>
          <w:rFonts w:eastAsia="Times New Roman" w:cs="Arial"/>
          <w:color w:val="000000"/>
          <w:lang w:eastAsia="bg-BG"/>
        </w:rPr>
        <w:t xml:space="preserve">и 89% по отношение на нормализиране на </w:t>
      </w:r>
      <w:r w:rsidRPr="00E110B4">
        <w:rPr>
          <w:rFonts w:eastAsia="Times New Roman" w:cs="Arial"/>
          <w:color w:val="000000"/>
          <w:lang w:val="en-US"/>
        </w:rPr>
        <w:t>ALT</w:t>
      </w:r>
      <w:r w:rsidRPr="00E110B4">
        <w:rPr>
          <w:rFonts w:eastAsia="Times New Roman" w:cs="Arial"/>
          <w:color w:val="000000"/>
          <w:lang w:val="ru-RU"/>
        </w:rPr>
        <w:t xml:space="preserve"> </w:t>
      </w:r>
      <w:r w:rsidRPr="00E110B4">
        <w:rPr>
          <w:rFonts w:eastAsia="Times New Roman" w:cs="Arial"/>
          <w:color w:val="000000"/>
          <w:lang w:eastAsia="bg-BG"/>
        </w:rPr>
        <w:t xml:space="preserve">спрямо 77% по отношение на </w:t>
      </w:r>
      <w:r w:rsidRPr="00E110B4">
        <w:rPr>
          <w:rFonts w:eastAsia="Times New Roman" w:cs="Arial"/>
          <w:color w:val="000000"/>
          <w:lang w:val="en-US"/>
        </w:rPr>
        <w:t>HBV</w:t>
      </w:r>
      <w:r w:rsidRPr="00E110B4">
        <w:rPr>
          <w:rFonts w:eastAsia="Times New Roman" w:cs="Arial"/>
          <w:color w:val="000000"/>
          <w:lang w:val="ru-RU"/>
        </w:rPr>
        <w:t xml:space="preserve"> </w:t>
      </w:r>
      <w:r w:rsidRPr="00E110B4">
        <w:rPr>
          <w:rFonts w:eastAsia="Times New Roman" w:cs="Arial"/>
          <w:color w:val="000000"/>
          <w:lang w:eastAsia="bg-BG"/>
        </w:rPr>
        <w:t>ДНК &lt;300 копия</w:t>
      </w:r>
      <w:r w:rsidRPr="00E110B4">
        <w:rPr>
          <w:rFonts w:eastAsia="Times New Roman" w:cs="Arial"/>
          <w:color w:val="000000"/>
          <w:lang w:val="ru-RU"/>
        </w:rPr>
        <w:t>/</w:t>
      </w:r>
      <w:r w:rsidRPr="00E110B4">
        <w:rPr>
          <w:rFonts w:eastAsia="Times New Roman" w:cs="Arial"/>
          <w:color w:val="000000"/>
          <w:lang w:val="en-US"/>
        </w:rPr>
        <w:t>ml</w:t>
      </w:r>
      <w:r w:rsidRPr="00E110B4">
        <w:rPr>
          <w:rFonts w:eastAsia="Times New Roman" w:cs="Arial"/>
          <w:color w:val="000000"/>
          <w:lang w:val="ru-RU"/>
        </w:rPr>
        <w:t xml:space="preserve"> </w:t>
      </w:r>
      <w:r w:rsidRPr="00E110B4">
        <w:rPr>
          <w:rFonts w:eastAsia="Times New Roman" w:cs="Arial"/>
          <w:color w:val="000000"/>
          <w:lang w:eastAsia="bg-BG"/>
        </w:rPr>
        <w:t xml:space="preserve">чрез </w:t>
      </w:r>
      <w:r w:rsidRPr="00E110B4">
        <w:rPr>
          <w:rFonts w:eastAsia="Times New Roman" w:cs="Arial"/>
          <w:color w:val="000000"/>
          <w:lang w:val="en-US"/>
        </w:rPr>
        <w:t>PCR</w:t>
      </w:r>
      <w:r w:rsidRPr="00E110B4">
        <w:rPr>
          <w:rFonts w:eastAsia="Times New Roman" w:cs="Arial"/>
          <w:color w:val="000000"/>
          <w:lang w:val="ru-RU"/>
        </w:rPr>
        <w:t xml:space="preserve"> </w:t>
      </w:r>
      <w:r w:rsidRPr="00E110B4">
        <w:rPr>
          <w:rFonts w:eastAsia="Times New Roman" w:cs="Arial"/>
          <w:color w:val="000000"/>
          <w:lang w:eastAsia="bg-BG"/>
        </w:rPr>
        <w:t xml:space="preserve">и 84% по отношение на нормализирането на </w:t>
      </w:r>
      <w:r w:rsidRPr="00E110B4">
        <w:rPr>
          <w:rFonts w:eastAsia="Times New Roman" w:cs="Arial"/>
          <w:color w:val="000000"/>
          <w:lang w:val="en-US"/>
        </w:rPr>
        <w:t>ALT</w:t>
      </w:r>
      <w:r w:rsidRPr="00E110B4">
        <w:rPr>
          <w:rFonts w:eastAsia="Times New Roman" w:cs="Arial"/>
          <w:color w:val="000000"/>
          <w:lang w:val="ru-RU"/>
        </w:rPr>
        <w:t xml:space="preserve"> </w:t>
      </w:r>
      <w:r w:rsidRPr="00E110B4">
        <w:rPr>
          <w:rFonts w:eastAsia="Times New Roman" w:cs="Arial"/>
          <w:color w:val="000000"/>
          <w:lang w:eastAsia="bg-BG"/>
        </w:rPr>
        <w:t>при пациентите, лекувани с ламивудин (</w:t>
      </w:r>
      <w:r w:rsidRPr="00E110B4">
        <w:rPr>
          <w:rFonts w:eastAsia="Times New Roman" w:cs="Arial"/>
          <w:color w:val="000000"/>
          <w:lang w:val="en-US"/>
        </w:rPr>
        <w:t>n</w:t>
      </w:r>
      <w:r w:rsidRPr="00E110B4">
        <w:rPr>
          <w:rFonts w:eastAsia="Times New Roman" w:cs="Arial"/>
          <w:color w:val="000000"/>
          <w:lang w:eastAsia="bg-BG"/>
        </w:rPr>
        <w:t xml:space="preserve"> = 313).</w:t>
      </w:r>
      <w:proofErr w:type="gramEnd"/>
    </w:p>
    <w:p w14:paraId="332BF430" w14:textId="77777777" w:rsidR="00E110B4" w:rsidRPr="00E110B4" w:rsidRDefault="00E110B4" w:rsidP="00E110B4">
      <w:pPr>
        <w:spacing w:line="240" w:lineRule="auto"/>
        <w:rPr>
          <w:rFonts w:eastAsia="Times New Roman" w:cs="Arial"/>
        </w:rPr>
      </w:pPr>
      <w:r w:rsidRPr="00E110B4">
        <w:rPr>
          <w:rFonts w:eastAsia="Times New Roman" w:cs="Arial"/>
          <w:color w:val="000000"/>
          <w:lang w:eastAsia="bg-BG"/>
        </w:rPr>
        <w:t>От 26 пациенти, лекувани с ентекавир, и 28 пациенти, лекувани с ламивудин, които са продължили лечението над 52 седмици (средно 96 седмици), 96% от пациентите, лекувани с ентекавир, и 64% от пациентите, лекувани с ламивудин, имат НВV ДНК &lt;300 копия</w:t>
      </w:r>
      <w:r w:rsidRPr="00E110B4">
        <w:rPr>
          <w:rFonts w:eastAsia="Times New Roman" w:cs="Arial"/>
          <w:color w:val="000000"/>
          <w:lang w:val="ru-RU"/>
        </w:rPr>
        <w:t>/</w:t>
      </w:r>
      <w:r w:rsidRPr="00E110B4">
        <w:rPr>
          <w:rFonts w:eastAsia="Times New Roman" w:cs="Arial"/>
          <w:color w:val="000000"/>
          <w:lang w:val="en-US"/>
        </w:rPr>
        <w:t>ml</w:t>
      </w:r>
      <w:r w:rsidRPr="00E110B4">
        <w:rPr>
          <w:rFonts w:eastAsia="Times New Roman" w:cs="Arial"/>
          <w:color w:val="000000"/>
          <w:lang w:val="ru-RU"/>
        </w:rPr>
        <w:t xml:space="preserve"> </w:t>
      </w:r>
      <w:r w:rsidRPr="00E110B4">
        <w:rPr>
          <w:rFonts w:eastAsia="Times New Roman" w:cs="Arial"/>
          <w:color w:val="000000"/>
          <w:lang w:eastAsia="bg-BG"/>
        </w:rPr>
        <w:t xml:space="preserve">чрез </w:t>
      </w:r>
      <w:r w:rsidRPr="00E110B4">
        <w:rPr>
          <w:rFonts w:eastAsia="Times New Roman" w:cs="Arial"/>
          <w:color w:val="000000"/>
          <w:lang w:val="en-US"/>
        </w:rPr>
        <w:t>PCR</w:t>
      </w:r>
      <w:r w:rsidRPr="00E110B4">
        <w:rPr>
          <w:rFonts w:eastAsia="Times New Roman" w:cs="Arial"/>
          <w:color w:val="000000"/>
          <w:lang w:val="ru-RU"/>
        </w:rPr>
        <w:t xml:space="preserve"> </w:t>
      </w:r>
      <w:r w:rsidRPr="00E110B4">
        <w:rPr>
          <w:rFonts w:eastAsia="Times New Roman" w:cs="Arial"/>
          <w:color w:val="000000"/>
          <w:lang w:eastAsia="bg-BG"/>
        </w:rPr>
        <w:t xml:space="preserve">в края на лечението. Нормализиране на </w:t>
      </w:r>
      <w:r w:rsidRPr="00E110B4">
        <w:rPr>
          <w:rFonts w:eastAsia="Times New Roman" w:cs="Arial"/>
          <w:color w:val="000000"/>
          <w:lang w:val="en-US"/>
        </w:rPr>
        <w:t>ALT</w:t>
      </w:r>
      <w:r w:rsidRPr="00E110B4">
        <w:rPr>
          <w:rFonts w:eastAsia="Times New Roman" w:cs="Arial"/>
          <w:color w:val="000000"/>
          <w:lang w:val="ru-RU"/>
        </w:rPr>
        <w:t xml:space="preserve"> </w:t>
      </w:r>
      <w:r w:rsidRPr="00E110B4">
        <w:rPr>
          <w:rFonts w:eastAsia="Times New Roman" w:cs="Arial"/>
          <w:color w:val="000000"/>
          <w:lang w:eastAsia="bg-BG"/>
        </w:rPr>
        <w:t xml:space="preserve">(≤ 1 пъти спрямо </w:t>
      </w:r>
      <w:r w:rsidRPr="00E110B4">
        <w:rPr>
          <w:rFonts w:eastAsia="Times New Roman" w:cs="Arial"/>
          <w:color w:val="000000"/>
          <w:lang w:val="en-US"/>
        </w:rPr>
        <w:t>ULN</w:t>
      </w:r>
      <w:r w:rsidRPr="00E110B4">
        <w:rPr>
          <w:rFonts w:eastAsia="Times New Roman" w:cs="Arial"/>
          <w:color w:val="000000"/>
          <w:lang w:val="ru-RU"/>
        </w:rPr>
        <w:t xml:space="preserve">) </w:t>
      </w:r>
      <w:r w:rsidRPr="00E110B4">
        <w:rPr>
          <w:rFonts w:eastAsia="Times New Roman" w:cs="Arial"/>
          <w:color w:val="000000"/>
          <w:lang w:eastAsia="bg-BG"/>
        </w:rPr>
        <w:t>е наблюдавано при 27% от лекуваните с ентекавир пациенти и 21% от лекуваните с ламивудин пациенти в края на лечението.</w:t>
      </w:r>
    </w:p>
    <w:p w14:paraId="6C0A2642" w14:textId="77777777" w:rsidR="00E110B4" w:rsidRPr="00E110B4" w:rsidRDefault="00E110B4" w:rsidP="00E110B4">
      <w:pPr>
        <w:spacing w:line="240" w:lineRule="auto"/>
        <w:rPr>
          <w:rFonts w:eastAsia="Times New Roman" w:cs="Arial"/>
          <w:color w:val="000000"/>
          <w:lang w:eastAsia="bg-BG"/>
        </w:rPr>
      </w:pPr>
    </w:p>
    <w:p w14:paraId="3843B592" w14:textId="7CABF605" w:rsidR="00E110B4" w:rsidRPr="00E110B4" w:rsidRDefault="00E110B4" w:rsidP="00E110B4">
      <w:pPr>
        <w:spacing w:line="240" w:lineRule="auto"/>
        <w:rPr>
          <w:rFonts w:eastAsia="Times New Roman" w:cs="Arial"/>
        </w:rPr>
      </w:pPr>
      <w:r w:rsidRPr="00E110B4">
        <w:rPr>
          <w:rFonts w:eastAsia="Times New Roman" w:cs="Arial"/>
          <w:color w:val="000000"/>
          <w:lang w:eastAsia="bg-BG"/>
        </w:rPr>
        <w:t xml:space="preserve">При пациентите, които са отговорили на определените в протокола критерии за отговор, този отговор е поддържан в рамките на 24-седмичния период на наблюдение след лечението при 75% (83/111) от отговорилите на лечението с ентекавир спрямо 73% (68/93) от отговорилите на лечението с ламивудин в проучване 022 и 46% (131/286) от отговорилите на лечението с ентекавир спрямо 31% (79/253) от отговорилите на лечението с ламивудин в проучване 027. В рамките на 48-седмичния период на наблюдение след лечението при съществен брой </w:t>
      </w:r>
      <w:r w:rsidRPr="00E110B4">
        <w:rPr>
          <w:rFonts w:eastAsia="Times New Roman" w:cs="Arial"/>
          <w:color w:val="000000"/>
          <w:lang w:val="en-US"/>
        </w:rPr>
        <w:t>HBeAg</w:t>
      </w:r>
      <w:r w:rsidRPr="00E110B4">
        <w:rPr>
          <w:rFonts w:eastAsia="Times New Roman" w:cs="Arial"/>
          <w:color w:val="000000"/>
          <w:lang w:val="ru-RU"/>
        </w:rPr>
        <w:t xml:space="preserve"> </w:t>
      </w:r>
      <w:r w:rsidRPr="00E110B4">
        <w:rPr>
          <w:rFonts w:eastAsia="Times New Roman" w:cs="Arial"/>
          <w:color w:val="000000"/>
          <w:lang w:eastAsia="bg-BG"/>
        </w:rPr>
        <w:t>негативни пациенти отговорът е нетраен.</w:t>
      </w:r>
    </w:p>
    <w:p w14:paraId="02EF2FB9" w14:textId="77777777" w:rsidR="00E110B4" w:rsidRPr="00E110B4" w:rsidRDefault="00E110B4" w:rsidP="00E110B4">
      <w:pPr>
        <w:rPr>
          <w:rFonts w:eastAsia="Times New Roman" w:cs="Arial"/>
          <w:color w:val="000000"/>
          <w:lang w:eastAsia="bg-BG"/>
        </w:rPr>
      </w:pPr>
    </w:p>
    <w:p w14:paraId="43105297" w14:textId="77777777" w:rsidR="00E110B4" w:rsidRPr="00E110B4" w:rsidRDefault="00E110B4" w:rsidP="00E110B4">
      <w:pPr>
        <w:rPr>
          <w:rFonts w:eastAsia="Times New Roman" w:cs="Arial"/>
        </w:rPr>
      </w:pPr>
      <w:r w:rsidRPr="00E110B4">
        <w:rPr>
          <w:rFonts w:eastAsia="Times New Roman" w:cs="Arial"/>
          <w:color w:val="000000"/>
          <w:lang w:eastAsia="bg-BG"/>
        </w:rPr>
        <w:t xml:space="preserve">Резултати от чернодробна биопсия: 57 пациенти от основните проучвания на пациенти, нелекувани с нуклеозиди, 022 </w:t>
      </w:r>
      <w:r w:rsidRPr="00E110B4">
        <w:rPr>
          <w:rFonts w:eastAsia="Times New Roman" w:cs="Arial"/>
          <w:color w:val="000000"/>
          <w:lang w:val="ru-RU"/>
        </w:rPr>
        <w:t>(</w:t>
      </w:r>
      <w:r w:rsidRPr="00E110B4">
        <w:rPr>
          <w:rFonts w:eastAsia="Times New Roman" w:cs="Arial"/>
          <w:color w:val="000000"/>
          <w:lang w:val="en-US"/>
        </w:rPr>
        <w:t>HBeAg</w:t>
      </w:r>
      <w:r w:rsidRPr="00E110B4">
        <w:rPr>
          <w:rFonts w:eastAsia="Times New Roman" w:cs="Arial"/>
          <w:color w:val="000000"/>
          <w:lang w:val="ru-RU"/>
        </w:rPr>
        <w:t xml:space="preserve"> </w:t>
      </w:r>
      <w:r w:rsidRPr="00E110B4">
        <w:rPr>
          <w:rFonts w:eastAsia="Times New Roman" w:cs="Arial"/>
          <w:color w:val="000000"/>
          <w:lang w:eastAsia="bg-BG"/>
        </w:rPr>
        <w:t xml:space="preserve">положителни) и 027 </w:t>
      </w:r>
      <w:r w:rsidRPr="00E110B4">
        <w:rPr>
          <w:rFonts w:eastAsia="Times New Roman" w:cs="Arial"/>
          <w:color w:val="000000"/>
          <w:lang w:val="ru-RU"/>
        </w:rPr>
        <w:t>(</w:t>
      </w:r>
      <w:r w:rsidRPr="00E110B4">
        <w:rPr>
          <w:rFonts w:eastAsia="Times New Roman" w:cs="Arial"/>
          <w:color w:val="000000"/>
          <w:lang w:val="en-US"/>
        </w:rPr>
        <w:t>HBeAg</w:t>
      </w:r>
      <w:r w:rsidRPr="00E110B4">
        <w:rPr>
          <w:rFonts w:eastAsia="Times New Roman" w:cs="Arial"/>
          <w:color w:val="000000"/>
          <w:lang w:val="ru-RU"/>
        </w:rPr>
        <w:t xml:space="preserve"> </w:t>
      </w:r>
      <w:r w:rsidRPr="00E110B4">
        <w:rPr>
          <w:rFonts w:eastAsia="Times New Roman" w:cs="Arial"/>
          <w:color w:val="000000"/>
          <w:lang w:eastAsia="bg-BG"/>
        </w:rPr>
        <w:t xml:space="preserve">отрицателни), които са включени в дългосрочно </w:t>
      </w:r>
      <w:r w:rsidRPr="00E110B4">
        <w:rPr>
          <w:rFonts w:eastAsia="Times New Roman" w:cs="Arial"/>
          <w:color w:val="000000"/>
          <w:lang w:val="en-US"/>
        </w:rPr>
        <w:t>rollover</w:t>
      </w:r>
      <w:r w:rsidRPr="00E110B4">
        <w:rPr>
          <w:rFonts w:eastAsia="Times New Roman" w:cs="Arial"/>
          <w:color w:val="000000"/>
          <w:lang w:val="ru-RU"/>
        </w:rPr>
        <w:t xml:space="preserve"> </w:t>
      </w:r>
      <w:r w:rsidRPr="00E110B4">
        <w:rPr>
          <w:rFonts w:eastAsia="Times New Roman" w:cs="Arial"/>
          <w:color w:val="000000"/>
          <w:lang w:eastAsia="bg-BG"/>
        </w:rPr>
        <w:t xml:space="preserve">проучване, са оценени за дългосрочни резултати по отношение на хистологията на черния дроб. Дозата ентекавир е 0,5 </w:t>
      </w:r>
      <w:r w:rsidRPr="00E110B4">
        <w:rPr>
          <w:rFonts w:eastAsia="Times New Roman" w:cs="Arial"/>
          <w:color w:val="000000"/>
          <w:lang w:val="en-US"/>
        </w:rPr>
        <w:t>mg</w:t>
      </w:r>
      <w:r w:rsidRPr="00E110B4">
        <w:rPr>
          <w:rFonts w:eastAsia="Times New Roman" w:cs="Arial"/>
          <w:color w:val="000000"/>
        </w:rPr>
        <w:t xml:space="preserve"> </w:t>
      </w:r>
      <w:r w:rsidRPr="00E110B4">
        <w:rPr>
          <w:rFonts w:eastAsia="Times New Roman" w:cs="Arial"/>
          <w:color w:val="000000"/>
          <w:lang w:eastAsia="bg-BG"/>
        </w:rPr>
        <w:t xml:space="preserve">дневно в основните проучвания (средна експозиция - 85 седмици) и 1 </w:t>
      </w:r>
      <w:r w:rsidRPr="00E110B4">
        <w:rPr>
          <w:rFonts w:eastAsia="Times New Roman" w:cs="Arial"/>
          <w:color w:val="000000"/>
          <w:lang w:val="en-US"/>
        </w:rPr>
        <w:t>mg</w:t>
      </w:r>
      <w:r w:rsidRPr="00E110B4">
        <w:rPr>
          <w:rFonts w:eastAsia="Times New Roman" w:cs="Arial"/>
          <w:color w:val="000000"/>
        </w:rPr>
        <w:t xml:space="preserve"> </w:t>
      </w:r>
      <w:r w:rsidRPr="00E110B4">
        <w:rPr>
          <w:rFonts w:eastAsia="Times New Roman" w:cs="Arial"/>
          <w:color w:val="000000"/>
          <w:lang w:eastAsia="bg-BG"/>
        </w:rPr>
        <w:t xml:space="preserve">дневно в </w:t>
      </w:r>
      <w:r w:rsidRPr="00E110B4">
        <w:rPr>
          <w:rFonts w:eastAsia="Times New Roman" w:cs="Arial"/>
          <w:color w:val="000000"/>
          <w:lang w:val="en-US"/>
        </w:rPr>
        <w:t>rollover</w:t>
      </w:r>
      <w:r w:rsidRPr="00E110B4">
        <w:rPr>
          <w:rFonts w:eastAsia="Times New Roman" w:cs="Arial"/>
          <w:color w:val="000000"/>
        </w:rPr>
        <w:t xml:space="preserve"> </w:t>
      </w:r>
      <w:r w:rsidRPr="00E110B4">
        <w:rPr>
          <w:rFonts w:eastAsia="Times New Roman" w:cs="Arial"/>
          <w:color w:val="000000"/>
          <w:lang w:eastAsia="bg-BG"/>
        </w:rPr>
        <w:t xml:space="preserve">проучването (средна експозиция 177 седмици), а 51 пациенти в </w:t>
      </w:r>
      <w:r w:rsidRPr="00E110B4">
        <w:rPr>
          <w:rFonts w:eastAsia="Times New Roman" w:cs="Arial"/>
          <w:color w:val="000000"/>
          <w:lang w:val="en-US"/>
        </w:rPr>
        <w:t>rollover</w:t>
      </w:r>
      <w:r w:rsidRPr="00E110B4">
        <w:rPr>
          <w:rFonts w:eastAsia="Times New Roman" w:cs="Arial"/>
          <w:color w:val="000000"/>
        </w:rPr>
        <w:t xml:space="preserve"> </w:t>
      </w:r>
      <w:r w:rsidRPr="00E110B4">
        <w:rPr>
          <w:rFonts w:eastAsia="Times New Roman" w:cs="Arial"/>
          <w:color w:val="000000"/>
          <w:lang w:eastAsia="bg-BG"/>
        </w:rPr>
        <w:t xml:space="preserve">проучването първоначлно също са получавали ламивудин (средна продължителност - 29 седмици). От тези пациенит 55/57 (96%) показват хистологично подобрение, както беше определено </w:t>
      </w:r>
      <w:r w:rsidRPr="00E110B4">
        <w:rPr>
          <w:rFonts w:eastAsia="Times New Roman" w:cs="Arial"/>
          <w:color w:val="000000"/>
          <w:lang w:eastAsia="bg-BG"/>
        </w:rPr>
        <w:lastRenderedPageBreak/>
        <w:t xml:space="preserve">преди (вж. по-горе), а 50/57 (88%) имат намаление ≥ 1 точка на скора за фиброза на </w:t>
      </w:r>
      <w:r w:rsidRPr="00E110B4">
        <w:rPr>
          <w:rFonts w:eastAsia="Times New Roman" w:cs="Arial"/>
          <w:color w:val="000000"/>
          <w:lang w:val="en-US"/>
        </w:rPr>
        <w:t>Ishak</w:t>
      </w:r>
      <w:r w:rsidRPr="00E110B4">
        <w:rPr>
          <w:rFonts w:eastAsia="Times New Roman" w:cs="Arial"/>
          <w:color w:val="000000"/>
          <w:lang w:val="ru-RU"/>
        </w:rPr>
        <w:t xml:space="preserve">. </w:t>
      </w:r>
      <w:r w:rsidRPr="00E110B4">
        <w:rPr>
          <w:rFonts w:eastAsia="Times New Roman" w:cs="Arial"/>
          <w:color w:val="000000"/>
          <w:lang w:eastAsia="bg-BG"/>
        </w:rPr>
        <w:t xml:space="preserve">За пациенти с изходни скорове за фиброза на </w:t>
      </w:r>
      <w:r w:rsidRPr="00E110B4">
        <w:rPr>
          <w:rFonts w:eastAsia="Times New Roman" w:cs="Arial"/>
          <w:color w:val="000000"/>
          <w:lang w:val="en-US"/>
        </w:rPr>
        <w:t>Ishak</w:t>
      </w:r>
      <w:r w:rsidRPr="00E110B4">
        <w:rPr>
          <w:rFonts w:eastAsia="Times New Roman" w:cs="Arial"/>
          <w:color w:val="000000"/>
          <w:lang w:val="ru-RU"/>
        </w:rPr>
        <w:t xml:space="preserve"> </w:t>
      </w:r>
      <w:r w:rsidRPr="00E110B4">
        <w:rPr>
          <w:rFonts w:eastAsia="Times New Roman" w:cs="Arial"/>
          <w:color w:val="000000"/>
          <w:lang w:eastAsia="bg-BG"/>
        </w:rPr>
        <w:t xml:space="preserve">≥ 2 25/43 (58%) имат намаление ≥ 2 точки. Всички (10/10) пациенти с напреднала фиброза или цироза на изходно ниво (скор за фиброза на </w:t>
      </w:r>
      <w:r w:rsidRPr="00E110B4">
        <w:rPr>
          <w:rFonts w:eastAsia="Times New Roman" w:cs="Arial"/>
          <w:color w:val="000000"/>
          <w:lang w:val="en-US"/>
        </w:rPr>
        <w:t>Ishak</w:t>
      </w:r>
      <w:r w:rsidRPr="00E110B4">
        <w:rPr>
          <w:rFonts w:eastAsia="Times New Roman" w:cs="Arial"/>
          <w:color w:val="000000"/>
          <w:lang w:val="ru-RU"/>
        </w:rPr>
        <w:t xml:space="preserve"> 4,5*</w:t>
      </w:r>
      <w:r w:rsidRPr="00E110B4">
        <w:rPr>
          <w:rFonts w:eastAsia="Times New Roman" w:cs="Arial"/>
          <w:color w:val="000000"/>
          <w:lang w:eastAsia="bg-BG"/>
        </w:rPr>
        <w:t xml:space="preserve"> или 6) имат намаление ≥ 1 точка (средното намаляване от изходно нив</w:t>
      </w:r>
      <w:r w:rsidRPr="00E110B4">
        <w:rPr>
          <w:rFonts w:eastAsia="Times New Roman" w:cs="Arial"/>
          <w:color w:val="000000"/>
          <w:lang w:val="en-US"/>
        </w:rPr>
        <w:t>o</w:t>
      </w:r>
      <w:r w:rsidRPr="00E110B4">
        <w:rPr>
          <w:rFonts w:eastAsia="Times New Roman" w:cs="Arial"/>
          <w:color w:val="000000"/>
          <w:lang w:val="ru-RU"/>
        </w:rPr>
        <w:t xml:space="preserve"> </w:t>
      </w:r>
      <w:r w:rsidRPr="00E110B4">
        <w:rPr>
          <w:rFonts w:eastAsia="Times New Roman" w:cs="Arial"/>
          <w:color w:val="000000"/>
          <w:lang w:val="en-US"/>
        </w:rPr>
        <w:t>e</w:t>
      </w:r>
      <w:r w:rsidRPr="00E110B4">
        <w:rPr>
          <w:rFonts w:eastAsia="Times New Roman" w:cs="Arial"/>
          <w:color w:val="000000"/>
          <w:lang w:val="ru-RU"/>
        </w:rPr>
        <w:t xml:space="preserve"> 1,5 </w:t>
      </w:r>
      <w:r w:rsidRPr="00E110B4">
        <w:rPr>
          <w:rFonts w:eastAsia="Times New Roman" w:cs="Arial"/>
          <w:color w:val="000000"/>
          <w:lang w:eastAsia="bg-BG"/>
        </w:rPr>
        <w:t xml:space="preserve">точки). По време на дългосрочната биопсия всички пациенти имат </w:t>
      </w:r>
      <w:r w:rsidRPr="00E110B4">
        <w:rPr>
          <w:rFonts w:eastAsia="Times New Roman" w:cs="Arial"/>
          <w:color w:val="000000"/>
          <w:lang w:val="en-US"/>
        </w:rPr>
        <w:t>HBV</w:t>
      </w:r>
      <w:r w:rsidRPr="00E110B4">
        <w:rPr>
          <w:rFonts w:eastAsia="Times New Roman" w:cs="Arial"/>
          <w:color w:val="000000"/>
          <w:lang w:val="ru-RU"/>
        </w:rPr>
        <w:t xml:space="preserve"> </w:t>
      </w:r>
      <w:r w:rsidRPr="00E110B4">
        <w:rPr>
          <w:rFonts w:eastAsia="Times New Roman" w:cs="Arial"/>
          <w:color w:val="000000"/>
          <w:lang w:eastAsia="bg-BG"/>
        </w:rPr>
        <w:t>ДНК &lt; 300 копия</w:t>
      </w:r>
      <w:r w:rsidRPr="00E110B4">
        <w:rPr>
          <w:rFonts w:eastAsia="Times New Roman" w:cs="Arial"/>
          <w:color w:val="000000"/>
          <w:lang w:val="ru-RU"/>
        </w:rPr>
        <w:t>/</w:t>
      </w:r>
      <w:r w:rsidRPr="00E110B4">
        <w:rPr>
          <w:rFonts w:eastAsia="Times New Roman" w:cs="Arial"/>
          <w:color w:val="000000"/>
          <w:lang w:val="en-US"/>
        </w:rPr>
        <w:t>ml</w:t>
      </w:r>
      <w:r w:rsidRPr="00E110B4">
        <w:rPr>
          <w:rFonts w:eastAsia="Times New Roman" w:cs="Arial"/>
          <w:color w:val="000000"/>
          <w:lang w:val="ru-RU"/>
        </w:rPr>
        <w:t xml:space="preserve"> </w:t>
      </w:r>
      <w:r w:rsidRPr="00E110B4">
        <w:rPr>
          <w:rFonts w:eastAsia="Times New Roman" w:cs="Arial"/>
          <w:color w:val="000000"/>
          <w:lang w:eastAsia="bg-BG"/>
        </w:rPr>
        <w:t xml:space="preserve">и 49/57 (86%) имат серумна </w:t>
      </w:r>
      <w:r w:rsidRPr="00E110B4">
        <w:rPr>
          <w:rFonts w:eastAsia="Times New Roman" w:cs="Arial"/>
          <w:color w:val="000000"/>
          <w:lang w:val="en-US"/>
        </w:rPr>
        <w:t>ALT</w:t>
      </w:r>
      <w:r w:rsidRPr="00E110B4">
        <w:rPr>
          <w:rFonts w:eastAsia="Times New Roman" w:cs="Arial"/>
          <w:color w:val="000000"/>
          <w:lang w:val="ru-RU"/>
        </w:rPr>
        <w:t xml:space="preserve"> </w:t>
      </w:r>
      <w:r w:rsidRPr="00E110B4">
        <w:rPr>
          <w:rFonts w:eastAsia="Times New Roman" w:cs="Arial"/>
          <w:color w:val="000000"/>
          <w:lang w:eastAsia="bg-BG"/>
        </w:rPr>
        <w:t xml:space="preserve">≤ 1 път спрямо </w:t>
      </w:r>
      <w:r w:rsidRPr="00E110B4">
        <w:rPr>
          <w:rFonts w:eastAsia="Times New Roman" w:cs="Arial"/>
          <w:color w:val="000000"/>
          <w:lang w:val="en-US"/>
        </w:rPr>
        <w:t>ULN</w:t>
      </w:r>
      <w:r w:rsidRPr="00E110B4">
        <w:rPr>
          <w:rFonts w:eastAsia="Times New Roman" w:cs="Arial"/>
          <w:color w:val="000000"/>
          <w:lang w:val="ru-RU"/>
        </w:rPr>
        <w:t xml:space="preserve">. </w:t>
      </w:r>
      <w:r w:rsidRPr="00E110B4">
        <w:rPr>
          <w:rFonts w:eastAsia="Times New Roman" w:cs="Arial"/>
          <w:color w:val="000000"/>
          <w:lang w:eastAsia="bg-BG"/>
        </w:rPr>
        <w:t xml:space="preserve">Всички 57 пациенти са останали положителни за </w:t>
      </w:r>
      <w:r w:rsidRPr="00E110B4">
        <w:rPr>
          <w:rFonts w:eastAsia="Times New Roman" w:cs="Arial"/>
          <w:color w:val="000000"/>
          <w:lang w:val="en-US"/>
        </w:rPr>
        <w:t>HBsAg</w:t>
      </w:r>
      <w:r w:rsidRPr="00E110B4">
        <w:rPr>
          <w:rFonts w:eastAsia="Times New Roman" w:cs="Arial"/>
          <w:color w:val="000000"/>
          <w:lang w:val="ru-RU"/>
        </w:rPr>
        <w:t>.</w:t>
      </w:r>
    </w:p>
    <w:p w14:paraId="321983C5" w14:textId="77777777" w:rsidR="00E110B4" w:rsidRPr="00E110B4" w:rsidRDefault="00E110B4" w:rsidP="00E110B4">
      <w:pPr>
        <w:spacing w:line="240" w:lineRule="auto"/>
        <w:rPr>
          <w:rFonts w:eastAsia="Times New Roman" w:cs="Arial"/>
          <w:i/>
          <w:iCs/>
          <w:color w:val="000000"/>
          <w:lang w:eastAsia="bg-BG"/>
        </w:rPr>
      </w:pPr>
    </w:p>
    <w:p w14:paraId="643D328F" w14:textId="68F5A074" w:rsidR="00E110B4" w:rsidRPr="00E110B4" w:rsidRDefault="00E110B4" w:rsidP="00E110B4">
      <w:pPr>
        <w:spacing w:line="240" w:lineRule="auto"/>
        <w:rPr>
          <w:rFonts w:eastAsia="Times New Roman" w:cs="Arial"/>
        </w:rPr>
      </w:pPr>
      <w:r w:rsidRPr="00E110B4">
        <w:rPr>
          <w:rFonts w:eastAsia="Times New Roman" w:cs="Arial"/>
          <w:i/>
          <w:iCs/>
          <w:color w:val="000000"/>
          <w:lang w:eastAsia="bg-BG"/>
        </w:rPr>
        <w:t>Ламивудин-рефрактерни пациенти:</w:t>
      </w:r>
    </w:p>
    <w:p w14:paraId="1AC991A3" w14:textId="77777777" w:rsidR="00E110B4" w:rsidRPr="00E110B4" w:rsidRDefault="00E110B4" w:rsidP="00E110B4">
      <w:pPr>
        <w:spacing w:line="240" w:lineRule="auto"/>
        <w:rPr>
          <w:rFonts w:eastAsia="Times New Roman" w:cs="Arial"/>
        </w:rPr>
      </w:pPr>
      <w:r w:rsidRPr="00E110B4">
        <w:rPr>
          <w:rFonts w:eastAsia="Times New Roman" w:cs="Arial"/>
          <w:color w:val="000000"/>
          <w:lang w:val="en-US"/>
        </w:rPr>
        <w:t>HBeAg</w:t>
      </w:r>
      <w:r w:rsidRPr="00E110B4">
        <w:rPr>
          <w:rFonts w:eastAsia="Times New Roman" w:cs="Arial"/>
          <w:color w:val="000000"/>
          <w:lang w:val="ru-RU"/>
        </w:rPr>
        <w:t xml:space="preserve"> </w:t>
      </w:r>
      <w:r w:rsidRPr="00E110B4">
        <w:rPr>
          <w:rFonts w:eastAsia="Times New Roman" w:cs="Arial"/>
          <w:color w:val="000000"/>
          <w:lang w:eastAsia="bg-BG"/>
        </w:rPr>
        <w:t>положителни (проучване 026): лечението с ентекавир до 96 седмици (</w:t>
      </w:r>
      <w:r w:rsidRPr="00E110B4">
        <w:rPr>
          <w:rFonts w:eastAsia="Times New Roman" w:cs="Arial"/>
          <w:color w:val="000000"/>
          <w:lang w:val="en-US"/>
        </w:rPr>
        <w:t>n</w:t>
      </w:r>
      <w:r w:rsidRPr="00E110B4">
        <w:rPr>
          <w:rFonts w:eastAsia="Times New Roman" w:cs="Arial"/>
          <w:color w:val="000000"/>
          <w:lang w:eastAsia="bg-BG"/>
        </w:rPr>
        <w:t xml:space="preserve"> = 141) води до кумулативен отговор от 30% по отношение на </w:t>
      </w:r>
      <w:r w:rsidRPr="00E110B4">
        <w:rPr>
          <w:rFonts w:eastAsia="Times New Roman" w:cs="Arial"/>
          <w:color w:val="000000"/>
          <w:lang w:val="en-US"/>
        </w:rPr>
        <w:t>HBV</w:t>
      </w:r>
      <w:r w:rsidRPr="00E110B4">
        <w:rPr>
          <w:rFonts w:eastAsia="Times New Roman" w:cs="Arial"/>
          <w:color w:val="000000"/>
          <w:lang w:val="ru-RU"/>
        </w:rPr>
        <w:t xml:space="preserve"> </w:t>
      </w:r>
      <w:r w:rsidRPr="00E110B4">
        <w:rPr>
          <w:rFonts w:eastAsia="Times New Roman" w:cs="Arial"/>
          <w:color w:val="000000"/>
          <w:lang w:eastAsia="bg-BG"/>
        </w:rPr>
        <w:t>ДНК &lt; 300 копия</w:t>
      </w:r>
      <w:r w:rsidRPr="00E110B4">
        <w:rPr>
          <w:rFonts w:eastAsia="Times New Roman" w:cs="Arial"/>
          <w:color w:val="000000"/>
          <w:lang w:val="ru-RU"/>
        </w:rPr>
        <w:t>/</w:t>
      </w:r>
      <w:r w:rsidRPr="00E110B4">
        <w:rPr>
          <w:rFonts w:eastAsia="Times New Roman" w:cs="Arial"/>
          <w:color w:val="000000"/>
          <w:lang w:val="en-US"/>
        </w:rPr>
        <w:t>ml</w:t>
      </w:r>
      <w:r w:rsidRPr="00E110B4">
        <w:rPr>
          <w:rFonts w:eastAsia="Times New Roman" w:cs="Arial"/>
          <w:color w:val="000000"/>
          <w:lang w:val="ru-RU"/>
        </w:rPr>
        <w:t xml:space="preserve"> </w:t>
      </w:r>
      <w:r w:rsidRPr="00E110B4">
        <w:rPr>
          <w:rFonts w:eastAsia="Times New Roman" w:cs="Arial"/>
          <w:color w:val="000000"/>
          <w:lang w:eastAsia="bg-BG"/>
        </w:rPr>
        <w:t xml:space="preserve">чрез </w:t>
      </w:r>
      <w:r w:rsidRPr="00E110B4">
        <w:rPr>
          <w:rFonts w:eastAsia="Times New Roman" w:cs="Arial"/>
          <w:color w:val="000000"/>
          <w:lang w:val="en-US"/>
        </w:rPr>
        <w:t>PCR</w:t>
      </w:r>
      <w:r w:rsidRPr="00E110B4">
        <w:rPr>
          <w:rFonts w:eastAsia="Times New Roman" w:cs="Arial"/>
          <w:color w:val="000000"/>
          <w:lang w:val="ru-RU"/>
        </w:rPr>
        <w:t xml:space="preserve">, </w:t>
      </w:r>
      <w:r w:rsidRPr="00E110B4">
        <w:rPr>
          <w:rFonts w:eastAsia="Times New Roman" w:cs="Arial"/>
          <w:color w:val="000000"/>
          <w:lang w:eastAsia="bg-BG"/>
        </w:rPr>
        <w:t xml:space="preserve">85% по отношение на нормализирането на </w:t>
      </w:r>
      <w:r w:rsidRPr="00E110B4">
        <w:rPr>
          <w:rFonts w:eastAsia="Times New Roman" w:cs="Arial"/>
          <w:color w:val="000000"/>
          <w:lang w:val="en-US"/>
        </w:rPr>
        <w:t>ALT</w:t>
      </w:r>
      <w:r w:rsidRPr="00E110B4">
        <w:rPr>
          <w:rFonts w:eastAsia="Times New Roman" w:cs="Arial"/>
          <w:color w:val="000000"/>
          <w:lang w:val="ru-RU"/>
        </w:rPr>
        <w:t xml:space="preserve"> </w:t>
      </w:r>
      <w:r w:rsidRPr="00E110B4">
        <w:rPr>
          <w:rFonts w:eastAsia="Times New Roman" w:cs="Arial"/>
          <w:color w:val="000000"/>
          <w:lang w:eastAsia="bg-BG"/>
        </w:rPr>
        <w:t xml:space="preserve">и 17% по отношение на </w:t>
      </w:r>
      <w:r w:rsidRPr="00E110B4">
        <w:rPr>
          <w:rFonts w:eastAsia="Times New Roman" w:cs="Arial"/>
          <w:color w:val="000000"/>
          <w:lang w:val="en-US"/>
        </w:rPr>
        <w:t>HBeAg</w:t>
      </w:r>
      <w:r w:rsidRPr="00E110B4">
        <w:rPr>
          <w:rFonts w:eastAsia="Times New Roman" w:cs="Arial"/>
          <w:color w:val="000000"/>
          <w:lang w:val="ru-RU"/>
        </w:rPr>
        <w:t xml:space="preserve"> </w:t>
      </w:r>
      <w:r w:rsidRPr="00E110B4">
        <w:rPr>
          <w:rFonts w:eastAsia="Times New Roman" w:cs="Arial"/>
          <w:color w:val="000000"/>
          <w:lang w:eastAsia="bg-BG"/>
        </w:rPr>
        <w:t xml:space="preserve">сероконверсия. От 77 пациенти, продължили лечението с ентекавир над 52 седмици (средно 96 седмици), 40% от пациентите имат </w:t>
      </w:r>
      <w:r w:rsidRPr="00E110B4">
        <w:rPr>
          <w:rFonts w:eastAsia="Times New Roman" w:cs="Arial"/>
          <w:color w:val="000000"/>
          <w:lang w:val="en-US"/>
        </w:rPr>
        <w:t>HBV</w:t>
      </w:r>
      <w:r w:rsidRPr="00E110B4">
        <w:rPr>
          <w:rFonts w:eastAsia="Times New Roman" w:cs="Arial"/>
          <w:color w:val="000000"/>
          <w:lang w:val="ru-RU"/>
        </w:rPr>
        <w:t xml:space="preserve"> </w:t>
      </w:r>
      <w:r w:rsidRPr="00E110B4">
        <w:rPr>
          <w:rFonts w:eastAsia="Times New Roman" w:cs="Arial"/>
          <w:color w:val="000000"/>
          <w:lang w:eastAsia="bg-BG"/>
        </w:rPr>
        <w:t>ДНК &lt;300 копия</w:t>
      </w:r>
      <w:r w:rsidRPr="00E110B4">
        <w:rPr>
          <w:rFonts w:eastAsia="Times New Roman" w:cs="Arial"/>
          <w:color w:val="000000"/>
          <w:lang w:val="ru-RU"/>
        </w:rPr>
        <w:t>/</w:t>
      </w:r>
      <w:r w:rsidRPr="00E110B4">
        <w:rPr>
          <w:rFonts w:eastAsia="Times New Roman" w:cs="Arial"/>
          <w:color w:val="000000"/>
          <w:lang w:val="en-US"/>
        </w:rPr>
        <w:t>ml</w:t>
      </w:r>
      <w:r w:rsidRPr="00E110B4">
        <w:rPr>
          <w:rFonts w:eastAsia="Times New Roman" w:cs="Arial"/>
          <w:color w:val="000000"/>
          <w:lang w:val="ru-RU"/>
        </w:rPr>
        <w:t xml:space="preserve"> </w:t>
      </w:r>
      <w:r w:rsidRPr="00E110B4">
        <w:rPr>
          <w:rFonts w:eastAsia="Times New Roman" w:cs="Arial"/>
          <w:color w:val="000000"/>
          <w:lang w:eastAsia="bg-BG"/>
        </w:rPr>
        <w:t xml:space="preserve">чрез </w:t>
      </w:r>
      <w:r w:rsidRPr="00E110B4">
        <w:rPr>
          <w:rFonts w:eastAsia="Times New Roman" w:cs="Arial"/>
          <w:color w:val="000000"/>
          <w:lang w:val="en-US"/>
        </w:rPr>
        <w:t>PCR</w:t>
      </w:r>
      <w:r w:rsidRPr="00E110B4">
        <w:rPr>
          <w:rFonts w:eastAsia="Times New Roman" w:cs="Arial"/>
          <w:color w:val="000000"/>
          <w:lang w:val="ru-RU"/>
        </w:rPr>
        <w:t xml:space="preserve">, </w:t>
      </w:r>
      <w:r w:rsidRPr="00E110B4">
        <w:rPr>
          <w:rFonts w:eastAsia="Times New Roman" w:cs="Arial"/>
          <w:color w:val="000000"/>
          <w:lang w:eastAsia="bg-BG"/>
        </w:rPr>
        <w:t xml:space="preserve">а 81% имат нормализиране на </w:t>
      </w:r>
      <w:r w:rsidRPr="00E110B4">
        <w:rPr>
          <w:rFonts w:eastAsia="Times New Roman" w:cs="Arial"/>
          <w:color w:val="000000"/>
          <w:lang w:val="en-US"/>
        </w:rPr>
        <w:t>ALT</w:t>
      </w:r>
      <w:r w:rsidRPr="00E110B4">
        <w:rPr>
          <w:rFonts w:eastAsia="Times New Roman" w:cs="Arial"/>
          <w:color w:val="000000"/>
          <w:lang w:val="ru-RU"/>
        </w:rPr>
        <w:t xml:space="preserve"> </w:t>
      </w:r>
      <w:r w:rsidRPr="00E110B4">
        <w:rPr>
          <w:rFonts w:eastAsia="Times New Roman" w:cs="Arial"/>
          <w:color w:val="000000"/>
          <w:lang w:eastAsia="bg-BG"/>
        </w:rPr>
        <w:t xml:space="preserve">(≤1 пъти спрямо </w:t>
      </w:r>
      <w:r w:rsidRPr="00E110B4">
        <w:rPr>
          <w:rFonts w:eastAsia="Times New Roman" w:cs="Arial"/>
          <w:color w:val="000000"/>
          <w:lang w:val="en-US"/>
        </w:rPr>
        <w:t>ULN</w:t>
      </w:r>
      <w:r w:rsidRPr="00E110B4">
        <w:rPr>
          <w:rFonts w:eastAsia="Times New Roman" w:cs="Arial"/>
          <w:color w:val="000000"/>
          <w:lang w:val="ru-RU"/>
        </w:rPr>
        <w:t xml:space="preserve">) </w:t>
      </w:r>
      <w:r w:rsidRPr="00E110B4">
        <w:rPr>
          <w:rFonts w:eastAsia="Times New Roman" w:cs="Arial"/>
          <w:color w:val="000000"/>
          <w:lang w:eastAsia="bg-BG"/>
        </w:rPr>
        <w:t>в края на лечението.</w:t>
      </w:r>
    </w:p>
    <w:p w14:paraId="27F8B7E4" w14:textId="77777777" w:rsidR="00E110B4" w:rsidRPr="00E110B4" w:rsidRDefault="00E110B4" w:rsidP="00E110B4">
      <w:pPr>
        <w:spacing w:line="240" w:lineRule="auto"/>
        <w:rPr>
          <w:rFonts w:eastAsia="Times New Roman" w:cs="Arial"/>
          <w:i/>
          <w:iCs/>
          <w:color w:val="000000"/>
          <w:lang w:eastAsia="bg-BG"/>
        </w:rPr>
      </w:pPr>
    </w:p>
    <w:p w14:paraId="41E4CD17" w14:textId="17E0D930" w:rsidR="00E110B4" w:rsidRPr="00E110B4" w:rsidRDefault="00E110B4" w:rsidP="00E110B4">
      <w:pPr>
        <w:spacing w:line="240" w:lineRule="auto"/>
        <w:rPr>
          <w:rFonts w:eastAsia="Times New Roman" w:cs="Arial"/>
        </w:rPr>
      </w:pPr>
      <w:r w:rsidRPr="00E110B4">
        <w:rPr>
          <w:rFonts w:eastAsia="Times New Roman" w:cs="Arial"/>
          <w:i/>
          <w:iCs/>
          <w:color w:val="000000"/>
          <w:lang w:eastAsia="bg-BG"/>
        </w:rPr>
        <w:t>Възраст/пол:</w:t>
      </w:r>
    </w:p>
    <w:p w14:paraId="019CD203" w14:textId="77777777" w:rsidR="00E110B4" w:rsidRPr="00E110B4" w:rsidRDefault="00E110B4" w:rsidP="00E110B4">
      <w:pPr>
        <w:spacing w:line="240" w:lineRule="auto"/>
        <w:rPr>
          <w:rFonts w:eastAsia="Times New Roman" w:cs="Arial"/>
        </w:rPr>
      </w:pPr>
      <w:r w:rsidRPr="00E110B4">
        <w:rPr>
          <w:rFonts w:eastAsia="Times New Roman" w:cs="Arial"/>
          <w:color w:val="000000"/>
          <w:lang w:eastAsia="bg-BG"/>
        </w:rPr>
        <w:t>Не са наблюдавани очевидни различия в ефикасността на ентекавир по отношение на пола (≈ 25% жени, участвали в клиничните проучвания) или възрастта (≈ 5% от пациентите са били на възраст &gt; 65 години).</w:t>
      </w:r>
    </w:p>
    <w:p w14:paraId="7F891C8D" w14:textId="77777777" w:rsidR="00E110B4" w:rsidRPr="00E110B4" w:rsidRDefault="00E110B4" w:rsidP="00E110B4">
      <w:pPr>
        <w:spacing w:line="240" w:lineRule="auto"/>
        <w:rPr>
          <w:rFonts w:eastAsia="Times New Roman" w:cs="Arial"/>
          <w:i/>
          <w:iCs/>
          <w:color w:val="000000"/>
          <w:lang w:eastAsia="bg-BG"/>
        </w:rPr>
      </w:pPr>
    </w:p>
    <w:p w14:paraId="78316AB8" w14:textId="0BB37B2D" w:rsidR="00E110B4" w:rsidRPr="00E110B4" w:rsidRDefault="00E110B4" w:rsidP="00E110B4">
      <w:pPr>
        <w:spacing w:line="240" w:lineRule="auto"/>
        <w:rPr>
          <w:rFonts w:eastAsia="Times New Roman" w:cs="Arial"/>
        </w:rPr>
      </w:pPr>
      <w:r w:rsidRPr="00E110B4">
        <w:rPr>
          <w:rFonts w:eastAsia="Times New Roman" w:cs="Arial"/>
          <w:i/>
          <w:iCs/>
          <w:color w:val="000000"/>
          <w:lang w:eastAsia="bg-BG"/>
        </w:rPr>
        <w:t>Дългосрочно последващо проучване</w:t>
      </w:r>
    </w:p>
    <w:p w14:paraId="1AD80670" w14:textId="77777777" w:rsidR="00E110B4" w:rsidRPr="00E110B4" w:rsidRDefault="00E110B4" w:rsidP="00E110B4">
      <w:pPr>
        <w:spacing w:line="240" w:lineRule="auto"/>
        <w:rPr>
          <w:rFonts w:eastAsia="Times New Roman" w:cs="Arial"/>
        </w:rPr>
      </w:pPr>
      <w:r w:rsidRPr="00E110B4">
        <w:rPr>
          <w:rFonts w:eastAsia="Times New Roman" w:cs="Arial"/>
          <w:color w:val="000000"/>
          <w:lang w:eastAsia="bg-BG"/>
        </w:rPr>
        <w:t xml:space="preserve">Проучване 080 е рандомизирано, обсервационно отворено проучване фаза 4 за оценка на дългосрочните рискове от лечение с ентекавир </w:t>
      </w:r>
      <w:r w:rsidRPr="00E110B4">
        <w:rPr>
          <w:rFonts w:eastAsia="Times New Roman" w:cs="Arial"/>
          <w:color w:val="000000"/>
          <w:lang w:val="ru-RU"/>
        </w:rPr>
        <w:t>(</w:t>
      </w:r>
      <w:r w:rsidRPr="00E110B4">
        <w:rPr>
          <w:rFonts w:eastAsia="Times New Roman" w:cs="Arial"/>
          <w:color w:val="000000"/>
          <w:lang w:val="en-US"/>
        </w:rPr>
        <w:t>ETV</w:t>
      </w:r>
      <w:r w:rsidRPr="00E110B4">
        <w:rPr>
          <w:rFonts w:eastAsia="Times New Roman" w:cs="Arial"/>
          <w:color w:val="000000"/>
          <w:lang w:val="ru-RU"/>
        </w:rPr>
        <w:t xml:space="preserve">, </w:t>
      </w:r>
      <w:r w:rsidRPr="00E110B4">
        <w:rPr>
          <w:rFonts w:eastAsia="Times New Roman" w:cs="Arial"/>
          <w:color w:val="000000"/>
          <w:lang w:val="en-US"/>
        </w:rPr>
        <w:t>n</w:t>
      </w:r>
      <w:r w:rsidRPr="00E110B4">
        <w:rPr>
          <w:rFonts w:eastAsia="Times New Roman" w:cs="Arial"/>
          <w:color w:val="000000"/>
          <w:lang w:eastAsia="bg-BG"/>
        </w:rPr>
        <w:t xml:space="preserve"> = 6 216) или друг стандарт на лечение с </w:t>
      </w:r>
      <w:r w:rsidRPr="00E110B4">
        <w:rPr>
          <w:rFonts w:eastAsia="Times New Roman" w:cs="Arial"/>
          <w:color w:val="000000"/>
          <w:lang w:val="en-US"/>
        </w:rPr>
        <w:t>HBV</w:t>
      </w:r>
      <w:r w:rsidRPr="00E110B4">
        <w:rPr>
          <w:rFonts w:eastAsia="Times New Roman" w:cs="Arial"/>
          <w:color w:val="000000"/>
          <w:lang w:val="ru-RU"/>
        </w:rPr>
        <w:t xml:space="preserve"> </w:t>
      </w:r>
      <w:r w:rsidRPr="00E110B4">
        <w:rPr>
          <w:rFonts w:eastAsia="Times New Roman" w:cs="Arial"/>
          <w:color w:val="000000"/>
          <w:lang w:eastAsia="bg-BG"/>
        </w:rPr>
        <w:t xml:space="preserve">нуклеозидно (киселинно) лечение (без </w:t>
      </w:r>
      <w:r w:rsidRPr="00E110B4">
        <w:rPr>
          <w:rFonts w:eastAsia="Times New Roman" w:cs="Arial"/>
          <w:color w:val="000000"/>
          <w:lang w:val="en-US"/>
        </w:rPr>
        <w:t>ETV</w:t>
      </w:r>
      <w:r w:rsidRPr="00E110B4">
        <w:rPr>
          <w:rFonts w:eastAsia="Times New Roman" w:cs="Arial"/>
          <w:color w:val="000000"/>
          <w:lang w:val="ru-RU"/>
        </w:rPr>
        <w:t xml:space="preserve">) </w:t>
      </w:r>
      <w:r w:rsidRPr="00E110B4">
        <w:rPr>
          <w:rFonts w:eastAsia="Times New Roman" w:cs="Arial"/>
          <w:color w:val="000000"/>
          <w:lang w:eastAsia="bg-BG"/>
        </w:rPr>
        <w:t>(</w:t>
      </w:r>
      <w:r w:rsidRPr="00E110B4">
        <w:rPr>
          <w:rFonts w:eastAsia="Times New Roman" w:cs="Arial"/>
          <w:color w:val="000000"/>
          <w:lang w:val="en-US"/>
        </w:rPr>
        <w:t>n</w:t>
      </w:r>
      <w:r w:rsidRPr="00E110B4">
        <w:rPr>
          <w:rFonts w:eastAsia="Times New Roman" w:cs="Arial"/>
          <w:color w:val="000000"/>
          <w:lang w:eastAsia="bg-BG"/>
        </w:rPr>
        <w:t xml:space="preserve"> = 6 162), проведено в продължение на до 10 години при участници с хронична инфекция с </w:t>
      </w:r>
      <w:r w:rsidRPr="00E110B4">
        <w:rPr>
          <w:rFonts w:eastAsia="Times New Roman" w:cs="Arial"/>
          <w:color w:val="000000"/>
          <w:lang w:val="en-US"/>
        </w:rPr>
        <w:t>HBV</w:t>
      </w:r>
      <w:r w:rsidRPr="00E110B4">
        <w:rPr>
          <w:rFonts w:eastAsia="Times New Roman" w:cs="Arial"/>
          <w:color w:val="000000"/>
          <w:lang w:val="ru-RU"/>
        </w:rPr>
        <w:t xml:space="preserve"> </w:t>
      </w:r>
      <w:r w:rsidRPr="00E110B4">
        <w:rPr>
          <w:rFonts w:eastAsia="Times New Roman" w:cs="Arial"/>
          <w:color w:val="000000"/>
          <w:lang w:eastAsia="bg-BG"/>
        </w:rPr>
        <w:t xml:space="preserve">(СНВ). Основните клинични резултати, оценени в проучването, като цяло са злокачествени новообразувания (съставно събитие на НСС и злокачествени новообразувания, които не включват НСС), прогресия на чернодробна болест, свързана с НВV, злокачествени новообразувания, които не включват НСС, НСС и смърт, включително смърт, свързана с черния дроб. В това проучване </w:t>
      </w:r>
      <w:r w:rsidRPr="00E110B4">
        <w:rPr>
          <w:rFonts w:eastAsia="Times New Roman" w:cs="Arial"/>
          <w:color w:val="000000"/>
          <w:lang w:val="en-US"/>
        </w:rPr>
        <w:t>ETV</w:t>
      </w:r>
      <w:r w:rsidRPr="00E110B4">
        <w:rPr>
          <w:rFonts w:eastAsia="Times New Roman" w:cs="Arial"/>
          <w:color w:val="000000"/>
          <w:lang w:val="ru-RU"/>
        </w:rPr>
        <w:t xml:space="preserve"> </w:t>
      </w:r>
      <w:r w:rsidRPr="00E110B4">
        <w:rPr>
          <w:rFonts w:eastAsia="Times New Roman" w:cs="Arial"/>
          <w:color w:val="000000"/>
          <w:lang w:eastAsia="bg-BG"/>
        </w:rPr>
        <w:t xml:space="preserve">не е свързан с повишен риск от злокачествени новообразувания в сравнение със случаите без </w:t>
      </w:r>
      <w:r w:rsidRPr="00E110B4">
        <w:rPr>
          <w:rFonts w:eastAsia="Times New Roman" w:cs="Arial"/>
          <w:color w:val="000000"/>
          <w:lang w:val="en-US"/>
        </w:rPr>
        <w:t>ETV</w:t>
      </w:r>
      <w:r w:rsidRPr="00E110B4">
        <w:rPr>
          <w:rFonts w:eastAsia="Times New Roman" w:cs="Arial"/>
          <w:color w:val="000000"/>
          <w:lang w:val="ru-RU"/>
        </w:rPr>
        <w:t xml:space="preserve">, </w:t>
      </w:r>
      <w:r w:rsidRPr="00E110B4">
        <w:rPr>
          <w:rFonts w:eastAsia="Times New Roman" w:cs="Arial"/>
          <w:color w:val="000000"/>
          <w:lang w:eastAsia="bg-BG"/>
        </w:rPr>
        <w:t xml:space="preserve">както се оценява или от съставната крайна точка на общите злокачествени новообразувания </w:t>
      </w:r>
      <w:r w:rsidRPr="00E110B4">
        <w:rPr>
          <w:rFonts w:eastAsia="Times New Roman" w:cs="Arial"/>
          <w:color w:val="000000"/>
          <w:lang w:val="ru-RU"/>
        </w:rPr>
        <w:t>(</w:t>
      </w:r>
      <w:r w:rsidRPr="00E110B4">
        <w:rPr>
          <w:rFonts w:eastAsia="Times New Roman" w:cs="Arial"/>
          <w:color w:val="000000"/>
          <w:lang w:val="en-US"/>
        </w:rPr>
        <w:t>ETV</w:t>
      </w:r>
      <w:r w:rsidRPr="00E110B4">
        <w:rPr>
          <w:rFonts w:eastAsia="Times New Roman" w:cs="Arial"/>
          <w:color w:val="000000"/>
          <w:lang w:val="ru-RU"/>
        </w:rPr>
        <w:t xml:space="preserve"> </w:t>
      </w:r>
      <w:r w:rsidRPr="00E110B4">
        <w:rPr>
          <w:rFonts w:eastAsia="Times New Roman" w:cs="Arial"/>
          <w:color w:val="000000"/>
          <w:lang w:val="en-US"/>
        </w:rPr>
        <w:t>n</w:t>
      </w:r>
      <w:r w:rsidRPr="00E110B4">
        <w:rPr>
          <w:rFonts w:eastAsia="Times New Roman" w:cs="Arial"/>
          <w:color w:val="000000"/>
          <w:lang w:eastAsia="bg-BG"/>
        </w:rPr>
        <w:t xml:space="preserve"> = 331, не</w:t>
      </w:r>
      <w:r w:rsidRPr="00E110B4">
        <w:rPr>
          <w:rFonts w:eastAsia="Times New Roman" w:cs="Arial"/>
          <w:color w:val="000000"/>
          <w:lang w:val="en-US"/>
        </w:rPr>
        <w:t>ETV</w:t>
      </w:r>
      <w:r w:rsidRPr="00E110B4">
        <w:rPr>
          <w:rFonts w:eastAsia="Times New Roman" w:cs="Arial"/>
          <w:color w:val="000000"/>
          <w:lang w:val="ru-RU"/>
        </w:rPr>
        <w:t xml:space="preserve"> </w:t>
      </w:r>
      <w:r w:rsidRPr="00E110B4">
        <w:rPr>
          <w:rFonts w:eastAsia="Times New Roman" w:cs="Arial"/>
          <w:color w:val="000000"/>
          <w:lang w:val="en-US"/>
        </w:rPr>
        <w:t>n</w:t>
      </w:r>
      <w:r w:rsidRPr="00E110B4">
        <w:rPr>
          <w:rFonts w:eastAsia="Times New Roman" w:cs="Arial"/>
          <w:color w:val="000000"/>
          <w:lang w:eastAsia="bg-BG"/>
        </w:rPr>
        <w:t xml:space="preserve"> = 337; </w:t>
      </w:r>
      <w:r w:rsidRPr="00E110B4">
        <w:rPr>
          <w:rFonts w:eastAsia="Times New Roman" w:cs="Arial"/>
          <w:color w:val="000000"/>
          <w:lang w:val="en-US"/>
        </w:rPr>
        <w:t>HR</w:t>
      </w:r>
      <w:r w:rsidRPr="00E110B4">
        <w:rPr>
          <w:rFonts w:eastAsia="Times New Roman" w:cs="Arial"/>
          <w:color w:val="000000"/>
          <w:lang w:val="ru-RU"/>
        </w:rPr>
        <w:t xml:space="preserve"> </w:t>
      </w:r>
      <w:r w:rsidRPr="00E110B4">
        <w:rPr>
          <w:rFonts w:eastAsia="Times New Roman" w:cs="Arial"/>
          <w:color w:val="000000"/>
          <w:lang w:eastAsia="bg-BG"/>
        </w:rPr>
        <w:t xml:space="preserve">= 0,93 [0,8-1,1]), или индивидуалната крайна точка на злокачествените неоплазми, които не включват НСС </w:t>
      </w:r>
      <w:r w:rsidRPr="00E110B4">
        <w:rPr>
          <w:rFonts w:eastAsia="Times New Roman" w:cs="Arial"/>
          <w:color w:val="000000"/>
          <w:lang w:val="ru-RU"/>
        </w:rPr>
        <w:t>(</w:t>
      </w:r>
      <w:r w:rsidRPr="00E110B4">
        <w:rPr>
          <w:rFonts w:eastAsia="Times New Roman" w:cs="Arial"/>
          <w:color w:val="000000"/>
          <w:lang w:val="en-US"/>
        </w:rPr>
        <w:t>ETV</w:t>
      </w:r>
      <w:r w:rsidRPr="00E110B4">
        <w:rPr>
          <w:rFonts w:eastAsia="Times New Roman" w:cs="Arial"/>
          <w:color w:val="000000"/>
          <w:lang w:val="ru-RU"/>
        </w:rPr>
        <w:t xml:space="preserve"> </w:t>
      </w:r>
      <w:r w:rsidRPr="00E110B4">
        <w:rPr>
          <w:rFonts w:eastAsia="Times New Roman" w:cs="Arial"/>
          <w:color w:val="000000"/>
          <w:lang w:val="en-US"/>
        </w:rPr>
        <w:t>n</w:t>
      </w:r>
      <w:r w:rsidRPr="00E110B4">
        <w:rPr>
          <w:rFonts w:eastAsia="Times New Roman" w:cs="Arial"/>
          <w:color w:val="000000"/>
          <w:lang w:eastAsia="bg-BG"/>
        </w:rPr>
        <w:t xml:space="preserve"> = 95, без </w:t>
      </w:r>
      <w:r w:rsidRPr="00E110B4">
        <w:rPr>
          <w:rFonts w:eastAsia="Times New Roman" w:cs="Arial"/>
          <w:color w:val="000000"/>
          <w:lang w:val="en-US"/>
        </w:rPr>
        <w:t>ETV</w:t>
      </w:r>
      <w:r w:rsidRPr="00E110B4">
        <w:rPr>
          <w:rFonts w:eastAsia="Times New Roman" w:cs="Arial"/>
          <w:color w:val="000000"/>
          <w:lang w:val="ru-RU"/>
        </w:rPr>
        <w:t xml:space="preserve"> </w:t>
      </w:r>
      <w:r w:rsidRPr="00E110B4">
        <w:rPr>
          <w:rFonts w:eastAsia="Times New Roman" w:cs="Arial"/>
          <w:color w:val="000000"/>
          <w:lang w:val="en-US"/>
        </w:rPr>
        <w:t>n</w:t>
      </w:r>
      <w:r w:rsidRPr="00E110B4">
        <w:rPr>
          <w:rFonts w:eastAsia="Times New Roman" w:cs="Arial"/>
          <w:color w:val="000000"/>
          <w:lang w:eastAsia="bg-BG"/>
        </w:rPr>
        <w:t xml:space="preserve"> = 81; </w:t>
      </w:r>
      <w:r w:rsidRPr="00E110B4">
        <w:rPr>
          <w:rFonts w:eastAsia="Times New Roman" w:cs="Arial"/>
          <w:color w:val="000000"/>
          <w:lang w:val="en-US"/>
        </w:rPr>
        <w:t>HR</w:t>
      </w:r>
      <w:r w:rsidRPr="00E110B4">
        <w:rPr>
          <w:rFonts w:eastAsia="Times New Roman" w:cs="Arial"/>
          <w:color w:val="000000"/>
          <w:lang w:val="ru-RU"/>
        </w:rPr>
        <w:t xml:space="preserve"> </w:t>
      </w:r>
      <w:r w:rsidRPr="00E110B4">
        <w:rPr>
          <w:rFonts w:eastAsia="Times New Roman" w:cs="Arial"/>
          <w:color w:val="000000"/>
          <w:lang w:eastAsia="bg-BG"/>
        </w:rPr>
        <w:t xml:space="preserve">=1,1 [0,82-1,5]). Съобщените събития за прогресия на чернодробна болест, свързана </w:t>
      </w:r>
      <w:r w:rsidRPr="00E110B4">
        <w:rPr>
          <w:rFonts w:eastAsia="Times New Roman" w:cs="Arial"/>
          <w:color w:val="000000"/>
          <w:lang w:val="en-US"/>
        </w:rPr>
        <w:t>HBV</w:t>
      </w:r>
      <w:r w:rsidRPr="00E110B4">
        <w:rPr>
          <w:rFonts w:eastAsia="Times New Roman" w:cs="Arial"/>
          <w:color w:val="000000"/>
          <w:lang w:val="ru-RU"/>
        </w:rPr>
        <w:t xml:space="preserve"> </w:t>
      </w:r>
      <w:r w:rsidRPr="00E110B4">
        <w:rPr>
          <w:rFonts w:eastAsia="Times New Roman" w:cs="Arial"/>
          <w:color w:val="000000"/>
          <w:lang w:eastAsia="bg-BG"/>
        </w:rPr>
        <w:t xml:space="preserve">и НСС са сравними както в групата с </w:t>
      </w:r>
      <w:r w:rsidRPr="00E110B4">
        <w:rPr>
          <w:rFonts w:eastAsia="Times New Roman" w:cs="Arial"/>
          <w:color w:val="000000"/>
          <w:lang w:val="en-US"/>
        </w:rPr>
        <w:t>ETV</w:t>
      </w:r>
      <w:r w:rsidRPr="00E110B4">
        <w:rPr>
          <w:rFonts w:eastAsia="Times New Roman" w:cs="Arial"/>
          <w:color w:val="000000"/>
          <w:lang w:val="ru-RU"/>
        </w:rPr>
        <w:t xml:space="preserve">, </w:t>
      </w:r>
      <w:r w:rsidRPr="00E110B4">
        <w:rPr>
          <w:rFonts w:eastAsia="Times New Roman" w:cs="Arial"/>
          <w:color w:val="000000"/>
          <w:lang w:eastAsia="bg-BG"/>
        </w:rPr>
        <w:t xml:space="preserve">така и в групата без </w:t>
      </w:r>
      <w:r w:rsidRPr="00E110B4">
        <w:rPr>
          <w:rFonts w:eastAsia="Times New Roman" w:cs="Arial"/>
          <w:color w:val="000000"/>
          <w:lang w:val="en-US"/>
        </w:rPr>
        <w:t>ETV</w:t>
      </w:r>
      <w:r w:rsidRPr="00E110B4">
        <w:rPr>
          <w:rFonts w:eastAsia="Times New Roman" w:cs="Arial"/>
          <w:color w:val="000000"/>
          <w:lang w:val="ru-RU"/>
        </w:rPr>
        <w:t xml:space="preserve">. </w:t>
      </w:r>
      <w:r w:rsidRPr="00E110B4">
        <w:rPr>
          <w:rFonts w:eastAsia="Times New Roman" w:cs="Arial"/>
          <w:color w:val="000000"/>
          <w:lang w:eastAsia="bg-BG"/>
        </w:rPr>
        <w:t xml:space="preserve">Най-често съобщаваното злокачествено заболяване както в групата на </w:t>
      </w:r>
      <w:r w:rsidRPr="00E110B4">
        <w:rPr>
          <w:rFonts w:eastAsia="Times New Roman" w:cs="Arial"/>
          <w:color w:val="000000"/>
          <w:lang w:val="en-US"/>
        </w:rPr>
        <w:t>ETV</w:t>
      </w:r>
      <w:r w:rsidRPr="00E110B4">
        <w:rPr>
          <w:rFonts w:eastAsia="Times New Roman" w:cs="Arial"/>
          <w:color w:val="000000"/>
          <w:lang w:val="ru-RU"/>
        </w:rPr>
        <w:t xml:space="preserve">, </w:t>
      </w:r>
      <w:r w:rsidRPr="00E110B4">
        <w:rPr>
          <w:rFonts w:eastAsia="Times New Roman" w:cs="Arial"/>
          <w:color w:val="000000"/>
          <w:lang w:eastAsia="bg-BG"/>
        </w:rPr>
        <w:t xml:space="preserve">така и в групата без </w:t>
      </w:r>
      <w:r w:rsidRPr="00E110B4">
        <w:rPr>
          <w:rFonts w:eastAsia="Times New Roman" w:cs="Arial"/>
          <w:color w:val="000000"/>
          <w:lang w:val="en-US"/>
        </w:rPr>
        <w:t>ETV</w:t>
      </w:r>
      <w:r w:rsidRPr="00E110B4">
        <w:rPr>
          <w:rFonts w:eastAsia="Times New Roman" w:cs="Arial"/>
          <w:color w:val="000000"/>
          <w:lang w:val="ru-RU"/>
        </w:rPr>
        <w:t xml:space="preserve"> </w:t>
      </w:r>
      <w:r w:rsidRPr="00E110B4">
        <w:rPr>
          <w:rFonts w:eastAsia="Times New Roman" w:cs="Arial"/>
          <w:color w:val="000000"/>
          <w:lang w:eastAsia="bg-BG"/>
        </w:rPr>
        <w:t>е НСС, последван от стомашночревни злокачествени заболявания.</w:t>
      </w:r>
    </w:p>
    <w:p w14:paraId="447A85D9" w14:textId="77777777" w:rsidR="00E110B4" w:rsidRPr="00E110B4" w:rsidRDefault="00E110B4" w:rsidP="00E110B4">
      <w:pPr>
        <w:spacing w:line="240" w:lineRule="auto"/>
        <w:rPr>
          <w:rFonts w:eastAsia="Times New Roman" w:cs="Arial"/>
          <w:i/>
          <w:iCs/>
          <w:color w:val="000000"/>
          <w:u w:val="single"/>
          <w:lang w:eastAsia="bg-BG"/>
        </w:rPr>
      </w:pPr>
    </w:p>
    <w:p w14:paraId="6C7BC3C9" w14:textId="4A1937B2" w:rsidR="00E110B4" w:rsidRPr="00E110B4" w:rsidRDefault="00E110B4" w:rsidP="00E110B4">
      <w:pPr>
        <w:spacing w:line="240" w:lineRule="auto"/>
        <w:rPr>
          <w:rFonts w:eastAsia="Times New Roman" w:cs="Arial"/>
        </w:rPr>
      </w:pPr>
      <w:r w:rsidRPr="00E110B4">
        <w:rPr>
          <w:rFonts w:eastAsia="Times New Roman" w:cs="Arial"/>
          <w:i/>
          <w:iCs/>
          <w:color w:val="000000"/>
          <w:u w:val="single"/>
          <w:lang w:eastAsia="bg-BG"/>
        </w:rPr>
        <w:t>Специални популации</w:t>
      </w:r>
    </w:p>
    <w:p w14:paraId="6312F2B3" w14:textId="77777777" w:rsidR="00E110B4" w:rsidRPr="00E110B4" w:rsidRDefault="00E110B4" w:rsidP="00E110B4">
      <w:pPr>
        <w:spacing w:line="240" w:lineRule="auto"/>
        <w:rPr>
          <w:rFonts w:eastAsia="Times New Roman" w:cs="Arial"/>
        </w:rPr>
      </w:pPr>
      <w:r w:rsidRPr="00E110B4">
        <w:rPr>
          <w:rFonts w:eastAsia="Times New Roman" w:cs="Arial"/>
          <w:i/>
          <w:iCs/>
          <w:color w:val="000000"/>
          <w:lang w:eastAsia="bg-BG"/>
        </w:rPr>
        <w:t>Пациенти с декомпенсирано чернодробно заболяване:</w:t>
      </w:r>
      <w:r w:rsidRPr="00E110B4">
        <w:rPr>
          <w:rFonts w:eastAsia="Times New Roman" w:cs="Arial"/>
          <w:color w:val="000000"/>
          <w:lang w:eastAsia="bg-BG"/>
        </w:rPr>
        <w:t xml:space="preserve"> в проучване 048 191 пациенти с </w:t>
      </w:r>
      <w:r w:rsidRPr="00E110B4">
        <w:rPr>
          <w:rFonts w:eastAsia="Times New Roman" w:cs="Arial"/>
          <w:color w:val="000000"/>
          <w:lang w:val="en-US"/>
        </w:rPr>
        <w:t>HBeAg</w:t>
      </w:r>
      <w:r w:rsidRPr="00E110B4">
        <w:rPr>
          <w:rFonts w:eastAsia="Times New Roman" w:cs="Arial"/>
          <w:color w:val="000000"/>
          <w:lang w:val="ru-RU"/>
        </w:rPr>
        <w:t xml:space="preserve"> </w:t>
      </w:r>
      <w:r w:rsidRPr="00E110B4">
        <w:rPr>
          <w:rFonts w:eastAsia="Times New Roman" w:cs="Arial"/>
          <w:color w:val="000000"/>
          <w:lang w:eastAsia="bg-BG"/>
        </w:rPr>
        <w:t xml:space="preserve">положителна или отрицателна хронична </w:t>
      </w:r>
      <w:r w:rsidRPr="00E110B4">
        <w:rPr>
          <w:rFonts w:eastAsia="Times New Roman" w:cs="Arial"/>
          <w:color w:val="000000"/>
          <w:lang w:val="en-US"/>
        </w:rPr>
        <w:t>HBV</w:t>
      </w:r>
      <w:r w:rsidRPr="00E110B4">
        <w:rPr>
          <w:rFonts w:eastAsia="Times New Roman" w:cs="Arial"/>
          <w:color w:val="000000"/>
          <w:lang w:val="ru-RU"/>
        </w:rPr>
        <w:t xml:space="preserve"> </w:t>
      </w:r>
      <w:r w:rsidRPr="00E110B4">
        <w:rPr>
          <w:rFonts w:eastAsia="Times New Roman" w:cs="Arial"/>
          <w:color w:val="000000"/>
          <w:lang w:eastAsia="bg-BG"/>
        </w:rPr>
        <w:t xml:space="preserve">инфекция и данни за чернодробна декомпенсация, дефинирана като 7 или по-висок СТР скор, са приемали по 1 </w:t>
      </w:r>
      <w:r w:rsidRPr="00E110B4">
        <w:rPr>
          <w:rFonts w:eastAsia="Times New Roman" w:cs="Arial"/>
          <w:color w:val="000000"/>
          <w:lang w:val="en-US"/>
        </w:rPr>
        <w:t>mg</w:t>
      </w:r>
      <w:r w:rsidRPr="00E110B4">
        <w:rPr>
          <w:rFonts w:eastAsia="Times New Roman" w:cs="Arial"/>
          <w:color w:val="000000"/>
          <w:lang w:val="ru-RU"/>
        </w:rPr>
        <w:t xml:space="preserve"> </w:t>
      </w:r>
      <w:r w:rsidRPr="00E110B4">
        <w:rPr>
          <w:rFonts w:eastAsia="Times New Roman" w:cs="Arial"/>
          <w:color w:val="000000"/>
          <w:lang w:eastAsia="bg-BG"/>
        </w:rPr>
        <w:t xml:space="preserve">ентекавир веднъж дневно или адефовир дипивоксил по 10 </w:t>
      </w:r>
      <w:r w:rsidRPr="00E110B4">
        <w:rPr>
          <w:rFonts w:eastAsia="Times New Roman" w:cs="Arial"/>
          <w:color w:val="000000"/>
          <w:lang w:val="en-US"/>
        </w:rPr>
        <w:t>mg</w:t>
      </w:r>
      <w:r w:rsidRPr="00E110B4">
        <w:rPr>
          <w:rFonts w:eastAsia="Times New Roman" w:cs="Arial"/>
          <w:color w:val="000000"/>
          <w:lang w:val="ru-RU"/>
        </w:rPr>
        <w:t xml:space="preserve"> </w:t>
      </w:r>
      <w:r w:rsidRPr="00E110B4">
        <w:rPr>
          <w:rFonts w:eastAsia="Times New Roman" w:cs="Arial"/>
          <w:color w:val="000000"/>
          <w:lang w:eastAsia="bg-BG"/>
        </w:rPr>
        <w:t xml:space="preserve">веднъж дневно. Пациентите са или нелекувани за </w:t>
      </w:r>
      <w:r w:rsidRPr="00E110B4">
        <w:rPr>
          <w:rFonts w:eastAsia="Times New Roman" w:cs="Arial"/>
          <w:color w:val="000000"/>
          <w:lang w:val="en-US"/>
        </w:rPr>
        <w:t>HBV</w:t>
      </w:r>
      <w:r w:rsidRPr="00E110B4">
        <w:rPr>
          <w:rFonts w:eastAsia="Times New Roman" w:cs="Arial"/>
          <w:color w:val="000000"/>
          <w:lang w:val="ru-RU"/>
        </w:rPr>
        <w:t xml:space="preserve">, </w:t>
      </w:r>
      <w:r w:rsidRPr="00E110B4">
        <w:rPr>
          <w:rFonts w:eastAsia="Times New Roman" w:cs="Arial"/>
          <w:color w:val="000000"/>
          <w:lang w:eastAsia="bg-BG"/>
        </w:rPr>
        <w:t xml:space="preserve">или са такива с предварително лечение (изключва се предварително лечение с ентекавир, адефовир дипивоксил или тенофовир дизопроксил фумарат). На изходно ниво пациентите са със среден СТР скор 8,59, а 26% от тях са СТР клас С. Средното изходно ниво на скора за Модел за краен стадий на чернодробно заболяване </w:t>
      </w:r>
      <w:r w:rsidRPr="00E110B4">
        <w:rPr>
          <w:rFonts w:eastAsia="Times New Roman" w:cs="Arial"/>
          <w:color w:val="000000"/>
          <w:lang w:val="ru-RU"/>
        </w:rPr>
        <w:t>(</w:t>
      </w:r>
      <w:r w:rsidRPr="00E110B4">
        <w:rPr>
          <w:rFonts w:eastAsia="Times New Roman" w:cs="Arial"/>
          <w:color w:val="000000"/>
          <w:lang w:val="en-US"/>
        </w:rPr>
        <w:t>MELD</w:t>
      </w:r>
      <w:r w:rsidRPr="00E110B4">
        <w:rPr>
          <w:rFonts w:eastAsia="Times New Roman" w:cs="Arial"/>
          <w:color w:val="000000"/>
          <w:lang w:val="ru-RU"/>
        </w:rPr>
        <w:t xml:space="preserve">) </w:t>
      </w:r>
      <w:r w:rsidRPr="00E110B4">
        <w:rPr>
          <w:rFonts w:eastAsia="Times New Roman" w:cs="Arial"/>
          <w:color w:val="000000"/>
          <w:lang w:eastAsia="bg-BG"/>
        </w:rPr>
        <w:t xml:space="preserve">е 16,23. Средната стойност на серумната </w:t>
      </w:r>
      <w:r w:rsidRPr="00E110B4">
        <w:rPr>
          <w:rFonts w:eastAsia="Times New Roman" w:cs="Arial"/>
          <w:color w:val="000000"/>
          <w:lang w:val="en-US"/>
        </w:rPr>
        <w:t>HBV</w:t>
      </w:r>
      <w:r w:rsidRPr="00E110B4">
        <w:rPr>
          <w:rFonts w:eastAsia="Times New Roman" w:cs="Arial"/>
          <w:color w:val="000000"/>
          <w:lang w:val="ru-RU"/>
        </w:rPr>
        <w:t xml:space="preserve"> </w:t>
      </w:r>
      <w:r w:rsidRPr="00E110B4">
        <w:rPr>
          <w:rFonts w:eastAsia="Times New Roman" w:cs="Arial"/>
          <w:color w:val="000000"/>
          <w:lang w:eastAsia="bg-BG"/>
        </w:rPr>
        <w:t xml:space="preserve">ДНК чрез </w:t>
      </w:r>
      <w:r w:rsidRPr="00E110B4">
        <w:rPr>
          <w:rFonts w:eastAsia="Times New Roman" w:cs="Arial"/>
          <w:color w:val="000000"/>
          <w:lang w:val="en-US"/>
        </w:rPr>
        <w:lastRenderedPageBreak/>
        <w:t>PCR</w:t>
      </w:r>
      <w:r w:rsidRPr="00E110B4">
        <w:rPr>
          <w:rFonts w:eastAsia="Times New Roman" w:cs="Arial"/>
          <w:color w:val="000000"/>
          <w:lang w:val="ru-RU"/>
        </w:rPr>
        <w:t xml:space="preserve"> </w:t>
      </w:r>
      <w:r w:rsidRPr="00E110B4">
        <w:rPr>
          <w:rFonts w:eastAsia="Times New Roman" w:cs="Arial"/>
          <w:color w:val="000000"/>
          <w:lang w:eastAsia="bg-BG"/>
        </w:rPr>
        <w:t xml:space="preserve">е 7,83 </w:t>
      </w:r>
      <w:r w:rsidRPr="00E110B4">
        <w:rPr>
          <w:rFonts w:eastAsia="Times New Roman" w:cs="Arial"/>
          <w:color w:val="000000"/>
          <w:lang w:val="en-US"/>
        </w:rPr>
        <w:t>log</w:t>
      </w:r>
      <w:r w:rsidRPr="00E110B4">
        <w:rPr>
          <w:rFonts w:eastAsia="Times New Roman" w:cs="Arial"/>
          <w:color w:val="000000"/>
          <w:vertAlign w:val="subscript"/>
          <w:lang w:val="ru-RU"/>
        </w:rPr>
        <w:t>10</w:t>
      </w:r>
      <w:r w:rsidRPr="00E110B4">
        <w:rPr>
          <w:rFonts w:eastAsia="Times New Roman" w:cs="Arial"/>
          <w:color w:val="000000"/>
          <w:lang w:val="ru-RU"/>
        </w:rPr>
        <w:t xml:space="preserve"> </w:t>
      </w:r>
      <w:r w:rsidRPr="00E110B4">
        <w:rPr>
          <w:rFonts w:eastAsia="Times New Roman" w:cs="Arial"/>
          <w:color w:val="000000"/>
          <w:lang w:eastAsia="bg-BG"/>
        </w:rPr>
        <w:t>копия</w:t>
      </w:r>
      <w:r w:rsidRPr="00E110B4">
        <w:rPr>
          <w:rFonts w:eastAsia="Times New Roman" w:cs="Arial"/>
          <w:color w:val="000000"/>
          <w:lang w:val="ru-RU"/>
        </w:rPr>
        <w:t>/</w:t>
      </w:r>
      <w:r w:rsidRPr="00E110B4">
        <w:rPr>
          <w:rFonts w:eastAsia="Times New Roman" w:cs="Arial"/>
          <w:color w:val="000000"/>
          <w:lang w:val="en-US"/>
        </w:rPr>
        <w:t>ml</w:t>
      </w:r>
      <w:r w:rsidRPr="00E110B4">
        <w:rPr>
          <w:rFonts w:eastAsia="Times New Roman" w:cs="Arial"/>
          <w:color w:val="000000"/>
          <w:lang w:val="ru-RU"/>
        </w:rPr>
        <w:t xml:space="preserve">, </w:t>
      </w:r>
      <w:r w:rsidRPr="00E110B4">
        <w:rPr>
          <w:rFonts w:eastAsia="Times New Roman" w:cs="Arial"/>
          <w:color w:val="000000"/>
          <w:lang w:eastAsia="bg-BG"/>
        </w:rPr>
        <w:t xml:space="preserve">а средната стойност на серумната </w:t>
      </w:r>
      <w:r w:rsidRPr="00E110B4">
        <w:rPr>
          <w:rFonts w:eastAsia="Times New Roman" w:cs="Arial"/>
          <w:color w:val="000000"/>
          <w:lang w:val="en-US"/>
        </w:rPr>
        <w:t>ALT</w:t>
      </w:r>
      <w:r w:rsidRPr="00E110B4">
        <w:rPr>
          <w:rFonts w:eastAsia="Times New Roman" w:cs="Arial"/>
          <w:color w:val="000000"/>
          <w:lang w:val="ru-RU"/>
        </w:rPr>
        <w:t xml:space="preserve"> </w:t>
      </w:r>
      <w:r w:rsidRPr="00E110B4">
        <w:rPr>
          <w:rFonts w:eastAsia="Times New Roman" w:cs="Arial"/>
          <w:color w:val="000000"/>
          <w:lang w:eastAsia="bg-BG"/>
        </w:rPr>
        <w:t xml:space="preserve">е 100 </w:t>
      </w:r>
      <w:r w:rsidRPr="00E110B4">
        <w:rPr>
          <w:rFonts w:eastAsia="Times New Roman" w:cs="Arial"/>
          <w:color w:val="000000"/>
          <w:lang w:val="en-US"/>
        </w:rPr>
        <w:t>U</w:t>
      </w:r>
      <w:r w:rsidRPr="00E110B4">
        <w:rPr>
          <w:rFonts w:eastAsia="Times New Roman" w:cs="Arial"/>
          <w:color w:val="000000"/>
          <w:lang w:val="ru-RU"/>
        </w:rPr>
        <w:t xml:space="preserve">/1; </w:t>
      </w:r>
      <w:r w:rsidRPr="00E110B4">
        <w:rPr>
          <w:rFonts w:eastAsia="Times New Roman" w:cs="Arial"/>
          <w:color w:val="000000"/>
          <w:lang w:eastAsia="bg-BG"/>
        </w:rPr>
        <w:t xml:space="preserve">54% от пациентите са </w:t>
      </w:r>
      <w:r w:rsidRPr="00E110B4">
        <w:rPr>
          <w:rFonts w:eastAsia="Times New Roman" w:cs="Arial"/>
          <w:color w:val="000000"/>
          <w:lang w:val="en-US"/>
        </w:rPr>
        <w:t>HBeAg</w:t>
      </w:r>
      <w:r w:rsidRPr="00E110B4">
        <w:rPr>
          <w:rFonts w:eastAsia="Times New Roman" w:cs="Arial"/>
          <w:color w:val="000000"/>
          <w:lang w:val="ru-RU"/>
        </w:rPr>
        <w:t xml:space="preserve"> </w:t>
      </w:r>
      <w:r w:rsidRPr="00E110B4">
        <w:rPr>
          <w:rFonts w:eastAsia="Times New Roman" w:cs="Arial"/>
          <w:color w:val="000000"/>
          <w:lang w:eastAsia="bg-BG"/>
        </w:rPr>
        <w:t xml:space="preserve">положителни, а 35% от пациентите са имали </w:t>
      </w:r>
      <w:r w:rsidRPr="00E110B4">
        <w:rPr>
          <w:rFonts w:eastAsia="Times New Roman" w:cs="Arial"/>
          <w:color w:val="000000"/>
          <w:lang w:val="en-US"/>
        </w:rPr>
        <w:t>LVDr</w:t>
      </w:r>
      <w:r w:rsidRPr="00E110B4">
        <w:rPr>
          <w:rFonts w:eastAsia="Times New Roman" w:cs="Arial"/>
          <w:color w:val="000000"/>
          <w:lang w:val="ru-RU"/>
        </w:rPr>
        <w:t xml:space="preserve"> </w:t>
      </w:r>
      <w:r w:rsidRPr="00E110B4">
        <w:rPr>
          <w:rFonts w:eastAsia="Times New Roman" w:cs="Arial"/>
          <w:color w:val="000000"/>
          <w:lang w:eastAsia="bg-BG"/>
        </w:rPr>
        <w:t xml:space="preserve">замени на изходното ниво. Ентекавир е показал превъзходство над адефовир дипивоксил в първичната крайна точка за ефикасност със средна промяна на серумната </w:t>
      </w:r>
      <w:r w:rsidRPr="00E110B4">
        <w:rPr>
          <w:rFonts w:eastAsia="Times New Roman" w:cs="Arial"/>
          <w:color w:val="000000"/>
          <w:lang w:val="en-US"/>
        </w:rPr>
        <w:t>HBV</w:t>
      </w:r>
      <w:r w:rsidRPr="00E110B4">
        <w:rPr>
          <w:rFonts w:eastAsia="Times New Roman" w:cs="Arial"/>
          <w:color w:val="000000"/>
          <w:lang w:val="ru-RU"/>
        </w:rPr>
        <w:t xml:space="preserve"> </w:t>
      </w:r>
      <w:r w:rsidRPr="00E110B4">
        <w:rPr>
          <w:rFonts w:eastAsia="Times New Roman" w:cs="Arial"/>
          <w:color w:val="000000"/>
          <w:lang w:eastAsia="bg-BG"/>
        </w:rPr>
        <w:t xml:space="preserve">ДНК чрез </w:t>
      </w:r>
      <w:r w:rsidRPr="00E110B4">
        <w:rPr>
          <w:rFonts w:eastAsia="Times New Roman" w:cs="Arial"/>
          <w:color w:val="000000"/>
          <w:lang w:val="en-US"/>
        </w:rPr>
        <w:t>PCR</w:t>
      </w:r>
      <w:r w:rsidRPr="00E110B4">
        <w:rPr>
          <w:rFonts w:eastAsia="Times New Roman" w:cs="Arial"/>
          <w:color w:val="000000"/>
          <w:lang w:val="ru-RU"/>
        </w:rPr>
        <w:t xml:space="preserve"> </w:t>
      </w:r>
      <w:r w:rsidRPr="00E110B4">
        <w:rPr>
          <w:rFonts w:eastAsia="Times New Roman" w:cs="Arial"/>
          <w:color w:val="000000"/>
          <w:lang w:eastAsia="bg-BG"/>
        </w:rPr>
        <w:t>през седмица 24 спрямо изходно ниво. В таблицата са показани резултати от избрани крайни точки в проучването</w:t>
      </w:r>
      <w:r w:rsidRPr="00E110B4">
        <w:rPr>
          <w:rFonts w:eastAsia="Times New Roman" w:cs="Arial"/>
          <w:color w:val="000000"/>
          <w:lang w:val="ru-RU"/>
        </w:rPr>
        <w:t xml:space="preserve"> </w:t>
      </w:r>
      <w:r w:rsidRPr="00E110B4">
        <w:rPr>
          <w:rFonts w:eastAsia="Times New Roman" w:cs="Arial"/>
          <w:color w:val="000000"/>
          <w:lang w:eastAsia="bg-BG"/>
        </w:rPr>
        <w:t>за седмица 24 и 48.</w:t>
      </w:r>
    </w:p>
    <w:p w14:paraId="1D77C27B" w14:textId="6A5BB6E1" w:rsidR="00E110B4" w:rsidRDefault="00E110B4" w:rsidP="00E110B4"/>
    <w:tbl>
      <w:tblPr>
        <w:tblStyle w:val="TableGrid"/>
        <w:tblW w:w="0" w:type="auto"/>
        <w:tblLook w:val="04A0" w:firstRow="1" w:lastRow="0" w:firstColumn="1" w:lastColumn="0" w:noHBand="0" w:noVBand="1"/>
      </w:tblPr>
      <w:tblGrid>
        <w:gridCol w:w="2819"/>
        <w:gridCol w:w="1294"/>
        <w:gridCol w:w="1809"/>
        <w:gridCol w:w="1566"/>
        <w:gridCol w:w="1862"/>
      </w:tblGrid>
      <w:tr w:rsidR="00E110B4" w14:paraId="0FBC565C" w14:textId="77777777" w:rsidTr="00E110B4">
        <w:tc>
          <w:tcPr>
            <w:tcW w:w="2900" w:type="dxa"/>
          </w:tcPr>
          <w:p w14:paraId="3D8447E1" w14:textId="77777777" w:rsidR="00E110B4" w:rsidRDefault="00E110B4" w:rsidP="00E110B4"/>
        </w:tc>
        <w:tc>
          <w:tcPr>
            <w:tcW w:w="3162" w:type="dxa"/>
            <w:gridSpan w:val="2"/>
          </w:tcPr>
          <w:p w14:paraId="5098A56E" w14:textId="710FB825" w:rsidR="00E110B4" w:rsidRDefault="00E110B4" w:rsidP="00E110B4">
            <w:r>
              <w:rPr>
                <w:sz w:val="20"/>
                <w:szCs w:val="20"/>
              </w:rPr>
              <w:t>Седмица 24</w:t>
            </w:r>
          </w:p>
        </w:tc>
        <w:tc>
          <w:tcPr>
            <w:tcW w:w="3514" w:type="dxa"/>
            <w:gridSpan w:val="2"/>
          </w:tcPr>
          <w:p w14:paraId="6771B1BC" w14:textId="03184C7F" w:rsidR="00E110B4" w:rsidRDefault="00E110B4" w:rsidP="00E110B4">
            <w:r>
              <w:rPr>
                <w:sz w:val="20"/>
                <w:szCs w:val="20"/>
              </w:rPr>
              <w:t>Седмица 48</w:t>
            </w:r>
          </w:p>
        </w:tc>
      </w:tr>
      <w:tr w:rsidR="00E110B4" w14:paraId="68B82710" w14:textId="77777777" w:rsidTr="00E110B4">
        <w:tc>
          <w:tcPr>
            <w:tcW w:w="2900" w:type="dxa"/>
          </w:tcPr>
          <w:p w14:paraId="4749D1D3" w14:textId="77777777" w:rsidR="00E110B4" w:rsidRPr="00E110B4" w:rsidRDefault="00E110B4" w:rsidP="00E110B4"/>
        </w:tc>
        <w:tc>
          <w:tcPr>
            <w:tcW w:w="1319" w:type="dxa"/>
          </w:tcPr>
          <w:p w14:paraId="392AA40A" w14:textId="77777777" w:rsidR="00E110B4" w:rsidRPr="00E110B4" w:rsidRDefault="00E110B4" w:rsidP="00E110B4">
            <w:r w:rsidRPr="00E110B4">
              <w:rPr>
                <w:szCs w:val="20"/>
                <w:lang w:val="en-US"/>
              </w:rPr>
              <w:t>ETV</w:t>
            </w:r>
          </w:p>
          <w:p w14:paraId="760373A6" w14:textId="33E3EC6D" w:rsidR="00E110B4" w:rsidRPr="00E110B4" w:rsidRDefault="00E110B4" w:rsidP="00E110B4">
            <w:r w:rsidRPr="00E110B4">
              <w:rPr>
                <w:szCs w:val="20"/>
                <w:lang w:val="en-US"/>
              </w:rPr>
              <w:t xml:space="preserve">1 mg </w:t>
            </w:r>
            <w:r w:rsidRPr="00E110B4">
              <w:rPr>
                <w:szCs w:val="20"/>
              </w:rPr>
              <w:t>веднъж дневно</w:t>
            </w:r>
          </w:p>
        </w:tc>
        <w:tc>
          <w:tcPr>
            <w:tcW w:w="1843" w:type="dxa"/>
          </w:tcPr>
          <w:p w14:paraId="7D78AC00" w14:textId="49F1CE70" w:rsidR="00E110B4" w:rsidRPr="00E110B4" w:rsidRDefault="00E110B4" w:rsidP="00E110B4">
            <w:r w:rsidRPr="00E110B4">
              <w:rPr>
                <w:szCs w:val="20"/>
              </w:rPr>
              <w:t xml:space="preserve">Адефовир дипивоксил 10 </w:t>
            </w:r>
            <w:r w:rsidRPr="00E110B4">
              <w:rPr>
                <w:szCs w:val="20"/>
                <w:lang w:val="en-US"/>
              </w:rPr>
              <w:t>mg</w:t>
            </w:r>
            <w:r w:rsidRPr="00E110B4">
              <w:rPr>
                <w:szCs w:val="20"/>
                <w:lang w:val="ru-RU"/>
              </w:rPr>
              <w:t xml:space="preserve"> </w:t>
            </w:r>
            <w:r w:rsidRPr="00E110B4">
              <w:rPr>
                <w:szCs w:val="20"/>
              </w:rPr>
              <w:t>веднъж дневно</w:t>
            </w:r>
          </w:p>
        </w:tc>
        <w:tc>
          <w:tcPr>
            <w:tcW w:w="1614" w:type="dxa"/>
          </w:tcPr>
          <w:p w14:paraId="5C898B68" w14:textId="77777777" w:rsidR="00E110B4" w:rsidRPr="00E110B4" w:rsidRDefault="00E110B4" w:rsidP="00E110B4">
            <w:r w:rsidRPr="00E110B4">
              <w:rPr>
                <w:szCs w:val="20"/>
                <w:lang w:val="en-US"/>
              </w:rPr>
              <w:t>ETV</w:t>
            </w:r>
          </w:p>
          <w:p w14:paraId="196B7037" w14:textId="23B60420" w:rsidR="00E110B4" w:rsidRPr="00E110B4" w:rsidRDefault="00E110B4" w:rsidP="00E110B4">
            <w:r w:rsidRPr="00E110B4">
              <w:rPr>
                <w:szCs w:val="20"/>
              </w:rPr>
              <w:t xml:space="preserve">1 </w:t>
            </w:r>
            <w:r w:rsidRPr="00E110B4">
              <w:rPr>
                <w:szCs w:val="20"/>
                <w:lang w:val="en-US"/>
              </w:rPr>
              <w:t xml:space="preserve">mg </w:t>
            </w:r>
            <w:r w:rsidRPr="00E110B4">
              <w:rPr>
                <w:szCs w:val="20"/>
              </w:rPr>
              <w:t>веднъж дневно</w:t>
            </w:r>
          </w:p>
        </w:tc>
        <w:tc>
          <w:tcPr>
            <w:tcW w:w="1900" w:type="dxa"/>
          </w:tcPr>
          <w:p w14:paraId="49BCBD54" w14:textId="18C91652" w:rsidR="00E110B4" w:rsidRPr="00E110B4" w:rsidRDefault="00E110B4" w:rsidP="00E110B4">
            <w:r w:rsidRPr="00E110B4">
              <w:rPr>
                <w:szCs w:val="20"/>
              </w:rPr>
              <w:t xml:space="preserve">Адефовир дипивоксил 10 </w:t>
            </w:r>
            <w:r w:rsidRPr="00E110B4">
              <w:rPr>
                <w:szCs w:val="20"/>
                <w:lang w:val="en-US"/>
              </w:rPr>
              <w:t>mg</w:t>
            </w:r>
            <w:r w:rsidRPr="00E110B4">
              <w:rPr>
                <w:szCs w:val="20"/>
                <w:lang w:val="ru-RU"/>
              </w:rPr>
              <w:t xml:space="preserve"> </w:t>
            </w:r>
            <w:r w:rsidRPr="00E110B4">
              <w:rPr>
                <w:szCs w:val="20"/>
              </w:rPr>
              <w:t>веднъж дневно</w:t>
            </w:r>
          </w:p>
        </w:tc>
      </w:tr>
      <w:tr w:rsidR="00E110B4" w14:paraId="14CA384B" w14:textId="77777777" w:rsidTr="00E110B4">
        <w:tc>
          <w:tcPr>
            <w:tcW w:w="2900" w:type="dxa"/>
          </w:tcPr>
          <w:p w14:paraId="7BBF920F" w14:textId="756A0155" w:rsidR="00E110B4" w:rsidRPr="00E110B4" w:rsidRDefault="00E110B4" w:rsidP="00E110B4">
            <w:r w:rsidRPr="00E110B4">
              <w:rPr>
                <w:szCs w:val="20"/>
                <w:lang w:val="en-US"/>
              </w:rPr>
              <w:t>n</w:t>
            </w:r>
          </w:p>
        </w:tc>
        <w:tc>
          <w:tcPr>
            <w:tcW w:w="1319" w:type="dxa"/>
          </w:tcPr>
          <w:p w14:paraId="7F535650" w14:textId="7EC206E5" w:rsidR="00E110B4" w:rsidRPr="00E110B4" w:rsidRDefault="00E110B4" w:rsidP="00E110B4">
            <w:r w:rsidRPr="00E110B4">
              <w:rPr>
                <w:szCs w:val="20"/>
                <w:lang w:val="en-US"/>
              </w:rPr>
              <w:t>100</w:t>
            </w:r>
          </w:p>
        </w:tc>
        <w:tc>
          <w:tcPr>
            <w:tcW w:w="1843" w:type="dxa"/>
          </w:tcPr>
          <w:p w14:paraId="3B23277C" w14:textId="748F8A7B" w:rsidR="00E110B4" w:rsidRPr="00E110B4" w:rsidRDefault="00E110B4" w:rsidP="00E110B4">
            <w:r w:rsidRPr="00E110B4">
              <w:rPr>
                <w:szCs w:val="20"/>
              </w:rPr>
              <w:t>91</w:t>
            </w:r>
          </w:p>
        </w:tc>
        <w:tc>
          <w:tcPr>
            <w:tcW w:w="1614" w:type="dxa"/>
          </w:tcPr>
          <w:p w14:paraId="4EAE9397" w14:textId="41C0844C" w:rsidR="00E110B4" w:rsidRPr="00E110B4" w:rsidRDefault="00E110B4" w:rsidP="00E110B4">
            <w:r w:rsidRPr="00E110B4">
              <w:rPr>
                <w:szCs w:val="20"/>
              </w:rPr>
              <w:t>100</w:t>
            </w:r>
          </w:p>
        </w:tc>
        <w:tc>
          <w:tcPr>
            <w:tcW w:w="1900" w:type="dxa"/>
          </w:tcPr>
          <w:p w14:paraId="1A60F601" w14:textId="11A03BF1" w:rsidR="00E110B4" w:rsidRPr="00E110B4" w:rsidRDefault="00E110B4" w:rsidP="00E110B4">
            <w:r w:rsidRPr="00E110B4">
              <w:rPr>
                <w:szCs w:val="20"/>
              </w:rPr>
              <w:t>91</w:t>
            </w:r>
          </w:p>
        </w:tc>
      </w:tr>
      <w:tr w:rsidR="00E110B4" w14:paraId="3A20AD2B" w14:textId="77777777" w:rsidTr="00E110B4">
        <w:tc>
          <w:tcPr>
            <w:tcW w:w="9576" w:type="dxa"/>
            <w:gridSpan w:val="5"/>
          </w:tcPr>
          <w:p w14:paraId="5B1B1C7C" w14:textId="2A2A2F42" w:rsidR="00E110B4" w:rsidRDefault="00E110B4" w:rsidP="00E110B4">
            <w:r>
              <w:t xml:space="preserve">HBV </w:t>
            </w:r>
            <w:r>
              <w:rPr>
                <w:lang w:eastAsia="bg-BG"/>
              </w:rPr>
              <w:t>ДНК</w:t>
            </w:r>
            <w:r>
              <w:rPr>
                <w:vertAlign w:val="superscript"/>
              </w:rPr>
              <w:t>a</w:t>
            </w:r>
          </w:p>
        </w:tc>
      </w:tr>
      <w:tr w:rsidR="00E110B4" w14:paraId="0290BE1B" w14:textId="77777777" w:rsidTr="00E110B4">
        <w:tc>
          <w:tcPr>
            <w:tcW w:w="2900" w:type="dxa"/>
          </w:tcPr>
          <w:p w14:paraId="12A02896" w14:textId="3E5869B0" w:rsidR="00E110B4" w:rsidRPr="00E110B4" w:rsidRDefault="00E110B4" w:rsidP="00E110B4">
            <w:r w:rsidRPr="00E110B4">
              <w:rPr>
                <w:szCs w:val="20"/>
              </w:rPr>
              <w:t>Неустановим процент (&lt; 300 копия</w:t>
            </w:r>
            <w:r w:rsidRPr="00E110B4">
              <w:rPr>
                <w:szCs w:val="20"/>
                <w:lang w:val="ru-RU"/>
              </w:rPr>
              <w:t>/</w:t>
            </w:r>
            <w:r w:rsidRPr="00E110B4">
              <w:rPr>
                <w:szCs w:val="20"/>
                <w:lang w:val="en-US"/>
              </w:rPr>
              <w:t>ml</w:t>
            </w:r>
            <w:r w:rsidRPr="00E110B4">
              <w:rPr>
                <w:szCs w:val="20"/>
                <w:lang w:val="ru-RU"/>
              </w:rPr>
              <w:t>)</w:t>
            </w:r>
            <w:r w:rsidRPr="00E110B4">
              <w:rPr>
                <w:szCs w:val="20"/>
                <w:vertAlign w:val="superscript"/>
                <w:lang w:val="en-US"/>
              </w:rPr>
              <w:t>b</w:t>
            </w:r>
            <w:r w:rsidRPr="00E110B4">
              <w:rPr>
                <w:szCs w:val="20"/>
                <w:vertAlign w:val="superscript"/>
              </w:rPr>
              <w:t xml:space="preserve"> </w:t>
            </w:r>
            <w:r w:rsidRPr="00E110B4">
              <w:rPr>
                <w:szCs w:val="20"/>
              </w:rPr>
              <w:t>1)</w:t>
            </w:r>
          </w:p>
        </w:tc>
        <w:tc>
          <w:tcPr>
            <w:tcW w:w="1319" w:type="dxa"/>
          </w:tcPr>
          <w:p w14:paraId="2541AD6E" w14:textId="60DB6585" w:rsidR="00E110B4" w:rsidRPr="00E110B4" w:rsidRDefault="00E110B4" w:rsidP="00E110B4">
            <w:r w:rsidRPr="00E110B4">
              <w:rPr>
                <w:szCs w:val="20"/>
                <w:lang w:val="en-US"/>
              </w:rPr>
              <w:t>49%*</w:t>
            </w:r>
          </w:p>
        </w:tc>
        <w:tc>
          <w:tcPr>
            <w:tcW w:w="1843" w:type="dxa"/>
          </w:tcPr>
          <w:p w14:paraId="63A70B82" w14:textId="5BD27E53" w:rsidR="00E110B4" w:rsidRPr="00E110B4" w:rsidRDefault="00E110B4" w:rsidP="00E110B4">
            <w:r w:rsidRPr="00E110B4">
              <w:rPr>
                <w:szCs w:val="20"/>
              </w:rPr>
              <w:t>16%</w:t>
            </w:r>
          </w:p>
        </w:tc>
        <w:tc>
          <w:tcPr>
            <w:tcW w:w="1614" w:type="dxa"/>
          </w:tcPr>
          <w:p w14:paraId="1A715D0F" w14:textId="35451C48" w:rsidR="00E110B4" w:rsidRPr="00E110B4" w:rsidRDefault="00E110B4" w:rsidP="00E110B4">
            <w:r w:rsidRPr="00E110B4">
              <w:rPr>
                <w:szCs w:val="20"/>
              </w:rPr>
              <w:t>57%*</w:t>
            </w:r>
          </w:p>
        </w:tc>
        <w:tc>
          <w:tcPr>
            <w:tcW w:w="1900" w:type="dxa"/>
          </w:tcPr>
          <w:p w14:paraId="0A0BD255" w14:textId="375ABFBD" w:rsidR="00E110B4" w:rsidRPr="00E110B4" w:rsidRDefault="00E110B4" w:rsidP="00E110B4">
            <w:r w:rsidRPr="00E110B4">
              <w:rPr>
                <w:szCs w:val="20"/>
              </w:rPr>
              <w:t>20%</w:t>
            </w:r>
          </w:p>
        </w:tc>
      </w:tr>
      <w:tr w:rsidR="00E110B4" w14:paraId="149B7420" w14:textId="77777777" w:rsidTr="00E110B4">
        <w:tc>
          <w:tcPr>
            <w:tcW w:w="2900" w:type="dxa"/>
          </w:tcPr>
          <w:p w14:paraId="2F7A7760" w14:textId="77777777" w:rsidR="00E110B4" w:rsidRPr="00E110B4" w:rsidRDefault="00E110B4" w:rsidP="00E110B4">
            <w:r w:rsidRPr="00E110B4">
              <w:rPr>
                <w:szCs w:val="20"/>
              </w:rPr>
              <w:t>Средна промяна спрямо изходно ниво</w:t>
            </w:r>
          </w:p>
          <w:p w14:paraId="08425CD2" w14:textId="77777777" w:rsidR="00E110B4" w:rsidRPr="00E110B4" w:rsidRDefault="00E110B4" w:rsidP="00E110B4"/>
          <w:p w14:paraId="05D9C045" w14:textId="74EF8794" w:rsidR="00E110B4" w:rsidRPr="00E110B4" w:rsidRDefault="00E110B4" w:rsidP="00E110B4">
            <w:r w:rsidRPr="00E110B4">
              <w:rPr>
                <w:szCs w:val="20"/>
                <w:lang w:val="ru-RU"/>
              </w:rPr>
              <w:t>(</w:t>
            </w:r>
            <w:r w:rsidRPr="00E110B4">
              <w:rPr>
                <w:szCs w:val="20"/>
                <w:lang w:val="en-US"/>
              </w:rPr>
              <w:t>log</w:t>
            </w:r>
            <w:r w:rsidRPr="00E110B4">
              <w:rPr>
                <w:szCs w:val="20"/>
                <w:vertAlign w:val="subscript"/>
                <w:lang w:val="ru-RU"/>
              </w:rPr>
              <w:t>10</w:t>
            </w:r>
            <w:r w:rsidRPr="00E110B4">
              <w:rPr>
                <w:szCs w:val="20"/>
                <w:lang w:val="ru-RU"/>
              </w:rPr>
              <w:t xml:space="preserve"> </w:t>
            </w:r>
            <w:r w:rsidRPr="00E110B4">
              <w:rPr>
                <w:szCs w:val="20"/>
              </w:rPr>
              <w:t>копия</w:t>
            </w:r>
            <w:r w:rsidRPr="00E110B4">
              <w:rPr>
                <w:szCs w:val="20"/>
                <w:lang w:val="ru-RU"/>
              </w:rPr>
              <w:t>/</w:t>
            </w:r>
            <w:r w:rsidRPr="00E110B4">
              <w:rPr>
                <w:szCs w:val="20"/>
                <w:lang w:val="en-US"/>
              </w:rPr>
              <w:t>ml</w:t>
            </w:r>
            <w:r w:rsidRPr="00E110B4">
              <w:rPr>
                <w:szCs w:val="20"/>
                <w:lang w:val="ru-RU"/>
              </w:rPr>
              <w:t>)</w:t>
            </w:r>
            <w:r w:rsidRPr="00E110B4">
              <w:rPr>
                <w:szCs w:val="20"/>
                <w:vertAlign w:val="superscript"/>
                <w:lang w:val="en-US"/>
              </w:rPr>
              <w:t>c</w:t>
            </w:r>
          </w:p>
        </w:tc>
        <w:tc>
          <w:tcPr>
            <w:tcW w:w="1319" w:type="dxa"/>
          </w:tcPr>
          <w:p w14:paraId="0DB1BBDD" w14:textId="243127D0" w:rsidR="00E110B4" w:rsidRPr="00E110B4" w:rsidRDefault="00E110B4" w:rsidP="00E110B4">
            <w:r w:rsidRPr="00E110B4">
              <w:rPr>
                <w:szCs w:val="20"/>
                <w:lang w:val="en-US"/>
              </w:rPr>
              <w:t>-4,48*</w:t>
            </w:r>
          </w:p>
        </w:tc>
        <w:tc>
          <w:tcPr>
            <w:tcW w:w="1843" w:type="dxa"/>
          </w:tcPr>
          <w:p w14:paraId="7680B882" w14:textId="0CD11189" w:rsidR="00E110B4" w:rsidRPr="00E110B4" w:rsidRDefault="00E110B4" w:rsidP="00E110B4">
            <w:r w:rsidRPr="00E110B4">
              <w:rPr>
                <w:szCs w:val="20"/>
              </w:rPr>
              <w:t>-3,40</w:t>
            </w:r>
          </w:p>
        </w:tc>
        <w:tc>
          <w:tcPr>
            <w:tcW w:w="1614" w:type="dxa"/>
          </w:tcPr>
          <w:p w14:paraId="43333CC3" w14:textId="4B9A665F" w:rsidR="00E110B4" w:rsidRPr="00E110B4" w:rsidRDefault="00E110B4" w:rsidP="00E110B4">
            <w:r w:rsidRPr="00E110B4">
              <w:rPr>
                <w:szCs w:val="20"/>
              </w:rPr>
              <w:t>-4,66</w:t>
            </w:r>
          </w:p>
        </w:tc>
        <w:tc>
          <w:tcPr>
            <w:tcW w:w="1900" w:type="dxa"/>
          </w:tcPr>
          <w:p w14:paraId="1FAEEBDE" w14:textId="7D562DCA" w:rsidR="00E110B4" w:rsidRPr="00E110B4" w:rsidRDefault="00E110B4" w:rsidP="00E110B4">
            <w:r w:rsidRPr="00E110B4">
              <w:rPr>
                <w:szCs w:val="20"/>
              </w:rPr>
              <w:t>-3,90</w:t>
            </w:r>
          </w:p>
        </w:tc>
      </w:tr>
      <w:tr w:rsidR="00E110B4" w14:paraId="39C70639" w14:textId="77777777" w:rsidTr="00E110B4">
        <w:tc>
          <w:tcPr>
            <w:tcW w:w="2900" w:type="dxa"/>
          </w:tcPr>
          <w:p w14:paraId="6E279212" w14:textId="77777777" w:rsidR="00E110B4" w:rsidRPr="00E110B4" w:rsidRDefault="00E110B4" w:rsidP="00E110B4"/>
          <w:p w14:paraId="2AC2A640" w14:textId="7F1BA7C2" w:rsidR="00E110B4" w:rsidRPr="00E110B4" w:rsidRDefault="00E110B4" w:rsidP="00E110B4">
            <w:r w:rsidRPr="00E110B4">
              <w:rPr>
                <w:szCs w:val="20"/>
              </w:rPr>
              <w:t>Стабилен или подобрен СТР скор</w:t>
            </w:r>
            <w:r w:rsidRPr="00E110B4">
              <w:rPr>
                <w:szCs w:val="20"/>
                <w:vertAlign w:val="superscript"/>
                <w:lang w:val="en-US"/>
              </w:rPr>
              <w:t>b</w:t>
            </w:r>
            <w:r w:rsidRPr="00E110B4">
              <w:rPr>
                <w:szCs w:val="20"/>
                <w:vertAlign w:val="superscript"/>
                <w:lang w:val="ru-RU"/>
              </w:rPr>
              <w:t>,</w:t>
            </w:r>
            <w:r w:rsidRPr="00E110B4">
              <w:rPr>
                <w:szCs w:val="20"/>
                <w:vertAlign w:val="superscript"/>
                <w:lang w:val="en-US"/>
              </w:rPr>
              <w:t>d</w:t>
            </w:r>
          </w:p>
        </w:tc>
        <w:tc>
          <w:tcPr>
            <w:tcW w:w="1319" w:type="dxa"/>
          </w:tcPr>
          <w:p w14:paraId="0870A8B0" w14:textId="62FFBAFB" w:rsidR="00E110B4" w:rsidRPr="00E110B4" w:rsidRDefault="00E110B4" w:rsidP="00E110B4">
            <w:r w:rsidRPr="00E110B4">
              <w:rPr>
                <w:szCs w:val="20"/>
                <w:lang w:val="en-US"/>
              </w:rPr>
              <w:t>66%</w:t>
            </w:r>
          </w:p>
        </w:tc>
        <w:tc>
          <w:tcPr>
            <w:tcW w:w="1843" w:type="dxa"/>
          </w:tcPr>
          <w:p w14:paraId="65042DB2" w14:textId="07B5129E" w:rsidR="00E110B4" w:rsidRPr="00E110B4" w:rsidRDefault="00E110B4" w:rsidP="00E110B4">
            <w:r w:rsidRPr="00E110B4">
              <w:rPr>
                <w:szCs w:val="20"/>
              </w:rPr>
              <w:t>71%</w:t>
            </w:r>
          </w:p>
        </w:tc>
        <w:tc>
          <w:tcPr>
            <w:tcW w:w="1614" w:type="dxa"/>
          </w:tcPr>
          <w:p w14:paraId="6C59E39F" w14:textId="4897EC4C" w:rsidR="00E110B4" w:rsidRPr="00E110B4" w:rsidRDefault="00E110B4" w:rsidP="00E110B4">
            <w:r w:rsidRPr="00E110B4">
              <w:rPr>
                <w:szCs w:val="20"/>
              </w:rPr>
              <w:t>61%</w:t>
            </w:r>
          </w:p>
        </w:tc>
        <w:tc>
          <w:tcPr>
            <w:tcW w:w="1900" w:type="dxa"/>
          </w:tcPr>
          <w:p w14:paraId="4F7E426C" w14:textId="07510298" w:rsidR="00E110B4" w:rsidRPr="00E110B4" w:rsidRDefault="00E110B4" w:rsidP="00E110B4">
            <w:r w:rsidRPr="00E110B4">
              <w:rPr>
                <w:szCs w:val="20"/>
              </w:rPr>
              <w:t>67%</w:t>
            </w:r>
          </w:p>
        </w:tc>
      </w:tr>
      <w:tr w:rsidR="00E110B4" w14:paraId="71084B96" w14:textId="77777777" w:rsidTr="00E110B4">
        <w:tc>
          <w:tcPr>
            <w:tcW w:w="2900" w:type="dxa"/>
          </w:tcPr>
          <w:p w14:paraId="49DD32AC" w14:textId="77777777" w:rsidR="00E110B4" w:rsidRPr="00E110B4" w:rsidRDefault="00E110B4" w:rsidP="00E110B4">
            <w:r w:rsidRPr="00E110B4">
              <w:rPr>
                <w:szCs w:val="20"/>
                <w:lang w:val="en-US"/>
              </w:rPr>
              <w:t>MELD</w:t>
            </w:r>
            <w:r w:rsidRPr="00E110B4">
              <w:rPr>
                <w:szCs w:val="20"/>
                <w:lang w:val="ru-RU"/>
              </w:rPr>
              <w:t xml:space="preserve"> </w:t>
            </w:r>
            <w:r w:rsidRPr="00E110B4">
              <w:rPr>
                <w:szCs w:val="20"/>
              </w:rPr>
              <w:t>скор</w:t>
            </w:r>
          </w:p>
          <w:p w14:paraId="45EDC5D4" w14:textId="77777777" w:rsidR="00E110B4" w:rsidRPr="00E110B4" w:rsidRDefault="00E110B4" w:rsidP="00E110B4"/>
          <w:p w14:paraId="23467C25" w14:textId="4DCB2B95" w:rsidR="00E110B4" w:rsidRPr="00E110B4" w:rsidRDefault="00E110B4" w:rsidP="00E110B4">
            <w:r w:rsidRPr="00E110B4">
              <w:rPr>
                <w:szCs w:val="20"/>
              </w:rPr>
              <w:t>Средна промяна спрямо изходно ниво</w:t>
            </w:r>
            <w:r w:rsidRPr="00E110B4">
              <w:rPr>
                <w:szCs w:val="20"/>
                <w:vertAlign w:val="superscript"/>
                <w:lang w:val="en-US"/>
              </w:rPr>
              <w:t>c</w:t>
            </w:r>
            <w:r w:rsidRPr="00E110B4">
              <w:rPr>
                <w:szCs w:val="20"/>
                <w:vertAlign w:val="superscript"/>
                <w:lang w:val="ru-RU"/>
              </w:rPr>
              <w:t>,</w:t>
            </w:r>
            <w:r w:rsidRPr="00E110B4">
              <w:rPr>
                <w:szCs w:val="20"/>
                <w:vertAlign w:val="superscript"/>
                <w:lang w:val="en-US"/>
              </w:rPr>
              <w:t>e</w:t>
            </w:r>
          </w:p>
        </w:tc>
        <w:tc>
          <w:tcPr>
            <w:tcW w:w="1319" w:type="dxa"/>
          </w:tcPr>
          <w:p w14:paraId="62155D33" w14:textId="0653DD9B" w:rsidR="00E110B4" w:rsidRPr="00E110B4" w:rsidRDefault="00E110B4" w:rsidP="00E110B4">
            <w:r w:rsidRPr="00E110B4">
              <w:rPr>
                <w:szCs w:val="20"/>
                <w:lang w:val="en-US"/>
              </w:rPr>
              <w:t>-2,0</w:t>
            </w:r>
          </w:p>
        </w:tc>
        <w:tc>
          <w:tcPr>
            <w:tcW w:w="1843" w:type="dxa"/>
          </w:tcPr>
          <w:p w14:paraId="68A54B7C" w14:textId="5A693B0E" w:rsidR="00E110B4" w:rsidRPr="00E110B4" w:rsidRDefault="00E110B4" w:rsidP="00E110B4">
            <w:r w:rsidRPr="00E110B4">
              <w:rPr>
                <w:szCs w:val="20"/>
              </w:rPr>
              <w:t>-0,9</w:t>
            </w:r>
          </w:p>
        </w:tc>
        <w:tc>
          <w:tcPr>
            <w:tcW w:w="1614" w:type="dxa"/>
          </w:tcPr>
          <w:p w14:paraId="284DCBB6" w14:textId="120B6753" w:rsidR="00E110B4" w:rsidRPr="00E110B4" w:rsidRDefault="00E110B4" w:rsidP="00E110B4">
            <w:r w:rsidRPr="00E110B4">
              <w:rPr>
                <w:szCs w:val="20"/>
              </w:rPr>
              <w:t>-2,6</w:t>
            </w:r>
          </w:p>
        </w:tc>
        <w:tc>
          <w:tcPr>
            <w:tcW w:w="1900" w:type="dxa"/>
          </w:tcPr>
          <w:p w14:paraId="4B8CBBAA" w14:textId="5A878975" w:rsidR="00E110B4" w:rsidRPr="00E110B4" w:rsidRDefault="00E110B4" w:rsidP="00E110B4">
            <w:r w:rsidRPr="00E110B4">
              <w:rPr>
                <w:szCs w:val="20"/>
              </w:rPr>
              <w:t>-1,7</w:t>
            </w:r>
          </w:p>
        </w:tc>
      </w:tr>
      <w:tr w:rsidR="00E110B4" w14:paraId="30369A76" w14:textId="77777777" w:rsidTr="00E110B4">
        <w:tc>
          <w:tcPr>
            <w:tcW w:w="2900" w:type="dxa"/>
          </w:tcPr>
          <w:p w14:paraId="1CB13116" w14:textId="77777777" w:rsidR="00E110B4" w:rsidRPr="00E110B4" w:rsidRDefault="00E110B4" w:rsidP="00E110B4"/>
          <w:p w14:paraId="6648A9BC" w14:textId="54B4DBD4" w:rsidR="00E110B4" w:rsidRPr="00E110B4" w:rsidRDefault="00E110B4" w:rsidP="00E110B4">
            <w:r w:rsidRPr="00E110B4">
              <w:rPr>
                <w:szCs w:val="20"/>
                <w:lang w:val="en-US"/>
              </w:rPr>
              <w:t xml:space="preserve">HBsAg </w:t>
            </w:r>
            <w:r w:rsidRPr="00E110B4">
              <w:rPr>
                <w:szCs w:val="20"/>
              </w:rPr>
              <w:t>загуба</w:t>
            </w:r>
            <w:r w:rsidRPr="00E110B4">
              <w:rPr>
                <w:szCs w:val="20"/>
                <w:vertAlign w:val="superscript"/>
                <w:lang w:val="en-US"/>
              </w:rPr>
              <w:t>b</w:t>
            </w:r>
          </w:p>
        </w:tc>
        <w:tc>
          <w:tcPr>
            <w:tcW w:w="1319" w:type="dxa"/>
          </w:tcPr>
          <w:p w14:paraId="0CA46F09" w14:textId="39622EC1" w:rsidR="00E110B4" w:rsidRPr="00E110B4" w:rsidRDefault="00E110B4" w:rsidP="00E110B4">
            <w:r w:rsidRPr="00E110B4">
              <w:rPr>
                <w:szCs w:val="20"/>
                <w:lang w:val="en-US"/>
              </w:rPr>
              <w:t>1%</w:t>
            </w:r>
          </w:p>
        </w:tc>
        <w:tc>
          <w:tcPr>
            <w:tcW w:w="1843" w:type="dxa"/>
          </w:tcPr>
          <w:p w14:paraId="1B4468AA" w14:textId="06A87AAF" w:rsidR="00E110B4" w:rsidRPr="00E110B4" w:rsidRDefault="00E110B4" w:rsidP="00E110B4">
            <w:r w:rsidRPr="00E110B4">
              <w:rPr>
                <w:szCs w:val="20"/>
              </w:rPr>
              <w:t>0</w:t>
            </w:r>
          </w:p>
        </w:tc>
        <w:tc>
          <w:tcPr>
            <w:tcW w:w="1614" w:type="dxa"/>
          </w:tcPr>
          <w:p w14:paraId="2A7004AC" w14:textId="08773384" w:rsidR="00E110B4" w:rsidRPr="00E110B4" w:rsidRDefault="00E110B4" w:rsidP="00E110B4">
            <w:r w:rsidRPr="00E110B4">
              <w:rPr>
                <w:szCs w:val="20"/>
              </w:rPr>
              <w:t>5%</w:t>
            </w:r>
          </w:p>
        </w:tc>
        <w:tc>
          <w:tcPr>
            <w:tcW w:w="1900" w:type="dxa"/>
          </w:tcPr>
          <w:p w14:paraId="266FF5D4" w14:textId="5FFFFB4F" w:rsidR="00E110B4" w:rsidRPr="00E110B4" w:rsidRDefault="00E110B4" w:rsidP="00E110B4">
            <w:r w:rsidRPr="00E110B4">
              <w:rPr>
                <w:szCs w:val="20"/>
              </w:rPr>
              <w:t>0</w:t>
            </w:r>
          </w:p>
        </w:tc>
      </w:tr>
      <w:tr w:rsidR="00E110B4" w14:paraId="35FB8983" w14:textId="77777777" w:rsidTr="00E110B4">
        <w:tc>
          <w:tcPr>
            <w:tcW w:w="9576" w:type="dxa"/>
            <w:gridSpan w:val="5"/>
          </w:tcPr>
          <w:p w14:paraId="0269F57E" w14:textId="4064B9FE" w:rsidR="00E110B4" w:rsidRDefault="00E110B4" w:rsidP="00E110B4">
            <w:r>
              <w:t>Нормализиране на:</w:t>
            </w:r>
            <w:r>
              <w:rPr>
                <w:vertAlign w:val="superscript"/>
                <w:lang w:val="en-US"/>
              </w:rPr>
              <w:t>f</w:t>
            </w:r>
          </w:p>
        </w:tc>
      </w:tr>
      <w:tr w:rsidR="00E110B4" w14:paraId="21D36086" w14:textId="77777777" w:rsidTr="00E110B4">
        <w:tc>
          <w:tcPr>
            <w:tcW w:w="2900" w:type="dxa"/>
          </w:tcPr>
          <w:p w14:paraId="0DD73CEA" w14:textId="46070403" w:rsidR="00E110B4" w:rsidRPr="00E110B4" w:rsidRDefault="00E110B4" w:rsidP="00E110B4">
            <w:r w:rsidRPr="00E110B4">
              <w:rPr>
                <w:szCs w:val="20"/>
                <w:lang w:val="en-US"/>
              </w:rPr>
              <w:t xml:space="preserve">ALT </w:t>
            </w:r>
            <w:r w:rsidRPr="00E110B4">
              <w:rPr>
                <w:szCs w:val="20"/>
              </w:rPr>
              <w:t xml:space="preserve">(≤1 </w:t>
            </w:r>
            <w:r w:rsidRPr="00E110B4">
              <w:rPr>
                <w:szCs w:val="20"/>
                <w:lang w:val="en-US"/>
              </w:rPr>
              <w:t>XULN)</w:t>
            </w:r>
            <w:r w:rsidRPr="00E110B4">
              <w:rPr>
                <w:szCs w:val="20"/>
                <w:vertAlign w:val="superscript"/>
                <w:lang w:val="en-US"/>
              </w:rPr>
              <w:t>b</w:t>
            </w:r>
          </w:p>
        </w:tc>
        <w:tc>
          <w:tcPr>
            <w:tcW w:w="1319" w:type="dxa"/>
          </w:tcPr>
          <w:p w14:paraId="15488AB8" w14:textId="1631B94A" w:rsidR="00E110B4" w:rsidRPr="00E110B4" w:rsidRDefault="00E110B4" w:rsidP="00E110B4">
            <w:r w:rsidRPr="00E110B4">
              <w:rPr>
                <w:szCs w:val="20"/>
              </w:rPr>
              <w:t xml:space="preserve">46/78 </w:t>
            </w:r>
            <w:r w:rsidRPr="00E110B4">
              <w:rPr>
                <w:szCs w:val="20"/>
                <w:lang w:val="en-US"/>
              </w:rPr>
              <w:t>(59%)*</w:t>
            </w:r>
          </w:p>
        </w:tc>
        <w:tc>
          <w:tcPr>
            <w:tcW w:w="1843" w:type="dxa"/>
          </w:tcPr>
          <w:p w14:paraId="1AFE60AE" w14:textId="0C9E0954" w:rsidR="00E110B4" w:rsidRPr="00E110B4" w:rsidRDefault="00E110B4" w:rsidP="00E110B4">
            <w:r w:rsidRPr="00E110B4">
              <w:rPr>
                <w:szCs w:val="20"/>
              </w:rPr>
              <w:t>28/71 (39%)</w:t>
            </w:r>
          </w:p>
        </w:tc>
        <w:tc>
          <w:tcPr>
            <w:tcW w:w="1614" w:type="dxa"/>
          </w:tcPr>
          <w:p w14:paraId="2BCFB0A7" w14:textId="25D88CE5" w:rsidR="00E110B4" w:rsidRPr="00E110B4" w:rsidRDefault="00E110B4" w:rsidP="00E110B4">
            <w:r w:rsidRPr="00E110B4">
              <w:rPr>
                <w:szCs w:val="20"/>
              </w:rPr>
              <w:t>49/78 (63%)*</w:t>
            </w:r>
          </w:p>
        </w:tc>
        <w:tc>
          <w:tcPr>
            <w:tcW w:w="1900" w:type="dxa"/>
          </w:tcPr>
          <w:p w14:paraId="59B8CE68" w14:textId="7FA1FB90" w:rsidR="00E110B4" w:rsidRPr="00E110B4" w:rsidRDefault="00E110B4" w:rsidP="00E110B4">
            <w:r w:rsidRPr="00E110B4">
              <w:rPr>
                <w:szCs w:val="20"/>
              </w:rPr>
              <w:t>33/71 (46%)</w:t>
            </w:r>
          </w:p>
        </w:tc>
      </w:tr>
      <w:tr w:rsidR="00E110B4" w14:paraId="1BBA7C4D" w14:textId="77777777" w:rsidTr="00E110B4">
        <w:tc>
          <w:tcPr>
            <w:tcW w:w="2900" w:type="dxa"/>
          </w:tcPr>
          <w:p w14:paraId="043CC35E" w14:textId="77777777" w:rsidR="00E110B4" w:rsidRPr="00E110B4" w:rsidRDefault="00E110B4" w:rsidP="00E110B4"/>
          <w:p w14:paraId="452AA801" w14:textId="2A1FB0F6" w:rsidR="00E110B4" w:rsidRPr="00E110B4" w:rsidRDefault="00E110B4" w:rsidP="00E110B4">
            <w:r w:rsidRPr="00E110B4">
              <w:rPr>
                <w:szCs w:val="20"/>
              </w:rPr>
              <w:t xml:space="preserve">Албумин (&gt; 1 X </w:t>
            </w:r>
            <w:r w:rsidRPr="00E110B4">
              <w:rPr>
                <w:szCs w:val="20"/>
                <w:lang w:val="en-US"/>
              </w:rPr>
              <w:t>LLN)</w:t>
            </w:r>
            <w:r w:rsidRPr="00E110B4">
              <w:rPr>
                <w:szCs w:val="20"/>
                <w:vertAlign w:val="superscript"/>
                <w:lang w:val="en-US"/>
              </w:rPr>
              <w:t>b</w:t>
            </w:r>
          </w:p>
        </w:tc>
        <w:tc>
          <w:tcPr>
            <w:tcW w:w="1319" w:type="dxa"/>
          </w:tcPr>
          <w:p w14:paraId="107C1877" w14:textId="1CD48F9B" w:rsidR="00E110B4" w:rsidRPr="00E110B4" w:rsidRDefault="00E110B4" w:rsidP="00E110B4">
            <w:r w:rsidRPr="00E110B4">
              <w:rPr>
                <w:szCs w:val="20"/>
              </w:rPr>
              <w:t xml:space="preserve">20/82 </w:t>
            </w:r>
            <w:r w:rsidRPr="00E110B4">
              <w:rPr>
                <w:szCs w:val="20"/>
                <w:lang w:val="en-US"/>
              </w:rPr>
              <w:t>(24%)</w:t>
            </w:r>
          </w:p>
        </w:tc>
        <w:tc>
          <w:tcPr>
            <w:tcW w:w="1843" w:type="dxa"/>
          </w:tcPr>
          <w:p w14:paraId="03C34881" w14:textId="2195F6AA" w:rsidR="00E110B4" w:rsidRPr="00E110B4" w:rsidRDefault="00E110B4" w:rsidP="00E110B4">
            <w:r w:rsidRPr="00E110B4">
              <w:rPr>
                <w:szCs w:val="20"/>
              </w:rPr>
              <w:t>14/69 (20%)</w:t>
            </w:r>
          </w:p>
        </w:tc>
        <w:tc>
          <w:tcPr>
            <w:tcW w:w="1614" w:type="dxa"/>
          </w:tcPr>
          <w:p w14:paraId="75C123F9" w14:textId="1124AAEE" w:rsidR="00E110B4" w:rsidRPr="00E110B4" w:rsidRDefault="00E110B4" w:rsidP="00E110B4">
            <w:r w:rsidRPr="00E110B4">
              <w:rPr>
                <w:szCs w:val="20"/>
              </w:rPr>
              <w:t>32/82 (39%)</w:t>
            </w:r>
          </w:p>
        </w:tc>
        <w:tc>
          <w:tcPr>
            <w:tcW w:w="1900" w:type="dxa"/>
          </w:tcPr>
          <w:p w14:paraId="0D8E009F" w14:textId="46BE37C4" w:rsidR="00E110B4" w:rsidRPr="00E110B4" w:rsidRDefault="00E110B4" w:rsidP="00E110B4">
            <w:r w:rsidRPr="00E110B4">
              <w:rPr>
                <w:szCs w:val="20"/>
              </w:rPr>
              <w:t>20/69 (29%)</w:t>
            </w:r>
          </w:p>
        </w:tc>
      </w:tr>
      <w:tr w:rsidR="00E110B4" w14:paraId="1BC736A8" w14:textId="77777777" w:rsidTr="00E110B4">
        <w:tc>
          <w:tcPr>
            <w:tcW w:w="2900" w:type="dxa"/>
          </w:tcPr>
          <w:p w14:paraId="0A6E22BD" w14:textId="77777777" w:rsidR="00E110B4" w:rsidRPr="00E110B4" w:rsidRDefault="00E110B4" w:rsidP="00E110B4"/>
          <w:p w14:paraId="5C3F53B6" w14:textId="3E37598B" w:rsidR="00E110B4" w:rsidRPr="00E110B4" w:rsidRDefault="00E110B4" w:rsidP="00E110B4">
            <w:r w:rsidRPr="00E110B4">
              <w:rPr>
                <w:szCs w:val="20"/>
              </w:rPr>
              <w:t xml:space="preserve">Билирубин (≤1 X </w:t>
            </w:r>
            <w:r w:rsidRPr="00E110B4">
              <w:rPr>
                <w:szCs w:val="20"/>
                <w:lang w:val="en-US"/>
              </w:rPr>
              <w:t>ULN)</w:t>
            </w:r>
            <w:r w:rsidRPr="00E110B4">
              <w:rPr>
                <w:szCs w:val="20"/>
                <w:vertAlign w:val="superscript"/>
                <w:lang w:val="en-US"/>
              </w:rPr>
              <w:t>b</w:t>
            </w:r>
          </w:p>
        </w:tc>
        <w:tc>
          <w:tcPr>
            <w:tcW w:w="1319" w:type="dxa"/>
          </w:tcPr>
          <w:p w14:paraId="047B60BC" w14:textId="6C72FBC4" w:rsidR="00E110B4" w:rsidRPr="00E110B4" w:rsidRDefault="00E110B4" w:rsidP="00E110B4">
            <w:r w:rsidRPr="00E110B4">
              <w:rPr>
                <w:szCs w:val="20"/>
              </w:rPr>
              <w:t xml:space="preserve">12/75 </w:t>
            </w:r>
            <w:r w:rsidRPr="00E110B4">
              <w:rPr>
                <w:szCs w:val="20"/>
                <w:lang w:val="en-US"/>
              </w:rPr>
              <w:t>(16%)</w:t>
            </w:r>
          </w:p>
        </w:tc>
        <w:tc>
          <w:tcPr>
            <w:tcW w:w="1843" w:type="dxa"/>
          </w:tcPr>
          <w:p w14:paraId="0C3ACA31" w14:textId="123178FB" w:rsidR="00E110B4" w:rsidRPr="00E110B4" w:rsidRDefault="00E110B4" w:rsidP="00E110B4">
            <w:r w:rsidRPr="00E110B4">
              <w:rPr>
                <w:szCs w:val="20"/>
              </w:rPr>
              <w:t>10/65 (15%)</w:t>
            </w:r>
          </w:p>
        </w:tc>
        <w:tc>
          <w:tcPr>
            <w:tcW w:w="1614" w:type="dxa"/>
          </w:tcPr>
          <w:p w14:paraId="466B6EA0" w14:textId="0EFAE285" w:rsidR="00E110B4" w:rsidRPr="00E110B4" w:rsidRDefault="00E110B4" w:rsidP="00E110B4">
            <w:r w:rsidRPr="00E110B4">
              <w:rPr>
                <w:szCs w:val="20"/>
              </w:rPr>
              <w:t>15/75 (20%)</w:t>
            </w:r>
          </w:p>
        </w:tc>
        <w:tc>
          <w:tcPr>
            <w:tcW w:w="1900" w:type="dxa"/>
          </w:tcPr>
          <w:p w14:paraId="227FCC24" w14:textId="49D0B7AC" w:rsidR="00E110B4" w:rsidRPr="00E110B4" w:rsidRDefault="00E110B4" w:rsidP="00E110B4">
            <w:r w:rsidRPr="00E110B4">
              <w:rPr>
                <w:szCs w:val="20"/>
              </w:rPr>
              <w:t>18/65 (28%)</w:t>
            </w:r>
          </w:p>
        </w:tc>
      </w:tr>
      <w:tr w:rsidR="00E110B4" w14:paraId="29058E70" w14:textId="77777777" w:rsidTr="00E110B4">
        <w:tc>
          <w:tcPr>
            <w:tcW w:w="2900" w:type="dxa"/>
          </w:tcPr>
          <w:p w14:paraId="67231387" w14:textId="77777777" w:rsidR="00E110B4" w:rsidRPr="00E110B4" w:rsidRDefault="00E110B4" w:rsidP="00E110B4"/>
          <w:p w14:paraId="448879A3" w14:textId="47B11E46" w:rsidR="00E110B4" w:rsidRPr="00E110B4" w:rsidRDefault="00E110B4" w:rsidP="00E110B4">
            <w:r w:rsidRPr="00E110B4">
              <w:rPr>
                <w:szCs w:val="20"/>
              </w:rPr>
              <w:t xml:space="preserve">Протромбиново време (≤ 1 X </w:t>
            </w:r>
            <w:r w:rsidRPr="00E110B4">
              <w:rPr>
                <w:szCs w:val="20"/>
                <w:lang w:val="en-US"/>
              </w:rPr>
              <w:t>ULN</w:t>
            </w:r>
            <w:r w:rsidRPr="00E110B4">
              <w:rPr>
                <w:szCs w:val="20"/>
                <w:lang w:val="ru-RU"/>
              </w:rPr>
              <w:t>)</w:t>
            </w:r>
            <w:r w:rsidRPr="00E110B4">
              <w:rPr>
                <w:szCs w:val="20"/>
                <w:vertAlign w:val="superscript"/>
                <w:lang w:val="en-US"/>
              </w:rPr>
              <w:t>b</w:t>
            </w:r>
          </w:p>
        </w:tc>
        <w:tc>
          <w:tcPr>
            <w:tcW w:w="1319" w:type="dxa"/>
          </w:tcPr>
          <w:p w14:paraId="42AF3B4E" w14:textId="70E34369" w:rsidR="00E110B4" w:rsidRPr="00E110B4" w:rsidRDefault="00E110B4" w:rsidP="00E110B4">
            <w:r w:rsidRPr="00E110B4">
              <w:rPr>
                <w:szCs w:val="20"/>
              </w:rPr>
              <w:t xml:space="preserve">9/95 </w:t>
            </w:r>
            <w:r w:rsidRPr="00E110B4">
              <w:rPr>
                <w:szCs w:val="20"/>
                <w:lang w:val="en-US"/>
              </w:rPr>
              <w:t>(9%)</w:t>
            </w:r>
          </w:p>
        </w:tc>
        <w:tc>
          <w:tcPr>
            <w:tcW w:w="1843" w:type="dxa"/>
          </w:tcPr>
          <w:p w14:paraId="5782F80D" w14:textId="599E0722" w:rsidR="00E110B4" w:rsidRPr="00E110B4" w:rsidRDefault="00E110B4" w:rsidP="00E110B4">
            <w:r w:rsidRPr="00E110B4">
              <w:rPr>
                <w:szCs w:val="20"/>
              </w:rPr>
              <w:t>6/82 (7%)</w:t>
            </w:r>
          </w:p>
        </w:tc>
        <w:tc>
          <w:tcPr>
            <w:tcW w:w="1614" w:type="dxa"/>
          </w:tcPr>
          <w:p w14:paraId="5672E6F5" w14:textId="1E848416" w:rsidR="00E110B4" w:rsidRPr="00E110B4" w:rsidRDefault="00E110B4" w:rsidP="00E110B4">
            <w:r w:rsidRPr="00E110B4">
              <w:rPr>
                <w:szCs w:val="20"/>
              </w:rPr>
              <w:t>8/95 (8%)</w:t>
            </w:r>
          </w:p>
        </w:tc>
        <w:tc>
          <w:tcPr>
            <w:tcW w:w="1900" w:type="dxa"/>
          </w:tcPr>
          <w:p w14:paraId="111335D9" w14:textId="5CCC0693" w:rsidR="00E110B4" w:rsidRPr="00E110B4" w:rsidRDefault="00E110B4" w:rsidP="00E110B4">
            <w:r w:rsidRPr="00E110B4">
              <w:rPr>
                <w:szCs w:val="20"/>
              </w:rPr>
              <w:t>7/82(9%)</w:t>
            </w:r>
          </w:p>
        </w:tc>
      </w:tr>
    </w:tbl>
    <w:p w14:paraId="72215B26" w14:textId="77777777" w:rsidR="00E110B4" w:rsidRPr="00E110B4" w:rsidRDefault="00E110B4" w:rsidP="00E110B4">
      <w:pPr>
        <w:spacing w:line="240" w:lineRule="auto"/>
        <w:rPr>
          <w:rFonts w:eastAsia="Times New Roman" w:cs="Arial"/>
        </w:rPr>
      </w:pPr>
      <w:proofErr w:type="gramStart"/>
      <w:r w:rsidRPr="00E110B4">
        <w:rPr>
          <w:rFonts w:eastAsia="Times New Roman" w:cs="Arial"/>
          <w:color w:val="000000"/>
          <w:vertAlign w:val="superscript"/>
          <w:lang w:val="en-US"/>
        </w:rPr>
        <w:t>a</w:t>
      </w:r>
      <w:r w:rsidRPr="00E110B4">
        <w:rPr>
          <w:rFonts w:eastAsia="Times New Roman" w:cs="Arial"/>
          <w:color w:val="000000"/>
          <w:lang w:val="en-US"/>
        </w:rPr>
        <w:t>Roche</w:t>
      </w:r>
      <w:proofErr w:type="gramEnd"/>
      <w:r w:rsidRPr="00E110B4">
        <w:rPr>
          <w:rFonts w:eastAsia="Times New Roman" w:cs="Arial"/>
          <w:color w:val="000000"/>
        </w:rPr>
        <w:t xml:space="preserve"> </w:t>
      </w:r>
      <w:r w:rsidRPr="00E110B4">
        <w:rPr>
          <w:rFonts w:eastAsia="Times New Roman" w:cs="Arial"/>
          <w:color w:val="000000"/>
          <w:lang w:val="en-US"/>
        </w:rPr>
        <w:t>COBAS</w:t>
      </w:r>
      <w:r w:rsidRPr="00E110B4">
        <w:rPr>
          <w:rFonts w:eastAsia="Times New Roman" w:cs="Arial"/>
          <w:color w:val="000000"/>
        </w:rPr>
        <w:t xml:space="preserve"> </w:t>
      </w:r>
      <w:r w:rsidRPr="00E110B4">
        <w:rPr>
          <w:rFonts w:eastAsia="Times New Roman" w:cs="Arial"/>
          <w:color w:val="000000"/>
          <w:lang w:val="en-US"/>
        </w:rPr>
        <w:t>Amplicor</w:t>
      </w:r>
      <w:r w:rsidRPr="00E110B4">
        <w:rPr>
          <w:rFonts w:eastAsia="Times New Roman" w:cs="Arial"/>
          <w:color w:val="000000"/>
        </w:rPr>
        <w:t xml:space="preserve"> </w:t>
      </w:r>
      <w:r w:rsidRPr="00E110B4">
        <w:rPr>
          <w:rFonts w:eastAsia="Times New Roman" w:cs="Arial"/>
          <w:color w:val="000000"/>
          <w:lang w:val="en-US"/>
        </w:rPr>
        <w:t>PCR</w:t>
      </w:r>
      <w:r w:rsidRPr="00E110B4">
        <w:rPr>
          <w:rFonts w:eastAsia="Times New Roman" w:cs="Arial"/>
          <w:color w:val="000000"/>
        </w:rPr>
        <w:t xml:space="preserve"> </w:t>
      </w:r>
      <w:r w:rsidRPr="00E110B4">
        <w:rPr>
          <w:rFonts w:eastAsia="Times New Roman" w:cs="Arial"/>
          <w:color w:val="000000"/>
          <w:lang w:eastAsia="bg-BG"/>
        </w:rPr>
        <w:t xml:space="preserve">анализ </w:t>
      </w:r>
      <w:r w:rsidRPr="00E110B4">
        <w:rPr>
          <w:rFonts w:eastAsia="Times New Roman" w:cs="Arial"/>
          <w:color w:val="000000"/>
        </w:rPr>
        <w:t>(</w:t>
      </w:r>
      <w:r w:rsidRPr="00E110B4">
        <w:rPr>
          <w:rFonts w:eastAsia="Times New Roman" w:cs="Arial"/>
          <w:color w:val="000000"/>
          <w:lang w:val="en-US"/>
        </w:rPr>
        <w:t>LLOQ</w:t>
      </w:r>
      <w:r w:rsidRPr="00E110B4">
        <w:rPr>
          <w:rFonts w:eastAsia="Times New Roman" w:cs="Arial"/>
          <w:color w:val="000000"/>
        </w:rPr>
        <w:t xml:space="preserve"> = 300 </w:t>
      </w:r>
      <w:r w:rsidRPr="00E110B4">
        <w:rPr>
          <w:rFonts w:eastAsia="Times New Roman" w:cs="Arial"/>
          <w:color w:val="000000"/>
          <w:lang w:eastAsia="bg-BG"/>
        </w:rPr>
        <w:t>копия</w:t>
      </w:r>
      <w:r w:rsidRPr="00E110B4">
        <w:rPr>
          <w:rFonts w:eastAsia="Times New Roman" w:cs="Arial"/>
          <w:color w:val="000000"/>
        </w:rPr>
        <w:t>/</w:t>
      </w:r>
      <w:r w:rsidRPr="00E110B4">
        <w:rPr>
          <w:rFonts w:eastAsia="Times New Roman" w:cs="Arial"/>
          <w:color w:val="000000"/>
          <w:lang w:val="en-US"/>
        </w:rPr>
        <w:t>ml</w:t>
      </w:r>
      <w:r w:rsidRPr="00E110B4">
        <w:rPr>
          <w:rFonts w:eastAsia="Times New Roman" w:cs="Arial"/>
          <w:color w:val="000000"/>
        </w:rPr>
        <w:t>),</w:t>
      </w:r>
    </w:p>
    <w:p w14:paraId="3E2256CA" w14:textId="77777777" w:rsidR="004E779D" w:rsidRDefault="00E110B4" w:rsidP="00E110B4">
      <w:pPr>
        <w:spacing w:line="240" w:lineRule="auto"/>
        <w:rPr>
          <w:rFonts w:eastAsia="Times New Roman" w:cs="Arial"/>
          <w:color w:val="000000"/>
          <w:lang w:val="ru-RU"/>
        </w:rPr>
      </w:pPr>
      <w:proofErr w:type="gramStart"/>
      <w:r w:rsidRPr="00E110B4">
        <w:rPr>
          <w:rFonts w:eastAsia="Times New Roman" w:cs="Arial"/>
          <w:color w:val="000000"/>
          <w:vertAlign w:val="superscript"/>
          <w:lang w:val="en-US"/>
        </w:rPr>
        <w:t>b</w:t>
      </w:r>
      <w:r w:rsidRPr="00E110B4">
        <w:rPr>
          <w:rFonts w:eastAsia="Times New Roman" w:cs="Arial"/>
          <w:color w:val="000000"/>
          <w:lang w:val="en-US"/>
        </w:rPr>
        <w:t>NC</w:t>
      </w:r>
      <w:proofErr w:type="gramEnd"/>
      <w:r w:rsidRPr="00E110B4">
        <w:rPr>
          <w:rFonts w:eastAsia="Times New Roman" w:cs="Arial"/>
          <w:color w:val="000000"/>
          <w:lang w:val="ru-RU"/>
        </w:rPr>
        <w:t xml:space="preserve"> = </w:t>
      </w:r>
      <w:r w:rsidRPr="00E110B4">
        <w:rPr>
          <w:rFonts w:eastAsia="Times New Roman" w:cs="Arial"/>
          <w:color w:val="000000"/>
          <w:lang w:val="en-US"/>
        </w:rPr>
        <w:t>F</w:t>
      </w:r>
      <w:r w:rsidRPr="00E110B4">
        <w:rPr>
          <w:rFonts w:eastAsia="Times New Roman" w:cs="Arial"/>
          <w:color w:val="000000"/>
          <w:lang w:val="ru-RU"/>
        </w:rPr>
        <w:t xml:space="preserve"> </w:t>
      </w:r>
      <w:r w:rsidRPr="00E110B4">
        <w:rPr>
          <w:rFonts w:eastAsia="Times New Roman" w:cs="Arial"/>
          <w:color w:val="000000"/>
          <w:lang w:eastAsia="bg-BG"/>
        </w:rPr>
        <w:t xml:space="preserve">(незавършили </w:t>
      </w:r>
      <w:r w:rsidRPr="00E110B4">
        <w:rPr>
          <w:rFonts w:eastAsia="Times New Roman" w:cs="Arial"/>
          <w:color w:val="000000"/>
          <w:lang w:val="ru-RU"/>
        </w:rPr>
        <w:t xml:space="preserve">= </w:t>
      </w:r>
      <w:r w:rsidRPr="00E110B4">
        <w:rPr>
          <w:rFonts w:eastAsia="Times New Roman" w:cs="Arial"/>
          <w:color w:val="000000"/>
          <w:lang w:eastAsia="bg-BG"/>
        </w:rPr>
        <w:t xml:space="preserve">неуспех), което означава прекратяване на терапията преди седмицата за анализ, включително причини като смърт, липса на ефикасност, нежелано събитие, непридържане към терапията/липса на проследяване се считат за неуспех (напр. </w:t>
      </w:r>
      <w:r w:rsidRPr="00E110B4">
        <w:rPr>
          <w:rFonts w:eastAsia="Times New Roman" w:cs="Arial"/>
          <w:color w:val="000000"/>
          <w:lang w:val="en-US"/>
        </w:rPr>
        <w:t>HBV</w:t>
      </w:r>
      <w:r w:rsidRPr="00E110B4">
        <w:rPr>
          <w:rFonts w:eastAsia="Times New Roman" w:cs="Arial"/>
          <w:color w:val="000000"/>
          <w:lang w:val="ru-RU"/>
        </w:rPr>
        <w:t xml:space="preserve"> </w:t>
      </w:r>
      <w:r w:rsidRPr="00E110B4">
        <w:rPr>
          <w:rFonts w:eastAsia="Times New Roman" w:cs="Arial"/>
          <w:color w:val="000000"/>
          <w:lang w:eastAsia="bg-BG"/>
        </w:rPr>
        <w:t>ДНК ≥ 300 копия</w:t>
      </w:r>
      <w:r w:rsidRPr="00E110B4">
        <w:rPr>
          <w:rFonts w:eastAsia="Times New Roman" w:cs="Arial"/>
          <w:color w:val="000000"/>
          <w:lang w:val="ru-RU"/>
        </w:rPr>
        <w:t>/</w:t>
      </w:r>
      <w:r w:rsidRPr="00E110B4">
        <w:rPr>
          <w:rFonts w:eastAsia="Times New Roman" w:cs="Arial"/>
          <w:color w:val="000000"/>
          <w:lang w:val="en-US"/>
        </w:rPr>
        <w:t>ml</w:t>
      </w:r>
      <w:r w:rsidRPr="00E110B4">
        <w:rPr>
          <w:rFonts w:eastAsia="Times New Roman" w:cs="Arial"/>
          <w:color w:val="000000"/>
          <w:lang w:val="ru-RU"/>
        </w:rPr>
        <w:t xml:space="preserve">) </w:t>
      </w:r>
    </w:p>
    <w:p w14:paraId="2A23E408" w14:textId="77777777" w:rsidR="004E779D" w:rsidRDefault="00E110B4" w:rsidP="00E110B4">
      <w:pPr>
        <w:spacing w:line="240" w:lineRule="auto"/>
        <w:rPr>
          <w:rFonts w:eastAsia="Times New Roman" w:cs="Arial"/>
          <w:color w:val="000000"/>
          <w:lang w:eastAsia="bg-BG"/>
        </w:rPr>
      </w:pPr>
      <w:r w:rsidRPr="00E110B4">
        <w:rPr>
          <w:rFonts w:eastAsia="Times New Roman" w:cs="Arial"/>
          <w:color w:val="000000"/>
          <w:vertAlign w:val="superscript"/>
          <w:lang w:eastAsia="bg-BG"/>
        </w:rPr>
        <w:t>с</w:t>
      </w:r>
      <w:r w:rsidRPr="00E110B4">
        <w:rPr>
          <w:rFonts w:eastAsia="Times New Roman" w:cs="Arial"/>
          <w:color w:val="000000"/>
          <w:lang w:val="en-US"/>
        </w:rPr>
        <w:t>NC</w:t>
      </w:r>
      <w:r w:rsidRPr="00E110B4">
        <w:rPr>
          <w:rFonts w:eastAsia="Times New Roman" w:cs="Arial"/>
          <w:color w:val="000000"/>
          <w:lang w:val="ru-RU"/>
        </w:rPr>
        <w:t xml:space="preserve"> </w:t>
      </w:r>
      <w:r w:rsidRPr="00E110B4">
        <w:rPr>
          <w:rFonts w:eastAsia="Times New Roman" w:cs="Arial"/>
          <w:color w:val="000000"/>
          <w:lang w:eastAsia="bg-BG"/>
        </w:rPr>
        <w:t xml:space="preserve">= М (незавършили = липсващи) </w:t>
      </w:r>
    </w:p>
    <w:p w14:paraId="04B2B65F" w14:textId="46684B77" w:rsidR="00E110B4" w:rsidRPr="00E110B4" w:rsidRDefault="00E110B4" w:rsidP="00E110B4">
      <w:pPr>
        <w:spacing w:line="240" w:lineRule="auto"/>
        <w:rPr>
          <w:rFonts w:eastAsia="Times New Roman" w:cs="Arial"/>
        </w:rPr>
      </w:pPr>
      <w:proofErr w:type="gramStart"/>
      <w:r w:rsidRPr="00E110B4">
        <w:rPr>
          <w:rFonts w:eastAsia="Times New Roman" w:cs="Arial"/>
          <w:color w:val="000000"/>
          <w:vertAlign w:val="superscript"/>
          <w:lang w:val="en-US"/>
        </w:rPr>
        <w:t>d</w:t>
      </w:r>
      <w:r w:rsidRPr="00E110B4">
        <w:rPr>
          <w:rFonts w:eastAsia="Times New Roman" w:cs="Arial"/>
          <w:color w:val="000000"/>
          <w:lang w:eastAsia="bg-BG"/>
        </w:rPr>
        <w:t>Дефинирано</w:t>
      </w:r>
      <w:proofErr w:type="gramEnd"/>
      <w:r w:rsidRPr="00E110B4">
        <w:rPr>
          <w:rFonts w:eastAsia="Times New Roman" w:cs="Arial"/>
          <w:color w:val="000000"/>
          <w:lang w:eastAsia="bg-BG"/>
        </w:rPr>
        <w:t xml:space="preserve"> като намаление или липса на промяна в сравнение с изходното ниво на СТР скор.</w:t>
      </w:r>
    </w:p>
    <w:p w14:paraId="570B0DD6" w14:textId="77777777" w:rsidR="00E110B4" w:rsidRPr="00E110B4" w:rsidRDefault="00E110B4" w:rsidP="00E110B4">
      <w:pPr>
        <w:spacing w:line="240" w:lineRule="auto"/>
        <w:rPr>
          <w:rFonts w:eastAsia="Times New Roman" w:cs="Arial"/>
        </w:rPr>
      </w:pPr>
      <w:proofErr w:type="gramStart"/>
      <w:r w:rsidRPr="00E110B4">
        <w:rPr>
          <w:rFonts w:eastAsia="Times New Roman" w:cs="Arial"/>
          <w:color w:val="000000"/>
          <w:vertAlign w:val="superscript"/>
          <w:lang w:val="en-US"/>
        </w:rPr>
        <w:t>e</w:t>
      </w:r>
      <w:r w:rsidRPr="00E110B4">
        <w:rPr>
          <w:rFonts w:eastAsia="Times New Roman" w:cs="Arial"/>
          <w:color w:val="000000"/>
          <w:lang w:eastAsia="bg-BG"/>
        </w:rPr>
        <w:t>Средният</w:t>
      </w:r>
      <w:proofErr w:type="gramEnd"/>
      <w:r w:rsidRPr="00E110B4">
        <w:rPr>
          <w:rFonts w:eastAsia="Times New Roman" w:cs="Arial"/>
          <w:color w:val="000000"/>
          <w:lang w:eastAsia="bg-BG"/>
        </w:rPr>
        <w:t xml:space="preserve"> изходен </w:t>
      </w:r>
      <w:r w:rsidRPr="00E110B4">
        <w:rPr>
          <w:rFonts w:eastAsia="Times New Roman" w:cs="Arial"/>
          <w:color w:val="000000"/>
          <w:lang w:val="en-US"/>
        </w:rPr>
        <w:t>MELD</w:t>
      </w:r>
      <w:r w:rsidRPr="00E110B4">
        <w:rPr>
          <w:rFonts w:eastAsia="Times New Roman" w:cs="Arial"/>
          <w:color w:val="000000"/>
          <w:lang w:val="ru-RU"/>
        </w:rPr>
        <w:t xml:space="preserve"> </w:t>
      </w:r>
      <w:r w:rsidRPr="00E110B4">
        <w:rPr>
          <w:rFonts w:eastAsia="Times New Roman" w:cs="Arial"/>
          <w:color w:val="000000"/>
          <w:lang w:eastAsia="bg-BG"/>
        </w:rPr>
        <w:t xml:space="preserve">скор е 17,1 за </w:t>
      </w:r>
      <w:r w:rsidRPr="00E110B4">
        <w:rPr>
          <w:rFonts w:eastAsia="Times New Roman" w:cs="Arial"/>
          <w:color w:val="000000"/>
          <w:lang w:val="en-US"/>
        </w:rPr>
        <w:t>ETV</w:t>
      </w:r>
      <w:r w:rsidRPr="00E110B4">
        <w:rPr>
          <w:rFonts w:eastAsia="Times New Roman" w:cs="Arial"/>
          <w:color w:val="000000"/>
          <w:lang w:val="ru-RU"/>
        </w:rPr>
        <w:t xml:space="preserve"> </w:t>
      </w:r>
      <w:r w:rsidRPr="00E110B4">
        <w:rPr>
          <w:rFonts w:eastAsia="Times New Roman" w:cs="Arial"/>
          <w:color w:val="000000"/>
          <w:lang w:eastAsia="bg-BG"/>
        </w:rPr>
        <w:t>и 15,3 за адефовир дипивоксил.</w:t>
      </w:r>
    </w:p>
    <w:p w14:paraId="5E1EB4D7" w14:textId="77777777" w:rsidR="00E110B4" w:rsidRPr="00E110B4" w:rsidRDefault="00E110B4" w:rsidP="00E110B4">
      <w:pPr>
        <w:spacing w:line="240" w:lineRule="auto"/>
        <w:rPr>
          <w:rFonts w:eastAsia="Times New Roman" w:cs="Arial"/>
        </w:rPr>
      </w:pPr>
      <w:proofErr w:type="gramStart"/>
      <w:r w:rsidRPr="00E110B4">
        <w:rPr>
          <w:rFonts w:eastAsia="Times New Roman" w:cs="Arial"/>
          <w:color w:val="000000"/>
          <w:vertAlign w:val="superscript"/>
          <w:lang w:val="en-US"/>
        </w:rPr>
        <w:lastRenderedPageBreak/>
        <w:t>f</w:t>
      </w:r>
      <w:r w:rsidRPr="00E110B4">
        <w:rPr>
          <w:rFonts w:eastAsia="Times New Roman" w:cs="Arial"/>
          <w:color w:val="000000"/>
          <w:lang w:eastAsia="bg-BG"/>
        </w:rPr>
        <w:t>Знаменателят</w:t>
      </w:r>
      <w:proofErr w:type="gramEnd"/>
      <w:r w:rsidRPr="00E110B4">
        <w:rPr>
          <w:rFonts w:eastAsia="Times New Roman" w:cs="Arial"/>
          <w:color w:val="000000"/>
          <w:lang w:eastAsia="bg-BG"/>
        </w:rPr>
        <w:t xml:space="preserve"> са пациенти с отклонения в стойностите на изходно ниво.</w:t>
      </w:r>
    </w:p>
    <w:p w14:paraId="5B0C7DBC" w14:textId="77777777" w:rsidR="00E110B4" w:rsidRPr="00E110B4" w:rsidRDefault="00E110B4" w:rsidP="00E110B4">
      <w:pPr>
        <w:spacing w:line="240" w:lineRule="auto"/>
        <w:rPr>
          <w:rFonts w:eastAsia="Times New Roman" w:cs="Arial"/>
        </w:rPr>
      </w:pPr>
      <w:r w:rsidRPr="00E110B4">
        <w:rPr>
          <w:rFonts w:eastAsia="Times New Roman" w:cs="Arial"/>
          <w:color w:val="000000"/>
          <w:lang w:eastAsia="bg-BG"/>
        </w:rPr>
        <w:t>*р &lt; 0,05</w:t>
      </w:r>
    </w:p>
    <w:p w14:paraId="09408924" w14:textId="77777777" w:rsidR="00E110B4" w:rsidRPr="00E110B4" w:rsidRDefault="00E110B4" w:rsidP="00E110B4">
      <w:pPr>
        <w:spacing w:line="240" w:lineRule="auto"/>
        <w:rPr>
          <w:rFonts w:eastAsia="Times New Roman" w:cs="Arial"/>
        </w:rPr>
      </w:pPr>
      <w:r w:rsidRPr="00E110B4">
        <w:rPr>
          <w:rFonts w:eastAsia="Times New Roman" w:cs="Arial"/>
          <w:color w:val="000000"/>
          <w:lang w:val="en-US"/>
        </w:rPr>
        <w:t>ULN</w:t>
      </w:r>
      <w:r w:rsidRPr="00E110B4">
        <w:rPr>
          <w:rFonts w:eastAsia="Times New Roman" w:cs="Arial"/>
          <w:color w:val="000000"/>
          <w:lang w:val="ru-RU"/>
        </w:rPr>
        <w:t xml:space="preserve"> </w:t>
      </w:r>
      <w:r w:rsidRPr="00E110B4">
        <w:rPr>
          <w:rFonts w:eastAsia="Times New Roman" w:cs="Arial"/>
          <w:color w:val="000000"/>
          <w:lang w:eastAsia="bg-BG"/>
        </w:rPr>
        <w:t xml:space="preserve">= горна граница на нормата, </w:t>
      </w:r>
      <w:r w:rsidRPr="00E110B4">
        <w:rPr>
          <w:rFonts w:eastAsia="Times New Roman" w:cs="Arial"/>
          <w:color w:val="000000"/>
          <w:lang w:val="en-US"/>
        </w:rPr>
        <w:t>LLN</w:t>
      </w:r>
      <w:r w:rsidRPr="00E110B4">
        <w:rPr>
          <w:rFonts w:eastAsia="Times New Roman" w:cs="Arial"/>
          <w:color w:val="000000"/>
          <w:lang w:val="ru-RU"/>
        </w:rPr>
        <w:t xml:space="preserve"> =</w:t>
      </w:r>
      <w:r w:rsidRPr="00E110B4">
        <w:rPr>
          <w:rFonts w:eastAsia="Times New Roman" w:cs="Arial"/>
          <w:color w:val="000000"/>
          <w:lang w:eastAsia="bg-BG"/>
        </w:rPr>
        <w:t>долна граница на нормата.</w:t>
      </w:r>
    </w:p>
    <w:p w14:paraId="69447C97" w14:textId="77777777" w:rsidR="00E110B4" w:rsidRPr="00E110B4" w:rsidRDefault="00E110B4" w:rsidP="00E110B4">
      <w:pPr>
        <w:spacing w:line="240" w:lineRule="auto"/>
        <w:rPr>
          <w:rFonts w:eastAsia="Times New Roman" w:cs="Arial"/>
          <w:color w:val="000000"/>
          <w:lang w:eastAsia="bg-BG"/>
        </w:rPr>
      </w:pPr>
    </w:p>
    <w:p w14:paraId="0BD9D684" w14:textId="63B9C842" w:rsidR="00E110B4" w:rsidRPr="00E110B4" w:rsidRDefault="00E110B4" w:rsidP="00E110B4">
      <w:pPr>
        <w:spacing w:line="240" w:lineRule="auto"/>
        <w:rPr>
          <w:rFonts w:eastAsia="Times New Roman" w:cs="Arial"/>
        </w:rPr>
      </w:pPr>
      <w:r w:rsidRPr="00E110B4">
        <w:rPr>
          <w:rFonts w:eastAsia="Times New Roman" w:cs="Arial"/>
          <w:color w:val="000000"/>
          <w:lang w:eastAsia="bg-BG"/>
        </w:rPr>
        <w:t>Времето до появата на НСС или смърт (което е настъпило първо) е сравнимо в двете групи на лечение; в хода на проучването кумулативната смъртна честота е 23% (23/102) и 33% (29/89) за пациентите, лекувани съответно с ентекавир и адефовир дипивоксил, а кумулативната честота на НСС в хода на проучването е била 12% (12/102) и 20% (18/89) за пациентите, лекувани съответно с ентекавир и адефовир дипивоксил.</w:t>
      </w:r>
    </w:p>
    <w:p w14:paraId="3F072E6A" w14:textId="77777777" w:rsidR="00E110B4" w:rsidRPr="00E110B4" w:rsidRDefault="00E110B4" w:rsidP="00E110B4">
      <w:pPr>
        <w:spacing w:line="240" w:lineRule="auto"/>
        <w:rPr>
          <w:rFonts w:eastAsia="Times New Roman" w:cs="Arial"/>
        </w:rPr>
      </w:pPr>
      <w:r w:rsidRPr="00E110B4">
        <w:rPr>
          <w:rFonts w:eastAsia="Times New Roman" w:cs="Arial"/>
          <w:color w:val="000000"/>
          <w:lang w:eastAsia="bg-BG"/>
        </w:rPr>
        <w:t xml:space="preserve">За пациенти с </w:t>
      </w:r>
      <w:r w:rsidRPr="00E110B4">
        <w:rPr>
          <w:rFonts w:eastAsia="Times New Roman" w:cs="Arial"/>
          <w:color w:val="000000"/>
          <w:lang w:val="en-US"/>
        </w:rPr>
        <w:t>LVDr</w:t>
      </w:r>
      <w:r w:rsidRPr="00E110B4">
        <w:rPr>
          <w:rFonts w:eastAsia="Times New Roman" w:cs="Arial"/>
          <w:color w:val="000000"/>
          <w:lang w:val="ru-RU"/>
        </w:rPr>
        <w:t xml:space="preserve"> </w:t>
      </w:r>
      <w:r w:rsidRPr="00E110B4">
        <w:rPr>
          <w:rFonts w:eastAsia="Times New Roman" w:cs="Arial"/>
          <w:color w:val="000000"/>
          <w:lang w:eastAsia="bg-BG"/>
        </w:rPr>
        <w:t xml:space="preserve">замени на изходно ниво процентът от пациенти с </w:t>
      </w:r>
      <w:r w:rsidRPr="00E110B4">
        <w:rPr>
          <w:rFonts w:eastAsia="Times New Roman" w:cs="Arial"/>
          <w:color w:val="000000"/>
          <w:lang w:val="en-US"/>
        </w:rPr>
        <w:t>HBV</w:t>
      </w:r>
      <w:r w:rsidRPr="00E110B4">
        <w:rPr>
          <w:rFonts w:eastAsia="Times New Roman" w:cs="Arial"/>
          <w:color w:val="000000"/>
          <w:lang w:val="ru-RU"/>
        </w:rPr>
        <w:t xml:space="preserve"> </w:t>
      </w:r>
      <w:r w:rsidRPr="00E110B4">
        <w:rPr>
          <w:rFonts w:eastAsia="Times New Roman" w:cs="Arial"/>
          <w:color w:val="000000"/>
          <w:lang w:eastAsia="bg-BG"/>
        </w:rPr>
        <w:t>ДНК &lt;300 копия</w:t>
      </w:r>
      <w:r w:rsidRPr="00E110B4">
        <w:rPr>
          <w:rFonts w:eastAsia="Times New Roman" w:cs="Arial"/>
          <w:color w:val="000000"/>
          <w:lang w:val="ru-RU"/>
        </w:rPr>
        <w:t>/</w:t>
      </w:r>
      <w:r w:rsidRPr="00E110B4">
        <w:rPr>
          <w:rFonts w:eastAsia="Times New Roman" w:cs="Arial"/>
          <w:color w:val="000000"/>
          <w:lang w:val="en-US"/>
        </w:rPr>
        <w:t>ml</w:t>
      </w:r>
      <w:r w:rsidRPr="00E110B4">
        <w:rPr>
          <w:rFonts w:eastAsia="Times New Roman" w:cs="Arial"/>
          <w:color w:val="000000"/>
          <w:lang w:val="ru-RU"/>
        </w:rPr>
        <w:t xml:space="preserve"> </w:t>
      </w:r>
      <w:r w:rsidRPr="00E110B4">
        <w:rPr>
          <w:rFonts w:eastAsia="Times New Roman" w:cs="Arial"/>
          <w:color w:val="000000"/>
          <w:lang w:eastAsia="bg-BG"/>
        </w:rPr>
        <w:t>е 44% за ентекавир и 20% за адефовир през седмица 24 и 50% за ентекавир и 17% за адефовир през седмица 48.</w:t>
      </w:r>
    </w:p>
    <w:p w14:paraId="7B4089BB" w14:textId="77777777" w:rsidR="00E110B4" w:rsidRPr="00E110B4" w:rsidRDefault="00E110B4" w:rsidP="00E110B4">
      <w:pPr>
        <w:spacing w:line="240" w:lineRule="auto"/>
        <w:rPr>
          <w:rFonts w:eastAsia="Times New Roman" w:cs="Arial"/>
          <w:i/>
          <w:iCs/>
          <w:color w:val="000000"/>
          <w:lang w:val="en-US"/>
        </w:rPr>
      </w:pPr>
    </w:p>
    <w:p w14:paraId="118C75A6" w14:textId="036CAD49" w:rsidR="00E110B4" w:rsidRPr="00E110B4" w:rsidRDefault="00E110B4" w:rsidP="00E110B4">
      <w:pPr>
        <w:spacing w:line="240" w:lineRule="auto"/>
        <w:rPr>
          <w:rFonts w:eastAsia="Times New Roman" w:cs="Arial"/>
        </w:rPr>
      </w:pPr>
      <w:r w:rsidRPr="00E110B4">
        <w:rPr>
          <w:rFonts w:eastAsia="Times New Roman" w:cs="Arial"/>
          <w:i/>
          <w:iCs/>
          <w:color w:val="000000"/>
          <w:lang w:val="en-US"/>
        </w:rPr>
        <w:t>HIV</w:t>
      </w:r>
      <w:r w:rsidRPr="00E110B4">
        <w:rPr>
          <w:rFonts w:eastAsia="Times New Roman" w:cs="Arial"/>
          <w:i/>
          <w:iCs/>
          <w:color w:val="000000"/>
        </w:rPr>
        <w:t>/</w:t>
      </w:r>
      <w:r w:rsidRPr="00E110B4">
        <w:rPr>
          <w:rFonts w:eastAsia="Times New Roman" w:cs="Arial"/>
          <w:i/>
          <w:iCs/>
          <w:color w:val="000000"/>
          <w:lang w:val="en-US"/>
        </w:rPr>
        <w:t>HBV</w:t>
      </w:r>
      <w:r w:rsidRPr="00E110B4">
        <w:rPr>
          <w:rFonts w:eastAsia="Times New Roman" w:cs="Arial"/>
          <w:i/>
          <w:iCs/>
          <w:color w:val="000000"/>
          <w:lang w:eastAsia="bg-BG"/>
        </w:rPr>
        <w:t xml:space="preserve">коинфектирани пациенти, които получават съпътстваща </w:t>
      </w:r>
      <w:r w:rsidRPr="00E110B4">
        <w:rPr>
          <w:rFonts w:eastAsia="Times New Roman" w:cs="Arial"/>
          <w:i/>
          <w:iCs/>
          <w:color w:val="000000"/>
          <w:lang w:val="en-US"/>
        </w:rPr>
        <w:t>HAART</w:t>
      </w:r>
      <w:r w:rsidRPr="00E110B4">
        <w:rPr>
          <w:rFonts w:eastAsia="Times New Roman" w:cs="Arial"/>
          <w:i/>
          <w:iCs/>
          <w:color w:val="000000"/>
        </w:rPr>
        <w:t>:</w:t>
      </w:r>
      <w:r w:rsidRPr="00E110B4">
        <w:rPr>
          <w:rFonts w:eastAsia="Times New Roman" w:cs="Arial"/>
          <w:color w:val="000000"/>
        </w:rPr>
        <w:t xml:space="preserve"> </w:t>
      </w:r>
      <w:r w:rsidRPr="00E110B4">
        <w:rPr>
          <w:rFonts w:eastAsia="Times New Roman" w:cs="Arial"/>
          <w:color w:val="000000"/>
          <w:lang w:eastAsia="bg-BG"/>
        </w:rPr>
        <w:t xml:space="preserve">проучване 038 включва 67 </w:t>
      </w:r>
      <w:r w:rsidRPr="00E110B4">
        <w:rPr>
          <w:rFonts w:eastAsia="Times New Roman" w:cs="Arial"/>
          <w:color w:val="000000"/>
          <w:lang w:val="en-US"/>
        </w:rPr>
        <w:t>HBeAg</w:t>
      </w:r>
      <w:r w:rsidRPr="00E110B4">
        <w:rPr>
          <w:rFonts w:eastAsia="Times New Roman" w:cs="Arial"/>
          <w:color w:val="000000"/>
        </w:rPr>
        <w:t xml:space="preserve"> </w:t>
      </w:r>
      <w:r w:rsidRPr="00E110B4">
        <w:rPr>
          <w:rFonts w:eastAsia="Times New Roman" w:cs="Arial"/>
          <w:color w:val="000000"/>
          <w:lang w:eastAsia="bg-BG"/>
        </w:rPr>
        <w:t xml:space="preserve">положителни пациенти и 1 </w:t>
      </w:r>
      <w:r w:rsidRPr="00E110B4">
        <w:rPr>
          <w:rFonts w:eastAsia="Times New Roman" w:cs="Arial"/>
          <w:color w:val="000000"/>
          <w:lang w:val="en-US"/>
        </w:rPr>
        <w:t>HBeAg</w:t>
      </w:r>
      <w:r w:rsidRPr="00E110B4">
        <w:rPr>
          <w:rFonts w:eastAsia="Times New Roman" w:cs="Arial"/>
          <w:color w:val="000000"/>
        </w:rPr>
        <w:t xml:space="preserve"> </w:t>
      </w:r>
      <w:r w:rsidRPr="00E110B4">
        <w:rPr>
          <w:rFonts w:eastAsia="Times New Roman" w:cs="Arial"/>
          <w:color w:val="000000"/>
          <w:lang w:eastAsia="bg-BG"/>
        </w:rPr>
        <w:t>отрицателен пациент,</w:t>
      </w:r>
    </w:p>
    <w:p w14:paraId="548A0C50" w14:textId="77777777" w:rsidR="00E110B4" w:rsidRPr="00E110B4" w:rsidRDefault="00E110B4" w:rsidP="00E110B4">
      <w:pPr>
        <w:spacing w:line="240" w:lineRule="auto"/>
        <w:rPr>
          <w:rFonts w:eastAsia="Times New Roman" w:cs="Arial"/>
        </w:rPr>
      </w:pPr>
      <w:r w:rsidRPr="00E110B4">
        <w:rPr>
          <w:rFonts w:eastAsia="Times New Roman" w:cs="Arial"/>
          <w:color w:val="000000"/>
          <w:lang w:eastAsia="bg-BG"/>
        </w:rPr>
        <w:t xml:space="preserve">едновременно инфектирани с </w:t>
      </w:r>
      <w:r w:rsidRPr="00E110B4">
        <w:rPr>
          <w:rFonts w:eastAsia="Times New Roman" w:cs="Arial"/>
          <w:color w:val="000000"/>
          <w:lang w:val="en-US"/>
        </w:rPr>
        <w:t>HIV</w:t>
      </w:r>
      <w:r w:rsidRPr="00E110B4">
        <w:rPr>
          <w:rFonts w:eastAsia="Times New Roman" w:cs="Arial"/>
          <w:color w:val="000000"/>
          <w:lang w:val="ru-RU"/>
        </w:rPr>
        <w:t xml:space="preserve">. </w:t>
      </w:r>
      <w:r w:rsidRPr="00E110B4">
        <w:rPr>
          <w:rFonts w:eastAsia="Times New Roman" w:cs="Arial"/>
          <w:color w:val="000000"/>
          <w:lang w:eastAsia="bg-BG"/>
        </w:rPr>
        <w:t xml:space="preserve">Пациентите са със стабилен контрол по отношение на </w:t>
      </w:r>
      <w:r w:rsidRPr="00E110B4">
        <w:rPr>
          <w:rFonts w:eastAsia="Times New Roman" w:cs="Arial"/>
          <w:color w:val="000000"/>
          <w:lang w:val="en-US"/>
        </w:rPr>
        <w:t>HIV</w:t>
      </w:r>
      <w:r w:rsidRPr="00E110B4">
        <w:rPr>
          <w:rFonts w:eastAsia="Times New Roman" w:cs="Arial"/>
          <w:color w:val="000000"/>
          <w:lang w:val="ru-RU"/>
        </w:rPr>
        <w:t xml:space="preserve"> (</w:t>
      </w:r>
      <w:r w:rsidRPr="00E110B4">
        <w:rPr>
          <w:rFonts w:eastAsia="Times New Roman" w:cs="Arial"/>
          <w:color w:val="000000"/>
          <w:lang w:val="en-US"/>
        </w:rPr>
        <w:t>HIV</w:t>
      </w:r>
      <w:r w:rsidRPr="00E110B4">
        <w:rPr>
          <w:rFonts w:eastAsia="Times New Roman" w:cs="Arial"/>
          <w:color w:val="000000"/>
          <w:lang w:val="ru-RU"/>
        </w:rPr>
        <w:t xml:space="preserve"> </w:t>
      </w:r>
      <w:r w:rsidRPr="00E110B4">
        <w:rPr>
          <w:rFonts w:eastAsia="Times New Roman" w:cs="Arial"/>
          <w:color w:val="000000"/>
          <w:lang w:eastAsia="bg-BG"/>
        </w:rPr>
        <w:t>РНК &lt; 400 копия</w:t>
      </w:r>
      <w:r w:rsidRPr="00E110B4">
        <w:rPr>
          <w:rFonts w:eastAsia="Times New Roman" w:cs="Arial"/>
          <w:color w:val="000000"/>
          <w:lang w:val="ru-RU"/>
        </w:rPr>
        <w:t>/</w:t>
      </w:r>
      <w:r w:rsidRPr="00E110B4">
        <w:rPr>
          <w:rFonts w:eastAsia="Times New Roman" w:cs="Arial"/>
          <w:color w:val="000000"/>
          <w:lang w:val="en-US"/>
        </w:rPr>
        <w:t>ml</w:t>
      </w:r>
      <w:r w:rsidRPr="00E110B4">
        <w:rPr>
          <w:rFonts w:eastAsia="Times New Roman" w:cs="Arial"/>
          <w:color w:val="000000"/>
          <w:lang w:val="ru-RU"/>
        </w:rPr>
        <w:t xml:space="preserve">) </w:t>
      </w:r>
      <w:r w:rsidRPr="00E110B4">
        <w:rPr>
          <w:rFonts w:eastAsia="Times New Roman" w:cs="Arial"/>
          <w:color w:val="000000"/>
          <w:lang w:eastAsia="bg-BG"/>
        </w:rPr>
        <w:t xml:space="preserve">с повтаряща се </w:t>
      </w:r>
      <w:r w:rsidRPr="00E110B4">
        <w:rPr>
          <w:rFonts w:eastAsia="Times New Roman" w:cs="Arial"/>
          <w:color w:val="000000"/>
          <w:lang w:val="en-US"/>
        </w:rPr>
        <w:t>HBV</w:t>
      </w:r>
      <w:r w:rsidRPr="00E110B4">
        <w:rPr>
          <w:rFonts w:eastAsia="Times New Roman" w:cs="Arial"/>
          <w:color w:val="000000"/>
          <w:lang w:val="ru-RU"/>
        </w:rPr>
        <w:t xml:space="preserve"> </w:t>
      </w:r>
      <w:r w:rsidRPr="00E110B4">
        <w:rPr>
          <w:rFonts w:eastAsia="Times New Roman" w:cs="Arial"/>
          <w:color w:val="000000"/>
          <w:lang w:eastAsia="bg-BG"/>
        </w:rPr>
        <w:t xml:space="preserve">виремия при ламивудин-съдърща </w:t>
      </w:r>
      <w:r w:rsidRPr="00E110B4">
        <w:rPr>
          <w:rFonts w:eastAsia="Times New Roman" w:cs="Arial"/>
          <w:color w:val="000000"/>
          <w:lang w:val="en-US"/>
        </w:rPr>
        <w:t>HAART</w:t>
      </w:r>
      <w:r w:rsidRPr="00E110B4">
        <w:rPr>
          <w:rFonts w:eastAsia="Times New Roman" w:cs="Arial"/>
          <w:color w:val="000000"/>
          <w:lang w:val="ru-RU"/>
        </w:rPr>
        <w:t xml:space="preserve"> </w:t>
      </w:r>
      <w:r w:rsidRPr="00E110B4">
        <w:rPr>
          <w:rFonts w:eastAsia="Times New Roman" w:cs="Arial"/>
          <w:color w:val="000000"/>
          <w:lang w:eastAsia="bg-BG"/>
        </w:rPr>
        <w:t xml:space="preserve">схема. Схемите на </w:t>
      </w:r>
      <w:r w:rsidRPr="00E110B4">
        <w:rPr>
          <w:rFonts w:eastAsia="Times New Roman" w:cs="Arial"/>
          <w:color w:val="000000"/>
          <w:lang w:val="en-US"/>
        </w:rPr>
        <w:t>HAART</w:t>
      </w:r>
      <w:r w:rsidRPr="00E110B4">
        <w:rPr>
          <w:rFonts w:eastAsia="Times New Roman" w:cs="Arial"/>
          <w:color w:val="000000"/>
          <w:lang w:val="ru-RU"/>
        </w:rPr>
        <w:t xml:space="preserve"> </w:t>
      </w:r>
      <w:r w:rsidRPr="00E110B4">
        <w:rPr>
          <w:rFonts w:eastAsia="Times New Roman" w:cs="Arial"/>
          <w:color w:val="000000"/>
          <w:lang w:eastAsia="bg-BG"/>
        </w:rPr>
        <w:t xml:space="preserve">не включват емтрицитабин или тенофовир дизопроксил фумарат. На изходно ниво лекуваните с ентекавир пациенти са със средна продължителността по-ранното лечение с ламивудин от 4,8 години и среден брой на </w:t>
      </w:r>
      <w:r w:rsidRPr="00E110B4">
        <w:rPr>
          <w:rFonts w:eastAsia="Times New Roman" w:cs="Arial"/>
          <w:color w:val="000000"/>
          <w:lang w:val="en-US"/>
        </w:rPr>
        <w:t>CD</w:t>
      </w:r>
      <w:r w:rsidRPr="00E110B4">
        <w:rPr>
          <w:rFonts w:eastAsia="Times New Roman" w:cs="Arial"/>
          <w:color w:val="000000"/>
          <w:lang w:val="ru-RU"/>
        </w:rPr>
        <w:t xml:space="preserve">4 </w:t>
      </w:r>
      <w:r w:rsidRPr="00E110B4">
        <w:rPr>
          <w:rFonts w:eastAsia="Times New Roman" w:cs="Arial"/>
          <w:color w:val="000000"/>
          <w:lang w:eastAsia="bg-BG"/>
        </w:rPr>
        <w:t>от 494 клетки</w:t>
      </w:r>
      <w:r w:rsidRPr="00E110B4">
        <w:rPr>
          <w:rFonts w:eastAsia="Times New Roman" w:cs="Arial"/>
          <w:color w:val="000000"/>
          <w:lang w:val="ru-RU"/>
        </w:rPr>
        <w:t>/</w:t>
      </w:r>
      <w:r w:rsidRPr="00E110B4">
        <w:rPr>
          <w:rFonts w:eastAsia="Times New Roman" w:cs="Arial"/>
          <w:color w:val="000000"/>
          <w:lang w:val="en-US"/>
        </w:rPr>
        <w:t>mm</w:t>
      </w:r>
      <w:r w:rsidRPr="00E110B4">
        <w:rPr>
          <w:rFonts w:eastAsia="Times New Roman" w:cs="Arial"/>
          <w:color w:val="000000"/>
          <w:lang w:val="ru-RU"/>
        </w:rPr>
        <w:t xml:space="preserve"> </w:t>
      </w:r>
      <w:r w:rsidRPr="00E110B4">
        <w:rPr>
          <w:rFonts w:eastAsia="Times New Roman" w:cs="Arial"/>
          <w:color w:val="000000"/>
          <w:lang w:eastAsia="bg-BG"/>
        </w:rPr>
        <w:t xml:space="preserve">(само 5 участници с брой на </w:t>
      </w:r>
      <w:r w:rsidRPr="00E110B4">
        <w:rPr>
          <w:rFonts w:eastAsia="Times New Roman" w:cs="Arial"/>
          <w:color w:val="000000"/>
          <w:lang w:val="en-US"/>
        </w:rPr>
        <w:t>CD</w:t>
      </w:r>
      <w:r w:rsidRPr="00E110B4">
        <w:rPr>
          <w:rFonts w:eastAsia="Times New Roman" w:cs="Arial"/>
          <w:color w:val="000000"/>
          <w:lang w:val="ru-RU"/>
        </w:rPr>
        <w:t xml:space="preserve">4 </w:t>
      </w:r>
      <w:r w:rsidRPr="00E110B4">
        <w:rPr>
          <w:rFonts w:eastAsia="Times New Roman" w:cs="Arial"/>
          <w:color w:val="000000"/>
          <w:lang w:eastAsia="bg-BG"/>
        </w:rPr>
        <w:t>&lt; 200 клетки</w:t>
      </w:r>
      <w:r w:rsidRPr="00E110B4">
        <w:rPr>
          <w:rFonts w:eastAsia="Times New Roman" w:cs="Arial"/>
          <w:color w:val="000000"/>
          <w:lang w:val="ru-RU"/>
        </w:rPr>
        <w:t>/</w:t>
      </w:r>
      <w:r w:rsidRPr="00E110B4">
        <w:rPr>
          <w:rFonts w:eastAsia="Times New Roman" w:cs="Arial"/>
          <w:color w:val="000000"/>
          <w:lang w:val="en-US"/>
        </w:rPr>
        <w:t>mm</w:t>
      </w:r>
      <w:r w:rsidRPr="00E110B4">
        <w:rPr>
          <w:rFonts w:eastAsia="Times New Roman" w:cs="Arial"/>
          <w:color w:val="000000"/>
          <w:lang w:val="ru-RU"/>
        </w:rPr>
        <w:t xml:space="preserve"> </w:t>
      </w:r>
      <w:r w:rsidRPr="00E110B4">
        <w:rPr>
          <w:rFonts w:eastAsia="Times New Roman" w:cs="Arial"/>
          <w:color w:val="000000"/>
          <w:lang w:eastAsia="bg-BG"/>
        </w:rPr>
        <w:t>).</w:t>
      </w:r>
      <w:r w:rsidRPr="00E110B4">
        <w:rPr>
          <w:rFonts w:eastAsia="Times New Roman" w:cs="Arial"/>
          <w:color w:val="000000"/>
          <w:lang w:val="ru-RU"/>
        </w:rPr>
        <w:t xml:space="preserve"> </w:t>
      </w:r>
      <w:r w:rsidRPr="00E110B4">
        <w:rPr>
          <w:rFonts w:eastAsia="Times New Roman" w:cs="Arial"/>
          <w:color w:val="000000"/>
          <w:lang w:eastAsia="bg-BG"/>
        </w:rPr>
        <w:t>Пациентите са</w:t>
      </w:r>
    </w:p>
    <w:p w14:paraId="791D26DE" w14:textId="77777777" w:rsidR="00E110B4" w:rsidRPr="00E110B4" w:rsidRDefault="00E110B4" w:rsidP="00E110B4">
      <w:pPr>
        <w:rPr>
          <w:rFonts w:eastAsia="Times New Roman" w:cs="Arial"/>
        </w:rPr>
      </w:pPr>
      <w:r w:rsidRPr="00E110B4">
        <w:rPr>
          <w:rFonts w:eastAsia="Times New Roman" w:cs="Arial"/>
          <w:color w:val="000000"/>
          <w:lang w:eastAsia="bg-BG"/>
        </w:rPr>
        <w:t>продължили схемата си на лечение с ламивудин, като заедно с това са разпределени да приемат или ентекавир по 1</w:t>
      </w:r>
      <w:r w:rsidRPr="00E110B4">
        <w:rPr>
          <w:rFonts w:eastAsia="Times New Roman" w:cs="Arial"/>
          <w:color w:val="000000"/>
          <w:lang w:val="en-US"/>
        </w:rPr>
        <w:t>mg</w:t>
      </w:r>
      <w:r w:rsidRPr="00E110B4">
        <w:rPr>
          <w:rFonts w:eastAsia="Times New Roman" w:cs="Arial"/>
          <w:color w:val="000000"/>
          <w:lang w:val="ru-RU"/>
        </w:rPr>
        <w:t xml:space="preserve"> </w:t>
      </w:r>
      <w:r w:rsidRPr="00E110B4">
        <w:rPr>
          <w:rFonts w:eastAsia="Times New Roman" w:cs="Arial"/>
          <w:color w:val="000000"/>
          <w:lang w:eastAsia="bg-BG"/>
        </w:rPr>
        <w:t>веднъж дневно (</w:t>
      </w:r>
      <w:r w:rsidRPr="00E110B4">
        <w:rPr>
          <w:rFonts w:eastAsia="Times New Roman" w:cs="Arial"/>
          <w:color w:val="000000"/>
          <w:lang w:val="en-US"/>
        </w:rPr>
        <w:t>n</w:t>
      </w:r>
      <w:r w:rsidRPr="00E110B4">
        <w:rPr>
          <w:rFonts w:eastAsia="Times New Roman" w:cs="Arial"/>
          <w:color w:val="000000"/>
          <w:lang w:val="ru-RU"/>
        </w:rPr>
        <w:t>=</w:t>
      </w:r>
      <w:r w:rsidRPr="00E110B4">
        <w:rPr>
          <w:rFonts w:eastAsia="Times New Roman" w:cs="Arial"/>
          <w:color w:val="000000"/>
          <w:lang w:eastAsia="bg-BG"/>
        </w:rPr>
        <w:t xml:space="preserve"> 51), или плацебо (</w:t>
      </w:r>
      <w:r w:rsidRPr="00E110B4">
        <w:rPr>
          <w:rFonts w:eastAsia="Times New Roman" w:cs="Arial"/>
          <w:color w:val="000000"/>
          <w:lang w:val="en-US"/>
        </w:rPr>
        <w:t>n</w:t>
      </w:r>
      <w:r w:rsidRPr="00E110B4">
        <w:rPr>
          <w:rFonts w:eastAsia="Times New Roman" w:cs="Arial"/>
          <w:color w:val="000000"/>
          <w:lang w:val="ru-RU"/>
        </w:rPr>
        <w:t>=</w:t>
      </w:r>
      <w:r w:rsidRPr="00E110B4">
        <w:rPr>
          <w:rFonts w:eastAsia="Times New Roman" w:cs="Arial"/>
          <w:color w:val="000000"/>
          <w:lang w:eastAsia="bg-BG"/>
        </w:rPr>
        <w:t xml:space="preserve">17) за 24 седмици, последвани от допълнителни 24 седмици, през които всички приемат ентекавир. На 24-та седмица намаляването на </w:t>
      </w:r>
      <w:r w:rsidRPr="00E110B4">
        <w:rPr>
          <w:rFonts w:eastAsia="Times New Roman" w:cs="Arial"/>
          <w:color w:val="000000"/>
          <w:lang w:val="en-US"/>
        </w:rPr>
        <w:t>HBV</w:t>
      </w:r>
      <w:r w:rsidRPr="00E110B4">
        <w:rPr>
          <w:rFonts w:eastAsia="Times New Roman" w:cs="Arial"/>
          <w:color w:val="000000"/>
          <w:lang w:val="ru-RU"/>
        </w:rPr>
        <w:t xml:space="preserve"> </w:t>
      </w:r>
      <w:r w:rsidRPr="00E110B4">
        <w:rPr>
          <w:rFonts w:eastAsia="Times New Roman" w:cs="Arial"/>
          <w:color w:val="000000"/>
          <w:lang w:eastAsia="bg-BG"/>
        </w:rPr>
        <w:t xml:space="preserve">вирусния товар е значително по-голямо при лечението с ентекавир (-3,65 спрямо нарастване с 0,11 </w:t>
      </w:r>
      <w:r w:rsidRPr="00E110B4">
        <w:rPr>
          <w:rFonts w:eastAsia="Times New Roman" w:cs="Arial"/>
          <w:color w:val="000000"/>
          <w:lang w:val="en-US"/>
        </w:rPr>
        <w:t>log</w:t>
      </w:r>
      <w:r w:rsidRPr="00E110B4">
        <w:rPr>
          <w:rFonts w:eastAsia="Times New Roman" w:cs="Arial"/>
          <w:color w:val="000000"/>
          <w:vertAlign w:val="subscript"/>
          <w:lang w:val="ru-RU"/>
        </w:rPr>
        <w:t>10</w:t>
      </w:r>
      <w:r w:rsidRPr="00E110B4">
        <w:rPr>
          <w:rFonts w:eastAsia="Times New Roman" w:cs="Arial"/>
          <w:color w:val="000000"/>
          <w:lang w:val="ru-RU"/>
        </w:rPr>
        <w:t xml:space="preserve"> </w:t>
      </w:r>
      <w:r w:rsidRPr="00E110B4">
        <w:rPr>
          <w:rFonts w:eastAsia="Times New Roman" w:cs="Arial"/>
          <w:color w:val="000000"/>
          <w:lang w:eastAsia="bg-BG"/>
        </w:rPr>
        <w:t>копия</w:t>
      </w:r>
      <w:r w:rsidRPr="00E110B4">
        <w:rPr>
          <w:rFonts w:eastAsia="Times New Roman" w:cs="Arial"/>
          <w:color w:val="000000"/>
          <w:lang w:val="ru-RU"/>
        </w:rPr>
        <w:t>/</w:t>
      </w:r>
      <w:r w:rsidRPr="00E110B4">
        <w:rPr>
          <w:rFonts w:eastAsia="Times New Roman" w:cs="Arial"/>
          <w:color w:val="000000"/>
          <w:lang w:val="en-US"/>
        </w:rPr>
        <w:t>ml</w:t>
      </w:r>
      <w:r w:rsidRPr="00E110B4">
        <w:rPr>
          <w:rFonts w:eastAsia="Times New Roman" w:cs="Arial"/>
          <w:color w:val="000000"/>
          <w:lang w:val="ru-RU"/>
        </w:rPr>
        <w:t xml:space="preserve">). </w:t>
      </w:r>
      <w:r w:rsidRPr="00E110B4">
        <w:rPr>
          <w:rFonts w:eastAsia="Times New Roman" w:cs="Arial"/>
          <w:color w:val="000000"/>
          <w:lang w:eastAsia="bg-BG"/>
        </w:rPr>
        <w:t xml:space="preserve">При пациентите, първоначално разпределени да приемат ентекавир, редукцията на </w:t>
      </w:r>
      <w:r w:rsidRPr="00E110B4">
        <w:rPr>
          <w:rFonts w:eastAsia="Times New Roman" w:cs="Arial"/>
          <w:color w:val="000000"/>
          <w:lang w:val="en-US"/>
        </w:rPr>
        <w:t>HBV</w:t>
      </w:r>
      <w:r w:rsidRPr="00E110B4">
        <w:rPr>
          <w:rFonts w:eastAsia="Times New Roman" w:cs="Arial"/>
          <w:color w:val="000000"/>
          <w:lang w:val="ru-RU"/>
        </w:rPr>
        <w:t xml:space="preserve"> </w:t>
      </w:r>
      <w:r w:rsidRPr="00E110B4">
        <w:rPr>
          <w:rFonts w:eastAsia="Times New Roman" w:cs="Arial"/>
          <w:color w:val="000000"/>
          <w:lang w:eastAsia="bg-BG"/>
        </w:rPr>
        <w:t xml:space="preserve">ДНК през седмица 48 е -4,20 </w:t>
      </w:r>
      <w:r w:rsidRPr="00E110B4">
        <w:rPr>
          <w:rFonts w:eastAsia="Times New Roman" w:cs="Arial"/>
          <w:color w:val="000000"/>
          <w:lang w:val="en-US"/>
        </w:rPr>
        <w:t>log</w:t>
      </w:r>
      <w:r w:rsidRPr="00E110B4">
        <w:rPr>
          <w:rFonts w:eastAsia="Times New Roman" w:cs="Arial"/>
          <w:color w:val="000000"/>
          <w:vertAlign w:val="subscript"/>
          <w:lang w:val="ru-RU"/>
        </w:rPr>
        <w:t xml:space="preserve">10 </w:t>
      </w:r>
      <w:r w:rsidRPr="00E110B4">
        <w:rPr>
          <w:rFonts w:eastAsia="Times New Roman" w:cs="Arial"/>
          <w:color w:val="000000"/>
          <w:lang w:eastAsia="bg-BG"/>
        </w:rPr>
        <w:t>копия</w:t>
      </w:r>
      <w:r w:rsidRPr="00E110B4">
        <w:rPr>
          <w:rFonts w:eastAsia="Times New Roman" w:cs="Arial"/>
          <w:color w:val="000000"/>
          <w:lang w:val="ru-RU"/>
        </w:rPr>
        <w:t>/</w:t>
      </w:r>
      <w:r w:rsidRPr="00E110B4">
        <w:rPr>
          <w:rFonts w:eastAsia="Times New Roman" w:cs="Arial"/>
          <w:color w:val="000000"/>
          <w:lang w:val="en-US"/>
        </w:rPr>
        <w:t>ml</w:t>
      </w:r>
      <w:r w:rsidRPr="00E110B4">
        <w:rPr>
          <w:rFonts w:eastAsia="Times New Roman" w:cs="Arial"/>
          <w:color w:val="000000"/>
          <w:lang w:val="ru-RU"/>
        </w:rPr>
        <w:t xml:space="preserve">, </w:t>
      </w:r>
      <w:r w:rsidRPr="00E110B4">
        <w:rPr>
          <w:rFonts w:eastAsia="Times New Roman" w:cs="Arial"/>
          <w:color w:val="000000"/>
          <w:lang w:eastAsia="bg-BG"/>
        </w:rPr>
        <w:t xml:space="preserve">нормализиране на </w:t>
      </w:r>
      <w:r w:rsidRPr="00E110B4">
        <w:rPr>
          <w:rFonts w:eastAsia="Times New Roman" w:cs="Arial"/>
          <w:color w:val="000000"/>
          <w:lang w:val="en-US"/>
        </w:rPr>
        <w:t>ALT</w:t>
      </w:r>
      <w:r w:rsidRPr="00E110B4">
        <w:rPr>
          <w:rFonts w:eastAsia="Times New Roman" w:cs="Arial"/>
          <w:color w:val="000000"/>
          <w:lang w:val="ru-RU"/>
        </w:rPr>
        <w:t xml:space="preserve"> </w:t>
      </w:r>
      <w:r w:rsidRPr="00E110B4">
        <w:rPr>
          <w:rFonts w:eastAsia="Times New Roman" w:cs="Arial"/>
          <w:color w:val="000000"/>
          <w:lang w:eastAsia="bg-BG"/>
        </w:rPr>
        <w:t xml:space="preserve">настъпва при 37% от пациентите с изходни отклонения в стойностите на </w:t>
      </w:r>
      <w:r w:rsidRPr="00E110B4">
        <w:rPr>
          <w:rFonts w:eastAsia="Times New Roman" w:cs="Arial"/>
          <w:color w:val="000000"/>
          <w:lang w:val="en-US"/>
        </w:rPr>
        <w:t>ALT</w:t>
      </w:r>
      <w:r w:rsidRPr="00E110B4">
        <w:rPr>
          <w:rFonts w:eastAsia="Times New Roman" w:cs="Arial"/>
          <w:color w:val="000000"/>
          <w:lang w:val="ru-RU"/>
        </w:rPr>
        <w:t xml:space="preserve"> </w:t>
      </w:r>
      <w:r w:rsidRPr="00E110B4">
        <w:rPr>
          <w:rFonts w:eastAsia="Times New Roman" w:cs="Arial"/>
          <w:color w:val="000000"/>
          <w:lang w:eastAsia="bg-BG"/>
        </w:rPr>
        <w:t xml:space="preserve">и при нито един не е постигната </w:t>
      </w:r>
      <w:r w:rsidRPr="00E110B4">
        <w:rPr>
          <w:rFonts w:eastAsia="Times New Roman" w:cs="Arial"/>
          <w:color w:val="000000"/>
          <w:lang w:val="en-US"/>
        </w:rPr>
        <w:t>HBeAg</w:t>
      </w:r>
      <w:r w:rsidRPr="00E110B4">
        <w:rPr>
          <w:rFonts w:eastAsia="Times New Roman" w:cs="Arial"/>
          <w:color w:val="000000"/>
          <w:lang w:val="ru-RU"/>
        </w:rPr>
        <w:t xml:space="preserve"> </w:t>
      </w:r>
      <w:r w:rsidRPr="00E110B4">
        <w:rPr>
          <w:rFonts w:eastAsia="Times New Roman" w:cs="Arial"/>
          <w:color w:val="000000"/>
          <w:lang w:eastAsia="bg-BG"/>
        </w:rPr>
        <w:t>сероконверсия.</w:t>
      </w:r>
    </w:p>
    <w:p w14:paraId="3566B993" w14:textId="77777777" w:rsidR="00E110B4" w:rsidRPr="00E110B4" w:rsidRDefault="00E110B4" w:rsidP="00E110B4">
      <w:pPr>
        <w:spacing w:line="240" w:lineRule="auto"/>
        <w:rPr>
          <w:rFonts w:eastAsia="Times New Roman" w:cs="Arial"/>
          <w:i/>
          <w:iCs/>
          <w:color w:val="000000"/>
          <w:lang w:val="en-US"/>
        </w:rPr>
      </w:pPr>
    </w:p>
    <w:p w14:paraId="6E691B8A" w14:textId="43808B24" w:rsidR="00E110B4" w:rsidRPr="00E110B4" w:rsidRDefault="00E110B4" w:rsidP="00E110B4">
      <w:pPr>
        <w:spacing w:line="240" w:lineRule="auto"/>
        <w:rPr>
          <w:rFonts w:eastAsia="Times New Roman" w:cs="Arial"/>
        </w:rPr>
      </w:pPr>
      <w:r w:rsidRPr="00E110B4">
        <w:rPr>
          <w:rFonts w:eastAsia="Times New Roman" w:cs="Arial"/>
          <w:i/>
          <w:iCs/>
          <w:color w:val="000000"/>
          <w:lang w:val="en-US"/>
        </w:rPr>
        <w:t>HIV</w:t>
      </w:r>
      <w:r w:rsidRPr="00E110B4">
        <w:rPr>
          <w:rFonts w:eastAsia="Times New Roman" w:cs="Arial"/>
          <w:i/>
          <w:iCs/>
          <w:color w:val="000000"/>
          <w:lang w:val="ru-RU"/>
        </w:rPr>
        <w:t>/</w:t>
      </w:r>
      <w:r w:rsidRPr="00E110B4">
        <w:rPr>
          <w:rFonts w:eastAsia="Times New Roman" w:cs="Arial"/>
          <w:i/>
          <w:iCs/>
          <w:color w:val="000000"/>
          <w:lang w:val="en-US"/>
        </w:rPr>
        <w:t>HBV</w:t>
      </w:r>
      <w:r w:rsidRPr="00E110B4">
        <w:rPr>
          <w:rFonts w:eastAsia="Times New Roman" w:cs="Arial"/>
          <w:i/>
          <w:iCs/>
          <w:color w:val="000000"/>
          <w:lang w:val="ru-RU"/>
        </w:rPr>
        <w:t xml:space="preserve"> </w:t>
      </w:r>
      <w:r w:rsidRPr="00E110B4">
        <w:rPr>
          <w:rFonts w:eastAsia="Times New Roman" w:cs="Arial"/>
          <w:i/>
          <w:iCs/>
          <w:color w:val="000000"/>
          <w:lang w:eastAsia="bg-BG"/>
        </w:rPr>
        <w:t xml:space="preserve">коинфектирани пациенти, които не получават съпътстващо </w:t>
      </w:r>
      <w:r w:rsidRPr="00E110B4">
        <w:rPr>
          <w:rFonts w:eastAsia="Times New Roman" w:cs="Arial"/>
          <w:i/>
          <w:iCs/>
          <w:color w:val="000000"/>
          <w:lang w:val="en-US"/>
        </w:rPr>
        <w:t>HAART</w:t>
      </w:r>
      <w:r w:rsidRPr="00E110B4">
        <w:rPr>
          <w:rFonts w:eastAsia="Times New Roman" w:cs="Arial"/>
          <w:i/>
          <w:iCs/>
          <w:color w:val="000000"/>
          <w:lang w:val="ru-RU"/>
        </w:rPr>
        <w:t>:</w:t>
      </w:r>
      <w:r w:rsidRPr="00E110B4">
        <w:rPr>
          <w:rFonts w:eastAsia="Times New Roman" w:cs="Arial"/>
          <w:color w:val="000000"/>
          <w:lang w:val="ru-RU"/>
        </w:rPr>
        <w:t xml:space="preserve"> </w:t>
      </w:r>
      <w:r w:rsidRPr="00E110B4">
        <w:rPr>
          <w:rFonts w:eastAsia="Times New Roman" w:cs="Arial"/>
          <w:color w:val="000000"/>
          <w:lang w:eastAsia="bg-BG"/>
        </w:rPr>
        <w:t xml:space="preserve">ентекавир не е оценяван при </w:t>
      </w:r>
      <w:r w:rsidRPr="00E110B4">
        <w:rPr>
          <w:rFonts w:eastAsia="Times New Roman" w:cs="Arial"/>
          <w:color w:val="000000"/>
          <w:lang w:val="en-US"/>
        </w:rPr>
        <w:t>HIV</w:t>
      </w:r>
      <w:r w:rsidRPr="00E110B4">
        <w:rPr>
          <w:rFonts w:eastAsia="Times New Roman" w:cs="Arial"/>
          <w:color w:val="000000"/>
          <w:lang w:val="ru-RU"/>
        </w:rPr>
        <w:t>/</w:t>
      </w:r>
      <w:r w:rsidRPr="00E110B4">
        <w:rPr>
          <w:rFonts w:eastAsia="Times New Roman" w:cs="Arial"/>
          <w:color w:val="000000"/>
          <w:lang w:val="en-US"/>
        </w:rPr>
        <w:t>HBV</w:t>
      </w:r>
      <w:r w:rsidRPr="00E110B4">
        <w:rPr>
          <w:rFonts w:eastAsia="Times New Roman" w:cs="Arial"/>
          <w:color w:val="000000"/>
          <w:lang w:val="ru-RU"/>
        </w:rPr>
        <w:t xml:space="preserve"> </w:t>
      </w:r>
      <w:r w:rsidRPr="00E110B4">
        <w:rPr>
          <w:rFonts w:eastAsia="Times New Roman" w:cs="Arial"/>
          <w:color w:val="000000"/>
          <w:lang w:eastAsia="bg-BG"/>
        </w:rPr>
        <w:t xml:space="preserve">коинфектирани пациенти, които не получават едновременно ефективно лечение за </w:t>
      </w:r>
      <w:r w:rsidRPr="00E110B4">
        <w:rPr>
          <w:rFonts w:eastAsia="Times New Roman" w:cs="Arial"/>
          <w:color w:val="000000"/>
          <w:lang w:val="en-US"/>
        </w:rPr>
        <w:t>HIV</w:t>
      </w:r>
      <w:r w:rsidRPr="00E110B4">
        <w:rPr>
          <w:rFonts w:eastAsia="Times New Roman" w:cs="Arial"/>
          <w:color w:val="000000"/>
          <w:lang w:val="ru-RU"/>
        </w:rPr>
        <w:t xml:space="preserve">. </w:t>
      </w:r>
      <w:r w:rsidRPr="00E110B4">
        <w:rPr>
          <w:rFonts w:eastAsia="Times New Roman" w:cs="Arial"/>
          <w:color w:val="000000"/>
          <w:lang w:eastAsia="bg-BG"/>
        </w:rPr>
        <w:t xml:space="preserve">Намаляване на </w:t>
      </w:r>
      <w:r w:rsidRPr="00E110B4">
        <w:rPr>
          <w:rFonts w:eastAsia="Times New Roman" w:cs="Arial"/>
          <w:color w:val="000000"/>
          <w:lang w:val="en-US"/>
        </w:rPr>
        <w:t>HIV</w:t>
      </w:r>
      <w:r w:rsidRPr="00E110B4">
        <w:rPr>
          <w:rFonts w:eastAsia="Times New Roman" w:cs="Arial"/>
          <w:color w:val="000000"/>
          <w:lang w:val="ru-RU"/>
        </w:rPr>
        <w:t xml:space="preserve"> </w:t>
      </w:r>
      <w:r w:rsidRPr="00E110B4">
        <w:rPr>
          <w:rFonts w:eastAsia="Times New Roman" w:cs="Arial"/>
          <w:color w:val="000000"/>
          <w:lang w:eastAsia="bg-BG"/>
        </w:rPr>
        <w:t xml:space="preserve">РНК е съобщено при </w:t>
      </w:r>
      <w:r w:rsidRPr="00E110B4">
        <w:rPr>
          <w:rFonts w:eastAsia="Times New Roman" w:cs="Arial"/>
          <w:color w:val="000000"/>
          <w:lang w:val="en-US"/>
        </w:rPr>
        <w:t>HIV</w:t>
      </w:r>
      <w:r w:rsidRPr="00E110B4">
        <w:rPr>
          <w:rFonts w:eastAsia="Times New Roman" w:cs="Arial"/>
          <w:color w:val="000000"/>
          <w:lang w:val="ru-RU"/>
        </w:rPr>
        <w:t>/</w:t>
      </w:r>
      <w:r w:rsidRPr="00E110B4">
        <w:rPr>
          <w:rFonts w:eastAsia="Times New Roman" w:cs="Arial"/>
          <w:color w:val="000000"/>
          <w:lang w:val="en-US"/>
        </w:rPr>
        <w:t>HBV</w:t>
      </w:r>
      <w:r w:rsidRPr="00E110B4">
        <w:rPr>
          <w:rFonts w:eastAsia="Times New Roman" w:cs="Arial"/>
          <w:color w:val="000000"/>
          <w:lang w:val="ru-RU"/>
        </w:rPr>
        <w:t xml:space="preserve"> </w:t>
      </w:r>
      <w:r w:rsidRPr="00E110B4">
        <w:rPr>
          <w:rFonts w:eastAsia="Times New Roman" w:cs="Arial"/>
          <w:color w:val="000000"/>
          <w:lang w:eastAsia="bg-BG"/>
        </w:rPr>
        <w:t xml:space="preserve">коинфектирани пациенти, които получават монотерапия с ентекавир без </w:t>
      </w:r>
      <w:r w:rsidRPr="00E110B4">
        <w:rPr>
          <w:rFonts w:eastAsia="Times New Roman" w:cs="Arial"/>
          <w:color w:val="000000"/>
          <w:lang w:val="en-US"/>
        </w:rPr>
        <w:t>HAART</w:t>
      </w:r>
      <w:r w:rsidRPr="00E110B4">
        <w:rPr>
          <w:rFonts w:eastAsia="Times New Roman" w:cs="Arial"/>
          <w:color w:val="000000"/>
          <w:lang w:val="ru-RU"/>
        </w:rPr>
        <w:t xml:space="preserve">. </w:t>
      </w:r>
      <w:r w:rsidRPr="00E110B4">
        <w:rPr>
          <w:rFonts w:eastAsia="Times New Roman" w:cs="Arial"/>
          <w:color w:val="000000"/>
          <w:lang w:eastAsia="bg-BG"/>
        </w:rPr>
        <w:t xml:space="preserve">В някои случаи е наблюдавана селекция на </w:t>
      </w:r>
      <w:r w:rsidRPr="00E110B4">
        <w:rPr>
          <w:rFonts w:eastAsia="Times New Roman" w:cs="Arial"/>
          <w:color w:val="000000"/>
          <w:lang w:val="en-US"/>
        </w:rPr>
        <w:t>HIV</w:t>
      </w:r>
      <w:r w:rsidRPr="00E110B4">
        <w:rPr>
          <w:rFonts w:eastAsia="Times New Roman" w:cs="Arial"/>
          <w:color w:val="000000"/>
          <w:lang w:val="ru-RU"/>
        </w:rPr>
        <w:t xml:space="preserve"> </w:t>
      </w:r>
      <w:r w:rsidRPr="00E110B4">
        <w:rPr>
          <w:rFonts w:eastAsia="Times New Roman" w:cs="Arial"/>
          <w:color w:val="000000"/>
          <w:lang w:eastAsia="bg-BG"/>
        </w:rPr>
        <w:t xml:space="preserve">вариант </w:t>
      </w:r>
      <w:r w:rsidRPr="00E110B4">
        <w:rPr>
          <w:rFonts w:eastAsia="Times New Roman" w:cs="Arial"/>
          <w:color w:val="000000"/>
          <w:lang w:val="en-US"/>
        </w:rPr>
        <w:t>M</w:t>
      </w:r>
      <w:r w:rsidRPr="00E110B4">
        <w:rPr>
          <w:rFonts w:eastAsia="Times New Roman" w:cs="Arial"/>
          <w:color w:val="000000"/>
          <w:lang w:val="ru-RU"/>
        </w:rPr>
        <w:t>184</w:t>
      </w:r>
      <w:r w:rsidRPr="00E110B4">
        <w:rPr>
          <w:rFonts w:eastAsia="Times New Roman" w:cs="Arial"/>
          <w:color w:val="000000"/>
          <w:lang w:val="en-US"/>
        </w:rPr>
        <w:t>V</w:t>
      </w:r>
      <w:r w:rsidRPr="00E110B4">
        <w:rPr>
          <w:rFonts w:eastAsia="Times New Roman" w:cs="Arial"/>
          <w:color w:val="000000"/>
          <w:lang w:val="ru-RU"/>
        </w:rPr>
        <w:t xml:space="preserve">, </w:t>
      </w:r>
      <w:r w:rsidRPr="00E110B4">
        <w:rPr>
          <w:rFonts w:eastAsia="Times New Roman" w:cs="Arial"/>
          <w:color w:val="000000"/>
          <w:lang w:eastAsia="bg-BG"/>
        </w:rPr>
        <w:t xml:space="preserve">което има отношение към избора на схеми на </w:t>
      </w:r>
      <w:r w:rsidRPr="00E110B4">
        <w:rPr>
          <w:rFonts w:eastAsia="Times New Roman" w:cs="Arial"/>
          <w:color w:val="000000"/>
          <w:lang w:val="en-US"/>
        </w:rPr>
        <w:t>HAART</w:t>
      </w:r>
      <w:r w:rsidRPr="00E110B4">
        <w:rPr>
          <w:rFonts w:eastAsia="Times New Roman" w:cs="Arial"/>
          <w:color w:val="000000"/>
          <w:lang w:val="ru-RU"/>
        </w:rPr>
        <w:t xml:space="preserve">, </w:t>
      </w:r>
      <w:r w:rsidRPr="00E110B4">
        <w:rPr>
          <w:rFonts w:eastAsia="Times New Roman" w:cs="Arial"/>
          <w:color w:val="000000"/>
          <w:lang w:eastAsia="bg-BG"/>
        </w:rPr>
        <w:t xml:space="preserve">които пациентите могат да приемат в бъдеще. Следователно ентекавир </w:t>
      </w:r>
      <w:r w:rsidRPr="00E110B4">
        <w:rPr>
          <w:rFonts w:eastAsia="Times New Roman" w:cs="Arial"/>
          <w:i/>
          <w:iCs/>
          <w:color w:val="000000"/>
          <w:lang w:eastAsia="bg-BG"/>
        </w:rPr>
        <w:t>не</w:t>
      </w:r>
      <w:r w:rsidRPr="00E110B4">
        <w:rPr>
          <w:rFonts w:eastAsia="Times New Roman" w:cs="Arial"/>
          <w:color w:val="000000"/>
          <w:lang w:eastAsia="bg-BG"/>
        </w:rPr>
        <w:t xml:space="preserve"> трябва да се използва при тези условия поради възможност от развитие на </w:t>
      </w:r>
      <w:r w:rsidRPr="00E110B4">
        <w:rPr>
          <w:rFonts w:eastAsia="Times New Roman" w:cs="Arial"/>
          <w:color w:val="000000"/>
          <w:lang w:val="en-US"/>
        </w:rPr>
        <w:t>HIV</w:t>
      </w:r>
      <w:r w:rsidRPr="00E110B4">
        <w:rPr>
          <w:rFonts w:eastAsia="Times New Roman" w:cs="Arial"/>
          <w:color w:val="000000"/>
          <w:lang w:val="ru-RU"/>
        </w:rPr>
        <w:t xml:space="preserve"> </w:t>
      </w:r>
      <w:r w:rsidRPr="00E110B4">
        <w:rPr>
          <w:rFonts w:eastAsia="Times New Roman" w:cs="Arial"/>
          <w:color w:val="000000"/>
          <w:lang w:eastAsia="bg-BG"/>
        </w:rPr>
        <w:t>резистентност (вж. точка 4.4).</w:t>
      </w:r>
    </w:p>
    <w:p w14:paraId="6B172BBA" w14:textId="77777777" w:rsidR="00E110B4" w:rsidRPr="00E110B4" w:rsidRDefault="00E110B4" w:rsidP="00E110B4">
      <w:pPr>
        <w:spacing w:line="240" w:lineRule="auto"/>
        <w:rPr>
          <w:rFonts w:eastAsia="Times New Roman" w:cs="Arial"/>
          <w:i/>
          <w:iCs/>
          <w:color w:val="000000"/>
          <w:lang w:eastAsia="bg-BG"/>
        </w:rPr>
      </w:pPr>
    </w:p>
    <w:p w14:paraId="515277F1" w14:textId="40E9F98B" w:rsidR="00E110B4" w:rsidRPr="00E110B4" w:rsidRDefault="00E110B4" w:rsidP="00E110B4">
      <w:pPr>
        <w:spacing w:line="240" w:lineRule="auto"/>
        <w:rPr>
          <w:rFonts w:eastAsia="Times New Roman" w:cs="Arial"/>
        </w:rPr>
      </w:pPr>
      <w:r w:rsidRPr="00E110B4">
        <w:rPr>
          <w:rFonts w:eastAsia="Times New Roman" w:cs="Arial"/>
          <w:i/>
          <w:iCs/>
          <w:color w:val="000000"/>
          <w:lang w:eastAsia="bg-BG"/>
        </w:rPr>
        <w:t>Пациенти с чернодробна трансплантация:</w:t>
      </w:r>
      <w:r w:rsidRPr="00E110B4">
        <w:rPr>
          <w:rFonts w:eastAsia="Times New Roman" w:cs="Arial"/>
          <w:color w:val="000000"/>
          <w:lang w:eastAsia="bg-BG"/>
        </w:rPr>
        <w:t xml:space="preserve"> безопасността и ефикасността на ентекавир 1 </w:t>
      </w:r>
      <w:r w:rsidRPr="00E110B4">
        <w:rPr>
          <w:rFonts w:eastAsia="Times New Roman" w:cs="Arial"/>
          <w:color w:val="000000"/>
          <w:lang w:val="en-US"/>
        </w:rPr>
        <w:t>mg</w:t>
      </w:r>
      <w:r w:rsidRPr="00E110B4">
        <w:rPr>
          <w:rFonts w:eastAsia="Times New Roman" w:cs="Arial"/>
          <w:color w:val="000000"/>
          <w:lang w:val="ru-RU"/>
        </w:rPr>
        <w:t xml:space="preserve"> </w:t>
      </w:r>
      <w:r w:rsidRPr="00E110B4">
        <w:rPr>
          <w:rFonts w:eastAsia="Times New Roman" w:cs="Arial"/>
          <w:color w:val="000000"/>
          <w:lang w:eastAsia="bg-BG"/>
        </w:rPr>
        <w:t xml:space="preserve">веднъж дневно са оценени в проучване с едно рамо при 65 пациенти с чернодробна трансплантация поради усложнения, предизвикани от хроничната </w:t>
      </w:r>
      <w:r w:rsidRPr="00E110B4">
        <w:rPr>
          <w:rFonts w:eastAsia="Times New Roman" w:cs="Arial"/>
          <w:color w:val="000000"/>
          <w:lang w:val="en-US"/>
        </w:rPr>
        <w:t>HBV</w:t>
      </w:r>
      <w:r w:rsidRPr="00E110B4">
        <w:rPr>
          <w:rFonts w:eastAsia="Times New Roman" w:cs="Arial"/>
          <w:color w:val="000000"/>
          <w:lang w:val="ru-RU"/>
        </w:rPr>
        <w:t xml:space="preserve"> </w:t>
      </w:r>
      <w:r w:rsidRPr="00E110B4">
        <w:rPr>
          <w:rFonts w:eastAsia="Times New Roman" w:cs="Arial"/>
          <w:color w:val="000000"/>
          <w:lang w:eastAsia="bg-BG"/>
        </w:rPr>
        <w:t xml:space="preserve">инфекция, и с </w:t>
      </w:r>
      <w:r w:rsidRPr="00E110B4">
        <w:rPr>
          <w:rFonts w:eastAsia="Times New Roman" w:cs="Arial"/>
          <w:color w:val="000000"/>
          <w:lang w:val="en-US"/>
        </w:rPr>
        <w:t>HBV</w:t>
      </w:r>
      <w:r w:rsidRPr="00E110B4">
        <w:rPr>
          <w:rFonts w:eastAsia="Times New Roman" w:cs="Arial"/>
          <w:color w:val="000000"/>
          <w:lang w:val="ru-RU"/>
        </w:rPr>
        <w:t xml:space="preserve"> </w:t>
      </w:r>
      <w:r w:rsidRPr="00E110B4">
        <w:rPr>
          <w:rFonts w:eastAsia="Times New Roman" w:cs="Arial"/>
          <w:color w:val="000000"/>
          <w:lang w:eastAsia="bg-BG"/>
        </w:rPr>
        <w:t xml:space="preserve">ДНК &lt;172 </w:t>
      </w:r>
      <w:r w:rsidRPr="00E110B4">
        <w:rPr>
          <w:rFonts w:eastAsia="Times New Roman" w:cs="Arial"/>
          <w:color w:val="000000"/>
          <w:lang w:val="en-US"/>
        </w:rPr>
        <w:t>IU</w:t>
      </w:r>
      <w:r w:rsidRPr="00E110B4">
        <w:rPr>
          <w:rFonts w:eastAsia="Times New Roman" w:cs="Arial"/>
          <w:color w:val="000000"/>
          <w:lang w:val="ru-RU"/>
        </w:rPr>
        <w:t>/</w:t>
      </w:r>
      <w:r w:rsidRPr="00E110B4">
        <w:rPr>
          <w:rFonts w:eastAsia="Times New Roman" w:cs="Arial"/>
          <w:color w:val="000000"/>
          <w:lang w:val="en-US"/>
        </w:rPr>
        <w:t>ml</w:t>
      </w:r>
      <w:r w:rsidRPr="00E110B4">
        <w:rPr>
          <w:rFonts w:eastAsia="Times New Roman" w:cs="Arial"/>
          <w:color w:val="000000"/>
          <w:lang w:val="ru-RU"/>
        </w:rPr>
        <w:t xml:space="preserve"> </w:t>
      </w:r>
      <w:r w:rsidRPr="00E110B4">
        <w:rPr>
          <w:rFonts w:eastAsia="Times New Roman" w:cs="Arial"/>
          <w:color w:val="000000"/>
          <w:lang w:eastAsia="bg-BG"/>
        </w:rPr>
        <w:t>(приблизително 1000 копия</w:t>
      </w:r>
      <w:r w:rsidRPr="00E110B4">
        <w:rPr>
          <w:rFonts w:eastAsia="Times New Roman" w:cs="Arial"/>
          <w:color w:val="000000"/>
          <w:lang w:val="ru-RU"/>
        </w:rPr>
        <w:t>/</w:t>
      </w:r>
      <w:r w:rsidRPr="00E110B4">
        <w:rPr>
          <w:rFonts w:eastAsia="Times New Roman" w:cs="Arial"/>
          <w:color w:val="000000"/>
          <w:lang w:val="en-US"/>
        </w:rPr>
        <w:t>ml</w:t>
      </w:r>
      <w:r w:rsidRPr="00E110B4">
        <w:rPr>
          <w:rFonts w:eastAsia="Times New Roman" w:cs="Arial"/>
          <w:color w:val="000000"/>
          <w:lang w:val="ru-RU"/>
        </w:rPr>
        <w:t xml:space="preserve">) </w:t>
      </w:r>
      <w:r w:rsidRPr="00E110B4">
        <w:rPr>
          <w:rFonts w:eastAsia="Times New Roman" w:cs="Arial"/>
          <w:color w:val="000000"/>
          <w:lang w:eastAsia="bg-BG"/>
        </w:rPr>
        <w:t xml:space="preserve">към момента на трансплантацията. Популацията в проучването е 82% мъже, 39% бели и 37% азиатци на средна възраст 49 години; 89% от пациентите са с </w:t>
      </w:r>
      <w:r w:rsidRPr="00E110B4">
        <w:rPr>
          <w:rFonts w:eastAsia="Times New Roman" w:cs="Arial"/>
          <w:color w:val="000000"/>
          <w:lang w:val="en-US"/>
        </w:rPr>
        <w:t>HBeAg</w:t>
      </w:r>
      <w:r w:rsidRPr="00E110B4">
        <w:rPr>
          <w:rFonts w:eastAsia="Times New Roman" w:cs="Arial"/>
          <w:color w:val="000000"/>
          <w:lang w:val="ru-RU"/>
        </w:rPr>
        <w:t xml:space="preserve"> </w:t>
      </w:r>
      <w:r w:rsidRPr="00E110B4">
        <w:rPr>
          <w:rFonts w:eastAsia="Times New Roman" w:cs="Arial"/>
          <w:color w:val="000000"/>
          <w:lang w:eastAsia="bg-BG"/>
        </w:rPr>
        <w:t xml:space="preserve">отрицателно заболяване към момента на трансплантацията. От 61 пациенти, оценявани за ефикасност (приемали ентекавир поне един месец), 60 са получавали също хепатит В имуноглобулин </w:t>
      </w:r>
      <w:r w:rsidRPr="00E110B4">
        <w:rPr>
          <w:rFonts w:eastAsia="Times New Roman" w:cs="Arial"/>
          <w:color w:val="000000"/>
          <w:lang w:val="ru-RU"/>
        </w:rPr>
        <w:t>(</w:t>
      </w:r>
      <w:r w:rsidRPr="00E110B4">
        <w:rPr>
          <w:rFonts w:eastAsia="Times New Roman" w:cs="Arial"/>
          <w:color w:val="000000"/>
          <w:lang w:val="en-US"/>
        </w:rPr>
        <w:t>HBIg</w:t>
      </w:r>
      <w:r w:rsidRPr="00E110B4">
        <w:rPr>
          <w:rFonts w:eastAsia="Times New Roman" w:cs="Arial"/>
          <w:color w:val="000000"/>
          <w:lang w:val="ru-RU"/>
        </w:rPr>
        <w:t xml:space="preserve">) </w:t>
      </w:r>
      <w:r w:rsidRPr="00E110B4">
        <w:rPr>
          <w:rFonts w:eastAsia="Times New Roman" w:cs="Arial"/>
          <w:color w:val="000000"/>
          <w:lang w:eastAsia="bg-BG"/>
        </w:rPr>
        <w:t xml:space="preserve">като част от пост- трансплантационен режим за профилактика. 49 от 60-те пациенти са получавали </w:t>
      </w:r>
      <w:r w:rsidRPr="00E110B4">
        <w:rPr>
          <w:rFonts w:eastAsia="Times New Roman" w:cs="Arial"/>
          <w:color w:val="000000"/>
          <w:lang w:val="en-US"/>
        </w:rPr>
        <w:t>HBIg</w:t>
      </w:r>
      <w:r w:rsidRPr="00E110B4">
        <w:rPr>
          <w:rFonts w:eastAsia="Times New Roman" w:cs="Arial"/>
          <w:color w:val="000000"/>
          <w:lang w:val="ru-RU"/>
        </w:rPr>
        <w:t xml:space="preserve"> </w:t>
      </w:r>
      <w:r w:rsidRPr="00E110B4">
        <w:rPr>
          <w:rFonts w:eastAsia="Times New Roman" w:cs="Arial"/>
          <w:color w:val="000000"/>
          <w:lang w:eastAsia="bg-BG"/>
        </w:rPr>
        <w:t xml:space="preserve">лечение повече от 6 месеца. През седмица 72 след трансплантацията при никой от проследяваните 55 пациенти няма вирусологичен рецидив на </w:t>
      </w:r>
      <w:r w:rsidRPr="00E110B4">
        <w:rPr>
          <w:rFonts w:eastAsia="Times New Roman" w:cs="Arial"/>
          <w:color w:val="000000"/>
          <w:lang w:val="en-US"/>
        </w:rPr>
        <w:t>HBV</w:t>
      </w:r>
      <w:r w:rsidRPr="00E110B4">
        <w:rPr>
          <w:rFonts w:eastAsia="Times New Roman" w:cs="Arial"/>
          <w:color w:val="000000"/>
          <w:lang w:val="ru-RU"/>
        </w:rPr>
        <w:t xml:space="preserve"> </w:t>
      </w:r>
      <w:r w:rsidRPr="00E110B4">
        <w:rPr>
          <w:rFonts w:eastAsia="Times New Roman" w:cs="Arial"/>
          <w:color w:val="000000"/>
          <w:lang w:eastAsia="bg-BG"/>
        </w:rPr>
        <w:t xml:space="preserve">[определен като </w:t>
      </w:r>
      <w:r w:rsidRPr="00E110B4">
        <w:rPr>
          <w:rFonts w:eastAsia="Times New Roman" w:cs="Arial"/>
          <w:color w:val="000000"/>
          <w:lang w:val="en-US"/>
        </w:rPr>
        <w:t>HBV</w:t>
      </w:r>
      <w:r w:rsidRPr="00E110B4">
        <w:rPr>
          <w:rFonts w:eastAsia="Times New Roman" w:cs="Arial"/>
          <w:color w:val="000000"/>
          <w:lang w:val="ru-RU"/>
        </w:rPr>
        <w:t xml:space="preserve"> </w:t>
      </w:r>
      <w:r w:rsidRPr="00E110B4">
        <w:rPr>
          <w:rFonts w:eastAsia="Times New Roman" w:cs="Arial"/>
          <w:color w:val="000000"/>
          <w:lang w:eastAsia="bg-BG"/>
        </w:rPr>
        <w:lastRenderedPageBreak/>
        <w:t xml:space="preserve">ДНК ≥50 </w:t>
      </w:r>
      <w:r w:rsidRPr="00E110B4">
        <w:rPr>
          <w:rFonts w:eastAsia="Times New Roman" w:cs="Arial"/>
          <w:color w:val="000000"/>
          <w:lang w:val="en-US"/>
        </w:rPr>
        <w:t>IU</w:t>
      </w:r>
      <w:r w:rsidRPr="00E110B4">
        <w:rPr>
          <w:rFonts w:eastAsia="Times New Roman" w:cs="Arial"/>
          <w:color w:val="000000"/>
          <w:lang w:val="ru-RU"/>
        </w:rPr>
        <w:t>/</w:t>
      </w:r>
      <w:r w:rsidRPr="00E110B4">
        <w:rPr>
          <w:rFonts w:eastAsia="Times New Roman" w:cs="Arial"/>
          <w:color w:val="000000"/>
          <w:lang w:val="en-US"/>
        </w:rPr>
        <w:t>ml</w:t>
      </w:r>
      <w:r w:rsidRPr="00E110B4">
        <w:rPr>
          <w:rFonts w:eastAsia="Times New Roman" w:cs="Arial"/>
          <w:color w:val="000000"/>
          <w:lang w:val="ru-RU"/>
        </w:rPr>
        <w:t xml:space="preserve"> </w:t>
      </w:r>
      <w:r w:rsidRPr="00E110B4">
        <w:rPr>
          <w:rFonts w:eastAsia="Times New Roman" w:cs="Arial"/>
          <w:color w:val="000000"/>
          <w:lang w:eastAsia="bg-BG"/>
        </w:rPr>
        <w:t>(приблизително 300 копия</w:t>
      </w:r>
      <w:r w:rsidRPr="00E110B4">
        <w:rPr>
          <w:rFonts w:eastAsia="Times New Roman" w:cs="Arial"/>
          <w:color w:val="000000"/>
          <w:lang w:val="ru-RU"/>
        </w:rPr>
        <w:t>/</w:t>
      </w:r>
      <w:r w:rsidRPr="00E110B4">
        <w:rPr>
          <w:rFonts w:eastAsia="Times New Roman" w:cs="Arial"/>
          <w:color w:val="000000"/>
          <w:lang w:val="en-US"/>
        </w:rPr>
        <w:t>ml</w:t>
      </w:r>
      <w:r w:rsidRPr="00E110B4">
        <w:rPr>
          <w:rFonts w:eastAsia="Times New Roman" w:cs="Arial"/>
          <w:color w:val="000000"/>
          <w:lang w:val="ru-RU"/>
        </w:rPr>
        <w:t xml:space="preserve">)] </w:t>
      </w:r>
      <w:r w:rsidRPr="00E110B4">
        <w:rPr>
          <w:rFonts w:eastAsia="Times New Roman" w:cs="Arial"/>
          <w:color w:val="000000"/>
          <w:lang w:eastAsia="bg-BG"/>
        </w:rPr>
        <w:t xml:space="preserve">и няма съобщения за вирусологичен рецидив при оценяването на останалите 6 пациенти. При всички 61 пациенти </w:t>
      </w:r>
      <w:r w:rsidRPr="00E110B4">
        <w:rPr>
          <w:rFonts w:eastAsia="Times New Roman" w:cs="Arial"/>
          <w:color w:val="000000"/>
          <w:lang w:val="en-US"/>
        </w:rPr>
        <w:t>HBsAg</w:t>
      </w:r>
      <w:r w:rsidRPr="00E110B4">
        <w:rPr>
          <w:rFonts w:eastAsia="Times New Roman" w:cs="Arial"/>
          <w:color w:val="000000"/>
          <w:lang w:val="ru-RU"/>
        </w:rPr>
        <w:t xml:space="preserve"> </w:t>
      </w:r>
      <w:r w:rsidRPr="00E110B4">
        <w:rPr>
          <w:rFonts w:eastAsia="Times New Roman" w:cs="Arial"/>
          <w:color w:val="000000"/>
          <w:lang w:eastAsia="bg-BG"/>
        </w:rPr>
        <w:t xml:space="preserve">изчезва след трансплантацията и двама от тях на по-късен етап стават </w:t>
      </w:r>
      <w:r w:rsidRPr="00E110B4">
        <w:rPr>
          <w:rFonts w:eastAsia="Times New Roman" w:cs="Arial"/>
          <w:color w:val="000000"/>
          <w:lang w:val="en-US"/>
        </w:rPr>
        <w:t>HBsAg</w:t>
      </w:r>
      <w:r w:rsidRPr="00E110B4">
        <w:rPr>
          <w:rFonts w:eastAsia="Times New Roman" w:cs="Arial"/>
          <w:color w:val="000000"/>
          <w:lang w:val="ru-RU"/>
        </w:rPr>
        <w:t xml:space="preserve"> </w:t>
      </w:r>
      <w:r w:rsidRPr="00E110B4">
        <w:rPr>
          <w:rFonts w:eastAsia="Times New Roman" w:cs="Arial"/>
          <w:color w:val="000000"/>
          <w:lang w:eastAsia="bg-BG"/>
        </w:rPr>
        <w:t xml:space="preserve">положителни, въпреки че поддържат неустановима </w:t>
      </w:r>
      <w:r w:rsidRPr="00E110B4">
        <w:rPr>
          <w:rFonts w:eastAsia="Times New Roman" w:cs="Arial"/>
          <w:color w:val="000000"/>
          <w:lang w:val="en-US"/>
        </w:rPr>
        <w:t>HBV</w:t>
      </w:r>
      <w:r w:rsidRPr="00E110B4">
        <w:rPr>
          <w:rFonts w:eastAsia="Times New Roman" w:cs="Arial"/>
          <w:color w:val="000000"/>
          <w:lang w:val="ru-RU"/>
        </w:rPr>
        <w:t xml:space="preserve"> </w:t>
      </w:r>
      <w:r w:rsidRPr="00E110B4">
        <w:rPr>
          <w:rFonts w:eastAsia="Times New Roman" w:cs="Arial"/>
          <w:color w:val="000000"/>
          <w:lang w:eastAsia="bg-BG"/>
        </w:rPr>
        <w:t xml:space="preserve">ДНК (&lt; 6 </w:t>
      </w:r>
      <w:r w:rsidRPr="00E110B4">
        <w:rPr>
          <w:rFonts w:eastAsia="Times New Roman" w:cs="Arial"/>
          <w:color w:val="000000"/>
          <w:lang w:val="en-US"/>
        </w:rPr>
        <w:t>IU</w:t>
      </w:r>
      <w:r w:rsidRPr="00E110B4">
        <w:rPr>
          <w:rFonts w:eastAsia="Times New Roman" w:cs="Arial"/>
          <w:color w:val="000000"/>
          <w:lang w:val="ru-RU"/>
        </w:rPr>
        <w:t>/</w:t>
      </w:r>
      <w:r w:rsidRPr="00E110B4">
        <w:rPr>
          <w:rFonts w:eastAsia="Times New Roman" w:cs="Arial"/>
          <w:color w:val="000000"/>
          <w:lang w:val="en-US"/>
        </w:rPr>
        <w:t>ml</w:t>
      </w:r>
      <w:r w:rsidRPr="00E110B4">
        <w:rPr>
          <w:rFonts w:eastAsia="Times New Roman" w:cs="Arial"/>
          <w:color w:val="000000"/>
          <w:lang w:val="ru-RU"/>
        </w:rPr>
        <w:t xml:space="preserve">). </w:t>
      </w:r>
      <w:r w:rsidRPr="00E110B4">
        <w:rPr>
          <w:rFonts w:eastAsia="Times New Roman" w:cs="Arial"/>
          <w:color w:val="000000"/>
          <w:lang w:eastAsia="bg-BG"/>
        </w:rPr>
        <w:t>Честотата и произходът на нежеланите събития, наблюдавани в това проучване, са в съответствие с тези, очаквани при пациенти с чернодробна трансплантация и с известния профил на безопасност на ентекавир.</w:t>
      </w:r>
    </w:p>
    <w:p w14:paraId="4A0E1D4D" w14:textId="77777777" w:rsidR="00E110B4" w:rsidRPr="00E110B4" w:rsidRDefault="00E110B4" w:rsidP="00E110B4">
      <w:pPr>
        <w:rPr>
          <w:rFonts w:eastAsia="Times New Roman" w:cs="Arial"/>
          <w:i/>
          <w:iCs/>
          <w:color w:val="000000"/>
          <w:lang w:eastAsia="bg-BG"/>
        </w:rPr>
      </w:pPr>
    </w:p>
    <w:p w14:paraId="1B61C837" w14:textId="712464D5" w:rsidR="00E110B4" w:rsidRDefault="00E110B4" w:rsidP="00E110B4">
      <w:pPr>
        <w:rPr>
          <w:rFonts w:eastAsia="Times New Roman" w:cs="Arial"/>
          <w:color w:val="000000"/>
          <w:lang w:eastAsia="bg-BG"/>
        </w:rPr>
      </w:pPr>
      <w:r w:rsidRPr="00E110B4">
        <w:rPr>
          <w:rFonts w:eastAsia="Times New Roman" w:cs="Arial"/>
          <w:i/>
          <w:iCs/>
          <w:color w:val="000000"/>
          <w:lang w:eastAsia="bg-BG"/>
        </w:rPr>
        <w:t>Педиатрична популация:</w:t>
      </w:r>
      <w:r w:rsidRPr="00E110B4">
        <w:rPr>
          <w:rFonts w:eastAsia="Times New Roman" w:cs="Arial"/>
          <w:color w:val="000000"/>
          <w:lang w:eastAsia="bg-BG"/>
        </w:rPr>
        <w:t xml:space="preserve"> Проучване 189 е проучване за ефикасност и безопасност на ентекавир при 180 нелекувани с нуклеозиди деца и юноши на възраст от 2 до &lt; 18 години с </w:t>
      </w:r>
      <w:r w:rsidRPr="00E110B4">
        <w:rPr>
          <w:rFonts w:eastAsia="Times New Roman" w:cs="Arial"/>
          <w:color w:val="000000"/>
          <w:lang w:val="en-US"/>
        </w:rPr>
        <w:t>HBeAg</w:t>
      </w:r>
      <w:r w:rsidRPr="00E110B4">
        <w:rPr>
          <w:rFonts w:eastAsia="Times New Roman" w:cs="Arial"/>
          <w:color w:val="000000"/>
          <w:lang w:val="ru-RU"/>
        </w:rPr>
        <w:t xml:space="preserve"> </w:t>
      </w:r>
      <w:r w:rsidRPr="00E110B4">
        <w:rPr>
          <w:rFonts w:eastAsia="Times New Roman" w:cs="Arial"/>
          <w:color w:val="000000"/>
          <w:lang w:eastAsia="bg-BG"/>
        </w:rPr>
        <w:t xml:space="preserve">положителна хронична инфекция с хепатит В, компенсирано чернодробно заболяване и повишени нива на </w:t>
      </w:r>
      <w:r w:rsidRPr="00E110B4">
        <w:rPr>
          <w:rFonts w:eastAsia="Times New Roman" w:cs="Arial"/>
          <w:color w:val="000000"/>
          <w:lang w:val="en-US"/>
        </w:rPr>
        <w:t>ALT</w:t>
      </w:r>
      <w:r w:rsidRPr="00E110B4">
        <w:rPr>
          <w:rFonts w:eastAsia="Times New Roman" w:cs="Arial"/>
          <w:color w:val="000000"/>
          <w:lang w:val="ru-RU"/>
        </w:rPr>
        <w:t xml:space="preserve">. </w:t>
      </w:r>
      <w:r w:rsidRPr="00E110B4">
        <w:rPr>
          <w:rFonts w:eastAsia="Times New Roman" w:cs="Arial"/>
          <w:color w:val="000000"/>
          <w:lang w:eastAsia="bg-BG"/>
        </w:rPr>
        <w:t xml:space="preserve">Пациентите в проучването са рандомизирани (2:1) да получават сляпо лечение с ентекавир по 0,015 </w:t>
      </w:r>
      <w:r w:rsidRPr="00E110B4">
        <w:rPr>
          <w:rFonts w:eastAsia="Times New Roman" w:cs="Arial"/>
          <w:color w:val="000000"/>
          <w:lang w:val="en-US"/>
        </w:rPr>
        <w:t>mg</w:t>
      </w:r>
      <w:r w:rsidRPr="00E110B4">
        <w:rPr>
          <w:rFonts w:eastAsia="Times New Roman" w:cs="Arial"/>
          <w:color w:val="000000"/>
          <w:lang w:val="ru-RU"/>
        </w:rPr>
        <w:t>/</w:t>
      </w:r>
      <w:r w:rsidRPr="00E110B4">
        <w:rPr>
          <w:rFonts w:eastAsia="Times New Roman" w:cs="Arial"/>
          <w:color w:val="000000"/>
          <w:lang w:val="en-US"/>
        </w:rPr>
        <w:t>kg</w:t>
      </w:r>
      <w:r w:rsidRPr="00E110B4">
        <w:rPr>
          <w:rFonts w:eastAsia="Times New Roman" w:cs="Arial"/>
          <w:color w:val="000000"/>
          <w:lang w:val="ru-RU"/>
        </w:rPr>
        <w:t xml:space="preserve"> </w:t>
      </w:r>
      <w:r w:rsidRPr="00E110B4">
        <w:rPr>
          <w:rFonts w:eastAsia="Times New Roman" w:cs="Arial"/>
          <w:color w:val="000000"/>
          <w:lang w:eastAsia="bg-BG"/>
        </w:rPr>
        <w:t xml:space="preserve">до 0,5 </w:t>
      </w:r>
      <w:r w:rsidRPr="00E110B4">
        <w:rPr>
          <w:rFonts w:eastAsia="Times New Roman" w:cs="Arial"/>
          <w:color w:val="000000"/>
          <w:lang w:val="en-US"/>
        </w:rPr>
        <w:t>mg</w:t>
      </w:r>
      <w:r w:rsidRPr="00E110B4">
        <w:rPr>
          <w:rFonts w:eastAsia="Times New Roman" w:cs="Arial"/>
          <w:color w:val="000000"/>
          <w:lang w:val="ru-RU"/>
        </w:rPr>
        <w:t xml:space="preserve"> </w:t>
      </w:r>
      <w:r w:rsidRPr="00E110B4">
        <w:rPr>
          <w:rFonts w:eastAsia="Times New Roman" w:cs="Arial"/>
          <w:color w:val="000000"/>
          <w:lang w:eastAsia="bg-BG"/>
        </w:rPr>
        <w:t xml:space="preserve">дневно </w:t>
      </w:r>
      <w:r w:rsidRPr="00E110B4">
        <w:rPr>
          <w:rFonts w:eastAsia="Times New Roman" w:cs="Arial"/>
          <w:color w:val="000000"/>
          <w:lang w:val="ru-RU"/>
        </w:rPr>
        <w:t>(</w:t>
      </w:r>
      <w:r w:rsidRPr="00E110B4">
        <w:rPr>
          <w:rFonts w:eastAsia="Times New Roman" w:cs="Arial"/>
          <w:color w:val="000000"/>
          <w:lang w:val="en-US"/>
        </w:rPr>
        <w:t>N</w:t>
      </w:r>
      <w:r w:rsidRPr="00E110B4">
        <w:rPr>
          <w:rFonts w:eastAsia="Times New Roman" w:cs="Arial"/>
          <w:color w:val="000000"/>
          <w:lang w:val="ru-RU"/>
        </w:rPr>
        <w:t xml:space="preserve"> =</w:t>
      </w:r>
      <w:r w:rsidRPr="00E110B4">
        <w:rPr>
          <w:rFonts w:eastAsia="Times New Roman" w:cs="Arial"/>
          <w:color w:val="000000"/>
          <w:lang w:eastAsia="bg-BG"/>
        </w:rPr>
        <w:t xml:space="preserve">120) или плацебо </w:t>
      </w:r>
      <w:r w:rsidRPr="00E110B4">
        <w:rPr>
          <w:rFonts w:eastAsia="Times New Roman" w:cs="Arial"/>
          <w:color w:val="000000"/>
          <w:lang w:val="ru-RU"/>
        </w:rPr>
        <w:t>(</w:t>
      </w:r>
      <w:r w:rsidRPr="00E110B4">
        <w:rPr>
          <w:rFonts w:eastAsia="Times New Roman" w:cs="Arial"/>
          <w:color w:val="000000"/>
          <w:lang w:val="en-US"/>
        </w:rPr>
        <w:t>N</w:t>
      </w:r>
      <w:r w:rsidRPr="00E110B4">
        <w:rPr>
          <w:rFonts w:eastAsia="Times New Roman" w:cs="Arial"/>
          <w:color w:val="000000"/>
          <w:lang w:val="ru-RU"/>
        </w:rPr>
        <w:t xml:space="preserve"> =</w:t>
      </w:r>
      <w:r w:rsidRPr="00E110B4">
        <w:rPr>
          <w:rFonts w:eastAsia="Times New Roman" w:cs="Arial"/>
          <w:color w:val="000000"/>
          <w:lang w:eastAsia="bg-BG"/>
        </w:rPr>
        <w:t xml:space="preserve">60). Рандомизирането е стратифицирано по възрастови групи (от 2 до 6 години; &gt; 6 до 12 години и &gt; 12 до &lt; 18 години). Изходните демографски характеристики и тези на </w:t>
      </w:r>
      <w:r w:rsidRPr="00E110B4">
        <w:rPr>
          <w:rFonts w:eastAsia="Times New Roman" w:cs="Arial"/>
          <w:color w:val="000000"/>
          <w:lang w:val="en-US"/>
        </w:rPr>
        <w:t>HBV</w:t>
      </w:r>
      <w:r w:rsidRPr="00E110B4">
        <w:rPr>
          <w:rFonts w:eastAsia="Times New Roman" w:cs="Arial"/>
          <w:color w:val="000000"/>
          <w:lang w:val="ru-RU"/>
        </w:rPr>
        <w:t xml:space="preserve"> </w:t>
      </w:r>
      <w:r w:rsidRPr="00E110B4">
        <w:rPr>
          <w:rFonts w:eastAsia="Times New Roman" w:cs="Arial"/>
          <w:color w:val="000000"/>
          <w:lang w:eastAsia="bg-BG"/>
        </w:rPr>
        <w:t xml:space="preserve">заболяването са сравними между двете рамена на лечение и между възрастовите кохорти. Средната </w:t>
      </w:r>
      <w:r w:rsidRPr="00E110B4">
        <w:rPr>
          <w:rFonts w:eastAsia="Times New Roman" w:cs="Arial"/>
          <w:color w:val="000000"/>
          <w:lang w:val="en-US"/>
        </w:rPr>
        <w:t>HBV</w:t>
      </w:r>
      <w:r w:rsidRPr="00E110B4">
        <w:rPr>
          <w:rFonts w:eastAsia="Times New Roman" w:cs="Arial"/>
          <w:color w:val="000000"/>
          <w:lang w:val="ru-RU"/>
        </w:rPr>
        <w:t xml:space="preserve"> </w:t>
      </w:r>
      <w:r w:rsidRPr="00E110B4">
        <w:rPr>
          <w:rFonts w:eastAsia="Times New Roman" w:cs="Arial"/>
          <w:color w:val="000000"/>
          <w:lang w:eastAsia="bg-BG"/>
        </w:rPr>
        <w:t xml:space="preserve">ДНК е 8,1 </w:t>
      </w:r>
      <w:r w:rsidRPr="00E110B4">
        <w:rPr>
          <w:rFonts w:eastAsia="Times New Roman" w:cs="Arial"/>
          <w:color w:val="000000"/>
          <w:lang w:val="en-US"/>
        </w:rPr>
        <w:t>log</w:t>
      </w:r>
      <w:r w:rsidRPr="00E110B4">
        <w:rPr>
          <w:rFonts w:eastAsia="Times New Roman" w:cs="Arial"/>
          <w:color w:val="000000"/>
          <w:vertAlign w:val="subscript"/>
          <w:lang w:val="en-US"/>
        </w:rPr>
        <w:t>l</w:t>
      </w:r>
      <w:r w:rsidRPr="00E110B4">
        <w:rPr>
          <w:rFonts w:eastAsia="Times New Roman" w:cs="Arial"/>
          <w:color w:val="000000"/>
          <w:vertAlign w:val="subscript"/>
          <w:lang w:val="ru-RU"/>
        </w:rPr>
        <w:t>0</w:t>
      </w:r>
      <w:r w:rsidRPr="00E110B4">
        <w:rPr>
          <w:rFonts w:eastAsia="Times New Roman" w:cs="Arial"/>
          <w:color w:val="000000"/>
          <w:lang w:val="ru-RU"/>
        </w:rPr>
        <w:t xml:space="preserve"> </w:t>
      </w:r>
      <w:r w:rsidRPr="00E110B4">
        <w:rPr>
          <w:rFonts w:eastAsia="Times New Roman" w:cs="Arial"/>
          <w:color w:val="000000"/>
          <w:lang w:val="en-US"/>
        </w:rPr>
        <w:t>IU</w:t>
      </w:r>
      <w:r w:rsidRPr="00E110B4">
        <w:rPr>
          <w:rFonts w:eastAsia="Times New Roman" w:cs="Arial"/>
          <w:color w:val="000000"/>
          <w:lang w:val="ru-RU"/>
        </w:rPr>
        <w:t>/</w:t>
      </w:r>
      <w:r w:rsidRPr="00E110B4">
        <w:rPr>
          <w:rFonts w:eastAsia="Times New Roman" w:cs="Arial"/>
          <w:color w:val="000000"/>
          <w:lang w:val="en-US"/>
        </w:rPr>
        <w:t>ml</w:t>
      </w:r>
      <w:r w:rsidRPr="00E110B4">
        <w:rPr>
          <w:rFonts w:eastAsia="Times New Roman" w:cs="Arial"/>
          <w:color w:val="000000"/>
          <w:lang w:val="ru-RU"/>
        </w:rPr>
        <w:t xml:space="preserve">, </w:t>
      </w:r>
      <w:r w:rsidRPr="00E110B4">
        <w:rPr>
          <w:rFonts w:eastAsia="Times New Roman" w:cs="Arial"/>
          <w:color w:val="000000"/>
          <w:lang w:eastAsia="bg-BG"/>
        </w:rPr>
        <w:t xml:space="preserve">а средната стойност на </w:t>
      </w:r>
      <w:r w:rsidRPr="00E110B4">
        <w:rPr>
          <w:rFonts w:eastAsia="Times New Roman" w:cs="Arial"/>
          <w:color w:val="000000"/>
          <w:lang w:val="en-US"/>
        </w:rPr>
        <w:t>ALT</w:t>
      </w:r>
      <w:r w:rsidRPr="00E110B4">
        <w:rPr>
          <w:rFonts w:eastAsia="Times New Roman" w:cs="Arial"/>
          <w:color w:val="000000"/>
          <w:lang w:val="ru-RU"/>
        </w:rPr>
        <w:t xml:space="preserve"> </w:t>
      </w:r>
      <w:r w:rsidRPr="00E110B4">
        <w:rPr>
          <w:rFonts w:eastAsia="Times New Roman" w:cs="Arial"/>
          <w:color w:val="000000"/>
          <w:lang w:eastAsia="bg-BG"/>
        </w:rPr>
        <w:t xml:space="preserve">е 103 </w:t>
      </w:r>
      <w:r w:rsidRPr="00E110B4">
        <w:rPr>
          <w:rFonts w:eastAsia="Times New Roman" w:cs="Arial"/>
          <w:color w:val="000000"/>
          <w:lang w:val="en-US"/>
        </w:rPr>
        <w:t>U</w:t>
      </w:r>
      <w:r w:rsidRPr="00E110B4">
        <w:rPr>
          <w:rFonts w:eastAsia="Times New Roman" w:cs="Arial"/>
          <w:color w:val="000000"/>
          <w:lang w:val="ru-RU"/>
        </w:rPr>
        <w:t>/</w:t>
      </w:r>
      <w:r w:rsidRPr="00E110B4">
        <w:rPr>
          <w:rFonts w:eastAsia="Times New Roman" w:cs="Arial"/>
          <w:color w:val="000000"/>
          <w:lang w:val="en-US"/>
        </w:rPr>
        <w:t>l</w:t>
      </w:r>
      <w:r w:rsidRPr="00E110B4">
        <w:rPr>
          <w:rFonts w:eastAsia="Times New Roman" w:cs="Arial"/>
          <w:color w:val="000000"/>
          <w:lang w:val="ru-RU"/>
        </w:rPr>
        <w:t xml:space="preserve"> </w:t>
      </w:r>
      <w:r w:rsidRPr="00E110B4">
        <w:rPr>
          <w:rFonts w:eastAsia="Times New Roman" w:cs="Arial"/>
          <w:color w:val="000000"/>
          <w:lang w:eastAsia="bg-BG"/>
        </w:rPr>
        <w:t>за популацията в проучването в началото на проучването. В таблицата по-долу са показани резултати за основните крайни точки за ефикасност през седмица 48 и 96.</w:t>
      </w:r>
    </w:p>
    <w:p w14:paraId="1C3D3BC3" w14:textId="742A6F65" w:rsidR="004E779D" w:rsidRDefault="004E779D" w:rsidP="00E110B4">
      <w:pPr>
        <w:rPr>
          <w:rFonts w:eastAsia="Times New Roman" w:cs="Arial"/>
          <w:color w:val="000000"/>
          <w:lang w:eastAsia="bg-BG"/>
        </w:rPr>
      </w:pPr>
    </w:p>
    <w:tbl>
      <w:tblPr>
        <w:tblStyle w:val="TableGrid"/>
        <w:tblW w:w="0" w:type="auto"/>
        <w:tblLook w:val="04A0" w:firstRow="1" w:lastRow="0" w:firstColumn="1" w:lastColumn="0" w:noHBand="0" w:noVBand="1"/>
      </w:tblPr>
      <w:tblGrid>
        <w:gridCol w:w="3420"/>
        <w:gridCol w:w="1940"/>
        <w:gridCol w:w="1658"/>
        <w:gridCol w:w="2332"/>
      </w:tblGrid>
      <w:tr w:rsidR="004E779D" w14:paraId="1ABC3890" w14:textId="77777777" w:rsidTr="004E779D">
        <w:tc>
          <w:tcPr>
            <w:tcW w:w="3510" w:type="dxa"/>
          </w:tcPr>
          <w:p w14:paraId="548FD5A8" w14:textId="77777777" w:rsidR="004E779D" w:rsidRPr="004E779D" w:rsidRDefault="004E779D" w:rsidP="004E779D">
            <w:pPr>
              <w:rPr>
                <w:rFonts w:eastAsia="Times New Roman" w:cs="Arial"/>
                <w:color w:val="000000"/>
                <w:lang w:eastAsia="bg-BG"/>
              </w:rPr>
            </w:pPr>
          </w:p>
        </w:tc>
        <w:tc>
          <w:tcPr>
            <w:tcW w:w="3672" w:type="dxa"/>
            <w:gridSpan w:val="2"/>
          </w:tcPr>
          <w:p w14:paraId="1EB554CE" w14:textId="609A53BC" w:rsidR="004E779D" w:rsidRPr="004E779D" w:rsidRDefault="004E779D" w:rsidP="004E779D">
            <w:pPr>
              <w:rPr>
                <w:rFonts w:eastAsia="Times New Roman" w:cs="Arial"/>
                <w:color w:val="000000"/>
                <w:lang w:eastAsia="bg-BG"/>
              </w:rPr>
            </w:pPr>
            <w:r w:rsidRPr="004E779D">
              <w:rPr>
                <w:b/>
                <w:bCs/>
              </w:rPr>
              <w:t>Ентекавир</w:t>
            </w:r>
          </w:p>
        </w:tc>
        <w:tc>
          <w:tcPr>
            <w:tcW w:w="2394" w:type="dxa"/>
          </w:tcPr>
          <w:p w14:paraId="2D832200" w14:textId="1B8B45DD" w:rsidR="004E779D" w:rsidRPr="004E779D" w:rsidRDefault="004E779D" w:rsidP="004E779D">
            <w:pPr>
              <w:rPr>
                <w:rFonts w:eastAsia="Times New Roman" w:cs="Arial"/>
                <w:color w:val="000000"/>
                <w:lang w:eastAsia="bg-BG"/>
              </w:rPr>
            </w:pPr>
            <w:r w:rsidRPr="004E779D">
              <w:rPr>
                <w:b/>
                <w:bCs/>
              </w:rPr>
              <w:t>Плацебо*</w:t>
            </w:r>
          </w:p>
        </w:tc>
      </w:tr>
      <w:tr w:rsidR="004E779D" w14:paraId="77F64E27" w14:textId="77777777" w:rsidTr="004E779D">
        <w:tc>
          <w:tcPr>
            <w:tcW w:w="3510" w:type="dxa"/>
          </w:tcPr>
          <w:p w14:paraId="41D2A8A1" w14:textId="77777777" w:rsidR="004E779D" w:rsidRPr="004E779D" w:rsidRDefault="004E779D" w:rsidP="004E779D">
            <w:pPr>
              <w:rPr>
                <w:rFonts w:eastAsia="Times New Roman" w:cs="Arial"/>
                <w:color w:val="000000"/>
                <w:lang w:eastAsia="bg-BG"/>
              </w:rPr>
            </w:pPr>
          </w:p>
        </w:tc>
        <w:tc>
          <w:tcPr>
            <w:tcW w:w="1985" w:type="dxa"/>
          </w:tcPr>
          <w:p w14:paraId="499C0ACB" w14:textId="7E4AFE04" w:rsidR="004E779D" w:rsidRPr="004E779D" w:rsidRDefault="004E779D" w:rsidP="004E779D">
            <w:pPr>
              <w:rPr>
                <w:rFonts w:eastAsia="Times New Roman" w:cs="Arial"/>
                <w:color w:val="000000"/>
                <w:lang w:eastAsia="bg-BG"/>
              </w:rPr>
            </w:pPr>
            <w:r w:rsidRPr="004E779D">
              <w:t>Седмица 48</w:t>
            </w:r>
          </w:p>
        </w:tc>
        <w:tc>
          <w:tcPr>
            <w:tcW w:w="1687" w:type="dxa"/>
          </w:tcPr>
          <w:p w14:paraId="0256F394" w14:textId="1DFFE953" w:rsidR="004E779D" w:rsidRPr="004E779D" w:rsidRDefault="004E779D" w:rsidP="004E779D">
            <w:pPr>
              <w:rPr>
                <w:rFonts w:eastAsia="Times New Roman" w:cs="Arial"/>
                <w:color w:val="000000"/>
                <w:lang w:eastAsia="bg-BG"/>
              </w:rPr>
            </w:pPr>
            <w:r w:rsidRPr="004E779D">
              <w:t>Седмица 96</w:t>
            </w:r>
          </w:p>
        </w:tc>
        <w:tc>
          <w:tcPr>
            <w:tcW w:w="2394" w:type="dxa"/>
          </w:tcPr>
          <w:p w14:paraId="5CCB2278" w14:textId="7DA6D104" w:rsidR="004E779D" w:rsidRPr="004E779D" w:rsidRDefault="004E779D" w:rsidP="004E779D">
            <w:pPr>
              <w:rPr>
                <w:rFonts w:eastAsia="Times New Roman" w:cs="Arial"/>
                <w:color w:val="000000"/>
                <w:lang w:eastAsia="bg-BG"/>
              </w:rPr>
            </w:pPr>
            <w:r w:rsidRPr="004E779D">
              <w:t>Седмица 48</w:t>
            </w:r>
          </w:p>
        </w:tc>
      </w:tr>
      <w:tr w:rsidR="004E779D" w14:paraId="0D88E0A3" w14:textId="77777777" w:rsidTr="004E779D">
        <w:tc>
          <w:tcPr>
            <w:tcW w:w="3510" w:type="dxa"/>
          </w:tcPr>
          <w:p w14:paraId="3F2128FA" w14:textId="03AD8BAE" w:rsidR="004E779D" w:rsidRPr="004E779D" w:rsidRDefault="004E779D" w:rsidP="004E779D">
            <w:pPr>
              <w:rPr>
                <w:rFonts w:eastAsia="Times New Roman" w:cs="Arial"/>
                <w:color w:val="000000"/>
                <w:lang w:eastAsia="bg-BG"/>
              </w:rPr>
            </w:pPr>
            <w:r w:rsidRPr="004E779D">
              <w:rPr>
                <w:lang w:val="en-US"/>
              </w:rPr>
              <w:t>n</w:t>
            </w:r>
          </w:p>
        </w:tc>
        <w:tc>
          <w:tcPr>
            <w:tcW w:w="1985" w:type="dxa"/>
          </w:tcPr>
          <w:p w14:paraId="762DCD91" w14:textId="33D44430" w:rsidR="004E779D" w:rsidRPr="004E779D" w:rsidRDefault="004E779D" w:rsidP="004E779D">
            <w:pPr>
              <w:rPr>
                <w:rFonts w:eastAsia="Times New Roman" w:cs="Arial"/>
                <w:color w:val="000000"/>
                <w:lang w:eastAsia="bg-BG"/>
              </w:rPr>
            </w:pPr>
            <w:r w:rsidRPr="004E779D">
              <w:t>120</w:t>
            </w:r>
          </w:p>
        </w:tc>
        <w:tc>
          <w:tcPr>
            <w:tcW w:w="1687" w:type="dxa"/>
          </w:tcPr>
          <w:p w14:paraId="56343035" w14:textId="7148C531" w:rsidR="004E779D" w:rsidRPr="004E779D" w:rsidRDefault="004E779D" w:rsidP="004E779D">
            <w:pPr>
              <w:rPr>
                <w:rFonts w:eastAsia="Times New Roman" w:cs="Arial"/>
                <w:color w:val="000000"/>
                <w:lang w:eastAsia="bg-BG"/>
              </w:rPr>
            </w:pPr>
            <w:r w:rsidRPr="004E779D">
              <w:t>120</w:t>
            </w:r>
          </w:p>
        </w:tc>
        <w:tc>
          <w:tcPr>
            <w:tcW w:w="2394" w:type="dxa"/>
          </w:tcPr>
          <w:p w14:paraId="2B2A36E6" w14:textId="0FC1EE40" w:rsidR="004E779D" w:rsidRPr="004E779D" w:rsidRDefault="004E779D" w:rsidP="004E779D">
            <w:pPr>
              <w:rPr>
                <w:rFonts w:eastAsia="Times New Roman" w:cs="Arial"/>
                <w:color w:val="000000"/>
                <w:lang w:eastAsia="bg-BG"/>
              </w:rPr>
            </w:pPr>
            <w:r w:rsidRPr="004E779D">
              <w:rPr>
                <w:lang w:val="en-US"/>
              </w:rPr>
              <w:t>60</w:t>
            </w:r>
          </w:p>
        </w:tc>
      </w:tr>
      <w:tr w:rsidR="004E779D" w14:paraId="19E444F1" w14:textId="77777777" w:rsidTr="004E779D">
        <w:tc>
          <w:tcPr>
            <w:tcW w:w="3510" w:type="dxa"/>
          </w:tcPr>
          <w:p w14:paraId="571E80D7" w14:textId="1DDDD40F" w:rsidR="004E779D" w:rsidRPr="004E779D" w:rsidRDefault="004E779D" w:rsidP="004E779D">
            <w:pPr>
              <w:rPr>
                <w:rFonts w:eastAsia="Times New Roman" w:cs="Arial"/>
                <w:color w:val="000000"/>
                <w:lang w:eastAsia="bg-BG"/>
              </w:rPr>
            </w:pPr>
            <w:r w:rsidRPr="004E779D">
              <w:t>НВV ДНК &lt; 50</w:t>
            </w:r>
            <w:r w:rsidRPr="004E779D">
              <w:rPr>
                <w:lang w:val="ru-RU"/>
              </w:rPr>
              <w:t xml:space="preserve"> </w:t>
            </w:r>
            <w:r w:rsidRPr="004E779D">
              <w:rPr>
                <w:lang w:val="en-US"/>
              </w:rPr>
              <w:t>IU</w:t>
            </w:r>
            <w:r w:rsidRPr="004E779D">
              <w:rPr>
                <w:lang w:val="ru-RU"/>
              </w:rPr>
              <w:t>/</w:t>
            </w:r>
            <w:r w:rsidRPr="004E779D">
              <w:rPr>
                <w:lang w:val="en-US"/>
              </w:rPr>
              <w:t>ml</w:t>
            </w:r>
            <w:r w:rsidRPr="004E779D">
              <w:rPr>
                <w:lang w:val="ru-RU"/>
              </w:rPr>
              <w:t xml:space="preserve"> </w:t>
            </w:r>
            <w:r w:rsidRPr="004E779D">
              <w:t xml:space="preserve">и </w:t>
            </w:r>
            <w:r w:rsidRPr="004E779D">
              <w:rPr>
                <w:lang w:val="en-US"/>
              </w:rPr>
              <w:t>HBeAg</w:t>
            </w:r>
            <w:r w:rsidRPr="004E779D">
              <w:rPr>
                <w:lang w:val="ru-RU"/>
              </w:rPr>
              <w:t xml:space="preserve"> </w:t>
            </w:r>
            <w:r w:rsidRPr="004E779D">
              <w:t>сероконверсия а</w:t>
            </w:r>
          </w:p>
        </w:tc>
        <w:tc>
          <w:tcPr>
            <w:tcW w:w="1985" w:type="dxa"/>
          </w:tcPr>
          <w:p w14:paraId="484197B7" w14:textId="621D0FE0" w:rsidR="004E779D" w:rsidRPr="004E779D" w:rsidRDefault="004E779D" w:rsidP="004E779D">
            <w:pPr>
              <w:rPr>
                <w:rFonts w:eastAsia="Times New Roman" w:cs="Arial"/>
                <w:color w:val="000000"/>
                <w:lang w:eastAsia="bg-BG"/>
              </w:rPr>
            </w:pPr>
            <w:r w:rsidRPr="004E779D">
              <w:t>24,2%</w:t>
            </w:r>
          </w:p>
        </w:tc>
        <w:tc>
          <w:tcPr>
            <w:tcW w:w="1687" w:type="dxa"/>
          </w:tcPr>
          <w:p w14:paraId="176618A1" w14:textId="0FF6E8B5" w:rsidR="004E779D" w:rsidRPr="004E779D" w:rsidRDefault="004E779D" w:rsidP="004E779D">
            <w:pPr>
              <w:rPr>
                <w:rFonts w:eastAsia="Times New Roman" w:cs="Arial"/>
                <w:color w:val="000000"/>
                <w:lang w:eastAsia="bg-BG"/>
              </w:rPr>
            </w:pPr>
            <w:r w:rsidRPr="004E779D">
              <w:t>35,8%</w:t>
            </w:r>
          </w:p>
        </w:tc>
        <w:tc>
          <w:tcPr>
            <w:tcW w:w="2394" w:type="dxa"/>
          </w:tcPr>
          <w:p w14:paraId="42CBA776" w14:textId="0E4A238D" w:rsidR="004E779D" w:rsidRPr="004E779D" w:rsidRDefault="004E779D" w:rsidP="004E779D">
            <w:pPr>
              <w:rPr>
                <w:rFonts w:eastAsia="Times New Roman" w:cs="Arial"/>
                <w:color w:val="000000"/>
                <w:lang w:eastAsia="bg-BG"/>
              </w:rPr>
            </w:pPr>
            <w:r w:rsidRPr="004E779D">
              <w:rPr>
                <w:rFonts w:cs="Arial"/>
                <w:i/>
                <w:iCs/>
              </w:rPr>
              <w:t>1,3%</w:t>
            </w:r>
          </w:p>
        </w:tc>
      </w:tr>
      <w:tr w:rsidR="004E779D" w14:paraId="117EDC0E" w14:textId="77777777" w:rsidTr="004E779D">
        <w:tc>
          <w:tcPr>
            <w:tcW w:w="3510" w:type="dxa"/>
          </w:tcPr>
          <w:p w14:paraId="65359AAE" w14:textId="4D4289C0" w:rsidR="004E779D" w:rsidRPr="004E779D" w:rsidRDefault="004E779D" w:rsidP="004E779D">
            <w:pPr>
              <w:rPr>
                <w:rFonts w:eastAsia="Times New Roman" w:cs="Arial"/>
                <w:color w:val="000000"/>
                <w:lang w:eastAsia="bg-BG"/>
              </w:rPr>
            </w:pPr>
            <w:r w:rsidRPr="004E779D">
              <w:rPr>
                <w:lang w:val="en-US"/>
              </w:rPr>
              <w:t xml:space="preserve">HBV </w:t>
            </w:r>
            <w:r w:rsidRPr="004E779D">
              <w:t xml:space="preserve">ДНК&lt;50 </w:t>
            </w:r>
            <w:r w:rsidRPr="004E779D">
              <w:rPr>
                <w:lang w:val="en-US"/>
              </w:rPr>
              <w:t>IU/ml</w:t>
            </w:r>
            <w:r w:rsidRPr="004E779D">
              <w:rPr>
                <w:vertAlign w:val="superscript"/>
                <w:lang w:val="en-US"/>
              </w:rPr>
              <w:t>a</w:t>
            </w:r>
          </w:p>
        </w:tc>
        <w:tc>
          <w:tcPr>
            <w:tcW w:w="1985" w:type="dxa"/>
          </w:tcPr>
          <w:p w14:paraId="547BE9D7" w14:textId="0CAB6711" w:rsidR="004E779D" w:rsidRPr="004E779D" w:rsidRDefault="004E779D" w:rsidP="004E779D">
            <w:pPr>
              <w:rPr>
                <w:rFonts w:eastAsia="Times New Roman" w:cs="Arial"/>
                <w:color w:val="000000"/>
                <w:lang w:eastAsia="bg-BG"/>
              </w:rPr>
            </w:pPr>
            <w:r w:rsidRPr="004E779D">
              <w:t>49,2%</w:t>
            </w:r>
          </w:p>
        </w:tc>
        <w:tc>
          <w:tcPr>
            <w:tcW w:w="1687" w:type="dxa"/>
          </w:tcPr>
          <w:p w14:paraId="30C6B4C6" w14:textId="269DA243" w:rsidR="004E779D" w:rsidRPr="004E779D" w:rsidRDefault="004E779D" w:rsidP="004E779D">
            <w:pPr>
              <w:rPr>
                <w:rFonts w:eastAsia="Times New Roman" w:cs="Arial"/>
                <w:color w:val="000000"/>
                <w:lang w:eastAsia="bg-BG"/>
              </w:rPr>
            </w:pPr>
            <w:r w:rsidRPr="004E779D">
              <w:t>64,2%</w:t>
            </w:r>
          </w:p>
        </w:tc>
        <w:tc>
          <w:tcPr>
            <w:tcW w:w="2394" w:type="dxa"/>
          </w:tcPr>
          <w:p w14:paraId="5211D756" w14:textId="0866A8D4" w:rsidR="004E779D" w:rsidRPr="004E779D" w:rsidRDefault="004E779D" w:rsidP="004E779D">
            <w:pPr>
              <w:rPr>
                <w:rFonts w:eastAsia="Times New Roman" w:cs="Arial"/>
                <w:color w:val="000000"/>
                <w:lang w:eastAsia="bg-BG"/>
              </w:rPr>
            </w:pPr>
            <w:r w:rsidRPr="004E779D">
              <w:rPr>
                <w:rFonts w:cs="Arial"/>
                <w:i/>
                <w:iCs/>
              </w:rPr>
              <w:t>3,3%</w:t>
            </w:r>
          </w:p>
        </w:tc>
      </w:tr>
      <w:tr w:rsidR="004E779D" w14:paraId="66EB467C" w14:textId="77777777" w:rsidTr="004E779D">
        <w:tc>
          <w:tcPr>
            <w:tcW w:w="3510" w:type="dxa"/>
          </w:tcPr>
          <w:p w14:paraId="4ACCC872" w14:textId="6567813D" w:rsidR="004E779D" w:rsidRPr="004E779D" w:rsidRDefault="004E779D" w:rsidP="004E779D">
            <w:pPr>
              <w:rPr>
                <w:rFonts w:eastAsia="Times New Roman" w:cs="Arial"/>
                <w:color w:val="000000"/>
                <w:lang w:eastAsia="bg-BG"/>
              </w:rPr>
            </w:pPr>
            <w:r w:rsidRPr="004E779D">
              <w:rPr>
                <w:lang w:val="en-US"/>
              </w:rPr>
              <w:t xml:space="preserve">HBeAg </w:t>
            </w:r>
            <w:r w:rsidRPr="004E779D">
              <w:t>сероконверсия</w:t>
            </w:r>
            <w:r w:rsidRPr="004E779D">
              <w:rPr>
                <w:vertAlign w:val="superscript"/>
                <w:lang w:val="en-US"/>
              </w:rPr>
              <w:t>a</w:t>
            </w:r>
          </w:p>
        </w:tc>
        <w:tc>
          <w:tcPr>
            <w:tcW w:w="1985" w:type="dxa"/>
          </w:tcPr>
          <w:p w14:paraId="2D32A292" w14:textId="4ED5F227" w:rsidR="004E779D" w:rsidRPr="004E779D" w:rsidRDefault="004E779D" w:rsidP="004E779D">
            <w:pPr>
              <w:rPr>
                <w:rFonts w:eastAsia="Times New Roman" w:cs="Arial"/>
                <w:color w:val="000000"/>
                <w:lang w:eastAsia="bg-BG"/>
              </w:rPr>
            </w:pPr>
            <w:r w:rsidRPr="004E779D">
              <w:t>24,2%</w:t>
            </w:r>
          </w:p>
        </w:tc>
        <w:tc>
          <w:tcPr>
            <w:tcW w:w="1687" w:type="dxa"/>
          </w:tcPr>
          <w:p w14:paraId="0A9376C3" w14:textId="00B798B7" w:rsidR="004E779D" w:rsidRPr="004E779D" w:rsidRDefault="004E779D" w:rsidP="004E779D">
            <w:pPr>
              <w:rPr>
                <w:rFonts w:eastAsia="Times New Roman" w:cs="Arial"/>
                <w:color w:val="000000"/>
                <w:lang w:eastAsia="bg-BG"/>
              </w:rPr>
            </w:pPr>
            <w:r w:rsidRPr="004E779D">
              <w:t>36,7%</w:t>
            </w:r>
          </w:p>
        </w:tc>
        <w:tc>
          <w:tcPr>
            <w:tcW w:w="2394" w:type="dxa"/>
          </w:tcPr>
          <w:p w14:paraId="563FC166" w14:textId="1E6A5017" w:rsidR="004E779D" w:rsidRPr="004E779D" w:rsidRDefault="004E779D" w:rsidP="004E779D">
            <w:pPr>
              <w:rPr>
                <w:rFonts w:eastAsia="Times New Roman" w:cs="Arial"/>
                <w:color w:val="000000"/>
                <w:lang w:eastAsia="bg-BG"/>
              </w:rPr>
            </w:pPr>
            <w:r w:rsidRPr="004E779D">
              <w:t>10,0%</w:t>
            </w:r>
          </w:p>
        </w:tc>
      </w:tr>
      <w:tr w:rsidR="004E779D" w14:paraId="4C25B1AA" w14:textId="77777777" w:rsidTr="004E779D">
        <w:tc>
          <w:tcPr>
            <w:tcW w:w="3510" w:type="dxa"/>
          </w:tcPr>
          <w:p w14:paraId="6AFBFA7B" w14:textId="079BFF4A" w:rsidR="004E779D" w:rsidRPr="004E779D" w:rsidRDefault="004E779D" w:rsidP="004E779D">
            <w:pPr>
              <w:rPr>
                <w:rFonts w:eastAsia="Times New Roman" w:cs="Arial"/>
                <w:color w:val="000000"/>
                <w:lang w:eastAsia="bg-BG"/>
              </w:rPr>
            </w:pPr>
            <w:r w:rsidRPr="004E779D">
              <w:t xml:space="preserve">Нормализиране на </w:t>
            </w:r>
            <w:r w:rsidRPr="004E779D">
              <w:rPr>
                <w:lang w:val="en-US"/>
              </w:rPr>
              <w:t>ALP</w:t>
            </w:r>
            <w:r w:rsidRPr="004E779D">
              <w:rPr>
                <w:vertAlign w:val="superscript"/>
                <w:lang w:val="en-US"/>
              </w:rPr>
              <w:t>a</w:t>
            </w:r>
          </w:p>
        </w:tc>
        <w:tc>
          <w:tcPr>
            <w:tcW w:w="1985" w:type="dxa"/>
          </w:tcPr>
          <w:p w14:paraId="5FC52F0D" w14:textId="069D75AE" w:rsidR="004E779D" w:rsidRPr="004E779D" w:rsidRDefault="004E779D" w:rsidP="004E779D">
            <w:pPr>
              <w:rPr>
                <w:rFonts w:eastAsia="Times New Roman" w:cs="Arial"/>
                <w:color w:val="000000"/>
                <w:lang w:eastAsia="bg-BG"/>
              </w:rPr>
            </w:pPr>
            <w:r w:rsidRPr="004E779D">
              <w:t>67,5%</w:t>
            </w:r>
          </w:p>
        </w:tc>
        <w:tc>
          <w:tcPr>
            <w:tcW w:w="1687" w:type="dxa"/>
          </w:tcPr>
          <w:p w14:paraId="2AAAF4FE" w14:textId="61B845BD" w:rsidR="004E779D" w:rsidRPr="004E779D" w:rsidRDefault="004E779D" w:rsidP="004E779D">
            <w:pPr>
              <w:rPr>
                <w:rFonts w:eastAsia="Times New Roman" w:cs="Arial"/>
                <w:color w:val="000000"/>
                <w:lang w:eastAsia="bg-BG"/>
              </w:rPr>
            </w:pPr>
            <w:r w:rsidRPr="004E779D">
              <w:t>81,7%</w:t>
            </w:r>
          </w:p>
        </w:tc>
        <w:tc>
          <w:tcPr>
            <w:tcW w:w="2394" w:type="dxa"/>
          </w:tcPr>
          <w:p w14:paraId="7B8583FE" w14:textId="75583FF8" w:rsidR="004E779D" w:rsidRPr="004E779D" w:rsidRDefault="004E779D" w:rsidP="004E779D">
            <w:pPr>
              <w:rPr>
                <w:rFonts w:eastAsia="Times New Roman" w:cs="Arial"/>
                <w:color w:val="000000"/>
                <w:lang w:eastAsia="bg-BG"/>
              </w:rPr>
            </w:pPr>
            <w:r w:rsidRPr="004E779D">
              <w:t>23,3%</w:t>
            </w:r>
          </w:p>
        </w:tc>
      </w:tr>
      <w:tr w:rsidR="004E779D" w14:paraId="4F15FB98" w14:textId="77777777" w:rsidTr="004E779D">
        <w:tc>
          <w:tcPr>
            <w:tcW w:w="3510" w:type="dxa"/>
          </w:tcPr>
          <w:p w14:paraId="559B04E7" w14:textId="77777777" w:rsidR="004E779D" w:rsidRPr="004E779D" w:rsidRDefault="004E779D" w:rsidP="004E779D">
            <w:r w:rsidRPr="004E779D">
              <w:rPr>
                <w:lang w:val="en-US"/>
              </w:rPr>
              <w:t>HBV</w:t>
            </w:r>
            <w:r w:rsidRPr="004E779D">
              <w:rPr>
                <w:lang w:val="ru-RU"/>
              </w:rPr>
              <w:t xml:space="preserve"> </w:t>
            </w:r>
            <w:r w:rsidRPr="004E779D">
              <w:t xml:space="preserve">ДНК &lt; 50 </w:t>
            </w:r>
            <w:r w:rsidRPr="004E779D">
              <w:rPr>
                <w:lang w:val="en-US"/>
              </w:rPr>
              <w:t>IU</w:t>
            </w:r>
            <w:r w:rsidRPr="004E779D">
              <w:rPr>
                <w:lang w:val="ru-RU"/>
              </w:rPr>
              <w:t>/</w:t>
            </w:r>
            <w:r w:rsidRPr="004E779D">
              <w:rPr>
                <w:lang w:val="en-US"/>
              </w:rPr>
              <w:t>ml</w:t>
            </w:r>
            <w:r w:rsidRPr="004E779D">
              <w:rPr>
                <w:vertAlign w:val="superscript"/>
                <w:lang w:val="en-US"/>
              </w:rPr>
              <w:t>a</w:t>
            </w:r>
          </w:p>
          <w:p w14:paraId="3717FCD7" w14:textId="77777777" w:rsidR="004E779D" w:rsidRPr="004E779D" w:rsidRDefault="004E779D" w:rsidP="004E779D">
            <w:r w:rsidRPr="004E779D">
              <w:t xml:space="preserve">Изходно ниво на </w:t>
            </w:r>
            <w:r w:rsidRPr="004E779D">
              <w:rPr>
                <w:lang w:val="en-US"/>
              </w:rPr>
              <w:t>HBV</w:t>
            </w:r>
          </w:p>
          <w:p w14:paraId="2E4BA5AA" w14:textId="77777777" w:rsidR="004E779D" w:rsidRPr="004E779D" w:rsidRDefault="004E779D" w:rsidP="004E779D">
            <w:r w:rsidRPr="004E779D">
              <w:t xml:space="preserve">ДНК &lt; 8 </w:t>
            </w:r>
            <w:r w:rsidRPr="004E779D">
              <w:rPr>
                <w:i/>
                <w:iCs/>
                <w:lang w:val="en-US"/>
              </w:rPr>
              <w:t>log</w:t>
            </w:r>
            <w:r w:rsidRPr="004E779D">
              <w:rPr>
                <w:i/>
                <w:iCs/>
                <w:vertAlign w:val="subscript"/>
                <w:lang w:val="ru-RU"/>
              </w:rPr>
              <w:t>10</w:t>
            </w:r>
            <w:r w:rsidRPr="004E779D">
              <w:rPr>
                <w:lang w:val="ru-RU"/>
              </w:rPr>
              <w:t xml:space="preserve"> </w:t>
            </w:r>
            <w:r w:rsidRPr="004E779D">
              <w:rPr>
                <w:lang w:val="en-US"/>
              </w:rPr>
              <w:t>IU</w:t>
            </w:r>
            <w:r w:rsidRPr="004E779D">
              <w:rPr>
                <w:lang w:val="ru-RU"/>
              </w:rPr>
              <w:t>/</w:t>
            </w:r>
            <w:r w:rsidRPr="004E779D">
              <w:rPr>
                <w:lang w:val="en-US"/>
              </w:rPr>
              <w:t>ml</w:t>
            </w:r>
            <w:r w:rsidRPr="004E779D">
              <w:rPr>
                <w:lang w:val="ru-RU"/>
              </w:rPr>
              <w:t xml:space="preserve"> </w:t>
            </w:r>
            <w:r w:rsidRPr="004E779D">
              <w:t xml:space="preserve">Изходно ниво на </w:t>
            </w:r>
            <w:r w:rsidRPr="004E779D">
              <w:rPr>
                <w:lang w:val="en-US"/>
              </w:rPr>
              <w:t>HBV</w:t>
            </w:r>
            <w:r w:rsidRPr="004E779D">
              <w:rPr>
                <w:lang w:val="ru-RU"/>
              </w:rPr>
              <w:t xml:space="preserve"> </w:t>
            </w:r>
            <w:r w:rsidRPr="004E779D">
              <w:t>ДНК</w:t>
            </w:r>
          </w:p>
          <w:p w14:paraId="5D1DB37A" w14:textId="271F3144" w:rsidR="004E779D" w:rsidRPr="004E779D" w:rsidRDefault="004E779D" w:rsidP="004E779D">
            <w:pPr>
              <w:rPr>
                <w:rFonts w:eastAsia="Times New Roman" w:cs="Arial"/>
                <w:color w:val="000000"/>
                <w:lang w:eastAsia="bg-BG"/>
              </w:rPr>
            </w:pPr>
            <w:r w:rsidRPr="004E779D">
              <w:t xml:space="preserve">≥ 8 </w:t>
            </w:r>
            <w:r w:rsidRPr="004E779D">
              <w:rPr>
                <w:lang w:val="en-US"/>
              </w:rPr>
              <w:t>log</w:t>
            </w:r>
            <w:r w:rsidRPr="004E779D">
              <w:rPr>
                <w:vertAlign w:val="subscript"/>
                <w:lang w:val="en-US"/>
              </w:rPr>
              <w:t>10</w:t>
            </w:r>
            <w:r w:rsidRPr="004E779D">
              <w:rPr>
                <w:lang w:val="en-US"/>
              </w:rPr>
              <w:t xml:space="preserve"> IU/ml</w:t>
            </w:r>
          </w:p>
        </w:tc>
        <w:tc>
          <w:tcPr>
            <w:tcW w:w="1985" w:type="dxa"/>
          </w:tcPr>
          <w:p w14:paraId="72B1D49E" w14:textId="77777777" w:rsidR="004E779D" w:rsidRPr="004E779D" w:rsidRDefault="004E779D" w:rsidP="004E779D">
            <w:r w:rsidRPr="004E779D">
              <w:t>82,6% (38/46)</w:t>
            </w:r>
          </w:p>
          <w:p w14:paraId="577B3EAA" w14:textId="2B36A637" w:rsidR="004E779D" w:rsidRPr="004E779D" w:rsidRDefault="004E779D" w:rsidP="004E779D">
            <w:pPr>
              <w:rPr>
                <w:rFonts w:eastAsia="Times New Roman" w:cs="Arial"/>
                <w:color w:val="000000"/>
                <w:lang w:eastAsia="bg-BG"/>
              </w:rPr>
            </w:pPr>
            <w:r w:rsidRPr="004E779D">
              <w:t xml:space="preserve">28,4% </w:t>
            </w:r>
            <w:r w:rsidRPr="004E779D">
              <w:rPr>
                <w:i/>
                <w:iCs/>
              </w:rPr>
              <w:t>(21/74)</w:t>
            </w:r>
          </w:p>
        </w:tc>
        <w:tc>
          <w:tcPr>
            <w:tcW w:w="1687" w:type="dxa"/>
          </w:tcPr>
          <w:p w14:paraId="6A934659" w14:textId="77777777" w:rsidR="004E779D" w:rsidRPr="004E779D" w:rsidRDefault="004E779D" w:rsidP="004E779D">
            <w:r w:rsidRPr="004E779D">
              <w:t>82,6% (38/46)</w:t>
            </w:r>
          </w:p>
          <w:p w14:paraId="2E1FD674" w14:textId="2EFEB147" w:rsidR="004E779D" w:rsidRPr="004E779D" w:rsidRDefault="004E779D" w:rsidP="004E779D">
            <w:pPr>
              <w:rPr>
                <w:rFonts w:eastAsia="Times New Roman" w:cs="Arial"/>
                <w:color w:val="000000"/>
                <w:lang w:eastAsia="bg-BG"/>
              </w:rPr>
            </w:pPr>
            <w:r w:rsidRPr="004E779D">
              <w:t>52,7% (39/74)</w:t>
            </w:r>
          </w:p>
        </w:tc>
        <w:tc>
          <w:tcPr>
            <w:tcW w:w="2394" w:type="dxa"/>
          </w:tcPr>
          <w:p w14:paraId="7BE3CEAD" w14:textId="77777777" w:rsidR="004E779D" w:rsidRPr="004E779D" w:rsidRDefault="004E779D" w:rsidP="004E779D">
            <w:r w:rsidRPr="004E779D">
              <w:t>6,5% (2/31)</w:t>
            </w:r>
          </w:p>
          <w:p w14:paraId="1672D9B0" w14:textId="6D7CB38A" w:rsidR="004E779D" w:rsidRPr="004E779D" w:rsidRDefault="004E779D" w:rsidP="004E779D">
            <w:pPr>
              <w:rPr>
                <w:rFonts w:eastAsia="Times New Roman" w:cs="Arial"/>
                <w:color w:val="000000"/>
                <w:lang w:eastAsia="bg-BG"/>
              </w:rPr>
            </w:pPr>
            <w:r w:rsidRPr="004E779D">
              <w:t>0% (0/29)</w:t>
            </w:r>
          </w:p>
        </w:tc>
      </w:tr>
    </w:tbl>
    <w:p w14:paraId="39E27489" w14:textId="4D66EDFA" w:rsidR="004E779D" w:rsidRPr="004E779D" w:rsidRDefault="004E779D" w:rsidP="004E779D">
      <w:pPr>
        <w:spacing w:line="240" w:lineRule="auto"/>
        <w:rPr>
          <w:rFonts w:eastAsia="Times New Roman" w:cs="Arial"/>
        </w:rPr>
      </w:pPr>
      <w:proofErr w:type="gramStart"/>
      <w:r w:rsidRPr="004E779D">
        <w:rPr>
          <w:rFonts w:eastAsia="Times New Roman" w:cs="Arial"/>
          <w:color w:val="000000"/>
          <w:vertAlign w:val="superscript"/>
          <w:lang w:val="en-US"/>
        </w:rPr>
        <w:t>a</w:t>
      </w:r>
      <w:r w:rsidRPr="004E779D">
        <w:rPr>
          <w:rFonts w:eastAsia="Times New Roman" w:cs="Arial"/>
          <w:color w:val="000000"/>
          <w:lang w:val="en-US"/>
        </w:rPr>
        <w:t>NC</w:t>
      </w:r>
      <w:proofErr w:type="gramEnd"/>
      <w:r w:rsidRPr="004E779D">
        <w:rPr>
          <w:rFonts w:eastAsia="Times New Roman" w:cs="Arial"/>
          <w:color w:val="000000"/>
          <w:lang w:val="ru-RU"/>
        </w:rPr>
        <w:t xml:space="preserve"> = </w:t>
      </w:r>
      <w:r w:rsidRPr="004E779D">
        <w:rPr>
          <w:rFonts w:eastAsia="Times New Roman" w:cs="Arial"/>
          <w:color w:val="000000"/>
          <w:lang w:val="en-US"/>
        </w:rPr>
        <w:t>F</w:t>
      </w:r>
      <w:r w:rsidRPr="004E779D">
        <w:rPr>
          <w:rFonts w:eastAsia="Times New Roman" w:cs="Arial"/>
          <w:color w:val="000000"/>
          <w:lang w:val="ru-RU"/>
        </w:rPr>
        <w:t xml:space="preserve"> </w:t>
      </w:r>
      <w:r w:rsidRPr="004E779D">
        <w:rPr>
          <w:rFonts w:eastAsia="Times New Roman" w:cs="Arial"/>
          <w:color w:val="000000"/>
          <w:lang w:eastAsia="bg-BG"/>
        </w:rPr>
        <w:t xml:space="preserve">(незавършили </w:t>
      </w:r>
      <w:r w:rsidRPr="004E779D">
        <w:rPr>
          <w:rFonts w:eastAsia="Times New Roman" w:cs="Arial"/>
          <w:color w:val="000000"/>
          <w:lang w:val="ru-RU"/>
        </w:rPr>
        <w:t xml:space="preserve">= </w:t>
      </w:r>
      <w:r w:rsidRPr="004E779D">
        <w:rPr>
          <w:rFonts w:eastAsia="Times New Roman" w:cs="Arial"/>
          <w:color w:val="000000"/>
          <w:lang w:eastAsia="bg-BG"/>
        </w:rPr>
        <w:t>неуспех)</w:t>
      </w:r>
    </w:p>
    <w:p w14:paraId="3F9D81F0" w14:textId="77777777" w:rsidR="004E779D" w:rsidRPr="004E779D" w:rsidRDefault="004E779D" w:rsidP="004E779D">
      <w:pPr>
        <w:spacing w:line="240" w:lineRule="auto"/>
        <w:rPr>
          <w:rFonts w:eastAsia="Times New Roman" w:cs="Arial"/>
        </w:rPr>
      </w:pPr>
      <w:r w:rsidRPr="004E779D">
        <w:rPr>
          <w:rFonts w:eastAsia="Times New Roman" w:cs="Arial"/>
          <w:color w:val="000000"/>
          <w:lang w:val="ru-RU"/>
        </w:rPr>
        <w:t>*</w:t>
      </w:r>
      <w:r w:rsidRPr="004E779D">
        <w:rPr>
          <w:rFonts w:eastAsia="Times New Roman" w:cs="Arial"/>
          <w:color w:val="000000"/>
          <w:lang w:eastAsia="bg-BG"/>
        </w:rPr>
        <w:t xml:space="preserve">Пациентите, рандомизирани на плацебо, които не са имали НВе сероконверсия </w:t>
      </w:r>
      <w:proofErr w:type="gramStart"/>
      <w:r w:rsidRPr="004E779D">
        <w:rPr>
          <w:rFonts w:eastAsia="Times New Roman" w:cs="Arial"/>
          <w:color w:val="000000"/>
          <w:lang w:eastAsia="bg-BG"/>
        </w:rPr>
        <w:t>до седмица</w:t>
      </w:r>
      <w:proofErr w:type="gramEnd"/>
      <w:r w:rsidRPr="004E779D">
        <w:rPr>
          <w:rFonts w:eastAsia="Times New Roman" w:cs="Arial"/>
          <w:color w:val="000000"/>
          <w:lang w:eastAsia="bg-BG"/>
        </w:rPr>
        <w:t xml:space="preserve"> 48, за втората година от проучването са преминали в</w:t>
      </w:r>
      <w:r w:rsidRPr="004E779D">
        <w:rPr>
          <w:rFonts w:eastAsia="Times New Roman" w:cs="Arial"/>
          <w:color w:val="000000"/>
          <w:lang w:val="ru-RU"/>
        </w:rPr>
        <w:t xml:space="preserve"> </w:t>
      </w:r>
      <w:r w:rsidRPr="004E779D">
        <w:rPr>
          <w:rFonts w:eastAsia="Times New Roman" w:cs="Arial"/>
          <w:color w:val="000000"/>
          <w:lang w:eastAsia="bg-BG"/>
        </w:rPr>
        <w:t>отворено проучване на ентекавир; по тази причина сравнителни данни от рандомизирано проучване са налични само до седмица 48.</w:t>
      </w:r>
    </w:p>
    <w:p w14:paraId="09DCCCA8" w14:textId="77777777" w:rsidR="004E779D" w:rsidRPr="004E779D" w:rsidRDefault="004E779D" w:rsidP="004E779D">
      <w:pPr>
        <w:spacing w:line="240" w:lineRule="auto"/>
        <w:rPr>
          <w:rFonts w:eastAsia="Times New Roman" w:cs="Arial"/>
          <w:color w:val="000000"/>
          <w:lang w:eastAsia="bg-BG"/>
        </w:rPr>
      </w:pPr>
    </w:p>
    <w:p w14:paraId="188EA9AF" w14:textId="00C4682A" w:rsidR="004E779D" w:rsidRPr="004E779D" w:rsidRDefault="004E779D" w:rsidP="004E779D">
      <w:pPr>
        <w:spacing w:line="240" w:lineRule="auto"/>
        <w:rPr>
          <w:rFonts w:eastAsia="Times New Roman" w:cs="Arial"/>
        </w:rPr>
      </w:pPr>
      <w:r w:rsidRPr="004E779D">
        <w:rPr>
          <w:rFonts w:eastAsia="Times New Roman" w:cs="Arial"/>
          <w:color w:val="000000"/>
          <w:lang w:eastAsia="bg-BG"/>
        </w:rPr>
        <w:t xml:space="preserve">Оценката за резистентност при педиатричната популация се основава на данни при нелекувани преди това с нуклеозиди </w:t>
      </w:r>
      <w:r w:rsidRPr="004E779D">
        <w:rPr>
          <w:rFonts w:eastAsia="Times New Roman" w:cs="Arial"/>
          <w:color w:val="000000"/>
          <w:lang w:val="en-US"/>
        </w:rPr>
        <w:t>HBeAg</w:t>
      </w:r>
      <w:r w:rsidRPr="004E779D">
        <w:rPr>
          <w:rFonts w:eastAsia="Times New Roman" w:cs="Arial"/>
          <w:color w:val="000000"/>
          <w:lang w:val="ru-RU"/>
        </w:rPr>
        <w:t xml:space="preserve"> </w:t>
      </w:r>
      <w:r w:rsidRPr="004E779D">
        <w:rPr>
          <w:rFonts w:eastAsia="Times New Roman" w:cs="Arial"/>
          <w:color w:val="000000"/>
          <w:lang w:eastAsia="bg-BG"/>
        </w:rPr>
        <w:t xml:space="preserve">положителни педиатрични пациенти с хронична </w:t>
      </w:r>
      <w:r w:rsidRPr="004E779D">
        <w:rPr>
          <w:rFonts w:eastAsia="Times New Roman" w:cs="Arial"/>
          <w:color w:val="000000"/>
          <w:lang w:val="en-US"/>
        </w:rPr>
        <w:t>HBV</w:t>
      </w:r>
      <w:r w:rsidRPr="004E779D">
        <w:rPr>
          <w:rFonts w:eastAsia="Times New Roman" w:cs="Arial"/>
          <w:color w:val="000000"/>
          <w:lang w:val="ru-RU"/>
        </w:rPr>
        <w:t xml:space="preserve"> </w:t>
      </w:r>
      <w:r w:rsidRPr="004E779D">
        <w:rPr>
          <w:rFonts w:eastAsia="Times New Roman" w:cs="Arial"/>
          <w:color w:val="000000"/>
          <w:lang w:eastAsia="bg-BG"/>
        </w:rPr>
        <w:t xml:space="preserve">инфекция в две продължаващи клинични проучвания (028 и 189). Двете проучвания предоставят данни за резистентност при 183 пациенти, лекувани и проследявани през година 1 и на 180 пациенти, лекувани и проследявани през година 2. Направени са генотипни оценки на всички пациенти с налични проби с вирусологичен пробив през седмица 96 или </w:t>
      </w:r>
      <w:r w:rsidRPr="004E779D">
        <w:rPr>
          <w:rFonts w:eastAsia="Times New Roman" w:cs="Arial"/>
          <w:color w:val="000000"/>
          <w:lang w:val="en-US"/>
        </w:rPr>
        <w:t>HBV</w:t>
      </w:r>
      <w:r w:rsidRPr="004E779D">
        <w:rPr>
          <w:rFonts w:eastAsia="Times New Roman" w:cs="Arial"/>
          <w:color w:val="000000"/>
          <w:lang w:val="ru-RU"/>
        </w:rPr>
        <w:t xml:space="preserve"> </w:t>
      </w:r>
      <w:r w:rsidRPr="004E779D">
        <w:rPr>
          <w:rFonts w:eastAsia="Times New Roman" w:cs="Arial"/>
          <w:color w:val="000000"/>
          <w:lang w:eastAsia="bg-BG"/>
        </w:rPr>
        <w:t xml:space="preserve">ДНК ≥50 </w:t>
      </w:r>
      <w:r w:rsidRPr="004E779D">
        <w:rPr>
          <w:rFonts w:eastAsia="Times New Roman" w:cs="Arial"/>
          <w:color w:val="000000"/>
          <w:lang w:val="en-US"/>
        </w:rPr>
        <w:t>IU</w:t>
      </w:r>
      <w:r w:rsidRPr="004E779D">
        <w:rPr>
          <w:rFonts w:eastAsia="Times New Roman" w:cs="Arial"/>
          <w:color w:val="000000"/>
          <w:lang w:val="ru-RU"/>
        </w:rPr>
        <w:t>/</w:t>
      </w:r>
      <w:r w:rsidRPr="004E779D">
        <w:rPr>
          <w:rFonts w:eastAsia="Times New Roman" w:cs="Arial"/>
          <w:color w:val="000000"/>
          <w:lang w:val="en-US"/>
        </w:rPr>
        <w:t>ml</w:t>
      </w:r>
      <w:r w:rsidRPr="004E779D">
        <w:rPr>
          <w:rFonts w:eastAsia="Times New Roman" w:cs="Arial"/>
          <w:color w:val="000000"/>
          <w:lang w:val="ru-RU"/>
        </w:rPr>
        <w:t xml:space="preserve"> </w:t>
      </w:r>
      <w:r w:rsidRPr="004E779D">
        <w:rPr>
          <w:rFonts w:eastAsia="Times New Roman" w:cs="Arial"/>
          <w:color w:val="000000"/>
          <w:lang w:eastAsia="bg-BG"/>
        </w:rPr>
        <w:t xml:space="preserve">на седмица 48 или седмица 96. През година 2 е открита генотипна резистентност към </w:t>
      </w:r>
      <w:r w:rsidRPr="004E779D">
        <w:rPr>
          <w:rFonts w:eastAsia="Times New Roman" w:cs="Arial"/>
          <w:color w:val="000000"/>
          <w:lang w:val="en-US"/>
        </w:rPr>
        <w:t>ETV</w:t>
      </w:r>
      <w:r w:rsidRPr="004E779D">
        <w:rPr>
          <w:rFonts w:eastAsia="Times New Roman" w:cs="Arial"/>
          <w:color w:val="000000"/>
          <w:lang w:val="ru-RU"/>
        </w:rPr>
        <w:t xml:space="preserve"> </w:t>
      </w:r>
      <w:r w:rsidRPr="004E779D">
        <w:rPr>
          <w:rFonts w:eastAsia="Times New Roman" w:cs="Arial"/>
          <w:color w:val="000000"/>
          <w:lang w:eastAsia="bg-BG"/>
        </w:rPr>
        <w:t>при 2 пациенти (1,1% кумулативна вероятност за поява на резистентност през година 2).</w:t>
      </w:r>
    </w:p>
    <w:p w14:paraId="0CE41B5A" w14:textId="77777777" w:rsidR="004E779D" w:rsidRPr="004E779D" w:rsidRDefault="004E779D" w:rsidP="004E779D">
      <w:pPr>
        <w:spacing w:line="240" w:lineRule="auto"/>
        <w:rPr>
          <w:rFonts w:eastAsia="Times New Roman" w:cs="Arial"/>
          <w:b/>
          <w:bCs/>
          <w:color w:val="000000"/>
          <w:lang w:eastAsia="bg-BG"/>
        </w:rPr>
      </w:pPr>
    </w:p>
    <w:p w14:paraId="34105BB7" w14:textId="76A401C0" w:rsidR="004E779D" w:rsidRPr="004E779D" w:rsidRDefault="004E779D" w:rsidP="004E779D">
      <w:pPr>
        <w:spacing w:line="240" w:lineRule="auto"/>
        <w:rPr>
          <w:rFonts w:eastAsia="Times New Roman" w:cs="Arial"/>
        </w:rPr>
      </w:pPr>
      <w:r w:rsidRPr="004E779D">
        <w:rPr>
          <w:rFonts w:eastAsia="Times New Roman" w:cs="Arial"/>
          <w:b/>
          <w:bCs/>
          <w:color w:val="000000"/>
          <w:lang w:eastAsia="bg-BG"/>
        </w:rPr>
        <w:lastRenderedPageBreak/>
        <w:t xml:space="preserve">Клинична резистентност при възрастни: </w:t>
      </w:r>
      <w:r w:rsidRPr="004E779D">
        <w:rPr>
          <w:rFonts w:eastAsia="Times New Roman" w:cs="Arial"/>
          <w:color w:val="000000"/>
          <w:lang w:eastAsia="bg-BG"/>
        </w:rPr>
        <w:t xml:space="preserve">пациенти от клинични проучвания, които първоначално са били лекувани с ентекавир 0,5 </w:t>
      </w:r>
      <w:r w:rsidRPr="004E779D">
        <w:rPr>
          <w:rFonts w:eastAsia="Times New Roman" w:cs="Arial"/>
          <w:color w:val="000000"/>
          <w:lang w:val="en-US"/>
        </w:rPr>
        <w:t>mg</w:t>
      </w:r>
      <w:r w:rsidRPr="004E779D">
        <w:rPr>
          <w:rFonts w:eastAsia="Times New Roman" w:cs="Arial"/>
          <w:color w:val="000000"/>
          <w:lang w:val="ru-RU"/>
        </w:rPr>
        <w:t xml:space="preserve"> </w:t>
      </w:r>
      <w:r w:rsidRPr="004E779D">
        <w:rPr>
          <w:rFonts w:eastAsia="Times New Roman" w:cs="Arial"/>
          <w:color w:val="000000"/>
          <w:lang w:eastAsia="bg-BG"/>
        </w:rPr>
        <w:t xml:space="preserve">(нелекувани с нуклеозиди) или 1,0 </w:t>
      </w:r>
      <w:r w:rsidRPr="004E779D">
        <w:rPr>
          <w:rFonts w:eastAsia="Times New Roman" w:cs="Arial"/>
          <w:color w:val="000000"/>
          <w:lang w:val="en-US"/>
        </w:rPr>
        <w:t>mg</w:t>
      </w:r>
      <w:r w:rsidRPr="004E779D">
        <w:rPr>
          <w:rFonts w:eastAsia="Times New Roman" w:cs="Arial"/>
          <w:color w:val="000000"/>
          <w:lang w:val="ru-RU"/>
        </w:rPr>
        <w:t xml:space="preserve"> </w:t>
      </w:r>
      <w:r w:rsidRPr="004E779D">
        <w:rPr>
          <w:rFonts w:eastAsia="Times New Roman" w:cs="Arial"/>
          <w:color w:val="000000"/>
          <w:lang w:eastAsia="bg-BG"/>
        </w:rPr>
        <w:t xml:space="preserve">(ламивудин-рефрактерни) с </w:t>
      </w:r>
      <w:r w:rsidRPr="004E779D">
        <w:rPr>
          <w:rFonts w:eastAsia="Times New Roman" w:cs="Arial"/>
          <w:color w:val="000000"/>
          <w:lang w:val="en-US"/>
        </w:rPr>
        <w:t>PCR</w:t>
      </w:r>
      <w:r w:rsidRPr="004E779D">
        <w:rPr>
          <w:rFonts w:eastAsia="Times New Roman" w:cs="Arial"/>
          <w:color w:val="000000"/>
          <w:lang w:val="ru-RU"/>
        </w:rPr>
        <w:t xml:space="preserve"> </w:t>
      </w:r>
      <w:r w:rsidRPr="004E779D">
        <w:rPr>
          <w:rFonts w:eastAsia="Times New Roman" w:cs="Arial"/>
          <w:color w:val="000000"/>
          <w:lang w:val="en-US"/>
        </w:rPr>
        <w:t>HBV</w:t>
      </w:r>
      <w:r w:rsidRPr="004E779D">
        <w:rPr>
          <w:rFonts w:eastAsia="Times New Roman" w:cs="Arial"/>
          <w:color w:val="000000"/>
          <w:lang w:val="ru-RU"/>
        </w:rPr>
        <w:t xml:space="preserve"> </w:t>
      </w:r>
      <w:r w:rsidRPr="004E779D">
        <w:rPr>
          <w:rFonts w:eastAsia="Times New Roman" w:cs="Arial"/>
          <w:color w:val="000000"/>
          <w:lang w:eastAsia="bg-BG"/>
        </w:rPr>
        <w:t>ДНК измерване по време на лечението на или след седмица 24, са проследявани за поява на резистентност.</w:t>
      </w:r>
    </w:p>
    <w:p w14:paraId="729B5DB5" w14:textId="77777777" w:rsidR="004E779D" w:rsidRPr="004E779D" w:rsidRDefault="004E779D" w:rsidP="004E779D">
      <w:pPr>
        <w:spacing w:line="240" w:lineRule="auto"/>
        <w:rPr>
          <w:rFonts w:ascii="Times New Roman" w:eastAsia="Times New Roman" w:hAnsi="Times New Roman" w:cs="Times New Roman"/>
          <w:sz w:val="24"/>
          <w:szCs w:val="24"/>
        </w:rPr>
      </w:pPr>
      <w:r w:rsidRPr="004E779D">
        <w:rPr>
          <w:rFonts w:eastAsia="Times New Roman" w:cs="Arial"/>
          <w:color w:val="000000"/>
          <w:lang w:eastAsia="bg-BG"/>
        </w:rPr>
        <w:t xml:space="preserve">До седмица 240 от изследванията при пациенти, които до този момент не са били лекувани с нуклеозиди, генотипни данни за </w:t>
      </w:r>
      <w:r w:rsidRPr="004E779D">
        <w:rPr>
          <w:rFonts w:eastAsia="Times New Roman" w:cs="Arial"/>
          <w:color w:val="000000"/>
          <w:lang w:val="en-US"/>
        </w:rPr>
        <w:t>ETVr</w:t>
      </w:r>
      <w:r w:rsidRPr="004E779D">
        <w:rPr>
          <w:rFonts w:eastAsia="Times New Roman" w:cs="Arial"/>
          <w:color w:val="000000"/>
          <w:lang w:val="ru-RU"/>
        </w:rPr>
        <w:t xml:space="preserve"> </w:t>
      </w:r>
      <w:r w:rsidRPr="004E779D">
        <w:rPr>
          <w:rFonts w:eastAsia="Times New Roman" w:cs="Arial"/>
          <w:color w:val="000000"/>
          <w:lang w:eastAsia="bg-BG"/>
        </w:rPr>
        <w:t xml:space="preserve">замени при </w:t>
      </w:r>
      <w:r w:rsidRPr="004E779D">
        <w:rPr>
          <w:rFonts w:eastAsia="Times New Roman" w:cs="Arial"/>
          <w:color w:val="000000"/>
          <w:lang w:val="en-US"/>
        </w:rPr>
        <w:t>rtT</w:t>
      </w:r>
      <w:r w:rsidRPr="004E779D">
        <w:rPr>
          <w:rFonts w:eastAsia="Times New Roman" w:cs="Arial"/>
          <w:color w:val="000000"/>
          <w:lang w:val="ru-RU"/>
        </w:rPr>
        <w:t xml:space="preserve">184, </w:t>
      </w:r>
      <w:r w:rsidRPr="004E779D">
        <w:rPr>
          <w:rFonts w:eastAsia="Times New Roman" w:cs="Arial"/>
          <w:color w:val="000000"/>
          <w:lang w:val="en-US"/>
        </w:rPr>
        <w:t>rtS</w:t>
      </w:r>
      <w:r w:rsidRPr="004E779D">
        <w:rPr>
          <w:rFonts w:eastAsia="Times New Roman" w:cs="Arial"/>
          <w:color w:val="000000"/>
          <w:lang w:val="ru-RU"/>
        </w:rPr>
        <w:t xml:space="preserve">202 </w:t>
      </w:r>
      <w:r w:rsidRPr="004E779D">
        <w:rPr>
          <w:rFonts w:eastAsia="Times New Roman" w:cs="Arial"/>
          <w:color w:val="000000"/>
          <w:lang w:eastAsia="bg-BG"/>
        </w:rPr>
        <w:t xml:space="preserve">или </w:t>
      </w:r>
      <w:r w:rsidRPr="004E779D">
        <w:rPr>
          <w:rFonts w:eastAsia="Times New Roman" w:cs="Arial"/>
          <w:color w:val="000000"/>
          <w:lang w:val="en-US"/>
        </w:rPr>
        <w:t>rtM</w:t>
      </w:r>
      <w:r w:rsidRPr="004E779D">
        <w:rPr>
          <w:rFonts w:eastAsia="Times New Roman" w:cs="Arial"/>
          <w:color w:val="000000"/>
          <w:lang w:val="ru-RU"/>
        </w:rPr>
        <w:t xml:space="preserve">250 </w:t>
      </w:r>
      <w:r w:rsidRPr="004E779D">
        <w:rPr>
          <w:rFonts w:eastAsia="Times New Roman" w:cs="Arial"/>
          <w:color w:val="000000"/>
          <w:lang w:eastAsia="bg-BG"/>
        </w:rPr>
        <w:t xml:space="preserve">са идентифицирани при 3-ма от пациентите, лекувани с ентекавир, при 2-ма от които е наблюдаван вирусологичен пробив (вж. таблицата). Тези замени са наблюдавани само в присъствие на </w:t>
      </w:r>
      <w:r w:rsidRPr="004E779D">
        <w:rPr>
          <w:rFonts w:eastAsia="Times New Roman" w:cs="Arial"/>
          <w:color w:val="000000"/>
          <w:lang w:val="en-US"/>
        </w:rPr>
        <w:t>LVDr</w:t>
      </w:r>
      <w:r w:rsidRPr="004E779D">
        <w:rPr>
          <w:rFonts w:eastAsia="Times New Roman" w:cs="Arial"/>
          <w:color w:val="000000"/>
          <w:lang w:val="ru-RU"/>
        </w:rPr>
        <w:t xml:space="preserve"> </w:t>
      </w:r>
      <w:r w:rsidRPr="004E779D">
        <w:rPr>
          <w:rFonts w:eastAsia="Times New Roman" w:cs="Arial"/>
          <w:color w:val="000000"/>
          <w:lang w:eastAsia="bg-BG"/>
        </w:rPr>
        <w:t xml:space="preserve">замени </w:t>
      </w:r>
      <w:r w:rsidRPr="004E779D">
        <w:rPr>
          <w:rFonts w:eastAsia="Times New Roman" w:cs="Arial"/>
          <w:color w:val="000000"/>
          <w:lang w:val="ru-RU"/>
        </w:rPr>
        <w:t>(</w:t>
      </w:r>
      <w:r w:rsidRPr="004E779D">
        <w:rPr>
          <w:rFonts w:eastAsia="Times New Roman" w:cs="Arial"/>
          <w:color w:val="000000"/>
          <w:lang w:val="en-US"/>
        </w:rPr>
        <w:t>rtM</w:t>
      </w:r>
      <w:r w:rsidRPr="004E779D">
        <w:rPr>
          <w:rFonts w:eastAsia="Times New Roman" w:cs="Arial"/>
          <w:color w:val="000000"/>
          <w:lang w:val="ru-RU"/>
        </w:rPr>
        <w:t>204</w:t>
      </w:r>
      <w:r w:rsidRPr="004E779D">
        <w:rPr>
          <w:rFonts w:eastAsia="Times New Roman" w:cs="Arial"/>
          <w:color w:val="000000"/>
          <w:lang w:val="en-US"/>
        </w:rPr>
        <w:t>V</w:t>
      </w:r>
      <w:r w:rsidRPr="004E779D">
        <w:rPr>
          <w:rFonts w:eastAsia="Times New Roman" w:cs="Arial"/>
          <w:color w:val="000000"/>
          <w:lang w:val="ru-RU"/>
        </w:rPr>
        <w:t xml:space="preserve"> </w:t>
      </w:r>
      <w:r w:rsidRPr="004E779D">
        <w:rPr>
          <w:rFonts w:eastAsia="Times New Roman" w:cs="Arial"/>
          <w:color w:val="000000"/>
          <w:lang w:eastAsia="bg-BG"/>
        </w:rPr>
        <w:t xml:space="preserve">и </w:t>
      </w:r>
      <w:r w:rsidRPr="004E779D">
        <w:rPr>
          <w:rFonts w:eastAsia="Times New Roman" w:cs="Arial"/>
          <w:color w:val="000000"/>
          <w:lang w:val="en-US"/>
        </w:rPr>
        <w:t>rtL</w:t>
      </w:r>
      <w:r w:rsidRPr="004E779D">
        <w:rPr>
          <w:rFonts w:eastAsia="Times New Roman" w:cs="Arial"/>
          <w:color w:val="000000"/>
          <w:lang w:val="ru-RU"/>
        </w:rPr>
        <w:t>180</w:t>
      </w:r>
      <w:r w:rsidRPr="004E779D">
        <w:rPr>
          <w:rFonts w:eastAsia="Times New Roman" w:cs="Arial"/>
          <w:color w:val="000000"/>
          <w:lang w:val="en-US"/>
        </w:rPr>
        <w:t>M</w:t>
      </w:r>
      <w:r w:rsidRPr="004E779D">
        <w:rPr>
          <w:rFonts w:eastAsia="Times New Roman" w:cs="Arial"/>
          <w:color w:val="000000"/>
          <w:lang w:val="ru-RU"/>
        </w:rPr>
        <w:t>).</w:t>
      </w:r>
    </w:p>
    <w:p w14:paraId="461DAEE3" w14:textId="56B4A43C" w:rsidR="00E110B4" w:rsidRDefault="00E110B4" w:rsidP="00E110B4"/>
    <w:tbl>
      <w:tblPr>
        <w:tblStyle w:val="TableGrid"/>
        <w:tblW w:w="0" w:type="auto"/>
        <w:tblLook w:val="04A0" w:firstRow="1" w:lastRow="0" w:firstColumn="1" w:lastColumn="0" w:noHBand="0" w:noVBand="1"/>
      </w:tblPr>
      <w:tblGrid>
        <w:gridCol w:w="3250"/>
        <w:gridCol w:w="1121"/>
        <w:gridCol w:w="1251"/>
        <w:gridCol w:w="1252"/>
        <w:gridCol w:w="1252"/>
        <w:gridCol w:w="1224"/>
      </w:tblGrid>
      <w:tr w:rsidR="004E779D" w14:paraId="42FAC6D4" w14:textId="77777777" w:rsidTr="00F60B80">
        <w:tc>
          <w:tcPr>
            <w:tcW w:w="9576" w:type="dxa"/>
            <w:gridSpan w:val="6"/>
          </w:tcPr>
          <w:p w14:paraId="7D33B02E" w14:textId="70B3354C" w:rsidR="004E779D" w:rsidRDefault="004E779D" w:rsidP="004E779D">
            <w:r>
              <w:t>Поява на генотипна резистентност към ентекавир до година 5, проучвания при нелекувани</w:t>
            </w:r>
          </w:p>
        </w:tc>
      </w:tr>
      <w:tr w:rsidR="004E779D" w14:paraId="0AC99D37" w14:textId="77777777" w:rsidTr="004E779D">
        <w:tc>
          <w:tcPr>
            <w:tcW w:w="3369" w:type="dxa"/>
          </w:tcPr>
          <w:p w14:paraId="29AA7F12" w14:textId="77777777" w:rsidR="004E779D" w:rsidRPr="004E779D" w:rsidRDefault="004E779D" w:rsidP="004E779D"/>
        </w:tc>
        <w:tc>
          <w:tcPr>
            <w:tcW w:w="1134" w:type="dxa"/>
          </w:tcPr>
          <w:p w14:paraId="0CD99708" w14:textId="60F6BAFF" w:rsidR="004E779D" w:rsidRPr="004E779D" w:rsidRDefault="004E779D" w:rsidP="004E779D">
            <w:r w:rsidRPr="004E779D">
              <w:t>Година 1</w:t>
            </w:r>
          </w:p>
        </w:tc>
        <w:tc>
          <w:tcPr>
            <w:tcW w:w="1275" w:type="dxa"/>
          </w:tcPr>
          <w:p w14:paraId="1283B7F2" w14:textId="7470AE3D" w:rsidR="004E779D" w:rsidRPr="004E779D" w:rsidRDefault="004E779D" w:rsidP="004E779D">
            <w:r w:rsidRPr="004E779D">
              <w:t>Година 2</w:t>
            </w:r>
          </w:p>
        </w:tc>
        <w:tc>
          <w:tcPr>
            <w:tcW w:w="1276" w:type="dxa"/>
          </w:tcPr>
          <w:p w14:paraId="62346E91" w14:textId="21D93FB1" w:rsidR="004E779D" w:rsidRPr="004E779D" w:rsidRDefault="004E779D" w:rsidP="004E779D">
            <w:r w:rsidRPr="004E779D">
              <w:t>Година 3</w:t>
            </w:r>
            <w:r w:rsidRPr="004E779D">
              <w:rPr>
                <w:vertAlign w:val="superscript"/>
                <w:lang w:val="en-US"/>
              </w:rPr>
              <w:t>a</w:t>
            </w:r>
          </w:p>
        </w:tc>
        <w:tc>
          <w:tcPr>
            <w:tcW w:w="1276" w:type="dxa"/>
          </w:tcPr>
          <w:p w14:paraId="266D2193" w14:textId="77777777" w:rsidR="004E779D" w:rsidRPr="004E779D" w:rsidRDefault="004E779D" w:rsidP="004E779D"/>
          <w:p w14:paraId="10829E99" w14:textId="43ADC7B0" w:rsidR="004E779D" w:rsidRPr="004E779D" w:rsidRDefault="004E779D" w:rsidP="004E779D">
            <w:r w:rsidRPr="004E779D">
              <w:t>Година 4</w:t>
            </w:r>
            <w:r w:rsidRPr="004E779D">
              <w:rPr>
                <w:vertAlign w:val="superscript"/>
                <w:lang w:val="en-US"/>
              </w:rPr>
              <w:t>a</w:t>
            </w:r>
          </w:p>
        </w:tc>
        <w:tc>
          <w:tcPr>
            <w:tcW w:w="1246" w:type="dxa"/>
          </w:tcPr>
          <w:p w14:paraId="7CD2891E" w14:textId="77777777" w:rsidR="004E779D" w:rsidRPr="004E779D" w:rsidRDefault="004E779D" w:rsidP="004E779D"/>
          <w:p w14:paraId="7E0B18F6" w14:textId="33E35077" w:rsidR="004E779D" w:rsidRPr="004E779D" w:rsidRDefault="004E779D" w:rsidP="004E779D">
            <w:r w:rsidRPr="004E779D">
              <w:t>Година 5</w:t>
            </w:r>
            <w:r w:rsidRPr="004E779D">
              <w:rPr>
                <w:vertAlign w:val="superscript"/>
                <w:lang w:val="en-US"/>
              </w:rPr>
              <w:t>a</w:t>
            </w:r>
          </w:p>
        </w:tc>
      </w:tr>
      <w:tr w:rsidR="004E779D" w14:paraId="7FF526B1" w14:textId="77777777" w:rsidTr="004E779D">
        <w:tc>
          <w:tcPr>
            <w:tcW w:w="3369" w:type="dxa"/>
          </w:tcPr>
          <w:p w14:paraId="3292B5C8" w14:textId="77777777" w:rsidR="004E779D" w:rsidRPr="004E779D" w:rsidRDefault="004E779D" w:rsidP="004E779D">
            <w:r w:rsidRPr="004E779D">
              <w:t>Пациенти, лекувани и проследявани за</w:t>
            </w:r>
          </w:p>
          <w:p w14:paraId="4154773F" w14:textId="77777777" w:rsidR="004E779D" w:rsidRPr="004E779D" w:rsidRDefault="004E779D" w:rsidP="004E779D"/>
          <w:p w14:paraId="73A10697" w14:textId="606F9190" w:rsidR="004E779D" w:rsidRPr="004E779D" w:rsidRDefault="004E779D" w:rsidP="004E779D">
            <w:r w:rsidRPr="004E779D">
              <w:t>резистентност</w:t>
            </w:r>
            <w:r w:rsidRPr="004E779D">
              <w:rPr>
                <w:vertAlign w:val="superscript"/>
                <w:lang w:val="en-US"/>
              </w:rPr>
              <w:t>b</w:t>
            </w:r>
          </w:p>
        </w:tc>
        <w:tc>
          <w:tcPr>
            <w:tcW w:w="1134" w:type="dxa"/>
          </w:tcPr>
          <w:p w14:paraId="0386D73B" w14:textId="33302DCF" w:rsidR="004E779D" w:rsidRPr="004E779D" w:rsidRDefault="004E779D" w:rsidP="004E779D">
            <w:r w:rsidRPr="004E779D">
              <w:t>663</w:t>
            </w:r>
          </w:p>
        </w:tc>
        <w:tc>
          <w:tcPr>
            <w:tcW w:w="1275" w:type="dxa"/>
          </w:tcPr>
          <w:p w14:paraId="66FB9606" w14:textId="5A5A38A3" w:rsidR="004E779D" w:rsidRPr="004E779D" w:rsidRDefault="004E779D" w:rsidP="004E779D">
            <w:r w:rsidRPr="004E779D">
              <w:t>278</w:t>
            </w:r>
          </w:p>
        </w:tc>
        <w:tc>
          <w:tcPr>
            <w:tcW w:w="1276" w:type="dxa"/>
          </w:tcPr>
          <w:p w14:paraId="5CB748BB" w14:textId="523BA845" w:rsidR="004E779D" w:rsidRPr="004E779D" w:rsidRDefault="004E779D" w:rsidP="004E779D">
            <w:r w:rsidRPr="004E779D">
              <w:t>149</w:t>
            </w:r>
          </w:p>
        </w:tc>
        <w:tc>
          <w:tcPr>
            <w:tcW w:w="1276" w:type="dxa"/>
          </w:tcPr>
          <w:p w14:paraId="7E6E24FE" w14:textId="55B33DDA" w:rsidR="004E779D" w:rsidRPr="004E779D" w:rsidRDefault="004E779D" w:rsidP="004E779D">
            <w:r w:rsidRPr="004E779D">
              <w:t>121</w:t>
            </w:r>
          </w:p>
        </w:tc>
        <w:tc>
          <w:tcPr>
            <w:tcW w:w="1246" w:type="dxa"/>
          </w:tcPr>
          <w:p w14:paraId="628E162A" w14:textId="5858A56B" w:rsidR="004E779D" w:rsidRPr="004E779D" w:rsidRDefault="004E779D" w:rsidP="004E779D">
            <w:r w:rsidRPr="004E779D">
              <w:t>108</w:t>
            </w:r>
          </w:p>
        </w:tc>
      </w:tr>
      <w:tr w:rsidR="004E779D" w14:paraId="36BE8EF3" w14:textId="77777777" w:rsidTr="009053CC">
        <w:tc>
          <w:tcPr>
            <w:tcW w:w="9576" w:type="dxa"/>
            <w:gridSpan w:val="6"/>
          </w:tcPr>
          <w:p w14:paraId="23B6CC0B" w14:textId="7FF776DD" w:rsidR="004E779D" w:rsidRPr="004E779D" w:rsidRDefault="004E779D" w:rsidP="004E779D">
            <w:r w:rsidRPr="004E779D">
              <w:rPr>
                <w:b/>
                <w:bCs/>
              </w:rPr>
              <w:t>Пациенти през определена година</w:t>
            </w:r>
          </w:p>
        </w:tc>
      </w:tr>
      <w:tr w:rsidR="004E779D" w14:paraId="6C21D12F" w14:textId="77777777" w:rsidTr="004E779D">
        <w:tc>
          <w:tcPr>
            <w:tcW w:w="3369" w:type="dxa"/>
          </w:tcPr>
          <w:p w14:paraId="477EC8A8" w14:textId="32EC53FB" w:rsidR="004E779D" w:rsidRPr="004E779D" w:rsidRDefault="004E779D" w:rsidP="004E779D">
            <w:r w:rsidRPr="004E779D">
              <w:t xml:space="preserve">- появяваща се генотипна </w:t>
            </w:r>
            <w:r w:rsidRPr="004E779D">
              <w:rPr>
                <w:lang w:val="en-US"/>
              </w:rPr>
              <w:t>ETVr</w:t>
            </w:r>
            <w:r w:rsidRPr="004E779D">
              <w:rPr>
                <w:vertAlign w:val="superscript"/>
                <w:lang w:val="en-US"/>
              </w:rPr>
              <w:t>c</w:t>
            </w:r>
          </w:p>
        </w:tc>
        <w:tc>
          <w:tcPr>
            <w:tcW w:w="1134" w:type="dxa"/>
          </w:tcPr>
          <w:p w14:paraId="65E4C0B4" w14:textId="121F439D" w:rsidR="004E779D" w:rsidRPr="004E779D" w:rsidRDefault="004E779D" w:rsidP="004E779D">
            <w:r w:rsidRPr="004E779D">
              <w:t>1</w:t>
            </w:r>
          </w:p>
        </w:tc>
        <w:tc>
          <w:tcPr>
            <w:tcW w:w="1275" w:type="dxa"/>
          </w:tcPr>
          <w:p w14:paraId="13C193E8" w14:textId="5471A118" w:rsidR="004E779D" w:rsidRPr="004E779D" w:rsidRDefault="004E779D" w:rsidP="004E779D">
            <w:r w:rsidRPr="004E779D">
              <w:t>1</w:t>
            </w:r>
          </w:p>
        </w:tc>
        <w:tc>
          <w:tcPr>
            <w:tcW w:w="1276" w:type="dxa"/>
          </w:tcPr>
          <w:p w14:paraId="0453EEF2" w14:textId="263E055D" w:rsidR="004E779D" w:rsidRPr="004E779D" w:rsidRDefault="004E779D" w:rsidP="004E779D">
            <w:r w:rsidRPr="004E779D">
              <w:t>1</w:t>
            </w:r>
          </w:p>
        </w:tc>
        <w:tc>
          <w:tcPr>
            <w:tcW w:w="1276" w:type="dxa"/>
          </w:tcPr>
          <w:p w14:paraId="23026E37" w14:textId="34608CFD" w:rsidR="004E779D" w:rsidRPr="004E779D" w:rsidRDefault="004E779D" w:rsidP="004E779D">
            <w:r w:rsidRPr="004E779D">
              <w:t>0</w:t>
            </w:r>
          </w:p>
        </w:tc>
        <w:tc>
          <w:tcPr>
            <w:tcW w:w="1246" w:type="dxa"/>
          </w:tcPr>
          <w:p w14:paraId="2F4B0594" w14:textId="770D9555" w:rsidR="004E779D" w:rsidRPr="004E779D" w:rsidRDefault="004E779D" w:rsidP="004E779D">
            <w:r w:rsidRPr="004E779D">
              <w:t>0</w:t>
            </w:r>
          </w:p>
        </w:tc>
      </w:tr>
      <w:tr w:rsidR="004E779D" w14:paraId="0C652AB8" w14:textId="77777777" w:rsidTr="004E779D">
        <w:tc>
          <w:tcPr>
            <w:tcW w:w="3369" w:type="dxa"/>
          </w:tcPr>
          <w:p w14:paraId="6E7C3BE5" w14:textId="2658ACDD" w:rsidR="004E779D" w:rsidRPr="004E779D" w:rsidRDefault="004E779D" w:rsidP="004E779D">
            <w:r w:rsidRPr="004E779D">
              <w:t xml:space="preserve">- генотипна </w:t>
            </w:r>
            <w:r w:rsidRPr="004E779D">
              <w:rPr>
                <w:lang w:val="en-US"/>
              </w:rPr>
              <w:t>ETVr</w:t>
            </w:r>
            <w:r w:rsidRPr="004E779D">
              <w:rPr>
                <w:lang w:val="ru-RU"/>
              </w:rPr>
              <w:t xml:space="preserve"> </w:t>
            </w:r>
            <w:r w:rsidRPr="004E779D">
              <w:t>с вирусологичен</w:t>
            </w:r>
          </w:p>
          <w:p w14:paraId="6862F0C8" w14:textId="2F12AE0A" w:rsidR="004E779D" w:rsidRPr="004E779D" w:rsidRDefault="004E779D" w:rsidP="004E779D">
            <w:r w:rsidRPr="004E779D">
              <w:t>пробив</w:t>
            </w:r>
            <w:r w:rsidRPr="004E779D">
              <w:rPr>
                <w:vertAlign w:val="superscript"/>
                <w:lang w:val="en-US"/>
              </w:rPr>
              <w:t>d</w:t>
            </w:r>
          </w:p>
        </w:tc>
        <w:tc>
          <w:tcPr>
            <w:tcW w:w="1134" w:type="dxa"/>
          </w:tcPr>
          <w:p w14:paraId="36BC1A79" w14:textId="7AAB7432" w:rsidR="004E779D" w:rsidRPr="004E779D" w:rsidRDefault="004E779D" w:rsidP="004E779D">
            <w:r w:rsidRPr="004E779D">
              <w:t>1</w:t>
            </w:r>
          </w:p>
        </w:tc>
        <w:tc>
          <w:tcPr>
            <w:tcW w:w="1275" w:type="dxa"/>
          </w:tcPr>
          <w:p w14:paraId="69506A6C" w14:textId="1E9595B5" w:rsidR="004E779D" w:rsidRPr="004E779D" w:rsidRDefault="004E779D" w:rsidP="004E779D">
            <w:r w:rsidRPr="004E779D">
              <w:t>0</w:t>
            </w:r>
          </w:p>
        </w:tc>
        <w:tc>
          <w:tcPr>
            <w:tcW w:w="1276" w:type="dxa"/>
          </w:tcPr>
          <w:p w14:paraId="4D0FA29A" w14:textId="6B9CF7D3" w:rsidR="004E779D" w:rsidRPr="004E779D" w:rsidRDefault="004E779D" w:rsidP="004E779D">
            <w:r w:rsidRPr="004E779D">
              <w:t>1</w:t>
            </w:r>
          </w:p>
        </w:tc>
        <w:tc>
          <w:tcPr>
            <w:tcW w:w="1276" w:type="dxa"/>
          </w:tcPr>
          <w:p w14:paraId="6BDDC0F7" w14:textId="7FDC46E5" w:rsidR="004E779D" w:rsidRPr="004E779D" w:rsidRDefault="004E779D" w:rsidP="004E779D">
            <w:r w:rsidRPr="004E779D">
              <w:t>0</w:t>
            </w:r>
          </w:p>
        </w:tc>
        <w:tc>
          <w:tcPr>
            <w:tcW w:w="1246" w:type="dxa"/>
          </w:tcPr>
          <w:p w14:paraId="3540A776" w14:textId="4098B91A" w:rsidR="004E779D" w:rsidRPr="004E779D" w:rsidRDefault="004E779D" w:rsidP="004E779D">
            <w:r w:rsidRPr="004E779D">
              <w:t>0</w:t>
            </w:r>
          </w:p>
        </w:tc>
      </w:tr>
      <w:tr w:rsidR="004E779D" w14:paraId="4159377B" w14:textId="77777777" w:rsidTr="00C723FD">
        <w:tc>
          <w:tcPr>
            <w:tcW w:w="9576" w:type="dxa"/>
            <w:gridSpan w:val="6"/>
          </w:tcPr>
          <w:p w14:paraId="03071264" w14:textId="4A3FE67F" w:rsidR="004E779D" w:rsidRPr="004E779D" w:rsidRDefault="004E779D" w:rsidP="004E779D">
            <w:r w:rsidRPr="004E779D">
              <w:rPr>
                <w:b/>
                <w:bCs/>
              </w:rPr>
              <w:t>Кумулативна вероятност от:</w:t>
            </w:r>
          </w:p>
        </w:tc>
      </w:tr>
      <w:tr w:rsidR="004E779D" w14:paraId="5FD4C8F7" w14:textId="77777777" w:rsidTr="004E779D">
        <w:tc>
          <w:tcPr>
            <w:tcW w:w="3369" w:type="dxa"/>
          </w:tcPr>
          <w:p w14:paraId="16B24986" w14:textId="2F5E98C7" w:rsidR="004E779D" w:rsidRPr="004E779D" w:rsidRDefault="004E779D" w:rsidP="004E779D">
            <w:r w:rsidRPr="004E779D">
              <w:t xml:space="preserve">- появяваща се генотипна </w:t>
            </w:r>
            <w:r w:rsidRPr="004E779D">
              <w:rPr>
                <w:lang w:val="en-US"/>
              </w:rPr>
              <w:t>ETVr</w:t>
            </w:r>
            <w:r w:rsidRPr="004E779D">
              <w:rPr>
                <w:vertAlign w:val="superscript"/>
                <w:lang w:val="en-US"/>
              </w:rPr>
              <w:t>c</w:t>
            </w:r>
          </w:p>
        </w:tc>
        <w:tc>
          <w:tcPr>
            <w:tcW w:w="1134" w:type="dxa"/>
          </w:tcPr>
          <w:p w14:paraId="50BB4A02" w14:textId="3FAFD85D" w:rsidR="004E779D" w:rsidRPr="004E779D" w:rsidRDefault="004E779D" w:rsidP="004E779D">
            <w:r w:rsidRPr="004E779D">
              <w:t>0,2%</w:t>
            </w:r>
          </w:p>
        </w:tc>
        <w:tc>
          <w:tcPr>
            <w:tcW w:w="1275" w:type="dxa"/>
          </w:tcPr>
          <w:p w14:paraId="3C130EA3" w14:textId="580C34BC" w:rsidR="004E779D" w:rsidRPr="004E779D" w:rsidRDefault="004E779D" w:rsidP="004E779D">
            <w:r w:rsidRPr="004E779D">
              <w:t>0,5%</w:t>
            </w:r>
          </w:p>
        </w:tc>
        <w:tc>
          <w:tcPr>
            <w:tcW w:w="1276" w:type="dxa"/>
          </w:tcPr>
          <w:p w14:paraId="422549DF" w14:textId="674FFF0A" w:rsidR="004E779D" w:rsidRPr="004E779D" w:rsidRDefault="004E779D" w:rsidP="004E779D">
            <w:r w:rsidRPr="004E779D">
              <w:t>1,2%</w:t>
            </w:r>
          </w:p>
        </w:tc>
        <w:tc>
          <w:tcPr>
            <w:tcW w:w="1276" w:type="dxa"/>
          </w:tcPr>
          <w:p w14:paraId="2B8FD4DE" w14:textId="02F80E4F" w:rsidR="004E779D" w:rsidRPr="004E779D" w:rsidRDefault="004E779D" w:rsidP="004E779D">
            <w:r w:rsidRPr="004E779D">
              <w:t>1,2%</w:t>
            </w:r>
          </w:p>
        </w:tc>
        <w:tc>
          <w:tcPr>
            <w:tcW w:w="1246" w:type="dxa"/>
          </w:tcPr>
          <w:p w14:paraId="47E60EDB" w14:textId="0149A0DA" w:rsidR="004E779D" w:rsidRPr="004E779D" w:rsidRDefault="004E779D" w:rsidP="004E779D">
            <w:r w:rsidRPr="004E779D">
              <w:t>1,2%</w:t>
            </w:r>
          </w:p>
        </w:tc>
      </w:tr>
      <w:tr w:rsidR="004E779D" w14:paraId="03764D70" w14:textId="77777777" w:rsidTr="004E779D">
        <w:tc>
          <w:tcPr>
            <w:tcW w:w="3369" w:type="dxa"/>
          </w:tcPr>
          <w:p w14:paraId="012E8AAB" w14:textId="561E5D1C" w:rsidR="004E779D" w:rsidRPr="004E779D" w:rsidRDefault="004E779D" w:rsidP="004E779D">
            <w:r w:rsidRPr="004E779D">
              <w:t xml:space="preserve">- генотипна </w:t>
            </w:r>
            <w:r w:rsidRPr="004E779D">
              <w:rPr>
                <w:lang w:val="en-US"/>
              </w:rPr>
              <w:t>ETVr</w:t>
            </w:r>
            <w:r w:rsidRPr="004E779D">
              <w:rPr>
                <w:vertAlign w:val="superscript"/>
                <w:lang w:val="en-US"/>
              </w:rPr>
              <w:t>c</w:t>
            </w:r>
            <w:r w:rsidRPr="004E779D">
              <w:rPr>
                <w:lang w:val="ru-RU"/>
              </w:rPr>
              <w:t xml:space="preserve"> </w:t>
            </w:r>
            <w:r w:rsidRPr="004E779D">
              <w:t>с вирусологичен</w:t>
            </w:r>
            <w:r>
              <w:t xml:space="preserve"> </w:t>
            </w:r>
            <w:r w:rsidRPr="004E779D">
              <w:t>пробив</w:t>
            </w:r>
            <w:r w:rsidRPr="004E779D">
              <w:rPr>
                <w:vertAlign w:val="superscript"/>
                <w:lang w:val="en-US"/>
              </w:rPr>
              <w:t>d</w:t>
            </w:r>
          </w:p>
        </w:tc>
        <w:tc>
          <w:tcPr>
            <w:tcW w:w="1134" w:type="dxa"/>
          </w:tcPr>
          <w:p w14:paraId="718A7AEA" w14:textId="6B50AE6D" w:rsidR="004E779D" w:rsidRPr="004E779D" w:rsidRDefault="004E779D" w:rsidP="004E779D">
            <w:r w:rsidRPr="004E779D">
              <w:t>0,2%</w:t>
            </w:r>
          </w:p>
        </w:tc>
        <w:tc>
          <w:tcPr>
            <w:tcW w:w="1275" w:type="dxa"/>
          </w:tcPr>
          <w:p w14:paraId="689A5712" w14:textId="11407F37" w:rsidR="004E779D" w:rsidRPr="004E779D" w:rsidRDefault="004E779D" w:rsidP="004E779D">
            <w:r w:rsidRPr="004E779D">
              <w:t>0,2%</w:t>
            </w:r>
          </w:p>
        </w:tc>
        <w:tc>
          <w:tcPr>
            <w:tcW w:w="1276" w:type="dxa"/>
          </w:tcPr>
          <w:p w14:paraId="040B40DC" w14:textId="725D1EF2" w:rsidR="004E779D" w:rsidRPr="004E779D" w:rsidRDefault="004E779D" w:rsidP="004E779D">
            <w:r w:rsidRPr="004E779D">
              <w:t>0,8%</w:t>
            </w:r>
          </w:p>
        </w:tc>
        <w:tc>
          <w:tcPr>
            <w:tcW w:w="1276" w:type="dxa"/>
          </w:tcPr>
          <w:p w14:paraId="3EC3D9F1" w14:textId="79790C11" w:rsidR="004E779D" w:rsidRPr="004E779D" w:rsidRDefault="004E779D" w:rsidP="004E779D">
            <w:r w:rsidRPr="004E779D">
              <w:t>0,8%</w:t>
            </w:r>
          </w:p>
        </w:tc>
        <w:tc>
          <w:tcPr>
            <w:tcW w:w="1246" w:type="dxa"/>
          </w:tcPr>
          <w:p w14:paraId="7A8CB7DB" w14:textId="33D0E695" w:rsidR="004E779D" w:rsidRPr="004E779D" w:rsidRDefault="004E779D" w:rsidP="004E779D">
            <w:r w:rsidRPr="004E779D">
              <w:t>0,8%</w:t>
            </w:r>
          </w:p>
        </w:tc>
      </w:tr>
    </w:tbl>
    <w:p w14:paraId="0953E305" w14:textId="77777777" w:rsidR="004E779D" w:rsidRPr="004E779D" w:rsidRDefault="004E779D" w:rsidP="004E779D">
      <w:pPr>
        <w:spacing w:line="240" w:lineRule="auto"/>
        <w:rPr>
          <w:rFonts w:eastAsia="Times New Roman" w:cs="Arial"/>
        </w:rPr>
      </w:pPr>
      <w:r w:rsidRPr="004E779D">
        <w:rPr>
          <w:rFonts w:eastAsia="Times New Roman" w:cs="Arial"/>
          <w:color w:val="000000"/>
          <w:lang w:eastAsia="bg-BG"/>
        </w:rPr>
        <w:t xml:space="preserve">* Резултатите отразяват използването на ентекавир в доза по 1 </w:t>
      </w:r>
      <w:r w:rsidRPr="004E779D">
        <w:rPr>
          <w:rFonts w:eastAsia="Times New Roman" w:cs="Arial"/>
          <w:color w:val="000000"/>
          <w:lang w:val="en-US"/>
        </w:rPr>
        <w:t>mg</w:t>
      </w:r>
      <w:r w:rsidRPr="004E779D">
        <w:rPr>
          <w:rFonts w:eastAsia="Times New Roman" w:cs="Arial"/>
          <w:color w:val="000000"/>
          <w:lang w:val="ru-RU"/>
        </w:rPr>
        <w:t xml:space="preserve"> </w:t>
      </w:r>
      <w:r w:rsidRPr="004E779D">
        <w:rPr>
          <w:rFonts w:eastAsia="Times New Roman" w:cs="Arial"/>
          <w:color w:val="000000"/>
          <w:lang w:eastAsia="bg-BG"/>
        </w:rPr>
        <w:t xml:space="preserve">при 147 от 149 пациенти през година 3 и при всички пациенти през години 4 и 5 и на лечение с комбинация ентекавир-ламивудин (последвано от дългосрочно лечение с ентекавир) за средно 20 седмици при 130 от 149 пациенти през година 3 и за 1 седмица за 1 от 121 пациенти през година 4 в </w:t>
      </w:r>
      <w:r w:rsidRPr="004E779D">
        <w:rPr>
          <w:rFonts w:eastAsia="Times New Roman" w:cs="Arial"/>
          <w:color w:val="000000"/>
          <w:lang w:val="en-US"/>
        </w:rPr>
        <w:t>rollover</w:t>
      </w:r>
      <w:r w:rsidRPr="004E779D">
        <w:rPr>
          <w:rFonts w:eastAsia="Times New Roman" w:cs="Arial"/>
          <w:color w:val="000000"/>
          <w:lang w:val="ru-RU"/>
        </w:rPr>
        <w:t xml:space="preserve"> </w:t>
      </w:r>
      <w:r w:rsidRPr="004E779D">
        <w:rPr>
          <w:rFonts w:eastAsia="Times New Roman" w:cs="Arial"/>
          <w:color w:val="000000"/>
          <w:lang w:eastAsia="bg-BG"/>
        </w:rPr>
        <w:t>проучване.</w:t>
      </w:r>
    </w:p>
    <w:p w14:paraId="37478E2B" w14:textId="77777777" w:rsidR="004E779D" w:rsidRPr="004E779D" w:rsidRDefault="004E779D" w:rsidP="004E779D">
      <w:pPr>
        <w:rPr>
          <w:rFonts w:eastAsia="Times New Roman" w:cs="Arial"/>
        </w:rPr>
      </w:pPr>
      <w:r w:rsidRPr="004E779D">
        <w:rPr>
          <w:rFonts w:eastAsia="Times New Roman" w:cs="Arial"/>
          <w:color w:val="000000"/>
          <w:vertAlign w:val="superscript"/>
          <w:lang w:val="en-US"/>
        </w:rPr>
        <w:t>b</w:t>
      </w:r>
      <w:r w:rsidRPr="004E779D">
        <w:rPr>
          <w:rFonts w:eastAsia="Times New Roman" w:cs="Arial"/>
          <w:color w:val="000000"/>
          <w:lang w:eastAsia="bg-BG"/>
        </w:rPr>
        <w:t xml:space="preserve">Включва пациенти с поне едно </w:t>
      </w:r>
      <w:r w:rsidRPr="004E779D">
        <w:rPr>
          <w:rFonts w:eastAsia="Times New Roman" w:cs="Arial"/>
          <w:color w:val="000000"/>
          <w:lang w:val="en-US"/>
        </w:rPr>
        <w:t>HBV</w:t>
      </w:r>
      <w:r w:rsidRPr="004E779D">
        <w:rPr>
          <w:rFonts w:eastAsia="Times New Roman" w:cs="Arial"/>
          <w:color w:val="000000"/>
          <w:lang w:val="ru-RU"/>
        </w:rPr>
        <w:t xml:space="preserve"> </w:t>
      </w:r>
      <w:r w:rsidRPr="004E779D">
        <w:rPr>
          <w:rFonts w:eastAsia="Times New Roman" w:cs="Arial"/>
          <w:color w:val="000000"/>
          <w:lang w:eastAsia="bg-BG"/>
        </w:rPr>
        <w:t>ДНК измерване по време на лечението чрез</w:t>
      </w:r>
      <w:r w:rsidRPr="004E779D">
        <w:rPr>
          <w:rFonts w:eastAsia="Times New Roman" w:cs="Arial"/>
          <w:color w:val="000000"/>
          <w:lang w:val="ru-RU"/>
        </w:rPr>
        <w:t xml:space="preserve"> </w:t>
      </w:r>
      <w:r w:rsidRPr="004E779D">
        <w:rPr>
          <w:rFonts w:eastAsia="Times New Roman" w:cs="Arial"/>
          <w:color w:val="000000"/>
          <w:lang w:val="en-US"/>
        </w:rPr>
        <w:t>PCR</w:t>
      </w:r>
      <w:r w:rsidRPr="004E779D">
        <w:rPr>
          <w:rFonts w:eastAsia="Times New Roman" w:cs="Arial"/>
          <w:color w:val="000000"/>
          <w:lang w:val="ru-RU"/>
        </w:rPr>
        <w:t xml:space="preserve"> </w:t>
      </w:r>
      <w:r w:rsidRPr="004E779D">
        <w:rPr>
          <w:rFonts w:eastAsia="Times New Roman" w:cs="Arial"/>
          <w:color w:val="000000"/>
          <w:lang w:eastAsia="bg-BG"/>
        </w:rPr>
        <w:t>на или след</w:t>
      </w:r>
      <w:r w:rsidRPr="004E779D">
        <w:rPr>
          <w:rFonts w:eastAsia="Times New Roman" w:cs="Arial"/>
          <w:i/>
          <w:iCs/>
          <w:color w:val="000000"/>
          <w:lang w:eastAsia="bg-BG"/>
        </w:rPr>
        <w:t xml:space="preserve"> </w:t>
      </w:r>
      <w:r w:rsidRPr="004E779D">
        <w:rPr>
          <w:rFonts w:eastAsia="Times New Roman" w:cs="Arial"/>
          <w:color w:val="000000"/>
          <w:lang w:eastAsia="bg-BG"/>
        </w:rPr>
        <w:t>седмица 24 до седмица 58</w:t>
      </w:r>
      <w:r w:rsidRPr="004E779D">
        <w:rPr>
          <w:rFonts w:eastAsia="Times New Roman" w:cs="Arial"/>
        </w:rPr>
        <w:t xml:space="preserve"> </w:t>
      </w:r>
      <w:r w:rsidRPr="004E779D">
        <w:rPr>
          <w:rFonts w:eastAsia="Times New Roman" w:cs="Arial"/>
          <w:color w:val="000000"/>
          <w:lang w:eastAsia="bg-BG"/>
        </w:rPr>
        <w:t xml:space="preserve">(година 1) след седмица 58 до седмица 102 (година 2), след седмица 102 до седмица 156 (година 3), след седмица 156 до седмица 204 (година 4) или след седмица 204 до седмица 252 (година 5). </w:t>
      </w:r>
      <w:r w:rsidRPr="004E779D">
        <w:rPr>
          <w:rFonts w:eastAsia="Times New Roman" w:cs="Arial"/>
          <w:color w:val="000000"/>
          <w:vertAlign w:val="superscript"/>
          <w:lang w:eastAsia="bg-BG"/>
        </w:rPr>
        <w:t>с</w:t>
      </w:r>
      <w:r w:rsidRPr="004E779D">
        <w:rPr>
          <w:rFonts w:eastAsia="Times New Roman" w:cs="Arial"/>
          <w:color w:val="000000"/>
          <w:lang w:eastAsia="bg-BG"/>
        </w:rPr>
        <w:t xml:space="preserve"> Пациентите също имат </w:t>
      </w:r>
      <w:r w:rsidRPr="004E779D">
        <w:rPr>
          <w:rFonts w:eastAsia="Times New Roman" w:cs="Arial"/>
          <w:color w:val="000000"/>
          <w:lang w:val="en-US"/>
        </w:rPr>
        <w:t>LVDr</w:t>
      </w:r>
      <w:r w:rsidRPr="004E779D">
        <w:rPr>
          <w:rFonts w:eastAsia="Times New Roman" w:cs="Arial"/>
          <w:color w:val="000000"/>
          <w:lang w:val="ru-RU"/>
        </w:rPr>
        <w:t xml:space="preserve"> </w:t>
      </w:r>
      <w:r w:rsidRPr="004E779D">
        <w:rPr>
          <w:rFonts w:eastAsia="Times New Roman" w:cs="Arial"/>
          <w:color w:val="000000"/>
          <w:lang w:eastAsia="bg-BG"/>
        </w:rPr>
        <w:t>замени.</w:t>
      </w:r>
    </w:p>
    <w:p w14:paraId="4F25EB46" w14:textId="77777777" w:rsidR="004E779D" w:rsidRPr="004E779D" w:rsidRDefault="004E779D" w:rsidP="004E779D">
      <w:pPr>
        <w:spacing w:line="240" w:lineRule="auto"/>
        <w:rPr>
          <w:rFonts w:eastAsia="Times New Roman" w:cs="Arial"/>
        </w:rPr>
      </w:pPr>
      <w:proofErr w:type="gramStart"/>
      <w:r w:rsidRPr="004E779D">
        <w:rPr>
          <w:rFonts w:eastAsia="Times New Roman" w:cs="Arial"/>
          <w:color w:val="000000"/>
          <w:vertAlign w:val="superscript"/>
          <w:lang w:val="en-US"/>
        </w:rPr>
        <w:t>d</w:t>
      </w:r>
      <w:proofErr w:type="gramEnd"/>
      <w:r w:rsidRPr="004E779D">
        <w:rPr>
          <w:rFonts w:eastAsia="Times New Roman" w:cs="Arial"/>
          <w:color w:val="000000"/>
          <w:lang w:val="ru-RU"/>
        </w:rPr>
        <w:t xml:space="preserve"> </w:t>
      </w:r>
      <w:r w:rsidRPr="004E779D">
        <w:rPr>
          <w:rFonts w:eastAsia="Times New Roman" w:cs="Arial"/>
          <w:color w:val="000000"/>
          <w:lang w:eastAsia="bg-BG"/>
        </w:rPr>
        <w:t xml:space="preserve">≥1 </w:t>
      </w:r>
      <w:r w:rsidRPr="004E779D">
        <w:rPr>
          <w:rFonts w:eastAsia="Times New Roman" w:cs="Arial"/>
          <w:color w:val="000000"/>
          <w:lang w:val="en-US"/>
        </w:rPr>
        <w:t>log</w:t>
      </w:r>
      <w:r w:rsidRPr="004E779D">
        <w:rPr>
          <w:rFonts w:eastAsia="Times New Roman" w:cs="Arial"/>
          <w:color w:val="000000"/>
          <w:lang w:val="ru-RU"/>
        </w:rPr>
        <w:t xml:space="preserve"> </w:t>
      </w:r>
      <w:r w:rsidRPr="004E779D">
        <w:rPr>
          <w:rFonts w:eastAsia="Times New Roman" w:cs="Arial"/>
          <w:color w:val="000000"/>
          <w:lang w:eastAsia="bg-BG"/>
        </w:rPr>
        <w:t xml:space="preserve">нарастване над надир в </w:t>
      </w:r>
      <w:r w:rsidRPr="004E779D">
        <w:rPr>
          <w:rFonts w:eastAsia="Times New Roman" w:cs="Arial"/>
          <w:color w:val="000000"/>
          <w:lang w:val="en-US"/>
        </w:rPr>
        <w:t>HBV</w:t>
      </w:r>
      <w:r w:rsidRPr="004E779D">
        <w:rPr>
          <w:rFonts w:eastAsia="Times New Roman" w:cs="Arial"/>
          <w:color w:val="000000"/>
          <w:lang w:val="ru-RU"/>
        </w:rPr>
        <w:t xml:space="preserve"> </w:t>
      </w:r>
      <w:r w:rsidRPr="004E779D">
        <w:rPr>
          <w:rFonts w:eastAsia="Times New Roman" w:cs="Arial"/>
          <w:color w:val="000000"/>
          <w:lang w:val="en-US"/>
        </w:rPr>
        <w:t>DNA</w:t>
      </w:r>
      <w:r w:rsidRPr="004E779D">
        <w:rPr>
          <w:rFonts w:eastAsia="Times New Roman" w:cs="Arial"/>
          <w:color w:val="000000"/>
          <w:lang w:val="ru-RU"/>
        </w:rPr>
        <w:t xml:space="preserve"> </w:t>
      </w:r>
      <w:r w:rsidRPr="004E779D">
        <w:rPr>
          <w:rFonts w:eastAsia="Times New Roman" w:cs="Arial"/>
          <w:color w:val="000000"/>
          <w:lang w:eastAsia="bg-BG"/>
        </w:rPr>
        <w:t xml:space="preserve">чрез </w:t>
      </w:r>
      <w:r w:rsidRPr="004E779D">
        <w:rPr>
          <w:rFonts w:eastAsia="Times New Roman" w:cs="Arial"/>
          <w:color w:val="000000"/>
          <w:lang w:val="en-US"/>
        </w:rPr>
        <w:t>PCR</w:t>
      </w:r>
      <w:r w:rsidRPr="004E779D">
        <w:rPr>
          <w:rFonts w:eastAsia="Times New Roman" w:cs="Arial"/>
          <w:color w:val="000000"/>
          <w:lang w:val="ru-RU"/>
        </w:rPr>
        <w:t xml:space="preserve">, </w:t>
      </w:r>
      <w:r w:rsidRPr="004E779D">
        <w:rPr>
          <w:rFonts w:eastAsia="Times New Roman" w:cs="Arial"/>
          <w:color w:val="000000"/>
          <w:lang w:eastAsia="bg-BG"/>
        </w:rPr>
        <w:t>потвърдено с последващи измервания или в точката в края на времевия прозорец.</w:t>
      </w:r>
    </w:p>
    <w:p w14:paraId="065DDD79" w14:textId="77777777" w:rsidR="004E779D" w:rsidRPr="004E779D" w:rsidRDefault="004E779D" w:rsidP="004E779D">
      <w:pPr>
        <w:spacing w:line="240" w:lineRule="auto"/>
        <w:rPr>
          <w:rFonts w:eastAsia="Times New Roman" w:cs="Arial"/>
          <w:color w:val="000000"/>
          <w:lang w:val="en-US"/>
        </w:rPr>
      </w:pPr>
    </w:p>
    <w:p w14:paraId="7CBFCC98" w14:textId="6518E032" w:rsidR="004E779D" w:rsidRPr="004E779D" w:rsidRDefault="004E779D" w:rsidP="004E779D">
      <w:pPr>
        <w:spacing w:line="240" w:lineRule="auto"/>
        <w:rPr>
          <w:rFonts w:eastAsia="Times New Roman" w:cs="Arial"/>
        </w:rPr>
      </w:pPr>
      <w:r w:rsidRPr="004E779D">
        <w:rPr>
          <w:rFonts w:eastAsia="Times New Roman" w:cs="Arial"/>
          <w:color w:val="000000"/>
          <w:lang w:val="en-US"/>
        </w:rPr>
        <w:t>ETVr</w:t>
      </w:r>
      <w:r w:rsidRPr="004E779D">
        <w:rPr>
          <w:rFonts w:eastAsia="Times New Roman" w:cs="Arial"/>
          <w:color w:val="000000"/>
          <w:lang w:val="ru-RU"/>
        </w:rPr>
        <w:t xml:space="preserve"> </w:t>
      </w:r>
      <w:r w:rsidRPr="004E779D">
        <w:rPr>
          <w:rFonts w:eastAsia="Times New Roman" w:cs="Arial"/>
          <w:color w:val="000000"/>
          <w:lang w:eastAsia="bg-BG"/>
        </w:rPr>
        <w:t xml:space="preserve">замени (в допълнение към </w:t>
      </w:r>
      <w:r w:rsidRPr="004E779D">
        <w:rPr>
          <w:rFonts w:eastAsia="Times New Roman" w:cs="Arial"/>
          <w:color w:val="000000"/>
          <w:lang w:val="en-US"/>
        </w:rPr>
        <w:t>LVDr</w:t>
      </w:r>
      <w:r w:rsidRPr="004E779D">
        <w:rPr>
          <w:rFonts w:eastAsia="Times New Roman" w:cs="Arial"/>
          <w:color w:val="000000"/>
          <w:lang w:val="ru-RU"/>
        </w:rPr>
        <w:t xml:space="preserve"> </w:t>
      </w:r>
      <w:r w:rsidRPr="004E779D">
        <w:rPr>
          <w:rFonts w:eastAsia="Times New Roman" w:cs="Arial"/>
          <w:color w:val="000000"/>
          <w:lang w:eastAsia="bg-BG"/>
        </w:rPr>
        <w:t xml:space="preserve">замените </w:t>
      </w:r>
      <w:r w:rsidRPr="004E779D">
        <w:rPr>
          <w:rFonts w:eastAsia="Times New Roman" w:cs="Arial"/>
          <w:color w:val="000000"/>
          <w:lang w:val="en-US"/>
        </w:rPr>
        <w:t>rtM</w:t>
      </w:r>
      <w:r w:rsidRPr="004E779D">
        <w:rPr>
          <w:rFonts w:eastAsia="Times New Roman" w:cs="Arial"/>
          <w:color w:val="000000"/>
          <w:lang w:val="ru-RU"/>
        </w:rPr>
        <w:t>204</w:t>
      </w:r>
      <w:r w:rsidRPr="004E779D">
        <w:rPr>
          <w:rFonts w:eastAsia="Times New Roman" w:cs="Arial"/>
          <w:color w:val="000000"/>
          <w:lang w:val="en-US"/>
        </w:rPr>
        <w:t>V</w:t>
      </w:r>
      <w:r w:rsidRPr="004E779D">
        <w:rPr>
          <w:rFonts w:eastAsia="Times New Roman" w:cs="Arial"/>
          <w:color w:val="000000"/>
          <w:lang w:val="ru-RU"/>
        </w:rPr>
        <w:t>/</w:t>
      </w:r>
      <w:r w:rsidRPr="004E779D">
        <w:rPr>
          <w:rFonts w:eastAsia="Times New Roman" w:cs="Arial"/>
          <w:color w:val="000000"/>
          <w:lang w:val="en-US"/>
        </w:rPr>
        <w:t>I</w:t>
      </w:r>
      <w:r w:rsidRPr="004E779D">
        <w:rPr>
          <w:rFonts w:eastAsia="Times New Roman" w:cs="Arial"/>
          <w:color w:val="000000"/>
          <w:lang w:val="ru-RU"/>
        </w:rPr>
        <w:t xml:space="preserve"> </w:t>
      </w:r>
      <w:r w:rsidRPr="004E779D">
        <w:rPr>
          <w:rFonts w:eastAsia="Times New Roman" w:cs="Arial"/>
          <w:color w:val="000000"/>
          <w:lang w:eastAsia="bg-BG"/>
        </w:rPr>
        <w:t xml:space="preserve">± </w:t>
      </w:r>
      <w:r w:rsidRPr="004E779D">
        <w:rPr>
          <w:rFonts w:eastAsia="Times New Roman" w:cs="Arial"/>
          <w:color w:val="000000"/>
          <w:lang w:val="en-US"/>
        </w:rPr>
        <w:t>rtL</w:t>
      </w:r>
      <w:r w:rsidRPr="004E779D">
        <w:rPr>
          <w:rFonts w:eastAsia="Times New Roman" w:cs="Arial"/>
          <w:color w:val="000000"/>
          <w:lang w:val="ru-RU"/>
        </w:rPr>
        <w:t>180</w:t>
      </w:r>
      <w:r w:rsidRPr="004E779D">
        <w:rPr>
          <w:rFonts w:eastAsia="Times New Roman" w:cs="Arial"/>
          <w:color w:val="000000"/>
          <w:lang w:val="en-US"/>
        </w:rPr>
        <w:t>M</w:t>
      </w:r>
      <w:r w:rsidRPr="004E779D">
        <w:rPr>
          <w:rFonts w:eastAsia="Times New Roman" w:cs="Arial"/>
          <w:color w:val="000000"/>
          <w:lang w:val="ru-RU"/>
        </w:rPr>
        <w:t xml:space="preserve">) </w:t>
      </w:r>
      <w:r w:rsidRPr="004E779D">
        <w:rPr>
          <w:rFonts w:eastAsia="Times New Roman" w:cs="Arial"/>
          <w:color w:val="000000"/>
          <w:lang w:eastAsia="bg-BG"/>
        </w:rPr>
        <w:t xml:space="preserve">са наблюдавани на изходно ниво при изолати от 10/187 (5%) ламивудин-рефрактерни пациенти, лекувани с ентекавир и проследявани за резистентност, което показва, че преди лечение с ламивудин тези резистентни замени могат да се селектират и че те могат да съществуват при ниска честота преди лечение с ентекавир. До седмица 240 при 3-ма от 10 пациенти е наблюдаван вирусологичен пробив (≥ 1 </w:t>
      </w:r>
      <w:r w:rsidRPr="004E779D">
        <w:rPr>
          <w:rFonts w:eastAsia="Times New Roman" w:cs="Arial"/>
          <w:color w:val="000000"/>
          <w:lang w:val="en-US"/>
        </w:rPr>
        <w:t>log</w:t>
      </w:r>
      <w:r w:rsidRPr="004E779D">
        <w:rPr>
          <w:rFonts w:eastAsia="Times New Roman" w:cs="Arial"/>
          <w:color w:val="000000"/>
          <w:vertAlign w:val="subscript"/>
          <w:lang w:val="ru-RU"/>
        </w:rPr>
        <w:t>10</w:t>
      </w:r>
      <w:r w:rsidRPr="004E779D">
        <w:rPr>
          <w:rFonts w:eastAsia="Times New Roman" w:cs="Arial"/>
          <w:color w:val="000000"/>
          <w:lang w:val="ru-RU"/>
        </w:rPr>
        <w:t xml:space="preserve"> </w:t>
      </w:r>
      <w:r w:rsidRPr="004E779D">
        <w:rPr>
          <w:rFonts w:eastAsia="Times New Roman" w:cs="Arial"/>
          <w:color w:val="000000"/>
          <w:lang w:eastAsia="bg-BG"/>
        </w:rPr>
        <w:t xml:space="preserve">нарастване над надир). Появата на </w:t>
      </w:r>
      <w:r w:rsidRPr="004E779D">
        <w:rPr>
          <w:rFonts w:eastAsia="Times New Roman" w:cs="Arial"/>
          <w:color w:val="000000"/>
          <w:lang w:eastAsia="bg-BG"/>
        </w:rPr>
        <w:lastRenderedPageBreak/>
        <w:t>резистентност към ентекавир при проучванията за рефрактерност към ламивудин до седмица 240 е обобщена в таблицата.</w:t>
      </w:r>
    </w:p>
    <w:p w14:paraId="6B0D881B" w14:textId="1A3822DF" w:rsidR="004E779D" w:rsidRDefault="004E779D" w:rsidP="004E779D">
      <w:pPr>
        <w:spacing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118"/>
        <w:gridCol w:w="1252"/>
        <w:gridCol w:w="1251"/>
        <w:gridCol w:w="1252"/>
        <w:gridCol w:w="1252"/>
        <w:gridCol w:w="1225"/>
      </w:tblGrid>
      <w:tr w:rsidR="004E779D" w14:paraId="1B5B11A3" w14:textId="77777777" w:rsidTr="00F12F60">
        <w:tc>
          <w:tcPr>
            <w:tcW w:w="9576" w:type="dxa"/>
            <w:gridSpan w:val="6"/>
          </w:tcPr>
          <w:p w14:paraId="59A1482F" w14:textId="3CF33556" w:rsidR="004E779D" w:rsidRPr="004E779D" w:rsidRDefault="004E779D" w:rsidP="004E779D">
            <w:pPr>
              <w:spacing w:line="240" w:lineRule="auto"/>
              <w:rPr>
                <w:rFonts w:eastAsia="Times New Roman" w:cs="Arial"/>
              </w:rPr>
            </w:pPr>
            <w:r w:rsidRPr="004E779D">
              <w:rPr>
                <w:rFonts w:cs="Arial"/>
              </w:rPr>
              <w:t>Генотипна резистентност към ентекавир до година 5, проучвания при ламивудин- рефрактерни пациенти</w:t>
            </w:r>
          </w:p>
        </w:tc>
      </w:tr>
      <w:tr w:rsidR="004E779D" w14:paraId="75CCD489" w14:textId="77777777" w:rsidTr="004E779D">
        <w:tc>
          <w:tcPr>
            <w:tcW w:w="3227" w:type="dxa"/>
          </w:tcPr>
          <w:p w14:paraId="0FC05689" w14:textId="77777777" w:rsidR="004E779D" w:rsidRPr="004E779D" w:rsidRDefault="004E779D" w:rsidP="004E779D">
            <w:pPr>
              <w:spacing w:line="240" w:lineRule="auto"/>
              <w:rPr>
                <w:rFonts w:eastAsia="Times New Roman" w:cs="Arial"/>
              </w:rPr>
            </w:pPr>
          </w:p>
        </w:tc>
        <w:tc>
          <w:tcPr>
            <w:tcW w:w="1276" w:type="dxa"/>
          </w:tcPr>
          <w:p w14:paraId="60C481B6" w14:textId="3B8A7E96" w:rsidR="004E779D" w:rsidRPr="004E779D" w:rsidRDefault="004E779D" w:rsidP="004E779D">
            <w:pPr>
              <w:spacing w:line="240" w:lineRule="auto"/>
              <w:rPr>
                <w:rFonts w:eastAsia="Times New Roman" w:cs="Arial"/>
              </w:rPr>
            </w:pPr>
            <w:r w:rsidRPr="004E779D">
              <w:rPr>
                <w:rFonts w:cs="Arial"/>
              </w:rPr>
              <w:t>Година 1</w:t>
            </w:r>
          </w:p>
        </w:tc>
        <w:tc>
          <w:tcPr>
            <w:tcW w:w="1275" w:type="dxa"/>
          </w:tcPr>
          <w:p w14:paraId="6DB108F1" w14:textId="4B270846" w:rsidR="004E779D" w:rsidRPr="004E779D" w:rsidRDefault="004E779D" w:rsidP="004E779D">
            <w:pPr>
              <w:spacing w:line="240" w:lineRule="auto"/>
              <w:rPr>
                <w:rFonts w:eastAsia="Times New Roman" w:cs="Arial"/>
              </w:rPr>
            </w:pPr>
            <w:r w:rsidRPr="004E779D">
              <w:rPr>
                <w:rFonts w:cs="Arial"/>
              </w:rPr>
              <w:t>Година 2</w:t>
            </w:r>
          </w:p>
        </w:tc>
        <w:tc>
          <w:tcPr>
            <w:tcW w:w="1276" w:type="dxa"/>
          </w:tcPr>
          <w:p w14:paraId="3BB0FFFC" w14:textId="33753FB8" w:rsidR="004E779D" w:rsidRPr="004E779D" w:rsidRDefault="004E779D" w:rsidP="004E779D">
            <w:pPr>
              <w:spacing w:line="240" w:lineRule="auto"/>
              <w:rPr>
                <w:rFonts w:eastAsia="Times New Roman" w:cs="Arial"/>
              </w:rPr>
            </w:pPr>
            <w:r w:rsidRPr="004E779D">
              <w:rPr>
                <w:rFonts w:cs="Arial"/>
              </w:rPr>
              <w:t>Година 3</w:t>
            </w:r>
            <w:r w:rsidRPr="004E779D">
              <w:rPr>
                <w:rFonts w:cs="Arial"/>
                <w:vertAlign w:val="superscript"/>
                <w:lang w:val="en-US"/>
              </w:rPr>
              <w:t>a</w:t>
            </w:r>
          </w:p>
        </w:tc>
        <w:tc>
          <w:tcPr>
            <w:tcW w:w="1276" w:type="dxa"/>
          </w:tcPr>
          <w:p w14:paraId="341A4AF7" w14:textId="77777777" w:rsidR="004E779D" w:rsidRPr="004E779D" w:rsidRDefault="004E779D" w:rsidP="004E779D">
            <w:pPr>
              <w:rPr>
                <w:rFonts w:cs="Arial"/>
              </w:rPr>
            </w:pPr>
          </w:p>
          <w:p w14:paraId="105938E5" w14:textId="6FBAA664" w:rsidR="004E779D" w:rsidRPr="004E779D" w:rsidRDefault="004E779D" w:rsidP="004E779D">
            <w:pPr>
              <w:spacing w:line="240" w:lineRule="auto"/>
              <w:rPr>
                <w:rFonts w:eastAsia="Times New Roman" w:cs="Arial"/>
              </w:rPr>
            </w:pPr>
            <w:r w:rsidRPr="004E779D">
              <w:rPr>
                <w:rFonts w:cs="Arial"/>
              </w:rPr>
              <w:t>Година 4</w:t>
            </w:r>
            <w:r w:rsidRPr="004E779D">
              <w:rPr>
                <w:rFonts w:cs="Arial"/>
                <w:vertAlign w:val="superscript"/>
                <w:lang w:val="en-US"/>
              </w:rPr>
              <w:t>a</w:t>
            </w:r>
          </w:p>
        </w:tc>
        <w:tc>
          <w:tcPr>
            <w:tcW w:w="1246" w:type="dxa"/>
          </w:tcPr>
          <w:p w14:paraId="668E412A" w14:textId="77777777" w:rsidR="004E779D" w:rsidRPr="004E779D" w:rsidRDefault="004E779D" w:rsidP="004E779D">
            <w:pPr>
              <w:rPr>
                <w:rFonts w:cs="Arial"/>
              </w:rPr>
            </w:pPr>
          </w:p>
          <w:p w14:paraId="49E87492" w14:textId="7A66C564" w:rsidR="004E779D" w:rsidRPr="004E779D" w:rsidRDefault="004E779D" w:rsidP="004E779D">
            <w:pPr>
              <w:spacing w:line="240" w:lineRule="auto"/>
              <w:rPr>
                <w:rFonts w:eastAsia="Times New Roman" w:cs="Arial"/>
              </w:rPr>
            </w:pPr>
            <w:r w:rsidRPr="004E779D">
              <w:rPr>
                <w:rFonts w:cs="Arial"/>
              </w:rPr>
              <w:t>Година 5</w:t>
            </w:r>
            <w:r w:rsidRPr="004E779D">
              <w:rPr>
                <w:rFonts w:cs="Arial"/>
                <w:vertAlign w:val="superscript"/>
                <w:lang w:val="en-US"/>
              </w:rPr>
              <w:t>a</w:t>
            </w:r>
          </w:p>
        </w:tc>
      </w:tr>
      <w:tr w:rsidR="004E779D" w14:paraId="3F92AD8D" w14:textId="77777777" w:rsidTr="004E779D">
        <w:tc>
          <w:tcPr>
            <w:tcW w:w="3227" w:type="dxa"/>
          </w:tcPr>
          <w:p w14:paraId="53AF8510" w14:textId="77777777" w:rsidR="004E779D" w:rsidRPr="004E779D" w:rsidRDefault="004E779D" w:rsidP="004E779D">
            <w:pPr>
              <w:rPr>
                <w:rFonts w:cs="Arial"/>
              </w:rPr>
            </w:pPr>
            <w:r w:rsidRPr="004E779D">
              <w:rPr>
                <w:rFonts w:cs="Arial"/>
              </w:rPr>
              <w:t>Пациенти, лекувани и проследявани</w:t>
            </w:r>
          </w:p>
          <w:p w14:paraId="4E028142" w14:textId="0F909AD8" w:rsidR="004E779D" w:rsidRPr="004E779D" w:rsidRDefault="004E779D" w:rsidP="004E779D">
            <w:pPr>
              <w:spacing w:line="240" w:lineRule="auto"/>
              <w:rPr>
                <w:rFonts w:eastAsia="Times New Roman" w:cs="Arial"/>
              </w:rPr>
            </w:pPr>
            <w:r w:rsidRPr="004E779D">
              <w:rPr>
                <w:rFonts w:cs="Arial"/>
              </w:rPr>
              <w:t>за резистентност</w:t>
            </w:r>
            <w:r w:rsidRPr="004E779D">
              <w:rPr>
                <w:rFonts w:cs="Arial"/>
                <w:u w:val="single"/>
                <w:vertAlign w:val="superscript"/>
                <w:lang w:val="en-US"/>
              </w:rPr>
              <w:t>b</w:t>
            </w:r>
          </w:p>
        </w:tc>
        <w:tc>
          <w:tcPr>
            <w:tcW w:w="1276" w:type="dxa"/>
          </w:tcPr>
          <w:p w14:paraId="5125939F" w14:textId="399116C1" w:rsidR="004E779D" w:rsidRPr="004E779D" w:rsidRDefault="004E779D" w:rsidP="004E779D">
            <w:pPr>
              <w:spacing w:line="240" w:lineRule="auto"/>
              <w:rPr>
                <w:rFonts w:eastAsia="Times New Roman" w:cs="Arial"/>
              </w:rPr>
            </w:pPr>
            <w:r w:rsidRPr="004E779D">
              <w:rPr>
                <w:rFonts w:cs="Arial"/>
              </w:rPr>
              <w:t>187</w:t>
            </w:r>
          </w:p>
        </w:tc>
        <w:tc>
          <w:tcPr>
            <w:tcW w:w="1275" w:type="dxa"/>
          </w:tcPr>
          <w:p w14:paraId="299D2204" w14:textId="0E22AC21" w:rsidR="004E779D" w:rsidRPr="004E779D" w:rsidRDefault="004E779D" w:rsidP="004E779D">
            <w:pPr>
              <w:spacing w:line="240" w:lineRule="auto"/>
              <w:rPr>
                <w:rFonts w:eastAsia="Times New Roman" w:cs="Arial"/>
              </w:rPr>
            </w:pPr>
            <w:r w:rsidRPr="004E779D">
              <w:rPr>
                <w:rFonts w:cs="Arial"/>
              </w:rPr>
              <w:t>146</w:t>
            </w:r>
          </w:p>
        </w:tc>
        <w:tc>
          <w:tcPr>
            <w:tcW w:w="1276" w:type="dxa"/>
          </w:tcPr>
          <w:p w14:paraId="0C2EB279" w14:textId="63322270" w:rsidR="004E779D" w:rsidRPr="004E779D" w:rsidRDefault="004E779D" w:rsidP="004E779D">
            <w:pPr>
              <w:spacing w:line="240" w:lineRule="auto"/>
              <w:rPr>
                <w:rFonts w:eastAsia="Times New Roman" w:cs="Arial"/>
              </w:rPr>
            </w:pPr>
            <w:r w:rsidRPr="004E779D">
              <w:rPr>
                <w:rFonts w:cs="Arial"/>
              </w:rPr>
              <w:t>80</w:t>
            </w:r>
          </w:p>
        </w:tc>
        <w:tc>
          <w:tcPr>
            <w:tcW w:w="1276" w:type="dxa"/>
          </w:tcPr>
          <w:p w14:paraId="76817637" w14:textId="15600239" w:rsidR="004E779D" w:rsidRPr="004E779D" w:rsidRDefault="004E779D" w:rsidP="004E779D">
            <w:pPr>
              <w:spacing w:line="240" w:lineRule="auto"/>
              <w:rPr>
                <w:rFonts w:eastAsia="Times New Roman" w:cs="Arial"/>
              </w:rPr>
            </w:pPr>
            <w:r w:rsidRPr="004E779D">
              <w:rPr>
                <w:rFonts w:cs="Arial"/>
              </w:rPr>
              <w:t>52</w:t>
            </w:r>
          </w:p>
        </w:tc>
        <w:tc>
          <w:tcPr>
            <w:tcW w:w="1246" w:type="dxa"/>
          </w:tcPr>
          <w:p w14:paraId="5FA106E7" w14:textId="1F420EE3" w:rsidR="004E779D" w:rsidRPr="004E779D" w:rsidRDefault="004E779D" w:rsidP="004E779D">
            <w:pPr>
              <w:spacing w:line="240" w:lineRule="auto"/>
              <w:rPr>
                <w:rFonts w:eastAsia="Times New Roman" w:cs="Arial"/>
              </w:rPr>
            </w:pPr>
            <w:r w:rsidRPr="004E779D">
              <w:rPr>
                <w:rFonts w:cs="Arial"/>
              </w:rPr>
              <w:t>33</w:t>
            </w:r>
          </w:p>
        </w:tc>
      </w:tr>
      <w:tr w:rsidR="004E779D" w14:paraId="4A1DD2B2" w14:textId="77777777" w:rsidTr="004E779D">
        <w:tc>
          <w:tcPr>
            <w:tcW w:w="3227" w:type="dxa"/>
          </w:tcPr>
          <w:p w14:paraId="7918C7B2" w14:textId="4441ED8F" w:rsidR="004E779D" w:rsidRPr="004E779D" w:rsidRDefault="004E779D" w:rsidP="004E779D">
            <w:pPr>
              <w:spacing w:line="240" w:lineRule="auto"/>
              <w:rPr>
                <w:rFonts w:eastAsia="Times New Roman" w:cs="Arial"/>
              </w:rPr>
            </w:pPr>
            <w:r w:rsidRPr="004E779D">
              <w:rPr>
                <w:rFonts w:cs="Arial"/>
                <w:b/>
                <w:bCs/>
              </w:rPr>
              <w:t>Пациенти през определена година с:</w:t>
            </w:r>
          </w:p>
        </w:tc>
        <w:tc>
          <w:tcPr>
            <w:tcW w:w="1276" w:type="dxa"/>
          </w:tcPr>
          <w:p w14:paraId="46B1F0D3" w14:textId="77777777" w:rsidR="004E779D" w:rsidRPr="004E779D" w:rsidRDefault="004E779D" w:rsidP="004E779D">
            <w:pPr>
              <w:spacing w:line="240" w:lineRule="auto"/>
              <w:rPr>
                <w:rFonts w:eastAsia="Times New Roman" w:cs="Arial"/>
              </w:rPr>
            </w:pPr>
          </w:p>
        </w:tc>
        <w:tc>
          <w:tcPr>
            <w:tcW w:w="1275" w:type="dxa"/>
          </w:tcPr>
          <w:p w14:paraId="33709D8E" w14:textId="77777777" w:rsidR="004E779D" w:rsidRPr="004E779D" w:rsidRDefault="004E779D" w:rsidP="004E779D">
            <w:pPr>
              <w:spacing w:line="240" w:lineRule="auto"/>
              <w:rPr>
                <w:rFonts w:eastAsia="Times New Roman" w:cs="Arial"/>
              </w:rPr>
            </w:pPr>
          </w:p>
        </w:tc>
        <w:tc>
          <w:tcPr>
            <w:tcW w:w="1276" w:type="dxa"/>
          </w:tcPr>
          <w:p w14:paraId="02590E55" w14:textId="77777777" w:rsidR="004E779D" w:rsidRPr="004E779D" w:rsidRDefault="004E779D" w:rsidP="004E779D">
            <w:pPr>
              <w:spacing w:line="240" w:lineRule="auto"/>
              <w:rPr>
                <w:rFonts w:eastAsia="Times New Roman" w:cs="Arial"/>
              </w:rPr>
            </w:pPr>
          </w:p>
        </w:tc>
        <w:tc>
          <w:tcPr>
            <w:tcW w:w="1276" w:type="dxa"/>
          </w:tcPr>
          <w:p w14:paraId="2D8779C5" w14:textId="77777777" w:rsidR="004E779D" w:rsidRPr="004E779D" w:rsidRDefault="004E779D" w:rsidP="004E779D">
            <w:pPr>
              <w:spacing w:line="240" w:lineRule="auto"/>
              <w:rPr>
                <w:rFonts w:eastAsia="Times New Roman" w:cs="Arial"/>
              </w:rPr>
            </w:pPr>
          </w:p>
        </w:tc>
        <w:tc>
          <w:tcPr>
            <w:tcW w:w="1246" w:type="dxa"/>
          </w:tcPr>
          <w:p w14:paraId="41573876" w14:textId="77777777" w:rsidR="004E779D" w:rsidRPr="004E779D" w:rsidRDefault="004E779D" w:rsidP="004E779D">
            <w:pPr>
              <w:spacing w:line="240" w:lineRule="auto"/>
              <w:rPr>
                <w:rFonts w:eastAsia="Times New Roman" w:cs="Arial"/>
              </w:rPr>
            </w:pPr>
          </w:p>
        </w:tc>
      </w:tr>
      <w:tr w:rsidR="004E779D" w14:paraId="3709D55F" w14:textId="77777777" w:rsidTr="004E779D">
        <w:tc>
          <w:tcPr>
            <w:tcW w:w="3227" w:type="dxa"/>
          </w:tcPr>
          <w:p w14:paraId="7528C99B" w14:textId="46538D74" w:rsidR="004E779D" w:rsidRPr="004E779D" w:rsidRDefault="004E779D" w:rsidP="004E779D">
            <w:pPr>
              <w:spacing w:line="240" w:lineRule="auto"/>
              <w:rPr>
                <w:rFonts w:eastAsia="Times New Roman" w:cs="Arial"/>
              </w:rPr>
            </w:pPr>
            <w:r w:rsidRPr="004E779D">
              <w:rPr>
                <w:rFonts w:cs="Arial"/>
              </w:rPr>
              <w:t xml:space="preserve">- появяваща се генотипна </w:t>
            </w:r>
            <w:r w:rsidRPr="004E779D">
              <w:rPr>
                <w:rFonts w:cs="Arial"/>
                <w:lang w:val="en-US"/>
              </w:rPr>
              <w:t>ETVr</w:t>
            </w:r>
            <w:r w:rsidRPr="004E779D">
              <w:rPr>
                <w:rFonts w:cs="Arial"/>
                <w:vertAlign w:val="superscript"/>
                <w:lang w:val="en-US"/>
              </w:rPr>
              <w:t>c</w:t>
            </w:r>
          </w:p>
        </w:tc>
        <w:tc>
          <w:tcPr>
            <w:tcW w:w="1276" w:type="dxa"/>
          </w:tcPr>
          <w:p w14:paraId="38CB426F" w14:textId="05D58D62" w:rsidR="004E779D" w:rsidRPr="004E779D" w:rsidRDefault="004E779D" w:rsidP="004E779D">
            <w:pPr>
              <w:spacing w:line="240" w:lineRule="auto"/>
              <w:rPr>
                <w:rFonts w:eastAsia="Times New Roman" w:cs="Arial"/>
              </w:rPr>
            </w:pPr>
            <w:r w:rsidRPr="004E779D">
              <w:rPr>
                <w:rFonts w:cs="Arial"/>
              </w:rPr>
              <w:t>11</w:t>
            </w:r>
          </w:p>
        </w:tc>
        <w:tc>
          <w:tcPr>
            <w:tcW w:w="1275" w:type="dxa"/>
          </w:tcPr>
          <w:p w14:paraId="68C0715E" w14:textId="6C9D8E37" w:rsidR="004E779D" w:rsidRPr="004E779D" w:rsidRDefault="004E779D" w:rsidP="004E779D">
            <w:pPr>
              <w:spacing w:line="240" w:lineRule="auto"/>
              <w:rPr>
                <w:rFonts w:eastAsia="Times New Roman" w:cs="Arial"/>
              </w:rPr>
            </w:pPr>
            <w:r w:rsidRPr="004E779D">
              <w:rPr>
                <w:rFonts w:cs="Arial"/>
              </w:rPr>
              <w:t>12</w:t>
            </w:r>
          </w:p>
        </w:tc>
        <w:tc>
          <w:tcPr>
            <w:tcW w:w="1276" w:type="dxa"/>
          </w:tcPr>
          <w:p w14:paraId="39CA0335" w14:textId="7365B4DC" w:rsidR="004E779D" w:rsidRPr="004E779D" w:rsidRDefault="004E779D" w:rsidP="004E779D">
            <w:pPr>
              <w:spacing w:line="240" w:lineRule="auto"/>
              <w:rPr>
                <w:rFonts w:eastAsia="Times New Roman" w:cs="Arial"/>
              </w:rPr>
            </w:pPr>
            <w:r w:rsidRPr="004E779D">
              <w:rPr>
                <w:rFonts w:cs="Arial"/>
              </w:rPr>
              <w:t>16</w:t>
            </w:r>
          </w:p>
        </w:tc>
        <w:tc>
          <w:tcPr>
            <w:tcW w:w="1276" w:type="dxa"/>
          </w:tcPr>
          <w:p w14:paraId="15E9DCDA" w14:textId="1FD856E2" w:rsidR="004E779D" w:rsidRPr="004E779D" w:rsidRDefault="004E779D" w:rsidP="004E779D">
            <w:pPr>
              <w:spacing w:line="240" w:lineRule="auto"/>
              <w:rPr>
                <w:rFonts w:eastAsia="Times New Roman" w:cs="Arial"/>
              </w:rPr>
            </w:pPr>
            <w:r w:rsidRPr="004E779D">
              <w:rPr>
                <w:rFonts w:cs="Arial"/>
              </w:rPr>
              <w:t>6</w:t>
            </w:r>
          </w:p>
        </w:tc>
        <w:tc>
          <w:tcPr>
            <w:tcW w:w="1246" w:type="dxa"/>
          </w:tcPr>
          <w:p w14:paraId="47CA4D71" w14:textId="4989D26D" w:rsidR="004E779D" w:rsidRPr="004E779D" w:rsidRDefault="004E779D" w:rsidP="004E779D">
            <w:pPr>
              <w:spacing w:line="240" w:lineRule="auto"/>
              <w:rPr>
                <w:rFonts w:eastAsia="Times New Roman" w:cs="Arial"/>
              </w:rPr>
            </w:pPr>
            <w:r w:rsidRPr="004E779D">
              <w:rPr>
                <w:rFonts w:cs="Arial"/>
              </w:rPr>
              <w:t>2</w:t>
            </w:r>
          </w:p>
        </w:tc>
      </w:tr>
      <w:tr w:rsidR="004E779D" w14:paraId="127E111E" w14:textId="77777777" w:rsidTr="004E779D">
        <w:tc>
          <w:tcPr>
            <w:tcW w:w="3227" w:type="dxa"/>
          </w:tcPr>
          <w:p w14:paraId="42AD2FC2" w14:textId="77777777" w:rsidR="004E779D" w:rsidRPr="004E779D" w:rsidRDefault="004E779D" w:rsidP="004E779D">
            <w:pPr>
              <w:spacing w:line="240" w:lineRule="auto"/>
              <w:rPr>
                <w:rFonts w:cs="Arial"/>
              </w:rPr>
            </w:pPr>
            <w:r w:rsidRPr="004E779D">
              <w:rPr>
                <w:rFonts w:cs="Arial"/>
              </w:rPr>
              <w:t xml:space="preserve">- генотипна </w:t>
            </w:r>
            <w:r w:rsidRPr="004E779D">
              <w:rPr>
                <w:rFonts w:cs="Arial"/>
                <w:lang w:val="en-US"/>
              </w:rPr>
              <w:t xml:space="preserve">ETVr </w:t>
            </w:r>
            <w:r w:rsidRPr="004E779D">
              <w:rPr>
                <w:rFonts w:cs="Arial"/>
                <w:vertAlign w:val="superscript"/>
              </w:rPr>
              <w:t>с</w:t>
            </w:r>
            <w:r w:rsidRPr="004E779D">
              <w:rPr>
                <w:rFonts w:cs="Arial"/>
                <w:vertAlign w:val="superscript"/>
                <w:lang w:val="en-US"/>
              </w:rPr>
              <w:t xml:space="preserve"> </w:t>
            </w:r>
            <w:r w:rsidRPr="004E779D">
              <w:rPr>
                <w:rFonts w:cs="Arial"/>
              </w:rPr>
              <w:t>с</w:t>
            </w:r>
          </w:p>
          <w:p w14:paraId="0F4B77E1" w14:textId="19D51030" w:rsidR="004E779D" w:rsidRPr="004E779D" w:rsidRDefault="004E779D" w:rsidP="004E779D">
            <w:pPr>
              <w:spacing w:line="240" w:lineRule="auto"/>
              <w:rPr>
                <w:rFonts w:eastAsia="Times New Roman" w:cs="Arial"/>
              </w:rPr>
            </w:pPr>
            <w:r w:rsidRPr="004E779D">
              <w:rPr>
                <w:rFonts w:cs="Arial"/>
              </w:rPr>
              <w:t>вирусологичен пробив</w:t>
            </w:r>
            <w:r w:rsidRPr="004E779D">
              <w:rPr>
                <w:rFonts w:cs="Arial"/>
                <w:vertAlign w:val="superscript"/>
                <w:lang w:val="en-US"/>
              </w:rPr>
              <w:t>d</w:t>
            </w:r>
          </w:p>
        </w:tc>
        <w:tc>
          <w:tcPr>
            <w:tcW w:w="1276" w:type="dxa"/>
          </w:tcPr>
          <w:p w14:paraId="5D42A876" w14:textId="15DA38FD" w:rsidR="004E779D" w:rsidRPr="004E779D" w:rsidRDefault="004E779D" w:rsidP="004E779D">
            <w:pPr>
              <w:spacing w:line="240" w:lineRule="auto"/>
              <w:rPr>
                <w:rFonts w:eastAsia="Times New Roman" w:cs="Arial"/>
              </w:rPr>
            </w:pPr>
            <w:r w:rsidRPr="004E779D">
              <w:rPr>
                <w:rFonts w:cs="Arial"/>
              </w:rPr>
              <w:t>2</w:t>
            </w:r>
            <w:r w:rsidRPr="004E779D">
              <w:rPr>
                <w:rFonts w:cs="Arial"/>
                <w:vertAlign w:val="superscript"/>
                <w:lang w:val="en-US"/>
              </w:rPr>
              <w:t>e</w:t>
            </w:r>
          </w:p>
        </w:tc>
        <w:tc>
          <w:tcPr>
            <w:tcW w:w="1275" w:type="dxa"/>
          </w:tcPr>
          <w:p w14:paraId="614599C5" w14:textId="6FC905DE" w:rsidR="004E779D" w:rsidRPr="004E779D" w:rsidRDefault="004E779D" w:rsidP="004E779D">
            <w:pPr>
              <w:spacing w:line="240" w:lineRule="auto"/>
              <w:rPr>
                <w:rFonts w:eastAsia="Times New Roman" w:cs="Arial"/>
              </w:rPr>
            </w:pPr>
            <w:r w:rsidRPr="004E779D">
              <w:rPr>
                <w:rFonts w:cs="Arial"/>
              </w:rPr>
              <w:t>14</w:t>
            </w:r>
            <w:r w:rsidRPr="004E779D">
              <w:rPr>
                <w:rFonts w:cs="Arial"/>
                <w:vertAlign w:val="superscript"/>
                <w:lang w:val="en-US"/>
              </w:rPr>
              <w:t>e</w:t>
            </w:r>
          </w:p>
        </w:tc>
        <w:tc>
          <w:tcPr>
            <w:tcW w:w="1276" w:type="dxa"/>
          </w:tcPr>
          <w:p w14:paraId="462911C7" w14:textId="0DF30C30" w:rsidR="004E779D" w:rsidRPr="004E779D" w:rsidRDefault="004E779D" w:rsidP="004E779D">
            <w:pPr>
              <w:spacing w:line="240" w:lineRule="auto"/>
              <w:rPr>
                <w:rFonts w:eastAsia="Times New Roman" w:cs="Arial"/>
              </w:rPr>
            </w:pPr>
            <w:r w:rsidRPr="004E779D">
              <w:rPr>
                <w:rFonts w:cs="Arial"/>
              </w:rPr>
              <w:t>13</w:t>
            </w:r>
            <w:r w:rsidRPr="004E779D">
              <w:rPr>
                <w:rFonts w:cs="Arial"/>
                <w:vertAlign w:val="superscript"/>
              </w:rPr>
              <w:t>е</w:t>
            </w:r>
          </w:p>
        </w:tc>
        <w:tc>
          <w:tcPr>
            <w:tcW w:w="1276" w:type="dxa"/>
          </w:tcPr>
          <w:p w14:paraId="309BD8C2" w14:textId="40274EB3" w:rsidR="004E779D" w:rsidRPr="004E779D" w:rsidRDefault="004E779D" w:rsidP="004E779D">
            <w:pPr>
              <w:spacing w:line="240" w:lineRule="auto"/>
              <w:rPr>
                <w:rFonts w:eastAsia="Times New Roman" w:cs="Arial"/>
              </w:rPr>
            </w:pPr>
            <w:r w:rsidRPr="004E779D">
              <w:rPr>
                <w:rFonts w:cs="Arial"/>
              </w:rPr>
              <w:t>9</w:t>
            </w:r>
            <w:r w:rsidRPr="004E779D">
              <w:rPr>
                <w:rFonts w:cs="Arial"/>
                <w:vertAlign w:val="superscript"/>
              </w:rPr>
              <w:t>е</w:t>
            </w:r>
          </w:p>
        </w:tc>
        <w:tc>
          <w:tcPr>
            <w:tcW w:w="1246" w:type="dxa"/>
          </w:tcPr>
          <w:p w14:paraId="65D75FAB" w14:textId="3F030AE2" w:rsidR="004E779D" w:rsidRPr="004E779D" w:rsidRDefault="004E779D" w:rsidP="004E779D">
            <w:pPr>
              <w:spacing w:line="240" w:lineRule="auto"/>
              <w:rPr>
                <w:rFonts w:eastAsia="Times New Roman" w:cs="Arial"/>
              </w:rPr>
            </w:pPr>
            <w:r w:rsidRPr="004E779D">
              <w:rPr>
                <w:rFonts w:cs="Arial"/>
              </w:rPr>
              <w:t>1</w:t>
            </w:r>
            <w:r w:rsidRPr="004E779D">
              <w:rPr>
                <w:rFonts w:cs="Arial"/>
                <w:vertAlign w:val="superscript"/>
                <w:lang w:val="en-US"/>
              </w:rPr>
              <w:t>e</w:t>
            </w:r>
          </w:p>
        </w:tc>
      </w:tr>
      <w:tr w:rsidR="004E779D" w14:paraId="7FCE8C0C" w14:textId="77777777" w:rsidTr="004E779D">
        <w:tc>
          <w:tcPr>
            <w:tcW w:w="3227" w:type="dxa"/>
          </w:tcPr>
          <w:p w14:paraId="09637841" w14:textId="5D6470A2" w:rsidR="004E779D" w:rsidRPr="004E779D" w:rsidRDefault="004E779D" w:rsidP="004E779D">
            <w:pPr>
              <w:spacing w:line="240" w:lineRule="auto"/>
              <w:rPr>
                <w:rFonts w:eastAsia="Times New Roman" w:cs="Arial"/>
              </w:rPr>
            </w:pPr>
            <w:r w:rsidRPr="004E779D">
              <w:rPr>
                <w:rFonts w:cs="Arial"/>
                <w:b/>
                <w:bCs/>
              </w:rPr>
              <w:t>Кумулативна вероятност от:</w:t>
            </w:r>
          </w:p>
        </w:tc>
        <w:tc>
          <w:tcPr>
            <w:tcW w:w="1276" w:type="dxa"/>
          </w:tcPr>
          <w:p w14:paraId="48090C9C" w14:textId="77777777" w:rsidR="004E779D" w:rsidRPr="004E779D" w:rsidRDefault="004E779D" w:rsidP="004E779D">
            <w:pPr>
              <w:spacing w:line="240" w:lineRule="auto"/>
              <w:rPr>
                <w:rFonts w:eastAsia="Times New Roman" w:cs="Arial"/>
              </w:rPr>
            </w:pPr>
          </w:p>
        </w:tc>
        <w:tc>
          <w:tcPr>
            <w:tcW w:w="1275" w:type="dxa"/>
          </w:tcPr>
          <w:p w14:paraId="1E35A2F4" w14:textId="77777777" w:rsidR="004E779D" w:rsidRPr="004E779D" w:rsidRDefault="004E779D" w:rsidP="004E779D">
            <w:pPr>
              <w:spacing w:line="240" w:lineRule="auto"/>
              <w:rPr>
                <w:rFonts w:eastAsia="Times New Roman" w:cs="Arial"/>
              </w:rPr>
            </w:pPr>
          </w:p>
        </w:tc>
        <w:tc>
          <w:tcPr>
            <w:tcW w:w="1276" w:type="dxa"/>
          </w:tcPr>
          <w:p w14:paraId="0AB91BCC" w14:textId="77777777" w:rsidR="004E779D" w:rsidRPr="004E779D" w:rsidRDefault="004E779D" w:rsidP="004E779D">
            <w:pPr>
              <w:spacing w:line="240" w:lineRule="auto"/>
              <w:rPr>
                <w:rFonts w:eastAsia="Times New Roman" w:cs="Arial"/>
              </w:rPr>
            </w:pPr>
          </w:p>
        </w:tc>
        <w:tc>
          <w:tcPr>
            <w:tcW w:w="1276" w:type="dxa"/>
          </w:tcPr>
          <w:p w14:paraId="7A6C1A93" w14:textId="77777777" w:rsidR="004E779D" w:rsidRPr="004E779D" w:rsidRDefault="004E779D" w:rsidP="004E779D">
            <w:pPr>
              <w:spacing w:line="240" w:lineRule="auto"/>
              <w:rPr>
                <w:rFonts w:eastAsia="Times New Roman" w:cs="Arial"/>
              </w:rPr>
            </w:pPr>
          </w:p>
        </w:tc>
        <w:tc>
          <w:tcPr>
            <w:tcW w:w="1246" w:type="dxa"/>
          </w:tcPr>
          <w:p w14:paraId="204485D2" w14:textId="77777777" w:rsidR="004E779D" w:rsidRPr="004E779D" w:rsidRDefault="004E779D" w:rsidP="004E779D">
            <w:pPr>
              <w:spacing w:line="240" w:lineRule="auto"/>
              <w:rPr>
                <w:rFonts w:eastAsia="Times New Roman" w:cs="Arial"/>
              </w:rPr>
            </w:pPr>
          </w:p>
        </w:tc>
      </w:tr>
      <w:tr w:rsidR="004E779D" w14:paraId="3C43D804" w14:textId="77777777" w:rsidTr="004E779D">
        <w:tc>
          <w:tcPr>
            <w:tcW w:w="3227" w:type="dxa"/>
          </w:tcPr>
          <w:p w14:paraId="31DFA27E" w14:textId="4F929B10" w:rsidR="004E779D" w:rsidRPr="004E779D" w:rsidRDefault="004E779D" w:rsidP="004E779D">
            <w:pPr>
              <w:spacing w:line="240" w:lineRule="auto"/>
              <w:rPr>
                <w:rFonts w:eastAsia="Times New Roman" w:cs="Arial"/>
              </w:rPr>
            </w:pPr>
            <w:r w:rsidRPr="004E779D">
              <w:rPr>
                <w:rFonts w:cs="Arial"/>
              </w:rPr>
              <w:t xml:space="preserve">- появяваща се генотипна </w:t>
            </w:r>
            <w:r w:rsidRPr="004E779D">
              <w:rPr>
                <w:rFonts w:cs="Arial"/>
                <w:lang w:val="en-US"/>
              </w:rPr>
              <w:t>ETVr</w:t>
            </w:r>
            <w:r w:rsidRPr="004E779D">
              <w:rPr>
                <w:rFonts w:cs="Arial"/>
                <w:vertAlign w:val="superscript"/>
                <w:lang w:val="en-US"/>
              </w:rPr>
              <w:t>c</w:t>
            </w:r>
          </w:p>
        </w:tc>
        <w:tc>
          <w:tcPr>
            <w:tcW w:w="1276" w:type="dxa"/>
          </w:tcPr>
          <w:p w14:paraId="6B69989B" w14:textId="1C175852" w:rsidR="004E779D" w:rsidRPr="004E779D" w:rsidRDefault="004E779D" w:rsidP="004E779D">
            <w:pPr>
              <w:spacing w:line="240" w:lineRule="auto"/>
              <w:rPr>
                <w:rFonts w:eastAsia="Times New Roman" w:cs="Arial"/>
              </w:rPr>
            </w:pPr>
            <w:r w:rsidRPr="004E779D">
              <w:rPr>
                <w:rFonts w:cs="Arial"/>
              </w:rPr>
              <w:t>6,2%</w:t>
            </w:r>
          </w:p>
        </w:tc>
        <w:tc>
          <w:tcPr>
            <w:tcW w:w="1275" w:type="dxa"/>
          </w:tcPr>
          <w:p w14:paraId="4D107489" w14:textId="46A406DF" w:rsidR="004E779D" w:rsidRPr="004E779D" w:rsidRDefault="004E779D" w:rsidP="004E779D">
            <w:pPr>
              <w:spacing w:line="240" w:lineRule="auto"/>
              <w:rPr>
                <w:rFonts w:eastAsia="Times New Roman" w:cs="Arial"/>
              </w:rPr>
            </w:pPr>
            <w:r w:rsidRPr="004E779D">
              <w:rPr>
                <w:rFonts w:cs="Arial"/>
              </w:rPr>
              <w:t>15%</w:t>
            </w:r>
          </w:p>
        </w:tc>
        <w:tc>
          <w:tcPr>
            <w:tcW w:w="1276" w:type="dxa"/>
          </w:tcPr>
          <w:p w14:paraId="0B5379EC" w14:textId="1DA884FC" w:rsidR="004E779D" w:rsidRPr="004E779D" w:rsidRDefault="004E779D" w:rsidP="004E779D">
            <w:pPr>
              <w:spacing w:line="240" w:lineRule="auto"/>
              <w:rPr>
                <w:rFonts w:eastAsia="Times New Roman" w:cs="Arial"/>
              </w:rPr>
            </w:pPr>
            <w:r w:rsidRPr="004E779D">
              <w:rPr>
                <w:rFonts w:cs="Arial"/>
              </w:rPr>
              <w:t>36,3%</w:t>
            </w:r>
          </w:p>
        </w:tc>
        <w:tc>
          <w:tcPr>
            <w:tcW w:w="1276" w:type="dxa"/>
          </w:tcPr>
          <w:p w14:paraId="1C791785" w14:textId="65028791" w:rsidR="004E779D" w:rsidRPr="004E779D" w:rsidRDefault="004E779D" w:rsidP="004E779D">
            <w:pPr>
              <w:spacing w:line="240" w:lineRule="auto"/>
              <w:rPr>
                <w:rFonts w:eastAsia="Times New Roman" w:cs="Arial"/>
              </w:rPr>
            </w:pPr>
            <w:r w:rsidRPr="004E779D">
              <w:rPr>
                <w:rFonts w:cs="Arial"/>
              </w:rPr>
              <w:t>46,6%</w:t>
            </w:r>
          </w:p>
        </w:tc>
        <w:tc>
          <w:tcPr>
            <w:tcW w:w="1246" w:type="dxa"/>
          </w:tcPr>
          <w:p w14:paraId="6C88196A" w14:textId="2D17C594" w:rsidR="004E779D" w:rsidRPr="004E779D" w:rsidRDefault="004E779D" w:rsidP="004E779D">
            <w:pPr>
              <w:spacing w:line="240" w:lineRule="auto"/>
              <w:rPr>
                <w:rFonts w:eastAsia="Times New Roman" w:cs="Arial"/>
              </w:rPr>
            </w:pPr>
            <w:r w:rsidRPr="004E779D">
              <w:rPr>
                <w:rFonts w:cs="Arial"/>
              </w:rPr>
              <w:t>51,45%</w:t>
            </w:r>
          </w:p>
        </w:tc>
      </w:tr>
      <w:tr w:rsidR="004E779D" w14:paraId="425A3F11" w14:textId="77777777" w:rsidTr="004E779D">
        <w:tc>
          <w:tcPr>
            <w:tcW w:w="3227" w:type="dxa"/>
          </w:tcPr>
          <w:p w14:paraId="195B5FF9" w14:textId="5025A75E" w:rsidR="004E779D" w:rsidRPr="004E779D" w:rsidRDefault="004E779D" w:rsidP="004E779D">
            <w:pPr>
              <w:rPr>
                <w:rFonts w:cs="Arial"/>
              </w:rPr>
            </w:pPr>
            <w:r w:rsidRPr="004E779D">
              <w:rPr>
                <w:rFonts w:cs="Arial"/>
              </w:rPr>
              <w:t xml:space="preserve">- генотипна </w:t>
            </w:r>
            <w:r w:rsidRPr="004E779D">
              <w:rPr>
                <w:rFonts w:cs="Arial"/>
                <w:lang w:val="en-US"/>
              </w:rPr>
              <w:t>ETVr</w:t>
            </w:r>
            <w:r w:rsidRPr="004E779D">
              <w:rPr>
                <w:rFonts w:cs="Arial"/>
                <w:vertAlign w:val="superscript"/>
              </w:rPr>
              <w:t>с</w:t>
            </w:r>
            <w:r w:rsidRPr="004E779D">
              <w:rPr>
                <w:rFonts w:cs="Arial"/>
                <w:lang w:val="ru-RU"/>
              </w:rPr>
              <w:t xml:space="preserve"> </w:t>
            </w:r>
            <w:r w:rsidRPr="004E779D">
              <w:rPr>
                <w:rFonts w:cs="Arial"/>
              </w:rPr>
              <w:t>с</w:t>
            </w:r>
          </w:p>
          <w:p w14:paraId="11C2E97F" w14:textId="617DA02F" w:rsidR="004E779D" w:rsidRPr="004E779D" w:rsidRDefault="004E779D" w:rsidP="004E779D">
            <w:pPr>
              <w:spacing w:line="240" w:lineRule="auto"/>
              <w:rPr>
                <w:rFonts w:eastAsia="Times New Roman" w:cs="Arial"/>
              </w:rPr>
            </w:pPr>
            <w:r w:rsidRPr="004E779D">
              <w:rPr>
                <w:rFonts w:cs="Arial"/>
              </w:rPr>
              <w:t>вирусологичен пробив</w:t>
            </w:r>
            <w:r w:rsidRPr="004E779D">
              <w:rPr>
                <w:rFonts w:cs="Arial"/>
                <w:vertAlign w:val="superscript"/>
                <w:lang w:val="en-US"/>
              </w:rPr>
              <w:t>d</w:t>
            </w:r>
          </w:p>
        </w:tc>
        <w:tc>
          <w:tcPr>
            <w:tcW w:w="1276" w:type="dxa"/>
          </w:tcPr>
          <w:p w14:paraId="7D847105" w14:textId="2B7704EA" w:rsidR="004E779D" w:rsidRPr="004E779D" w:rsidRDefault="004E779D" w:rsidP="004E779D">
            <w:pPr>
              <w:spacing w:line="240" w:lineRule="auto"/>
              <w:rPr>
                <w:rFonts w:eastAsia="Times New Roman" w:cs="Arial"/>
              </w:rPr>
            </w:pPr>
            <w:r w:rsidRPr="004E779D">
              <w:rPr>
                <w:rFonts w:cs="Arial"/>
              </w:rPr>
              <w:t>1,1%</w:t>
            </w:r>
            <w:r w:rsidRPr="004E779D">
              <w:rPr>
                <w:rFonts w:cs="Arial"/>
                <w:vertAlign w:val="superscript"/>
              </w:rPr>
              <w:t>е</w:t>
            </w:r>
          </w:p>
        </w:tc>
        <w:tc>
          <w:tcPr>
            <w:tcW w:w="1275" w:type="dxa"/>
          </w:tcPr>
          <w:p w14:paraId="5CF0BC62" w14:textId="100456AF" w:rsidR="004E779D" w:rsidRPr="004E779D" w:rsidRDefault="004E779D" w:rsidP="004E779D">
            <w:pPr>
              <w:spacing w:line="240" w:lineRule="auto"/>
              <w:rPr>
                <w:rFonts w:eastAsia="Times New Roman" w:cs="Arial"/>
              </w:rPr>
            </w:pPr>
            <w:r w:rsidRPr="004E779D">
              <w:rPr>
                <w:rFonts w:cs="Arial"/>
              </w:rPr>
              <w:t xml:space="preserve">10,7% </w:t>
            </w:r>
            <w:r w:rsidRPr="004E779D">
              <w:rPr>
                <w:rFonts w:cs="Arial"/>
                <w:vertAlign w:val="superscript"/>
              </w:rPr>
              <w:t>е</w:t>
            </w:r>
          </w:p>
        </w:tc>
        <w:tc>
          <w:tcPr>
            <w:tcW w:w="1276" w:type="dxa"/>
          </w:tcPr>
          <w:p w14:paraId="1A77E747" w14:textId="117E2A9B" w:rsidR="004E779D" w:rsidRPr="004E779D" w:rsidRDefault="004E779D" w:rsidP="004E779D">
            <w:pPr>
              <w:spacing w:line="240" w:lineRule="auto"/>
              <w:rPr>
                <w:rFonts w:eastAsia="Times New Roman" w:cs="Arial"/>
              </w:rPr>
            </w:pPr>
            <w:r w:rsidRPr="004E779D">
              <w:rPr>
                <w:rFonts w:cs="Arial"/>
              </w:rPr>
              <w:t>27%</w:t>
            </w:r>
            <w:r w:rsidRPr="004E779D">
              <w:rPr>
                <w:rFonts w:cs="Arial"/>
                <w:vertAlign w:val="superscript"/>
              </w:rPr>
              <w:t>е</w:t>
            </w:r>
          </w:p>
        </w:tc>
        <w:tc>
          <w:tcPr>
            <w:tcW w:w="1276" w:type="dxa"/>
          </w:tcPr>
          <w:p w14:paraId="04F042F2" w14:textId="3035242C" w:rsidR="004E779D" w:rsidRPr="004E779D" w:rsidRDefault="004E779D" w:rsidP="004E779D">
            <w:pPr>
              <w:spacing w:line="240" w:lineRule="auto"/>
              <w:rPr>
                <w:rFonts w:eastAsia="Times New Roman" w:cs="Arial"/>
              </w:rPr>
            </w:pPr>
            <w:r w:rsidRPr="004E779D">
              <w:rPr>
                <w:rFonts w:cs="Arial"/>
              </w:rPr>
              <w:t>41,3%</w:t>
            </w:r>
            <w:r w:rsidRPr="004E779D">
              <w:rPr>
                <w:rFonts w:cs="Arial"/>
                <w:vertAlign w:val="superscript"/>
              </w:rPr>
              <w:t>е</w:t>
            </w:r>
          </w:p>
        </w:tc>
        <w:tc>
          <w:tcPr>
            <w:tcW w:w="1246" w:type="dxa"/>
          </w:tcPr>
          <w:p w14:paraId="10450194" w14:textId="01B977BE" w:rsidR="004E779D" w:rsidRPr="004E779D" w:rsidRDefault="004E779D" w:rsidP="004E779D">
            <w:pPr>
              <w:spacing w:line="240" w:lineRule="auto"/>
              <w:rPr>
                <w:rFonts w:eastAsia="Times New Roman" w:cs="Arial"/>
              </w:rPr>
            </w:pPr>
            <w:r w:rsidRPr="004E779D">
              <w:rPr>
                <w:rFonts w:cs="Arial"/>
              </w:rPr>
              <w:t>43,6%</w:t>
            </w:r>
            <w:r w:rsidRPr="004E779D">
              <w:rPr>
                <w:rFonts w:cs="Arial"/>
                <w:vertAlign w:val="superscript"/>
              </w:rPr>
              <w:t>е</w:t>
            </w:r>
          </w:p>
        </w:tc>
      </w:tr>
    </w:tbl>
    <w:p w14:paraId="0438784E" w14:textId="76BAAF47" w:rsidR="004E779D" w:rsidRPr="004E779D" w:rsidRDefault="004E779D" w:rsidP="004E779D">
      <w:pPr>
        <w:spacing w:line="240" w:lineRule="auto"/>
        <w:rPr>
          <w:rFonts w:eastAsia="Times New Roman" w:cs="Arial"/>
        </w:rPr>
      </w:pPr>
      <w:r w:rsidRPr="004E779D">
        <w:rPr>
          <w:rFonts w:eastAsia="Times New Roman" w:cs="Arial"/>
          <w:color w:val="000000"/>
          <w:vertAlign w:val="superscript"/>
          <w:lang w:val="en-US"/>
        </w:rPr>
        <w:t>a</w:t>
      </w:r>
      <w:r w:rsidRPr="004E779D">
        <w:rPr>
          <w:rFonts w:eastAsia="Times New Roman" w:cs="Arial"/>
          <w:color w:val="000000"/>
          <w:lang w:eastAsia="bg-BG"/>
        </w:rPr>
        <w:t xml:space="preserve">Резултатите отразяват прилагането на лечение с комбинация ентекавир-ламивудин (последвано от дългосрочно лечение с ентекавир) за средно 13 седмици при 48 от 80 пациенти през година 3, средно 38 седмици при 10 от 52 пациенти през година 4 и за 16 седмици при 1 от 33 пациенти през година 5 от </w:t>
      </w:r>
      <w:r w:rsidRPr="004E779D">
        <w:rPr>
          <w:rFonts w:eastAsia="Times New Roman" w:cs="Arial"/>
          <w:color w:val="000000"/>
          <w:lang w:val="en-US"/>
        </w:rPr>
        <w:t>rollover</w:t>
      </w:r>
      <w:r w:rsidRPr="004E779D">
        <w:rPr>
          <w:rFonts w:eastAsia="Times New Roman" w:cs="Arial"/>
          <w:color w:val="000000"/>
          <w:lang w:val="ru-RU"/>
        </w:rPr>
        <w:t xml:space="preserve"> </w:t>
      </w:r>
      <w:r w:rsidRPr="004E779D">
        <w:rPr>
          <w:rFonts w:eastAsia="Times New Roman" w:cs="Arial"/>
          <w:color w:val="000000"/>
          <w:lang w:eastAsia="bg-BG"/>
        </w:rPr>
        <w:t>проучване.</w:t>
      </w:r>
    </w:p>
    <w:p w14:paraId="056C0CE6" w14:textId="77777777" w:rsidR="004E779D" w:rsidRPr="004E779D" w:rsidRDefault="004E779D" w:rsidP="004E779D">
      <w:pPr>
        <w:spacing w:line="240" w:lineRule="auto"/>
        <w:rPr>
          <w:rFonts w:eastAsia="Times New Roman" w:cs="Arial"/>
        </w:rPr>
      </w:pPr>
      <w:proofErr w:type="gramStart"/>
      <w:r w:rsidRPr="004E779D">
        <w:rPr>
          <w:rFonts w:eastAsia="Times New Roman" w:cs="Arial"/>
          <w:color w:val="000000"/>
          <w:vertAlign w:val="superscript"/>
          <w:lang w:val="en-US"/>
        </w:rPr>
        <w:t>b</w:t>
      </w:r>
      <w:r w:rsidRPr="004E779D">
        <w:rPr>
          <w:rFonts w:eastAsia="Times New Roman" w:cs="Arial"/>
          <w:color w:val="000000"/>
          <w:lang w:eastAsia="bg-BG"/>
        </w:rPr>
        <w:t>Включва</w:t>
      </w:r>
      <w:proofErr w:type="gramEnd"/>
      <w:r w:rsidRPr="004E779D">
        <w:rPr>
          <w:rFonts w:eastAsia="Times New Roman" w:cs="Arial"/>
          <w:color w:val="000000"/>
          <w:lang w:eastAsia="bg-BG"/>
        </w:rPr>
        <w:t xml:space="preserve"> пациенти с поне едно </w:t>
      </w:r>
      <w:r w:rsidRPr="004E779D">
        <w:rPr>
          <w:rFonts w:eastAsia="Times New Roman" w:cs="Arial"/>
          <w:color w:val="000000"/>
          <w:lang w:val="en-US"/>
        </w:rPr>
        <w:t>HBV</w:t>
      </w:r>
      <w:r w:rsidRPr="004E779D">
        <w:rPr>
          <w:rFonts w:eastAsia="Times New Roman" w:cs="Arial"/>
          <w:color w:val="000000"/>
          <w:lang w:val="ru-RU"/>
        </w:rPr>
        <w:t xml:space="preserve"> </w:t>
      </w:r>
      <w:r w:rsidRPr="004E779D">
        <w:rPr>
          <w:rFonts w:eastAsia="Times New Roman" w:cs="Arial"/>
          <w:color w:val="000000"/>
          <w:lang w:eastAsia="bg-BG"/>
        </w:rPr>
        <w:t xml:space="preserve">ДНК измерване по време на лечението чрез </w:t>
      </w:r>
      <w:r w:rsidRPr="004E779D">
        <w:rPr>
          <w:rFonts w:eastAsia="Times New Roman" w:cs="Arial"/>
          <w:color w:val="000000"/>
          <w:lang w:val="en-US"/>
        </w:rPr>
        <w:t>PCR</w:t>
      </w:r>
      <w:r w:rsidRPr="004E779D">
        <w:rPr>
          <w:rFonts w:eastAsia="Times New Roman" w:cs="Arial"/>
          <w:color w:val="000000"/>
          <w:lang w:val="ru-RU"/>
        </w:rPr>
        <w:t xml:space="preserve"> </w:t>
      </w:r>
      <w:r w:rsidRPr="004E779D">
        <w:rPr>
          <w:rFonts w:eastAsia="Times New Roman" w:cs="Arial"/>
          <w:color w:val="000000"/>
          <w:lang w:eastAsia="bg-BG"/>
        </w:rPr>
        <w:t>на или след седмица 24 до седмица 58 (година 1), след седмица 58 до седмица 102 (година 2), след седмица 102 до седмица 156 (година 3), след седмица 156 до</w:t>
      </w:r>
    </w:p>
    <w:p w14:paraId="1D378EC0" w14:textId="77777777" w:rsidR="004E779D" w:rsidRPr="004E779D" w:rsidRDefault="004E779D" w:rsidP="004E779D">
      <w:pPr>
        <w:spacing w:line="240" w:lineRule="auto"/>
        <w:rPr>
          <w:rFonts w:eastAsia="Times New Roman" w:cs="Arial"/>
        </w:rPr>
      </w:pPr>
      <w:r w:rsidRPr="004E779D">
        <w:rPr>
          <w:rFonts w:eastAsia="Times New Roman" w:cs="Arial"/>
          <w:color w:val="000000"/>
          <w:lang w:eastAsia="bg-BG"/>
        </w:rPr>
        <w:t>седмица 204 (година 4) или след седмица 204 до седмица 252 (година 5).</w:t>
      </w:r>
    </w:p>
    <w:p w14:paraId="776C2241" w14:textId="77777777" w:rsidR="004E779D" w:rsidRPr="004E779D" w:rsidRDefault="004E779D" w:rsidP="004E779D">
      <w:pPr>
        <w:spacing w:line="240" w:lineRule="auto"/>
        <w:rPr>
          <w:rFonts w:eastAsia="Times New Roman" w:cs="Arial"/>
        </w:rPr>
      </w:pPr>
      <w:r w:rsidRPr="004E779D">
        <w:rPr>
          <w:rFonts w:eastAsia="Times New Roman" w:cs="Arial"/>
          <w:color w:val="000000"/>
          <w:vertAlign w:val="superscript"/>
          <w:lang w:eastAsia="bg-BG"/>
        </w:rPr>
        <w:t>с</w:t>
      </w:r>
      <w:r w:rsidRPr="004E779D">
        <w:rPr>
          <w:rFonts w:eastAsia="Times New Roman" w:cs="Arial"/>
          <w:color w:val="000000"/>
          <w:lang w:eastAsia="bg-BG"/>
        </w:rPr>
        <w:t xml:space="preserve"> Пациентите също имат </w:t>
      </w:r>
      <w:r w:rsidRPr="004E779D">
        <w:rPr>
          <w:rFonts w:eastAsia="Times New Roman" w:cs="Arial"/>
          <w:color w:val="000000"/>
          <w:lang w:val="en-US"/>
        </w:rPr>
        <w:t>LVDr</w:t>
      </w:r>
      <w:r w:rsidRPr="004E779D">
        <w:rPr>
          <w:rFonts w:eastAsia="Times New Roman" w:cs="Arial"/>
          <w:color w:val="000000"/>
          <w:lang w:val="ru-RU"/>
        </w:rPr>
        <w:t xml:space="preserve"> </w:t>
      </w:r>
      <w:r w:rsidRPr="004E779D">
        <w:rPr>
          <w:rFonts w:eastAsia="Times New Roman" w:cs="Arial"/>
          <w:color w:val="000000"/>
          <w:lang w:eastAsia="bg-BG"/>
        </w:rPr>
        <w:t>замени.</w:t>
      </w:r>
    </w:p>
    <w:p w14:paraId="0A6B14E6" w14:textId="77777777" w:rsidR="004E779D" w:rsidRPr="004E779D" w:rsidRDefault="004E779D" w:rsidP="004E779D">
      <w:pPr>
        <w:spacing w:line="240" w:lineRule="auto"/>
        <w:rPr>
          <w:rFonts w:eastAsia="Times New Roman" w:cs="Arial"/>
        </w:rPr>
      </w:pPr>
      <w:proofErr w:type="gramStart"/>
      <w:r w:rsidRPr="004E779D">
        <w:rPr>
          <w:rFonts w:eastAsia="Times New Roman" w:cs="Arial"/>
          <w:color w:val="000000"/>
          <w:vertAlign w:val="superscript"/>
          <w:lang w:val="en-US"/>
        </w:rPr>
        <w:t>d</w:t>
      </w:r>
      <w:proofErr w:type="gramEnd"/>
      <w:r w:rsidRPr="004E779D">
        <w:rPr>
          <w:rFonts w:eastAsia="Times New Roman" w:cs="Arial"/>
          <w:color w:val="000000"/>
          <w:lang w:val="ru-RU"/>
        </w:rPr>
        <w:t xml:space="preserve"> </w:t>
      </w:r>
      <w:r w:rsidRPr="004E779D">
        <w:rPr>
          <w:rFonts w:eastAsia="Times New Roman" w:cs="Arial"/>
          <w:color w:val="000000"/>
          <w:lang w:eastAsia="bg-BG"/>
        </w:rPr>
        <w:t xml:space="preserve">≥1 </w:t>
      </w:r>
      <w:r w:rsidRPr="004E779D">
        <w:rPr>
          <w:rFonts w:eastAsia="Times New Roman" w:cs="Arial"/>
          <w:color w:val="000000"/>
          <w:lang w:val="en-US"/>
        </w:rPr>
        <w:t>log</w:t>
      </w:r>
      <w:r w:rsidRPr="004E779D">
        <w:rPr>
          <w:rFonts w:eastAsia="Times New Roman" w:cs="Arial"/>
          <w:color w:val="000000"/>
          <w:vertAlign w:val="subscript"/>
          <w:lang w:val="ru-RU"/>
        </w:rPr>
        <w:t>10</w:t>
      </w:r>
      <w:r w:rsidRPr="004E779D">
        <w:rPr>
          <w:rFonts w:eastAsia="Times New Roman" w:cs="Arial"/>
          <w:color w:val="000000"/>
          <w:lang w:val="ru-RU"/>
        </w:rPr>
        <w:t xml:space="preserve"> </w:t>
      </w:r>
      <w:r w:rsidRPr="004E779D">
        <w:rPr>
          <w:rFonts w:eastAsia="Times New Roman" w:cs="Arial"/>
          <w:color w:val="000000"/>
          <w:lang w:eastAsia="bg-BG"/>
        </w:rPr>
        <w:t xml:space="preserve">нарастване над надир в </w:t>
      </w:r>
      <w:r w:rsidRPr="004E779D">
        <w:rPr>
          <w:rFonts w:eastAsia="Times New Roman" w:cs="Arial"/>
          <w:color w:val="000000"/>
          <w:lang w:val="en-US"/>
        </w:rPr>
        <w:t>HBV</w:t>
      </w:r>
      <w:r w:rsidRPr="004E779D">
        <w:rPr>
          <w:rFonts w:eastAsia="Times New Roman" w:cs="Arial"/>
          <w:color w:val="000000"/>
          <w:lang w:val="ru-RU"/>
        </w:rPr>
        <w:t xml:space="preserve"> </w:t>
      </w:r>
      <w:r w:rsidRPr="004E779D">
        <w:rPr>
          <w:rFonts w:eastAsia="Times New Roman" w:cs="Arial"/>
          <w:color w:val="000000"/>
          <w:lang w:eastAsia="bg-BG"/>
        </w:rPr>
        <w:t xml:space="preserve">ДНК чрез </w:t>
      </w:r>
      <w:r w:rsidRPr="004E779D">
        <w:rPr>
          <w:rFonts w:eastAsia="Times New Roman" w:cs="Arial"/>
          <w:color w:val="000000"/>
          <w:lang w:val="en-US"/>
        </w:rPr>
        <w:t>PCR</w:t>
      </w:r>
      <w:r w:rsidRPr="004E779D">
        <w:rPr>
          <w:rFonts w:eastAsia="Times New Roman" w:cs="Arial"/>
          <w:color w:val="000000"/>
          <w:lang w:val="ru-RU"/>
        </w:rPr>
        <w:t xml:space="preserve">, </w:t>
      </w:r>
      <w:r w:rsidRPr="004E779D">
        <w:rPr>
          <w:rFonts w:eastAsia="Times New Roman" w:cs="Arial"/>
          <w:color w:val="000000"/>
          <w:lang w:eastAsia="bg-BG"/>
        </w:rPr>
        <w:t>потвърдено с последващи измервания или в точката в края на времевия прозорец.</w:t>
      </w:r>
    </w:p>
    <w:p w14:paraId="490D63A4" w14:textId="77777777" w:rsidR="004E779D" w:rsidRPr="004E779D" w:rsidRDefault="004E779D" w:rsidP="004E779D">
      <w:pPr>
        <w:spacing w:line="240" w:lineRule="auto"/>
        <w:rPr>
          <w:rFonts w:eastAsia="Times New Roman" w:cs="Arial"/>
        </w:rPr>
      </w:pPr>
      <w:r w:rsidRPr="004E779D">
        <w:rPr>
          <w:rFonts w:eastAsia="Times New Roman" w:cs="Arial"/>
          <w:color w:val="000000"/>
          <w:vertAlign w:val="superscript"/>
          <w:lang w:eastAsia="bg-BG"/>
        </w:rPr>
        <w:t>е</w:t>
      </w:r>
      <w:r w:rsidRPr="004E779D">
        <w:rPr>
          <w:rFonts w:eastAsia="Times New Roman" w:cs="Arial"/>
          <w:color w:val="000000"/>
          <w:lang w:eastAsia="bg-BG"/>
        </w:rPr>
        <w:t xml:space="preserve"> </w:t>
      </w:r>
      <w:r w:rsidRPr="004E779D">
        <w:rPr>
          <w:rFonts w:eastAsia="Times New Roman" w:cs="Arial"/>
          <w:color w:val="000000"/>
          <w:lang w:val="en-US"/>
        </w:rPr>
        <w:t>ETVr</w:t>
      </w:r>
      <w:r w:rsidRPr="004E779D">
        <w:rPr>
          <w:rFonts w:eastAsia="Times New Roman" w:cs="Arial"/>
          <w:color w:val="000000"/>
          <w:lang w:val="ru-RU"/>
        </w:rPr>
        <w:t xml:space="preserve">, </w:t>
      </w:r>
      <w:r w:rsidRPr="004E779D">
        <w:rPr>
          <w:rFonts w:eastAsia="Times New Roman" w:cs="Arial"/>
          <w:color w:val="000000"/>
          <w:lang w:eastAsia="bg-BG"/>
        </w:rPr>
        <w:t>която се появява през която и да е година; вирусологичен пробив в определена година.</w:t>
      </w:r>
    </w:p>
    <w:p w14:paraId="130F1762" w14:textId="77777777" w:rsidR="004E779D" w:rsidRPr="004E779D" w:rsidRDefault="004E779D" w:rsidP="004E779D">
      <w:pPr>
        <w:spacing w:line="240" w:lineRule="auto"/>
        <w:rPr>
          <w:rFonts w:eastAsia="Times New Roman" w:cs="Arial"/>
          <w:color w:val="000000"/>
          <w:lang w:eastAsia="bg-BG"/>
        </w:rPr>
      </w:pPr>
    </w:p>
    <w:p w14:paraId="21B46B3D" w14:textId="72E33FAF" w:rsidR="004E779D" w:rsidRPr="004E779D" w:rsidRDefault="004E779D" w:rsidP="004E779D">
      <w:pPr>
        <w:spacing w:line="240" w:lineRule="auto"/>
        <w:rPr>
          <w:rFonts w:eastAsia="Times New Roman" w:cs="Arial"/>
        </w:rPr>
      </w:pPr>
      <w:r w:rsidRPr="004E779D">
        <w:rPr>
          <w:rFonts w:eastAsia="Times New Roman" w:cs="Arial"/>
          <w:color w:val="000000"/>
          <w:lang w:eastAsia="bg-BG"/>
        </w:rPr>
        <w:t xml:space="preserve">Сред резистентните към ламивудин пациенти с изходна </w:t>
      </w:r>
      <w:r w:rsidRPr="004E779D">
        <w:rPr>
          <w:rFonts w:eastAsia="Times New Roman" w:cs="Arial"/>
          <w:color w:val="000000"/>
          <w:lang w:val="en-US"/>
        </w:rPr>
        <w:t>HBV</w:t>
      </w:r>
      <w:r w:rsidRPr="004E779D">
        <w:rPr>
          <w:rFonts w:eastAsia="Times New Roman" w:cs="Arial"/>
          <w:color w:val="000000"/>
          <w:lang w:val="ru-RU"/>
        </w:rPr>
        <w:t xml:space="preserve"> </w:t>
      </w:r>
      <w:r w:rsidRPr="004E779D">
        <w:rPr>
          <w:rFonts w:eastAsia="Times New Roman" w:cs="Arial"/>
          <w:color w:val="000000"/>
          <w:lang w:eastAsia="bg-BG"/>
        </w:rPr>
        <w:t xml:space="preserve">ДНК &lt;107 </w:t>
      </w:r>
      <w:r w:rsidRPr="004E779D">
        <w:rPr>
          <w:rFonts w:eastAsia="Times New Roman" w:cs="Arial"/>
          <w:color w:val="000000"/>
          <w:lang w:val="en-US"/>
        </w:rPr>
        <w:t>log</w:t>
      </w:r>
      <w:r w:rsidRPr="004E779D">
        <w:rPr>
          <w:rFonts w:eastAsia="Times New Roman" w:cs="Arial"/>
          <w:color w:val="000000"/>
          <w:lang w:val="ru-RU"/>
        </w:rPr>
        <w:t xml:space="preserve">10 </w:t>
      </w:r>
      <w:r w:rsidRPr="004E779D">
        <w:rPr>
          <w:rFonts w:eastAsia="Times New Roman" w:cs="Arial"/>
          <w:color w:val="000000"/>
          <w:lang w:eastAsia="bg-BG"/>
        </w:rPr>
        <w:t>копия/</w:t>
      </w:r>
      <w:r w:rsidRPr="004E779D">
        <w:rPr>
          <w:rFonts w:eastAsia="Times New Roman" w:cs="Arial"/>
          <w:color w:val="000000"/>
          <w:lang w:val="en-US"/>
        </w:rPr>
        <w:t>ml</w:t>
      </w:r>
      <w:r w:rsidRPr="004E779D">
        <w:rPr>
          <w:rFonts w:eastAsia="Times New Roman" w:cs="Arial"/>
          <w:color w:val="000000"/>
          <w:lang w:eastAsia="bg-BG"/>
        </w:rPr>
        <w:t xml:space="preserve"> 64% (9/14) са постигнали </w:t>
      </w:r>
      <w:r w:rsidRPr="004E779D">
        <w:rPr>
          <w:rFonts w:eastAsia="Times New Roman" w:cs="Arial"/>
          <w:color w:val="000000"/>
          <w:lang w:val="en-US"/>
        </w:rPr>
        <w:t>HBV</w:t>
      </w:r>
      <w:r w:rsidRPr="004E779D">
        <w:rPr>
          <w:rFonts w:eastAsia="Times New Roman" w:cs="Arial"/>
          <w:color w:val="000000"/>
          <w:lang w:val="ru-RU"/>
        </w:rPr>
        <w:t xml:space="preserve"> </w:t>
      </w:r>
      <w:r w:rsidRPr="004E779D">
        <w:rPr>
          <w:rFonts w:eastAsia="Times New Roman" w:cs="Arial"/>
          <w:color w:val="000000"/>
          <w:lang w:eastAsia="bg-BG"/>
        </w:rPr>
        <w:t>ДНК &lt;300 копия</w:t>
      </w:r>
      <w:r w:rsidRPr="004E779D">
        <w:rPr>
          <w:rFonts w:eastAsia="Times New Roman" w:cs="Arial"/>
          <w:color w:val="000000"/>
          <w:lang w:val="ru-RU"/>
        </w:rPr>
        <w:t>/</w:t>
      </w:r>
      <w:r w:rsidRPr="004E779D">
        <w:rPr>
          <w:rFonts w:eastAsia="Times New Roman" w:cs="Arial"/>
          <w:color w:val="000000"/>
          <w:lang w:val="en-US"/>
        </w:rPr>
        <w:t>ml</w:t>
      </w:r>
      <w:r w:rsidRPr="004E779D">
        <w:rPr>
          <w:rFonts w:eastAsia="Times New Roman" w:cs="Arial"/>
          <w:color w:val="000000"/>
          <w:lang w:val="ru-RU"/>
        </w:rPr>
        <w:t xml:space="preserve"> </w:t>
      </w:r>
      <w:r w:rsidRPr="004E779D">
        <w:rPr>
          <w:rFonts w:eastAsia="Times New Roman" w:cs="Arial"/>
          <w:color w:val="000000"/>
          <w:lang w:eastAsia="bg-BG"/>
        </w:rPr>
        <w:t>през седмица 48. Тези</w:t>
      </w:r>
      <w:r w:rsidRPr="004E779D">
        <w:rPr>
          <w:rFonts w:eastAsia="Times New Roman" w:cs="Arial"/>
          <w:color w:val="000000"/>
          <w:lang w:val="ru-RU"/>
        </w:rPr>
        <w:t xml:space="preserve"> 14 </w:t>
      </w:r>
      <w:r w:rsidRPr="004E779D">
        <w:rPr>
          <w:rFonts w:eastAsia="Times New Roman" w:cs="Arial"/>
          <w:color w:val="000000"/>
          <w:lang w:eastAsia="bg-BG"/>
        </w:rPr>
        <w:t xml:space="preserve">пациенти са имали по-нисък процент на генотипна резистентност към </w:t>
      </w:r>
      <w:r w:rsidRPr="004E779D">
        <w:rPr>
          <w:rFonts w:eastAsia="Times New Roman" w:cs="Arial"/>
          <w:i/>
          <w:iCs/>
          <w:color w:val="000000"/>
          <w:lang w:eastAsia="bg-BG"/>
        </w:rPr>
        <w:t>ентекавир (кумулативна</w:t>
      </w:r>
    </w:p>
    <w:p w14:paraId="2182C2C7" w14:textId="77777777" w:rsidR="004E779D" w:rsidRPr="004E779D" w:rsidRDefault="004E779D" w:rsidP="004E779D">
      <w:pPr>
        <w:spacing w:line="240" w:lineRule="auto"/>
        <w:rPr>
          <w:rFonts w:eastAsia="Times New Roman" w:cs="Arial"/>
        </w:rPr>
      </w:pPr>
      <w:r w:rsidRPr="004E779D">
        <w:rPr>
          <w:rFonts w:eastAsia="Times New Roman" w:cs="Arial"/>
          <w:color w:val="000000"/>
          <w:lang w:eastAsia="bg-BG"/>
        </w:rPr>
        <w:t xml:space="preserve">вероятност 18,8 % по време на 5-годишното проследяване) от общата популация на изследването (вж. таблицата). Също така, резистентни към ламивудин пациенти, които са постигнали </w:t>
      </w:r>
      <w:r w:rsidRPr="004E779D">
        <w:rPr>
          <w:rFonts w:eastAsia="Times New Roman" w:cs="Arial"/>
          <w:color w:val="000000"/>
          <w:lang w:val="en-US"/>
        </w:rPr>
        <w:t>HBV</w:t>
      </w:r>
      <w:r w:rsidRPr="004E779D">
        <w:rPr>
          <w:rFonts w:eastAsia="Times New Roman" w:cs="Arial"/>
          <w:color w:val="000000"/>
          <w:lang w:val="ru-RU"/>
        </w:rPr>
        <w:t xml:space="preserve"> </w:t>
      </w:r>
      <w:r w:rsidRPr="004E779D">
        <w:rPr>
          <w:rFonts w:eastAsia="Times New Roman" w:cs="Arial"/>
          <w:color w:val="000000"/>
          <w:lang w:eastAsia="bg-BG"/>
        </w:rPr>
        <w:t xml:space="preserve">ДНК &lt;104 </w:t>
      </w:r>
      <w:r w:rsidRPr="004E779D">
        <w:rPr>
          <w:rFonts w:eastAsia="Times New Roman" w:cs="Arial"/>
          <w:color w:val="000000"/>
          <w:lang w:val="en-US"/>
        </w:rPr>
        <w:t>log</w:t>
      </w:r>
      <w:r w:rsidRPr="004E779D">
        <w:rPr>
          <w:rFonts w:eastAsia="Times New Roman" w:cs="Arial"/>
          <w:color w:val="000000"/>
          <w:lang w:eastAsia="bg-BG"/>
        </w:rPr>
        <w:t>10 копия</w:t>
      </w:r>
      <w:r w:rsidRPr="004E779D">
        <w:rPr>
          <w:rFonts w:eastAsia="Times New Roman" w:cs="Arial"/>
          <w:color w:val="000000"/>
          <w:lang w:val="ru-RU"/>
        </w:rPr>
        <w:t>/</w:t>
      </w:r>
      <w:r w:rsidRPr="004E779D">
        <w:rPr>
          <w:rFonts w:eastAsia="Times New Roman" w:cs="Arial"/>
          <w:color w:val="000000"/>
          <w:lang w:val="en-US"/>
        </w:rPr>
        <w:t>ml</w:t>
      </w:r>
      <w:r w:rsidRPr="004E779D">
        <w:rPr>
          <w:rFonts w:eastAsia="Times New Roman" w:cs="Arial"/>
          <w:color w:val="000000"/>
          <w:lang w:val="ru-RU"/>
        </w:rPr>
        <w:t xml:space="preserve"> </w:t>
      </w:r>
      <w:r w:rsidRPr="004E779D">
        <w:rPr>
          <w:rFonts w:eastAsia="Times New Roman" w:cs="Arial"/>
          <w:color w:val="000000"/>
          <w:lang w:eastAsia="bg-BG"/>
        </w:rPr>
        <w:t xml:space="preserve">чрез </w:t>
      </w:r>
      <w:r w:rsidRPr="004E779D">
        <w:rPr>
          <w:rFonts w:eastAsia="Times New Roman" w:cs="Arial"/>
          <w:color w:val="000000"/>
          <w:lang w:val="en-US"/>
        </w:rPr>
        <w:t>PCR</w:t>
      </w:r>
      <w:r w:rsidRPr="004E779D">
        <w:rPr>
          <w:rFonts w:eastAsia="Times New Roman" w:cs="Arial"/>
          <w:color w:val="000000"/>
          <w:lang w:val="ru-RU"/>
        </w:rPr>
        <w:t xml:space="preserve"> </w:t>
      </w:r>
      <w:r w:rsidRPr="004E779D">
        <w:rPr>
          <w:rFonts w:eastAsia="Times New Roman" w:cs="Arial"/>
          <w:color w:val="000000"/>
          <w:lang w:eastAsia="bg-BG"/>
        </w:rPr>
        <w:t>на 24-та седмица, са имали по-нисък</w:t>
      </w:r>
    </w:p>
    <w:p w14:paraId="307707F0" w14:textId="4500D95A" w:rsidR="004E779D" w:rsidRPr="004E779D" w:rsidRDefault="004E779D" w:rsidP="004E779D">
      <w:pPr>
        <w:spacing w:line="240" w:lineRule="auto"/>
        <w:rPr>
          <w:rFonts w:eastAsia="Times New Roman" w:cs="Arial"/>
          <w:color w:val="000000"/>
          <w:lang w:eastAsia="bg-BG"/>
        </w:rPr>
      </w:pPr>
      <w:r w:rsidRPr="004E779D">
        <w:rPr>
          <w:rFonts w:eastAsia="Times New Roman" w:cs="Arial"/>
          <w:color w:val="000000"/>
          <w:lang w:eastAsia="bg-BG"/>
        </w:rPr>
        <w:t>процент на резистентност от тези, които не са (5-годишна кумулативна вероятност 17,6% [</w:t>
      </w:r>
      <w:r w:rsidRPr="004E779D">
        <w:rPr>
          <w:rFonts w:eastAsia="Times New Roman" w:cs="Arial"/>
          <w:color w:val="000000"/>
          <w:lang w:val="en-US"/>
        </w:rPr>
        <w:t>n</w:t>
      </w:r>
      <w:r w:rsidRPr="004E779D">
        <w:rPr>
          <w:rFonts w:eastAsia="Times New Roman" w:cs="Arial"/>
          <w:color w:val="000000"/>
          <w:lang w:eastAsia="bg-BG"/>
        </w:rPr>
        <w:t>= 50] спрямо съответно 60,5% [</w:t>
      </w:r>
      <w:r w:rsidRPr="004E779D">
        <w:rPr>
          <w:rFonts w:eastAsia="Times New Roman" w:cs="Arial"/>
          <w:color w:val="000000"/>
          <w:lang w:val="en-US"/>
        </w:rPr>
        <w:t>n</w:t>
      </w:r>
      <w:r w:rsidRPr="004E779D">
        <w:rPr>
          <w:rFonts w:eastAsia="Times New Roman" w:cs="Arial"/>
          <w:color w:val="000000"/>
          <w:lang w:eastAsia="bg-BG"/>
        </w:rPr>
        <w:t xml:space="preserve"> = 135]).</w:t>
      </w:r>
    </w:p>
    <w:p w14:paraId="4C9F27DD" w14:textId="10C91EC8" w:rsidR="004E779D" w:rsidRPr="004E779D" w:rsidRDefault="004E779D" w:rsidP="004E779D">
      <w:pPr>
        <w:spacing w:line="240" w:lineRule="auto"/>
        <w:rPr>
          <w:rFonts w:eastAsia="Times New Roman" w:cs="Arial"/>
          <w:color w:val="000000"/>
          <w:lang w:eastAsia="bg-BG"/>
        </w:rPr>
      </w:pPr>
    </w:p>
    <w:p w14:paraId="0EAE9BCD" w14:textId="3A605FAB" w:rsidR="004E779D" w:rsidRPr="004E779D" w:rsidRDefault="004E779D" w:rsidP="004E779D">
      <w:pPr>
        <w:spacing w:line="240" w:lineRule="auto"/>
        <w:rPr>
          <w:rFonts w:eastAsia="Times New Roman" w:cs="Arial"/>
          <w:lang w:val="ru-RU"/>
        </w:rPr>
      </w:pPr>
      <w:r w:rsidRPr="004E779D">
        <w:rPr>
          <w:rFonts w:cs="Arial"/>
        </w:rPr>
        <w:t>И</w:t>
      </w:r>
      <w:r w:rsidRPr="004E779D">
        <w:rPr>
          <w:rFonts w:cs="Arial"/>
        </w:rPr>
        <w:t xml:space="preserve">нтегриран анализ на фази 2 и 3 клинични проучвания: При интегриран анализ на данни за (резистентност към ентекавир от 17 клинични проучвания фаза 2 и 3, при 5 от 1461 лица по време на лечението с ентекавир е открит неочакван заместител </w:t>
      </w:r>
      <w:r w:rsidRPr="004E779D">
        <w:rPr>
          <w:rFonts w:cs="Arial"/>
          <w:lang w:val="en-US"/>
        </w:rPr>
        <w:t>rtA</w:t>
      </w:r>
      <w:r w:rsidRPr="004E779D">
        <w:rPr>
          <w:rFonts w:cs="Arial"/>
          <w:lang w:val="ru-RU"/>
        </w:rPr>
        <w:t>181</w:t>
      </w:r>
      <w:r w:rsidRPr="004E779D">
        <w:rPr>
          <w:rFonts w:cs="Arial"/>
          <w:lang w:val="en-US"/>
        </w:rPr>
        <w:t>C</w:t>
      </w:r>
      <w:r w:rsidRPr="004E779D">
        <w:rPr>
          <w:rFonts w:cs="Arial"/>
          <w:lang w:val="ru-RU"/>
        </w:rPr>
        <w:t xml:space="preserve">, </w:t>
      </w:r>
      <w:r w:rsidRPr="004E779D">
        <w:rPr>
          <w:rFonts w:cs="Arial"/>
        </w:rPr>
        <w:t xml:space="preserve">свързан с резистентност към ентекавир. Това заместване се открива само в присъствието на свързани с резистентност към ламивудин заместители </w:t>
      </w:r>
      <w:r w:rsidRPr="004E779D">
        <w:rPr>
          <w:rFonts w:cs="Arial"/>
          <w:lang w:val="en-US"/>
        </w:rPr>
        <w:t>rtL</w:t>
      </w:r>
      <w:r w:rsidRPr="004E779D">
        <w:rPr>
          <w:rFonts w:cs="Arial"/>
          <w:lang w:val="ru-RU"/>
        </w:rPr>
        <w:t>180</w:t>
      </w:r>
      <w:r w:rsidRPr="004E779D">
        <w:rPr>
          <w:rFonts w:cs="Arial"/>
          <w:lang w:val="en-US"/>
        </w:rPr>
        <w:t>M</w:t>
      </w:r>
      <w:r w:rsidRPr="004E779D">
        <w:rPr>
          <w:rFonts w:cs="Arial"/>
          <w:lang w:val="ru-RU"/>
        </w:rPr>
        <w:t xml:space="preserve"> </w:t>
      </w:r>
      <w:r w:rsidRPr="004E779D">
        <w:rPr>
          <w:rFonts w:cs="Arial"/>
        </w:rPr>
        <w:t xml:space="preserve">плюс </w:t>
      </w:r>
      <w:r w:rsidRPr="004E779D">
        <w:rPr>
          <w:rFonts w:cs="Arial"/>
          <w:lang w:val="en-US"/>
        </w:rPr>
        <w:t>rtM</w:t>
      </w:r>
      <w:r w:rsidRPr="004E779D">
        <w:rPr>
          <w:rFonts w:cs="Arial"/>
          <w:lang w:val="ru-RU"/>
        </w:rPr>
        <w:t>204</w:t>
      </w:r>
      <w:r w:rsidRPr="004E779D">
        <w:rPr>
          <w:rFonts w:cs="Arial"/>
          <w:lang w:val="en-US"/>
        </w:rPr>
        <w:t>V</w:t>
      </w:r>
      <w:r w:rsidRPr="004E779D">
        <w:rPr>
          <w:rFonts w:cs="Arial"/>
          <w:lang w:val="ru-RU"/>
        </w:rPr>
        <w:t>.</w:t>
      </w:r>
    </w:p>
    <w:p w14:paraId="0AF33ABF" w14:textId="77777777" w:rsidR="004E779D" w:rsidRPr="004E779D" w:rsidRDefault="004E779D" w:rsidP="004E779D">
      <w:pPr>
        <w:spacing w:line="240" w:lineRule="auto"/>
        <w:rPr>
          <w:rFonts w:ascii="Times New Roman" w:eastAsia="Times New Roman" w:hAnsi="Times New Roman" w:cs="Times New Roman"/>
          <w:sz w:val="24"/>
          <w:szCs w:val="24"/>
        </w:rPr>
      </w:pPr>
    </w:p>
    <w:p w14:paraId="7F822DF2" w14:textId="65BAEA32" w:rsidR="004E779D" w:rsidRDefault="002C50EE" w:rsidP="004E779D">
      <w:pPr>
        <w:pStyle w:val="Heading2"/>
      </w:pPr>
      <w:r>
        <w:t>5.2. Фармакокинетични свойства</w:t>
      </w:r>
    </w:p>
    <w:p w14:paraId="4EB76F82" w14:textId="6E3DBBEB" w:rsidR="004E779D" w:rsidRDefault="004E779D" w:rsidP="004E779D"/>
    <w:p w14:paraId="65DDB24E" w14:textId="77777777" w:rsidR="004E779D" w:rsidRPr="004E779D" w:rsidRDefault="004E779D" w:rsidP="004E779D">
      <w:pPr>
        <w:spacing w:line="240" w:lineRule="auto"/>
        <w:rPr>
          <w:rFonts w:eastAsia="Times New Roman" w:cs="Arial"/>
        </w:rPr>
      </w:pPr>
      <w:r w:rsidRPr="004E779D">
        <w:rPr>
          <w:rFonts w:eastAsia="Times New Roman" w:cs="Arial"/>
          <w:i/>
          <w:iCs/>
          <w:color w:val="000000"/>
          <w:lang w:eastAsia="bg-BG"/>
        </w:rPr>
        <w:t>Абсорбция:</w:t>
      </w:r>
      <w:r w:rsidRPr="004E779D">
        <w:rPr>
          <w:rFonts w:eastAsia="Times New Roman" w:cs="Arial"/>
          <w:color w:val="000000"/>
          <w:lang w:eastAsia="bg-BG"/>
        </w:rPr>
        <w:t xml:space="preserve"> ентекавир се абсорбира бързо, като пикови плазмени концентрации се достигат в рамките на 0,5 - 1,5 часа. Абсолютната бионаличност не е определена. Въз основа на отделеното с урината непроменено лекарство бионаличността е най-малко 70%.</w:t>
      </w:r>
    </w:p>
    <w:p w14:paraId="050E40C4" w14:textId="77777777" w:rsidR="004E779D" w:rsidRPr="004E779D" w:rsidRDefault="004E779D" w:rsidP="004E779D">
      <w:pPr>
        <w:spacing w:line="240" w:lineRule="auto"/>
        <w:rPr>
          <w:rFonts w:eastAsia="Times New Roman" w:cs="Arial"/>
        </w:rPr>
      </w:pPr>
      <w:r w:rsidRPr="004E779D">
        <w:rPr>
          <w:rFonts w:eastAsia="Times New Roman" w:cs="Arial"/>
          <w:color w:val="000000"/>
          <w:lang w:eastAsia="bg-BG"/>
        </w:rPr>
        <w:t>Съществува пропорционално на дозата повишаване на стойностите на С</w:t>
      </w:r>
      <w:r w:rsidRPr="004E779D">
        <w:rPr>
          <w:rFonts w:eastAsia="Times New Roman" w:cs="Arial"/>
          <w:color w:val="000000"/>
          <w:vertAlign w:val="subscript"/>
          <w:lang w:val="en-US"/>
        </w:rPr>
        <w:t>max</w:t>
      </w:r>
      <w:r w:rsidRPr="004E779D">
        <w:rPr>
          <w:rFonts w:eastAsia="Times New Roman" w:cs="Arial"/>
          <w:color w:val="000000"/>
          <w:lang w:eastAsia="bg-BG"/>
        </w:rPr>
        <w:t xml:space="preserve"> и </w:t>
      </w:r>
      <w:r w:rsidRPr="004E779D">
        <w:rPr>
          <w:rFonts w:eastAsia="Times New Roman" w:cs="Arial"/>
          <w:color w:val="000000"/>
          <w:lang w:val="en-US"/>
        </w:rPr>
        <w:t>AUC</w:t>
      </w:r>
      <w:r w:rsidRPr="004E779D">
        <w:rPr>
          <w:rFonts w:eastAsia="Times New Roman" w:cs="Arial"/>
          <w:color w:val="000000"/>
          <w:lang w:val="ru-RU"/>
        </w:rPr>
        <w:t xml:space="preserve"> </w:t>
      </w:r>
      <w:r w:rsidRPr="004E779D">
        <w:rPr>
          <w:rFonts w:eastAsia="Times New Roman" w:cs="Arial"/>
          <w:color w:val="000000"/>
          <w:lang w:eastAsia="bg-BG"/>
        </w:rPr>
        <w:t xml:space="preserve">след многократно приложение на дози от 0,1 до 1 </w:t>
      </w:r>
      <w:r w:rsidRPr="004E779D">
        <w:rPr>
          <w:rFonts w:eastAsia="Times New Roman" w:cs="Arial"/>
          <w:color w:val="000000"/>
          <w:lang w:val="en-US"/>
        </w:rPr>
        <w:t>mg</w:t>
      </w:r>
      <w:r w:rsidRPr="004E779D">
        <w:rPr>
          <w:rFonts w:eastAsia="Times New Roman" w:cs="Arial"/>
          <w:color w:val="000000"/>
          <w:lang w:val="ru-RU"/>
        </w:rPr>
        <w:t xml:space="preserve">. </w:t>
      </w:r>
      <w:r w:rsidRPr="004E779D">
        <w:rPr>
          <w:rFonts w:eastAsia="Times New Roman" w:cs="Arial"/>
          <w:color w:val="000000"/>
          <w:lang w:eastAsia="bg-BG"/>
        </w:rPr>
        <w:t>Стабилно състояние се достига в рамките на 6 - 10 дни след приложението веднъж дневно при ≈ 2 пъти акумулиране. Стойностите на С</w:t>
      </w:r>
      <w:r w:rsidRPr="004E779D">
        <w:rPr>
          <w:rFonts w:eastAsia="Times New Roman" w:cs="Arial"/>
          <w:color w:val="000000"/>
          <w:vertAlign w:val="subscript"/>
          <w:lang w:val="en-US"/>
        </w:rPr>
        <w:t>max</w:t>
      </w:r>
      <w:r w:rsidRPr="004E779D">
        <w:rPr>
          <w:rFonts w:eastAsia="Times New Roman" w:cs="Arial"/>
          <w:color w:val="000000"/>
          <w:vertAlign w:val="subscript"/>
          <w:lang w:val="ru-RU"/>
        </w:rPr>
        <w:t xml:space="preserve"> </w:t>
      </w:r>
      <w:r w:rsidRPr="004E779D">
        <w:rPr>
          <w:rFonts w:eastAsia="Times New Roman" w:cs="Arial"/>
          <w:color w:val="000000"/>
          <w:lang w:eastAsia="bg-BG"/>
        </w:rPr>
        <w:t xml:space="preserve">и </w:t>
      </w:r>
      <w:r w:rsidRPr="004E779D">
        <w:rPr>
          <w:rFonts w:eastAsia="Times New Roman" w:cs="Arial"/>
          <w:color w:val="000000"/>
          <w:lang w:val="en-US"/>
        </w:rPr>
        <w:t>C</w:t>
      </w:r>
      <w:r w:rsidRPr="004E779D">
        <w:rPr>
          <w:rFonts w:eastAsia="Times New Roman" w:cs="Arial"/>
          <w:color w:val="000000"/>
          <w:vertAlign w:val="subscript"/>
          <w:lang w:val="en-US"/>
        </w:rPr>
        <w:t>min</w:t>
      </w:r>
      <w:r w:rsidRPr="004E779D">
        <w:rPr>
          <w:rFonts w:eastAsia="Times New Roman" w:cs="Arial"/>
          <w:color w:val="000000"/>
          <w:lang w:val="ru-RU"/>
        </w:rPr>
        <w:t xml:space="preserve"> </w:t>
      </w:r>
      <w:r w:rsidRPr="004E779D">
        <w:rPr>
          <w:rFonts w:eastAsia="Times New Roman" w:cs="Arial"/>
          <w:color w:val="000000"/>
          <w:lang w:eastAsia="bg-BG"/>
        </w:rPr>
        <w:t xml:space="preserve">при стабилно състояние са съответно 4,2 и 0,3 </w:t>
      </w:r>
      <w:r w:rsidRPr="004E779D">
        <w:rPr>
          <w:rFonts w:eastAsia="Times New Roman" w:cs="Arial"/>
          <w:color w:val="000000"/>
          <w:lang w:val="en-US"/>
        </w:rPr>
        <w:t>ng</w:t>
      </w:r>
      <w:r w:rsidRPr="004E779D">
        <w:rPr>
          <w:rFonts w:eastAsia="Times New Roman" w:cs="Arial"/>
          <w:color w:val="000000"/>
          <w:lang w:val="ru-RU"/>
        </w:rPr>
        <w:t>/</w:t>
      </w:r>
      <w:r w:rsidRPr="004E779D">
        <w:rPr>
          <w:rFonts w:eastAsia="Times New Roman" w:cs="Arial"/>
          <w:color w:val="000000"/>
          <w:lang w:val="en-US"/>
        </w:rPr>
        <w:t>ml</w:t>
      </w:r>
      <w:r w:rsidRPr="004E779D">
        <w:rPr>
          <w:rFonts w:eastAsia="Times New Roman" w:cs="Arial"/>
          <w:color w:val="000000"/>
          <w:lang w:val="ru-RU"/>
        </w:rPr>
        <w:t xml:space="preserve"> </w:t>
      </w:r>
      <w:r w:rsidRPr="004E779D">
        <w:rPr>
          <w:rFonts w:eastAsia="Times New Roman" w:cs="Arial"/>
          <w:color w:val="000000"/>
          <w:lang w:eastAsia="bg-BG"/>
        </w:rPr>
        <w:t xml:space="preserve">при доза от 0,5 </w:t>
      </w:r>
      <w:r w:rsidRPr="004E779D">
        <w:rPr>
          <w:rFonts w:eastAsia="Times New Roman" w:cs="Arial"/>
          <w:color w:val="000000"/>
          <w:lang w:val="en-US"/>
        </w:rPr>
        <w:t>mg</w:t>
      </w:r>
      <w:r w:rsidRPr="004E779D">
        <w:rPr>
          <w:rFonts w:eastAsia="Times New Roman" w:cs="Arial"/>
          <w:color w:val="000000"/>
          <w:lang w:val="ru-RU"/>
        </w:rPr>
        <w:t xml:space="preserve">, </w:t>
      </w:r>
      <w:r w:rsidRPr="004E779D">
        <w:rPr>
          <w:rFonts w:eastAsia="Times New Roman" w:cs="Arial"/>
          <w:color w:val="000000"/>
          <w:lang w:eastAsia="bg-BG"/>
        </w:rPr>
        <w:t xml:space="preserve">и съответно 8,2 и 0,5 </w:t>
      </w:r>
      <w:r w:rsidRPr="004E779D">
        <w:rPr>
          <w:rFonts w:eastAsia="Times New Roman" w:cs="Arial"/>
          <w:color w:val="000000"/>
          <w:lang w:val="en-US"/>
        </w:rPr>
        <w:t>ng</w:t>
      </w:r>
      <w:r w:rsidRPr="004E779D">
        <w:rPr>
          <w:rFonts w:eastAsia="Times New Roman" w:cs="Arial"/>
          <w:color w:val="000000"/>
          <w:lang w:val="ru-RU"/>
        </w:rPr>
        <w:t>/</w:t>
      </w:r>
      <w:r w:rsidRPr="004E779D">
        <w:rPr>
          <w:rFonts w:eastAsia="Times New Roman" w:cs="Arial"/>
          <w:color w:val="000000"/>
          <w:lang w:val="en-US"/>
        </w:rPr>
        <w:t>ml</w:t>
      </w:r>
      <w:r w:rsidRPr="004E779D">
        <w:rPr>
          <w:rFonts w:eastAsia="Times New Roman" w:cs="Arial"/>
          <w:color w:val="000000"/>
          <w:lang w:val="ru-RU"/>
        </w:rPr>
        <w:t xml:space="preserve"> </w:t>
      </w:r>
      <w:r w:rsidRPr="004E779D">
        <w:rPr>
          <w:rFonts w:eastAsia="Times New Roman" w:cs="Arial"/>
          <w:color w:val="000000"/>
          <w:lang w:eastAsia="bg-BG"/>
        </w:rPr>
        <w:t xml:space="preserve">при доза от 1 </w:t>
      </w:r>
      <w:r w:rsidRPr="004E779D">
        <w:rPr>
          <w:rFonts w:eastAsia="Times New Roman" w:cs="Arial"/>
          <w:color w:val="000000"/>
          <w:lang w:val="en-US"/>
        </w:rPr>
        <w:t>mg</w:t>
      </w:r>
      <w:r w:rsidRPr="004E779D">
        <w:rPr>
          <w:rFonts w:eastAsia="Times New Roman" w:cs="Arial"/>
          <w:color w:val="000000"/>
          <w:lang w:val="ru-RU"/>
        </w:rPr>
        <w:t xml:space="preserve">. </w:t>
      </w:r>
      <w:r w:rsidRPr="004E779D">
        <w:rPr>
          <w:rFonts w:eastAsia="Times New Roman" w:cs="Arial"/>
          <w:color w:val="000000"/>
          <w:lang w:eastAsia="bg-BG"/>
        </w:rPr>
        <w:t>Таблетките и пероралният разтвор са биоеквивалентни при здрави индивиди, поради което двете форми могат да се използват като взаимозаменяеми.</w:t>
      </w:r>
    </w:p>
    <w:p w14:paraId="4A67D153" w14:textId="77777777" w:rsidR="004E779D" w:rsidRPr="004E779D" w:rsidRDefault="004E779D" w:rsidP="004E779D">
      <w:pPr>
        <w:spacing w:line="240" w:lineRule="auto"/>
        <w:rPr>
          <w:rFonts w:eastAsia="Times New Roman" w:cs="Arial"/>
          <w:color w:val="000000"/>
          <w:lang w:eastAsia="bg-BG"/>
        </w:rPr>
      </w:pPr>
    </w:p>
    <w:p w14:paraId="0ED75E4C" w14:textId="01F5B686" w:rsidR="004E779D" w:rsidRPr="004E779D" w:rsidRDefault="004E779D" w:rsidP="004E779D">
      <w:pPr>
        <w:spacing w:line="240" w:lineRule="auto"/>
        <w:rPr>
          <w:rFonts w:eastAsia="Times New Roman" w:cs="Arial"/>
        </w:rPr>
      </w:pPr>
      <w:r w:rsidRPr="004E779D">
        <w:rPr>
          <w:rFonts w:eastAsia="Times New Roman" w:cs="Arial"/>
          <w:color w:val="000000"/>
          <w:lang w:eastAsia="bg-BG"/>
        </w:rPr>
        <w:t xml:space="preserve">Приложението на 0,5 </w:t>
      </w:r>
      <w:r w:rsidRPr="004E779D">
        <w:rPr>
          <w:rFonts w:eastAsia="Times New Roman" w:cs="Arial"/>
          <w:color w:val="000000"/>
          <w:lang w:val="en-US"/>
        </w:rPr>
        <w:t>mg</w:t>
      </w:r>
      <w:r w:rsidRPr="004E779D">
        <w:rPr>
          <w:rFonts w:eastAsia="Times New Roman" w:cs="Arial"/>
          <w:color w:val="000000"/>
          <w:lang w:val="ru-RU"/>
        </w:rPr>
        <w:t xml:space="preserve"> </w:t>
      </w:r>
      <w:r w:rsidRPr="004E779D">
        <w:rPr>
          <w:rFonts w:eastAsia="Times New Roman" w:cs="Arial"/>
          <w:color w:val="000000"/>
          <w:lang w:eastAsia="bg-BG"/>
        </w:rPr>
        <w:t xml:space="preserve">ентекавир със стандартна храна с високо съдържание на мазнини (945 </w:t>
      </w:r>
      <w:r w:rsidRPr="004E779D">
        <w:rPr>
          <w:rFonts w:eastAsia="Times New Roman" w:cs="Arial"/>
          <w:color w:val="000000"/>
          <w:lang w:val="en-US"/>
        </w:rPr>
        <w:t>kcal</w:t>
      </w:r>
      <w:r w:rsidRPr="004E779D">
        <w:rPr>
          <w:rFonts w:eastAsia="Times New Roman" w:cs="Arial"/>
          <w:color w:val="000000"/>
          <w:lang w:val="ru-RU"/>
        </w:rPr>
        <w:t xml:space="preserve">, </w:t>
      </w:r>
      <w:r w:rsidRPr="004E779D">
        <w:rPr>
          <w:rFonts w:eastAsia="Times New Roman" w:cs="Arial"/>
          <w:color w:val="000000"/>
          <w:lang w:eastAsia="bg-BG"/>
        </w:rPr>
        <w:t xml:space="preserve">54,6 </w:t>
      </w:r>
      <w:r w:rsidRPr="004E779D">
        <w:rPr>
          <w:rFonts w:eastAsia="Times New Roman" w:cs="Arial"/>
          <w:color w:val="000000"/>
          <w:lang w:val="en-US"/>
        </w:rPr>
        <w:t>g</w:t>
      </w:r>
      <w:r w:rsidRPr="004E779D">
        <w:rPr>
          <w:rFonts w:eastAsia="Times New Roman" w:cs="Arial"/>
          <w:color w:val="000000"/>
          <w:lang w:val="ru-RU"/>
        </w:rPr>
        <w:t xml:space="preserve"> </w:t>
      </w:r>
      <w:r w:rsidRPr="004E779D">
        <w:rPr>
          <w:rFonts w:eastAsia="Times New Roman" w:cs="Arial"/>
          <w:color w:val="000000"/>
          <w:lang w:eastAsia="bg-BG"/>
        </w:rPr>
        <w:t xml:space="preserve">мазнини) или лека храна (379 </w:t>
      </w:r>
      <w:r w:rsidRPr="004E779D">
        <w:rPr>
          <w:rFonts w:eastAsia="Times New Roman" w:cs="Arial"/>
          <w:color w:val="000000"/>
          <w:lang w:val="en-US"/>
        </w:rPr>
        <w:t>kcal</w:t>
      </w:r>
      <w:r w:rsidRPr="004E779D">
        <w:rPr>
          <w:rFonts w:eastAsia="Times New Roman" w:cs="Arial"/>
          <w:color w:val="000000"/>
          <w:lang w:val="ru-RU"/>
        </w:rPr>
        <w:t xml:space="preserve">, </w:t>
      </w:r>
      <w:r w:rsidRPr="004E779D">
        <w:rPr>
          <w:rFonts w:eastAsia="Times New Roman" w:cs="Arial"/>
          <w:color w:val="000000"/>
          <w:lang w:eastAsia="bg-BG"/>
        </w:rPr>
        <w:t xml:space="preserve">8,2 </w:t>
      </w:r>
      <w:r w:rsidRPr="004E779D">
        <w:rPr>
          <w:rFonts w:eastAsia="Times New Roman" w:cs="Arial"/>
          <w:color w:val="000000"/>
          <w:lang w:val="en-US"/>
        </w:rPr>
        <w:t>g</w:t>
      </w:r>
      <w:r w:rsidRPr="004E779D">
        <w:rPr>
          <w:rFonts w:eastAsia="Times New Roman" w:cs="Arial"/>
          <w:color w:val="000000"/>
          <w:lang w:val="ru-RU"/>
        </w:rPr>
        <w:t xml:space="preserve"> </w:t>
      </w:r>
      <w:r w:rsidRPr="004E779D">
        <w:rPr>
          <w:rFonts w:eastAsia="Times New Roman" w:cs="Arial"/>
          <w:color w:val="000000"/>
          <w:lang w:eastAsia="bg-BG"/>
        </w:rPr>
        <w:t xml:space="preserve">мазнини) води до минимално забавяне на абсорбцията (1-1,5 часа при богатата на мазнини храна спрямо 0,75 при постната), понижение на Стах с 44 - 46% и понижение на </w:t>
      </w:r>
      <w:r w:rsidRPr="004E779D">
        <w:rPr>
          <w:rFonts w:eastAsia="Times New Roman" w:cs="Arial"/>
          <w:color w:val="000000"/>
          <w:lang w:val="en-US"/>
        </w:rPr>
        <w:t>AUC</w:t>
      </w:r>
      <w:r w:rsidRPr="004E779D">
        <w:rPr>
          <w:rFonts w:eastAsia="Times New Roman" w:cs="Arial"/>
          <w:color w:val="000000"/>
          <w:lang w:val="ru-RU"/>
        </w:rPr>
        <w:t xml:space="preserve"> </w:t>
      </w:r>
      <w:r w:rsidRPr="004E779D">
        <w:rPr>
          <w:rFonts w:eastAsia="Times New Roman" w:cs="Arial"/>
          <w:color w:val="000000"/>
          <w:lang w:eastAsia="bg-BG"/>
        </w:rPr>
        <w:t>с 18 — 20%. По-ниските стойности на С</w:t>
      </w:r>
      <w:r w:rsidRPr="004E779D">
        <w:rPr>
          <w:rFonts w:eastAsia="Times New Roman" w:cs="Arial"/>
          <w:color w:val="000000"/>
          <w:vertAlign w:val="subscript"/>
          <w:lang w:val="en-US"/>
        </w:rPr>
        <w:t>m</w:t>
      </w:r>
      <w:r w:rsidRPr="004E779D">
        <w:rPr>
          <w:rFonts w:eastAsia="Times New Roman" w:cs="Arial"/>
          <w:color w:val="000000"/>
          <w:vertAlign w:val="subscript"/>
          <w:lang w:eastAsia="bg-BG"/>
        </w:rPr>
        <w:t>ах</w:t>
      </w:r>
      <w:r w:rsidRPr="004E779D">
        <w:rPr>
          <w:rFonts w:eastAsia="Times New Roman" w:cs="Arial"/>
          <w:color w:val="000000"/>
          <w:lang w:eastAsia="bg-BG"/>
        </w:rPr>
        <w:t xml:space="preserve"> и </w:t>
      </w:r>
      <w:r w:rsidRPr="004E779D">
        <w:rPr>
          <w:rFonts w:eastAsia="Times New Roman" w:cs="Arial"/>
          <w:color w:val="000000"/>
          <w:lang w:val="en-US"/>
        </w:rPr>
        <w:t>AUC</w:t>
      </w:r>
      <w:r w:rsidRPr="004E779D">
        <w:rPr>
          <w:rFonts w:eastAsia="Times New Roman" w:cs="Arial"/>
          <w:color w:val="000000"/>
          <w:lang w:val="ru-RU"/>
        </w:rPr>
        <w:t xml:space="preserve"> </w:t>
      </w:r>
      <w:r w:rsidRPr="004E779D">
        <w:rPr>
          <w:rFonts w:eastAsia="Times New Roman" w:cs="Arial"/>
          <w:color w:val="000000"/>
          <w:lang w:eastAsia="bg-BG"/>
        </w:rPr>
        <w:t>при прием с храна не се считат за клинично значими при пациентите, нелекувани преди това с нуклеозиди, но може да повлияе на ефикасността при ламивудин-рефрактерните пациенти (вж. точка 4.2).</w:t>
      </w:r>
    </w:p>
    <w:p w14:paraId="35B4E3AE" w14:textId="77777777" w:rsidR="004E779D" w:rsidRPr="004E779D" w:rsidRDefault="004E779D" w:rsidP="004E779D">
      <w:pPr>
        <w:spacing w:line="240" w:lineRule="auto"/>
        <w:rPr>
          <w:rFonts w:eastAsia="Times New Roman" w:cs="Arial"/>
          <w:i/>
          <w:iCs/>
          <w:color w:val="000000"/>
          <w:lang w:eastAsia="bg-BG"/>
        </w:rPr>
      </w:pPr>
    </w:p>
    <w:p w14:paraId="77493AD6" w14:textId="0BD64229" w:rsidR="004E779D" w:rsidRPr="004E779D" w:rsidRDefault="004E779D" w:rsidP="004E779D">
      <w:pPr>
        <w:spacing w:line="240" w:lineRule="auto"/>
        <w:rPr>
          <w:rFonts w:eastAsia="Times New Roman" w:cs="Arial"/>
        </w:rPr>
      </w:pPr>
      <w:r w:rsidRPr="004E779D">
        <w:rPr>
          <w:rFonts w:eastAsia="Times New Roman" w:cs="Arial"/>
          <w:i/>
          <w:iCs/>
          <w:color w:val="000000"/>
          <w:lang w:eastAsia="bg-BG"/>
        </w:rPr>
        <w:t>Разпределение:</w:t>
      </w:r>
      <w:r w:rsidRPr="004E779D">
        <w:rPr>
          <w:rFonts w:eastAsia="Times New Roman" w:cs="Arial"/>
          <w:color w:val="000000"/>
          <w:lang w:eastAsia="bg-BG"/>
        </w:rPr>
        <w:t xml:space="preserve"> определеният обем на разпределение на ентекавир надхвърля общото количество на водата в организма. Свързването на протеините с човешкия серумен протеин </w:t>
      </w:r>
      <w:r w:rsidRPr="004E779D">
        <w:rPr>
          <w:rFonts w:eastAsia="Times New Roman" w:cs="Arial"/>
          <w:i/>
          <w:iCs/>
          <w:color w:val="000000"/>
          <w:lang w:val="en-US"/>
        </w:rPr>
        <w:t>in</w:t>
      </w:r>
      <w:r w:rsidRPr="004E779D">
        <w:rPr>
          <w:rFonts w:eastAsia="Times New Roman" w:cs="Arial"/>
          <w:i/>
          <w:iCs/>
          <w:color w:val="000000"/>
          <w:lang w:val="ru-RU"/>
        </w:rPr>
        <w:t xml:space="preserve"> </w:t>
      </w:r>
      <w:r w:rsidRPr="004E779D">
        <w:rPr>
          <w:rFonts w:eastAsia="Times New Roman" w:cs="Arial"/>
          <w:i/>
          <w:iCs/>
          <w:color w:val="000000"/>
          <w:lang w:val="en-US"/>
        </w:rPr>
        <w:t>vitro</w:t>
      </w:r>
      <w:r w:rsidRPr="004E779D">
        <w:rPr>
          <w:rFonts w:eastAsia="Times New Roman" w:cs="Arial"/>
          <w:color w:val="000000"/>
          <w:lang w:val="ru-RU"/>
        </w:rPr>
        <w:t xml:space="preserve"> </w:t>
      </w:r>
      <w:r w:rsidRPr="004E779D">
        <w:rPr>
          <w:rFonts w:eastAsia="Times New Roman" w:cs="Arial"/>
          <w:color w:val="000000"/>
          <w:lang w:eastAsia="bg-BG"/>
        </w:rPr>
        <w:t>е ≈13%.</w:t>
      </w:r>
    </w:p>
    <w:p w14:paraId="51886935" w14:textId="77777777" w:rsidR="004E779D" w:rsidRPr="004E779D" w:rsidRDefault="004E779D" w:rsidP="004E779D">
      <w:pPr>
        <w:spacing w:line="240" w:lineRule="auto"/>
        <w:rPr>
          <w:rFonts w:eastAsia="Times New Roman" w:cs="Arial"/>
          <w:i/>
          <w:iCs/>
          <w:color w:val="000000"/>
          <w:lang w:eastAsia="bg-BG"/>
        </w:rPr>
      </w:pPr>
    </w:p>
    <w:p w14:paraId="4F630A8B" w14:textId="778F5A4E" w:rsidR="004E779D" w:rsidRPr="004E779D" w:rsidRDefault="004E779D" w:rsidP="004E779D">
      <w:pPr>
        <w:spacing w:line="240" w:lineRule="auto"/>
        <w:rPr>
          <w:rFonts w:eastAsia="Times New Roman" w:cs="Arial"/>
        </w:rPr>
      </w:pPr>
      <w:r w:rsidRPr="004E779D">
        <w:rPr>
          <w:rFonts w:eastAsia="Times New Roman" w:cs="Arial"/>
          <w:i/>
          <w:iCs/>
          <w:color w:val="000000"/>
          <w:lang w:eastAsia="bg-BG"/>
        </w:rPr>
        <w:t>Биотрансформация:</w:t>
      </w:r>
      <w:r w:rsidRPr="004E779D">
        <w:rPr>
          <w:rFonts w:eastAsia="Times New Roman" w:cs="Arial"/>
          <w:color w:val="000000"/>
          <w:lang w:eastAsia="bg-BG"/>
        </w:rPr>
        <w:t xml:space="preserve"> ентекавир не е субстрат, инхибитор или индуктор на </w:t>
      </w:r>
      <w:r w:rsidRPr="004E779D">
        <w:rPr>
          <w:rFonts w:eastAsia="Times New Roman" w:cs="Arial"/>
          <w:color w:val="000000"/>
          <w:lang w:val="en-US"/>
        </w:rPr>
        <w:t>CYP</w:t>
      </w:r>
      <w:r w:rsidRPr="004E779D">
        <w:rPr>
          <w:rFonts w:eastAsia="Times New Roman" w:cs="Arial"/>
          <w:color w:val="000000"/>
          <w:lang w:val="ru-RU"/>
        </w:rPr>
        <w:t>450</w:t>
      </w:r>
    </w:p>
    <w:p w14:paraId="2598586E" w14:textId="77777777" w:rsidR="004E779D" w:rsidRPr="004E779D" w:rsidRDefault="004E779D" w:rsidP="004E779D">
      <w:pPr>
        <w:spacing w:line="240" w:lineRule="auto"/>
        <w:rPr>
          <w:rFonts w:eastAsia="Times New Roman" w:cs="Arial"/>
        </w:rPr>
      </w:pPr>
      <w:r w:rsidRPr="004E779D">
        <w:rPr>
          <w:rFonts w:eastAsia="Times New Roman" w:cs="Arial"/>
          <w:color w:val="000000"/>
          <w:lang w:eastAsia="bg-BG"/>
        </w:rPr>
        <w:t xml:space="preserve">ензимната система. След приложение на </w:t>
      </w:r>
      <w:r w:rsidRPr="004E779D">
        <w:rPr>
          <w:rFonts w:eastAsia="Times New Roman" w:cs="Arial"/>
          <w:color w:val="000000"/>
          <w:vertAlign w:val="superscript"/>
          <w:lang w:eastAsia="bg-BG"/>
        </w:rPr>
        <w:t>14</w:t>
      </w:r>
      <w:r w:rsidRPr="004E779D">
        <w:rPr>
          <w:rFonts w:eastAsia="Times New Roman" w:cs="Arial"/>
          <w:color w:val="000000"/>
          <w:lang w:eastAsia="bg-BG"/>
        </w:rPr>
        <w:t>С-ентекавир не са наблюдавани метаболити на оксидация или ацетилиране и малки количества от фаза II метаболитите и глюкороновите и сулфатните конюгати.</w:t>
      </w:r>
    </w:p>
    <w:p w14:paraId="181A9D7F" w14:textId="77777777" w:rsidR="004E779D" w:rsidRPr="004E779D" w:rsidRDefault="004E779D" w:rsidP="004E779D">
      <w:pPr>
        <w:spacing w:line="240" w:lineRule="auto"/>
        <w:rPr>
          <w:rFonts w:eastAsia="Times New Roman" w:cs="Arial"/>
          <w:i/>
          <w:iCs/>
          <w:color w:val="000000"/>
          <w:lang w:eastAsia="bg-BG"/>
        </w:rPr>
      </w:pPr>
    </w:p>
    <w:p w14:paraId="608536F2" w14:textId="7938EE4B" w:rsidR="004E779D" w:rsidRPr="004E779D" w:rsidRDefault="004E779D" w:rsidP="004E779D">
      <w:pPr>
        <w:spacing w:line="240" w:lineRule="auto"/>
        <w:rPr>
          <w:rFonts w:eastAsia="Times New Roman" w:cs="Arial"/>
        </w:rPr>
      </w:pPr>
      <w:r w:rsidRPr="004E779D">
        <w:rPr>
          <w:rFonts w:eastAsia="Times New Roman" w:cs="Arial"/>
          <w:i/>
          <w:iCs/>
          <w:color w:val="000000"/>
          <w:lang w:eastAsia="bg-BG"/>
        </w:rPr>
        <w:t>Елиминиране:</w:t>
      </w:r>
      <w:r w:rsidRPr="004E779D">
        <w:rPr>
          <w:rFonts w:eastAsia="Times New Roman" w:cs="Arial"/>
          <w:color w:val="000000"/>
          <w:lang w:eastAsia="bg-BG"/>
        </w:rPr>
        <w:t xml:space="preserve"> ентекавир се елиминира предимно през бъбреците с урината, където при стабилно състояние около 75% от дозата се отделя като непроменено лекарство. Бъбречният клирънс не зависи от дозата и варира между 360 - 471 </w:t>
      </w:r>
      <w:r w:rsidRPr="004E779D">
        <w:rPr>
          <w:rFonts w:eastAsia="Times New Roman" w:cs="Arial"/>
          <w:color w:val="000000"/>
          <w:lang w:val="en-US"/>
        </w:rPr>
        <w:t>ml</w:t>
      </w:r>
      <w:r w:rsidRPr="004E779D">
        <w:rPr>
          <w:rFonts w:eastAsia="Times New Roman" w:cs="Arial"/>
          <w:color w:val="000000"/>
          <w:lang w:val="ru-RU"/>
        </w:rPr>
        <w:t>/</w:t>
      </w:r>
      <w:r w:rsidRPr="004E779D">
        <w:rPr>
          <w:rFonts w:eastAsia="Times New Roman" w:cs="Arial"/>
          <w:color w:val="000000"/>
          <w:lang w:val="en-US"/>
        </w:rPr>
        <w:t>min</w:t>
      </w:r>
      <w:r w:rsidRPr="004E779D">
        <w:rPr>
          <w:rFonts w:eastAsia="Times New Roman" w:cs="Arial"/>
          <w:color w:val="000000"/>
          <w:lang w:val="ru-RU"/>
        </w:rPr>
        <w:t xml:space="preserve">, </w:t>
      </w:r>
      <w:r w:rsidRPr="004E779D">
        <w:rPr>
          <w:rFonts w:eastAsia="Times New Roman" w:cs="Arial"/>
          <w:color w:val="000000"/>
          <w:lang w:eastAsia="bg-BG"/>
        </w:rPr>
        <w:t>което показва, че ентекавир се подлага както на гломерулна филтрация, така и на нетна тубулна секреция. След достигането на пикови нива плазмените концентрации на ентекавир намаляват би- експоненциално, като крайният елиминационен полуживот е ≈ 128 - 149 часа.</w:t>
      </w:r>
    </w:p>
    <w:p w14:paraId="7199CA96" w14:textId="77777777" w:rsidR="004E779D" w:rsidRPr="004E779D" w:rsidRDefault="004E779D" w:rsidP="004E779D">
      <w:pPr>
        <w:spacing w:line="240" w:lineRule="auto"/>
        <w:rPr>
          <w:rFonts w:eastAsia="Times New Roman" w:cs="Arial"/>
        </w:rPr>
      </w:pPr>
      <w:r w:rsidRPr="004E779D">
        <w:rPr>
          <w:rFonts w:eastAsia="Times New Roman" w:cs="Arial"/>
          <w:color w:val="000000"/>
          <w:lang w:eastAsia="bg-BG"/>
        </w:rPr>
        <w:t>Наблюдаваният акумулационен индекс е ≈2 пъти при прием веднъж дневно, което предполага един ефективен акумулационен полуживот от около 24 часа.</w:t>
      </w:r>
    </w:p>
    <w:p w14:paraId="6482E6F1" w14:textId="77777777" w:rsidR="004E779D" w:rsidRPr="004E779D" w:rsidRDefault="004E779D" w:rsidP="004E779D">
      <w:pPr>
        <w:spacing w:line="240" w:lineRule="auto"/>
        <w:rPr>
          <w:rFonts w:eastAsia="Times New Roman" w:cs="Arial"/>
          <w:i/>
          <w:iCs/>
          <w:color w:val="000000"/>
          <w:lang w:eastAsia="bg-BG"/>
        </w:rPr>
      </w:pPr>
    </w:p>
    <w:p w14:paraId="33FDD32E" w14:textId="5018DA7E" w:rsidR="004E779D" w:rsidRPr="004E779D" w:rsidRDefault="004E779D" w:rsidP="004E779D">
      <w:pPr>
        <w:spacing w:line="240" w:lineRule="auto"/>
        <w:rPr>
          <w:rFonts w:eastAsia="Times New Roman" w:cs="Arial"/>
        </w:rPr>
      </w:pPr>
      <w:r w:rsidRPr="004E779D">
        <w:rPr>
          <w:rFonts w:eastAsia="Times New Roman" w:cs="Arial"/>
          <w:i/>
          <w:iCs/>
          <w:color w:val="000000"/>
          <w:lang w:eastAsia="bg-BG"/>
        </w:rPr>
        <w:t>Чернодробно увреждане:</w:t>
      </w:r>
      <w:r w:rsidRPr="004E779D">
        <w:rPr>
          <w:rFonts w:eastAsia="Times New Roman" w:cs="Arial"/>
          <w:color w:val="000000"/>
          <w:lang w:eastAsia="bg-BG"/>
        </w:rPr>
        <w:t xml:space="preserve"> фармакокинетичните параметри при пациенти с умерено до тежко чернодробно нарушение са подобни на тези при пациентите с нормална чернодробна функция.</w:t>
      </w:r>
    </w:p>
    <w:p w14:paraId="6CB635DF" w14:textId="77777777" w:rsidR="004E779D" w:rsidRPr="004E779D" w:rsidRDefault="004E779D" w:rsidP="004E779D">
      <w:pPr>
        <w:rPr>
          <w:rFonts w:eastAsia="Times New Roman" w:cs="Arial"/>
          <w:i/>
          <w:iCs/>
          <w:color w:val="000000"/>
          <w:lang w:eastAsia="bg-BG"/>
        </w:rPr>
      </w:pPr>
    </w:p>
    <w:p w14:paraId="515F2393" w14:textId="433CD88D" w:rsidR="004E779D" w:rsidRDefault="004E779D" w:rsidP="004E779D">
      <w:pPr>
        <w:rPr>
          <w:rFonts w:eastAsia="Times New Roman" w:cs="Arial"/>
          <w:color w:val="000000"/>
          <w:lang w:eastAsia="bg-BG"/>
        </w:rPr>
      </w:pPr>
      <w:r w:rsidRPr="004E779D">
        <w:rPr>
          <w:rFonts w:eastAsia="Times New Roman" w:cs="Arial"/>
          <w:i/>
          <w:iCs/>
          <w:color w:val="000000"/>
          <w:lang w:eastAsia="bg-BG"/>
        </w:rPr>
        <w:t>Бъбречно увреждане:</w:t>
      </w:r>
      <w:r w:rsidRPr="004E779D">
        <w:rPr>
          <w:rFonts w:eastAsia="Times New Roman" w:cs="Arial"/>
          <w:color w:val="000000"/>
          <w:lang w:eastAsia="bg-BG"/>
        </w:rPr>
        <w:t xml:space="preserve"> клирънсът на ентекавир намалява с понижението на креатининовия клирънс. При 4-часова хемодиализа се отделя ≈ 13% от дозата и 0,3% с помощта на </w:t>
      </w:r>
      <w:r w:rsidRPr="004E779D">
        <w:rPr>
          <w:rFonts w:eastAsia="Times New Roman" w:cs="Arial"/>
          <w:color w:val="000000"/>
          <w:lang w:val="en-US"/>
        </w:rPr>
        <w:t>CAPD</w:t>
      </w:r>
      <w:r w:rsidRPr="004E779D">
        <w:rPr>
          <w:rFonts w:eastAsia="Times New Roman" w:cs="Arial"/>
          <w:color w:val="000000"/>
          <w:lang w:eastAsia="bg-BG"/>
        </w:rPr>
        <w:t xml:space="preserve"> В таблицата по-долу са представени фармакокинетичните параметри</w:t>
      </w:r>
      <w:r w:rsidRPr="004E779D">
        <w:rPr>
          <w:rFonts w:eastAsia="Times New Roman" w:cs="Arial"/>
          <w:color w:val="000000"/>
          <w:lang w:val="ru-RU"/>
        </w:rPr>
        <w:t xml:space="preserve"> </w:t>
      </w:r>
      <w:r w:rsidRPr="004E779D">
        <w:rPr>
          <w:rFonts w:eastAsia="Times New Roman" w:cs="Arial"/>
          <w:color w:val="000000"/>
          <w:lang w:eastAsia="bg-BG"/>
        </w:rPr>
        <w:t xml:space="preserve">на ентекавир </w:t>
      </w:r>
      <w:r w:rsidRPr="004E779D">
        <w:rPr>
          <w:rFonts w:eastAsia="Times New Roman" w:cs="Arial"/>
          <w:color w:val="000000"/>
          <w:lang w:eastAsia="bg-BG"/>
        </w:rPr>
        <w:lastRenderedPageBreak/>
        <w:t xml:space="preserve">след приложение на еднократна доза от 1 </w:t>
      </w:r>
      <w:r w:rsidRPr="004E779D">
        <w:rPr>
          <w:rFonts w:eastAsia="Times New Roman" w:cs="Arial"/>
          <w:color w:val="000000"/>
          <w:lang w:val="en-US"/>
        </w:rPr>
        <w:t>mg</w:t>
      </w:r>
      <w:r w:rsidRPr="004E779D">
        <w:rPr>
          <w:rFonts w:eastAsia="Times New Roman" w:cs="Arial"/>
          <w:color w:val="000000"/>
          <w:lang w:val="ru-RU"/>
        </w:rPr>
        <w:t xml:space="preserve"> </w:t>
      </w:r>
      <w:r w:rsidRPr="004E779D">
        <w:rPr>
          <w:rFonts w:eastAsia="Times New Roman" w:cs="Arial"/>
          <w:color w:val="000000"/>
          <w:lang w:eastAsia="bg-BG"/>
        </w:rPr>
        <w:t>(при пациенти без хронична инфекция с хепатит В):</w:t>
      </w:r>
    </w:p>
    <w:p w14:paraId="104C68BA" w14:textId="5E5A5054" w:rsidR="004E779D" w:rsidRDefault="004E779D" w:rsidP="004E779D">
      <w:pPr>
        <w:rPr>
          <w:rFonts w:eastAsia="Times New Roman" w:cs="Arial"/>
          <w:color w:val="000000"/>
          <w:lang w:eastAsia="bg-BG"/>
        </w:rPr>
      </w:pPr>
    </w:p>
    <w:tbl>
      <w:tblPr>
        <w:tblStyle w:val="TableGrid"/>
        <w:tblW w:w="0" w:type="auto"/>
        <w:tblLook w:val="04A0" w:firstRow="1" w:lastRow="0" w:firstColumn="1" w:lastColumn="0" w:noHBand="0" w:noVBand="1"/>
      </w:tblPr>
      <w:tblGrid>
        <w:gridCol w:w="1408"/>
        <w:gridCol w:w="1265"/>
        <w:gridCol w:w="1242"/>
        <w:gridCol w:w="1303"/>
        <w:gridCol w:w="1251"/>
        <w:gridCol w:w="1571"/>
        <w:gridCol w:w="1310"/>
      </w:tblGrid>
      <w:tr w:rsidR="004E779D" w14:paraId="25935551" w14:textId="77777777" w:rsidTr="004B45F0">
        <w:tc>
          <w:tcPr>
            <w:tcW w:w="9576" w:type="dxa"/>
            <w:gridSpan w:val="7"/>
          </w:tcPr>
          <w:p w14:paraId="112723C1" w14:textId="4DDDBBE6" w:rsidR="004E779D" w:rsidRPr="000959C1" w:rsidRDefault="004E779D" w:rsidP="004E779D">
            <w:pPr>
              <w:jc w:val="center"/>
              <w:rPr>
                <w:rFonts w:cs="Arial"/>
              </w:rPr>
            </w:pPr>
            <w:r w:rsidRPr="000959C1">
              <w:rPr>
                <w:lang w:eastAsia="bg-BG"/>
              </w:rPr>
              <w:t xml:space="preserve">Изходно ниво на креатининовия клирънс </w:t>
            </w:r>
            <w:r w:rsidRPr="000959C1">
              <w:rPr>
                <w:lang w:val="ru-RU"/>
              </w:rPr>
              <w:t>(</w:t>
            </w:r>
            <w:r w:rsidRPr="000959C1">
              <w:rPr>
                <w:lang w:val="en-US"/>
              </w:rPr>
              <w:t>ml</w:t>
            </w:r>
            <w:r w:rsidRPr="000959C1">
              <w:rPr>
                <w:lang w:val="ru-RU"/>
              </w:rPr>
              <w:t>/</w:t>
            </w:r>
            <w:r w:rsidRPr="000959C1">
              <w:rPr>
                <w:lang w:val="en-US"/>
              </w:rPr>
              <w:t>min</w:t>
            </w:r>
            <w:r w:rsidRPr="000959C1">
              <w:rPr>
                <w:lang w:val="ru-RU"/>
              </w:rPr>
              <w:t>)</w:t>
            </w:r>
          </w:p>
        </w:tc>
      </w:tr>
      <w:tr w:rsidR="004E779D" w14:paraId="145DC8B8" w14:textId="77777777" w:rsidTr="004E779D">
        <w:tc>
          <w:tcPr>
            <w:tcW w:w="1500" w:type="dxa"/>
          </w:tcPr>
          <w:p w14:paraId="203CD2BA" w14:textId="77777777" w:rsidR="004E779D" w:rsidRPr="000959C1" w:rsidRDefault="004E779D" w:rsidP="004E779D">
            <w:pPr>
              <w:rPr>
                <w:rFonts w:cs="Arial"/>
              </w:rPr>
            </w:pPr>
          </w:p>
        </w:tc>
        <w:tc>
          <w:tcPr>
            <w:tcW w:w="1346" w:type="dxa"/>
          </w:tcPr>
          <w:p w14:paraId="19B063F9" w14:textId="77777777" w:rsidR="004E779D" w:rsidRPr="000959C1" w:rsidRDefault="004E779D" w:rsidP="004E779D">
            <w:r w:rsidRPr="000959C1">
              <w:rPr>
                <w:lang w:eastAsia="bg-BG"/>
              </w:rPr>
              <w:t>Без</w:t>
            </w:r>
          </w:p>
          <w:p w14:paraId="586CFC4A" w14:textId="1EF8177C" w:rsidR="004E779D" w:rsidRPr="000959C1" w:rsidRDefault="004E779D" w:rsidP="004E779D">
            <w:pPr>
              <w:rPr>
                <w:rFonts w:cs="Arial"/>
              </w:rPr>
            </w:pPr>
            <w:r w:rsidRPr="000959C1">
              <w:t>&gt;80</w:t>
            </w:r>
          </w:p>
        </w:tc>
        <w:tc>
          <w:tcPr>
            <w:tcW w:w="1346" w:type="dxa"/>
          </w:tcPr>
          <w:p w14:paraId="2EA9A339" w14:textId="77777777" w:rsidR="004E779D" w:rsidRPr="000959C1" w:rsidRDefault="004E779D" w:rsidP="004E779D">
            <w:r w:rsidRPr="000959C1">
              <w:rPr>
                <w:lang w:eastAsia="bg-BG"/>
              </w:rPr>
              <w:t>Леко</w:t>
            </w:r>
          </w:p>
          <w:p w14:paraId="3CE79DDF" w14:textId="77777777" w:rsidR="004E779D" w:rsidRPr="000959C1" w:rsidRDefault="004E779D" w:rsidP="004E779D">
            <w:r w:rsidRPr="000959C1">
              <w:t>&gt;50;</w:t>
            </w:r>
          </w:p>
          <w:p w14:paraId="6817911A" w14:textId="75DBBE85" w:rsidR="004E779D" w:rsidRPr="000959C1" w:rsidRDefault="000959C1" w:rsidP="004E779D">
            <w:pPr>
              <w:rPr>
                <w:rFonts w:cs="Arial"/>
              </w:rPr>
            </w:pPr>
            <w:r w:rsidRPr="000959C1">
              <w:t>≤</w:t>
            </w:r>
            <w:r w:rsidR="004E779D" w:rsidRPr="000959C1">
              <w:t>80</w:t>
            </w:r>
          </w:p>
        </w:tc>
        <w:tc>
          <w:tcPr>
            <w:tcW w:w="1346" w:type="dxa"/>
          </w:tcPr>
          <w:p w14:paraId="497EDC68" w14:textId="77777777" w:rsidR="004E779D" w:rsidRPr="000959C1" w:rsidRDefault="004E779D" w:rsidP="004E779D">
            <w:r w:rsidRPr="000959C1">
              <w:rPr>
                <w:lang w:eastAsia="bg-BG"/>
              </w:rPr>
              <w:t>Умерено</w:t>
            </w:r>
          </w:p>
          <w:p w14:paraId="6B2673B3" w14:textId="22DA5B9F" w:rsidR="004E779D" w:rsidRPr="000959C1" w:rsidRDefault="004E779D" w:rsidP="004E779D">
            <w:pPr>
              <w:rPr>
                <w:rFonts w:cs="Arial"/>
              </w:rPr>
            </w:pPr>
            <w:r w:rsidRPr="000959C1">
              <w:t>30-50</w:t>
            </w:r>
          </w:p>
        </w:tc>
        <w:tc>
          <w:tcPr>
            <w:tcW w:w="1346" w:type="dxa"/>
          </w:tcPr>
          <w:p w14:paraId="2DF9B46F" w14:textId="77777777" w:rsidR="004E779D" w:rsidRPr="000959C1" w:rsidRDefault="004E779D" w:rsidP="004E779D">
            <w:r w:rsidRPr="000959C1">
              <w:rPr>
                <w:lang w:eastAsia="bg-BG"/>
              </w:rPr>
              <w:t>Тежко</w:t>
            </w:r>
          </w:p>
          <w:p w14:paraId="5F8BDFB6" w14:textId="77777777" w:rsidR="004E779D" w:rsidRPr="000959C1" w:rsidRDefault="004E779D" w:rsidP="004E779D">
            <w:r w:rsidRPr="000959C1">
              <w:t>20-</w:t>
            </w:r>
          </w:p>
          <w:p w14:paraId="3D319163" w14:textId="14123DB5" w:rsidR="004E779D" w:rsidRPr="000959C1" w:rsidRDefault="004E779D" w:rsidP="004E779D">
            <w:pPr>
              <w:rPr>
                <w:rFonts w:cs="Arial"/>
              </w:rPr>
            </w:pPr>
            <w:r w:rsidRPr="000959C1">
              <w:t>&lt;30</w:t>
            </w:r>
          </w:p>
        </w:tc>
        <w:tc>
          <w:tcPr>
            <w:tcW w:w="1346" w:type="dxa"/>
          </w:tcPr>
          <w:p w14:paraId="31A36A71" w14:textId="1AD61482" w:rsidR="004E779D" w:rsidRPr="000959C1" w:rsidRDefault="004E779D" w:rsidP="004E779D">
            <w:pPr>
              <w:rPr>
                <w:rFonts w:cs="Arial"/>
              </w:rPr>
            </w:pPr>
            <w:r w:rsidRPr="000959C1">
              <w:rPr>
                <w:lang w:eastAsia="bg-BG"/>
              </w:rPr>
              <w:t xml:space="preserve">Тежко лекувано </w:t>
            </w:r>
            <w:r w:rsidRPr="000959C1">
              <w:t xml:space="preserve">c </w:t>
            </w:r>
            <w:r w:rsidRPr="000959C1">
              <w:rPr>
                <w:lang w:eastAsia="bg-BG"/>
              </w:rPr>
              <w:t>хемодиализа</w:t>
            </w:r>
          </w:p>
        </w:tc>
        <w:tc>
          <w:tcPr>
            <w:tcW w:w="1346" w:type="dxa"/>
          </w:tcPr>
          <w:p w14:paraId="653744F8" w14:textId="21DD8B35" w:rsidR="004E779D" w:rsidRPr="000959C1" w:rsidRDefault="004E779D" w:rsidP="004E779D">
            <w:pPr>
              <w:rPr>
                <w:rFonts w:cs="Arial"/>
              </w:rPr>
            </w:pPr>
            <w:r w:rsidRPr="000959C1">
              <w:rPr>
                <w:lang w:eastAsia="bg-BG"/>
              </w:rPr>
              <w:t xml:space="preserve">Тежко лекувано с </w:t>
            </w:r>
            <w:r w:rsidRPr="000959C1">
              <w:t>CAPD</w:t>
            </w:r>
          </w:p>
        </w:tc>
      </w:tr>
      <w:tr w:rsidR="004E779D" w14:paraId="4CF36F5A" w14:textId="77777777" w:rsidTr="004E779D">
        <w:tc>
          <w:tcPr>
            <w:tcW w:w="1500" w:type="dxa"/>
          </w:tcPr>
          <w:p w14:paraId="6CEA0086" w14:textId="77777777" w:rsidR="004E779D" w:rsidRPr="000959C1" w:rsidRDefault="004E779D" w:rsidP="004E779D">
            <w:pPr>
              <w:rPr>
                <w:rFonts w:cs="Arial"/>
              </w:rPr>
            </w:pPr>
          </w:p>
        </w:tc>
        <w:tc>
          <w:tcPr>
            <w:tcW w:w="1346" w:type="dxa"/>
          </w:tcPr>
          <w:p w14:paraId="68231208" w14:textId="4B322AC6" w:rsidR="004E779D" w:rsidRPr="000959C1" w:rsidRDefault="004E779D" w:rsidP="004E779D">
            <w:pPr>
              <w:rPr>
                <w:rFonts w:cs="Arial"/>
              </w:rPr>
            </w:pPr>
            <w:r w:rsidRPr="000959C1">
              <w:t>(n = 6)</w:t>
            </w:r>
          </w:p>
        </w:tc>
        <w:tc>
          <w:tcPr>
            <w:tcW w:w="1346" w:type="dxa"/>
          </w:tcPr>
          <w:p w14:paraId="2477B8C4" w14:textId="5E9FC272" w:rsidR="004E779D" w:rsidRPr="000959C1" w:rsidRDefault="004E779D" w:rsidP="004E779D">
            <w:pPr>
              <w:rPr>
                <w:rFonts w:cs="Arial"/>
              </w:rPr>
            </w:pPr>
            <w:r w:rsidRPr="000959C1">
              <w:t>(n = 6)</w:t>
            </w:r>
          </w:p>
        </w:tc>
        <w:tc>
          <w:tcPr>
            <w:tcW w:w="1346" w:type="dxa"/>
          </w:tcPr>
          <w:p w14:paraId="1FF7F459" w14:textId="31F38B6C" w:rsidR="004E779D" w:rsidRPr="000959C1" w:rsidRDefault="004E779D" w:rsidP="004E779D">
            <w:pPr>
              <w:rPr>
                <w:rFonts w:cs="Arial"/>
              </w:rPr>
            </w:pPr>
            <w:r w:rsidRPr="000959C1">
              <w:t>(n = 6)</w:t>
            </w:r>
          </w:p>
        </w:tc>
        <w:tc>
          <w:tcPr>
            <w:tcW w:w="1346" w:type="dxa"/>
          </w:tcPr>
          <w:p w14:paraId="0665B634" w14:textId="6738794F" w:rsidR="004E779D" w:rsidRPr="000959C1" w:rsidRDefault="004E779D" w:rsidP="004E779D">
            <w:pPr>
              <w:rPr>
                <w:rFonts w:cs="Arial"/>
              </w:rPr>
            </w:pPr>
            <w:r w:rsidRPr="000959C1">
              <w:t>(n = 6)</w:t>
            </w:r>
          </w:p>
        </w:tc>
        <w:tc>
          <w:tcPr>
            <w:tcW w:w="1346" w:type="dxa"/>
          </w:tcPr>
          <w:p w14:paraId="070BA164" w14:textId="7C92CC0C" w:rsidR="004E779D" w:rsidRPr="000959C1" w:rsidRDefault="004E779D" w:rsidP="004E779D">
            <w:pPr>
              <w:rPr>
                <w:rFonts w:cs="Arial"/>
              </w:rPr>
            </w:pPr>
            <w:r w:rsidRPr="000959C1">
              <w:t>(n = 6)</w:t>
            </w:r>
          </w:p>
        </w:tc>
        <w:tc>
          <w:tcPr>
            <w:tcW w:w="1346" w:type="dxa"/>
          </w:tcPr>
          <w:p w14:paraId="643B2B27" w14:textId="26AAEE55" w:rsidR="004E779D" w:rsidRPr="000959C1" w:rsidRDefault="004E779D" w:rsidP="004E779D">
            <w:pPr>
              <w:rPr>
                <w:rFonts w:cs="Arial"/>
              </w:rPr>
            </w:pPr>
            <w:r w:rsidRPr="000959C1">
              <w:rPr>
                <w:lang w:eastAsia="bg-BG"/>
              </w:rPr>
              <w:t>(п = 4)</w:t>
            </w:r>
          </w:p>
        </w:tc>
      </w:tr>
      <w:tr w:rsidR="004E779D" w14:paraId="5084EF3C" w14:textId="77777777" w:rsidTr="004E779D">
        <w:tc>
          <w:tcPr>
            <w:tcW w:w="1500" w:type="dxa"/>
          </w:tcPr>
          <w:p w14:paraId="3203B706" w14:textId="06860408" w:rsidR="004E779D" w:rsidRPr="000959C1" w:rsidRDefault="004E779D" w:rsidP="004E779D">
            <w:pPr>
              <w:rPr>
                <w:rFonts w:cs="Arial"/>
              </w:rPr>
            </w:pPr>
            <w:r w:rsidRPr="000959C1">
              <w:t>C</w:t>
            </w:r>
            <w:r w:rsidRPr="000959C1">
              <w:rPr>
                <w:vertAlign w:val="subscript"/>
              </w:rPr>
              <w:t xml:space="preserve">max </w:t>
            </w:r>
            <w:r w:rsidRPr="000959C1">
              <w:t>(ng/ml) (CV%)</w:t>
            </w:r>
          </w:p>
        </w:tc>
        <w:tc>
          <w:tcPr>
            <w:tcW w:w="1346" w:type="dxa"/>
          </w:tcPr>
          <w:p w14:paraId="5E554F84" w14:textId="77777777" w:rsidR="004E779D" w:rsidRPr="000959C1" w:rsidRDefault="004E779D" w:rsidP="004E779D">
            <w:r w:rsidRPr="000959C1">
              <w:t>8,1</w:t>
            </w:r>
          </w:p>
          <w:p w14:paraId="53912729" w14:textId="09D86607" w:rsidR="004E779D" w:rsidRPr="000959C1" w:rsidRDefault="004E779D" w:rsidP="004E779D">
            <w:pPr>
              <w:rPr>
                <w:rFonts w:cs="Arial"/>
              </w:rPr>
            </w:pPr>
            <w:r w:rsidRPr="000959C1">
              <w:t>(30,7)</w:t>
            </w:r>
          </w:p>
        </w:tc>
        <w:tc>
          <w:tcPr>
            <w:tcW w:w="1346" w:type="dxa"/>
          </w:tcPr>
          <w:p w14:paraId="4DCEE3AC" w14:textId="77777777" w:rsidR="004E779D" w:rsidRPr="000959C1" w:rsidRDefault="004E779D" w:rsidP="004E779D">
            <w:r w:rsidRPr="000959C1">
              <w:t>10,4</w:t>
            </w:r>
          </w:p>
          <w:p w14:paraId="029842C4" w14:textId="1501221E" w:rsidR="004E779D" w:rsidRPr="000959C1" w:rsidRDefault="004E779D" w:rsidP="004E779D">
            <w:pPr>
              <w:rPr>
                <w:rFonts w:cs="Arial"/>
              </w:rPr>
            </w:pPr>
            <w:r w:rsidRPr="000959C1">
              <w:t>(37,2)</w:t>
            </w:r>
          </w:p>
        </w:tc>
        <w:tc>
          <w:tcPr>
            <w:tcW w:w="1346" w:type="dxa"/>
          </w:tcPr>
          <w:p w14:paraId="67868A33" w14:textId="77777777" w:rsidR="004E779D" w:rsidRPr="000959C1" w:rsidRDefault="004E779D" w:rsidP="004E779D">
            <w:r w:rsidRPr="000959C1">
              <w:t>10,5</w:t>
            </w:r>
          </w:p>
          <w:p w14:paraId="2645F7C7" w14:textId="2F70B44C" w:rsidR="004E779D" w:rsidRPr="000959C1" w:rsidRDefault="004E779D" w:rsidP="004E779D">
            <w:pPr>
              <w:rPr>
                <w:rFonts w:cs="Arial"/>
              </w:rPr>
            </w:pPr>
            <w:r w:rsidRPr="000959C1">
              <w:t>(22,7)</w:t>
            </w:r>
          </w:p>
        </w:tc>
        <w:tc>
          <w:tcPr>
            <w:tcW w:w="1346" w:type="dxa"/>
          </w:tcPr>
          <w:p w14:paraId="11C1A56C" w14:textId="77777777" w:rsidR="004E779D" w:rsidRPr="000959C1" w:rsidRDefault="004E779D" w:rsidP="004E779D">
            <w:r w:rsidRPr="000959C1">
              <w:t>15,3</w:t>
            </w:r>
          </w:p>
          <w:p w14:paraId="653F44F7" w14:textId="4CF3E398" w:rsidR="004E779D" w:rsidRPr="000959C1" w:rsidRDefault="004E779D" w:rsidP="004E779D">
            <w:pPr>
              <w:rPr>
                <w:rFonts w:cs="Arial"/>
              </w:rPr>
            </w:pPr>
            <w:r w:rsidRPr="000959C1">
              <w:t>(33,8)</w:t>
            </w:r>
          </w:p>
        </w:tc>
        <w:tc>
          <w:tcPr>
            <w:tcW w:w="1346" w:type="dxa"/>
          </w:tcPr>
          <w:p w14:paraId="436F235F" w14:textId="77777777" w:rsidR="004E779D" w:rsidRPr="000959C1" w:rsidRDefault="004E779D" w:rsidP="004E779D">
            <w:r w:rsidRPr="000959C1">
              <w:rPr>
                <w:lang w:eastAsia="bg-BG"/>
              </w:rPr>
              <w:t>15,4</w:t>
            </w:r>
          </w:p>
          <w:p w14:paraId="4745A700" w14:textId="19ACD598" w:rsidR="004E779D" w:rsidRPr="000959C1" w:rsidRDefault="004E779D" w:rsidP="004E779D">
            <w:pPr>
              <w:rPr>
                <w:rFonts w:cs="Arial"/>
              </w:rPr>
            </w:pPr>
            <w:r w:rsidRPr="000959C1">
              <w:rPr>
                <w:lang w:eastAsia="bg-BG"/>
              </w:rPr>
              <w:t>(56,4)</w:t>
            </w:r>
          </w:p>
        </w:tc>
        <w:tc>
          <w:tcPr>
            <w:tcW w:w="1346" w:type="dxa"/>
          </w:tcPr>
          <w:p w14:paraId="168AF925" w14:textId="77777777" w:rsidR="004E779D" w:rsidRPr="000959C1" w:rsidRDefault="004E779D" w:rsidP="004E779D">
            <w:r w:rsidRPr="000959C1">
              <w:rPr>
                <w:lang w:eastAsia="bg-BG"/>
              </w:rPr>
              <w:t>16,6</w:t>
            </w:r>
          </w:p>
          <w:p w14:paraId="56247AB9" w14:textId="6C84BA82" w:rsidR="004E779D" w:rsidRPr="000959C1" w:rsidRDefault="004E779D" w:rsidP="004E779D">
            <w:pPr>
              <w:rPr>
                <w:rFonts w:cs="Arial"/>
              </w:rPr>
            </w:pPr>
            <w:r w:rsidRPr="000959C1">
              <w:rPr>
                <w:lang w:eastAsia="bg-BG"/>
              </w:rPr>
              <w:t>(29,7)</w:t>
            </w:r>
          </w:p>
        </w:tc>
      </w:tr>
      <w:tr w:rsidR="004E779D" w14:paraId="3967057A" w14:textId="77777777" w:rsidTr="004E779D">
        <w:tc>
          <w:tcPr>
            <w:tcW w:w="1500" w:type="dxa"/>
          </w:tcPr>
          <w:p w14:paraId="16DABD72" w14:textId="3AF404AA" w:rsidR="004E779D" w:rsidRPr="000959C1" w:rsidRDefault="004E779D" w:rsidP="004E779D">
            <w:pPr>
              <w:rPr>
                <w:rFonts w:cs="Arial"/>
              </w:rPr>
            </w:pPr>
            <w:r w:rsidRPr="000959C1">
              <w:t>AUC</w:t>
            </w:r>
            <w:r w:rsidRPr="000959C1">
              <w:rPr>
                <w:vertAlign w:val="subscript"/>
              </w:rPr>
              <w:t>(0-T)</w:t>
            </w:r>
          </w:p>
        </w:tc>
        <w:tc>
          <w:tcPr>
            <w:tcW w:w="1346" w:type="dxa"/>
          </w:tcPr>
          <w:p w14:paraId="60A2806D" w14:textId="3E63B5EA" w:rsidR="004E779D" w:rsidRPr="000959C1" w:rsidRDefault="004E779D" w:rsidP="004E779D">
            <w:pPr>
              <w:rPr>
                <w:rFonts w:cs="Arial"/>
              </w:rPr>
            </w:pPr>
            <w:r w:rsidRPr="000959C1">
              <w:t>27,9</w:t>
            </w:r>
          </w:p>
        </w:tc>
        <w:tc>
          <w:tcPr>
            <w:tcW w:w="1346" w:type="dxa"/>
          </w:tcPr>
          <w:p w14:paraId="5525B069" w14:textId="1246A8C7" w:rsidR="004E779D" w:rsidRPr="000959C1" w:rsidRDefault="004E779D" w:rsidP="004E779D">
            <w:pPr>
              <w:rPr>
                <w:rFonts w:cs="Arial"/>
              </w:rPr>
            </w:pPr>
            <w:r w:rsidRPr="000959C1">
              <w:t>51,5</w:t>
            </w:r>
          </w:p>
        </w:tc>
        <w:tc>
          <w:tcPr>
            <w:tcW w:w="1346" w:type="dxa"/>
          </w:tcPr>
          <w:p w14:paraId="21ED8BAE" w14:textId="3BC59ACF" w:rsidR="004E779D" w:rsidRPr="000959C1" w:rsidRDefault="004E779D" w:rsidP="004E779D">
            <w:pPr>
              <w:rPr>
                <w:rFonts w:cs="Arial"/>
              </w:rPr>
            </w:pPr>
            <w:r w:rsidRPr="000959C1">
              <w:t>69,5</w:t>
            </w:r>
          </w:p>
        </w:tc>
        <w:tc>
          <w:tcPr>
            <w:tcW w:w="1346" w:type="dxa"/>
          </w:tcPr>
          <w:p w14:paraId="31145C64" w14:textId="26D0B9BD" w:rsidR="004E779D" w:rsidRPr="000959C1" w:rsidRDefault="004E779D" w:rsidP="004E779D">
            <w:pPr>
              <w:rPr>
                <w:rFonts w:cs="Arial"/>
              </w:rPr>
            </w:pPr>
            <w:r w:rsidRPr="000959C1">
              <w:t>145,7</w:t>
            </w:r>
          </w:p>
        </w:tc>
        <w:tc>
          <w:tcPr>
            <w:tcW w:w="1346" w:type="dxa"/>
          </w:tcPr>
          <w:p w14:paraId="75293B6C" w14:textId="30724687" w:rsidR="004E779D" w:rsidRPr="000959C1" w:rsidRDefault="004E779D" w:rsidP="004E779D">
            <w:pPr>
              <w:rPr>
                <w:rFonts w:cs="Arial"/>
              </w:rPr>
            </w:pPr>
            <w:r w:rsidRPr="000959C1">
              <w:rPr>
                <w:lang w:eastAsia="bg-BG"/>
              </w:rPr>
              <w:t>233,9</w:t>
            </w:r>
          </w:p>
        </w:tc>
        <w:tc>
          <w:tcPr>
            <w:tcW w:w="1346" w:type="dxa"/>
          </w:tcPr>
          <w:p w14:paraId="49D988EF" w14:textId="2B086BBB" w:rsidR="004E779D" w:rsidRPr="000959C1" w:rsidRDefault="004E779D" w:rsidP="004E779D">
            <w:pPr>
              <w:rPr>
                <w:rFonts w:cs="Arial"/>
              </w:rPr>
            </w:pPr>
            <w:r w:rsidRPr="000959C1">
              <w:rPr>
                <w:lang w:eastAsia="bg-BG"/>
              </w:rPr>
              <w:t>221,8</w:t>
            </w:r>
          </w:p>
        </w:tc>
      </w:tr>
      <w:tr w:rsidR="004E779D" w14:paraId="5490C122" w14:textId="77777777" w:rsidTr="004E779D">
        <w:tc>
          <w:tcPr>
            <w:tcW w:w="1500" w:type="dxa"/>
          </w:tcPr>
          <w:p w14:paraId="4049EC31" w14:textId="7D19B1BB" w:rsidR="004E779D" w:rsidRPr="000959C1" w:rsidRDefault="004E779D" w:rsidP="004E779D">
            <w:pPr>
              <w:rPr>
                <w:rFonts w:cs="Arial"/>
              </w:rPr>
            </w:pPr>
            <w:r w:rsidRPr="000959C1">
              <w:t>(ng</w:t>
            </w:r>
            <w:r w:rsidRPr="000959C1">
              <w:rPr>
                <w:vertAlign w:val="superscript"/>
              </w:rPr>
              <w:t>.</w:t>
            </w:r>
            <w:r w:rsidRPr="000959C1">
              <w:t>h /ml) (CV)</w:t>
            </w:r>
          </w:p>
        </w:tc>
        <w:tc>
          <w:tcPr>
            <w:tcW w:w="1346" w:type="dxa"/>
          </w:tcPr>
          <w:p w14:paraId="6EF6E997" w14:textId="5DC45A1A" w:rsidR="004E779D" w:rsidRPr="000959C1" w:rsidRDefault="004E779D" w:rsidP="004E779D">
            <w:pPr>
              <w:rPr>
                <w:rFonts w:cs="Arial"/>
              </w:rPr>
            </w:pPr>
            <w:r w:rsidRPr="000959C1">
              <w:t>(25,6)</w:t>
            </w:r>
          </w:p>
        </w:tc>
        <w:tc>
          <w:tcPr>
            <w:tcW w:w="1346" w:type="dxa"/>
          </w:tcPr>
          <w:p w14:paraId="116C453D" w14:textId="50C18B5C" w:rsidR="004E779D" w:rsidRPr="000959C1" w:rsidRDefault="004E779D" w:rsidP="004E779D">
            <w:pPr>
              <w:rPr>
                <w:rFonts w:cs="Arial"/>
              </w:rPr>
            </w:pPr>
            <w:r w:rsidRPr="000959C1">
              <w:t>(22,8)</w:t>
            </w:r>
          </w:p>
        </w:tc>
        <w:tc>
          <w:tcPr>
            <w:tcW w:w="1346" w:type="dxa"/>
          </w:tcPr>
          <w:p w14:paraId="01A8E08C" w14:textId="2C0C2230" w:rsidR="004E779D" w:rsidRPr="000959C1" w:rsidRDefault="004E779D" w:rsidP="004E779D">
            <w:pPr>
              <w:rPr>
                <w:rFonts w:cs="Arial"/>
              </w:rPr>
            </w:pPr>
            <w:r w:rsidRPr="000959C1">
              <w:t>(22,7)</w:t>
            </w:r>
          </w:p>
        </w:tc>
        <w:tc>
          <w:tcPr>
            <w:tcW w:w="1346" w:type="dxa"/>
          </w:tcPr>
          <w:p w14:paraId="46BB14DB" w14:textId="68885624" w:rsidR="004E779D" w:rsidRPr="000959C1" w:rsidRDefault="004E779D" w:rsidP="004E779D">
            <w:pPr>
              <w:rPr>
                <w:rFonts w:cs="Arial"/>
              </w:rPr>
            </w:pPr>
            <w:r w:rsidRPr="000959C1">
              <w:t>(31,5)</w:t>
            </w:r>
          </w:p>
        </w:tc>
        <w:tc>
          <w:tcPr>
            <w:tcW w:w="1346" w:type="dxa"/>
          </w:tcPr>
          <w:p w14:paraId="121BDFAB" w14:textId="515D8097" w:rsidR="004E779D" w:rsidRPr="000959C1" w:rsidRDefault="004E779D" w:rsidP="004E779D">
            <w:pPr>
              <w:rPr>
                <w:rFonts w:cs="Arial"/>
              </w:rPr>
            </w:pPr>
            <w:r w:rsidRPr="000959C1">
              <w:rPr>
                <w:lang w:eastAsia="bg-BG"/>
              </w:rPr>
              <w:t>(28,4)</w:t>
            </w:r>
          </w:p>
        </w:tc>
        <w:tc>
          <w:tcPr>
            <w:tcW w:w="1346" w:type="dxa"/>
          </w:tcPr>
          <w:p w14:paraId="52605459" w14:textId="0B1AEEB6" w:rsidR="004E779D" w:rsidRPr="000959C1" w:rsidRDefault="004E779D" w:rsidP="004E779D">
            <w:pPr>
              <w:rPr>
                <w:rFonts w:cs="Arial"/>
              </w:rPr>
            </w:pPr>
            <w:r w:rsidRPr="000959C1">
              <w:rPr>
                <w:lang w:eastAsia="bg-BG"/>
              </w:rPr>
              <w:t>(11,6)</w:t>
            </w:r>
          </w:p>
        </w:tc>
      </w:tr>
      <w:tr w:rsidR="004E779D" w14:paraId="232A3EDD" w14:textId="77777777" w:rsidTr="004E779D">
        <w:tc>
          <w:tcPr>
            <w:tcW w:w="1500" w:type="dxa"/>
          </w:tcPr>
          <w:p w14:paraId="504E1748" w14:textId="23446508" w:rsidR="004E779D" w:rsidRPr="000959C1" w:rsidRDefault="004E779D" w:rsidP="004E779D">
            <w:pPr>
              <w:rPr>
                <w:rFonts w:cs="Arial"/>
              </w:rPr>
            </w:pPr>
            <w:r w:rsidRPr="000959C1">
              <w:t>CLR (ml/min) (SD)</w:t>
            </w:r>
          </w:p>
        </w:tc>
        <w:tc>
          <w:tcPr>
            <w:tcW w:w="1346" w:type="dxa"/>
          </w:tcPr>
          <w:p w14:paraId="11E49E21" w14:textId="77777777" w:rsidR="004E779D" w:rsidRPr="000959C1" w:rsidRDefault="004E779D" w:rsidP="004E779D">
            <w:r w:rsidRPr="000959C1">
              <w:t>383,2</w:t>
            </w:r>
          </w:p>
          <w:p w14:paraId="5EE00E81" w14:textId="0A9310A3" w:rsidR="004E779D" w:rsidRPr="000959C1" w:rsidRDefault="004E779D" w:rsidP="004E779D">
            <w:pPr>
              <w:rPr>
                <w:rFonts w:cs="Arial"/>
              </w:rPr>
            </w:pPr>
            <w:r w:rsidRPr="000959C1">
              <w:t>(101,8)</w:t>
            </w:r>
          </w:p>
        </w:tc>
        <w:tc>
          <w:tcPr>
            <w:tcW w:w="1346" w:type="dxa"/>
          </w:tcPr>
          <w:p w14:paraId="46F1FCFB" w14:textId="77777777" w:rsidR="004E779D" w:rsidRPr="000959C1" w:rsidRDefault="004E779D" w:rsidP="004E779D">
            <w:r w:rsidRPr="000959C1">
              <w:t>197,9</w:t>
            </w:r>
          </w:p>
          <w:p w14:paraId="5499538A" w14:textId="4C82F2C3" w:rsidR="004E779D" w:rsidRPr="000959C1" w:rsidRDefault="004E779D" w:rsidP="004E779D">
            <w:pPr>
              <w:rPr>
                <w:rFonts w:cs="Arial"/>
              </w:rPr>
            </w:pPr>
            <w:r w:rsidRPr="000959C1">
              <w:t>(78,1)</w:t>
            </w:r>
          </w:p>
        </w:tc>
        <w:tc>
          <w:tcPr>
            <w:tcW w:w="1346" w:type="dxa"/>
          </w:tcPr>
          <w:p w14:paraId="56A80AEA" w14:textId="77777777" w:rsidR="004E779D" w:rsidRPr="000959C1" w:rsidRDefault="004E779D" w:rsidP="004E779D">
            <w:r w:rsidRPr="000959C1">
              <w:t>135,6</w:t>
            </w:r>
          </w:p>
          <w:p w14:paraId="1926A575" w14:textId="07B79851" w:rsidR="004E779D" w:rsidRPr="000959C1" w:rsidRDefault="004E779D" w:rsidP="004E779D">
            <w:pPr>
              <w:rPr>
                <w:rFonts w:cs="Arial"/>
              </w:rPr>
            </w:pPr>
            <w:r w:rsidRPr="000959C1">
              <w:t>(31,6)</w:t>
            </w:r>
          </w:p>
        </w:tc>
        <w:tc>
          <w:tcPr>
            <w:tcW w:w="1346" w:type="dxa"/>
          </w:tcPr>
          <w:p w14:paraId="295AFEB8" w14:textId="77777777" w:rsidR="004E779D" w:rsidRPr="000959C1" w:rsidRDefault="004E779D" w:rsidP="004E779D">
            <w:r w:rsidRPr="000959C1">
              <w:t>40,3</w:t>
            </w:r>
          </w:p>
          <w:p w14:paraId="7AA6488D" w14:textId="22EAA187" w:rsidR="004E779D" w:rsidRPr="000959C1" w:rsidRDefault="004E779D" w:rsidP="004E779D">
            <w:pPr>
              <w:rPr>
                <w:rFonts w:cs="Arial"/>
              </w:rPr>
            </w:pPr>
            <w:r w:rsidRPr="000959C1">
              <w:t>(10,1)</w:t>
            </w:r>
          </w:p>
        </w:tc>
        <w:tc>
          <w:tcPr>
            <w:tcW w:w="1346" w:type="dxa"/>
          </w:tcPr>
          <w:p w14:paraId="583A3B43" w14:textId="1E4372DD" w:rsidR="004E779D" w:rsidRPr="000959C1" w:rsidRDefault="004E779D" w:rsidP="004E779D">
            <w:pPr>
              <w:rPr>
                <w:rFonts w:cs="Arial"/>
              </w:rPr>
            </w:pPr>
            <w:r w:rsidRPr="000959C1">
              <w:t>NA</w:t>
            </w:r>
          </w:p>
        </w:tc>
        <w:tc>
          <w:tcPr>
            <w:tcW w:w="1346" w:type="dxa"/>
          </w:tcPr>
          <w:p w14:paraId="4D0064DD" w14:textId="1C9A5251" w:rsidR="004E779D" w:rsidRPr="000959C1" w:rsidRDefault="004E779D" w:rsidP="004E779D">
            <w:pPr>
              <w:rPr>
                <w:rFonts w:cs="Arial"/>
              </w:rPr>
            </w:pPr>
            <w:r w:rsidRPr="000959C1">
              <w:t>NA</w:t>
            </w:r>
          </w:p>
        </w:tc>
      </w:tr>
      <w:tr w:rsidR="004E779D" w14:paraId="3AC4C269" w14:textId="77777777" w:rsidTr="004E779D">
        <w:tc>
          <w:tcPr>
            <w:tcW w:w="1500" w:type="dxa"/>
          </w:tcPr>
          <w:p w14:paraId="26BA7030" w14:textId="6754B295" w:rsidR="004E779D" w:rsidRPr="000959C1" w:rsidRDefault="004E779D" w:rsidP="004E779D">
            <w:pPr>
              <w:rPr>
                <w:rFonts w:cs="Arial"/>
              </w:rPr>
            </w:pPr>
            <w:r w:rsidRPr="000959C1">
              <w:t>CLT/F (ml/min) (SD)</w:t>
            </w:r>
          </w:p>
        </w:tc>
        <w:tc>
          <w:tcPr>
            <w:tcW w:w="1346" w:type="dxa"/>
          </w:tcPr>
          <w:p w14:paraId="3753F112" w14:textId="77777777" w:rsidR="004E779D" w:rsidRPr="000959C1" w:rsidRDefault="004E779D" w:rsidP="004E779D">
            <w:r w:rsidRPr="000959C1">
              <w:t>588,1</w:t>
            </w:r>
          </w:p>
          <w:p w14:paraId="596EBB5A" w14:textId="2A540B71" w:rsidR="004E779D" w:rsidRPr="000959C1" w:rsidRDefault="004E779D" w:rsidP="004E779D">
            <w:pPr>
              <w:rPr>
                <w:rFonts w:cs="Arial"/>
              </w:rPr>
            </w:pPr>
            <w:r w:rsidRPr="000959C1">
              <w:t>(153,7)</w:t>
            </w:r>
          </w:p>
        </w:tc>
        <w:tc>
          <w:tcPr>
            <w:tcW w:w="1346" w:type="dxa"/>
          </w:tcPr>
          <w:p w14:paraId="7547C7F6" w14:textId="77777777" w:rsidR="004E779D" w:rsidRPr="000959C1" w:rsidRDefault="004E779D" w:rsidP="004E779D">
            <w:r w:rsidRPr="000959C1">
              <w:t>309,2</w:t>
            </w:r>
          </w:p>
          <w:p w14:paraId="08164457" w14:textId="5DCF275F" w:rsidR="004E779D" w:rsidRPr="000959C1" w:rsidRDefault="004E779D" w:rsidP="004E779D">
            <w:pPr>
              <w:rPr>
                <w:rFonts w:cs="Arial"/>
              </w:rPr>
            </w:pPr>
            <w:r w:rsidRPr="000959C1">
              <w:t>(62,6)</w:t>
            </w:r>
          </w:p>
        </w:tc>
        <w:tc>
          <w:tcPr>
            <w:tcW w:w="1346" w:type="dxa"/>
          </w:tcPr>
          <w:p w14:paraId="6F263CDA" w14:textId="77777777" w:rsidR="004E779D" w:rsidRPr="000959C1" w:rsidRDefault="004E779D" w:rsidP="004E779D">
            <w:r w:rsidRPr="000959C1">
              <w:t>226,3</w:t>
            </w:r>
          </w:p>
          <w:p w14:paraId="59486C82" w14:textId="28F97321" w:rsidR="004E779D" w:rsidRPr="000959C1" w:rsidRDefault="004E779D" w:rsidP="004E779D">
            <w:pPr>
              <w:rPr>
                <w:rFonts w:cs="Arial"/>
              </w:rPr>
            </w:pPr>
            <w:r w:rsidRPr="000959C1">
              <w:t>(60,1)</w:t>
            </w:r>
          </w:p>
        </w:tc>
        <w:tc>
          <w:tcPr>
            <w:tcW w:w="1346" w:type="dxa"/>
          </w:tcPr>
          <w:p w14:paraId="04C27D40" w14:textId="77777777" w:rsidR="004E779D" w:rsidRPr="000959C1" w:rsidRDefault="004E779D" w:rsidP="004E779D">
            <w:r w:rsidRPr="000959C1">
              <w:t>100,6</w:t>
            </w:r>
          </w:p>
          <w:p w14:paraId="4A77AC30" w14:textId="344BC5EF" w:rsidR="004E779D" w:rsidRPr="000959C1" w:rsidRDefault="004E779D" w:rsidP="004E779D">
            <w:pPr>
              <w:rPr>
                <w:rFonts w:cs="Arial"/>
              </w:rPr>
            </w:pPr>
            <w:r w:rsidRPr="000959C1">
              <w:t>(29,1)</w:t>
            </w:r>
          </w:p>
        </w:tc>
        <w:tc>
          <w:tcPr>
            <w:tcW w:w="1346" w:type="dxa"/>
          </w:tcPr>
          <w:p w14:paraId="59F538D1" w14:textId="77777777" w:rsidR="004E779D" w:rsidRPr="000959C1" w:rsidRDefault="004E779D" w:rsidP="004E779D">
            <w:r w:rsidRPr="000959C1">
              <w:t>50,6</w:t>
            </w:r>
          </w:p>
          <w:p w14:paraId="6C159C07" w14:textId="2F917F58" w:rsidR="004E779D" w:rsidRPr="000959C1" w:rsidRDefault="004E779D" w:rsidP="004E779D">
            <w:pPr>
              <w:rPr>
                <w:rFonts w:cs="Arial"/>
              </w:rPr>
            </w:pPr>
            <w:r w:rsidRPr="000959C1">
              <w:t>(16,5)</w:t>
            </w:r>
          </w:p>
        </w:tc>
        <w:tc>
          <w:tcPr>
            <w:tcW w:w="1346" w:type="dxa"/>
          </w:tcPr>
          <w:p w14:paraId="7BCF2F80" w14:textId="77777777" w:rsidR="004E779D" w:rsidRPr="000959C1" w:rsidRDefault="004E779D" w:rsidP="004E779D">
            <w:r w:rsidRPr="000959C1">
              <w:rPr>
                <w:lang w:eastAsia="bg-BG"/>
              </w:rPr>
              <w:t>35,7</w:t>
            </w:r>
          </w:p>
          <w:p w14:paraId="140FBCA5" w14:textId="565E4E37" w:rsidR="004E779D" w:rsidRPr="000959C1" w:rsidRDefault="004E779D" w:rsidP="004E779D">
            <w:pPr>
              <w:rPr>
                <w:rFonts w:cs="Arial"/>
              </w:rPr>
            </w:pPr>
            <w:r w:rsidRPr="000959C1">
              <w:rPr>
                <w:lang w:eastAsia="bg-BG"/>
              </w:rPr>
              <w:t>(19,6)</w:t>
            </w:r>
          </w:p>
        </w:tc>
      </w:tr>
    </w:tbl>
    <w:p w14:paraId="49C89F86" w14:textId="0A28F8DE" w:rsidR="004E779D" w:rsidRDefault="004E779D" w:rsidP="004E779D">
      <w:pPr>
        <w:rPr>
          <w:rFonts w:cs="Arial"/>
        </w:rPr>
      </w:pPr>
    </w:p>
    <w:p w14:paraId="79606F9C" w14:textId="77777777" w:rsidR="000959C1" w:rsidRPr="000959C1" w:rsidRDefault="000959C1" w:rsidP="000959C1">
      <w:pPr>
        <w:spacing w:line="240" w:lineRule="auto"/>
        <w:rPr>
          <w:rFonts w:eastAsia="Times New Roman" w:cs="Arial"/>
          <w:sz w:val="28"/>
          <w:szCs w:val="24"/>
        </w:rPr>
      </w:pPr>
      <w:r w:rsidRPr="000959C1">
        <w:rPr>
          <w:rFonts w:eastAsia="Times New Roman" w:cs="Arial"/>
          <w:i/>
          <w:iCs/>
          <w:color w:val="000000"/>
          <w:szCs w:val="20"/>
          <w:lang w:eastAsia="bg-BG"/>
        </w:rPr>
        <w:t>Пациенти след чернодробна трансплантация:</w:t>
      </w:r>
      <w:r w:rsidRPr="000959C1">
        <w:rPr>
          <w:rFonts w:eastAsia="Times New Roman" w:cs="Arial"/>
          <w:color w:val="000000"/>
          <w:szCs w:val="20"/>
          <w:lang w:eastAsia="bg-BG"/>
        </w:rPr>
        <w:t xml:space="preserve"> експозицията на ентекавир при </w:t>
      </w:r>
      <w:r w:rsidRPr="000959C1">
        <w:rPr>
          <w:rFonts w:eastAsia="Times New Roman" w:cs="Arial"/>
          <w:color w:val="000000"/>
          <w:szCs w:val="20"/>
          <w:lang w:val="en-US"/>
        </w:rPr>
        <w:t>HBV</w:t>
      </w:r>
      <w:r w:rsidRPr="000959C1">
        <w:rPr>
          <w:rFonts w:eastAsia="Times New Roman" w:cs="Arial"/>
          <w:color w:val="000000"/>
          <w:szCs w:val="20"/>
          <w:lang w:val="ru-RU"/>
        </w:rPr>
        <w:t xml:space="preserve"> </w:t>
      </w:r>
      <w:r w:rsidRPr="000959C1">
        <w:rPr>
          <w:rFonts w:eastAsia="Times New Roman" w:cs="Arial"/>
          <w:color w:val="000000"/>
          <w:szCs w:val="20"/>
          <w:lang w:eastAsia="bg-BG"/>
        </w:rPr>
        <w:t>инфектирани пациенти с чернодробна трансплантация, които приемат установени дози циклоспорин А или такролимус (</w:t>
      </w:r>
      <w:r w:rsidRPr="000959C1">
        <w:rPr>
          <w:rFonts w:eastAsia="Times New Roman" w:cs="Arial"/>
          <w:color w:val="000000"/>
          <w:szCs w:val="20"/>
          <w:lang w:val="en-US"/>
        </w:rPr>
        <w:t>n</w:t>
      </w:r>
      <w:r w:rsidRPr="000959C1">
        <w:rPr>
          <w:rFonts w:eastAsia="Times New Roman" w:cs="Arial"/>
          <w:color w:val="000000"/>
          <w:szCs w:val="20"/>
          <w:lang w:eastAsia="bg-BG"/>
        </w:rPr>
        <w:t xml:space="preserve"> = 9) е ≈ 2 пъти по-висока спрямо експозицията при здрави индивиди с нормална бъбречна функция. Изменението на бъбречната функция допринася за повишаването на експозицията на ентекавир при тези пациенти (вж. точка 4.4).</w:t>
      </w:r>
    </w:p>
    <w:p w14:paraId="791059CE" w14:textId="77777777" w:rsidR="000959C1" w:rsidRPr="000959C1" w:rsidRDefault="000959C1" w:rsidP="000959C1">
      <w:pPr>
        <w:spacing w:line="240" w:lineRule="auto"/>
        <w:rPr>
          <w:rFonts w:eastAsia="Times New Roman" w:cs="Arial"/>
          <w:i/>
          <w:iCs/>
          <w:color w:val="000000"/>
          <w:szCs w:val="20"/>
          <w:lang w:eastAsia="bg-BG"/>
        </w:rPr>
      </w:pPr>
    </w:p>
    <w:p w14:paraId="03A69C80" w14:textId="36EE8FD3" w:rsidR="000959C1" w:rsidRPr="000959C1" w:rsidRDefault="000959C1" w:rsidP="000959C1">
      <w:pPr>
        <w:spacing w:line="240" w:lineRule="auto"/>
        <w:rPr>
          <w:rFonts w:eastAsia="Times New Roman" w:cs="Arial"/>
          <w:sz w:val="28"/>
          <w:szCs w:val="24"/>
        </w:rPr>
      </w:pPr>
      <w:r w:rsidRPr="000959C1">
        <w:rPr>
          <w:rFonts w:eastAsia="Times New Roman" w:cs="Arial"/>
          <w:i/>
          <w:iCs/>
          <w:color w:val="000000"/>
          <w:szCs w:val="20"/>
          <w:lang w:eastAsia="bg-BG"/>
        </w:rPr>
        <w:t>Пол:</w:t>
      </w:r>
      <w:r w:rsidRPr="000959C1">
        <w:rPr>
          <w:rFonts w:eastAsia="Times New Roman" w:cs="Arial"/>
          <w:color w:val="000000"/>
          <w:szCs w:val="20"/>
          <w:lang w:eastAsia="bg-BG"/>
        </w:rPr>
        <w:t xml:space="preserve"> </w:t>
      </w:r>
      <w:r w:rsidRPr="000959C1">
        <w:rPr>
          <w:rFonts w:eastAsia="Times New Roman" w:cs="Arial"/>
          <w:color w:val="000000"/>
          <w:szCs w:val="20"/>
          <w:lang w:val="en-US"/>
        </w:rPr>
        <w:t>AUC</w:t>
      </w:r>
      <w:r w:rsidRPr="000959C1">
        <w:rPr>
          <w:rFonts w:eastAsia="Times New Roman" w:cs="Arial"/>
          <w:color w:val="000000"/>
          <w:szCs w:val="20"/>
          <w:lang w:val="ru-RU"/>
        </w:rPr>
        <w:t xml:space="preserve"> </w:t>
      </w:r>
      <w:r w:rsidRPr="000959C1">
        <w:rPr>
          <w:rFonts w:eastAsia="Times New Roman" w:cs="Arial"/>
          <w:color w:val="000000"/>
          <w:szCs w:val="20"/>
          <w:lang w:eastAsia="bg-BG"/>
        </w:rPr>
        <w:t>е 14% по-висока при жените в сравнение с мъжете поради различията в бъбречната функция и теглото. След корекция на различията по отношение на креатининовия клирънс и телесното тегло не се наблюдават различия в експозицията между индивидите от мъжки и женски пол.</w:t>
      </w:r>
    </w:p>
    <w:p w14:paraId="032D5AC3" w14:textId="77777777" w:rsidR="000959C1" w:rsidRPr="000959C1" w:rsidRDefault="000959C1" w:rsidP="000959C1">
      <w:pPr>
        <w:spacing w:line="240" w:lineRule="auto"/>
        <w:rPr>
          <w:rFonts w:eastAsia="Times New Roman" w:cs="Arial"/>
          <w:i/>
          <w:iCs/>
          <w:color w:val="000000"/>
          <w:szCs w:val="20"/>
          <w:lang w:eastAsia="bg-BG"/>
        </w:rPr>
      </w:pPr>
    </w:p>
    <w:p w14:paraId="29CE9279" w14:textId="035230F8" w:rsidR="000959C1" w:rsidRPr="000959C1" w:rsidRDefault="000959C1" w:rsidP="000959C1">
      <w:pPr>
        <w:spacing w:line="240" w:lineRule="auto"/>
        <w:rPr>
          <w:rFonts w:eastAsia="Times New Roman" w:cs="Arial"/>
          <w:sz w:val="28"/>
          <w:szCs w:val="24"/>
        </w:rPr>
      </w:pPr>
      <w:r w:rsidRPr="000959C1">
        <w:rPr>
          <w:rFonts w:eastAsia="Times New Roman" w:cs="Arial"/>
          <w:i/>
          <w:iCs/>
          <w:color w:val="000000"/>
          <w:szCs w:val="20"/>
          <w:lang w:eastAsia="bg-BG"/>
        </w:rPr>
        <w:t>Старческа възраст:</w:t>
      </w:r>
      <w:r w:rsidRPr="000959C1">
        <w:rPr>
          <w:rFonts w:eastAsia="Times New Roman" w:cs="Arial"/>
          <w:color w:val="000000"/>
          <w:szCs w:val="20"/>
          <w:lang w:eastAsia="bg-BG"/>
        </w:rPr>
        <w:t xml:space="preserve"> влиянието на възрастта върху фармакокинетиката на ентекавир е оценено чрез сравнение на индивиди в старческа възраст в диапазона 65 - 83 години (средна възраст при жените - 69 години, а при мъжете - 74 години) с млади индивиди на възраст 20 - 40 години (средна възраст при жените - 29 години, а при мъжете - 25 години). </w:t>
      </w:r>
      <w:r w:rsidRPr="000959C1">
        <w:rPr>
          <w:rFonts w:eastAsia="Times New Roman" w:cs="Arial"/>
          <w:color w:val="000000"/>
          <w:szCs w:val="20"/>
          <w:lang w:val="en-US"/>
        </w:rPr>
        <w:t>AUC</w:t>
      </w:r>
      <w:r w:rsidRPr="000959C1">
        <w:rPr>
          <w:rFonts w:eastAsia="Times New Roman" w:cs="Arial"/>
          <w:color w:val="000000"/>
          <w:szCs w:val="20"/>
          <w:lang w:val="ru-RU"/>
        </w:rPr>
        <w:t xml:space="preserve"> </w:t>
      </w:r>
      <w:r w:rsidRPr="000959C1">
        <w:rPr>
          <w:rFonts w:eastAsia="Times New Roman" w:cs="Arial"/>
          <w:color w:val="000000"/>
          <w:szCs w:val="20"/>
          <w:lang w:eastAsia="bg-BG"/>
        </w:rPr>
        <w:t xml:space="preserve">е 29% по-висока при индивидите в старческа възраст в сравнение с младите основно поради различията в бъбречната функция и теглото. След корекция на различията по отношение на креатининовия клирънс и телесното тегло индивидите в старческа възраст са показали 12,5% по-висока </w:t>
      </w:r>
      <w:r w:rsidRPr="000959C1">
        <w:rPr>
          <w:rFonts w:eastAsia="Times New Roman" w:cs="Arial"/>
          <w:color w:val="000000"/>
          <w:szCs w:val="20"/>
          <w:lang w:val="en-US"/>
        </w:rPr>
        <w:t>AUC</w:t>
      </w:r>
      <w:r w:rsidRPr="000959C1">
        <w:rPr>
          <w:rFonts w:eastAsia="Times New Roman" w:cs="Arial"/>
          <w:color w:val="000000"/>
          <w:szCs w:val="20"/>
          <w:lang w:val="ru-RU"/>
        </w:rPr>
        <w:t xml:space="preserve"> </w:t>
      </w:r>
      <w:r w:rsidRPr="000959C1">
        <w:rPr>
          <w:rFonts w:eastAsia="Times New Roman" w:cs="Arial"/>
          <w:color w:val="000000"/>
          <w:szCs w:val="20"/>
          <w:lang w:eastAsia="bg-BG"/>
        </w:rPr>
        <w:t>в сравнение с младите индивиди. Популационният фармакокинетичен анализ, който обхваща пациенти на възраст 16 - 75 години, не определя възрастта като значим фактор, който влияе на фармакокинетиката на ентекавир.</w:t>
      </w:r>
    </w:p>
    <w:p w14:paraId="51022243" w14:textId="77777777" w:rsidR="000959C1" w:rsidRPr="000959C1" w:rsidRDefault="000959C1" w:rsidP="000959C1">
      <w:pPr>
        <w:spacing w:line="240" w:lineRule="auto"/>
        <w:rPr>
          <w:rFonts w:eastAsia="Times New Roman" w:cs="Arial"/>
          <w:i/>
          <w:iCs/>
          <w:color w:val="000000"/>
          <w:szCs w:val="20"/>
          <w:lang w:eastAsia="bg-BG"/>
        </w:rPr>
      </w:pPr>
    </w:p>
    <w:p w14:paraId="74D5F9BB" w14:textId="7DFF94F3" w:rsidR="000959C1" w:rsidRPr="000959C1" w:rsidRDefault="000959C1" w:rsidP="000959C1">
      <w:pPr>
        <w:spacing w:line="240" w:lineRule="auto"/>
        <w:rPr>
          <w:rFonts w:eastAsia="Times New Roman" w:cs="Arial"/>
          <w:sz w:val="28"/>
          <w:szCs w:val="24"/>
        </w:rPr>
      </w:pPr>
      <w:r w:rsidRPr="000959C1">
        <w:rPr>
          <w:rFonts w:eastAsia="Times New Roman" w:cs="Arial"/>
          <w:i/>
          <w:iCs/>
          <w:color w:val="000000"/>
          <w:szCs w:val="20"/>
          <w:lang w:eastAsia="bg-BG"/>
        </w:rPr>
        <w:t>Раса:</w:t>
      </w:r>
      <w:r w:rsidRPr="000959C1">
        <w:rPr>
          <w:rFonts w:eastAsia="Times New Roman" w:cs="Arial"/>
          <w:color w:val="000000"/>
          <w:szCs w:val="20"/>
          <w:lang w:eastAsia="bg-BG"/>
        </w:rPr>
        <w:t xml:space="preserve"> популационният фармакокинетичен анализ не определя расата като значим фактор, който влияе на фармакокинетиката на ентекавир. Но изводите може да бъдат направени само за представителите на бялата и азиатската група, тъй като има съвсем малко индивиди от други категории.</w:t>
      </w:r>
    </w:p>
    <w:p w14:paraId="63EC3D6A" w14:textId="77777777" w:rsidR="000959C1" w:rsidRPr="000959C1" w:rsidRDefault="000959C1" w:rsidP="000959C1">
      <w:pPr>
        <w:spacing w:line="240" w:lineRule="auto"/>
        <w:rPr>
          <w:rFonts w:eastAsia="Times New Roman" w:cs="Arial"/>
          <w:i/>
          <w:iCs/>
          <w:color w:val="000000"/>
          <w:szCs w:val="20"/>
          <w:lang w:eastAsia="bg-BG"/>
        </w:rPr>
      </w:pPr>
    </w:p>
    <w:p w14:paraId="4FDA699A" w14:textId="59E93D94" w:rsidR="000959C1" w:rsidRPr="000959C1" w:rsidRDefault="000959C1" w:rsidP="000959C1">
      <w:pPr>
        <w:spacing w:line="240" w:lineRule="auto"/>
        <w:rPr>
          <w:rFonts w:eastAsia="Times New Roman" w:cs="Arial"/>
          <w:sz w:val="28"/>
          <w:szCs w:val="24"/>
        </w:rPr>
      </w:pPr>
      <w:r w:rsidRPr="000959C1">
        <w:rPr>
          <w:rFonts w:eastAsia="Times New Roman" w:cs="Arial"/>
          <w:i/>
          <w:iCs/>
          <w:color w:val="000000"/>
          <w:szCs w:val="20"/>
          <w:lang w:eastAsia="bg-BG"/>
        </w:rPr>
        <w:lastRenderedPageBreak/>
        <w:t>Педиатрична популация:</w:t>
      </w:r>
      <w:r w:rsidRPr="000959C1">
        <w:rPr>
          <w:rFonts w:eastAsia="Times New Roman" w:cs="Arial"/>
          <w:color w:val="000000"/>
          <w:szCs w:val="20"/>
          <w:lang w:eastAsia="bg-BG"/>
        </w:rPr>
        <w:t xml:space="preserve"> фармакокинетиката на ентекавир в стабилно състояние е оценена (проучване 028) при 24 нелекувани с нуклеозиди </w:t>
      </w:r>
      <w:r w:rsidRPr="000959C1">
        <w:rPr>
          <w:rFonts w:eastAsia="Times New Roman" w:cs="Arial"/>
          <w:color w:val="000000"/>
          <w:szCs w:val="20"/>
          <w:lang w:val="en-US"/>
        </w:rPr>
        <w:t>HBeAg</w:t>
      </w:r>
      <w:r w:rsidRPr="000959C1">
        <w:rPr>
          <w:rFonts w:eastAsia="Times New Roman" w:cs="Arial"/>
          <w:color w:val="000000"/>
          <w:szCs w:val="20"/>
          <w:lang w:val="ru-RU"/>
        </w:rPr>
        <w:t xml:space="preserve"> </w:t>
      </w:r>
      <w:r w:rsidRPr="000959C1">
        <w:rPr>
          <w:rFonts w:eastAsia="Times New Roman" w:cs="Arial"/>
          <w:color w:val="000000"/>
          <w:szCs w:val="20"/>
          <w:lang w:eastAsia="bg-BG"/>
        </w:rPr>
        <w:t xml:space="preserve">положителни педиатрични пациенти на възраст от 2 до &lt; 18 години с компенсирано чернодробно заболяване. Експозицията на ентекавир при нелекувани с нуклеозиди пациенти, които получават веднъж дневно дози ентекавир по 0,015 </w:t>
      </w:r>
      <w:r w:rsidRPr="000959C1">
        <w:rPr>
          <w:rFonts w:eastAsia="Times New Roman" w:cs="Arial"/>
          <w:color w:val="000000"/>
          <w:szCs w:val="20"/>
          <w:lang w:val="en-US"/>
        </w:rPr>
        <w:t>mg</w:t>
      </w:r>
      <w:r w:rsidRPr="000959C1">
        <w:rPr>
          <w:rFonts w:eastAsia="Times New Roman" w:cs="Arial"/>
          <w:color w:val="000000"/>
          <w:szCs w:val="20"/>
          <w:lang w:val="ru-RU"/>
        </w:rPr>
        <w:t>/</w:t>
      </w:r>
      <w:r w:rsidRPr="000959C1">
        <w:rPr>
          <w:rFonts w:eastAsia="Times New Roman" w:cs="Arial"/>
          <w:color w:val="000000"/>
          <w:szCs w:val="20"/>
          <w:lang w:val="en-US"/>
        </w:rPr>
        <w:t>kg</w:t>
      </w:r>
      <w:r w:rsidRPr="000959C1">
        <w:rPr>
          <w:rFonts w:eastAsia="Times New Roman" w:cs="Arial"/>
          <w:color w:val="000000"/>
          <w:szCs w:val="20"/>
          <w:lang w:val="ru-RU"/>
        </w:rPr>
        <w:t xml:space="preserve"> </w:t>
      </w:r>
      <w:r w:rsidRPr="000959C1">
        <w:rPr>
          <w:rFonts w:eastAsia="Times New Roman" w:cs="Arial"/>
          <w:color w:val="000000"/>
          <w:szCs w:val="20"/>
          <w:lang w:eastAsia="bg-BG"/>
        </w:rPr>
        <w:t xml:space="preserve">до максимална доза от 0,5 </w:t>
      </w:r>
      <w:r w:rsidRPr="000959C1">
        <w:rPr>
          <w:rFonts w:eastAsia="Times New Roman" w:cs="Arial"/>
          <w:color w:val="000000"/>
          <w:szCs w:val="20"/>
          <w:lang w:val="en-US"/>
        </w:rPr>
        <w:t>mg</w:t>
      </w:r>
      <w:r w:rsidRPr="000959C1">
        <w:rPr>
          <w:rFonts w:eastAsia="Times New Roman" w:cs="Arial"/>
          <w:color w:val="000000"/>
          <w:szCs w:val="20"/>
          <w:lang w:val="ru-RU"/>
        </w:rPr>
        <w:t xml:space="preserve">, </w:t>
      </w:r>
      <w:r w:rsidRPr="000959C1">
        <w:rPr>
          <w:rFonts w:eastAsia="Times New Roman" w:cs="Arial"/>
          <w:color w:val="000000"/>
          <w:szCs w:val="20"/>
          <w:lang w:eastAsia="bg-BG"/>
        </w:rPr>
        <w:t xml:space="preserve">е сходна с експозицията, достигната при възрастни, които получават по 0,5 </w:t>
      </w:r>
      <w:r w:rsidRPr="000959C1">
        <w:rPr>
          <w:rFonts w:eastAsia="Times New Roman" w:cs="Arial"/>
          <w:color w:val="000000"/>
          <w:szCs w:val="20"/>
          <w:lang w:val="en-US"/>
        </w:rPr>
        <w:t>mg</w:t>
      </w:r>
      <w:r w:rsidRPr="000959C1">
        <w:rPr>
          <w:rFonts w:eastAsia="Times New Roman" w:cs="Arial"/>
          <w:color w:val="000000"/>
          <w:szCs w:val="20"/>
          <w:lang w:eastAsia="bg-BG"/>
        </w:rPr>
        <w:t xml:space="preserve"> веднъж дневно. </w:t>
      </w:r>
      <w:r w:rsidRPr="000959C1">
        <w:rPr>
          <w:rFonts w:eastAsia="Times New Roman" w:cs="Arial"/>
          <w:color w:val="000000"/>
          <w:szCs w:val="20"/>
          <w:lang w:val="en-US"/>
        </w:rPr>
        <w:t>Cmax</w:t>
      </w:r>
      <w:r w:rsidRPr="000959C1">
        <w:rPr>
          <w:rFonts w:eastAsia="Times New Roman" w:cs="Arial"/>
          <w:color w:val="000000"/>
          <w:szCs w:val="20"/>
        </w:rPr>
        <w:t xml:space="preserve">, </w:t>
      </w:r>
      <w:r w:rsidRPr="000959C1">
        <w:rPr>
          <w:rFonts w:eastAsia="Times New Roman" w:cs="Arial"/>
          <w:color w:val="000000"/>
          <w:szCs w:val="20"/>
          <w:lang w:val="en-US"/>
        </w:rPr>
        <w:t>AUC</w:t>
      </w:r>
      <w:r w:rsidRPr="000959C1">
        <w:rPr>
          <w:rFonts w:eastAsia="Times New Roman" w:cs="Arial"/>
          <w:color w:val="000000"/>
          <w:szCs w:val="20"/>
        </w:rPr>
        <w:t xml:space="preserve"> </w:t>
      </w:r>
      <w:r w:rsidRPr="000959C1">
        <w:rPr>
          <w:rFonts w:eastAsia="Times New Roman" w:cs="Arial"/>
          <w:color w:val="000000"/>
          <w:szCs w:val="20"/>
          <w:lang w:eastAsia="bg-BG"/>
        </w:rPr>
        <w:t>(0 - 24) и С</w:t>
      </w:r>
      <w:r w:rsidRPr="000959C1">
        <w:rPr>
          <w:rFonts w:eastAsia="Times New Roman" w:cs="Arial"/>
          <w:color w:val="000000"/>
          <w:szCs w:val="20"/>
          <w:vertAlign w:val="subscript"/>
          <w:lang w:val="en-US"/>
        </w:rPr>
        <w:t>min</w:t>
      </w:r>
      <w:r w:rsidRPr="000959C1">
        <w:rPr>
          <w:rFonts w:eastAsia="Times New Roman" w:cs="Arial"/>
          <w:color w:val="000000"/>
          <w:szCs w:val="20"/>
          <w:lang w:eastAsia="bg-BG"/>
        </w:rPr>
        <w:t xml:space="preserve"> при тези пациенти са съответно 6</w:t>
      </w:r>
      <w:proofErr w:type="gramStart"/>
      <w:r w:rsidRPr="000959C1">
        <w:rPr>
          <w:rFonts w:eastAsia="Times New Roman" w:cs="Arial"/>
          <w:color w:val="000000"/>
          <w:szCs w:val="20"/>
          <w:lang w:eastAsia="bg-BG"/>
        </w:rPr>
        <w:t>,31</w:t>
      </w:r>
      <w:proofErr w:type="gramEnd"/>
      <w:r w:rsidRPr="000959C1">
        <w:rPr>
          <w:rFonts w:eastAsia="Times New Roman" w:cs="Arial"/>
          <w:color w:val="000000"/>
          <w:szCs w:val="20"/>
          <w:lang w:eastAsia="bg-BG"/>
        </w:rPr>
        <w:t xml:space="preserve"> </w:t>
      </w:r>
      <w:r w:rsidRPr="000959C1">
        <w:rPr>
          <w:rFonts w:eastAsia="Times New Roman" w:cs="Arial"/>
          <w:color w:val="000000"/>
          <w:szCs w:val="20"/>
          <w:lang w:val="en-US"/>
        </w:rPr>
        <w:t>ng</w:t>
      </w:r>
      <w:r w:rsidRPr="000959C1">
        <w:rPr>
          <w:rFonts w:eastAsia="Times New Roman" w:cs="Arial"/>
          <w:color w:val="000000"/>
          <w:szCs w:val="20"/>
        </w:rPr>
        <w:t>/</w:t>
      </w:r>
      <w:r w:rsidRPr="000959C1">
        <w:rPr>
          <w:rFonts w:eastAsia="Times New Roman" w:cs="Arial"/>
          <w:color w:val="000000"/>
          <w:szCs w:val="20"/>
          <w:lang w:val="en-US"/>
        </w:rPr>
        <w:t>ml</w:t>
      </w:r>
      <w:r w:rsidRPr="000959C1">
        <w:rPr>
          <w:rFonts w:eastAsia="Times New Roman" w:cs="Arial"/>
          <w:color w:val="000000"/>
          <w:szCs w:val="20"/>
        </w:rPr>
        <w:t xml:space="preserve">, </w:t>
      </w:r>
      <w:r w:rsidRPr="000959C1">
        <w:rPr>
          <w:rFonts w:eastAsia="Times New Roman" w:cs="Arial"/>
          <w:color w:val="000000"/>
          <w:szCs w:val="20"/>
          <w:lang w:eastAsia="bg-BG"/>
        </w:rPr>
        <w:t xml:space="preserve">18,33 </w:t>
      </w:r>
      <w:r w:rsidRPr="000959C1">
        <w:rPr>
          <w:rFonts w:eastAsia="Times New Roman" w:cs="Arial"/>
          <w:color w:val="000000"/>
          <w:szCs w:val="20"/>
          <w:lang w:val="en-US"/>
        </w:rPr>
        <w:t>ngh</w:t>
      </w:r>
      <w:r w:rsidRPr="000959C1">
        <w:rPr>
          <w:rFonts w:eastAsia="Times New Roman" w:cs="Arial"/>
          <w:color w:val="000000"/>
          <w:szCs w:val="20"/>
        </w:rPr>
        <w:t>.</w:t>
      </w:r>
      <w:r w:rsidRPr="000959C1">
        <w:rPr>
          <w:rFonts w:eastAsia="Times New Roman" w:cs="Arial"/>
          <w:color w:val="000000"/>
          <w:szCs w:val="20"/>
          <w:lang w:val="en-US"/>
        </w:rPr>
        <w:t>ml</w:t>
      </w:r>
      <w:r w:rsidRPr="000959C1">
        <w:rPr>
          <w:rFonts w:eastAsia="Times New Roman" w:cs="Arial"/>
          <w:color w:val="000000"/>
          <w:szCs w:val="20"/>
        </w:rPr>
        <w:t xml:space="preserve"> </w:t>
      </w:r>
      <w:r w:rsidRPr="000959C1">
        <w:rPr>
          <w:rFonts w:eastAsia="Times New Roman" w:cs="Arial"/>
          <w:color w:val="000000"/>
          <w:szCs w:val="20"/>
          <w:lang w:eastAsia="bg-BG"/>
        </w:rPr>
        <w:t xml:space="preserve">и 0,28 </w:t>
      </w:r>
      <w:r w:rsidRPr="000959C1">
        <w:rPr>
          <w:rFonts w:eastAsia="Times New Roman" w:cs="Arial"/>
          <w:color w:val="000000"/>
          <w:szCs w:val="20"/>
          <w:lang w:val="en-US"/>
        </w:rPr>
        <w:t>ng</w:t>
      </w:r>
      <w:r w:rsidRPr="000959C1">
        <w:rPr>
          <w:rFonts w:eastAsia="Times New Roman" w:cs="Arial"/>
          <w:color w:val="000000"/>
          <w:szCs w:val="20"/>
        </w:rPr>
        <w:t>/</w:t>
      </w:r>
      <w:r w:rsidRPr="000959C1">
        <w:rPr>
          <w:rFonts w:eastAsia="Times New Roman" w:cs="Arial"/>
          <w:color w:val="000000"/>
          <w:szCs w:val="20"/>
          <w:lang w:val="en-US"/>
        </w:rPr>
        <w:t>ml</w:t>
      </w:r>
    </w:p>
    <w:p w14:paraId="60E01C90" w14:textId="77777777" w:rsidR="000959C1" w:rsidRPr="004E779D" w:rsidRDefault="000959C1" w:rsidP="004E779D">
      <w:pPr>
        <w:rPr>
          <w:rFonts w:cs="Arial"/>
        </w:rPr>
      </w:pPr>
    </w:p>
    <w:p w14:paraId="4FB791BE" w14:textId="135F7981" w:rsidR="00B6672E" w:rsidRDefault="002C50EE" w:rsidP="00936AD0">
      <w:pPr>
        <w:pStyle w:val="Heading2"/>
      </w:pPr>
      <w:r>
        <w:t>5.3. Предклинични данни за безопасност</w:t>
      </w:r>
    </w:p>
    <w:p w14:paraId="50C511CB" w14:textId="334880F9" w:rsidR="000959C1" w:rsidRDefault="000959C1" w:rsidP="000959C1"/>
    <w:p w14:paraId="45461CCF" w14:textId="77777777" w:rsidR="000959C1" w:rsidRPr="000959C1" w:rsidRDefault="000959C1" w:rsidP="000959C1">
      <w:pPr>
        <w:spacing w:line="240" w:lineRule="auto"/>
        <w:rPr>
          <w:rFonts w:eastAsia="Times New Roman" w:cs="Arial"/>
          <w:sz w:val="28"/>
          <w:szCs w:val="24"/>
        </w:rPr>
      </w:pPr>
      <w:r w:rsidRPr="000959C1">
        <w:rPr>
          <w:rFonts w:eastAsia="Times New Roman" w:cs="Arial"/>
          <w:color w:val="000000"/>
          <w:szCs w:val="20"/>
          <w:lang w:eastAsia="bg-BG"/>
        </w:rPr>
        <w:t xml:space="preserve">При токсикологични проучвания с многократно приложение при кучета е наблюдавано обратимо периваскуларно възпаление на централната нервна система при установени неефективни дози, които съответстват на 19 и 10 пъти по-високи експозиции от тези при хората (при съответно 0,5 и 1 </w:t>
      </w:r>
      <w:r w:rsidRPr="000959C1">
        <w:rPr>
          <w:rFonts w:eastAsia="Times New Roman" w:cs="Arial"/>
          <w:color w:val="000000"/>
          <w:szCs w:val="20"/>
          <w:lang w:val="en-US"/>
        </w:rPr>
        <w:t>mg</w:t>
      </w:r>
      <w:r w:rsidRPr="000959C1">
        <w:rPr>
          <w:rFonts w:eastAsia="Times New Roman" w:cs="Arial"/>
          <w:color w:val="000000"/>
          <w:szCs w:val="20"/>
          <w:lang w:val="ru-RU"/>
        </w:rPr>
        <w:t xml:space="preserve">). </w:t>
      </w:r>
      <w:r w:rsidRPr="000959C1">
        <w:rPr>
          <w:rFonts w:eastAsia="Times New Roman" w:cs="Arial"/>
          <w:color w:val="000000"/>
          <w:szCs w:val="20"/>
          <w:lang w:eastAsia="bg-BG"/>
        </w:rPr>
        <w:t>Тези резултати не са наблюдавани при проучвания с многократни дози при други видове, включително маймуни, приемали ентекавир ежедневно в продължение на 1 година при експозиции ≥100 пъти спрямо тези при хората.</w:t>
      </w:r>
    </w:p>
    <w:p w14:paraId="61C7822A" w14:textId="77777777" w:rsidR="000959C1" w:rsidRPr="000959C1" w:rsidRDefault="000959C1" w:rsidP="000959C1">
      <w:pPr>
        <w:spacing w:line="240" w:lineRule="auto"/>
        <w:rPr>
          <w:rFonts w:eastAsia="Times New Roman" w:cs="Arial"/>
          <w:color w:val="000000"/>
          <w:szCs w:val="20"/>
          <w:lang w:eastAsia="bg-BG"/>
        </w:rPr>
      </w:pPr>
    </w:p>
    <w:p w14:paraId="2DCC08B8" w14:textId="2520436D" w:rsidR="000959C1" w:rsidRPr="000959C1" w:rsidRDefault="000959C1" w:rsidP="000959C1">
      <w:pPr>
        <w:spacing w:line="240" w:lineRule="auto"/>
        <w:rPr>
          <w:rFonts w:eastAsia="Times New Roman" w:cs="Arial"/>
          <w:sz w:val="28"/>
          <w:szCs w:val="24"/>
        </w:rPr>
      </w:pPr>
      <w:r w:rsidRPr="000959C1">
        <w:rPr>
          <w:rFonts w:eastAsia="Times New Roman" w:cs="Arial"/>
          <w:color w:val="000000"/>
          <w:szCs w:val="20"/>
          <w:lang w:eastAsia="bg-BG"/>
        </w:rPr>
        <w:t xml:space="preserve">При репродуктивни токсикологични проучвания, в които животни са приемали ентекавир до 4 седмици, няма данни за нарушение на фертилитета при мъжки или женски плъхове при високи експозиции. Промени в тестисите (дегенерация на семенните каналчета) са установени при токсикологични проучвания с многократни дози при гризачи и кучета при експозиции ≥ </w:t>
      </w:r>
      <w:r w:rsidRPr="000959C1">
        <w:rPr>
          <w:rFonts w:eastAsia="Times New Roman" w:cs="Arial"/>
          <w:i/>
          <w:iCs/>
          <w:color w:val="000000"/>
          <w:szCs w:val="20"/>
          <w:lang w:eastAsia="bg-BG"/>
        </w:rPr>
        <w:t>26</w:t>
      </w:r>
      <w:r w:rsidRPr="000959C1">
        <w:rPr>
          <w:rFonts w:eastAsia="Times New Roman" w:cs="Arial"/>
          <w:color w:val="000000"/>
          <w:szCs w:val="20"/>
          <w:lang w:eastAsia="bg-BG"/>
        </w:rPr>
        <w:t xml:space="preserve"> пъти спрямо тези при хората. При едногодишно проучване при маймуни не са установени промени в тестисите.</w:t>
      </w:r>
    </w:p>
    <w:p w14:paraId="59A0370B" w14:textId="77777777" w:rsidR="000959C1" w:rsidRPr="000959C1" w:rsidRDefault="000959C1" w:rsidP="000959C1">
      <w:pPr>
        <w:spacing w:line="240" w:lineRule="auto"/>
        <w:rPr>
          <w:rFonts w:eastAsia="Times New Roman" w:cs="Arial"/>
          <w:color w:val="000000"/>
          <w:szCs w:val="20"/>
          <w:lang w:eastAsia="bg-BG"/>
        </w:rPr>
      </w:pPr>
    </w:p>
    <w:p w14:paraId="07773451" w14:textId="3DD96FBB" w:rsidR="000959C1" w:rsidRPr="000959C1" w:rsidRDefault="000959C1" w:rsidP="000959C1">
      <w:pPr>
        <w:spacing w:line="240" w:lineRule="auto"/>
        <w:rPr>
          <w:rFonts w:eastAsia="Times New Roman" w:cs="Arial"/>
          <w:sz w:val="28"/>
          <w:szCs w:val="24"/>
        </w:rPr>
      </w:pPr>
      <w:r w:rsidRPr="000959C1">
        <w:rPr>
          <w:rFonts w:eastAsia="Times New Roman" w:cs="Arial"/>
          <w:color w:val="000000"/>
          <w:szCs w:val="20"/>
          <w:lang w:eastAsia="bg-BG"/>
        </w:rPr>
        <w:t xml:space="preserve">При бременни плъхове и зайци, приемали ентекавир, не е установено значително ниво на ембриотоксичност и токсичност за майката, която съответства на експозиции &gt;21 пъти спрямо тези при хората. При плъховете при високи експозиции е наблюдавана токсичност за майката, ембрио-фетална токсичност (резорбции), по-ниско телесно тегло на плода, опашни и вертебрални малформации, намалена осификация (вертебрална, стернална и в областта на фалангите), както и допълнителни лумбални прешлени и ребра. При зайците при високи експозиции е наблюдавана ембрио-фетална токсичност (резорбции), намалена осификация (хиоидна) и повишена честота на поява на 13-то ребро. При пери-постнатално проучване при плъхове не са наблюдавани нежелани ефекти върху потомството. В отделно проучване, където ентекавир е приложен при бременни плъхове с лактация в доза от 10 </w:t>
      </w:r>
      <w:r w:rsidRPr="000959C1">
        <w:rPr>
          <w:rFonts w:eastAsia="Times New Roman" w:cs="Arial"/>
          <w:color w:val="000000"/>
          <w:szCs w:val="20"/>
          <w:lang w:val="en-US"/>
        </w:rPr>
        <w:t>mg</w:t>
      </w:r>
      <w:r w:rsidRPr="000959C1">
        <w:rPr>
          <w:rFonts w:eastAsia="Times New Roman" w:cs="Arial"/>
          <w:color w:val="000000"/>
          <w:szCs w:val="20"/>
          <w:lang w:val="ru-RU"/>
        </w:rPr>
        <w:t>/</w:t>
      </w:r>
      <w:r w:rsidRPr="000959C1">
        <w:rPr>
          <w:rFonts w:eastAsia="Times New Roman" w:cs="Arial"/>
          <w:color w:val="000000"/>
          <w:szCs w:val="20"/>
          <w:lang w:val="en-US"/>
        </w:rPr>
        <w:t>kg</w:t>
      </w:r>
      <w:r w:rsidRPr="000959C1">
        <w:rPr>
          <w:rFonts w:eastAsia="Times New Roman" w:cs="Arial"/>
          <w:color w:val="000000"/>
          <w:szCs w:val="20"/>
          <w:lang w:val="ru-RU"/>
        </w:rPr>
        <w:t xml:space="preserve">, </w:t>
      </w:r>
      <w:r w:rsidRPr="000959C1">
        <w:rPr>
          <w:rFonts w:eastAsia="Times New Roman" w:cs="Arial"/>
          <w:color w:val="000000"/>
          <w:szCs w:val="20"/>
          <w:lang w:eastAsia="bg-BG"/>
        </w:rPr>
        <w:t xml:space="preserve">е установено както преминаването на ентекавир в плода, така и отделянето му в млякото. При прилагане на ентекавир от 4-ия до 80-ия ден след раждане при млади плъхове се отбелязва умерено понижена реакция на стряскащи шумове през периода на възстановяване (от 110 до 114 ден след раждането), но не и през периода на прилагане при стойности на </w:t>
      </w:r>
      <w:r w:rsidRPr="000959C1">
        <w:rPr>
          <w:rFonts w:eastAsia="Times New Roman" w:cs="Arial"/>
          <w:color w:val="000000"/>
          <w:szCs w:val="20"/>
          <w:lang w:val="en-US"/>
        </w:rPr>
        <w:t>AUC</w:t>
      </w:r>
      <w:r w:rsidRPr="000959C1">
        <w:rPr>
          <w:rFonts w:eastAsia="Times New Roman" w:cs="Arial"/>
          <w:color w:val="000000"/>
          <w:szCs w:val="20"/>
          <w:lang w:val="ru-RU"/>
        </w:rPr>
        <w:t xml:space="preserve"> </w:t>
      </w:r>
      <w:r w:rsidRPr="000959C1">
        <w:rPr>
          <w:rFonts w:eastAsia="Times New Roman" w:cs="Arial"/>
          <w:color w:val="000000"/>
          <w:szCs w:val="20"/>
          <w:lang w:eastAsia="bg-BG"/>
        </w:rPr>
        <w:t xml:space="preserve">≥ 92 пъти по-високи отколкото при хора, които приемат доза от 0,5 </w:t>
      </w:r>
      <w:r w:rsidRPr="000959C1">
        <w:rPr>
          <w:rFonts w:eastAsia="Times New Roman" w:cs="Arial"/>
          <w:color w:val="000000"/>
          <w:szCs w:val="20"/>
          <w:lang w:val="en-US"/>
        </w:rPr>
        <w:t>mg</w:t>
      </w:r>
      <w:r w:rsidRPr="000959C1">
        <w:rPr>
          <w:rFonts w:eastAsia="Times New Roman" w:cs="Arial"/>
          <w:color w:val="000000"/>
          <w:szCs w:val="20"/>
          <w:lang w:val="ru-RU"/>
        </w:rPr>
        <w:t xml:space="preserve"> </w:t>
      </w:r>
      <w:r w:rsidRPr="000959C1">
        <w:rPr>
          <w:rFonts w:eastAsia="Times New Roman" w:cs="Arial"/>
          <w:color w:val="000000"/>
          <w:szCs w:val="20"/>
          <w:lang w:eastAsia="bg-BG"/>
        </w:rPr>
        <w:t>или еквивалентна педиатрична доза. Като се има предвид границата на експозицията, е малко вероятно този резултат да има клинично значение.</w:t>
      </w:r>
    </w:p>
    <w:p w14:paraId="47802C1A" w14:textId="77777777" w:rsidR="000959C1" w:rsidRPr="000959C1" w:rsidRDefault="000959C1" w:rsidP="000959C1">
      <w:pPr>
        <w:spacing w:line="240" w:lineRule="auto"/>
        <w:rPr>
          <w:rFonts w:eastAsia="Times New Roman" w:cs="Arial"/>
          <w:color w:val="000000"/>
          <w:szCs w:val="20"/>
          <w:lang w:eastAsia="bg-BG"/>
        </w:rPr>
      </w:pPr>
    </w:p>
    <w:p w14:paraId="031EC71E" w14:textId="726C803A" w:rsidR="000959C1" w:rsidRPr="000959C1" w:rsidRDefault="000959C1" w:rsidP="000959C1">
      <w:pPr>
        <w:spacing w:line="240" w:lineRule="auto"/>
        <w:rPr>
          <w:rFonts w:eastAsia="Times New Roman" w:cs="Arial"/>
          <w:sz w:val="28"/>
          <w:szCs w:val="24"/>
        </w:rPr>
      </w:pPr>
      <w:r w:rsidRPr="000959C1">
        <w:rPr>
          <w:rFonts w:eastAsia="Times New Roman" w:cs="Arial"/>
          <w:color w:val="000000"/>
          <w:szCs w:val="20"/>
          <w:lang w:eastAsia="bg-BG"/>
        </w:rPr>
        <w:t xml:space="preserve">Няма данни за генотоксичност при микробния тест за мутагенност на </w:t>
      </w:r>
      <w:r w:rsidRPr="000959C1">
        <w:rPr>
          <w:rFonts w:eastAsia="Times New Roman" w:cs="Arial"/>
          <w:color w:val="000000"/>
          <w:szCs w:val="20"/>
          <w:lang w:val="en-US"/>
        </w:rPr>
        <w:t>Ames</w:t>
      </w:r>
      <w:r w:rsidRPr="000959C1">
        <w:rPr>
          <w:rFonts w:eastAsia="Times New Roman" w:cs="Arial"/>
          <w:color w:val="000000"/>
          <w:szCs w:val="20"/>
          <w:lang w:val="ru-RU"/>
        </w:rPr>
        <w:t xml:space="preserve"> </w:t>
      </w:r>
      <w:r w:rsidRPr="000959C1">
        <w:rPr>
          <w:rFonts w:eastAsia="Times New Roman" w:cs="Arial"/>
          <w:color w:val="000000"/>
          <w:szCs w:val="20"/>
          <w:lang w:eastAsia="bg-BG"/>
        </w:rPr>
        <w:t>при оценка на гениите мутации в клетки от бозайници и на трансформационния анализ при ембрионални клетки от сирийски хамстер. Резултатите от микронуклеарното проучване и проучването върху репликацията на ДНК при плъхове също са отрицателни. Ентекавир е показал кластогенност при човешки лимфоцитни култури при значително по-високи концентрации от тези, достигнати при клинично приложение.</w:t>
      </w:r>
    </w:p>
    <w:p w14:paraId="06212020" w14:textId="77777777" w:rsidR="000959C1" w:rsidRPr="000959C1" w:rsidRDefault="000959C1" w:rsidP="000959C1">
      <w:pPr>
        <w:rPr>
          <w:rFonts w:eastAsia="Times New Roman" w:cs="Arial"/>
          <w:color w:val="000000"/>
          <w:szCs w:val="20"/>
          <w:lang w:eastAsia="bg-BG"/>
        </w:rPr>
      </w:pPr>
    </w:p>
    <w:p w14:paraId="7F889D54" w14:textId="1B28C52D" w:rsidR="000959C1" w:rsidRPr="000959C1" w:rsidRDefault="000959C1" w:rsidP="000959C1">
      <w:pPr>
        <w:rPr>
          <w:rFonts w:cs="Arial"/>
          <w:sz w:val="24"/>
        </w:rPr>
      </w:pPr>
      <w:r w:rsidRPr="000959C1">
        <w:rPr>
          <w:rFonts w:eastAsia="Times New Roman" w:cs="Arial"/>
          <w:color w:val="000000"/>
          <w:szCs w:val="20"/>
          <w:lang w:eastAsia="bg-BG"/>
        </w:rPr>
        <w:lastRenderedPageBreak/>
        <w:t xml:space="preserve">Двугодишни карциногенни проучвания: при мъжки мишки е наблюдавано повишаване честотата на белодробни тумори при експозиции ≥ 4 и ≥2 пъти спрямо тези при хора при съответно 0,5 </w:t>
      </w:r>
      <w:r w:rsidRPr="000959C1">
        <w:rPr>
          <w:rFonts w:eastAsia="Times New Roman" w:cs="Arial"/>
          <w:color w:val="000000"/>
          <w:szCs w:val="20"/>
          <w:lang w:val="en-US"/>
        </w:rPr>
        <w:t>mg</w:t>
      </w:r>
      <w:r w:rsidRPr="000959C1">
        <w:rPr>
          <w:rFonts w:eastAsia="Times New Roman" w:cs="Arial"/>
          <w:color w:val="000000"/>
          <w:szCs w:val="20"/>
          <w:lang w:val="ru-RU"/>
        </w:rPr>
        <w:t xml:space="preserve"> </w:t>
      </w:r>
      <w:r w:rsidRPr="000959C1">
        <w:rPr>
          <w:rFonts w:eastAsia="Times New Roman" w:cs="Arial"/>
          <w:color w:val="000000"/>
          <w:szCs w:val="20"/>
          <w:lang w:eastAsia="bg-BG"/>
        </w:rPr>
        <w:t xml:space="preserve">и 1 </w:t>
      </w:r>
      <w:r w:rsidRPr="000959C1">
        <w:rPr>
          <w:rFonts w:eastAsia="Times New Roman" w:cs="Arial"/>
          <w:color w:val="000000"/>
          <w:szCs w:val="20"/>
          <w:lang w:val="en-US"/>
        </w:rPr>
        <w:t>mg</w:t>
      </w:r>
      <w:r w:rsidRPr="000959C1">
        <w:rPr>
          <w:rFonts w:eastAsia="Times New Roman" w:cs="Arial"/>
          <w:color w:val="000000"/>
          <w:szCs w:val="20"/>
          <w:lang w:val="ru-RU"/>
        </w:rPr>
        <w:t xml:space="preserve">. </w:t>
      </w:r>
      <w:r w:rsidRPr="000959C1">
        <w:rPr>
          <w:rFonts w:eastAsia="Times New Roman" w:cs="Arial"/>
          <w:color w:val="000000"/>
          <w:szCs w:val="20"/>
          <w:lang w:eastAsia="bg-BG"/>
        </w:rPr>
        <w:t>Развитието на тумори е предшествано от появата на пневмоцитна пролиферация в белите дробове, което не е наблюдавано при плъхове, кучета или маймуни, и това показва, че ключовото събитие, наблюдавано при развитието на белодробен тумор при мишки, е вероятно видова специфичност. Повишена честота на други тумори, включително мозъчни глиоми при мъжки и женски плъхове, чернодробни карциноми при мъжки мишки, доброкачествени васкуларни тумори при женски мишки, както и чернодробни аденоми и карциноми при женски плъхове са наблюдавани само при високи доживотни експозиции. Освен това не биха могли да се определят точно нивата, при които няма ефект. Прогностичното значение на тези резултати при човека не е известно. Относно клинични данни вижте точка 5.1.</w:t>
      </w:r>
    </w:p>
    <w:p w14:paraId="1BA6531D" w14:textId="5A98B6C3" w:rsidR="00B6672E" w:rsidRDefault="002C50EE" w:rsidP="00936AD0">
      <w:pPr>
        <w:pStyle w:val="Heading1"/>
      </w:pPr>
      <w:r>
        <w:t>7. ПРИТЕЖАТЕЛ НА РАЗРЕШЕНИЕТО ЗА УПОТРЕБА</w:t>
      </w:r>
    </w:p>
    <w:p w14:paraId="2FA846BF" w14:textId="65AEDEC2" w:rsidR="000959C1" w:rsidRDefault="000959C1" w:rsidP="000959C1"/>
    <w:p w14:paraId="5C7B01D2" w14:textId="77777777" w:rsidR="000959C1" w:rsidRPr="000959C1" w:rsidRDefault="000959C1" w:rsidP="000959C1">
      <w:pPr>
        <w:rPr>
          <w:sz w:val="24"/>
          <w:szCs w:val="24"/>
          <w:lang w:val="en-US"/>
        </w:rPr>
      </w:pPr>
      <w:r w:rsidRPr="000959C1">
        <w:rPr>
          <w:lang w:val="en-US"/>
        </w:rPr>
        <w:t>Zentiva k.s.</w:t>
      </w:r>
    </w:p>
    <w:p w14:paraId="7601BBF0" w14:textId="77777777" w:rsidR="000959C1" w:rsidRPr="000959C1" w:rsidRDefault="000959C1" w:rsidP="000959C1">
      <w:pPr>
        <w:rPr>
          <w:sz w:val="24"/>
          <w:szCs w:val="24"/>
          <w:lang w:val="en-US"/>
        </w:rPr>
      </w:pPr>
      <w:r w:rsidRPr="000959C1">
        <w:rPr>
          <w:lang w:val="en-US"/>
        </w:rPr>
        <w:t xml:space="preserve">Ukabelovny </w:t>
      </w:r>
      <w:r w:rsidRPr="000959C1">
        <w:rPr>
          <w:lang w:eastAsia="bg-BG"/>
        </w:rPr>
        <w:t>130,</w:t>
      </w:r>
    </w:p>
    <w:p w14:paraId="3B93E08C" w14:textId="77777777" w:rsidR="000959C1" w:rsidRPr="000959C1" w:rsidRDefault="000959C1" w:rsidP="000959C1">
      <w:pPr>
        <w:rPr>
          <w:sz w:val="24"/>
          <w:szCs w:val="24"/>
          <w:lang w:val="en-US"/>
        </w:rPr>
      </w:pPr>
      <w:r w:rsidRPr="000959C1">
        <w:rPr>
          <w:lang w:val="en-US"/>
        </w:rPr>
        <w:t>Dolni M&amp;cholupy</w:t>
      </w:r>
    </w:p>
    <w:p w14:paraId="331A262A" w14:textId="77777777" w:rsidR="000959C1" w:rsidRPr="000959C1" w:rsidRDefault="000959C1" w:rsidP="000959C1">
      <w:pPr>
        <w:rPr>
          <w:sz w:val="24"/>
          <w:szCs w:val="24"/>
          <w:lang w:val="ru-RU"/>
        </w:rPr>
      </w:pPr>
      <w:r w:rsidRPr="000959C1">
        <w:rPr>
          <w:lang w:val="ru-RU"/>
        </w:rPr>
        <w:t xml:space="preserve">102 37, </w:t>
      </w:r>
      <w:r w:rsidRPr="000959C1">
        <w:rPr>
          <w:lang w:val="en-US"/>
        </w:rPr>
        <w:t>Prague</w:t>
      </w:r>
      <w:r w:rsidRPr="000959C1">
        <w:rPr>
          <w:lang w:val="ru-RU"/>
        </w:rPr>
        <w:t xml:space="preserve"> 10</w:t>
      </w:r>
    </w:p>
    <w:p w14:paraId="0D36E1CB" w14:textId="77777777" w:rsidR="000959C1" w:rsidRPr="000959C1" w:rsidRDefault="000959C1" w:rsidP="000959C1">
      <w:pPr>
        <w:rPr>
          <w:sz w:val="24"/>
          <w:szCs w:val="24"/>
          <w:lang w:val="ru-RU"/>
        </w:rPr>
      </w:pPr>
      <w:r w:rsidRPr="000959C1">
        <w:rPr>
          <w:lang w:eastAsia="bg-BG"/>
        </w:rPr>
        <w:t>Чешка република</w:t>
      </w:r>
    </w:p>
    <w:p w14:paraId="00A49C5C" w14:textId="77777777" w:rsidR="000959C1" w:rsidRPr="000959C1" w:rsidRDefault="000959C1" w:rsidP="000959C1">
      <w:pPr>
        <w:rPr>
          <w:lang w:val="ru-RU"/>
        </w:rPr>
      </w:pPr>
    </w:p>
    <w:p w14:paraId="508F3A54" w14:textId="0D80D5A2" w:rsidR="00B6672E" w:rsidRDefault="00936AD0" w:rsidP="00936AD0">
      <w:pPr>
        <w:pStyle w:val="Heading1"/>
      </w:pPr>
      <w:r>
        <w:t>8.</w:t>
      </w:r>
      <w:r w:rsidR="002C50EE">
        <w:t>НОМЕР НА РАЗРЕШЕНИЕТО ЗА УПОТРЕБА</w:t>
      </w:r>
    </w:p>
    <w:p w14:paraId="229053C3" w14:textId="15EA2441" w:rsidR="000959C1" w:rsidRDefault="000959C1" w:rsidP="000959C1"/>
    <w:p w14:paraId="527D7EDF" w14:textId="36F6539D" w:rsidR="000959C1" w:rsidRPr="000959C1" w:rsidRDefault="000959C1" w:rsidP="000959C1">
      <w:r>
        <w:t>Peг</w:t>
      </w:r>
      <w:r>
        <w:t>. № 20170204</w:t>
      </w:r>
    </w:p>
    <w:p w14:paraId="2CCB5832" w14:textId="22F28242" w:rsidR="007C605B" w:rsidRDefault="002C50EE" w:rsidP="007C605B">
      <w:pPr>
        <w:pStyle w:val="Heading1"/>
      </w:pPr>
      <w:r>
        <w:t>9. ДАТА НА ПЪРВО РАЗРЕШАВАНЕ/ПОДНОВЯВАНЕ НА РАЗРЕШЕНИЕТО ЗА УПОТРЕБА</w:t>
      </w:r>
    </w:p>
    <w:p w14:paraId="4C7BD7BF" w14:textId="461095F3" w:rsidR="000959C1" w:rsidRDefault="000959C1" w:rsidP="000959C1"/>
    <w:p w14:paraId="055563C6" w14:textId="409A17DC" w:rsidR="000959C1" w:rsidRPr="000959C1" w:rsidRDefault="000959C1" w:rsidP="000959C1">
      <w:r>
        <w:t>Дата на първо разрешение 11.06.2017</w:t>
      </w:r>
    </w:p>
    <w:p w14:paraId="0E9D0119" w14:textId="0245C6D7" w:rsidR="002C50EE" w:rsidRDefault="002C50EE" w:rsidP="002C50EE">
      <w:pPr>
        <w:pStyle w:val="Heading1"/>
      </w:pPr>
      <w:r>
        <w:t>10. ДАТА НА АКТУАЛИЗИРАНЕ НА ТЕКСТА</w:t>
      </w:r>
    </w:p>
    <w:bookmarkEnd w:id="0"/>
    <w:p w14:paraId="43FB38A2" w14:textId="677AB635" w:rsidR="007C605B" w:rsidRPr="000959C1" w:rsidRDefault="000959C1" w:rsidP="000959C1">
      <w:pPr>
        <w:rPr>
          <w:sz w:val="24"/>
          <w:szCs w:val="24"/>
        </w:rPr>
      </w:pPr>
      <w:r w:rsidRPr="000959C1">
        <w:rPr>
          <w:lang w:eastAsia="bg-BG"/>
        </w:rPr>
        <w:t>30.06.2021 г.</w:t>
      </w:r>
      <w:bookmarkStart w:id="3" w:name="_GoBack"/>
      <w:bookmarkEnd w:id="3"/>
    </w:p>
    <w:sectPr w:rsidR="007C605B" w:rsidRPr="00095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774AC"/>
    <w:multiLevelType w:val="hybridMultilevel"/>
    <w:tmpl w:val="BF76A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66FE2"/>
    <w:multiLevelType w:val="hybridMultilevel"/>
    <w:tmpl w:val="0504E502"/>
    <w:lvl w:ilvl="0" w:tplc="F9D02760">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0"/>
  </w:num>
  <w:num w:numId="2">
    <w:abstractNumId w:val="0"/>
  </w:num>
  <w:num w:numId="3">
    <w:abstractNumId w:val="15"/>
  </w:num>
  <w:num w:numId="4">
    <w:abstractNumId w:val="3"/>
  </w:num>
  <w:num w:numId="5">
    <w:abstractNumId w:val="1"/>
  </w:num>
  <w:num w:numId="6">
    <w:abstractNumId w:val="18"/>
  </w:num>
  <w:num w:numId="7">
    <w:abstractNumId w:val="13"/>
  </w:num>
  <w:num w:numId="8">
    <w:abstractNumId w:val="17"/>
  </w:num>
  <w:num w:numId="9">
    <w:abstractNumId w:val="2"/>
  </w:num>
  <w:num w:numId="10">
    <w:abstractNumId w:val="4"/>
  </w:num>
  <w:num w:numId="11">
    <w:abstractNumId w:val="33"/>
  </w:num>
  <w:num w:numId="12">
    <w:abstractNumId w:val="16"/>
  </w:num>
  <w:num w:numId="13">
    <w:abstractNumId w:val="22"/>
  </w:num>
  <w:num w:numId="14">
    <w:abstractNumId w:val="14"/>
  </w:num>
  <w:num w:numId="15">
    <w:abstractNumId w:val="32"/>
  </w:num>
  <w:num w:numId="16">
    <w:abstractNumId w:val="12"/>
  </w:num>
  <w:num w:numId="17">
    <w:abstractNumId w:val="27"/>
  </w:num>
  <w:num w:numId="18">
    <w:abstractNumId w:val="9"/>
  </w:num>
  <w:num w:numId="19">
    <w:abstractNumId w:val="29"/>
  </w:num>
  <w:num w:numId="20">
    <w:abstractNumId w:val="26"/>
  </w:num>
  <w:num w:numId="21">
    <w:abstractNumId w:val="19"/>
  </w:num>
  <w:num w:numId="22">
    <w:abstractNumId w:val="28"/>
  </w:num>
  <w:num w:numId="23">
    <w:abstractNumId w:val="21"/>
  </w:num>
  <w:num w:numId="24">
    <w:abstractNumId w:val="10"/>
  </w:num>
  <w:num w:numId="25">
    <w:abstractNumId w:val="25"/>
  </w:num>
  <w:num w:numId="26">
    <w:abstractNumId w:val="24"/>
  </w:num>
  <w:num w:numId="27">
    <w:abstractNumId w:val="34"/>
  </w:num>
  <w:num w:numId="28">
    <w:abstractNumId w:val="7"/>
  </w:num>
  <w:num w:numId="29">
    <w:abstractNumId w:val="23"/>
  </w:num>
  <w:num w:numId="30">
    <w:abstractNumId w:val="37"/>
  </w:num>
  <w:num w:numId="31">
    <w:abstractNumId w:val="5"/>
  </w:num>
  <w:num w:numId="32">
    <w:abstractNumId w:val="36"/>
  </w:num>
  <w:num w:numId="33">
    <w:abstractNumId w:val="31"/>
  </w:num>
  <w:num w:numId="34">
    <w:abstractNumId w:val="35"/>
  </w:num>
  <w:num w:numId="35">
    <w:abstractNumId w:val="8"/>
  </w:num>
  <w:num w:numId="36">
    <w:abstractNumId w:val="11"/>
  </w:num>
  <w:num w:numId="37">
    <w:abstractNumId w:val="20"/>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959C1"/>
    <w:rsid w:val="00185A46"/>
    <w:rsid w:val="001915B6"/>
    <w:rsid w:val="001D1B23"/>
    <w:rsid w:val="002B3C38"/>
    <w:rsid w:val="002B4DBB"/>
    <w:rsid w:val="002C50EE"/>
    <w:rsid w:val="00340A0A"/>
    <w:rsid w:val="003765DC"/>
    <w:rsid w:val="00395555"/>
    <w:rsid w:val="003E3126"/>
    <w:rsid w:val="00426E5F"/>
    <w:rsid w:val="004A448E"/>
    <w:rsid w:val="004D4D6B"/>
    <w:rsid w:val="004E779D"/>
    <w:rsid w:val="004F1CE7"/>
    <w:rsid w:val="004F498A"/>
    <w:rsid w:val="00517A5B"/>
    <w:rsid w:val="00593A00"/>
    <w:rsid w:val="005A66D9"/>
    <w:rsid w:val="005C5F4B"/>
    <w:rsid w:val="00605BCA"/>
    <w:rsid w:val="006158A1"/>
    <w:rsid w:val="00617B1F"/>
    <w:rsid w:val="00672487"/>
    <w:rsid w:val="00672600"/>
    <w:rsid w:val="00681D4A"/>
    <w:rsid w:val="00685882"/>
    <w:rsid w:val="007122AD"/>
    <w:rsid w:val="0075649D"/>
    <w:rsid w:val="00775E52"/>
    <w:rsid w:val="007C605B"/>
    <w:rsid w:val="008134C8"/>
    <w:rsid w:val="00814073"/>
    <w:rsid w:val="00826F0D"/>
    <w:rsid w:val="00893B92"/>
    <w:rsid w:val="008A6AF2"/>
    <w:rsid w:val="008C70A2"/>
    <w:rsid w:val="00936AD0"/>
    <w:rsid w:val="009773E4"/>
    <w:rsid w:val="009B171C"/>
    <w:rsid w:val="009F1313"/>
    <w:rsid w:val="00A20351"/>
    <w:rsid w:val="00A520F5"/>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D466D"/>
    <w:rsid w:val="00E110B4"/>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10032</Words>
  <Characters>57188</Characters>
  <Application>Microsoft Office Word</Application>
  <DocSecurity>0</DocSecurity>
  <Lines>476</Lines>
  <Paragraphs>134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2022-07-29T09:50:00Z</dcterms:created>
  <dcterms:modified xsi:type="dcterms:W3CDTF">2022-07-29T09:50:00Z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