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B239815" w14:textId="4D68CD0F" w:rsidR="00AA23EC" w:rsidRDefault="00DD466D" w:rsidP="00DD466D">
      <w:pPr>
        <w:pStyle w:val="Heading1"/>
      </w:pPr>
      <w:r>
        <w:t>1.ИМЕ НА ЛЕКАРСТВЕНИЯ ПРОДУКТ</w:t>
      </w:r>
    </w:p>
    <w:p w14:paraId="16BD1E5A" w14:textId="77777777" w:rsidR="00C3748F" w:rsidRPr="00C3748F" w:rsidRDefault="00C3748F" w:rsidP="00C3748F">
      <w:pPr>
        <w:rPr>
          <w:sz w:val="24"/>
          <w:szCs w:val="24"/>
        </w:rPr>
      </w:pPr>
      <w:proofErr w:type="spellStart"/>
      <w:r w:rsidRPr="00C3748F">
        <w:rPr>
          <w:lang w:eastAsia="bg-BG"/>
        </w:rPr>
        <w:t>Ентерол</w:t>
      </w:r>
      <w:proofErr w:type="spellEnd"/>
      <w:r w:rsidRPr="00C3748F">
        <w:rPr>
          <w:lang w:eastAsia="bg-BG"/>
        </w:rPr>
        <w:t xml:space="preserve"> 250 </w:t>
      </w:r>
      <w:r w:rsidRPr="00C3748F">
        <w:rPr>
          <w:lang w:val="en-US"/>
        </w:rPr>
        <w:t xml:space="preserve">mg </w:t>
      </w:r>
      <w:r w:rsidRPr="00C3748F">
        <w:rPr>
          <w:lang w:eastAsia="bg-BG"/>
        </w:rPr>
        <w:t>твърди капсули</w:t>
      </w:r>
    </w:p>
    <w:p w14:paraId="488F8B05" w14:textId="70421169" w:rsidR="00C3748F" w:rsidRPr="00C3748F" w:rsidRDefault="00C3748F" w:rsidP="00C3748F">
      <w:proofErr w:type="spellStart"/>
      <w:r w:rsidRPr="00C3748F">
        <w:rPr>
          <w:lang w:val="en-US"/>
        </w:rPr>
        <w:t>Enterol</w:t>
      </w:r>
      <w:proofErr w:type="spellEnd"/>
      <w:r w:rsidRPr="00C3748F">
        <w:rPr>
          <w:lang w:val="en-US"/>
        </w:rPr>
        <w:t xml:space="preserve"> </w:t>
      </w:r>
      <w:r w:rsidRPr="00C3748F">
        <w:rPr>
          <w:lang w:eastAsia="bg-BG"/>
        </w:rPr>
        <w:t xml:space="preserve">250 </w:t>
      </w:r>
      <w:r w:rsidRPr="00C3748F">
        <w:rPr>
          <w:lang w:val="en-US"/>
        </w:rPr>
        <w:t>mg capsules, hard</w:t>
      </w:r>
    </w:p>
    <w:p w14:paraId="4D88B710" w14:textId="6DA47563" w:rsidR="00D86297" w:rsidRDefault="00DD466D" w:rsidP="00AA23EC">
      <w:pPr>
        <w:pStyle w:val="Heading1"/>
      </w:pPr>
      <w:r>
        <w:t>2. КАЧЕСТВЕН И КОЛИЧЕСТВЕН СЪСТАВ</w:t>
      </w:r>
    </w:p>
    <w:p w14:paraId="34049C28" w14:textId="77777777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 xml:space="preserve">Всяка твърда капсула съдържа </w:t>
      </w:r>
      <w:r w:rsidRPr="00C3748F">
        <w:rPr>
          <w:lang w:val="en-US"/>
        </w:rPr>
        <w:t xml:space="preserve">Lyophilized Saccharomyces </w:t>
      </w:r>
      <w:proofErr w:type="spellStart"/>
      <w:r w:rsidRPr="00C3748F">
        <w:rPr>
          <w:lang w:val="en-US"/>
        </w:rPr>
        <w:t>boulardii</w:t>
      </w:r>
      <w:proofErr w:type="spellEnd"/>
      <w:r w:rsidRPr="00C3748F">
        <w:rPr>
          <w:lang w:val="en-US"/>
        </w:rPr>
        <w:t xml:space="preserve"> CNCM I-745282,50 mg </w:t>
      </w:r>
      <w:r w:rsidRPr="00C3748F">
        <w:rPr>
          <w:lang w:eastAsia="bg-BG"/>
        </w:rPr>
        <w:t xml:space="preserve">(еквивалентни на </w:t>
      </w:r>
      <w:r w:rsidRPr="00C3748F">
        <w:rPr>
          <w:lang w:val="en-US"/>
        </w:rPr>
        <w:t xml:space="preserve">250 mg </w:t>
      </w:r>
      <w:proofErr w:type="spellStart"/>
      <w:r w:rsidRPr="00C3748F">
        <w:rPr>
          <w:lang w:eastAsia="bg-BG"/>
        </w:rPr>
        <w:t>лиофилизирани</w:t>
      </w:r>
      <w:proofErr w:type="spellEnd"/>
      <w:r w:rsidRPr="00C3748F">
        <w:rPr>
          <w:lang w:eastAsia="bg-BG"/>
        </w:rPr>
        <w:t xml:space="preserve"> клетки на </w:t>
      </w:r>
      <w:r w:rsidRPr="00C3748F">
        <w:rPr>
          <w:lang w:val="en-US"/>
        </w:rPr>
        <w:t xml:space="preserve">Saccharomyces </w:t>
      </w:r>
      <w:proofErr w:type="spellStart"/>
      <w:r w:rsidRPr="00C3748F">
        <w:rPr>
          <w:lang w:val="en-US"/>
        </w:rPr>
        <w:t>boulardii</w:t>
      </w:r>
      <w:proofErr w:type="spellEnd"/>
      <w:r w:rsidRPr="00C3748F">
        <w:rPr>
          <w:lang w:val="en-US"/>
        </w:rPr>
        <w:t xml:space="preserve"> CNCM I-745 </w:t>
      </w:r>
      <w:r w:rsidRPr="00C3748F">
        <w:rPr>
          <w:lang w:eastAsia="bg-BG"/>
        </w:rPr>
        <w:t xml:space="preserve">и </w:t>
      </w:r>
      <w:r w:rsidRPr="00C3748F">
        <w:rPr>
          <w:lang w:val="en-US"/>
        </w:rPr>
        <w:t>32,50 mg lactose).</w:t>
      </w:r>
    </w:p>
    <w:p w14:paraId="6F67E503" w14:textId="77777777" w:rsidR="00C3748F" w:rsidRDefault="00C3748F" w:rsidP="00C3748F">
      <w:pPr>
        <w:rPr>
          <w:lang w:eastAsia="bg-BG"/>
        </w:rPr>
      </w:pPr>
    </w:p>
    <w:p w14:paraId="2FE788A4" w14:textId="0AE4323C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 xml:space="preserve">Помощни вещества </w:t>
      </w:r>
      <w:r w:rsidRPr="00C3748F">
        <w:rPr>
          <w:lang w:val="en-US"/>
        </w:rPr>
        <w:t xml:space="preserve">c </w:t>
      </w:r>
      <w:r w:rsidRPr="00C3748F">
        <w:rPr>
          <w:lang w:eastAsia="bg-BG"/>
        </w:rPr>
        <w:t>известно действие за 1 капсула:</w:t>
      </w:r>
    </w:p>
    <w:p w14:paraId="59384F86" w14:textId="6071DACF" w:rsidR="00C3748F" w:rsidRPr="00C3748F" w:rsidRDefault="00C3748F" w:rsidP="00C3748F">
      <w:r w:rsidRPr="00C3748F">
        <w:rPr>
          <w:lang w:eastAsia="bg-BG"/>
        </w:rPr>
        <w:t xml:space="preserve">Лактоза: 32,50 </w:t>
      </w:r>
      <w:r w:rsidRPr="00C3748F">
        <w:rPr>
          <w:lang w:val="en-US"/>
        </w:rPr>
        <w:t>mg</w:t>
      </w:r>
    </w:p>
    <w:p w14:paraId="5E332777" w14:textId="7FC98D49" w:rsidR="005A66D9" w:rsidRDefault="00DD466D" w:rsidP="00CA1B57">
      <w:pPr>
        <w:pStyle w:val="Heading1"/>
      </w:pPr>
      <w:r>
        <w:t>3. ЛЕКАРСТВЕНА ФОРМА</w:t>
      </w:r>
    </w:p>
    <w:p w14:paraId="723E2A9E" w14:textId="5B11DB0F" w:rsidR="00C3748F" w:rsidRPr="00C3748F" w:rsidRDefault="00C3748F" w:rsidP="00C3748F">
      <w:r>
        <w:t>Твърда капсула</w:t>
      </w: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512A286" w14:textId="570DBE04" w:rsidR="00FD69E8" w:rsidRDefault="002C50EE" w:rsidP="00AA23EC">
      <w:pPr>
        <w:pStyle w:val="Heading2"/>
      </w:pPr>
      <w:r>
        <w:t>4.1. Терапевтични показания</w:t>
      </w:r>
    </w:p>
    <w:p w14:paraId="46878831" w14:textId="77777777" w:rsidR="00C3748F" w:rsidRDefault="00C3748F" w:rsidP="00C3748F">
      <w:pPr>
        <w:rPr>
          <w:lang w:eastAsia="bg-BG"/>
        </w:rPr>
      </w:pPr>
    </w:p>
    <w:p w14:paraId="4DCE94C6" w14:textId="786851CD" w:rsidR="00C3748F" w:rsidRPr="00C3748F" w:rsidRDefault="00C3748F" w:rsidP="00C3748F">
      <w:pPr>
        <w:pStyle w:val="ListParagraph"/>
        <w:numPr>
          <w:ilvl w:val="0"/>
          <w:numId w:val="24"/>
        </w:numPr>
        <w:rPr>
          <w:lang w:eastAsia="bg-BG"/>
        </w:rPr>
      </w:pPr>
      <w:r w:rsidRPr="00C3748F">
        <w:rPr>
          <w:lang w:eastAsia="bg-BG"/>
        </w:rPr>
        <w:t>Лечение на остра инфекциозна диария при възрастни и деца</w:t>
      </w:r>
    </w:p>
    <w:p w14:paraId="092E3BC3" w14:textId="77777777" w:rsidR="00C3748F" w:rsidRPr="00C3748F" w:rsidRDefault="00C3748F" w:rsidP="00C3748F">
      <w:pPr>
        <w:pStyle w:val="ListParagraph"/>
        <w:numPr>
          <w:ilvl w:val="0"/>
          <w:numId w:val="24"/>
        </w:numPr>
        <w:rPr>
          <w:lang w:eastAsia="bg-BG"/>
        </w:rPr>
      </w:pPr>
      <w:r w:rsidRPr="00C3748F">
        <w:rPr>
          <w:lang w:eastAsia="bg-BG"/>
        </w:rPr>
        <w:t>Профилактика и лечение на колит и диария, причинени от антибиотици</w:t>
      </w:r>
    </w:p>
    <w:p w14:paraId="4DB7546C" w14:textId="77777777" w:rsidR="00C3748F" w:rsidRPr="00C3748F" w:rsidRDefault="00C3748F" w:rsidP="00C3748F">
      <w:pPr>
        <w:pStyle w:val="ListParagraph"/>
        <w:numPr>
          <w:ilvl w:val="0"/>
          <w:numId w:val="24"/>
        </w:numPr>
        <w:rPr>
          <w:lang w:eastAsia="bg-BG"/>
        </w:rPr>
      </w:pPr>
      <w:r w:rsidRPr="00C3748F">
        <w:rPr>
          <w:lang w:eastAsia="bg-BG"/>
        </w:rPr>
        <w:t xml:space="preserve">Като допълнение към лечение с </w:t>
      </w:r>
      <w:proofErr w:type="spellStart"/>
      <w:r w:rsidRPr="00C3748F">
        <w:rPr>
          <w:lang w:eastAsia="bg-BG"/>
        </w:rPr>
        <w:t>ванкомицин</w:t>
      </w:r>
      <w:proofErr w:type="spellEnd"/>
      <w:r w:rsidRPr="00C3748F">
        <w:rPr>
          <w:lang w:eastAsia="bg-BG"/>
        </w:rPr>
        <w:t>/</w:t>
      </w:r>
      <w:proofErr w:type="spellStart"/>
      <w:r w:rsidRPr="00C3748F">
        <w:rPr>
          <w:lang w:eastAsia="bg-BG"/>
        </w:rPr>
        <w:t>метронидазол</w:t>
      </w:r>
      <w:proofErr w:type="spellEnd"/>
      <w:r w:rsidRPr="00C3748F">
        <w:rPr>
          <w:lang w:eastAsia="bg-BG"/>
        </w:rPr>
        <w:t xml:space="preserve"> за предотвратяване на рецидив на заболявания, причинени от </w:t>
      </w:r>
      <w:proofErr w:type="spellStart"/>
      <w:r w:rsidRPr="00C3748F">
        <w:rPr>
          <w:lang w:val="en-US"/>
        </w:rPr>
        <w:t>Clostiidium</w:t>
      </w:r>
      <w:proofErr w:type="spellEnd"/>
      <w:r w:rsidRPr="00C3748F">
        <w:rPr>
          <w:lang w:val="en-US"/>
        </w:rPr>
        <w:t xml:space="preserve"> difficile</w:t>
      </w:r>
    </w:p>
    <w:p w14:paraId="0D2E9000" w14:textId="77777777" w:rsidR="00C3748F" w:rsidRPr="00C3748F" w:rsidRDefault="00C3748F" w:rsidP="00C3748F">
      <w:pPr>
        <w:pStyle w:val="ListParagraph"/>
        <w:numPr>
          <w:ilvl w:val="0"/>
          <w:numId w:val="24"/>
        </w:numPr>
        <w:rPr>
          <w:lang w:eastAsia="bg-BG"/>
        </w:rPr>
      </w:pPr>
      <w:r w:rsidRPr="00C3748F">
        <w:rPr>
          <w:lang w:eastAsia="bg-BG"/>
        </w:rPr>
        <w:t>Профилактика на диария, вследствие на хранене със сонда</w:t>
      </w:r>
    </w:p>
    <w:p w14:paraId="4E56FE88" w14:textId="77777777" w:rsidR="00C3748F" w:rsidRPr="00C3748F" w:rsidRDefault="00C3748F" w:rsidP="00C3748F">
      <w:pPr>
        <w:pStyle w:val="ListParagraph"/>
        <w:numPr>
          <w:ilvl w:val="0"/>
          <w:numId w:val="24"/>
        </w:numPr>
        <w:rPr>
          <w:lang w:eastAsia="bg-BG"/>
        </w:rPr>
      </w:pPr>
      <w:r w:rsidRPr="00C3748F">
        <w:rPr>
          <w:lang w:eastAsia="bg-BG"/>
        </w:rPr>
        <w:t xml:space="preserve">Лечение на синдрома </w:t>
      </w:r>
      <w:r w:rsidRPr="00C3748F">
        <w:rPr>
          <w:lang w:val="en-US"/>
        </w:rPr>
        <w:t>Colon irritable</w:t>
      </w:r>
    </w:p>
    <w:p w14:paraId="453F8B0D" w14:textId="77777777" w:rsidR="00C3748F" w:rsidRPr="00C3748F" w:rsidRDefault="00C3748F" w:rsidP="00C3748F"/>
    <w:p w14:paraId="127F2AC9" w14:textId="6EB21926" w:rsidR="00FD69E8" w:rsidRDefault="002C50EE" w:rsidP="00AA23EC">
      <w:pPr>
        <w:pStyle w:val="Heading2"/>
      </w:pPr>
      <w:r>
        <w:t>4.2. Дозировка и начин на приложение</w:t>
      </w:r>
    </w:p>
    <w:p w14:paraId="777597C5" w14:textId="77777777" w:rsidR="00C3748F" w:rsidRDefault="00C3748F" w:rsidP="00C3748F">
      <w:pPr>
        <w:rPr>
          <w:lang w:eastAsia="bg-BG"/>
        </w:rPr>
      </w:pPr>
    </w:p>
    <w:p w14:paraId="05D3EA54" w14:textId="7C558253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>1 или 2 капсули дневно.</w:t>
      </w:r>
    </w:p>
    <w:p w14:paraId="2DD155E2" w14:textId="77777777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>Капсулите могат да се приемат с малко вода или да се отворят и съдържанието да се изсипе в подсладена безалкохолна напитка, върху храна.</w:t>
      </w:r>
    </w:p>
    <w:p w14:paraId="52D88FE0" w14:textId="77777777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>При малките деца под 6 години не е препоръчително да се гълтат капсулите (риск от неуспешен пасаж).</w:t>
      </w:r>
    </w:p>
    <w:p w14:paraId="0CADC863" w14:textId="77777777" w:rsidR="00C3748F" w:rsidRDefault="00C3748F" w:rsidP="00C3748F">
      <w:pPr>
        <w:rPr>
          <w:lang w:eastAsia="bg-BG"/>
        </w:rPr>
      </w:pPr>
    </w:p>
    <w:p w14:paraId="591456DF" w14:textId="754C56E0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 xml:space="preserve">Поради риск от въздушен път на контаминиране, сашетата или капсулите не трябва да се отварят в стаи за пациенти. По време на работа свързана с приложението на </w:t>
      </w:r>
      <w:proofErr w:type="spellStart"/>
      <w:r w:rsidRPr="00C3748F">
        <w:rPr>
          <w:lang w:eastAsia="bg-BG"/>
        </w:rPr>
        <w:t>пробиотици</w:t>
      </w:r>
      <w:proofErr w:type="spellEnd"/>
      <w:r w:rsidRPr="00C3748F">
        <w:rPr>
          <w:lang w:eastAsia="bg-BG"/>
        </w:rPr>
        <w:t>, медицинските специалисти трябва да носят ръкавици, след което незабавно да ги изхвърлят и добре да измият ръцете си (вж. т. 4.4).</w:t>
      </w:r>
    </w:p>
    <w:p w14:paraId="417BC6C8" w14:textId="77777777" w:rsidR="00C3748F" w:rsidRPr="00C3748F" w:rsidRDefault="00C3748F" w:rsidP="00C3748F"/>
    <w:p w14:paraId="0E366821" w14:textId="01ED3EEF" w:rsidR="00FD69E8" w:rsidRDefault="002C50EE" w:rsidP="00AA23EC">
      <w:pPr>
        <w:pStyle w:val="Heading2"/>
      </w:pPr>
      <w:r>
        <w:t>4.3. Противопоказания</w:t>
      </w:r>
    </w:p>
    <w:p w14:paraId="18335659" w14:textId="77777777" w:rsidR="00C3748F" w:rsidRDefault="00C3748F" w:rsidP="00C3748F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14:paraId="1F38647A" w14:textId="6C6FCDB4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>Свръхчувствителност към активното вещество или към някое от помощните вещества.</w:t>
      </w:r>
    </w:p>
    <w:p w14:paraId="638F8D2D" w14:textId="77777777" w:rsidR="00C3748F" w:rsidRDefault="00C3748F" w:rsidP="00C3748F">
      <w:pPr>
        <w:rPr>
          <w:lang w:eastAsia="bg-BG"/>
        </w:rPr>
      </w:pPr>
    </w:p>
    <w:p w14:paraId="51735424" w14:textId="048453CD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lastRenderedPageBreak/>
        <w:t>Известна свръхчувствителност към някоя от съставките; алергия към мая, особено към</w:t>
      </w:r>
    </w:p>
    <w:p w14:paraId="506FCF48" w14:textId="77777777" w:rsidR="00C3748F" w:rsidRPr="00C3748F" w:rsidRDefault="00C3748F" w:rsidP="00C3748F">
      <w:pPr>
        <w:rPr>
          <w:sz w:val="24"/>
          <w:szCs w:val="24"/>
        </w:rPr>
      </w:pPr>
      <w:r w:rsidRPr="00C3748F">
        <w:rPr>
          <w:i/>
          <w:iCs/>
          <w:lang w:val="en-US"/>
        </w:rPr>
        <w:t xml:space="preserve">Saccharomyces </w:t>
      </w:r>
      <w:proofErr w:type="spellStart"/>
      <w:r w:rsidRPr="00C3748F">
        <w:rPr>
          <w:i/>
          <w:iCs/>
          <w:lang w:val="en-US"/>
        </w:rPr>
        <w:t>boulardii</w:t>
      </w:r>
      <w:proofErr w:type="spellEnd"/>
      <w:r w:rsidRPr="00C3748F">
        <w:rPr>
          <w:i/>
          <w:iCs/>
          <w:lang w:val="en-US"/>
        </w:rPr>
        <w:t>;</w:t>
      </w:r>
      <w:r w:rsidRPr="00C3748F">
        <w:rPr>
          <w:lang w:val="en-US"/>
        </w:rPr>
        <w:t xml:space="preserve"> </w:t>
      </w:r>
      <w:r w:rsidRPr="00C3748F">
        <w:rPr>
          <w:lang w:eastAsia="bg-BG"/>
        </w:rPr>
        <w:t xml:space="preserve">пациенти с централен венозен катетър; критично болни пациенти или </w:t>
      </w:r>
      <w:proofErr w:type="spellStart"/>
      <w:r w:rsidRPr="00C3748F">
        <w:rPr>
          <w:lang w:eastAsia="bg-BG"/>
        </w:rPr>
        <w:t>имунокомпрометирани</w:t>
      </w:r>
      <w:proofErr w:type="spellEnd"/>
      <w:r w:rsidRPr="00C3748F">
        <w:rPr>
          <w:lang w:eastAsia="bg-BG"/>
        </w:rPr>
        <w:t xml:space="preserve"> пациенти, поради риск от </w:t>
      </w:r>
      <w:proofErr w:type="spellStart"/>
      <w:r w:rsidRPr="00C3748F">
        <w:rPr>
          <w:lang w:eastAsia="bg-BG"/>
        </w:rPr>
        <w:t>фунгемия</w:t>
      </w:r>
      <w:proofErr w:type="spellEnd"/>
      <w:r w:rsidRPr="00C3748F">
        <w:rPr>
          <w:lang w:eastAsia="bg-BG"/>
        </w:rPr>
        <w:t xml:space="preserve"> (вж. т. 4.4).</w:t>
      </w:r>
    </w:p>
    <w:p w14:paraId="0593F673" w14:textId="77777777" w:rsidR="00C3748F" w:rsidRPr="00C3748F" w:rsidRDefault="00C3748F" w:rsidP="00C3748F"/>
    <w:p w14:paraId="6DDF89B4" w14:textId="1527EFE9" w:rsidR="00C809A7" w:rsidRDefault="002C50EE" w:rsidP="00AA23EC">
      <w:pPr>
        <w:pStyle w:val="Heading2"/>
      </w:pPr>
      <w:r>
        <w:t>4.4. Специални предупреждения и предпазни мерки при употреба</w:t>
      </w:r>
    </w:p>
    <w:p w14:paraId="760E1F19" w14:textId="77777777" w:rsidR="00C3748F" w:rsidRDefault="00C3748F" w:rsidP="00C3748F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14:paraId="790F18A3" w14:textId="5C564E7E" w:rsidR="00C3748F" w:rsidRPr="00C3748F" w:rsidRDefault="00C3748F" w:rsidP="00C3748F">
      <w:pPr>
        <w:rPr>
          <w:sz w:val="24"/>
          <w:szCs w:val="24"/>
        </w:rPr>
      </w:pPr>
      <w:proofErr w:type="spellStart"/>
      <w:r w:rsidRPr="00C3748F">
        <w:rPr>
          <w:lang w:eastAsia="bg-BG"/>
        </w:rPr>
        <w:t>Ентерол</w:t>
      </w:r>
      <w:proofErr w:type="spellEnd"/>
      <w:r w:rsidRPr="00C3748F">
        <w:rPr>
          <w:lang w:eastAsia="bg-BG"/>
        </w:rPr>
        <w:t xml:space="preserve"> съдържа живи клетки. Затова този лекарствен продукт не бива да се смесва с много горещи (над 50°С), ледени или алкохолни напитки или храни.</w:t>
      </w:r>
    </w:p>
    <w:p w14:paraId="160CF694" w14:textId="77777777" w:rsidR="00C3748F" w:rsidRDefault="00C3748F" w:rsidP="00C3748F">
      <w:pPr>
        <w:rPr>
          <w:lang w:eastAsia="bg-BG"/>
        </w:rPr>
      </w:pPr>
    </w:p>
    <w:p w14:paraId="53311A41" w14:textId="20FC9C82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 xml:space="preserve">Лечението не замества </w:t>
      </w:r>
      <w:proofErr w:type="spellStart"/>
      <w:r w:rsidRPr="00C3748F">
        <w:rPr>
          <w:lang w:eastAsia="bg-BG"/>
        </w:rPr>
        <w:t>рехидрацията</w:t>
      </w:r>
      <w:proofErr w:type="spellEnd"/>
      <w:r w:rsidRPr="00C3748F">
        <w:rPr>
          <w:lang w:eastAsia="bg-BG"/>
        </w:rPr>
        <w:t xml:space="preserve">, когато това е необходимо. </w:t>
      </w:r>
      <w:proofErr w:type="spellStart"/>
      <w:r w:rsidRPr="00C3748F">
        <w:rPr>
          <w:lang w:eastAsia="bg-BG"/>
        </w:rPr>
        <w:t>Рехидрацията</w:t>
      </w:r>
      <w:proofErr w:type="spellEnd"/>
      <w:r w:rsidRPr="00C3748F">
        <w:rPr>
          <w:lang w:eastAsia="bg-BG"/>
        </w:rPr>
        <w:t xml:space="preserve"> и нейния път на въвеждане (</w:t>
      </w:r>
      <w:proofErr w:type="spellStart"/>
      <w:r w:rsidRPr="00C3748F">
        <w:rPr>
          <w:lang w:eastAsia="bg-BG"/>
        </w:rPr>
        <w:t>р.о</w:t>
      </w:r>
      <w:proofErr w:type="spellEnd"/>
      <w:r w:rsidRPr="00C3748F">
        <w:rPr>
          <w:lang w:eastAsia="bg-BG"/>
        </w:rPr>
        <w:t xml:space="preserve"> -IV) трябва да се адаптира според тежестта на диарията, възрастта и здравословното състояние на пациента.</w:t>
      </w:r>
    </w:p>
    <w:p w14:paraId="2886BE9D" w14:textId="77777777" w:rsidR="00C3748F" w:rsidRDefault="00C3748F" w:rsidP="00C3748F">
      <w:pPr>
        <w:rPr>
          <w:lang w:eastAsia="bg-BG"/>
        </w:rPr>
      </w:pPr>
    </w:p>
    <w:p w14:paraId="1DC8FEF7" w14:textId="16CBEE6E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 xml:space="preserve">Има съобщения за много редки случаи на </w:t>
      </w:r>
      <w:proofErr w:type="spellStart"/>
      <w:r w:rsidRPr="00C3748F">
        <w:rPr>
          <w:lang w:eastAsia="bg-BG"/>
        </w:rPr>
        <w:t>фунгемия</w:t>
      </w:r>
      <w:proofErr w:type="spellEnd"/>
      <w:r w:rsidRPr="00C3748F">
        <w:rPr>
          <w:lang w:eastAsia="bg-BG"/>
        </w:rPr>
        <w:t xml:space="preserve"> (и кръвни култури, положителни към щамове на </w:t>
      </w:r>
      <w:r w:rsidRPr="00C3748F">
        <w:rPr>
          <w:lang w:val="en-US"/>
        </w:rPr>
        <w:t xml:space="preserve">Saccharomyces) </w:t>
      </w:r>
      <w:r w:rsidRPr="00C3748F">
        <w:rPr>
          <w:lang w:eastAsia="bg-BG"/>
        </w:rPr>
        <w:t xml:space="preserve">и сепсис,, предимно при пациенти с централен венозен катетър, критично болни или </w:t>
      </w:r>
      <w:proofErr w:type="spellStart"/>
      <w:r w:rsidRPr="00C3748F">
        <w:rPr>
          <w:lang w:eastAsia="bg-BG"/>
        </w:rPr>
        <w:t>имунокомпрометирани</w:t>
      </w:r>
      <w:proofErr w:type="spellEnd"/>
      <w:r w:rsidRPr="00C3748F">
        <w:rPr>
          <w:lang w:eastAsia="bg-BG"/>
        </w:rPr>
        <w:t xml:space="preserve"> пациенти, най-често водещи до </w:t>
      </w:r>
      <w:proofErr w:type="spellStart"/>
      <w:r w:rsidRPr="00C3748F">
        <w:rPr>
          <w:lang w:eastAsia="bg-BG"/>
        </w:rPr>
        <w:t>пирексия</w:t>
      </w:r>
      <w:proofErr w:type="spellEnd"/>
      <w:r w:rsidRPr="00C3748F">
        <w:rPr>
          <w:lang w:eastAsia="bg-BG"/>
        </w:rPr>
        <w:t xml:space="preserve">. В повечето случаи, резултатът е задоволителен след спиране на лечението със </w:t>
      </w:r>
      <w:r w:rsidRPr="00C3748F">
        <w:rPr>
          <w:lang w:val="en-US"/>
        </w:rPr>
        <w:t xml:space="preserve">Saccharomyces </w:t>
      </w:r>
      <w:proofErr w:type="spellStart"/>
      <w:r w:rsidRPr="00C3748F">
        <w:rPr>
          <w:lang w:val="en-US"/>
        </w:rPr>
        <w:t>boulardii</w:t>
      </w:r>
      <w:proofErr w:type="spellEnd"/>
      <w:r w:rsidRPr="00C3748F">
        <w:rPr>
          <w:lang w:val="en-US"/>
        </w:rPr>
        <w:t xml:space="preserve">, </w:t>
      </w:r>
      <w:r w:rsidRPr="00C3748F">
        <w:rPr>
          <w:lang w:eastAsia="bg-BG"/>
        </w:rPr>
        <w:t>прилагане на противогъбично лечение и отстраняване на катетъра, когато е необходимо. Резултатът обаче е фатален при някои критично болни пациенти (вж. т.4.3 и 4.8).</w:t>
      </w:r>
    </w:p>
    <w:p w14:paraId="6AAB1D12" w14:textId="77777777" w:rsidR="00C3748F" w:rsidRDefault="00C3748F" w:rsidP="00C3748F">
      <w:pPr>
        <w:rPr>
          <w:lang w:eastAsia="bg-BG"/>
        </w:rPr>
      </w:pPr>
    </w:p>
    <w:p w14:paraId="42EA0AEB" w14:textId="544B5FE8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 xml:space="preserve">Както при всички лекарствени продукти, произведени от живи микроорганизми, трябва да се обърне специално внимание при работа с продукта в присъствието на пациенти главно с централен венозен катетър, както и на пациенти с периферен катетър, дори и ако не се лекуват със </w:t>
      </w:r>
      <w:r w:rsidRPr="00C3748F">
        <w:rPr>
          <w:lang w:val="en-US"/>
        </w:rPr>
        <w:t xml:space="preserve">Saccharomyces </w:t>
      </w:r>
      <w:proofErr w:type="spellStart"/>
      <w:r w:rsidRPr="00C3748F">
        <w:rPr>
          <w:lang w:val="en-US"/>
        </w:rPr>
        <w:t>boulardii</w:t>
      </w:r>
      <w:proofErr w:type="spellEnd"/>
      <w:r w:rsidRPr="00C3748F">
        <w:rPr>
          <w:lang w:val="en-US"/>
        </w:rPr>
        <w:t xml:space="preserve">, </w:t>
      </w:r>
      <w:r w:rsidRPr="00C3748F">
        <w:rPr>
          <w:lang w:eastAsia="bg-BG"/>
        </w:rPr>
        <w:t>за да се избегне всяко контаминиране чрез ръце и/или разпространяване на микроорганизми по въздуха (вж. т. 4.2).</w:t>
      </w:r>
    </w:p>
    <w:p w14:paraId="45D0643B" w14:textId="77777777" w:rsidR="00C3748F" w:rsidRDefault="00C3748F" w:rsidP="00C3748F">
      <w:pPr>
        <w:rPr>
          <w:lang w:eastAsia="bg-BG"/>
        </w:rPr>
      </w:pPr>
    </w:p>
    <w:p w14:paraId="27B1B443" w14:textId="2BD92E42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>Специфични за лекарствения продукт предупреждения:</w:t>
      </w:r>
    </w:p>
    <w:p w14:paraId="70B9BFB6" w14:textId="77777777" w:rsidR="00C3748F" w:rsidRDefault="00C3748F" w:rsidP="00C3748F">
      <w:pPr>
        <w:rPr>
          <w:lang w:eastAsia="bg-BG"/>
        </w:rPr>
      </w:pPr>
    </w:p>
    <w:p w14:paraId="675D2E7A" w14:textId="66A2057F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 xml:space="preserve">Съдържа 32,50 </w:t>
      </w:r>
      <w:r w:rsidRPr="00C3748F">
        <w:rPr>
          <w:lang w:val="en-US"/>
        </w:rPr>
        <w:t xml:space="preserve">mg </w:t>
      </w:r>
      <w:r w:rsidRPr="00C3748F">
        <w:rPr>
          <w:lang w:eastAsia="bg-BG"/>
        </w:rPr>
        <w:t>лактоза на саше.</w:t>
      </w:r>
    </w:p>
    <w:p w14:paraId="382B7B16" w14:textId="4C8AAC8B" w:rsidR="00C3748F" w:rsidRDefault="00C3748F" w:rsidP="00C3748F">
      <w:pPr>
        <w:rPr>
          <w:lang w:eastAsia="bg-BG"/>
        </w:rPr>
      </w:pPr>
      <w:r w:rsidRPr="00C3748F">
        <w:rPr>
          <w:lang w:eastAsia="bg-BG"/>
        </w:rPr>
        <w:t xml:space="preserve">Пациенти с редки наследствени проблеми на непоносимост към </w:t>
      </w:r>
      <w:proofErr w:type="spellStart"/>
      <w:r w:rsidRPr="00C3748F">
        <w:rPr>
          <w:lang w:eastAsia="bg-BG"/>
        </w:rPr>
        <w:t>галактоза</w:t>
      </w:r>
      <w:proofErr w:type="spellEnd"/>
      <w:r w:rsidRPr="00C3748F">
        <w:rPr>
          <w:lang w:eastAsia="bg-BG"/>
        </w:rPr>
        <w:t xml:space="preserve">, пълен </w:t>
      </w:r>
      <w:proofErr w:type="spellStart"/>
      <w:r w:rsidRPr="00C3748F">
        <w:rPr>
          <w:lang w:eastAsia="bg-BG"/>
        </w:rPr>
        <w:t>лактазен</w:t>
      </w:r>
      <w:proofErr w:type="spellEnd"/>
      <w:r w:rsidRPr="00C3748F">
        <w:rPr>
          <w:lang w:eastAsia="bg-BG"/>
        </w:rPr>
        <w:t xml:space="preserve"> дефицит или </w:t>
      </w:r>
      <w:proofErr w:type="spellStart"/>
      <w:r w:rsidRPr="00C3748F">
        <w:rPr>
          <w:lang w:eastAsia="bg-BG"/>
        </w:rPr>
        <w:t>глюкозо-галактозна</w:t>
      </w:r>
      <w:proofErr w:type="spellEnd"/>
      <w:r w:rsidRPr="00C3748F">
        <w:rPr>
          <w:lang w:eastAsia="bg-BG"/>
        </w:rPr>
        <w:t xml:space="preserve"> малабсорбция не трябва да приемат това лекарство.</w:t>
      </w:r>
    </w:p>
    <w:p w14:paraId="7F0A3CEA" w14:textId="77777777" w:rsidR="00C3748F" w:rsidRPr="00C3748F" w:rsidRDefault="00C3748F" w:rsidP="00C3748F"/>
    <w:p w14:paraId="5D37E947" w14:textId="0A5C4CF5" w:rsidR="00C809A7" w:rsidRDefault="002C50EE" w:rsidP="00AA23EC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51A00CC8" w14:textId="77777777" w:rsidR="00C3748F" w:rsidRDefault="00C3748F" w:rsidP="00C3748F">
      <w:pPr>
        <w:rPr>
          <w:lang w:eastAsia="bg-BG"/>
        </w:rPr>
      </w:pPr>
    </w:p>
    <w:p w14:paraId="6F9B38DD" w14:textId="30E16302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 xml:space="preserve">Тъй като </w:t>
      </w:r>
      <w:proofErr w:type="spellStart"/>
      <w:r w:rsidRPr="00C3748F">
        <w:rPr>
          <w:lang w:eastAsia="bg-BG"/>
        </w:rPr>
        <w:t>Ентерол</w:t>
      </w:r>
      <w:proofErr w:type="spellEnd"/>
      <w:r w:rsidRPr="00C3748F">
        <w:rPr>
          <w:lang w:eastAsia="bg-BG"/>
        </w:rPr>
        <w:t xml:space="preserve"> има гъбичен произход, не трябва да се прилага със системни или перорални </w:t>
      </w:r>
      <w:proofErr w:type="spellStart"/>
      <w:r w:rsidRPr="00C3748F">
        <w:rPr>
          <w:lang w:eastAsia="bg-BG"/>
        </w:rPr>
        <w:t>фунгицидни</w:t>
      </w:r>
      <w:proofErr w:type="spellEnd"/>
      <w:r w:rsidRPr="00C3748F">
        <w:rPr>
          <w:lang w:eastAsia="bg-BG"/>
        </w:rPr>
        <w:t xml:space="preserve"> лекарствени продукти.</w:t>
      </w:r>
    </w:p>
    <w:p w14:paraId="12010788" w14:textId="77777777" w:rsidR="00C3748F" w:rsidRPr="00C3748F" w:rsidRDefault="00C3748F" w:rsidP="00C3748F"/>
    <w:p w14:paraId="2A6346D7" w14:textId="04173252" w:rsidR="00C809A7" w:rsidRDefault="002C50EE" w:rsidP="00AA23EC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691B95F8" w14:textId="77777777" w:rsidR="00C3748F" w:rsidRDefault="00C3748F" w:rsidP="00C3748F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14:paraId="64CA01F5" w14:textId="5A96DFFB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>Няма сигурни тератогенни данни при животни.</w:t>
      </w:r>
    </w:p>
    <w:p w14:paraId="34BA1362" w14:textId="77777777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 xml:space="preserve">Клинично, до сега не е съобщавано за ефект на малформация, нито за </w:t>
      </w:r>
      <w:proofErr w:type="spellStart"/>
      <w:r w:rsidRPr="00C3748F">
        <w:rPr>
          <w:lang w:eastAsia="bg-BG"/>
        </w:rPr>
        <w:t>фетотоксични</w:t>
      </w:r>
      <w:proofErr w:type="spellEnd"/>
      <w:r w:rsidRPr="00C3748F">
        <w:rPr>
          <w:lang w:eastAsia="bg-BG"/>
        </w:rPr>
        <w:t xml:space="preserve"> действия.</w:t>
      </w:r>
    </w:p>
    <w:p w14:paraId="79F5244E" w14:textId="77777777" w:rsidR="00C3748F" w:rsidRDefault="00C3748F" w:rsidP="00C3748F">
      <w:pPr>
        <w:rPr>
          <w:lang w:eastAsia="bg-BG"/>
        </w:rPr>
      </w:pPr>
    </w:p>
    <w:p w14:paraId="61866859" w14:textId="042E295A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lastRenderedPageBreak/>
        <w:t>Въпреки това, наблюдението на бременни, приемащи този лекарствен продукт, е достатъчно да изключи всякакъв риск.</w:t>
      </w:r>
    </w:p>
    <w:p w14:paraId="7C5DFEB0" w14:textId="77777777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>Оттук, като предпазна мярка, е за предпочитане да се избягва употребата на този лекарствен продукт по време на бременност.</w:t>
      </w:r>
    </w:p>
    <w:p w14:paraId="7A9012CD" w14:textId="77777777" w:rsidR="00C3748F" w:rsidRDefault="00C3748F" w:rsidP="00C3748F">
      <w:pPr>
        <w:rPr>
          <w:lang w:eastAsia="bg-BG"/>
        </w:rPr>
      </w:pPr>
    </w:p>
    <w:p w14:paraId="3D009668" w14:textId="6255399C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>При липсата на данни за предпочитане е да се избягва употребата на този лекарствен продукт по време на кърмене.</w:t>
      </w:r>
    </w:p>
    <w:p w14:paraId="08F22937" w14:textId="77777777" w:rsidR="00C3748F" w:rsidRPr="00C3748F" w:rsidRDefault="00C3748F" w:rsidP="00C3748F"/>
    <w:p w14:paraId="71DE6E9A" w14:textId="4C7EB088" w:rsidR="00C809A7" w:rsidRDefault="002C50EE" w:rsidP="00AA23EC">
      <w:pPr>
        <w:pStyle w:val="Heading2"/>
      </w:pPr>
      <w:r>
        <w:t>4.7. Ефекти върху способността за шофиране и работа с машини</w:t>
      </w:r>
    </w:p>
    <w:p w14:paraId="51C6BFAB" w14:textId="77777777" w:rsidR="00C3748F" w:rsidRDefault="00C3748F" w:rsidP="00C3748F">
      <w:pPr>
        <w:rPr>
          <w:lang w:eastAsia="bg-BG"/>
        </w:rPr>
      </w:pPr>
    </w:p>
    <w:p w14:paraId="7C96094A" w14:textId="22EF4F6D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>Няма проучвания за ефектите върху способността за шофиране и работа с машини.</w:t>
      </w:r>
    </w:p>
    <w:p w14:paraId="33473656" w14:textId="77777777" w:rsidR="00C3748F" w:rsidRPr="00C3748F" w:rsidRDefault="00C3748F" w:rsidP="00C3748F"/>
    <w:p w14:paraId="6698E6B8" w14:textId="50B3F05E" w:rsidR="00C809A7" w:rsidRDefault="002C50EE" w:rsidP="00AA23EC">
      <w:pPr>
        <w:pStyle w:val="Heading2"/>
      </w:pPr>
      <w:r>
        <w:t>4.8. Нежелани лекарствени реакции</w:t>
      </w:r>
    </w:p>
    <w:p w14:paraId="0B3AE37B" w14:textId="77777777" w:rsidR="00C3748F" w:rsidRDefault="00C3748F" w:rsidP="00C3748F">
      <w:pPr>
        <w:rPr>
          <w:lang w:val="en-US"/>
        </w:rPr>
      </w:pPr>
    </w:p>
    <w:p w14:paraId="65E7312A" w14:textId="7155FF95" w:rsidR="00C3748F" w:rsidRPr="00C3748F" w:rsidRDefault="00C3748F" w:rsidP="00C3748F">
      <w:pPr>
        <w:rPr>
          <w:sz w:val="24"/>
          <w:szCs w:val="24"/>
        </w:rPr>
      </w:pPr>
      <w:r w:rsidRPr="00C3748F">
        <w:rPr>
          <w:lang w:val="en-US"/>
        </w:rPr>
        <w:t xml:space="preserve">Saccharomyces </w:t>
      </w:r>
      <w:proofErr w:type="spellStart"/>
      <w:r w:rsidRPr="00C3748F">
        <w:rPr>
          <w:lang w:val="en-US"/>
        </w:rPr>
        <w:t>boulardii</w:t>
      </w:r>
      <w:proofErr w:type="spellEnd"/>
      <w:r w:rsidRPr="00C3748F">
        <w:rPr>
          <w:lang w:val="en-US"/>
        </w:rPr>
        <w:t xml:space="preserve"> CNCM I</w:t>
      </w:r>
      <w:r w:rsidRPr="00C3748F">
        <w:rPr>
          <w:lang w:eastAsia="bg-BG"/>
        </w:rPr>
        <w:t xml:space="preserve">-745 е жив организъм, който се свързва с рисковете от системна гъбична инфекция: съобщавано е за много редки случаи на </w:t>
      </w:r>
      <w:proofErr w:type="spellStart"/>
      <w:r w:rsidRPr="00C3748F">
        <w:rPr>
          <w:lang w:eastAsia="bg-BG"/>
        </w:rPr>
        <w:t>фунгемия</w:t>
      </w:r>
      <w:proofErr w:type="spellEnd"/>
      <w:r w:rsidRPr="00C3748F">
        <w:rPr>
          <w:lang w:eastAsia="bg-BG"/>
        </w:rPr>
        <w:t xml:space="preserve"> при хоспитализирани пациенти в тежко състояние, най-често поради </w:t>
      </w:r>
      <w:proofErr w:type="spellStart"/>
      <w:r w:rsidRPr="00C3748F">
        <w:rPr>
          <w:lang w:eastAsia="bg-BG"/>
        </w:rPr>
        <w:t>гастро-интестинално</w:t>
      </w:r>
      <w:proofErr w:type="spellEnd"/>
      <w:r w:rsidRPr="00C3748F">
        <w:rPr>
          <w:lang w:eastAsia="bg-BG"/>
        </w:rPr>
        <w:t xml:space="preserve"> заболяване, с централен венозен катетър.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2240"/>
        <w:gridCol w:w="2565"/>
        <w:gridCol w:w="2565"/>
      </w:tblGrid>
      <w:tr w:rsidR="00C3748F" w14:paraId="0FAC3567" w14:textId="77777777" w:rsidTr="00C3748F">
        <w:tc>
          <w:tcPr>
            <w:tcW w:w="2206" w:type="dxa"/>
          </w:tcPr>
          <w:p w14:paraId="097160D3" w14:textId="646CE81F" w:rsidR="00C3748F" w:rsidRPr="00C3748F" w:rsidRDefault="00C3748F" w:rsidP="00C3748F">
            <w:pPr>
              <w:rPr>
                <w:b/>
                <w:bCs/>
              </w:rPr>
            </w:pPr>
            <w:r w:rsidRPr="00C3748F">
              <w:rPr>
                <w:b/>
                <w:bCs/>
              </w:rPr>
              <w:t>Система-орган клас</w:t>
            </w:r>
          </w:p>
        </w:tc>
        <w:tc>
          <w:tcPr>
            <w:tcW w:w="2240" w:type="dxa"/>
          </w:tcPr>
          <w:p w14:paraId="5D9C4682" w14:textId="4111CB4C" w:rsidR="00C3748F" w:rsidRPr="00C3748F" w:rsidRDefault="00C3748F" w:rsidP="00C3748F">
            <w:pPr>
              <w:rPr>
                <w:b/>
                <w:bCs/>
              </w:rPr>
            </w:pPr>
            <w:r w:rsidRPr="00C3748F">
              <w:rPr>
                <w:b/>
                <w:bCs/>
              </w:rPr>
              <w:t>Редки</w:t>
            </w:r>
          </w:p>
        </w:tc>
        <w:tc>
          <w:tcPr>
            <w:tcW w:w="2565" w:type="dxa"/>
          </w:tcPr>
          <w:p w14:paraId="4F49CA7C" w14:textId="62B0FAE0" w:rsidR="00C3748F" w:rsidRPr="00C3748F" w:rsidRDefault="00C3748F" w:rsidP="00C3748F">
            <w:pPr>
              <w:rPr>
                <w:b/>
                <w:bCs/>
              </w:rPr>
            </w:pPr>
            <w:r w:rsidRPr="00C3748F">
              <w:rPr>
                <w:b/>
                <w:bCs/>
              </w:rPr>
              <w:t>Много редки</w:t>
            </w:r>
          </w:p>
        </w:tc>
        <w:tc>
          <w:tcPr>
            <w:tcW w:w="2565" w:type="dxa"/>
          </w:tcPr>
          <w:p w14:paraId="5CE9C80B" w14:textId="3A953C2A" w:rsidR="00C3748F" w:rsidRPr="00C3748F" w:rsidRDefault="00C3748F" w:rsidP="00C3748F">
            <w:pPr>
              <w:rPr>
                <w:b/>
                <w:bCs/>
              </w:rPr>
            </w:pPr>
            <w:r w:rsidRPr="00C3748F">
              <w:rPr>
                <w:b/>
                <w:bCs/>
              </w:rPr>
              <w:t>С неизвестна честота</w:t>
            </w:r>
          </w:p>
        </w:tc>
      </w:tr>
      <w:tr w:rsidR="00C3748F" w14:paraId="66BF4C30" w14:textId="77777777" w:rsidTr="00C3748F">
        <w:tc>
          <w:tcPr>
            <w:tcW w:w="2206" w:type="dxa"/>
          </w:tcPr>
          <w:p w14:paraId="5C895701" w14:textId="0A31FA77" w:rsidR="00C3748F" w:rsidRDefault="00C3748F" w:rsidP="00C3748F">
            <w:r>
              <w:t>Стомашно-чревни нарушения</w:t>
            </w:r>
          </w:p>
        </w:tc>
        <w:tc>
          <w:tcPr>
            <w:tcW w:w="2240" w:type="dxa"/>
          </w:tcPr>
          <w:p w14:paraId="1BDBB01C" w14:textId="3A626D97" w:rsidR="00C3748F" w:rsidRDefault="00C3748F" w:rsidP="00C3748F">
            <w:proofErr w:type="spellStart"/>
            <w:r>
              <w:t>Епигастрална</w:t>
            </w:r>
            <w:proofErr w:type="spellEnd"/>
            <w:r>
              <w:t xml:space="preserve"> (в горната част на корема) болка</w:t>
            </w:r>
          </w:p>
        </w:tc>
        <w:tc>
          <w:tcPr>
            <w:tcW w:w="2565" w:type="dxa"/>
          </w:tcPr>
          <w:p w14:paraId="55FFE77B" w14:textId="77777777" w:rsidR="00C3748F" w:rsidRDefault="00C3748F" w:rsidP="00C3748F"/>
        </w:tc>
        <w:tc>
          <w:tcPr>
            <w:tcW w:w="2565" w:type="dxa"/>
          </w:tcPr>
          <w:p w14:paraId="55603432" w14:textId="6D1302D5" w:rsidR="00C3748F" w:rsidRDefault="00C3748F" w:rsidP="00C3748F">
            <w:r>
              <w:t>Констипация</w:t>
            </w:r>
          </w:p>
        </w:tc>
      </w:tr>
      <w:tr w:rsidR="00C3748F" w14:paraId="0C6DB1BA" w14:textId="77777777" w:rsidTr="00C3748F">
        <w:tc>
          <w:tcPr>
            <w:tcW w:w="2206" w:type="dxa"/>
          </w:tcPr>
          <w:p w14:paraId="53DAA81A" w14:textId="0D60A270" w:rsidR="00C3748F" w:rsidRDefault="00C3748F" w:rsidP="00C3748F">
            <w:r>
              <w:t xml:space="preserve">Инфекции и </w:t>
            </w:r>
            <w:proofErr w:type="spellStart"/>
            <w:r>
              <w:t>инфестации</w:t>
            </w:r>
            <w:proofErr w:type="spellEnd"/>
          </w:p>
        </w:tc>
        <w:tc>
          <w:tcPr>
            <w:tcW w:w="2240" w:type="dxa"/>
          </w:tcPr>
          <w:p w14:paraId="066FBF0C" w14:textId="77777777" w:rsidR="00C3748F" w:rsidRDefault="00C3748F" w:rsidP="00C3748F"/>
        </w:tc>
        <w:tc>
          <w:tcPr>
            <w:tcW w:w="2565" w:type="dxa"/>
          </w:tcPr>
          <w:p w14:paraId="4F445C4F" w14:textId="77777777" w:rsidR="00C3748F" w:rsidRDefault="00C3748F" w:rsidP="00C3748F">
            <w:proofErr w:type="spellStart"/>
            <w:r>
              <w:t>Фунгемия</w:t>
            </w:r>
            <w:proofErr w:type="spellEnd"/>
            <w:r>
              <w:t xml:space="preserve"> при пациенти с централен венозен катетър и критично болни или</w:t>
            </w:r>
          </w:p>
          <w:p w14:paraId="0800DB6C" w14:textId="0C961054" w:rsidR="00C3748F" w:rsidRDefault="00C3748F" w:rsidP="00C3748F">
            <w:proofErr w:type="spellStart"/>
            <w:r>
              <w:t>имунокомпрометирани</w:t>
            </w:r>
            <w:proofErr w:type="spellEnd"/>
            <w:r>
              <w:t xml:space="preserve"> пациенти (вж. т. 4.4).</w:t>
            </w:r>
          </w:p>
        </w:tc>
        <w:tc>
          <w:tcPr>
            <w:tcW w:w="2565" w:type="dxa"/>
          </w:tcPr>
          <w:p w14:paraId="23EE6A38" w14:textId="73FD20E2" w:rsidR="00C3748F" w:rsidRDefault="00C3748F" w:rsidP="00C3748F">
            <w:r>
              <w:t xml:space="preserve">Сепсис при критично болни или </w:t>
            </w:r>
            <w:proofErr w:type="spellStart"/>
            <w:r>
              <w:t>имунокомпрометирани</w:t>
            </w:r>
            <w:proofErr w:type="spellEnd"/>
            <w:r>
              <w:t xml:space="preserve"> пациенти (вж. точка 4.4)</w:t>
            </w:r>
          </w:p>
        </w:tc>
      </w:tr>
      <w:tr w:rsidR="00C3748F" w14:paraId="71F2F3B8" w14:textId="77777777" w:rsidTr="00C3748F">
        <w:tc>
          <w:tcPr>
            <w:tcW w:w="2206" w:type="dxa"/>
          </w:tcPr>
          <w:p w14:paraId="6747D5B4" w14:textId="50E36B0C" w:rsidR="00C3748F" w:rsidRDefault="00C3748F" w:rsidP="00C3748F">
            <w:r>
              <w:t>Нарушения на кожата и подкожната тъкан</w:t>
            </w:r>
          </w:p>
        </w:tc>
        <w:tc>
          <w:tcPr>
            <w:tcW w:w="2240" w:type="dxa"/>
          </w:tcPr>
          <w:p w14:paraId="49DE4FE1" w14:textId="77777777" w:rsidR="00C3748F" w:rsidRDefault="00C3748F" w:rsidP="00C3748F"/>
        </w:tc>
        <w:tc>
          <w:tcPr>
            <w:tcW w:w="2565" w:type="dxa"/>
          </w:tcPr>
          <w:p w14:paraId="70AB3D62" w14:textId="3F8E8965" w:rsidR="00C3748F" w:rsidRDefault="00C3748F" w:rsidP="00C3748F">
            <w:r>
              <w:t>Ангиоедем</w:t>
            </w:r>
          </w:p>
        </w:tc>
        <w:tc>
          <w:tcPr>
            <w:tcW w:w="2565" w:type="dxa"/>
          </w:tcPr>
          <w:p w14:paraId="745EBFDA" w14:textId="77777777" w:rsidR="00C3748F" w:rsidRDefault="00C3748F" w:rsidP="00C3748F"/>
        </w:tc>
      </w:tr>
      <w:tr w:rsidR="00C3748F" w14:paraId="64FF4E63" w14:textId="77777777" w:rsidTr="00C3748F">
        <w:tc>
          <w:tcPr>
            <w:tcW w:w="2206" w:type="dxa"/>
          </w:tcPr>
          <w:p w14:paraId="107CDED8" w14:textId="5A39BFF5" w:rsidR="00C3748F" w:rsidRDefault="00C3748F" w:rsidP="00C3748F">
            <w:r>
              <w:t>Нарушения на имунната система</w:t>
            </w:r>
          </w:p>
        </w:tc>
        <w:tc>
          <w:tcPr>
            <w:tcW w:w="2240" w:type="dxa"/>
          </w:tcPr>
          <w:p w14:paraId="217DC7D5" w14:textId="77777777" w:rsidR="00C3748F" w:rsidRDefault="00C3748F" w:rsidP="00C3748F"/>
        </w:tc>
        <w:tc>
          <w:tcPr>
            <w:tcW w:w="2565" w:type="dxa"/>
          </w:tcPr>
          <w:p w14:paraId="7167F52B" w14:textId="7485F2CB" w:rsidR="00C3748F" w:rsidRDefault="00C3748F" w:rsidP="00C3748F">
            <w:proofErr w:type="spellStart"/>
            <w:r>
              <w:t>Анафилактична</w:t>
            </w:r>
            <w:proofErr w:type="spellEnd"/>
            <w:r>
              <w:t xml:space="preserve"> реакция или шок</w:t>
            </w:r>
          </w:p>
        </w:tc>
        <w:tc>
          <w:tcPr>
            <w:tcW w:w="2565" w:type="dxa"/>
          </w:tcPr>
          <w:p w14:paraId="3C3554B4" w14:textId="77777777" w:rsidR="00C3748F" w:rsidRDefault="00C3748F" w:rsidP="00C3748F"/>
        </w:tc>
      </w:tr>
    </w:tbl>
    <w:p w14:paraId="394526DF" w14:textId="77777777" w:rsidR="00C3748F" w:rsidRDefault="00C3748F" w:rsidP="00C3748F">
      <w:pPr>
        <w:rPr>
          <w:lang w:eastAsia="bg-BG"/>
        </w:rPr>
      </w:pPr>
    </w:p>
    <w:p w14:paraId="7A96EE0A" w14:textId="3FE1173C" w:rsidR="00C3748F" w:rsidRPr="00C3748F" w:rsidRDefault="00C3748F" w:rsidP="00C3748F">
      <w:pPr>
        <w:rPr>
          <w:sz w:val="24"/>
          <w:szCs w:val="24"/>
          <w:u w:val="single"/>
        </w:rPr>
      </w:pPr>
      <w:r w:rsidRPr="00C3748F">
        <w:rPr>
          <w:u w:val="single"/>
          <w:lang w:eastAsia="bg-BG"/>
        </w:rPr>
        <w:t>Съобщаване на подозирани нежелани реакции</w:t>
      </w:r>
    </w:p>
    <w:p w14:paraId="0B36F2D7" w14:textId="77777777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националната система за съобщаване,</w:t>
      </w:r>
    </w:p>
    <w:p w14:paraId="560EE9A9" w14:textId="77777777" w:rsidR="00C3748F" w:rsidRPr="00C3748F" w:rsidRDefault="00C3748F" w:rsidP="00C3748F">
      <w:pPr>
        <w:rPr>
          <w:sz w:val="24"/>
          <w:szCs w:val="24"/>
        </w:rPr>
      </w:pPr>
      <w:r w:rsidRPr="00C3748F">
        <w:rPr>
          <w:b/>
          <w:bCs/>
          <w:lang w:eastAsia="bg-BG"/>
        </w:rPr>
        <w:t>Изпълнителна агенция по лекарствата</w:t>
      </w:r>
    </w:p>
    <w:p w14:paraId="1526E425" w14:textId="77777777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 xml:space="preserve">София 1303, </w:t>
      </w:r>
      <w:proofErr w:type="spellStart"/>
      <w:r w:rsidRPr="00C3748F">
        <w:rPr>
          <w:lang w:eastAsia="bg-BG"/>
        </w:rPr>
        <w:t>ул</w:t>
      </w:r>
      <w:proofErr w:type="spellEnd"/>
      <w:r w:rsidRPr="00C3748F">
        <w:rPr>
          <w:lang w:eastAsia="bg-BG"/>
        </w:rPr>
        <w:t>.,Дамян Груев“ 8</w:t>
      </w:r>
    </w:p>
    <w:p w14:paraId="100B1A90" w14:textId="77777777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>Тел.:+359 2 8903417</w:t>
      </w:r>
    </w:p>
    <w:p w14:paraId="1506C5DB" w14:textId="77777777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 xml:space="preserve">уебсайт: </w:t>
      </w:r>
      <w:hyperlink r:id="rId5" w:history="1">
        <w:r w:rsidRPr="00C3748F">
          <w:rPr>
            <w:lang w:val="en-US"/>
          </w:rPr>
          <w:t>www.bda.bg</w:t>
        </w:r>
      </w:hyperlink>
    </w:p>
    <w:p w14:paraId="2219198C" w14:textId="77777777" w:rsidR="00C3748F" w:rsidRPr="00C3748F" w:rsidRDefault="00C3748F" w:rsidP="00C3748F"/>
    <w:p w14:paraId="3A47A254" w14:textId="2CF11D31" w:rsidR="00C3748F" w:rsidRDefault="002C50EE" w:rsidP="00C3748F">
      <w:pPr>
        <w:pStyle w:val="Heading2"/>
      </w:pPr>
      <w:r>
        <w:lastRenderedPageBreak/>
        <w:t>4.9. Предозиране</w:t>
      </w:r>
    </w:p>
    <w:p w14:paraId="38F9B505" w14:textId="6AE50828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>Няма съобщения за случаи на предозиране.</w:t>
      </w:r>
    </w:p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6CDB2723" w14:textId="6F76CC82" w:rsidR="00C809A7" w:rsidRDefault="002C50EE" w:rsidP="00AA23EC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4EA10499" w14:textId="77777777" w:rsidR="00C3748F" w:rsidRDefault="00C3748F" w:rsidP="00C3748F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14:paraId="41A4349A" w14:textId="11C1B09C" w:rsidR="00C3748F" w:rsidRPr="00C3748F" w:rsidRDefault="00C3748F" w:rsidP="00C3748F">
      <w:pPr>
        <w:rPr>
          <w:sz w:val="24"/>
          <w:szCs w:val="24"/>
        </w:rPr>
      </w:pPr>
      <w:proofErr w:type="spellStart"/>
      <w:r w:rsidRPr="00C3748F">
        <w:rPr>
          <w:lang w:eastAsia="bg-BG"/>
        </w:rPr>
        <w:t>Фармакотерапевтична</w:t>
      </w:r>
      <w:proofErr w:type="spellEnd"/>
      <w:r w:rsidRPr="00C3748F">
        <w:rPr>
          <w:lang w:eastAsia="bg-BG"/>
        </w:rPr>
        <w:t xml:space="preserve"> група: </w:t>
      </w:r>
      <w:proofErr w:type="spellStart"/>
      <w:r w:rsidRPr="00C3748F">
        <w:rPr>
          <w:lang w:eastAsia="bg-BG"/>
        </w:rPr>
        <w:t>Антидиарейни</w:t>
      </w:r>
      <w:proofErr w:type="spellEnd"/>
      <w:r w:rsidRPr="00C3748F">
        <w:rPr>
          <w:lang w:eastAsia="bg-BG"/>
        </w:rPr>
        <w:t xml:space="preserve"> микроорганизми, АТС код: </w:t>
      </w:r>
      <w:r w:rsidRPr="00C3748F">
        <w:rPr>
          <w:lang w:val="en-US"/>
        </w:rPr>
        <w:t>A07FA02</w:t>
      </w:r>
    </w:p>
    <w:p w14:paraId="5E51580D" w14:textId="77777777" w:rsidR="00C3748F" w:rsidRDefault="00C3748F" w:rsidP="00C3748F">
      <w:pPr>
        <w:rPr>
          <w:lang w:eastAsia="bg-BG"/>
        </w:rPr>
      </w:pPr>
    </w:p>
    <w:p w14:paraId="5382E231" w14:textId="123A36B4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 xml:space="preserve">По време на преминаването на жизнеспособната му форма през храносмилателния тракт, </w:t>
      </w:r>
      <w:r w:rsidRPr="00C3748F">
        <w:rPr>
          <w:lang w:val="en-US"/>
        </w:rPr>
        <w:t xml:space="preserve">Saccharomyces </w:t>
      </w:r>
      <w:proofErr w:type="spellStart"/>
      <w:r w:rsidRPr="00C3748F">
        <w:rPr>
          <w:lang w:val="en-US"/>
        </w:rPr>
        <w:t>boulardii</w:t>
      </w:r>
      <w:proofErr w:type="spellEnd"/>
      <w:r w:rsidRPr="00C3748F">
        <w:rPr>
          <w:lang w:val="en-US"/>
        </w:rPr>
        <w:t xml:space="preserve"> CNCM I-745 </w:t>
      </w:r>
      <w:r w:rsidRPr="00C3748F">
        <w:rPr>
          <w:lang w:eastAsia="bg-BG"/>
        </w:rPr>
        <w:t>предизвиква биологични действия, сходни до защитните свойства на нормалната чревна флора.</w:t>
      </w:r>
    </w:p>
    <w:p w14:paraId="69F907EF" w14:textId="77777777" w:rsidR="00C3748F" w:rsidRDefault="00C3748F" w:rsidP="00C3748F">
      <w:pPr>
        <w:rPr>
          <w:lang w:eastAsia="bg-BG"/>
        </w:rPr>
      </w:pPr>
    </w:p>
    <w:p w14:paraId="5F2C615E" w14:textId="71ABE18E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 xml:space="preserve">Принципните начини на действие на </w:t>
      </w:r>
      <w:r w:rsidRPr="00C3748F">
        <w:rPr>
          <w:lang w:val="en-US"/>
        </w:rPr>
        <w:t xml:space="preserve">Saccharomyces </w:t>
      </w:r>
      <w:proofErr w:type="spellStart"/>
      <w:r w:rsidRPr="00C3748F">
        <w:rPr>
          <w:lang w:val="en-US"/>
        </w:rPr>
        <w:t>boulardii</w:t>
      </w:r>
      <w:proofErr w:type="spellEnd"/>
      <w:r w:rsidRPr="00C3748F">
        <w:rPr>
          <w:lang w:val="en-US"/>
        </w:rPr>
        <w:t xml:space="preserve"> CNCM </w:t>
      </w:r>
      <w:r w:rsidRPr="00C3748F">
        <w:rPr>
          <w:lang w:eastAsia="bg-BG"/>
        </w:rPr>
        <w:t>1-745 при профилактика и лечение на симптомите на диария са:</w:t>
      </w:r>
    </w:p>
    <w:p w14:paraId="0CA55CE4" w14:textId="77777777" w:rsidR="00C3748F" w:rsidRPr="00C3748F" w:rsidRDefault="00C3748F" w:rsidP="00C3748F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C3748F">
        <w:rPr>
          <w:lang w:eastAsia="bg-BG"/>
        </w:rPr>
        <w:t xml:space="preserve">потискане на </w:t>
      </w:r>
      <w:proofErr w:type="spellStart"/>
      <w:r w:rsidRPr="00C3748F">
        <w:rPr>
          <w:lang w:eastAsia="bg-BG"/>
        </w:rPr>
        <w:t>патогенетичните</w:t>
      </w:r>
      <w:proofErr w:type="spellEnd"/>
      <w:r w:rsidRPr="00C3748F">
        <w:rPr>
          <w:lang w:eastAsia="bg-BG"/>
        </w:rPr>
        <w:t xml:space="preserve"> действия на някои микроорганизми и/или техните токсини, особено </w:t>
      </w:r>
      <w:r w:rsidRPr="00C3748F">
        <w:rPr>
          <w:i/>
          <w:iCs/>
          <w:lang w:val="en-US"/>
        </w:rPr>
        <w:t>Clostridium difficile,</w:t>
      </w:r>
      <w:r w:rsidRPr="00C3748F">
        <w:rPr>
          <w:lang w:val="en-US"/>
        </w:rPr>
        <w:t xml:space="preserve"> </w:t>
      </w:r>
      <w:r w:rsidRPr="00C3748F">
        <w:rPr>
          <w:lang w:eastAsia="bg-BG"/>
        </w:rPr>
        <w:t xml:space="preserve">принципно организми причинители на диария, свързана с антибиотици и </w:t>
      </w:r>
      <w:r w:rsidRPr="00C3748F">
        <w:rPr>
          <w:i/>
          <w:iCs/>
          <w:lang w:val="en-US"/>
        </w:rPr>
        <w:t>Vibrio cholerae,</w:t>
      </w:r>
      <w:r w:rsidRPr="00C3748F">
        <w:rPr>
          <w:lang w:val="en-US"/>
        </w:rPr>
        <w:t xml:space="preserve"> </w:t>
      </w:r>
      <w:r w:rsidRPr="00C3748F">
        <w:rPr>
          <w:lang w:eastAsia="bg-BG"/>
        </w:rPr>
        <w:t xml:space="preserve">типично за токсин-продуцираната бактерия, отговорна за </w:t>
      </w:r>
      <w:proofErr w:type="spellStart"/>
      <w:r w:rsidRPr="00C3748F">
        <w:rPr>
          <w:lang w:eastAsia="bg-BG"/>
        </w:rPr>
        <w:t>секреторна</w:t>
      </w:r>
      <w:proofErr w:type="spellEnd"/>
      <w:r w:rsidRPr="00C3748F">
        <w:rPr>
          <w:lang w:eastAsia="bg-BG"/>
        </w:rPr>
        <w:t xml:space="preserve"> диария.</w:t>
      </w:r>
    </w:p>
    <w:p w14:paraId="3B90794F" w14:textId="3EE95518" w:rsidR="00C3748F" w:rsidRPr="00C3748F" w:rsidRDefault="00C3748F" w:rsidP="00C3748F">
      <w:pPr>
        <w:pStyle w:val="ListParagraph"/>
        <w:numPr>
          <w:ilvl w:val="0"/>
          <w:numId w:val="24"/>
        </w:numPr>
        <w:rPr>
          <w:sz w:val="24"/>
          <w:szCs w:val="24"/>
        </w:rPr>
      </w:pPr>
      <w:proofErr w:type="spellStart"/>
      <w:r w:rsidRPr="00C3748F">
        <w:rPr>
          <w:lang w:eastAsia="bg-BG"/>
        </w:rPr>
        <w:t>трофични</w:t>
      </w:r>
      <w:proofErr w:type="spellEnd"/>
      <w:r w:rsidRPr="00C3748F">
        <w:rPr>
          <w:lang w:eastAsia="bg-BG"/>
        </w:rPr>
        <w:t xml:space="preserve"> и </w:t>
      </w:r>
      <w:proofErr w:type="spellStart"/>
      <w:r w:rsidRPr="00C3748F">
        <w:rPr>
          <w:lang w:eastAsia="bg-BG"/>
        </w:rPr>
        <w:t>имуностимулиращи</w:t>
      </w:r>
      <w:proofErr w:type="spellEnd"/>
      <w:r w:rsidRPr="00C3748F">
        <w:rPr>
          <w:lang w:eastAsia="bg-BG"/>
        </w:rPr>
        <w:t xml:space="preserve"> ефекти на </w:t>
      </w:r>
      <w:proofErr w:type="spellStart"/>
      <w:r w:rsidRPr="00C3748F">
        <w:rPr>
          <w:lang w:eastAsia="bg-BG"/>
        </w:rPr>
        <w:t>интестиналния</w:t>
      </w:r>
      <w:proofErr w:type="spellEnd"/>
      <w:r w:rsidRPr="00C3748F">
        <w:rPr>
          <w:lang w:eastAsia="bg-BG"/>
        </w:rPr>
        <w:t xml:space="preserve"> тракт.</w:t>
      </w:r>
    </w:p>
    <w:p w14:paraId="741BEE2E" w14:textId="77777777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 xml:space="preserve">включващи забележимо и значително повишение на цялостната и специфична активност на чревните </w:t>
      </w:r>
      <w:proofErr w:type="spellStart"/>
      <w:r w:rsidRPr="00C3748F">
        <w:rPr>
          <w:lang w:eastAsia="bg-BG"/>
        </w:rPr>
        <w:t>дизахаридази</w:t>
      </w:r>
      <w:proofErr w:type="spellEnd"/>
      <w:r w:rsidRPr="00C3748F">
        <w:rPr>
          <w:lang w:eastAsia="bg-BG"/>
        </w:rPr>
        <w:t xml:space="preserve"> (</w:t>
      </w:r>
      <w:proofErr w:type="spellStart"/>
      <w:r w:rsidRPr="00C3748F">
        <w:rPr>
          <w:lang w:eastAsia="bg-BG"/>
        </w:rPr>
        <w:t>сукраза</w:t>
      </w:r>
      <w:proofErr w:type="spellEnd"/>
      <w:r w:rsidRPr="00C3748F">
        <w:rPr>
          <w:lang w:eastAsia="bg-BG"/>
        </w:rPr>
        <w:t xml:space="preserve">, </w:t>
      </w:r>
      <w:proofErr w:type="spellStart"/>
      <w:r w:rsidRPr="00C3748F">
        <w:rPr>
          <w:lang w:eastAsia="bg-BG"/>
        </w:rPr>
        <w:t>малтаза</w:t>
      </w:r>
      <w:proofErr w:type="spellEnd"/>
      <w:r w:rsidRPr="00C3748F">
        <w:rPr>
          <w:lang w:eastAsia="bg-BG"/>
        </w:rPr>
        <w:t xml:space="preserve"> и </w:t>
      </w:r>
      <w:proofErr w:type="spellStart"/>
      <w:r w:rsidRPr="00C3748F">
        <w:rPr>
          <w:lang w:eastAsia="bg-BG"/>
        </w:rPr>
        <w:t>лактаза</w:t>
      </w:r>
      <w:proofErr w:type="spellEnd"/>
      <w:r w:rsidRPr="00C3748F">
        <w:rPr>
          <w:lang w:eastAsia="bg-BG"/>
        </w:rPr>
        <w:t xml:space="preserve">) и явно увеличение на </w:t>
      </w:r>
      <w:proofErr w:type="spellStart"/>
      <w:r w:rsidRPr="00C3748F">
        <w:rPr>
          <w:lang w:eastAsia="bg-BG"/>
        </w:rPr>
        <w:t>секреторните</w:t>
      </w:r>
      <w:proofErr w:type="spellEnd"/>
      <w:r w:rsidRPr="00C3748F">
        <w:rPr>
          <w:lang w:eastAsia="bg-BG"/>
        </w:rPr>
        <w:t xml:space="preserve"> </w:t>
      </w:r>
      <w:r w:rsidRPr="00C3748F">
        <w:rPr>
          <w:lang w:val="en-US"/>
        </w:rPr>
        <w:t xml:space="preserve">IgA </w:t>
      </w:r>
      <w:r w:rsidRPr="00C3748F">
        <w:rPr>
          <w:lang w:eastAsia="bg-BG"/>
        </w:rPr>
        <w:t>концентрации на чревната течност.</w:t>
      </w:r>
    </w:p>
    <w:p w14:paraId="18725163" w14:textId="77777777" w:rsidR="00C3748F" w:rsidRPr="00C3748F" w:rsidRDefault="00C3748F" w:rsidP="00C3748F">
      <w:pPr>
        <w:rPr>
          <w:sz w:val="24"/>
          <w:szCs w:val="24"/>
        </w:rPr>
      </w:pPr>
    </w:p>
    <w:p w14:paraId="0A962168" w14:textId="574F08A8" w:rsidR="00C809A7" w:rsidRDefault="002C50EE" w:rsidP="00AA23EC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2E50267E" w14:textId="77777777" w:rsidR="00C3748F" w:rsidRDefault="00C3748F" w:rsidP="00C3748F">
      <w:pPr>
        <w:rPr>
          <w:lang w:eastAsia="bg-BG"/>
        </w:rPr>
      </w:pPr>
    </w:p>
    <w:p w14:paraId="725DEA31" w14:textId="17EE5C1B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 xml:space="preserve">След повторни перорални дози, </w:t>
      </w:r>
      <w:r w:rsidRPr="00C3748F">
        <w:rPr>
          <w:lang w:val="en-US"/>
        </w:rPr>
        <w:t xml:space="preserve">Saccharomyces </w:t>
      </w:r>
      <w:proofErr w:type="spellStart"/>
      <w:r w:rsidRPr="00C3748F">
        <w:rPr>
          <w:lang w:val="en-US"/>
        </w:rPr>
        <w:t>boulardii</w:t>
      </w:r>
      <w:proofErr w:type="spellEnd"/>
      <w:r w:rsidRPr="00C3748F">
        <w:rPr>
          <w:lang w:val="en-US"/>
        </w:rPr>
        <w:t xml:space="preserve"> CNCM </w:t>
      </w:r>
      <w:r w:rsidRPr="00C3748F">
        <w:rPr>
          <w:lang w:eastAsia="bg-BG"/>
        </w:rPr>
        <w:t xml:space="preserve">1-745 преминава през храносмилателния тракт, без заселване, бързо достига значими </w:t>
      </w:r>
      <w:proofErr w:type="spellStart"/>
      <w:r w:rsidRPr="00C3748F">
        <w:rPr>
          <w:lang w:eastAsia="bg-BG"/>
        </w:rPr>
        <w:t>интестинални</w:t>
      </w:r>
      <w:proofErr w:type="spellEnd"/>
      <w:r w:rsidRPr="00C3748F">
        <w:rPr>
          <w:lang w:eastAsia="bg-BG"/>
        </w:rPr>
        <w:t xml:space="preserve"> концентрации, които се поддържат като постоянно ниво през периода на приложение. </w:t>
      </w:r>
      <w:r w:rsidRPr="00C3748F">
        <w:rPr>
          <w:lang w:val="en-US"/>
        </w:rPr>
        <w:t xml:space="preserve">Saccharomyces </w:t>
      </w:r>
      <w:proofErr w:type="spellStart"/>
      <w:r w:rsidRPr="00C3748F">
        <w:rPr>
          <w:lang w:val="en-US"/>
        </w:rPr>
        <w:t>boulardii</w:t>
      </w:r>
      <w:proofErr w:type="spellEnd"/>
      <w:r w:rsidRPr="00C3748F">
        <w:rPr>
          <w:lang w:val="en-US"/>
        </w:rPr>
        <w:t xml:space="preserve"> CNCM </w:t>
      </w:r>
      <w:r w:rsidRPr="00C3748F">
        <w:rPr>
          <w:lang w:eastAsia="bg-BG"/>
        </w:rPr>
        <w:t>1-745 не се открива във фекалиите 2 до 5 дни след спиране на лечението.</w:t>
      </w:r>
    </w:p>
    <w:p w14:paraId="0E0BF95D" w14:textId="77777777" w:rsidR="00C3748F" w:rsidRPr="00C3748F" w:rsidRDefault="00C3748F" w:rsidP="00C3748F"/>
    <w:p w14:paraId="674BE4E2" w14:textId="53E16978" w:rsidR="009B171C" w:rsidRDefault="002C50EE" w:rsidP="00CA1B57">
      <w:pPr>
        <w:pStyle w:val="Heading2"/>
      </w:pPr>
      <w:r>
        <w:t>5.3. Предклинични данни за безопасност</w:t>
      </w:r>
    </w:p>
    <w:p w14:paraId="2C1EB2BD" w14:textId="77777777" w:rsidR="00C3748F" w:rsidRDefault="00C3748F" w:rsidP="00C3748F"/>
    <w:p w14:paraId="0997F531" w14:textId="796ED643" w:rsidR="00C3748F" w:rsidRPr="00C3748F" w:rsidRDefault="00C3748F" w:rsidP="00C3748F">
      <w:r>
        <w:t>Няма токсичност при животни.</w:t>
      </w:r>
    </w:p>
    <w:p w14:paraId="6940F72E" w14:textId="30BBD3CE" w:rsidR="009B171C" w:rsidRDefault="002C50EE" w:rsidP="00CA1B57">
      <w:pPr>
        <w:pStyle w:val="Heading1"/>
      </w:pPr>
      <w:r>
        <w:t>7. ПРИТЕЖАТЕЛ НА РАЗРЕШЕНИЕТО ЗА УПОТРЕБА</w:t>
      </w:r>
    </w:p>
    <w:p w14:paraId="30B942D4" w14:textId="46880738" w:rsidR="00C3748F" w:rsidRDefault="00C3748F" w:rsidP="00C3748F">
      <w:r>
        <w:t>BIOCODEX</w:t>
      </w:r>
    </w:p>
    <w:p w14:paraId="04B448E8" w14:textId="77777777" w:rsidR="00C3748F" w:rsidRDefault="00C3748F" w:rsidP="00C3748F">
      <w:pPr>
        <w:rPr>
          <w:lang w:val="en-US"/>
        </w:rPr>
      </w:pPr>
      <w:r w:rsidRPr="00C3748F">
        <w:rPr>
          <w:lang w:val="en-US"/>
        </w:rPr>
        <w:t xml:space="preserve">7 avenue </w:t>
      </w:r>
      <w:proofErr w:type="spellStart"/>
      <w:r w:rsidRPr="00C3748F">
        <w:rPr>
          <w:lang w:val="en-US"/>
        </w:rPr>
        <w:t>Gallieni</w:t>
      </w:r>
      <w:proofErr w:type="spellEnd"/>
      <w:r w:rsidRPr="00C3748F">
        <w:rPr>
          <w:lang w:val="en-US"/>
        </w:rPr>
        <w:t xml:space="preserve">, </w:t>
      </w:r>
    </w:p>
    <w:p w14:paraId="78C0400D" w14:textId="77777777" w:rsidR="00C3748F" w:rsidRDefault="00C3748F" w:rsidP="00C3748F">
      <w:pPr>
        <w:rPr>
          <w:lang w:val="en-US"/>
        </w:rPr>
      </w:pPr>
      <w:r w:rsidRPr="00C3748F">
        <w:rPr>
          <w:lang w:val="en-US"/>
        </w:rPr>
        <w:t xml:space="preserve">94250 Gentilly </w:t>
      </w:r>
    </w:p>
    <w:p w14:paraId="7E3E61E4" w14:textId="31D94F34" w:rsidR="00C3748F" w:rsidRPr="00C3748F" w:rsidRDefault="00C3748F" w:rsidP="00C3748F">
      <w:pPr>
        <w:rPr>
          <w:sz w:val="24"/>
          <w:szCs w:val="24"/>
          <w:lang w:val="en-US"/>
        </w:rPr>
      </w:pPr>
      <w:r w:rsidRPr="00C3748F">
        <w:rPr>
          <w:lang w:eastAsia="bg-BG"/>
        </w:rPr>
        <w:t>Франция</w:t>
      </w:r>
    </w:p>
    <w:p w14:paraId="6B89CC41" w14:textId="77777777" w:rsidR="00C3748F" w:rsidRPr="00C3748F" w:rsidRDefault="00C3748F" w:rsidP="00C3748F"/>
    <w:p w14:paraId="04840D59" w14:textId="02661B7A" w:rsidR="002C50EE" w:rsidRDefault="002C50EE" w:rsidP="002C50EE">
      <w:pPr>
        <w:pStyle w:val="Heading1"/>
      </w:pPr>
      <w:r>
        <w:t>8. НОМЕР НА РАЗРЕШЕНИЕТО ЗА УПОТРЕБА</w:t>
      </w:r>
    </w:p>
    <w:p w14:paraId="50CA35DF" w14:textId="77777777" w:rsidR="00C3748F" w:rsidRDefault="00C3748F" w:rsidP="00C3748F"/>
    <w:p w14:paraId="2238C867" w14:textId="57D99231" w:rsidR="00C3748F" w:rsidRPr="00C3748F" w:rsidRDefault="00C3748F" w:rsidP="00C3748F">
      <w:r>
        <w:t>Регистрационен номер: 9600192</w:t>
      </w:r>
    </w:p>
    <w:p w14:paraId="5900CBF3" w14:textId="78817E34" w:rsidR="002C50EE" w:rsidRDefault="002C50EE" w:rsidP="002C50EE">
      <w:pPr>
        <w:pStyle w:val="Heading1"/>
      </w:pPr>
      <w:r>
        <w:lastRenderedPageBreak/>
        <w:t>9. ДАТА НА ПЪРВО РАЗРЕШАВАНЕ/ПОДНОВЯВАНЕ НА РАЗРЕШЕНИЕТО ЗА УПОТРЕБА</w:t>
      </w:r>
    </w:p>
    <w:p w14:paraId="1514E659" w14:textId="77777777" w:rsidR="00C3748F" w:rsidRPr="00C3748F" w:rsidRDefault="00C3748F" w:rsidP="00C3748F">
      <w:pPr>
        <w:rPr>
          <w:sz w:val="24"/>
          <w:szCs w:val="24"/>
        </w:rPr>
      </w:pPr>
      <w:r w:rsidRPr="00C3748F">
        <w:rPr>
          <w:lang w:eastAsia="bg-BG"/>
        </w:rPr>
        <w:t>Дата на първо разрешаване: 21 август 1996</w:t>
      </w:r>
    </w:p>
    <w:p w14:paraId="1AD39B10" w14:textId="5DD5A764" w:rsidR="00C3748F" w:rsidRPr="00C3748F" w:rsidRDefault="00C3748F" w:rsidP="00C3748F">
      <w:r w:rsidRPr="00C3748F">
        <w:rPr>
          <w:lang w:eastAsia="bg-BG"/>
        </w:rPr>
        <w:t>Дата на последно подновяване на разрешението за употреба: 17 септември 2009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23F4C2A" w14:textId="0E87B1DE" w:rsidR="00C87E90" w:rsidRPr="003E3126" w:rsidRDefault="00C3748F" w:rsidP="00C3748F">
      <w:r>
        <w:t>01/2021</w:t>
      </w:r>
    </w:p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6EF3692"/>
    <w:multiLevelType w:val="hybridMultilevel"/>
    <w:tmpl w:val="67F0C132"/>
    <w:lvl w:ilvl="0" w:tplc="02B07582">
      <w:start w:val="5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674FD"/>
    <w:multiLevelType w:val="hybridMultilevel"/>
    <w:tmpl w:val="CBB46E02"/>
    <w:lvl w:ilvl="0" w:tplc="B934A18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24"/>
  </w:num>
  <w:num w:numId="12">
    <w:abstractNumId w:val="11"/>
  </w:num>
  <w:num w:numId="13">
    <w:abstractNumId w:val="16"/>
  </w:num>
  <w:num w:numId="14">
    <w:abstractNumId w:val="9"/>
  </w:num>
  <w:num w:numId="15">
    <w:abstractNumId w:val="23"/>
  </w:num>
  <w:num w:numId="16">
    <w:abstractNumId w:val="7"/>
  </w:num>
  <w:num w:numId="17">
    <w:abstractNumId w:val="18"/>
  </w:num>
  <w:num w:numId="18">
    <w:abstractNumId w:val="6"/>
  </w:num>
  <w:num w:numId="19">
    <w:abstractNumId w:val="21"/>
  </w:num>
  <w:num w:numId="20">
    <w:abstractNumId w:val="17"/>
  </w:num>
  <w:num w:numId="21">
    <w:abstractNumId w:val="14"/>
  </w:num>
  <w:num w:numId="22">
    <w:abstractNumId w:val="19"/>
  </w:num>
  <w:num w:numId="23">
    <w:abstractNumId w:val="15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4DBB"/>
    <w:rsid w:val="002C50EE"/>
    <w:rsid w:val="00340A0A"/>
    <w:rsid w:val="003E3126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773E4"/>
    <w:rsid w:val="009B171C"/>
    <w:rsid w:val="00A20351"/>
    <w:rsid w:val="00AA23EC"/>
    <w:rsid w:val="00AC63CE"/>
    <w:rsid w:val="00AE2107"/>
    <w:rsid w:val="00B275A8"/>
    <w:rsid w:val="00BF2600"/>
    <w:rsid w:val="00C07B84"/>
    <w:rsid w:val="00C33464"/>
    <w:rsid w:val="00C3748F"/>
    <w:rsid w:val="00C809A7"/>
    <w:rsid w:val="00C83063"/>
    <w:rsid w:val="00C87E90"/>
    <w:rsid w:val="00CA1B5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2021-08-18T16:19:00Z</dcterms:created>
  <dcterms:modified xsi:type="dcterms:W3CDTF">2021-08-18T16:19:00Z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