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5C804D33" w:rsidR="007122AD" w:rsidRDefault="00DD466D" w:rsidP="00936AD0">
      <w:pPr>
        <w:pStyle w:val="Heading1"/>
      </w:pPr>
      <w:r>
        <w:t>1.ИМЕ НА ЛЕКАРСТВЕНИЯ ПРОДУКТ</w:t>
      </w:r>
    </w:p>
    <w:p w14:paraId="411E909E" w14:textId="4C9ED73D" w:rsidR="007A5F2F" w:rsidRDefault="007A5F2F" w:rsidP="007A5F2F"/>
    <w:p w14:paraId="11C4185A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 xml:space="preserve">Ефира 10 </w:t>
      </w:r>
      <w:r w:rsidRPr="007A5F2F">
        <w:rPr>
          <w:lang w:val="en-US"/>
        </w:rPr>
        <w:t>mg</w:t>
      </w:r>
      <w:r w:rsidRPr="007A5F2F">
        <w:t xml:space="preserve"> </w:t>
      </w:r>
      <w:r w:rsidRPr="007A5F2F">
        <w:rPr>
          <w:lang w:eastAsia="bg-BG"/>
        </w:rPr>
        <w:t>филмирани таблетки</w:t>
      </w:r>
    </w:p>
    <w:p w14:paraId="04B410D6" w14:textId="2AE6E58D" w:rsidR="007A5F2F" w:rsidRPr="007A5F2F" w:rsidRDefault="007A5F2F" w:rsidP="007A5F2F">
      <w:proofErr w:type="spellStart"/>
      <w:r w:rsidRPr="007A5F2F">
        <w:rPr>
          <w:lang w:val="en-US"/>
        </w:rPr>
        <w:t>Ephyra</w:t>
      </w:r>
      <w:proofErr w:type="spellEnd"/>
      <w:r w:rsidRPr="007A5F2F">
        <w:t xml:space="preserve"> </w:t>
      </w:r>
      <w:r w:rsidRPr="007A5F2F">
        <w:rPr>
          <w:lang w:eastAsia="bg-BG"/>
        </w:rPr>
        <w:t xml:space="preserve">10 </w:t>
      </w:r>
      <w:r w:rsidRPr="007A5F2F">
        <w:rPr>
          <w:lang w:val="en-US"/>
        </w:rPr>
        <w:t>mg</w:t>
      </w:r>
      <w:r w:rsidRPr="007A5F2F">
        <w:t xml:space="preserve"> </w:t>
      </w:r>
      <w:r w:rsidRPr="007A5F2F">
        <w:rPr>
          <w:lang w:val="en-US"/>
        </w:rPr>
        <w:t>film</w:t>
      </w:r>
      <w:r w:rsidRPr="007A5F2F">
        <w:t>-</w:t>
      </w:r>
      <w:r w:rsidRPr="007A5F2F">
        <w:rPr>
          <w:lang w:val="en-US"/>
        </w:rPr>
        <w:t>coated</w:t>
      </w:r>
      <w:r w:rsidRPr="007A5F2F">
        <w:t xml:space="preserve"> </w:t>
      </w:r>
      <w:r w:rsidRPr="007A5F2F">
        <w:rPr>
          <w:lang w:val="en-US"/>
        </w:rPr>
        <w:t>tablets</w:t>
      </w:r>
    </w:p>
    <w:p w14:paraId="6920A680" w14:textId="7701162E" w:rsidR="00C40420" w:rsidRDefault="00DD466D" w:rsidP="004A448E">
      <w:pPr>
        <w:pStyle w:val="Heading1"/>
      </w:pPr>
      <w:r>
        <w:t>2. КАЧЕСТВЕН И КОЛИЧЕСТВЕН СЪСТАВ</w:t>
      </w:r>
    </w:p>
    <w:p w14:paraId="7FBCD93E" w14:textId="0AE72D84" w:rsidR="007A5F2F" w:rsidRDefault="007A5F2F" w:rsidP="007A5F2F"/>
    <w:p w14:paraId="01FF0E1E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 xml:space="preserve">Всяка филмирана таблетка съдържа 10,40 </w:t>
      </w:r>
      <w:r w:rsidRPr="007A5F2F">
        <w:rPr>
          <w:lang w:val="en-US"/>
        </w:rPr>
        <w:t>mg</w:t>
      </w:r>
      <w:r w:rsidRPr="007A5F2F">
        <w:t xml:space="preserve"> </w:t>
      </w:r>
      <w:r w:rsidRPr="007A5F2F">
        <w:rPr>
          <w:lang w:eastAsia="bg-BG"/>
        </w:rPr>
        <w:t>монтелукаст натрий (</w:t>
      </w:r>
      <w:proofErr w:type="spellStart"/>
      <w:r w:rsidRPr="007A5F2F">
        <w:rPr>
          <w:i/>
          <w:iCs/>
          <w:lang w:val="en-US"/>
        </w:rPr>
        <w:t>montelukast</w:t>
      </w:r>
      <w:proofErr w:type="spellEnd"/>
      <w:r w:rsidRPr="007A5F2F">
        <w:rPr>
          <w:i/>
          <w:iCs/>
        </w:rPr>
        <w:t xml:space="preserve"> </w:t>
      </w:r>
      <w:r w:rsidRPr="007A5F2F">
        <w:rPr>
          <w:i/>
          <w:iCs/>
          <w:lang w:val="en-US"/>
        </w:rPr>
        <w:t>sodium</w:t>
      </w:r>
      <w:r w:rsidRPr="007A5F2F">
        <w:rPr>
          <w:i/>
          <w:iCs/>
        </w:rPr>
        <w:t>),</w:t>
      </w:r>
      <w:r w:rsidRPr="007A5F2F">
        <w:t xml:space="preserve"> </w:t>
      </w:r>
      <w:r w:rsidRPr="007A5F2F">
        <w:rPr>
          <w:lang w:eastAsia="bg-BG"/>
        </w:rPr>
        <w:t xml:space="preserve">което е еквивалентно на 10 </w:t>
      </w:r>
      <w:r w:rsidRPr="007A5F2F">
        <w:rPr>
          <w:lang w:val="en-US"/>
        </w:rPr>
        <w:t>mg</w:t>
      </w:r>
      <w:r w:rsidRPr="007A5F2F">
        <w:t xml:space="preserve"> </w:t>
      </w:r>
      <w:r w:rsidRPr="007A5F2F">
        <w:rPr>
          <w:lang w:eastAsia="bg-BG"/>
        </w:rPr>
        <w:t xml:space="preserve">монтелукаст </w:t>
      </w:r>
      <w:r w:rsidRPr="007A5F2F">
        <w:rPr>
          <w:i/>
          <w:iCs/>
        </w:rPr>
        <w:t>(</w:t>
      </w:r>
      <w:proofErr w:type="spellStart"/>
      <w:r w:rsidRPr="007A5F2F">
        <w:rPr>
          <w:i/>
          <w:iCs/>
          <w:lang w:val="en-US"/>
        </w:rPr>
        <w:t>montelukast</w:t>
      </w:r>
      <w:proofErr w:type="spellEnd"/>
      <w:r w:rsidRPr="007A5F2F">
        <w:rPr>
          <w:i/>
          <w:iCs/>
        </w:rPr>
        <w:t>).</w:t>
      </w:r>
    </w:p>
    <w:p w14:paraId="3446C3F4" w14:textId="77777777" w:rsidR="007A5F2F" w:rsidRDefault="007A5F2F" w:rsidP="007A5F2F">
      <w:pPr>
        <w:rPr>
          <w:u w:val="single"/>
          <w:lang w:eastAsia="bg-BG"/>
        </w:rPr>
      </w:pPr>
    </w:p>
    <w:p w14:paraId="30CD495A" w14:textId="3216EB1F" w:rsidR="007A5F2F" w:rsidRPr="007A5F2F" w:rsidRDefault="007A5F2F" w:rsidP="007A5F2F">
      <w:pPr>
        <w:rPr>
          <w:sz w:val="24"/>
          <w:szCs w:val="24"/>
        </w:rPr>
      </w:pPr>
      <w:r w:rsidRPr="007A5F2F">
        <w:rPr>
          <w:u w:val="single"/>
          <w:lang w:eastAsia="bg-BG"/>
        </w:rPr>
        <w:t>Помощно вещество с известно действие:</w:t>
      </w:r>
    </w:p>
    <w:p w14:paraId="4E83D1DD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 xml:space="preserve">Всяка филмирана таблетка съдържа 122,2 </w:t>
      </w:r>
      <w:r w:rsidRPr="007A5F2F">
        <w:rPr>
          <w:lang w:val="en-US"/>
        </w:rPr>
        <w:t>mg</w:t>
      </w:r>
      <w:r w:rsidRPr="007A5F2F">
        <w:rPr>
          <w:lang w:val="ru-RU"/>
        </w:rPr>
        <w:t xml:space="preserve"> </w:t>
      </w:r>
      <w:r w:rsidRPr="007A5F2F">
        <w:rPr>
          <w:lang w:eastAsia="bg-BG"/>
        </w:rPr>
        <w:t>лактоза (като лактоза монохидрат).</w:t>
      </w:r>
    </w:p>
    <w:p w14:paraId="61C9DC85" w14:textId="77777777" w:rsidR="007A5F2F" w:rsidRPr="007A5F2F" w:rsidRDefault="007A5F2F" w:rsidP="007A5F2F"/>
    <w:p w14:paraId="614984C4" w14:textId="19D82A41" w:rsidR="008A6AF2" w:rsidRDefault="00DD466D" w:rsidP="002C50EE">
      <w:pPr>
        <w:pStyle w:val="Heading1"/>
      </w:pPr>
      <w:r>
        <w:t>3. ЛЕКАРСТВЕНА ФОРМА</w:t>
      </w:r>
    </w:p>
    <w:p w14:paraId="14D9C573" w14:textId="01788B59" w:rsidR="007A5F2F" w:rsidRDefault="007A5F2F" w:rsidP="007A5F2F"/>
    <w:p w14:paraId="1633DE08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Филмирана таблетка</w:t>
      </w:r>
    </w:p>
    <w:p w14:paraId="0A2EFE08" w14:textId="77777777" w:rsidR="007A5F2F" w:rsidRDefault="007A5F2F" w:rsidP="007A5F2F">
      <w:pPr>
        <w:rPr>
          <w:lang w:eastAsia="bg-BG"/>
        </w:rPr>
      </w:pPr>
    </w:p>
    <w:p w14:paraId="5ED999F1" w14:textId="5CF3A5DD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Бежова, кръгла филмирана таблетка с вдлъбнато релефно означение "93" от едната страна на таблетката и "7426" от другата.</w:t>
      </w:r>
    </w:p>
    <w:p w14:paraId="08867C26" w14:textId="77777777" w:rsidR="007A5F2F" w:rsidRPr="007A5F2F" w:rsidRDefault="007A5F2F" w:rsidP="007A5F2F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47D43E37" w:rsidR="007122AD" w:rsidRDefault="002C50EE" w:rsidP="00936AD0">
      <w:pPr>
        <w:pStyle w:val="Heading2"/>
      </w:pPr>
      <w:r>
        <w:t>4.1. Терапевтични показания</w:t>
      </w:r>
    </w:p>
    <w:p w14:paraId="34639E7F" w14:textId="6CC431CB" w:rsidR="007A5F2F" w:rsidRDefault="007A5F2F" w:rsidP="007A5F2F"/>
    <w:p w14:paraId="02EE2746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 xml:space="preserve">Монтелукаст е показан за лечение на астма като допълнителна терапия при пациенти на и над 15-годишна възраст с лека до умерено тежка персистираща астма, която не е контролирана адекватно с инхалаторни кортикостероиди и при която бързодействащите бета-агонисти, давани при необходимост не осигуряват адекватен клиничен контрол на астмата. При пациенти с астма, при които Ефира 10 </w:t>
      </w:r>
      <w:r w:rsidRPr="007A5F2F">
        <w:rPr>
          <w:lang w:val="en-US"/>
        </w:rPr>
        <w:t>mg</w:t>
      </w:r>
      <w:r w:rsidRPr="007A5F2F">
        <w:rPr>
          <w:lang w:val="ru-RU"/>
        </w:rPr>
        <w:t xml:space="preserve"> </w:t>
      </w:r>
      <w:r w:rsidRPr="007A5F2F">
        <w:rPr>
          <w:lang w:eastAsia="bg-BG"/>
        </w:rPr>
        <w:t>филмирани таблетки е показана за лечение на астма, монтелукаст може също да облекчи симптомите на сезонен алергичен ринит.</w:t>
      </w:r>
    </w:p>
    <w:p w14:paraId="03BF6D85" w14:textId="77777777" w:rsidR="007A5F2F" w:rsidRDefault="007A5F2F" w:rsidP="007A5F2F">
      <w:pPr>
        <w:rPr>
          <w:lang w:eastAsia="bg-BG"/>
        </w:rPr>
      </w:pPr>
    </w:p>
    <w:p w14:paraId="05654B20" w14:textId="19FFC1ED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Освен това монтелукаст е показан за профилактика на астма на и над 15-годишна възраст, при която преобладаващ компонент е бронхоспазъм, индуциран от усилия.</w:t>
      </w:r>
    </w:p>
    <w:p w14:paraId="3DB739C6" w14:textId="77777777" w:rsidR="007A5F2F" w:rsidRPr="007A5F2F" w:rsidRDefault="007A5F2F" w:rsidP="007A5F2F"/>
    <w:p w14:paraId="53F5B866" w14:textId="61D93608" w:rsidR="007122AD" w:rsidRDefault="002C50EE" w:rsidP="00936AD0">
      <w:pPr>
        <w:pStyle w:val="Heading2"/>
      </w:pPr>
      <w:r>
        <w:t>4.2. Дозировка и начин на приложение</w:t>
      </w:r>
    </w:p>
    <w:p w14:paraId="64FAC7A1" w14:textId="03C9513F" w:rsidR="007A5F2F" w:rsidRDefault="007A5F2F" w:rsidP="007A5F2F"/>
    <w:p w14:paraId="0737E3D4" w14:textId="77777777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Дозировка</w:t>
      </w:r>
    </w:p>
    <w:p w14:paraId="7C038EC9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2BF15E" w14:textId="67712E21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lastRenderedPageBreak/>
        <w:t xml:space="preserve">Дозата за пациенти с астма или с астма и придружаващ сезонен алергичен ринит на възраст на и над 15 години е една таблетка от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дневно, приемана вечер. Монтелукаст може да се приема със или без храна.</w:t>
      </w:r>
    </w:p>
    <w:p w14:paraId="52308F7C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ED76336" w14:textId="2F89BD51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Общи препоръки</w:t>
      </w:r>
    </w:p>
    <w:p w14:paraId="5D3E84A0" w14:textId="2BFD77B1" w:rsidR="007A5F2F" w:rsidRPr="007A5F2F" w:rsidRDefault="007A5F2F" w:rsidP="007A5F2F">
      <w:pPr>
        <w:rPr>
          <w:rFonts w:eastAsia="Times New Roman" w:cs="Arial"/>
          <w:color w:val="000000"/>
          <w:lang w:eastAsia="bg-BG"/>
        </w:rPr>
      </w:pPr>
      <w:r w:rsidRPr="007A5F2F">
        <w:rPr>
          <w:rFonts w:eastAsia="Times New Roman" w:cs="Arial"/>
          <w:color w:val="000000"/>
          <w:lang w:eastAsia="bg-BG"/>
        </w:rPr>
        <w:t>Терапевтичният ефект на монтелукаст върху показателите за контрол на астмата се проявява в рамките на един ден. На пациентите трябва да бъде препоръчано да продължат да приемат монтелукаст дори и ако тяхната астма е под контрол, както и по време на периодите на влошаване на астмата. Монтелукаст не трябва да се използва едновременно с други продукти, съдържащи същото активно вещество монтелукаст.</w:t>
      </w:r>
    </w:p>
    <w:p w14:paraId="35E58D81" w14:textId="42725D4A" w:rsidR="007A5F2F" w:rsidRPr="007A5F2F" w:rsidRDefault="007A5F2F" w:rsidP="007A5F2F">
      <w:pPr>
        <w:rPr>
          <w:rFonts w:eastAsia="Times New Roman" w:cs="Arial"/>
          <w:color w:val="000000"/>
          <w:lang w:eastAsia="bg-BG"/>
        </w:rPr>
      </w:pPr>
    </w:p>
    <w:p w14:paraId="68682F25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Терапия с монтелукаст във връзка с друго лечение на астма</w:t>
      </w:r>
    </w:p>
    <w:p w14:paraId="7FE58983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Монтелукаст може да бъде добавен към вече съществуващия терапевтичен режим на пациента.</w:t>
      </w:r>
    </w:p>
    <w:p w14:paraId="303F8568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3D95616" w14:textId="6D2E9CBA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Инхалаторни кортикостероиди:</w:t>
      </w:r>
      <w:r w:rsidRPr="007A5F2F">
        <w:rPr>
          <w:rFonts w:eastAsia="Times New Roman" w:cs="Arial"/>
          <w:color w:val="000000"/>
          <w:lang w:eastAsia="bg-BG"/>
        </w:rPr>
        <w:t xml:space="preserve"> Лечението с монтелукаст може да се използва като допълнителна терапия при пациенти, при които инхалаторните кортикостероиди плюс кратко действащи р-агонисти “при нужда” осигуряват неадекватен контрол на клиничните прояви. Когато лечението с монтелукаст се използва като допълнителна терапия към инхалаторните кортикостероиди, монтелукаст не трябва рязко да замести инхалаторните кортикостероиди (вж. точка 4.4).</w:t>
      </w:r>
    </w:p>
    <w:p w14:paraId="2B49105F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3C84841" w14:textId="0FEDA7BF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Специални популации</w:t>
      </w:r>
    </w:p>
    <w:p w14:paraId="1588E3A5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Не е необходима корекция на дозата при пациенти в старческа възраст, такива с бъбречна недостатъчност или с леко до средно тежко чернодробно увреждане. Няма данни за пациенти с тежки чернодробни увреждания. Дозата е еднаква за мъже и жени.</w:t>
      </w:r>
    </w:p>
    <w:p w14:paraId="54633363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F91F859" w14:textId="2D05D904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5DF14C24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Ефира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филмирани таблетки не се препоръчва за употреба при деца под 15-годишна възраст, поради липса на данни за безопасност и ефикасност (виж точка 5.1).</w:t>
      </w:r>
    </w:p>
    <w:p w14:paraId="1C5F4745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02EACE" w14:textId="7CB73AFF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5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таблетки за дъвчене са предназначени за деца на възраст между 6 и 14 години.</w:t>
      </w:r>
    </w:p>
    <w:p w14:paraId="43F69FA0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4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таблетки за дъвчене са предназначени за деца на възраст между 2 и 5 години.</w:t>
      </w:r>
    </w:p>
    <w:p w14:paraId="67569F34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За педиатрични пациенти, които имат проблем с приемането на дъвчащи таблетки е налична формата от 4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гранули.</w:t>
      </w:r>
    </w:p>
    <w:p w14:paraId="751388B8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26852E" w14:textId="0E3DD4A5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Начин на приложение</w:t>
      </w:r>
    </w:p>
    <w:p w14:paraId="3DCFEFC8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Перорално приложение.</w:t>
      </w:r>
    </w:p>
    <w:p w14:paraId="3871A80A" w14:textId="77777777" w:rsidR="007A5F2F" w:rsidRPr="007A5F2F" w:rsidRDefault="007A5F2F" w:rsidP="007A5F2F"/>
    <w:p w14:paraId="0F253247" w14:textId="40E8212B" w:rsidR="007122AD" w:rsidRDefault="002C50EE" w:rsidP="00936AD0">
      <w:pPr>
        <w:pStyle w:val="Heading2"/>
      </w:pPr>
      <w:r>
        <w:t>4.3. Противопоказания</w:t>
      </w:r>
    </w:p>
    <w:p w14:paraId="244D5340" w14:textId="457F95EB" w:rsidR="007A5F2F" w:rsidRDefault="007A5F2F" w:rsidP="007A5F2F"/>
    <w:p w14:paraId="22A76A34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4AA71FC7" w14:textId="77777777" w:rsidR="007A5F2F" w:rsidRPr="007A5F2F" w:rsidRDefault="007A5F2F" w:rsidP="007A5F2F"/>
    <w:p w14:paraId="0E0BDCC7" w14:textId="0BA1FF65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60CF8980" w14:textId="14DADC1A" w:rsidR="007A5F2F" w:rsidRDefault="007A5F2F" w:rsidP="007A5F2F"/>
    <w:p w14:paraId="7C35CCAF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Пациентите трябва да бъдат съветвани никога да не използват перорално монтелукаст за лечение на остри пристъпи на астма, както и да поддържат на разположение подходящи животоспасяващи лекарства. При развитие на остър астматичен пристъп трябва да се </w:t>
      </w:r>
      <w:r w:rsidRPr="007A5F2F">
        <w:rPr>
          <w:rFonts w:eastAsia="Times New Roman" w:cs="Arial"/>
          <w:color w:val="000000"/>
          <w:lang w:eastAsia="bg-BG"/>
        </w:rPr>
        <w:lastRenderedPageBreak/>
        <w:t>използва кратко действащ инхалаторен р-агонист. Пациентите трябва да се обърнат за съвет към лекуващия ги лекар, колкото е възможно по-скоро, ако се нуждаят от повече инхалации от кратко действащи р-агонисти, отколкото е обичайно.</w:t>
      </w:r>
    </w:p>
    <w:p w14:paraId="4166CE7D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FA521B" w14:textId="3E0ADA55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Монтелукаст не трябва да бъде включван рязко като заместител на инхалаторните или перорални кортикостероиди.</w:t>
      </w:r>
    </w:p>
    <w:p w14:paraId="162DD6ED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2CAB74" w14:textId="200C628F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Няма данни, доказващи, че дозата на пероралните кортикостероиди може да бъде намалена, когато едновременно се дава и монтелукаст.</w:t>
      </w:r>
    </w:p>
    <w:p w14:paraId="1160FC55" w14:textId="77777777" w:rsidR="007A5F2F" w:rsidRPr="007A5F2F" w:rsidRDefault="007A5F2F" w:rsidP="007A5F2F">
      <w:pPr>
        <w:rPr>
          <w:rFonts w:eastAsia="Times New Roman" w:cs="Arial"/>
          <w:color w:val="000000"/>
          <w:lang w:eastAsia="bg-BG"/>
        </w:rPr>
      </w:pPr>
    </w:p>
    <w:p w14:paraId="2B3A9ACD" w14:textId="50BD0725" w:rsidR="007A5F2F" w:rsidRPr="007A5F2F" w:rsidRDefault="007A5F2F" w:rsidP="007A5F2F">
      <w:pPr>
        <w:rPr>
          <w:rFonts w:eastAsia="Times New Roman" w:cs="Arial"/>
          <w:color w:val="000000"/>
          <w:lang w:eastAsia="bg-BG"/>
        </w:rPr>
      </w:pPr>
      <w:r w:rsidRPr="007A5F2F">
        <w:rPr>
          <w:rFonts w:eastAsia="Times New Roman" w:cs="Arial"/>
          <w:color w:val="000000"/>
          <w:lang w:eastAsia="bg-BG"/>
        </w:rPr>
        <w:t xml:space="preserve">В редки случаи пациентите на лечение с ангиастматични средства, включително монтелукаст може да се представят със системна еозинофилия, понякога с клинични прояви на васкулит, отговарящ на синдрома на </w:t>
      </w:r>
      <w:proofErr w:type="spellStart"/>
      <w:r w:rsidRPr="007A5F2F">
        <w:rPr>
          <w:rFonts w:eastAsia="Times New Roman" w:cs="Arial"/>
          <w:color w:val="000000"/>
          <w:lang w:val="en-US"/>
        </w:rPr>
        <w:t>Ch</w:t>
      </w:r>
      <w:proofErr w:type="spellEnd"/>
      <w:r w:rsidRPr="007A5F2F">
        <w:rPr>
          <w:rFonts w:eastAsia="Times New Roman" w:cs="Arial"/>
          <w:color w:val="000000"/>
          <w:lang w:val="ru-RU"/>
        </w:rPr>
        <w:t>.</w:t>
      </w:r>
      <w:proofErr w:type="spellStart"/>
      <w:r w:rsidRPr="007A5F2F">
        <w:rPr>
          <w:rFonts w:eastAsia="Times New Roman" w:cs="Arial"/>
          <w:color w:val="000000"/>
          <w:lang w:val="en-US"/>
        </w:rPr>
        <w:t>urg</w:t>
      </w:r>
      <w:proofErr w:type="spellEnd"/>
      <w:r w:rsidRPr="007A5F2F">
        <w:rPr>
          <w:rFonts w:eastAsia="Times New Roman" w:cs="Arial"/>
          <w:color w:val="000000"/>
          <w:lang w:val="ru-RU"/>
        </w:rPr>
        <w:t>-</w:t>
      </w:r>
      <w:proofErr w:type="spellStart"/>
      <w:r w:rsidRPr="007A5F2F">
        <w:rPr>
          <w:rFonts w:eastAsia="Times New Roman" w:cs="Arial"/>
          <w:color w:val="000000"/>
          <w:lang w:val="en-US"/>
        </w:rPr>
        <w:t>Strau</w:t>
      </w:r>
      <w:proofErr w:type="spellEnd"/>
      <w:r w:rsidRPr="007A5F2F">
        <w:rPr>
          <w:rFonts w:eastAsia="Times New Roman" w:cs="Arial"/>
          <w:color w:val="000000"/>
          <w:lang w:val="ru-RU"/>
        </w:rPr>
        <w:t>.</w:t>
      </w:r>
      <w:proofErr w:type="spellStart"/>
      <w:r w:rsidRPr="007A5F2F">
        <w:rPr>
          <w:rFonts w:eastAsia="Times New Roman" w:cs="Arial"/>
          <w:color w:val="000000"/>
          <w:lang w:val="en-US"/>
        </w:rPr>
        <w:t>ss</w:t>
      </w:r>
      <w:proofErr w:type="spellEnd"/>
      <w:r w:rsidRPr="007A5F2F">
        <w:rPr>
          <w:rFonts w:eastAsia="Times New Roman" w:cs="Arial"/>
          <w:color w:val="000000"/>
          <w:lang w:val="ru-RU"/>
        </w:rPr>
        <w:t xml:space="preserve">, </w:t>
      </w:r>
      <w:r w:rsidRPr="007A5F2F">
        <w:rPr>
          <w:rFonts w:eastAsia="Times New Roman" w:cs="Arial"/>
          <w:color w:val="000000"/>
          <w:lang w:eastAsia="bg-BG"/>
        </w:rPr>
        <w:t>състояние, което често се лекува със системна кортикостероидна терапия. Тези случаи понякога са свързани с намаляването на дозата или прекратяване на пероралната кортикостероидна терапия. Въпреки, че причината връзка с левкотриеновите рецепторни антагонисти не е установена, лекарите трябва да бъдат бдителни по отношение на появата на еозинофилия при техните пациенти, васкулитен обрив, влошаване на белодробните симптоми, сърдечно-съдови усложнения и/или невропатия. Пациентите, които развият подобни симптоми трябва да се преоценят и да се преразгледа терапевтичния режим.</w:t>
      </w:r>
    </w:p>
    <w:p w14:paraId="7EC7EE1B" w14:textId="57066F94" w:rsidR="007A5F2F" w:rsidRPr="007A5F2F" w:rsidRDefault="007A5F2F" w:rsidP="007A5F2F">
      <w:pPr>
        <w:rPr>
          <w:rFonts w:eastAsia="Times New Roman" w:cs="Arial"/>
          <w:color w:val="000000"/>
          <w:lang w:eastAsia="bg-BG"/>
        </w:rPr>
      </w:pPr>
    </w:p>
    <w:p w14:paraId="5A39DEAF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Съобщават се невро-психични събития при възрастни, юноши и деца, приемащи Ефира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филмирани таблетки (вж. точка 4.8). Пациентите и лекарите трябва да бъдат предупредени за невро-психични събития. Пациентите и/или лицата, полагащи грижи, трябва да бъдат инструктирани да уведомят лекаря си, ако настъпят такива промени. Лекуващите лекари трябва внимателно да преценят съотношението полза/риск от продължителното лечение с Ефира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филмирани таблетки, ако възникнат такива събития.</w:t>
      </w:r>
    </w:p>
    <w:p w14:paraId="6B96C192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20D595" w14:textId="280BE682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Лечението с монтелукаст не променя необходимостта на пациентите с аспиринова астма да избягват приема на аспирин и други нестероидни противовъзпалителни лекарства.</w:t>
      </w:r>
    </w:p>
    <w:p w14:paraId="09EDE288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AEB88D" w14:textId="024AC82C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Помощни вещества</w:t>
      </w:r>
    </w:p>
    <w:p w14:paraId="66AC7D2B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8EAEA23" w14:textId="118CEEA9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Лактоза</w:t>
      </w:r>
    </w:p>
    <w:p w14:paraId="672536BA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67476E39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9B15AB5" w14:textId="061824C6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eastAsia="bg-BG"/>
        </w:rPr>
        <w:t>Натрий</w:t>
      </w:r>
    </w:p>
    <w:p w14:paraId="43F1A320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7A5F2F">
        <w:rPr>
          <w:rFonts w:eastAsia="Times New Roman" w:cs="Arial"/>
          <w:color w:val="000000"/>
          <w:lang w:val="en-US"/>
        </w:rPr>
        <w:t>mmol</w:t>
      </w:r>
      <w:proofErr w:type="spellEnd"/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натрий (23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) </w:t>
      </w:r>
      <w:r w:rsidRPr="007A5F2F">
        <w:rPr>
          <w:rFonts w:eastAsia="Times New Roman" w:cs="Arial"/>
          <w:color w:val="000000"/>
          <w:lang w:eastAsia="bg-BG"/>
        </w:rPr>
        <w:t>на филмирана таблетка, т.е. може да се каже, че практически не съдържа натрий.</w:t>
      </w:r>
    </w:p>
    <w:p w14:paraId="2CF35EA7" w14:textId="77777777" w:rsidR="007A5F2F" w:rsidRPr="007A5F2F" w:rsidRDefault="007A5F2F" w:rsidP="007A5F2F"/>
    <w:p w14:paraId="0734264C" w14:textId="7778F099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75B30475" w14:textId="6FBEE57A" w:rsidR="007A5F2F" w:rsidRDefault="007A5F2F" w:rsidP="007A5F2F"/>
    <w:p w14:paraId="7F1163A6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Монтелукаст може да бъде прилаган с други видове лечение използвани рутинно в профилактиката и хроничното лечение на астма. В клинични проучвания за лекарствени взаимодействия, препоръчваната клинична доза монтелукаст няма клинично значими </w:t>
      </w:r>
      <w:r w:rsidRPr="007A5F2F">
        <w:rPr>
          <w:rFonts w:eastAsia="Times New Roman" w:cs="Arial"/>
          <w:color w:val="000000"/>
          <w:lang w:eastAsia="bg-BG"/>
        </w:rPr>
        <w:lastRenderedPageBreak/>
        <w:t>ефекти върху фармакокинетиката на следните лекарства: теофилин, преднизон, преднизолон, перорални контрацептиви (етинил естрадиол/норетиндрон 35/1), терфенадин, дигоксин и варфарин.</w:t>
      </w:r>
    </w:p>
    <w:p w14:paraId="7176F935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28D303" w14:textId="303B63F8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Площта под кривата на плазмената концентрация </w:t>
      </w:r>
      <w:r w:rsidRPr="007A5F2F">
        <w:rPr>
          <w:rFonts w:eastAsia="Times New Roman" w:cs="Arial"/>
          <w:color w:val="000000"/>
          <w:lang w:val="ru-RU"/>
        </w:rPr>
        <w:t>(</w:t>
      </w:r>
      <w:r w:rsidRPr="007A5F2F">
        <w:rPr>
          <w:rFonts w:eastAsia="Times New Roman" w:cs="Arial"/>
          <w:color w:val="000000"/>
          <w:lang w:val="en-US"/>
        </w:rPr>
        <w:t>AUC</w:t>
      </w:r>
      <w:r w:rsidRPr="007A5F2F">
        <w:rPr>
          <w:rFonts w:eastAsia="Times New Roman" w:cs="Arial"/>
          <w:color w:val="000000"/>
          <w:lang w:val="ru-RU"/>
        </w:rPr>
        <w:t xml:space="preserve">) </w:t>
      </w:r>
      <w:r w:rsidRPr="007A5F2F">
        <w:rPr>
          <w:rFonts w:eastAsia="Times New Roman" w:cs="Arial"/>
          <w:color w:val="000000"/>
          <w:lang w:eastAsia="bg-BG"/>
        </w:rPr>
        <w:t xml:space="preserve">за монтелукаст намалява приблизително с 40% при лица с едновременно приложение на фенобарбитал. Тъй като монтелукаст се метаболизира от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ЗА4, 2С8 и 2С9 е необходимо повишено внимание, особено при деца когато се прилага едновременно с индуктори на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ЗА4, 2С8 и 2С9 като фенитоин, фенобарбитал и рифампицин.</w:t>
      </w:r>
    </w:p>
    <w:p w14:paraId="3E7F821E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0E33EFBC" w14:textId="7C435778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vitro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проучвания са показали, че монтелукаст е мощен инхибитор на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2С8. Въпреки това, данните от клинични проучвания за лекарствени взаимодействия, включващи монтелукаст и розиглитазон (проучван субстрат, представителен за лекарства, които се метаболизират основно от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2С8) са показали, че монтелукаст не инхибира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2С8 </w:t>
      </w: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vivo</w:t>
      </w:r>
      <w:r w:rsidRPr="007A5F2F">
        <w:rPr>
          <w:rFonts w:eastAsia="Times New Roman" w:cs="Arial"/>
          <w:i/>
          <w:iCs/>
          <w:color w:val="000000"/>
          <w:lang w:val="ru-RU"/>
        </w:rPr>
        <w:t>.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Затова не се очаква монтелукаст да промени подчертано метаболизма на лекарствата, метаболизирани от този ензим (напр. паклитаксел, розиглитазон и репаглинид).</w:t>
      </w:r>
    </w:p>
    <w:p w14:paraId="34A34518" w14:textId="77777777" w:rsidR="007A5F2F" w:rsidRPr="007A5F2F" w:rsidRDefault="007A5F2F" w:rsidP="007A5F2F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7980CA5F" w14:textId="5A967F66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vitro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проучванията показват, че монтелукаст е субстрат на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2С8 и в по-малка значителна степен на 2С9 и ЗА4. В клинично проучване на лекарство-лекарство взаимодействие, включващо монтелукаст и гемфиброзил (инхибитор едновременно на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2С8 и 2С9 ), гемфиброзил увеличава системната експозиция на монтелукаст 4,4 пъти. Не се изисква обичайно коригиране на дозата на монтелукаст след едновременното приложение на гемфиброзил или други силни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3А4 инхибитори, влияещи за незначителното увеличение на системната експозиция на монтелукаст.</w:t>
      </w:r>
    </w:p>
    <w:p w14:paraId="398E9D9B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E09EDD" w14:textId="769E7F82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Въз основа на </w:t>
      </w: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vitro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данни, не се очакват клинично важни лекарствени взаимодейстия с по- слаби инхибитори на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2С8 (напр. триметоприм). Едновременното приложение на монтелукаст с итраконазол, силен </w:t>
      </w:r>
      <w:r w:rsidRPr="007A5F2F">
        <w:rPr>
          <w:rFonts w:eastAsia="Times New Roman" w:cs="Arial"/>
          <w:color w:val="000000"/>
          <w:lang w:val="en-US"/>
        </w:rPr>
        <w:t>CYP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ЗА4 инхибитор влияе за незиачителното увеличение на системната експозиция на монтелукаст.</w:t>
      </w:r>
    </w:p>
    <w:p w14:paraId="09766598" w14:textId="77777777" w:rsidR="007A5F2F" w:rsidRPr="007A5F2F" w:rsidRDefault="007A5F2F" w:rsidP="007A5F2F"/>
    <w:p w14:paraId="5D9F40EA" w14:textId="420E31D6" w:rsidR="007122AD" w:rsidRDefault="002C50EE" w:rsidP="00936AD0">
      <w:pPr>
        <w:pStyle w:val="Heading2"/>
      </w:pPr>
      <w:r>
        <w:t>4.6. Фертилитет, бременност и кърмене</w:t>
      </w:r>
    </w:p>
    <w:p w14:paraId="359AC04D" w14:textId="0CD0107C" w:rsidR="007A5F2F" w:rsidRDefault="007A5F2F" w:rsidP="007A5F2F"/>
    <w:p w14:paraId="7F39F9AB" w14:textId="77777777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Бременност</w:t>
      </w:r>
    </w:p>
    <w:p w14:paraId="6E2C11B9" w14:textId="77777777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lang w:eastAsia="bg-BG"/>
        </w:rPr>
        <w:t>Проучванията при животни не са показали вредни ефекти по отношение на бременността или ембрионалното/феталното развитие.</w:t>
      </w:r>
    </w:p>
    <w:p w14:paraId="3753C79A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B0E91C" w14:textId="45D5D4DC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lang w:eastAsia="bg-BG"/>
        </w:rPr>
        <w:t>Данните от ограничен брой случаи на експозиция по време на бременност не са показали причинна връзка между приложението на монтелукаст и появата на малформации (т.е. дефекти на крайниците), за които има редки съобщения от световния пост-маркетингов опит.</w:t>
      </w:r>
    </w:p>
    <w:p w14:paraId="3455421B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EB973C" w14:textId="15568C69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lang w:eastAsia="bg-BG"/>
        </w:rPr>
        <w:t>Монтелукаст може да се използва по време на бременност само в случай на категорична необходимост.</w:t>
      </w:r>
    </w:p>
    <w:p w14:paraId="232D20F8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15BE40" w14:textId="32B6A037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Кърмене</w:t>
      </w:r>
    </w:p>
    <w:p w14:paraId="1E3074D8" w14:textId="77777777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lang w:eastAsia="bg-BG"/>
        </w:rPr>
        <w:t>Проучванията при плъхове са показали, че монтелукаст се екскретира в млякото (вж. точка 5.3). Не е известно дали монтелукаст се екскретира в човешкото мляко.</w:t>
      </w:r>
    </w:p>
    <w:p w14:paraId="0CF92CA6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FF42E8" w14:textId="241D23F5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lang w:eastAsia="bg-BG"/>
        </w:rPr>
        <w:lastRenderedPageBreak/>
        <w:t>Монтелукаст може да бъде използван от кърмещи майки само в случай на категорична необходимост.</w:t>
      </w:r>
    </w:p>
    <w:p w14:paraId="2515159A" w14:textId="77777777" w:rsidR="007A5F2F" w:rsidRPr="007A5F2F" w:rsidRDefault="007A5F2F" w:rsidP="007A5F2F"/>
    <w:p w14:paraId="5DD7A76D" w14:textId="24FE11A3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41F75C9A" w14:textId="49A8573D" w:rsidR="007A5F2F" w:rsidRDefault="007A5F2F" w:rsidP="007A5F2F"/>
    <w:p w14:paraId="1F1E8CD7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Монтелукаст не повлиява или повлиява пренебрежимо способността за шофиране и работа с машини. Въпреки това, има съобщения за сънливост или замаяност.</w:t>
      </w:r>
    </w:p>
    <w:p w14:paraId="5A278A16" w14:textId="77777777" w:rsidR="007A5F2F" w:rsidRPr="007A5F2F" w:rsidRDefault="007A5F2F" w:rsidP="007A5F2F"/>
    <w:p w14:paraId="44CE30A3" w14:textId="720DE88C" w:rsidR="007122AD" w:rsidRDefault="002C50EE" w:rsidP="00936AD0">
      <w:pPr>
        <w:pStyle w:val="Heading2"/>
      </w:pPr>
      <w:r>
        <w:t>4.8. Нежелани лекарствени реакции</w:t>
      </w:r>
    </w:p>
    <w:p w14:paraId="1A9F37E6" w14:textId="693041E7" w:rsidR="007A5F2F" w:rsidRDefault="007A5F2F" w:rsidP="007A5F2F"/>
    <w:p w14:paraId="2C4EAD8B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Монтелукаст е оценен в клинични проучвания при пациенти с персистираща астма както следва:</w:t>
      </w:r>
    </w:p>
    <w:p w14:paraId="259FF5C6" w14:textId="77777777" w:rsidR="007A5F2F" w:rsidRPr="007A5F2F" w:rsidRDefault="007A5F2F" w:rsidP="007A5F2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филмирани таблетки - при приблизително 4 000 пациенти с астма (възрастни и</w:t>
      </w:r>
      <w:r w:rsidRPr="007A5F2F">
        <w:rPr>
          <w:rFonts w:eastAsia="Times New Roman" w:cs="Arial"/>
          <w:color w:val="000000"/>
          <w:lang w:val="ru-RU" w:eastAsia="bg-BG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юноши на възраст 15 и повече години)</w:t>
      </w:r>
    </w:p>
    <w:p w14:paraId="3BCEDB81" w14:textId="77777777" w:rsidR="007A5F2F" w:rsidRPr="007A5F2F" w:rsidRDefault="007A5F2F" w:rsidP="007A5F2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филмирани таблетки - при приблизително 400 пациенти със сезонен алергичен</w:t>
      </w:r>
      <w:r w:rsidRPr="007A5F2F">
        <w:rPr>
          <w:rFonts w:eastAsia="Times New Roman" w:cs="Arial"/>
          <w:color w:val="000000"/>
          <w:lang w:val="ru-RU" w:eastAsia="bg-BG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ринит( възрастни и юноши на 15 и повече години)</w:t>
      </w:r>
    </w:p>
    <w:p w14:paraId="5C42226F" w14:textId="77777777" w:rsidR="007A5F2F" w:rsidRPr="007A5F2F" w:rsidRDefault="007A5F2F" w:rsidP="007A5F2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5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таблетки за дъвчене - при приблизително 1 750 педиатрични пациенти с астма на</w:t>
      </w:r>
      <w:r w:rsidRPr="007A5F2F">
        <w:rPr>
          <w:rFonts w:eastAsia="Times New Roman" w:cs="Arial"/>
          <w:color w:val="000000"/>
          <w:lang w:val="ru-RU" w:eastAsia="bg-BG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възраст между 6 и 14 години</w:t>
      </w:r>
    </w:p>
    <w:p w14:paraId="6C08A9C6" w14:textId="77777777" w:rsidR="007A5F2F" w:rsidRPr="007A5F2F" w:rsidRDefault="007A5F2F" w:rsidP="007A5F2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4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таблетки за дъвчене - при 851 педиатрични пациенти на възраст от 2 до 5 години</w:t>
      </w:r>
      <w:r w:rsidRPr="007A5F2F">
        <w:rPr>
          <w:rFonts w:eastAsia="Times New Roman" w:cs="Arial"/>
          <w:color w:val="000000"/>
          <w:lang w:val="ru-RU" w:eastAsia="bg-BG"/>
        </w:rPr>
        <w:t xml:space="preserve"> </w:t>
      </w:r>
    </w:p>
    <w:p w14:paraId="16E5A519" w14:textId="04EFEB0B" w:rsidR="007A5F2F" w:rsidRDefault="007A5F2F" w:rsidP="007A5F2F">
      <w:pPr>
        <w:pStyle w:val="ListParagraph"/>
        <w:spacing w:line="240" w:lineRule="auto"/>
        <w:rPr>
          <w:rFonts w:eastAsia="Times New Roman" w:cs="Arial"/>
          <w:color w:val="000000"/>
          <w:lang w:eastAsia="bg-BG"/>
        </w:rPr>
      </w:pPr>
      <w:r w:rsidRPr="007A5F2F">
        <w:rPr>
          <w:rFonts w:eastAsia="Times New Roman" w:cs="Arial"/>
          <w:color w:val="000000"/>
          <w:lang w:eastAsia="bg-BG"/>
        </w:rPr>
        <w:t>И</w:t>
      </w:r>
    </w:p>
    <w:p w14:paraId="27B316DD" w14:textId="2824628E" w:rsidR="007A5F2F" w:rsidRPr="007A5F2F" w:rsidRDefault="007A5F2F" w:rsidP="007A5F2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4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гранули - при 175 педиатрични пациенти на възраст от 6 месеца до 2 години.</w:t>
      </w:r>
    </w:p>
    <w:p w14:paraId="6918A796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80D89B" w14:textId="6DE79A55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Монтелукаст </w:t>
      </w:r>
      <w:r w:rsidRPr="007A5F2F">
        <w:rPr>
          <w:rFonts w:eastAsia="Times New Roman" w:cs="Arial"/>
          <w:b/>
          <w:bCs/>
          <w:color w:val="000000"/>
          <w:lang w:eastAsia="bg-BG"/>
        </w:rPr>
        <w:t xml:space="preserve">е </w:t>
      </w:r>
      <w:r w:rsidRPr="007A5F2F">
        <w:rPr>
          <w:rFonts w:eastAsia="Times New Roman" w:cs="Arial"/>
          <w:color w:val="000000"/>
          <w:lang w:eastAsia="bg-BG"/>
        </w:rPr>
        <w:t xml:space="preserve">оценен в </w:t>
      </w:r>
      <w:r w:rsidRPr="007A5F2F">
        <w:rPr>
          <w:rFonts w:eastAsia="Times New Roman" w:cs="Arial"/>
          <w:b/>
          <w:bCs/>
          <w:color w:val="000000"/>
          <w:lang w:eastAsia="bg-BG"/>
        </w:rPr>
        <w:t xml:space="preserve">клинично проучване </w:t>
      </w:r>
      <w:r w:rsidRPr="007A5F2F">
        <w:rPr>
          <w:rFonts w:eastAsia="Times New Roman" w:cs="Arial"/>
          <w:color w:val="000000"/>
          <w:lang w:eastAsia="bg-BG"/>
        </w:rPr>
        <w:t xml:space="preserve">при пациенти с интермитентна </w:t>
      </w:r>
      <w:r w:rsidRPr="007A5F2F">
        <w:rPr>
          <w:rFonts w:eastAsia="Times New Roman" w:cs="Arial"/>
          <w:b/>
          <w:bCs/>
          <w:color w:val="000000"/>
          <w:lang w:eastAsia="bg-BG"/>
        </w:rPr>
        <w:t xml:space="preserve">астма </w:t>
      </w:r>
      <w:r w:rsidRPr="007A5F2F">
        <w:rPr>
          <w:rFonts w:eastAsia="Times New Roman" w:cs="Arial"/>
          <w:color w:val="000000"/>
          <w:lang w:eastAsia="bg-BG"/>
        </w:rPr>
        <w:t>както следва:</w:t>
      </w:r>
    </w:p>
    <w:p w14:paraId="764C7313" w14:textId="6F4B60D9" w:rsidR="007A5F2F" w:rsidRPr="007A5F2F" w:rsidRDefault="007A5F2F" w:rsidP="007A5F2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4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гранули и таблетки за дъвчене - при 1 038 педиатрични пациенти на възраст от</w:t>
      </w:r>
      <w:r w:rsidRPr="007A5F2F">
        <w:rPr>
          <w:rFonts w:eastAsia="Times New Roman" w:cs="Arial"/>
          <w:color w:val="000000"/>
          <w:lang w:val="ru-RU" w:eastAsia="bg-BG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6 месеца до 5 години.</w:t>
      </w:r>
    </w:p>
    <w:p w14:paraId="7B5D2277" w14:textId="7BBAB8C4" w:rsidR="007A5F2F" w:rsidRDefault="007A5F2F" w:rsidP="007A5F2F"/>
    <w:p w14:paraId="6054EA4F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При пациенти с астма на лечение с монтелукаст по време на клинични изпитвания, в по-висока честота от пациентите на плацебо често (≥1/100 до &lt;1/10) са съобщавани следните нежелани лекарствени реакции:</w:t>
      </w:r>
    </w:p>
    <w:p w14:paraId="454F2712" w14:textId="34ADC7AB" w:rsidR="007A5F2F" w:rsidRDefault="007A5F2F" w:rsidP="007A5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845"/>
        <w:gridCol w:w="1860"/>
        <w:gridCol w:w="1860"/>
        <w:gridCol w:w="1861"/>
      </w:tblGrid>
      <w:tr w:rsidR="007A5F2F" w14:paraId="13D8B995" w14:textId="77777777" w:rsidTr="007A5F2F">
        <w:tc>
          <w:tcPr>
            <w:tcW w:w="1923" w:type="dxa"/>
          </w:tcPr>
          <w:p w14:paraId="058E9657" w14:textId="77777777" w:rsidR="007A5F2F" w:rsidRDefault="007A5F2F" w:rsidP="007A5F2F"/>
          <w:p w14:paraId="67996E66" w14:textId="4A2A2F51" w:rsidR="007A5F2F" w:rsidRDefault="007A5F2F" w:rsidP="007A5F2F">
            <w:r>
              <w:rPr>
                <w:b/>
                <w:bCs/>
              </w:rPr>
              <w:t>Системо-органен клас</w:t>
            </w:r>
          </w:p>
        </w:tc>
        <w:tc>
          <w:tcPr>
            <w:tcW w:w="1913" w:type="dxa"/>
          </w:tcPr>
          <w:p w14:paraId="042D2B54" w14:textId="4F661A9B" w:rsidR="007A5F2F" w:rsidRDefault="007A5F2F" w:rsidP="007A5F2F">
            <w:r>
              <w:rPr>
                <w:b/>
                <w:bCs/>
              </w:rPr>
              <w:t xml:space="preserve">Възрастни пациенти 15 години и по- възрастни (две 12- седмични проучвания;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=795)</w:t>
            </w:r>
          </w:p>
        </w:tc>
        <w:tc>
          <w:tcPr>
            <w:tcW w:w="1913" w:type="dxa"/>
          </w:tcPr>
          <w:p w14:paraId="53E3FB0C" w14:textId="1B178088" w:rsidR="007A5F2F" w:rsidRDefault="007A5F2F" w:rsidP="007A5F2F">
            <w:r>
              <w:rPr>
                <w:b/>
                <w:bCs/>
              </w:rPr>
              <w:t xml:space="preserve">Педиатрични пациенти 6 до 14 години (едно 8-седмично проучване;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 xml:space="preserve">=201) (две 56-седмични проучвания;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=615)</w:t>
            </w:r>
          </w:p>
        </w:tc>
        <w:tc>
          <w:tcPr>
            <w:tcW w:w="1913" w:type="dxa"/>
          </w:tcPr>
          <w:p w14:paraId="6C22EAC6" w14:textId="6FAA9B2C" w:rsidR="007A5F2F" w:rsidRDefault="007A5F2F" w:rsidP="007A5F2F">
            <w:r>
              <w:rPr>
                <w:b/>
                <w:bCs/>
              </w:rPr>
              <w:t xml:space="preserve">Педиатрични пациенти на възраст от 2 до 5 години (едно 12-седмично проучване;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 xml:space="preserve">=461) (едно 48- седмично проучване;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=278)</w:t>
            </w:r>
          </w:p>
        </w:tc>
        <w:tc>
          <w:tcPr>
            <w:tcW w:w="1914" w:type="dxa"/>
          </w:tcPr>
          <w:p w14:paraId="1295B1F5" w14:textId="7F0FE8E8" w:rsidR="007A5F2F" w:rsidRDefault="007A5F2F" w:rsidP="007A5F2F">
            <w:r>
              <w:rPr>
                <w:b/>
                <w:bCs/>
              </w:rPr>
              <w:t xml:space="preserve">Педиатрични пациенти на възраст от 6 месеца до 2 години (едно </w:t>
            </w:r>
            <w:r>
              <w:rPr>
                <w:b/>
                <w:bCs/>
                <w:i/>
                <w:iCs/>
              </w:rPr>
              <w:t xml:space="preserve">6- </w:t>
            </w:r>
            <w:r>
              <w:rPr>
                <w:b/>
                <w:bCs/>
              </w:rPr>
              <w:t xml:space="preserve">седмично проучване;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=175)</w:t>
            </w:r>
          </w:p>
        </w:tc>
      </w:tr>
      <w:tr w:rsidR="007A5F2F" w14:paraId="018937DD" w14:textId="77777777" w:rsidTr="007A5F2F">
        <w:tc>
          <w:tcPr>
            <w:tcW w:w="1923" w:type="dxa"/>
          </w:tcPr>
          <w:p w14:paraId="7C5437BB" w14:textId="20670B49" w:rsidR="007A5F2F" w:rsidRDefault="007A5F2F" w:rsidP="007A5F2F">
            <w:r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913" w:type="dxa"/>
          </w:tcPr>
          <w:p w14:paraId="45EB0063" w14:textId="2C28C4DD" w:rsidR="007A5F2F" w:rsidRDefault="007A5F2F" w:rsidP="007A5F2F">
            <w:r>
              <w:t>главоболие</w:t>
            </w:r>
          </w:p>
        </w:tc>
        <w:tc>
          <w:tcPr>
            <w:tcW w:w="1913" w:type="dxa"/>
          </w:tcPr>
          <w:p w14:paraId="637AAEC1" w14:textId="331527DB" w:rsidR="007A5F2F" w:rsidRDefault="007A5F2F" w:rsidP="007A5F2F">
            <w:r>
              <w:t>главоболие</w:t>
            </w:r>
          </w:p>
        </w:tc>
        <w:tc>
          <w:tcPr>
            <w:tcW w:w="1913" w:type="dxa"/>
          </w:tcPr>
          <w:p w14:paraId="748F0551" w14:textId="77777777" w:rsidR="007A5F2F" w:rsidRDefault="007A5F2F" w:rsidP="007A5F2F"/>
        </w:tc>
        <w:tc>
          <w:tcPr>
            <w:tcW w:w="1914" w:type="dxa"/>
          </w:tcPr>
          <w:p w14:paraId="2DCBE126" w14:textId="4DA6C0AB" w:rsidR="007A5F2F" w:rsidRDefault="007A5F2F" w:rsidP="007A5F2F">
            <w:r>
              <w:t>хиперкинезия</w:t>
            </w:r>
          </w:p>
        </w:tc>
      </w:tr>
      <w:tr w:rsidR="007A5F2F" w14:paraId="67F0EFF0" w14:textId="77777777" w:rsidTr="007A5F2F">
        <w:tc>
          <w:tcPr>
            <w:tcW w:w="1923" w:type="dxa"/>
          </w:tcPr>
          <w:p w14:paraId="0830D096" w14:textId="113A3E3C" w:rsidR="007A5F2F" w:rsidRDefault="007A5F2F" w:rsidP="007A5F2F">
            <w:r>
              <w:rPr>
                <w:b/>
                <w:bCs/>
              </w:rPr>
              <w:lastRenderedPageBreak/>
              <w:t>Респираторни, гръдни и меднастиналнн нарушения</w:t>
            </w:r>
          </w:p>
        </w:tc>
        <w:tc>
          <w:tcPr>
            <w:tcW w:w="1913" w:type="dxa"/>
          </w:tcPr>
          <w:p w14:paraId="53BEBFEB" w14:textId="77777777" w:rsidR="007A5F2F" w:rsidRDefault="007A5F2F" w:rsidP="007A5F2F"/>
        </w:tc>
        <w:tc>
          <w:tcPr>
            <w:tcW w:w="1913" w:type="dxa"/>
          </w:tcPr>
          <w:p w14:paraId="57D56CE7" w14:textId="77777777" w:rsidR="007A5F2F" w:rsidRDefault="007A5F2F" w:rsidP="007A5F2F"/>
        </w:tc>
        <w:tc>
          <w:tcPr>
            <w:tcW w:w="1913" w:type="dxa"/>
          </w:tcPr>
          <w:p w14:paraId="31BFC9DD" w14:textId="77777777" w:rsidR="007A5F2F" w:rsidRDefault="007A5F2F" w:rsidP="007A5F2F"/>
        </w:tc>
        <w:tc>
          <w:tcPr>
            <w:tcW w:w="1914" w:type="dxa"/>
          </w:tcPr>
          <w:p w14:paraId="25AFE500" w14:textId="02723CAC" w:rsidR="007A5F2F" w:rsidRDefault="007A5F2F" w:rsidP="007A5F2F">
            <w:r>
              <w:t>астма</w:t>
            </w:r>
          </w:p>
        </w:tc>
      </w:tr>
      <w:tr w:rsidR="007A5F2F" w14:paraId="06C54FCC" w14:textId="77777777" w:rsidTr="007A5F2F">
        <w:tc>
          <w:tcPr>
            <w:tcW w:w="1923" w:type="dxa"/>
          </w:tcPr>
          <w:p w14:paraId="2131BA35" w14:textId="738E40CA" w:rsidR="007A5F2F" w:rsidRDefault="007A5F2F" w:rsidP="007A5F2F">
            <w:r>
              <w:rPr>
                <w:b/>
                <w:bCs/>
              </w:rPr>
              <w:t>Нарушения на стомашно- чревния тракт</w:t>
            </w:r>
          </w:p>
        </w:tc>
        <w:tc>
          <w:tcPr>
            <w:tcW w:w="1913" w:type="dxa"/>
          </w:tcPr>
          <w:p w14:paraId="0BC14BF0" w14:textId="335868F7" w:rsidR="007A5F2F" w:rsidRDefault="007A5F2F" w:rsidP="007A5F2F">
            <w:r>
              <w:t>коремна болка</w:t>
            </w:r>
          </w:p>
        </w:tc>
        <w:tc>
          <w:tcPr>
            <w:tcW w:w="1913" w:type="dxa"/>
          </w:tcPr>
          <w:p w14:paraId="118AF102" w14:textId="77777777" w:rsidR="007A5F2F" w:rsidRDefault="007A5F2F" w:rsidP="007A5F2F"/>
        </w:tc>
        <w:tc>
          <w:tcPr>
            <w:tcW w:w="1913" w:type="dxa"/>
          </w:tcPr>
          <w:p w14:paraId="1A4CA3C2" w14:textId="61BFA591" w:rsidR="007A5F2F" w:rsidRDefault="007A5F2F" w:rsidP="007A5F2F">
            <w:r>
              <w:t>коремна болка</w:t>
            </w:r>
          </w:p>
        </w:tc>
        <w:tc>
          <w:tcPr>
            <w:tcW w:w="1914" w:type="dxa"/>
          </w:tcPr>
          <w:p w14:paraId="09330EA4" w14:textId="103FA3B7" w:rsidR="007A5F2F" w:rsidRDefault="007A5F2F" w:rsidP="007A5F2F">
            <w:r>
              <w:t>диария</w:t>
            </w:r>
          </w:p>
        </w:tc>
      </w:tr>
      <w:tr w:rsidR="007A5F2F" w14:paraId="17A1A35A" w14:textId="77777777" w:rsidTr="007A5F2F">
        <w:tc>
          <w:tcPr>
            <w:tcW w:w="1923" w:type="dxa"/>
          </w:tcPr>
          <w:p w14:paraId="5A92EAA6" w14:textId="74785681" w:rsidR="007A5F2F" w:rsidRDefault="007A5F2F" w:rsidP="007A5F2F">
            <w:r>
              <w:rPr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1913" w:type="dxa"/>
          </w:tcPr>
          <w:p w14:paraId="5140BC38" w14:textId="77777777" w:rsidR="007A5F2F" w:rsidRDefault="007A5F2F" w:rsidP="007A5F2F"/>
        </w:tc>
        <w:tc>
          <w:tcPr>
            <w:tcW w:w="1913" w:type="dxa"/>
          </w:tcPr>
          <w:p w14:paraId="3B8188FC" w14:textId="77777777" w:rsidR="007A5F2F" w:rsidRDefault="007A5F2F" w:rsidP="007A5F2F"/>
        </w:tc>
        <w:tc>
          <w:tcPr>
            <w:tcW w:w="1913" w:type="dxa"/>
          </w:tcPr>
          <w:p w14:paraId="737100D0" w14:textId="77777777" w:rsidR="007A5F2F" w:rsidRDefault="007A5F2F" w:rsidP="007A5F2F"/>
        </w:tc>
        <w:tc>
          <w:tcPr>
            <w:tcW w:w="1914" w:type="dxa"/>
          </w:tcPr>
          <w:p w14:paraId="51392086" w14:textId="479B8774" w:rsidR="007A5F2F" w:rsidRDefault="007A5F2F" w:rsidP="007A5F2F">
            <w:r>
              <w:t>екзематозен дерматит, обрив</w:t>
            </w:r>
          </w:p>
        </w:tc>
      </w:tr>
      <w:tr w:rsidR="007A5F2F" w14:paraId="6E07AE2C" w14:textId="77777777" w:rsidTr="007A5F2F">
        <w:tc>
          <w:tcPr>
            <w:tcW w:w="1923" w:type="dxa"/>
          </w:tcPr>
          <w:p w14:paraId="2F047209" w14:textId="34A838E5" w:rsidR="007A5F2F" w:rsidRDefault="007A5F2F" w:rsidP="007A5F2F">
            <w:r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1913" w:type="dxa"/>
          </w:tcPr>
          <w:p w14:paraId="5897A1E7" w14:textId="77777777" w:rsidR="007A5F2F" w:rsidRDefault="007A5F2F" w:rsidP="007A5F2F"/>
        </w:tc>
        <w:tc>
          <w:tcPr>
            <w:tcW w:w="1913" w:type="dxa"/>
          </w:tcPr>
          <w:p w14:paraId="4C2B0491" w14:textId="77777777" w:rsidR="007A5F2F" w:rsidRDefault="007A5F2F" w:rsidP="007A5F2F"/>
        </w:tc>
        <w:tc>
          <w:tcPr>
            <w:tcW w:w="1913" w:type="dxa"/>
          </w:tcPr>
          <w:p w14:paraId="295B0CDD" w14:textId="349B752B" w:rsidR="007A5F2F" w:rsidRDefault="007A5F2F" w:rsidP="007A5F2F">
            <w:r>
              <w:t>жажда</w:t>
            </w:r>
          </w:p>
        </w:tc>
        <w:tc>
          <w:tcPr>
            <w:tcW w:w="1914" w:type="dxa"/>
          </w:tcPr>
          <w:p w14:paraId="25093A20" w14:textId="77777777" w:rsidR="007A5F2F" w:rsidRDefault="007A5F2F" w:rsidP="007A5F2F"/>
        </w:tc>
      </w:tr>
    </w:tbl>
    <w:p w14:paraId="40877EE5" w14:textId="77777777" w:rsidR="007A5F2F" w:rsidRDefault="007A5F2F" w:rsidP="007A5F2F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7DBA454A" w14:textId="4BE237E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При удължаване на лечението в клиничните проучвания, при ограничен брой пациенти до 2 години за възрастните и до 12 месеца за педиатричните пациенти на възраст между 6 и 14 години, профилът на безопасност не се променя.</w:t>
      </w:r>
    </w:p>
    <w:p w14:paraId="259A0174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0130ED" w14:textId="691D56DB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Кумулативно, 502 педиатрични пациенти на възраст от 2 до 5 години са лекувани с монтелукаст за най-малко 3 месеца, 338 за 6 месеца или по-дълго и 534 пациенти за 12 месеца и по-дълго. При продължително лечение, профилът на безопасност не се променя въобще при тези пациенти.</w:t>
      </w:r>
    </w:p>
    <w:p w14:paraId="6461E2DC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7A5F2F">
        <w:rPr>
          <w:rFonts w:eastAsia="Times New Roman" w:cs="Arial"/>
          <w:color w:val="000000"/>
          <w:lang w:eastAsia="bg-BG"/>
        </w:rPr>
        <w:t xml:space="preserve">Профилът на безопасност при педиатрични пациенти на възраст от 6 месеца до 2 години не се </w:t>
      </w:r>
    </w:p>
    <w:p w14:paraId="3EBED67B" w14:textId="2036763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променя при лечение до 3 месеца.</w:t>
      </w:r>
    </w:p>
    <w:p w14:paraId="7F51F26A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36F331" w14:textId="1A490BAF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u w:val="single"/>
          <w:lang w:eastAsia="bg-BG"/>
        </w:rPr>
        <w:t>Списък на нежеланите реакции в табличен вид:</w:t>
      </w:r>
    </w:p>
    <w:p w14:paraId="691C75B7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Нежеланите реакции докладвани при постмаркетинговия опит са изброени по системо-органни класове и по специфичен за нежеланата реакция термиин в таблицата по-долу. Категориите за честота са оценени въз основа на съответните клинични изпитвания</w:t>
      </w:r>
    </w:p>
    <w:p w14:paraId="4480A4DD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DCE24C" w14:textId="05CDD568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Честотата на нежеланите събития е подредена според конвенцията както следва: много чести (≥1/10), чести (≥1/100 до &lt; 1/10), нечести (≥1/1000 до &lt; 1/100), редки (≥ 1/10,000 до &lt; 1/1000), много редки (&lt; 1/10,000), с неизвестна честота (от наличните данни не може да бъде направена оценка).</w:t>
      </w:r>
    </w:p>
    <w:p w14:paraId="09D1C557" w14:textId="30A3904B" w:rsidR="007A5F2F" w:rsidRDefault="007A5F2F" w:rsidP="007A5F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56"/>
        <w:gridCol w:w="3086"/>
      </w:tblGrid>
      <w:tr w:rsidR="007A5F2F" w14:paraId="229636AC" w14:textId="77777777" w:rsidTr="00327892">
        <w:tc>
          <w:tcPr>
            <w:tcW w:w="3192" w:type="dxa"/>
          </w:tcPr>
          <w:p w14:paraId="00BD5E9E" w14:textId="514300B2" w:rsidR="007A5F2F" w:rsidRDefault="007A5F2F" w:rsidP="007A5F2F">
            <w:r>
              <w:rPr>
                <w:b/>
                <w:bCs/>
              </w:rPr>
              <w:t>Системо-органен клас</w:t>
            </w:r>
          </w:p>
        </w:tc>
        <w:tc>
          <w:tcPr>
            <w:tcW w:w="3192" w:type="dxa"/>
            <w:vAlign w:val="bottom"/>
          </w:tcPr>
          <w:p w14:paraId="7BE3970E" w14:textId="127E859B" w:rsidR="007A5F2F" w:rsidRDefault="007A5F2F" w:rsidP="007A5F2F">
            <w:r>
              <w:rPr>
                <w:b/>
                <w:bCs/>
              </w:rPr>
              <w:t>Термини за нежелани реакции</w:t>
            </w:r>
          </w:p>
        </w:tc>
        <w:tc>
          <w:tcPr>
            <w:tcW w:w="3192" w:type="dxa"/>
            <w:vAlign w:val="bottom"/>
          </w:tcPr>
          <w:p w14:paraId="6526F51D" w14:textId="1AD85617" w:rsidR="007A5F2F" w:rsidRDefault="007A5F2F" w:rsidP="007A5F2F">
            <w:r>
              <w:rPr>
                <w:b/>
                <w:bCs/>
              </w:rPr>
              <w:t>Категория чеедй^ДО1Я</w:t>
            </w:r>
          </w:p>
        </w:tc>
      </w:tr>
      <w:tr w:rsidR="007A5F2F" w14:paraId="0B47C42F" w14:textId="77777777" w:rsidTr="00327892">
        <w:tc>
          <w:tcPr>
            <w:tcW w:w="3192" w:type="dxa"/>
          </w:tcPr>
          <w:p w14:paraId="77BC35DA" w14:textId="786B6E78" w:rsidR="007A5F2F" w:rsidRDefault="007A5F2F" w:rsidP="007A5F2F">
            <w:r>
              <w:t>Инфекции и инфестации</w:t>
            </w:r>
          </w:p>
        </w:tc>
        <w:tc>
          <w:tcPr>
            <w:tcW w:w="3192" w:type="dxa"/>
            <w:vAlign w:val="bottom"/>
          </w:tcPr>
          <w:p w14:paraId="0A6AF671" w14:textId="4C79E1B0" w:rsidR="007A5F2F" w:rsidRDefault="007A5F2F" w:rsidP="007A5F2F">
            <w:r>
              <w:t>Инфекции на горните дихателни пътища</w:t>
            </w:r>
            <w:r>
              <w:rPr>
                <w:vertAlign w:val="superscript"/>
              </w:rPr>
              <w:t>+</w:t>
            </w:r>
          </w:p>
        </w:tc>
        <w:tc>
          <w:tcPr>
            <w:tcW w:w="3192" w:type="dxa"/>
            <w:vAlign w:val="bottom"/>
          </w:tcPr>
          <w:p w14:paraId="447D0579" w14:textId="7AD3EC95" w:rsidR="007A5F2F" w:rsidRDefault="007A5F2F" w:rsidP="007A5F2F">
            <w:r>
              <w:t>Много чести</w:t>
            </w:r>
          </w:p>
        </w:tc>
      </w:tr>
      <w:tr w:rsidR="007A5F2F" w14:paraId="5E97D5E2" w14:textId="77777777" w:rsidTr="00327892">
        <w:tc>
          <w:tcPr>
            <w:tcW w:w="3192" w:type="dxa"/>
            <w:vMerge w:val="restart"/>
            <w:vAlign w:val="bottom"/>
          </w:tcPr>
          <w:p w14:paraId="5B3DEEA7" w14:textId="2F28138E" w:rsidR="007A5F2F" w:rsidRDefault="007A5F2F" w:rsidP="007A5F2F">
            <w:r>
              <w:t>Нарушения на кръвта и лимфната система</w:t>
            </w:r>
          </w:p>
        </w:tc>
        <w:tc>
          <w:tcPr>
            <w:tcW w:w="3192" w:type="dxa"/>
            <w:vAlign w:val="bottom"/>
          </w:tcPr>
          <w:p w14:paraId="71F9639E" w14:textId="2F82F924" w:rsidR="007A5F2F" w:rsidRDefault="007A5F2F" w:rsidP="007A5F2F">
            <w:r>
              <w:t>Увеличена тенденция към кървене</w:t>
            </w:r>
          </w:p>
        </w:tc>
        <w:tc>
          <w:tcPr>
            <w:tcW w:w="3192" w:type="dxa"/>
          </w:tcPr>
          <w:p w14:paraId="076F9445" w14:textId="4E9CA9A7" w:rsidR="007A5F2F" w:rsidRDefault="007A5F2F" w:rsidP="007A5F2F">
            <w:r>
              <w:t>Редки</w:t>
            </w:r>
          </w:p>
        </w:tc>
      </w:tr>
      <w:tr w:rsidR="007A5F2F" w14:paraId="16D06458" w14:textId="77777777" w:rsidTr="00C140C2">
        <w:tc>
          <w:tcPr>
            <w:tcW w:w="3192" w:type="dxa"/>
            <w:vMerge/>
          </w:tcPr>
          <w:p w14:paraId="01F52F80" w14:textId="77777777" w:rsidR="007A5F2F" w:rsidRDefault="007A5F2F" w:rsidP="007A5F2F"/>
        </w:tc>
        <w:tc>
          <w:tcPr>
            <w:tcW w:w="3192" w:type="dxa"/>
            <w:vAlign w:val="bottom"/>
          </w:tcPr>
          <w:p w14:paraId="362BE04C" w14:textId="1A2C97FC" w:rsidR="007A5F2F" w:rsidRDefault="007A5F2F" w:rsidP="007A5F2F">
            <w:r>
              <w:t>Тромбоцитопения</w:t>
            </w:r>
          </w:p>
        </w:tc>
        <w:tc>
          <w:tcPr>
            <w:tcW w:w="3192" w:type="dxa"/>
            <w:vAlign w:val="bottom"/>
          </w:tcPr>
          <w:p w14:paraId="4C489030" w14:textId="3BCF5013" w:rsidR="007A5F2F" w:rsidRDefault="007A5F2F" w:rsidP="007A5F2F">
            <w:r>
              <w:t>Много редки</w:t>
            </w:r>
          </w:p>
        </w:tc>
      </w:tr>
      <w:tr w:rsidR="007A5F2F" w14:paraId="6B8E304F" w14:textId="77777777" w:rsidTr="007A5F2F">
        <w:tc>
          <w:tcPr>
            <w:tcW w:w="3192" w:type="dxa"/>
            <w:vMerge w:val="restart"/>
          </w:tcPr>
          <w:p w14:paraId="53A654D1" w14:textId="1B3FC537" w:rsidR="007A5F2F" w:rsidRDefault="007A5F2F" w:rsidP="007A5F2F">
            <w:r>
              <w:lastRenderedPageBreak/>
              <w:t>Нарушения на имунната система</w:t>
            </w:r>
          </w:p>
        </w:tc>
        <w:tc>
          <w:tcPr>
            <w:tcW w:w="3192" w:type="dxa"/>
          </w:tcPr>
          <w:p w14:paraId="2F10AF64" w14:textId="787DA06D" w:rsidR="007A5F2F" w:rsidRDefault="007A5F2F" w:rsidP="007A5F2F">
            <w:r>
              <w:t>Реакции на свръхчувствителност включващи анафилаксия</w:t>
            </w:r>
          </w:p>
        </w:tc>
        <w:tc>
          <w:tcPr>
            <w:tcW w:w="3192" w:type="dxa"/>
          </w:tcPr>
          <w:p w14:paraId="2E256486" w14:textId="06806073" w:rsidR="007A5F2F" w:rsidRDefault="007A5F2F" w:rsidP="007A5F2F">
            <w:r>
              <w:t>Редки</w:t>
            </w:r>
          </w:p>
        </w:tc>
      </w:tr>
      <w:tr w:rsidR="007A5F2F" w14:paraId="5AF61B81" w14:textId="77777777" w:rsidTr="00C140C2">
        <w:tc>
          <w:tcPr>
            <w:tcW w:w="3192" w:type="dxa"/>
            <w:vMerge/>
          </w:tcPr>
          <w:p w14:paraId="48E0396A" w14:textId="77777777" w:rsidR="007A5F2F" w:rsidRDefault="007A5F2F" w:rsidP="007A5F2F"/>
        </w:tc>
        <w:tc>
          <w:tcPr>
            <w:tcW w:w="3192" w:type="dxa"/>
            <w:vAlign w:val="bottom"/>
          </w:tcPr>
          <w:p w14:paraId="5D0774F1" w14:textId="0600D028" w:rsidR="007A5F2F" w:rsidRDefault="007A5F2F" w:rsidP="007A5F2F">
            <w:r>
              <w:t>Чернодробна еозинофилна инфилтрация</w:t>
            </w:r>
          </w:p>
        </w:tc>
        <w:tc>
          <w:tcPr>
            <w:tcW w:w="3192" w:type="dxa"/>
          </w:tcPr>
          <w:p w14:paraId="021E2ECD" w14:textId="683E40BB" w:rsidR="007A5F2F" w:rsidRDefault="007A5F2F" w:rsidP="007A5F2F">
            <w:r>
              <w:t>Много редки</w:t>
            </w:r>
          </w:p>
        </w:tc>
      </w:tr>
      <w:tr w:rsidR="007A5F2F" w14:paraId="6F376DDB" w14:textId="77777777" w:rsidTr="00C140C2">
        <w:tc>
          <w:tcPr>
            <w:tcW w:w="3192" w:type="dxa"/>
            <w:vMerge w:val="restart"/>
          </w:tcPr>
          <w:p w14:paraId="2E8A0413" w14:textId="37463A99" w:rsidR="007A5F2F" w:rsidRDefault="007A5F2F" w:rsidP="007A5F2F">
            <w:r>
              <w:t>Психични нарушения</w:t>
            </w:r>
          </w:p>
        </w:tc>
        <w:tc>
          <w:tcPr>
            <w:tcW w:w="3192" w:type="dxa"/>
            <w:vAlign w:val="bottom"/>
          </w:tcPr>
          <w:p w14:paraId="7FCB2012" w14:textId="1C42D24E" w:rsidR="007A5F2F" w:rsidRDefault="007A5F2F" w:rsidP="007A5F2F">
            <w:r>
              <w:t>Промени в сънищата, включително кошмари, безсъние, сомнамбулизъм,, тревожност, ажитация включително агресивно поведение или враждебност, депресия психомоторна хиперактивност (включително раздразнителност, безпокойствие, тремор</w:t>
            </w:r>
            <w:r>
              <w:rPr>
                <w:vertAlign w:val="superscript"/>
              </w:rPr>
              <w:t>§</w:t>
            </w:r>
            <w:r>
              <w:t>)</w:t>
            </w:r>
          </w:p>
        </w:tc>
        <w:tc>
          <w:tcPr>
            <w:tcW w:w="3192" w:type="dxa"/>
          </w:tcPr>
          <w:p w14:paraId="2E9A4435" w14:textId="4A8AC231" w:rsidR="007A5F2F" w:rsidRDefault="007A5F2F" w:rsidP="007A5F2F">
            <w:r>
              <w:t>Нечести</w:t>
            </w:r>
          </w:p>
        </w:tc>
      </w:tr>
      <w:tr w:rsidR="007A5F2F" w14:paraId="7B443A6B" w14:textId="77777777" w:rsidTr="00C140C2">
        <w:tc>
          <w:tcPr>
            <w:tcW w:w="3192" w:type="dxa"/>
            <w:vMerge/>
          </w:tcPr>
          <w:p w14:paraId="3C7E6B23" w14:textId="77777777" w:rsidR="007A5F2F" w:rsidRDefault="007A5F2F" w:rsidP="007A5F2F"/>
        </w:tc>
        <w:tc>
          <w:tcPr>
            <w:tcW w:w="3192" w:type="dxa"/>
            <w:vAlign w:val="bottom"/>
          </w:tcPr>
          <w:p w14:paraId="58E0EBDD" w14:textId="4848B30F" w:rsidR="007A5F2F" w:rsidRDefault="007A5F2F" w:rsidP="007A5F2F">
            <w:r>
              <w:t>Нарушение на вниманието, влошаване на паметта, тик</w:t>
            </w:r>
          </w:p>
        </w:tc>
        <w:tc>
          <w:tcPr>
            <w:tcW w:w="3192" w:type="dxa"/>
          </w:tcPr>
          <w:p w14:paraId="47C5686F" w14:textId="280A1773" w:rsidR="007A5F2F" w:rsidRDefault="007A5F2F" w:rsidP="007A5F2F">
            <w:r>
              <w:t>Редки</w:t>
            </w:r>
          </w:p>
        </w:tc>
      </w:tr>
      <w:tr w:rsidR="007A5F2F" w14:paraId="670F7D04" w14:textId="77777777" w:rsidTr="00C140C2">
        <w:tc>
          <w:tcPr>
            <w:tcW w:w="3192" w:type="dxa"/>
            <w:vMerge/>
          </w:tcPr>
          <w:p w14:paraId="038221BF" w14:textId="77777777" w:rsidR="007A5F2F" w:rsidRDefault="007A5F2F" w:rsidP="007A5F2F"/>
        </w:tc>
        <w:tc>
          <w:tcPr>
            <w:tcW w:w="3192" w:type="dxa"/>
            <w:vAlign w:val="bottom"/>
          </w:tcPr>
          <w:p w14:paraId="32554E11" w14:textId="263257D1" w:rsidR="007A5F2F" w:rsidRDefault="007A5F2F" w:rsidP="007A5F2F">
            <w:r>
              <w:t>Халюцинации, дезориентация, суицидни мисли и поведение, обсесивно- компулсивни симптоми, заекване</w:t>
            </w:r>
          </w:p>
        </w:tc>
        <w:tc>
          <w:tcPr>
            <w:tcW w:w="3192" w:type="dxa"/>
          </w:tcPr>
          <w:p w14:paraId="0DA0A610" w14:textId="745FB9E0" w:rsidR="007A5F2F" w:rsidRDefault="007A5F2F" w:rsidP="007A5F2F">
            <w:r>
              <w:t>Много редки</w:t>
            </w:r>
          </w:p>
        </w:tc>
      </w:tr>
      <w:tr w:rsidR="007A5F2F" w14:paraId="76EA611E" w14:textId="77777777" w:rsidTr="00C140C2">
        <w:tc>
          <w:tcPr>
            <w:tcW w:w="3192" w:type="dxa"/>
          </w:tcPr>
          <w:p w14:paraId="583BEE0D" w14:textId="176AB51F" w:rsidR="007A5F2F" w:rsidRDefault="007A5F2F" w:rsidP="007A5F2F">
            <w:r>
              <w:t>Нарушения на нервната система</w:t>
            </w:r>
          </w:p>
        </w:tc>
        <w:tc>
          <w:tcPr>
            <w:tcW w:w="3192" w:type="dxa"/>
            <w:vAlign w:val="bottom"/>
          </w:tcPr>
          <w:p w14:paraId="0E283C45" w14:textId="73B32BB8" w:rsidR="007A5F2F" w:rsidRDefault="007A5F2F" w:rsidP="007A5F2F">
            <w:r>
              <w:t>Замаяност, сънливост, парестезия/хипестезия, гърчове,</w:t>
            </w:r>
          </w:p>
        </w:tc>
        <w:tc>
          <w:tcPr>
            <w:tcW w:w="3192" w:type="dxa"/>
          </w:tcPr>
          <w:p w14:paraId="389CEAD9" w14:textId="3BA11A4B" w:rsidR="007A5F2F" w:rsidRDefault="007A5F2F" w:rsidP="007A5F2F">
            <w:r>
              <w:t>Нечести</w:t>
            </w:r>
          </w:p>
        </w:tc>
      </w:tr>
      <w:tr w:rsidR="007A5F2F" w14:paraId="35D77B56" w14:textId="77777777" w:rsidTr="00C140C2">
        <w:tc>
          <w:tcPr>
            <w:tcW w:w="3192" w:type="dxa"/>
            <w:vAlign w:val="bottom"/>
          </w:tcPr>
          <w:p w14:paraId="189CB762" w14:textId="2E7A912E" w:rsidR="007A5F2F" w:rsidRDefault="007A5F2F" w:rsidP="007A5F2F">
            <w:r>
              <w:t>Сърдечни нарушения</w:t>
            </w:r>
          </w:p>
        </w:tc>
        <w:tc>
          <w:tcPr>
            <w:tcW w:w="3192" w:type="dxa"/>
            <w:vAlign w:val="bottom"/>
          </w:tcPr>
          <w:p w14:paraId="4F33EB44" w14:textId="2F2054B3" w:rsidR="007A5F2F" w:rsidRDefault="007A5F2F" w:rsidP="007A5F2F">
            <w:r>
              <w:t>Палпитации</w:t>
            </w:r>
          </w:p>
        </w:tc>
        <w:tc>
          <w:tcPr>
            <w:tcW w:w="3192" w:type="dxa"/>
            <w:vAlign w:val="bottom"/>
          </w:tcPr>
          <w:p w14:paraId="15D5602E" w14:textId="065E1958" w:rsidR="007A5F2F" w:rsidRDefault="007A5F2F" w:rsidP="007A5F2F">
            <w:r>
              <w:t>Редки</w:t>
            </w:r>
          </w:p>
        </w:tc>
      </w:tr>
      <w:tr w:rsidR="007A5F2F" w14:paraId="7AFC1361" w14:textId="77777777" w:rsidTr="0068396D">
        <w:tc>
          <w:tcPr>
            <w:tcW w:w="3192" w:type="dxa"/>
            <w:vMerge w:val="restart"/>
          </w:tcPr>
          <w:p w14:paraId="26A355AE" w14:textId="56D046DD" w:rsidR="007A5F2F" w:rsidRDefault="007A5F2F" w:rsidP="007A5F2F">
            <w:r>
              <w:t>Респираторни, гръдни и медиастинални нарушения</w:t>
            </w:r>
          </w:p>
        </w:tc>
        <w:tc>
          <w:tcPr>
            <w:tcW w:w="3192" w:type="dxa"/>
            <w:vAlign w:val="bottom"/>
          </w:tcPr>
          <w:p w14:paraId="631AB9F8" w14:textId="0F3B6215" w:rsidR="007A5F2F" w:rsidRDefault="007A5F2F" w:rsidP="007A5F2F">
            <w:r>
              <w:t>Епистаксис</w:t>
            </w:r>
          </w:p>
        </w:tc>
        <w:tc>
          <w:tcPr>
            <w:tcW w:w="3192" w:type="dxa"/>
            <w:vAlign w:val="bottom"/>
          </w:tcPr>
          <w:p w14:paraId="135D3D0F" w14:textId="742E7247" w:rsidR="007A5F2F" w:rsidRDefault="007A5F2F" w:rsidP="007A5F2F">
            <w:r>
              <w:t>Нечести</w:t>
            </w:r>
          </w:p>
        </w:tc>
      </w:tr>
      <w:tr w:rsidR="007A5F2F" w14:paraId="2FE38E1F" w14:textId="77777777" w:rsidTr="0068396D">
        <w:tc>
          <w:tcPr>
            <w:tcW w:w="3192" w:type="dxa"/>
            <w:vMerge/>
          </w:tcPr>
          <w:p w14:paraId="33807384" w14:textId="77777777" w:rsidR="007A5F2F" w:rsidRDefault="007A5F2F" w:rsidP="007A5F2F"/>
        </w:tc>
        <w:tc>
          <w:tcPr>
            <w:tcW w:w="3192" w:type="dxa"/>
            <w:vAlign w:val="bottom"/>
          </w:tcPr>
          <w:p w14:paraId="61DC4B6B" w14:textId="34E305E7" w:rsidR="007A5F2F" w:rsidRDefault="007A5F2F" w:rsidP="007A5F2F">
            <w:r>
              <w:t xml:space="preserve">Синдром на </w:t>
            </w:r>
            <w:proofErr w:type="spellStart"/>
            <w:r>
              <w:rPr>
                <w:lang w:val="en-US"/>
              </w:rPr>
              <w:t>Churg</w:t>
            </w:r>
            <w:proofErr w:type="spellEnd"/>
            <w:r w:rsidRPr="007A5F2F">
              <w:rPr>
                <w:lang w:val="ru-RU"/>
              </w:rPr>
              <w:t>-</w:t>
            </w:r>
            <w:r>
              <w:rPr>
                <w:lang w:val="en-US"/>
              </w:rPr>
              <w:t>Strauss</w:t>
            </w:r>
            <w:r w:rsidRPr="007A5F2F">
              <w:rPr>
                <w:lang w:val="ru-RU"/>
              </w:rPr>
              <w:t xml:space="preserve"> </w:t>
            </w:r>
            <w:r>
              <w:t>(вж. точка 4.4), белодробна еозинофилия</w:t>
            </w:r>
          </w:p>
        </w:tc>
        <w:tc>
          <w:tcPr>
            <w:tcW w:w="3192" w:type="dxa"/>
          </w:tcPr>
          <w:p w14:paraId="5B46381D" w14:textId="04664F5B" w:rsidR="007A5F2F" w:rsidRDefault="007A5F2F" w:rsidP="007A5F2F">
            <w:r>
              <w:t>Много редки</w:t>
            </w:r>
          </w:p>
        </w:tc>
      </w:tr>
      <w:tr w:rsidR="007A5F2F" w14:paraId="0D2EF787" w14:textId="77777777" w:rsidTr="0068396D">
        <w:tc>
          <w:tcPr>
            <w:tcW w:w="3192" w:type="dxa"/>
            <w:vMerge w:val="restart"/>
            <w:vAlign w:val="bottom"/>
          </w:tcPr>
          <w:p w14:paraId="47D01015" w14:textId="63FF00C4" w:rsidR="007A5F2F" w:rsidRDefault="007A5F2F" w:rsidP="007A5F2F">
            <w:r>
              <w:t>Стомашно-чревни нарушения</w:t>
            </w:r>
          </w:p>
        </w:tc>
        <w:tc>
          <w:tcPr>
            <w:tcW w:w="3192" w:type="dxa"/>
          </w:tcPr>
          <w:p w14:paraId="1405C0C9" w14:textId="48CD4D93" w:rsidR="007A5F2F" w:rsidRDefault="007A5F2F" w:rsidP="007A5F2F">
            <w:r>
              <w:t>Диария</w:t>
            </w:r>
            <w:r>
              <w:rPr>
                <w:vertAlign w:val="superscript"/>
              </w:rPr>
              <w:t>++</w:t>
            </w:r>
            <w:r>
              <w:t>, гадене</w:t>
            </w:r>
            <w:r>
              <w:rPr>
                <w:vertAlign w:val="superscript"/>
              </w:rPr>
              <w:t>++</w:t>
            </w:r>
            <w:r>
              <w:t>, повръщане</w:t>
            </w:r>
            <w:r>
              <w:rPr>
                <w:vertAlign w:val="superscript"/>
              </w:rPr>
              <w:t>++</w:t>
            </w:r>
          </w:p>
        </w:tc>
        <w:tc>
          <w:tcPr>
            <w:tcW w:w="3192" w:type="dxa"/>
          </w:tcPr>
          <w:p w14:paraId="3BC1999D" w14:textId="0725C93D" w:rsidR="007A5F2F" w:rsidRDefault="007A5F2F" w:rsidP="007A5F2F">
            <w:r>
              <w:t>Чести</w:t>
            </w:r>
          </w:p>
        </w:tc>
      </w:tr>
      <w:tr w:rsidR="007A5F2F" w14:paraId="066AACB2" w14:textId="77777777" w:rsidTr="0068396D">
        <w:tc>
          <w:tcPr>
            <w:tcW w:w="3192" w:type="dxa"/>
            <w:vMerge/>
            <w:vAlign w:val="bottom"/>
          </w:tcPr>
          <w:p w14:paraId="5DDAA133" w14:textId="77777777" w:rsidR="007A5F2F" w:rsidRDefault="007A5F2F" w:rsidP="007A5F2F"/>
        </w:tc>
        <w:tc>
          <w:tcPr>
            <w:tcW w:w="3192" w:type="dxa"/>
            <w:vAlign w:val="bottom"/>
          </w:tcPr>
          <w:p w14:paraId="27671358" w14:textId="4FA5CB8D" w:rsidR="007A5F2F" w:rsidRDefault="007A5F2F" w:rsidP="007A5F2F">
            <w:r>
              <w:t>Сухота в устата, диспепсия</w:t>
            </w:r>
          </w:p>
        </w:tc>
        <w:tc>
          <w:tcPr>
            <w:tcW w:w="3192" w:type="dxa"/>
            <w:vAlign w:val="bottom"/>
          </w:tcPr>
          <w:p w14:paraId="385DED70" w14:textId="267EC860" w:rsidR="007A5F2F" w:rsidRDefault="007A5F2F" w:rsidP="007A5F2F">
            <w:r>
              <w:t>Нечести</w:t>
            </w:r>
          </w:p>
        </w:tc>
      </w:tr>
      <w:tr w:rsidR="007A5F2F" w14:paraId="0AE42601" w14:textId="77777777" w:rsidTr="0068396D">
        <w:tc>
          <w:tcPr>
            <w:tcW w:w="3192" w:type="dxa"/>
            <w:vMerge w:val="restart"/>
          </w:tcPr>
          <w:p w14:paraId="456FD552" w14:textId="68D9D0C8" w:rsidR="007A5F2F" w:rsidRDefault="007A5F2F" w:rsidP="007A5F2F">
            <w:r>
              <w:t>Хепатобилиарни нарушения</w:t>
            </w:r>
          </w:p>
        </w:tc>
        <w:tc>
          <w:tcPr>
            <w:tcW w:w="3192" w:type="dxa"/>
            <w:vAlign w:val="bottom"/>
          </w:tcPr>
          <w:p w14:paraId="6E578E84" w14:textId="072B748F" w:rsidR="007A5F2F" w:rsidRDefault="007A5F2F" w:rsidP="007A5F2F">
            <w:r>
              <w:t xml:space="preserve">Повишени нива на серумните трансаминази </w:t>
            </w:r>
            <w:r w:rsidRPr="007A5F2F">
              <w:rPr>
                <w:lang w:val="ru-RU"/>
              </w:rPr>
              <w:t>(</w:t>
            </w:r>
            <w:r>
              <w:rPr>
                <w:lang w:val="en-US"/>
              </w:rPr>
              <w:t>ALT</w:t>
            </w:r>
            <w:r w:rsidRPr="007A5F2F">
              <w:rPr>
                <w:lang w:val="ru-RU"/>
              </w:rPr>
              <w:t xml:space="preserve">, </w:t>
            </w:r>
            <w:r>
              <w:rPr>
                <w:lang w:val="en-US"/>
              </w:rPr>
              <w:t>AST</w:t>
            </w:r>
            <w:r w:rsidRPr="007A5F2F">
              <w:rPr>
                <w:lang w:val="ru-RU"/>
              </w:rPr>
              <w:t>)</w:t>
            </w:r>
          </w:p>
        </w:tc>
        <w:tc>
          <w:tcPr>
            <w:tcW w:w="3192" w:type="dxa"/>
          </w:tcPr>
          <w:p w14:paraId="30035517" w14:textId="292334A5" w:rsidR="007A5F2F" w:rsidRDefault="007A5F2F" w:rsidP="007A5F2F">
            <w:r>
              <w:t>Чести</w:t>
            </w:r>
          </w:p>
        </w:tc>
      </w:tr>
      <w:tr w:rsidR="007A5F2F" w14:paraId="45BE6EF7" w14:textId="77777777" w:rsidTr="0068396D">
        <w:tc>
          <w:tcPr>
            <w:tcW w:w="3192" w:type="dxa"/>
            <w:vMerge/>
          </w:tcPr>
          <w:p w14:paraId="6D92B540" w14:textId="77777777" w:rsidR="007A5F2F" w:rsidRDefault="007A5F2F" w:rsidP="007A5F2F"/>
        </w:tc>
        <w:tc>
          <w:tcPr>
            <w:tcW w:w="3192" w:type="dxa"/>
            <w:vAlign w:val="bottom"/>
          </w:tcPr>
          <w:p w14:paraId="30403DA1" w14:textId="46A7553D" w:rsidR="007A5F2F" w:rsidRDefault="007A5F2F" w:rsidP="007A5F2F">
            <w:r>
              <w:t>Хепатит (включително холестатичен, хепатоцелуларен и смесен тип чернодробно увреждане)</w:t>
            </w:r>
          </w:p>
        </w:tc>
        <w:tc>
          <w:tcPr>
            <w:tcW w:w="3192" w:type="dxa"/>
          </w:tcPr>
          <w:p w14:paraId="2B891A30" w14:textId="1C7DE0F3" w:rsidR="007A5F2F" w:rsidRDefault="007A5F2F" w:rsidP="007A5F2F">
            <w:r>
              <w:t>Много редки</w:t>
            </w:r>
          </w:p>
        </w:tc>
      </w:tr>
      <w:tr w:rsidR="007A5F2F" w14:paraId="379F772F" w14:textId="77777777" w:rsidTr="00601699">
        <w:tc>
          <w:tcPr>
            <w:tcW w:w="3192" w:type="dxa"/>
            <w:vMerge w:val="restart"/>
          </w:tcPr>
          <w:p w14:paraId="35B3D72B" w14:textId="21E17BF4" w:rsidR="007A5F2F" w:rsidRDefault="007A5F2F" w:rsidP="007A5F2F">
            <w:r>
              <w:t>Нарушения на кожата и подкожните тъкани</w:t>
            </w:r>
          </w:p>
        </w:tc>
        <w:tc>
          <w:tcPr>
            <w:tcW w:w="3192" w:type="dxa"/>
            <w:vAlign w:val="bottom"/>
          </w:tcPr>
          <w:p w14:paraId="4F525381" w14:textId="625D15BB" w:rsidR="007A5F2F" w:rsidRDefault="007A5F2F" w:rsidP="007A5F2F">
            <w:r>
              <w:t>Обрив</w:t>
            </w:r>
            <w:r>
              <w:rPr>
                <w:vertAlign w:val="superscript"/>
              </w:rPr>
              <w:t>++</w:t>
            </w:r>
          </w:p>
        </w:tc>
        <w:tc>
          <w:tcPr>
            <w:tcW w:w="3192" w:type="dxa"/>
            <w:vAlign w:val="bottom"/>
          </w:tcPr>
          <w:p w14:paraId="245A4F43" w14:textId="28179BD3" w:rsidR="007A5F2F" w:rsidRDefault="007A5F2F" w:rsidP="007A5F2F">
            <w:r>
              <w:t>Чести</w:t>
            </w:r>
          </w:p>
        </w:tc>
      </w:tr>
      <w:tr w:rsidR="007A5F2F" w14:paraId="7DF0C26E" w14:textId="77777777" w:rsidTr="007A5F2F">
        <w:tc>
          <w:tcPr>
            <w:tcW w:w="3192" w:type="dxa"/>
            <w:vMerge/>
          </w:tcPr>
          <w:p w14:paraId="7BAC289A" w14:textId="77777777" w:rsidR="007A5F2F" w:rsidRDefault="007A5F2F" w:rsidP="007A5F2F"/>
        </w:tc>
        <w:tc>
          <w:tcPr>
            <w:tcW w:w="3192" w:type="dxa"/>
          </w:tcPr>
          <w:p w14:paraId="169E96AE" w14:textId="2CC1AEEB" w:rsidR="007A5F2F" w:rsidRDefault="007A5F2F" w:rsidP="007A5F2F">
            <w:r>
              <w:t>Кръвонасядане, уртикария, пруритус</w:t>
            </w:r>
          </w:p>
        </w:tc>
        <w:tc>
          <w:tcPr>
            <w:tcW w:w="3192" w:type="dxa"/>
          </w:tcPr>
          <w:p w14:paraId="5D075911" w14:textId="1D6028DE" w:rsidR="007A5F2F" w:rsidRDefault="007A5F2F" w:rsidP="007A5F2F">
            <w:r>
              <w:t>Нечести</w:t>
            </w:r>
          </w:p>
        </w:tc>
      </w:tr>
      <w:tr w:rsidR="007A5F2F" w14:paraId="0E154C63" w14:textId="77777777" w:rsidTr="00601699">
        <w:tc>
          <w:tcPr>
            <w:tcW w:w="3192" w:type="dxa"/>
            <w:vMerge/>
          </w:tcPr>
          <w:p w14:paraId="185FED53" w14:textId="77777777" w:rsidR="007A5F2F" w:rsidRDefault="007A5F2F" w:rsidP="007A5F2F"/>
        </w:tc>
        <w:tc>
          <w:tcPr>
            <w:tcW w:w="3192" w:type="dxa"/>
            <w:vAlign w:val="bottom"/>
          </w:tcPr>
          <w:p w14:paraId="33204A44" w14:textId="0D0C88AB" w:rsidR="007A5F2F" w:rsidRDefault="007A5F2F" w:rsidP="007A5F2F">
            <w:r>
              <w:t>Ангиоедем</w:t>
            </w:r>
          </w:p>
        </w:tc>
        <w:tc>
          <w:tcPr>
            <w:tcW w:w="3192" w:type="dxa"/>
            <w:vAlign w:val="bottom"/>
          </w:tcPr>
          <w:p w14:paraId="78CDE69F" w14:textId="34E3CE8E" w:rsidR="007A5F2F" w:rsidRDefault="007A5F2F" w:rsidP="007A5F2F">
            <w:r>
              <w:t>Редки</w:t>
            </w:r>
          </w:p>
        </w:tc>
      </w:tr>
      <w:tr w:rsidR="007A5F2F" w14:paraId="2AEDB049" w14:textId="77777777" w:rsidTr="00601699">
        <w:tc>
          <w:tcPr>
            <w:tcW w:w="3192" w:type="dxa"/>
            <w:vMerge/>
          </w:tcPr>
          <w:p w14:paraId="622037B9" w14:textId="77777777" w:rsidR="007A5F2F" w:rsidRDefault="007A5F2F" w:rsidP="007A5F2F"/>
        </w:tc>
        <w:tc>
          <w:tcPr>
            <w:tcW w:w="3192" w:type="dxa"/>
            <w:vAlign w:val="bottom"/>
          </w:tcPr>
          <w:p w14:paraId="0906922C" w14:textId="2277ED89" w:rsidR="007A5F2F" w:rsidRDefault="007A5F2F" w:rsidP="007A5F2F">
            <w:r>
              <w:t>Еритема нодозум, еритема мултиформе</w:t>
            </w:r>
          </w:p>
        </w:tc>
        <w:tc>
          <w:tcPr>
            <w:tcW w:w="3192" w:type="dxa"/>
          </w:tcPr>
          <w:p w14:paraId="5C224CEB" w14:textId="6DE07357" w:rsidR="007A5F2F" w:rsidRDefault="007A5F2F" w:rsidP="007A5F2F">
            <w:r>
              <w:t>Много редки</w:t>
            </w:r>
          </w:p>
        </w:tc>
      </w:tr>
      <w:tr w:rsidR="007A5F2F" w14:paraId="2E97AFBB" w14:textId="77777777" w:rsidTr="00601699">
        <w:tc>
          <w:tcPr>
            <w:tcW w:w="3192" w:type="dxa"/>
            <w:vAlign w:val="bottom"/>
          </w:tcPr>
          <w:p w14:paraId="7B909CFC" w14:textId="56B5B0E3" w:rsidR="007A5F2F" w:rsidRDefault="007A5F2F" w:rsidP="007A5F2F">
            <w:r>
              <w:t>Нарушения на мускулно- скелетната система и съединителната тъкан</w:t>
            </w:r>
          </w:p>
        </w:tc>
        <w:tc>
          <w:tcPr>
            <w:tcW w:w="3192" w:type="dxa"/>
          </w:tcPr>
          <w:p w14:paraId="75E35FC9" w14:textId="134FDE0B" w:rsidR="007A5F2F" w:rsidRDefault="007A5F2F" w:rsidP="007A5F2F">
            <w:r>
              <w:t>Артралгия, миалгия включваща мускулни крампи</w:t>
            </w:r>
          </w:p>
        </w:tc>
        <w:tc>
          <w:tcPr>
            <w:tcW w:w="3192" w:type="dxa"/>
          </w:tcPr>
          <w:p w14:paraId="2EDEA61F" w14:textId="7A05FCD9" w:rsidR="007A5F2F" w:rsidRDefault="007A5F2F" w:rsidP="007A5F2F">
            <w:r>
              <w:t>Нечести</w:t>
            </w:r>
          </w:p>
        </w:tc>
      </w:tr>
      <w:tr w:rsidR="007A5F2F" w14:paraId="37BE6E47" w14:textId="77777777" w:rsidTr="00601699">
        <w:tc>
          <w:tcPr>
            <w:tcW w:w="3192" w:type="dxa"/>
            <w:vAlign w:val="bottom"/>
          </w:tcPr>
          <w:p w14:paraId="0C3D62D1" w14:textId="52C1FB28" w:rsidR="007A5F2F" w:rsidRDefault="007A5F2F" w:rsidP="007A5F2F">
            <w:r>
              <w:t>Нарушения на бъбреците и пикочните пътища</w:t>
            </w:r>
          </w:p>
        </w:tc>
        <w:tc>
          <w:tcPr>
            <w:tcW w:w="3192" w:type="dxa"/>
          </w:tcPr>
          <w:p w14:paraId="2A04A326" w14:textId="76CCFDC7" w:rsidR="007A5F2F" w:rsidRDefault="007A5F2F" w:rsidP="007A5F2F">
            <w:r>
              <w:t>Енуреза при деца</w:t>
            </w:r>
          </w:p>
        </w:tc>
        <w:tc>
          <w:tcPr>
            <w:tcW w:w="3192" w:type="dxa"/>
          </w:tcPr>
          <w:p w14:paraId="0EF3BDA0" w14:textId="3130A9BD" w:rsidR="007A5F2F" w:rsidRDefault="007A5F2F" w:rsidP="007A5F2F">
            <w:r>
              <w:t>Нечести</w:t>
            </w:r>
          </w:p>
        </w:tc>
      </w:tr>
      <w:tr w:rsidR="007A5F2F" w14:paraId="765AD106" w14:textId="77777777" w:rsidTr="00601699">
        <w:tc>
          <w:tcPr>
            <w:tcW w:w="3192" w:type="dxa"/>
            <w:vMerge w:val="restart"/>
          </w:tcPr>
          <w:p w14:paraId="1F997AC1" w14:textId="32EC879C" w:rsidR="007A5F2F" w:rsidRDefault="007A5F2F" w:rsidP="007A5F2F">
            <w:r>
              <w:t>Общи нарушения и ефекти на мястото на приложение</w:t>
            </w:r>
          </w:p>
        </w:tc>
        <w:tc>
          <w:tcPr>
            <w:tcW w:w="3192" w:type="dxa"/>
            <w:vAlign w:val="bottom"/>
          </w:tcPr>
          <w:p w14:paraId="5E06F33C" w14:textId="371B3E3E" w:rsidR="007A5F2F" w:rsidRDefault="007A5F2F" w:rsidP="007A5F2F">
            <w:r>
              <w:t>Пирексия</w:t>
            </w:r>
          </w:p>
        </w:tc>
        <w:tc>
          <w:tcPr>
            <w:tcW w:w="3192" w:type="dxa"/>
            <w:vAlign w:val="bottom"/>
          </w:tcPr>
          <w:p w14:paraId="4BAE3CAF" w14:textId="2B2FB0CF" w:rsidR="007A5F2F" w:rsidRDefault="007A5F2F" w:rsidP="007A5F2F">
            <w:r>
              <w:t>Чести</w:t>
            </w:r>
          </w:p>
        </w:tc>
      </w:tr>
      <w:tr w:rsidR="007A5F2F" w14:paraId="4693A72C" w14:textId="77777777" w:rsidTr="00601699">
        <w:tc>
          <w:tcPr>
            <w:tcW w:w="3192" w:type="dxa"/>
            <w:vMerge/>
          </w:tcPr>
          <w:p w14:paraId="1511D003" w14:textId="77777777" w:rsidR="007A5F2F" w:rsidRDefault="007A5F2F" w:rsidP="007A5F2F"/>
        </w:tc>
        <w:tc>
          <w:tcPr>
            <w:tcW w:w="3192" w:type="dxa"/>
            <w:vAlign w:val="bottom"/>
          </w:tcPr>
          <w:p w14:paraId="6765CE3E" w14:textId="5F9EB855" w:rsidR="007A5F2F" w:rsidRDefault="007A5F2F" w:rsidP="007A5F2F">
            <w:r>
              <w:t>Астения/отпадналост, слабост, оток</w:t>
            </w:r>
          </w:p>
        </w:tc>
        <w:tc>
          <w:tcPr>
            <w:tcW w:w="3192" w:type="dxa"/>
            <w:vAlign w:val="bottom"/>
          </w:tcPr>
          <w:p w14:paraId="47A6017B" w14:textId="67128B7D" w:rsidR="007A5F2F" w:rsidRDefault="007A5F2F" w:rsidP="007A5F2F">
            <w:r>
              <w:t>Нечести</w:t>
            </w:r>
          </w:p>
        </w:tc>
      </w:tr>
      <w:tr w:rsidR="007A5F2F" w14:paraId="3C09DD37" w14:textId="77777777" w:rsidTr="0074568F">
        <w:tc>
          <w:tcPr>
            <w:tcW w:w="9576" w:type="dxa"/>
            <w:gridSpan w:val="3"/>
          </w:tcPr>
          <w:p w14:paraId="7A116421" w14:textId="77777777" w:rsidR="007A5F2F" w:rsidRPr="007A5F2F" w:rsidRDefault="007A5F2F" w:rsidP="007A5F2F">
            <w:pPr>
              <w:rPr>
                <w:rFonts w:eastAsia="Times New Roman" w:cs="Arial"/>
                <w:sz w:val="24"/>
                <w:szCs w:val="24"/>
              </w:rPr>
            </w:pPr>
            <w:r w:rsidRPr="007A5F2F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t>+</w:t>
            </w:r>
            <w:r w:rsidRPr="007A5F2F">
              <w:rPr>
                <w:rFonts w:eastAsia="Times New Roman" w:cs="Arial"/>
                <w:color w:val="000000"/>
                <w:lang w:eastAsia="bg-BG"/>
              </w:rPr>
              <w:t>Това нежелано събитие, докладвано като много често сред пациентите, които са получавали</w:t>
            </w:r>
            <w:r w:rsidRPr="007A5F2F">
              <w:rPr>
                <w:rFonts w:eastAsia="Times New Roman" w:cs="Arial"/>
                <w:color w:val="000000"/>
                <w:lang w:val="ru-RU" w:eastAsia="bg-BG"/>
              </w:rPr>
              <w:t xml:space="preserve"> </w:t>
            </w:r>
            <w:r w:rsidRPr="007A5F2F">
              <w:rPr>
                <w:rFonts w:eastAsia="Times New Roman" w:cs="Arial"/>
                <w:color w:val="000000"/>
                <w:lang w:eastAsia="bg-BG"/>
              </w:rPr>
              <w:t>монтелукаст е докладвано също като много често при пациенти, които са получавали плацебо в клинични проучвания.</w:t>
            </w:r>
          </w:p>
          <w:p w14:paraId="083B4046" w14:textId="1BD32087" w:rsidR="007A5F2F" w:rsidRPr="007A5F2F" w:rsidRDefault="007A5F2F" w:rsidP="007A5F2F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7A5F2F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t>++</w:t>
            </w:r>
            <w:r w:rsidRPr="007A5F2F">
              <w:rPr>
                <w:rFonts w:eastAsia="Times New Roman" w:cs="Arial"/>
                <w:color w:val="000000"/>
                <w:lang w:eastAsia="bg-BG"/>
              </w:rPr>
              <w:t>Това нежелано събитие докладвано като често при пациентите, които са получавали монтелукаст е докладвано като често и при пациентите, които са получавали плацебо в клинични проучвания</w:t>
            </w:r>
          </w:p>
          <w:p w14:paraId="0E610BAE" w14:textId="641D81B0" w:rsidR="007A5F2F" w:rsidRPr="007A5F2F" w:rsidRDefault="007A5F2F" w:rsidP="007A5F2F">
            <w:pPr>
              <w:rPr>
                <w:rFonts w:cs="Arial"/>
              </w:rPr>
            </w:pPr>
            <w:r w:rsidRPr="007A5F2F">
              <w:rPr>
                <w:rFonts w:eastAsia="Times New Roman" w:cs="Arial"/>
                <w:color w:val="000000"/>
                <w:vertAlign w:val="superscript"/>
                <w:lang w:eastAsia="bg-BG"/>
              </w:rPr>
              <w:t>§</w:t>
            </w:r>
            <w:r w:rsidRPr="007A5F2F">
              <w:rPr>
                <w:rFonts w:eastAsia="Times New Roman" w:cs="Arial"/>
                <w:color w:val="000000"/>
                <w:lang w:eastAsia="bg-BG"/>
              </w:rPr>
              <w:t xml:space="preserve"> Категория на честотата: Редки</w:t>
            </w:r>
          </w:p>
        </w:tc>
      </w:tr>
    </w:tbl>
    <w:p w14:paraId="0DE34A04" w14:textId="0076B36A" w:rsidR="007A5F2F" w:rsidRDefault="007A5F2F" w:rsidP="007A5F2F"/>
    <w:p w14:paraId="5078D269" w14:textId="77777777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62CEE72" w14:textId="77777777" w:rsidR="007A5F2F" w:rsidRPr="007A5F2F" w:rsidRDefault="007A5F2F" w:rsidP="007A5F2F">
      <w:pPr>
        <w:spacing w:line="240" w:lineRule="auto"/>
        <w:rPr>
          <w:rFonts w:eastAsia="Times New Roman" w:cs="Arial"/>
        </w:rPr>
      </w:pPr>
      <w:r w:rsidRPr="007A5F2F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+35 928903417, уебсайт: </w:t>
      </w:r>
      <w:r w:rsidRPr="007A5F2F">
        <w:rPr>
          <w:rFonts w:eastAsia="Times New Roman" w:cs="Arial"/>
        </w:rPr>
        <w:fldChar w:fldCharType="begin"/>
      </w:r>
      <w:r w:rsidRPr="007A5F2F">
        <w:rPr>
          <w:rFonts w:eastAsia="Times New Roman" w:cs="Arial"/>
        </w:rPr>
        <w:instrText xml:space="preserve"> HYPERLINK "http://www.bda.bg" </w:instrText>
      </w:r>
      <w:r w:rsidRPr="007A5F2F">
        <w:rPr>
          <w:rFonts w:eastAsia="Times New Roman" w:cs="Arial"/>
        </w:rPr>
      </w:r>
      <w:r w:rsidRPr="007A5F2F">
        <w:rPr>
          <w:rFonts w:eastAsia="Times New Roman" w:cs="Arial"/>
        </w:rPr>
        <w:fldChar w:fldCharType="separate"/>
      </w:r>
      <w:r w:rsidRPr="007A5F2F">
        <w:rPr>
          <w:rFonts w:eastAsia="Times New Roman" w:cs="Arial"/>
          <w:color w:val="000000"/>
          <w:lang w:val="en-US"/>
        </w:rPr>
        <w:t>www</w:t>
      </w:r>
      <w:r w:rsidRPr="007A5F2F">
        <w:rPr>
          <w:rFonts w:eastAsia="Times New Roman" w:cs="Arial"/>
          <w:color w:val="000000"/>
          <w:lang w:val="ru-RU"/>
        </w:rPr>
        <w:t>.</w:t>
      </w:r>
      <w:proofErr w:type="spellStart"/>
      <w:r w:rsidRPr="007A5F2F">
        <w:rPr>
          <w:rFonts w:eastAsia="Times New Roman" w:cs="Arial"/>
          <w:color w:val="000000"/>
          <w:lang w:val="en-US"/>
        </w:rPr>
        <w:t>bda</w:t>
      </w:r>
      <w:proofErr w:type="spellEnd"/>
      <w:r w:rsidRPr="007A5F2F">
        <w:rPr>
          <w:rFonts w:eastAsia="Times New Roman" w:cs="Arial"/>
          <w:color w:val="000000"/>
          <w:lang w:val="ru-RU"/>
        </w:rPr>
        <w:t>.</w:t>
      </w:r>
      <w:proofErr w:type="spellStart"/>
      <w:r w:rsidRPr="007A5F2F">
        <w:rPr>
          <w:rFonts w:eastAsia="Times New Roman" w:cs="Arial"/>
          <w:color w:val="000000"/>
          <w:lang w:val="en-US"/>
        </w:rPr>
        <w:t>bg</w:t>
      </w:r>
      <w:proofErr w:type="spellEnd"/>
      <w:r w:rsidRPr="007A5F2F">
        <w:rPr>
          <w:rFonts w:eastAsia="Times New Roman" w:cs="Arial"/>
        </w:rPr>
        <w:fldChar w:fldCharType="end"/>
      </w:r>
      <w:r w:rsidRPr="007A5F2F">
        <w:rPr>
          <w:rFonts w:eastAsia="Times New Roman" w:cs="Arial"/>
          <w:color w:val="000000"/>
          <w:lang w:val="ru-RU"/>
        </w:rPr>
        <w:t>.</w:t>
      </w:r>
    </w:p>
    <w:p w14:paraId="64CDA8F8" w14:textId="77777777" w:rsidR="007A5F2F" w:rsidRDefault="007A5F2F" w:rsidP="007A5F2F"/>
    <w:p w14:paraId="71846DD7" w14:textId="77777777" w:rsidR="007A5F2F" w:rsidRPr="007A5F2F" w:rsidRDefault="007A5F2F" w:rsidP="007A5F2F"/>
    <w:p w14:paraId="5A87DBA3" w14:textId="39CF48B6" w:rsidR="007122AD" w:rsidRDefault="002C50EE" w:rsidP="00936AD0">
      <w:pPr>
        <w:pStyle w:val="Heading2"/>
      </w:pPr>
      <w:r>
        <w:t>4.9. Предозиране</w:t>
      </w:r>
    </w:p>
    <w:p w14:paraId="60254CE6" w14:textId="12040B25" w:rsidR="007A5F2F" w:rsidRDefault="007A5F2F" w:rsidP="007A5F2F"/>
    <w:p w14:paraId="248AEAC9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 xml:space="preserve">Няма налична специфична информация относно лечението на предозиране с монтелукаст. В проучвания за хронична астма, монтелукаст е прилаган на пациенти в дози до 200 </w:t>
      </w:r>
      <w:r w:rsidRPr="007A5F2F">
        <w:rPr>
          <w:lang w:val="en-US"/>
        </w:rPr>
        <w:t>mg</w:t>
      </w:r>
      <w:r w:rsidRPr="007A5F2F">
        <w:rPr>
          <w:lang w:eastAsia="bg-BG"/>
        </w:rPr>
        <w:t xml:space="preserve">/дневно в продължение на 22 седмици и в краткосрочни изпитвания - до 900 </w:t>
      </w:r>
      <w:r w:rsidRPr="007A5F2F">
        <w:rPr>
          <w:lang w:val="en-US"/>
        </w:rPr>
        <w:t>mg</w:t>
      </w:r>
      <w:r w:rsidRPr="007A5F2F">
        <w:rPr>
          <w:lang w:eastAsia="bg-BG"/>
        </w:rPr>
        <w:t>/дневно на пациенти за приблизително една седмица без клинично значими нежелани реакции.</w:t>
      </w:r>
    </w:p>
    <w:p w14:paraId="1BFD4068" w14:textId="77777777" w:rsidR="007A5F2F" w:rsidRDefault="007A5F2F" w:rsidP="007A5F2F">
      <w:pPr>
        <w:rPr>
          <w:lang w:eastAsia="bg-BG"/>
        </w:rPr>
      </w:pPr>
    </w:p>
    <w:p w14:paraId="005DD70C" w14:textId="48526519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 xml:space="preserve">От постмаркетинговия опит и клиничните проучвания има съобщения за остро предозиране с монтелукаст. Те включват съобщения при възрастни и деца с дози от 1000 </w:t>
      </w:r>
      <w:r w:rsidRPr="007A5F2F">
        <w:rPr>
          <w:lang w:val="en-US"/>
        </w:rPr>
        <w:t>mg</w:t>
      </w:r>
      <w:r w:rsidRPr="007A5F2F">
        <w:rPr>
          <w:lang w:val="ru-RU"/>
        </w:rPr>
        <w:t xml:space="preserve"> </w:t>
      </w:r>
      <w:r w:rsidRPr="007A5F2F">
        <w:rPr>
          <w:lang w:eastAsia="bg-BG"/>
        </w:rPr>
        <w:t xml:space="preserve">и по-високи (приблизително 61 </w:t>
      </w:r>
      <w:r w:rsidRPr="007A5F2F">
        <w:rPr>
          <w:lang w:val="en-US"/>
        </w:rPr>
        <w:t>mg</w:t>
      </w:r>
      <w:r w:rsidRPr="007A5F2F">
        <w:rPr>
          <w:lang w:val="ru-RU"/>
        </w:rPr>
        <w:t>/</w:t>
      </w:r>
      <w:r w:rsidRPr="007A5F2F">
        <w:rPr>
          <w:lang w:val="en-US"/>
        </w:rPr>
        <w:t>kg</w:t>
      </w:r>
      <w:r w:rsidRPr="007A5F2F">
        <w:rPr>
          <w:lang w:val="ru-RU"/>
        </w:rPr>
        <w:t xml:space="preserve"> </w:t>
      </w:r>
      <w:r w:rsidRPr="007A5F2F">
        <w:rPr>
          <w:lang w:eastAsia="bg-BG"/>
        </w:rPr>
        <w:t>при 42-месечно дете). Наблюдаваните клинична картина и лабораторни резултати са в съответствие с профила на безопасност при възрастни и педиатрични пациенти. В по-голямата част от съобщенията за предозиране не е имало нежелани събития. Най-често наблюдаваните нежелани събития са в съответствие с профила на безопасност на монтелукаст и включват коремна болка, сомнолентност, жажда, главоболие, повръщане и психомоторна хиперреактивност.</w:t>
      </w:r>
    </w:p>
    <w:p w14:paraId="2ED54F5D" w14:textId="77777777" w:rsidR="007A5F2F" w:rsidRDefault="007A5F2F" w:rsidP="007A5F2F">
      <w:pPr>
        <w:rPr>
          <w:lang w:eastAsia="bg-BG"/>
        </w:rPr>
      </w:pPr>
    </w:p>
    <w:p w14:paraId="2B0F996A" w14:textId="107D37E0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Не е известно дали монтелукаст се диализира посредством перитонеална или хемодиализа.</w:t>
      </w:r>
    </w:p>
    <w:p w14:paraId="6C90C481" w14:textId="08CF8360" w:rsidR="007A5F2F" w:rsidRPr="007A5F2F" w:rsidRDefault="007A5F2F" w:rsidP="007A5F2F"/>
    <w:p w14:paraId="02081B24" w14:textId="1F46E296" w:rsidR="00395555" w:rsidRP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7DE36AC8" w14:textId="5D9CA4D4" w:rsidR="00B6672E" w:rsidRDefault="002C50EE" w:rsidP="00936AD0">
      <w:pPr>
        <w:pStyle w:val="Heading2"/>
      </w:pPr>
      <w:r>
        <w:t>5.1. Фармакодинамични свойства</w:t>
      </w:r>
    </w:p>
    <w:p w14:paraId="5D6C4B0E" w14:textId="1BEFACC1" w:rsidR="007A5F2F" w:rsidRDefault="007A5F2F" w:rsidP="007A5F2F"/>
    <w:p w14:paraId="7F62D7A1" w14:textId="3B95380D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val="ru-RU" w:eastAsia="bg-BG"/>
        </w:rPr>
        <w:t>Ф</w:t>
      </w:r>
      <w:r w:rsidRPr="007A5F2F">
        <w:rPr>
          <w:rFonts w:eastAsia="Times New Roman" w:cs="Arial"/>
          <w:color w:val="000000"/>
          <w:lang w:eastAsia="bg-BG"/>
        </w:rPr>
        <w:t xml:space="preserve">армакотерапевтична група: левкотриенови рецепторни антагонисти, АТС код: </w:t>
      </w:r>
      <w:r w:rsidRPr="007A5F2F">
        <w:rPr>
          <w:rFonts w:eastAsia="Times New Roman" w:cs="Arial"/>
          <w:color w:val="000000"/>
          <w:lang w:val="en-US"/>
        </w:rPr>
        <w:t>R</w:t>
      </w:r>
      <w:r w:rsidRPr="007A5F2F">
        <w:rPr>
          <w:rFonts w:eastAsia="Times New Roman" w:cs="Arial"/>
          <w:color w:val="000000"/>
          <w:lang w:val="ru-RU"/>
        </w:rPr>
        <w:t>03</w:t>
      </w:r>
      <w:r w:rsidRPr="007A5F2F">
        <w:rPr>
          <w:rFonts w:eastAsia="Times New Roman" w:cs="Arial"/>
          <w:color w:val="000000"/>
          <w:lang w:val="en-US"/>
        </w:rPr>
        <w:t>DC</w:t>
      </w:r>
      <w:r w:rsidRPr="007A5F2F">
        <w:rPr>
          <w:rFonts w:eastAsia="Times New Roman" w:cs="Arial"/>
          <w:color w:val="000000"/>
          <w:lang w:val="ru-RU"/>
        </w:rPr>
        <w:t>03</w:t>
      </w:r>
    </w:p>
    <w:p w14:paraId="68594AC9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F74210" w14:textId="1A37C3A5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61AE1BFA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Цистениловите левкотриени </w:t>
      </w:r>
      <w:r w:rsidRPr="007A5F2F">
        <w:rPr>
          <w:rFonts w:eastAsia="Times New Roman" w:cs="Arial"/>
          <w:color w:val="000000"/>
          <w:lang w:val="ru-RU"/>
        </w:rPr>
        <w:t>(</w:t>
      </w:r>
      <w:r w:rsidRPr="007A5F2F">
        <w:rPr>
          <w:rFonts w:eastAsia="Times New Roman" w:cs="Arial"/>
          <w:color w:val="000000"/>
          <w:lang w:val="en-US"/>
        </w:rPr>
        <w:t>LTC</w:t>
      </w:r>
      <w:r w:rsidRPr="007A5F2F">
        <w:rPr>
          <w:rFonts w:eastAsia="Times New Roman" w:cs="Arial"/>
          <w:color w:val="000000"/>
          <w:vertAlign w:val="subscript"/>
          <w:lang w:val="ru-RU"/>
        </w:rPr>
        <w:t>4</w:t>
      </w:r>
      <w:r w:rsidRPr="007A5F2F">
        <w:rPr>
          <w:rFonts w:eastAsia="Times New Roman" w:cs="Arial"/>
          <w:color w:val="000000"/>
          <w:lang w:val="ru-RU"/>
        </w:rPr>
        <w:t xml:space="preserve">, </w:t>
      </w:r>
      <w:r w:rsidRPr="007A5F2F">
        <w:rPr>
          <w:rFonts w:eastAsia="Times New Roman" w:cs="Arial"/>
          <w:color w:val="000000"/>
          <w:lang w:val="en-US"/>
        </w:rPr>
        <w:t>LTD</w:t>
      </w:r>
      <w:r w:rsidRPr="007A5F2F">
        <w:rPr>
          <w:rFonts w:eastAsia="Times New Roman" w:cs="Arial"/>
          <w:color w:val="000000"/>
          <w:vertAlign w:val="subscript"/>
          <w:lang w:val="ru-RU"/>
        </w:rPr>
        <w:t>4</w:t>
      </w:r>
      <w:r w:rsidRPr="007A5F2F">
        <w:rPr>
          <w:rFonts w:eastAsia="Times New Roman" w:cs="Arial"/>
          <w:color w:val="000000"/>
          <w:lang w:val="ru-RU"/>
        </w:rPr>
        <w:t xml:space="preserve">, </w:t>
      </w:r>
      <w:r w:rsidRPr="007A5F2F">
        <w:rPr>
          <w:rFonts w:eastAsia="Times New Roman" w:cs="Arial"/>
          <w:color w:val="000000"/>
          <w:lang w:val="en-US"/>
        </w:rPr>
        <w:t>LTE</w:t>
      </w:r>
      <w:r w:rsidRPr="007A5F2F">
        <w:rPr>
          <w:rFonts w:eastAsia="Times New Roman" w:cs="Arial"/>
          <w:color w:val="000000"/>
          <w:vertAlign w:val="subscript"/>
          <w:lang w:val="ru-RU"/>
        </w:rPr>
        <w:t>4</w:t>
      </w:r>
      <w:r w:rsidRPr="007A5F2F">
        <w:rPr>
          <w:rFonts w:eastAsia="Times New Roman" w:cs="Arial"/>
          <w:color w:val="000000"/>
          <w:lang w:val="ru-RU"/>
        </w:rPr>
        <w:t xml:space="preserve">) </w:t>
      </w:r>
      <w:r w:rsidRPr="007A5F2F">
        <w:rPr>
          <w:rFonts w:eastAsia="Times New Roman" w:cs="Arial"/>
          <w:color w:val="000000"/>
          <w:lang w:eastAsia="bg-BG"/>
        </w:rPr>
        <w:t xml:space="preserve">са мощни възпалителни ейкозаноиди, които се освобождават от различни клетки, включително мастоцитите и еозинофилни гранулоцити. Тези важни проастматични медиатори се свързват с цистенил левкотриенови </w:t>
      </w:r>
      <w:r w:rsidRPr="007A5F2F">
        <w:rPr>
          <w:rFonts w:eastAsia="Times New Roman" w:cs="Arial"/>
          <w:color w:val="000000"/>
          <w:lang w:val="ru-RU"/>
        </w:rPr>
        <w:t>(</w:t>
      </w:r>
      <w:proofErr w:type="spellStart"/>
      <w:r w:rsidRPr="007A5F2F">
        <w:rPr>
          <w:rFonts w:eastAsia="Times New Roman" w:cs="Arial"/>
          <w:color w:val="000000"/>
          <w:lang w:val="en-US"/>
        </w:rPr>
        <w:t>CysLT</w:t>
      </w:r>
      <w:proofErr w:type="spellEnd"/>
      <w:r w:rsidRPr="007A5F2F">
        <w:rPr>
          <w:rFonts w:eastAsia="Times New Roman" w:cs="Arial"/>
          <w:color w:val="000000"/>
          <w:lang w:val="ru-RU"/>
        </w:rPr>
        <w:t xml:space="preserve">) </w:t>
      </w:r>
      <w:r w:rsidRPr="007A5F2F">
        <w:rPr>
          <w:rFonts w:eastAsia="Times New Roman" w:cs="Arial"/>
          <w:color w:val="000000"/>
          <w:lang w:eastAsia="bg-BG"/>
        </w:rPr>
        <w:t xml:space="preserve">рецептори. </w:t>
      </w:r>
      <w:proofErr w:type="spellStart"/>
      <w:r w:rsidRPr="007A5F2F">
        <w:rPr>
          <w:rFonts w:eastAsia="Times New Roman" w:cs="Arial"/>
          <w:color w:val="000000"/>
          <w:lang w:val="en-US"/>
        </w:rPr>
        <w:t>CysLT</w:t>
      </w:r>
      <w:proofErr w:type="spellEnd"/>
      <w:r w:rsidRPr="007A5F2F">
        <w:rPr>
          <w:rFonts w:eastAsia="Times New Roman" w:cs="Arial"/>
          <w:color w:val="000000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тип 1 </w:t>
      </w:r>
      <w:r w:rsidRPr="007A5F2F">
        <w:rPr>
          <w:rFonts w:eastAsia="Times New Roman" w:cs="Arial"/>
          <w:color w:val="000000"/>
        </w:rPr>
        <w:t>(</w:t>
      </w:r>
      <w:proofErr w:type="spellStart"/>
      <w:r w:rsidRPr="007A5F2F">
        <w:rPr>
          <w:rFonts w:eastAsia="Times New Roman" w:cs="Arial"/>
          <w:color w:val="000000"/>
          <w:lang w:val="en-US"/>
        </w:rPr>
        <w:t>CysLT</w:t>
      </w:r>
      <w:proofErr w:type="spellEnd"/>
      <w:r w:rsidRPr="007A5F2F">
        <w:rPr>
          <w:rFonts w:eastAsia="Times New Roman" w:cs="Arial"/>
          <w:color w:val="000000"/>
          <w:vertAlign w:val="subscript"/>
        </w:rPr>
        <w:t>1</w:t>
      </w:r>
      <w:r w:rsidRPr="007A5F2F">
        <w:rPr>
          <w:rFonts w:eastAsia="Times New Roman" w:cs="Arial"/>
          <w:color w:val="000000"/>
        </w:rPr>
        <w:t xml:space="preserve">) </w:t>
      </w:r>
      <w:r w:rsidRPr="007A5F2F">
        <w:rPr>
          <w:rFonts w:eastAsia="Times New Roman" w:cs="Arial"/>
          <w:color w:val="000000"/>
          <w:lang w:eastAsia="bg-BG"/>
        </w:rPr>
        <w:t xml:space="preserve">рецепторът е разположен в дихателните пътища при човека (включително гладката мускулатура на дихателните пътища и макрофагите) и върху други проинфламаторни клетки (включително еозинофили и някои типове миелоидни стволови клетки). Цистенил-левкотриените са свързани с патофизиологията на астмата и алергичния ринит. При астма, медиираните от левкотриените ефекти включват редица реакции като бронхоспазъм, лигавична секреция, васкуларен пермеабилитет и струпване на еозинофини. При алергичен ринит, </w:t>
      </w:r>
      <w:proofErr w:type="spellStart"/>
      <w:r w:rsidRPr="007A5F2F">
        <w:rPr>
          <w:rFonts w:eastAsia="Times New Roman" w:cs="Arial"/>
          <w:color w:val="000000"/>
          <w:lang w:val="en-US"/>
        </w:rPr>
        <w:t>CysLT</w:t>
      </w:r>
      <w:proofErr w:type="spellEnd"/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се освобождава от назалната лигавица след контакт с алергена по време както на ранно-фазовите, така и на късно-фазовите реакции и са свързани със</w:t>
      </w:r>
    </w:p>
    <w:p w14:paraId="6F74408D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симптомите на алергичния ринит. Интраназална провокация с </w:t>
      </w:r>
      <w:proofErr w:type="spellStart"/>
      <w:r w:rsidRPr="007A5F2F">
        <w:rPr>
          <w:rFonts w:eastAsia="Times New Roman" w:cs="Arial"/>
          <w:color w:val="000000"/>
          <w:lang w:val="en-US"/>
        </w:rPr>
        <w:t>CysLT</w:t>
      </w:r>
      <w:proofErr w:type="spellEnd"/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доказа повишаване на интраназалното съпротивление и симптоми на назална обструкция.</w:t>
      </w:r>
    </w:p>
    <w:p w14:paraId="6BA46C97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DD4F4B" w14:textId="66942BFA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7A5F2F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121AE690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Монтелукаст е активна съставка приложена перорално и се свързва с висок афинитет и селективност към </w:t>
      </w:r>
      <w:proofErr w:type="spellStart"/>
      <w:r w:rsidRPr="007A5F2F">
        <w:rPr>
          <w:rFonts w:eastAsia="Times New Roman" w:cs="Arial"/>
          <w:color w:val="000000"/>
          <w:lang w:val="en-US"/>
        </w:rPr>
        <w:t>CysLT</w:t>
      </w:r>
      <w:proofErr w:type="spellEnd"/>
      <w:r w:rsidRPr="007A5F2F">
        <w:rPr>
          <w:rFonts w:eastAsia="Times New Roman" w:cs="Arial"/>
          <w:color w:val="000000"/>
          <w:vertAlign w:val="subscript"/>
          <w:lang w:val="ru-RU"/>
        </w:rPr>
        <w:t>1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рецептора. В клинични проучвания монтелукаст инхибира бронхоконстрикцията благодарение на инхалаторния </w:t>
      </w:r>
      <w:r w:rsidRPr="007A5F2F">
        <w:rPr>
          <w:rFonts w:eastAsia="Times New Roman" w:cs="Arial"/>
          <w:color w:val="000000"/>
          <w:lang w:val="en-US"/>
        </w:rPr>
        <w:t>LTD</w:t>
      </w:r>
      <w:r w:rsidRPr="007A5F2F">
        <w:rPr>
          <w:rFonts w:eastAsia="Times New Roman" w:cs="Arial"/>
          <w:color w:val="000000"/>
          <w:vertAlign w:val="subscript"/>
          <w:lang w:val="ru-RU"/>
        </w:rPr>
        <w:t>4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в дози от 5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. </w:t>
      </w:r>
      <w:r w:rsidRPr="007A5F2F">
        <w:rPr>
          <w:rFonts w:eastAsia="Times New Roman" w:cs="Arial"/>
          <w:color w:val="000000"/>
          <w:lang w:eastAsia="bg-BG"/>
        </w:rPr>
        <w:t>В рамките на два часа след перорално приложение се наблюдава бронходилатация. Бронходилатиращият ефект, предизвикан от β-агонист е адитивен спрямо този, предизвикан от монтелукаст. Лечението с монтелукаст инхибира ранната и късната фаза на бронхоконстрикцията благодарение на ангигенното активиране. Монтелукаст в сравнение с плацебо намалява броя на еозинофилите в периферната кръв при възрастни и педиатрични пациенти. В отделно проучване лечението с монтелукаст води до значимо намаление на еозинофилите в дихателните пътища (определени в храчка) и в периферната кръв, докато подобрява контрола на астмата.</w:t>
      </w:r>
    </w:p>
    <w:p w14:paraId="67FB8C55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D0BE201" w14:textId="7B8993E4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3BEA02FA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В проучвания при възрастни монтелукаст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веднъж дневно, сравнен с плацебо е доказал значително подобрение в сутрешния форсиран експираторен обем за 1 минута (10.4% спрямо 2,7% промяна от изходните стойности), АМ върховия експираторен дебит (24,5 </w:t>
      </w:r>
      <w:r w:rsidRPr="007A5F2F">
        <w:rPr>
          <w:rFonts w:eastAsia="Times New Roman" w:cs="Arial"/>
          <w:color w:val="000000"/>
          <w:lang w:val="en-US"/>
        </w:rPr>
        <w:t>l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спрямо 3,3 </w:t>
      </w:r>
      <w:r w:rsidRPr="007A5F2F">
        <w:rPr>
          <w:rFonts w:eastAsia="Times New Roman" w:cs="Arial"/>
          <w:color w:val="000000"/>
          <w:lang w:val="ru-RU"/>
        </w:rPr>
        <w:t>1/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промяна спрямо изходните стойности) и значимо намаление в общата употреба на р-агонисти (-26,1% спрямо 4,6% промяна от изходните стойности). Подобрението в съобщаваните от пациентите симптоми през деня и нощта е било значително по-добро, отколкото при плацебо.</w:t>
      </w:r>
    </w:p>
    <w:p w14:paraId="143D8D57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80F6A8" w14:textId="3843987C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Проучванията при възрастни са доказали способността на монтелукаст да допълва клиничния ефект на инхалаторния кортикостероид (% промяна от изходните показатели за инхалаторен беклометазон плюс монтелукаст спрямо беклометазон по отношение на 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: 5,43% срещу 1,04%; употреба на р-агонист: -8,70% срещу 2,64%). Сравнен с инхалаторен беклометазон (200 </w:t>
      </w:r>
      <w:r w:rsidRPr="007A5F2F">
        <w:rPr>
          <w:rFonts w:eastAsia="Times New Roman" w:cs="Arial"/>
          <w:color w:val="000000"/>
          <w:lang w:val="en-US"/>
        </w:rPr>
        <w:t>micrograms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два пъти дневно с небулизатор), монтелукаст е демонстрирал по-бърз начален отговор макар, че за 12-седмично изпитване беклометазон е осигурил по-добър среден терапевтичен ефект (% промяна от изходните </w:t>
      </w:r>
      <w:r w:rsidRPr="007A5F2F">
        <w:rPr>
          <w:rFonts w:eastAsia="Times New Roman" w:cs="Arial"/>
          <w:color w:val="000000"/>
          <w:lang w:eastAsia="bg-BG"/>
        </w:rPr>
        <w:lastRenderedPageBreak/>
        <w:t>показатели съответно за 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>: 7,49% срещу 13,3%; употреба на р-агонисти: -28,28% срещу -43,89%). Все пак, сравнени с беклометазон, висок процент от пациентите, третирани с монтелукаст са достигнали подобни клинични отговори (напр. 50% от пациентите, лекувани с беклометазон постигат подобрение във ФЕО] от приблизително 11% или повече над изходните стойност, докато приблизително 42% от пациентите, третирани с монтелукаст достигат същия отговор).</w:t>
      </w:r>
    </w:p>
    <w:p w14:paraId="4D041F63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834999" w14:textId="1863F03D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За оценка на симптоматичното лечение на сезонен алергичен ринит при възрастни пациенти и юноши на и над 15-годишна възраст с астма и придружаващ сезонен алергичен ринит, е било проведено клинично проучване. В проучването таблетките монтелукаст от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прилагани веднъж дневно са демонстрирали статистически значимо подобрение в скора на дневните симптоми на ринит в сравнение с плацебо. Скорът на дневните симптоми на ринит е средното от скора от дневните назални симптоми (назална конгестия, ринорея, назален сърбеж) и скора на нощните симптоми (назална конгестия при събуждане, затруднено заспиване и събуждане през нощта). Общата оценка на алергичния ринит дадена от лекари и пациенти в сравнение с плацебо е била значително подобрена. Оценката на ефикасността при астма не е била основна цел на това изпитване.</w:t>
      </w:r>
    </w:p>
    <w:p w14:paraId="36700232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AB3FC1" w14:textId="323500E4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В 8-седмично проучване при пациенти на възраст между 6 и 14 години, монтелукаст 5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веднъж дневно в сравнение с плацебо значително е подобрил респираторната функция (ФЕО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 8,71 % спрямо 4,16% промяна от изходните стойности; върхов експираторен дебит 27,9</w:t>
      </w:r>
      <w:r w:rsidRPr="007A5F2F">
        <w:rPr>
          <w:rFonts w:eastAsia="Times New Roman" w:cs="Arial"/>
          <w:color w:val="000000"/>
          <w:lang w:val="ru-RU"/>
        </w:rPr>
        <w:t>1/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спрямо 17,8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val="en-US"/>
        </w:rPr>
        <w:t>l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промяна от изходните стойности) и намаление употребата на β-агонист при необходимост (-11,7% спрямо +8,2% промяна от изходната).</w:t>
      </w:r>
    </w:p>
    <w:p w14:paraId="62BBCFBE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B9D2C2" w14:textId="02110A11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В 12-седмично проучване при възрастни е била демонстрирана значима редукция</w:t>
      </w:r>
    </w:p>
    <w:p w14:paraId="17D7623A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бронхоспазъм при усилие (максимално понижение на 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 22,33% за монтелукаст срещу 32,40% за плацебо; време необходимо за възстановяване до 5% от изходния 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 44,22 </w:t>
      </w:r>
      <w:r w:rsidRPr="007A5F2F">
        <w:rPr>
          <w:rFonts w:eastAsia="Times New Roman" w:cs="Arial"/>
          <w:color w:val="000000"/>
          <w:lang w:val="en-US"/>
        </w:rPr>
        <w:t>min</w:t>
      </w:r>
    </w:p>
    <w:p w14:paraId="3CE00763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срещу 60,64 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.). </w:t>
      </w:r>
      <w:r w:rsidRPr="007A5F2F">
        <w:rPr>
          <w:rFonts w:eastAsia="Times New Roman" w:cs="Arial"/>
          <w:color w:val="000000"/>
          <w:lang w:eastAsia="bg-BG"/>
        </w:rPr>
        <w:t>Ефектът е останал постоянен през целия 12-седмичен период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на</w:t>
      </w:r>
    </w:p>
    <w:p w14:paraId="0E845E7F" w14:textId="77777777" w:rsidR="007A5F2F" w:rsidRPr="007A5F2F" w:rsidRDefault="007A5F2F" w:rsidP="007A5F2F">
      <w:pPr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изпитването. Редуцирането на бронхоспазъма при усилие също е било демонстрирано в</w:t>
      </w:r>
      <w:r w:rsidRPr="007A5F2F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краткосрочно изпитване при пациенти на възраст между 6 и 14 години (максимално понижение на 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 18,27% срещу 26,11 %; време за възстановяване до 5% от изходния 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 17,76 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спрямо 27,98 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). </w:t>
      </w:r>
      <w:r w:rsidRPr="007A5F2F">
        <w:rPr>
          <w:rFonts w:eastAsia="Times New Roman" w:cs="Arial"/>
          <w:color w:val="000000"/>
          <w:lang w:eastAsia="bg-BG"/>
        </w:rPr>
        <w:t>Ефектът при двете проучвания е бил доказан в края на еднодневния дозов интервал.</w:t>
      </w:r>
    </w:p>
    <w:p w14:paraId="71D6ADEF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29DDA5" w14:textId="6C28BC8F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При пациенти с аспиринова астма, получаващи успоредно инхалаторни и/или перорални кортикостероиди, лечението с монтелукаст в сравнение с плацебо е довело до значимо подобрение в контрола на астмата (ФЕО</w:t>
      </w:r>
      <w:r w:rsidRPr="007A5F2F">
        <w:rPr>
          <w:rFonts w:eastAsia="Times New Roman" w:cs="Arial"/>
          <w:color w:val="000000"/>
          <w:vertAlign w:val="subscript"/>
          <w:lang w:eastAsia="bg-BG"/>
        </w:rPr>
        <w:t>1</w:t>
      </w:r>
      <w:r w:rsidRPr="007A5F2F">
        <w:rPr>
          <w:rFonts w:eastAsia="Times New Roman" w:cs="Arial"/>
          <w:color w:val="000000"/>
          <w:lang w:eastAsia="bg-BG"/>
        </w:rPr>
        <w:t xml:space="preserve"> 8,55% срещу -1,74% промяна от изходния и намаление в общата употреба на р-агонисти -27,78% срещу 2,09% промяна от изходния показател).</w:t>
      </w:r>
    </w:p>
    <w:p w14:paraId="54C32867" w14:textId="33A22689" w:rsidR="007A5F2F" w:rsidRPr="007A5F2F" w:rsidRDefault="007A5F2F" w:rsidP="007A5F2F"/>
    <w:p w14:paraId="78DD93AA" w14:textId="498CA5A3" w:rsidR="00B6672E" w:rsidRDefault="002C50EE" w:rsidP="00936AD0">
      <w:pPr>
        <w:pStyle w:val="Heading2"/>
      </w:pPr>
      <w:r>
        <w:t>5.2. Фармакокинетични свойства</w:t>
      </w:r>
    </w:p>
    <w:p w14:paraId="33BB441E" w14:textId="32310DF0" w:rsidR="007A5F2F" w:rsidRDefault="007A5F2F" w:rsidP="007A5F2F"/>
    <w:p w14:paraId="6470345E" w14:textId="77777777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Абсорбция</w:t>
      </w:r>
    </w:p>
    <w:p w14:paraId="3F95E0A7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След перорално приложение монтелукаст се абсорбира бързо. За филмираните таблетки от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, </w:t>
      </w:r>
      <w:r w:rsidRPr="007A5F2F">
        <w:rPr>
          <w:rFonts w:eastAsia="Times New Roman" w:cs="Arial"/>
          <w:color w:val="000000"/>
          <w:lang w:eastAsia="bg-BG"/>
        </w:rPr>
        <w:t>средната максимална плазмена концентрация (С</w:t>
      </w:r>
      <w:r w:rsidRPr="007A5F2F">
        <w:rPr>
          <w:rFonts w:eastAsia="Times New Roman" w:cs="Arial"/>
          <w:color w:val="000000"/>
          <w:vertAlign w:val="subscript"/>
          <w:lang w:val="en-US"/>
        </w:rPr>
        <w:t>max</w:t>
      </w:r>
      <w:r w:rsidRPr="007A5F2F">
        <w:rPr>
          <w:rFonts w:eastAsia="Times New Roman" w:cs="Arial"/>
          <w:color w:val="000000"/>
          <w:lang w:eastAsia="bg-BG"/>
        </w:rPr>
        <w:t>) се достига три часа (Т</w:t>
      </w:r>
      <w:r w:rsidRPr="007A5F2F">
        <w:rPr>
          <w:rFonts w:eastAsia="Times New Roman" w:cs="Arial"/>
          <w:color w:val="000000"/>
          <w:vertAlign w:val="subscript"/>
          <w:lang w:val="en-US"/>
        </w:rPr>
        <w:t>max</w:t>
      </w:r>
      <w:r w:rsidRPr="007A5F2F">
        <w:rPr>
          <w:rFonts w:eastAsia="Times New Roman" w:cs="Arial"/>
          <w:color w:val="000000"/>
          <w:lang w:eastAsia="bg-BG"/>
        </w:rPr>
        <w:t xml:space="preserve">) след приложението при възрастни на гладно. Средната бионаличност след перорално приложение е 64%. Пероралната бионаличност и не се повлияват от стандартното </w:t>
      </w:r>
      <w:r w:rsidRPr="007A5F2F">
        <w:rPr>
          <w:rFonts w:eastAsia="Times New Roman" w:cs="Arial"/>
          <w:color w:val="000000"/>
          <w:lang w:eastAsia="bg-BG"/>
        </w:rPr>
        <w:lastRenderedPageBreak/>
        <w:t xml:space="preserve">хранене. Безопасността и ефикасността са били доказани в клинични изпитвания, при които филмираните таблетки от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са прилагани независимо от времето на хранене.</w:t>
      </w:r>
    </w:p>
    <w:p w14:paraId="12647547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D82CB9" w14:textId="69162A5F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За таблетките за дъвчене от 5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proofErr w:type="spellStart"/>
      <w:r w:rsidRPr="007A5F2F">
        <w:rPr>
          <w:rFonts w:eastAsia="Times New Roman" w:cs="Arial"/>
          <w:color w:val="000000"/>
          <w:lang w:val="en-US"/>
        </w:rPr>
        <w:t>C</w:t>
      </w:r>
      <w:r w:rsidRPr="007A5F2F">
        <w:rPr>
          <w:rFonts w:eastAsia="Times New Roman" w:cs="Arial"/>
          <w:color w:val="000000"/>
          <w:vertAlign w:val="subscript"/>
          <w:lang w:val="en-US"/>
        </w:rPr>
        <w:t>max</w:t>
      </w:r>
      <w:r w:rsidRPr="007A5F2F">
        <w:rPr>
          <w:rFonts w:eastAsia="Times New Roman" w:cs="Arial"/>
          <w:color w:val="000000"/>
          <w:lang w:val="en-US"/>
        </w:rPr>
        <w:t>ce</w:t>
      </w:r>
      <w:proofErr w:type="spellEnd"/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достига за два часа след прилагането при възрастни на гладно. Средната бионаличност след перорално приложение е 73% и намалява до 63% от стандартната храна.</w:t>
      </w:r>
    </w:p>
    <w:p w14:paraId="73E6674F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38AF0A" w14:textId="76B409BC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Разпределение</w:t>
      </w:r>
    </w:p>
    <w:p w14:paraId="649FF9F5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Монтелукаст се свързва в повече от 99% с плазмените протеини. Обемът на разпределение в стационарно състояние </w:t>
      </w:r>
      <w:r w:rsidRPr="007A5F2F">
        <w:rPr>
          <w:rFonts w:eastAsia="Times New Roman" w:cs="Arial"/>
          <w:i/>
          <w:iCs/>
          <w:color w:val="000000"/>
          <w:lang w:val="ru-RU"/>
        </w:rPr>
        <w:t>(</w:t>
      </w:r>
      <w:r w:rsidRPr="007A5F2F">
        <w:rPr>
          <w:rFonts w:eastAsia="Times New Roman" w:cs="Arial"/>
          <w:i/>
          <w:iCs/>
          <w:color w:val="000000"/>
          <w:lang w:val="en-US"/>
        </w:rPr>
        <w:t>steady</w:t>
      </w:r>
      <w:r w:rsidRPr="007A5F2F">
        <w:rPr>
          <w:rFonts w:eastAsia="Times New Roman" w:cs="Arial"/>
          <w:i/>
          <w:iCs/>
          <w:color w:val="000000"/>
          <w:lang w:val="ru-RU"/>
        </w:rPr>
        <w:t>-</w:t>
      </w:r>
      <w:r w:rsidRPr="007A5F2F">
        <w:rPr>
          <w:rFonts w:eastAsia="Times New Roman" w:cs="Arial"/>
          <w:i/>
          <w:iCs/>
          <w:color w:val="000000"/>
          <w:lang w:val="en-US"/>
        </w:rPr>
        <w:t>state</w:t>
      </w:r>
      <w:r w:rsidRPr="007A5F2F">
        <w:rPr>
          <w:rFonts w:eastAsia="Times New Roman" w:cs="Arial"/>
          <w:i/>
          <w:iCs/>
          <w:color w:val="000000"/>
          <w:lang w:val="ru-RU"/>
        </w:rPr>
        <w:t>)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достига 8-11 литра. Проучванията проведени при плъхове с радиомаркиран монтелукаст са показали минимално преминаване на кръвно-мозъчната бариера. Освен това, концентрациите на радиомаркирания материал на 24 час след дозата са минимални и във всички други тъкани.</w:t>
      </w:r>
    </w:p>
    <w:p w14:paraId="4F2A0755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451859" w14:textId="32F3D473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Биотрансформация</w:t>
      </w:r>
    </w:p>
    <w:p w14:paraId="3DC40133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Монтелукаст се метаболизира в голяма степен. В проучвания с терапевтични дози, плазмените концентрации на метаболитите на монтелукаст при възрастни в стационарно състояние не могат да бъдат измерени.</w:t>
      </w:r>
    </w:p>
    <w:p w14:paraId="236EC677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vitro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проучвания с човешки чернодробни микрозоми са показали, че в метаболизма на монтелукаст са включени цитохроми Р450 3А4</w:t>
      </w:r>
      <w:proofErr w:type="gramStart"/>
      <w:r w:rsidRPr="007A5F2F">
        <w:rPr>
          <w:rFonts w:eastAsia="Times New Roman" w:cs="Arial"/>
          <w:color w:val="000000"/>
          <w:lang w:eastAsia="bg-BG"/>
        </w:rPr>
        <w:t>,2А6</w:t>
      </w:r>
      <w:proofErr w:type="gramEnd"/>
      <w:r w:rsidRPr="007A5F2F">
        <w:rPr>
          <w:rFonts w:eastAsia="Times New Roman" w:cs="Arial"/>
          <w:color w:val="000000"/>
          <w:lang w:eastAsia="bg-BG"/>
        </w:rPr>
        <w:t xml:space="preserve"> и 2С9. Въз основа на по-нататъшни </w:t>
      </w: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vitro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резултати в човешки чернодробни микрозоми е било установено, че терапевтичната плазмена концентрация на монтелукаст не инхибира цитохроми Р450 ЗА4, 2С9,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1А2, 2А6, 2С19, или </w:t>
      </w:r>
      <w:r w:rsidRPr="007A5F2F">
        <w:rPr>
          <w:rFonts w:eastAsia="Times New Roman" w:cs="Arial"/>
          <w:color w:val="000000"/>
          <w:lang w:val="ru-RU"/>
        </w:rPr>
        <w:t>2</w:t>
      </w:r>
      <w:r w:rsidRPr="007A5F2F">
        <w:rPr>
          <w:rFonts w:eastAsia="Times New Roman" w:cs="Arial"/>
          <w:color w:val="000000"/>
          <w:lang w:val="en-US"/>
        </w:rPr>
        <w:t>D</w:t>
      </w:r>
      <w:r w:rsidRPr="007A5F2F">
        <w:rPr>
          <w:rFonts w:eastAsia="Times New Roman" w:cs="Arial"/>
          <w:color w:val="000000"/>
          <w:lang w:val="ru-RU"/>
        </w:rPr>
        <w:t xml:space="preserve">6. </w:t>
      </w:r>
      <w:r w:rsidRPr="007A5F2F">
        <w:rPr>
          <w:rFonts w:eastAsia="Times New Roman" w:cs="Arial"/>
          <w:color w:val="000000"/>
          <w:lang w:eastAsia="bg-BG"/>
        </w:rPr>
        <w:t>Приносът на метаболитите за терапевтичния ефект на монтелукаст е минимален.</w:t>
      </w:r>
    </w:p>
    <w:p w14:paraId="2A91629C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C07AE6" w14:textId="1A6833A1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Елиминиране</w:t>
      </w:r>
    </w:p>
    <w:p w14:paraId="5237C82F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При здрави възрастни индивиди, плазмения клирънс на монтелукаст е средно 45 </w:t>
      </w:r>
      <w:r w:rsidRPr="007A5F2F">
        <w:rPr>
          <w:rFonts w:eastAsia="Times New Roman" w:cs="Arial"/>
          <w:color w:val="000000"/>
          <w:lang w:val="en-US"/>
        </w:rPr>
        <w:t>ml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min</w:t>
      </w:r>
      <w:r w:rsidRPr="007A5F2F">
        <w:rPr>
          <w:rFonts w:eastAsia="Times New Roman" w:cs="Arial"/>
          <w:color w:val="000000"/>
          <w:lang w:val="ru-RU"/>
        </w:rPr>
        <w:t xml:space="preserve">. </w:t>
      </w:r>
      <w:r w:rsidRPr="007A5F2F">
        <w:rPr>
          <w:rFonts w:eastAsia="Times New Roman" w:cs="Arial"/>
          <w:color w:val="000000"/>
          <w:lang w:eastAsia="bg-BG"/>
        </w:rPr>
        <w:t>След перорална доза на радиомаркиран монтелукаст, 86% от радиоактивността се открива в изпражненията на 5-я ден и &lt;0,2% - в урината. Това, заедно с определената перорална бионаличност показва, че монтелукаст и метаболитите му се екскретират основно през жлъчката.</w:t>
      </w:r>
    </w:p>
    <w:p w14:paraId="337484A8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1078C04" w14:textId="2680BA37" w:rsidR="007A5F2F" w:rsidRPr="007A5F2F" w:rsidRDefault="007A5F2F" w:rsidP="007A5F2F">
      <w:pPr>
        <w:pStyle w:val="Heading3"/>
        <w:rPr>
          <w:rFonts w:eastAsia="Times New Roman"/>
          <w:u w:val="single"/>
        </w:rPr>
      </w:pPr>
      <w:r w:rsidRPr="007A5F2F">
        <w:rPr>
          <w:rFonts w:eastAsia="Times New Roman"/>
          <w:u w:val="single"/>
          <w:lang w:eastAsia="bg-BG"/>
        </w:rPr>
        <w:t>Специфични групи пациенти</w:t>
      </w:r>
    </w:p>
    <w:p w14:paraId="5993403B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Не се налага корекция на дозата при пациенти в старческа възраст или лека до умерено т</w:t>
      </w:r>
      <w:r w:rsidRPr="007A5F2F">
        <w:rPr>
          <w:rFonts w:eastAsia="Times New Roman" w:cs="Arial"/>
          <w:color w:val="000000"/>
          <w:lang w:val="en-US"/>
        </w:rPr>
        <w:t>e</w:t>
      </w:r>
      <w:r w:rsidRPr="007A5F2F">
        <w:rPr>
          <w:rFonts w:eastAsia="Times New Roman" w:cs="Arial"/>
          <w:color w:val="000000"/>
          <w:lang w:eastAsia="bg-BG"/>
        </w:rPr>
        <w:t>жка чернодробна недостатъчност. Проучвания при пациенти с бъбречна недостатъчност не са провеждани. Тъй като монтелукаст и метаболитите му се елиминират през жлъчните пътища, не се налага адаптиране на дозата при пациенти с бъбречни увреждания. Няма данни за фармакокинетиката на монтелукаст при пациенти с тежка чернодробна недостатъчност (</w:t>
      </w:r>
      <w:r w:rsidRPr="007A5F2F">
        <w:rPr>
          <w:rFonts w:eastAsia="Times New Roman" w:cs="Arial"/>
          <w:color w:val="000000"/>
          <w:lang w:val="en-US"/>
        </w:rPr>
        <w:t>Child</w:t>
      </w:r>
      <w:r w:rsidRPr="007A5F2F">
        <w:rPr>
          <w:rFonts w:eastAsia="Times New Roman" w:cs="Arial"/>
          <w:color w:val="000000"/>
          <w:lang w:val="ru-RU"/>
        </w:rPr>
        <w:t xml:space="preserve">- </w:t>
      </w:r>
      <w:r w:rsidRPr="007A5F2F">
        <w:rPr>
          <w:rFonts w:eastAsia="Times New Roman" w:cs="Arial"/>
          <w:color w:val="000000"/>
          <w:lang w:val="en-US"/>
        </w:rPr>
        <w:t>Pugh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степен &gt;9).</w:t>
      </w:r>
    </w:p>
    <w:p w14:paraId="0113FBEB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>При високи дози монтелукаст (20 до 60 пъти над препоръчаната доза за възрастни)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се наблюдава понижение на плазмената концентрация на теофилин. Този ефект не се наблюдава при препоръчваната доза от 10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веднъж дневно.</w:t>
      </w:r>
    </w:p>
    <w:p w14:paraId="1EF07E44" w14:textId="77777777" w:rsidR="007A5F2F" w:rsidRPr="007A5F2F" w:rsidRDefault="007A5F2F" w:rsidP="007A5F2F"/>
    <w:p w14:paraId="4FB791BE" w14:textId="25ADD9D4" w:rsidR="00B6672E" w:rsidRDefault="002C50EE" w:rsidP="00936AD0">
      <w:pPr>
        <w:pStyle w:val="Heading2"/>
      </w:pPr>
      <w:r>
        <w:t>5.3. Предклинични данни за безопасност</w:t>
      </w:r>
    </w:p>
    <w:p w14:paraId="198A6971" w14:textId="6DFBDC34" w:rsidR="007A5F2F" w:rsidRDefault="007A5F2F" w:rsidP="007A5F2F"/>
    <w:p w14:paraId="2FCB9531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В проучвания за токсичност проведени при животни са били наблюдавани минимални биохимични промени в </w:t>
      </w:r>
      <w:r w:rsidRPr="007A5F2F">
        <w:rPr>
          <w:rFonts w:eastAsia="Times New Roman" w:cs="Arial"/>
          <w:color w:val="000000"/>
          <w:lang w:val="en-US"/>
        </w:rPr>
        <w:t>ALT</w:t>
      </w:r>
      <w:r w:rsidRPr="007A5F2F">
        <w:rPr>
          <w:rFonts w:eastAsia="Times New Roman" w:cs="Arial"/>
          <w:color w:val="000000"/>
          <w:lang w:val="ru-RU"/>
        </w:rPr>
        <w:t xml:space="preserve">, </w:t>
      </w:r>
      <w:r w:rsidRPr="007A5F2F">
        <w:rPr>
          <w:rFonts w:eastAsia="Times New Roman" w:cs="Arial"/>
          <w:color w:val="000000"/>
          <w:lang w:eastAsia="bg-BG"/>
        </w:rPr>
        <w:t xml:space="preserve">глюкозата, фосфора и триглицеридите, преходни по своята характеристика. Проявите на токсичност при животните са били хиперсаливация, </w:t>
      </w:r>
      <w:r w:rsidRPr="007A5F2F">
        <w:rPr>
          <w:rFonts w:eastAsia="Times New Roman" w:cs="Arial"/>
          <w:color w:val="000000"/>
          <w:lang w:eastAsia="bg-BG"/>
        </w:rPr>
        <w:lastRenderedPageBreak/>
        <w:t xml:space="preserve">гастроинтестинални симптоми, редки изпражнения и йонен дисбаланс. Те се наблюдавани при дози 17 пъти по-високи от клиничните. При маймуни нежеланите ефекти са се появили при дози от 150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kg</w:t>
      </w:r>
      <w:r w:rsidRPr="007A5F2F">
        <w:rPr>
          <w:rFonts w:eastAsia="Times New Roman" w:cs="Arial"/>
          <w:color w:val="000000"/>
          <w:lang w:eastAsia="bg-BG"/>
        </w:rPr>
        <w:t xml:space="preserve">/дневно (&gt;232 пъти над системната експозиция, наблюдавана при клинични дози). В проучвания при животни монтелукаст не е повлиял фертилитета или репродуктивните възможности при системна експозиция, по-висока от клинична системна експозиция повече от 24 пъти. В едно проучване на женския фертилитет при плъхове с доза 200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kg</w:t>
      </w:r>
      <w:r w:rsidRPr="007A5F2F">
        <w:rPr>
          <w:rFonts w:eastAsia="Times New Roman" w:cs="Arial"/>
          <w:color w:val="000000"/>
          <w:lang w:val="ru-RU"/>
        </w:rPr>
        <w:t xml:space="preserve">/ </w:t>
      </w:r>
      <w:r w:rsidRPr="007A5F2F">
        <w:rPr>
          <w:rFonts w:eastAsia="Times New Roman" w:cs="Arial"/>
          <w:color w:val="000000"/>
          <w:lang w:eastAsia="bg-BG"/>
        </w:rPr>
        <w:t>дневно (&gt; 69 пъти над системната клинична експозиция) е било отбелязано леко намаление на телесното тегло на малките. В проучване при зайци е била установена по-висока честота на незавършена осификация в сравнение с контролните животни, при системна експозиция над 24 пъти по-висока от клиничната. При плъхове не са били наблюдавани аномалии. Установено е, че монтелукаст преминава плацентарната бариера и се екскретира в кърмата на животните.</w:t>
      </w:r>
    </w:p>
    <w:p w14:paraId="29ACA634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274C7F" w14:textId="3E3C4840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При еднократно перорално приемане на дози до 5 000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kg</w:t>
      </w:r>
      <w:r w:rsidRPr="007A5F2F">
        <w:rPr>
          <w:rFonts w:eastAsia="Times New Roman" w:cs="Arial"/>
          <w:color w:val="000000"/>
          <w:lang w:val="ru-RU"/>
        </w:rPr>
        <w:t xml:space="preserve">/ </w:t>
      </w:r>
      <w:r w:rsidRPr="007A5F2F">
        <w:rPr>
          <w:rFonts w:eastAsia="Times New Roman" w:cs="Arial"/>
          <w:color w:val="000000"/>
          <w:lang w:eastAsia="bg-BG"/>
        </w:rPr>
        <w:t xml:space="preserve">от мишки </w:t>
      </w:r>
      <w:r w:rsidRPr="007A5F2F">
        <w:rPr>
          <w:rFonts w:eastAsia="Times New Roman" w:cs="Arial"/>
          <w:i/>
          <w:iCs/>
          <w:color w:val="000000"/>
          <w:lang w:eastAsia="bg-BG"/>
        </w:rPr>
        <w:t>и</w:t>
      </w:r>
      <w:r w:rsidRPr="007A5F2F">
        <w:rPr>
          <w:rFonts w:eastAsia="Times New Roman" w:cs="Arial"/>
          <w:color w:val="000000"/>
          <w:lang w:eastAsia="bg-BG"/>
        </w:rPr>
        <w:t xml:space="preserve"> плъхове (15 000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m</w:t>
      </w:r>
      <w:r w:rsidRPr="007A5F2F">
        <w:rPr>
          <w:rFonts w:eastAsia="Times New Roman" w:cs="Arial"/>
          <w:color w:val="000000"/>
          <w:vertAlign w:val="superscript"/>
          <w:lang w:val="ru-RU"/>
        </w:rPr>
        <w:t>2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и 30 000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m</w:t>
      </w:r>
      <w:r w:rsidRPr="007A5F2F">
        <w:rPr>
          <w:rFonts w:eastAsia="Times New Roman" w:cs="Arial"/>
          <w:color w:val="000000"/>
          <w:vertAlign w:val="superscript"/>
          <w:lang w:val="ru-RU"/>
        </w:rPr>
        <w:t>2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при мишки и плъхове), в проучване за максимална доза не са били наблюдавани смъртни случаи. Тази доза е еквивалентна на 25 000 пъти препоръчваната човешка дневна доза за възрастни (базирайки се на телесно тегло за възрастни пациенти 50 </w:t>
      </w:r>
      <w:r w:rsidRPr="007A5F2F">
        <w:rPr>
          <w:rFonts w:eastAsia="Times New Roman" w:cs="Arial"/>
          <w:color w:val="000000"/>
          <w:lang w:val="en-US"/>
        </w:rPr>
        <w:t>kg</w:t>
      </w:r>
      <w:r w:rsidRPr="007A5F2F">
        <w:rPr>
          <w:rFonts w:eastAsia="Times New Roman" w:cs="Arial"/>
          <w:color w:val="000000"/>
          <w:lang w:val="ru-RU"/>
        </w:rPr>
        <w:t>).</w:t>
      </w:r>
    </w:p>
    <w:p w14:paraId="08AA1DCD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AE79DA" w14:textId="5F70E265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Установено е, че монтелукаст не е фототоксичен за мишки за </w:t>
      </w:r>
      <w:r w:rsidRPr="007A5F2F">
        <w:rPr>
          <w:rFonts w:eastAsia="Times New Roman" w:cs="Arial"/>
          <w:color w:val="000000"/>
          <w:lang w:val="en-US"/>
        </w:rPr>
        <w:t>UVA</w:t>
      </w:r>
      <w:r w:rsidRPr="007A5F2F">
        <w:rPr>
          <w:rFonts w:eastAsia="Times New Roman" w:cs="Arial"/>
          <w:color w:val="000000"/>
          <w:lang w:val="ru-RU"/>
        </w:rPr>
        <w:t xml:space="preserve">, </w:t>
      </w:r>
      <w:r w:rsidRPr="007A5F2F">
        <w:rPr>
          <w:rFonts w:eastAsia="Times New Roman" w:cs="Arial"/>
          <w:color w:val="000000"/>
          <w:lang w:val="en-US"/>
        </w:rPr>
        <w:t>UVB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и лъчите от видимия спектър в дози до 500 </w:t>
      </w:r>
      <w:r w:rsidRPr="007A5F2F">
        <w:rPr>
          <w:rFonts w:eastAsia="Times New Roman" w:cs="Arial"/>
          <w:color w:val="000000"/>
          <w:lang w:val="en-US"/>
        </w:rPr>
        <w:t>mg</w:t>
      </w:r>
      <w:r w:rsidRPr="007A5F2F">
        <w:rPr>
          <w:rFonts w:eastAsia="Times New Roman" w:cs="Arial"/>
          <w:color w:val="000000"/>
          <w:lang w:val="ru-RU"/>
        </w:rPr>
        <w:t>/</w:t>
      </w:r>
      <w:r w:rsidRPr="007A5F2F">
        <w:rPr>
          <w:rFonts w:eastAsia="Times New Roman" w:cs="Arial"/>
          <w:color w:val="000000"/>
          <w:lang w:val="en-US"/>
        </w:rPr>
        <w:t>kg</w:t>
      </w:r>
      <w:r w:rsidRPr="007A5F2F">
        <w:rPr>
          <w:rFonts w:eastAsia="Times New Roman" w:cs="Arial"/>
          <w:color w:val="000000"/>
          <w:lang w:eastAsia="bg-BG"/>
        </w:rPr>
        <w:t>/дневно (приблизително 200 пъти над основната системна експозиция).</w:t>
      </w:r>
    </w:p>
    <w:p w14:paraId="7628C50C" w14:textId="77777777" w:rsidR="007A5F2F" w:rsidRPr="007A5F2F" w:rsidRDefault="007A5F2F" w:rsidP="007A5F2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3BB405" w14:textId="7F2FB219" w:rsid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  <w:r w:rsidRPr="007A5F2F">
        <w:rPr>
          <w:rFonts w:eastAsia="Times New Roman" w:cs="Arial"/>
          <w:color w:val="000000"/>
          <w:lang w:eastAsia="bg-BG"/>
        </w:rPr>
        <w:t xml:space="preserve">Монтелукаст не е мутагенен, нито туморогенен в </w:t>
      </w: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vivo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 xml:space="preserve">и </w:t>
      </w:r>
      <w:r w:rsidRPr="007A5F2F">
        <w:rPr>
          <w:rFonts w:eastAsia="Times New Roman" w:cs="Arial"/>
          <w:i/>
          <w:iCs/>
          <w:color w:val="000000"/>
          <w:lang w:val="en-US"/>
        </w:rPr>
        <w:t>in</w:t>
      </w:r>
      <w:r w:rsidRPr="007A5F2F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7A5F2F">
        <w:rPr>
          <w:rFonts w:eastAsia="Times New Roman" w:cs="Arial"/>
          <w:i/>
          <w:iCs/>
          <w:color w:val="000000"/>
          <w:lang w:val="en-US"/>
        </w:rPr>
        <w:t>vitro</w:t>
      </w:r>
      <w:r w:rsidRPr="007A5F2F">
        <w:rPr>
          <w:rFonts w:eastAsia="Times New Roman" w:cs="Arial"/>
          <w:color w:val="000000"/>
          <w:lang w:val="ru-RU"/>
        </w:rPr>
        <w:t xml:space="preserve"> </w:t>
      </w:r>
      <w:r w:rsidRPr="007A5F2F">
        <w:rPr>
          <w:rFonts w:eastAsia="Times New Roman" w:cs="Arial"/>
          <w:color w:val="000000"/>
          <w:lang w:eastAsia="bg-BG"/>
        </w:rPr>
        <w:t>тестове проведени при гризачи.</w:t>
      </w:r>
    </w:p>
    <w:p w14:paraId="63D060E4" w14:textId="77777777" w:rsidR="007A5F2F" w:rsidRPr="007A5F2F" w:rsidRDefault="007A5F2F" w:rsidP="007A5F2F">
      <w:pPr>
        <w:spacing w:line="240" w:lineRule="auto"/>
        <w:rPr>
          <w:rFonts w:eastAsia="Times New Roman" w:cs="Arial"/>
          <w:sz w:val="24"/>
          <w:szCs w:val="24"/>
        </w:rPr>
      </w:pPr>
    </w:p>
    <w:p w14:paraId="1BA6531D" w14:textId="4C21F5C0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4DDDA84E" w14:textId="4B8EA535" w:rsidR="007A5F2F" w:rsidRDefault="007A5F2F" w:rsidP="007A5F2F"/>
    <w:p w14:paraId="5E440D2F" w14:textId="77777777" w:rsidR="007A5F2F" w:rsidRPr="007A5F2F" w:rsidRDefault="007A5F2F" w:rsidP="007A5F2F">
      <w:pPr>
        <w:rPr>
          <w:sz w:val="24"/>
          <w:szCs w:val="24"/>
          <w:lang w:val="en-US"/>
        </w:rPr>
      </w:pPr>
      <w:proofErr w:type="spellStart"/>
      <w:r w:rsidRPr="007A5F2F">
        <w:rPr>
          <w:lang w:val="en-US"/>
        </w:rPr>
        <w:t>Teva</w:t>
      </w:r>
      <w:proofErr w:type="spellEnd"/>
      <w:r w:rsidRPr="007A5F2F">
        <w:rPr>
          <w:lang w:eastAsia="bg-BG"/>
        </w:rPr>
        <w:t xml:space="preserve"> </w:t>
      </w:r>
      <w:r w:rsidRPr="007A5F2F">
        <w:rPr>
          <w:lang w:val="en-US"/>
        </w:rPr>
        <w:t>B.V.</w:t>
      </w:r>
    </w:p>
    <w:p w14:paraId="73BAAEEB" w14:textId="77777777" w:rsidR="007A5F2F" w:rsidRPr="007A5F2F" w:rsidRDefault="007A5F2F" w:rsidP="007A5F2F">
      <w:pPr>
        <w:rPr>
          <w:sz w:val="24"/>
          <w:szCs w:val="24"/>
          <w:lang w:val="en-US"/>
        </w:rPr>
      </w:pPr>
      <w:proofErr w:type="spellStart"/>
      <w:r w:rsidRPr="007A5F2F">
        <w:rPr>
          <w:lang w:val="en-US"/>
        </w:rPr>
        <w:t>Swensweg</w:t>
      </w:r>
      <w:proofErr w:type="spellEnd"/>
      <w:r w:rsidRPr="007A5F2F">
        <w:rPr>
          <w:lang w:val="en-US"/>
        </w:rPr>
        <w:t xml:space="preserve"> </w:t>
      </w:r>
      <w:r w:rsidRPr="007A5F2F">
        <w:rPr>
          <w:lang w:eastAsia="bg-BG"/>
        </w:rPr>
        <w:t xml:space="preserve">5, 2031 </w:t>
      </w:r>
      <w:r w:rsidRPr="007A5F2F">
        <w:rPr>
          <w:lang w:val="en-US"/>
        </w:rPr>
        <w:t>GA Haarlem</w:t>
      </w:r>
    </w:p>
    <w:p w14:paraId="5BD56E52" w14:textId="77777777" w:rsidR="007A5F2F" w:rsidRPr="007A5F2F" w:rsidRDefault="007A5F2F" w:rsidP="007A5F2F">
      <w:pPr>
        <w:rPr>
          <w:sz w:val="24"/>
          <w:szCs w:val="24"/>
          <w:lang w:val="ru-RU"/>
        </w:rPr>
      </w:pPr>
      <w:r w:rsidRPr="007A5F2F">
        <w:rPr>
          <w:lang w:eastAsia="bg-BG"/>
        </w:rPr>
        <w:t>Нидерландия</w:t>
      </w:r>
    </w:p>
    <w:p w14:paraId="3A64B92C" w14:textId="77777777" w:rsidR="007A5F2F" w:rsidRPr="007A5F2F" w:rsidRDefault="007A5F2F" w:rsidP="007A5F2F">
      <w:pPr>
        <w:rPr>
          <w:lang w:val="ru-RU"/>
        </w:rPr>
      </w:pPr>
    </w:p>
    <w:p w14:paraId="508F3A54" w14:textId="25F630DC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70BD1F11" w14:textId="225DC364" w:rsidR="007A5F2F" w:rsidRDefault="007A5F2F" w:rsidP="007A5F2F"/>
    <w:p w14:paraId="021DA2AE" w14:textId="4BAA2177" w:rsidR="007A5F2F" w:rsidRPr="007A5F2F" w:rsidRDefault="007A5F2F" w:rsidP="007A5F2F">
      <w:pPr>
        <w:rPr>
          <w:sz w:val="24"/>
          <w:szCs w:val="24"/>
        </w:rPr>
      </w:pPr>
      <w:proofErr w:type="spellStart"/>
      <w:r>
        <w:rPr>
          <w:lang w:val="en-US"/>
        </w:rPr>
        <w:t>Peг</w:t>
      </w:r>
      <w:proofErr w:type="spellEnd"/>
      <w:r w:rsidRPr="007A5F2F">
        <w:rPr>
          <w:lang w:val="ru-RU"/>
        </w:rPr>
        <w:t xml:space="preserve">. </w:t>
      </w:r>
      <w:r w:rsidRPr="007A5F2F">
        <w:rPr>
          <w:lang w:eastAsia="bg-BG"/>
        </w:rPr>
        <w:t>№ 20080269</w:t>
      </w:r>
    </w:p>
    <w:p w14:paraId="2CCB5832" w14:textId="58D2BFB3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28111E54" w14:textId="33C5505D" w:rsidR="007A5F2F" w:rsidRDefault="007A5F2F" w:rsidP="007A5F2F"/>
    <w:p w14:paraId="2C0ED33B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Дата на първо разрешаване: 17 декември 2008</w:t>
      </w:r>
    </w:p>
    <w:p w14:paraId="4FCA49F6" w14:textId="77777777" w:rsidR="007A5F2F" w:rsidRPr="007A5F2F" w:rsidRDefault="007A5F2F" w:rsidP="007A5F2F">
      <w:pPr>
        <w:rPr>
          <w:sz w:val="24"/>
          <w:szCs w:val="24"/>
        </w:rPr>
      </w:pPr>
      <w:r w:rsidRPr="007A5F2F">
        <w:rPr>
          <w:lang w:eastAsia="bg-BG"/>
        </w:rPr>
        <w:t>Дата на последно подновяване: 24 юни 2014</w:t>
      </w:r>
    </w:p>
    <w:p w14:paraId="33A8BD14" w14:textId="77777777" w:rsidR="007A5F2F" w:rsidRPr="007A5F2F" w:rsidRDefault="007A5F2F" w:rsidP="007A5F2F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p w14:paraId="43FB38A2" w14:textId="689F8F04" w:rsidR="007C605B" w:rsidRPr="003E3126" w:rsidRDefault="007C605B" w:rsidP="00B6672E">
      <w:bookmarkStart w:id="1" w:name="_GoBack"/>
      <w:bookmarkEnd w:id="0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93671"/>
    <w:multiLevelType w:val="hybridMultilevel"/>
    <w:tmpl w:val="D87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2"/>
  </w:num>
  <w:num w:numId="12">
    <w:abstractNumId w:val="16"/>
  </w:num>
  <w:num w:numId="13">
    <w:abstractNumId w:val="21"/>
  </w:num>
  <w:num w:numId="14">
    <w:abstractNumId w:val="14"/>
  </w:num>
  <w:num w:numId="15">
    <w:abstractNumId w:val="31"/>
  </w:num>
  <w:num w:numId="16">
    <w:abstractNumId w:val="12"/>
  </w:num>
  <w:num w:numId="17">
    <w:abstractNumId w:val="26"/>
  </w:num>
  <w:num w:numId="18">
    <w:abstractNumId w:val="8"/>
  </w:num>
  <w:num w:numId="19">
    <w:abstractNumId w:val="28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10"/>
  </w:num>
  <w:num w:numId="25">
    <w:abstractNumId w:val="24"/>
  </w:num>
  <w:num w:numId="26">
    <w:abstractNumId w:val="23"/>
  </w:num>
  <w:num w:numId="27">
    <w:abstractNumId w:val="33"/>
  </w:num>
  <w:num w:numId="28">
    <w:abstractNumId w:val="6"/>
  </w:num>
  <w:num w:numId="29">
    <w:abstractNumId w:val="22"/>
  </w:num>
  <w:num w:numId="30">
    <w:abstractNumId w:val="36"/>
  </w:num>
  <w:num w:numId="31">
    <w:abstractNumId w:val="5"/>
  </w:num>
  <w:num w:numId="32">
    <w:abstractNumId w:val="35"/>
  </w:num>
  <w:num w:numId="33">
    <w:abstractNumId w:val="30"/>
  </w:num>
  <w:num w:numId="34">
    <w:abstractNumId w:val="34"/>
  </w:num>
  <w:num w:numId="35">
    <w:abstractNumId w:val="7"/>
  </w:num>
  <w:num w:numId="36">
    <w:abstractNumId w:val="1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A5F2F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4036</Words>
  <Characters>23011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2022-07-28T23:43:00Z</dcterms:created>
  <dcterms:modified xsi:type="dcterms:W3CDTF">2022-07-28T23:43:00Z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