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48D82278" w:rsidR="007122AD" w:rsidRDefault="00DD466D" w:rsidP="00936AD0">
      <w:pPr>
        <w:pStyle w:val="Heading1"/>
      </w:pPr>
      <w:r>
        <w:t>1.ИМЕ НА ЛЕКАРСТВЕНИЯ ПРОДУКТ</w:t>
      </w:r>
    </w:p>
    <w:p w14:paraId="26AF240C" w14:textId="28069AA8" w:rsidR="001C4776" w:rsidRDefault="001C4776" w:rsidP="001C4776"/>
    <w:p w14:paraId="66D25297" w14:textId="77777777" w:rsidR="001C4776" w:rsidRPr="001C4776" w:rsidRDefault="001C4776" w:rsidP="001C4776">
      <w:pPr>
        <w:rPr>
          <w:sz w:val="24"/>
          <w:szCs w:val="24"/>
        </w:rPr>
      </w:pPr>
      <w:r w:rsidRPr="001C4776">
        <w:rPr>
          <w:lang w:eastAsia="bg-BG"/>
        </w:rPr>
        <w:t xml:space="preserve">Ефира 4 </w:t>
      </w:r>
      <w:r w:rsidRPr="001C4776">
        <w:rPr>
          <w:lang w:val="en-US"/>
        </w:rPr>
        <w:t>mg</w:t>
      </w:r>
      <w:r w:rsidRPr="001C4776">
        <w:t xml:space="preserve"> </w:t>
      </w:r>
      <w:r w:rsidRPr="001C4776">
        <w:rPr>
          <w:lang w:eastAsia="bg-BG"/>
        </w:rPr>
        <w:t>гранули</w:t>
      </w:r>
    </w:p>
    <w:p w14:paraId="2DB76776" w14:textId="77777777" w:rsidR="001C4776" w:rsidRPr="001C4776" w:rsidRDefault="001C4776" w:rsidP="001C4776">
      <w:pPr>
        <w:rPr>
          <w:sz w:val="24"/>
          <w:szCs w:val="24"/>
        </w:rPr>
      </w:pPr>
      <w:proofErr w:type="spellStart"/>
      <w:r w:rsidRPr="001C4776">
        <w:rPr>
          <w:lang w:val="en-US"/>
        </w:rPr>
        <w:t>Ephyra</w:t>
      </w:r>
      <w:proofErr w:type="spellEnd"/>
      <w:r w:rsidRPr="001C4776">
        <w:t xml:space="preserve"> </w:t>
      </w:r>
      <w:r w:rsidRPr="001C4776">
        <w:rPr>
          <w:lang w:eastAsia="bg-BG"/>
        </w:rPr>
        <w:t xml:space="preserve">4 </w:t>
      </w:r>
      <w:r w:rsidRPr="001C4776">
        <w:rPr>
          <w:lang w:val="en-US"/>
        </w:rPr>
        <w:t>mg</w:t>
      </w:r>
      <w:r w:rsidRPr="001C4776">
        <w:t xml:space="preserve"> </w:t>
      </w:r>
      <w:r w:rsidRPr="001C4776">
        <w:rPr>
          <w:lang w:val="en-US"/>
        </w:rPr>
        <w:t>granules</w:t>
      </w:r>
    </w:p>
    <w:p w14:paraId="5974013C" w14:textId="77777777" w:rsidR="001C4776" w:rsidRDefault="001C4776" w:rsidP="001C4776">
      <w:pPr>
        <w:rPr>
          <w:lang w:eastAsia="bg-BG"/>
        </w:rPr>
      </w:pPr>
    </w:p>
    <w:p w14:paraId="2067DEA6" w14:textId="22DED3E7" w:rsidR="001C4776" w:rsidRPr="001C4776" w:rsidRDefault="001C4776" w:rsidP="001C4776">
      <w:r w:rsidRPr="001C4776">
        <w:rPr>
          <w:lang w:eastAsia="bg-BG"/>
        </w:rPr>
        <w:t xml:space="preserve">За деца на възраст от </w:t>
      </w:r>
      <w:r w:rsidRPr="001C4776">
        <w:rPr>
          <w:i/>
          <w:iCs/>
          <w:lang w:eastAsia="bg-BG"/>
        </w:rPr>
        <w:t>6</w:t>
      </w:r>
      <w:r w:rsidRPr="001C4776">
        <w:rPr>
          <w:lang w:eastAsia="bg-BG"/>
        </w:rPr>
        <w:t xml:space="preserve"> месеца до 5 години</w:t>
      </w:r>
    </w:p>
    <w:p w14:paraId="6920A680" w14:textId="52603D1A" w:rsidR="00C40420" w:rsidRDefault="00DD466D" w:rsidP="004A448E">
      <w:pPr>
        <w:pStyle w:val="Heading1"/>
      </w:pPr>
      <w:r>
        <w:t>2. КАЧЕСТВЕН И КОЛИЧЕСТВЕН СЪСТАВ</w:t>
      </w:r>
    </w:p>
    <w:p w14:paraId="5114F446" w14:textId="2BEBF580" w:rsidR="001C4776" w:rsidRDefault="001C4776" w:rsidP="001C4776"/>
    <w:p w14:paraId="7FD04404" w14:textId="77777777" w:rsidR="001C4776" w:rsidRPr="001C4776" w:rsidRDefault="001C4776" w:rsidP="001C4776">
      <w:pPr>
        <w:rPr>
          <w:sz w:val="24"/>
          <w:szCs w:val="24"/>
        </w:rPr>
      </w:pPr>
      <w:r w:rsidRPr="001C4776">
        <w:rPr>
          <w:lang w:eastAsia="bg-BG"/>
        </w:rPr>
        <w:t xml:space="preserve">Всяко саше с гранули съдържа монтелукаст натрий </w:t>
      </w:r>
      <w:r w:rsidRPr="001C4776">
        <w:rPr>
          <w:i/>
          <w:iCs/>
        </w:rPr>
        <w:t>(</w:t>
      </w:r>
      <w:proofErr w:type="spellStart"/>
      <w:r w:rsidRPr="001C4776">
        <w:rPr>
          <w:i/>
          <w:iCs/>
          <w:lang w:val="en-US"/>
        </w:rPr>
        <w:t>montelukast</w:t>
      </w:r>
      <w:proofErr w:type="spellEnd"/>
      <w:r w:rsidRPr="001C4776">
        <w:rPr>
          <w:i/>
          <w:iCs/>
        </w:rPr>
        <w:t xml:space="preserve"> </w:t>
      </w:r>
      <w:r w:rsidRPr="001C4776">
        <w:rPr>
          <w:i/>
          <w:iCs/>
          <w:lang w:val="en-US"/>
        </w:rPr>
        <w:t>sodium</w:t>
      </w:r>
      <w:r w:rsidRPr="001C4776">
        <w:rPr>
          <w:i/>
          <w:iCs/>
        </w:rPr>
        <w:t>),</w:t>
      </w:r>
      <w:r w:rsidRPr="001C4776">
        <w:t xml:space="preserve"> </w:t>
      </w:r>
      <w:r w:rsidRPr="001C4776">
        <w:rPr>
          <w:lang w:eastAsia="bg-BG"/>
        </w:rPr>
        <w:t xml:space="preserve">който е еквивалентен на 4 </w:t>
      </w:r>
      <w:r w:rsidRPr="001C4776">
        <w:rPr>
          <w:lang w:val="en-US"/>
        </w:rPr>
        <w:t>mg</w:t>
      </w:r>
      <w:r w:rsidRPr="001C4776">
        <w:t xml:space="preserve"> </w:t>
      </w:r>
      <w:r w:rsidRPr="001C4776">
        <w:rPr>
          <w:lang w:eastAsia="bg-BG"/>
        </w:rPr>
        <w:t xml:space="preserve">монтелукаст </w:t>
      </w:r>
      <w:r w:rsidRPr="001C4776">
        <w:rPr>
          <w:i/>
          <w:iCs/>
        </w:rPr>
        <w:t>(</w:t>
      </w:r>
      <w:proofErr w:type="spellStart"/>
      <w:r w:rsidRPr="001C4776">
        <w:rPr>
          <w:i/>
          <w:iCs/>
          <w:lang w:val="en-US"/>
        </w:rPr>
        <w:t>montelukast</w:t>
      </w:r>
      <w:proofErr w:type="spellEnd"/>
      <w:r w:rsidRPr="001C4776">
        <w:rPr>
          <w:i/>
          <w:iCs/>
        </w:rPr>
        <w:t>).</w:t>
      </w:r>
    </w:p>
    <w:p w14:paraId="163601B3" w14:textId="77777777" w:rsidR="001C4776" w:rsidRPr="001C4776" w:rsidRDefault="001C4776" w:rsidP="001C4776"/>
    <w:p w14:paraId="614984C4" w14:textId="73CE39A6" w:rsidR="008A6AF2" w:rsidRDefault="00DD466D" w:rsidP="002C50EE">
      <w:pPr>
        <w:pStyle w:val="Heading1"/>
      </w:pPr>
      <w:r>
        <w:t>3. ЛЕКАРСТВЕНА ФОРМА</w:t>
      </w:r>
    </w:p>
    <w:p w14:paraId="49867A3C" w14:textId="470C1D0C" w:rsidR="001C4776" w:rsidRDefault="001C4776" w:rsidP="001C4776"/>
    <w:p w14:paraId="4FCB03D7" w14:textId="77777777" w:rsidR="001C4776" w:rsidRPr="001C4776" w:rsidRDefault="001C4776" w:rsidP="001C4776">
      <w:pPr>
        <w:rPr>
          <w:sz w:val="24"/>
          <w:szCs w:val="24"/>
        </w:rPr>
      </w:pPr>
      <w:r w:rsidRPr="001C4776">
        <w:rPr>
          <w:lang w:eastAsia="bg-BG"/>
        </w:rPr>
        <w:t>Гранули</w:t>
      </w:r>
    </w:p>
    <w:p w14:paraId="49C29F2F" w14:textId="77777777" w:rsidR="001C4776" w:rsidRDefault="001C4776" w:rsidP="001C4776">
      <w:pPr>
        <w:rPr>
          <w:lang w:eastAsia="bg-BG"/>
        </w:rPr>
      </w:pPr>
    </w:p>
    <w:p w14:paraId="3A5F30F6" w14:textId="70E62FBF" w:rsidR="001C4776" w:rsidRPr="001C4776" w:rsidRDefault="001C4776" w:rsidP="001C4776">
      <w:pPr>
        <w:rPr>
          <w:sz w:val="24"/>
          <w:szCs w:val="24"/>
        </w:rPr>
      </w:pPr>
      <w:r w:rsidRPr="001C4776">
        <w:rPr>
          <w:lang w:eastAsia="bg-BG"/>
        </w:rPr>
        <w:t>Бели до почти бели гранули</w:t>
      </w:r>
    </w:p>
    <w:p w14:paraId="36C3399D" w14:textId="77777777" w:rsidR="001C4776" w:rsidRPr="001C4776" w:rsidRDefault="001C4776" w:rsidP="001C4776"/>
    <w:p w14:paraId="490FC2C4" w14:textId="0F4A4A75" w:rsidR="002C50EE" w:rsidRDefault="002C50EE" w:rsidP="002C50EE">
      <w:pPr>
        <w:pStyle w:val="Heading1"/>
      </w:pPr>
      <w:r>
        <w:t>4. КЛИНИЧНИ ДАННИ</w:t>
      </w:r>
    </w:p>
    <w:p w14:paraId="74330405" w14:textId="4A619E06" w:rsidR="007122AD" w:rsidRDefault="002C50EE" w:rsidP="00936AD0">
      <w:pPr>
        <w:pStyle w:val="Heading2"/>
      </w:pPr>
      <w:r>
        <w:t>4.1. Терапевтични показания</w:t>
      </w:r>
    </w:p>
    <w:p w14:paraId="1DF81EC1" w14:textId="52C08C08" w:rsidR="001C4776" w:rsidRDefault="001C4776" w:rsidP="001C4776"/>
    <w:p w14:paraId="7A0DC2B1" w14:textId="77777777" w:rsidR="001C4776" w:rsidRPr="001C4776" w:rsidRDefault="001C4776" w:rsidP="001C4776">
      <w:pPr>
        <w:rPr>
          <w:sz w:val="24"/>
          <w:szCs w:val="24"/>
        </w:rPr>
      </w:pPr>
      <w:r w:rsidRPr="001C4776">
        <w:rPr>
          <w:lang w:eastAsia="bg-BG"/>
        </w:rPr>
        <w:t>Ефира гранули са показани за лечение на астма като допълнителна терапия при пациенти на възраст от 6 месеца до 5-годишна възраст, с лека до умерено тежка персистираща астма, която не е контролирана адекватно с инхалаторни кортикостероиди и при която бързодействащите р-агонисти давани при необходимост, не осигуряват адекватен клиничен контрол на астмата.</w:t>
      </w:r>
    </w:p>
    <w:p w14:paraId="0CB418C8" w14:textId="77777777" w:rsidR="001C4776" w:rsidRDefault="001C4776" w:rsidP="001C4776">
      <w:pPr>
        <w:rPr>
          <w:lang w:eastAsia="bg-BG"/>
        </w:rPr>
      </w:pPr>
    </w:p>
    <w:p w14:paraId="7CF2FC61" w14:textId="5243C39C" w:rsidR="001C4776" w:rsidRPr="001C4776" w:rsidRDefault="001C4776" w:rsidP="001C4776">
      <w:pPr>
        <w:rPr>
          <w:sz w:val="24"/>
          <w:szCs w:val="24"/>
        </w:rPr>
      </w:pPr>
      <w:r w:rsidRPr="001C4776">
        <w:rPr>
          <w:lang w:eastAsia="bg-BG"/>
        </w:rPr>
        <w:t>Ефира гранули може да се използва като алтернативна терапевтична възможност към ниските дози инхалаторни кортикостероиди, за пациенти на възраст от 2 до 5 години с лека до умерено тежка персистираща астма, без анамнестични данни за скорошни тежки астматични пристъпи, които изискват употреба на перорални кортикостероиди и за които е установено, че не са в състояние да използват инхалаторни кортикостероиди (вж. точка 4.2).</w:t>
      </w:r>
    </w:p>
    <w:p w14:paraId="6041AAD6" w14:textId="77777777" w:rsidR="001C4776" w:rsidRDefault="001C4776" w:rsidP="001C4776">
      <w:pPr>
        <w:rPr>
          <w:lang w:eastAsia="bg-BG"/>
        </w:rPr>
      </w:pPr>
    </w:p>
    <w:p w14:paraId="3FC8F868" w14:textId="16434EFB" w:rsidR="001C4776" w:rsidRDefault="001C4776" w:rsidP="001C4776">
      <w:pPr>
        <w:rPr>
          <w:lang w:eastAsia="bg-BG"/>
        </w:rPr>
      </w:pPr>
      <w:r w:rsidRPr="001C4776">
        <w:rPr>
          <w:lang w:eastAsia="bg-BG"/>
        </w:rPr>
        <w:t>Освен това, Ефира гранули са показани за профилактика на астма при пациенти над 2-годишна възраст, при които преобладаващ компонент е бронхоспазъм ицдуциран от физически усилия.</w:t>
      </w:r>
    </w:p>
    <w:p w14:paraId="2F39AA2F" w14:textId="77777777" w:rsidR="001C4776" w:rsidRPr="001C4776" w:rsidRDefault="001C4776" w:rsidP="001C4776"/>
    <w:p w14:paraId="53F5B866" w14:textId="742773B7" w:rsidR="007122AD" w:rsidRDefault="002C50EE" w:rsidP="00936AD0">
      <w:pPr>
        <w:pStyle w:val="Heading2"/>
      </w:pPr>
      <w:r>
        <w:t>4.2. Дозировка и начин на приложение</w:t>
      </w:r>
    </w:p>
    <w:p w14:paraId="288F2320" w14:textId="52428CFD" w:rsidR="001C4776" w:rsidRDefault="001C4776" w:rsidP="001C4776"/>
    <w:p w14:paraId="6F16194A" w14:textId="77777777" w:rsidR="001C4776" w:rsidRPr="001C4776" w:rsidRDefault="001C4776" w:rsidP="001C4776">
      <w:pPr>
        <w:pStyle w:val="Heading3"/>
        <w:rPr>
          <w:rFonts w:eastAsia="Times New Roman"/>
          <w:sz w:val="28"/>
          <w:u w:val="single"/>
        </w:rPr>
      </w:pPr>
      <w:r w:rsidRPr="001C4776">
        <w:rPr>
          <w:rFonts w:eastAsia="Times New Roman"/>
          <w:u w:val="single"/>
          <w:lang w:eastAsia="bg-BG"/>
        </w:rPr>
        <w:lastRenderedPageBreak/>
        <w:t>Дозировка</w:t>
      </w:r>
    </w:p>
    <w:p w14:paraId="3DD5312E"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Този лекарствен продукт трябва да се дава на деца под контрола на възрастни.</w:t>
      </w:r>
    </w:p>
    <w:p w14:paraId="5E279D6D" w14:textId="60E16895" w:rsidR="001C4776" w:rsidRPr="001C4776" w:rsidRDefault="001C4776" w:rsidP="001C4776">
      <w:pPr>
        <w:rPr>
          <w:rFonts w:eastAsia="Times New Roman" w:cs="Arial"/>
          <w:color w:val="000000"/>
          <w:szCs w:val="20"/>
          <w:lang w:eastAsia="bg-BG"/>
        </w:rPr>
      </w:pPr>
      <w:r w:rsidRPr="001C4776">
        <w:rPr>
          <w:rFonts w:eastAsia="Times New Roman" w:cs="Arial"/>
          <w:color w:val="000000"/>
          <w:szCs w:val="20"/>
          <w:lang w:eastAsia="bg-BG"/>
        </w:rPr>
        <w:t xml:space="preserve">Препоръчителната дозировка за педиатрични пациенти на възраст от 6 месеца до 5 години е едно саше 4 </w:t>
      </w:r>
      <w:r w:rsidRPr="001C4776">
        <w:rPr>
          <w:rFonts w:eastAsia="Times New Roman" w:cs="Arial"/>
          <w:color w:val="000000"/>
          <w:szCs w:val="20"/>
          <w:lang w:val="en-US"/>
        </w:rPr>
        <w:t>mg</w:t>
      </w:r>
      <w:r w:rsidRPr="001C4776">
        <w:rPr>
          <w:rFonts w:eastAsia="Times New Roman" w:cs="Arial"/>
          <w:color w:val="000000"/>
          <w:szCs w:val="20"/>
          <w:lang w:val="ru-RU"/>
        </w:rPr>
        <w:t xml:space="preserve"> </w:t>
      </w:r>
      <w:r w:rsidRPr="001C4776">
        <w:rPr>
          <w:rFonts w:eastAsia="Times New Roman" w:cs="Arial"/>
          <w:color w:val="000000"/>
          <w:szCs w:val="20"/>
          <w:lang w:eastAsia="bg-BG"/>
        </w:rPr>
        <w:t xml:space="preserve">гранули дневно, прието вечер. В тази възрастова група не се налага адаптиране на дозата. Данните за ефикасност от клинични проучвания при педиатрични пациенти на възраст от 6 месеца до 2 години с персистираща астма са ограничени. Пациентите трябва да бъдат оценени за степента на отговор 2 до 4 седмици след започване на лечение с монтелукаст. Ако не се наблюдава отговор, лечението трябва да бъде прекратено. Лекарствената форма на монтелукаст 4 </w:t>
      </w:r>
      <w:r w:rsidRPr="001C4776">
        <w:rPr>
          <w:rFonts w:eastAsia="Times New Roman" w:cs="Arial"/>
          <w:color w:val="000000"/>
          <w:szCs w:val="20"/>
          <w:lang w:val="en-US"/>
        </w:rPr>
        <w:t>mg</w:t>
      </w:r>
      <w:r w:rsidRPr="001C4776">
        <w:rPr>
          <w:rFonts w:eastAsia="Times New Roman" w:cs="Arial"/>
          <w:color w:val="000000"/>
          <w:szCs w:val="20"/>
          <w:lang w:val="ru-RU"/>
        </w:rPr>
        <w:t xml:space="preserve"> </w:t>
      </w:r>
      <w:r w:rsidRPr="001C4776">
        <w:rPr>
          <w:rFonts w:eastAsia="Times New Roman" w:cs="Arial"/>
          <w:color w:val="000000"/>
          <w:szCs w:val="20"/>
          <w:lang w:eastAsia="bg-BG"/>
        </w:rPr>
        <w:t>гранули не се препоръчва за бебета под 6-месечна възраст.</w:t>
      </w:r>
    </w:p>
    <w:p w14:paraId="4275FFB5" w14:textId="43DFABF4" w:rsidR="001C4776" w:rsidRPr="001C4776" w:rsidRDefault="001C4776" w:rsidP="001C4776">
      <w:pPr>
        <w:rPr>
          <w:rFonts w:eastAsia="Times New Roman" w:cs="Arial"/>
          <w:color w:val="000000"/>
          <w:szCs w:val="20"/>
          <w:lang w:eastAsia="bg-BG"/>
        </w:rPr>
      </w:pPr>
    </w:p>
    <w:p w14:paraId="2C4950C6" w14:textId="77777777" w:rsidR="001C4776" w:rsidRPr="001C4776" w:rsidRDefault="001C4776" w:rsidP="001C4776">
      <w:pPr>
        <w:spacing w:line="240" w:lineRule="auto"/>
        <w:rPr>
          <w:rFonts w:eastAsia="Times New Roman" w:cs="Arial"/>
          <w:sz w:val="28"/>
          <w:szCs w:val="24"/>
        </w:rPr>
      </w:pPr>
      <w:r w:rsidRPr="001C4776">
        <w:rPr>
          <w:rFonts w:eastAsia="Times New Roman" w:cs="Arial"/>
          <w:i/>
          <w:iCs/>
          <w:color w:val="000000"/>
          <w:szCs w:val="20"/>
          <w:lang w:eastAsia="bg-BG"/>
        </w:rPr>
        <w:t>Общи препоръки</w:t>
      </w:r>
    </w:p>
    <w:p w14:paraId="13AC8D01"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Терапевтичният ефект на монтелукаст върху показателите за контрол на астмата се проявява в рамките на един ден. На пациентите трябва да бъде препоръчано да продължат да приемат Ефира гранули дори и ако тяхната астма е под контрол, както и по време на периодите на влошаване на астмата.</w:t>
      </w:r>
    </w:p>
    <w:p w14:paraId="5DAA275E"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При пациенти с бъбречна недостатъчност или леко до средно тежко чернодробно увреждане, не се налага коригиране на дозата. Няма достатъчно данни за пациенти с тежко чернодробно увреждане. Дозата е еднаква за мъже и жени.</w:t>
      </w:r>
    </w:p>
    <w:p w14:paraId="72657625" w14:textId="77777777" w:rsidR="001C4776" w:rsidRPr="001C4776" w:rsidRDefault="001C4776" w:rsidP="001C4776">
      <w:pPr>
        <w:spacing w:line="240" w:lineRule="auto"/>
        <w:rPr>
          <w:rFonts w:eastAsia="Times New Roman" w:cs="Arial"/>
          <w:i/>
          <w:iCs/>
          <w:color w:val="000000"/>
          <w:szCs w:val="20"/>
          <w:lang w:eastAsia="bg-BG"/>
        </w:rPr>
      </w:pPr>
    </w:p>
    <w:p w14:paraId="63B53057" w14:textId="5A5462F7" w:rsidR="001C4776" w:rsidRPr="001C4776" w:rsidRDefault="001C4776" w:rsidP="001C4776">
      <w:pPr>
        <w:spacing w:line="240" w:lineRule="auto"/>
        <w:rPr>
          <w:rFonts w:eastAsia="Times New Roman" w:cs="Arial"/>
          <w:sz w:val="28"/>
          <w:szCs w:val="24"/>
        </w:rPr>
      </w:pPr>
      <w:r w:rsidRPr="001C4776">
        <w:rPr>
          <w:rFonts w:eastAsia="Times New Roman" w:cs="Arial"/>
          <w:i/>
          <w:iCs/>
          <w:color w:val="000000"/>
          <w:szCs w:val="20"/>
          <w:lang w:eastAsia="bg-BG"/>
        </w:rPr>
        <w:t>Ефира гранули като алтернативна терапевтична възможност на ниските дози инхалаторни кортикостероиди при лека персистираща астма:</w:t>
      </w:r>
    </w:p>
    <w:p w14:paraId="390C68BA"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Монтелукаст не се препоръчва като монотерапия при пациенти със средно тежка персистираща астма. Употребата на монтелукаст като алтернативна терапевтична възможност на ниските дози инхалаторни кортикостероиди при деца на възраст от 2 до 5 години с лека персистираща астма, трябва да се обсъжда само при пациенти без анамнеза за скорошни тежки астматични пристъпи, които изискват перорални кортикостероиди и за които е установено, че нямат възможност да използват инхалаторни кортикостероиди (вж. точка 4.1). Лека персистираща астма се дефинира като симптоми на астма по-често от веднъж седмично, но по-рядко от веднъж дневно, наличие на нощни симптоми по-често от два пъти месечно, но по-рядко от веднъж седмично, с нормална белодробна функция между отделните епизоди. Ако при проследяването не се постига задоволителен контрол на астмата (обикновено в рамките на един месец), трябва да се оцени необходимостта от допълнително или различно противовъзпалително лечение, базирано на стъпаловидна система за лечение на астма. На пациентите трябва да се прави периодична оценка относно контрола на астмата.</w:t>
      </w:r>
    </w:p>
    <w:p w14:paraId="717A5CA8" w14:textId="77777777" w:rsidR="001C4776" w:rsidRPr="001C4776" w:rsidRDefault="001C4776" w:rsidP="001C4776">
      <w:pPr>
        <w:spacing w:line="240" w:lineRule="auto"/>
        <w:rPr>
          <w:rFonts w:eastAsia="Times New Roman" w:cs="Arial"/>
          <w:i/>
          <w:iCs/>
          <w:color w:val="000000"/>
          <w:szCs w:val="20"/>
          <w:lang w:eastAsia="bg-BG"/>
        </w:rPr>
      </w:pPr>
    </w:p>
    <w:p w14:paraId="2C1A695C" w14:textId="3972502B" w:rsidR="001C4776" w:rsidRPr="001C4776" w:rsidRDefault="001C4776" w:rsidP="001C4776">
      <w:pPr>
        <w:spacing w:line="240" w:lineRule="auto"/>
        <w:rPr>
          <w:rFonts w:eastAsia="Times New Roman" w:cs="Arial"/>
          <w:sz w:val="28"/>
          <w:szCs w:val="24"/>
        </w:rPr>
      </w:pPr>
      <w:r w:rsidRPr="001C4776">
        <w:rPr>
          <w:rFonts w:eastAsia="Times New Roman" w:cs="Arial"/>
          <w:i/>
          <w:iCs/>
          <w:color w:val="000000"/>
          <w:szCs w:val="20"/>
          <w:lang w:eastAsia="bg-BG"/>
        </w:rPr>
        <w:t>Ефира гранули като профилактика на астма при пациенти на възраст от 2 до 5 години, при които доминира бронхоспазъм вследствие на физическо натоварване</w:t>
      </w:r>
    </w:p>
    <w:p w14:paraId="0C48B455"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При пациенти на възраст от 2 до 5 години, бронхоспазъм провокиран от физически упражнения може да е основна проява на персистираща астма, която изисква лечение с инхалаторни кортикостероиди. Пациентите трябва да бъдат подложени на оценка в продължение на 2 до 4 седмици след започване на лечението с монтелукаст. При липса на задоволителен отговор, трябва да се обсъди допълнителна или различна терапия.</w:t>
      </w:r>
    </w:p>
    <w:p w14:paraId="00629D98" w14:textId="77777777" w:rsidR="001C4776" w:rsidRPr="001C4776" w:rsidRDefault="001C4776" w:rsidP="001C4776">
      <w:pPr>
        <w:spacing w:line="240" w:lineRule="auto"/>
        <w:rPr>
          <w:rFonts w:eastAsia="Times New Roman" w:cs="Arial"/>
          <w:i/>
          <w:iCs/>
          <w:color w:val="000000"/>
          <w:szCs w:val="20"/>
          <w:lang w:eastAsia="bg-BG"/>
        </w:rPr>
      </w:pPr>
    </w:p>
    <w:p w14:paraId="5C3AE669" w14:textId="4411F7F7" w:rsidR="001C4776" w:rsidRPr="001C4776" w:rsidRDefault="001C4776" w:rsidP="001C4776">
      <w:pPr>
        <w:spacing w:line="240" w:lineRule="auto"/>
        <w:rPr>
          <w:rFonts w:eastAsia="Times New Roman" w:cs="Arial"/>
          <w:sz w:val="28"/>
          <w:szCs w:val="24"/>
        </w:rPr>
      </w:pPr>
      <w:r w:rsidRPr="001C4776">
        <w:rPr>
          <w:rFonts w:eastAsia="Times New Roman" w:cs="Arial"/>
          <w:i/>
          <w:iCs/>
          <w:color w:val="000000"/>
          <w:szCs w:val="20"/>
          <w:lang w:eastAsia="bg-BG"/>
        </w:rPr>
        <w:t>Терапия с Ефира гранули във връзка с друго лечение на астма</w:t>
      </w:r>
    </w:p>
    <w:p w14:paraId="5AA63990"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Когато лечението с Ефира гранули се използва като допълнителна терапия към инхалаторните кортикостероиди, Ефира гранули не трябва да бъде бърз заместител на инхалаторните кортикостероиди (вж.точка 4.4).</w:t>
      </w:r>
    </w:p>
    <w:p w14:paraId="33DD18EC" w14:textId="77777777" w:rsidR="001C4776" w:rsidRPr="001C4776" w:rsidRDefault="001C4776" w:rsidP="001C4776">
      <w:pPr>
        <w:spacing w:line="240" w:lineRule="auto"/>
        <w:rPr>
          <w:rFonts w:eastAsia="Times New Roman" w:cs="Arial"/>
          <w:i/>
          <w:iCs/>
          <w:color w:val="000000"/>
          <w:szCs w:val="20"/>
          <w:lang w:eastAsia="bg-BG"/>
        </w:rPr>
      </w:pPr>
    </w:p>
    <w:p w14:paraId="35FB26F9" w14:textId="7E418D77" w:rsidR="001C4776" w:rsidRPr="001C4776" w:rsidRDefault="001C4776" w:rsidP="001C4776">
      <w:pPr>
        <w:spacing w:line="240" w:lineRule="auto"/>
        <w:rPr>
          <w:rFonts w:eastAsia="Times New Roman" w:cs="Arial"/>
          <w:sz w:val="28"/>
          <w:szCs w:val="24"/>
        </w:rPr>
      </w:pPr>
      <w:r w:rsidRPr="001C4776">
        <w:rPr>
          <w:rFonts w:eastAsia="Times New Roman" w:cs="Arial"/>
          <w:i/>
          <w:iCs/>
          <w:color w:val="000000"/>
          <w:szCs w:val="20"/>
          <w:lang w:eastAsia="bg-BG"/>
        </w:rPr>
        <w:lastRenderedPageBreak/>
        <w:t>Педиатрична популация</w:t>
      </w:r>
    </w:p>
    <w:p w14:paraId="7F12FA3E"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Гранулите монтелукаст не трябва да се дават на деца на възраст под 6 месеца. Безопасността и ефикасността на гранулите монтелукаст при деца под 6 месечна възраст не са установени.</w:t>
      </w:r>
    </w:p>
    <w:p w14:paraId="793DD82E" w14:textId="77777777" w:rsidR="001C4776" w:rsidRPr="001C4776" w:rsidRDefault="001C4776" w:rsidP="001C4776">
      <w:pPr>
        <w:spacing w:line="240" w:lineRule="auto"/>
        <w:rPr>
          <w:rFonts w:eastAsia="Times New Roman" w:cs="Arial"/>
          <w:color w:val="000000"/>
          <w:szCs w:val="20"/>
          <w:u w:val="single"/>
          <w:lang w:eastAsia="bg-BG"/>
        </w:rPr>
      </w:pPr>
    </w:p>
    <w:p w14:paraId="161709EC" w14:textId="6244820B" w:rsidR="001C4776" w:rsidRPr="001C4776" w:rsidRDefault="001C4776" w:rsidP="001C4776">
      <w:pPr>
        <w:pStyle w:val="Heading3"/>
        <w:rPr>
          <w:rFonts w:eastAsia="Times New Roman"/>
          <w:sz w:val="28"/>
          <w:u w:val="single"/>
        </w:rPr>
      </w:pPr>
      <w:r w:rsidRPr="001C4776">
        <w:rPr>
          <w:rFonts w:eastAsia="Times New Roman"/>
          <w:u w:val="single"/>
          <w:lang w:eastAsia="bg-BG"/>
        </w:rPr>
        <w:t>Начин на приложение</w:t>
      </w:r>
    </w:p>
    <w:p w14:paraId="0CE45DB5"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 xml:space="preserve">Пероралпо </w:t>
      </w:r>
      <w:r w:rsidRPr="001C4776">
        <w:rPr>
          <w:rFonts w:eastAsia="Times New Roman" w:cs="Arial"/>
          <w:i/>
          <w:iCs/>
          <w:color w:val="000000"/>
          <w:szCs w:val="20"/>
          <w:lang w:eastAsia="bg-BG"/>
        </w:rPr>
        <w:t>приложение</w:t>
      </w:r>
    </w:p>
    <w:p w14:paraId="2FEB9A5C"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Гранулите монтелукаст може да се прилагат или директно в устата, или смесени с лъжица студена или със стайна температура мека храна (налр. ябълкова каша, сладолед, моркови и ориз). Сашето не трябва да се отваря преди употреба. След отваряне на сашето, цялото количество Ефира гранули трябва да се приложи веднага (в рамките на 15 минути). Ако е смесен с храна, Ефира гранули не трябва да се съхранява за бъдеща употреба. За да бъде приложен, Ефира гранули не трябва да бъде разтварян в течности. След приложение може да се приемат течности.</w:t>
      </w:r>
    </w:p>
    <w:p w14:paraId="7C8D7856"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Ефира гранули може да се прилага без значение от времето на приемане на храна.</w:t>
      </w:r>
    </w:p>
    <w:p w14:paraId="65B5E0DC" w14:textId="77777777" w:rsidR="001C4776" w:rsidRPr="001C4776" w:rsidRDefault="001C4776" w:rsidP="001C4776">
      <w:pPr>
        <w:spacing w:line="240" w:lineRule="auto"/>
        <w:rPr>
          <w:rFonts w:eastAsia="Times New Roman" w:cs="Arial"/>
          <w:i/>
          <w:iCs/>
          <w:color w:val="000000"/>
          <w:szCs w:val="20"/>
          <w:lang w:eastAsia="bg-BG"/>
        </w:rPr>
      </w:pPr>
    </w:p>
    <w:p w14:paraId="5A4E6EEE" w14:textId="549B526C" w:rsidR="001C4776" w:rsidRPr="001C4776" w:rsidRDefault="001C4776" w:rsidP="001C4776">
      <w:pPr>
        <w:spacing w:line="240" w:lineRule="auto"/>
        <w:rPr>
          <w:rFonts w:eastAsia="Times New Roman" w:cs="Arial"/>
          <w:sz w:val="28"/>
          <w:szCs w:val="24"/>
        </w:rPr>
      </w:pPr>
      <w:r w:rsidRPr="001C4776">
        <w:rPr>
          <w:rFonts w:eastAsia="Times New Roman" w:cs="Arial"/>
          <w:i/>
          <w:iCs/>
          <w:color w:val="000000"/>
          <w:szCs w:val="20"/>
          <w:lang w:eastAsia="bg-BG"/>
        </w:rPr>
        <w:t>Други лекарствени форми и концентрации:</w:t>
      </w:r>
    </w:p>
    <w:p w14:paraId="0E028BB0"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 xml:space="preserve">10 </w:t>
      </w:r>
      <w:r w:rsidRPr="001C4776">
        <w:rPr>
          <w:rFonts w:eastAsia="Times New Roman" w:cs="Arial"/>
          <w:color w:val="000000"/>
          <w:szCs w:val="20"/>
          <w:lang w:val="en-US"/>
        </w:rPr>
        <w:t>mg</w:t>
      </w:r>
      <w:r w:rsidRPr="001C4776">
        <w:rPr>
          <w:rFonts w:eastAsia="Times New Roman" w:cs="Arial"/>
          <w:color w:val="000000"/>
          <w:szCs w:val="20"/>
          <w:lang w:val="ru-RU"/>
        </w:rPr>
        <w:t xml:space="preserve"> </w:t>
      </w:r>
      <w:r w:rsidRPr="001C4776">
        <w:rPr>
          <w:rFonts w:eastAsia="Times New Roman" w:cs="Arial"/>
          <w:color w:val="000000"/>
          <w:szCs w:val="20"/>
          <w:lang w:eastAsia="bg-BG"/>
        </w:rPr>
        <w:t>филмирани таблетки за пациенти над 15-годишна възраст.</w:t>
      </w:r>
    </w:p>
    <w:p w14:paraId="76D48A60" w14:textId="0D8039C8" w:rsidR="001C4776" w:rsidRPr="001C4776" w:rsidRDefault="001C4776" w:rsidP="001C4776">
      <w:pPr>
        <w:rPr>
          <w:rFonts w:eastAsia="Times New Roman" w:cs="Arial"/>
          <w:color w:val="000000"/>
          <w:szCs w:val="20"/>
          <w:lang w:eastAsia="bg-BG"/>
        </w:rPr>
      </w:pPr>
      <w:r w:rsidRPr="001C4776">
        <w:rPr>
          <w:rFonts w:eastAsia="Times New Roman" w:cs="Arial"/>
          <w:color w:val="000000"/>
          <w:szCs w:val="20"/>
          <w:lang w:eastAsia="bg-BG"/>
        </w:rPr>
        <w:t xml:space="preserve">5 </w:t>
      </w:r>
      <w:r w:rsidRPr="001C4776">
        <w:rPr>
          <w:rFonts w:eastAsia="Times New Roman" w:cs="Arial"/>
          <w:color w:val="000000"/>
          <w:szCs w:val="20"/>
          <w:lang w:val="en-US"/>
        </w:rPr>
        <w:t>mg</w:t>
      </w:r>
      <w:r w:rsidRPr="001C4776">
        <w:rPr>
          <w:rFonts w:eastAsia="Times New Roman" w:cs="Arial"/>
          <w:color w:val="000000"/>
          <w:szCs w:val="20"/>
          <w:lang w:val="ru-RU"/>
        </w:rPr>
        <w:t xml:space="preserve"> </w:t>
      </w:r>
      <w:r w:rsidRPr="001C4776">
        <w:rPr>
          <w:rFonts w:eastAsia="Times New Roman" w:cs="Arial"/>
          <w:color w:val="000000"/>
          <w:szCs w:val="20"/>
          <w:lang w:eastAsia="bg-BG"/>
        </w:rPr>
        <w:t>таблетки за дъвчене за педиатрични пациенти от 6 до 14-годишна възраст.</w:t>
      </w:r>
    </w:p>
    <w:p w14:paraId="0B3569AD" w14:textId="213E1156" w:rsidR="001C4776" w:rsidRPr="001C4776" w:rsidRDefault="001C4776" w:rsidP="001C4776">
      <w:pPr>
        <w:rPr>
          <w:rFonts w:cs="Arial"/>
          <w:szCs w:val="20"/>
        </w:rPr>
      </w:pPr>
      <w:r w:rsidRPr="001C4776">
        <w:rPr>
          <w:rFonts w:cs="Arial"/>
          <w:szCs w:val="20"/>
        </w:rPr>
        <w:t xml:space="preserve">4 </w:t>
      </w:r>
      <w:r w:rsidRPr="001C4776">
        <w:rPr>
          <w:rFonts w:cs="Arial"/>
          <w:szCs w:val="20"/>
          <w:lang w:val="en-US"/>
        </w:rPr>
        <w:t>mg</w:t>
      </w:r>
      <w:r w:rsidRPr="001C4776">
        <w:rPr>
          <w:rFonts w:cs="Arial"/>
          <w:szCs w:val="20"/>
          <w:lang w:val="ru-RU"/>
        </w:rPr>
        <w:t xml:space="preserve"> </w:t>
      </w:r>
      <w:r w:rsidRPr="001C4776">
        <w:rPr>
          <w:rFonts w:cs="Arial"/>
          <w:szCs w:val="20"/>
        </w:rPr>
        <w:t>таблетки за дъвчене като алтернативна лекарствена форма за педиатрични пациенти от 2 до 5-годишна възраст.</w:t>
      </w:r>
    </w:p>
    <w:p w14:paraId="652BE2E3" w14:textId="77777777" w:rsidR="001C4776" w:rsidRPr="001C4776" w:rsidRDefault="001C4776" w:rsidP="001C4776"/>
    <w:p w14:paraId="0F253247" w14:textId="0FD7FF6E" w:rsidR="007122AD" w:rsidRDefault="002C50EE" w:rsidP="00936AD0">
      <w:pPr>
        <w:pStyle w:val="Heading2"/>
      </w:pPr>
      <w:r>
        <w:t>4.3. Противопоказания</w:t>
      </w:r>
    </w:p>
    <w:p w14:paraId="6C6EE577" w14:textId="75660382" w:rsidR="001C4776" w:rsidRDefault="001C4776" w:rsidP="001C4776"/>
    <w:p w14:paraId="65A1870A" w14:textId="0E1538E7" w:rsidR="001C4776" w:rsidRDefault="001C4776" w:rsidP="001C4776">
      <w:pPr>
        <w:rPr>
          <w:lang w:eastAsia="bg-BG"/>
        </w:rPr>
      </w:pPr>
      <w:r w:rsidRPr="001C4776">
        <w:rPr>
          <w:lang w:eastAsia="bg-BG"/>
        </w:rPr>
        <w:t>Свръхчувствителност към активното вещество или към някое от помощните вещества, изброени в точка 6.1.</w:t>
      </w:r>
    </w:p>
    <w:p w14:paraId="5F34A6EB" w14:textId="77777777" w:rsidR="001C4776" w:rsidRPr="001C4776" w:rsidRDefault="001C4776" w:rsidP="001C4776">
      <w:pPr>
        <w:rPr>
          <w:sz w:val="24"/>
          <w:szCs w:val="24"/>
        </w:rPr>
      </w:pPr>
    </w:p>
    <w:p w14:paraId="0E0BDCC7" w14:textId="7734412E" w:rsidR="007122AD" w:rsidRDefault="002C50EE" w:rsidP="00936AD0">
      <w:pPr>
        <w:pStyle w:val="Heading2"/>
      </w:pPr>
      <w:r>
        <w:t>4.4. Специални предупреждения и предпазни мерки при употреба</w:t>
      </w:r>
    </w:p>
    <w:p w14:paraId="2AB5734E" w14:textId="01F47DA3" w:rsidR="001C4776" w:rsidRDefault="001C4776" w:rsidP="001C4776"/>
    <w:p w14:paraId="48987270"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Диагнозата персистираща астма при много малки деца (от 6 месеца до 2 години) трябва да бъде поставена от педиатър или пулмолог.</w:t>
      </w:r>
    </w:p>
    <w:p w14:paraId="413A0745" w14:textId="77777777" w:rsidR="001C4776" w:rsidRPr="001C4776" w:rsidRDefault="001C4776" w:rsidP="001C4776">
      <w:pPr>
        <w:spacing w:line="240" w:lineRule="auto"/>
        <w:rPr>
          <w:rFonts w:eastAsia="Times New Roman" w:cs="Arial"/>
          <w:color w:val="000000"/>
          <w:szCs w:val="20"/>
          <w:lang w:eastAsia="bg-BG"/>
        </w:rPr>
      </w:pPr>
    </w:p>
    <w:p w14:paraId="1B6B1F09" w14:textId="3EB1ACAC"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Пациентите трябва да бъдат съветвани никога да не използват перорално монтелукаст за лечение на остри пристъпи на астма, както и да подържат на разположение подходящи животоспасяващи лекарства. При развитие на остър астматичен пристъп, трябва да се използва краткодействащ инхалаторен β-агонист. Пациентите трябва да се обърнат за съвет към лекуващия ги лекар колкото е възможно по-скоро, ако се нуждаят от повече инхалации от краткодействащи β-агонисти, отколкото е обичайно.</w:t>
      </w:r>
    </w:p>
    <w:p w14:paraId="2900D5C4" w14:textId="77777777" w:rsidR="001C4776" w:rsidRPr="001C4776" w:rsidRDefault="001C4776" w:rsidP="001C4776">
      <w:pPr>
        <w:spacing w:line="240" w:lineRule="auto"/>
        <w:rPr>
          <w:rFonts w:eastAsia="Times New Roman" w:cs="Arial"/>
          <w:color w:val="000000"/>
          <w:szCs w:val="20"/>
          <w:lang w:eastAsia="bg-BG"/>
        </w:rPr>
      </w:pPr>
    </w:p>
    <w:p w14:paraId="779268C5" w14:textId="6A35B22A"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Монтелукаст не трябва да бъде заместител на инхалаторните или перорални кортикостероиди.</w:t>
      </w:r>
    </w:p>
    <w:p w14:paraId="777E6CC5" w14:textId="77777777" w:rsidR="001C4776" w:rsidRPr="001C4776" w:rsidRDefault="001C4776" w:rsidP="001C4776">
      <w:pPr>
        <w:spacing w:line="240" w:lineRule="auto"/>
        <w:rPr>
          <w:rFonts w:eastAsia="Times New Roman" w:cs="Arial"/>
          <w:color w:val="000000"/>
          <w:szCs w:val="20"/>
          <w:lang w:eastAsia="bg-BG"/>
        </w:rPr>
      </w:pPr>
    </w:p>
    <w:p w14:paraId="46CA38DD" w14:textId="2015983F"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Няма данни доказващи, че дозата на пероралните кортикостероиди може да бъде намалена когато едновременно се дава и монтелукаст.</w:t>
      </w:r>
    </w:p>
    <w:p w14:paraId="02DB5107" w14:textId="77777777" w:rsidR="001C4776" w:rsidRPr="001C4776" w:rsidRDefault="001C4776" w:rsidP="001C4776">
      <w:pPr>
        <w:spacing w:line="240" w:lineRule="auto"/>
        <w:rPr>
          <w:rFonts w:eastAsia="Times New Roman" w:cs="Arial"/>
          <w:color w:val="000000"/>
          <w:szCs w:val="20"/>
          <w:lang w:eastAsia="bg-BG"/>
        </w:rPr>
      </w:pPr>
    </w:p>
    <w:p w14:paraId="56F45452" w14:textId="481FB122"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 xml:space="preserve">В редки случаи пациентите на лечение с антиастматични средства, включително монтелукаст може да се представят със системна еозинофилия, понякога с клинични прояви на васкулит, отговарящ на синдрома на </w:t>
      </w:r>
      <w:proofErr w:type="spellStart"/>
      <w:r w:rsidRPr="001C4776">
        <w:rPr>
          <w:rFonts w:eastAsia="Times New Roman" w:cs="Arial"/>
          <w:color w:val="000000"/>
          <w:szCs w:val="20"/>
          <w:lang w:val="en-US"/>
        </w:rPr>
        <w:t>Churg</w:t>
      </w:r>
      <w:proofErr w:type="spellEnd"/>
      <w:r w:rsidRPr="001C4776">
        <w:rPr>
          <w:rFonts w:eastAsia="Times New Roman" w:cs="Arial"/>
          <w:color w:val="000000"/>
          <w:szCs w:val="20"/>
          <w:lang w:val="ru-RU"/>
        </w:rPr>
        <w:t>-</w:t>
      </w:r>
      <w:r w:rsidRPr="001C4776">
        <w:rPr>
          <w:rFonts w:eastAsia="Times New Roman" w:cs="Arial"/>
          <w:color w:val="000000"/>
          <w:szCs w:val="20"/>
          <w:lang w:val="en-US"/>
        </w:rPr>
        <w:t>Strauss</w:t>
      </w:r>
      <w:r w:rsidRPr="001C4776">
        <w:rPr>
          <w:rFonts w:eastAsia="Times New Roman" w:cs="Arial"/>
          <w:color w:val="000000"/>
          <w:szCs w:val="20"/>
          <w:lang w:val="ru-RU"/>
        </w:rPr>
        <w:t xml:space="preserve">, </w:t>
      </w:r>
      <w:r w:rsidRPr="001C4776">
        <w:rPr>
          <w:rFonts w:eastAsia="Times New Roman" w:cs="Arial"/>
          <w:color w:val="000000"/>
          <w:szCs w:val="20"/>
          <w:lang w:eastAsia="bg-BG"/>
        </w:rPr>
        <w:t xml:space="preserve">състояние, което често се лекува със системна кортикостероидна терапия. Тези случаи са свързани понякога с </w:t>
      </w:r>
      <w:r w:rsidRPr="001C4776">
        <w:rPr>
          <w:rFonts w:eastAsia="Times New Roman" w:cs="Arial"/>
          <w:color w:val="000000"/>
          <w:szCs w:val="20"/>
          <w:lang w:eastAsia="bg-BG"/>
        </w:rPr>
        <w:lastRenderedPageBreak/>
        <w:t>намаляване на дозата или прекратяване на пероралната кортикостероидна терапия. Въпреки че, причинна връзка с левкотриеновия рецепторен антагонизъм не е установена, лекарите трябва да бъдат бдителни относно появата при техните пациенти на еозинофилия, васкулитен обрив, влошаване на белодробните симптоми, сърдечно-съдови усложнения и/или невропатия. При пациенти, които развият подобни симптоми, трябва да се преоцени тяхното състояние и да се преразгледа терапевтичния режим.</w:t>
      </w:r>
    </w:p>
    <w:p w14:paraId="11A5C954" w14:textId="77777777" w:rsidR="001C4776" w:rsidRPr="001C4776" w:rsidRDefault="001C4776" w:rsidP="001C4776">
      <w:pPr>
        <w:spacing w:line="240" w:lineRule="auto"/>
        <w:rPr>
          <w:rFonts w:eastAsia="Times New Roman" w:cs="Arial"/>
          <w:color w:val="000000"/>
          <w:szCs w:val="20"/>
          <w:lang w:eastAsia="bg-BG"/>
        </w:rPr>
      </w:pPr>
    </w:p>
    <w:p w14:paraId="7653A60D" w14:textId="32C02DB2"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Лечението с монтелукаст не променя необходимостта пациентите с астма, чувствителна към ацетилсалицилова киселина, да избягват приема на ацетилсалицилова киселина и други нестероидни противовъзпалителни лекарства.</w:t>
      </w:r>
    </w:p>
    <w:p w14:paraId="6F5A4ED1" w14:textId="77777777" w:rsidR="001C4776" w:rsidRPr="001C4776" w:rsidRDefault="001C4776" w:rsidP="001C4776">
      <w:pPr>
        <w:spacing w:line="240" w:lineRule="auto"/>
        <w:rPr>
          <w:rFonts w:eastAsia="Times New Roman" w:cs="Arial"/>
          <w:color w:val="000000"/>
          <w:szCs w:val="20"/>
          <w:lang w:eastAsia="bg-BG"/>
        </w:rPr>
      </w:pPr>
    </w:p>
    <w:p w14:paraId="02163FE1" w14:textId="202966D2"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Съобщават се невро-психични събития при възрастни, юноши и деца, приемащи Ефира гарнули (вж. точка 4.8). Пациентите и лекарите трябва да бъдат предупредени за невро-психични събития. Пациентите и/или лицата, полагащи грижи, трябва да бъдат инструктирани да уведомят лекаря си, ако настъпят такива промени. Лекуващите лекари трябва внимателно да преценят съотношението полза/риск от продължителното лечение с Ефира гранули, ако възникнат такива събития.</w:t>
      </w:r>
    </w:p>
    <w:p w14:paraId="0591042B" w14:textId="77777777" w:rsidR="001C4776" w:rsidRPr="001C4776" w:rsidRDefault="001C4776" w:rsidP="001C4776">
      <w:pPr>
        <w:spacing w:line="240" w:lineRule="auto"/>
        <w:rPr>
          <w:rFonts w:eastAsia="Times New Roman" w:cs="Arial"/>
          <w:color w:val="000000"/>
          <w:szCs w:val="20"/>
          <w:lang w:eastAsia="bg-BG"/>
        </w:rPr>
      </w:pPr>
    </w:p>
    <w:p w14:paraId="2A9D57A8" w14:textId="6B646559"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Помощни вещества</w:t>
      </w:r>
    </w:p>
    <w:p w14:paraId="58D7D71D" w14:textId="77777777" w:rsidR="001C4776" w:rsidRPr="001C4776" w:rsidRDefault="001C4776" w:rsidP="001C4776">
      <w:pPr>
        <w:spacing w:line="240" w:lineRule="auto"/>
        <w:rPr>
          <w:rFonts w:eastAsia="Times New Roman" w:cs="Arial"/>
          <w:i/>
          <w:iCs/>
          <w:color w:val="000000"/>
          <w:szCs w:val="20"/>
          <w:lang w:eastAsia="bg-BG"/>
        </w:rPr>
      </w:pPr>
    </w:p>
    <w:p w14:paraId="7138955B" w14:textId="768EA188" w:rsidR="001C4776" w:rsidRPr="001C4776" w:rsidRDefault="001C4776" w:rsidP="001C4776">
      <w:pPr>
        <w:spacing w:line="240" w:lineRule="auto"/>
        <w:rPr>
          <w:rFonts w:eastAsia="Times New Roman" w:cs="Arial"/>
          <w:sz w:val="28"/>
          <w:szCs w:val="24"/>
        </w:rPr>
      </w:pPr>
      <w:r w:rsidRPr="001C4776">
        <w:rPr>
          <w:rFonts w:eastAsia="Times New Roman" w:cs="Arial"/>
          <w:i/>
          <w:iCs/>
          <w:color w:val="000000"/>
          <w:szCs w:val="20"/>
          <w:lang w:eastAsia="bg-BG"/>
        </w:rPr>
        <w:t>Натрий</w:t>
      </w:r>
    </w:p>
    <w:p w14:paraId="22C6C649" w14:textId="77777777" w:rsidR="001C4776" w:rsidRPr="001C4776" w:rsidRDefault="001C4776" w:rsidP="001C4776">
      <w:pPr>
        <w:spacing w:line="240" w:lineRule="auto"/>
        <w:rPr>
          <w:rFonts w:ascii="Times New Roman" w:eastAsia="Times New Roman" w:hAnsi="Times New Roman" w:cs="Times New Roman"/>
          <w:sz w:val="24"/>
          <w:szCs w:val="24"/>
        </w:rPr>
      </w:pPr>
      <w:r w:rsidRPr="001C4776">
        <w:rPr>
          <w:rFonts w:eastAsia="Times New Roman" w:cs="Arial"/>
          <w:color w:val="000000"/>
          <w:szCs w:val="20"/>
          <w:lang w:eastAsia="bg-BG"/>
        </w:rPr>
        <w:t xml:space="preserve">Това лекарство съдържа по-малко от 1 </w:t>
      </w:r>
      <w:proofErr w:type="spellStart"/>
      <w:r w:rsidRPr="001C4776">
        <w:rPr>
          <w:rFonts w:eastAsia="Times New Roman" w:cs="Arial"/>
          <w:color w:val="000000"/>
          <w:szCs w:val="20"/>
          <w:lang w:val="en-US"/>
        </w:rPr>
        <w:t>mmol</w:t>
      </w:r>
      <w:proofErr w:type="spellEnd"/>
      <w:r w:rsidRPr="001C4776">
        <w:rPr>
          <w:rFonts w:eastAsia="Times New Roman" w:cs="Arial"/>
          <w:color w:val="000000"/>
          <w:szCs w:val="20"/>
          <w:lang w:val="ru-RU"/>
        </w:rPr>
        <w:t xml:space="preserve"> </w:t>
      </w:r>
      <w:r w:rsidRPr="001C4776">
        <w:rPr>
          <w:rFonts w:eastAsia="Times New Roman" w:cs="Arial"/>
          <w:color w:val="000000"/>
          <w:szCs w:val="20"/>
          <w:lang w:eastAsia="bg-BG"/>
        </w:rPr>
        <w:t xml:space="preserve">натрий (23 </w:t>
      </w:r>
      <w:r w:rsidRPr="001C4776">
        <w:rPr>
          <w:rFonts w:eastAsia="Times New Roman" w:cs="Arial"/>
          <w:color w:val="000000"/>
          <w:szCs w:val="20"/>
          <w:lang w:val="en-US"/>
        </w:rPr>
        <w:t>mg</w:t>
      </w:r>
      <w:r w:rsidRPr="001C4776">
        <w:rPr>
          <w:rFonts w:eastAsia="Times New Roman" w:cs="Arial"/>
          <w:color w:val="000000"/>
          <w:szCs w:val="20"/>
          <w:lang w:val="ru-RU"/>
        </w:rPr>
        <w:t xml:space="preserve">) </w:t>
      </w:r>
      <w:r w:rsidRPr="001C4776">
        <w:rPr>
          <w:rFonts w:eastAsia="Times New Roman" w:cs="Arial"/>
          <w:color w:val="000000"/>
          <w:szCs w:val="20"/>
          <w:lang w:eastAsia="bg-BG"/>
        </w:rPr>
        <w:t>на саше, т.е. може да се каже, че практически не съдържа натрий.</w:t>
      </w:r>
    </w:p>
    <w:p w14:paraId="1B8477C9" w14:textId="77777777" w:rsidR="001C4776" w:rsidRPr="001C4776" w:rsidRDefault="001C4776" w:rsidP="001C4776"/>
    <w:p w14:paraId="0734264C" w14:textId="418E76C9"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116FD391" w14:textId="0A140D4A" w:rsidR="001C4776" w:rsidRDefault="001C4776" w:rsidP="001C4776"/>
    <w:p w14:paraId="69E395C5"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Монтелукаст може да бъде прилаган с други видове лечение, използвани рутинно в профилактиката и хроничното лечение на астма. В клинични проучвания за лекарствени взаимодействия, препоръчваната клинична доза за монтелукаст няма клинично значими ефекти върху фармакокинетиката на следните лекарства: теофилин, преднизон, преднизолон, перорални контрацептиви (етинил естрадиол/норетиндрон 35/1), терфенадин, дигоксин и варфарин.</w:t>
      </w:r>
    </w:p>
    <w:p w14:paraId="64EE6263" w14:textId="77777777" w:rsidR="001C4776" w:rsidRPr="001C4776" w:rsidRDefault="001C4776" w:rsidP="001C4776">
      <w:pPr>
        <w:spacing w:line="240" w:lineRule="auto"/>
        <w:rPr>
          <w:rFonts w:eastAsia="Times New Roman" w:cs="Arial"/>
          <w:color w:val="000000"/>
          <w:szCs w:val="20"/>
          <w:lang w:eastAsia="bg-BG"/>
        </w:rPr>
      </w:pPr>
    </w:p>
    <w:p w14:paraId="5AF5A92A" w14:textId="4035A45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 xml:space="preserve">Площта под кривата на плазмената концентрация </w:t>
      </w:r>
      <w:r w:rsidRPr="001C4776">
        <w:rPr>
          <w:rFonts w:eastAsia="Times New Roman" w:cs="Arial"/>
          <w:color w:val="000000"/>
          <w:szCs w:val="20"/>
          <w:lang w:val="ru-RU"/>
        </w:rPr>
        <w:t>(</w:t>
      </w:r>
      <w:r w:rsidRPr="001C4776">
        <w:rPr>
          <w:rFonts w:eastAsia="Times New Roman" w:cs="Arial"/>
          <w:color w:val="000000"/>
          <w:szCs w:val="20"/>
          <w:lang w:val="en-US"/>
        </w:rPr>
        <w:t>AUC</w:t>
      </w:r>
      <w:r w:rsidRPr="001C4776">
        <w:rPr>
          <w:rFonts w:eastAsia="Times New Roman" w:cs="Arial"/>
          <w:color w:val="000000"/>
          <w:szCs w:val="20"/>
          <w:lang w:val="ru-RU"/>
        </w:rPr>
        <w:t xml:space="preserve">) </w:t>
      </w:r>
      <w:r w:rsidRPr="001C4776">
        <w:rPr>
          <w:rFonts w:eastAsia="Times New Roman" w:cs="Arial"/>
          <w:color w:val="000000"/>
          <w:szCs w:val="20"/>
          <w:lang w:eastAsia="bg-BG"/>
        </w:rPr>
        <w:t xml:space="preserve">за монтелукаст е била намалена приблизително с 40% при лица, които едновременно са прилагали фенобарбитал. Тъй като монтелукаст се метаболизира от </w:t>
      </w:r>
      <w:r w:rsidRPr="001C4776">
        <w:rPr>
          <w:rFonts w:eastAsia="Times New Roman" w:cs="Arial"/>
          <w:color w:val="000000"/>
          <w:szCs w:val="20"/>
          <w:lang w:val="en-US"/>
        </w:rPr>
        <w:t>CYP</w:t>
      </w:r>
      <w:r w:rsidRPr="001C4776">
        <w:rPr>
          <w:rFonts w:eastAsia="Times New Roman" w:cs="Arial"/>
          <w:color w:val="000000"/>
          <w:szCs w:val="20"/>
          <w:lang w:val="ru-RU"/>
        </w:rPr>
        <w:t xml:space="preserve"> </w:t>
      </w:r>
      <w:r w:rsidRPr="001C4776">
        <w:rPr>
          <w:rFonts w:eastAsia="Times New Roman" w:cs="Arial"/>
          <w:color w:val="000000"/>
          <w:szCs w:val="20"/>
          <w:lang w:eastAsia="bg-BG"/>
        </w:rPr>
        <w:t>ЗА4,</w:t>
      </w:r>
      <w:r w:rsidRPr="001C4776">
        <w:rPr>
          <w:rFonts w:eastAsia="Times New Roman" w:cs="Arial"/>
          <w:i/>
          <w:iCs/>
          <w:color w:val="000000"/>
          <w:szCs w:val="20"/>
          <w:lang w:eastAsia="bg-BG"/>
        </w:rPr>
        <w:t>2С8</w:t>
      </w:r>
      <w:r w:rsidRPr="001C4776">
        <w:rPr>
          <w:rFonts w:eastAsia="Times New Roman" w:cs="Arial"/>
          <w:color w:val="000000"/>
          <w:szCs w:val="20"/>
          <w:lang w:eastAsia="bg-BG"/>
        </w:rPr>
        <w:t xml:space="preserve"> и </w:t>
      </w:r>
      <w:r w:rsidRPr="001C4776">
        <w:rPr>
          <w:rFonts w:eastAsia="Times New Roman" w:cs="Arial"/>
          <w:i/>
          <w:iCs/>
          <w:color w:val="000000"/>
          <w:szCs w:val="20"/>
          <w:lang w:eastAsia="bg-BG"/>
        </w:rPr>
        <w:t>2С9</w:t>
      </w:r>
      <w:r w:rsidRPr="001C4776">
        <w:rPr>
          <w:rFonts w:eastAsia="Times New Roman" w:cs="Arial"/>
          <w:color w:val="000000"/>
          <w:szCs w:val="20"/>
          <w:lang w:eastAsia="bg-BG"/>
        </w:rPr>
        <w:t xml:space="preserve"> когато се прилага едновременно с индуктори на </w:t>
      </w:r>
      <w:r w:rsidRPr="001C4776">
        <w:rPr>
          <w:rFonts w:eastAsia="Times New Roman" w:cs="Arial"/>
          <w:color w:val="000000"/>
          <w:szCs w:val="20"/>
          <w:lang w:val="en-US"/>
        </w:rPr>
        <w:t>CYP</w:t>
      </w:r>
      <w:r w:rsidRPr="001C4776">
        <w:rPr>
          <w:rFonts w:eastAsia="Times New Roman" w:cs="Arial"/>
          <w:color w:val="000000"/>
          <w:szCs w:val="20"/>
          <w:lang w:val="ru-RU"/>
        </w:rPr>
        <w:t xml:space="preserve"> </w:t>
      </w:r>
      <w:r w:rsidRPr="001C4776">
        <w:rPr>
          <w:rFonts w:eastAsia="Times New Roman" w:cs="Arial"/>
          <w:color w:val="000000"/>
          <w:szCs w:val="20"/>
          <w:lang w:eastAsia="bg-BG"/>
        </w:rPr>
        <w:t>ЗА4,2С8 и 2С9 като фенитоин, фенобарбитал и рифампицин и особено при деца, е необходимо повишено внимание.</w:t>
      </w:r>
    </w:p>
    <w:p w14:paraId="1D67A11A" w14:textId="1717B0B5"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val="en-US"/>
        </w:rPr>
        <w:t>In</w:t>
      </w:r>
      <w:r w:rsidRPr="001C4776">
        <w:rPr>
          <w:rFonts w:eastAsia="Times New Roman" w:cs="Arial"/>
          <w:color w:val="000000"/>
          <w:szCs w:val="20"/>
          <w:lang w:eastAsia="bg-BG"/>
        </w:rPr>
        <w:t xml:space="preserve"> </w:t>
      </w:r>
      <w:r w:rsidRPr="001C4776">
        <w:rPr>
          <w:rFonts w:eastAsia="Times New Roman" w:cs="Arial"/>
          <w:i/>
          <w:iCs/>
          <w:color w:val="000000"/>
          <w:szCs w:val="20"/>
          <w:lang w:val="en-US"/>
        </w:rPr>
        <w:t>vitro</w:t>
      </w:r>
      <w:r w:rsidRPr="001C4776">
        <w:rPr>
          <w:rFonts w:eastAsia="Times New Roman" w:cs="Arial"/>
          <w:color w:val="000000"/>
          <w:szCs w:val="20"/>
          <w:lang w:val="ru-RU"/>
        </w:rPr>
        <w:t xml:space="preserve"> </w:t>
      </w:r>
      <w:r w:rsidRPr="001C4776">
        <w:rPr>
          <w:rFonts w:eastAsia="Times New Roman" w:cs="Arial"/>
          <w:color w:val="000000"/>
          <w:szCs w:val="20"/>
          <w:lang w:eastAsia="bg-BG"/>
        </w:rPr>
        <w:t xml:space="preserve">проучвания са показали, че монтелукаст е мощен инхибитор на </w:t>
      </w:r>
      <w:r w:rsidRPr="001C4776">
        <w:rPr>
          <w:rFonts w:eastAsia="Times New Roman" w:cs="Arial"/>
          <w:color w:val="000000"/>
          <w:szCs w:val="20"/>
          <w:lang w:val="en-US"/>
        </w:rPr>
        <w:t>CYP</w:t>
      </w:r>
      <w:r w:rsidRPr="001C4776">
        <w:rPr>
          <w:rFonts w:eastAsia="Times New Roman" w:cs="Arial"/>
          <w:color w:val="000000"/>
          <w:szCs w:val="20"/>
          <w:lang w:val="ru-RU"/>
        </w:rPr>
        <w:t xml:space="preserve"> </w:t>
      </w:r>
      <w:r w:rsidRPr="001C4776">
        <w:rPr>
          <w:rFonts w:eastAsia="Times New Roman" w:cs="Arial"/>
          <w:color w:val="000000"/>
          <w:szCs w:val="20"/>
          <w:lang w:eastAsia="bg-BG"/>
        </w:rPr>
        <w:t xml:space="preserve">2С8. Въпреки това, данните от клинични проучвания за </w:t>
      </w:r>
      <w:r w:rsidRPr="001C4776">
        <w:rPr>
          <w:rFonts w:eastAsia="Times New Roman" w:cs="Arial"/>
          <w:i/>
          <w:iCs/>
          <w:color w:val="000000"/>
          <w:szCs w:val="20"/>
          <w:lang w:eastAsia="bg-BG"/>
        </w:rPr>
        <w:t>лекарствени</w:t>
      </w:r>
      <w:r w:rsidRPr="001C4776">
        <w:rPr>
          <w:rFonts w:eastAsia="Times New Roman" w:cs="Arial"/>
          <w:color w:val="000000"/>
          <w:szCs w:val="20"/>
          <w:lang w:eastAsia="bg-BG"/>
        </w:rPr>
        <w:t xml:space="preserve"> взаимодействия, включващи монтелукаст и розиглитазон (проучван субстрат, представителен за лекарства, които се метаболизират основно от </w:t>
      </w:r>
      <w:r w:rsidRPr="001C4776">
        <w:rPr>
          <w:rFonts w:eastAsia="Times New Roman" w:cs="Arial"/>
          <w:color w:val="000000"/>
          <w:szCs w:val="20"/>
          <w:lang w:val="en-US"/>
        </w:rPr>
        <w:t>CYP</w:t>
      </w:r>
      <w:r w:rsidRPr="001C4776">
        <w:rPr>
          <w:rFonts w:eastAsia="Times New Roman" w:cs="Arial"/>
          <w:color w:val="000000"/>
          <w:szCs w:val="20"/>
          <w:lang w:val="ru-RU"/>
        </w:rPr>
        <w:t xml:space="preserve"> </w:t>
      </w:r>
      <w:r w:rsidRPr="001C4776">
        <w:rPr>
          <w:rFonts w:eastAsia="Times New Roman" w:cs="Arial"/>
          <w:i/>
          <w:iCs/>
          <w:color w:val="000000"/>
          <w:szCs w:val="20"/>
          <w:lang w:eastAsia="bg-BG"/>
        </w:rPr>
        <w:t>2С8)</w:t>
      </w:r>
      <w:r w:rsidRPr="001C4776">
        <w:rPr>
          <w:rFonts w:eastAsia="Times New Roman" w:cs="Arial"/>
          <w:color w:val="000000"/>
          <w:szCs w:val="20"/>
          <w:lang w:eastAsia="bg-BG"/>
        </w:rPr>
        <w:t xml:space="preserve"> са показали, че монтелукаст не инхибира </w:t>
      </w:r>
      <w:r w:rsidRPr="001C4776">
        <w:rPr>
          <w:rFonts w:eastAsia="Times New Roman" w:cs="Arial"/>
          <w:color w:val="000000"/>
          <w:szCs w:val="20"/>
          <w:lang w:val="en-US"/>
        </w:rPr>
        <w:t>CYP</w:t>
      </w:r>
      <w:r w:rsidRPr="001C4776">
        <w:rPr>
          <w:rFonts w:eastAsia="Times New Roman" w:cs="Arial"/>
          <w:color w:val="000000"/>
          <w:szCs w:val="20"/>
          <w:lang w:val="ru-RU"/>
        </w:rPr>
        <w:t xml:space="preserve"> </w:t>
      </w:r>
      <w:r w:rsidRPr="001C4776">
        <w:rPr>
          <w:rFonts w:eastAsia="Times New Roman" w:cs="Arial"/>
          <w:color w:val="000000"/>
          <w:szCs w:val="20"/>
          <w:lang w:eastAsia="bg-BG"/>
        </w:rPr>
        <w:t xml:space="preserve">2С8 </w:t>
      </w:r>
      <w:r w:rsidRPr="001C4776">
        <w:rPr>
          <w:rFonts w:eastAsia="Times New Roman" w:cs="Arial"/>
          <w:i/>
          <w:iCs/>
          <w:color w:val="000000"/>
          <w:szCs w:val="20"/>
          <w:lang w:val="en-US"/>
        </w:rPr>
        <w:t>in</w:t>
      </w:r>
      <w:r w:rsidRPr="001C4776">
        <w:rPr>
          <w:rFonts w:eastAsia="Times New Roman" w:cs="Arial"/>
          <w:i/>
          <w:iCs/>
          <w:color w:val="000000"/>
          <w:szCs w:val="20"/>
          <w:lang w:val="ru-RU"/>
        </w:rPr>
        <w:t xml:space="preserve"> </w:t>
      </w:r>
      <w:r w:rsidRPr="001C4776">
        <w:rPr>
          <w:rFonts w:eastAsia="Times New Roman" w:cs="Arial"/>
          <w:i/>
          <w:iCs/>
          <w:color w:val="000000"/>
          <w:szCs w:val="20"/>
          <w:lang w:val="en-US"/>
        </w:rPr>
        <w:t>vivo</w:t>
      </w:r>
      <w:r w:rsidRPr="001C4776">
        <w:rPr>
          <w:rFonts w:eastAsia="Times New Roman" w:cs="Arial"/>
          <w:i/>
          <w:iCs/>
          <w:color w:val="000000"/>
          <w:szCs w:val="20"/>
          <w:lang w:val="ru-RU"/>
        </w:rPr>
        <w:t>.</w:t>
      </w:r>
      <w:r w:rsidRPr="001C4776">
        <w:rPr>
          <w:rFonts w:eastAsia="Times New Roman" w:cs="Arial"/>
          <w:color w:val="000000"/>
          <w:szCs w:val="20"/>
          <w:lang w:val="ru-RU"/>
        </w:rPr>
        <w:t xml:space="preserve"> </w:t>
      </w:r>
      <w:r w:rsidRPr="001C4776">
        <w:rPr>
          <w:rFonts w:eastAsia="Times New Roman" w:cs="Arial"/>
          <w:color w:val="000000"/>
          <w:szCs w:val="20"/>
          <w:lang w:eastAsia="bg-BG"/>
        </w:rPr>
        <w:t>Затова не се очаква монтелукаст да промени подчертано метаболизма на лекарствата метаболизирани от този ензим (напр. паклитаксел, розиглитазон и репаглидин).</w:t>
      </w:r>
    </w:p>
    <w:p w14:paraId="5273A891" w14:textId="77777777" w:rsidR="001C4776" w:rsidRPr="001C4776" w:rsidRDefault="001C4776" w:rsidP="001C4776">
      <w:pPr>
        <w:spacing w:line="240" w:lineRule="auto"/>
        <w:rPr>
          <w:rFonts w:eastAsia="Times New Roman" w:cs="Arial"/>
          <w:i/>
          <w:iCs/>
          <w:color w:val="000000"/>
          <w:szCs w:val="20"/>
          <w:lang w:val="en-US"/>
        </w:rPr>
      </w:pPr>
    </w:p>
    <w:p w14:paraId="2B9C2B0D" w14:textId="02E2D0DF" w:rsidR="001C4776" w:rsidRPr="001C4776" w:rsidRDefault="001C4776" w:rsidP="001C4776">
      <w:pPr>
        <w:spacing w:line="240" w:lineRule="auto"/>
        <w:rPr>
          <w:rFonts w:eastAsia="Times New Roman" w:cs="Arial"/>
          <w:sz w:val="28"/>
          <w:szCs w:val="24"/>
        </w:rPr>
      </w:pPr>
      <w:r w:rsidRPr="001C4776">
        <w:rPr>
          <w:rFonts w:eastAsia="Times New Roman" w:cs="Arial"/>
          <w:i/>
          <w:iCs/>
          <w:color w:val="000000"/>
          <w:szCs w:val="20"/>
          <w:lang w:val="en-US"/>
        </w:rPr>
        <w:t>In</w:t>
      </w:r>
      <w:r w:rsidRPr="001C4776">
        <w:rPr>
          <w:rFonts w:eastAsia="Times New Roman" w:cs="Arial"/>
          <w:i/>
          <w:iCs/>
          <w:color w:val="000000"/>
          <w:szCs w:val="20"/>
          <w:lang w:val="ru-RU"/>
        </w:rPr>
        <w:t xml:space="preserve"> </w:t>
      </w:r>
      <w:r w:rsidRPr="001C4776">
        <w:rPr>
          <w:rFonts w:eastAsia="Times New Roman" w:cs="Arial"/>
          <w:i/>
          <w:iCs/>
          <w:color w:val="000000"/>
          <w:szCs w:val="20"/>
          <w:lang w:val="en-US"/>
        </w:rPr>
        <w:t>vitro</w:t>
      </w:r>
      <w:r w:rsidRPr="001C4776">
        <w:rPr>
          <w:rFonts w:eastAsia="Times New Roman" w:cs="Arial"/>
          <w:color w:val="000000"/>
          <w:szCs w:val="20"/>
          <w:lang w:val="ru-RU"/>
        </w:rPr>
        <w:t xml:space="preserve"> </w:t>
      </w:r>
      <w:r w:rsidRPr="001C4776">
        <w:rPr>
          <w:rFonts w:eastAsia="Times New Roman" w:cs="Arial"/>
          <w:color w:val="000000"/>
          <w:szCs w:val="20"/>
          <w:lang w:eastAsia="bg-BG"/>
        </w:rPr>
        <w:t xml:space="preserve">проучванията са показали, </w:t>
      </w:r>
      <w:r w:rsidRPr="001C4776">
        <w:rPr>
          <w:rFonts w:eastAsia="Times New Roman" w:cs="Arial"/>
          <w:i/>
          <w:iCs/>
          <w:color w:val="000000"/>
          <w:szCs w:val="20"/>
          <w:lang w:eastAsia="bg-BG"/>
        </w:rPr>
        <w:t>че</w:t>
      </w:r>
      <w:r w:rsidRPr="001C4776">
        <w:rPr>
          <w:rFonts w:eastAsia="Times New Roman" w:cs="Arial"/>
          <w:color w:val="000000"/>
          <w:szCs w:val="20"/>
          <w:lang w:eastAsia="bg-BG"/>
        </w:rPr>
        <w:t xml:space="preserve"> монтелукаст е субстрат на </w:t>
      </w:r>
      <w:r w:rsidRPr="001C4776">
        <w:rPr>
          <w:rFonts w:eastAsia="Times New Roman" w:cs="Arial"/>
          <w:color w:val="000000"/>
          <w:szCs w:val="20"/>
          <w:lang w:val="en-US"/>
        </w:rPr>
        <w:t>CYP</w:t>
      </w:r>
      <w:r w:rsidRPr="001C4776">
        <w:rPr>
          <w:rFonts w:eastAsia="Times New Roman" w:cs="Arial"/>
          <w:color w:val="000000"/>
          <w:szCs w:val="20"/>
          <w:lang w:val="ru-RU"/>
        </w:rPr>
        <w:t>2</w:t>
      </w:r>
      <w:r w:rsidRPr="001C4776">
        <w:rPr>
          <w:rFonts w:eastAsia="Times New Roman" w:cs="Arial"/>
          <w:color w:val="000000"/>
          <w:szCs w:val="20"/>
          <w:lang w:val="en-US"/>
        </w:rPr>
        <w:t>C</w:t>
      </w:r>
      <w:r w:rsidRPr="001C4776">
        <w:rPr>
          <w:rFonts w:eastAsia="Times New Roman" w:cs="Arial"/>
          <w:color w:val="000000"/>
          <w:szCs w:val="20"/>
          <w:lang w:val="ru-RU"/>
        </w:rPr>
        <w:t xml:space="preserve">8 </w:t>
      </w:r>
      <w:r w:rsidRPr="001C4776">
        <w:rPr>
          <w:rFonts w:eastAsia="Times New Roman" w:cs="Arial"/>
          <w:color w:val="000000"/>
          <w:szCs w:val="20"/>
          <w:lang w:eastAsia="bg-BG"/>
        </w:rPr>
        <w:t xml:space="preserve">и в по-незначителна степен от 2С9 и ЗА4. В клиничните проучвания на лекарствените взаимодействията, включващи монтелукаст и гемфиброзил (инхибитор на </w:t>
      </w:r>
      <w:r w:rsidRPr="001C4776">
        <w:rPr>
          <w:rFonts w:eastAsia="Times New Roman" w:cs="Arial"/>
          <w:color w:val="000000"/>
          <w:szCs w:val="20"/>
          <w:lang w:val="en-US"/>
        </w:rPr>
        <w:t>CYP</w:t>
      </w:r>
      <w:r w:rsidRPr="001C4776">
        <w:rPr>
          <w:rFonts w:eastAsia="Times New Roman" w:cs="Arial"/>
          <w:color w:val="000000"/>
          <w:szCs w:val="20"/>
          <w:lang w:val="ru-RU"/>
        </w:rPr>
        <w:t>2</w:t>
      </w:r>
      <w:r w:rsidRPr="001C4776">
        <w:rPr>
          <w:rFonts w:eastAsia="Times New Roman" w:cs="Arial"/>
          <w:color w:val="000000"/>
          <w:szCs w:val="20"/>
          <w:lang w:val="en-US"/>
        </w:rPr>
        <w:t>C</w:t>
      </w:r>
      <w:r w:rsidRPr="001C4776">
        <w:rPr>
          <w:rFonts w:eastAsia="Times New Roman" w:cs="Arial"/>
          <w:color w:val="000000"/>
          <w:szCs w:val="20"/>
          <w:lang w:val="ru-RU"/>
        </w:rPr>
        <w:t xml:space="preserve">8 </w:t>
      </w:r>
      <w:r w:rsidRPr="001C4776">
        <w:rPr>
          <w:rFonts w:eastAsia="Times New Roman" w:cs="Arial"/>
          <w:color w:val="000000"/>
          <w:szCs w:val="20"/>
          <w:lang w:eastAsia="bg-BG"/>
        </w:rPr>
        <w:t xml:space="preserve">и 2С9) </w:t>
      </w:r>
      <w:r w:rsidRPr="001C4776">
        <w:rPr>
          <w:rFonts w:eastAsia="Times New Roman" w:cs="Arial"/>
          <w:color w:val="000000"/>
          <w:szCs w:val="20"/>
          <w:lang w:eastAsia="bg-BG"/>
        </w:rPr>
        <w:lastRenderedPageBreak/>
        <w:t xml:space="preserve">гемфиброзил увеличава системната експозиция на монтелукаст до 4*4 пъти. Не е необходимо коригиране на дозата на монтелукаст </w:t>
      </w:r>
      <w:r w:rsidRPr="001C4776">
        <w:rPr>
          <w:rFonts w:eastAsia="Times New Roman" w:cs="Arial"/>
          <w:i/>
          <w:iCs/>
          <w:color w:val="000000"/>
          <w:szCs w:val="20"/>
          <w:lang w:eastAsia="bg-BG"/>
        </w:rPr>
        <w:t>при</w:t>
      </w:r>
      <w:r w:rsidRPr="001C4776">
        <w:rPr>
          <w:rFonts w:eastAsia="Times New Roman" w:cs="Arial"/>
          <w:color w:val="000000"/>
          <w:szCs w:val="20"/>
          <w:lang w:eastAsia="bg-BG"/>
        </w:rPr>
        <w:t xml:space="preserve"> едновременното приложение с гемфиброзил или други силни инхибитори на </w:t>
      </w:r>
      <w:r w:rsidRPr="001C4776">
        <w:rPr>
          <w:rFonts w:eastAsia="Times New Roman" w:cs="Arial"/>
          <w:color w:val="000000"/>
          <w:szCs w:val="20"/>
          <w:lang w:val="en-US"/>
        </w:rPr>
        <w:t>CYP</w:t>
      </w:r>
      <w:r w:rsidRPr="001C4776">
        <w:rPr>
          <w:rFonts w:eastAsia="Times New Roman" w:cs="Arial"/>
          <w:color w:val="000000"/>
          <w:szCs w:val="20"/>
          <w:lang w:val="ru-RU"/>
        </w:rPr>
        <w:t xml:space="preserve"> </w:t>
      </w:r>
      <w:r w:rsidRPr="001C4776">
        <w:rPr>
          <w:rFonts w:eastAsia="Times New Roman" w:cs="Arial"/>
          <w:color w:val="000000"/>
          <w:szCs w:val="20"/>
          <w:lang w:eastAsia="bg-BG"/>
        </w:rPr>
        <w:t>ЗА4, водещи до незначително увеличение на системната експозиция на монтелукаст.</w:t>
      </w:r>
    </w:p>
    <w:p w14:paraId="09C64A29" w14:textId="77777777" w:rsidR="001C4776" w:rsidRPr="001C4776" w:rsidRDefault="001C4776" w:rsidP="001C4776">
      <w:pPr>
        <w:spacing w:line="240" w:lineRule="auto"/>
        <w:rPr>
          <w:rFonts w:eastAsia="Times New Roman" w:cs="Arial"/>
          <w:color w:val="000000"/>
          <w:szCs w:val="20"/>
          <w:lang w:eastAsia="bg-BG"/>
        </w:rPr>
      </w:pPr>
    </w:p>
    <w:p w14:paraId="212C6BF0" w14:textId="7EAE0451"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 xml:space="preserve">Въз основа на </w:t>
      </w:r>
      <w:r w:rsidRPr="001C4776">
        <w:rPr>
          <w:rFonts w:eastAsia="Times New Roman" w:cs="Arial"/>
          <w:i/>
          <w:iCs/>
          <w:color w:val="000000"/>
          <w:szCs w:val="20"/>
          <w:lang w:val="en-US"/>
        </w:rPr>
        <w:t>in</w:t>
      </w:r>
      <w:r w:rsidRPr="001C4776">
        <w:rPr>
          <w:rFonts w:eastAsia="Times New Roman" w:cs="Arial"/>
          <w:i/>
          <w:iCs/>
          <w:color w:val="000000"/>
          <w:szCs w:val="20"/>
          <w:lang w:val="ru-RU"/>
        </w:rPr>
        <w:t xml:space="preserve"> </w:t>
      </w:r>
      <w:r w:rsidRPr="001C4776">
        <w:rPr>
          <w:rFonts w:eastAsia="Times New Roman" w:cs="Arial"/>
          <w:i/>
          <w:iCs/>
          <w:color w:val="000000"/>
          <w:szCs w:val="20"/>
          <w:lang w:val="en-US"/>
        </w:rPr>
        <w:t>vitro</w:t>
      </w:r>
      <w:r w:rsidRPr="001C4776">
        <w:rPr>
          <w:rFonts w:eastAsia="Times New Roman" w:cs="Arial"/>
          <w:color w:val="000000"/>
          <w:szCs w:val="20"/>
          <w:lang w:val="ru-RU"/>
        </w:rPr>
        <w:t xml:space="preserve"> </w:t>
      </w:r>
      <w:r w:rsidRPr="001C4776">
        <w:rPr>
          <w:rFonts w:eastAsia="Times New Roman" w:cs="Arial"/>
          <w:color w:val="000000"/>
          <w:szCs w:val="20"/>
          <w:lang w:eastAsia="bg-BG"/>
        </w:rPr>
        <w:t xml:space="preserve">данните не се очакват клинично важни лекарствени взаимодействия с по- слабите инхибитори </w:t>
      </w:r>
      <w:r w:rsidRPr="001C4776">
        <w:rPr>
          <w:rFonts w:eastAsia="Times New Roman" w:cs="Arial"/>
          <w:i/>
          <w:iCs/>
          <w:color w:val="000000"/>
          <w:szCs w:val="20"/>
          <w:lang w:eastAsia="bg-BG"/>
        </w:rPr>
        <w:t>на</w:t>
      </w:r>
      <w:r w:rsidRPr="001C4776">
        <w:rPr>
          <w:rFonts w:eastAsia="Times New Roman" w:cs="Arial"/>
          <w:color w:val="000000"/>
          <w:szCs w:val="20"/>
          <w:lang w:eastAsia="bg-BG"/>
        </w:rPr>
        <w:t xml:space="preserve"> </w:t>
      </w:r>
      <w:r w:rsidRPr="001C4776">
        <w:rPr>
          <w:rFonts w:eastAsia="Times New Roman" w:cs="Arial"/>
          <w:color w:val="000000"/>
          <w:szCs w:val="20"/>
          <w:lang w:val="en-US"/>
        </w:rPr>
        <w:t>CYP</w:t>
      </w:r>
      <w:r w:rsidRPr="001C4776">
        <w:rPr>
          <w:rFonts w:eastAsia="Times New Roman" w:cs="Arial"/>
          <w:color w:val="000000"/>
          <w:szCs w:val="20"/>
          <w:lang w:val="ru-RU"/>
        </w:rPr>
        <w:t xml:space="preserve"> </w:t>
      </w:r>
      <w:r w:rsidRPr="001C4776">
        <w:rPr>
          <w:rFonts w:eastAsia="Times New Roman" w:cs="Arial"/>
          <w:i/>
          <w:iCs/>
          <w:color w:val="000000"/>
          <w:szCs w:val="20"/>
          <w:lang w:eastAsia="bg-BG"/>
        </w:rPr>
        <w:t>2С8</w:t>
      </w:r>
      <w:r w:rsidRPr="001C4776">
        <w:rPr>
          <w:rFonts w:eastAsia="Times New Roman" w:cs="Arial"/>
          <w:color w:val="000000"/>
          <w:szCs w:val="20"/>
          <w:lang w:eastAsia="bg-BG"/>
        </w:rPr>
        <w:t xml:space="preserve"> (напр. триметоприм). Едновременното прилагане на монтелукаст с итраконазол, силен инхибитор на </w:t>
      </w:r>
      <w:r w:rsidRPr="001C4776">
        <w:rPr>
          <w:rFonts w:eastAsia="Times New Roman" w:cs="Arial"/>
          <w:color w:val="000000"/>
          <w:szCs w:val="20"/>
          <w:lang w:val="en-US"/>
        </w:rPr>
        <w:t>CYP</w:t>
      </w:r>
      <w:r w:rsidRPr="001C4776">
        <w:rPr>
          <w:rFonts w:eastAsia="Times New Roman" w:cs="Arial"/>
          <w:color w:val="000000"/>
          <w:szCs w:val="20"/>
          <w:lang w:val="ru-RU"/>
        </w:rPr>
        <w:t xml:space="preserve"> </w:t>
      </w:r>
      <w:r w:rsidRPr="001C4776">
        <w:rPr>
          <w:rFonts w:eastAsia="Times New Roman" w:cs="Arial"/>
          <w:color w:val="000000"/>
          <w:szCs w:val="20"/>
          <w:lang w:eastAsia="bg-BG"/>
        </w:rPr>
        <w:t>ЗА4 води до незначително повишаване на системната експозиция на монтелукаст.</w:t>
      </w:r>
    </w:p>
    <w:p w14:paraId="3E4E786B" w14:textId="77777777" w:rsidR="001C4776" w:rsidRPr="001C4776" w:rsidRDefault="001C4776" w:rsidP="001C4776"/>
    <w:p w14:paraId="5D9F40EA" w14:textId="71537C7A" w:rsidR="007122AD" w:rsidRDefault="002C50EE" w:rsidP="00936AD0">
      <w:pPr>
        <w:pStyle w:val="Heading2"/>
      </w:pPr>
      <w:r>
        <w:t>4.6. Фертилитет, бременност и кърмене</w:t>
      </w:r>
    </w:p>
    <w:p w14:paraId="2ADB39C6" w14:textId="374438AC" w:rsidR="001C4776" w:rsidRDefault="001C4776" w:rsidP="001C4776"/>
    <w:p w14:paraId="18F539C8" w14:textId="77777777" w:rsidR="001C4776" w:rsidRPr="001C4776" w:rsidRDefault="001C4776" w:rsidP="001C4776">
      <w:pPr>
        <w:pStyle w:val="Heading3"/>
        <w:rPr>
          <w:rFonts w:eastAsia="Times New Roman"/>
          <w:sz w:val="28"/>
          <w:u w:val="single"/>
        </w:rPr>
      </w:pPr>
      <w:r w:rsidRPr="001C4776">
        <w:rPr>
          <w:rFonts w:eastAsia="Times New Roman"/>
          <w:u w:val="single"/>
          <w:lang w:eastAsia="bg-BG"/>
        </w:rPr>
        <w:t>Бременност</w:t>
      </w:r>
    </w:p>
    <w:p w14:paraId="12B667BB"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Проучванията при животни не са показали вредни ефекти по отношение на бременността или ембрионалното/феталното развитие.</w:t>
      </w:r>
    </w:p>
    <w:p w14:paraId="7AB61BA4"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Наличните данни от публикувани проспективни и ретроспективни кохортни проучвания с употреба на монтелукаст при бременни жени, оценяващи големи вродени дефекти, не са установили риск, свързан с лекарството. Наличните проучвания имат методологични ограничения, включително малък размер на извадката, в някои случаи ретроспективно събиране на данни и непоследователни групи за сравнение.</w:t>
      </w:r>
    </w:p>
    <w:p w14:paraId="374F50F3"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Монтелукаст може да бъде използван по време на бременност само в случай на категорична необходимост.</w:t>
      </w:r>
    </w:p>
    <w:p w14:paraId="0FA68270" w14:textId="77777777" w:rsidR="001C4776" w:rsidRPr="001C4776" w:rsidRDefault="001C4776" w:rsidP="001C4776">
      <w:pPr>
        <w:spacing w:line="240" w:lineRule="auto"/>
        <w:rPr>
          <w:rFonts w:eastAsia="Times New Roman" w:cs="Arial"/>
          <w:color w:val="000000"/>
          <w:szCs w:val="20"/>
          <w:u w:val="single"/>
          <w:lang w:eastAsia="bg-BG"/>
        </w:rPr>
      </w:pPr>
    </w:p>
    <w:p w14:paraId="78E1432E" w14:textId="18124324" w:rsidR="001C4776" w:rsidRPr="001C4776" w:rsidRDefault="001C4776" w:rsidP="001C4776">
      <w:pPr>
        <w:pStyle w:val="Heading3"/>
        <w:rPr>
          <w:rFonts w:eastAsia="Times New Roman"/>
          <w:sz w:val="28"/>
          <w:u w:val="single"/>
        </w:rPr>
      </w:pPr>
      <w:r w:rsidRPr="001C4776">
        <w:rPr>
          <w:rFonts w:eastAsia="Times New Roman"/>
          <w:u w:val="single"/>
          <w:lang w:eastAsia="bg-BG"/>
        </w:rPr>
        <w:t>Кърмене</w:t>
      </w:r>
    </w:p>
    <w:p w14:paraId="74DB31CC"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Проучванията при плъхове са показали, че монтелукаст се екскретира в млякото (вж. точка 5.3). Не е известно дали монтелукаст/неговите метаболити се екскретират в човешкото мляко. Монтелукаст може да бъде използван от кърмещи майки само ако се счита, че е изключително необходим.</w:t>
      </w:r>
    </w:p>
    <w:p w14:paraId="4F3EECDC" w14:textId="77777777" w:rsidR="001C4776" w:rsidRPr="001C4776" w:rsidRDefault="001C4776" w:rsidP="001C4776"/>
    <w:p w14:paraId="5DD7A76D" w14:textId="3CFDD830" w:rsidR="007122AD" w:rsidRDefault="002C50EE" w:rsidP="00936AD0">
      <w:pPr>
        <w:pStyle w:val="Heading2"/>
      </w:pPr>
      <w:r>
        <w:t>4.7. Ефекти върху способността за шофиране и работа с машини</w:t>
      </w:r>
    </w:p>
    <w:p w14:paraId="715B708B" w14:textId="5BF96CCB" w:rsidR="001C4776" w:rsidRDefault="001C4776" w:rsidP="001C4776"/>
    <w:p w14:paraId="0ACFA1F5" w14:textId="3F5B8B8F" w:rsidR="001C4776" w:rsidRDefault="001C4776" w:rsidP="001C4776">
      <w:r>
        <w:t>Монтелукаст не повлиява или повлиява пренебрежимо способността за шофиране и работа с машини. Въпреки това пациентите са съобщавали за поява на сънливост или замаяност.</w:t>
      </w:r>
    </w:p>
    <w:p w14:paraId="3605BFF9" w14:textId="77777777" w:rsidR="001C4776" w:rsidRPr="001C4776" w:rsidRDefault="001C4776" w:rsidP="001C4776"/>
    <w:p w14:paraId="44CE30A3" w14:textId="6FA8F49D" w:rsidR="007122AD" w:rsidRDefault="002C50EE" w:rsidP="00936AD0">
      <w:pPr>
        <w:pStyle w:val="Heading2"/>
      </w:pPr>
      <w:r>
        <w:t>4.8. Нежелани лекарствени реакции</w:t>
      </w:r>
    </w:p>
    <w:p w14:paraId="3FBD10FA" w14:textId="53411246" w:rsidR="001C4776" w:rsidRDefault="001C4776" w:rsidP="001C4776"/>
    <w:p w14:paraId="35B2FC89"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Монтелукаст е оценен в клинични проучвания при пациенти с персистираща астма както следва:</w:t>
      </w:r>
    </w:p>
    <w:p w14:paraId="3EE150BD" w14:textId="77777777" w:rsidR="001C4776" w:rsidRPr="001C4776" w:rsidRDefault="001C4776" w:rsidP="001C4776">
      <w:pPr>
        <w:spacing w:line="240" w:lineRule="auto"/>
        <w:rPr>
          <w:rFonts w:eastAsia="Times New Roman" w:cs="Arial"/>
          <w:color w:val="000000"/>
          <w:szCs w:val="20"/>
          <w:lang w:eastAsia="bg-BG"/>
        </w:rPr>
      </w:pPr>
    </w:p>
    <w:p w14:paraId="4149A218" w14:textId="77777777" w:rsidR="001C4776" w:rsidRPr="001C4776" w:rsidRDefault="001C4776" w:rsidP="001C4776">
      <w:pPr>
        <w:pStyle w:val="ListParagraph"/>
        <w:numPr>
          <w:ilvl w:val="0"/>
          <w:numId w:val="37"/>
        </w:numPr>
        <w:spacing w:line="240" w:lineRule="auto"/>
        <w:rPr>
          <w:rFonts w:eastAsia="Times New Roman" w:cs="Arial"/>
          <w:color w:val="000000"/>
          <w:szCs w:val="20"/>
          <w:lang w:eastAsia="bg-BG"/>
        </w:rPr>
      </w:pPr>
      <w:r w:rsidRPr="001C4776">
        <w:rPr>
          <w:rFonts w:eastAsia="Times New Roman" w:cs="Arial"/>
          <w:color w:val="000000"/>
          <w:szCs w:val="20"/>
          <w:lang w:eastAsia="bg-BG"/>
        </w:rPr>
        <w:t xml:space="preserve">10 </w:t>
      </w:r>
      <w:r w:rsidRPr="001C4776">
        <w:rPr>
          <w:rFonts w:eastAsia="Times New Roman" w:cs="Arial"/>
          <w:color w:val="000000"/>
          <w:szCs w:val="20"/>
          <w:lang w:val="en-US"/>
        </w:rPr>
        <w:t>mg</w:t>
      </w:r>
      <w:r w:rsidRPr="001C4776">
        <w:rPr>
          <w:rFonts w:eastAsia="Times New Roman" w:cs="Arial"/>
          <w:color w:val="000000"/>
          <w:szCs w:val="20"/>
          <w:lang w:val="ru-RU"/>
        </w:rPr>
        <w:t xml:space="preserve"> </w:t>
      </w:r>
      <w:r w:rsidRPr="001C4776">
        <w:rPr>
          <w:rFonts w:eastAsia="Times New Roman" w:cs="Arial"/>
          <w:color w:val="000000"/>
          <w:szCs w:val="20"/>
          <w:lang w:eastAsia="bg-BG"/>
        </w:rPr>
        <w:t>филмирани таблетки при приблизително 4 000 възрастни пациенти и юноши на 15 и повече години</w:t>
      </w:r>
    </w:p>
    <w:p w14:paraId="6841066E" w14:textId="77777777" w:rsidR="001C4776" w:rsidRPr="001C4776" w:rsidRDefault="001C4776" w:rsidP="001C4776">
      <w:pPr>
        <w:pStyle w:val="ListParagraph"/>
        <w:numPr>
          <w:ilvl w:val="0"/>
          <w:numId w:val="37"/>
        </w:numPr>
        <w:spacing w:line="240" w:lineRule="auto"/>
        <w:rPr>
          <w:rFonts w:eastAsia="Times New Roman" w:cs="Arial"/>
          <w:color w:val="000000"/>
          <w:szCs w:val="20"/>
          <w:lang w:eastAsia="bg-BG"/>
        </w:rPr>
      </w:pPr>
      <w:r w:rsidRPr="001C4776">
        <w:rPr>
          <w:rFonts w:eastAsia="Times New Roman" w:cs="Arial"/>
          <w:color w:val="000000"/>
          <w:szCs w:val="20"/>
          <w:lang w:eastAsia="bg-BG"/>
        </w:rPr>
        <w:t xml:space="preserve">5 </w:t>
      </w:r>
      <w:r w:rsidRPr="001C4776">
        <w:rPr>
          <w:rFonts w:eastAsia="Times New Roman" w:cs="Arial"/>
          <w:color w:val="000000"/>
          <w:szCs w:val="20"/>
          <w:lang w:val="en-US"/>
        </w:rPr>
        <w:t>mg</w:t>
      </w:r>
      <w:r w:rsidRPr="001C4776">
        <w:rPr>
          <w:rFonts w:eastAsia="Times New Roman" w:cs="Arial"/>
          <w:color w:val="000000"/>
          <w:szCs w:val="20"/>
          <w:lang w:val="ru-RU"/>
        </w:rPr>
        <w:t xml:space="preserve"> </w:t>
      </w:r>
      <w:r w:rsidRPr="001C4776">
        <w:rPr>
          <w:rFonts w:eastAsia="Times New Roman" w:cs="Arial"/>
          <w:color w:val="000000"/>
          <w:szCs w:val="20"/>
          <w:lang w:eastAsia="bg-BG"/>
        </w:rPr>
        <w:t>таблетки за дъвчене при приблизително 1 750 пациенти на възраст между 6 и 14 години</w:t>
      </w:r>
    </w:p>
    <w:p w14:paraId="1B736CEC" w14:textId="77777777" w:rsidR="001C4776" w:rsidRPr="001C4776" w:rsidRDefault="001C4776" w:rsidP="001C4776">
      <w:pPr>
        <w:pStyle w:val="ListParagraph"/>
        <w:numPr>
          <w:ilvl w:val="0"/>
          <w:numId w:val="37"/>
        </w:numPr>
        <w:spacing w:line="240" w:lineRule="auto"/>
        <w:rPr>
          <w:rFonts w:eastAsia="Times New Roman" w:cs="Arial"/>
          <w:color w:val="000000"/>
          <w:szCs w:val="20"/>
          <w:lang w:eastAsia="bg-BG"/>
        </w:rPr>
      </w:pPr>
      <w:r w:rsidRPr="001C4776">
        <w:rPr>
          <w:rFonts w:eastAsia="Times New Roman" w:cs="Arial"/>
          <w:color w:val="000000"/>
          <w:szCs w:val="20"/>
          <w:lang w:eastAsia="bg-BG"/>
        </w:rPr>
        <w:t xml:space="preserve">4 </w:t>
      </w:r>
      <w:r w:rsidRPr="001C4776">
        <w:rPr>
          <w:rFonts w:eastAsia="Times New Roman" w:cs="Arial"/>
          <w:color w:val="000000"/>
          <w:szCs w:val="20"/>
          <w:lang w:val="en-US"/>
        </w:rPr>
        <w:t>mg</w:t>
      </w:r>
      <w:r w:rsidRPr="001C4776">
        <w:rPr>
          <w:rFonts w:eastAsia="Times New Roman" w:cs="Arial"/>
          <w:color w:val="000000"/>
          <w:szCs w:val="20"/>
          <w:lang w:val="ru-RU"/>
        </w:rPr>
        <w:t xml:space="preserve"> </w:t>
      </w:r>
      <w:r w:rsidRPr="001C4776">
        <w:rPr>
          <w:rFonts w:eastAsia="Times New Roman" w:cs="Arial"/>
          <w:color w:val="000000"/>
          <w:szCs w:val="20"/>
          <w:lang w:eastAsia="bg-BG"/>
        </w:rPr>
        <w:t>таблетки за дъвчене при 851 педиатрични пациенти на възраст между 2 и 5 години и</w:t>
      </w:r>
    </w:p>
    <w:p w14:paraId="0B90DF38" w14:textId="2CBAF5C6" w:rsidR="001C4776" w:rsidRPr="001C4776" w:rsidRDefault="001C4776" w:rsidP="001C4776">
      <w:pPr>
        <w:pStyle w:val="ListParagraph"/>
        <w:numPr>
          <w:ilvl w:val="0"/>
          <w:numId w:val="37"/>
        </w:numPr>
        <w:spacing w:line="240" w:lineRule="auto"/>
        <w:rPr>
          <w:rFonts w:eastAsia="Times New Roman" w:cs="Arial"/>
          <w:color w:val="000000"/>
          <w:szCs w:val="20"/>
          <w:lang w:eastAsia="bg-BG"/>
        </w:rPr>
      </w:pPr>
      <w:r w:rsidRPr="001C4776">
        <w:rPr>
          <w:rFonts w:eastAsia="Times New Roman" w:cs="Arial"/>
          <w:color w:val="000000"/>
          <w:szCs w:val="20"/>
          <w:lang w:eastAsia="bg-BG"/>
        </w:rPr>
        <w:t xml:space="preserve">4 </w:t>
      </w:r>
      <w:r w:rsidRPr="001C4776">
        <w:rPr>
          <w:rFonts w:eastAsia="Times New Roman" w:cs="Arial"/>
          <w:color w:val="000000"/>
          <w:szCs w:val="20"/>
          <w:lang w:val="en-US"/>
        </w:rPr>
        <w:t>mg</w:t>
      </w:r>
      <w:r w:rsidRPr="001C4776">
        <w:rPr>
          <w:rFonts w:eastAsia="Times New Roman" w:cs="Arial"/>
          <w:color w:val="000000"/>
          <w:szCs w:val="20"/>
          <w:lang w:val="ru-RU"/>
        </w:rPr>
        <w:t xml:space="preserve"> </w:t>
      </w:r>
      <w:r w:rsidRPr="001C4776">
        <w:rPr>
          <w:rFonts w:eastAsia="Times New Roman" w:cs="Arial"/>
          <w:color w:val="000000"/>
          <w:szCs w:val="20"/>
          <w:lang w:eastAsia="bg-BG"/>
        </w:rPr>
        <w:t>гранули при 175 педиатрични пациенти на възраст между 6 месеца и 2 години.</w:t>
      </w:r>
    </w:p>
    <w:p w14:paraId="771F1A45" w14:textId="77777777" w:rsidR="001C4776" w:rsidRPr="001C4776" w:rsidRDefault="001C4776" w:rsidP="001C4776">
      <w:pPr>
        <w:spacing w:line="240" w:lineRule="auto"/>
        <w:rPr>
          <w:rFonts w:eastAsia="Times New Roman" w:cs="Arial"/>
          <w:color w:val="000000"/>
          <w:szCs w:val="20"/>
          <w:lang w:eastAsia="bg-BG"/>
        </w:rPr>
      </w:pPr>
    </w:p>
    <w:p w14:paraId="4FD00E9B" w14:textId="362651DB"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Монтелукаст е бил оценен в клинично проучване при пациенти с интермитентна астма както следва:</w:t>
      </w:r>
    </w:p>
    <w:p w14:paraId="7BCD310A" w14:textId="77777777" w:rsidR="001C4776" w:rsidRPr="001C4776" w:rsidRDefault="001C4776" w:rsidP="001C4776">
      <w:pPr>
        <w:pStyle w:val="ListParagraph"/>
        <w:numPr>
          <w:ilvl w:val="0"/>
          <w:numId w:val="38"/>
        </w:numPr>
        <w:spacing w:line="240" w:lineRule="auto"/>
        <w:rPr>
          <w:rFonts w:eastAsia="Times New Roman" w:cs="Arial"/>
          <w:color w:val="000000"/>
          <w:szCs w:val="20"/>
          <w:lang w:eastAsia="bg-BG"/>
        </w:rPr>
      </w:pPr>
      <w:r w:rsidRPr="001C4776">
        <w:rPr>
          <w:rFonts w:eastAsia="Times New Roman" w:cs="Arial"/>
          <w:color w:val="000000"/>
          <w:szCs w:val="20"/>
          <w:lang w:eastAsia="bg-BG"/>
        </w:rPr>
        <w:t xml:space="preserve">4 </w:t>
      </w:r>
      <w:r w:rsidRPr="001C4776">
        <w:rPr>
          <w:rFonts w:eastAsia="Times New Roman" w:cs="Arial"/>
          <w:color w:val="000000"/>
          <w:szCs w:val="20"/>
          <w:lang w:val="en-US"/>
        </w:rPr>
        <w:t>mg</w:t>
      </w:r>
      <w:r w:rsidRPr="001C4776">
        <w:rPr>
          <w:rFonts w:eastAsia="Times New Roman" w:cs="Arial"/>
          <w:color w:val="000000"/>
          <w:szCs w:val="20"/>
          <w:lang w:val="ru-RU"/>
        </w:rPr>
        <w:t xml:space="preserve"> </w:t>
      </w:r>
      <w:r w:rsidRPr="001C4776">
        <w:rPr>
          <w:rFonts w:eastAsia="Times New Roman" w:cs="Arial"/>
          <w:color w:val="000000"/>
          <w:szCs w:val="20"/>
          <w:lang w:eastAsia="bg-BG"/>
        </w:rPr>
        <w:t>гранули при 1 038 педиатрични пациенти на възраст между 6 месеца и 5 години</w:t>
      </w:r>
    </w:p>
    <w:p w14:paraId="7D0A6F4B" w14:textId="77777777" w:rsidR="001C4776" w:rsidRPr="001C4776" w:rsidRDefault="001C4776" w:rsidP="001C4776">
      <w:pPr>
        <w:spacing w:line="240" w:lineRule="auto"/>
        <w:rPr>
          <w:rFonts w:eastAsia="Times New Roman" w:cs="Arial"/>
          <w:color w:val="000000"/>
          <w:szCs w:val="20"/>
          <w:lang w:eastAsia="bg-BG"/>
        </w:rPr>
      </w:pPr>
    </w:p>
    <w:p w14:paraId="09DF3995" w14:textId="5A8D628C" w:rsidR="001C4776" w:rsidRPr="001C4776" w:rsidRDefault="001C4776" w:rsidP="001C4776">
      <w:pPr>
        <w:spacing w:line="240" w:lineRule="auto"/>
        <w:rPr>
          <w:rFonts w:ascii="Times New Roman" w:eastAsia="Times New Roman" w:hAnsi="Times New Roman" w:cs="Times New Roman"/>
          <w:sz w:val="24"/>
          <w:szCs w:val="24"/>
        </w:rPr>
      </w:pPr>
      <w:r w:rsidRPr="001C4776">
        <w:rPr>
          <w:rFonts w:eastAsia="Times New Roman" w:cs="Arial"/>
          <w:color w:val="000000"/>
          <w:szCs w:val="20"/>
          <w:lang w:eastAsia="bg-BG"/>
        </w:rPr>
        <w:t>По време на клинични проучвания, при пациенти на лечение с монтелукаст в по-висока честота от пациентите на лечение с плацебо, често (≥1/100 до &lt;1/10) са съобщавани следните нежелани лекарствени реакции:</w:t>
      </w:r>
    </w:p>
    <w:p w14:paraId="0266DDE7" w14:textId="43C49C60" w:rsidR="001C4776" w:rsidRDefault="001C4776" w:rsidP="001C4776"/>
    <w:tbl>
      <w:tblPr>
        <w:tblStyle w:val="TableGrid"/>
        <w:tblW w:w="0" w:type="auto"/>
        <w:tblLook w:val="04A0" w:firstRow="1" w:lastRow="0" w:firstColumn="1" w:lastColumn="0" w:noHBand="0" w:noVBand="1"/>
      </w:tblPr>
      <w:tblGrid>
        <w:gridCol w:w="1929"/>
        <w:gridCol w:w="1843"/>
        <w:gridCol w:w="1859"/>
        <w:gridCol w:w="1859"/>
        <w:gridCol w:w="1860"/>
      </w:tblGrid>
      <w:tr w:rsidR="001C4776" w14:paraId="3DF9A579" w14:textId="77777777" w:rsidTr="001C4776">
        <w:tc>
          <w:tcPr>
            <w:tcW w:w="1928" w:type="dxa"/>
          </w:tcPr>
          <w:p w14:paraId="103E0BEA" w14:textId="634082A5" w:rsidR="001C4776" w:rsidRPr="001C4776" w:rsidRDefault="001C4776" w:rsidP="001C4776">
            <w:r w:rsidRPr="001C4776">
              <w:rPr>
                <w:b/>
                <w:bCs/>
                <w:szCs w:val="20"/>
              </w:rPr>
              <w:t>Системо-органни класове</w:t>
            </w:r>
          </w:p>
        </w:tc>
        <w:tc>
          <w:tcPr>
            <w:tcW w:w="1911" w:type="dxa"/>
          </w:tcPr>
          <w:p w14:paraId="3CE0E29D" w14:textId="77777777" w:rsidR="001C4776" w:rsidRPr="001C4776" w:rsidRDefault="001C4776" w:rsidP="001C4776">
            <w:r w:rsidRPr="001C4776">
              <w:rPr>
                <w:b/>
                <w:bCs/>
                <w:szCs w:val="20"/>
              </w:rPr>
              <w:t>Възрастни пациенти и юноши</w:t>
            </w:r>
          </w:p>
          <w:p w14:paraId="1A626AD8" w14:textId="77777777" w:rsidR="001C4776" w:rsidRPr="001C4776" w:rsidRDefault="001C4776" w:rsidP="001C4776">
            <w:r w:rsidRPr="001C4776">
              <w:rPr>
                <w:b/>
                <w:bCs/>
                <w:szCs w:val="20"/>
              </w:rPr>
              <w:t>15 години и по-възрастни</w:t>
            </w:r>
          </w:p>
          <w:p w14:paraId="375BCB6E" w14:textId="4CA990B9" w:rsidR="001C4776" w:rsidRPr="001C4776" w:rsidRDefault="001C4776" w:rsidP="001C4776">
            <w:r w:rsidRPr="001C4776">
              <w:rPr>
                <w:b/>
                <w:bCs/>
                <w:szCs w:val="20"/>
              </w:rPr>
              <w:t xml:space="preserve">(две 12- седмични проучвания; </w:t>
            </w:r>
            <w:r w:rsidRPr="001C4776">
              <w:rPr>
                <w:b/>
                <w:bCs/>
                <w:szCs w:val="20"/>
                <w:lang w:val="en-US"/>
              </w:rPr>
              <w:t>n</w:t>
            </w:r>
            <w:r w:rsidRPr="001C4776">
              <w:rPr>
                <w:b/>
                <w:bCs/>
                <w:szCs w:val="20"/>
              </w:rPr>
              <w:t>=795)</w:t>
            </w:r>
          </w:p>
        </w:tc>
        <w:tc>
          <w:tcPr>
            <w:tcW w:w="1912" w:type="dxa"/>
            <w:vAlign w:val="bottom"/>
          </w:tcPr>
          <w:p w14:paraId="2021E226" w14:textId="77777777" w:rsidR="001C4776" w:rsidRPr="001C4776" w:rsidRDefault="001C4776" w:rsidP="001C4776">
            <w:r w:rsidRPr="001C4776">
              <w:rPr>
                <w:b/>
                <w:bCs/>
                <w:szCs w:val="20"/>
              </w:rPr>
              <w:t>Педиатрични пациенти</w:t>
            </w:r>
          </w:p>
          <w:p w14:paraId="4EED9695" w14:textId="77777777" w:rsidR="001C4776" w:rsidRPr="001C4776" w:rsidRDefault="001C4776" w:rsidP="001C4776">
            <w:r w:rsidRPr="001C4776">
              <w:rPr>
                <w:b/>
                <w:bCs/>
                <w:szCs w:val="20"/>
              </w:rPr>
              <w:t>6 до 14 години</w:t>
            </w:r>
          </w:p>
          <w:p w14:paraId="0BB6B69C" w14:textId="77777777" w:rsidR="001C4776" w:rsidRPr="001C4776" w:rsidRDefault="001C4776" w:rsidP="001C4776">
            <w:r w:rsidRPr="001C4776">
              <w:rPr>
                <w:b/>
                <w:bCs/>
                <w:szCs w:val="20"/>
              </w:rPr>
              <w:t xml:space="preserve">(едно 8- седмичио проучване; </w:t>
            </w:r>
            <w:r w:rsidRPr="001C4776">
              <w:rPr>
                <w:b/>
                <w:bCs/>
                <w:szCs w:val="20"/>
                <w:lang w:val="en-US"/>
              </w:rPr>
              <w:t>n</w:t>
            </w:r>
            <w:r w:rsidRPr="001C4776">
              <w:rPr>
                <w:b/>
                <w:bCs/>
                <w:szCs w:val="20"/>
              </w:rPr>
              <w:t>=201)</w:t>
            </w:r>
          </w:p>
          <w:p w14:paraId="5797FE60" w14:textId="7B884866" w:rsidR="001C4776" w:rsidRPr="001C4776" w:rsidRDefault="001C4776" w:rsidP="001C4776">
            <w:r w:rsidRPr="001C4776">
              <w:rPr>
                <w:b/>
                <w:bCs/>
                <w:szCs w:val="20"/>
              </w:rPr>
              <w:t xml:space="preserve">(две 56- седмичнн проучвания; </w:t>
            </w:r>
            <w:r w:rsidRPr="001C4776">
              <w:rPr>
                <w:b/>
                <w:bCs/>
                <w:szCs w:val="20"/>
                <w:lang w:val="en-US"/>
              </w:rPr>
              <w:t>n</w:t>
            </w:r>
            <w:r w:rsidRPr="001C4776">
              <w:rPr>
                <w:b/>
                <w:bCs/>
                <w:szCs w:val="20"/>
              </w:rPr>
              <w:t>=615)</w:t>
            </w:r>
          </w:p>
        </w:tc>
        <w:tc>
          <w:tcPr>
            <w:tcW w:w="1912" w:type="dxa"/>
            <w:vAlign w:val="bottom"/>
          </w:tcPr>
          <w:p w14:paraId="364E6711" w14:textId="77777777" w:rsidR="001C4776" w:rsidRPr="001C4776" w:rsidRDefault="001C4776" w:rsidP="001C4776">
            <w:r w:rsidRPr="001C4776">
              <w:rPr>
                <w:b/>
                <w:bCs/>
                <w:szCs w:val="20"/>
              </w:rPr>
              <w:t>Педиатрични пациенти</w:t>
            </w:r>
          </w:p>
          <w:p w14:paraId="78D4D44F" w14:textId="77777777" w:rsidR="001C4776" w:rsidRPr="001C4776" w:rsidRDefault="001C4776" w:rsidP="001C4776">
            <w:r w:rsidRPr="001C4776">
              <w:rPr>
                <w:b/>
                <w:bCs/>
                <w:szCs w:val="20"/>
              </w:rPr>
              <w:t>2 до 5 години</w:t>
            </w:r>
          </w:p>
          <w:p w14:paraId="17E1D270" w14:textId="77777777" w:rsidR="001C4776" w:rsidRPr="001C4776" w:rsidRDefault="001C4776" w:rsidP="001C4776">
            <w:r w:rsidRPr="001C4776">
              <w:rPr>
                <w:b/>
                <w:bCs/>
                <w:szCs w:val="20"/>
              </w:rPr>
              <w:t xml:space="preserve">(едно 12- седмично проучване; </w:t>
            </w:r>
            <w:r w:rsidRPr="001C4776">
              <w:rPr>
                <w:b/>
                <w:bCs/>
                <w:szCs w:val="20"/>
                <w:lang w:val="en-US"/>
              </w:rPr>
              <w:t>n</w:t>
            </w:r>
            <w:r w:rsidRPr="001C4776">
              <w:rPr>
                <w:b/>
                <w:bCs/>
                <w:szCs w:val="20"/>
              </w:rPr>
              <w:t>=461)</w:t>
            </w:r>
          </w:p>
          <w:p w14:paraId="7D069CDC" w14:textId="4D52D05A" w:rsidR="001C4776" w:rsidRPr="001C4776" w:rsidRDefault="001C4776" w:rsidP="001C4776">
            <w:r w:rsidRPr="001C4776">
              <w:rPr>
                <w:b/>
                <w:bCs/>
                <w:szCs w:val="20"/>
              </w:rPr>
              <w:t xml:space="preserve">(едно 48- седмично проучване; </w:t>
            </w:r>
            <w:r w:rsidRPr="001C4776">
              <w:rPr>
                <w:b/>
                <w:bCs/>
                <w:szCs w:val="20"/>
                <w:lang w:val="en-US"/>
              </w:rPr>
              <w:t>n</w:t>
            </w:r>
            <w:r w:rsidRPr="001C4776">
              <w:rPr>
                <w:b/>
                <w:bCs/>
                <w:szCs w:val="20"/>
              </w:rPr>
              <w:t>=278)</w:t>
            </w:r>
          </w:p>
        </w:tc>
        <w:tc>
          <w:tcPr>
            <w:tcW w:w="1913" w:type="dxa"/>
          </w:tcPr>
          <w:p w14:paraId="7D0FF957" w14:textId="77777777" w:rsidR="001C4776" w:rsidRPr="001C4776" w:rsidRDefault="001C4776" w:rsidP="001C4776">
            <w:r w:rsidRPr="001C4776">
              <w:rPr>
                <w:b/>
                <w:bCs/>
                <w:szCs w:val="20"/>
              </w:rPr>
              <w:t>Педиатрични пациенти</w:t>
            </w:r>
          </w:p>
          <w:p w14:paraId="68DD66FA" w14:textId="77777777" w:rsidR="001C4776" w:rsidRPr="001C4776" w:rsidRDefault="001C4776" w:rsidP="001C4776">
            <w:r w:rsidRPr="001C4776">
              <w:rPr>
                <w:b/>
                <w:bCs/>
                <w:szCs w:val="20"/>
              </w:rPr>
              <w:t>6 месеца до 2 години</w:t>
            </w:r>
          </w:p>
          <w:p w14:paraId="01BCAB06" w14:textId="10C48613" w:rsidR="001C4776" w:rsidRPr="001C4776" w:rsidRDefault="001C4776" w:rsidP="001C4776">
            <w:r w:rsidRPr="001C4776">
              <w:rPr>
                <w:b/>
                <w:bCs/>
                <w:szCs w:val="20"/>
              </w:rPr>
              <w:t xml:space="preserve">(едно 6- седмично проучване; </w:t>
            </w:r>
            <w:r w:rsidRPr="001C4776">
              <w:rPr>
                <w:b/>
                <w:bCs/>
                <w:szCs w:val="20"/>
                <w:lang w:val="en-US"/>
              </w:rPr>
              <w:t>n</w:t>
            </w:r>
            <w:r w:rsidRPr="001C4776">
              <w:rPr>
                <w:b/>
                <w:bCs/>
                <w:szCs w:val="20"/>
              </w:rPr>
              <w:t>=175)</w:t>
            </w:r>
          </w:p>
        </w:tc>
      </w:tr>
      <w:tr w:rsidR="001C4776" w14:paraId="4CAE6F35" w14:textId="77777777" w:rsidTr="001C4776">
        <w:tc>
          <w:tcPr>
            <w:tcW w:w="1928" w:type="dxa"/>
            <w:vAlign w:val="bottom"/>
          </w:tcPr>
          <w:p w14:paraId="2D4DF7D0" w14:textId="5E58470A" w:rsidR="001C4776" w:rsidRPr="001C4776" w:rsidRDefault="001C4776" w:rsidP="001C4776">
            <w:r w:rsidRPr="001C4776">
              <w:rPr>
                <w:b/>
                <w:bCs/>
                <w:szCs w:val="20"/>
              </w:rPr>
              <w:t>Нарушения на нервната система</w:t>
            </w:r>
          </w:p>
        </w:tc>
        <w:tc>
          <w:tcPr>
            <w:tcW w:w="1911" w:type="dxa"/>
          </w:tcPr>
          <w:p w14:paraId="2328C3C6" w14:textId="7BAA370D" w:rsidR="001C4776" w:rsidRPr="001C4776" w:rsidRDefault="001C4776" w:rsidP="001C4776">
            <w:r w:rsidRPr="001C4776">
              <w:rPr>
                <w:szCs w:val="20"/>
              </w:rPr>
              <w:t>главоболие</w:t>
            </w:r>
          </w:p>
        </w:tc>
        <w:tc>
          <w:tcPr>
            <w:tcW w:w="1912" w:type="dxa"/>
          </w:tcPr>
          <w:p w14:paraId="6DEB5B45" w14:textId="4C0EE78E" w:rsidR="001C4776" w:rsidRPr="001C4776" w:rsidRDefault="001C4776" w:rsidP="001C4776">
            <w:r w:rsidRPr="001C4776">
              <w:rPr>
                <w:szCs w:val="20"/>
              </w:rPr>
              <w:t>главоболие</w:t>
            </w:r>
          </w:p>
        </w:tc>
        <w:tc>
          <w:tcPr>
            <w:tcW w:w="1912" w:type="dxa"/>
          </w:tcPr>
          <w:p w14:paraId="791945D2" w14:textId="77777777" w:rsidR="001C4776" w:rsidRPr="001C4776" w:rsidRDefault="001C4776" w:rsidP="001C4776"/>
        </w:tc>
        <w:tc>
          <w:tcPr>
            <w:tcW w:w="1913" w:type="dxa"/>
          </w:tcPr>
          <w:p w14:paraId="59988EE3" w14:textId="72D619E9" w:rsidR="001C4776" w:rsidRPr="001C4776" w:rsidRDefault="001C4776" w:rsidP="001C4776">
            <w:r w:rsidRPr="001C4776">
              <w:rPr>
                <w:szCs w:val="20"/>
              </w:rPr>
              <w:t>хиперкинезия</w:t>
            </w:r>
          </w:p>
        </w:tc>
      </w:tr>
      <w:tr w:rsidR="001C4776" w14:paraId="4A5EB95C" w14:textId="77777777" w:rsidTr="001C4776">
        <w:tc>
          <w:tcPr>
            <w:tcW w:w="1928" w:type="dxa"/>
            <w:vAlign w:val="bottom"/>
          </w:tcPr>
          <w:p w14:paraId="5AED2ECD" w14:textId="1AACEBFE" w:rsidR="001C4776" w:rsidRPr="001C4776" w:rsidRDefault="001C4776" w:rsidP="001C4776">
            <w:r w:rsidRPr="001C4776">
              <w:rPr>
                <w:b/>
                <w:bCs/>
                <w:szCs w:val="20"/>
              </w:rPr>
              <w:t>Респираторни, гръдни и медиастинални нарушения</w:t>
            </w:r>
          </w:p>
        </w:tc>
        <w:tc>
          <w:tcPr>
            <w:tcW w:w="1911" w:type="dxa"/>
          </w:tcPr>
          <w:p w14:paraId="5829538D" w14:textId="77777777" w:rsidR="001C4776" w:rsidRPr="001C4776" w:rsidRDefault="001C4776" w:rsidP="001C4776"/>
        </w:tc>
        <w:tc>
          <w:tcPr>
            <w:tcW w:w="1912" w:type="dxa"/>
          </w:tcPr>
          <w:p w14:paraId="44772356" w14:textId="77777777" w:rsidR="001C4776" w:rsidRPr="001C4776" w:rsidRDefault="001C4776" w:rsidP="001C4776"/>
        </w:tc>
        <w:tc>
          <w:tcPr>
            <w:tcW w:w="1912" w:type="dxa"/>
          </w:tcPr>
          <w:p w14:paraId="29936F4A" w14:textId="77777777" w:rsidR="001C4776" w:rsidRPr="001C4776" w:rsidRDefault="001C4776" w:rsidP="001C4776"/>
        </w:tc>
        <w:tc>
          <w:tcPr>
            <w:tcW w:w="1913" w:type="dxa"/>
          </w:tcPr>
          <w:p w14:paraId="18212395" w14:textId="76E63BEC" w:rsidR="001C4776" w:rsidRPr="001C4776" w:rsidRDefault="001C4776" w:rsidP="001C4776">
            <w:r w:rsidRPr="001C4776">
              <w:rPr>
                <w:szCs w:val="20"/>
              </w:rPr>
              <w:t>астма</w:t>
            </w:r>
          </w:p>
        </w:tc>
      </w:tr>
      <w:tr w:rsidR="001C4776" w14:paraId="4CCC0A92" w14:textId="77777777" w:rsidTr="001C4776">
        <w:tc>
          <w:tcPr>
            <w:tcW w:w="1928" w:type="dxa"/>
            <w:vAlign w:val="bottom"/>
          </w:tcPr>
          <w:p w14:paraId="2EF9DB09" w14:textId="7995C5F7" w:rsidR="001C4776" w:rsidRPr="001C4776" w:rsidRDefault="001C4776" w:rsidP="001C4776">
            <w:r w:rsidRPr="001C4776">
              <w:rPr>
                <w:b/>
                <w:bCs/>
                <w:szCs w:val="20"/>
              </w:rPr>
              <w:t>Стомашно-чревни нарушения</w:t>
            </w:r>
          </w:p>
        </w:tc>
        <w:tc>
          <w:tcPr>
            <w:tcW w:w="1911" w:type="dxa"/>
          </w:tcPr>
          <w:p w14:paraId="4254AF3A" w14:textId="01D8910A" w:rsidR="001C4776" w:rsidRPr="001C4776" w:rsidRDefault="001C4776" w:rsidP="001C4776">
            <w:r w:rsidRPr="001C4776">
              <w:rPr>
                <w:szCs w:val="20"/>
              </w:rPr>
              <w:t>коремна болка</w:t>
            </w:r>
          </w:p>
        </w:tc>
        <w:tc>
          <w:tcPr>
            <w:tcW w:w="1912" w:type="dxa"/>
          </w:tcPr>
          <w:p w14:paraId="45D31E6F" w14:textId="77777777" w:rsidR="001C4776" w:rsidRPr="001C4776" w:rsidRDefault="001C4776" w:rsidP="001C4776"/>
        </w:tc>
        <w:tc>
          <w:tcPr>
            <w:tcW w:w="1912" w:type="dxa"/>
          </w:tcPr>
          <w:p w14:paraId="4F436469" w14:textId="6C40ED4B" w:rsidR="001C4776" w:rsidRPr="001C4776" w:rsidRDefault="001C4776" w:rsidP="001C4776">
            <w:r w:rsidRPr="001C4776">
              <w:rPr>
                <w:szCs w:val="20"/>
              </w:rPr>
              <w:t>коремна болка</w:t>
            </w:r>
          </w:p>
        </w:tc>
        <w:tc>
          <w:tcPr>
            <w:tcW w:w="1913" w:type="dxa"/>
          </w:tcPr>
          <w:p w14:paraId="676FF30C" w14:textId="11DC4D16" w:rsidR="001C4776" w:rsidRPr="001C4776" w:rsidRDefault="001C4776" w:rsidP="001C4776">
            <w:r w:rsidRPr="001C4776">
              <w:rPr>
                <w:szCs w:val="20"/>
              </w:rPr>
              <w:t>диария</w:t>
            </w:r>
          </w:p>
        </w:tc>
      </w:tr>
      <w:tr w:rsidR="001C4776" w14:paraId="33BBDEC6" w14:textId="77777777" w:rsidTr="001C4776">
        <w:tc>
          <w:tcPr>
            <w:tcW w:w="1928" w:type="dxa"/>
            <w:vAlign w:val="bottom"/>
          </w:tcPr>
          <w:p w14:paraId="4ABE5C81" w14:textId="4B8612B1" w:rsidR="001C4776" w:rsidRPr="001C4776" w:rsidRDefault="001C4776" w:rsidP="001C4776">
            <w:r w:rsidRPr="001C4776">
              <w:rPr>
                <w:b/>
                <w:bCs/>
                <w:szCs w:val="20"/>
              </w:rPr>
              <w:t>Нарушения на кожата и подкожните тъкани</w:t>
            </w:r>
          </w:p>
        </w:tc>
        <w:tc>
          <w:tcPr>
            <w:tcW w:w="1911" w:type="dxa"/>
          </w:tcPr>
          <w:p w14:paraId="03EF9610" w14:textId="77777777" w:rsidR="001C4776" w:rsidRPr="001C4776" w:rsidRDefault="001C4776" w:rsidP="001C4776"/>
        </w:tc>
        <w:tc>
          <w:tcPr>
            <w:tcW w:w="1912" w:type="dxa"/>
          </w:tcPr>
          <w:p w14:paraId="195C8515" w14:textId="77777777" w:rsidR="001C4776" w:rsidRPr="001C4776" w:rsidRDefault="001C4776" w:rsidP="001C4776"/>
        </w:tc>
        <w:tc>
          <w:tcPr>
            <w:tcW w:w="1912" w:type="dxa"/>
          </w:tcPr>
          <w:p w14:paraId="0D6A42FC" w14:textId="77777777" w:rsidR="001C4776" w:rsidRPr="001C4776" w:rsidRDefault="001C4776" w:rsidP="001C4776"/>
        </w:tc>
        <w:tc>
          <w:tcPr>
            <w:tcW w:w="1913" w:type="dxa"/>
            <w:vAlign w:val="bottom"/>
          </w:tcPr>
          <w:p w14:paraId="4098748B" w14:textId="7187F800" w:rsidR="001C4776" w:rsidRPr="001C4776" w:rsidRDefault="001C4776" w:rsidP="001C4776">
            <w:r w:rsidRPr="001C4776">
              <w:rPr>
                <w:szCs w:val="20"/>
              </w:rPr>
              <w:t>екзематозен дерматит, обрив</w:t>
            </w:r>
          </w:p>
        </w:tc>
      </w:tr>
      <w:tr w:rsidR="001C4776" w14:paraId="72330C48" w14:textId="77777777" w:rsidTr="001C4776">
        <w:tc>
          <w:tcPr>
            <w:tcW w:w="1928" w:type="dxa"/>
            <w:vAlign w:val="bottom"/>
          </w:tcPr>
          <w:p w14:paraId="495E2972" w14:textId="084200D4" w:rsidR="001C4776" w:rsidRPr="001C4776" w:rsidRDefault="001C4776" w:rsidP="001C4776">
            <w:r w:rsidRPr="001C4776">
              <w:rPr>
                <w:b/>
                <w:bCs/>
                <w:szCs w:val="20"/>
              </w:rPr>
              <w:t>Общи нарушения и ефекти на мястото на приложение</w:t>
            </w:r>
          </w:p>
        </w:tc>
        <w:tc>
          <w:tcPr>
            <w:tcW w:w="1911" w:type="dxa"/>
          </w:tcPr>
          <w:p w14:paraId="3C68DA3F" w14:textId="77777777" w:rsidR="001C4776" w:rsidRPr="001C4776" w:rsidRDefault="001C4776" w:rsidP="001C4776"/>
        </w:tc>
        <w:tc>
          <w:tcPr>
            <w:tcW w:w="1912" w:type="dxa"/>
          </w:tcPr>
          <w:p w14:paraId="1D8988F1" w14:textId="77777777" w:rsidR="001C4776" w:rsidRPr="001C4776" w:rsidRDefault="001C4776" w:rsidP="001C4776"/>
        </w:tc>
        <w:tc>
          <w:tcPr>
            <w:tcW w:w="1912" w:type="dxa"/>
          </w:tcPr>
          <w:p w14:paraId="4057482A" w14:textId="67267CFC" w:rsidR="001C4776" w:rsidRPr="001C4776" w:rsidRDefault="001C4776" w:rsidP="001C4776">
            <w:r w:rsidRPr="001C4776">
              <w:rPr>
                <w:szCs w:val="20"/>
              </w:rPr>
              <w:t>жажда</w:t>
            </w:r>
          </w:p>
        </w:tc>
        <w:tc>
          <w:tcPr>
            <w:tcW w:w="1913" w:type="dxa"/>
          </w:tcPr>
          <w:p w14:paraId="6F783917" w14:textId="77777777" w:rsidR="001C4776" w:rsidRPr="001C4776" w:rsidRDefault="001C4776" w:rsidP="001C4776"/>
        </w:tc>
      </w:tr>
    </w:tbl>
    <w:p w14:paraId="25D642B2" w14:textId="77777777" w:rsidR="001C4776" w:rsidRDefault="001C4776" w:rsidP="001C4776">
      <w:pPr>
        <w:rPr>
          <w:sz w:val="20"/>
          <w:szCs w:val="20"/>
        </w:rPr>
      </w:pPr>
    </w:p>
    <w:p w14:paraId="68AFF7B3" w14:textId="27C978DD" w:rsidR="001C4776" w:rsidRPr="001C4776" w:rsidRDefault="001C4776" w:rsidP="001C4776">
      <w:pPr>
        <w:rPr>
          <w:rFonts w:cs="Arial"/>
          <w:szCs w:val="20"/>
        </w:rPr>
      </w:pPr>
      <w:r w:rsidRPr="001C4776">
        <w:rPr>
          <w:rFonts w:cs="Arial"/>
          <w:szCs w:val="20"/>
        </w:rPr>
        <w:t>В клинични проучвания с удължаване на лечението, при ограничен брой пациенти до 2 години</w:t>
      </w:r>
      <w:r w:rsidRPr="001C4776">
        <w:rPr>
          <w:rFonts w:cs="Arial"/>
          <w:szCs w:val="20"/>
          <w:vertAlign w:val="superscript"/>
        </w:rPr>
        <w:t xml:space="preserve"> </w:t>
      </w:r>
      <w:r w:rsidRPr="001C4776">
        <w:rPr>
          <w:rFonts w:cs="Arial"/>
          <w:szCs w:val="20"/>
        </w:rPr>
        <w:t>за възрастните и до 12 месеца за педиатричните пациенти на възраст между 6 и 14 години, профилът на безопасност не се е променил.</w:t>
      </w:r>
    </w:p>
    <w:p w14:paraId="772E73B9" w14:textId="4C1A7E50" w:rsidR="001C4776" w:rsidRPr="001C4776" w:rsidRDefault="001C4776" w:rsidP="001C4776">
      <w:pPr>
        <w:rPr>
          <w:rFonts w:cs="Arial"/>
          <w:szCs w:val="20"/>
        </w:rPr>
      </w:pPr>
    </w:p>
    <w:p w14:paraId="23758FA0"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 xml:space="preserve">Кумулативно, 502 педиатрични пациенти на възраст от 2 до 5 години са били лекувани с монтелукаст най-малко в продължение на 3 месеца, 338 в продължение на 6 месеца и 534 пациенти в продължение на 12 месеца или повече. С удължаване </w:t>
      </w:r>
      <w:r w:rsidRPr="001C4776">
        <w:rPr>
          <w:rFonts w:eastAsia="Times New Roman" w:cs="Arial"/>
          <w:color w:val="000000"/>
          <w:szCs w:val="20"/>
          <w:lang w:eastAsia="bg-BG"/>
        </w:rPr>
        <w:lastRenderedPageBreak/>
        <w:t>продължителността на лечение, профилът на безопасност при тези пациенти не се е променил.</w:t>
      </w:r>
    </w:p>
    <w:p w14:paraId="1A43F9B9" w14:textId="77777777" w:rsidR="001C4776" w:rsidRPr="001C4776" w:rsidRDefault="001C4776" w:rsidP="001C4776">
      <w:pPr>
        <w:spacing w:line="240" w:lineRule="auto"/>
        <w:rPr>
          <w:rFonts w:eastAsia="Times New Roman" w:cs="Arial"/>
          <w:color w:val="000000"/>
          <w:szCs w:val="20"/>
          <w:lang w:eastAsia="bg-BG"/>
        </w:rPr>
      </w:pPr>
    </w:p>
    <w:p w14:paraId="7013B2BB" w14:textId="11197FAE"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Профилът на безопасност при педиатрични пациенти на възраст от 6 месеца до 2 години не се е променил при лечение с продължителност до 3 месеца.</w:t>
      </w:r>
    </w:p>
    <w:p w14:paraId="11DA7CAB" w14:textId="77777777" w:rsidR="001C4776" w:rsidRPr="001C4776" w:rsidRDefault="001C4776" w:rsidP="001C4776">
      <w:pPr>
        <w:spacing w:line="240" w:lineRule="auto"/>
        <w:rPr>
          <w:rFonts w:eastAsia="Times New Roman" w:cs="Arial"/>
          <w:color w:val="000000"/>
          <w:szCs w:val="20"/>
          <w:lang w:eastAsia="bg-BG"/>
        </w:rPr>
      </w:pPr>
    </w:p>
    <w:p w14:paraId="3EBCA652" w14:textId="3CCFFAEF"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Списък на нежеланите реакции в табличен вид</w:t>
      </w:r>
    </w:p>
    <w:p w14:paraId="66457154" w14:textId="3DBA3663" w:rsidR="001C4776" w:rsidRDefault="001C4776" w:rsidP="001C4776">
      <w:pPr>
        <w:spacing w:line="240" w:lineRule="auto"/>
        <w:rPr>
          <w:rFonts w:eastAsia="Times New Roman" w:cs="Arial"/>
          <w:color w:val="000000"/>
          <w:szCs w:val="20"/>
          <w:lang w:eastAsia="bg-BG"/>
        </w:rPr>
      </w:pPr>
      <w:r w:rsidRPr="001C4776">
        <w:rPr>
          <w:rFonts w:eastAsia="Times New Roman" w:cs="Arial"/>
          <w:color w:val="000000"/>
          <w:szCs w:val="20"/>
          <w:lang w:eastAsia="bg-BG"/>
        </w:rPr>
        <w:t>Нежеланите реакции, докладвани при постмаркетингова употреба и специфичните нежелани реакции са изброени по система-орган-клас в таблицата по-долу. Категориите по честота са изчислени въз основа на съответните клинични проучвания.</w:t>
      </w:r>
    </w:p>
    <w:p w14:paraId="2BC55500" w14:textId="4C5A9D18" w:rsidR="001C4776" w:rsidRDefault="001C4776" w:rsidP="001C4776">
      <w:pPr>
        <w:spacing w:line="240" w:lineRule="auto"/>
        <w:rPr>
          <w:rFonts w:eastAsia="Times New Roman" w:cs="Arial"/>
          <w:color w:val="000000"/>
          <w:szCs w:val="20"/>
          <w:lang w:eastAsia="bg-BG"/>
        </w:rPr>
      </w:pPr>
    </w:p>
    <w:tbl>
      <w:tblPr>
        <w:tblStyle w:val="TableGrid"/>
        <w:tblW w:w="0" w:type="auto"/>
        <w:tblLook w:val="04A0" w:firstRow="1" w:lastRow="0" w:firstColumn="1" w:lastColumn="0" w:noHBand="0" w:noVBand="1"/>
      </w:tblPr>
      <w:tblGrid>
        <w:gridCol w:w="3118"/>
        <w:gridCol w:w="3160"/>
        <w:gridCol w:w="3072"/>
      </w:tblGrid>
      <w:tr w:rsidR="001C4776" w14:paraId="0E919744" w14:textId="77777777" w:rsidTr="001C4776">
        <w:tc>
          <w:tcPr>
            <w:tcW w:w="3192" w:type="dxa"/>
          </w:tcPr>
          <w:p w14:paraId="62D18460" w14:textId="02A0C06B" w:rsidR="001C4776" w:rsidRPr="001C4776" w:rsidRDefault="001C4776" w:rsidP="001C4776">
            <w:pPr>
              <w:spacing w:line="240" w:lineRule="auto"/>
              <w:rPr>
                <w:rFonts w:eastAsia="Times New Roman" w:cs="Arial"/>
                <w:szCs w:val="24"/>
              </w:rPr>
            </w:pPr>
            <w:r w:rsidRPr="001C4776">
              <w:rPr>
                <w:b/>
                <w:bCs/>
                <w:szCs w:val="20"/>
              </w:rPr>
              <w:t>Системо-органнн класове</w:t>
            </w:r>
          </w:p>
        </w:tc>
        <w:tc>
          <w:tcPr>
            <w:tcW w:w="3192" w:type="dxa"/>
          </w:tcPr>
          <w:p w14:paraId="1AD0324A" w14:textId="6C026857" w:rsidR="001C4776" w:rsidRPr="001C4776" w:rsidRDefault="001C4776" w:rsidP="001C4776">
            <w:pPr>
              <w:spacing w:line="240" w:lineRule="auto"/>
              <w:rPr>
                <w:rFonts w:eastAsia="Times New Roman" w:cs="Arial"/>
                <w:szCs w:val="24"/>
              </w:rPr>
            </w:pPr>
            <w:r w:rsidRPr="001C4776">
              <w:rPr>
                <w:b/>
                <w:bCs/>
                <w:szCs w:val="20"/>
              </w:rPr>
              <w:t>Нежелана реакция</w:t>
            </w:r>
          </w:p>
        </w:tc>
        <w:tc>
          <w:tcPr>
            <w:tcW w:w="3192" w:type="dxa"/>
          </w:tcPr>
          <w:p w14:paraId="40260B70" w14:textId="3369B68A" w:rsidR="001C4776" w:rsidRPr="001C4776" w:rsidRDefault="001C4776" w:rsidP="001C4776">
            <w:pPr>
              <w:spacing w:line="240" w:lineRule="auto"/>
              <w:rPr>
                <w:rFonts w:eastAsia="Times New Roman" w:cs="Arial"/>
                <w:szCs w:val="24"/>
              </w:rPr>
            </w:pPr>
            <w:r w:rsidRPr="001C4776">
              <w:rPr>
                <w:b/>
                <w:bCs/>
                <w:szCs w:val="20"/>
              </w:rPr>
              <w:t>Честота*</w:t>
            </w:r>
          </w:p>
        </w:tc>
      </w:tr>
      <w:tr w:rsidR="001C4776" w14:paraId="2D83545D" w14:textId="77777777" w:rsidTr="001C4776">
        <w:tc>
          <w:tcPr>
            <w:tcW w:w="3192" w:type="dxa"/>
          </w:tcPr>
          <w:p w14:paraId="0264BB70" w14:textId="798C89F2" w:rsidR="001C4776" w:rsidRPr="001C4776" w:rsidRDefault="001C4776" w:rsidP="001C4776">
            <w:pPr>
              <w:spacing w:line="240" w:lineRule="auto"/>
              <w:rPr>
                <w:rFonts w:eastAsia="Times New Roman" w:cs="Arial"/>
                <w:szCs w:val="24"/>
              </w:rPr>
            </w:pPr>
            <w:r w:rsidRPr="001C4776">
              <w:rPr>
                <w:szCs w:val="20"/>
              </w:rPr>
              <w:t>Инфекции и инфестации</w:t>
            </w:r>
          </w:p>
        </w:tc>
        <w:tc>
          <w:tcPr>
            <w:tcW w:w="3192" w:type="dxa"/>
          </w:tcPr>
          <w:p w14:paraId="6D775FD9" w14:textId="1F950380" w:rsidR="001C4776" w:rsidRPr="001C4776" w:rsidRDefault="001C4776" w:rsidP="001C4776">
            <w:pPr>
              <w:spacing w:line="240" w:lineRule="auto"/>
              <w:rPr>
                <w:rFonts w:eastAsia="Times New Roman" w:cs="Arial"/>
                <w:szCs w:val="24"/>
              </w:rPr>
            </w:pPr>
            <w:r w:rsidRPr="001C4776">
              <w:rPr>
                <w:szCs w:val="20"/>
              </w:rPr>
              <w:t>инфекции на горните дихателни пътища</w:t>
            </w:r>
            <w:r w:rsidRPr="001C4776">
              <w:rPr>
                <w:szCs w:val="20"/>
                <w:vertAlign w:val="superscript"/>
              </w:rPr>
              <w:t>+</w:t>
            </w:r>
          </w:p>
        </w:tc>
        <w:tc>
          <w:tcPr>
            <w:tcW w:w="3192" w:type="dxa"/>
          </w:tcPr>
          <w:p w14:paraId="17A4EF77" w14:textId="32B3FF45" w:rsidR="001C4776" w:rsidRPr="001C4776" w:rsidRDefault="001C4776" w:rsidP="001C4776">
            <w:pPr>
              <w:spacing w:line="240" w:lineRule="auto"/>
              <w:rPr>
                <w:rFonts w:eastAsia="Times New Roman" w:cs="Arial"/>
                <w:szCs w:val="24"/>
              </w:rPr>
            </w:pPr>
            <w:r w:rsidRPr="001C4776">
              <w:rPr>
                <w:szCs w:val="20"/>
              </w:rPr>
              <w:t>Много чести</w:t>
            </w:r>
          </w:p>
        </w:tc>
      </w:tr>
      <w:tr w:rsidR="001C4776" w14:paraId="62058E4E" w14:textId="77777777" w:rsidTr="001C4776">
        <w:tc>
          <w:tcPr>
            <w:tcW w:w="3192" w:type="dxa"/>
            <w:vMerge w:val="restart"/>
          </w:tcPr>
          <w:p w14:paraId="22484D1A" w14:textId="3E54D5A1" w:rsidR="001C4776" w:rsidRPr="001C4776" w:rsidRDefault="001C4776" w:rsidP="001C4776">
            <w:pPr>
              <w:spacing w:line="240" w:lineRule="auto"/>
              <w:rPr>
                <w:rFonts w:eastAsia="Times New Roman" w:cs="Arial"/>
                <w:szCs w:val="24"/>
              </w:rPr>
            </w:pPr>
            <w:r w:rsidRPr="001C4776">
              <w:rPr>
                <w:szCs w:val="20"/>
              </w:rPr>
              <w:t>Нарушения на кръвта и лимфната система</w:t>
            </w:r>
          </w:p>
        </w:tc>
        <w:tc>
          <w:tcPr>
            <w:tcW w:w="3192" w:type="dxa"/>
          </w:tcPr>
          <w:p w14:paraId="4AC2A5B4" w14:textId="579459FA" w:rsidR="001C4776" w:rsidRPr="001C4776" w:rsidRDefault="001C4776" w:rsidP="001C4776">
            <w:pPr>
              <w:spacing w:line="240" w:lineRule="auto"/>
              <w:rPr>
                <w:rFonts w:eastAsia="Times New Roman" w:cs="Arial"/>
                <w:szCs w:val="24"/>
              </w:rPr>
            </w:pPr>
            <w:r w:rsidRPr="001C4776">
              <w:rPr>
                <w:szCs w:val="20"/>
              </w:rPr>
              <w:t>повишена склонност към кървене</w:t>
            </w:r>
          </w:p>
        </w:tc>
        <w:tc>
          <w:tcPr>
            <w:tcW w:w="3192" w:type="dxa"/>
          </w:tcPr>
          <w:p w14:paraId="285BBA44" w14:textId="714CB983" w:rsidR="001C4776" w:rsidRPr="001C4776" w:rsidRDefault="001C4776" w:rsidP="001C4776">
            <w:pPr>
              <w:spacing w:line="240" w:lineRule="auto"/>
              <w:rPr>
                <w:rFonts w:eastAsia="Times New Roman" w:cs="Arial"/>
                <w:szCs w:val="24"/>
              </w:rPr>
            </w:pPr>
            <w:r w:rsidRPr="001C4776">
              <w:rPr>
                <w:szCs w:val="20"/>
              </w:rPr>
              <w:t>Редки</w:t>
            </w:r>
          </w:p>
        </w:tc>
      </w:tr>
      <w:tr w:rsidR="001C4776" w14:paraId="5C653111" w14:textId="77777777" w:rsidTr="001C4776">
        <w:tc>
          <w:tcPr>
            <w:tcW w:w="3192" w:type="dxa"/>
            <w:vMerge/>
          </w:tcPr>
          <w:p w14:paraId="0A312ABE" w14:textId="77777777" w:rsidR="001C4776" w:rsidRPr="001C4776" w:rsidRDefault="001C4776" w:rsidP="001C4776">
            <w:pPr>
              <w:spacing w:line="240" w:lineRule="auto"/>
              <w:rPr>
                <w:rFonts w:eastAsia="Times New Roman" w:cs="Arial"/>
                <w:szCs w:val="24"/>
              </w:rPr>
            </w:pPr>
          </w:p>
        </w:tc>
        <w:tc>
          <w:tcPr>
            <w:tcW w:w="3192" w:type="dxa"/>
          </w:tcPr>
          <w:p w14:paraId="1B417DCA" w14:textId="2775D3CC" w:rsidR="001C4776" w:rsidRPr="001C4776" w:rsidRDefault="001C4776" w:rsidP="001C4776">
            <w:pPr>
              <w:spacing w:line="240" w:lineRule="auto"/>
              <w:rPr>
                <w:rFonts w:eastAsia="Times New Roman" w:cs="Arial"/>
                <w:szCs w:val="24"/>
              </w:rPr>
            </w:pPr>
            <w:r w:rsidRPr="001C4776">
              <w:rPr>
                <w:szCs w:val="20"/>
              </w:rPr>
              <w:t>тромбоцитопения</w:t>
            </w:r>
          </w:p>
        </w:tc>
        <w:tc>
          <w:tcPr>
            <w:tcW w:w="3192" w:type="dxa"/>
          </w:tcPr>
          <w:p w14:paraId="3A835BCA" w14:textId="6E4B00AA" w:rsidR="001C4776" w:rsidRPr="001C4776" w:rsidRDefault="001C4776" w:rsidP="001C4776">
            <w:pPr>
              <w:spacing w:line="240" w:lineRule="auto"/>
              <w:rPr>
                <w:rFonts w:eastAsia="Times New Roman" w:cs="Arial"/>
                <w:szCs w:val="24"/>
              </w:rPr>
            </w:pPr>
            <w:r w:rsidRPr="001C4776">
              <w:rPr>
                <w:szCs w:val="20"/>
              </w:rPr>
              <w:t>Много редки</w:t>
            </w:r>
          </w:p>
        </w:tc>
      </w:tr>
      <w:tr w:rsidR="001C4776" w14:paraId="7C07F240" w14:textId="77777777" w:rsidTr="001C4776">
        <w:tc>
          <w:tcPr>
            <w:tcW w:w="3192" w:type="dxa"/>
            <w:vMerge w:val="restart"/>
          </w:tcPr>
          <w:p w14:paraId="31184D77" w14:textId="4E656581" w:rsidR="001C4776" w:rsidRPr="001C4776" w:rsidRDefault="001C4776" w:rsidP="001C4776">
            <w:pPr>
              <w:spacing w:line="240" w:lineRule="auto"/>
              <w:rPr>
                <w:rFonts w:eastAsia="Times New Roman" w:cs="Arial"/>
                <w:szCs w:val="24"/>
              </w:rPr>
            </w:pPr>
            <w:r w:rsidRPr="001C4776">
              <w:rPr>
                <w:szCs w:val="20"/>
              </w:rPr>
              <w:t>Нарушения на имунната система</w:t>
            </w:r>
          </w:p>
        </w:tc>
        <w:tc>
          <w:tcPr>
            <w:tcW w:w="3192" w:type="dxa"/>
          </w:tcPr>
          <w:p w14:paraId="0C60A47A" w14:textId="22F3E77F" w:rsidR="001C4776" w:rsidRPr="001C4776" w:rsidRDefault="001C4776" w:rsidP="001C4776">
            <w:pPr>
              <w:spacing w:line="240" w:lineRule="auto"/>
              <w:rPr>
                <w:rFonts w:eastAsia="Times New Roman" w:cs="Arial"/>
                <w:szCs w:val="24"/>
              </w:rPr>
            </w:pPr>
            <w:r w:rsidRPr="001C4776">
              <w:rPr>
                <w:szCs w:val="20"/>
              </w:rPr>
              <w:t>реакции на свръхчувствителност, включително анафилаксия</w:t>
            </w:r>
          </w:p>
        </w:tc>
        <w:tc>
          <w:tcPr>
            <w:tcW w:w="3192" w:type="dxa"/>
          </w:tcPr>
          <w:p w14:paraId="7292926A" w14:textId="0204C09E" w:rsidR="001C4776" w:rsidRPr="001C4776" w:rsidRDefault="001C4776" w:rsidP="001C4776">
            <w:pPr>
              <w:spacing w:line="240" w:lineRule="auto"/>
              <w:rPr>
                <w:rFonts w:eastAsia="Times New Roman" w:cs="Arial"/>
                <w:szCs w:val="24"/>
              </w:rPr>
            </w:pPr>
            <w:r w:rsidRPr="001C4776">
              <w:rPr>
                <w:szCs w:val="20"/>
              </w:rPr>
              <w:t>Нечести</w:t>
            </w:r>
          </w:p>
        </w:tc>
      </w:tr>
      <w:tr w:rsidR="001C4776" w14:paraId="70DAC4AE" w14:textId="77777777" w:rsidTr="001C4776">
        <w:tc>
          <w:tcPr>
            <w:tcW w:w="3192" w:type="dxa"/>
            <w:vMerge/>
          </w:tcPr>
          <w:p w14:paraId="57E58A4B" w14:textId="77777777" w:rsidR="001C4776" w:rsidRPr="001C4776" w:rsidRDefault="001C4776" w:rsidP="001C4776">
            <w:pPr>
              <w:spacing w:line="240" w:lineRule="auto"/>
              <w:rPr>
                <w:rFonts w:eastAsia="Times New Roman" w:cs="Arial"/>
                <w:szCs w:val="24"/>
              </w:rPr>
            </w:pPr>
          </w:p>
        </w:tc>
        <w:tc>
          <w:tcPr>
            <w:tcW w:w="3192" w:type="dxa"/>
          </w:tcPr>
          <w:p w14:paraId="1BF741A1" w14:textId="0B5E19D6" w:rsidR="001C4776" w:rsidRPr="001C4776" w:rsidRDefault="001C4776" w:rsidP="001C4776">
            <w:pPr>
              <w:spacing w:line="240" w:lineRule="auto"/>
              <w:rPr>
                <w:rFonts w:eastAsia="Times New Roman" w:cs="Arial"/>
                <w:szCs w:val="24"/>
              </w:rPr>
            </w:pPr>
            <w:r w:rsidRPr="001C4776">
              <w:rPr>
                <w:szCs w:val="20"/>
              </w:rPr>
              <w:t>чернодробна еозинофилна инфилтрация</w:t>
            </w:r>
          </w:p>
        </w:tc>
        <w:tc>
          <w:tcPr>
            <w:tcW w:w="3192" w:type="dxa"/>
          </w:tcPr>
          <w:p w14:paraId="779D83EB" w14:textId="3411CF35" w:rsidR="001C4776" w:rsidRPr="001C4776" w:rsidRDefault="001C4776" w:rsidP="001C4776">
            <w:pPr>
              <w:spacing w:line="240" w:lineRule="auto"/>
              <w:rPr>
                <w:rFonts w:eastAsia="Times New Roman" w:cs="Arial"/>
                <w:szCs w:val="24"/>
              </w:rPr>
            </w:pPr>
            <w:r w:rsidRPr="001C4776">
              <w:rPr>
                <w:szCs w:val="20"/>
              </w:rPr>
              <w:t>Много редки</w:t>
            </w:r>
          </w:p>
        </w:tc>
      </w:tr>
      <w:tr w:rsidR="001C4776" w14:paraId="3697C719" w14:textId="77777777" w:rsidTr="001C4776">
        <w:tc>
          <w:tcPr>
            <w:tcW w:w="3192" w:type="dxa"/>
            <w:vMerge w:val="restart"/>
          </w:tcPr>
          <w:p w14:paraId="13B84039" w14:textId="63FE1F86" w:rsidR="001C4776" w:rsidRPr="001C4776" w:rsidRDefault="001C4776" w:rsidP="001C4776">
            <w:pPr>
              <w:spacing w:line="240" w:lineRule="auto"/>
              <w:rPr>
                <w:rFonts w:eastAsia="Times New Roman" w:cs="Arial"/>
                <w:szCs w:val="24"/>
              </w:rPr>
            </w:pPr>
            <w:r w:rsidRPr="001C4776">
              <w:rPr>
                <w:szCs w:val="20"/>
              </w:rPr>
              <w:t>Психични нарушения</w:t>
            </w:r>
          </w:p>
        </w:tc>
        <w:tc>
          <w:tcPr>
            <w:tcW w:w="3192" w:type="dxa"/>
          </w:tcPr>
          <w:p w14:paraId="1E848BAC" w14:textId="270C502B" w:rsidR="001C4776" w:rsidRPr="001C4776" w:rsidRDefault="001C4776" w:rsidP="001C4776">
            <w:pPr>
              <w:spacing w:line="240" w:lineRule="auto"/>
              <w:rPr>
                <w:rFonts w:eastAsia="Times New Roman" w:cs="Arial"/>
                <w:szCs w:val="24"/>
              </w:rPr>
            </w:pPr>
            <w:r w:rsidRPr="001C4776">
              <w:rPr>
                <w:szCs w:val="20"/>
              </w:rPr>
              <w:t>нарушения на съня, включително кошмари, безсъние, сомнамбулизъм, тревожност, възбуда, включително агресивно поведение или враждебност, депресия, психомоторна хиперактивност (включваща раздразнителност, безпокойство, тремор</w:t>
            </w:r>
            <w:r w:rsidRPr="001C4776">
              <w:rPr>
                <w:szCs w:val="20"/>
                <w:vertAlign w:val="superscript"/>
              </w:rPr>
              <w:t>§</w:t>
            </w:r>
            <w:r w:rsidRPr="001C4776">
              <w:rPr>
                <w:szCs w:val="20"/>
              </w:rPr>
              <w:t>)</w:t>
            </w:r>
          </w:p>
        </w:tc>
        <w:tc>
          <w:tcPr>
            <w:tcW w:w="3192" w:type="dxa"/>
          </w:tcPr>
          <w:p w14:paraId="5DEF0B77" w14:textId="1E6C3819" w:rsidR="001C4776" w:rsidRPr="001C4776" w:rsidRDefault="001C4776" w:rsidP="001C4776">
            <w:pPr>
              <w:spacing w:line="240" w:lineRule="auto"/>
              <w:rPr>
                <w:rFonts w:eastAsia="Times New Roman" w:cs="Arial"/>
                <w:szCs w:val="24"/>
              </w:rPr>
            </w:pPr>
            <w:r w:rsidRPr="001C4776">
              <w:rPr>
                <w:szCs w:val="20"/>
              </w:rPr>
              <w:t>Нечести</w:t>
            </w:r>
          </w:p>
        </w:tc>
      </w:tr>
      <w:tr w:rsidR="001C4776" w14:paraId="5A4E8682" w14:textId="77777777" w:rsidTr="001C4776">
        <w:tc>
          <w:tcPr>
            <w:tcW w:w="3192" w:type="dxa"/>
            <w:vMerge/>
          </w:tcPr>
          <w:p w14:paraId="77BDCF03" w14:textId="77777777" w:rsidR="001C4776" w:rsidRPr="001C4776" w:rsidRDefault="001C4776" w:rsidP="001C4776">
            <w:pPr>
              <w:spacing w:line="240" w:lineRule="auto"/>
              <w:rPr>
                <w:rFonts w:eastAsia="Times New Roman" w:cs="Arial"/>
                <w:szCs w:val="24"/>
              </w:rPr>
            </w:pPr>
          </w:p>
        </w:tc>
        <w:tc>
          <w:tcPr>
            <w:tcW w:w="3192" w:type="dxa"/>
          </w:tcPr>
          <w:p w14:paraId="47BBAA7D" w14:textId="38B0CC95" w:rsidR="001C4776" w:rsidRPr="001C4776" w:rsidRDefault="001C4776" w:rsidP="001C4776">
            <w:pPr>
              <w:spacing w:line="240" w:lineRule="auto"/>
              <w:rPr>
                <w:rFonts w:eastAsia="Times New Roman" w:cs="Arial"/>
                <w:szCs w:val="24"/>
              </w:rPr>
            </w:pPr>
            <w:r w:rsidRPr="001C4776">
              <w:rPr>
                <w:szCs w:val="20"/>
              </w:rPr>
              <w:t>нарушение на вниманието, нарушение на паметта, тик</w:t>
            </w:r>
          </w:p>
        </w:tc>
        <w:tc>
          <w:tcPr>
            <w:tcW w:w="3192" w:type="dxa"/>
          </w:tcPr>
          <w:p w14:paraId="058855C1" w14:textId="71A53E20" w:rsidR="001C4776" w:rsidRPr="001C4776" w:rsidRDefault="001C4776" w:rsidP="001C4776">
            <w:pPr>
              <w:spacing w:line="240" w:lineRule="auto"/>
              <w:rPr>
                <w:rFonts w:eastAsia="Times New Roman" w:cs="Arial"/>
                <w:szCs w:val="24"/>
              </w:rPr>
            </w:pPr>
            <w:r w:rsidRPr="001C4776">
              <w:rPr>
                <w:szCs w:val="20"/>
              </w:rPr>
              <w:t>Редки</w:t>
            </w:r>
          </w:p>
        </w:tc>
      </w:tr>
      <w:tr w:rsidR="001C4776" w14:paraId="022A8121" w14:textId="77777777" w:rsidTr="001C4776">
        <w:tc>
          <w:tcPr>
            <w:tcW w:w="3192" w:type="dxa"/>
            <w:vMerge/>
          </w:tcPr>
          <w:p w14:paraId="118B0850" w14:textId="77777777" w:rsidR="001C4776" w:rsidRPr="001C4776" w:rsidRDefault="001C4776" w:rsidP="001C4776">
            <w:pPr>
              <w:spacing w:line="240" w:lineRule="auto"/>
              <w:rPr>
                <w:rFonts w:eastAsia="Times New Roman" w:cs="Arial"/>
                <w:szCs w:val="24"/>
              </w:rPr>
            </w:pPr>
          </w:p>
        </w:tc>
        <w:tc>
          <w:tcPr>
            <w:tcW w:w="3192" w:type="dxa"/>
          </w:tcPr>
          <w:p w14:paraId="1DCAABCC" w14:textId="6B4D5532" w:rsidR="001C4776" w:rsidRPr="001C4776" w:rsidRDefault="001C4776" w:rsidP="001C4776">
            <w:pPr>
              <w:spacing w:line="240" w:lineRule="auto"/>
              <w:rPr>
                <w:rFonts w:eastAsia="Times New Roman" w:cs="Arial"/>
                <w:szCs w:val="24"/>
              </w:rPr>
            </w:pPr>
            <w:r w:rsidRPr="001C4776">
              <w:rPr>
                <w:szCs w:val="20"/>
              </w:rPr>
              <w:t>халюцинации, дезориентация, суицидни идеации и поведение (склонност към самоубийство), обсесивно-компулсивни симптоми, заекване</w:t>
            </w:r>
          </w:p>
        </w:tc>
        <w:tc>
          <w:tcPr>
            <w:tcW w:w="3192" w:type="dxa"/>
          </w:tcPr>
          <w:p w14:paraId="032D7692" w14:textId="10CA5DDF" w:rsidR="001C4776" w:rsidRPr="001C4776" w:rsidRDefault="001C4776" w:rsidP="001C4776">
            <w:pPr>
              <w:spacing w:line="240" w:lineRule="auto"/>
              <w:rPr>
                <w:rFonts w:eastAsia="Times New Roman" w:cs="Arial"/>
                <w:szCs w:val="24"/>
              </w:rPr>
            </w:pPr>
            <w:r w:rsidRPr="001C4776">
              <w:rPr>
                <w:szCs w:val="20"/>
              </w:rPr>
              <w:t>Много редки</w:t>
            </w:r>
          </w:p>
        </w:tc>
      </w:tr>
      <w:tr w:rsidR="001C4776" w14:paraId="2F9F0142" w14:textId="77777777" w:rsidTr="001C4776">
        <w:tc>
          <w:tcPr>
            <w:tcW w:w="3192" w:type="dxa"/>
          </w:tcPr>
          <w:p w14:paraId="33A88A69" w14:textId="3E7FED7B" w:rsidR="001C4776" w:rsidRPr="001C4776" w:rsidRDefault="001C4776" w:rsidP="001C4776">
            <w:pPr>
              <w:spacing w:line="240" w:lineRule="auto"/>
              <w:rPr>
                <w:rFonts w:eastAsia="Times New Roman" w:cs="Arial"/>
                <w:szCs w:val="24"/>
              </w:rPr>
            </w:pPr>
            <w:r w:rsidRPr="001C4776">
              <w:rPr>
                <w:szCs w:val="20"/>
              </w:rPr>
              <w:t>Нарушения на нервната система</w:t>
            </w:r>
          </w:p>
        </w:tc>
        <w:tc>
          <w:tcPr>
            <w:tcW w:w="3192" w:type="dxa"/>
          </w:tcPr>
          <w:p w14:paraId="63D2AA31" w14:textId="4CC66DBC" w:rsidR="001C4776" w:rsidRPr="001C4776" w:rsidRDefault="001C4776" w:rsidP="001C4776">
            <w:pPr>
              <w:spacing w:line="240" w:lineRule="auto"/>
              <w:rPr>
                <w:rFonts w:eastAsia="Times New Roman" w:cs="Arial"/>
                <w:szCs w:val="24"/>
              </w:rPr>
            </w:pPr>
            <w:r w:rsidRPr="001C4776">
              <w:rPr>
                <w:szCs w:val="20"/>
              </w:rPr>
              <w:t>замаяност, сънливост, парестезия/хипестезия, гърчове</w:t>
            </w:r>
          </w:p>
        </w:tc>
        <w:tc>
          <w:tcPr>
            <w:tcW w:w="3192" w:type="dxa"/>
          </w:tcPr>
          <w:p w14:paraId="23D7FA03" w14:textId="736CAE45" w:rsidR="001C4776" w:rsidRPr="001C4776" w:rsidRDefault="001C4776" w:rsidP="001C4776">
            <w:pPr>
              <w:spacing w:line="240" w:lineRule="auto"/>
              <w:rPr>
                <w:rFonts w:eastAsia="Times New Roman" w:cs="Arial"/>
                <w:szCs w:val="24"/>
              </w:rPr>
            </w:pPr>
            <w:r w:rsidRPr="001C4776">
              <w:rPr>
                <w:szCs w:val="20"/>
              </w:rPr>
              <w:t>Нечести</w:t>
            </w:r>
          </w:p>
        </w:tc>
      </w:tr>
      <w:tr w:rsidR="001C4776" w14:paraId="6AA141E2" w14:textId="77777777" w:rsidTr="001C4776">
        <w:tc>
          <w:tcPr>
            <w:tcW w:w="3192" w:type="dxa"/>
          </w:tcPr>
          <w:p w14:paraId="0200155A" w14:textId="2B667944" w:rsidR="001C4776" w:rsidRPr="001C4776" w:rsidRDefault="001C4776" w:rsidP="001C4776">
            <w:pPr>
              <w:spacing w:line="240" w:lineRule="auto"/>
              <w:rPr>
                <w:rFonts w:eastAsia="Times New Roman" w:cs="Arial"/>
                <w:szCs w:val="24"/>
              </w:rPr>
            </w:pPr>
            <w:r w:rsidRPr="001C4776">
              <w:rPr>
                <w:szCs w:val="20"/>
              </w:rPr>
              <w:t>Сърдечни нарушения</w:t>
            </w:r>
          </w:p>
        </w:tc>
        <w:tc>
          <w:tcPr>
            <w:tcW w:w="3192" w:type="dxa"/>
          </w:tcPr>
          <w:p w14:paraId="583FBF0A" w14:textId="1546E445" w:rsidR="001C4776" w:rsidRPr="001C4776" w:rsidRDefault="001C4776" w:rsidP="001C4776">
            <w:pPr>
              <w:spacing w:line="240" w:lineRule="auto"/>
              <w:rPr>
                <w:rFonts w:eastAsia="Times New Roman" w:cs="Arial"/>
                <w:szCs w:val="24"/>
              </w:rPr>
            </w:pPr>
            <w:r w:rsidRPr="001C4776">
              <w:rPr>
                <w:szCs w:val="20"/>
              </w:rPr>
              <w:t>палпитации</w:t>
            </w:r>
          </w:p>
        </w:tc>
        <w:tc>
          <w:tcPr>
            <w:tcW w:w="3192" w:type="dxa"/>
          </w:tcPr>
          <w:p w14:paraId="2090B5F5" w14:textId="5BAFF83E" w:rsidR="001C4776" w:rsidRPr="001C4776" w:rsidRDefault="001C4776" w:rsidP="001C4776">
            <w:pPr>
              <w:spacing w:line="240" w:lineRule="auto"/>
              <w:rPr>
                <w:rFonts w:eastAsia="Times New Roman" w:cs="Arial"/>
                <w:szCs w:val="24"/>
              </w:rPr>
            </w:pPr>
            <w:r w:rsidRPr="001C4776">
              <w:rPr>
                <w:szCs w:val="20"/>
              </w:rPr>
              <w:t>Редки</w:t>
            </w:r>
          </w:p>
        </w:tc>
      </w:tr>
      <w:tr w:rsidR="001C4776" w14:paraId="7922D671" w14:textId="77777777" w:rsidTr="001C4776">
        <w:tc>
          <w:tcPr>
            <w:tcW w:w="3192" w:type="dxa"/>
            <w:vMerge w:val="restart"/>
          </w:tcPr>
          <w:p w14:paraId="476958B0" w14:textId="08D33FD0" w:rsidR="001C4776" w:rsidRPr="001C4776" w:rsidRDefault="001C4776" w:rsidP="001C4776">
            <w:pPr>
              <w:spacing w:line="240" w:lineRule="auto"/>
              <w:rPr>
                <w:rFonts w:eastAsia="Times New Roman" w:cs="Arial"/>
                <w:szCs w:val="24"/>
              </w:rPr>
            </w:pPr>
            <w:r w:rsidRPr="001C4776">
              <w:rPr>
                <w:szCs w:val="20"/>
              </w:rPr>
              <w:t>Респираторни, гръдни и медиастинални нарушения</w:t>
            </w:r>
          </w:p>
        </w:tc>
        <w:tc>
          <w:tcPr>
            <w:tcW w:w="3192" w:type="dxa"/>
          </w:tcPr>
          <w:p w14:paraId="2F7C2CC2" w14:textId="2B43C782" w:rsidR="001C4776" w:rsidRPr="001C4776" w:rsidRDefault="001C4776" w:rsidP="001C4776">
            <w:pPr>
              <w:spacing w:line="240" w:lineRule="auto"/>
              <w:rPr>
                <w:rFonts w:eastAsia="Times New Roman" w:cs="Arial"/>
                <w:szCs w:val="24"/>
              </w:rPr>
            </w:pPr>
            <w:r w:rsidRPr="001C4776">
              <w:rPr>
                <w:szCs w:val="20"/>
              </w:rPr>
              <w:t>епистаксис</w:t>
            </w:r>
          </w:p>
        </w:tc>
        <w:tc>
          <w:tcPr>
            <w:tcW w:w="3192" w:type="dxa"/>
          </w:tcPr>
          <w:p w14:paraId="49CDD9A1" w14:textId="6249A1DD" w:rsidR="001C4776" w:rsidRPr="001C4776" w:rsidRDefault="001C4776" w:rsidP="001C4776">
            <w:pPr>
              <w:spacing w:line="240" w:lineRule="auto"/>
              <w:rPr>
                <w:rFonts w:eastAsia="Times New Roman" w:cs="Arial"/>
                <w:szCs w:val="24"/>
              </w:rPr>
            </w:pPr>
            <w:r w:rsidRPr="001C4776">
              <w:rPr>
                <w:szCs w:val="20"/>
              </w:rPr>
              <w:t>Нечести</w:t>
            </w:r>
          </w:p>
        </w:tc>
      </w:tr>
      <w:tr w:rsidR="001C4776" w14:paraId="5FA0B438" w14:textId="77777777" w:rsidTr="001C4776">
        <w:tc>
          <w:tcPr>
            <w:tcW w:w="3192" w:type="dxa"/>
            <w:vMerge/>
          </w:tcPr>
          <w:p w14:paraId="4889AEE7" w14:textId="77777777" w:rsidR="001C4776" w:rsidRPr="001C4776" w:rsidRDefault="001C4776" w:rsidP="001C4776">
            <w:pPr>
              <w:spacing w:line="240" w:lineRule="auto"/>
              <w:rPr>
                <w:rFonts w:eastAsia="Times New Roman" w:cs="Arial"/>
                <w:szCs w:val="24"/>
              </w:rPr>
            </w:pPr>
          </w:p>
        </w:tc>
        <w:tc>
          <w:tcPr>
            <w:tcW w:w="3192" w:type="dxa"/>
          </w:tcPr>
          <w:p w14:paraId="6507A583" w14:textId="3DD37ABF" w:rsidR="001C4776" w:rsidRPr="001C4776" w:rsidRDefault="001C4776" w:rsidP="001C4776">
            <w:pPr>
              <w:spacing w:line="240" w:lineRule="auto"/>
              <w:rPr>
                <w:rFonts w:eastAsia="Times New Roman" w:cs="Arial"/>
                <w:szCs w:val="24"/>
              </w:rPr>
            </w:pPr>
            <w:r w:rsidRPr="001C4776">
              <w:rPr>
                <w:szCs w:val="20"/>
              </w:rPr>
              <w:t xml:space="preserve">синдром на </w:t>
            </w:r>
            <w:proofErr w:type="spellStart"/>
            <w:r w:rsidRPr="001C4776">
              <w:rPr>
                <w:szCs w:val="20"/>
                <w:lang w:val="en-US"/>
              </w:rPr>
              <w:t>Churg</w:t>
            </w:r>
            <w:proofErr w:type="spellEnd"/>
            <w:r w:rsidRPr="001C4776">
              <w:rPr>
                <w:szCs w:val="20"/>
                <w:lang w:val="ru-RU"/>
              </w:rPr>
              <w:t>-</w:t>
            </w:r>
            <w:r w:rsidRPr="001C4776">
              <w:rPr>
                <w:szCs w:val="20"/>
                <w:lang w:val="en-US"/>
              </w:rPr>
              <w:t>Strauss</w:t>
            </w:r>
            <w:r w:rsidRPr="001C4776">
              <w:rPr>
                <w:szCs w:val="20"/>
                <w:lang w:val="ru-RU"/>
              </w:rPr>
              <w:t>(</w:t>
            </w:r>
            <w:r w:rsidRPr="001C4776">
              <w:rPr>
                <w:szCs w:val="20"/>
                <w:lang w:val="en-US"/>
              </w:rPr>
              <w:t>CSS</w:t>
            </w:r>
            <w:r w:rsidRPr="001C4776">
              <w:rPr>
                <w:szCs w:val="20"/>
                <w:lang w:val="ru-RU"/>
              </w:rPr>
              <w:t xml:space="preserve">) </w:t>
            </w:r>
            <w:r w:rsidRPr="001C4776">
              <w:rPr>
                <w:szCs w:val="20"/>
              </w:rPr>
              <w:t>(вж. точка 4.4), белодробна еозинофилия</w:t>
            </w:r>
          </w:p>
        </w:tc>
        <w:tc>
          <w:tcPr>
            <w:tcW w:w="3192" w:type="dxa"/>
          </w:tcPr>
          <w:p w14:paraId="71658B5F" w14:textId="7518B498" w:rsidR="001C4776" w:rsidRPr="001C4776" w:rsidRDefault="001C4776" w:rsidP="001C4776">
            <w:pPr>
              <w:spacing w:line="240" w:lineRule="auto"/>
              <w:rPr>
                <w:rFonts w:eastAsia="Times New Roman" w:cs="Arial"/>
                <w:szCs w:val="24"/>
              </w:rPr>
            </w:pPr>
            <w:r w:rsidRPr="001C4776">
              <w:rPr>
                <w:szCs w:val="20"/>
              </w:rPr>
              <w:t>Много редки</w:t>
            </w:r>
          </w:p>
        </w:tc>
      </w:tr>
      <w:tr w:rsidR="001C4776" w14:paraId="44EC5F67" w14:textId="77777777" w:rsidTr="001C4776">
        <w:tc>
          <w:tcPr>
            <w:tcW w:w="3192" w:type="dxa"/>
            <w:vMerge w:val="restart"/>
          </w:tcPr>
          <w:p w14:paraId="332EBA29" w14:textId="35A6AF25" w:rsidR="001C4776" w:rsidRPr="001C4776" w:rsidRDefault="001C4776" w:rsidP="001C4776">
            <w:pPr>
              <w:spacing w:line="240" w:lineRule="auto"/>
              <w:rPr>
                <w:rFonts w:eastAsia="Times New Roman" w:cs="Arial"/>
                <w:szCs w:val="24"/>
              </w:rPr>
            </w:pPr>
            <w:r w:rsidRPr="001C4776">
              <w:rPr>
                <w:szCs w:val="20"/>
              </w:rPr>
              <w:lastRenderedPageBreak/>
              <w:t>Нарушения на стомашно-чревния тракт</w:t>
            </w:r>
          </w:p>
        </w:tc>
        <w:tc>
          <w:tcPr>
            <w:tcW w:w="3192" w:type="dxa"/>
          </w:tcPr>
          <w:p w14:paraId="22A88D5D" w14:textId="5699F4C2" w:rsidR="001C4776" w:rsidRPr="001C4776" w:rsidRDefault="001C4776" w:rsidP="001C4776">
            <w:pPr>
              <w:spacing w:line="240" w:lineRule="auto"/>
              <w:rPr>
                <w:rFonts w:eastAsia="Times New Roman" w:cs="Arial"/>
                <w:szCs w:val="24"/>
              </w:rPr>
            </w:pPr>
            <w:r w:rsidRPr="001C4776">
              <w:rPr>
                <w:szCs w:val="20"/>
              </w:rPr>
              <w:t>диария</w:t>
            </w:r>
            <w:r w:rsidRPr="001C4776">
              <w:rPr>
                <w:szCs w:val="20"/>
                <w:vertAlign w:val="superscript"/>
              </w:rPr>
              <w:t>++</w:t>
            </w:r>
            <w:r w:rsidRPr="001C4776">
              <w:rPr>
                <w:szCs w:val="20"/>
              </w:rPr>
              <w:t>, гадене</w:t>
            </w:r>
            <w:r w:rsidRPr="001C4776">
              <w:rPr>
                <w:szCs w:val="20"/>
                <w:vertAlign w:val="superscript"/>
              </w:rPr>
              <w:t>++</w:t>
            </w:r>
            <w:r w:rsidRPr="001C4776">
              <w:rPr>
                <w:szCs w:val="20"/>
              </w:rPr>
              <w:t>, повръщане</w:t>
            </w:r>
            <w:r w:rsidRPr="001C4776">
              <w:rPr>
                <w:szCs w:val="20"/>
                <w:vertAlign w:val="superscript"/>
              </w:rPr>
              <w:t>++</w:t>
            </w:r>
          </w:p>
        </w:tc>
        <w:tc>
          <w:tcPr>
            <w:tcW w:w="3192" w:type="dxa"/>
          </w:tcPr>
          <w:p w14:paraId="3743F3CA" w14:textId="6B4F99E7" w:rsidR="001C4776" w:rsidRPr="001C4776" w:rsidRDefault="001C4776" w:rsidP="001C4776">
            <w:pPr>
              <w:spacing w:line="240" w:lineRule="auto"/>
              <w:rPr>
                <w:rFonts w:eastAsia="Times New Roman" w:cs="Arial"/>
                <w:szCs w:val="24"/>
              </w:rPr>
            </w:pPr>
            <w:r w:rsidRPr="001C4776">
              <w:rPr>
                <w:szCs w:val="20"/>
              </w:rPr>
              <w:t>Чести</w:t>
            </w:r>
          </w:p>
        </w:tc>
      </w:tr>
      <w:tr w:rsidR="001C4776" w14:paraId="62E823A7" w14:textId="77777777" w:rsidTr="001C4776">
        <w:tc>
          <w:tcPr>
            <w:tcW w:w="3192" w:type="dxa"/>
            <w:vMerge/>
          </w:tcPr>
          <w:p w14:paraId="3B14D626" w14:textId="77777777" w:rsidR="001C4776" w:rsidRPr="001C4776" w:rsidRDefault="001C4776" w:rsidP="001C4776">
            <w:pPr>
              <w:spacing w:line="240" w:lineRule="auto"/>
              <w:rPr>
                <w:rFonts w:eastAsia="Times New Roman" w:cs="Arial"/>
                <w:szCs w:val="24"/>
              </w:rPr>
            </w:pPr>
          </w:p>
        </w:tc>
        <w:tc>
          <w:tcPr>
            <w:tcW w:w="3192" w:type="dxa"/>
          </w:tcPr>
          <w:p w14:paraId="29684094" w14:textId="67D0348B" w:rsidR="001C4776" w:rsidRPr="001C4776" w:rsidRDefault="001C4776" w:rsidP="001C4776">
            <w:pPr>
              <w:spacing w:line="240" w:lineRule="auto"/>
              <w:rPr>
                <w:rFonts w:eastAsia="Times New Roman" w:cs="Arial"/>
                <w:szCs w:val="24"/>
              </w:rPr>
            </w:pPr>
            <w:r w:rsidRPr="001C4776">
              <w:rPr>
                <w:szCs w:val="20"/>
              </w:rPr>
              <w:t>сухота в устата, диспепсия</w:t>
            </w:r>
          </w:p>
        </w:tc>
        <w:tc>
          <w:tcPr>
            <w:tcW w:w="3192" w:type="dxa"/>
          </w:tcPr>
          <w:p w14:paraId="1F824044" w14:textId="397C9BA0" w:rsidR="001C4776" w:rsidRPr="001C4776" w:rsidRDefault="001C4776" w:rsidP="001C4776">
            <w:pPr>
              <w:spacing w:line="240" w:lineRule="auto"/>
              <w:rPr>
                <w:rFonts w:eastAsia="Times New Roman" w:cs="Arial"/>
                <w:szCs w:val="24"/>
              </w:rPr>
            </w:pPr>
            <w:r w:rsidRPr="001C4776">
              <w:rPr>
                <w:szCs w:val="20"/>
              </w:rPr>
              <w:t>Нечести</w:t>
            </w:r>
          </w:p>
        </w:tc>
      </w:tr>
      <w:tr w:rsidR="001C4776" w14:paraId="04C8366A" w14:textId="77777777" w:rsidTr="001C4776">
        <w:tc>
          <w:tcPr>
            <w:tcW w:w="3192" w:type="dxa"/>
            <w:vMerge w:val="restart"/>
          </w:tcPr>
          <w:p w14:paraId="7EACAB49" w14:textId="7C6B2EE0" w:rsidR="001C4776" w:rsidRPr="001C4776" w:rsidRDefault="001C4776" w:rsidP="001C4776">
            <w:pPr>
              <w:spacing w:line="240" w:lineRule="auto"/>
              <w:rPr>
                <w:rFonts w:eastAsia="Times New Roman" w:cs="Arial"/>
                <w:szCs w:val="24"/>
              </w:rPr>
            </w:pPr>
            <w:r w:rsidRPr="001C4776">
              <w:rPr>
                <w:szCs w:val="20"/>
              </w:rPr>
              <w:t>Хепатобилиарни нарушения</w:t>
            </w:r>
          </w:p>
        </w:tc>
        <w:tc>
          <w:tcPr>
            <w:tcW w:w="3192" w:type="dxa"/>
          </w:tcPr>
          <w:p w14:paraId="413405C2" w14:textId="36F23AD7" w:rsidR="001C4776" w:rsidRPr="001C4776" w:rsidRDefault="001C4776" w:rsidP="001C4776">
            <w:pPr>
              <w:spacing w:line="240" w:lineRule="auto"/>
              <w:rPr>
                <w:rFonts w:eastAsia="Times New Roman" w:cs="Arial"/>
                <w:szCs w:val="24"/>
              </w:rPr>
            </w:pPr>
            <w:r w:rsidRPr="001C4776">
              <w:rPr>
                <w:szCs w:val="20"/>
              </w:rPr>
              <w:t xml:space="preserve">повишени нива на серумните трансаминази </w:t>
            </w:r>
            <w:r w:rsidRPr="001C4776">
              <w:rPr>
                <w:szCs w:val="20"/>
                <w:lang w:val="ru-RU"/>
              </w:rPr>
              <w:t>(</w:t>
            </w:r>
            <w:r w:rsidRPr="001C4776">
              <w:rPr>
                <w:szCs w:val="20"/>
                <w:lang w:val="en-US"/>
              </w:rPr>
              <w:t>ALT</w:t>
            </w:r>
            <w:r w:rsidRPr="001C4776">
              <w:rPr>
                <w:szCs w:val="20"/>
                <w:lang w:val="ru-RU"/>
              </w:rPr>
              <w:t xml:space="preserve">, </w:t>
            </w:r>
            <w:r w:rsidRPr="001C4776">
              <w:rPr>
                <w:szCs w:val="20"/>
                <w:lang w:val="en-US"/>
              </w:rPr>
              <w:t>AST</w:t>
            </w:r>
            <w:r w:rsidRPr="001C4776">
              <w:rPr>
                <w:szCs w:val="20"/>
                <w:lang w:val="ru-RU"/>
              </w:rPr>
              <w:t>)</w:t>
            </w:r>
          </w:p>
        </w:tc>
        <w:tc>
          <w:tcPr>
            <w:tcW w:w="3192" w:type="dxa"/>
          </w:tcPr>
          <w:p w14:paraId="03CDAF3C" w14:textId="05C82080" w:rsidR="001C4776" w:rsidRPr="001C4776" w:rsidRDefault="001C4776" w:rsidP="001C4776">
            <w:pPr>
              <w:spacing w:line="240" w:lineRule="auto"/>
              <w:rPr>
                <w:rFonts w:eastAsia="Times New Roman" w:cs="Arial"/>
                <w:szCs w:val="24"/>
              </w:rPr>
            </w:pPr>
            <w:r w:rsidRPr="001C4776">
              <w:rPr>
                <w:szCs w:val="20"/>
              </w:rPr>
              <w:t>Чести</w:t>
            </w:r>
          </w:p>
        </w:tc>
      </w:tr>
      <w:tr w:rsidR="001C4776" w14:paraId="0CD09296" w14:textId="77777777" w:rsidTr="001C4776">
        <w:tc>
          <w:tcPr>
            <w:tcW w:w="3192" w:type="dxa"/>
            <w:vMerge/>
          </w:tcPr>
          <w:p w14:paraId="0FDC3B08" w14:textId="77777777" w:rsidR="001C4776" w:rsidRPr="001C4776" w:rsidRDefault="001C4776" w:rsidP="001C4776">
            <w:pPr>
              <w:spacing w:line="240" w:lineRule="auto"/>
              <w:rPr>
                <w:rFonts w:eastAsia="Times New Roman" w:cs="Arial"/>
                <w:szCs w:val="24"/>
              </w:rPr>
            </w:pPr>
          </w:p>
        </w:tc>
        <w:tc>
          <w:tcPr>
            <w:tcW w:w="3192" w:type="dxa"/>
          </w:tcPr>
          <w:p w14:paraId="0ED15011" w14:textId="69939288" w:rsidR="001C4776" w:rsidRPr="001C4776" w:rsidRDefault="001C4776" w:rsidP="001C4776">
            <w:pPr>
              <w:spacing w:line="240" w:lineRule="auto"/>
              <w:rPr>
                <w:rFonts w:eastAsia="Times New Roman" w:cs="Arial"/>
                <w:szCs w:val="24"/>
              </w:rPr>
            </w:pPr>
            <w:r w:rsidRPr="001C4776">
              <w:rPr>
                <w:szCs w:val="20"/>
              </w:rPr>
              <w:t>хепатит (вкл. холестатичен, хепатоцелуларен или от смесен произход)</w:t>
            </w:r>
          </w:p>
        </w:tc>
        <w:tc>
          <w:tcPr>
            <w:tcW w:w="3192" w:type="dxa"/>
          </w:tcPr>
          <w:p w14:paraId="0EF94B75" w14:textId="5D6968E9" w:rsidR="001C4776" w:rsidRPr="001C4776" w:rsidRDefault="001C4776" w:rsidP="001C4776">
            <w:pPr>
              <w:spacing w:line="240" w:lineRule="auto"/>
              <w:rPr>
                <w:rFonts w:eastAsia="Times New Roman" w:cs="Arial"/>
                <w:szCs w:val="24"/>
              </w:rPr>
            </w:pPr>
            <w:r w:rsidRPr="001C4776">
              <w:rPr>
                <w:szCs w:val="20"/>
              </w:rPr>
              <w:t>Много</w:t>
            </w:r>
            <w:r w:rsidRPr="001C4776">
              <w:rPr>
                <w:szCs w:val="20"/>
                <w:lang w:val="en-US"/>
              </w:rPr>
              <w:t xml:space="preserve"> </w:t>
            </w:r>
            <w:r w:rsidRPr="001C4776">
              <w:rPr>
                <w:szCs w:val="20"/>
              </w:rPr>
              <w:t>редки</w:t>
            </w:r>
          </w:p>
        </w:tc>
      </w:tr>
      <w:tr w:rsidR="001C4776" w14:paraId="04CCB3DA" w14:textId="77777777" w:rsidTr="001C4776">
        <w:tc>
          <w:tcPr>
            <w:tcW w:w="3192" w:type="dxa"/>
            <w:vMerge w:val="restart"/>
          </w:tcPr>
          <w:p w14:paraId="3894381E" w14:textId="502AB98A" w:rsidR="001C4776" w:rsidRPr="001C4776" w:rsidRDefault="001C4776" w:rsidP="001C4776">
            <w:pPr>
              <w:spacing w:line="240" w:lineRule="auto"/>
              <w:rPr>
                <w:rFonts w:eastAsia="Times New Roman" w:cs="Arial"/>
                <w:szCs w:val="24"/>
              </w:rPr>
            </w:pPr>
            <w:r w:rsidRPr="001C4776">
              <w:rPr>
                <w:szCs w:val="20"/>
              </w:rPr>
              <w:t>Нарушения на кожата и подкожните тъкани</w:t>
            </w:r>
          </w:p>
        </w:tc>
        <w:tc>
          <w:tcPr>
            <w:tcW w:w="3192" w:type="dxa"/>
          </w:tcPr>
          <w:p w14:paraId="2939B682" w14:textId="121CB27D" w:rsidR="001C4776" w:rsidRPr="001C4776" w:rsidRDefault="001C4776" w:rsidP="001C4776">
            <w:pPr>
              <w:spacing w:line="240" w:lineRule="auto"/>
              <w:rPr>
                <w:rFonts w:eastAsia="Times New Roman" w:cs="Arial"/>
                <w:szCs w:val="24"/>
              </w:rPr>
            </w:pPr>
            <w:r w:rsidRPr="001C4776">
              <w:rPr>
                <w:szCs w:val="20"/>
              </w:rPr>
              <w:t>обрив</w:t>
            </w:r>
            <w:r w:rsidRPr="001C4776">
              <w:rPr>
                <w:szCs w:val="20"/>
                <w:vertAlign w:val="superscript"/>
              </w:rPr>
              <w:t>++</w:t>
            </w:r>
          </w:p>
        </w:tc>
        <w:tc>
          <w:tcPr>
            <w:tcW w:w="3192" w:type="dxa"/>
          </w:tcPr>
          <w:p w14:paraId="261B6A60" w14:textId="71F8173C" w:rsidR="001C4776" w:rsidRPr="001C4776" w:rsidRDefault="001C4776" w:rsidP="001C4776">
            <w:pPr>
              <w:spacing w:line="240" w:lineRule="auto"/>
              <w:rPr>
                <w:rFonts w:eastAsia="Times New Roman" w:cs="Arial"/>
                <w:szCs w:val="24"/>
              </w:rPr>
            </w:pPr>
            <w:r w:rsidRPr="001C4776">
              <w:rPr>
                <w:szCs w:val="20"/>
              </w:rPr>
              <w:t>Чести</w:t>
            </w:r>
          </w:p>
        </w:tc>
      </w:tr>
      <w:tr w:rsidR="001C4776" w14:paraId="057DA69A" w14:textId="77777777" w:rsidTr="001C4776">
        <w:tc>
          <w:tcPr>
            <w:tcW w:w="3192" w:type="dxa"/>
            <w:vMerge/>
          </w:tcPr>
          <w:p w14:paraId="3C1C76E8" w14:textId="77777777" w:rsidR="001C4776" w:rsidRPr="001C4776" w:rsidRDefault="001C4776" w:rsidP="001C4776">
            <w:pPr>
              <w:spacing w:line="240" w:lineRule="auto"/>
              <w:rPr>
                <w:rFonts w:eastAsia="Times New Roman" w:cs="Arial"/>
                <w:szCs w:val="24"/>
              </w:rPr>
            </w:pPr>
          </w:p>
        </w:tc>
        <w:tc>
          <w:tcPr>
            <w:tcW w:w="3192" w:type="dxa"/>
          </w:tcPr>
          <w:p w14:paraId="2B0A6B6A" w14:textId="55A050FB" w:rsidR="001C4776" w:rsidRPr="001C4776" w:rsidRDefault="001C4776" w:rsidP="001C4776">
            <w:pPr>
              <w:spacing w:line="240" w:lineRule="auto"/>
              <w:rPr>
                <w:rFonts w:eastAsia="Times New Roman" w:cs="Arial"/>
                <w:szCs w:val="24"/>
              </w:rPr>
            </w:pPr>
            <w:r w:rsidRPr="001C4776">
              <w:rPr>
                <w:szCs w:val="20"/>
              </w:rPr>
              <w:t>поява на синини, уртикария, пруритус</w:t>
            </w:r>
          </w:p>
        </w:tc>
        <w:tc>
          <w:tcPr>
            <w:tcW w:w="3192" w:type="dxa"/>
          </w:tcPr>
          <w:p w14:paraId="49C77FC6" w14:textId="024F9484" w:rsidR="001C4776" w:rsidRPr="001C4776" w:rsidRDefault="001C4776" w:rsidP="001C4776">
            <w:pPr>
              <w:spacing w:line="240" w:lineRule="auto"/>
              <w:rPr>
                <w:rFonts w:eastAsia="Times New Roman" w:cs="Arial"/>
                <w:szCs w:val="24"/>
              </w:rPr>
            </w:pPr>
            <w:r w:rsidRPr="001C4776">
              <w:rPr>
                <w:szCs w:val="20"/>
              </w:rPr>
              <w:t>Нечести</w:t>
            </w:r>
          </w:p>
        </w:tc>
      </w:tr>
      <w:tr w:rsidR="001C4776" w14:paraId="5DB9F4D4" w14:textId="77777777" w:rsidTr="001C4776">
        <w:tc>
          <w:tcPr>
            <w:tcW w:w="3192" w:type="dxa"/>
            <w:vMerge/>
          </w:tcPr>
          <w:p w14:paraId="406D02FD" w14:textId="77777777" w:rsidR="001C4776" w:rsidRPr="001C4776" w:rsidRDefault="001C4776" w:rsidP="001C4776">
            <w:pPr>
              <w:spacing w:line="240" w:lineRule="auto"/>
              <w:rPr>
                <w:rFonts w:eastAsia="Times New Roman" w:cs="Arial"/>
                <w:szCs w:val="24"/>
              </w:rPr>
            </w:pPr>
          </w:p>
        </w:tc>
        <w:tc>
          <w:tcPr>
            <w:tcW w:w="3192" w:type="dxa"/>
          </w:tcPr>
          <w:p w14:paraId="311881B9" w14:textId="42012B93" w:rsidR="001C4776" w:rsidRPr="001C4776" w:rsidRDefault="001C4776" w:rsidP="001C4776">
            <w:pPr>
              <w:spacing w:line="240" w:lineRule="auto"/>
              <w:rPr>
                <w:rFonts w:eastAsia="Times New Roman" w:cs="Arial"/>
                <w:szCs w:val="24"/>
              </w:rPr>
            </w:pPr>
            <w:r w:rsidRPr="001C4776">
              <w:rPr>
                <w:szCs w:val="20"/>
              </w:rPr>
              <w:t>ангиоедем</w:t>
            </w:r>
          </w:p>
        </w:tc>
        <w:tc>
          <w:tcPr>
            <w:tcW w:w="3192" w:type="dxa"/>
          </w:tcPr>
          <w:p w14:paraId="14355992" w14:textId="41F172E8" w:rsidR="001C4776" w:rsidRPr="001C4776" w:rsidRDefault="001C4776" w:rsidP="001C4776">
            <w:pPr>
              <w:spacing w:line="240" w:lineRule="auto"/>
              <w:rPr>
                <w:rFonts w:eastAsia="Times New Roman" w:cs="Arial"/>
                <w:szCs w:val="24"/>
              </w:rPr>
            </w:pPr>
            <w:r w:rsidRPr="001C4776">
              <w:rPr>
                <w:szCs w:val="20"/>
              </w:rPr>
              <w:t>Редки</w:t>
            </w:r>
          </w:p>
        </w:tc>
      </w:tr>
      <w:tr w:rsidR="001C4776" w14:paraId="2D6F182F" w14:textId="77777777" w:rsidTr="001C4776">
        <w:tc>
          <w:tcPr>
            <w:tcW w:w="3192" w:type="dxa"/>
            <w:vMerge/>
          </w:tcPr>
          <w:p w14:paraId="41F24B19" w14:textId="77777777" w:rsidR="001C4776" w:rsidRPr="001C4776" w:rsidRDefault="001C4776" w:rsidP="001C4776">
            <w:pPr>
              <w:spacing w:line="240" w:lineRule="auto"/>
              <w:rPr>
                <w:rFonts w:eastAsia="Times New Roman" w:cs="Arial"/>
                <w:szCs w:val="24"/>
              </w:rPr>
            </w:pPr>
          </w:p>
        </w:tc>
        <w:tc>
          <w:tcPr>
            <w:tcW w:w="3192" w:type="dxa"/>
          </w:tcPr>
          <w:p w14:paraId="0737CF02" w14:textId="66D20A37" w:rsidR="001C4776" w:rsidRPr="001C4776" w:rsidRDefault="001C4776" w:rsidP="001C4776">
            <w:pPr>
              <w:spacing w:line="240" w:lineRule="auto"/>
              <w:rPr>
                <w:rFonts w:eastAsia="Times New Roman" w:cs="Arial"/>
                <w:szCs w:val="24"/>
              </w:rPr>
            </w:pPr>
            <w:r w:rsidRPr="001C4776">
              <w:rPr>
                <w:szCs w:val="20"/>
              </w:rPr>
              <w:t>еритема нодозум, еритема мултиформе</w:t>
            </w:r>
          </w:p>
        </w:tc>
        <w:tc>
          <w:tcPr>
            <w:tcW w:w="3192" w:type="dxa"/>
          </w:tcPr>
          <w:p w14:paraId="030D39CD" w14:textId="22DEDB51" w:rsidR="001C4776" w:rsidRPr="001C4776" w:rsidRDefault="001C4776" w:rsidP="001C4776">
            <w:pPr>
              <w:spacing w:line="240" w:lineRule="auto"/>
              <w:rPr>
                <w:rFonts w:eastAsia="Times New Roman" w:cs="Arial"/>
                <w:szCs w:val="24"/>
              </w:rPr>
            </w:pPr>
            <w:r w:rsidRPr="001C4776">
              <w:rPr>
                <w:szCs w:val="20"/>
              </w:rPr>
              <w:t>Много редки</w:t>
            </w:r>
          </w:p>
        </w:tc>
      </w:tr>
      <w:tr w:rsidR="001C4776" w14:paraId="051E8880" w14:textId="77777777" w:rsidTr="001C4776">
        <w:tc>
          <w:tcPr>
            <w:tcW w:w="3192" w:type="dxa"/>
          </w:tcPr>
          <w:p w14:paraId="19FF8B16" w14:textId="5A906527" w:rsidR="001C4776" w:rsidRPr="001C4776" w:rsidRDefault="001C4776" w:rsidP="001C4776">
            <w:pPr>
              <w:spacing w:line="240" w:lineRule="auto"/>
              <w:rPr>
                <w:rFonts w:eastAsia="Times New Roman" w:cs="Arial"/>
                <w:szCs w:val="24"/>
              </w:rPr>
            </w:pPr>
            <w:r w:rsidRPr="001C4776">
              <w:rPr>
                <w:szCs w:val="20"/>
              </w:rPr>
              <w:t>Нарушения на мускулно-скелетната система и съединителната тъкан</w:t>
            </w:r>
          </w:p>
        </w:tc>
        <w:tc>
          <w:tcPr>
            <w:tcW w:w="3192" w:type="dxa"/>
          </w:tcPr>
          <w:p w14:paraId="7B878475" w14:textId="708561E1" w:rsidR="001C4776" w:rsidRPr="001C4776" w:rsidRDefault="001C4776" w:rsidP="001C4776">
            <w:pPr>
              <w:spacing w:line="240" w:lineRule="auto"/>
              <w:rPr>
                <w:rFonts w:eastAsia="Times New Roman" w:cs="Arial"/>
                <w:szCs w:val="24"/>
              </w:rPr>
            </w:pPr>
            <w:r w:rsidRPr="001C4776">
              <w:rPr>
                <w:szCs w:val="20"/>
              </w:rPr>
              <w:t>артралгия, миалгия, включително мускулни крампи</w:t>
            </w:r>
          </w:p>
        </w:tc>
        <w:tc>
          <w:tcPr>
            <w:tcW w:w="3192" w:type="dxa"/>
          </w:tcPr>
          <w:p w14:paraId="18F188EC" w14:textId="4808F757" w:rsidR="001C4776" w:rsidRPr="001C4776" w:rsidRDefault="001C4776" w:rsidP="001C4776">
            <w:pPr>
              <w:spacing w:line="240" w:lineRule="auto"/>
              <w:rPr>
                <w:rFonts w:eastAsia="Times New Roman" w:cs="Arial"/>
                <w:szCs w:val="24"/>
              </w:rPr>
            </w:pPr>
            <w:r w:rsidRPr="001C4776">
              <w:rPr>
                <w:szCs w:val="20"/>
              </w:rPr>
              <w:t>Нечести</w:t>
            </w:r>
          </w:p>
        </w:tc>
      </w:tr>
      <w:tr w:rsidR="001C4776" w14:paraId="2AE87CEE" w14:textId="77777777" w:rsidTr="001C4776">
        <w:trPr>
          <w:trHeight w:val="117"/>
        </w:trPr>
        <w:tc>
          <w:tcPr>
            <w:tcW w:w="3192" w:type="dxa"/>
          </w:tcPr>
          <w:p w14:paraId="7F6743E7" w14:textId="1B058F29" w:rsidR="001C4776" w:rsidRPr="001C4776" w:rsidRDefault="001C4776" w:rsidP="001C4776">
            <w:pPr>
              <w:spacing w:line="240" w:lineRule="auto"/>
              <w:rPr>
                <w:rFonts w:eastAsia="Times New Roman" w:cs="Arial"/>
                <w:szCs w:val="24"/>
              </w:rPr>
            </w:pPr>
            <w:r w:rsidRPr="001C4776">
              <w:rPr>
                <w:szCs w:val="20"/>
              </w:rPr>
              <w:t>Нарушения на бъбреците и пикочните пътища</w:t>
            </w:r>
          </w:p>
        </w:tc>
        <w:tc>
          <w:tcPr>
            <w:tcW w:w="3192" w:type="dxa"/>
          </w:tcPr>
          <w:p w14:paraId="37A4F7F8" w14:textId="3F51E778" w:rsidR="001C4776" w:rsidRPr="001C4776" w:rsidRDefault="001C4776" w:rsidP="001C4776">
            <w:pPr>
              <w:spacing w:line="240" w:lineRule="auto"/>
              <w:rPr>
                <w:rFonts w:eastAsia="Times New Roman" w:cs="Arial"/>
                <w:szCs w:val="24"/>
              </w:rPr>
            </w:pPr>
            <w:r w:rsidRPr="001C4776">
              <w:rPr>
                <w:szCs w:val="20"/>
              </w:rPr>
              <w:t>Енурезис при деца</w:t>
            </w:r>
          </w:p>
        </w:tc>
        <w:tc>
          <w:tcPr>
            <w:tcW w:w="3192" w:type="dxa"/>
          </w:tcPr>
          <w:p w14:paraId="4EC9B318" w14:textId="4429BCB0" w:rsidR="001C4776" w:rsidRPr="001C4776" w:rsidRDefault="001C4776" w:rsidP="001C4776">
            <w:pPr>
              <w:spacing w:line="240" w:lineRule="auto"/>
              <w:rPr>
                <w:rFonts w:eastAsia="Times New Roman" w:cs="Arial"/>
                <w:szCs w:val="24"/>
              </w:rPr>
            </w:pPr>
            <w:r w:rsidRPr="001C4776">
              <w:rPr>
                <w:szCs w:val="20"/>
              </w:rPr>
              <w:t>Нечести</w:t>
            </w:r>
          </w:p>
        </w:tc>
      </w:tr>
      <w:tr w:rsidR="001C4776" w14:paraId="3CADF10D" w14:textId="77777777" w:rsidTr="001C4776">
        <w:tc>
          <w:tcPr>
            <w:tcW w:w="3192" w:type="dxa"/>
            <w:vMerge w:val="restart"/>
          </w:tcPr>
          <w:p w14:paraId="340D8ECD" w14:textId="10387A77" w:rsidR="001C4776" w:rsidRPr="001C4776" w:rsidRDefault="001C4776" w:rsidP="001C4776">
            <w:pPr>
              <w:spacing w:line="240" w:lineRule="auto"/>
              <w:rPr>
                <w:rFonts w:eastAsia="Times New Roman" w:cs="Arial"/>
                <w:szCs w:val="24"/>
              </w:rPr>
            </w:pPr>
            <w:r w:rsidRPr="001C4776">
              <w:rPr>
                <w:szCs w:val="20"/>
              </w:rPr>
              <w:t>Общи нарушения и ефекти на мястото на приложение</w:t>
            </w:r>
          </w:p>
        </w:tc>
        <w:tc>
          <w:tcPr>
            <w:tcW w:w="3192" w:type="dxa"/>
          </w:tcPr>
          <w:p w14:paraId="072C2E3C" w14:textId="61BEE87E" w:rsidR="001C4776" w:rsidRPr="001C4776" w:rsidRDefault="001C4776" w:rsidP="001C4776">
            <w:pPr>
              <w:spacing w:line="240" w:lineRule="auto"/>
              <w:rPr>
                <w:rFonts w:eastAsia="Times New Roman" w:cs="Arial"/>
                <w:szCs w:val="24"/>
              </w:rPr>
            </w:pPr>
            <w:r w:rsidRPr="001C4776">
              <w:rPr>
                <w:szCs w:val="20"/>
              </w:rPr>
              <w:t>пирексия</w:t>
            </w:r>
            <w:r w:rsidRPr="001C4776">
              <w:rPr>
                <w:szCs w:val="20"/>
                <w:vertAlign w:val="superscript"/>
              </w:rPr>
              <w:t>++</w:t>
            </w:r>
          </w:p>
        </w:tc>
        <w:tc>
          <w:tcPr>
            <w:tcW w:w="3192" w:type="dxa"/>
          </w:tcPr>
          <w:p w14:paraId="44F66C85" w14:textId="73EA0BA0" w:rsidR="001C4776" w:rsidRPr="001C4776" w:rsidRDefault="001C4776" w:rsidP="001C4776">
            <w:pPr>
              <w:spacing w:line="240" w:lineRule="auto"/>
              <w:rPr>
                <w:rFonts w:eastAsia="Times New Roman" w:cs="Arial"/>
                <w:szCs w:val="24"/>
              </w:rPr>
            </w:pPr>
            <w:r w:rsidRPr="001C4776">
              <w:rPr>
                <w:szCs w:val="20"/>
              </w:rPr>
              <w:t>Чести</w:t>
            </w:r>
          </w:p>
        </w:tc>
      </w:tr>
      <w:tr w:rsidR="001C4776" w14:paraId="6CE10413" w14:textId="77777777" w:rsidTr="001C4776">
        <w:tc>
          <w:tcPr>
            <w:tcW w:w="3192" w:type="dxa"/>
            <w:vMerge/>
          </w:tcPr>
          <w:p w14:paraId="7805452E" w14:textId="77777777" w:rsidR="001C4776" w:rsidRPr="001C4776" w:rsidRDefault="001C4776" w:rsidP="001C4776">
            <w:pPr>
              <w:spacing w:line="240" w:lineRule="auto"/>
              <w:rPr>
                <w:rFonts w:eastAsia="Times New Roman" w:cs="Arial"/>
                <w:szCs w:val="24"/>
              </w:rPr>
            </w:pPr>
          </w:p>
        </w:tc>
        <w:tc>
          <w:tcPr>
            <w:tcW w:w="3192" w:type="dxa"/>
          </w:tcPr>
          <w:p w14:paraId="7D3BDE28" w14:textId="74CD01DE" w:rsidR="001C4776" w:rsidRPr="001C4776" w:rsidRDefault="001C4776" w:rsidP="001C4776">
            <w:pPr>
              <w:spacing w:line="240" w:lineRule="auto"/>
              <w:rPr>
                <w:rFonts w:eastAsia="Times New Roman" w:cs="Arial"/>
                <w:szCs w:val="24"/>
              </w:rPr>
            </w:pPr>
            <w:r w:rsidRPr="001C4776">
              <w:rPr>
                <w:szCs w:val="20"/>
              </w:rPr>
              <w:t>астения/изтощение, физическо неразположение, оток</w:t>
            </w:r>
          </w:p>
        </w:tc>
        <w:tc>
          <w:tcPr>
            <w:tcW w:w="3192" w:type="dxa"/>
          </w:tcPr>
          <w:p w14:paraId="7CC6ACD3" w14:textId="77CD8E84" w:rsidR="001C4776" w:rsidRPr="001C4776" w:rsidRDefault="001C4776" w:rsidP="001C4776">
            <w:pPr>
              <w:spacing w:line="240" w:lineRule="auto"/>
              <w:rPr>
                <w:rFonts w:eastAsia="Times New Roman" w:cs="Arial"/>
                <w:szCs w:val="24"/>
              </w:rPr>
            </w:pPr>
            <w:r w:rsidRPr="001C4776">
              <w:rPr>
                <w:szCs w:val="20"/>
              </w:rPr>
              <w:t>Нечести</w:t>
            </w:r>
          </w:p>
        </w:tc>
      </w:tr>
      <w:tr w:rsidR="001C4776" w14:paraId="176F7731" w14:textId="77777777" w:rsidTr="00264CC5">
        <w:tc>
          <w:tcPr>
            <w:tcW w:w="9576" w:type="dxa"/>
            <w:gridSpan w:val="3"/>
          </w:tcPr>
          <w:p w14:paraId="56CB49C9" w14:textId="77777777" w:rsidR="001C4776" w:rsidRPr="001C4776" w:rsidRDefault="001C4776" w:rsidP="001C4776">
            <w:pPr>
              <w:spacing w:line="240" w:lineRule="auto"/>
              <w:rPr>
                <w:rFonts w:eastAsia="Times New Roman" w:cs="Arial"/>
                <w:szCs w:val="24"/>
              </w:rPr>
            </w:pPr>
            <w:r w:rsidRPr="001C4776">
              <w:rPr>
                <w:rFonts w:eastAsia="Times New Roman" w:cs="Arial"/>
                <w:color w:val="000000"/>
                <w:szCs w:val="20"/>
                <w:lang w:eastAsia="bg-BG"/>
              </w:rPr>
              <w:t>* Честота: Определена за всяка нежелана реакция в зависимост от докладваните случаи в клинични проучвания: много чести (≥1/10), чести (≥ 1/100 до &lt;1/10), нечести (≥ 1/1 000 до &lt;1/100), редки (≥1/10 000 до &lt;1/1 000), много редки (&lt;1/10 000).</w:t>
            </w:r>
          </w:p>
          <w:p w14:paraId="4FDA9888" w14:textId="77777777" w:rsidR="001C4776" w:rsidRPr="001C4776" w:rsidRDefault="001C4776" w:rsidP="001C4776">
            <w:pPr>
              <w:spacing w:line="240" w:lineRule="auto"/>
              <w:rPr>
                <w:rFonts w:eastAsia="Times New Roman" w:cs="Arial"/>
                <w:szCs w:val="24"/>
              </w:rPr>
            </w:pPr>
            <w:r w:rsidRPr="001C4776">
              <w:rPr>
                <w:rFonts w:eastAsia="Times New Roman" w:cs="Arial"/>
                <w:color w:val="000000"/>
                <w:szCs w:val="20"/>
                <w:vertAlign w:val="superscript"/>
                <w:lang w:eastAsia="bg-BG"/>
              </w:rPr>
              <w:t>+</w:t>
            </w:r>
            <w:r w:rsidRPr="001C4776">
              <w:rPr>
                <w:rFonts w:eastAsia="Times New Roman" w:cs="Arial"/>
                <w:color w:val="000000"/>
                <w:szCs w:val="20"/>
                <w:lang w:eastAsia="bg-BG"/>
              </w:rPr>
              <w:t>Тази нежелана реакция съобщавана като много честа при пациенти, на лечение с монтелукаст е съобщавана също като много честа и при пациенти на лечение с плацебо в клинични проучвания.</w:t>
            </w:r>
          </w:p>
          <w:p w14:paraId="101A848F" w14:textId="77777777" w:rsidR="001C4776" w:rsidRPr="001C4776" w:rsidRDefault="001C4776" w:rsidP="001C4776">
            <w:pPr>
              <w:spacing w:line="240" w:lineRule="auto"/>
              <w:rPr>
                <w:rFonts w:eastAsia="Times New Roman" w:cs="Arial"/>
                <w:szCs w:val="24"/>
              </w:rPr>
            </w:pPr>
            <w:r w:rsidRPr="001C4776">
              <w:rPr>
                <w:rFonts w:eastAsia="Times New Roman" w:cs="Arial"/>
                <w:color w:val="000000"/>
                <w:szCs w:val="20"/>
                <w:vertAlign w:val="superscript"/>
                <w:lang w:val="ru-RU"/>
              </w:rPr>
              <w:t>++</w:t>
            </w:r>
            <w:r w:rsidRPr="001C4776">
              <w:rPr>
                <w:rFonts w:eastAsia="Times New Roman" w:cs="Arial"/>
                <w:color w:val="000000"/>
                <w:szCs w:val="20"/>
                <w:lang w:val="ru-RU"/>
              </w:rPr>
              <w:t xml:space="preserve"> </w:t>
            </w:r>
            <w:r w:rsidRPr="001C4776">
              <w:rPr>
                <w:rFonts w:eastAsia="Times New Roman" w:cs="Arial"/>
                <w:color w:val="000000"/>
                <w:szCs w:val="20"/>
                <w:lang w:eastAsia="bg-BG"/>
              </w:rPr>
              <w:t>Тази нежелана реакция съобщавана като честа при пациенти на лечение с монтелукаст е съобщавана също като честа и при пациенти на лечение с плацебо в клинични проучвания.</w:t>
            </w:r>
          </w:p>
          <w:p w14:paraId="04C868F7" w14:textId="645C0BAF" w:rsidR="001C4776" w:rsidRPr="001C4776" w:rsidRDefault="001C4776" w:rsidP="001C4776">
            <w:pPr>
              <w:spacing w:line="240" w:lineRule="auto"/>
              <w:rPr>
                <w:rFonts w:cs="Arial"/>
                <w:szCs w:val="20"/>
              </w:rPr>
            </w:pPr>
            <w:r w:rsidRPr="001C4776">
              <w:rPr>
                <w:rFonts w:eastAsia="Times New Roman" w:cs="Arial"/>
                <w:color w:val="000000"/>
                <w:szCs w:val="20"/>
                <w:vertAlign w:val="superscript"/>
                <w:lang w:eastAsia="bg-BG"/>
              </w:rPr>
              <w:t>§</w:t>
            </w:r>
            <w:r w:rsidRPr="001C4776">
              <w:rPr>
                <w:rFonts w:eastAsia="Times New Roman" w:cs="Arial"/>
                <w:color w:val="000000"/>
                <w:szCs w:val="20"/>
                <w:lang w:eastAsia="bg-BG"/>
              </w:rPr>
              <w:t xml:space="preserve"> Категория по честота: Редки</w:t>
            </w:r>
          </w:p>
        </w:tc>
      </w:tr>
    </w:tbl>
    <w:p w14:paraId="4B496F1F" w14:textId="77777777" w:rsidR="001C4776" w:rsidRPr="001C4776" w:rsidRDefault="001C4776" w:rsidP="001C4776">
      <w:pPr>
        <w:spacing w:line="240" w:lineRule="auto"/>
        <w:rPr>
          <w:rFonts w:eastAsia="Times New Roman" w:cs="Arial"/>
          <w:sz w:val="28"/>
          <w:szCs w:val="24"/>
        </w:rPr>
      </w:pPr>
    </w:p>
    <w:p w14:paraId="1DD0C6C7" w14:textId="77777777" w:rsidR="001C4776" w:rsidRPr="001C4776" w:rsidRDefault="001C4776" w:rsidP="001C4776">
      <w:pPr>
        <w:spacing w:line="240" w:lineRule="auto"/>
        <w:rPr>
          <w:rFonts w:eastAsia="Times New Roman" w:cs="Arial"/>
        </w:rPr>
      </w:pPr>
      <w:r w:rsidRPr="001C4776">
        <w:rPr>
          <w:rFonts w:eastAsia="Times New Roman" w:cs="Arial"/>
          <w:color w:val="000000"/>
          <w:u w:val="single"/>
          <w:lang w:eastAsia="bg-BG"/>
        </w:rPr>
        <w:t>Съобщаване на подозирани нежелани реакции</w:t>
      </w:r>
    </w:p>
    <w:p w14:paraId="0F57B450" w14:textId="44F6C0E1" w:rsidR="001C4776" w:rsidRDefault="001C4776" w:rsidP="001C4776">
      <w:pPr>
        <w:spacing w:line="240" w:lineRule="auto"/>
        <w:rPr>
          <w:rFonts w:eastAsia="Times New Roman" w:cs="Arial"/>
          <w:color w:val="000000"/>
          <w:lang w:val="ru-RU"/>
        </w:rPr>
      </w:pPr>
      <w:r w:rsidRPr="001C4776">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 1303 София, тел.: +359 28903417, уебсайт: </w:t>
      </w:r>
      <w:r w:rsidRPr="001C4776">
        <w:rPr>
          <w:rFonts w:eastAsia="Times New Roman" w:cs="Arial"/>
        </w:rPr>
        <w:fldChar w:fldCharType="begin"/>
      </w:r>
      <w:r w:rsidRPr="001C4776">
        <w:rPr>
          <w:rFonts w:eastAsia="Times New Roman" w:cs="Arial"/>
        </w:rPr>
        <w:instrText xml:space="preserve"> HYPERLINK "http://www.bda.bg" </w:instrText>
      </w:r>
      <w:r w:rsidRPr="001C4776">
        <w:rPr>
          <w:rFonts w:eastAsia="Times New Roman" w:cs="Arial"/>
        </w:rPr>
      </w:r>
      <w:r w:rsidRPr="001C4776">
        <w:rPr>
          <w:rFonts w:eastAsia="Times New Roman" w:cs="Arial"/>
        </w:rPr>
        <w:fldChar w:fldCharType="separate"/>
      </w:r>
      <w:r w:rsidRPr="001C4776">
        <w:rPr>
          <w:rFonts w:eastAsia="Times New Roman" w:cs="Arial"/>
          <w:color w:val="000000"/>
          <w:lang w:val="en-US"/>
        </w:rPr>
        <w:t>www</w:t>
      </w:r>
      <w:r w:rsidRPr="001C4776">
        <w:rPr>
          <w:rFonts w:eastAsia="Times New Roman" w:cs="Arial"/>
          <w:color w:val="000000"/>
          <w:lang w:val="ru-RU"/>
        </w:rPr>
        <w:t>.</w:t>
      </w:r>
      <w:proofErr w:type="spellStart"/>
      <w:r w:rsidRPr="001C4776">
        <w:rPr>
          <w:rFonts w:eastAsia="Times New Roman" w:cs="Arial"/>
          <w:color w:val="000000"/>
          <w:lang w:val="en-US"/>
        </w:rPr>
        <w:t>bda</w:t>
      </w:r>
      <w:proofErr w:type="spellEnd"/>
      <w:r w:rsidRPr="001C4776">
        <w:rPr>
          <w:rFonts w:eastAsia="Times New Roman" w:cs="Arial"/>
          <w:color w:val="000000"/>
          <w:lang w:val="ru-RU"/>
        </w:rPr>
        <w:t>.</w:t>
      </w:r>
      <w:proofErr w:type="spellStart"/>
      <w:r w:rsidRPr="001C4776">
        <w:rPr>
          <w:rFonts w:eastAsia="Times New Roman" w:cs="Arial"/>
          <w:color w:val="000000"/>
          <w:lang w:val="en-US"/>
        </w:rPr>
        <w:t>bg</w:t>
      </w:r>
      <w:proofErr w:type="spellEnd"/>
      <w:r w:rsidRPr="001C4776">
        <w:rPr>
          <w:rFonts w:eastAsia="Times New Roman" w:cs="Arial"/>
        </w:rPr>
        <w:fldChar w:fldCharType="end"/>
      </w:r>
      <w:r w:rsidRPr="001C4776">
        <w:rPr>
          <w:rFonts w:eastAsia="Times New Roman" w:cs="Arial"/>
          <w:color w:val="000000"/>
          <w:lang w:val="ru-RU"/>
        </w:rPr>
        <w:t>.</w:t>
      </w:r>
    </w:p>
    <w:p w14:paraId="49525181" w14:textId="77777777" w:rsidR="001C4776" w:rsidRPr="001C4776" w:rsidRDefault="001C4776" w:rsidP="001C4776">
      <w:pPr>
        <w:spacing w:line="240" w:lineRule="auto"/>
        <w:rPr>
          <w:rFonts w:eastAsia="Times New Roman" w:cs="Arial"/>
        </w:rPr>
      </w:pPr>
    </w:p>
    <w:p w14:paraId="5A87DBA3" w14:textId="6A1F99FB" w:rsidR="007122AD" w:rsidRDefault="002C50EE" w:rsidP="00936AD0">
      <w:pPr>
        <w:pStyle w:val="Heading2"/>
      </w:pPr>
      <w:r>
        <w:t>4.9. Предозиране</w:t>
      </w:r>
    </w:p>
    <w:p w14:paraId="59631B3B" w14:textId="4A189999" w:rsidR="001C4776" w:rsidRDefault="001C4776" w:rsidP="001C4776"/>
    <w:p w14:paraId="51CC1161"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 xml:space="preserve">В проучвания за хронична астма, монтелукаст е прилаган на възрастни пациенти в дози до 200 </w:t>
      </w:r>
      <w:r w:rsidRPr="001C4776">
        <w:rPr>
          <w:rFonts w:eastAsia="Times New Roman" w:cs="Arial"/>
          <w:color w:val="000000"/>
          <w:szCs w:val="20"/>
          <w:lang w:val="en-US"/>
        </w:rPr>
        <w:t>mg</w:t>
      </w:r>
      <w:r w:rsidRPr="001C4776">
        <w:rPr>
          <w:rFonts w:eastAsia="Times New Roman" w:cs="Arial"/>
          <w:color w:val="000000"/>
          <w:szCs w:val="20"/>
          <w:lang w:val="ru-RU"/>
        </w:rPr>
        <w:t xml:space="preserve"> </w:t>
      </w:r>
      <w:r w:rsidRPr="001C4776">
        <w:rPr>
          <w:rFonts w:eastAsia="Times New Roman" w:cs="Arial"/>
          <w:color w:val="000000"/>
          <w:szCs w:val="20"/>
          <w:lang w:eastAsia="bg-BG"/>
        </w:rPr>
        <w:t xml:space="preserve">дневно в продължение на 22 седмици и в краткосрочни проучвания в дози до 900 </w:t>
      </w:r>
      <w:r w:rsidRPr="001C4776">
        <w:rPr>
          <w:rFonts w:eastAsia="Times New Roman" w:cs="Arial"/>
          <w:color w:val="000000"/>
          <w:szCs w:val="20"/>
          <w:lang w:val="en-US"/>
        </w:rPr>
        <w:t>mg</w:t>
      </w:r>
      <w:r w:rsidRPr="001C4776">
        <w:rPr>
          <w:rFonts w:eastAsia="Times New Roman" w:cs="Arial"/>
          <w:color w:val="000000"/>
          <w:szCs w:val="20"/>
          <w:lang w:val="ru-RU"/>
        </w:rPr>
        <w:t xml:space="preserve"> </w:t>
      </w:r>
      <w:r w:rsidRPr="001C4776">
        <w:rPr>
          <w:rFonts w:eastAsia="Times New Roman" w:cs="Arial"/>
          <w:color w:val="000000"/>
          <w:szCs w:val="20"/>
          <w:lang w:eastAsia="bg-BG"/>
        </w:rPr>
        <w:t>дневно на пациенти за приблизително една седмица, без клинично значими нежелани реакции.</w:t>
      </w:r>
    </w:p>
    <w:p w14:paraId="66B188AF" w14:textId="77777777" w:rsidR="001C4776" w:rsidRPr="001C4776" w:rsidRDefault="001C4776" w:rsidP="001C4776">
      <w:pPr>
        <w:spacing w:line="240" w:lineRule="auto"/>
        <w:rPr>
          <w:rFonts w:eastAsia="Times New Roman" w:cs="Arial"/>
          <w:color w:val="000000"/>
          <w:szCs w:val="20"/>
          <w:lang w:eastAsia="bg-BG"/>
        </w:rPr>
      </w:pPr>
    </w:p>
    <w:p w14:paraId="1CC3A68F" w14:textId="75A56F73"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 xml:space="preserve">От постмаркетинговия опит и клиничните проучвания има съобщения за остро предозиране с монтелукаст. Те включват съобщения при възрастни и деца с дози от 1000 </w:t>
      </w:r>
      <w:r w:rsidRPr="001C4776">
        <w:rPr>
          <w:rFonts w:eastAsia="Times New Roman" w:cs="Arial"/>
          <w:color w:val="000000"/>
          <w:szCs w:val="20"/>
          <w:lang w:val="en-US"/>
        </w:rPr>
        <w:t>mg</w:t>
      </w:r>
      <w:r w:rsidRPr="001C4776">
        <w:rPr>
          <w:rFonts w:eastAsia="Times New Roman" w:cs="Arial"/>
          <w:color w:val="000000"/>
          <w:szCs w:val="20"/>
          <w:lang w:val="ru-RU"/>
        </w:rPr>
        <w:t xml:space="preserve"> </w:t>
      </w:r>
      <w:r w:rsidRPr="001C4776">
        <w:rPr>
          <w:rFonts w:eastAsia="Times New Roman" w:cs="Arial"/>
          <w:color w:val="000000"/>
          <w:szCs w:val="20"/>
          <w:lang w:eastAsia="bg-BG"/>
        </w:rPr>
        <w:t xml:space="preserve">и по-високи (приблизително 61 </w:t>
      </w:r>
      <w:r w:rsidRPr="001C4776">
        <w:rPr>
          <w:rFonts w:eastAsia="Times New Roman" w:cs="Arial"/>
          <w:color w:val="000000"/>
          <w:szCs w:val="20"/>
          <w:lang w:val="en-US"/>
        </w:rPr>
        <w:t>mg</w:t>
      </w:r>
      <w:r w:rsidRPr="001C4776">
        <w:rPr>
          <w:rFonts w:eastAsia="Times New Roman" w:cs="Arial"/>
          <w:color w:val="000000"/>
          <w:szCs w:val="20"/>
          <w:lang w:val="ru-RU"/>
        </w:rPr>
        <w:t>/</w:t>
      </w:r>
      <w:r w:rsidRPr="001C4776">
        <w:rPr>
          <w:rFonts w:eastAsia="Times New Roman" w:cs="Arial"/>
          <w:color w:val="000000"/>
          <w:szCs w:val="20"/>
          <w:lang w:val="en-US"/>
        </w:rPr>
        <w:t>kg</w:t>
      </w:r>
      <w:r w:rsidRPr="001C4776">
        <w:rPr>
          <w:rFonts w:eastAsia="Times New Roman" w:cs="Arial"/>
          <w:color w:val="000000"/>
          <w:szCs w:val="20"/>
          <w:lang w:val="ru-RU"/>
        </w:rPr>
        <w:t xml:space="preserve"> </w:t>
      </w:r>
      <w:r w:rsidRPr="001C4776">
        <w:rPr>
          <w:rFonts w:eastAsia="Times New Roman" w:cs="Arial"/>
          <w:color w:val="000000"/>
          <w:szCs w:val="20"/>
          <w:lang w:eastAsia="bg-BG"/>
        </w:rPr>
        <w:t>телесно тегло при 42-месечно дете). Наблюдаваните клинична картина и лабораторни резултати са в съответствие с профила на безопасност при възрастни и педиатрични пациенти. В по-гол ямата част от съобщенията за предозиране не е имало нежелани реакции.</w:t>
      </w:r>
    </w:p>
    <w:p w14:paraId="72FA4000" w14:textId="77777777" w:rsidR="001C4776" w:rsidRPr="001C4776" w:rsidRDefault="001C4776" w:rsidP="001C4776">
      <w:pPr>
        <w:spacing w:line="240" w:lineRule="auto"/>
        <w:rPr>
          <w:rFonts w:eastAsia="Times New Roman" w:cs="Arial"/>
          <w:color w:val="000000"/>
          <w:szCs w:val="20"/>
          <w:u w:val="single"/>
          <w:lang w:eastAsia="bg-BG"/>
        </w:rPr>
      </w:pPr>
    </w:p>
    <w:p w14:paraId="18D97A24" w14:textId="43D58FCB" w:rsidR="001C4776" w:rsidRPr="001C4776" w:rsidRDefault="001C4776" w:rsidP="001C4776">
      <w:pPr>
        <w:pStyle w:val="Heading3"/>
        <w:rPr>
          <w:rFonts w:eastAsia="Times New Roman"/>
          <w:sz w:val="28"/>
          <w:u w:val="single"/>
        </w:rPr>
      </w:pPr>
      <w:r w:rsidRPr="001C4776">
        <w:rPr>
          <w:rFonts w:eastAsia="Times New Roman"/>
          <w:u w:val="single"/>
          <w:lang w:eastAsia="bg-BG"/>
        </w:rPr>
        <w:t>Симптоми на предозиране</w:t>
      </w:r>
    </w:p>
    <w:p w14:paraId="6A2F87C6"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Най-често наблюдаваните нежелани реакции са в съответствие с профила на безопасност на монтелукаст и включват коремна болка, сомнолентност, жажда, главоболие, повръщане и психомоторна хиперреактивност.</w:t>
      </w:r>
    </w:p>
    <w:p w14:paraId="2336ABE6" w14:textId="77777777" w:rsidR="001C4776" w:rsidRPr="001C4776" w:rsidRDefault="001C4776" w:rsidP="001C4776">
      <w:pPr>
        <w:spacing w:line="240" w:lineRule="auto"/>
        <w:rPr>
          <w:rFonts w:eastAsia="Times New Roman" w:cs="Arial"/>
          <w:color w:val="000000"/>
          <w:szCs w:val="20"/>
          <w:u w:val="single"/>
          <w:lang w:eastAsia="bg-BG"/>
        </w:rPr>
      </w:pPr>
    </w:p>
    <w:p w14:paraId="3C78A8D2" w14:textId="0576375D" w:rsidR="001C4776" w:rsidRPr="001C4776" w:rsidRDefault="001C4776" w:rsidP="001C4776">
      <w:pPr>
        <w:pStyle w:val="Heading3"/>
        <w:rPr>
          <w:rFonts w:eastAsia="Times New Roman"/>
          <w:sz w:val="28"/>
          <w:u w:val="single"/>
        </w:rPr>
      </w:pPr>
      <w:r w:rsidRPr="001C4776">
        <w:rPr>
          <w:rFonts w:eastAsia="Times New Roman"/>
          <w:u w:val="single"/>
          <w:lang w:eastAsia="bg-BG"/>
        </w:rPr>
        <w:t>Лечение на предозиране</w:t>
      </w:r>
    </w:p>
    <w:p w14:paraId="2CC96364" w14:textId="7BF15DB9" w:rsidR="001C4776" w:rsidRPr="001C4776" w:rsidRDefault="001C4776" w:rsidP="001C4776">
      <w:r w:rsidRPr="001C4776">
        <w:rPr>
          <w:rFonts w:eastAsia="Times New Roman" w:cs="Arial"/>
          <w:color w:val="000000"/>
          <w:szCs w:val="20"/>
          <w:lang w:eastAsia="bg-BG"/>
        </w:rPr>
        <w:t>Няма налична специфична информация относно лечение на предозиране с монотелукаст. Не е известно дали монтелукаст</w:t>
      </w:r>
      <w:r w:rsidRPr="001C4776">
        <w:rPr>
          <w:rFonts w:ascii="Times New Roman" w:eastAsia="Times New Roman" w:hAnsi="Times New Roman" w:cs="Times New Roman"/>
          <w:color w:val="000000"/>
          <w:szCs w:val="20"/>
          <w:lang w:eastAsia="bg-BG"/>
        </w:rPr>
        <w:t xml:space="preserve"> </w:t>
      </w:r>
      <w:r w:rsidRPr="001C4776">
        <w:rPr>
          <w:rFonts w:eastAsia="Times New Roman" w:cs="Arial"/>
          <w:color w:val="000000"/>
          <w:szCs w:val="20"/>
          <w:lang w:eastAsia="bg-BG"/>
        </w:rPr>
        <w:t>се диализира посредством перитонеална или хемодиализа.</w:t>
      </w:r>
    </w:p>
    <w:p w14:paraId="02081B24" w14:textId="1F46E296" w:rsidR="00395555" w:rsidRPr="00395555" w:rsidRDefault="002C50EE" w:rsidP="008A6AF2">
      <w:pPr>
        <w:pStyle w:val="Heading1"/>
      </w:pPr>
      <w:r>
        <w:t>5. ФАРМАКОЛОГИЧНИ СВОЙСТВА</w:t>
      </w:r>
    </w:p>
    <w:p w14:paraId="7DE36AC8" w14:textId="20633E02" w:rsidR="00B6672E" w:rsidRDefault="002C50EE" w:rsidP="00936AD0">
      <w:pPr>
        <w:pStyle w:val="Heading2"/>
      </w:pPr>
      <w:r>
        <w:t>5.1. Фармакодинамични свойства</w:t>
      </w:r>
    </w:p>
    <w:p w14:paraId="1A4E88E7" w14:textId="51E6C5E8" w:rsidR="001C4776" w:rsidRDefault="001C4776" w:rsidP="001C4776"/>
    <w:p w14:paraId="28967E2B"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 xml:space="preserve">Фармакотерапевтична група: Левкотриенови рецепторни антагонисти, АТС код: </w:t>
      </w:r>
      <w:r w:rsidRPr="001C4776">
        <w:rPr>
          <w:rFonts w:eastAsia="Times New Roman" w:cs="Arial"/>
          <w:color w:val="000000"/>
          <w:szCs w:val="20"/>
          <w:lang w:val="en-US"/>
        </w:rPr>
        <w:t>R</w:t>
      </w:r>
      <w:r w:rsidRPr="001C4776">
        <w:rPr>
          <w:rFonts w:eastAsia="Times New Roman" w:cs="Arial"/>
          <w:color w:val="000000"/>
          <w:szCs w:val="20"/>
          <w:lang w:val="ru-RU"/>
        </w:rPr>
        <w:t>03</w:t>
      </w:r>
      <w:r w:rsidRPr="001C4776">
        <w:rPr>
          <w:rFonts w:eastAsia="Times New Roman" w:cs="Arial"/>
          <w:color w:val="000000"/>
          <w:szCs w:val="20"/>
          <w:lang w:val="en-US"/>
        </w:rPr>
        <w:t>D</w:t>
      </w:r>
      <w:r w:rsidRPr="001C4776">
        <w:rPr>
          <w:rFonts w:eastAsia="Times New Roman" w:cs="Arial"/>
          <w:color w:val="000000"/>
          <w:szCs w:val="20"/>
          <w:lang w:val="ru-RU"/>
        </w:rPr>
        <w:t xml:space="preserve"> </w:t>
      </w:r>
      <w:r w:rsidRPr="001C4776">
        <w:rPr>
          <w:rFonts w:eastAsia="Times New Roman" w:cs="Arial"/>
          <w:color w:val="000000"/>
          <w:szCs w:val="20"/>
          <w:lang w:eastAsia="bg-BG"/>
        </w:rPr>
        <w:t>СОЗ</w:t>
      </w:r>
    </w:p>
    <w:p w14:paraId="3D98928B" w14:textId="77777777" w:rsidR="007F6EF6" w:rsidRPr="007F6EF6" w:rsidRDefault="007F6EF6" w:rsidP="001C4776">
      <w:pPr>
        <w:spacing w:line="240" w:lineRule="auto"/>
        <w:rPr>
          <w:rFonts w:eastAsia="Times New Roman" w:cs="Arial"/>
          <w:color w:val="000000"/>
          <w:szCs w:val="20"/>
          <w:u w:val="single"/>
          <w:lang w:eastAsia="bg-BG"/>
        </w:rPr>
      </w:pPr>
    </w:p>
    <w:p w14:paraId="30730FAA" w14:textId="20E99F7F"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u w:val="single"/>
          <w:lang w:eastAsia="bg-BG"/>
        </w:rPr>
        <w:t>Механизъм на действие</w:t>
      </w:r>
    </w:p>
    <w:p w14:paraId="492CB0A5"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 xml:space="preserve">Цистениловите левкотриени </w:t>
      </w:r>
      <w:r w:rsidRPr="001C4776">
        <w:rPr>
          <w:rFonts w:eastAsia="Times New Roman" w:cs="Arial"/>
          <w:color w:val="000000"/>
          <w:szCs w:val="20"/>
          <w:lang w:val="ru-RU"/>
        </w:rPr>
        <w:t>(</w:t>
      </w:r>
      <w:r w:rsidRPr="001C4776">
        <w:rPr>
          <w:rFonts w:eastAsia="Times New Roman" w:cs="Arial"/>
          <w:color w:val="000000"/>
          <w:szCs w:val="20"/>
          <w:lang w:val="en-US"/>
        </w:rPr>
        <w:t>LTC</w:t>
      </w:r>
      <w:r w:rsidRPr="001C4776">
        <w:rPr>
          <w:rFonts w:eastAsia="Times New Roman" w:cs="Arial"/>
          <w:color w:val="000000"/>
          <w:szCs w:val="20"/>
          <w:lang w:val="ru-RU"/>
        </w:rPr>
        <w:t xml:space="preserve">4, </w:t>
      </w:r>
      <w:r w:rsidRPr="001C4776">
        <w:rPr>
          <w:rFonts w:eastAsia="Times New Roman" w:cs="Arial"/>
          <w:color w:val="000000"/>
          <w:szCs w:val="20"/>
          <w:lang w:val="en-US"/>
        </w:rPr>
        <w:t>LTD</w:t>
      </w:r>
      <w:r w:rsidRPr="001C4776">
        <w:rPr>
          <w:rFonts w:eastAsia="Times New Roman" w:cs="Arial"/>
          <w:color w:val="000000"/>
          <w:szCs w:val="20"/>
          <w:vertAlign w:val="subscript"/>
          <w:lang w:val="ru-RU"/>
        </w:rPr>
        <w:t>4</w:t>
      </w:r>
      <w:r w:rsidRPr="001C4776">
        <w:rPr>
          <w:rFonts w:eastAsia="Times New Roman" w:cs="Arial"/>
          <w:color w:val="000000"/>
          <w:szCs w:val="20"/>
          <w:lang w:val="ru-RU"/>
        </w:rPr>
        <w:t xml:space="preserve">, </w:t>
      </w:r>
      <w:r w:rsidRPr="001C4776">
        <w:rPr>
          <w:rFonts w:eastAsia="Times New Roman" w:cs="Arial"/>
          <w:color w:val="000000"/>
          <w:szCs w:val="20"/>
          <w:lang w:val="en-US"/>
        </w:rPr>
        <w:t>LTE</w:t>
      </w:r>
      <w:r w:rsidRPr="001C4776">
        <w:rPr>
          <w:rFonts w:eastAsia="Times New Roman" w:cs="Arial"/>
          <w:color w:val="000000"/>
          <w:szCs w:val="20"/>
          <w:vertAlign w:val="subscript"/>
          <w:lang w:val="ru-RU"/>
        </w:rPr>
        <w:t>4</w:t>
      </w:r>
      <w:r w:rsidRPr="001C4776">
        <w:rPr>
          <w:rFonts w:eastAsia="Times New Roman" w:cs="Arial"/>
          <w:color w:val="000000"/>
          <w:szCs w:val="20"/>
          <w:lang w:eastAsia="bg-BG"/>
        </w:rPr>
        <w:t xml:space="preserve">) са мощни възпалителни ейкозаноиди, които се освобождават от различни клетки, включително мастоцити и еозинофилни гранулоцити. Тези важни проастматични медиатори се свързват с цистенил левкотриенови </w:t>
      </w:r>
      <w:r w:rsidRPr="001C4776">
        <w:rPr>
          <w:rFonts w:eastAsia="Times New Roman" w:cs="Arial"/>
          <w:color w:val="000000"/>
          <w:szCs w:val="20"/>
        </w:rPr>
        <w:t>(</w:t>
      </w:r>
      <w:proofErr w:type="spellStart"/>
      <w:r w:rsidRPr="001C4776">
        <w:rPr>
          <w:rFonts w:eastAsia="Times New Roman" w:cs="Arial"/>
          <w:color w:val="000000"/>
          <w:szCs w:val="20"/>
          <w:lang w:val="en-US"/>
        </w:rPr>
        <w:t>CysLT</w:t>
      </w:r>
      <w:proofErr w:type="spellEnd"/>
      <w:r w:rsidRPr="001C4776">
        <w:rPr>
          <w:rFonts w:eastAsia="Times New Roman" w:cs="Arial"/>
          <w:color w:val="000000"/>
          <w:szCs w:val="20"/>
        </w:rPr>
        <w:t xml:space="preserve">) </w:t>
      </w:r>
      <w:r w:rsidRPr="001C4776">
        <w:rPr>
          <w:rFonts w:eastAsia="Times New Roman" w:cs="Arial"/>
          <w:color w:val="000000"/>
          <w:szCs w:val="20"/>
          <w:lang w:eastAsia="bg-BG"/>
        </w:rPr>
        <w:t>рецептори, намиращи се в дихателните пътища на човек и въздействат върху тях като причиняват бронхоспазъм, повишена секреция на мукус, съдов пермеабилитет и натрупване на еозинофили.</w:t>
      </w:r>
    </w:p>
    <w:p w14:paraId="6556E60F" w14:textId="77777777" w:rsidR="007F6EF6" w:rsidRPr="007F6EF6" w:rsidRDefault="007F6EF6" w:rsidP="001C4776">
      <w:pPr>
        <w:spacing w:line="240" w:lineRule="auto"/>
        <w:rPr>
          <w:rFonts w:eastAsia="Times New Roman" w:cs="Arial"/>
          <w:color w:val="000000"/>
          <w:szCs w:val="20"/>
          <w:u w:val="single"/>
          <w:lang w:eastAsia="bg-BG"/>
        </w:rPr>
      </w:pPr>
    </w:p>
    <w:p w14:paraId="52817325" w14:textId="213ABC4F"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u w:val="single"/>
          <w:lang w:eastAsia="bg-BG"/>
        </w:rPr>
        <w:t>Фармакодинамични ефекти</w:t>
      </w:r>
    </w:p>
    <w:p w14:paraId="4B2B3E0A"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 xml:space="preserve">Монтелукаст е активна съставка, която се прилага перорално и се свързва с висок афинитет и селективност към </w:t>
      </w:r>
      <w:proofErr w:type="spellStart"/>
      <w:r w:rsidRPr="001C4776">
        <w:rPr>
          <w:rFonts w:eastAsia="Times New Roman" w:cs="Arial"/>
          <w:color w:val="000000"/>
          <w:szCs w:val="20"/>
          <w:lang w:val="en-US"/>
        </w:rPr>
        <w:t>CysLT</w:t>
      </w:r>
      <w:proofErr w:type="spellEnd"/>
      <w:r w:rsidRPr="001C4776">
        <w:rPr>
          <w:rFonts w:eastAsia="Times New Roman" w:cs="Arial"/>
          <w:color w:val="000000"/>
          <w:szCs w:val="20"/>
          <w:vertAlign w:val="subscript"/>
          <w:lang w:val="ru-RU"/>
        </w:rPr>
        <w:t>1</w:t>
      </w:r>
      <w:r w:rsidRPr="001C4776">
        <w:rPr>
          <w:rFonts w:eastAsia="Times New Roman" w:cs="Arial"/>
          <w:color w:val="000000"/>
          <w:szCs w:val="20"/>
          <w:lang w:val="ru-RU"/>
        </w:rPr>
        <w:t xml:space="preserve"> </w:t>
      </w:r>
      <w:r w:rsidRPr="001C4776">
        <w:rPr>
          <w:rFonts w:eastAsia="Times New Roman" w:cs="Arial"/>
          <w:color w:val="000000"/>
          <w:szCs w:val="20"/>
          <w:lang w:eastAsia="bg-BG"/>
        </w:rPr>
        <w:t xml:space="preserve">рецептора. В клинични проучвания монтелукаст инхибира бронхоконстрикцията благодарение на инхалаторния </w:t>
      </w:r>
      <w:r w:rsidRPr="001C4776">
        <w:rPr>
          <w:rFonts w:eastAsia="Times New Roman" w:cs="Arial"/>
          <w:color w:val="000000"/>
          <w:szCs w:val="20"/>
          <w:lang w:val="en-US"/>
        </w:rPr>
        <w:t>LTD</w:t>
      </w:r>
      <w:r w:rsidRPr="001C4776">
        <w:rPr>
          <w:rFonts w:eastAsia="Times New Roman" w:cs="Arial"/>
          <w:color w:val="000000"/>
          <w:szCs w:val="20"/>
          <w:vertAlign w:val="subscript"/>
          <w:lang w:val="ru-RU"/>
        </w:rPr>
        <w:t>4</w:t>
      </w:r>
      <w:r w:rsidRPr="001C4776">
        <w:rPr>
          <w:rFonts w:eastAsia="Times New Roman" w:cs="Arial"/>
          <w:color w:val="000000"/>
          <w:szCs w:val="20"/>
          <w:lang w:val="ru-RU"/>
        </w:rPr>
        <w:t xml:space="preserve"> </w:t>
      </w:r>
      <w:r w:rsidRPr="001C4776">
        <w:rPr>
          <w:rFonts w:eastAsia="Times New Roman" w:cs="Arial"/>
          <w:color w:val="000000"/>
          <w:szCs w:val="20"/>
          <w:lang w:eastAsia="bg-BG"/>
        </w:rPr>
        <w:t xml:space="preserve">в дози от 5 </w:t>
      </w:r>
      <w:r w:rsidRPr="001C4776">
        <w:rPr>
          <w:rFonts w:eastAsia="Times New Roman" w:cs="Arial"/>
          <w:color w:val="000000"/>
          <w:szCs w:val="20"/>
          <w:lang w:val="en-US"/>
        </w:rPr>
        <w:t>mg</w:t>
      </w:r>
      <w:r w:rsidRPr="001C4776">
        <w:rPr>
          <w:rFonts w:eastAsia="Times New Roman" w:cs="Arial"/>
          <w:color w:val="000000"/>
          <w:szCs w:val="20"/>
          <w:lang w:val="ru-RU"/>
        </w:rPr>
        <w:t xml:space="preserve">. </w:t>
      </w:r>
      <w:r w:rsidRPr="001C4776">
        <w:rPr>
          <w:rFonts w:eastAsia="Times New Roman" w:cs="Arial"/>
          <w:color w:val="000000"/>
          <w:szCs w:val="20"/>
          <w:lang w:eastAsia="bg-BG"/>
        </w:rPr>
        <w:t>В рамките на два часа след перорално приложение се наблюдава бронходилатация. Бронходилатиращия ефект, предизвикан от β-агонист е бил адитивен спрямо този предизвикан от монтелукаст. Лечението с монтелукаст инхибира ранната и късната фаза на бронхоконстрикцията благодарение на антигенното активиране. Монтелукаст в сравнение с плацебо намалява броя на еозинофилите в периферната кръв при възрастни и педиатрични пациенти. В отделно проучване, лечението с монтелукаст води до значимо намаление на еозинофилите в дихателните пътища (определени в храчка). При възрастни и педиатрични пациенти на възраст от 2 до 14 години, монтелукаст сравнен с плацебо понижава периферното натрупване на еозинофили и подобрява контрола на клиничните симптоми на астмата.</w:t>
      </w:r>
    </w:p>
    <w:p w14:paraId="0204A008" w14:textId="77777777" w:rsidR="007F6EF6" w:rsidRPr="007F6EF6" w:rsidRDefault="007F6EF6" w:rsidP="001C4776">
      <w:pPr>
        <w:spacing w:line="240" w:lineRule="auto"/>
        <w:rPr>
          <w:rFonts w:eastAsia="Times New Roman" w:cs="Arial"/>
          <w:color w:val="000000"/>
          <w:szCs w:val="20"/>
          <w:u w:val="single"/>
          <w:lang w:eastAsia="bg-BG"/>
        </w:rPr>
      </w:pPr>
    </w:p>
    <w:p w14:paraId="54F7D92D" w14:textId="51C4B29A"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u w:val="single"/>
          <w:lang w:eastAsia="bg-BG"/>
        </w:rPr>
        <w:t>Клинична ефикасност и безопасност</w:t>
      </w:r>
    </w:p>
    <w:p w14:paraId="4353817E"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 xml:space="preserve">В проучвания при възрастни, монтелукаст 10 </w:t>
      </w:r>
      <w:r w:rsidRPr="001C4776">
        <w:rPr>
          <w:rFonts w:eastAsia="Times New Roman" w:cs="Arial"/>
          <w:color w:val="000000"/>
          <w:szCs w:val="20"/>
          <w:lang w:val="en-US"/>
        </w:rPr>
        <w:t>mg</w:t>
      </w:r>
      <w:r w:rsidRPr="001C4776">
        <w:rPr>
          <w:rFonts w:eastAsia="Times New Roman" w:cs="Arial"/>
          <w:color w:val="000000"/>
          <w:szCs w:val="20"/>
          <w:lang w:val="ru-RU"/>
        </w:rPr>
        <w:t xml:space="preserve"> </w:t>
      </w:r>
      <w:r w:rsidRPr="001C4776">
        <w:rPr>
          <w:rFonts w:eastAsia="Times New Roman" w:cs="Arial"/>
          <w:color w:val="000000"/>
          <w:szCs w:val="20"/>
          <w:lang w:eastAsia="bg-BG"/>
        </w:rPr>
        <w:t xml:space="preserve">веднъж дневно в сравнение с плацебо е доказал значително подобрение в сутрешния форсиран експираторен обем за 1 минута </w:t>
      </w:r>
      <w:r w:rsidRPr="001C4776">
        <w:rPr>
          <w:rFonts w:eastAsia="Times New Roman" w:cs="Arial"/>
          <w:color w:val="000000"/>
          <w:szCs w:val="20"/>
          <w:lang w:val="ru-RU"/>
        </w:rPr>
        <w:lastRenderedPageBreak/>
        <w:t>(</w:t>
      </w:r>
      <w:r w:rsidRPr="001C4776">
        <w:rPr>
          <w:rFonts w:eastAsia="Times New Roman" w:cs="Arial"/>
          <w:color w:val="000000"/>
          <w:szCs w:val="20"/>
          <w:lang w:val="en-US"/>
        </w:rPr>
        <w:t>FEV</w:t>
      </w:r>
      <w:r w:rsidRPr="001C4776">
        <w:rPr>
          <w:rFonts w:eastAsia="Times New Roman" w:cs="Arial"/>
          <w:color w:val="000000"/>
          <w:szCs w:val="20"/>
          <w:vertAlign w:val="subscript"/>
          <w:lang w:val="ru-RU"/>
        </w:rPr>
        <w:t>1</w:t>
      </w:r>
      <w:r w:rsidRPr="001C4776">
        <w:rPr>
          <w:rFonts w:eastAsia="Times New Roman" w:cs="Arial"/>
          <w:color w:val="000000"/>
          <w:szCs w:val="20"/>
          <w:lang w:val="ru-RU"/>
        </w:rPr>
        <w:t xml:space="preserve">) </w:t>
      </w:r>
      <w:r w:rsidRPr="001C4776">
        <w:rPr>
          <w:rFonts w:eastAsia="Times New Roman" w:cs="Arial"/>
          <w:color w:val="000000"/>
          <w:szCs w:val="20"/>
          <w:lang w:eastAsia="bg-BG"/>
        </w:rPr>
        <w:t>(10,4% спрямо 2,7% промяна от изходните стойности), АМ върховия експираторен дебит (24,5</w:t>
      </w:r>
      <w:r w:rsidRPr="001C4776">
        <w:rPr>
          <w:rFonts w:eastAsia="Times New Roman" w:cs="Arial"/>
          <w:color w:val="000000"/>
          <w:szCs w:val="20"/>
          <w:lang w:val="ru-RU"/>
        </w:rPr>
        <w:t>1/</w:t>
      </w:r>
      <w:r w:rsidRPr="001C4776">
        <w:rPr>
          <w:rFonts w:eastAsia="Times New Roman" w:cs="Arial"/>
          <w:color w:val="000000"/>
          <w:szCs w:val="20"/>
          <w:lang w:val="en-US"/>
        </w:rPr>
        <w:t>min</w:t>
      </w:r>
      <w:r w:rsidRPr="001C4776">
        <w:rPr>
          <w:rFonts w:eastAsia="Times New Roman" w:cs="Arial"/>
          <w:color w:val="000000"/>
          <w:szCs w:val="20"/>
          <w:lang w:val="ru-RU"/>
        </w:rPr>
        <w:t xml:space="preserve"> </w:t>
      </w:r>
      <w:r w:rsidRPr="001C4776">
        <w:rPr>
          <w:rFonts w:eastAsia="Times New Roman" w:cs="Arial"/>
          <w:color w:val="000000"/>
          <w:szCs w:val="20"/>
          <w:lang w:eastAsia="bg-BG"/>
        </w:rPr>
        <w:t xml:space="preserve">спрямо 3,3 </w:t>
      </w:r>
      <w:r w:rsidRPr="001C4776">
        <w:rPr>
          <w:rFonts w:eastAsia="Times New Roman" w:cs="Arial"/>
          <w:color w:val="000000"/>
          <w:szCs w:val="20"/>
          <w:lang w:val="en-US"/>
        </w:rPr>
        <w:t>l</w:t>
      </w:r>
      <w:r w:rsidRPr="001C4776">
        <w:rPr>
          <w:rFonts w:eastAsia="Times New Roman" w:cs="Arial"/>
          <w:color w:val="000000"/>
          <w:szCs w:val="20"/>
          <w:lang w:val="ru-RU"/>
        </w:rPr>
        <w:t>/</w:t>
      </w:r>
      <w:r w:rsidRPr="001C4776">
        <w:rPr>
          <w:rFonts w:eastAsia="Times New Roman" w:cs="Arial"/>
          <w:color w:val="000000"/>
          <w:szCs w:val="20"/>
          <w:lang w:val="en-US"/>
        </w:rPr>
        <w:t>min</w:t>
      </w:r>
      <w:r w:rsidRPr="001C4776">
        <w:rPr>
          <w:rFonts w:eastAsia="Times New Roman" w:cs="Arial"/>
          <w:color w:val="000000"/>
          <w:szCs w:val="20"/>
          <w:lang w:val="ru-RU"/>
        </w:rPr>
        <w:t xml:space="preserve"> </w:t>
      </w:r>
      <w:r w:rsidRPr="001C4776">
        <w:rPr>
          <w:rFonts w:eastAsia="Times New Roman" w:cs="Arial"/>
          <w:color w:val="000000"/>
          <w:szCs w:val="20"/>
          <w:lang w:eastAsia="bg-BG"/>
        </w:rPr>
        <w:t>промяна спрямо изходните стойности) и значимо намаление в общата употреба на 0-агонисти (-26,1% спрямо -4,6% промяна от изходните стойности). Подобрението в съобщаваните от пациентите симптоми през деня и нощта е било значително по-добро отколкото при плацебо.</w:t>
      </w:r>
    </w:p>
    <w:p w14:paraId="5DB79EAA" w14:textId="77777777" w:rsidR="007F6EF6" w:rsidRPr="007F6EF6" w:rsidRDefault="007F6EF6" w:rsidP="001C4776">
      <w:pPr>
        <w:spacing w:line="240" w:lineRule="auto"/>
        <w:rPr>
          <w:rFonts w:eastAsia="Times New Roman" w:cs="Arial"/>
          <w:color w:val="000000"/>
          <w:szCs w:val="20"/>
          <w:lang w:eastAsia="bg-BG"/>
        </w:rPr>
      </w:pPr>
    </w:p>
    <w:p w14:paraId="759B990F" w14:textId="067BFD78"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Проучванията при възрастни са доказали способността на монтелукаст да допълва клиничния ефект на инхалаторния кортикостероид (% промяна от изходните показатели за инхалаторен беклометазон плюс монтелукаст спрямо беклометазон по отношение на ФЕО</w:t>
      </w:r>
      <w:r w:rsidRPr="001C4776">
        <w:rPr>
          <w:rFonts w:eastAsia="Times New Roman" w:cs="Arial"/>
          <w:color w:val="000000"/>
          <w:szCs w:val="20"/>
          <w:vertAlign w:val="subscript"/>
          <w:lang w:eastAsia="bg-BG"/>
        </w:rPr>
        <w:t>1</w:t>
      </w:r>
      <w:r w:rsidRPr="001C4776">
        <w:rPr>
          <w:rFonts w:eastAsia="Times New Roman" w:cs="Arial"/>
          <w:color w:val="000000"/>
          <w:szCs w:val="20"/>
          <w:lang w:eastAsia="bg-BG"/>
        </w:rPr>
        <w:t xml:space="preserve"> 5,43% срещу 1,04%; употреба на 0-агонист: -8,70% срещу 2,64%). Сравнен с инхалаторен беклометазон (200 </w:t>
      </w:r>
      <w:r w:rsidRPr="001C4776">
        <w:rPr>
          <w:rFonts w:eastAsia="Times New Roman" w:cs="Arial"/>
          <w:color w:val="000000"/>
          <w:szCs w:val="20"/>
          <w:lang w:val="en-US"/>
        </w:rPr>
        <w:t>micrograms</w:t>
      </w:r>
      <w:r w:rsidRPr="001C4776">
        <w:rPr>
          <w:rFonts w:eastAsia="Times New Roman" w:cs="Arial"/>
          <w:color w:val="000000"/>
          <w:szCs w:val="20"/>
          <w:lang w:val="ru-RU"/>
        </w:rPr>
        <w:t xml:space="preserve"> </w:t>
      </w:r>
      <w:r w:rsidRPr="001C4776">
        <w:rPr>
          <w:rFonts w:eastAsia="Times New Roman" w:cs="Arial"/>
          <w:color w:val="000000"/>
          <w:szCs w:val="20"/>
          <w:lang w:eastAsia="bg-BG"/>
        </w:rPr>
        <w:t xml:space="preserve">два пъта дневно с небулизатор), монтелукаст </w:t>
      </w:r>
      <w:r w:rsidRPr="001C4776">
        <w:rPr>
          <w:rFonts w:eastAsia="Times New Roman" w:cs="Arial"/>
          <w:i/>
          <w:iCs/>
          <w:color w:val="000000"/>
          <w:szCs w:val="20"/>
          <w:lang w:eastAsia="bg-BG"/>
        </w:rPr>
        <w:t>е</w:t>
      </w:r>
      <w:r w:rsidRPr="001C4776">
        <w:rPr>
          <w:rFonts w:eastAsia="Times New Roman" w:cs="Arial"/>
          <w:color w:val="000000"/>
          <w:szCs w:val="20"/>
          <w:lang w:eastAsia="bg-BG"/>
        </w:rPr>
        <w:t xml:space="preserve"> демонстрирал по-бърз начален отговор, въпреки че в 12-седмично проучване беклометазон осигурява по-добър среден терапевтичен ефект (% промяна от изходните показатели съответно за ФЕО</w:t>
      </w:r>
      <w:r w:rsidRPr="001C4776">
        <w:rPr>
          <w:rFonts w:eastAsia="Times New Roman" w:cs="Arial"/>
          <w:color w:val="000000"/>
          <w:szCs w:val="20"/>
          <w:vertAlign w:val="subscript"/>
          <w:lang w:eastAsia="bg-BG"/>
        </w:rPr>
        <w:t>1</w:t>
      </w:r>
      <w:r w:rsidRPr="001C4776">
        <w:rPr>
          <w:rFonts w:eastAsia="Times New Roman" w:cs="Arial"/>
          <w:color w:val="000000"/>
          <w:szCs w:val="20"/>
          <w:lang w:eastAsia="bg-BG"/>
        </w:rPr>
        <w:t>:7,49% срещу 13,3%; употреба на 0-агонисти: -28,28% срещу -43,89%). Все пак, в сравнение с беклометазон, висок процент от пациентите на лечение с монтелукаст са достигнали подобни клинични отговори (напр. 50% от пациентите на лечение с беклометазон постигат подобрение във ФЕО</w:t>
      </w:r>
      <w:r w:rsidRPr="001C4776">
        <w:rPr>
          <w:rFonts w:eastAsia="Times New Roman" w:cs="Arial"/>
          <w:color w:val="000000"/>
          <w:szCs w:val="20"/>
          <w:vertAlign w:val="subscript"/>
          <w:lang w:eastAsia="bg-BG"/>
        </w:rPr>
        <w:t>1</w:t>
      </w:r>
      <w:r w:rsidRPr="001C4776">
        <w:rPr>
          <w:rFonts w:eastAsia="Times New Roman" w:cs="Arial"/>
          <w:color w:val="000000"/>
          <w:szCs w:val="20"/>
          <w:lang w:eastAsia="bg-BG"/>
        </w:rPr>
        <w:t xml:space="preserve"> от приблизително 11% или повече над изходните стойност, докато приблизително 42% от пациентите на лечение с монтелукаст достигат същия отговор).</w:t>
      </w:r>
    </w:p>
    <w:p w14:paraId="3154BFAC" w14:textId="77777777" w:rsidR="007F6EF6" w:rsidRPr="007F6EF6" w:rsidRDefault="007F6EF6" w:rsidP="001C4776">
      <w:pPr>
        <w:spacing w:line="240" w:lineRule="auto"/>
        <w:rPr>
          <w:rFonts w:eastAsia="Times New Roman" w:cs="Arial"/>
          <w:color w:val="000000"/>
          <w:szCs w:val="20"/>
          <w:u w:val="single"/>
          <w:lang w:eastAsia="bg-BG"/>
        </w:rPr>
      </w:pPr>
    </w:p>
    <w:p w14:paraId="6D4BCFEE" w14:textId="684EC7D2"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u w:val="single"/>
          <w:lang w:eastAsia="bg-BG"/>
        </w:rPr>
        <w:t>Педиатрична популация</w:t>
      </w:r>
    </w:p>
    <w:p w14:paraId="1074C47E" w14:textId="77777777" w:rsidR="001C4776" w:rsidRPr="001C4776" w:rsidRDefault="001C4776" w:rsidP="001C4776">
      <w:pPr>
        <w:spacing w:line="240" w:lineRule="auto"/>
        <w:rPr>
          <w:rFonts w:eastAsia="Times New Roman" w:cs="Arial"/>
          <w:sz w:val="28"/>
          <w:szCs w:val="24"/>
        </w:rPr>
      </w:pPr>
      <w:r w:rsidRPr="001C4776">
        <w:rPr>
          <w:rFonts w:eastAsia="Times New Roman" w:cs="Arial"/>
          <w:color w:val="000000"/>
          <w:szCs w:val="20"/>
          <w:lang w:eastAsia="bg-BG"/>
        </w:rPr>
        <w:t>В 8-седмично проучване при педиатрични пациенти на възраст от 6 до 14</w:t>
      </w:r>
      <w:r w:rsidRPr="001C4776">
        <w:rPr>
          <w:rFonts w:eastAsia="Times New Roman" w:cs="Arial"/>
          <w:color w:val="000000"/>
          <w:szCs w:val="20"/>
          <w:lang w:val="ru-RU"/>
        </w:rPr>
        <w:t xml:space="preserve"> </w:t>
      </w:r>
      <w:r w:rsidRPr="001C4776">
        <w:rPr>
          <w:rFonts w:eastAsia="Times New Roman" w:cs="Arial"/>
          <w:color w:val="000000"/>
          <w:szCs w:val="20"/>
          <w:lang w:eastAsia="bg-BG"/>
        </w:rPr>
        <w:t xml:space="preserve">години прием монтелукаст 5 </w:t>
      </w:r>
      <w:r w:rsidRPr="001C4776">
        <w:rPr>
          <w:rFonts w:eastAsia="Times New Roman" w:cs="Arial"/>
          <w:color w:val="000000"/>
          <w:szCs w:val="20"/>
          <w:lang w:val="en-US"/>
        </w:rPr>
        <w:t>mg</w:t>
      </w:r>
      <w:r w:rsidRPr="001C4776">
        <w:rPr>
          <w:rFonts w:eastAsia="Times New Roman" w:cs="Arial"/>
          <w:color w:val="000000"/>
          <w:szCs w:val="20"/>
          <w:lang w:val="ru-RU"/>
        </w:rPr>
        <w:t xml:space="preserve"> </w:t>
      </w:r>
      <w:r w:rsidRPr="001C4776">
        <w:rPr>
          <w:rFonts w:eastAsia="Times New Roman" w:cs="Arial"/>
          <w:color w:val="000000"/>
          <w:szCs w:val="20"/>
          <w:lang w:eastAsia="bg-BG"/>
        </w:rPr>
        <w:t>веднъж дневно сравнен с плацебо значително е подобрил дихателната</w:t>
      </w:r>
    </w:p>
    <w:p w14:paraId="1D4333C5" w14:textId="1B49F10B" w:rsidR="001C4776" w:rsidRPr="007F6EF6" w:rsidRDefault="001C4776" w:rsidP="001C4776">
      <w:pPr>
        <w:rPr>
          <w:rFonts w:eastAsia="Times New Roman" w:cs="Arial"/>
          <w:color w:val="000000"/>
          <w:szCs w:val="20"/>
          <w:lang w:eastAsia="bg-BG"/>
        </w:rPr>
      </w:pPr>
      <w:r w:rsidRPr="007F6EF6">
        <w:rPr>
          <w:rFonts w:eastAsia="Times New Roman" w:cs="Arial"/>
          <w:color w:val="000000"/>
          <w:szCs w:val="20"/>
          <w:lang w:eastAsia="bg-BG"/>
        </w:rPr>
        <w:t xml:space="preserve">функция </w:t>
      </w:r>
      <w:r w:rsidRPr="007F6EF6">
        <w:rPr>
          <w:rFonts w:eastAsia="Times New Roman" w:cs="Arial"/>
          <w:color w:val="000000"/>
          <w:szCs w:val="20"/>
          <w:lang w:val="ru-RU"/>
        </w:rPr>
        <w:t>(</w:t>
      </w:r>
      <w:r w:rsidRPr="007F6EF6">
        <w:rPr>
          <w:rFonts w:eastAsia="Times New Roman" w:cs="Arial"/>
          <w:color w:val="000000"/>
          <w:szCs w:val="20"/>
          <w:lang w:val="en-US"/>
        </w:rPr>
        <w:t>FEV</w:t>
      </w:r>
      <w:r w:rsidRPr="007F6EF6">
        <w:rPr>
          <w:rFonts w:eastAsia="Times New Roman" w:cs="Arial"/>
          <w:color w:val="000000"/>
          <w:szCs w:val="20"/>
          <w:vertAlign w:val="subscript"/>
          <w:lang w:val="ru-RU"/>
        </w:rPr>
        <w:t>1</w:t>
      </w:r>
      <w:r w:rsidRPr="007F6EF6">
        <w:rPr>
          <w:rFonts w:eastAsia="Times New Roman" w:cs="Arial"/>
          <w:color w:val="000000"/>
          <w:szCs w:val="20"/>
          <w:lang w:val="ru-RU"/>
        </w:rPr>
        <w:t xml:space="preserve"> </w:t>
      </w:r>
      <w:r w:rsidRPr="007F6EF6">
        <w:rPr>
          <w:rFonts w:eastAsia="Times New Roman" w:cs="Arial"/>
          <w:color w:val="000000"/>
          <w:szCs w:val="20"/>
          <w:lang w:eastAsia="bg-BG"/>
        </w:rPr>
        <w:t xml:space="preserve">8,71% спрямо 4,16% промяна от изходната стойност; АМ </w:t>
      </w:r>
      <w:r w:rsidRPr="007F6EF6">
        <w:rPr>
          <w:rFonts w:eastAsia="Times New Roman" w:cs="Arial"/>
          <w:color w:val="000000"/>
          <w:szCs w:val="20"/>
          <w:lang w:val="en-US"/>
        </w:rPr>
        <w:t>PEFR</w:t>
      </w:r>
      <w:r w:rsidRPr="007F6EF6">
        <w:rPr>
          <w:rFonts w:eastAsia="Times New Roman" w:cs="Arial"/>
          <w:color w:val="000000"/>
          <w:szCs w:val="20"/>
          <w:lang w:val="ru-RU"/>
        </w:rPr>
        <w:t xml:space="preserve"> 27,9 </w:t>
      </w:r>
      <w:r w:rsidRPr="007F6EF6">
        <w:rPr>
          <w:rFonts w:eastAsia="Times New Roman" w:cs="Arial"/>
          <w:color w:val="000000"/>
          <w:szCs w:val="20"/>
          <w:lang w:val="en-US"/>
        </w:rPr>
        <w:t>l</w:t>
      </w:r>
      <w:r w:rsidRPr="007F6EF6">
        <w:rPr>
          <w:rFonts w:eastAsia="Times New Roman" w:cs="Arial"/>
          <w:color w:val="000000"/>
          <w:szCs w:val="20"/>
          <w:lang w:val="ru-RU"/>
        </w:rPr>
        <w:t>/</w:t>
      </w:r>
      <w:r w:rsidRPr="007F6EF6">
        <w:rPr>
          <w:rFonts w:eastAsia="Times New Roman" w:cs="Arial"/>
          <w:color w:val="000000"/>
          <w:szCs w:val="20"/>
          <w:lang w:val="en-US"/>
        </w:rPr>
        <w:t>min</w:t>
      </w:r>
      <w:r w:rsidRPr="007F6EF6">
        <w:rPr>
          <w:rFonts w:eastAsia="Times New Roman" w:cs="Arial"/>
          <w:color w:val="000000"/>
          <w:szCs w:val="20"/>
          <w:lang w:eastAsia="bg-BG"/>
        </w:rPr>
        <w:t xml:space="preserve"> спрямо 17,8 </w:t>
      </w:r>
      <w:r w:rsidRPr="007F6EF6">
        <w:rPr>
          <w:rFonts w:eastAsia="Times New Roman" w:cs="Arial"/>
          <w:color w:val="000000"/>
          <w:szCs w:val="20"/>
          <w:lang w:val="en-US"/>
        </w:rPr>
        <w:t>l</w:t>
      </w:r>
      <w:r w:rsidRPr="007F6EF6">
        <w:rPr>
          <w:rFonts w:eastAsia="Times New Roman" w:cs="Arial"/>
          <w:color w:val="000000"/>
          <w:szCs w:val="20"/>
          <w:lang w:val="ru-RU"/>
        </w:rPr>
        <w:t>/</w:t>
      </w:r>
      <w:r w:rsidRPr="007F6EF6">
        <w:rPr>
          <w:rFonts w:eastAsia="Times New Roman" w:cs="Arial"/>
          <w:color w:val="000000"/>
          <w:szCs w:val="20"/>
          <w:lang w:val="en-US"/>
        </w:rPr>
        <w:t>min</w:t>
      </w:r>
      <w:r w:rsidRPr="007F6EF6">
        <w:rPr>
          <w:rFonts w:eastAsia="Times New Roman" w:cs="Arial"/>
          <w:color w:val="000000"/>
          <w:szCs w:val="20"/>
          <w:lang w:val="ru-RU"/>
        </w:rPr>
        <w:t xml:space="preserve"> </w:t>
      </w:r>
      <w:r w:rsidRPr="007F6EF6">
        <w:rPr>
          <w:rFonts w:eastAsia="Times New Roman" w:cs="Arial"/>
          <w:color w:val="000000"/>
          <w:szCs w:val="20"/>
          <w:lang w:eastAsia="bg-BG"/>
        </w:rPr>
        <w:t>промяна от изходните стойност) и намалява употребата</w:t>
      </w:r>
      <w:r w:rsidRPr="007F6EF6">
        <w:rPr>
          <w:rFonts w:eastAsia="Times New Roman" w:cs="Arial"/>
          <w:color w:val="000000"/>
          <w:szCs w:val="20"/>
          <w:lang w:val="ru-RU"/>
        </w:rPr>
        <w:t xml:space="preserve"> </w:t>
      </w:r>
      <w:r w:rsidRPr="007F6EF6">
        <w:rPr>
          <w:rFonts w:eastAsia="Times New Roman" w:cs="Arial"/>
          <w:color w:val="000000"/>
          <w:szCs w:val="20"/>
          <w:lang w:eastAsia="bg-BG"/>
        </w:rPr>
        <w:t>на бета-агонисти “при необходимост” (-11,7% спрямо +8,2% промяна от изходните стойности).</w:t>
      </w:r>
    </w:p>
    <w:p w14:paraId="7EB0F860" w14:textId="663582B8" w:rsidR="007F6EF6" w:rsidRPr="007F6EF6" w:rsidRDefault="007F6EF6" w:rsidP="001C4776">
      <w:pPr>
        <w:rPr>
          <w:rFonts w:eastAsia="Times New Roman" w:cs="Arial"/>
          <w:color w:val="000000"/>
          <w:szCs w:val="20"/>
          <w:lang w:eastAsia="bg-BG"/>
        </w:rPr>
      </w:pPr>
    </w:p>
    <w:p w14:paraId="481E0ABD" w14:textId="77777777" w:rsidR="007F6EF6" w:rsidRPr="007F6EF6" w:rsidRDefault="007F6EF6" w:rsidP="007F6EF6">
      <w:pPr>
        <w:spacing w:line="240" w:lineRule="auto"/>
        <w:rPr>
          <w:rFonts w:eastAsia="Times New Roman" w:cs="Arial"/>
          <w:sz w:val="28"/>
          <w:szCs w:val="24"/>
        </w:rPr>
      </w:pPr>
      <w:r w:rsidRPr="007F6EF6">
        <w:rPr>
          <w:rFonts w:eastAsia="Times New Roman" w:cs="Arial"/>
          <w:color w:val="000000"/>
          <w:szCs w:val="20"/>
          <w:lang w:eastAsia="bg-BG"/>
        </w:rPr>
        <w:t>В 12-месечно проучване, сравняващо ефикасността на монтелукаст спрямо инхалаторен флугиказон по отношение контрол на астмата при пациенти на възраст между 6 и 14 години с лека персистираща астма, монтелукаст не е бил е по-лош от флугиказон в повишаване процента на свободните от астма дни (САД), първичната крайна точка. Осреднено за 12-месеца терапевтичен период, процентът на САД се е повишил от 61,6 на 84,0 в групата на лечение с монтелукаст и от 60,9 на 86,7 в групата на лечение с флугиказон. Разликата между двете групи в ЛС незначително повишила процентът на САД (-2,8 с 95% коефициент на доверителност от - 4,7, -0,9), но в предварително определените граници за клинична неинфериорност. Монтелукаст и флугиказон са подобрили вариабилните за контрола върху астмата, оценени след 12-месечен терапевтичен период.</w:t>
      </w:r>
    </w:p>
    <w:p w14:paraId="7297E232" w14:textId="77777777" w:rsidR="007F6EF6" w:rsidRPr="007F6EF6" w:rsidRDefault="007F6EF6" w:rsidP="007F6EF6">
      <w:pPr>
        <w:spacing w:line="240" w:lineRule="auto"/>
        <w:rPr>
          <w:rFonts w:eastAsia="Times New Roman" w:cs="Arial"/>
          <w:color w:val="000000"/>
          <w:szCs w:val="20"/>
          <w:lang w:eastAsia="bg-BG"/>
        </w:rPr>
      </w:pPr>
    </w:p>
    <w:p w14:paraId="13202FB5" w14:textId="77777777" w:rsidR="007F6EF6" w:rsidRPr="007F6EF6" w:rsidRDefault="007F6EF6" w:rsidP="007F6EF6">
      <w:pPr>
        <w:pStyle w:val="ListParagraph"/>
        <w:numPr>
          <w:ilvl w:val="0"/>
          <w:numId w:val="38"/>
        </w:numPr>
        <w:spacing w:line="240" w:lineRule="auto"/>
        <w:rPr>
          <w:rFonts w:eastAsia="Times New Roman" w:cs="Arial"/>
          <w:sz w:val="28"/>
          <w:szCs w:val="24"/>
        </w:rPr>
      </w:pPr>
      <w:r w:rsidRPr="007F6EF6">
        <w:rPr>
          <w:rFonts w:eastAsia="Times New Roman" w:cs="Arial"/>
          <w:color w:val="000000"/>
          <w:szCs w:val="20"/>
          <w:lang w:val="en-US"/>
        </w:rPr>
        <w:t>FEV</w:t>
      </w:r>
      <w:r w:rsidRPr="007F6EF6">
        <w:rPr>
          <w:rFonts w:eastAsia="Times New Roman" w:cs="Arial"/>
          <w:color w:val="000000"/>
          <w:szCs w:val="20"/>
          <w:vertAlign w:val="subscript"/>
          <w:lang w:val="ru-RU"/>
        </w:rPr>
        <w:t>1</w:t>
      </w:r>
      <w:r w:rsidRPr="007F6EF6">
        <w:rPr>
          <w:rFonts w:eastAsia="Times New Roman" w:cs="Arial"/>
          <w:color w:val="000000"/>
          <w:szCs w:val="20"/>
          <w:lang w:val="ru-RU"/>
        </w:rPr>
        <w:t xml:space="preserve"> </w:t>
      </w:r>
      <w:r w:rsidRPr="007F6EF6">
        <w:rPr>
          <w:rFonts w:eastAsia="Times New Roman" w:cs="Arial"/>
          <w:color w:val="000000"/>
          <w:szCs w:val="20"/>
          <w:lang w:eastAsia="bg-BG"/>
        </w:rPr>
        <w:t>е нараснал от 1</w:t>
      </w:r>
      <w:proofErr w:type="gramStart"/>
      <w:r w:rsidRPr="007F6EF6">
        <w:rPr>
          <w:rFonts w:eastAsia="Times New Roman" w:cs="Arial"/>
          <w:color w:val="000000"/>
          <w:szCs w:val="20"/>
          <w:lang w:eastAsia="bg-BG"/>
        </w:rPr>
        <w:t>,83</w:t>
      </w:r>
      <w:proofErr w:type="gramEnd"/>
      <w:r w:rsidRPr="007F6EF6">
        <w:rPr>
          <w:rFonts w:eastAsia="Times New Roman" w:cs="Arial"/>
          <w:color w:val="000000"/>
          <w:szCs w:val="20"/>
          <w:lang w:eastAsia="bg-BG"/>
        </w:rPr>
        <w:t xml:space="preserve"> 1 на 2,091 в групата на лечение с монтелукаст и от 1,85 1 на 2,141 в групата на лечение с флугиказон. Междугруповата разлика по отношение на ЛС- незначително увеличение във </w:t>
      </w:r>
      <w:r w:rsidRPr="007F6EF6">
        <w:rPr>
          <w:rFonts w:eastAsia="Times New Roman" w:cs="Arial"/>
          <w:color w:val="000000"/>
          <w:szCs w:val="20"/>
          <w:lang w:val="en-US"/>
        </w:rPr>
        <w:t>FEV</w:t>
      </w:r>
      <w:r w:rsidRPr="007F6EF6">
        <w:rPr>
          <w:rFonts w:eastAsia="Times New Roman" w:cs="Arial"/>
          <w:color w:val="000000"/>
          <w:szCs w:val="20"/>
          <w:vertAlign w:val="subscript"/>
          <w:lang w:val="ru-RU"/>
        </w:rPr>
        <w:t>1</w:t>
      </w:r>
      <w:r w:rsidRPr="007F6EF6">
        <w:rPr>
          <w:rFonts w:eastAsia="Times New Roman" w:cs="Arial"/>
          <w:color w:val="000000"/>
          <w:szCs w:val="20"/>
          <w:lang w:val="ru-RU"/>
        </w:rPr>
        <w:t xml:space="preserve"> </w:t>
      </w:r>
      <w:r w:rsidRPr="007F6EF6">
        <w:rPr>
          <w:rFonts w:eastAsia="Times New Roman" w:cs="Arial"/>
          <w:color w:val="000000"/>
          <w:szCs w:val="20"/>
          <w:lang w:eastAsia="bg-BG"/>
        </w:rPr>
        <w:t xml:space="preserve">е била -0,02 1, с 95% коефициент на доверителност от -0,06,0,02. Предвиденото нарастване от изходните стойности в % за </w:t>
      </w:r>
      <w:r w:rsidRPr="007F6EF6">
        <w:rPr>
          <w:rFonts w:eastAsia="Times New Roman" w:cs="Arial"/>
          <w:color w:val="000000"/>
          <w:szCs w:val="20"/>
          <w:lang w:val="en-US"/>
        </w:rPr>
        <w:t>FEV</w:t>
      </w:r>
      <w:r w:rsidRPr="007F6EF6">
        <w:rPr>
          <w:rFonts w:eastAsia="Times New Roman" w:cs="Arial"/>
          <w:color w:val="000000"/>
          <w:szCs w:val="20"/>
          <w:vertAlign w:val="subscript"/>
          <w:lang w:val="ru-RU"/>
        </w:rPr>
        <w:t xml:space="preserve">1 </w:t>
      </w:r>
      <w:r w:rsidRPr="007F6EF6">
        <w:rPr>
          <w:rFonts w:eastAsia="Times New Roman" w:cs="Arial"/>
          <w:color w:val="000000"/>
          <w:szCs w:val="20"/>
          <w:lang w:eastAsia="bg-BG"/>
        </w:rPr>
        <w:t xml:space="preserve">е било 0,6% в групата на лечение с монтелукаст и 2,7% в групата на лечение с флугиказон. Разликите за промени от изходните стойности в предвидени проценти за </w:t>
      </w:r>
      <w:r w:rsidRPr="007F6EF6">
        <w:rPr>
          <w:rFonts w:eastAsia="Times New Roman" w:cs="Arial"/>
          <w:color w:val="000000"/>
          <w:szCs w:val="20"/>
          <w:lang w:val="en-US"/>
        </w:rPr>
        <w:t>FEV</w:t>
      </w:r>
      <w:r w:rsidRPr="007F6EF6">
        <w:rPr>
          <w:rFonts w:eastAsia="Times New Roman" w:cs="Arial"/>
          <w:color w:val="000000"/>
          <w:szCs w:val="20"/>
          <w:vertAlign w:val="subscript"/>
          <w:lang w:val="ru-RU"/>
        </w:rPr>
        <w:t xml:space="preserve">1 </w:t>
      </w:r>
      <w:r w:rsidRPr="007F6EF6">
        <w:rPr>
          <w:rFonts w:eastAsia="Times New Roman" w:cs="Arial"/>
          <w:color w:val="000000"/>
          <w:szCs w:val="20"/>
          <w:lang w:eastAsia="bg-BG"/>
        </w:rPr>
        <w:t>са били значими: -2,2% с 95% коефициент на доверителност на -3,6, -0,7.</w:t>
      </w:r>
    </w:p>
    <w:p w14:paraId="460325FF" w14:textId="77777777" w:rsidR="007F6EF6" w:rsidRPr="007F6EF6" w:rsidRDefault="007F6EF6" w:rsidP="007F6EF6">
      <w:pPr>
        <w:pStyle w:val="ListParagraph"/>
        <w:numPr>
          <w:ilvl w:val="0"/>
          <w:numId w:val="38"/>
        </w:numPr>
        <w:spacing w:line="240" w:lineRule="auto"/>
        <w:rPr>
          <w:rFonts w:eastAsia="Times New Roman" w:cs="Arial"/>
          <w:sz w:val="28"/>
          <w:szCs w:val="24"/>
        </w:rPr>
      </w:pPr>
      <w:r w:rsidRPr="007F6EF6">
        <w:rPr>
          <w:rFonts w:eastAsia="Times New Roman" w:cs="Arial"/>
          <w:color w:val="000000"/>
          <w:szCs w:val="20"/>
          <w:lang w:eastAsia="bg-BG"/>
        </w:rPr>
        <w:t xml:space="preserve">В проценти дните с употреба на β-агонист са намалели от 38,0 до 15,4 в групата на лечение с монтелукаст и от 38,5 на 12,8 в групата на лечение с флугиказон. </w:t>
      </w:r>
      <w:r w:rsidRPr="007F6EF6">
        <w:rPr>
          <w:rFonts w:eastAsia="Times New Roman" w:cs="Arial"/>
          <w:color w:val="000000"/>
          <w:szCs w:val="20"/>
          <w:lang w:eastAsia="bg-BG"/>
        </w:rPr>
        <w:lastRenderedPageBreak/>
        <w:t>Разликата между групите по отношение на процентите на дните с β-агонист е била значима: 2,7 с 95% коефициент на доверителност от 0,9,</w:t>
      </w:r>
      <w:r w:rsidRPr="007F6EF6">
        <w:rPr>
          <w:rFonts w:eastAsia="Times New Roman" w:cs="Arial"/>
          <w:color w:val="000000"/>
          <w:szCs w:val="20"/>
          <w:lang w:val="ru-RU"/>
        </w:rPr>
        <w:t xml:space="preserve"> </w:t>
      </w:r>
      <w:r w:rsidRPr="007F6EF6">
        <w:rPr>
          <w:rFonts w:eastAsia="Times New Roman" w:cs="Arial"/>
          <w:color w:val="000000"/>
          <w:szCs w:val="20"/>
          <w:lang w:eastAsia="bg-BG"/>
        </w:rPr>
        <w:t>4,5.</w:t>
      </w:r>
    </w:p>
    <w:p w14:paraId="325CA5A5" w14:textId="77777777" w:rsidR="007F6EF6" w:rsidRPr="007F6EF6" w:rsidRDefault="007F6EF6" w:rsidP="007F6EF6">
      <w:pPr>
        <w:pStyle w:val="ListParagraph"/>
        <w:numPr>
          <w:ilvl w:val="0"/>
          <w:numId w:val="38"/>
        </w:numPr>
        <w:spacing w:line="240" w:lineRule="auto"/>
        <w:rPr>
          <w:rFonts w:eastAsia="Times New Roman" w:cs="Arial"/>
          <w:sz w:val="28"/>
          <w:szCs w:val="24"/>
        </w:rPr>
      </w:pPr>
      <w:r w:rsidRPr="007F6EF6">
        <w:rPr>
          <w:rFonts w:eastAsia="Times New Roman" w:cs="Arial"/>
          <w:color w:val="000000"/>
          <w:szCs w:val="20"/>
          <w:lang w:eastAsia="bg-BG"/>
        </w:rPr>
        <w:t>Процентът на пациентите с астматичен пристъп (дефиниран като период на влошаване на астмата, който изисква лечение с перорални стероиди, непредвидено посещение при лекар, посещение на спешен център или хоспитализация) е бил 32,2 в групата на лечение с монтелукаст и 25,6 в групата на лечение с флугиказон; 95% коефициент на доверителност е еквивалентен на 1,38 (1,04,</w:t>
      </w:r>
      <w:r w:rsidRPr="007F6EF6">
        <w:rPr>
          <w:rFonts w:eastAsia="Times New Roman" w:cs="Arial"/>
          <w:color w:val="000000"/>
          <w:szCs w:val="20"/>
          <w:lang w:val="ru-RU"/>
        </w:rPr>
        <w:t xml:space="preserve"> </w:t>
      </w:r>
      <w:r w:rsidRPr="007F6EF6">
        <w:rPr>
          <w:rFonts w:eastAsia="Times New Roman" w:cs="Arial"/>
          <w:color w:val="000000"/>
          <w:szCs w:val="20"/>
          <w:lang w:eastAsia="bg-BG"/>
        </w:rPr>
        <w:t>1,84).</w:t>
      </w:r>
    </w:p>
    <w:p w14:paraId="7CA89D34" w14:textId="6CA28887" w:rsidR="007F6EF6" w:rsidRPr="007F6EF6" w:rsidRDefault="007F6EF6" w:rsidP="007F6EF6">
      <w:pPr>
        <w:pStyle w:val="ListParagraph"/>
        <w:numPr>
          <w:ilvl w:val="0"/>
          <w:numId w:val="38"/>
        </w:numPr>
        <w:spacing w:line="240" w:lineRule="auto"/>
        <w:rPr>
          <w:rFonts w:eastAsia="Times New Roman" w:cs="Arial"/>
          <w:sz w:val="28"/>
          <w:szCs w:val="24"/>
        </w:rPr>
      </w:pPr>
      <w:r w:rsidRPr="007F6EF6">
        <w:rPr>
          <w:rFonts w:eastAsia="Times New Roman" w:cs="Arial"/>
          <w:color w:val="000000"/>
          <w:szCs w:val="20"/>
          <w:lang w:eastAsia="bg-BG"/>
        </w:rPr>
        <w:t>Процентът на пациентите със системна употреба на кортикостероиди (главно перорални) по време на периода на проучване е бил 17,8% в групата на лечение с монтелукаст и 10,5% в групата на лечение с флутиказон. Разликата между групите е била значима: 7,3% с 95% коефициент на доверителност на 2,9; 11,7.</w:t>
      </w:r>
    </w:p>
    <w:p w14:paraId="7C9DFD7F" w14:textId="77777777" w:rsidR="007F6EF6" w:rsidRPr="007F6EF6" w:rsidRDefault="007F6EF6" w:rsidP="007F6EF6">
      <w:pPr>
        <w:spacing w:line="240" w:lineRule="auto"/>
        <w:rPr>
          <w:rFonts w:eastAsia="Times New Roman" w:cs="Arial"/>
          <w:color w:val="000000"/>
          <w:szCs w:val="20"/>
          <w:lang w:eastAsia="bg-BG"/>
        </w:rPr>
      </w:pPr>
    </w:p>
    <w:p w14:paraId="6BA3CAA6" w14:textId="25746045" w:rsidR="007F6EF6" w:rsidRPr="007F6EF6" w:rsidRDefault="007F6EF6" w:rsidP="007F6EF6">
      <w:pPr>
        <w:spacing w:line="240" w:lineRule="auto"/>
        <w:rPr>
          <w:rFonts w:eastAsia="Times New Roman" w:cs="Arial"/>
          <w:sz w:val="28"/>
          <w:szCs w:val="24"/>
        </w:rPr>
      </w:pPr>
      <w:r w:rsidRPr="007F6EF6">
        <w:rPr>
          <w:rFonts w:eastAsia="Times New Roman" w:cs="Arial"/>
          <w:color w:val="000000"/>
          <w:szCs w:val="20"/>
          <w:lang w:eastAsia="bg-BG"/>
        </w:rPr>
        <w:t xml:space="preserve">В 12-седмично, плацебо контролирано проучване при педиатрични пациенти на възраст от 2 до 5 години, монтелукаст 4 </w:t>
      </w:r>
      <w:r w:rsidRPr="007F6EF6">
        <w:rPr>
          <w:rFonts w:eastAsia="Times New Roman" w:cs="Arial"/>
          <w:color w:val="000000"/>
          <w:szCs w:val="20"/>
          <w:lang w:val="en-US"/>
        </w:rPr>
        <w:t>mg</w:t>
      </w:r>
      <w:r w:rsidRPr="007F6EF6">
        <w:rPr>
          <w:rFonts w:eastAsia="Times New Roman" w:cs="Arial"/>
          <w:color w:val="000000"/>
          <w:szCs w:val="20"/>
          <w:lang w:val="ru-RU"/>
        </w:rPr>
        <w:t xml:space="preserve"> </w:t>
      </w:r>
      <w:r w:rsidRPr="007F6EF6">
        <w:rPr>
          <w:rFonts w:eastAsia="Times New Roman" w:cs="Arial"/>
          <w:color w:val="000000"/>
          <w:szCs w:val="20"/>
          <w:lang w:eastAsia="bg-BG"/>
        </w:rPr>
        <w:t>прилаган веднъж дневно е подобрил показателите за контрол на астмата в сравнение с плацебо, без значение от съпътстващата контролираща терапия (инхалаторен/приложен с небулизатор кортикостероид или инхалаторен/приложен с небулизатор натриев кромогликат). Шестдесет процента от пациентите не са били на каквато и да е контролираща терапия. Монтелукаст е подобрил дневните симптоми (включително кашлица, хрипове, дихателни проблеми и ограничения във физическата активност) и нощните симптоми в сравнение с плацебо. Освен това, монтелукаст е намалил употребата на бета- агонисти “при необходимост”, както и употребата на кортикостероиди при влошена астма в сравнение с плацебо. Пациентите, които са получавали монтелукаст са имали повече дни без симптоми на астма в сравнение с пациентите на плацебо. Терапевтичният ефект е бил постигнат след първата доза.</w:t>
      </w:r>
    </w:p>
    <w:p w14:paraId="7445F96C" w14:textId="77777777" w:rsidR="007F6EF6" w:rsidRPr="007F6EF6" w:rsidRDefault="007F6EF6" w:rsidP="007F6EF6">
      <w:pPr>
        <w:rPr>
          <w:rFonts w:eastAsia="Times New Roman" w:cs="Arial"/>
          <w:color w:val="000000"/>
          <w:szCs w:val="20"/>
          <w:lang w:eastAsia="bg-BG"/>
        </w:rPr>
      </w:pPr>
    </w:p>
    <w:p w14:paraId="3D8AA190" w14:textId="3B7E8B7C" w:rsidR="007F6EF6" w:rsidRPr="007F6EF6" w:rsidRDefault="007F6EF6" w:rsidP="007F6EF6">
      <w:pPr>
        <w:rPr>
          <w:rFonts w:eastAsia="Times New Roman" w:cs="Arial"/>
          <w:color w:val="000000"/>
          <w:szCs w:val="20"/>
          <w:lang w:eastAsia="bg-BG"/>
        </w:rPr>
      </w:pPr>
      <w:r w:rsidRPr="007F6EF6">
        <w:rPr>
          <w:rFonts w:eastAsia="Times New Roman" w:cs="Arial"/>
          <w:color w:val="000000"/>
          <w:szCs w:val="20"/>
          <w:lang w:eastAsia="bg-BG"/>
        </w:rPr>
        <w:t xml:space="preserve">В 12-месечно, плацебо контролирано проучване при педиатрични пациенти на възраст от 2 до 5 години с лека астма и епизодични екзацербации, монтелукаст 4 </w:t>
      </w:r>
      <w:r w:rsidRPr="007F6EF6">
        <w:rPr>
          <w:rFonts w:eastAsia="Times New Roman" w:cs="Arial"/>
          <w:color w:val="000000"/>
          <w:szCs w:val="20"/>
          <w:lang w:val="en-US"/>
        </w:rPr>
        <w:t>mg</w:t>
      </w:r>
      <w:r w:rsidRPr="007F6EF6">
        <w:rPr>
          <w:rFonts w:eastAsia="Times New Roman" w:cs="Arial"/>
          <w:color w:val="000000"/>
          <w:szCs w:val="20"/>
          <w:lang w:val="ru-RU"/>
        </w:rPr>
        <w:t xml:space="preserve"> </w:t>
      </w:r>
      <w:r w:rsidRPr="007F6EF6">
        <w:rPr>
          <w:rFonts w:eastAsia="Times New Roman" w:cs="Arial"/>
          <w:color w:val="000000"/>
          <w:szCs w:val="20"/>
          <w:lang w:eastAsia="bg-BG"/>
        </w:rPr>
        <w:t>прилаган веднъж дневно значително (р &lt; 0,001) е намалил годишното ниво на астматичните пристъпи в сравнение с плацебо (1,60 ГП спрямо 2,34 ГП съответно), [ГП определен като ≥3 последователни дни с дневни симптоми, изискващи употребата на бега-агонист или кортикостероид (перорален или инхалаторен) или хоспитализация по повод астма]. Процентът на намаление на степента на ГП е бил 31,9%, с 95% коефициент на доверителност от 16,9; 44,1.</w:t>
      </w:r>
    </w:p>
    <w:p w14:paraId="00B9F994" w14:textId="79A85AF5" w:rsidR="007F6EF6" w:rsidRPr="007F6EF6" w:rsidRDefault="007F6EF6" w:rsidP="007F6EF6">
      <w:pPr>
        <w:rPr>
          <w:rFonts w:eastAsia="Times New Roman" w:cs="Arial"/>
          <w:color w:val="000000"/>
          <w:szCs w:val="20"/>
          <w:lang w:eastAsia="bg-BG"/>
        </w:rPr>
      </w:pPr>
    </w:p>
    <w:p w14:paraId="30ACE1FD" w14:textId="77777777" w:rsidR="007F6EF6" w:rsidRPr="007F6EF6" w:rsidRDefault="007F6EF6" w:rsidP="007F6EF6">
      <w:pPr>
        <w:spacing w:line="240" w:lineRule="auto"/>
        <w:rPr>
          <w:rFonts w:eastAsia="Times New Roman" w:cs="Arial"/>
          <w:sz w:val="28"/>
          <w:szCs w:val="24"/>
        </w:rPr>
      </w:pPr>
      <w:r w:rsidRPr="007F6EF6">
        <w:rPr>
          <w:rFonts w:eastAsia="Times New Roman" w:cs="Arial"/>
          <w:color w:val="000000"/>
          <w:szCs w:val="20"/>
          <w:lang w:eastAsia="bg-BG"/>
        </w:rPr>
        <w:t xml:space="preserve">В плацебо контролирано проучване с педиатрични пациенти на възраст от 6 месеца до 5 години, които са имали интермитентна астма, но не и персистираща астма, лечението с монтелукаст е прилагано за повече от 12 месеца в доза 4 </w:t>
      </w:r>
      <w:r w:rsidRPr="007F6EF6">
        <w:rPr>
          <w:rFonts w:eastAsia="Times New Roman" w:cs="Arial"/>
          <w:color w:val="000000"/>
          <w:szCs w:val="20"/>
          <w:lang w:val="en-US"/>
        </w:rPr>
        <w:t>mg</w:t>
      </w:r>
      <w:r w:rsidRPr="007F6EF6">
        <w:rPr>
          <w:rFonts w:eastAsia="Times New Roman" w:cs="Arial"/>
          <w:color w:val="000000"/>
          <w:szCs w:val="20"/>
          <w:lang w:val="ru-RU"/>
        </w:rPr>
        <w:t xml:space="preserve"> </w:t>
      </w:r>
      <w:r w:rsidRPr="007F6EF6">
        <w:rPr>
          <w:rFonts w:eastAsia="Times New Roman" w:cs="Arial"/>
          <w:color w:val="000000"/>
          <w:szCs w:val="20"/>
          <w:lang w:eastAsia="bg-BG"/>
        </w:rPr>
        <w:t xml:space="preserve">веднъж дневно или като серии от 12-дневни курсове, които са започвали с началото на интермитентните симптоми. Не са били наблюдавани значими различия в броя на астматичните епизоди между пациентите на лечение с 4 </w:t>
      </w:r>
      <w:r w:rsidRPr="007F6EF6">
        <w:rPr>
          <w:rFonts w:eastAsia="Times New Roman" w:cs="Arial"/>
          <w:color w:val="000000"/>
          <w:szCs w:val="20"/>
          <w:lang w:val="en-US"/>
        </w:rPr>
        <w:t>mg</w:t>
      </w:r>
      <w:r w:rsidRPr="007F6EF6">
        <w:rPr>
          <w:rFonts w:eastAsia="Times New Roman" w:cs="Arial"/>
          <w:color w:val="000000"/>
          <w:szCs w:val="20"/>
          <w:lang w:val="ru-RU"/>
        </w:rPr>
        <w:t xml:space="preserve"> </w:t>
      </w:r>
      <w:r w:rsidRPr="007F6EF6">
        <w:rPr>
          <w:rFonts w:eastAsia="Times New Roman" w:cs="Arial"/>
          <w:color w:val="000000"/>
          <w:szCs w:val="20"/>
          <w:lang w:eastAsia="bg-BG"/>
        </w:rPr>
        <w:t>монтелукаст или плацебо, кулминиращи в астматичен пристъп, определен като астматичен епизод изискващ намесата на медицинско лице, като непланувано посещение при лекар, спешен център или болница, или лечение с перорални, интравенозни или интрамускулно прилагани кортикостероиди.</w:t>
      </w:r>
    </w:p>
    <w:p w14:paraId="04C2F57D" w14:textId="77777777" w:rsidR="007F6EF6" w:rsidRPr="007F6EF6" w:rsidRDefault="007F6EF6" w:rsidP="007F6EF6">
      <w:pPr>
        <w:spacing w:line="240" w:lineRule="auto"/>
        <w:rPr>
          <w:rFonts w:eastAsia="Times New Roman" w:cs="Arial"/>
          <w:color w:val="000000"/>
          <w:szCs w:val="20"/>
          <w:lang w:eastAsia="bg-BG"/>
        </w:rPr>
      </w:pPr>
    </w:p>
    <w:p w14:paraId="736671A6" w14:textId="7AA0C56E" w:rsidR="007F6EF6" w:rsidRPr="007F6EF6" w:rsidRDefault="007F6EF6" w:rsidP="007F6EF6">
      <w:pPr>
        <w:spacing w:line="240" w:lineRule="auto"/>
        <w:rPr>
          <w:rFonts w:eastAsia="Times New Roman" w:cs="Arial"/>
          <w:sz w:val="28"/>
          <w:szCs w:val="24"/>
        </w:rPr>
      </w:pPr>
      <w:r w:rsidRPr="007F6EF6">
        <w:rPr>
          <w:rFonts w:eastAsia="Times New Roman" w:cs="Arial"/>
          <w:color w:val="000000"/>
          <w:szCs w:val="20"/>
          <w:lang w:eastAsia="bg-BG"/>
        </w:rPr>
        <w:t xml:space="preserve">Ефикасността на монтелукаст е била подкрепена при педиатрични пациенти на възраст от 6 месеца до 2 години с екстраполация от установената ефикасност при пациенти на възраст 2 години или по-големи с астма и се базира на сходните фармакокинетични </w:t>
      </w:r>
      <w:r w:rsidRPr="007F6EF6">
        <w:rPr>
          <w:rFonts w:eastAsia="Times New Roman" w:cs="Arial"/>
          <w:color w:val="000000"/>
          <w:szCs w:val="20"/>
          <w:lang w:eastAsia="bg-BG"/>
        </w:rPr>
        <w:lastRenderedPageBreak/>
        <w:t>данни, както и на допускането, че хода на заболяването, патофизиологията и ефекта на лекарствения продукт са значително подобни при тази популация.</w:t>
      </w:r>
    </w:p>
    <w:p w14:paraId="19200F46" w14:textId="77777777" w:rsidR="007F6EF6" w:rsidRPr="007F6EF6" w:rsidRDefault="007F6EF6" w:rsidP="007F6EF6">
      <w:pPr>
        <w:spacing w:line="240" w:lineRule="auto"/>
        <w:rPr>
          <w:rFonts w:eastAsia="Times New Roman" w:cs="Arial"/>
          <w:color w:val="000000"/>
          <w:szCs w:val="20"/>
          <w:lang w:eastAsia="bg-BG"/>
        </w:rPr>
      </w:pPr>
    </w:p>
    <w:p w14:paraId="3C22E17B" w14:textId="46507EDF" w:rsidR="007F6EF6" w:rsidRPr="007F6EF6" w:rsidRDefault="007F6EF6" w:rsidP="007F6EF6">
      <w:pPr>
        <w:spacing w:line="240" w:lineRule="auto"/>
        <w:rPr>
          <w:rFonts w:eastAsia="Times New Roman" w:cs="Arial"/>
          <w:sz w:val="28"/>
          <w:szCs w:val="24"/>
        </w:rPr>
      </w:pPr>
      <w:r w:rsidRPr="007F6EF6">
        <w:rPr>
          <w:rFonts w:eastAsia="Times New Roman" w:cs="Arial"/>
          <w:color w:val="000000"/>
          <w:szCs w:val="20"/>
          <w:lang w:eastAsia="bg-BG"/>
        </w:rPr>
        <w:t xml:space="preserve">Значително намаление на провокираната от физическа активност бронхоконстрикция (ФПБ) е била доказана в 12-седмично проучване при възрастни (максимално понижение на ФЕО1 22,33% за монтелукаст спрямо 32,40% за плацебо; време за възстановяване до ниво около 5% от изходните стойности ФЕО1 44,22 </w:t>
      </w:r>
      <w:r w:rsidRPr="007F6EF6">
        <w:rPr>
          <w:rFonts w:eastAsia="Times New Roman" w:cs="Arial"/>
          <w:color w:val="000000"/>
          <w:szCs w:val="20"/>
          <w:lang w:val="en-US"/>
        </w:rPr>
        <w:t>min</w:t>
      </w:r>
      <w:r w:rsidRPr="007F6EF6">
        <w:rPr>
          <w:rFonts w:eastAsia="Times New Roman" w:cs="Arial"/>
          <w:color w:val="000000"/>
          <w:szCs w:val="20"/>
          <w:lang w:val="ru-RU"/>
        </w:rPr>
        <w:t xml:space="preserve"> </w:t>
      </w:r>
      <w:r w:rsidRPr="007F6EF6">
        <w:rPr>
          <w:rFonts w:eastAsia="Times New Roman" w:cs="Arial"/>
          <w:color w:val="000000"/>
          <w:szCs w:val="20"/>
          <w:lang w:eastAsia="bg-BG"/>
        </w:rPr>
        <w:t xml:space="preserve">спрямо 60,64 </w:t>
      </w:r>
      <w:r w:rsidRPr="007F6EF6">
        <w:rPr>
          <w:rFonts w:eastAsia="Times New Roman" w:cs="Arial"/>
          <w:color w:val="000000"/>
          <w:szCs w:val="20"/>
          <w:lang w:val="en-US"/>
        </w:rPr>
        <w:t>min</w:t>
      </w:r>
      <w:r w:rsidRPr="007F6EF6">
        <w:rPr>
          <w:rFonts w:eastAsia="Times New Roman" w:cs="Arial"/>
          <w:color w:val="000000"/>
          <w:szCs w:val="20"/>
          <w:lang w:val="ru-RU"/>
        </w:rPr>
        <w:t xml:space="preserve">). </w:t>
      </w:r>
      <w:r w:rsidRPr="007F6EF6">
        <w:rPr>
          <w:rFonts w:eastAsia="Times New Roman" w:cs="Arial"/>
          <w:color w:val="000000"/>
          <w:szCs w:val="20"/>
          <w:lang w:eastAsia="bg-BG"/>
        </w:rPr>
        <w:t>Този ефект е бил траен в 12- седмичния период на проучването.</w:t>
      </w:r>
    </w:p>
    <w:p w14:paraId="7CE06B95" w14:textId="77777777" w:rsidR="007F6EF6" w:rsidRPr="007F6EF6" w:rsidRDefault="007F6EF6" w:rsidP="007F6EF6">
      <w:pPr>
        <w:spacing w:line="240" w:lineRule="auto"/>
        <w:rPr>
          <w:rFonts w:eastAsia="Times New Roman" w:cs="Arial"/>
          <w:color w:val="000000"/>
          <w:szCs w:val="20"/>
          <w:lang w:eastAsia="bg-BG"/>
        </w:rPr>
      </w:pPr>
    </w:p>
    <w:p w14:paraId="21310AC5" w14:textId="7DF6B73C" w:rsidR="007F6EF6" w:rsidRPr="007F6EF6" w:rsidRDefault="007F6EF6" w:rsidP="007F6EF6">
      <w:pPr>
        <w:spacing w:line="240" w:lineRule="auto"/>
        <w:rPr>
          <w:rFonts w:eastAsia="Times New Roman" w:cs="Arial"/>
          <w:sz w:val="28"/>
          <w:szCs w:val="24"/>
        </w:rPr>
      </w:pPr>
      <w:r w:rsidRPr="007F6EF6">
        <w:rPr>
          <w:rFonts w:eastAsia="Times New Roman" w:cs="Arial"/>
          <w:color w:val="000000"/>
          <w:szCs w:val="20"/>
          <w:lang w:eastAsia="bg-BG"/>
        </w:rPr>
        <w:t xml:space="preserve">Освен това, намалението на ФПБ е било доказано и в едно краткосрочно проучване при педиатрични пациенти на възраст от 6 до 14 години (максимално понижение на </w:t>
      </w:r>
      <w:r w:rsidRPr="007F6EF6">
        <w:rPr>
          <w:rFonts w:eastAsia="Times New Roman" w:cs="Arial"/>
          <w:color w:val="000000"/>
          <w:szCs w:val="20"/>
          <w:lang w:val="en-US"/>
        </w:rPr>
        <w:t>FEV</w:t>
      </w:r>
      <w:r w:rsidRPr="007F6EF6">
        <w:rPr>
          <w:rFonts w:eastAsia="Times New Roman" w:cs="Arial"/>
          <w:color w:val="000000"/>
          <w:szCs w:val="20"/>
          <w:vertAlign w:val="subscript"/>
          <w:lang w:val="ru-RU"/>
        </w:rPr>
        <w:t>1</w:t>
      </w:r>
      <w:r w:rsidRPr="007F6EF6">
        <w:rPr>
          <w:rFonts w:eastAsia="Times New Roman" w:cs="Arial"/>
          <w:color w:val="000000"/>
          <w:szCs w:val="20"/>
          <w:lang w:val="ru-RU"/>
        </w:rPr>
        <w:t xml:space="preserve"> </w:t>
      </w:r>
      <w:r w:rsidRPr="007F6EF6">
        <w:rPr>
          <w:rFonts w:eastAsia="Times New Roman" w:cs="Arial"/>
          <w:color w:val="000000"/>
          <w:szCs w:val="20"/>
          <w:lang w:eastAsia="bg-BG"/>
        </w:rPr>
        <w:t xml:space="preserve">18,27% спрямо 26,11 %; време за възстановяване до ниво около 5% от изходните стойности на </w:t>
      </w:r>
      <w:r w:rsidRPr="007F6EF6">
        <w:rPr>
          <w:rFonts w:eastAsia="Times New Roman" w:cs="Arial"/>
          <w:color w:val="000000"/>
          <w:szCs w:val="20"/>
          <w:lang w:val="en-US"/>
        </w:rPr>
        <w:t>FEV</w:t>
      </w:r>
      <w:r w:rsidRPr="007F6EF6">
        <w:rPr>
          <w:rFonts w:eastAsia="Times New Roman" w:cs="Arial"/>
          <w:color w:val="000000"/>
          <w:szCs w:val="20"/>
          <w:vertAlign w:val="subscript"/>
          <w:lang w:val="ru-RU"/>
        </w:rPr>
        <w:t>1</w:t>
      </w:r>
      <w:r w:rsidRPr="007F6EF6">
        <w:rPr>
          <w:rFonts w:eastAsia="Times New Roman" w:cs="Arial"/>
          <w:color w:val="000000"/>
          <w:szCs w:val="20"/>
          <w:lang w:val="ru-RU"/>
        </w:rPr>
        <w:t xml:space="preserve"> </w:t>
      </w:r>
      <w:r w:rsidRPr="007F6EF6">
        <w:rPr>
          <w:rFonts w:eastAsia="Times New Roman" w:cs="Arial"/>
          <w:color w:val="000000"/>
          <w:szCs w:val="20"/>
          <w:lang w:eastAsia="bg-BG"/>
        </w:rPr>
        <w:t xml:space="preserve">17,76 </w:t>
      </w:r>
      <w:r w:rsidRPr="007F6EF6">
        <w:rPr>
          <w:rFonts w:eastAsia="Times New Roman" w:cs="Arial"/>
          <w:color w:val="000000"/>
          <w:szCs w:val="20"/>
          <w:lang w:val="en-US"/>
        </w:rPr>
        <w:t>min</w:t>
      </w:r>
      <w:r w:rsidRPr="007F6EF6">
        <w:rPr>
          <w:rFonts w:eastAsia="Times New Roman" w:cs="Arial"/>
          <w:color w:val="000000"/>
          <w:szCs w:val="20"/>
          <w:lang w:val="ru-RU"/>
        </w:rPr>
        <w:t xml:space="preserve"> </w:t>
      </w:r>
      <w:r w:rsidRPr="007F6EF6">
        <w:rPr>
          <w:rFonts w:eastAsia="Times New Roman" w:cs="Arial"/>
          <w:color w:val="000000"/>
          <w:szCs w:val="20"/>
          <w:lang w:eastAsia="bg-BG"/>
        </w:rPr>
        <w:t xml:space="preserve">спрямо 27,98 </w:t>
      </w:r>
      <w:r w:rsidRPr="007F6EF6">
        <w:rPr>
          <w:rFonts w:eastAsia="Times New Roman" w:cs="Arial"/>
          <w:color w:val="000000"/>
          <w:szCs w:val="20"/>
          <w:lang w:val="en-US"/>
        </w:rPr>
        <w:t>min</w:t>
      </w:r>
      <w:r w:rsidRPr="007F6EF6">
        <w:rPr>
          <w:rFonts w:eastAsia="Times New Roman" w:cs="Arial"/>
          <w:color w:val="000000"/>
          <w:szCs w:val="20"/>
          <w:lang w:val="ru-RU"/>
        </w:rPr>
        <w:t xml:space="preserve">). </w:t>
      </w:r>
      <w:r w:rsidRPr="007F6EF6">
        <w:rPr>
          <w:rFonts w:eastAsia="Times New Roman" w:cs="Arial"/>
          <w:color w:val="000000"/>
          <w:szCs w:val="20"/>
          <w:lang w:eastAsia="bg-BG"/>
        </w:rPr>
        <w:t>Ефектът при двете проучвания е бил доказан в края на еднодневен дозов интервал.</w:t>
      </w:r>
    </w:p>
    <w:p w14:paraId="472C8385" w14:textId="77777777" w:rsidR="007F6EF6" w:rsidRPr="007F6EF6" w:rsidRDefault="007F6EF6" w:rsidP="007F6EF6">
      <w:pPr>
        <w:rPr>
          <w:rFonts w:eastAsia="Times New Roman" w:cs="Arial"/>
          <w:color w:val="000000"/>
          <w:szCs w:val="20"/>
          <w:lang w:eastAsia="bg-BG"/>
        </w:rPr>
      </w:pPr>
    </w:p>
    <w:p w14:paraId="4AB6720C" w14:textId="2A217427" w:rsidR="007F6EF6" w:rsidRDefault="007F6EF6" w:rsidP="007F6EF6">
      <w:pPr>
        <w:rPr>
          <w:rFonts w:eastAsia="Times New Roman" w:cs="Arial"/>
          <w:color w:val="000000"/>
          <w:szCs w:val="20"/>
          <w:lang w:eastAsia="bg-BG"/>
        </w:rPr>
      </w:pPr>
      <w:r w:rsidRPr="007F6EF6">
        <w:rPr>
          <w:rFonts w:eastAsia="Times New Roman" w:cs="Arial"/>
          <w:color w:val="000000"/>
          <w:szCs w:val="20"/>
          <w:lang w:eastAsia="bg-BG"/>
        </w:rPr>
        <w:t xml:space="preserve">При пациенти с аспиринова астма, които получават успоредно инхалатори и и/или перорални кортикостероиди, лечението с монтелукаст в сравнение с плацебо е довело до значимо подобрение в контрола на астмата </w:t>
      </w:r>
      <w:r w:rsidRPr="007F6EF6">
        <w:rPr>
          <w:rFonts w:eastAsia="Times New Roman" w:cs="Arial"/>
          <w:color w:val="000000"/>
          <w:szCs w:val="20"/>
          <w:lang w:val="ru-RU"/>
        </w:rPr>
        <w:t>(</w:t>
      </w:r>
      <w:proofErr w:type="spellStart"/>
      <w:r w:rsidRPr="007F6EF6">
        <w:rPr>
          <w:rFonts w:eastAsia="Times New Roman" w:cs="Arial"/>
          <w:color w:val="000000"/>
          <w:szCs w:val="20"/>
          <w:lang w:val="en-US"/>
        </w:rPr>
        <w:t>FEVi</w:t>
      </w:r>
      <w:proofErr w:type="spellEnd"/>
      <w:r w:rsidRPr="007F6EF6">
        <w:rPr>
          <w:rFonts w:eastAsia="Times New Roman" w:cs="Arial"/>
          <w:color w:val="000000"/>
          <w:szCs w:val="20"/>
          <w:lang w:val="ru-RU"/>
        </w:rPr>
        <w:t xml:space="preserve"> </w:t>
      </w:r>
      <w:r w:rsidRPr="007F6EF6">
        <w:rPr>
          <w:rFonts w:eastAsia="Times New Roman" w:cs="Arial"/>
          <w:color w:val="000000"/>
          <w:szCs w:val="20"/>
          <w:lang w:eastAsia="bg-BG"/>
        </w:rPr>
        <w:t>8,55% срещу -1,74% промяна от изходния и намаление в общата употреба на β-агонисти -27,78% срещу 2,09% промяна от изходния показател).</w:t>
      </w:r>
    </w:p>
    <w:p w14:paraId="6071CFA3" w14:textId="77777777" w:rsidR="007F6EF6" w:rsidRPr="007F6EF6" w:rsidRDefault="007F6EF6" w:rsidP="007F6EF6">
      <w:pPr>
        <w:rPr>
          <w:rFonts w:cs="Arial"/>
          <w:sz w:val="24"/>
        </w:rPr>
      </w:pPr>
    </w:p>
    <w:p w14:paraId="78DD93AA" w14:textId="09378765" w:rsidR="00B6672E" w:rsidRDefault="002C50EE" w:rsidP="00936AD0">
      <w:pPr>
        <w:pStyle w:val="Heading2"/>
      </w:pPr>
      <w:r>
        <w:t>5.2. Фармакокинетични свойства</w:t>
      </w:r>
    </w:p>
    <w:p w14:paraId="3251E5BD" w14:textId="0AE75868" w:rsidR="007F6EF6" w:rsidRDefault="007F6EF6" w:rsidP="007F6EF6"/>
    <w:p w14:paraId="2575F4E6" w14:textId="77777777" w:rsidR="007F6EF6" w:rsidRPr="007F6EF6" w:rsidRDefault="007F6EF6" w:rsidP="007F6EF6">
      <w:pPr>
        <w:pStyle w:val="Heading3"/>
        <w:rPr>
          <w:rFonts w:eastAsia="Times New Roman"/>
          <w:u w:val="single"/>
        </w:rPr>
      </w:pPr>
      <w:r w:rsidRPr="007F6EF6">
        <w:rPr>
          <w:rFonts w:eastAsia="Times New Roman"/>
          <w:u w:val="single"/>
          <w:lang w:eastAsia="bg-BG"/>
        </w:rPr>
        <w:t>Абсорбция</w:t>
      </w:r>
    </w:p>
    <w:p w14:paraId="3940F46C" w14:textId="77777777" w:rsidR="007F6EF6" w:rsidRPr="007F6EF6" w:rsidRDefault="007F6EF6" w:rsidP="007F6EF6">
      <w:pPr>
        <w:spacing w:line="240" w:lineRule="auto"/>
        <w:rPr>
          <w:rFonts w:eastAsia="Times New Roman" w:cs="Arial"/>
        </w:rPr>
      </w:pPr>
      <w:r w:rsidRPr="007F6EF6">
        <w:rPr>
          <w:rFonts w:eastAsia="Times New Roman" w:cs="Arial"/>
          <w:color w:val="000000"/>
          <w:lang w:eastAsia="bg-BG"/>
        </w:rPr>
        <w:t xml:space="preserve">След перорално приложение монтелукаст се абсорбира бързо. За филмираните </w:t>
      </w:r>
      <w:r w:rsidRPr="007F6EF6">
        <w:rPr>
          <w:rFonts w:eastAsia="Times New Roman" w:cs="Arial"/>
          <w:i/>
          <w:iCs/>
          <w:color w:val="000000"/>
          <w:lang w:eastAsia="bg-BG"/>
        </w:rPr>
        <w:t xml:space="preserve">таблетки от 10 </w:t>
      </w:r>
      <w:r w:rsidRPr="007F6EF6">
        <w:rPr>
          <w:rFonts w:eastAsia="Times New Roman" w:cs="Arial"/>
          <w:color w:val="000000"/>
          <w:lang w:val="en-US"/>
        </w:rPr>
        <w:t>mg</w:t>
      </w:r>
      <w:r w:rsidRPr="007F6EF6">
        <w:rPr>
          <w:rFonts w:eastAsia="Times New Roman" w:cs="Arial"/>
          <w:color w:val="000000"/>
          <w:lang w:val="ru-RU"/>
        </w:rPr>
        <w:t xml:space="preserve">, </w:t>
      </w:r>
      <w:r w:rsidRPr="007F6EF6">
        <w:rPr>
          <w:rFonts w:eastAsia="Times New Roman" w:cs="Arial"/>
          <w:color w:val="000000"/>
          <w:lang w:eastAsia="bg-BG"/>
        </w:rPr>
        <w:t xml:space="preserve">средната пикова плазмена концентрация </w:t>
      </w:r>
      <w:r w:rsidRPr="007F6EF6">
        <w:rPr>
          <w:rFonts w:eastAsia="Times New Roman" w:cs="Arial"/>
          <w:smallCaps/>
          <w:color w:val="000000"/>
          <w:lang w:eastAsia="bg-BG"/>
        </w:rPr>
        <w:t>(</w:t>
      </w:r>
      <w:proofErr w:type="spellStart"/>
      <w:r w:rsidRPr="007F6EF6">
        <w:rPr>
          <w:rFonts w:eastAsia="Times New Roman" w:cs="Arial"/>
          <w:smallCaps/>
          <w:color w:val="000000"/>
          <w:lang w:val="en-US"/>
        </w:rPr>
        <w:t>C</w:t>
      </w:r>
      <w:r w:rsidRPr="007F6EF6">
        <w:rPr>
          <w:rFonts w:eastAsia="Times New Roman" w:cs="Arial"/>
          <w:smallCaps/>
          <w:color w:val="000000"/>
          <w:vertAlign w:val="subscript"/>
          <w:lang w:val="en-US"/>
        </w:rPr>
        <w:t>max</w:t>
      </w:r>
      <w:proofErr w:type="spellEnd"/>
      <w:r w:rsidRPr="007F6EF6">
        <w:rPr>
          <w:rFonts w:eastAsia="Times New Roman" w:cs="Arial"/>
          <w:smallCaps/>
          <w:color w:val="000000"/>
          <w:lang w:eastAsia="bg-BG"/>
        </w:rPr>
        <w:t>)</w:t>
      </w:r>
      <w:r w:rsidRPr="007F6EF6">
        <w:rPr>
          <w:rFonts w:eastAsia="Times New Roman" w:cs="Arial"/>
          <w:color w:val="000000"/>
          <w:lang w:eastAsia="bg-BG"/>
        </w:rPr>
        <w:t xml:space="preserve"> се достига три часа (Т</w:t>
      </w:r>
      <w:r w:rsidRPr="007F6EF6">
        <w:rPr>
          <w:rFonts w:eastAsia="Times New Roman" w:cs="Arial"/>
          <w:color w:val="000000"/>
          <w:vertAlign w:val="subscript"/>
          <w:lang w:val="en-US"/>
        </w:rPr>
        <w:t>max</w:t>
      </w:r>
      <w:r w:rsidRPr="007F6EF6">
        <w:rPr>
          <w:rFonts w:eastAsia="Times New Roman" w:cs="Arial"/>
          <w:color w:val="000000"/>
          <w:lang w:eastAsia="bg-BG"/>
        </w:rPr>
        <w:t>) след приложението при възрастни на гладно. Средната бионаличност след перорално приложение е 64%. Пероралната бионаличност и С</w:t>
      </w:r>
      <w:r w:rsidRPr="007F6EF6">
        <w:rPr>
          <w:rFonts w:eastAsia="Times New Roman" w:cs="Arial"/>
          <w:color w:val="000000"/>
          <w:vertAlign w:val="subscript"/>
          <w:lang w:val="en-US"/>
        </w:rPr>
        <w:t>max</w:t>
      </w:r>
      <w:r w:rsidRPr="007F6EF6">
        <w:rPr>
          <w:rFonts w:eastAsia="Times New Roman" w:cs="Arial"/>
          <w:color w:val="000000"/>
          <w:lang w:val="ru-RU"/>
        </w:rPr>
        <w:t xml:space="preserve"> </w:t>
      </w:r>
      <w:r w:rsidRPr="007F6EF6">
        <w:rPr>
          <w:rFonts w:eastAsia="Times New Roman" w:cs="Arial"/>
          <w:color w:val="000000"/>
          <w:lang w:eastAsia="bg-BG"/>
        </w:rPr>
        <w:t xml:space="preserve">не се повлияват от стандартното хранене. Безопасността и ефикасността са били доказани в клинични проучвания, при които филмираните таблетки от 10 </w:t>
      </w:r>
      <w:r w:rsidRPr="007F6EF6">
        <w:rPr>
          <w:rFonts w:eastAsia="Times New Roman" w:cs="Arial"/>
          <w:color w:val="000000"/>
          <w:lang w:val="en-US"/>
        </w:rPr>
        <w:t>mg</w:t>
      </w:r>
      <w:r w:rsidRPr="007F6EF6">
        <w:rPr>
          <w:rFonts w:eastAsia="Times New Roman" w:cs="Arial"/>
          <w:color w:val="000000"/>
          <w:lang w:val="ru-RU"/>
        </w:rPr>
        <w:t xml:space="preserve"> </w:t>
      </w:r>
      <w:r w:rsidRPr="007F6EF6">
        <w:rPr>
          <w:rFonts w:eastAsia="Times New Roman" w:cs="Arial"/>
          <w:color w:val="000000"/>
          <w:lang w:eastAsia="bg-BG"/>
        </w:rPr>
        <w:t>са прилагани независимо от времето на хранене.</w:t>
      </w:r>
    </w:p>
    <w:p w14:paraId="5529E9B9" w14:textId="77777777" w:rsidR="007F6EF6" w:rsidRPr="007F6EF6" w:rsidRDefault="007F6EF6" w:rsidP="007F6EF6">
      <w:pPr>
        <w:spacing w:line="240" w:lineRule="auto"/>
        <w:rPr>
          <w:rFonts w:eastAsia="Times New Roman" w:cs="Arial"/>
          <w:color w:val="000000"/>
          <w:lang w:eastAsia="bg-BG"/>
        </w:rPr>
      </w:pPr>
    </w:p>
    <w:p w14:paraId="0BED970C" w14:textId="020D595D" w:rsidR="007F6EF6" w:rsidRPr="007F6EF6" w:rsidRDefault="007F6EF6" w:rsidP="007F6EF6">
      <w:pPr>
        <w:spacing w:line="240" w:lineRule="auto"/>
        <w:rPr>
          <w:rFonts w:eastAsia="Times New Roman" w:cs="Arial"/>
        </w:rPr>
      </w:pPr>
      <w:r w:rsidRPr="007F6EF6">
        <w:rPr>
          <w:rFonts w:eastAsia="Times New Roman" w:cs="Arial"/>
          <w:color w:val="000000"/>
          <w:lang w:eastAsia="bg-BG"/>
        </w:rPr>
        <w:t xml:space="preserve">С таблетките за дъвчене от 5 </w:t>
      </w:r>
      <w:r w:rsidRPr="007F6EF6">
        <w:rPr>
          <w:rFonts w:eastAsia="Times New Roman" w:cs="Arial"/>
          <w:color w:val="000000"/>
          <w:lang w:val="en-US"/>
        </w:rPr>
        <w:t>mg</w:t>
      </w:r>
      <w:r w:rsidRPr="007F6EF6">
        <w:rPr>
          <w:rFonts w:eastAsia="Times New Roman" w:cs="Arial"/>
          <w:color w:val="000000"/>
          <w:lang w:val="ru-RU"/>
        </w:rPr>
        <w:t xml:space="preserve">, </w:t>
      </w:r>
      <w:r w:rsidRPr="007F6EF6">
        <w:rPr>
          <w:rFonts w:eastAsia="Times New Roman" w:cs="Arial"/>
          <w:color w:val="000000"/>
          <w:lang w:eastAsia="bg-BG"/>
        </w:rPr>
        <w:t>С</w:t>
      </w:r>
      <w:r w:rsidRPr="007F6EF6">
        <w:rPr>
          <w:rFonts w:eastAsia="Times New Roman" w:cs="Arial"/>
          <w:color w:val="000000"/>
          <w:vertAlign w:val="subscript"/>
          <w:lang w:val="en-US"/>
        </w:rPr>
        <w:t>max</w:t>
      </w:r>
      <w:r w:rsidRPr="007F6EF6">
        <w:rPr>
          <w:rFonts w:eastAsia="Times New Roman" w:cs="Arial"/>
          <w:color w:val="000000"/>
          <w:lang w:val="ru-RU"/>
        </w:rPr>
        <w:t xml:space="preserve"> </w:t>
      </w:r>
      <w:r w:rsidRPr="007F6EF6">
        <w:rPr>
          <w:rFonts w:eastAsia="Times New Roman" w:cs="Arial"/>
          <w:color w:val="000000"/>
          <w:lang w:eastAsia="bg-BG"/>
        </w:rPr>
        <w:t>се достига 2 часа след приложение при възрастни на гладно. Средната бионаличност след перорално приложение е 73% и намалява до 63% от стандартната храна.</w:t>
      </w:r>
    </w:p>
    <w:p w14:paraId="27B2C8B2" w14:textId="77777777" w:rsidR="007F6EF6" w:rsidRPr="007F6EF6" w:rsidRDefault="007F6EF6" w:rsidP="007F6EF6">
      <w:pPr>
        <w:spacing w:line="240" w:lineRule="auto"/>
        <w:rPr>
          <w:rFonts w:eastAsia="Times New Roman" w:cs="Arial"/>
          <w:color w:val="000000"/>
          <w:lang w:eastAsia="bg-BG"/>
        </w:rPr>
      </w:pPr>
    </w:p>
    <w:p w14:paraId="34C86999" w14:textId="43F84D1A" w:rsidR="007F6EF6" w:rsidRPr="007F6EF6" w:rsidRDefault="007F6EF6" w:rsidP="007F6EF6">
      <w:pPr>
        <w:spacing w:line="240" w:lineRule="auto"/>
        <w:rPr>
          <w:rFonts w:eastAsia="Times New Roman" w:cs="Arial"/>
        </w:rPr>
      </w:pPr>
      <w:r w:rsidRPr="007F6EF6">
        <w:rPr>
          <w:rFonts w:eastAsia="Times New Roman" w:cs="Arial"/>
          <w:color w:val="000000"/>
          <w:lang w:eastAsia="bg-BG"/>
        </w:rPr>
        <w:t xml:space="preserve">След приложение на таблетки за дъвчене от 4 </w:t>
      </w:r>
      <w:r w:rsidRPr="007F6EF6">
        <w:rPr>
          <w:rFonts w:eastAsia="Times New Roman" w:cs="Arial"/>
          <w:color w:val="000000"/>
          <w:lang w:val="en-US"/>
        </w:rPr>
        <w:t>mg</w:t>
      </w:r>
      <w:r w:rsidRPr="007F6EF6">
        <w:rPr>
          <w:rFonts w:eastAsia="Times New Roman" w:cs="Arial"/>
          <w:color w:val="000000"/>
          <w:lang w:val="ru-RU"/>
        </w:rPr>
        <w:t xml:space="preserve"> </w:t>
      </w:r>
      <w:r w:rsidRPr="007F6EF6">
        <w:rPr>
          <w:rFonts w:eastAsia="Times New Roman" w:cs="Arial"/>
          <w:color w:val="000000"/>
          <w:lang w:eastAsia="bg-BG"/>
        </w:rPr>
        <w:t>на пациенти на възраст между 2 и 5 години на гладно, С</w:t>
      </w:r>
      <w:r w:rsidRPr="007F6EF6">
        <w:rPr>
          <w:rFonts w:eastAsia="Times New Roman" w:cs="Arial"/>
          <w:color w:val="000000"/>
          <w:vertAlign w:val="subscript"/>
          <w:lang w:val="en-US"/>
        </w:rPr>
        <w:t>max</w:t>
      </w:r>
      <w:r w:rsidRPr="007F6EF6">
        <w:rPr>
          <w:rFonts w:eastAsia="Times New Roman" w:cs="Arial"/>
          <w:color w:val="000000"/>
          <w:lang w:eastAsia="bg-BG"/>
        </w:rPr>
        <w:t xml:space="preserve"> се постига 2 часа след приложение. Средното С</w:t>
      </w:r>
      <w:r w:rsidRPr="007F6EF6">
        <w:rPr>
          <w:rFonts w:eastAsia="Times New Roman" w:cs="Arial"/>
          <w:color w:val="000000"/>
          <w:vertAlign w:val="subscript"/>
          <w:lang w:val="en-US"/>
        </w:rPr>
        <w:t>max</w:t>
      </w:r>
      <w:r w:rsidRPr="007F6EF6">
        <w:rPr>
          <w:rFonts w:eastAsia="Times New Roman" w:cs="Arial"/>
          <w:color w:val="000000"/>
          <w:lang w:val="ru-RU"/>
        </w:rPr>
        <w:t xml:space="preserve"> </w:t>
      </w:r>
      <w:r w:rsidRPr="007F6EF6">
        <w:rPr>
          <w:rFonts w:eastAsia="Times New Roman" w:cs="Arial"/>
          <w:color w:val="000000"/>
          <w:lang w:eastAsia="bg-BG"/>
        </w:rPr>
        <w:t>е 66% по-високо, докато средното С</w:t>
      </w:r>
      <w:r w:rsidRPr="007F6EF6">
        <w:rPr>
          <w:rFonts w:eastAsia="Times New Roman" w:cs="Arial"/>
          <w:color w:val="000000"/>
          <w:vertAlign w:val="subscript"/>
          <w:lang w:val="en-US"/>
        </w:rPr>
        <w:t>min</w:t>
      </w:r>
      <w:r w:rsidRPr="007F6EF6">
        <w:rPr>
          <w:rFonts w:eastAsia="Times New Roman" w:cs="Arial"/>
          <w:color w:val="000000"/>
          <w:lang w:eastAsia="bg-BG"/>
        </w:rPr>
        <w:t xml:space="preserve"> е по-ниско отколкото при възрастни, получаващи таблетки от 10 </w:t>
      </w:r>
      <w:r w:rsidRPr="007F6EF6">
        <w:rPr>
          <w:rFonts w:eastAsia="Times New Roman" w:cs="Arial"/>
          <w:color w:val="000000"/>
          <w:lang w:val="en-US"/>
        </w:rPr>
        <w:t>mg</w:t>
      </w:r>
    </w:p>
    <w:p w14:paraId="34E8B93F" w14:textId="77777777" w:rsidR="007F6EF6" w:rsidRPr="007F6EF6" w:rsidRDefault="007F6EF6" w:rsidP="007F6EF6">
      <w:pPr>
        <w:rPr>
          <w:rFonts w:eastAsia="Times New Roman" w:cs="Arial"/>
          <w:color w:val="000000"/>
          <w:lang w:eastAsia="bg-BG"/>
        </w:rPr>
      </w:pPr>
    </w:p>
    <w:p w14:paraId="4F4D3A6D" w14:textId="77777777" w:rsidR="007F6EF6" w:rsidRPr="007F6EF6" w:rsidRDefault="007F6EF6" w:rsidP="007F6EF6">
      <w:pPr>
        <w:rPr>
          <w:rFonts w:eastAsia="Times New Roman" w:cs="Arial"/>
        </w:rPr>
      </w:pPr>
      <w:r w:rsidRPr="007F6EF6">
        <w:rPr>
          <w:rFonts w:eastAsia="Times New Roman" w:cs="Arial"/>
          <w:color w:val="000000"/>
          <w:lang w:eastAsia="bg-BG"/>
        </w:rPr>
        <w:t xml:space="preserve">Лекарствената форма на 4 </w:t>
      </w:r>
      <w:r w:rsidRPr="007F6EF6">
        <w:rPr>
          <w:rFonts w:eastAsia="Times New Roman" w:cs="Arial"/>
          <w:color w:val="000000"/>
          <w:lang w:val="en-US"/>
        </w:rPr>
        <w:t>mg</w:t>
      </w:r>
      <w:r w:rsidRPr="007F6EF6">
        <w:rPr>
          <w:rFonts w:eastAsia="Times New Roman" w:cs="Arial"/>
          <w:color w:val="000000"/>
          <w:lang w:val="ru-RU"/>
        </w:rPr>
        <w:t xml:space="preserve"> </w:t>
      </w:r>
      <w:r w:rsidRPr="007F6EF6">
        <w:rPr>
          <w:rFonts w:eastAsia="Times New Roman" w:cs="Arial"/>
          <w:color w:val="000000"/>
          <w:lang w:eastAsia="bg-BG"/>
        </w:rPr>
        <w:t xml:space="preserve">гранули е биоеквивалентна на 4 </w:t>
      </w:r>
      <w:r w:rsidRPr="007F6EF6">
        <w:rPr>
          <w:rFonts w:eastAsia="Times New Roman" w:cs="Arial"/>
          <w:color w:val="000000"/>
          <w:lang w:val="en-US"/>
        </w:rPr>
        <w:t>mg</w:t>
      </w:r>
      <w:r w:rsidRPr="007F6EF6">
        <w:rPr>
          <w:rFonts w:eastAsia="Times New Roman" w:cs="Arial"/>
          <w:color w:val="000000"/>
          <w:lang w:val="ru-RU"/>
        </w:rPr>
        <w:t xml:space="preserve"> </w:t>
      </w:r>
      <w:r w:rsidRPr="007F6EF6">
        <w:rPr>
          <w:rFonts w:eastAsia="Times New Roman" w:cs="Arial"/>
          <w:color w:val="000000"/>
          <w:lang w:eastAsia="bg-BG"/>
        </w:rPr>
        <w:t xml:space="preserve">таблетки за дъвчене кгато се прилага на възрастни на гладно. При педиатрични пациенти на възраст от 6 месеца до 2 години, </w:t>
      </w:r>
      <w:proofErr w:type="spellStart"/>
      <w:r w:rsidRPr="007F6EF6">
        <w:rPr>
          <w:rFonts w:eastAsia="Times New Roman" w:cs="Arial"/>
          <w:color w:val="000000"/>
          <w:lang w:val="en-US"/>
        </w:rPr>
        <w:t>C</w:t>
      </w:r>
      <w:r w:rsidRPr="007F6EF6">
        <w:rPr>
          <w:rFonts w:eastAsia="Times New Roman" w:cs="Arial"/>
          <w:color w:val="000000"/>
          <w:vertAlign w:val="subscript"/>
          <w:lang w:val="en-US"/>
        </w:rPr>
        <w:t>max</w:t>
      </w:r>
      <w:proofErr w:type="spellEnd"/>
      <w:r w:rsidRPr="007F6EF6">
        <w:rPr>
          <w:rFonts w:eastAsia="Times New Roman" w:cs="Arial"/>
          <w:color w:val="000000"/>
          <w:lang w:eastAsia="bg-BG"/>
        </w:rPr>
        <w:t xml:space="preserve"> се постига 2 часа след приложение на гранулите. С</w:t>
      </w:r>
      <w:r w:rsidRPr="007F6EF6">
        <w:rPr>
          <w:rFonts w:eastAsia="Times New Roman" w:cs="Arial"/>
          <w:color w:val="000000"/>
          <w:vertAlign w:val="subscript"/>
          <w:lang w:val="en-US"/>
        </w:rPr>
        <w:t>max</w:t>
      </w:r>
      <w:r w:rsidRPr="007F6EF6">
        <w:rPr>
          <w:rFonts w:eastAsia="Times New Roman" w:cs="Arial"/>
          <w:color w:val="000000"/>
          <w:lang w:eastAsia="bg-BG"/>
        </w:rPr>
        <w:t xml:space="preserve"> е почти 2-кратно по-висок отколкото при възрастни получавали таблетки от 10 </w:t>
      </w:r>
      <w:r w:rsidRPr="007F6EF6">
        <w:rPr>
          <w:rFonts w:eastAsia="Times New Roman" w:cs="Arial"/>
          <w:color w:val="000000"/>
          <w:lang w:val="en-US"/>
        </w:rPr>
        <w:t>mg</w:t>
      </w:r>
      <w:r w:rsidRPr="007F6EF6">
        <w:rPr>
          <w:rFonts w:eastAsia="Times New Roman" w:cs="Arial"/>
          <w:color w:val="000000"/>
          <w:lang w:val="ru-RU"/>
        </w:rPr>
        <w:t xml:space="preserve">. </w:t>
      </w:r>
      <w:r w:rsidRPr="007F6EF6">
        <w:rPr>
          <w:rFonts w:eastAsia="Times New Roman" w:cs="Arial"/>
          <w:color w:val="000000"/>
          <w:lang w:eastAsia="bg-BG"/>
        </w:rPr>
        <w:t xml:space="preserve">Едновременното приложение на ябълкова каша или стандартна храна богата на мазнини заедно с гранулите, не е имало клинично значим ефект върху фармакокинетиката на монтелукаст, опредена с </w:t>
      </w:r>
      <w:r w:rsidRPr="007F6EF6">
        <w:rPr>
          <w:rFonts w:eastAsia="Times New Roman" w:cs="Arial"/>
          <w:color w:val="000000"/>
          <w:lang w:val="en-US"/>
        </w:rPr>
        <w:t>AUC</w:t>
      </w:r>
      <w:r w:rsidRPr="007F6EF6">
        <w:rPr>
          <w:rFonts w:eastAsia="Times New Roman" w:cs="Arial"/>
          <w:color w:val="000000"/>
          <w:lang w:val="ru-RU"/>
        </w:rPr>
        <w:t xml:space="preserve"> </w:t>
      </w:r>
      <w:r w:rsidRPr="007F6EF6">
        <w:rPr>
          <w:rFonts w:eastAsia="Times New Roman" w:cs="Arial"/>
          <w:color w:val="000000"/>
          <w:lang w:eastAsia="bg-BG"/>
        </w:rPr>
        <w:t xml:space="preserve">(1225,7 спр. 1223,1 </w:t>
      </w:r>
      <w:r w:rsidRPr="007F6EF6">
        <w:rPr>
          <w:rFonts w:eastAsia="Times New Roman" w:cs="Arial"/>
          <w:color w:val="000000"/>
          <w:lang w:val="en-US"/>
        </w:rPr>
        <w:t>ng</w:t>
      </w:r>
      <w:r w:rsidRPr="007F6EF6">
        <w:rPr>
          <w:rFonts w:eastAsia="Times New Roman" w:cs="Arial"/>
          <w:color w:val="000000"/>
          <w:lang w:val="ru-RU"/>
        </w:rPr>
        <w:t>.</w:t>
      </w:r>
      <w:proofErr w:type="spellStart"/>
      <w:r w:rsidRPr="007F6EF6">
        <w:rPr>
          <w:rFonts w:eastAsia="Times New Roman" w:cs="Arial"/>
          <w:color w:val="000000"/>
          <w:lang w:val="en-US"/>
        </w:rPr>
        <w:t>hr</w:t>
      </w:r>
      <w:proofErr w:type="spellEnd"/>
      <w:r w:rsidRPr="007F6EF6">
        <w:rPr>
          <w:rFonts w:eastAsia="Times New Roman" w:cs="Arial"/>
          <w:color w:val="000000"/>
          <w:lang w:val="ru-RU"/>
        </w:rPr>
        <w:t>/</w:t>
      </w:r>
      <w:r w:rsidRPr="007F6EF6">
        <w:rPr>
          <w:rFonts w:eastAsia="Times New Roman" w:cs="Arial"/>
          <w:color w:val="000000"/>
          <w:lang w:val="en-US"/>
        </w:rPr>
        <w:t>mL</w:t>
      </w:r>
      <w:r w:rsidRPr="007F6EF6">
        <w:rPr>
          <w:rFonts w:eastAsia="Times New Roman" w:cs="Arial"/>
          <w:color w:val="000000"/>
          <w:lang w:val="ru-RU"/>
        </w:rPr>
        <w:t xml:space="preserve"> </w:t>
      </w:r>
      <w:r w:rsidRPr="007F6EF6">
        <w:rPr>
          <w:rFonts w:eastAsia="Times New Roman" w:cs="Arial"/>
          <w:color w:val="000000"/>
          <w:lang w:eastAsia="bg-BG"/>
        </w:rPr>
        <w:t xml:space="preserve">със и без ябълкова каша съответно и 1191,8 спр. 1148,5 </w:t>
      </w:r>
      <w:r w:rsidRPr="007F6EF6">
        <w:rPr>
          <w:rFonts w:eastAsia="Times New Roman" w:cs="Arial"/>
          <w:color w:val="000000"/>
          <w:lang w:val="en-US"/>
        </w:rPr>
        <w:t>ng</w:t>
      </w:r>
      <w:r w:rsidRPr="007F6EF6">
        <w:rPr>
          <w:rFonts w:eastAsia="Times New Roman" w:cs="Arial"/>
          <w:color w:val="000000"/>
          <w:lang w:val="ru-RU"/>
        </w:rPr>
        <w:t>.</w:t>
      </w:r>
      <w:proofErr w:type="spellStart"/>
      <w:r w:rsidRPr="007F6EF6">
        <w:rPr>
          <w:rFonts w:eastAsia="Times New Roman" w:cs="Arial"/>
          <w:color w:val="000000"/>
          <w:lang w:val="en-US"/>
        </w:rPr>
        <w:t>hr</w:t>
      </w:r>
      <w:proofErr w:type="spellEnd"/>
      <w:r w:rsidRPr="007F6EF6">
        <w:rPr>
          <w:rFonts w:eastAsia="Times New Roman" w:cs="Arial"/>
          <w:color w:val="000000"/>
          <w:lang w:val="ru-RU"/>
        </w:rPr>
        <w:t>/</w:t>
      </w:r>
      <w:r w:rsidRPr="007F6EF6">
        <w:rPr>
          <w:rFonts w:eastAsia="Times New Roman" w:cs="Arial"/>
          <w:color w:val="000000"/>
          <w:lang w:val="en-US"/>
        </w:rPr>
        <w:t>mL</w:t>
      </w:r>
      <w:r w:rsidRPr="007F6EF6">
        <w:rPr>
          <w:rFonts w:eastAsia="Times New Roman" w:cs="Arial"/>
          <w:color w:val="000000"/>
          <w:lang w:val="ru-RU"/>
        </w:rPr>
        <w:t xml:space="preserve"> </w:t>
      </w:r>
      <w:r w:rsidRPr="007F6EF6">
        <w:rPr>
          <w:rFonts w:eastAsia="Times New Roman" w:cs="Arial"/>
          <w:color w:val="000000"/>
          <w:lang w:eastAsia="bg-BG"/>
        </w:rPr>
        <w:t>със и без стандартна, богата на мазнини храна).</w:t>
      </w:r>
    </w:p>
    <w:p w14:paraId="6AC33A5E" w14:textId="77777777" w:rsidR="007F6EF6" w:rsidRPr="007F6EF6" w:rsidRDefault="007F6EF6" w:rsidP="007F6EF6">
      <w:pPr>
        <w:spacing w:line="240" w:lineRule="auto"/>
        <w:rPr>
          <w:rFonts w:eastAsia="Times New Roman" w:cs="Arial"/>
          <w:color w:val="000000"/>
          <w:u w:val="single"/>
          <w:lang w:eastAsia="bg-BG"/>
        </w:rPr>
      </w:pPr>
    </w:p>
    <w:p w14:paraId="60C74B8D" w14:textId="480E619A" w:rsidR="007F6EF6" w:rsidRPr="007F6EF6" w:rsidRDefault="007F6EF6" w:rsidP="007F6EF6">
      <w:pPr>
        <w:pStyle w:val="Heading3"/>
        <w:rPr>
          <w:rFonts w:eastAsia="Times New Roman"/>
          <w:u w:val="single"/>
        </w:rPr>
      </w:pPr>
      <w:r w:rsidRPr="007F6EF6">
        <w:rPr>
          <w:rFonts w:eastAsia="Times New Roman"/>
          <w:u w:val="single"/>
          <w:lang w:eastAsia="bg-BG"/>
        </w:rPr>
        <w:t>Разпределение</w:t>
      </w:r>
    </w:p>
    <w:p w14:paraId="58AA45E6" w14:textId="77777777" w:rsidR="007F6EF6" w:rsidRPr="007F6EF6" w:rsidRDefault="007F6EF6" w:rsidP="007F6EF6">
      <w:pPr>
        <w:spacing w:line="240" w:lineRule="auto"/>
        <w:rPr>
          <w:rFonts w:eastAsia="Times New Roman" w:cs="Arial"/>
        </w:rPr>
      </w:pPr>
      <w:r w:rsidRPr="007F6EF6">
        <w:rPr>
          <w:rFonts w:eastAsia="Times New Roman" w:cs="Arial"/>
          <w:color w:val="000000"/>
          <w:lang w:eastAsia="bg-BG"/>
        </w:rPr>
        <w:t xml:space="preserve">Монтелукаст се свързва в повече от 99% с плазмените протеини. Обемът на разпределение в стационарно състояние </w:t>
      </w:r>
      <w:r w:rsidRPr="007F6EF6">
        <w:rPr>
          <w:rFonts w:eastAsia="Times New Roman" w:cs="Arial"/>
          <w:i/>
          <w:iCs/>
          <w:color w:val="000000"/>
          <w:lang w:val="ru-RU"/>
        </w:rPr>
        <w:t>(</w:t>
      </w:r>
      <w:r w:rsidRPr="007F6EF6">
        <w:rPr>
          <w:rFonts w:eastAsia="Times New Roman" w:cs="Arial"/>
          <w:i/>
          <w:iCs/>
          <w:color w:val="000000"/>
          <w:lang w:val="en-US"/>
        </w:rPr>
        <w:t>steady</w:t>
      </w:r>
      <w:r w:rsidRPr="007F6EF6">
        <w:rPr>
          <w:rFonts w:eastAsia="Times New Roman" w:cs="Arial"/>
          <w:i/>
          <w:iCs/>
          <w:color w:val="000000"/>
          <w:lang w:val="ru-RU"/>
        </w:rPr>
        <w:t>-</w:t>
      </w:r>
      <w:r w:rsidRPr="007F6EF6">
        <w:rPr>
          <w:rFonts w:eastAsia="Times New Roman" w:cs="Arial"/>
          <w:i/>
          <w:iCs/>
          <w:color w:val="000000"/>
          <w:lang w:val="en-US"/>
        </w:rPr>
        <w:t>state</w:t>
      </w:r>
      <w:r w:rsidRPr="007F6EF6">
        <w:rPr>
          <w:rFonts w:eastAsia="Times New Roman" w:cs="Arial"/>
          <w:i/>
          <w:iCs/>
          <w:color w:val="000000"/>
          <w:lang w:val="ru-RU"/>
        </w:rPr>
        <w:t>)</w:t>
      </w:r>
      <w:r w:rsidRPr="007F6EF6">
        <w:rPr>
          <w:rFonts w:eastAsia="Times New Roman" w:cs="Arial"/>
          <w:color w:val="000000"/>
          <w:lang w:val="ru-RU"/>
        </w:rPr>
        <w:t xml:space="preserve"> </w:t>
      </w:r>
      <w:r w:rsidRPr="007F6EF6">
        <w:rPr>
          <w:rFonts w:eastAsia="Times New Roman" w:cs="Arial"/>
          <w:color w:val="000000"/>
          <w:lang w:eastAsia="bg-BG"/>
        </w:rPr>
        <w:t>достига 8-11 литра. Проучвания проведени при плъхове с радиомаркиран монтелукаст са показали минимално преминаване на кръвно-мозъчната бариера. Освен това, концентрациите на радиомаркирания материал на 24-тия час след дозата са минимални и във всички други тъкани.</w:t>
      </w:r>
    </w:p>
    <w:p w14:paraId="31D492F3" w14:textId="77777777" w:rsidR="007F6EF6" w:rsidRPr="007F6EF6" w:rsidRDefault="007F6EF6" w:rsidP="007F6EF6">
      <w:pPr>
        <w:spacing w:line="240" w:lineRule="auto"/>
        <w:rPr>
          <w:rFonts w:eastAsia="Times New Roman" w:cs="Arial"/>
          <w:color w:val="000000"/>
          <w:u w:val="single"/>
          <w:lang w:eastAsia="bg-BG"/>
        </w:rPr>
      </w:pPr>
    </w:p>
    <w:p w14:paraId="1748750E" w14:textId="5EA317CA" w:rsidR="007F6EF6" w:rsidRPr="007F6EF6" w:rsidRDefault="007F6EF6" w:rsidP="007F6EF6">
      <w:pPr>
        <w:pStyle w:val="Heading3"/>
        <w:rPr>
          <w:rFonts w:eastAsia="Times New Roman"/>
          <w:u w:val="single"/>
        </w:rPr>
      </w:pPr>
      <w:r w:rsidRPr="007F6EF6">
        <w:rPr>
          <w:rFonts w:eastAsia="Times New Roman"/>
          <w:u w:val="single"/>
          <w:lang w:eastAsia="bg-BG"/>
        </w:rPr>
        <w:t>Биотрансформация</w:t>
      </w:r>
    </w:p>
    <w:p w14:paraId="51BF4E29" w14:textId="77777777" w:rsidR="007F6EF6" w:rsidRPr="007F6EF6" w:rsidRDefault="007F6EF6" w:rsidP="007F6EF6">
      <w:pPr>
        <w:spacing w:line="240" w:lineRule="auto"/>
        <w:rPr>
          <w:rFonts w:eastAsia="Times New Roman" w:cs="Arial"/>
        </w:rPr>
      </w:pPr>
      <w:r w:rsidRPr="007F6EF6">
        <w:rPr>
          <w:rFonts w:eastAsia="Times New Roman" w:cs="Arial"/>
          <w:color w:val="000000"/>
          <w:lang w:eastAsia="bg-BG"/>
        </w:rPr>
        <w:t>Монтелукаст се метаболизира в голяма степен. В проучвания с терапевтични дози, плазмените концентрации на метаболитите на монтелукаст при възрастни и деца в стационарно състояние не може да бъдат измерени.</w:t>
      </w:r>
    </w:p>
    <w:p w14:paraId="4830188C" w14:textId="77777777" w:rsidR="007F6EF6" w:rsidRPr="007F6EF6" w:rsidRDefault="007F6EF6" w:rsidP="007F6EF6">
      <w:pPr>
        <w:spacing w:line="240" w:lineRule="auto"/>
        <w:rPr>
          <w:rFonts w:eastAsia="Times New Roman" w:cs="Arial"/>
          <w:color w:val="000000"/>
          <w:lang w:eastAsia="bg-BG"/>
        </w:rPr>
      </w:pPr>
    </w:p>
    <w:p w14:paraId="33265DF3" w14:textId="431643B4" w:rsidR="007F6EF6" w:rsidRPr="007F6EF6" w:rsidRDefault="007F6EF6" w:rsidP="007F6EF6">
      <w:pPr>
        <w:spacing w:line="240" w:lineRule="auto"/>
        <w:rPr>
          <w:rFonts w:eastAsia="Times New Roman" w:cs="Arial"/>
        </w:rPr>
      </w:pPr>
      <w:r w:rsidRPr="007F6EF6">
        <w:rPr>
          <w:rFonts w:eastAsia="Times New Roman" w:cs="Arial"/>
          <w:color w:val="000000"/>
          <w:lang w:eastAsia="bg-BG"/>
        </w:rPr>
        <w:t xml:space="preserve">Цитохром Р450 2С8 е основният ензим в метаболизма на монтелукаст. Освен това </w:t>
      </w:r>
      <w:r w:rsidRPr="007F6EF6">
        <w:rPr>
          <w:rFonts w:eastAsia="Times New Roman" w:cs="Arial"/>
          <w:color w:val="000000"/>
          <w:lang w:val="en-US"/>
        </w:rPr>
        <w:t>CYP</w:t>
      </w:r>
      <w:r w:rsidRPr="007F6EF6">
        <w:rPr>
          <w:rFonts w:eastAsia="Times New Roman" w:cs="Arial"/>
          <w:color w:val="000000"/>
          <w:lang w:val="ru-RU"/>
        </w:rPr>
        <w:t xml:space="preserve"> </w:t>
      </w:r>
      <w:r w:rsidRPr="007F6EF6">
        <w:rPr>
          <w:rFonts w:eastAsia="Times New Roman" w:cs="Arial"/>
          <w:color w:val="000000"/>
          <w:lang w:eastAsia="bg-BG"/>
        </w:rPr>
        <w:t xml:space="preserve">ЗА4 и 2С9 могат да имат незначителен принос, въпреки че е доказано, че итраконазол, който е инхибитор на </w:t>
      </w:r>
      <w:r w:rsidRPr="007F6EF6">
        <w:rPr>
          <w:rFonts w:eastAsia="Times New Roman" w:cs="Arial"/>
          <w:color w:val="000000"/>
          <w:lang w:val="en-US"/>
        </w:rPr>
        <w:t>CYP</w:t>
      </w:r>
      <w:r w:rsidRPr="007F6EF6">
        <w:rPr>
          <w:rFonts w:eastAsia="Times New Roman" w:cs="Arial"/>
          <w:color w:val="000000"/>
          <w:lang w:val="ru-RU"/>
        </w:rPr>
        <w:t xml:space="preserve"> </w:t>
      </w:r>
      <w:r w:rsidRPr="007F6EF6">
        <w:rPr>
          <w:rFonts w:eastAsia="Times New Roman" w:cs="Arial"/>
          <w:color w:val="000000"/>
          <w:lang w:eastAsia="bg-BG"/>
        </w:rPr>
        <w:t xml:space="preserve">ЗА4 не променя фармакокинетичните параметри на монтелукаст при здрави индивиди, които са приемали 10 </w:t>
      </w:r>
      <w:r w:rsidRPr="007F6EF6">
        <w:rPr>
          <w:rFonts w:eastAsia="Times New Roman" w:cs="Arial"/>
          <w:color w:val="000000"/>
          <w:lang w:val="en-US"/>
        </w:rPr>
        <w:t>mg</w:t>
      </w:r>
      <w:r w:rsidRPr="007F6EF6">
        <w:rPr>
          <w:rFonts w:eastAsia="Times New Roman" w:cs="Arial"/>
          <w:color w:val="000000"/>
          <w:lang w:val="ru-RU"/>
        </w:rPr>
        <w:t xml:space="preserve"> </w:t>
      </w:r>
      <w:r w:rsidRPr="007F6EF6">
        <w:rPr>
          <w:rFonts w:eastAsia="Times New Roman" w:cs="Arial"/>
          <w:color w:val="000000"/>
          <w:lang w:eastAsia="bg-BG"/>
        </w:rPr>
        <w:t xml:space="preserve">монтелукаст дневно. Въз основа на </w:t>
      </w:r>
      <w:r w:rsidRPr="007F6EF6">
        <w:rPr>
          <w:rFonts w:eastAsia="Times New Roman" w:cs="Arial"/>
          <w:i/>
          <w:iCs/>
          <w:color w:val="000000"/>
          <w:lang w:val="en-US"/>
        </w:rPr>
        <w:t>in</w:t>
      </w:r>
      <w:r w:rsidRPr="007F6EF6">
        <w:rPr>
          <w:rFonts w:eastAsia="Times New Roman" w:cs="Arial"/>
          <w:i/>
          <w:iCs/>
          <w:color w:val="000000"/>
          <w:lang w:val="ru-RU"/>
        </w:rPr>
        <w:t xml:space="preserve"> </w:t>
      </w:r>
      <w:r w:rsidRPr="007F6EF6">
        <w:rPr>
          <w:rFonts w:eastAsia="Times New Roman" w:cs="Arial"/>
          <w:i/>
          <w:iCs/>
          <w:color w:val="000000"/>
          <w:lang w:val="en-US"/>
        </w:rPr>
        <w:t>vitro</w:t>
      </w:r>
      <w:r w:rsidRPr="007F6EF6">
        <w:rPr>
          <w:rFonts w:eastAsia="Times New Roman" w:cs="Arial"/>
          <w:color w:val="000000"/>
          <w:lang w:val="ru-RU"/>
        </w:rPr>
        <w:t xml:space="preserve"> </w:t>
      </w:r>
      <w:r w:rsidRPr="007F6EF6">
        <w:rPr>
          <w:rFonts w:eastAsia="Times New Roman" w:cs="Arial"/>
          <w:color w:val="000000"/>
          <w:lang w:eastAsia="bg-BG"/>
        </w:rPr>
        <w:t>резултати в човешки чернодробни микрозоми е установено, че терапевтичната плазмена концентрация на монтелукаст не инхибира цитохроми Р450 ЗА4,</w:t>
      </w:r>
      <w:r w:rsidRPr="007F6EF6">
        <w:rPr>
          <w:rFonts w:eastAsia="Times New Roman" w:cs="Arial"/>
          <w:color w:val="000000"/>
          <w:lang w:val="ru-RU"/>
        </w:rPr>
        <w:t xml:space="preserve"> </w:t>
      </w:r>
      <w:r w:rsidRPr="007F6EF6">
        <w:rPr>
          <w:rFonts w:eastAsia="Times New Roman" w:cs="Arial"/>
          <w:color w:val="000000"/>
          <w:lang w:eastAsia="bg-BG"/>
        </w:rPr>
        <w:t>2С9,</w:t>
      </w:r>
      <w:r w:rsidRPr="007F6EF6">
        <w:rPr>
          <w:rFonts w:eastAsia="Times New Roman" w:cs="Arial"/>
          <w:color w:val="000000"/>
          <w:lang w:val="ru-RU"/>
        </w:rPr>
        <w:t xml:space="preserve"> </w:t>
      </w:r>
      <w:r w:rsidRPr="007F6EF6">
        <w:rPr>
          <w:rFonts w:eastAsia="Times New Roman" w:cs="Arial"/>
          <w:color w:val="000000"/>
          <w:lang w:eastAsia="bg-BG"/>
        </w:rPr>
        <w:t>1А2,</w:t>
      </w:r>
      <w:r w:rsidRPr="007F6EF6">
        <w:rPr>
          <w:rFonts w:eastAsia="Times New Roman" w:cs="Arial"/>
          <w:color w:val="000000"/>
          <w:lang w:val="ru-RU"/>
        </w:rPr>
        <w:t xml:space="preserve"> </w:t>
      </w:r>
      <w:r w:rsidRPr="007F6EF6">
        <w:rPr>
          <w:rFonts w:eastAsia="Times New Roman" w:cs="Arial"/>
          <w:color w:val="000000"/>
          <w:lang w:eastAsia="bg-BG"/>
        </w:rPr>
        <w:t>2А6,</w:t>
      </w:r>
      <w:r w:rsidRPr="007F6EF6">
        <w:rPr>
          <w:rFonts w:eastAsia="Times New Roman" w:cs="Arial"/>
          <w:color w:val="000000"/>
          <w:lang w:val="ru-RU"/>
        </w:rPr>
        <w:t xml:space="preserve"> </w:t>
      </w:r>
      <w:r w:rsidRPr="007F6EF6">
        <w:rPr>
          <w:rFonts w:eastAsia="Times New Roman" w:cs="Arial"/>
          <w:color w:val="000000"/>
          <w:lang w:eastAsia="bg-BG"/>
        </w:rPr>
        <w:t xml:space="preserve">2С19 или </w:t>
      </w:r>
      <w:r w:rsidRPr="007F6EF6">
        <w:rPr>
          <w:rFonts w:eastAsia="Times New Roman" w:cs="Arial"/>
          <w:color w:val="000000"/>
          <w:lang w:val="ru-RU"/>
        </w:rPr>
        <w:t>2</w:t>
      </w:r>
      <w:r w:rsidRPr="007F6EF6">
        <w:rPr>
          <w:rFonts w:eastAsia="Times New Roman" w:cs="Arial"/>
          <w:color w:val="000000"/>
          <w:lang w:val="en-US"/>
        </w:rPr>
        <w:t>D</w:t>
      </w:r>
      <w:r w:rsidRPr="007F6EF6">
        <w:rPr>
          <w:rFonts w:eastAsia="Times New Roman" w:cs="Arial"/>
          <w:color w:val="000000"/>
          <w:lang w:val="ru-RU"/>
        </w:rPr>
        <w:t xml:space="preserve">6. </w:t>
      </w:r>
      <w:r w:rsidRPr="007F6EF6">
        <w:rPr>
          <w:rFonts w:eastAsia="Times New Roman" w:cs="Arial"/>
          <w:color w:val="000000"/>
          <w:lang w:eastAsia="bg-BG"/>
        </w:rPr>
        <w:t>Приносът на метаболитите за терапевтичния ефект на монтелукаст е минимален.</w:t>
      </w:r>
    </w:p>
    <w:p w14:paraId="12EEA601" w14:textId="77777777" w:rsidR="007F6EF6" w:rsidRPr="007F6EF6" w:rsidRDefault="007F6EF6" w:rsidP="007F6EF6">
      <w:pPr>
        <w:spacing w:line="240" w:lineRule="auto"/>
        <w:rPr>
          <w:rFonts w:eastAsia="Times New Roman" w:cs="Arial"/>
          <w:color w:val="000000"/>
          <w:u w:val="single"/>
          <w:lang w:eastAsia="bg-BG"/>
        </w:rPr>
      </w:pPr>
    </w:p>
    <w:p w14:paraId="61EF120F" w14:textId="782A89A0" w:rsidR="007F6EF6" w:rsidRPr="007F6EF6" w:rsidRDefault="007F6EF6" w:rsidP="007F6EF6">
      <w:pPr>
        <w:pStyle w:val="Heading3"/>
        <w:rPr>
          <w:rFonts w:eastAsia="Times New Roman"/>
          <w:u w:val="single"/>
        </w:rPr>
      </w:pPr>
      <w:r w:rsidRPr="007F6EF6">
        <w:rPr>
          <w:rFonts w:eastAsia="Times New Roman"/>
          <w:u w:val="single"/>
          <w:lang w:eastAsia="bg-BG"/>
        </w:rPr>
        <w:t>Елиминиране</w:t>
      </w:r>
    </w:p>
    <w:p w14:paraId="2B94C109" w14:textId="77777777" w:rsidR="007F6EF6" w:rsidRPr="007F6EF6" w:rsidRDefault="007F6EF6" w:rsidP="007F6EF6">
      <w:pPr>
        <w:spacing w:line="240" w:lineRule="auto"/>
        <w:rPr>
          <w:rFonts w:eastAsia="Times New Roman" w:cs="Arial"/>
        </w:rPr>
      </w:pPr>
      <w:r w:rsidRPr="007F6EF6">
        <w:rPr>
          <w:rFonts w:eastAsia="Times New Roman" w:cs="Arial"/>
          <w:color w:val="000000"/>
          <w:lang w:eastAsia="bg-BG"/>
        </w:rPr>
        <w:t xml:space="preserve">При здрави възрастни индивиди, плазменият клирънс на монтелукаст е средно 45 </w:t>
      </w:r>
      <w:r w:rsidRPr="007F6EF6">
        <w:rPr>
          <w:rFonts w:eastAsia="Times New Roman" w:cs="Arial"/>
          <w:color w:val="000000"/>
          <w:lang w:val="en-US"/>
        </w:rPr>
        <w:t>ml</w:t>
      </w:r>
      <w:r w:rsidRPr="007F6EF6">
        <w:rPr>
          <w:rFonts w:eastAsia="Times New Roman" w:cs="Arial"/>
          <w:color w:val="000000"/>
          <w:lang w:val="ru-RU"/>
        </w:rPr>
        <w:t>/</w:t>
      </w:r>
      <w:r w:rsidRPr="007F6EF6">
        <w:rPr>
          <w:rFonts w:eastAsia="Times New Roman" w:cs="Arial"/>
          <w:color w:val="000000"/>
          <w:lang w:val="en-US"/>
        </w:rPr>
        <w:t>min</w:t>
      </w:r>
      <w:r w:rsidRPr="007F6EF6">
        <w:rPr>
          <w:rFonts w:eastAsia="Times New Roman" w:cs="Arial"/>
          <w:color w:val="000000"/>
          <w:lang w:val="ru-RU"/>
        </w:rPr>
        <w:t xml:space="preserve">. </w:t>
      </w:r>
      <w:r w:rsidRPr="007F6EF6">
        <w:rPr>
          <w:rFonts w:eastAsia="Times New Roman" w:cs="Arial"/>
          <w:color w:val="000000"/>
          <w:lang w:eastAsia="bg-BG"/>
        </w:rPr>
        <w:t>След перорална доза на радиомаркиран монтелукаст, 86% от радиоактивността е открита в изпражненията на 5-тия ден и &lt;0,2% в урината. Това заедно с определената перорална бионаличност показва, че монтелукаст и метаболитите му се екскретират основно през жлъчката.</w:t>
      </w:r>
    </w:p>
    <w:p w14:paraId="4140DAA7" w14:textId="77777777" w:rsidR="007F6EF6" w:rsidRPr="007F6EF6" w:rsidRDefault="007F6EF6" w:rsidP="007F6EF6">
      <w:pPr>
        <w:spacing w:line="240" w:lineRule="auto"/>
        <w:rPr>
          <w:rFonts w:eastAsia="Times New Roman" w:cs="Arial"/>
          <w:color w:val="000000"/>
          <w:u w:val="single"/>
          <w:lang w:eastAsia="bg-BG"/>
        </w:rPr>
      </w:pPr>
    </w:p>
    <w:p w14:paraId="04BE4C37" w14:textId="686336F9" w:rsidR="007F6EF6" w:rsidRPr="007F6EF6" w:rsidRDefault="007F6EF6" w:rsidP="007F6EF6">
      <w:pPr>
        <w:pStyle w:val="Heading3"/>
        <w:rPr>
          <w:rFonts w:eastAsia="Times New Roman"/>
          <w:u w:val="single"/>
        </w:rPr>
      </w:pPr>
      <w:r w:rsidRPr="007F6EF6">
        <w:rPr>
          <w:rFonts w:eastAsia="Times New Roman"/>
          <w:u w:val="single"/>
          <w:lang w:eastAsia="bg-BG"/>
        </w:rPr>
        <w:t>Специфични групи пациенти</w:t>
      </w:r>
    </w:p>
    <w:p w14:paraId="137E9A92" w14:textId="77777777" w:rsidR="007F6EF6" w:rsidRPr="007F6EF6" w:rsidRDefault="007F6EF6" w:rsidP="007F6EF6">
      <w:pPr>
        <w:spacing w:line="240" w:lineRule="auto"/>
        <w:rPr>
          <w:rFonts w:eastAsia="Times New Roman" w:cs="Arial"/>
        </w:rPr>
      </w:pPr>
      <w:r w:rsidRPr="007F6EF6">
        <w:rPr>
          <w:rFonts w:eastAsia="Times New Roman" w:cs="Arial"/>
          <w:color w:val="000000"/>
          <w:lang w:eastAsia="bg-BG"/>
        </w:rPr>
        <w:t xml:space="preserve">Не се налага корекция на дозата при пациенти в старческа възраст или лека до умерено тежка чернодробна недостатъчност. Не са провеждани проучвания при пациенти с бъбречна недостатъчност. Тъй като монтелукаст и метаболитите му се елиминират през жлъчните пътища, не се налага адаптиране на дозата при пациенти с бъбречни увреждания. Няма данни за фармакокинетиката на монтелукаст при пациенти с тежка чернодробна недостатъчност </w:t>
      </w:r>
      <w:r w:rsidRPr="007F6EF6">
        <w:rPr>
          <w:rFonts w:eastAsia="Times New Roman" w:cs="Arial"/>
          <w:color w:val="000000"/>
          <w:lang w:val="ru-RU"/>
        </w:rPr>
        <w:t>(</w:t>
      </w:r>
      <w:r w:rsidRPr="007F6EF6">
        <w:rPr>
          <w:rFonts w:eastAsia="Times New Roman" w:cs="Arial"/>
          <w:color w:val="000000"/>
          <w:lang w:val="en-US"/>
        </w:rPr>
        <w:t>Child</w:t>
      </w:r>
      <w:r w:rsidRPr="007F6EF6">
        <w:rPr>
          <w:rFonts w:eastAsia="Times New Roman" w:cs="Arial"/>
          <w:color w:val="000000"/>
          <w:lang w:val="ru-RU"/>
        </w:rPr>
        <w:t xml:space="preserve">- </w:t>
      </w:r>
      <w:r w:rsidRPr="007F6EF6">
        <w:rPr>
          <w:rFonts w:eastAsia="Times New Roman" w:cs="Arial"/>
          <w:color w:val="000000"/>
          <w:lang w:val="en-US"/>
        </w:rPr>
        <w:t>Pugh</w:t>
      </w:r>
      <w:r w:rsidRPr="007F6EF6">
        <w:rPr>
          <w:rFonts w:eastAsia="Times New Roman" w:cs="Arial"/>
          <w:color w:val="000000"/>
          <w:lang w:val="ru-RU"/>
        </w:rPr>
        <w:t xml:space="preserve"> </w:t>
      </w:r>
      <w:r w:rsidRPr="007F6EF6">
        <w:rPr>
          <w:rFonts w:eastAsia="Times New Roman" w:cs="Arial"/>
          <w:color w:val="000000"/>
          <w:lang w:eastAsia="bg-BG"/>
        </w:rPr>
        <w:t>степен &gt; 9).</w:t>
      </w:r>
    </w:p>
    <w:p w14:paraId="5BA943C2" w14:textId="77777777" w:rsidR="007F6EF6" w:rsidRPr="007F6EF6" w:rsidRDefault="007F6EF6" w:rsidP="007F6EF6">
      <w:pPr>
        <w:rPr>
          <w:rFonts w:eastAsia="Times New Roman" w:cs="Arial"/>
          <w:color w:val="000000"/>
          <w:lang w:eastAsia="bg-BG"/>
        </w:rPr>
      </w:pPr>
    </w:p>
    <w:p w14:paraId="683751F7" w14:textId="079946EA" w:rsidR="007F6EF6" w:rsidRPr="007F6EF6" w:rsidRDefault="007F6EF6" w:rsidP="007F6EF6">
      <w:pPr>
        <w:rPr>
          <w:rFonts w:eastAsia="Times New Roman" w:cs="Arial"/>
          <w:color w:val="000000"/>
          <w:lang w:eastAsia="bg-BG"/>
        </w:rPr>
      </w:pPr>
      <w:r w:rsidRPr="007F6EF6">
        <w:rPr>
          <w:rFonts w:eastAsia="Times New Roman" w:cs="Arial"/>
          <w:color w:val="000000"/>
          <w:lang w:eastAsia="bg-BG"/>
        </w:rPr>
        <w:t xml:space="preserve">При високи дози монтелукаст (20 и 60 пъти над препоръчаната доза за възрастни) се наблюдава понижение на плазмената концентрация на теофилин. Този ефект не се наблюдава при препоръчваната доза от 10 </w:t>
      </w:r>
      <w:r w:rsidRPr="007F6EF6">
        <w:rPr>
          <w:rFonts w:eastAsia="Times New Roman" w:cs="Arial"/>
          <w:color w:val="000000"/>
          <w:lang w:val="en-US"/>
        </w:rPr>
        <w:t>mg</w:t>
      </w:r>
      <w:r w:rsidRPr="007F6EF6">
        <w:rPr>
          <w:rFonts w:eastAsia="Times New Roman" w:cs="Arial"/>
          <w:color w:val="000000"/>
          <w:lang w:val="ru-RU"/>
        </w:rPr>
        <w:t xml:space="preserve"> </w:t>
      </w:r>
      <w:r w:rsidRPr="007F6EF6">
        <w:rPr>
          <w:rFonts w:eastAsia="Times New Roman" w:cs="Arial"/>
          <w:color w:val="000000"/>
          <w:lang w:eastAsia="bg-BG"/>
        </w:rPr>
        <w:t>веднъж дневно.</w:t>
      </w:r>
    </w:p>
    <w:p w14:paraId="1E4245E4" w14:textId="77777777" w:rsidR="007F6EF6" w:rsidRPr="007F6EF6" w:rsidRDefault="007F6EF6" w:rsidP="007F6EF6"/>
    <w:p w14:paraId="4FB791BE" w14:textId="4DCE88A9" w:rsidR="00B6672E" w:rsidRDefault="002C50EE" w:rsidP="00936AD0">
      <w:pPr>
        <w:pStyle w:val="Heading2"/>
      </w:pPr>
      <w:r>
        <w:t>5.3. Предклинични данни за безопасност</w:t>
      </w:r>
    </w:p>
    <w:p w14:paraId="075DA220" w14:textId="2E215A3A" w:rsidR="007F6EF6" w:rsidRDefault="007F6EF6" w:rsidP="007F6EF6"/>
    <w:p w14:paraId="5455AD50" w14:textId="77777777" w:rsidR="007F6EF6" w:rsidRPr="007F6EF6" w:rsidRDefault="007F6EF6" w:rsidP="007F6EF6">
      <w:pPr>
        <w:spacing w:line="240" w:lineRule="auto"/>
        <w:rPr>
          <w:rFonts w:eastAsia="Times New Roman" w:cs="Arial"/>
          <w:sz w:val="28"/>
          <w:szCs w:val="24"/>
        </w:rPr>
      </w:pPr>
      <w:r w:rsidRPr="007F6EF6">
        <w:rPr>
          <w:rFonts w:eastAsia="Times New Roman" w:cs="Arial"/>
          <w:color w:val="000000"/>
          <w:szCs w:val="20"/>
          <w:lang w:eastAsia="bg-BG"/>
        </w:rPr>
        <w:t xml:space="preserve">В проучвания за токсичност провеждани при животни са наблюдавани минимални биохимични промени в </w:t>
      </w:r>
      <w:r w:rsidRPr="007F6EF6">
        <w:rPr>
          <w:rFonts w:eastAsia="Times New Roman" w:cs="Arial"/>
          <w:color w:val="000000"/>
          <w:szCs w:val="20"/>
          <w:lang w:val="en-US"/>
        </w:rPr>
        <w:t>ALT</w:t>
      </w:r>
      <w:r w:rsidRPr="007F6EF6">
        <w:rPr>
          <w:rFonts w:eastAsia="Times New Roman" w:cs="Arial"/>
          <w:color w:val="000000"/>
          <w:szCs w:val="20"/>
          <w:lang w:val="ru-RU"/>
        </w:rPr>
        <w:t xml:space="preserve">, </w:t>
      </w:r>
      <w:r w:rsidRPr="007F6EF6">
        <w:rPr>
          <w:rFonts w:eastAsia="Times New Roman" w:cs="Arial"/>
          <w:color w:val="000000"/>
          <w:szCs w:val="20"/>
          <w:lang w:eastAsia="bg-BG"/>
        </w:rPr>
        <w:t>глюкозата, фосфора и триглицеридите, преходни по своята характеристика. Проявите на токсичност при животните са били хиперсаливация, гастроинтестинални симптоми, редки изпражнения и йонен дисбаланс. Те са наблюдавани при дози 17 пъти по- високи от клиничните.</w:t>
      </w:r>
    </w:p>
    <w:p w14:paraId="2A772299" w14:textId="77777777" w:rsidR="007F6EF6" w:rsidRPr="007F6EF6" w:rsidRDefault="007F6EF6" w:rsidP="007F6EF6">
      <w:pPr>
        <w:spacing w:line="240" w:lineRule="auto"/>
        <w:rPr>
          <w:rFonts w:eastAsia="Times New Roman" w:cs="Arial"/>
          <w:color w:val="000000"/>
          <w:szCs w:val="20"/>
          <w:lang w:eastAsia="bg-BG"/>
        </w:rPr>
      </w:pPr>
    </w:p>
    <w:p w14:paraId="387928F7" w14:textId="77777777" w:rsidR="007F6EF6" w:rsidRPr="007F6EF6" w:rsidRDefault="007F6EF6" w:rsidP="007F6EF6">
      <w:pPr>
        <w:rPr>
          <w:rFonts w:eastAsia="Times New Roman" w:cs="Arial"/>
          <w:sz w:val="28"/>
          <w:szCs w:val="24"/>
        </w:rPr>
      </w:pPr>
      <w:r w:rsidRPr="007F6EF6">
        <w:rPr>
          <w:rFonts w:eastAsia="Times New Roman" w:cs="Arial"/>
          <w:color w:val="000000"/>
          <w:szCs w:val="20"/>
          <w:lang w:eastAsia="bg-BG"/>
        </w:rPr>
        <w:t xml:space="preserve">При маймуни нежеланите ефекти са се появили при дози от 150 </w:t>
      </w:r>
      <w:r w:rsidRPr="007F6EF6">
        <w:rPr>
          <w:rFonts w:eastAsia="Times New Roman" w:cs="Arial"/>
          <w:color w:val="000000"/>
          <w:szCs w:val="20"/>
          <w:lang w:val="en-US"/>
        </w:rPr>
        <w:t>mg</w:t>
      </w:r>
      <w:r w:rsidRPr="007F6EF6">
        <w:rPr>
          <w:rFonts w:eastAsia="Times New Roman" w:cs="Arial"/>
          <w:color w:val="000000"/>
          <w:szCs w:val="20"/>
          <w:lang w:val="ru-RU"/>
        </w:rPr>
        <w:t>/</w:t>
      </w:r>
      <w:r w:rsidRPr="007F6EF6">
        <w:rPr>
          <w:rFonts w:eastAsia="Times New Roman" w:cs="Arial"/>
          <w:color w:val="000000"/>
          <w:szCs w:val="20"/>
          <w:lang w:val="en-US"/>
        </w:rPr>
        <w:t>kg</w:t>
      </w:r>
      <w:r w:rsidRPr="007F6EF6">
        <w:rPr>
          <w:rFonts w:eastAsia="Times New Roman" w:cs="Arial"/>
          <w:color w:val="000000"/>
          <w:szCs w:val="20"/>
          <w:lang w:val="ru-RU"/>
        </w:rPr>
        <w:t xml:space="preserve"> </w:t>
      </w:r>
      <w:r w:rsidRPr="007F6EF6">
        <w:rPr>
          <w:rFonts w:eastAsia="Times New Roman" w:cs="Arial"/>
          <w:color w:val="000000"/>
          <w:szCs w:val="20"/>
          <w:lang w:eastAsia="bg-BG"/>
        </w:rPr>
        <w:t>телесно</w:t>
      </w:r>
      <w:r w:rsidRPr="007F6EF6">
        <w:rPr>
          <w:rFonts w:eastAsia="Times New Roman" w:cs="Arial"/>
          <w:color w:val="000000"/>
          <w:szCs w:val="20"/>
          <w:lang w:val="ru-RU"/>
        </w:rPr>
        <w:t xml:space="preserve"> </w:t>
      </w:r>
      <w:r w:rsidRPr="007F6EF6">
        <w:rPr>
          <w:rFonts w:eastAsia="Times New Roman" w:cs="Arial"/>
          <w:color w:val="000000"/>
          <w:szCs w:val="20"/>
          <w:lang w:eastAsia="bg-BG"/>
        </w:rPr>
        <w:t>тегло дневно (&gt;232 пъти над системната експозиция, наблюдавана при клинични дози). В проучваният при животни монтелукаст не е повлиял фертилитета или репродуктивните възможности при системна експозиция, по-висока от клинична системна експозиция повече от 24-пъти. В едно</w:t>
      </w:r>
      <w:r w:rsidRPr="007F6EF6">
        <w:rPr>
          <w:rFonts w:eastAsia="Times New Roman" w:cs="Arial"/>
          <w:sz w:val="28"/>
          <w:szCs w:val="24"/>
        </w:rPr>
        <w:t xml:space="preserve"> </w:t>
      </w:r>
      <w:r w:rsidRPr="007F6EF6">
        <w:rPr>
          <w:rFonts w:eastAsia="Times New Roman" w:cs="Arial"/>
          <w:color w:val="000000"/>
          <w:szCs w:val="20"/>
          <w:lang w:eastAsia="bg-BG"/>
        </w:rPr>
        <w:t xml:space="preserve">проучване на женския фертилитет при плъхове с доза 200 </w:t>
      </w:r>
      <w:r w:rsidRPr="007F6EF6">
        <w:rPr>
          <w:rFonts w:eastAsia="Times New Roman" w:cs="Arial"/>
          <w:color w:val="000000"/>
          <w:szCs w:val="20"/>
          <w:lang w:val="en-US"/>
        </w:rPr>
        <w:t>mg</w:t>
      </w:r>
      <w:r w:rsidRPr="007F6EF6">
        <w:rPr>
          <w:rFonts w:eastAsia="Times New Roman" w:cs="Arial"/>
          <w:color w:val="000000"/>
          <w:szCs w:val="20"/>
          <w:lang w:val="ru-RU"/>
        </w:rPr>
        <w:t>/</w:t>
      </w:r>
      <w:r w:rsidRPr="007F6EF6">
        <w:rPr>
          <w:rFonts w:eastAsia="Times New Roman" w:cs="Arial"/>
          <w:color w:val="000000"/>
          <w:szCs w:val="20"/>
          <w:lang w:val="en-US"/>
        </w:rPr>
        <w:t>kg</w:t>
      </w:r>
      <w:r w:rsidRPr="007F6EF6">
        <w:rPr>
          <w:rFonts w:eastAsia="Times New Roman" w:cs="Arial"/>
          <w:color w:val="000000"/>
          <w:szCs w:val="20"/>
          <w:lang w:val="ru-RU"/>
        </w:rPr>
        <w:t xml:space="preserve"> </w:t>
      </w:r>
      <w:r w:rsidRPr="007F6EF6">
        <w:rPr>
          <w:rFonts w:eastAsia="Times New Roman" w:cs="Arial"/>
          <w:color w:val="000000"/>
          <w:szCs w:val="20"/>
          <w:lang w:eastAsia="bg-BG"/>
        </w:rPr>
        <w:t>телесно тегло дневно (&gt; 69 пъти над системната клинична експозиция) е било отбелязано леко намаление на телесното тегло на малките. В проучвания при зайци е била установена по-висока честота на незавършена осификация в сравнение с контролните животни, при системна експозиция над 24-пъти по- висока от клиничната. При плъхове не са били наблюдавани аномалии. Установено е, че монтелукаст преминава плацентарната бариера и се екскретира в кърмата на животните.</w:t>
      </w:r>
    </w:p>
    <w:p w14:paraId="247B1F1D" w14:textId="77777777" w:rsidR="007F6EF6" w:rsidRPr="007F6EF6" w:rsidRDefault="007F6EF6" w:rsidP="007F6EF6">
      <w:pPr>
        <w:spacing w:line="240" w:lineRule="auto"/>
        <w:rPr>
          <w:rFonts w:eastAsia="Times New Roman" w:cs="Arial"/>
          <w:color w:val="000000"/>
          <w:szCs w:val="20"/>
          <w:lang w:eastAsia="bg-BG"/>
        </w:rPr>
      </w:pPr>
    </w:p>
    <w:p w14:paraId="1B2551B7" w14:textId="3A9941B9" w:rsidR="007F6EF6" w:rsidRPr="007F6EF6" w:rsidRDefault="007F6EF6" w:rsidP="007F6EF6">
      <w:pPr>
        <w:spacing w:line="240" w:lineRule="auto"/>
        <w:rPr>
          <w:rFonts w:eastAsia="Times New Roman" w:cs="Arial"/>
          <w:sz w:val="28"/>
          <w:szCs w:val="24"/>
        </w:rPr>
      </w:pPr>
      <w:r w:rsidRPr="007F6EF6">
        <w:rPr>
          <w:rFonts w:eastAsia="Times New Roman" w:cs="Arial"/>
          <w:color w:val="000000"/>
          <w:szCs w:val="20"/>
          <w:lang w:eastAsia="bg-BG"/>
        </w:rPr>
        <w:t xml:space="preserve">При еднократен перорален прием на дози до 5 000 </w:t>
      </w:r>
      <w:r w:rsidRPr="007F6EF6">
        <w:rPr>
          <w:rFonts w:eastAsia="Times New Roman" w:cs="Arial"/>
          <w:color w:val="000000"/>
          <w:szCs w:val="20"/>
          <w:lang w:val="en-US"/>
        </w:rPr>
        <w:t>mg</w:t>
      </w:r>
      <w:r w:rsidRPr="007F6EF6">
        <w:rPr>
          <w:rFonts w:eastAsia="Times New Roman" w:cs="Arial"/>
          <w:color w:val="000000"/>
          <w:szCs w:val="20"/>
          <w:lang w:val="ru-RU"/>
        </w:rPr>
        <w:t>/</w:t>
      </w:r>
      <w:r w:rsidRPr="007F6EF6">
        <w:rPr>
          <w:rFonts w:eastAsia="Times New Roman" w:cs="Arial"/>
          <w:color w:val="000000"/>
          <w:szCs w:val="20"/>
          <w:lang w:val="en-US"/>
        </w:rPr>
        <w:t>kg</w:t>
      </w:r>
      <w:r w:rsidRPr="007F6EF6">
        <w:rPr>
          <w:rFonts w:eastAsia="Times New Roman" w:cs="Arial"/>
          <w:color w:val="000000"/>
          <w:szCs w:val="20"/>
          <w:lang w:val="ru-RU"/>
        </w:rPr>
        <w:t xml:space="preserve"> </w:t>
      </w:r>
      <w:r w:rsidRPr="007F6EF6">
        <w:rPr>
          <w:rFonts w:eastAsia="Times New Roman" w:cs="Arial"/>
          <w:color w:val="000000"/>
          <w:szCs w:val="20"/>
          <w:lang w:eastAsia="bg-BG"/>
        </w:rPr>
        <w:t xml:space="preserve">телесно тегло от мишки и плъхове (15 000 </w:t>
      </w:r>
      <w:r w:rsidRPr="007F6EF6">
        <w:rPr>
          <w:rFonts w:eastAsia="Times New Roman" w:cs="Arial"/>
          <w:color w:val="000000"/>
          <w:szCs w:val="20"/>
          <w:lang w:val="en-US"/>
        </w:rPr>
        <w:t>mg</w:t>
      </w:r>
      <w:r w:rsidRPr="007F6EF6">
        <w:rPr>
          <w:rFonts w:eastAsia="Times New Roman" w:cs="Arial"/>
          <w:color w:val="000000"/>
          <w:szCs w:val="20"/>
          <w:lang w:val="ru-RU"/>
        </w:rPr>
        <w:t>/</w:t>
      </w:r>
      <w:r w:rsidRPr="007F6EF6">
        <w:rPr>
          <w:rFonts w:eastAsia="Times New Roman" w:cs="Arial"/>
          <w:color w:val="000000"/>
          <w:szCs w:val="20"/>
          <w:lang w:val="en-US"/>
        </w:rPr>
        <w:t>m</w:t>
      </w:r>
      <w:r w:rsidRPr="007F6EF6">
        <w:rPr>
          <w:rFonts w:eastAsia="Times New Roman" w:cs="Arial"/>
          <w:color w:val="000000"/>
          <w:szCs w:val="20"/>
          <w:vertAlign w:val="superscript"/>
          <w:lang w:val="ru-RU"/>
        </w:rPr>
        <w:t>2</w:t>
      </w:r>
      <w:r w:rsidRPr="007F6EF6">
        <w:rPr>
          <w:rFonts w:eastAsia="Times New Roman" w:cs="Arial"/>
          <w:color w:val="000000"/>
          <w:szCs w:val="20"/>
          <w:lang w:val="ru-RU"/>
        </w:rPr>
        <w:t xml:space="preserve"> </w:t>
      </w:r>
      <w:r w:rsidRPr="007F6EF6">
        <w:rPr>
          <w:rFonts w:eastAsia="Times New Roman" w:cs="Arial"/>
          <w:color w:val="000000"/>
          <w:szCs w:val="20"/>
          <w:lang w:eastAsia="bg-BG"/>
        </w:rPr>
        <w:t xml:space="preserve">и 30 000 </w:t>
      </w:r>
      <w:r w:rsidRPr="007F6EF6">
        <w:rPr>
          <w:rFonts w:eastAsia="Times New Roman" w:cs="Arial"/>
          <w:color w:val="000000"/>
          <w:szCs w:val="20"/>
          <w:lang w:val="en-US"/>
        </w:rPr>
        <w:t>mg</w:t>
      </w:r>
      <w:r w:rsidRPr="007F6EF6">
        <w:rPr>
          <w:rFonts w:eastAsia="Times New Roman" w:cs="Arial"/>
          <w:color w:val="000000"/>
          <w:szCs w:val="20"/>
          <w:lang w:val="ru-RU"/>
        </w:rPr>
        <w:t>/</w:t>
      </w:r>
      <w:r w:rsidRPr="007F6EF6">
        <w:rPr>
          <w:rFonts w:eastAsia="Times New Roman" w:cs="Arial"/>
          <w:color w:val="000000"/>
          <w:szCs w:val="20"/>
          <w:lang w:val="en-US"/>
        </w:rPr>
        <w:t>m</w:t>
      </w:r>
      <w:r w:rsidRPr="007F6EF6">
        <w:rPr>
          <w:rFonts w:eastAsia="Times New Roman" w:cs="Arial"/>
          <w:color w:val="000000"/>
          <w:szCs w:val="20"/>
          <w:vertAlign w:val="superscript"/>
          <w:lang w:val="ru-RU"/>
        </w:rPr>
        <w:t>2</w:t>
      </w:r>
      <w:r w:rsidRPr="007F6EF6">
        <w:rPr>
          <w:rFonts w:eastAsia="Times New Roman" w:cs="Arial"/>
          <w:color w:val="000000"/>
          <w:szCs w:val="20"/>
          <w:vertAlign w:val="superscript"/>
          <w:lang w:eastAsia="bg-BG"/>
        </w:rPr>
        <w:t xml:space="preserve"> </w:t>
      </w:r>
      <w:r w:rsidRPr="007F6EF6">
        <w:rPr>
          <w:rFonts w:eastAsia="Times New Roman" w:cs="Arial"/>
          <w:color w:val="000000"/>
          <w:szCs w:val="20"/>
          <w:lang w:eastAsia="bg-BG"/>
        </w:rPr>
        <w:t>при</w:t>
      </w:r>
      <w:r w:rsidRPr="007F6EF6">
        <w:rPr>
          <w:rFonts w:eastAsia="Times New Roman" w:cs="Arial"/>
          <w:color w:val="000000"/>
          <w:szCs w:val="20"/>
          <w:lang w:val="ru-RU"/>
        </w:rPr>
        <w:t xml:space="preserve"> </w:t>
      </w:r>
      <w:r w:rsidRPr="007F6EF6">
        <w:rPr>
          <w:rFonts w:eastAsia="Times New Roman" w:cs="Arial"/>
          <w:color w:val="000000"/>
          <w:szCs w:val="20"/>
          <w:lang w:eastAsia="bg-BG"/>
        </w:rPr>
        <w:t xml:space="preserve">мишки и плъхове), в проучване за максимална доза не са наблюдавани смъртни случаи. Тази доза е еквивалентна на 25 000 пъти препоръчваната човешка дневна доза за възрастни (базирайки се на телесно тегло за възрастни пациенти 50 </w:t>
      </w:r>
      <w:r w:rsidRPr="007F6EF6">
        <w:rPr>
          <w:rFonts w:eastAsia="Times New Roman" w:cs="Arial"/>
          <w:color w:val="000000"/>
          <w:szCs w:val="20"/>
          <w:lang w:val="en-US"/>
        </w:rPr>
        <w:t>kg</w:t>
      </w:r>
      <w:r w:rsidRPr="007F6EF6">
        <w:rPr>
          <w:rFonts w:eastAsia="Times New Roman" w:cs="Arial"/>
          <w:color w:val="000000"/>
          <w:szCs w:val="20"/>
          <w:lang w:val="ru-RU"/>
        </w:rPr>
        <w:t>).</w:t>
      </w:r>
    </w:p>
    <w:p w14:paraId="27D0A702" w14:textId="77777777" w:rsidR="007F6EF6" w:rsidRPr="007F6EF6" w:rsidRDefault="007F6EF6" w:rsidP="007F6EF6">
      <w:pPr>
        <w:spacing w:line="240" w:lineRule="auto"/>
        <w:rPr>
          <w:rFonts w:eastAsia="Times New Roman" w:cs="Arial"/>
          <w:color w:val="000000"/>
          <w:szCs w:val="20"/>
          <w:lang w:eastAsia="bg-BG"/>
        </w:rPr>
      </w:pPr>
    </w:p>
    <w:p w14:paraId="01BCA5FD" w14:textId="22656B43" w:rsidR="007F6EF6" w:rsidRPr="007F6EF6" w:rsidRDefault="007F6EF6" w:rsidP="007F6EF6">
      <w:pPr>
        <w:spacing w:line="240" w:lineRule="auto"/>
        <w:rPr>
          <w:rFonts w:eastAsia="Times New Roman" w:cs="Arial"/>
          <w:sz w:val="28"/>
          <w:szCs w:val="24"/>
        </w:rPr>
      </w:pPr>
      <w:r w:rsidRPr="007F6EF6">
        <w:rPr>
          <w:rFonts w:eastAsia="Times New Roman" w:cs="Arial"/>
          <w:color w:val="000000"/>
          <w:szCs w:val="20"/>
          <w:lang w:eastAsia="bg-BG"/>
        </w:rPr>
        <w:t xml:space="preserve">Установено е, че монтелукаст не е фототоксичен за мишки за </w:t>
      </w:r>
      <w:r w:rsidRPr="007F6EF6">
        <w:rPr>
          <w:rFonts w:eastAsia="Times New Roman" w:cs="Arial"/>
          <w:color w:val="000000"/>
          <w:szCs w:val="20"/>
          <w:lang w:val="en-US"/>
        </w:rPr>
        <w:t>UVA</w:t>
      </w:r>
      <w:r w:rsidRPr="007F6EF6">
        <w:rPr>
          <w:rFonts w:eastAsia="Times New Roman" w:cs="Arial"/>
          <w:color w:val="000000"/>
          <w:szCs w:val="20"/>
          <w:lang w:val="ru-RU"/>
        </w:rPr>
        <w:t xml:space="preserve">, </w:t>
      </w:r>
      <w:r w:rsidRPr="007F6EF6">
        <w:rPr>
          <w:rFonts w:eastAsia="Times New Roman" w:cs="Arial"/>
          <w:color w:val="000000"/>
          <w:szCs w:val="20"/>
          <w:lang w:val="en-US"/>
        </w:rPr>
        <w:t>UVB</w:t>
      </w:r>
      <w:r w:rsidRPr="007F6EF6">
        <w:rPr>
          <w:rFonts w:eastAsia="Times New Roman" w:cs="Arial"/>
          <w:color w:val="000000"/>
          <w:szCs w:val="20"/>
          <w:lang w:val="ru-RU"/>
        </w:rPr>
        <w:t xml:space="preserve"> </w:t>
      </w:r>
      <w:r w:rsidRPr="007F6EF6">
        <w:rPr>
          <w:rFonts w:eastAsia="Times New Roman" w:cs="Arial"/>
          <w:color w:val="000000"/>
          <w:szCs w:val="20"/>
          <w:lang w:eastAsia="bg-BG"/>
        </w:rPr>
        <w:t xml:space="preserve">и лъчите от видимия спектър в дози до 500 </w:t>
      </w:r>
      <w:r w:rsidRPr="007F6EF6">
        <w:rPr>
          <w:rFonts w:eastAsia="Times New Roman" w:cs="Arial"/>
          <w:color w:val="000000"/>
          <w:szCs w:val="20"/>
          <w:lang w:val="en-US"/>
        </w:rPr>
        <w:t>mg</w:t>
      </w:r>
      <w:r w:rsidRPr="007F6EF6">
        <w:rPr>
          <w:rFonts w:eastAsia="Times New Roman" w:cs="Arial"/>
          <w:color w:val="000000"/>
          <w:szCs w:val="20"/>
          <w:lang w:val="ru-RU"/>
        </w:rPr>
        <w:t>/</w:t>
      </w:r>
      <w:r w:rsidRPr="007F6EF6">
        <w:rPr>
          <w:rFonts w:eastAsia="Times New Roman" w:cs="Arial"/>
          <w:color w:val="000000"/>
          <w:szCs w:val="20"/>
          <w:lang w:val="en-US"/>
        </w:rPr>
        <w:t>kg</w:t>
      </w:r>
      <w:r w:rsidRPr="007F6EF6">
        <w:rPr>
          <w:rFonts w:eastAsia="Times New Roman" w:cs="Arial"/>
          <w:color w:val="000000"/>
          <w:szCs w:val="20"/>
          <w:lang w:val="ru-RU"/>
        </w:rPr>
        <w:t xml:space="preserve"> </w:t>
      </w:r>
      <w:r w:rsidRPr="007F6EF6">
        <w:rPr>
          <w:rFonts w:eastAsia="Times New Roman" w:cs="Arial"/>
          <w:color w:val="000000"/>
          <w:szCs w:val="20"/>
          <w:lang w:eastAsia="bg-BG"/>
        </w:rPr>
        <w:t>телесно тегло дневно (приблизително 200 пъти над основната системна експозиция).</w:t>
      </w:r>
    </w:p>
    <w:p w14:paraId="46BD3B1A" w14:textId="77777777" w:rsidR="007F6EF6" w:rsidRPr="007F6EF6" w:rsidRDefault="007F6EF6" w:rsidP="007F6EF6">
      <w:pPr>
        <w:spacing w:line="240" w:lineRule="auto"/>
        <w:rPr>
          <w:rFonts w:eastAsia="Times New Roman" w:cs="Arial"/>
          <w:color w:val="000000"/>
          <w:szCs w:val="20"/>
          <w:lang w:eastAsia="bg-BG"/>
        </w:rPr>
      </w:pPr>
    </w:p>
    <w:p w14:paraId="508F2A2D" w14:textId="40456718" w:rsidR="007F6EF6" w:rsidRDefault="007F6EF6" w:rsidP="007F6EF6">
      <w:pPr>
        <w:spacing w:line="240" w:lineRule="auto"/>
        <w:rPr>
          <w:rFonts w:eastAsia="Times New Roman" w:cs="Arial"/>
          <w:sz w:val="28"/>
          <w:szCs w:val="24"/>
        </w:rPr>
      </w:pPr>
      <w:r w:rsidRPr="007F6EF6">
        <w:rPr>
          <w:rFonts w:eastAsia="Times New Roman" w:cs="Arial"/>
          <w:color w:val="000000"/>
          <w:szCs w:val="20"/>
          <w:lang w:eastAsia="bg-BG"/>
        </w:rPr>
        <w:t xml:space="preserve">Монтелукаст не е мутагенен, нито туморогенен в </w:t>
      </w:r>
      <w:r w:rsidRPr="007F6EF6">
        <w:rPr>
          <w:rFonts w:eastAsia="Times New Roman" w:cs="Arial"/>
          <w:i/>
          <w:iCs/>
          <w:color w:val="000000"/>
          <w:szCs w:val="20"/>
          <w:lang w:val="en-US"/>
        </w:rPr>
        <w:t>in</w:t>
      </w:r>
      <w:r w:rsidRPr="007F6EF6">
        <w:rPr>
          <w:rFonts w:eastAsia="Times New Roman" w:cs="Arial"/>
          <w:i/>
          <w:iCs/>
          <w:color w:val="000000"/>
          <w:szCs w:val="20"/>
          <w:lang w:val="ru-RU"/>
        </w:rPr>
        <w:t xml:space="preserve"> </w:t>
      </w:r>
      <w:r w:rsidRPr="007F6EF6">
        <w:rPr>
          <w:rFonts w:eastAsia="Times New Roman" w:cs="Arial"/>
          <w:i/>
          <w:iCs/>
          <w:color w:val="000000"/>
          <w:szCs w:val="20"/>
          <w:lang w:val="en-US"/>
        </w:rPr>
        <w:t>vivo</w:t>
      </w:r>
      <w:r w:rsidRPr="007F6EF6">
        <w:rPr>
          <w:rFonts w:eastAsia="Times New Roman" w:cs="Arial"/>
          <w:color w:val="000000"/>
          <w:szCs w:val="20"/>
          <w:lang w:val="ru-RU"/>
        </w:rPr>
        <w:t xml:space="preserve"> </w:t>
      </w:r>
      <w:r w:rsidRPr="007F6EF6">
        <w:rPr>
          <w:rFonts w:eastAsia="Times New Roman" w:cs="Arial"/>
          <w:color w:val="000000"/>
          <w:szCs w:val="20"/>
          <w:lang w:eastAsia="bg-BG"/>
        </w:rPr>
        <w:t xml:space="preserve">и </w:t>
      </w:r>
      <w:r w:rsidRPr="007F6EF6">
        <w:rPr>
          <w:rFonts w:eastAsia="Times New Roman" w:cs="Arial"/>
          <w:i/>
          <w:iCs/>
          <w:color w:val="000000"/>
          <w:szCs w:val="20"/>
          <w:lang w:val="en-US"/>
        </w:rPr>
        <w:t>in</w:t>
      </w:r>
      <w:r w:rsidRPr="007F6EF6">
        <w:rPr>
          <w:rFonts w:eastAsia="Times New Roman" w:cs="Arial"/>
          <w:i/>
          <w:iCs/>
          <w:color w:val="000000"/>
          <w:szCs w:val="20"/>
          <w:lang w:val="ru-RU"/>
        </w:rPr>
        <w:t xml:space="preserve"> </w:t>
      </w:r>
      <w:r w:rsidRPr="007F6EF6">
        <w:rPr>
          <w:rFonts w:eastAsia="Times New Roman" w:cs="Arial"/>
          <w:i/>
          <w:iCs/>
          <w:color w:val="000000"/>
          <w:szCs w:val="20"/>
          <w:lang w:val="en-US"/>
        </w:rPr>
        <w:t>vitro</w:t>
      </w:r>
      <w:r w:rsidRPr="007F6EF6">
        <w:rPr>
          <w:rFonts w:eastAsia="Times New Roman" w:cs="Arial"/>
          <w:color w:val="000000"/>
          <w:szCs w:val="20"/>
          <w:lang w:val="ru-RU"/>
        </w:rPr>
        <w:t xml:space="preserve"> </w:t>
      </w:r>
      <w:r w:rsidRPr="007F6EF6">
        <w:rPr>
          <w:rFonts w:eastAsia="Times New Roman" w:cs="Arial"/>
          <w:color w:val="000000"/>
          <w:szCs w:val="20"/>
          <w:lang w:eastAsia="bg-BG"/>
        </w:rPr>
        <w:t>тестове проведени при гризачи.</w:t>
      </w:r>
    </w:p>
    <w:p w14:paraId="4190D05F" w14:textId="77777777" w:rsidR="007F6EF6" w:rsidRPr="007F6EF6" w:rsidRDefault="007F6EF6" w:rsidP="007F6EF6">
      <w:pPr>
        <w:spacing w:line="240" w:lineRule="auto"/>
        <w:rPr>
          <w:rFonts w:eastAsia="Times New Roman" w:cs="Arial"/>
          <w:sz w:val="28"/>
          <w:szCs w:val="24"/>
        </w:rPr>
      </w:pPr>
    </w:p>
    <w:p w14:paraId="1BA6531D" w14:textId="6B969F61" w:rsidR="00B6672E" w:rsidRDefault="002C50EE" w:rsidP="00936AD0">
      <w:pPr>
        <w:pStyle w:val="Heading1"/>
      </w:pPr>
      <w:r>
        <w:t>7. ПРИТЕЖАТЕЛ НА РАЗРЕШЕНИЕТО ЗА УПОТРЕБА</w:t>
      </w:r>
    </w:p>
    <w:p w14:paraId="0C6D4866" w14:textId="577F23C8" w:rsidR="007F6EF6" w:rsidRDefault="007F6EF6" w:rsidP="007F6EF6"/>
    <w:p w14:paraId="0984792D" w14:textId="77777777" w:rsidR="007F6EF6" w:rsidRPr="007F6EF6" w:rsidRDefault="007F6EF6" w:rsidP="007F6EF6">
      <w:pPr>
        <w:rPr>
          <w:sz w:val="24"/>
          <w:szCs w:val="24"/>
          <w:lang w:val="ru-RU"/>
        </w:rPr>
      </w:pPr>
      <w:proofErr w:type="spellStart"/>
      <w:r w:rsidRPr="007F6EF6">
        <w:rPr>
          <w:lang w:val="en-US"/>
        </w:rPr>
        <w:t>Teva</w:t>
      </w:r>
      <w:proofErr w:type="spellEnd"/>
      <w:r w:rsidRPr="007F6EF6">
        <w:rPr>
          <w:lang w:eastAsia="bg-BG"/>
        </w:rPr>
        <w:t xml:space="preserve"> </w:t>
      </w:r>
      <w:r w:rsidRPr="007F6EF6">
        <w:rPr>
          <w:lang w:val="en-US"/>
        </w:rPr>
        <w:t>B</w:t>
      </w:r>
      <w:r w:rsidRPr="007F6EF6">
        <w:rPr>
          <w:lang w:val="ru-RU"/>
        </w:rPr>
        <w:t>.</w:t>
      </w:r>
      <w:r w:rsidRPr="007F6EF6">
        <w:rPr>
          <w:lang w:val="en-US"/>
        </w:rPr>
        <w:t>V</w:t>
      </w:r>
      <w:r w:rsidRPr="007F6EF6">
        <w:rPr>
          <w:lang w:val="ru-RU"/>
        </w:rPr>
        <w:t>.</w:t>
      </w:r>
    </w:p>
    <w:p w14:paraId="226F60F5" w14:textId="77777777" w:rsidR="007F6EF6" w:rsidRDefault="007F6EF6" w:rsidP="007F6EF6">
      <w:pPr>
        <w:rPr>
          <w:lang w:val="ru-RU"/>
        </w:rPr>
      </w:pPr>
      <w:proofErr w:type="spellStart"/>
      <w:r w:rsidRPr="007F6EF6">
        <w:rPr>
          <w:lang w:val="en-US"/>
        </w:rPr>
        <w:t>Swensweg</w:t>
      </w:r>
      <w:proofErr w:type="spellEnd"/>
      <w:r w:rsidRPr="007F6EF6">
        <w:rPr>
          <w:lang w:val="ru-RU"/>
        </w:rPr>
        <w:t xml:space="preserve"> </w:t>
      </w:r>
      <w:r w:rsidRPr="007F6EF6">
        <w:rPr>
          <w:lang w:eastAsia="bg-BG"/>
        </w:rPr>
        <w:t xml:space="preserve">5, 2031 </w:t>
      </w:r>
      <w:r w:rsidRPr="007F6EF6">
        <w:rPr>
          <w:lang w:val="en-US"/>
        </w:rPr>
        <w:t>GA</w:t>
      </w:r>
      <w:r w:rsidRPr="007F6EF6">
        <w:rPr>
          <w:lang w:val="ru-RU"/>
        </w:rPr>
        <w:t xml:space="preserve"> </w:t>
      </w:r>
      <w:r w:rsidRPr="007F6EF6">
        <w:rPr>
          <w:lang w:val="en-US"/>
        </w:rPr>
        <w:t>Haarlem</w:t>
      </w:r>
      <w:r w:rsidRPr="007F6EF6">
        <w:rPr>
          <w:lang w:val="ru-RU"/>
        </w:rPr>
        <w:t xml:space="preserve"> </w:t>
      </w:r>
    </w:p>
    <w:p w14:paraId="438C885F" w14:textId="63432856" w:rsidR="007F6EF6" w:rsidRPr="007F6EF6" w:rsidRDefault="007F6EF6" w:rsidP="007F6EF6">
      <w:r w:rsidRPr="007F6EF6">
        <w:rPr>
          <w:lang w:eastAsia="bg-BG"/>
        </w:rPr>
        <w:t>Нидерландия</w:t>
      </w:r>
    </w:p>
    <w:p w14:paraId="508F3A54" w14:textId="25E75832" w:rsidR="00B6672E" w:rsidRDefault="00936AD0" w:rsidP="00936AD0">
      <w:pPr>
        <w:pStyle w:val="Heading1"/>
      </w:pPr>
      <w:r>
        <w:t>8.</w:t>
      </w:r>
      <w:r w:rsidR="002C50EE">
        <w:t>НОМЕР НА РАЗРЕШЕНИЕТО ЗА УПОТРЕБА</w:t>
      </w:r>
    </w:p>
    <w:p w14:paraId="372F2AB1" w14:textId="27858871" w:rsidR="007F6EF6" w:rsidRDefault="007F6EF6" w:rsidP="007F6EF6"/>
    <w:p w14:paraId="1EA33242" w14:textId="69625B14" w:rsidR="007F6EF6" w:rsidRPr="007F6EF6" w:rsidRDefault="007F6EF6" w:rsidP="007F6EF6">
      <w:pPr>
        <w:rPr>
          <w:sz w:val="24"/>
          <w:szCs w:val="24"/>
        </w:rPr>
      </w:pPr>
      <w:proofErr w:type="spellStart"/>
      <w:r>
        <w:rPr>
          <w:lang w:val="en-US"/>
        </w:rPr>
        <w:t>Peг</w:t>
      </w:r>
      <w:proofErr w:type="spellEnd"/>
      <w:r>
        <w:rPr>
          <w:lang w:val="en-US"/>
        </w:rPr>
        <w:t xml:space="preserve">. </w:t>
      </w:r>
      <w:r w:rsidRPr="007F6EF6">
        <w:rPr>
          <w:lang w:eastAsia="bg-BG"/>
        </w:rPr>
        <w:t>№20110527</w:t>
      </w:r>
    </w:p>
    <w:p w14:paraId="48D01D1C" w14:textId="77777777" w:rsidR="007F6EF6" w:rsidRPr="007F6EF6" w:rsidRDefault="007F6EF6" w:rsidP="007F6EF6"/>
    <w:p w14:paraId="2CCB5832" w14:textId="7D4D01E0" w:rsidR="007C605B" w:rsidRDefault="002C50EE" w:rsidP="007C605B">
      <w:pPr>
        <w:pStyle w:val="Heading1"/>
      </w:pPr>
      <w:r>
        <w:t>9. ДАТА НА ПЪРВО РАЗРЕШАВАНЕ/ПОДНОВЯВАНЕ НА РАЗРЕШЕНИЕТО ЗА УПОТРЕБА</w:t>
      </w:r>
    </w:p>
    <w:p w14:paraId="0E4DF8FF" w14:textId="6056039C" w:rsidR="007F6EF6" w:rsidRDefault="007F6EF6" w:rsidP="007F6EF6"/>
    <w:p w14:paraId="220EDA6F" w14:textId="77777777" w:rsidR="007F6EF6" w:rsidRPr="007F6EF6" w:rsidRDefault="007F6EF6" w:rsidP="007F6EF6">
      <w:pPr>
        <w:rPr>
          <w:sz w:val="24"/>
          <w:szCs w:val="24"/>
        </w:rPr>
      </w:pPr>
      <w:r w:rsidRPr="007F6EF6">
        <w:rPr>
          <w:lang w:eastAsia="bg-BG"/>
        </w:rPr>
        <w:t>Дата на първо разрешаване: 13 септември 2011 г.</w:t>
      </w:r>
    </w:p>
    <w:p w14:paraId="2EDE96A3" w14:textId="77777777" w:rsidR="007F6EF6" w:rsidRPr="007F6EF6" w:rsidRDefault="007F6EF6" w:rsidP="007F6EF6">
      <w:pPr>
        <w:rPr>
          <w:sz w:val="24"/>
          <w:szCs w:val="24"/>
        </w:rPr>
      </w:pPr>
      <w:r w:rsidRPr="007F6EF6">
        <w:rPr>
          <w:lang w:eastAsia="bg-BG"/>
        </w:rPr>
        <w:t>Дата на подновяване: 20 април 2016 г.</w:t>
      </w:r>
    </w:p>
    <w:p w14:paraId="5ED5619E" w14:textId="77777777" w:rsidR="007F6EF6" w:rsidRPr="007F6EF6" w:rsidRDefault="007F6EF6" w:rsidP="007F6EF6"/>
    <w:p w14:paraId="0E9D0119" w14:textId="0245C6D7" w:rsidR="002C50EE" w:rsidRDefault="002C50EE" w:rsidP="002C50EE">
      <w:pPr>
        <w:pStyle w:val="Heading1"/>
      </w:pPr>
      <w:r>
        <w:lastRenderedPageBreak/>
        <w:t>10. ДАТА НА АКТУАЛИЗИРАНЕ НА ТЕКСТА</w:t>
      </w:r>
    </w:p>
    <w:p w14:paraId="43FB38A2" w14:textId="689F8F04" w:rsidR="007C605B" w:rsidRPr="003E3126" w:rsidRDefault="007C605B" w:rsidP="00B6672E">
      <w:bookmarkStart w:id="1" w:name="_GoBack"/>
      <w:bookmarkEnd w:id="0"/>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E27C6B"/>
    <w:multiLevelType w:val="hybridMultilevel"/>
    <w:tmpl w:val="D71C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37" w15:restartNumberingAfterBreak="0">
    <w:nsid w:val="7F3E493B"/>
    <w:multiLevelType w:val="hybridMultilevel"/>
    <w:tmpl w:val="8F9A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3"/>
  </w:num>
  <w:num w:numId="15">
    <w:abstractNumId w:val="30"/>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3"/>
  </w:num>
  <w:num w:numId="28">
    <w:abstractNumId w:val="6"/>
  </w:num>
  <w:num w:numId="29">
    <w:abstractNumId w:val="21"/>
  </w:num>
  <w:num w:numId="30">
    <w:abstractNumId w:val="36"/>
  </w:num>
  <w:num w:numId="31">
    <w:abstractNumId w:val="5"/>
  </w:num>
  <w:num w:numId="32">
    <w:abstractNumId w:val="35"/>
  </w:num>
  <w:num w:numId="33">
    <w:abstractNumId w:val="29"/>
  </w:num>
  <w:num w:numId="34">
    <w:abstractNumId w:val="34"/>
  </w:num>
  <w:num w:numId="35">
    <w:abstractNumId w:val="7"/>
  </w:num>
  <w:num w:numId="36">
    <w:abstractNumId w:val="10"/>
  </w:num>
  <w:num w:numId="37">
    <w:abstractNumId w:val="3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C477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7F6EF6"/>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5146</Words>
  <Characters>29338</Characters>
  <Application>Microsoft Office Word</Application>
  <DocSecurity>0</DocSecurity>
  <Lines>244</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2022-07-28T14:57:00Z</dcterms:created>
  <dcterms:modified xsi:type="dcterms:W3CDTF">2022-07-28T14:57:00Z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