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8D82278" w:rsidR="007122AD" w:rsidRDefault="00DD466D" w:rsidP="00936AD0">
      <w:pPr>
        <w:pStyle w:val="Heading1"/>
      </w:pPr>
      <w:r>
        <w:t>1.ИМЕ НА ЛЕКАРСТВЕНИЯ ПРОДУКТ</w:t>
      </w:r>
    </w:p>
    <w:p w14:paraId="26AF240C" w14:textId="28069AA8" w:rsidR="001C4776" w:rsidRDefault="001C4776" w:rsidP="001C4776"/>
    <w:p w14:paraId="66D25297" w14:textId="77777777" w:rsidR="001C4776" w:rsidRPr="001C4776" w:rsidRDefault="001C4776" w:rsidP="001C4776">
      <w:pPr>
        <w:rPr>
          <w:sz w:val="24"/>
          <w:szCs w:val="24"/>
        </w:rPr>
      </w:pPr>
      <w:r w:rsidRPr="001C4776">
        <w:rPr>
          <w:lang w:eastAsia="bg-BG"/>
        </w:rPr>
        <w:t xml:space="preserve">Ефира 4 </w:t>
      </w:r>
      <w:r w:rsidRPr="001C4776">
        <w:rPr>
          <w:lang w:val="en-US"/>
        </w:rPr>
        <w:t>mg</w:t>
      </w:r>
      <w:r w:rsidRPr="001C4776">
        <w:t xml:space="preserve"> </w:t>
      </w:r>
      <w:r w:rsidRPr="001C4776">
        <w:rPr>
          <w:lang w:eastAsia="bg-BG"/>
        </w:rPr>
        <w:t>гранули</w:t>
      </w:r>
    </w:p>
    <w:p w14:paraId="2DB76776" w14:textId="77777777" w:rsidR="001C4776" w:rsidRPr="001C4776" w:rsidRDefault="001C4776" w:rsidP="001C4776">
      <w:pPr>
        <w:rPr>
          <w:sz w:val="24"/>
          <w:szCs w:val="24"/>
        </w:rPr>
      </w:pPr>
      <w:proofErr w:type="spellStart"/>
      <w:r w:rsidRPr="001C4776">
        <w:rPr>
          <w:lang w:val="en-US"/>
        </w:rPr>
        <w:t>Ephyra</w:t>
      </w:r>
      <w:proofErr w:type="spellEnd"/>
      <w:r w:rsidRPr="001C4776">
        <w:t xml:space="preserve"> </w:t>
      </w:r>
      <w:r w:rsidRPr="001C4776">
        <w:rPr>
          <w:lang w:eastAsia="bg-BG"/>
        </w:rPr>
        <w:t xml:space="preserve">4 </w:t>
      </w:r>
      <w:r w:rsidRPr="001C4776">
        <w:rPr>
          <w:lang w:val="en-US"/>
        </w:rPr>
        <w:t>mg</w:t>
      </w:r>
      <w:r w:rsidRPr="001C4776">
        <w:t xml:space="preserve"> </w:t>
      </w:r>
      <w:r w:rsidRPr="001C4776">
        <w:rPr>
          <w:lang w:val="en-US"/>
        </w:rPr>
        <w:t>granules</w:t>
      </w:r>
    </w:p>
    <w:p w14:paraId="5974013C" w14:textId="77777777" w:rsidR="001C4776" w:rsidRDefault="001C4776" w:rsidP="001C4776">
      <w:pPr>
        <w:rPr>
          <w:lang w:eastAsia="bg-BG"/>
        </w:rPr>
      </w:pPr>
    </w:p>
    <w:p w14:paraId="2067DEA6" w14:textId="22DED3E7" w:rsidR="001C4776" w:rsidRPr="001C4776" w:rsidRDefault="001C4776" w:rsidP="001C4776">
      <w:r w:rsidRPr="001C4776">
        <w:rPr>
          <w:lang w:eastAsia="bg-BG"/>
        </w:rPr>
        <w:t xml:space="preserve">За деца на възраст от </w:t>
      </w:r>
      <w:r w:rsidRPr="001C4776">
        <w:rPr>
          <w:i/>
          <w:iCs/>
          <w:lang w:eastAsia="bg-BG"/>
        </w:rPr>
        <w:t>6</w:t>
      </w:r>
      <w:r w:rsidRPr="001C4776">
        <w:rPr>
          <w:lang w:eastAsia="bg-BG"/>
        </w:rPr>
        <w:t xml:space="preserve"> месеца до 5 години</w:t>
      </w:r>
    </w:p>
    <w:p w14:paraId="6920A680" w14:textId="52603D1A" w:rsidR="00C40420" w:rsidRDefault="00DD466D" w:rsidP="004A448E">
      <w:pPr>
        <w:pStyle w:val="Heading1"/>
      </w:pPr>
      <w:r>
        <w:t>2. КАЧЕСТВЕН И КОЛИЧЕСТВЕН СЪСТАВ</w:t>
      </w:r>
    </w:p>
    <w:p w14:paraId="5114F446" w14:textId="2BEBF580" w:rsidR="001C4776" w:rsidRDefault="001C4776" w:rsidP="001C4776"/>
    <w:p w14:paraId="7FD04404" w14:textId="77777777" w:rsidR="001C4776" w:rsidRPr="001C4776" w:rsidRDefault="001C4776" w:rsidP="001C4776">
      <w:pPr>
        <w:rPr>
          <w:sz w:val="24"/>
          <w:szCs w:val="24"/>
        </w:rPr>
      </w:pPr>
      <w:r w:rsidRPr="001C4776">
        <w:rPr>
          <w:lang w:eastAsia="bg-BG"/>
        </w:rPr>
        <w:t xml:space="preserve">Всяко саше с гранули съдържа монтелукаст натрий </w:t>
      </w:r>
      <w:r w:rsidRPr="001C4776">
        <w:rPr>
          <w:i/>
          <w:iCs/>
        </w:rPr>
        <w:t>(</w:t>
      </w:r>
      <w:proofErr w:type="spellStart"/>
      <w:r w:rsidRPr="001C4776">
        <w:rPr>
          <w:i/>
          <w:iCs/>
          <w:lang w:val="en-US"/>
        </w:rPr>
        <w:t>montelukast</w:t>
      </w:r>
      <w:proofErr w:type="spellEnd"/>
      <w:r w:rsidRPr="001C4776">
        <w:rPr>
          <w:i/>
          <w:iCs/>
        </w:rPr>
        <w:t xml:space="preserve"> </w:t>
      </w:r>
      <w:r w:rsidRPr="001C4776">
        <w:rPr>
          <w:i/>
          <w:iCs/>
          <w:lang w:val="en-US"/>
        </w:rPr>
        <w:t>sodium</w:t>
      </w:r>
      <w:r w:rsidRPr="001C4776">
        <w:rPr>
          <w:i/>
          <w:iCs/>
        </w:rPr>
        <w:t>),</w:t>
      </w:r>
      <w:r w:rsidRPr="001C4776">
        <w:t xml:space="preserve"> </w:t>
      </w:r>
      <w:r w:rsidRPr="001C4776">
        <w:rPr>
          <w:lang w:eastAsia="bg-BG"/>
        </w:rPr>
        <w:t xml:space="preserve">който е еквивалентен на 4 </w:t>
      </w:r>
      <w:r w:rsidRPr="001C4776">
        <w:rPr>
          <w:lang w:val="en-US"/>
        </w:rPr>
        <w:t>mg</w:t>
      </w:r>
      <w:r w:rsidRPr="001C4776">
        <w:t xml:space="preserve"> </w:t>
      </w:r>
      <w:r w:rsidRPr="001C4776">
        <w:rPr>
          <w:lang w:eastAsia="bg-BG"/>
        </w:rPr>
        <w:t xml:space="preserve">монтелукаст </w:t>
      </w:r>
      <w:r w:rsidRPr="001C4776">
        <w:rPr>
          <w:i/>
          <w:iCs/>
        </w:rPr>
        <w:t>(</w:t>
      </w:r>
      <w:proofErr w:type="spellStart"/>
      <w:r w:rsidRPr="001C4776">
        <w:rPr>
          <w:i/>
          <w:iCs/>
          <w:lang w:val="en-US"/>
        </w:rPr>
        <w:t>montelukast</w:t>
      </w:r>
      <w:proofErr w:type="spellEnd"/>
      <w:r w:rsidRPr="001C4776">
        <w:rPr>
          <w:i/>
          <w:iCs/>
        </w:rPr>
        <w:t>).</w:t>
      </w:r>
    </w:p>
    <w:p w14:paraId="163601B3" w14:textId="77777777" w:rsidR="001C4776" w:rsidRPr="001C4776" w:rsidRDefault="001C4776" w:rsidP="001C4776"/>
    <w:p w14:paraId="614984C4" w14:textId="73CE39A6" w:rsidR="008A6AF2" w:rsidRDefault="00DD466D" w:rsidP="002C50EE">
      <w:pPr>
        <w:pStyle w:val="Heading1"/>
      </w:pPr>
      <w:r>
        <w:t>3. ЛЕКАРСТВЕНА ФОРМА</w:t>
      </w:r>
    </w:p>
    <w:p w14:paraId="49867A3C" w14:textId="470C1D0C" w:rsidR="001C4776" w:rsidRDefault="001C4776" w:rsidP="001C4776"/>
    <w:p w14:paraId="4FCB03D7" w14:textId="77777777" w:rsidR="001C4776" w:rsidRPr="001C4776" w:rsidRDefault="001C4776" w:rsidP="001C4776">
      <w:pPr>
        <w:rPr>
          <w:sz w:val="24"/>
          <w:szCs w:val="24"/>
        </w:rPr>
      </w:pPr>
      <w:r w:rsidRPr="001C4776">
        <w:rPr>
          <w:lang w:eastAsia="bg-BG"/>
        </w:rPr>
        <w:t>Гранули</w:t>
      </w:r>
    </w:p>
    <w:p w14:paraId="49C29F2F" w14:textId="77777777" w:rsidR="001C4776" w:rsidRDefault="001C4776" w:rsidP="001C4776">
      <w:pPr>
        <w:rPr>
          <w:lang w:eastAsia="bg-BG"/>
        </w:rPr>
      </w:pPr>
    </w:p>
    <w:p w14:paraId="3A5F30F6" w14:textId="70E62FBF" w:rsidR="001C4776" w:rsidRPr="001C4776" w:rsidRDefault="001C4776" w:rsidP="001C4776">
      <w:pPr>
        <w:rPr>
          <w:sz w:val="24"/>
          <w:szCs w:val="24"/>
        </w:rPr>
      </w:pPr>
      <w:r w:rsidRPr="001C4776">
        <w:rPr>
          <w:lang w:eastAsia="bg-BG"/>
        </w:rPr>
        <w:t>Бели до почти бели гранули</w:t>
      </w:r>
    </w:p>
    <w:p w14:paraId="36C3399D" w14:textId="77777777" w:rsidR="001C4776" w:rsidRPr="001C4776" w:rsidRDefault="001C4776" w:rsidP="001C4776"/>
    <w:p w14:paraId="490FC2C4" w14:textId="0F4A4A75" w:rsidR="002C50EE" w:rsidRDefault="002C50EE" w:rsidP="002C50EE">
      <w:pPr>
        <w:pStyle w:val="Heading1"/>
      </w:pPr>
      <w:r>
        <w:t>4. КЛИНИЧНИ ДАННИ</w:t>
      </w:r>
    </w:p>
    <w:p w14:paraId="74330405" w14:textId="4A619E06" w:rsidR="007122AD" w:rsidRDefault="002C50EE" w:rsidP="00936AD0">
      <w:pPr>
        <w:pStyle w:val="Heading2"/>
      </w:pPr>
      <w:r>
        <w:t>4.1. Терапевтични показания</w:t>
      </w:r>
    </w:p>
    <w:p w14:paraId="1DF81EC1" w14:textId="52C08C08" w:rsidR="001C4776" w:rsidRDefault="001C4776" w:rsidP="001C4776"/>
    <w:p w14:paraId="7A0DC2B1" w14:textId="77777777" w:rsidR="001C4776" w:rsidRPr="001C4776" w:rsidRDefault="001C4776" w:rsidP="001C4776">
      <w:pPr>
        <w:rPr>
          <w:sz w:val="24"/>
          <w:szCs w:val="24"/>
        </w:rPr>
      </w:pPr>
      <w:r w:rsidRPr="001C4776">
        <w:rPr>
          <w:lang w:eastAsia="bg-BG"/>
        </w:rPr>
        <w:t>Ефира гранули са показани за лечение на астма като допълнителна терапия при пациенти на възраст от 6 месеца до 5-годишна възраст, с лека до умерено тежка персистираща астма, която не е контролирана адекватно с инхалаторни кортикостероиди и при която бързодействащите р-агонисти давани при необходимост, не осигуряват адекватен клиничен контрол на астмата.</w:t>
      </w:r>
    </w:p>
    <w:p w14:paraId="0CB418C8" w14:textId="77777777" w:rsidR="001C4776" w:rsidRDefault="001C4776" w:rsidP="001C4776">
      <w:pPr>
        <w:rPr>
          <w:lang w:eastAsia="bg-BG"/>
        </w:rPr>
      </w:pPr>
    </w:p>
    <w:p w14:paraId="7CF2FC61" w14:textId="5243C39C" w:rsidR="001C4776" w:rsidRPr="001C4776" w:rsidRDefault="001C4776" w:rsidP="001C4776">
      <w:pPr>
        <w:rPr>
          <w:sz w:val="24"/>
          <w:szCs w:val="24"/>
        </w:rPr>
      </w:pPr>
      <w:r w:rsidRPr="001C4776">
        <w:rPr>
          <w:lang w:eastAsia="bg-BG"/>
        </w:rPr>
        <w:t>Ефира гранули може да се използва като алтернативна терапевтична възможност към ниските дози инхалаторни кортикостероиди, за пациенти на възраст от 2 до 5 години с лека до умерено тежка персистираща астма, без анамнестични данни за скорошни тежки астматични пристъпи, които изискват употреба на перорални кортикостероиди и за които е установено, че не са в състояние да използват инхалаторни кортикостероиди (вж. точка 4.2).</w:t>
      </w:r>
    </w:p>
    <w:p w14:paraId="6041AAD6" w14:textId="77777777" w:rsidR="001C4776" w:rsidRDefault="001C4776" w:rsidP="001C4776">
      <w:pPr>
        <w:rPr>
          <w:lang w:eastAsia="bg-BG"/>
        </w:rPr>
      </w:pPr>
    </w:p>
    <w:p w14:paraId="3FC8F868" w14:textId="16434EFB" w:rsidR="001C4776" w:rsidRDefault="001C4776" w:rsidP="001C4776">
      <w:pPr>
        <w:rPr>
          <w:lang w:eastAsia="bg-BG"/>
        </w:rPr>
      </w:pPr>
      <w:r w:rsidRPr="001C4776">
        <w:rPr>
          <w:lang w:eastAsia="bg-BG"/>
        </w:rPr>
        <w:t>Освен това, Ефира гранули са показани за профилактика на астма при пациенти над 2-годишна възраст, при които преобладаващ компонент е бронхоспазъм ицдуциран от физически усилия.</w:t>
      </w:r>
    </w:p>
    <w:p w14:paraId="2F39AA2F" w14:textId="77777777" w:rsidR="001C4776" w:rsidRPr="001C4776" w:rsidRDefault="001C4776" w:rsidP="001C4776"/>
    <w:p w14:paraId="53F5B866" w14:textId="742773B7" w:rsidR="007122AD" w:rsidRDefault="002C50EE" w:rsidP="00936AD0">
      <w:pPr>
        <w:pStyle w:val="Heading2"/>
      </w:pPr>
      <w:r>
        <w:t>4.2. Дозировка и начин на приложение</w:t>
      </w:r>
    </w:p>
    <w:p w14:paraId="288F2320" w14:textId="52428CFD" w:rsidR="001C4776" w:rsidRDefault="001C4776" w:rsidP="001C4776"/>
    <w:p w14:paraId="6F16194A" w14:textId="77777777" w:rsidR="001C4776" w:rsidRPr="001C4776" w:rsidRDefault="001C4776" w:rsidP="001C4776">
      <w:pPr>
        <w:pStyle w:val="Heading3"/>
        <w:rPr>
          <w:rFonts w:eastAsia="Times New Roman"/>
          <w:sz w:val="28"/>
          <w:u w:val="single"/>
        </w:rPr>
      </w:pPr>
      <w:r w:rsidRPr="001C4776">
        <w:rPr>
          <w:rFonts w:eastAsia="Times New Roman"/>
          <w:u w:val="single"/>
          <w:lang w:eastAsia="bg-BG"/>
        </w:rPr>
        <w:lastRenderedPageBreak/>
        <w:t>Дозировка</w:t>
      </w:r>
    </w:p>
    <w:p w14:paraId="3DD5312E"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Този лекарствен продукт трябва да се дава на деца под контрола на възрастни.</w:t>
      </w:r>
    </w:p>
    <w:p w14:paraId="5E279D6D" w14:textId="60E16895" w:rsidR="001C4776" w:rsidRPr="001C4776" w:rsidRDefault="001C4776" w:rsidP="001C4776">
      <w:pPr>
        <w:rPr>
          <w:rFonts w:eastAsia="Times New Roman" w:cs="Arial"/>
          <w:color w:val="000000"/>
          <w:szCs w:val="20"/>
          <w:lang w:eastAsia="bg-BG"/>
        </w:rPr>
      </w:pPr>
      <w:r w:rsidRPr="001C4776">
        <w:rPr>
          <w:rFonts w:eastAsia="Times New Roman" w:cs="Arial"/>
          <w:color w:val="000000"/>
          <w:szCs w:val="20"/>
          <w:lang w:eastAsia="bg-BG"/>
        </w:rPr>
        <w:t xml:space="preserve">Препоръчителната дозировка за педиатрични пациенти на възраст от 6 месеца до 5 години е едно саше 4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гранули дневно, прието вечер. В тази възрастова група не се налага адаптиране на дозата. Данните за ефикасност от клинични проучвания при педиатрични пациенти на възраст от 6 месеца до 2 години с персистираща астма са ограничени. Пациентите трябва да бъдат оценени за степента на отговор 2 до 4 седмици след започване на лечение с монтелукаст. Ако не се наблюдава отговор, лечението трябва да бъде прекратено. Лекарствената форма на монтелукаст 4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гранули не се препоръчва за бебета под 6-месечна възраст.</w:t>
      </w:r>
    </w:p>
    <w:p w14:paraId="4275FFB5" w14:textId="43DFABF4" w:rsidR="001C4776" w:rsidRPr="001C4776" w:rsidRDefault="001C4776" w:rsidP="001C4776">
      <w:pPr>
        <w:rPr>
          <w:rFonts w:eastAsia="Times New Roman" w:cs="Arial"/>
          <w:color w:val="000000"/>
          <w:szCs w:val="20"/>
          <w:lang w:eastAsia="bg-BG"/>
        </w:rPr>
      </w:pPr>
    </w:p>
    <w:p w14:paraId="2C4950C6" w14:textId="77777777"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Общи препоръки</w:t>
      </w:r>
    </w:p>
    <w:p w14:paraId="13AC8D01"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Терапевтичният ефект на монтелукаст върху показателите за контрол на астмата се проявява в рамките на един ден. На пациентите трябва да бъде препоръчано да продължат да приемат Ефира гранули дори и ако тяхната астма е под контрол, както и по време на периодите на влошаване на астмата.</w:t>
      </w:r>
    </w:p>
    <w:p w14:paraId="5DAA275E"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При пациенти с бъбречна недостатъчност или леко до средно тежко чернодробно увреждане, не се налага коригиране на дозата. Няма достатъчно данни за пациенти с тежко чернодробно увреждане. Дозата е еднаква за мъже и жени.</w:t>
      </w:r>
    </w:p>
    <w:p w14:paraId="72657625" w14:textId="77777777" w:rsidR="001C4776" w:rsidRPr="001C4776" w:rsidRDefault="001C4776" w:rsidP="001C4776">
      <w:pPr>
        <w:spacing w:line="240" w:lineRule="auto"/>
        <w:rPr>
          <w:rFonts w:eastAsia="Times New Roman" w:cs="Arial"/>
          <w:i/>
          <w:iCs/>
          <w:color w:val="000000"/>
          <w:szCs w:val="20"/>
          <w:lang w:eastAsia="bg-BG"/>
        </w:rPr>
      </w:pPr>
    </w:p>
    <w:p w14:paraId="63B53057" w14:textId="5A5462F7"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Ефира гранули като алтернативна терапевтична възможност на ниските дози инхалаторни кортикостероиди при лека персистираща астма:</w:t>
      </w:r>
    </w:p>
    <w:p w14:paraId="390C68BA"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не се препоръчва като монотерапия при пациенти със средно тежка персистираща астма. Употребата на монтелукаст като алтернативна терапевтична възможност на ниските дози инхалаторни кортикостероиди при деца на възраст от 2 до 5 години с лека персистираща астма, трябва да се обсъжда само при пациенти без анамнеза за скорошни тежки астматични пристъпи, които изискват перорални кортикостероиди и за които е установено, че нямат възможност да използват инхалаторни кортикостероиди (вж. точка 4.1). Лека персистираща астма се дефинира като симптоми на астма по-често от веднъж седмично, но по-рядко от веднъж дневно, наличие на нощни симптоми по-често от два пъти месечно, но по-рядко от веднъж седмично, с нормална белодробна функция между отделните епизоди. Ако при проследяването не се постига задоволителен контрол на астмата (обикновено в рамките на един месец), трябва да се оцени необходимостта от допълнително или различно противовъзпалително лечение, базирано на стъпаловидна система за лечение на астма. На пациентите трябва да се прави периодична оценка относно контрола на астмата.</w:t>
      </w:r>
    </w:p>
    <w:p w14:paraId="717A5CA8" w14:textId="77777777" w:rsidR="001C4776" w:rsidRPr="001C4776" w:rsidRDefault="001C4776" w:rsidP="001C4776">
      <w:pPr>
        <w:spacing w:line="240" w:lineRule="auto"/>
        <w:rPr>
          <w:rFonts w:eastAsia="Times New Roman" w:cs="Arial"/>
          <w:i/>
          <w:iCs/>
          <w:color w:val="000000"/>
          <w:szCs w:val="20"/>
          <w:lang w:eastAsia="bg-BG"/>
        </w:rPr>
      </w:pPr>
    </w:p>
    <w:p w14:paraId="2C1A695C" w14:textId="3972502B"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Ефира гранули като профилактика на астма при пациенти на възраст от 2 до 5 години, при които доминира бронхоспазъм вследствие на физическо натоварване</w:t>
      </w:r>
    </w:p>
    <w:p w14:paraId="0C48B455"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При пациенти на възраст от 2 до 5 години, бронхоспазъм провокиран от физически упражнения може да е основна проява на персистираща астма, която изисква лечение с инхалаторни кортикостероиди. Пациентите трябва да бъдат подложени на оценка в продължение на 2 до 4 седмици след започване на лечението с монтелукаст. При липса на задоволителен отговор, трябва да се обсъди допълнителна или различна терапия.</w:t>
      </w:r>
    </w:p>
    <w:p w14:paraId="00629D98" w14:textId="77777777" w:rsidR="001C4776" w:rsidRPr="001C4776" w:rsidRDefault="001C4776" w:rsidP="001C4776">
      <w:pPr>
        <w:spacing w:line="240" w:lineRule="auto"/>
        <w:rPr>
          <w:rFonts w:eastAsia="Times New Roman" w:cs="Arial"/>
          <w:i/>
          <w:iCs/>
          <w:color w:val="000000"/>
          <w:szCs w:val="20"/>
          <w:lang w:eastAsia="bg-BG"/>
        </w:rPr>
      </w:pPr>
    </w:p>
    <w:p w14:paraId="5C3AE669" w14:textId="4411F7F7"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Терапия с Ефира гранули във връзка с друго лечение на астма</w:t>
      </w:r>
    </w:p>
    <w:p w14:paraId="5AA63990"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Когато лечението с Ефира гранули се използва като допълнителна терапия към инхалаторните кортикостероиди, Ефира гранули не трябва да бъде бърз заместител на инхалаторните кортикостероиди (вж.точка 4.4).</w:t>
      </w:r>
    </w:p>
    <w:p w14:paraId="33DD18EC" w14:textId="77777777" w:rsidR="001C4776" w:rsidRPr="001C4776" w:rsidRDefault="001C4776" w:rsidP="001C4776">
      <w:pPr>
        <w:spacing w:line="240" w:lineRule="auto"/>
        <w:rPr>
          <w:rFonts w:eastAsia="Times New Roman" w:cs="Arial"/>
          <w:i/>
          <w:iCs/>
          <w:color w:val="000000"/>
          <w:szCs w:val="20"/>
          <w:lang w:eastAsia="bg-BG"/>
        </w:rPr>
      </w:pPr>
    </w:p>
    <w:p w14:paraId="35FB26F9" w14:textId="7E418D77"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lastRenderedPageBreak/>
        <w:t>Педиатрична популация</w:t>
      </w:r>
    </w:p>
    <w:p w14:paraId="7F12FA3E"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Гранулите монтелукаст не трябва да се дават на деца на възраст под 6 месеца. Безопасността и ефикасността на гранулите монтелукаст при деца под 6 месечна възраст не са установени.</w:t>
      </w:r>
    </w:p>
    <w:p w14:paraId="793DD82E" w14:textId="77777777" w:rsidR="001C4776" w:rsidRPr="001C4776" w:rsidRDefault="001C4776" w:rsidP="001C4776">
      <w:pPr>
        <w:spacing w:line="240" w:lineRule="auto"/>
        <w:rPr>
          <w:rFonts w:eastAsia="Times New Roman" w:cs="Arial"/>
          <w:color w:val="000000"/>
          <w:szCs w:val="20"/>
          <w:u w:val="single"/>
          <w:lang w:eastAsia="bg-BG"/>
        </w:rPr>
      </w:pPr>
    </w:p>
    <w:p w14:paraId="161709EC" w14:textId="6244820B" w:rsidR="001C4776" w:rsidRPr="001C4776" w:rsidRDefault="001C4776" w:rsidP="001C4776">
      <w:pPr>
        <w:pStyle w:val="Heading3"/>
        <w:rPr>
          <w:rFonts w:eastAsia="Times New Roman"/>
          <w:sz w:val="28"/>
          <w:u w:val="single"/>
        </w:rPr>
      </w:pPr>
      <w:r w:rsidRPr="001C4776">
        <w:rPr>
          <w:rFonts w:eastAsia="Times New Roman"/>
          <w:u w:val="single"/>
          <w:lang w:eastAsia="bg-BG"/>
        </w:rPr>
        <w:t>Начин на приложение</w:t>
      </w:r>
    </w:p>
    <w:p w14:paraId="0CE45DB5"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Пероралпо </w:t>
      </w:r>
      <w:r w:rsidRPr="001C4776">
        <w:rPr>
          <w:rFonts w:eastAsia="Times New Roman" w:cs="Arial"/>
          <w:i/>
          <w:iCs/>
          <w:color w:val="000000"/>
          <w:szCs w:val="20"/>
          <w:lang w:eastAsia="bg-BG"/>
        </w:rPr>
        <w:t>приложение</w:t>
      </w:r>
    </w:p>
    <w:p w14:paraId="2FEB9A5C"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Гранулите монтелукаст може да се прилагат или директно в устата, или смесени с лъжица студена или със стайна температура мека храна (налр. ябълкова каша, сладолед, моркови и ориз). Сашето не трябва да се отваря преди употреба. След отваряне на сашето, цялото количество Ефира гранули трябва да се приложи веднага (в рамките на 15 минути). Ако е смесен с храна, Ефира гранули не трябва да се съхранява за бъдеща употреба. За да бъде приложен, Ефира гранули не трябва да бъде разтварян в течности. След приложение може да се приемат течности.</w:t>
      </w:r>
    </w:p>
    <w:p w14:paraId="7C8D7856"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Ефира гранули може да се прилага без значение от времето на приемане на храна.</w:t>
      </w:r>
    </w:p>
    <w:p w14:paraId="65B5E0DC" w14:textId="77777777" w:rsidR="001C4776" w:rsidRPr="001C4776" w:rsidRDefault="001C4776" w:rsidP="001C4776">
      <w:pPr>
        <w:spacing w:line="240" w:lineRule="auto"/>
        <w:rPr>
          <w:rFonts w:eastAsia="Times New Roman" w:cs="Arial"/>
          <w:i/>
          <w:iCs/>
          <w:color w:val="000000"/>
          <w:szCs w:val="20"/>
          <w:lang w:eastAsia="bg-BG"/>
        </w:rPr>
      </w:pPr>
    </w:p>
    <w:p w14:paraId="5A4E6EEE" w14:textId="549B526C"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Други лекарствени форми и концентрации:</w:t>
      </w:r>
    </w:p>
    <w:p w14:paraId="0E028BB0"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10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филмирани таблетки за пациенти над 15-годишна възраст.</w:t>
      </w:r>
    </w:p>
    <w:p w14:paraId="76D48A60" w14:textId="0D8039C8" w:rsidR="001C4776" w:rsidRPr="001C4776" w:rsidRDefault="001C4776" w:rsidP="001C4776">
      <w:pPr>
        <w:rPr>
          <w:rFonts w:eastAsia="Times New Roman" w:cs="Arial"/>
          <w:color w:val="000000"/>
          <w:szCs w:val="20"/>
          <w:lang w:eastAsia="bg-BG"/>
        </w:rPr>
      </w:pPr>
      <w:r w:rsidRPr="001C4776">
        <w:rPr>
          <w:rFonts w:eastAsia="Times New Roman" w:cs="Arial"/>
          <w:color w:val="000000"/>
          <w:szCs w:val="20"/>
          <w:lang w:eastAsia="bg-BG"/>
        </w:rPr>
        <w:t xml:space="preserve">5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таблетки за дъвчене за педиатрични пациенти от 6 до 14-годишна възраст.</w:t>
      </w:r>
    </w:p>
    <w:p w14:paraId="0B3569AD" w14:textId="213E1156" w:rsidR="001C4776" w:rsidRPr="001C4776" w:rsidRDefault="001C4776" w:rsidP="001C4776">
      <w:pPr>
        <w:rPr>
          <w:rFonts w:cs="Arial"/>
          <w:szCs w:val="20"/>
        </w:rPr>
      </w:pPr>
      <w:r w:rsidRPr="001C4776">
        <w:rPr>
          <w:rFonts w:cs="Arial"/>
          <w:szCs w:val="20"/>
        </w:rPr>
        <w:t xml:space="preserve">4 </w:t>
      </w:r>
      <w:r w:rsidRPr="001C4776">
        <w:rPr>
          <w:rFonts w:cs="Arial"/>
          <w:szCs w:val="20"/>
          <w:lang w:val="en-US"/>
        </w:rPr>
        <w:t>mg</w:t>
      </w:r>
      <w:r w:rsidRPr="001C4776">
        <w:rPr>
          <w:rFonts w:cs="Arial"/>
          <w:szCs w:val="20"/>
          <w:lang w:val="ru-RU"/>
        </w:rPr>
        <w:t xml:space="preserve"> </w:t>
      </w:r>
      <w:r w:rsidRPr="001C4776">
        <w:rPr>
          <w:rFonts w:cs="Arial"/>
          <w:szCs w:val="20"/>
        </w:rPr>
        <w:t>таблетки за дъвчене като алтернативна лекарствена форма за педиатрични пациенти от 2 до 5-годишна възраст.</w:t>
      </w:r>
    </w:p>
    <w:p w14:paraId="652BE2E3" w14:textId="77777777" w:rsidR="001C4776" w:rsidRPr="001C4776" w:rsidRDefault="001C4776" w:rsidP="001C4776"/>
    <w:p w14:paraId="0F253247" w14:textId="0FD7FF6E" w:rsidR="007122AD" w:rsidRDefault="002C50EE" w:rsidP="00936AD0">
      <w:pPr>
        <w:pStyle w:val="Heading2"/>
      </w:pPr>
      <w:r>
        <w:t>4.3. Противопоказания</w:t>
      </w:r>
    </w:p>
    <w:p w14:paraId="6C6EE577" w14:textId="75660382" w:rsidR="001C4776" w:rsidRDefault="001C4776" w:rsidP="001C4776"/>
    <w:p w14:paraId="65A1870A" w14:textId="0E1538E7" w:rsidR="001C4776" w:rsidRDefault="001C4776" w:rsidP="001C4776">
      <w:pPr>
        <w:rPr>
          <w:lang w:eastAsia="bg-BG"/>
        </w:rPr>
      </w:pPr>
      <w:r w:rsidRPr="001C4776">
        <w:rPr>
          <w:lang w:eastAsia="bg-BG"/>
        </w:rPr>
        <w:t>Свръхчувствителност към активното вещество или към някое от помощните вещества, изброени в точка 6.1.</w:t>
      </w:r>
    </w:p>
    <w:p w14:paraId="5F34A6EB" w14:textId="77777777" w:rsidR="001C4776" w:rsidRPr="001C4776" w:rsidRDefault="001C4776" w:rsidP="001C4776">
      <w:pPr>
        <w:rPr>
          <w:sz w:val="24"/>
          <w:szCs w:val="24"/>
        </w:rPr>
      </w:pPr>
    </w:p>
    <w:p w14:paraId="0E0BDCC7" w14:textId="7734412E" w:rsidR="007122AD" w:rsidRDefault="002C50EE" w:rsidP="00936AD0">
      <w:pPr>
        <w:pStyle w:val="Heading2"/>
      </w:pPr>
      <w:r>
        <w:t>4.4. Специални предупреждения и предпазни мерки при употреба</w:t>
      </w:r>
    </w:p>
    <w:p w14:paraId="2AB5734E" w14:textId="01F47DA3" w:rsidR="001C4776" w:rsidRDefault="001C4776" w:rsidP="001C4776"/>
    <w:p w14:paraId="48987270"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Диагнозата персистираща астма при много малки деца (от 6 месеца до 2 години) трябва да бъде поставена от педиатър или пулмолог.</w:t>
      </w:r>
    </w:p>
    <w:p w14:paraId="413A0745" w14:textId="77777777" w:rsidR="001C4776" w:rsidRPr="001C4776" w:rsidRDefault="001C4776" w:rsidP="001C4776">
      <w:pPr>
        <w:spacing w:line="240" w:lineRule="auto"/>
        <w:rPr>
          <w:rFonts w:eastAsia="Times New Roman" w:cs="Arial"/>
          <w:color w:val="000000"/>
          <w:szCs w:val="20"/>
          <w:lang w:eastAsia="bg-BG"/>
        </w:rPr>
      </w:pPr>
    </w:p>
    <w:p w14:paraId="1B6B1F09" w14:textId="3EB1ACAC"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Пациентите трябва да бъдат съветвани никога да не използват перорално монтелукаст за лечение на остри пристъпи на астма, както и да подържат на разположение подходящи животоспасяващи лекарства. При развитие на остър астматичен пристъп, трябва да се използва краткодействащ инхалаторен β-агонист. Пациентите трябва да се обърнат за съвет към лекуващия ги лекар колкото е възможно по-скоро, ако се нуждаят от повече инхалации от краткодействащи β-агонисти, отколкото е обичайно.</w:t>
      </w:r>
    </w:p>
    <w:p w14:paraId="2900D5C4" w14:textId="77777777" w:rsidR="001C4776" w:rsidRPr="001C4776" w:rsidRDefault="001C4776" w:rsidP="001C4776">
      <w:pPr>
        <w:spacing w:line="240" w:lineRule="auto"/>
        <w:rPr>
          <w:rFonts w:eastAsia="Times New Roman" w:cs="Arial"/>
          <w:color w:val="000000"/>
          <w:szCs w:val="20"/>
          <w:lang w:eastAsia="bg-BG"/>
        </w:rPr>
      </w:pPr>
    </w:p>
    <w:p w14:paraId="779268C5" w14:textId="6A35B22A"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не трябва да бъде заместител на инхалаторните или перорални кортикостероиди.</w:t>
      </w:r>
    </w:p>
    <w:p w14:paraId="777E6CC5" w14:textId="77777777" w:rsidR="001C4776" w:rsidRPr="001C4776" w:rsidRDefault="001C4776" w:rsidP="001C4776">
      <w:pPr>
        <w:spacing w:line="240" w:lineRule="auto"/>
        <w:rPr>
          <w:rFonts w:eastAsia="Times New Roman" w:cs="Arial"/>
          <w:color w:val="000000"/>
          <w:szCs w:val="20"/>
          <w:lang w:eastAsia="bg-BG"/>
        </w:rPr>
      </w:pPr>
    </w:p>
    <w:p w14:paraId="46CA38DD" w14:textId="2015983F"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Няма данни доказващи, че дозата на пероралните кортикостероиди може да бъде намалена когато едновременно се дава и монтелукаст.</w:t>
      </w:r>
    </w:p>
    <w:p w14:paraId="02DB5107" w14:textId="77777777" w:rsidR="001C4776" w:rsidRPr="001C4776" w:rsidRDefault="001C4776" w:rsidP="001C4776">
      <w:pPr>
        <w:spacing w:line="240" w:lineRule="auto"/>
        <w:rPr>
          <w:rFonts w:eastAsia="Times New Roman" w:cs="Arial"/>
          <w:color w:val="000000"/>
          <w:szCs w:val="20"/>
          <w:lang w:eastAsia="bg-BG"/>
        </w:rPr>
      </w:pPr>
    </w:p>
    <w:p w14:paraId="56F45452" w14:textId="481FB122"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В редки случаи пациентите на лечение с антиастматични средства, включително монтелукаст може да се представят със системна еозинофилия, понякога с клинични прояви на васкулит, отговарящ на синдрома на </w:t>
      </w:r>
      <w:proofErr w:type="spellStart"/>
      <w:r w:rsidRPr="001C4776">
        <w:rPr>
          <w:rFonts w:eastAsia="Times New Roman" w:cs="Arial"/>
          <w:color w:val="000000"/>
          <w:szCs w:val="20"/>
          <w:lang w:val="en-US"/>
        </w:rPr>
        <w:t>Churg</w:t>
      </w:r>
      <w:proofErr w:type="spellEnd"/>
      <w:r w:rsidRPr="001C4776">
        <w:rPr>
          <w:rFonts w:eastAsia="Times New Roman" w:cs="Arial"/>
          <w:color w:val="000000"/>
          <w:szCs w:val="20"/>
          <w:lang w:val="ru-RU"/>
        </w:rPr>
        <w:t>-</w:t>
      </w:r>
      <w:r w:rsidRPr="001C4776">
        <w:rPr>
          <w:rFonts w:eastAsia="Times New Roman" w:cs="Arial"/>
          <w:color w:val="000000"/>
          <w:szCs w:val="20"/>
          <w:lang w:val="en-US"/>
        </w:rPr>
        <w:t>Strauss</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състояние, което често се лекува със системна кортикостероидна терапия. Тези случаи са свързани понякога с </w:t>
      </w:r>
      <w:r w:rsidRPr="001C4776">
        <w:rPr>
          <w:rFonts w:eastAsia="Times New Roman" w:cs="Arial"/>
          <w:color w:val="000000"/>
          <w:szCs w:val="20"/>
          <w:lang w:eastAsia="bg-BG"/>
        </w:rPr>
        <w:lastRenderedPageBreak/>
        <w:t>намаляване на дозата или прекратяване на пероралната кортикостероидна терапия. Въпреки че, причинна връзка с левкотриеновия рецепторен антагонизъм не е установена, лекарите трябва да бъдат бдителни относно появата при техните пациенти на еозинофилия, васкулитен обрив, влошаване на белодробните симптоми, сърдечно-съдови усложнения и/или невропатия. При пациенти, които развият подобни симптоми, трябва да се преоцени тяхното състояние и да се преразгледа терапевтичния режим.</w:t>
      </w:r>
    </w:p>
    <w:p w14:paraId="11A5C954" w14:textId="77777777" w:rsidR="001C4776" w:rsidRPr="001C4776" w:rsidRDefault="001C4776" w:rsidP="001C4776">
      <w:pPr>
        <w:spacing w:line="240" w:lineRule="auto"/>
        <w:rPr>
          <w:rFonts w:eastAsia="Times New Roman" w:cs="Arial"/>
          <w:color w:val="000000"/>
          <w:szCs w:val="20"/>
          <w:lang w:eastAsia="bg-BG"/>
        </w:rPr>
      </w:pPr>
    </w:p>
    <w:p w14:paraId="7653A60D" w14:textId="32C02DB2"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Лечението с монтелукаст не променя необходимостта пациентите с астма, чувствителна към ацетилсалицилова киселина, да избягват приема на ацетилсалицилова киселина и други нестероидни противовъзпалителни лекарства.</w:t>
      </w:r>
    </w:p>
    <w:p w14:paraId="6F5A4ED1" w14:textId="77777777" w:rsidR="001C4776" w:rsidRPr="001C4776" w:rsidRDefault="001C4776" w:rsidP="001C4776">
      <w:pPr>
        <w:spacing w:line="240" w:lineRule="auto"/>
        <w:rPr>
          <w:rFonts w:eastAsia="Times New Roman" w:cs="Arial"/>
          <w:color w:val="000000"/>
          <w:szCs w:val="20"/>
          <w:lang w:eastAsia="bg-BG"/>
        </w:rPr>
      </w:pPr>
    </w:p>
    <w:p w14:paraId="02163FE1" w14:textId="202966D2"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Съобщават се невро-психични събития при възрастни, юноши и деца, приемащи Ефира гарнули (вж. точка 4.8). Пациентите и лекарите трябва да бъдат предупредени за невро-психични събития. Пациентите и/или лицата, полагащи грижи, трябва да бъдат инструктирани да уведомят лекаря си, ако настъпят такива промени. Лекуващите лекари трябва внимателно да преценят съотношението полза/риск от продължителното лечение с Ефира гранули, ако възникнат такива събития.</w:t>
      </w:r>
    </w:p>
    <w:p w14:paraId="0591042B" w14:textId="77777777" w:rsidR="001C4776" w:rsidRPr="001C4776" w:rsidRDefault="001C4776" w:rsidP="001C4776">
      <w:pPr>
        <w:spacing w:line="240" w:lineRule="auto"/>
        <w:rPr>
          <w:rFonts w:eastAsia="Times New Roman" w:cs="Arial"/>
          <w:color w:val="000000"/>
          <w:szCs w:val="20"/>
          <w:lang w:eastAsia="bg-BG"/>
        </w:rPr>
      </w:pPr>
    </w:p>
    <w:p w14:paraId="2A9D57A8" w14:textId="6B646559"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Помощни вещества</w:t>
      </w:r>
    </w:p>
    <w:p w14:paraId="58D7D71D" w14:textId="77777777" w:rsidR="001C4776" w:rsidRPr="001C4776" w:rsidRDefault="001C4776" w:rsidP="001C4776">
      <w:pPr>
        <w:spacing w:line="240" w:lineRule="auto"/>
        <w:rPr>
          <w:rFonts w:eastAsia="Times New Roman" w:cs="Arial"/>
          <w:i/>
          <w:iCs/>
          <w:color w:val="000000"/>
          <w:szCs w:val="20"/>
          <w:lang w:eastAsia="bg-BG"/>
        </w:rPr>
      </w:pPr>
    </w:p>
    <w:p w14:paraId="7138955B" w14:textId="768EA188"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eastAsia="bg-BG"/>
        </w:rPr>
        <w:t>Натрий</w:t>
      </w:r>
    </w:p>
    <w:p w14:paraId="22C6C649" w14:textId="77777777" w:rsidR="001C4776" w:rsidRPr="001C4776" w:rsidRDefault="001C4776" w:rsidP="001C4776">
      <w:pPr>
        <w:spacing w:line="240" w:lineRule="auto"/>
        <w:rPr>
          <w:rFonts w:ascii="Times New Roman" w:eastAsia="Times New Roman" w:hAnsi="Times New Roman" w:cs="Times New Roman"/>
          <w:sz w:val="24"/>
          <w:szCs w:val="24"/>
        </w:rPr>
      </w:pPr>
      <w:r w:rsidRPr="001C4776">
        <w:rPr>
          <w:rFonts w:eastAsia="Times New Roman" w:cs="Arial"/>
          <w:color w:val="000000"/>
          <w:szCs w:val="20"/>
          <w:lang w:eastAsia="bg-BG"/>
        </w:rPr>
        <w:t xml:space="preserve">Това лекарство съдържа по-малко от 1 </w:t>
      </w:r>
      <w:proofErr w:type="spellStart"/>
      <w:r w:rsidRPr="001C4776">
        <w:rPr>
          <w:rFonts w:eastAsia="Times New Roman" w:cs="Arial"/>
          <w:color w:val="000000"/>
          <w:szCs w:val="20"/>
          <w:lang w:val="en-US"/>
        </w:rPr>
        <w:t>mmol</w:t>
      </w:r>
      <w:proofErr w:type="spellEnd"/>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натрий (23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на саше, т.е. може да се каже, че практически не съдържа натрий.</w:t>
      </w:r>
    </w:p>
    <w:p w14:paraId="1B8477C9" w14:textId="77777777" w:rsidR="001C4776" w:rsidRPr="001C4776" w:rsidRDefault="001C4776" w:rsidP="001C4776"/>
    <w:p w14:paraId="0734264C" w14:textId="418E76C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16FD391" w14:textId="0A140D4A" w:rsidR="001C4776" w:rsidRDefault="001C4776" w:rsidP="001C4776"/>
    <w:p w14:paraId="69E395C5"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може да бъде прилаган с други видове лечение, използвани рутинно в профилактиката и хроничното лечение на астма. В клинични проучвания за лекарствени взаимодействия, препоръчваната клинична доза за монтелукаст няма клинично значими ефекти върху фармакокинетиката на следните лекарства: теофилин, преднизон, преднизолон, перорални контрацептиви (етинил естрадиол/норетиндрон 35/1), терфенадин, дигоксин и варфарин.</w:t>
      </w:r>
    </w:p>
    <w:p w14:paraId="64EE6263" w14:textId="77777777" w:rsidR="001C4776" w:rsidRPr="001C4776" w:rsidRDefault="001C4776" w:rsidP="001C4776">
      <w:pPr>
        <w:spacing w:line="240" w:lineRule="auto"/>
        <w:rPr>
          <w:rFonts w:eastAsia="Times New Roman" w:cs="Arial"/>
          <w:color w:val="000000"/>
          <w:szCs w:val="20"/>
          <w:lang w:eastAsia="bg-BG"/>
        </w:rPr>
      </w:pPr>
    </w:p>
    <w:p w14:paraId="5AF5A92A" w14:textId="4035A45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Площта под кривата на плазмената концентрация </w:t>
      </w:r>
      <w:r w:rsidRPr="001C4776">
        <w:rPr>
          <w:rFonts w:eastAsia="Times New Roman" w:cs="Arial"/>
          <w:color w:val="000000"/>
          <w:szCs w:val="20"/>
          <w:lang w:val="ru-RU"/>
        </w:rPr>
        <w:t>(</w:t>
      </w:r>
      <w:r w:rsidRPr="001C4776">
        <w:rPr>
          <w:rFonts w:eastAsia="Times New Roman" w:cs="Arial"/>
          <w:color w:val="000000"/>
          <w:szCs w:val="20"/>
          <w:lang w:val="en-US"/>
        </w:rPr>
        <w:t>AUC</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за монтелукаст е била намалена приблизително с 40% при лица, които едновременно са прилагали фенобарбитал. Тъй като монтелукаст се метаболизира от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ЗА4,</w:t>
      </w:r>
      <w:r w:rsidRPr="001C4776">
        <w:rPr>
          <w:rFonts w:eastAsia="Times New Roman" w:cs="Arial"/>
          <w:i/>
          <w:iCs/>
          <w:color w:val="000000"/>
          <w:szCs w:val="20"/>
          <w:lang w:eastAsia="bg-BG"/>
        </w:rPr>
        <w:t>2С8</w:t>
      </w:r>
      <w:r w:rsidRPr="001C4776">
        <w:rPr>
          <w:rFonts w:eastAsia="Times New Roman" w:cs="Arial"/>
          <w:color w:val="000000"/>
          <w:szCs w:val="20"/>
          <w:lang w:eastAsia="bg-BG"/>
        </w:rPr>
        <w:t xml:space="preserve"> и </w:t>
      </w:r>
      <w:r w:rsidRPr="001C4776">
        <w:rPr>
          <w:rFonts w:eastAsia="Times New Roman" w:cs="Arial"/>
          <w:i/>
          <w:iCs/>
          <w:color w:val="000000"/>
          <w:szCs w:val="20"/>
          <w:lang w:eastAsia="bg-BG"/>
        </w:rPr>
        <w:t>2С9</w:t>
      </w:r>
      <w:r w:rsidRPr="001C4776">
        <w:rPr>
          <w:rFonts w:eastAsia="Times New Roman" w:cs="Arial"/>
          <w:color w:val="000000"/>
          <w:szCs w:val="20"/>
          <w:lang w:eastAsia="bg-BG"/>
        </w:rPr>
        <w:t xml:space="preserve"> когато се прилага едновременно с индуктори на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ЗА4,2С8 и 2С9 като фенитоин, фенобарбитал и рифампицин и особено при деца, е необходимо повишено внимание.</w:t>
      </w:r>
    </w:p>
    <w:p w14:paraId="1D67A11A" w14:textId="1717B0B5"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val="en-US"/>
        </w:rPr>
        <w:t>In</w:t>
      </w:r>
      <w:r w:rsidRPr="001C4776">
        <w:rPr>
          <w:rFonts w:eastAsia="Times New Roman" w:cs="Arial"/>
          <w:color w:val="000000"/>
          <w:szCs w:val="20"/>
          <w:lang w:eastAsia="bg-BG"/>
        </w:rPr>
        <w:t xml:space="preserve"> </w:t>
      </w:r>
      <w:r w:rsidRPr="001C4776">
        <w:rPr>
          <w:rFonts w:eastAsia="Times New Roman" w:cs="Arial"/>
          <w:i/>
          <w:iCs/>
          <w:color w:val="000000"/>
          <w:szCs w:val="20"/>
          <w:lang w:val="en-US"/>
        </w:rPr>
        <w:t>vitro</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проучвания са показали, че монтелукаст е мощен инхибитор на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2С8. Въпреки това, данните от клинични проучвания за </w:t>
      </w:r>
      <w:r w:rsidRPr="001C4776">
        <w:rPr>
          <w:rFonts w:eastAsia="Times New Roman" w:cs="Arial"/>
          <w:i/>
          <w:iCs/>
          <w:color w:val="000000"/>
          <w:szCs w:val="20"/>
          <w:lang w:eastAsia="bg-BG"/>
        </w:rPr>
        <w:t>лекарствени</w:t>
      </w:r>
      <w:r w:rsidRPr="001C4776">
        <w:rPr>
          <w:rFonts w:eastAsia="Times New Roman" w:cs="Arial"/>
          <w:color w:val="000000"/>
          <w:szCs w:val="20"/>
          <w:lang w:eastAsia="bg-BG"/>
        </w:rPr>
        <w:t xml:space="preserve"> взаимодействия, включващи монтелукаст и розиглитазон (проучван субстрат, представителен за лекарства, които се метаболизират основно от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i/>
          <w:iCs/>
          <w:color w:val="000000"/>
          <w:szCs w:val="20"/>
          <w:lang w:eastAsia="bg-BG"/>
        </w:rPr>
        <w:t>2С8)</w:t>
      </w:r>
      <w:r w:rsidRPr="001C4776">
        <w:rPr>
          <w:rFonts w:eastAsia="Times New Roman" w:cs="Arial"/>
          <w:color w:val="000000"/>
          <w:szCs w:val="20"/>
          <w:lang w:eastAsia="bg-BG"/>
        </w:rPr>
        <w:t xml:space="preserve"> са показали, че монтелукаст не инхибира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2С8 </w:t>
      </w:r>
      <w:r w:rsidRPr="001C4776">
        <w:rPr>
          <w:rFonts w:eastAsia="Times New Roman" w:cs="Arial"/>
          <w:i/>
          <w:iCs/>
          <w:color w:val="000000"/>
          <w:szCs w:val="20"/>
          <w:lang w:val="en-US"/>
        </w:rPr>
        <w:t>in</w:t>
      </w:r>
      <w:r w:rsidRPr="001C4776">
        <w:rPr>
          <w:rFonts w:eastAsia="Times New Roman" w:cs="Arial"/>
          <w:i/>
          <w:iCs/>
          <w:color w:val="000000"/>
          <w:szCs w:val="20"/>
          <w:lang w:val="ru-RU"/>
        </w:rPr>
        <w:t xml:space="preserve"> </w:t>
      </w:r>
      <w:r w:rsidRPr="001C4776">
        <w:rPr>
          <w:rFonts w:eastAsia="Times New Roman" w:cs="Arial"/>
          <w:i/>
          <w:iCs/>
          <w:color w:val="000000"/>
          <w:szCs w:val="20"/>
          <w:lang w:val="en-US"/>
        </w:rPr>
        <w:t>vivo</w:t>
      </w:r>
      <w:r w:rsidRPr="001C4776">
        <w:rPr>
          <w:rFonts w:eastAsia="Times New Roman" w:cs="Arial"/>
          <w:i/>
          <w:iCs/>
          <w:color w:val="000000"/>
          <w:szCs w:val="20"/>
          <w:lang w:val="ru-RU"/>
        </w:rPr>
        <w:t>.</w:t>
      </w:r>
      <w:r w:rsidRPr="001C4776">
        <w:rPr>
          <w:rFonts w:eastAsia="Times New Roman" w:cs="Arial"/>
          <w:color w:val="000000"/>
          <w:szCs w:val="20"/>
          <w:lang w:val="ru-RU"/>
        </w:rPr>
        <w:t xml:space="preserve"> </w:t>
      </w:r>
      <w:r w:rsidRPr="001C4776">
        <w:rPr>
          <w:rFonts w:eastAsia="Times New Roman" w:cs="Arial"/>
          <w:color w:val="000000"/>
          <w:szCs w:val="20"/>
          <w:lang w:eastAsia="bg-BG"/>
        </w:rPr>
        <w:t>Затова не се очаква монтелукаст да промени подчертано метаболизма на лекарствата метаболизирани от този ензим (напр. паклитаксел, розиглитазон и репаглидин).</w:t>
      </w:r>
    </w:p>
    <w:p w14:paraId="5273A891" w14:textId="77777777" w:rsidR="001C4776" w:rsidRPr="001C4776" w:rsidRDefault="001C4776" w:rsidP="001C4776">
      <w:pPr>
        <w:spacing w:line="240" w:lineRule="auto"/>
        <w:rPr>
          <w:rFonts w:eastAsia="Times New Roman" w:cs="Arial"/>
          <w:i/>
          <w:iCs/>
          <w:color w:val="000000"/>
          <w:szCs w:val="20"/>
          <w:lang w:val="en-US"/>
        </w:rPr>
      </w:pPr>
    </w:p>
    <w:p w14:paraId="2B9C2B0D" w14:textId="02E2D0DF" w:rsidR="001C4776" w:rsidRPr="001C4776" w:rsidRDefault="001C4776" w:rsidP="001C4776">
      <w:pPr>
        <w:spacing w:line="240" w:lineRule="auto"/>
        <w:rPr>
          <w:rFonts w:eastAsia="Times New Roman" w:cs="Arial"/>
          <w:sz w:val="28"/>
          <w:szCs w:val="24"/>
        </w:rPr>
      </w:pPr>
      <w:r w:rsidRPr="001C4776">
        <w:rPr>
          <w:rFonts w:eastAsia="Times New Roman" w:cs="Arial"/>
          <w:i/>
          <w:iCs/>
          <w:color w:val="000000"/>
          <w:szCs w:val="20"/>
          <w:lang w:val="en-US"/>
        </w:rPr>
        <w:t>In</w:t>
      </w:r>
      <w:r w:rsidRPr="001C4776">
        <w:rPr>
          <w:rFonts w:eastAsia="Times New Roman" w:cs="Arial"/>
          <w:i/>
          <w:iCs/>
          <w:color w:val="000000"/>
          <w:szCs w:val="20"/>
          <w:lang w:val="ru-RU"/>
        </w:rPr>
        <w:t xml:space="preserve"> </w:t>
      </w:r>
      <w:r w:rsidRPr="001C4776">
        <w:rPr>
          <w:rFonts w:eastAsia="Times New Roman" w:cs="Arial"/>
          <w:i/>
          <w:iCs/>
          <w:color w:val="000000"/>
          <w:szCs w:val="20"/>
          <w:lang w:val="en-US"/>
        </w:rPr>
        <w:t>vitro</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проучванията са показали, </w:t>
      </w:r>
      <w:r w:rsidRPr="001C4776">
        <w:rPr>
          <w:rFonts w:eastAsia="Times New Roman" w:cs="Arial"/>
          <w:i/>
          <w:iCs/>
          <w:color w:val="000000"/>
          <w:szCs w:val="20"/>
          <w:lang w:eastAsia="bg-BG"/>
        </w:rPr>
        <w:t>че</w:t>
      </w:r>
      <w:r w:rsidRPr="001C4776">
        <w:rPr>
          <w:rFonts w:eastAsia="Times New Roman" w:cs="Arial"/>
          <w:color w:val="000000"/>
          <w:szCs w:val="20"/>
          <w:lang w:eastAsia="bg-BG"/>
        </w:rPr>
        <w:t xml:space="preserve"> монтелукаст е субстрат на </w:t>
      </w:r>
      <w:r w:rsidRPr="001C4776">
        <w:rPr>
          <w:rFonts w:eastAsia="Times New Roman" w:cs="Arial"/>
          <w:color w:val="000000"/>
          <w:szCs w:val="20"/>
          <w:lang w:val="en-US"/>
        </w:rPr>
        <w:t>CYP</w:t>
      </w:r>
      <w:r w:rsidRPr="001C4776">
        <w:rPr>
          <w:rFonts w:eastAsia="Times New Roman" w:cs="Arial"/>
          <w:color w:val="000000"/>
          <w:szCs w:val="20"/>
          <w:lang w:val="ru-RU"/>
        </w:rPr>
        <w:t>2</w:t>
      </w:r>
      <w:r w:rsidRPr="001C4776">
        <w:rPr>
          <w:rFonts w:eastAsia="Times New Roman" w:cs="Arial"/>
          <w:color w:val="000000"/>
          <w:szCs w:val="20"/>
          <w:lang w:val="en-US"/>
        </w:rPr>
        <w:t>C</w:t>
      </w:r>
      <w:r w:rsidRPr="001C4776">
        <w:rPr>
          <w:rFonts w:eastAsia="Times New Roman" w:cs="Arial"/>
          <w:color w:val="000000"/>
          <w:szCs w:val="20"/>
          <w:lang w:val="ru-RU"/>
        </w:rPr>
        <w:t xml:space="preserve">8 </w:t>
      </w:r>
      <w:r w:rsidRPr="001C4776">
        <w:rPr>
          <w:rFonts w:eastAsia="Times New Roman" w:cs="Arial"/>
          <w:color w:val="000000"/>
          <w:szCs w:val="20"/>
          <w:lang w:eastAsia="bg-BG"/>
        </w:rPr>
        <w:t xml:space="preserve">и в по-незначителна степен от 2С9 и ЗА4. В клиничните проучвания на лекарствените взаимодействията, включващи монтелукаст и гемфиброзил (инхибитор на </w:t>
      </w:r>
      <w:r w:rsidRPr="001C4776">
        <w:rPr>
          <w:rFonts w:eastAsia="Times New Roman" w:cs="Arial"/>
          <w:color w:val="000000"/>
          <w:szCs w:val="20"/>
          <w:lang w:val="en-US"/>
        </w:rPr>
        <w:t>CYP</w:t>
      </w:r>
      <w:r w:rsidRPr="001C4776">
        <w:rPr>
          <w:rFonts w:eastAsia="Times New Roman" w:cs="Arial"/>
          <w:color w:val="000000"/>
          <w:szCs w:val="20"/>
          <w:lang w:val="ru-RU"/>
        </w:rPr>
        <w:t>2</w:t>
      </w:r>
      <w:r w:rsidRPr="001C4776">
        <w:rPr>
          <w:rFonts w:eastAsia="Times New Roman" w:cs="Arial"/>
          <w:color w:val="000000"/>
          <w:szCs w:val="20"/>
          <w:lang w:val="en-US"/>
        </w:rPr>
        <w:t>C</w:t>
      </w:r>
      <w:r w:rsidRPr="001C4776">
        <w:rPr>
          <w:rFonts w:eastAsia="Times New Roman" w:cs="Arial"/>
          <w:color w:val="000000"/>
          <w:szCs w:val="20"/>
          <w:lang w:val="ru-RU"/>
        </w:rPr>
        <w:t xml:space="preserve">8 </w:t>
      </w:r>
      <w:r w:rsidRPr="001C4776">
        <w:rPr>
          <w:rFonts w:eastAsia="Times New Roman" w:cs="Arial"/>
          <w:color w:val="000000"/>
          <w:szCs w:val="20"/>
          <w:lang w:eastAsia="bg-BG"/>
        </w:rPr>
        <w:t xml:space="preserve">и 2С9) </w:t>
      </w:r>
      <w:r w:rsidRPr="001C4776">
        <w:rPr>
          <w:rFonts w:eastAsia="Times New Roman" w:cs="Arial"/>
          <w:color w:val="000000"/>
          <w:szCs w:val="20"/>
          <w:lang w:eastAsia="bg-BG"/>
        </w:rPr>
        <w:lastRenderedPageBreak/>
        <w:t xml:space="preserve">гемфиброзил увеличава системната експозиция на монтелукаст до 4*4 пъти. Не е необходимо коригиране на дозата на монтелукаст </w:t>
      </w:r>
      <w:r w:rsidRPr="001C4776">
        <w:rPr>
          <w:rFonts w:eastAsia="Times New Roman" w:cs="Arial"/>
          <w:i/>
          <w:iCs/>
          <w:color w:val="000000"/>
          <w:szCs w:val="20"/>
          <w:lang w:eastAsia="bg-BG"/>
        </w:rPr>
        <w:t>при</w:t>
      </w:r>
      <w:r w:rsidRPr="001C4776">
        <w:rPr>
          <w:rFonts w:eastAsia="Times New Roman" w:cs="Arial"/>
          <w:color w:val="000000"/>
          <w:szCs w:val="20"/>
          <w:lang w:eastAsia="bg-BG"/>
        </w:rPr>
        <w:t xml:space="preserve"> едновременното приложение с гемфиброзил или други силни инхибитори на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ЗА4, водещи до незначително увеличение на системната експозиция на монтелукаст.</w:t>
      </w:r>
    </w:p>
    <w:p w14:paraId="09C64A29" w14:textId="77777777" w:rsidR="001C4776" w:rsidRPr="001C4776" w:rsidRDefault="001C4776" w:rsidP="001C4776">
      <w:pPr>
        <w:spacing w:line="240" w:lineRule="auto"/>
        <w:rPr>
          <w:rFonts w:eastAsia="Times New Roman" w:cs="Arial"/>
          <w:color w:val="000000"/>
          <w:szCs w:val="20"/>
          <w:lang w:eastAsia="bg-BG"/>
        </w:rPr>
      </w:pPr>
    </w:p>
    <w:p w14:paraId="212C6BF0" w14:textId="7EAE0451"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Въз основа на </w:t>
      </w:r>
      <w:r w:rsidRPr="001C4776">
        <w:rPr>
          <w:rFonts w:eastAsia="Times New Roman" w:cs="Arial"/>
          <w:i/>
          <w:iCs/>
          <w:color w:val="000000"/>
          <w:szCs w:val="20"/>
          <w:lang w:val="en-US"/>
        </w:rPr>
        <w:t>in</w:t>
      </w:r>
      <w:r w:rsidRPr="001C4776">
        <w:rPr>
          <w:rFonts w:eastAsia="Times New Roman" w:cs="Arial"/>
          <w:i/>
          <w:iCs/>
          <w:color w:val="000000"/>
          <w:szCs w:val="20"/>
          <w:lang w:val="ru-RU"/>
        </w:rPr>
        <w:t xml:space="preserve"> </w:t>
      </w:r>
      <w:r w:rsidRPr="001C4776">
        <w:rPr>
          <w:rFonts w:eastAsia="Times New Roman" w:cs="Arial"/>
          <w:i/>
          <w:iCs/>
          <w:color w:val="000000"/>
          <w:szCs w:val="20"/>
          <w:lang w:val="en-US"/>
        </w:rPr>
        <w:t>vitro</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данните не се очакват клинично важни лекарствени взаимодействия с по- слабите инхибитори </w:t>
      </w:r>
      <w:r w:rsidRPr="001C4776">
        <w:rPr>
          <w:rFonts w:eastAsia="Times New Roman" w:cs="Arial"/>
          <w:i/>
          <w:iCs/>
          <w:color w:val="000000"/>
          <w:szCs w:val="20"/>
          <w:lang w:eastAsia="bg-BG"/>
        </w:rPr>
        <w:t>на</w:t>
      </w:r>
      <w:r w:rsidRPr="001C4776">
        <w:rPr>
          <w:rFonts w:eastAsia="Times New Roman" w:cs="Arial"/>
          <w:color w:val="000000"/>
          <w:szCs w:val="20"/>
          <w:lang w:eastAsia="bg-BG"/>
        </w:rPr>
        <w:t xml:space="preserve">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i/>
          <w:iCs/>
          <w:color w:val="000000"/>
          <w:szCs w:val="20"/>
          <w:lang w:eastAsia="bg-BG"/>
        </w:rPr>
        <w:t>2С8</w:t>
      </w:r>
      <w:r w:rsidRPr="001C4776">
        <w:rPr>
          <w:rFonts w:eastAsia="Times New Roman" w:cs="Arial"/>
          <w:color w:val="000000"/>
          <w:szCs w:val="20"/>
          <w:lang w:eastAsia="bg-BG"/>
        </w:rPr>
        <w:t xml:space="preserve"> (напр. триметоприм). Едновременното прилагане на монтелукаст с итраконазол, силен инхибитор на </w:t>
      </w:r>
      <w:r w:rsidRPr="001C4776">
        <w:rPr>
          <w:rFonts w:eastAsia="Times New Roman" w:cs="Arial"/>
          <w:color w:val="000000"/>
          <w:szCs w:val="20"/>
          <w:lang w:val="en-US"/>
        </w:rPr>
        <w:t>CYP</w:t>
      </w:r>
      <w:r w:rsidRPr="001C4776">
        <w:rPr>
          <w:rFonts w:eastAsia="Times New Roman" w:cs="Arial"/>
          <w:color w:val="000000"/>
          <w:szCs w:val="20"/>
          <w:lang w:val="ru-RU"/>
        </w:rPr>
        <w:t xml:space="preserve"> </w:t>
      </w:r>
      <w:r w:rsidRPr="001C4776">
        <w:rPr>
          <w:rFonts w:eastAsia="Times New Roman" w:cs="Arial"/>
          <w:color w:val="000000"/>
          <w:szCs w:val="20"/>
          <w:lang w:eastAsia="bg-BG"/>
        </w:rPr>
        <w:t>ЗА4 води до незначително повишаване на системната експозиция на монтелукаст.</w:t>
      </w:r>
    </w:p>
    <w:p w14:paraId="3E4E786B" w14:textId="77777777" w:rsidR="001C4776" w:rsidRPr="001C4776" w:rsidRDefault="001C4776" w:rsidP="001C4776"/>
    <w:p w14:paraId="5D9F40EA" w14:textId="71537C7A" w:rsidR="007122AD" w:rsidRDefault="002C50EE" w:rsidP="00936AD0">
      <w:pPr>
        <w:pStyle w:val="Heading2"/>
      </w:pPr>
      <w:r>
        <w:t>4.6. Фертилитет, бременност и кърмене</w:t>
      </w:r>
    </w:p>
    <w:p w14:paraId="2ADB39C6" w14:textId="374438AC" w:rsidR="001C4776" w:rsidRDefault="001C4776" w:rsidP="001C4776"/>
    <w:p w14:paraId="18F539C8" w14:textId="77777777" w:rsidR="001C4776" w:rsidRPr="001C4776" w:rsidRDefault="001C4776" w:rsidP="001C4776">
      <w:pPr>
        <w:pStyle w:val="Heading3"/>
        <w:rPr>
          <w:rFonts w:eastAsia="Times New Roman"/>
          <w:sz w:val="28"/>
          <w:u w:val="single"/>
        </w:rPr>
      </w:pPr>
      <w:r w:rsidRPr="001C4776">
        <w:rPr>
          <w:rFonts w:eastAsia="Times New Roman"/>
          <w:u w:val="single"/>
          <w:lang w:eastAsia="bg-BG"/>
        </w:rPr>
        <w:t>Бременност</w:t>
      </w:r>
    </w:p>
    <w:p w14:paraId="12B667BB"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Проучванията при животни не са показали вредни ефекти по отношение на бременността или ембрионалното/феталното развитие.</w:t>
      </w:r>
    </w:p>
    <w:p w14:paraId="7AB61BA4"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Наличните данни от публикувани проспективни и ретроспективни кохортни проучвания с употреба на монтелукаст при бременни жени, оценяващи големи вродени дефекти, не са установили риск, свързан с лекарството. Наличните проучвания имат методологични ограничения, включително малък размер на извадката, в някои случаи ретроспективно събиране на данни и непоследователни групи за сравнение.</w:t>
      </w:r>
    </w:p>
    <w:p w14:paraId="374F50F3"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може да бъде използван по време на бременност само в случай на категорична необходимост.</w:t>
      </w:r>
    </w:p>
    <w:p w14:paraId="0FA68270" w14:textId="77777777" w:rsidR="001C4776" w:rsidRPr="001C4776" w:rsidRDefault="001C4776" w:rsidP="001C4776">
      <w:pPr>
        <w:spacing w:line="240" w:lineRule="auto"/>
        <w:rPr>
          <w:rFonts w:eastAsia="Times New Roman" w:cs="Arial"/>
          <w:color w:val="000000"/>
          <w:szCs w:val="20"/>
          <w:u w:val="single"/>
          <w:lang w:eastAsia="bg-BG"/>
        </w:rPr>
      </w:pPr>
    </w:p>
    <w:p w14:paraId="78E1432E" w14:textId="18124324" w:rsidR="001C4776" w:rsidRPr="001C4776" w:rsidRDefault="001C4776" w:rsidP="001C4776">
      <w:pPr>
        <w:pStyle w:val="Heading3"/>
        <w:rPr>
          <w:rFonts w:eastAsia="Times New Roman"/>
          <w:sz w:val="28"/>
          <w:u w:val="single"/>
        </w:rPr>
      </w:pPr>
      <w:r w:rsidRPr="001C4776">
        <w:rPr>
          <w:rFonts w:eastAsia="Times New Roman"/>
          <w:u w:val="single"/>
          <w:lang w:eastAsia="bg-BG"/>
        </w:rPr>
        <w:t>Кърмене</w:t>
      </w:r>
    </w:p>
    <w:p w14:paraId="74DB31CC"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Проучванията при плъхове са показали, че монтелукаст се екскретира в млякото (вж. точка 5.3). Не е известно дали монтелукаст/неговите метаболити се екскретират в човешкото мляко. Монтелукаст може да бъде използван от кърмещи майки само ако се счита, че е изключително необходим.</w:t>
      </w:r>
    </w:p>
    <w:p w14:paraId="4F3EECDC" w14:textId="77777777" w:rsidR="001C4776" w:rsidRPr="001C4776" w:rsidRDefault="001C4776" w:rsidP="001C4776"/>
    <w:p w14:paraId="5DD7A76D" w14:textId="3CFDD830" w:rsidR="007122AD" w:rsidRDefault="002C50EE" w:rsidP="00936AD0">
      <w:pPr>
        <w:pStyle w:val="Heading2"/>
      </w:pPr>
      <w:r>
        <w:t>4.7. Ефекти върху способността за шофиране и работа с машини</w:t>
      </w:r>
    </w:p>
    <w:p w14:paraId="715B708B" w14:textId="5BF96CCB" w:rsidR="001C4776" w:rsidRDefault="001C4776" w:rsidP="001C4776"/>
    <w:p w14:paraId="0ACFA1F5" w14:textId="3F5B8B8F" w:rsidR="001C4776" w:rsidRDefault="001C4776" w:rsidP="001C4776">
      <w:r>
        <w:t>Монтелукаст не повлиява или повлиява пренебрежимо способността за шофиране и работа с машини. Въпреки това пациентите са съобщавали за поява на сънливост или замаяност.</w:t>
      </w:r>
    </w:p>
    <w:p w14:paraId="3605BFF9" w14:textId="77777777" w:rsidR="001C4776" w:rsidRPr="001C4776" w:rsidRDefault="001C4776" w:rsidP="001C4776"/>
    <w:p w14:paraId="44CE30A3" w14:textId="6FA8F49D" w:rsidR="007122AD" w:rsidRDefault="002C50EE" w:rsidP="00936AD0">
      <w:pPr>
        <w:pStyle w:val="Heading2"/>
      </w:pPr>
      <w:r>
        <w:t>4.8. Нежелани лекарствени реакции</w:t>
      </w:r>
    </w:p>
    <w:p w14:paraId="3FBD10FA" w14:textId="53411246" w:rsidR="001C4776" w:rsidRDefault="001C4776" w:rsidP="001C4776"/>
    <w:p w14:paraId="35B2FC89"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е оценен в клинични проучвания при пациенти с персистираща астма както следва:</w:t>
      </w:r>
    </w:p>
    <w:p w14:paraId="3EE150BD" w14:textId="77777777" w:rsidR="001C4776" w:rsidRPr="001C4776" w:rsidRDefault="001C4776" w:rsidP="001C4776">
      <w:pPr>
        <w:spacing w:line="240" w:lineRule="auto"/>
        <w:rPr>
          <w:rFonts w:eastAsia="Times New Roman" w:cs="Arial"/>
          <w:color w:val="000000"/>
          <w:szCs w:val="20"/>
          <w:lang w:eastAsia="bg-BG"/>
        </w:rPr>
      </w:pPr>
    </w:p>
    <w:p w14:paraId="4149A218" w14:textId="77777777" w:rsidR="001C4776" w:rsidRPr="001C4776" w:rsidRDefault="001C4776" w:rsidP="001C4776">
      <w:pPr>
        <w:pStyle w:val="ListParagraph"/>
        <w:numPr>
          <w:ilvl w:val="0"/>
          <w:numId w:val="37"/>
        </w:numPr>
        <w:spacing w:line="240" w:lineRule="auto"/>
        <w:rPr>
          <w:rFonts w:eastAsia="Times New Roman" w:cs="Arial"/>
          <w:color w:val="000000"/>
          <w:szCs w:val="20"/>
          <w:lang w:eastAsia="bg-BG"/>
        </w:rPr>
      </w:pPr>
      <w:r w:rsidRPr="001C4776">
        <w:rPr>
          <w:rFonts w:eastAsia="Times New Roman" w:cs="Arial"/>
          <w:color w:val="000000"/>
          <w:szCs w:val="20"/>
          <w:lang w:eastAsia="bg-BG"/>
        </w:rPr>
        <w:t xml:space="preserve">10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филмирани таблетки при приблизително 4 000 възрастни пациенти и юноши на 15 и повече години</w:t>
      </w:r>
    </w:p>
    <w:p w14:paraId="6841066E" w14:textId="77777777" w:rsidR="001C4776" w:rsidRPr="001C4776" w:rsidRDefault="001C4776" w:rsidP="001C4776">
      <w:pPr>
        <w:pStyle w:val="ListParagraph"/>
        <w:numPr>
          <w:ilvl w:val="0"/>
          <w:numId w:val="37"/>
        </w:numPr>
        <w:spacing w:line="240" w:lineRule="auto"/>
        <w:rPr>
          <w:rFonts w:eastAsia="Times New Roman" w:cs="Arial"/>
          <w:color w:val="000000"/>
          <w:szCs w:val="20"/>
          <w:lang w:eastAsia="bg-BG"/>
        </w:rPr>
      </w:pPr>
      <w:r w:rsidRPr="001C4776">
        <w:rPr>
          <w:rFonts w:eastAsia="Times New Roman" w:cs="Arial"/>
          <w:color w:val="000000"/>
          <w:szCs w:val="20"/>
          <w:lang w:eastAsia="bg-BG"/>
        </w:rPr>
        <w:t xml:space="preserve">5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таблетки за дъвчене при приблизително 1 750 пациенти на възраст между 6 и 14 години</w:t>
      </w:r>
    </w:p>
    <w:p w14:paraId="1B736CEC" w14:textId="77777777" w:rsidR="001C4776" w:rsidRPr="001C4776" w:rsidRDefault="001C4776" w:rsidP="001C4776">
      <w:pPr>
        <w:pStyle w:val="ListParagraph"/>
        <w:numPr>
          <w:ilvl w:val="0"/>
          <w:numId w:val="37"/>
        </w:numPr>
        <w:spacing w:line="240" w:lineRule="auto"/>
        <w:rPr>
          <w:rFonts w:eastAsia="Times New Roman" w:cs="Arial"/>
          <w:color w:val="000000"/>
          <w:szCs w:val="20"/>
          <w:lang w:eastAsia="bg-BG"/>
        </w:rPr>
      </w:pPr>
      <w:r w:rsidRPr="001C4776">
        <w:rPr>
          <w:rFonts w:eastAsia="Times New Roman" w:cs="Arial"/>
          <w:color w:val="000000"/>
          <w:szCs w:val="20"/>
          <w:lang w:eastAsia="bg-BG"/>
        </w:rPr>
        <w:t xml:space="preserve">4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таблетки за дъвчене при 851 педиатрични пациенти на възраст между 2 и 5 години и</w:t>
      </w:r>
    </w:p>
    <w:p w14:paraId="0B90DF38" w14:textId="2CBAF5C6" w:rsidR="001C4776" w:rsidRPr="001C4776" w:rsidRDefault="001C4776" w:rsidP="001C4776">
      <w:pPr>
        <w:pStyle w:val="ListParagraph"/>
        <w:numPr>
          <w:ilvl w:val="0"/>
          <w:numId w:val="37"/>
        </w:numPr>
        <w:spacing w:line="240" w:lineRule="auto"/>
        <w:rPr>
          <w:rFonts w:eastAsia="Times New Roman" w:cs="Arial"/>
          <w:color w:val="000000"/>
          <w:szCs w:val="20"/>
          <w:lang w:eastAsia="bg-BG"/>
        </w:rPr>
      </w:pPr>
      <w:r w:rsidRPr="001C4776">
        <w:rPr>
          <w:rFonts w:eastAsia="Times New Roman" w:cs="Arial"/>
          <w:color w:val="000000"/>
          <w:szCs w:val="20"/>
          <w:lang w:eastAsia="bg-BG"/>
        </w:rPr>
        <w:t xml:space="preserve">4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гранули при 175 педиатрични пациенти на възраст между 6 месеца и 2 години.</w:t>
      </w:r>
    </w:p>
    <w:p w14:paraId="771F1A45" w14:textId="77777777" w:rsidR="001C4776" w:rsidRPr="001C4776" w:rsidRDefault="001C4776" w:rsidP="001C4776">
      <w:pPr>
        <w:spacing w:line="240" w:lineRule="auto"/>
        <w:rPr>
          <w:rFonts w:eastAsia="Times New Roman" w:cs="Arial"/>
          <w:color w:val="000000"/>
          <w:szCs w:val="20"/>
          <w:lang w:eastAsia="bg-BG"/>
        </w:rPr>
      </w:pPr>
    </w:p>
    <w:p w14:paraId="4FD00E9B" w14:textId="362651DB"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Монтелукаст е бил оценен в клинично проучване при пациенти с интермитентна астма както следва:</w:t>
      </w:r>
    </w:p>
    <w:p w14:paraId="7BCD310A" w14:textId="77777777" w:rsidR="001C4776" w:rsidRPr="001C4776" w:rsidRDefault="001C4776" w:rsidP="001C4776">
      <w:pPr>
        <w:pStyle w:val="ListParagraph"/>
        <w:numPr>
          <w:ilvl w:val="0"/>
          <w:numId w:val="38"/>
        </w:numPr>
        <w:spacing w:line="240" w:lineRule="auto"/>
        <w:rPr>
          <w:rFonts w:eastAsia="Times New Roman" w:cs="Arial"/>
          <w:color w:val="000000"/>
          <w:szCs w:val="20"/>
          <w:lang w:eastAsia="bg-BG"/>
        </w:rPr>
      </w:pPr>
      <w:r w:rsidRPr="001C4776">
        <w:rPr>
          <w:rFonts w:eastAsia="Times New Roman" w:cs="Arial"/>
          <w:color w:val="000000"/>
          <w:szCs w:val="20"/>
          <w:lang w:eastAsia="bg-BG"/>
        </w:rPr>
        <w:t xml:space="preserve">4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гранули при 1 038 педиатрични пациенти на възраст между 6 месеца и 5 години</w:t>
      </w:r>
    </w:p>
    <w:p w14:paraId="7D0A6F4B" w14:textId="77777777" w:rsidR="001C4776" w:rsidRPr="001C4776" w:rsidRDefault="001C4776" w:rsidP="001C4776">
      <w:pPr>
        <w:spacing w:line="240" w:lineRule="auto"/>
        <w:rPr>
          <w:rFonts w:eastAsia="Times New Roman" w:cs="Arial"/>
          <w:color w:val="000000"/>
          <w:szCs w:val="20"/>
          <w:lang w:eastAsia="bg-BG"/>
        </w:rPr>
      </w:pPr>
    </w:p>
    <w:p w14:paraId="09DF3995" w14:textId="5A8D628C" w:rsidR="001C4776" w:rsidRPr="001C4776" w:rsidRDefault="001C4776" w:rsidP="001C4776">
      <w:pPr>
        <w:spacing w:line="240" w:lineRule="auto"/>
        <w:rPr>
          <w:rFonts w:ascii="Times New Roman" w:eastAsia="Times New Roman" w:hAnsi="Times New Roman" w:cs="Times New Roman"/>
          <w:sz w:val="24"/>
          <w:szCs w:val="24"/>
        </w:rPr>
      </w:pPr>
      <w:r w:rsidRPr="001C4776">
        <w:rPr>
          <w:rFonts w:eastAsia="Times New Roman" w:cs="Arial"/>
          <w:color w:val="000000"/>
          <w:szCs w:val="20"/>
          <w:lang w:eastAsia="bg-BG"/>
        </w:rPr>
        <w:t>По време на клинични проучвания, при пациенти на лечение с монтелукаст в по-висока честота от пациентите на лечение с плацебо, често (≥1/100 до &lt;1/10) са съобщавани следните нежелани лекарствени реакции:</w:t>
      </w:r>
    </w:p>
    <w:p w14:paraId="0266DDE7" w14:textId="43C49C60" w:rsidR="001C4776" w:rsidRDefault="001C4776" w:rsidP="001C4776"/>
    <w:tbl>
      <w:tblPr>
        <w:tblStyle w:val="TableGrid"/>
        <w:tblW w:w="0" w:type="auto"/>
        <w:tblLook w:val="04A0" w:firstRow="1" w:lastRow="0" w:firstColumn="1" w:lastColumn="0" w:noHBand="0" w:noVBand="1"/>
      </w:tblPr>
      <w:tblGrid>
        <w:gridCol w:w="1929"/>
        <w:gridCol w:w="1843"/>
        <w:gridCol w:w="1859"/>
        <w:gridCol w:w="1859"/>
        <w:gridCol w:w="1860"/>
      </w:tblGrid>
      <w:tr w:rsidR="001C4776" w14:paraId="3DF9A579" w14:textId="77777777" w:rsidTr="001C4776">
        <w:tc>
          <w:tcPr>
            <w:tcW w:w="1928" w:type="dxa"/>
          </w:tcPr>
          <w:p w14:paraId="103E0BEA" w14:textId="634082A5" w:rsidR="001C4776" w:rsidRPr="001C4776" w:rsidRDefault="001C4776" w:rsidP="001C4776">
            <w:r w:rsidRPr="001C4776">
              <w:rPr>
                <w:b/>
                <w:bCs/>
                <w:szCs w:val="20"/>
              </w:rPr>
              <w:t>Системо-органни класове</w:t>
            </w:r>
          </w:p>
        </w:tc>
        <w:tc>
          <w:tcPr>
            <w:tcW w:w="1911" w:type="dxa"/>
          </w:tcPr>
          <w:p w14:paraId="3CE0E29D" w14:textId="77777777" w:rsidR="001C4776" w:rsidRPr="001C4776" w:rsidRDefault="001C4776" w:rsidP="001C4776">
            <w:r w:rsidRPr="001C4776">
              <w:rPr>
                <w:b/>
                <w:bCs/>
                <w:szCs w:val="20"/>
              </w:rPr>
              <w:t>Възрастни пациенти и юноши</w:t>
            </w:r>
          </w:p>
          <w:p w14:paraId="1A626AD8" w14:textId="77777777" w:rsidR="001C4776" w:rsidRPr="001C4776" w:rsidRDefault="001C4776" w:rsidP="001C4776">
            <w:r w:rsidRPr="001C4776">
              <w:rPr>
                <w:b/>
                <w:bCs/>
                <w:szCs w:val="20"/>
              </w:rPr>
              <w:t>15 години и по-възрастни</w:t>
            </w:r>
          </w:p>
          <w:p w14:paraId="375BCB6E" w14:textId="4CA990B9" w:rsidR="001C4776" w:rsidRPr="001C4776" w:rsidRDefault="001C4776" w:rsidP="001C4776">
            <w:r w:rsidRPr="001C4776">
              <w:rPr>
                <w:b/>
                <w:bCs/>
                <w:szCs w:val="20"/>
              </w:rPr>
              <w:t xml:space="preserve">(две 12- седмични проучвания; </w:t>
            </w:r>
            <w:r w:rsidRPr="001C4776">
              <w:rPr>
                <w:b/>
                <w:bCs/>
                <w:szCs w:val="20"/>
                <w:lang w:val="en-US"/>
              </w:rPr>
              <w:t>n</w:t>
            </w:r>
            <w:r w:rsidRPr="001C4776">
              <w:rPr>
                <w:b/>
                <w:bCs/>
                <w:szCs w:val="20"/>
              </w:rPr>
              <w:t>=795)</w:t>
            </w:r>
          </w:p>
        </w:tc>
        <w:tc>
          <w:tcPr>
            <w:tcW w:w="1912" w:type="dxa"/>
            <w:vAlign w:val="bottom"/>
          </w:tcPr>
          <w:p w14:paraId="2021E226" w14:textId="77777777" w:rsidR="001C4776" w:rsidRPr="001C4776" w:rsidRDefault="001C4776" w:rsidP="001C4776">
            <w:r w:rsidRPr="001C4776">
              <w:rPr>
                <w:b/>
                <w:bCs/>
                <w:szCs w:val="20"/>
              </w:rPr>
              <w:t>Педиатрични пациенти</w:t>
            </w:r>
          </w:p>
          <w:p w14:paraId="4EED9695" w14:textId="77777777" w:rsidR="001C4776" w:rsidRPr="001C4776" w:rsidRDefault="001C4776" w:rsidP="001C4776">
            <w:r w:rsidRPr="001C4776">
              <w:rPr>
                <w:b/>
                <w:bCs/>
                <w:szCs w:val="20"/>
              </w:rPr>
              <w:t>6 до 14 години</w:t>
            </w:r>
          </w:p>
          <w:p w14:paraId="0BB6B69C" w14:textId="77777777" w:rsidR="001C4776" w:rsidRPr="001C4776" w:rsidRDefault="001C4776" w:rsidP="001C4776">
            <w:r w:rsidRPr="001C4776">
              <w:rPr>
                <w:b/>
                <w:bCs/>
                <w:szCs w:val="20"/>
              </w:rPr>
              <w:t xml:space="preserve">(едно 8- седмичио проучване; </w:t>
            </w:r>
            <w:r w:rsidRPr="001C4776">
              <w:rPr>
                <w:b/>
                <w:bCs/>
                <w:szCs w:val="20"/>
                <w:lang w:val="en-US"/>
              </w:rPr>
              <w:t>n</w:t>
            </w:r>
            <w:r w:rsidRPr="001C4776">
              <w:rPr>
                <w:b/>
                <w:bCs/>
                <w:szCs w:val="20"/>
              </w:rPr>
              <w:t>=201)</w:t>
            </w:r>
          </w:p>
          <w:p w14:paraId="5797FE60" w14:textId="7B884866" w:rsidR="001C4776" w:rsidRPr="001C4776" w:rsidRDefault="001C4776" w:rsidP="001C4776">
            <w:r w:rsidRPr="001C4776">
              <w:rPr>
                <w:b/>
                <w:bCs/>
                <w:szCs w:val="20"/>
              </w:rPr>
              <w:t xml:space="preserve">(две 56- седмичнн проучвания; </w:t>
            </w:r>
            <w:r w:rsidRPr="001C4776">
              <w:rPr>
                <w:b/>
                <w:bCs/>
                <w:szCs w:val="20"/>
                <w:lang w:val="en-US"/>
              </w:rPr>
              <w:t>n</w:t>
            </w:r>
            <w:r w:rsidRPr="001C4776">
              <w:rPr>
                <w:b/>
                <w:bCs/>
                <w:szCs w:val="20"/>
              </w:rPr>
              <w:t>=615)</w:t>
            </w:r>
          </w:p>
        </w:tc>
        <w:tc>
          <w:tcPr>
            <w:tcW w:w="1912" w:type="dxa"/>
            <w:vAlign w:val="bottom"/>
          </w:tcPr>
          <w:p w14:paraId="364E6711" w14:textId="77777777" w:rsidR="001C4776" w:rsidRPr="001C4776" w:rsidRDefault="001C4776" w:rsidP="001C4776">
            <w:r w:rsidRPr="001C4776">
              <w:rPr>
                <w:b/>
                <w:bCs/>
                <w:szCs w:val="20"/>
              </w:rPr>
              <w:t>Педиатрични пациенти</w:t>
            </w:r>
          </w:p>
          <w:p w14:paraId="78D4D44F" w14:textId="77777777" w:rsidR="001C4776" w:rsidRPr="001C4776" w:rsidRDefault="001C4776" w:rsidP="001C4776">
            <w:r w:rsidRPr="001C4776">
              <w:rPr>
                <w:b/>
                <w:bCs/>
                <w:szCs w:val="20"/>
              </w:rPr>
              <w:t>2 до 5 години</w:t>
            </w:r>
          </w:p>
          <w:p w14:paraId="17E1D270" w14:textId="77777777" w:rsidR="001C4776" w:rsidRPr="001C4776" w:rsidRDefault="001C4776" w:rsidP="001C4776">
            <w:r w:rsidRPr="001C4776">
              <w:rPr>
                <w:b/>
                <w:bCs/>
                <w:szCs w:val="20"/>
              </w:rPr>
              <w:t xml:space="preserve">(едно 12- седмично проучване; </w:t>
            </w:r>
            <w:r w:rsidRPr="001C4776">
              <w:rPr>
                <w:b/>
                <w:bCs/>
                <w:szCs w:val="20"/>
                <w:lang w:val="en-US"/>
              </w:rPr>
              <w:t>n</w:t>
            </w:r>
            <w:r w:rsidRPr="001C4776">
              <w:rPr>
                <w:b/>
                <w:bCs/>
                <w:szCs w:val="20"/>
              </w:rPr>
              <w:t>=461)</w:t>
            </w:r>
          </w:p>
          <w:p w14:paraId="7D069CDC" w14:textId="4D52D05A" w:rsidR="001C4776" w:rsidRPr="001C4776" w:rsidRDefault="001C4776" w:rsidP="001C4776">
            <w:r w:rsidRPr="001C4776">
              <w:rPr>
                <w:b/>
                <w:bCs/>
                <w:szCs w:val="20"/>
              </w:rPr>
              <w:t xml:space="preserve">(едно 48- седмично проучване; </w:t>
            </w:r>
            <w:r w:rsidRPr="001C4776">
              <w:rPr>
                <w:b/>
                <w:bCs/>
                <w:szCs w:val="20"/>
                <w:lang w:val="en-US"/>
              </w:rPr>
              <w:t>n</w:t>
            </w:r>
            <w:r w:rsidRPr="001C4776">
              <w:rPr>
                <w:b/>
                <w:bCs/>
                <w:szCs w:val="20"/>
              </w:rPr>
              <w:t>=278)</w:t>
            </w:r>
          </w:p>
        </w:tc>
        <w:tc>
          <w:tcPr>
            <w:tcW w:w="1913" w:type="dxa"/>
          </w:tcPr>
          <w:p w14:paraId="7D0FF957" w14:textId="77777777" w:rsidR="001C4776" w:rsidRPr="001C4776" w:rsidRDefault="001C4776" w:rsidP="001C4776">
            <w:r w:rsidRPr="001C4776">
              <w:rPr>
                <w:b/>
                <w:bCs/>
                <w:szCs w:val="20"/>
              </w:rPr>
              <w:t>Педиатрични пациенти</w:t>
            </w:r>
          </w:p>
          <w:p w14:paraId="68DD66FA" w14:textId="77777777" w:rsidR="001C4776" w:rsidRPr="001C4776" w:rsidRDefault="001C4776" w:rsidP="001C4776">
            <w:r w:rsidRPr="001C4776">
              <w:rPr>
                <w:b/>
                <w:bCs/>
                <w:szCs w:val="20"/>
              </w:rPr>
              <w:t>6 месеца до 2 години</w:t>
            </w:r>
          </w:p>
          <w:p w14:paraId="01BCAB06" w14:textId="10C48613" w:rsidR="001C4776" w:rsidRPr="001C4776" w:rsidRDefault="001C4776" w:rsidP="001C4776">
            <w:r w:rsidRPr="001C4776">
              <w:rPr>
                <w:b/>
                <w:bCs/>
                <w:szCs w:val="20"/>
              </w:rPr>
              <w:t xml:space="preserve">(едно 6- седмично проучване; </w:t>
            </w:r>
            <w:r w:rsidRPr="001C4776">
              <w:rPr>
                <w:b/>
                <w:bCs/>
                <w:szCs w:val="20"/>
                <w:lang w:val="en-US"/>
              </w:rPr>
              <w:t>n</w:t>
            </w:r>
            <w:r w:rsidRPr="001C4776">
              <w:rPr>
                <w:b/>
                <w:bCs/>
                <w:szCs w:val="20"/>
              </w:rPr>
              <w:t>=175)</w:t>
            </w:r>
          </w:p>
        </w:tc>
      </w:tr>
      <w:tr w:rsidR="001C4776" w14:paraId="4CAE6F35" w14:textId="77777777" w:rsidTr="001C4776">
        <w:tc>
          <w:tcPr>
            <w:tcW w:w="1928" w:type="dxa"/>
            <w:vAlign w:val="bottom"/>
          </w:tcPr>
          <w:p w14:paraId="2D4DF7D0" w14:textId="5E58470A" w:rsidR="001C4776" w:rsidRPr="001C4776" w:rsidRDefault="001C4776" w:rsidP="001C4776">
            <w:r w:rsidRPr="001C4776">
              <w:rPr>
                <w:b/>
                <w:bCs/>
                <w:szCs w:val="20"/>
              </w:rPr>
              <w:t>Нарушения на нервната система</w:t>
            </w:r>
          </w:p>
        </w:tc>
        <w:tc>
          <w:tcPr>
            <w:tcW w:w="1911" w:type="dxa"/>
          </w:tcPr>
          <w:p w14:paraId="2328C3C6" w14:textId="7BAA370D" w:rsidR="001C4776" w:rsidRPr="001C4776" w:rsidRDefault="001C4776" w:rsidP="001C4776">
            <w:r w:rsidRPr="001C4776">
              <w:rPr>
                <w:szCs w:val="20"/>
              </w:rPr>
              <w:t>главоболие</w:t>
            </w:r>
          </w:p>
        </w:tc>
        <w:tc>
          <w:tcPr>
            <w:tcW w:w="1912" w:type="dxa"/>
          </w:tcPr>
          <w:p w14:paraId="6DEB5B45" w14:textId="4C0EE78E" w:rsidR="001C4776" w:rsidRPr="001C4776" w:rsidRDefault="001C4776" w:rsidP="001C4776">
            <w:r w:rsidRPr="001C4776">
              <w:rPr>
                <w:szCs w:val="20"/>
              </w:rPr>
              <w:t>главоболие</w:t>
            </w:r>
          </w:p>
        </w:tc>
        <w:tc>
          <w:tcPr>
            <w:tcW w:w="1912" w:type="dxa"/>
          </w:tcPr>
          <w:p w14:paraId="791945D2" w14:textId="77777777" w:rsidR="001C4776" w:rsidRPr="001C4776" w:rsidRDefault="001C4776" w:rsidP="001C4776"/>
        </w:tc>
        <w:tc>
          <w:tcPr>
            <w:tcW w:w="1913" w:type="dxa"/>
          </w:tcPr>
          <w:p w14:paraId="59988EE3" w14:textId="72D619E9" w:rsidR="001C4776" w:rsidRPr="001C4776" w:rsidRDefault="001C4776" w:rsidP="001C4776">
            <w:r w:rsidRPr="001C4776">
              <w:rPr>
                <w:szCs w:val="20"/>
              </w:rPr>
              <w:t>хиперкинезия</w:t>
            </w:r>
          </w:p>
        </w:tc>
      </w:tr>
      <w:tr w:rsidR="001C4776" w14:paraId="4A5EB95C" w14:textId="77777777" w:rsidTr="001C4776">
        <w:tc>
          <w:tcPr>
            <w:tcW w:w="1928" w:type="dxa"/>
            <w:vAlign w:val="bottom"/>
          </w:tcPr>
          <w:p w14:paraId="5AED2ECD" w14:textId="1AACEBFE" w:rsidR="001C4776" w:rsidRPr="001C4776" w:rsidRDefault="001C4776" w:rsidP="001C4776">
            <w:r w:rsidRPr="001C4776">
              <w:rPr>
                <w:b/>
                <w:bCs/>
                <w:szCs w:val="20"/>
              </w:rPr>
              <w:t>Респираторни, гръдни и медиастинални нарушения</w:t>
            </w:r>
          </w:p>
        </w:tc>
        <w:tc>
          <w:tcPr>
            <w:tcW w:w="1911" w:type="dxa"/>
          </w:tcPr>
          <w:p w14:paraId="5829538D" w14:textId="77777777" w:rsidR="001C4776" w:rsidRPr="001C4776" w:rsidRDefault="001C4776" w:rsidP="001C4776"/>
        </w:tc>
        <w:tc>
          <w:tcPr>
            <w:tcW w:w="1912" w:type="dxa"/>
          </w:tcPr>
          <w:p w14:paraId="44772356" w14:textId="77777777" w:rsidR="001C4776" w:rsidRPr="001C4776" w:rsidRDefault="001C4776" w:rsidP="001C4776"/>
        </w:tc>
        <w:tc>
          <w:tcPr>
            <w:tcW w:w="1912" w:type="dxa"/>
          </w:tcPr>
          <w:p w14:paraId="29936F4A" w14:textId="77777777" w:rsidR="001C4776" w:rsidRPr="001C4776" w:rsidRDefault="001C4776" w:rsidP="001C4776"/>
        </w:tc>
        <w:tc>
          <w:tcPr>
            <w:tcW w:w="1913" w:type="dxa"/>
          </w:tcPr>
          <w:p w14:paraId="18212395" w14:textId="76E63BEC" w:rsidR="001C4776" w:rsidRPr="001C4776" w:rsidRDefault="001C4776" w:rsidP="001C4776">
            <w:r w:rsidRPr="001C4776">
              <w:rPr>
                <w:szCs w:val="20"/>
              </w:rPr>
              <w:t>астма</w:t>
            </w:r>
          </w:p>
        </w:tc>
      </w:tr>
      <w:tr w:rsidR="001C4776" w14:paraId="4CCC0A92" w14:textId="77777777" w:rsidTr="001C4776">
        <w:tc>
          <w:tcPr>
            <w:tcW w:w="1928" w:type="dxa"/>
            <w:vAlign w:val="bottom"/>
          </w:tcPr>
          <w:p w14:paraId="2EF9DB09" w14:textId="7995C5F7" w:rsidR="001C4776" w:rsidRPr="001C4776" w:rsidRDefault="001C4776" w:rsidP="001C4776">
            <w:r w:rsidRPr="001C4776">
              <w:rPr>
                <w:b/>
                <w:bCs/>
                <w:szCs w:val="20"/>
              </w:rPr>
              <w:t>Стомашно-чревни нарушения</w:t>
            </w:r>
          </w:p>
        </w:tc>
        <w:tc>
          <w:tcPr>
            <w:tcW w:w="1911" w:type="dxa"/>
          </w:tcPr>
          <w:p w14:paraId="4254AF3A" w14:textId="01D8910A" w:rsidR="001C4776" w:rsidRPr="001C4776" w:rsidRDefault="001C4776" w:rsidP="001C4776">
            <w:r w:rsidRPr="001C4776">
              <w:rPr>
                <w:szCs w:val="20"/>
              </w:rPr>
              <w:t>коремна болка</w:t>
            </w:r>
          </w:p>
        </w:tc>
        <w:tc>
          <w:tcPr>
            <w:tcW w:w="1912" w:type="dxa"/>
          </w:tcPr>
          <w:p w14:paraId="45D31E6F" w14:textId="77777777" w:rsidR="001C4776" w:rsidRPr="001C4776" w:rsidRDefault="001C4776" w:rsidP="001C4776"/>
        </w:tc>
        <w:tc>
          <w:tcPr>
            <w:tcW w:w="1912" w:type="dxa"/>
          </w:tcPr>
          <w:p w14:paraId="4F436469" w14:textId="6C40ED4B" w:rsidR="001C4776" w:rsidRPr="001C4776" w:rsidRDefault="001C4776" w:rsidP="001C4776">
            <w:r w:rsidRPr="001C4776">
              <w:rPr>
                <w:szCs w:val="20"/>
              </w:rPr>
              <w:t>коремна болка</w:t>
            </w:r>
          </w:p>
        </w:tc>
        <w:tc>
          <w:tcPr>
            <w:tcW w:w="1913" w:type="dxa"/>
          </w:tcPr>
          <w:p w14:paraId="676FF30C" w14:textId="11DC4D16" w:rsidR="001C4776" w:rsidRPr="001C4776" w:rsidRDefault="001C4776" w:rsidP="001C4776">
            <w:r w:rsidRPr="001C4776">
              <w:rPr>
                <w:szCs w:val="20"/>
              </w:rPr>
              <w:t>диария</w:t>
            </w:r>
          </w:p>
        </w:tc>
      </w:tr>
      <w:tr w:rsidR="001C4776" w14:paraId="33BBDEC6" w14:textId="77777777" w:rsidTr="001C4776">
        <w:tc>
          <w:tcPr>
            <w:tcW w:w="1928" w:type="dxa"/>
            <w:vAlign w:val="bottom"/>
          </w:tcPr>
          <w:p w14:paraId="4ABE5C81" w14:textId="4B8612B1" w:rsidR="001C4776" w:rsidRPr="001C4776" w:rsidRDefault="001C4776" w:rsidP="001C4776">
            <w:r w:rsidRPr="001C4776">
              <w:rPr>
                <w:b/>
                <w:bCs/>
                <w:szCs w:val="20"/>
              </w:rPr>
              <w:t>Нарушения на кожата и подкожните тъкани</w:t>
            </w:r>
          </w:p>
        </w:tc>
        <w:tc>
          <w:tcPr>
            <w:tcW w:w="1911" w:type="dxa"/>
          </w:tcPr>
          <w:p w14:paraId="03EF9610" w14:textId="77777777" w:rsidR="001C4776" w:rsidRPr="001C4776" w:rsidRDefault="001C4776" w:rsidP="001C4776"/>
        </w:tc>
        <w:tc>
          <w:tcPr>
            <w:tcW w:w="1912" w:type="dxa"/>
          </w:tcPr>
          <w:p w14:paraId="195C8515" w14:textId="77777777" w:rsidR="001C4776" w:rsidRPr="001C4776" w:rsidRDefault="001C4776" w:rsidP="001C4776"/>
        </w:tc>
        <w:tc>
          <w:tcPr>
            <w:tcW w:w="1912" w:type="dxa"/>
          </w:tcPr>
          <w:p w14:paraId="0D6A42FC" w14:textId="77777777" w:rsidR="001C4776" w:rsidRPr="001C4776" w:rsidRDefault="001C4776" w:rsidP="001C4776"/>
        </w:tc>
        <w:tc>
          <w:tcPr>
            <w:tcW w:w="1913" w:type="dxa"/>
            <w:vAlign w:val="bottom"/>
          </w:tcPr>
          <w:p w14:paraId="4098748B" w14:textId="7187F800" w:rsidR="001C4776" w:rsidRPr="001C4776" w:rsidRDefault="001C4776" w:rsidP="001C4776">
            <w:r w:rsidRPr="001C4776">
              <w:rPr>
                <w:szCs w:val="20"/>
              </w:rPr>
              <w:t>екзематозен дерматит, обрив</w:t>
            </w:r>
          </w:p>
        </w:tc>
      </w:tr>
      <w:tr w:rsidR="001C4776" w14:paraId="72330C48" w14:textId="77777777" w:rsidTr="001C4776">
        <w:tc>
          <w:tcPr>
            <w:tcW w:w="1928" w:type="dxa"/>
            <w:vAlign w:val="bottom"/>
          </w:tcPr>
          <w:p w14:paraId="495E2972" w14:textId="084200D4" w:rsidR="001C4776" w:rsidRPr="001C4776" w:rsidRDefault="001C4776" w:rsidP="001C4776">
            <w:r w:rsidRPr="001C4776">
              <w:rPr>
                <w:b/>
                <w:bCs/>
                <w:szCs w:val="20"/>
              </w:rPr>
              <w:t>Общи нарушения и ефекти на мястото на приложение</w:t>
            </w:r>
          </w:p>
        </w:tc>
        <w:tc>
          <w:tcPr>
            <w:tcW w:w="1911" w:type="dxa"/>
          </w:tcPr>
          <w:p w14:paraId="3C68DA3F" w14:textId="77777777" w:rsidR="001C4776" w:rsidRPr="001C4776" w:rsidRDefault="001C4776" w:rsidP="001C4776"/>
        </w:tc>
        <w:tc>
          <w:tcPr>
            <w:tcW w:w="1912" w:type="dxa"/>
          </w:tcPr>
          <w:p w14:paraId="1D8988F1" w14:textId="77777777" w:rsidR="001C4776" w:rsidRPr="001C4776" w:rsidRDefault="001C4776" w:rsidP="001C4776"/>
        </w:tc>
        <w:tc>
          <w:tcPr>
            <w:tcW w:w="1912" w:type="dxa"/>
          </w:tcPr>
          <w:p w14:paraId="4057482A" w14:textId="67267CFC" w:rsidR="001C4776" w:rsidRPr="001C4776" w:rsidRDefault="001C4776" w:rsidP="001C4776">
            <w:r w:rsidRPr="001C4776">
              <w:rPr>
                <w:szCs w:val="20"/>
              </w:rPr>
              <w:t>жажда</w:t>
            </w:r>
          </w:p>
        </w:tc>
        <w:tc>
          <w:tcPr>
            <w:tcW w:w="1913" w:type="dxa"/>
          </w:tcPr>
          <w:p w14:paraId="6F783917" w14:textId="77777777" w:rsidR="001C4776" w:rsidRPr="001C4776" w:rsidRDefault="001C4776" w:rsidP="001C4776"/>
        </w:tc>
      </w:tr>
    </w:tbl>
    <w:p w14:paraId="25D642B2" w14:textId="77777777" w:rsidR="001C4776" w:rsidRDefault="001C4776" w:rsidP="001C4776">
      <w:pPr>
        <w:rPr>
          <w:sz w:val="20"/>
          <w:szCs w:val="20"/>
        </w:rPr>
      </w:pPr>
    </w:p>
    <w:p w14:paraId="68AFF7B3" w14:textId="27C978DD" w:rsidR="001C4776" w:rsidRPr="001C4776" w:rsidRDefault="001C4776" w:rsidP="001C4776">
      <w:pPr>
        <w:rPr>
          <w:rFonts w:cs="Arial"/>
          <w:szCs w:val="20"/>
        </w:rPr>
      </w:pPr>
      <w:r w:rsidRPr="001C4776">
        <w:rPr>
          <w:rFonts w:cs="Arial"/>
          <w:szCs w:val="20"/>
        </w:rPr>
        <w:t>В клинични проучвания с удължаване на лечението, при ограничен брой пациенти до 2 години</w:t>
      </w:r>
      <w:r w:rsidRPr="001C4776">
        <w:rPr>
          <w:rFonts w:cs="Arial"/>
          <w:szCs w:val="20"/>
          <w:vertAlign w:val="superscript"/>
        </w:rPr>
        <w:t xml:space="preserve"> </w:t>
      </w:r>
      <w:r w:rsidRPr="001C4776">
        <w:rPr>
          <w:rFonts w:cs="Arial"/>
          <w:szCs w:val="20"/>
        </w:rPr>
        <w:t>за възрастните и до 12 месеца за педиатричните пациенти на възраст между 6 и 14 години, профилът на безопасност не се е променил.</w:t>
      </w:r>
    </w:p>
    <w:p w14:paraId="772E73B9" w14:textId="4C1A7E50" w:rsidR="001C4776" w:rsidRPr="001C4776" w:rsidRDefault="001C4776" w:rsidP="001C4776">
      <w:pPr>
        <w:rPr>
          <w:rFonts w:cs="Arial"/>
          <w:szCs w:val="20"/>
        </w:rPr>
      </w:pPr>
    </w:p>
    <w:p w14:paraId="23758FA0"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Кумулативно, 502 педиатрични пациенти на възраст от 2 до 5 години са били лекувани с монтелукаст най-малко в продължение на 3 месеца, 338 в продължение на 6 месеца и 534 пациенти в продължение на 12 месеца или повече. С удължаване </w:t>
      </w:r>
      <w:r w:rsidRPr="001C4776">
        <w:rPr>
          <w:rFonts w:eastAsia="Times New Roman" w:cs="Arial"/>
          <w:color w:val="000000"/>
          <w:szCs w:val="20"/>
          <w:lang w:eastAsia="bg-BG"/>
        </w:rPr>
        <w:lastRenderedPageBreak/>
        <w:t>продължителността на лечение, профилът на безопасност при тези пациенти не се е променил.</w:t>
      </w:r>
    </w:p>
    <w:p w14:paraId="1A43F9B9" w14:textId="77777777" w:rsidR="001C4776" w:rsidRPr="001C4776" w:rsidRDefault="001C4776" w:rsidP="001C4776">
      <w:pPr>
        <w:spacing w:line="240" w:lineRule="auto"/>
        <w:rPr>
          <w:rFonts w:eastAsia="Times New Roman" w:cs="Arial"/>
          <w:color w:val="000000"/>
          <w:szCs w:val="20"/>
          <w:lang w:eastAsia="bg-BG"/>
        </w:rPr>
      </w:pPr>
    </w:p>
    <w:p w14:paraId="7013B2BB" w14:textId="11197FAE"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Профилът на безопасност при педиатрични пациенти на възраст от 6 месеца до 2 години не се е променил при лечение с продължителност до 3 месеца.</w:t>
      </w:r>
    </w:p>
    <w:p w14:paraId="11DA7CAB" w14:textId="77777777" w:rsidR="001C4776" w:rsidRPr="001C4776" w:rsidRDefault="001C4776" w:rsidP="001C4776">
      <w:pPr>
        <w:spacing w:line="240" w:lineRule="auto"/>
        <w:rPr>
          <w:rFonts w:eastAsia="Times New Roman" w:cs="Arial"/>
          <w:color w:val="000000"/>
          <w:szCs w:val="20"/>
          <w:lang w:eastAsia="bg-BG"/>
        </w:rPr>
      </w:pPr>
    </w:p>
    <w:p w14:paraId="3EBCA652" w14:textId="3CCFFAEF"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Списък на нежеланите реакции в табличен вид</w:t>
      </w:r>
    </w:p>
    <w:p w14:paraId="66457154" w14:textId="3DBA3663" w:rsidR="001C4776" w:rsidRDefault="001C4776" w:rsidP="001C4776">
      <w:pPr>
        <w:spacing w:line="240" w:lineRule="auto"/>
        <w:rPr>
          <w:rFonts w:eastAsia="Times New Roman" w:cs="Arial"/>
          <w:color w:val="000000"/>
          <w:szCs w:val="20"/>
          <w:lang w:eastAsia="bg-BG"/>
        </w:rPr>
      </w:pPr>
      <w:r w:rsidRPr="001C4776">
        <w:rPr>
          <w:rFonts w:eastAsia="Times New Roman" w:cs="Arial"/>
          <w:color w:val="000000"/>
          <w:szCs w:val="20"/>
          <w:lang w:eastAsia="bg-BG"/>
        </w:rPr>
        <w:t>Нежеланите реакции, докладвани при постмаркетингова употреба и специфичните нежелани реакции са изброени по система-орган-клас в таблицата по-долу. Категориите по честота са изчислени въз основа на съответните клинични проучвания.</w:t>
      </w:r>
    </w:p>
    <w:p w14:paraId="2BC55500" w14:textId="4C5A9D18" w:rsidR="001C4776" w:rsidRDefault="001C4776" w:rsidP="001C4776">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18"/>
        <w:gridCol w:w="3160"/>
        <w:gridCol w:w="3072"/>
      </w:tblGrid>
      <w:tr w:rsidR="001C4776" w14:paraId="0E919744" w14:textId="77777777" w:rsidTr="001C4776">
        <w:tc>
          <w:tcPr>
            <w:tcW w:w="3192" w:type="dxa"/>
          </w:tcPr>
          <w:p w14:paraId="62D18460" w14:textId="02A0C06B" w:rsidR="001C4776" w:rsidRPr="001C4776" w:rsidRDefault="001C4776" w:rsidP="001C4776">
            <w:pPr>
              <w:spacing w:line="240" w:lineRule="auto"/>
              <w:rPr>
                <w:rFonts w:eastAsia="Times New Roman" w:cs="Arial"/>
                <w:szCs w:val="24"/>
              </w:rPr>
            </w:pPr>
            <w:r w:rsidRPr="001C4776">
              <w:rPr>
                <w:b/>
                <w:bCs/>
                <w:szCs w:val="20"/>
              </w:rPr>
              <w:t>Системо-органнн класове</w:t>
            </w:r>
          </w:p>
        </w:tc>
        <w:tc>
          <w:tcPr>
            <w:tcW w:w="3192" w:type="dxa"/>
          </w:tcPr>
          <w:p w14:paraId="1AD0324A" w14:textId="6C026857" w:rsidR="001C4776" w:rsidRPr="001C4776" w:rsidRDefault="001C4776" w:rsidP="001C4776">
            <w:pPr>
              <w:spacing w:line="240" w:lineRule="auto"/>
              <w:rPr>
                <w:rFonts w:eastAsia="Times New Roman" w:cs="Arial"/>
                <w:szCs w:val="24"/>
              </w:rPr>
            </w:pPr>
            <w:r w:rsidRPr="001C4776">
              <w:rPr>
                <w:b/>
                <w:bCs/>
                <w:szCs w:val="20"/>
              </w:rPr>
              <w:t>Нежелана реакция</w:t>
            </w:r>
          </w:p>
        </w:tc>
        <w:tc>
          <w:tcPr>
            <w:tcW w:w="3192" w:type="dxa"/>
          </w:tcPr>
          <w:p w14:paraId="40260B70" w14:textId="3369B68A" w:rsidR="001C4776" w:rsidRPr="001C4776" w:rsidRDefault="001C4776" w:rsidP="001C4776">
            <w:pPr>
              <w:spacing w:line="240" w:lineRule="auto"/>
              <w:rPr>
                <w:rFonts w:eastAsia="Times New Roman" w:cs="Arial"/>
                <w:szCs w:val="24"/>
              </w:rPr>
            </w:pPr>
            <w:r w:rsidRPr="001C4776">
              <w:rPr>
                <w:b/>
                <w:bCs/>
                <w:szCs w:val="20"/>
              </w:rPr>
              <w:t>Честота*</w:t>
            </w:r>
          </w:p>
        </w:tc>
      </w:tr>
      <w:tr w:rsidR="001C4776" w14:paraId="2D83545D" w14:textId="77777777" w:rsidTr="001C4776">
        <w:tc>
          <w:tcPr>
            <w:tcW w:w="3192" w:type="dxa"/>
          </w:tcPr>
          <w:p w14:paraId="0264BB70" w14:textId="798C89F2" w:rsidR="001C4776" w:rsidRPr="001C4776" w:rsidRDefault="001C4776" w:rsidP="001C4776">
            <w:pPr>
              <w:spacing w:line="240" w:lineRule="auto"/>
              <w:rPr>
                <w:rFonts w:eastAsia="Times New Roman" w:cs="Arial"/>
                <w:szCs w:val="24"/>
              </w:rPr>
            </w:pPr>
            <w:r w:rsidRPr="001C4776">
              <w:rPr>
                <w:szCs w:val="20"/>
              </w:rPr>
              <w:t>Инфекции и инфестации</w:t>
            </w:r>
          </w:p>
        </w:tc>
        <w:tc>
          <w:tcPr>
            <w:tcW w:w="3192" w:type="dxa"/>
          </w:tcPr>
          <w:p w14:paraId="6D775FD9" w14:textId="1F950380" w:rsidR="001C4776" w:rsidRPr="001C4776" w:rsidRDefault="001C4776" w:rsidP="001C4776">
            <w:pPr>
              <w:spacing w:line="240" w:lineRule="auto"/>
              <w:rPr>
                <w:rFonts w:eastAsia="Times New Roman" w:cs="Arial"/>
                <w:szCs w:val="24"/>
              </w:rPr>
            </w:pPr>
            <w:r w:rsidRPr="001C4776">
              <w:rPr>
                <w:szCs w:val="20"/>
              </w:rPr>
              <w:t>инфекции на горните дихателни пътища</w:t>
            </w:r>
            <w:r w:rsidRPr="001C4776">
              <w:rPr>
                <w:szCs w:val="20"/>
                <w:vertAlign w:val="superscript"/>
              </w:rPr>
              <w:t>+</w:t>
            </w:r>
          </w:p>
        </w:tc>
        <w:tc>
          <w:tcPr>
            <w:tcW w:w="3192" w:type="dxa"/>
          </w:tcPr>
          <w:p w14:paraId="17A4EF77" w14:textId="32B3FF45" w:rsidR="001C4776" w:rsidRPr="001C4776" w:rsidRDefault="001C4776" w:rsidP="001C4776">
            <w:pPr>
              <w:spacing w:line="240" w:lineRule="auto"/>
              <w:rPr>
                <w:rFonts w:eastAsia="Times New Roman" w:cs="Arial"/>
                <w:szCs w:val="24"/>
              </w:rPr>
            </w:pPr>
            <w:r w:rsidRPr="001C4776">
              <w:rPr>
                <w:szCs w:val="20"/>
              </w:rPr>
              <w:t>Много чести</w:t>
            </w:r>
          </w:p>
        </w:tc>
      </w:tr>
      <w:tr w:rsidR="001C4776" w14:paraId="62058E4E" w14:textId="77777777" w:rsidTr="001C4776">
        <w:tc>
          <w:tcPr>
            <w:tcW w:w="3192" w:type="dxa"/>
            <w:vMerge w:val="restart"/>
          </w:tcPr>
          <w:p w14:paraId="22484D1A" w14:textId="3E54D5A1" w:rsidR="001C4776" w:rsidRPr="001C4776" w:rsidRDefault="001C4776" w:rsidP="001C4776">
            <w:pPr>
              <w:spacing w:line="240" w:lineRule="auto"/>
              <w:rPr>
                <w:rFonts w:eastAsia="Times New Roman" w:cs="Arial"/>
                <w:szCs w:val="24"/>
              </w:rPr>
            </w:pPr>
            <w:r w:rsidRPr="001C4776">
              <w:rPr>
                <w:szCs w:val="20"/>
              </w:rPr>
              <w:t>Нарушения на кръвта и лимфната система</w:t>
            </w:r>
          </w:p>
        </w:tc>
        <w:tc>
          <w:tcPr>
            <w:tcW w:w="3192" w:type="dxa"/>
          </w:tcPr>
          <w:p w14:paraId="4AC2A5B4" w14:textId="579459FA" w:rsidR="001C4776" w:rsidRPr="001C4776" w:rsidRDefault="001C4776" w:rsidP="001C4776">
            <w:pPr>
              <w:spacing w:line="240" w:lineRule="auto"/>
              <w:rPr>
                <w:rFonts w:eastAsia="Times New Roman" w:cs="Arial"/>
                <w:szCs w:val="24"/>
              </w:rPr>
            </w:pPr>
            <w:r w:rsidRPr="001C4776">
              <w:rPr>
                <w:szCs w:val="20"/>
              </w:rPr>
              <w:t>повишена склонност към кървене</w:t>
            </w:r>
          </w:p>
        </w:tc>
        <w:tc>
          <w:tcPr>
            <w:tcW w:w="3192" w:type="dxa"/>
          </w:tcPr>
          <w:p w14:paraId="285BBA44" w14:textId="714CB983" w:rsidR="001C4776" w:rsidRPr="001C4776" w:rsidRDefault="001C4776" w:rsidP="001C4776">
            <w:pPr>
              <w:spacing w:line="240" w:lineRule="auto"/>
              <w:rPr>
                <w:rFonts w:eastAsia="Times New Roman" w:cs="Arial"/>
                <w:szCs w:val="24"/>
              </w:rPr>
            </w:pPr>
            <w:r w:rsidRPr="001C4776">
              <w:rPr>
                <w:szCs w:val="20"/>
              </w:rPr>
              <w:t>Редки</w:t>
            </w:r>
          </w:p>
        </w:tc>
      </w:tr>
      <w:tr w:rsidR="001C4776" w14:paraId="5C653111" w14:textId="77777777" w:rsidTr="001C4776">
        <w:tc>
          <w:tcPr>
            <w:tcW w:w="3192" w:type="dxa"/>
            <w:vMerge/>
          </w:tcPr>
          <w:p w14:paraId="0A312ABE" w14:textId="77777777" w:rsidR="001C4776" w:rsidRPr="001C4776" w:rsidRDefault="001C4776" w:rsidP="001C4776">
            <w:pPr>
              <w:spacing w:line="240" w:lineRule="auto"/>
              <w:rPr>
                <w:rFonts w:eastAsia="Times New Roman" w:cs="Arial"/>
                <w:szCs w:val="24"/>
              </w:rPr>
            </w:pPr>
          </w:p>
        </w:tc>
        <w:tc>
          <w:tcPr>
            <w:tcW w:w="3192" w:type="dxa"/>
          </w:tcPr>
          <w:p w14:paraId="1B417DCA" w14:textId="2775D3CC" w:rsidR="001C4776" w:rsidRPr="001C4776" w:rsidRDefault="001C4776" w:rsidP="001C4776">
            <w:pPr>
              <w:spacing w:line="240" w:lineRule="auto"/>
              <w:rPr>
                <w:rFonts w:eastAsia="Times New Roman" w:cs="Arial"/>
                <w:szCs w:val="24"/>
              </w:rPr>
            </w:pPr>
            <w:r w:rsidRPr="001C4776">
              <w:rPr>
                <w:szCs w:val="20"/>
              </w:rPr>
              <w:t>тромбоцитопения</w:t>
            </w:r>
          </w:p>
        </w:tc>
        <w:tc>
          <w:tcPr>
            <w:tcW w:w="3192" w:type="dxa"/>
          </w:tcPr>
          <w:p w14:paraId="3A835BCA" w14:textId="6E4B00AA" w:rsidR="001C4776" w:rsidRPr="001C4776" w:rsidRDefault="001C4776" w:rsidP="001C4776">
            <w:pPr>
              <w:spacing w:line="240" w:lineRule="auto"/>
              <w:rPr>
                <w:rFonts w:eastAsia="Times New Roman" w:cs="Arial"/>
                <w:szCs w:val="24"/>
              </w:rPr>
            </w:pPr>
            <w:r w:rsidRPr="001C4776">
              <w:rPr>
                <w:szCs w:val="20"/>
              </w:rPr>
              <w:t>Много редки</w:t>
            </w:r>
          </w:p>
        </w:tc>
      </w:tr>
      <w:tr w:rsidR="001C4776" w14:paraId="7C07F240" w14:textId="77777777" w:rsidTr="001C4776">
        <w:tc>
          <w:tcPr>
            <w:tcW w:w="3192" w:type="dxa"/>
            <w:vMerge w:val="restart"/>
          </w:tcPr>
          <w:p w14:paraId="31184D77" w14:textId="4E656581" w:rsidR="001C4776" w:rsidRPr="001C4776" w:rsidRDefault="001C4776" w:rsidP="001C4776">
            <w:pPr>
              <w:spacing w:line="240" w:lineRule="auto"/>
              <w:rPr>
                <w:rFonts w:eastAsia="Times New Roman" w:cs="Arial"/>
                <w:szCs w:val="24"/>
              </w:rPr>
            </w:pPr>
            <w:r w:rsidRPr="001C4776">
              <w:rPr>
                <w:szCs w:val="20"/>
              </w:rPr>
              <w:t>Нарушения на имунната система</w:t>
            </w:r>
          </w:p>
        </w:tc>
        <w:tc>
          <w:tcPr>
            <w:tcW w:w="3192" w:type="dxa"/>
          </w:tcPr>
          <w:p w14:paraId="0C60A47A" w14:textId="22F3E77F" w:rsidR="001C4776" w:rsidRPr="001C4776" w:rsidRDefault="001C4776" w:rsidP="001C4776">
            <w:pPr>
              <w:spacing w:line="240" w:lineRule="auto"/>
              <w:rPr>
                <w:rFonts w:eastAsia="Times New Roman" w:cs="Arial"/>
                <w:szCs w:val="24"/>
              </w:rPr>
            </w:pPr>
            <w:r w:rsidRPr="001C4776">
              <w:rPr>
                <w:szCs w:val="20"/>
              </w:rPr>
              <w:t>реакции на свръхчувствителност, включително анафилаксия</w:t>
            </w:r>
          </w:p>
        </w:tc>
        <w:tc>
          <w:tcPr>
            <w:tcW w:w="3192" w:type="dxa"/>
          </w:tcPr>
          <w:p w14:paraId="7292926A" w14:textId="0204C09E"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70DAC4AE" w14:textId="77777777" w:rsidTr="001C4776">
        <w:tc>
          <w:tcPr>
            <w:tcW w:w="3192" w:type="dxa"/>
            <w:vMerge/>
          </w:tcPr>
          <w:p w14:paraId="57E58A4B" w14:textId="77777777" w:rsidR="001C4776" w:rsidRPr="001C4776" w:rsidRDefault="001C4776" w:rsidP="001C4776">
            <w:pPr>
              <w:spacing w:line="240" w:lineRule="auto"/>
              <w:rPr>
                <w:rFonts w:eastAsia="Times New Roman" w:cs="Arial"/>
                <w:szCs w:val="24"/>
              </w:rPr>
            </w:pPr>
          </w:p>
        </w:tc>
        <w:tc>
          <w:tcPr>
            <w:tcW w:w="3192" w:type="dxa"/>
          </w:tcPr>
          <w:p w14:paraId="1BF741A1" w14:textId="0B5E19D6" w:rsidR="001C4776" w:rsidRPr="001C4776" w:rsidRDefault="001C4776" w:rsidP="001C4776">
            <w:pPr>
              <w:spacing w:line="240" w:lineRule="auto"/>
              <w:rPr>
                <w:rFonts w:eastAsia="Times New Roman" w:cs="Arial"/>
                <w:szCs w:val="24"/>
              </w:rPr>
            </w:pPr>
            <w:r w:rsidRPr="001C4776">
              <w:rPr>
                <w:szCs w:val="20"/>
              </w:rPr>
              <w:t>чернодробна еозинофилна инфилтрация</w:t>
            </w:r>
          </w:p>
        </w:tc>
        <w:tc>
          <w:tcPr>
            <w:tcW w:w="3192" w:type="dxa"/>
          </w:tcPr>
          <w:p w14:paraId="779D83EB" w14:textId="3411CF35" w:rsidR="001C4776" w:rsidRPr="001C4776" w:rsidRDefault="001C4776" w:rsidP="001C4776">
            <w:pPr>
              <w:spacing w:line="240" w:lineRule="auto"/>
              <w:rPr>
                <w:rFonts w:eastAsia="Times New Roman" w:cs="Arial"/>
                <w:szCs w:val="24"/>
              </w:rPr>
            </w:pPr>
            <w:r w:rsidRPr="001C4776">
              <w:rPr>
                <w:szCs w:val="20"/>
              </w:rPr>
              <w:t>Много редки</w:t>
            </w:r>
          </w:p>
        </w:tc>
      </w:tr>
      <w:tr w:rsidR="001C4776" w14:paraId="3697C719" w14:textId="77777777" w:rsidTr="001C4776">
        <w:tc>
          <w:tcPr>
            <w:tcW w:w="3192" w:type="dxa"/>
            <w:vMerge w:val="restart"/>
          </w:tcPr>
          <w:p w14:paraId="13B84039" w14:textId="63FE1F86" w:rsidR="001C4776" w:rsidRPr="001C4776" w:rsidRDefault="001C4776" w:rsidP="001C4776">
            <w:pPr>
              <w:spacing w:line="240" w:lineRule="auto"/>
              <w:rPr>
                <w:rFonts w:eastAsia="Times New Roman" w:cs="Arial"/>
                <w:szCs w:val="24"/>
              </w:rPr>
            </w:pPr>
            <w:r w:rsidRPr="001C4776">
              <w:rPr>
                <w:szCs w:val="20"/>
              </w:rPr>
              <w:t>Психични нарушения</w:t>
            </w:r>
          </w:p>
        </w:tc>
        <w:tc>
          <w:tcPr>
            <w:tcW w:w="3192" w:type="dxa"/>
          </w:tcPr>
          <w:p w14:paraId="1E848BAC" w14:textId="270C502B" w:rsidR="001C4776" w:rsidRPr="001C4776" w:rsidRDefault="001C4776" w:rsidP="001C4776">
            <w:pPr>
              <w:spacing w:line="240" w:lineRule="auto"/>
              <w:rPr>
                <w:rFonts w:eastAsia="Times New Roman" w:cs="Arial"/>
                <w:szCs w:val="24"/>
              </w:rPr>
            </w:pPr>
            <w:r w:rsidRPr="001C4776">
              <w:rPr>
                <w:szCs w:val="20"/>
              </w:rPr>
              <w:t>нарушения на съня, включително кошмари, безсъние, сомнамбулизъм, тревожност, възбуда, включително агресивно поведение или враждебност, депресия, психомоторна хиперактивност (включваща раздразнителност, безпокойство, тремор</w:t>
            </w:r>
            <w:r w:rsidRPr="001C4776">
              <w:rPr>
                <w:szCs w:val="20"/>
                <w:vertAlign w:val="superscript"/>
              </w:rPr>
              <w:t>§</w:t>
            </w:r>
            <w:r w:rsidRPr="001C4776">
              <w:rPr>
                <w:szCs w:val="20"/>
              </w:rPr>
              <w:t>)</w:t>
            </w:r>
          </w:p>
        </w:tc>
        <w:tc>
          <w:tcPr>
            <w:tcW w:w="3192" w:type="dxa"/>
          </w:tcPr>
          <w:p w14:paraId="5DEF0B77" w14:textId="1E6C3819"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5A4E8682" w14:textId="77777777" w:rsidTr="001C4776">
        <w:tc>
          <w:tcPr>
            <w:tcW w:w="3192" w:type="dxa"/>
            <w:vMerge/>
          </w:tcPr>
          <w:p w14:paraId="77BDCF03" w14:textId="77777777" w:rsidR="001C4776" w:rsidRPr="001C4776" w:rsidRDefault="001C4776" w:rsidP="001C4776">
            <w:pPr>
              <w:spacing w:line="240" w:lineRule="auto"/>
              <w:rPr>
                <w:rFonts w:eastAsia="Times New Roman" w:cs="Arial"/>
                <w:szCs w:val="24"/>
              </w:rPr>
            </w:pPr>
          </w:p>
        </w:tc>
        <w:tc>
          <w:tcPr>
            <w:tcW w:w="3192" w:type="dxa"/>
          </w:tcPr>
          <w:p w14:paraId="47BBAA7D" w14:textId="38B0CC95" w:rsidR="001C4776" w:rsidRPr="001C4776" w:rsidRDefault="001C4776" w:rsidP="001C4776">
            <w:pPr>
              <w:spacing w:line="240" w:lineRule="auto"/>
              <w:rPr>
                <w:rFonts w:eastAsia="Times New Roman" w:cs="Arial"/>
                <w:szCs w:val="24"/>
              </w:rPr>
            </w:pPr>
            <w:r w:rsidRPr="001C4776">
              <w:rPr>
                <w:szCs w:val="20"/>
              </w:rPr>
              <w:t>нарушение на вниманието, нарушение на паметта, тик</w:t>
            </w:r>
          </w:p>
        </w:tc>
        <w:tc>
          <w:tcPr>
            <w:tcW w:w="3192" w:type="dxa"/>
          </w:tcPr>
          <w:p w14:paraId="058855C1" w14:textId="71A53E20" w:rsidR="001C4776" w:rsidRPr="001C4776" w:rsidRDefault="001C4776" w:rsidP="001C4776">
            <w:pPr>
              <w:spacing w:line="240" w:lineRule="auto"/>
              <w:rPr>
                <w:rFonts w:eastAsia="Times New Roman" w:cs="Arial"/>
                <w:szCs w:val="24"/>
              </w:rPr>
            </w:pPr>
            <w:r w:rsidRPr="001C4776">
              <w:rPr>
                <w:szCs w:val="20"/>
              </w:rPr>
              <w:t>Редки</w:t>
            </w:r>
          </w:p>
        </w:tc>
      </w:tr>
      <w:tr w:rsidR="001C4776" w14:paraId="022A8121" w14:textId="77777777" w:rsidTr="001C4776">
        <w:tc>
          <w:tcPr>
            <w:tcW w:w="3192" w:type="dxa"/>
            <w:vMerge/>
          </w:tcPr>
          <w:p w14:paraId="118B0850" w14:textId="77777777" w:rsidR="001C4776" w:rsidRPr="001C4776" w:rsidRDefault="001C4776" w:rsidP="001C4776">
            <w:pPr>
              <w:spacing w:line="240" w:lineRule="auto"/>
              <w:rPr>
                <w:rFonts w:eastAsia="Times New Roman" w:cs="Arial"/>
                <w:szCs w:val="24"/>
              </w:rPr>
            </w:pPr>
          </w:p>
        </w:tc>
        <w:tc>
          <w:tcPr>
            <w:tcW w:w="3192" w:type="dxa"/>
          </w:tcPr>
          <w:p w14:paraId="1DCAABCC" w14:textId="6B4D5532" w:rsidR="001C4776" w:rsidRPr="001C4776" w:rsidRDefault="001C4776" w:rsidP="001C4776">
            <w:pPr>
              <w:spacing w:line="240" w:lineRule="auto"/>
              <w:rPr>
                <w:rFonts w:eastAsia="Times New Roman" w:cs="Arial"/>
                <w:szCs w:val="24"/>
              </w:rPr>
            </w:pPr>
            <w:r w:rsidRPr="001C4776">
              <w:rPr>
                <w:szCs w:val="20"/>
              </w:rPr>
              <w:t>халюцинации, дезориентация, суицидни идеации и поведение (склонност към самоубийство), обсесивно-компулсивни симптоми, заекване</w:t>
            </w:r>
          </w:p>
        </w:tc>
        <w:tc>
          <w:tcPr>
            <w:tcW w:w="3192" w:type="dxa"/>
          </w:tcPr>
          <w:p w14:paraId="032D7692" w14:textId="10CA5DDF" w:rsidR="001C4776" w:rsidRPr="001C4776" w:rsidRDefault="001C4776" w:rsidP="001C4776">
            <w:pPr>
              <w:spacing w:line="240" w:lineRule="auto"/>
              <w:rPr>
                <w:rFonts w:eastAsia="Times New Roman" w:cs="Arial"/>
                <w:szCs w:val="24"/>
              </w:rPr>
            </w:pPr>
            <w:r w:rsidRPr="001C4776">
              <w:rPr>
                <w:szCs w:val="20"/>
              </w:rPr>
              <w:t>Много редки</w:t>
            </w:r>
          </w:p>
        </w:tc>
      </w:tr>
      <w:tr w:rsidR="001C4776" w14:paraId="2F9F0142" w14:textId="77777777" w:rsidTr="001C4776">
        <w:tc>
          <w:tcPr>
            <w:tcW w:w="3192" w:type="dxa"/>
          </w:tcPr>
          <w:p w14:paraId="33A88A69" w14:textId="3E7FED7B" w:rsidR="001C4776" w:rsidRPr="001C4776" w:rsidRDefault="001C4776" w:rsidP="001C4776">
            <w:pPr>
              <w:spacing w:line="240" w:lineRule="auto"/>
              <w:rPr>
                <w:rFonts w:eastAsia="Times New Roman" w:cs="Arial"/>
                <w:szCs w:val="24"/>
              </w:rPr>
            </w:pPr>
            <w:r w:rsidRPr="001C4776">
              <w:rPr>
                <w:szCs w:val="20"/>
              </w:rPr>
              <w:t>Нарушения на нервната система</w:t>
            </w:r>
          </w:p>
        </w:tc>
        <w:tc>
          <w:tcPr>
            <w:tcW w:w="3192" w:type="dxa"/>
          </w:tcPr>
          <w:p w14:paraId="63D2AA31" w14:textId="4CC66DBC" w:rsidR="001C4776" w:rsidRPr="001C4776" w:rsidRDefault="001C4776" w:rsidP="001C4776">
            <w:pPr>
              <w:spacing w:line="240" w:lineRule="auto"/>
              <w:rPr>
                <w:rFonts w:eastAsia="Times New Roman" w:cs="Arial"/>
                <w:szCs w:val="24"/>
              </w:rPr>
            </w:pPr>
            <w:r w:rsidRPr="001C4776">
              <w:rPr>
                <w:szCs w:val="20"/>
              </w:rPr>
              <w:t>замаяност, сънливост, парестезия/хипестезия, гърчове</w:t>
            </w:r>
          </w:p>
        </w:tc>
        <w:tc>
          <w:tcPr>
            <w:tcW w:w="3192" w:type="dxa"/>
          </w:tcPr>
          <w:p w14:paraId="23D7FA03" w14:textId="736CAE45"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6AA141E2" w14:textId="77777777" w:rsidTr="001C4776">
        <w:tc>
          <w:tcPr>
            <w:tcW w:w="3192" w:type="dxa"/>
          </w:tcPr>
          <w:p w14:paraId="0200155A" w14:textId="2B667944" w:rsidR="001C4776" w:rsidRPr="001C4776" w:rsidRDefault="001C4776" w:rsidP="001C4776">
            <w:pPr>
              <w:spacing w:line="240" w:lineRule="auto"/>
              <w:rPr>
                <w:rFonts w:eastAsia="Times New Roman" w:cs="Arial"/>
                <w:szCs w:val="24"/>
              </w:rPr>
            </w:pPr>
            <w:r w:rsidRPr="001C4776">
              <w:rPr>
                <w:szCs w:val="20"/>
              </w:rPr>
              <w:t>Сърдечни нарушения</w:t>
            </w:r>
          </w:p>
        </w:tc>
        <w:tc>
          <w:tcPr>
            <w:tcW w:w="3192" w:type="dxa"/>
          </w:tcPr>
          <w:p w14:paraId="583FBF0A" w14:textId="1546E445" w:rsidR="001C4776" w:rsidRPr="001C4776" w:rsidRDefault="001C4776" w:rsidP="001C4776">
            <w:pPr>
              <w:spacing w:line="240" w:lineRule="auto"/>
              <w:rPr>
                <w:rFonts w:eastAsia="Times New Roman" w:cs="Arial"/>
                <w:szCs w:val="24"/>
              </w:rPr>
            </w:pPr>
            <w:r w:rsidRPr="001C4776">
              <w:rPr>
                <w:szCs w:val="20"/>
              </w:rPr>
              <w:t>палпитации</w:t>
            </w:r>
          </w:p>
        </w:tc>
        <w:tc>
          <w:tcPr>
            <w:tcW w:w="3192" w:type="dxa"/>
          </w:tcPr>
          <w:p w14:paraId="2090B5F5" w14:textId="5BAFF83E" w:rsidR="001C4776" w:rsidRPr="001C4776" w:rsidRDefault="001C4776" w:rsidP="001C4776">
            <w:pPr>
              <w:spacing w:line="240" w:lineRule="auto"/>
              <w:rPr>
                <w:rFonts w:eastAsia="Times New Roman" w:cs="Arial"/>
                <w:szCs w:val="24"/>
              </w:rPr>
            </w:pPr>
            <w:r w:rsidRPr="001C4776">
              <w:rPr>
                <w:szCs w:val="20"/>
              </w:rPr>
              <w:t>Редки</w:t>
            </w:r>
          </w:p>
        </w:tc>
      </w:tr>
      <w:tr w:rsidR="001C4776" w14:paraId="7922D671" w14:textId="77777777" w:rsidTr="001C4776">
        <w:tc>
          <w:tcPr>
            <w:tcW w:w="3192" w:type="dxa"/>
            <w:vMerge w:val="restart"/>
          </w:tcPr>
          <w:p w14:paraId="476958B0" w14:textId="08D33FD0" w:rsidR="001C4776" w:rsidRPr="001C4776" w:rsidRDefault="001C4776" w:rsidP="001C4776">
            <w:pPr>
              <w:spacing w:line="240" w:lineRule="auto"/>
              <w:rPr>
                <w:rFonts w:eastAsia="Times New Roman" w:cs="Arial"/>
                <w:szCs w:val="24"/>
              </w:rPr>
            </w:pPr>
            <w:r w:rsidRPr="001C4776">
              <w:rPr>
                <w:szCs w:val="20"/>
              </w:rPr>
              <w:t>Респираторни, гръдни и медиастинални нарушения</w:t>
            </w:r>
          </w:p>
        </w:tc>
        <w:tc>
          <w:tcPr>
            <w:tcW w:w="3192" w:type="dxa"/>
          </w:tcPr>
          <w:p w14:paraId="2F7C2CC2" w14:textId="2B43C782" w:rsidR="001C4776" w:rsidRPr="001C4776" w:rsidRDefault="001C4776" w:rsidP="001C4776">
            <w:pPr>
              <w:spacing w:line="240" w:lineRule="auto"/>
              <w:rPr>
                <w:rFonts w:eastAsia="Times New Roman" w:cs="Arial"/>
                <w:szCs w:val="24"/>
              </w:rPr>
            </w:pPr>
            <w:r w:rsidRPr="001C4776">
              <w:rPr>
                <w:szCs w:val="20"/>
              </w:rPr>
              <w:t>епистаксис</w:t>
            </w:r>
          </w:p>
        </w:tc>
        <w:tc>
          <w:tcPr>
            <w:tcW w:w="3192" w:type="dxa"/>
          </w:tcPr>
          <w:p w14:paraId="49CDD9A1" w14:textId="6249A1DD"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5FA0B438" w14:textId="77777777" w:rsidTr="001C4776">
        <w:tc>
          <w:tcPr>
            <w:tcW w:w="3192" w:type="dxa"/>
            <w:vMerge/>
          </w:tcPr>
          <w:p w14:paraId="4889AEE7" w14:textId="77777777" w:rsidR="001C4776" w:rsidRPr="001C4776" w:rsidRDefault="001C4776" w:rsidP="001C4776">
            <w:pPr>
              <w:spacing w:line="240" w:lineRule="auto"/>
              <w:rPr>
                <w:rFonts w:eastAsia="Times New Roman" w:cs="Arial"/>
                <w:szCs w:val="24"/>
              </w:rPr>
            </w:pPr>
          </w:p>
        </w:tc>
        <w:tc>
          <w:tcPr>
            <w:tcW w:w="3192" w:type="dxa"/>
          </w:tcPr>
          <w:p w14:paraId="6507A583" w14:textId="3DD37ABF" w:rsidR="001C4776" w:rsidRPr="001C4776" w:rsidRDefault="001C4776" w:rsidP="001C4776">
            <w:pPr>
              <w:spacing w:line="240" w:lineRule="auto"/>
              <w:rPr>
                <w:rFonts w:eastAsia="Times New Roman" w:cs="Arial"/>
                <w:szCs w:val="24"/>
              </w:rPr>
            </w:pPr>
            <w:r w:rsidRPr="001C4776">
              <w:rPr>
                <w:szCs w:val="20"/>
              </w:rPr>
              <w:t xml:space="preserve">синдром на </w:t>
            </w:r>
            <w:proofErr w:type="spellStart"/>
            <w:r w:rsidRPr="001C4776">
              <w:rPr>
                <w:szCs w:val="20"/>
                <w:lang w:val="en-US"/>
              </w:rPr>
              <w:t>Churg</w:t>
            </w:r>
            <w:proofErr w:type="spellEnd"/>
            <w:r w:rsidRPr="001C4776">
              <w:rPr>
                <w:szCs w:val="20"/>
                <w:lang w:val="ru-RU"/>
              </w:rPr>
              <w:t>-</w:t>
            </w:r>
            <w:r w:rsidRPr="001C4776">
              <w:rPr>
                <w:szCs w:val="20"/>
                <w:lang w:val="en-US"/>
              </w:rPr>
              <w:t>Strauss</w:t>
            </w:r>
            <w:r w:rsidRPr="001C4776">
              <w:rPr>
                <w:szCs w:val="20"/>
                <w:lang w:val="ru-RU"/>
              </w:rPr>
              <w:t>(</w:t>
            </w:r>
            <w:r w:rsidRPr="001C4776">
              <w:rPr>
                <w:szCs w:val="20"/>
                <w:lang w:val="en-US"/>
              </w:rPr>
              <w:t>CSS</w:t>
            </w:r>
            <w:r w:rsidRPr="001C4776">
              <w:rPr>
                <w:szCs w:val="20"/>
                <w:lang w:val="ru-RU"/>
              </w:rPr>
              <w:t xml:space="preserve">) </w:t>
            </w:r>
            <w:r w:rsidRPr="001C4776">
              <w:rPr>
                <w:szCs w:val="20"/>
              </w:rPr>
              <w:t>(вж. точка 4.4), белодробна еозинофилия</w:t>
            </w:r>
          </w:p>
        </w:tc>
        <w:tc>
          <w:tcPr>
            <w:tcW w:w="3192" w:type="dxa"/>
          </w:tcPr>
          <w:p w14:paraId="71658B5F" w14:textId="7518B498" w:rsidR="001C4776" w:rsidRPr="001C4776" w:rsidRDefault="001C4776" w:rsidP="001C4776">
            <w:pPr>
              <w:spacing w:line="240" w:lineRule="auto"/>
              <w:rPr>
                <w:rFonts w:eastAsia="Times New Roman" w:cs="Arial"/>
                <w:szCs w:val="24"/>
              </w:rPr>
            </w:pPr>
            <w:r w:rsidRPr="001C4776">
              <w:rPr>
                <w:szCs w:val="20"/>
              </w:rPr>
              <w:t>Много редки</w:t>
            </w:r>
          </w:p>
        </w:tc>
      </w:tr>
      <w:tr w:rsidR="001C4776" w14:paraId="44EC5F67" w14:textId="77777777" w:rsidTr="001C4776">
        <w:tc>
          <w:tcPr>
            <w:tcW w:w="3192" w:type="dxa"/>
            <w:vMerge w:val="restart"/>
          </w:tcPr>
          <w:p w14:paraId="332EBA29" w14:textId="35A6AF25" w:rsidR="001C4776" w:rsidRPr="001C4776" w:rsidRDefault="001C4776" w:rsidP="001C4776">
            <w:pPr>
              <w:spacing w:line="240" w:lineRule="auto"/>
              <w:rPr>
                <w:rFonts w:eastAsia="Times New Roman" w:cs="Arial"/>
                <w:szCs w:val="24"/>
              </w:rPr>
            </w:pPr>
            <w:r w:rsidRPr="001C4776">
              <w:rPr>
                <w:szCs w:val="20"/>
              </w:rPr>
              <w:lastRenderedPageBreak/>
              <w:t>Нарушения на стомашно-чревния тракт</w:t>
            </w:r>
          </w:p>
        </w:tc>
        <w:tc>
          <w:tcPr>
            <w:tcW w:w="3192" w:type="dxa"/>
          </w:tcPr>
          <w:p w14:paraId="22A88D5D" w14:textId="5699F4C2" w:rsidR="001C4776" w:rsidRPr="001C4776" w:rsidRDefault="001C4776" w:rsidP="001C4776">
            <w:pPr>
              <w:spacing w:line="240" w:lineRule="auto"/>
              <w:rPr>
                <w:rFonts w:eastAsia="Times New Roman" w:cs="Arial"/>
                <w:szCs w:val="24"/>
              </w:rPr>
            </w:pPr>
            <w:r w:rsidRPr="001C4776">
              <w:rPr>
                <w:szCs w:val="20"/>
              </w:rPr>
              <w:t>диария</w:t>
            </w:r>
            <w:r w:rsidRPr="001C4776">
              <w:rPr>
                <w:szCs w:val="20"/>
                <w:vertAlign w:val="superscript"/>
              </w:rPr>
              <w:t>++</w:t>
            </w:r>
            <w:r w:rsidRPr="001C4776">
              <w:rPr>
                <w:szCs w:val="20"/>
              </w:rPr>
              <w:t>, гадене</w:t>
            </w:r>
            <w:r w:rsidRPr="001C4776">
              <w:rPr>
                <w:szCs w:val="20"/>
                <w:vertAlign w:val="superscript"/>
              </w:rPr>
              <w:t>++</w:t>
            </w:r>
            <w:r w:rsidRPr="001C4776">
              <w:rPr>
                <w:szCs w:val="20"/>
              </w:rPr>
              <w:t>, повръщане</w:t>
            </w:r>
            <w:r w:rsidRPr="001C4776">
              <w:rPr>
                <w:szCs w:val="20"/>
                <w:vertAlign w:val="superscript"/>
              </w:rPr>
              <w:t>++</w:t>
            </w:r>
          </w:p>
        </w:tc>
        <w:tc>
          <w:tcPr>
            <w:tcW w:w="3192" w:type="dxa"/>
          </w:tcPr>
          <w:p w14:paraId="3743F3CA" w14:textId="6B4F99E7" w:rsidR="001C4776" w:rsidRPr="001C4776" w:rsidRDefault="001C4776" w:rsidP="001C4776">
            <w:pPr>
              <w:spacing w:line="240" w:lineRule="auto"/>
              <w:rPr>
                <w:rFonts w:eastAsia="Times New Roman" w:cs="Arial"/>
                <w:szCs w:val="24"/>
              </w:rPr>
            </w:pPr>
            <w:r w:rsidRPr="001C4776">
              <w:rPr>
                <w:szCs w:val="20"/>
              </w:rPr>
              <w:t>Чести</w:t>
            </w:r>
          </w:p>
        </w:tc>
      </w:tr>
      <w:tr w:rsidR="001C4776" w14:paraId="62E823A7" w14:textId="77777777" w:rsidTr="001C4776">
        <w:tc>
          <w:tcPr>
            <w:tcW w:w="3192" w:type="dxa"/>
            <w:vMerge/>
          </w:tcPr>
          <w:p w14:paraId="3B14D626" w14:textId="77777777" w:rsidR="001C4776" w:rsidRPr="001C4776" w:rsidRDefault="001C4776" w:rsidP="001C4776">
            <w:pPr>
              <w:spacing w:line="240" w:lineRule="auto"/>
              <w:rPr>
                <w:rFonts w:eastAsia="Times New Roman" w:cs="Arial"/>
                <w:szCs w:val="24"/>
              </w:rPr>
            </w:pPr>
          </w:p>
        </w:tc>
        <w:tc>
          <w:tcPr>
            <w:tcW w:w="3192" w:type="dxa"/>
          </w:tcPr>
          <w:p w14:paraId="29684094" w14:textId="67D0348B" w:rsidR="001C4776" w:rsidRPr="001C4776" w:rsidRDefault="001C4776" w:rsidP="001C4776">
            <w:pPr>
              <w:spacing w:line="240" w:lineRule="auto"/>
              <w:rPr>
                <w:rFonts w:eastAsia="Times New Roman" w:cs="Arial"/>
                <w:szCs w:val="24"/>
              </w:rPr>
            </w:pPr>
            <w:r w:rsidRPr="001C4776">
              <w:rPr>
                <w:szCs w:val="20"/>
              </w:rPr>
              <w:t>сухота в устата, диспепсия</w:t>
            </w:r>
          </w:p>
        </w:tc>
        <w:tc>
          <w:tcPr>
            <w:tcW w:w="3192" w:type="dxa"/>
          </w:tcPr>
          <w:p w14:paraId="1F824044" w14:textId="397C9BA0"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04C8366A" w14:textId="77777777" w:rsidTr="001C4776">
        <w:tc>
          <w:tcPr>
            <w:tcW w:w="3192" w:type="dxa"/>
            <w:vMerge w:val="restart"/>
          </w:tcPr>
          <w:p w14:paraId="7EACAB49" w14:textId="7C6B2EE0" w:rsidR="001C4776" w:rsidRPr="001C4776" w:rsidRDefault="001C4776" w:rsidP="001C4776">
            <w:pPr>
              <w:spacing w:line="240" w:lineRule="auto"/>
              <w:rPr>
                <w:rFonts w:eastAsia="Times New Roman" w:cs="Arial"/>
                <w:szCs w:val="24"/>
              </w:rPr>
            </w:pPr>
            <w:r w:rsidRPr="001C4776">
              <w:rPr>
                <w:szCs w:val="20"/>
              </w:rPr>
              <w:t>Хепатобилиарни нарушения</w:t>
            </w:r>
          </w:p>
        </w:tc>
        <w:tc>
          <w:tcPr>
            <w:tcW w:w="3192" w:type="dxa"/>
          </w:tcPr>
          <w:p w14:paraId="413405C2" w14:textId="36F23AD7" w:rsidR="001C4776" w:rsidRPr="001C4776" w:rsidRDefault="001C4776" w:rsidP="001C4776">
            <w:pPr>
              <w:spacing w:line="240" w:lineRule="auto"/>
              <w:rPr>
                <w:rFonts w:eastAsia="Times New Roman" w:cs="Arial"/>
                <w:szCs w:val="24"/>
              </w:rPr>
            </w:pPr>
            <w:r w:rsidRPr="001C4776">
              <w:rPr>
                <w:szCs w:val="20"/>
              </w:rPr>
              <w:t xml:space="preserve">повишени нива на серумните трансаминази </w:t>
            </w:r>
            <w:r w:rsidRPr="001C4776">
              <w:rPr>
                <w:szCs w:val="20"/>
                <w:lang w:val="ru-RU"/>
              </w:rPr>
              <w:t>(</w:t>
            </w:r>
            <w:r w:rsidRPr="001C4776">
              <w:rPr>
                <w:szCs w:val="20"/>
                <w:lang w:val="en-US"/>
              </w:rPr>
              <w:t>ALT</w:t>
            </w:r>
            <w:r w:rsidRPr="001C4776">
              <w:rPr>
                <w:szCs w:val="20"/>
                <w:lang w:val="ru-RU"/>
              </w:rPr>
              <w:t xml:space="preserve">, </w:t>
            </w:r>
            <w:r w:rsidRPr="001C4776">
              <w:rPr>
                <w:szCs w:val="20"/>
                <w:lang w:val="en-US"/>
              </w:rPr>
              <w:t>AST</w:t>
            </w:r>
            <w:r w:rsidRPr="001C4776">
              <w:rPr>
                <w:szCs w:val="20"/>
                <w:lang w:val="ru-RU"/>
              </w:rPr>
              <w:t>)</w:t>
            </w:r>
          </w:p>
        </w:tc>
        <w:tc>
          <w:tcPr>
            <w:tcW w:w="3192" w:type="dxa"/>
          </w:tcPr>
          <w:p w14:paraId="03CDAF3C" w14:textId="05C82080" w:rsidR="001C4776" w:rsidRPr="001C4776" w:rsidRDefault="001C4776" w:rsidP="001C4776">
            <w:pPr>
              <w:spacing w:line="240" w:lineRule="auto"/>
              <w:rPr>
                <w:rFonts w:eastAsia="Times New Roman" w:cs="Arial"/>
                <w:szCs w:val="24"/>
              </w:rPr>
            </w:pPr>
            <w:r w:rsidRPr="001C4776">
              <w:rPr>
                <w:szCs w:val="20"/>
              </w:rPr>
              <w:t>Чести</w:t>
            </w:r>
          </w:p>
        </w:tc>
      </w:tr>
      <w:tr w:rsidR="001C4776" w14:paraId="0CD09296" w14:textId="77777777" w:rsidTr="001C4776">
        <w:tc>
          <w:tcPr>
            <w:tcW w:w="3192" w:type="dxa"/>
            <w:vMerge/>
          </w:tcPr>
          <w:p w14:paraId="0FDC3B08" w14:textId="77777777" w:rsidR="001C4776" w:rsidRPr="001C4776" w:rsidRDefault="001C4776" w:rsidP="001C4776">
            <w:pPr>
              <w:spacing w:line="240" w:lineRule="auto"/>
              <w:rPr>
                <w:rFonts w:eastAsia="Times New Roman" w:cs="Arial"/>
                <w:szCs w:val="24"/>
              </w:rPr>
            </w:pPr>
          </w:p>
        </w:tc>
        <w:tc>
          <w:tcPr>
            <w:tcW w:w="3192" w:type="dxa"/>
          </w:tcPr>
          <w:p w14:paraId="0ED15011" w14:textId="69939288" w:rsidR="001C4776" w:rsidRPr="001C4776" w:rsidRDefault="001C4776" w:rsidP="001C4776">
            <w:pPr>
              <w:spacing w:line="240" w:lineRule="auto"/>
              <w:rPr>
                <w:rFonts w:eastAsia="Times New Roman" w:cs="Arial"/>
                <w:szCs w:val="24"/>
              </w:rPr>
            </w:pPr>
            <w:r w:rsidRPr="001C4776">
              <w:rPr>
                <w:szCs w:val="20"/>
              </w:rPr>
              <w:t>хепатит (вкл. холестатичен, хепатоцелуларен или от смесен произход)</w:t>
            </w:r>
          </w:p>
        </w:tc>
        <w:tc>
          <w:tcPr>
            <w:tcW w:w="3192" w:type="dxa"/>
          </w:tcPr>
          <w:p w14:paraId="0EF94B75" w14:textId="5D6968E9" w:rsidR="001C4776" w:rsidRPr="001C4776" w:rsidRDefault="001C4776" w:rsidP="001C4776">
            <w:pPr>
              <w:spacing w:line="240" w:lineRule="auto"/>
              <w:rPr>
                <w:rFonts w:eastAsia="Times New Roman" w:cs="Arial"/>
                <w:szCs w:val="24"/>
              </w:rPr>
            </w:pPr>
            <w:r w:rsidRPr="001C4776">
              <w:rPr>
                <w:szCs w:val="20"/>
              </w:rPr>
              <w:t>Много</w:t>
            </w:r>
            <w:r w:rsidRPr="001C4776">
              <w:rPr>
                <w:szCs w:val="20"/>
                <w:lang w:val="en-US"/>
              </w:rPr>
              <w:t xml:space="preserve"> </w:t>
            </w:r>
            <w:r w:rsidRPr="001C4776">
              <w:rPr>
                <w:szCs w:val="20"/>
              </w:rPr>
              <w:t>редки</w:t>
            </w:r>
          </w:p>
        </w:tc>
      </w:tr>
      <w:tr w:rsidR="001C4776" w14:paraId="04CCB3DA" w14:textId="77777777" w:rsidTr="001C4776">
        <w:tc>
          <w:tcPr>
            <w:tcW w:w="3192" w:type="dxa"/>
            <w:vMerge w:val="restart"/>
          </w:tcPr>
          <w:p w14:paraId="3894381E" w14:textId="502AB98A" w:rsidR="001C4776" w:rsidRPr="001C4776" w:rsidRDefault="001C4776" w:rsidP="001C4776">
            <w:pPr>
              <w:spacing w:line="240" w:lineRule="auto"/>
              <w:rPr>
                <w:rFonts w:eastAsia="Times New Roman" w:cs="Arial"/>
                <w:szCs w:val="24"/>
              </w:rPr>
            </w:pPr>
            <w:r w:rsidRPr="001C4776">
              <w:rPr>
                <w:szCs w:val="20"/>
              </w:rPr>
              <w:t>Нарушения на кожата и подкожните тъкани</w:t>
            </w:r>
          </w:p>
        </w:tc>
        <w:tc>
          <w:tcPr>
            <w:tcW w:w="3192" w:type="dxa"/>
          </w:tcPr>
          <w:p w14:paraId="2939B682" w14:textId="121CB27D" w:rsidR="001C4776" w:rsidRPr="001C4776" w:rsidRDefault="001C4776" w:rsidP="001C4776">
            <w:pPr>
              <w:spacing w:line="240" w:lineRule="auto"/>
              <w:rPr>
                <w:rFonts w:eastAsia="Times New Roman" w:cs="Arial"/>
                <w:szCs w:val="24"/>
              </w:rPr>
            </w:pPr>
            <w:r w:rsidRPr="001C4776">
              <w:rPr>
                <w:szCs w:val="20"/>
              </w:rPr>
              <w:t>обрив</w:t>
            </w:r>
            <w:r w:rsidRPr="001C4776">
              <w:rPr>
                <w:szCs w:val="20"/>
                <w:vertAlign w:val="superscript"/>
              </w:rPr>
              <w:t>++</w:t>
            </w:r>
          </w:p>
        </w:tc>
        <w:tc>
          <w:tcPr>
            <w:tcW w:w="3192" w:type="dxa"/>
          </w:tcPr>
          <w:p w14:paraId="261B6A60" w14:textId="71F8173C" w:rsidR="001C4776" w:rsidRPr="001C4776" w:rsidRDefault="001C4776" w:rsidP="001C4776">
            <w:pPr>
              <w:spacing w:line="240" w:lineRule="auto"/>
              <w:rPr>
                <w:rFonts w:eastAsia="Times New Roman" w:cs="Arial"/>
                <w:szCs w:val="24"/>
              </w:rPr>
            </w:pPr>
            <w:r w:rsidRPr="001C4776">
              <w:rPr>
                <w:szCs w:val="20"/>
              </w:rPr>
              <w:t>Чести</w:t>
            </w:r>
          </w:p>
        </w:tc>
      </w:tr>
      <w:tr w:rsidR="001C4776" w14:paraId="057DA69A" w14:textId="77777777" w:rsidTr="001C4776">
        <w:tc>
          <w:tcPr>
            <w:tcW w:w="3192" w:type="dxa"/>
            <w:vMerge/>
          </w:tcPr>
          <w:p w14:paraId="3C1C76E8" w14:textId="77777777" w:rsidR="001C4776" w:rsidRPr="001C4776" w:rsidRDefault="001C4776" w:rsidP="001C4776">
            <w:pPr>
              <w:spacing w:line="240" w:lineRule="auto"/>
              <w:rPr>
                <w:rFonts w:eastAsia="Times New Roman" w:cs="Arial"/>
                <w:szCs w:val="24"/>
              </w:rPr>
            </w:pPr>
          </w:p>
        </w:tc>
        <w:tc>
          <w:tcPr>
            <w:tcW w:w="3192" w:type="dxa"/>
          </w:tcPr>
          <w:p w14:paraId="2B0A6B6A" w14:textId="55A050FB" w:rsidR="001C4776" w:rsidRPr="001C4776" w:rsidRDefault="001C4776" w:rsidP="001C4776">
            <w:pPr>
              <w:spacing w:line="240" w:lineRule="auto"/>
              <w:rPr>
                <w:rFonts w:eastAsia="Times New Roman" w:cs="Arial"/>
                <w:szCs w:val="24"/>
              </w:rPr>
            </w:pPr>
            <w:r w:rsidRPr="001C4776">
              <w:rPr>
                <w:szCs w:val="20"/>
              </w:rPr>
              <w:t>поява на синини, уртикария, пруритус</w:t>
            </w:r>
          </w:p>
        </w:tc>
        <w:tc>
          <w:tcPr>
            <w:tcW w:w="3192" w:type="dxa"/>
          </w:tcPr>
          <w:p w14:paraId="49C77FC6" w14:textId="024F9484"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5DB9F4D4" w14:textId="77777777" w:rsidTr="001C4776">
        <w:tc>
          <w:tcPr>
            <w:tcW w:w="3192" w:type="dxa"/>
            <w:vMerge/>
          </w:tcPr>
          <w:p w14:paraId="406D02FD" w14:textId="77777777" w:rsidR="001C4776" w:rsidRPr="001C4776" w:rsidRDefault="001C4776" w:rsidP="001C4776">
            <w:pPr>
              <w:spacing w:line="240" w:lineRule="auto"/>
              <w:rPr>
                <w:rFonts w:eastAsia="Times New Roman" w:cs="Arial"/>
                <w:szCs w:val="24"/>
              </w:rPr>
            </w:pPr>
          </w:p>
        </w:tc>
        <w:tc>
          <w:tcPr>
            <w:tcW w:w="3192" w:type="dxa"/>
          </w:tcPr>
          <w:p w14:paraId="311881B9" w14:textId="42012B93" w:rsidR="001C4776" w:rsidRPr="001C4776" w:rsidRDefault="001C4776" w:rsidP="001C4776">
            <w:pPr>
              <w:spacing w:line="240" w:lineRule="auto"/>
              <w:rPr>
                <w:rFonts w:eastAsia="Times New Roman" w:cs="Arial"/>
                <w:szCs w:val="24"/>
              </w:rPr>
            </w:pPr>
            <w:r w:rsidRPr="001C4776">
              <w:rPr>
                <w:szCs w:val="20"/>
              </w:rPr>
              <w:t>ангиоедем</w:t>
            </w:r>
          </w:p>
        </w:tc>
        <w:tc>
          <w:tcPr>
            <w:tcW w:w="3192" w:type="dxa"/>
          </w:tcPr>
          <w:p w14:paraId="14355992" w14:textId="41F172E8" w:rsidR="001C4776" w:rsidRPr="001C4776" w:rsidRDefault="001C4776" w:rsidP="001C4776">
            <w:pPr>
              <w:spacing w:line="240" w:lineRule="auto"/>
              <w:rPr>
                <w:rFonts w:eastAsia="Times New Roman" w:cs="Arial"/>
                <w:szCs w:val="24"/>
              </w:rPr>
            </w:pPr>
            <w:r w:rsidRPr="001C4776">
              <w:rPr>
                <w:szCs w:val="20"/>
              </w:rPr>
              <w:t>Редки</w:t>
            </w:r>
          </w:p>
        </w:tc>
      </w:tr>
      <w:tr w:rsidR="001C4776" w14:paraId="2D6F182F" w14:textId="77777777" w:rsidTr="001C4776">
        <w:tc>
          <w:tcPr>
            <w:tcW w:w="3192" w:type="dxa"/>
            <w:vMerge/>
          </w:tcPr>
          <w:p w14:paraId="41F24B19" w14:textId="77777777" w:rsidR="001C4776" w:rsidRPr="001C4776" w:rsidRDefault="001C4776" w:rsidP="001C4776">
            <w:pPr>
              <w:spacing w:line="240" w:lineRule="auto"/>
              <w:rPr>
                <w:rFonts w:eastAsia="Times New Roman" w:cs="Arial"/>
                <w:szCs w:val="24"/>
              </w:rPr>
            </w:pPr>
          </w:p>
        </w:tc>
        <w:tc>
          <w:tcPr>
            <w:tcW w:w="3192" w:type="dxa"/>
          </w:tcPr>
          <w:p w14:paraId="0737CF02" w14:textId="66D20A37" w:rsidR="001C4776" w:rsidRPr="001C4776" w:rsidRDefault="001C4776" w:rsidP="001C4776">
            <w:pPr>
              <w:spacing w:line="240" w:lineRule="auto"/>
              <w:rPr>
                <w:rFonts w:eastAsia="Times New Roman" w:cs="Arial"/>
                <w:szCs w:val="24"/>
              </w:rPr>
            </w:pPr>
            <w:r w:rsidRPr="001C4776">
              <w:rPr>
                <w:szCs w:val="20"/>
              </w:rPr>
              <w:t>еритема нодозум, еритема мултиформе</w:t>
            </w:r>
          </w:p>
        </w:tc>
        <w:tc>
          <w:tcPr>
            <w:tcW w:w="3192" w:type="dxa"/>
          </w:tcPr>
          <w:p w14:paraId="030D39CD" w14:textId="22DEDB51" w:rsidR="001C4776" w:rsidRPr="001C4776" w:rsidRDefault="001C4776" w:rsidP="001C4776">
            <w:pPr>
              <w:spacing w:line="240" w:lineRule="auto"/>
              <w:rPr>
                <w:rFonts w:eastAsia="Times New Roman" w:cs="Arial"/>
                <w:szCs w:val="24"/>
              </w:rPr>
            </w:pPr>
            <w:r w:rsidRPr="001C4776">
              <w:rPr>
                <w:szCs w:val="20"/>
              </w:rPr>
              <w:t>Много редки</w:t>
            </w:r>
          </w:p>
        </w:tc>
      </w:tr>
      <w:tr w:rsidR="001C4776" w14:paraId="051E8880" w14:textId="77777777" w:rsidTr="001C4776">
        <w:tc>
          <w:tcPr>
            <w:tcW w:w="3192" w:type="dxa"/>
          </w:tcPr>
          <w:p w14:paraId="19FF8B16" w14:textId="5A906527" w:rsidR="001C4776" w:rsidRPr="001C4776" w:rsidRDefault="001C4776" w:rsidP="001C4776">
            <w:pPr>
              <w:spacing w:line="240" w:lineRule="auto"/>
              <w:rPr>
                <w:rFonts w:eastAsia="Times New Roman" w:cs="Arial"/>
                <w:szCs w:val="24"/>
              </w:rPr>
            </w:pPr>
            <w:r w:rsidRPr="001C4776">
              <w:rPr>
                <w:szCs w:val="20"/>
              </w:rPr>
              <w:t>Нарушения на мускулно-скелетната система и съединителната тъкан</w:t>
            </w:r>
          </w:p>
        </w:tc>
        <w:tc>
          <w:tcPr>
            <w:tcW w:w="3192" w:type="dxa"/>
          </w:tcPr>
          <w:p w14:paraId="7B878475" w14:textId="708561E1" w:rsidR="001C4776" w:rsidRPr="001C4776" w:rsidRDefault="001C4776" w:rsidP="001C4776">
            <w:pPr>
              <w:spacing w:line="240" w:lineRule="auto"/>
              <w:rPr>
                <w:rFonts w:eastAsia="Times New Roman" w:cs="Arial"/>
                <w:szCs w:val="24"/>
              </w:rPr>
            </w:pPr>
            <w:r w:rsidRPr="001C4776">
              <w:rPr>
                <w:szCs w:val="20"/>
              </w:rPr>
              <w:t>артралгия, миалгия, включително мускулни крампи</w:t>
            </w:r>
          </w:p>
        </w:tc>
        <w:tc>
          <w:tcPr>
            <w:tcW w:w="3192" w:type="dxa"/>
          </w:tcPr>
          <w:p w14:paraId="18F188EC" w14:textId="4808F757"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2AE87CEE" w14:textId="77777777" w:rsidTr="001C4776">
        <w:trPr>
          <w:trHeight w:val="117"/>
        </w:trPr>
        <w:tc>
          <w:tcPr>
            <w:tcW w:w="3192" w:type="dxa"/>
          </w:tcPr>
          <w:p w14:paraId="7F6743E7" w14:textId="1B058F29" w:rsidR="001C4776" w:rsidRPr="001C4776" w:rsidRDefault="001C4776" w:rsidP="001C4776">
            <w:pPr>
              <w:spacing w:line="240" w:lineRule="auto"/>
              <w:rPr>
                <w:rFonts w:eastAsia="Times New Roman" w:cs="Arial"/>
                <w:szCs w:val="24"/>
              </w:rPr>
            </w:pPr>
            <w:r w:rsidRPr="001C4776">
              <w:rPr>
                <w:szCs w:val="20"/>
              </w:rPr>
              <w:t>Нарушения на бъбреците и пикочните пътища</w:t>
            </w:r>
          </w:p>
        </w:tc>
        <w:tc>
          <w:tcPr>
            <w:tcW w:w="3192" w:type="dxa"/>
          </w:tcPr>
          <w:p w14:paraId="37A4F7F8" w14:textId="3F51E778" w:rsidR="001C4776" w:rsidRPr="001C4776" w:rsidRDefault="001C4776" w:rsidP="001C4776">
            <w:pPr>
              <w:spacing w:line="240" w:lineRule="auto"/>
              <w:rPr>
                <w:rFonts w:eastAsia="Times New Roman" w:cs="Arial"/>
                <w:szCs w:val="24"/>
              </w:rPr>
            </w:pPr>
            <w:r w:rsidRPr="001C4776">
              <w:rPr>
                <w:szCs w:val="20"/>
              </w:rPr>
              <w:t>Енурезис при деца</w:t>
            </w:r>
          </w:p>
        </w:tc>
        <w:tc>
          <w:tcPr>
            <w:tcW w:w="3192" w:type="dxa"/>
          </w:tcPr>
          <w:p w14:paraId="4EC9B318" w14:textId="4429BCB0"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3CADF10D" w14:textId="77777777" w:rsidTr="001C4776">
        <w:tc>
          <w:tcPr>
            <w:tcW w:w="3192" w:type="dxa"/>
            <w:vMerge w:val="restart"/>
          </w:tcPr>
          <w:p w14:paraId="340D8ECD" w14:textId="10387A77" w:rsidR="001C4776" w:rsidRPr="001C4776" w:rsidRDefault="001C4776" w:rsidP="001C4776">
            <w:pPr>
              <w:spacing w:line="240" w:lineRule="auto"/>
              <w:rPr>
                <w:rFonts w:eastAsia="Times New Roman" w:cs="Arial"/>
                <w:szCs w:val="24"/>
              </w:rPr>
            </w:pPr>
            <w:r w:rsidRPr="001C4776">
              <w:rPr>
                <w:szCs w:val="20"/>
              </w:rPr>
              <w:t>Общи нарушения и ефекти на мястото на приложение</w:t>
            </w:r>
          </w:p>
        </w:tc>
        <w:tc>
          <w:tcPr>
            <w:tcW w:w="3192" w:type="dxa"/>
          </w:tcPr>
          <w:p w14:paraId="072C2E3C" w14:textId="61BEE87E" w:rsidR="001C4776" w:rsidRPr="001C4776" w:rsidRDefault="001C4776" w:rsidP="001C4776">
            <w:pPr>
              <w:spacing w:line="240" w:lineRule="auto"/>
              <w:rPr>
                <w:rFonts w:eastAsia="Times New Roman" w:cs="Arial"/>
                <w:szCs w:val="24"/>
              </w:rPr>
            </w:pPr>
            <w:r w:rsidRPr="001C4776">
              <w:rPr>
                <w:szCs w:val="20"/>
              </w:rPr>
              <w:t>пирексия</w:t>
            </w:r>
            <w:r w:rsidRPr="001C4776">
              <w:rPr>
                <w:szCs w:val="20"/>
                <w:vertAlign w:val="superscript"/>
              </w:rPr>
              <w:t>++</w:t>
            </w:r>
          </w:p>
        </w:tc>
        <w:tc>
          <w:tcPr>
            <w:tcW w:w="3192" w:type="dxa"/>
          </w:tcPr>
          <w:p w14:paraId="44F66C85" w14:textId="73EA0BA0" w:rsidR="001C4776" w:rsidRPr="001C4776" w:rsidRDefault="001C4776" w:rsidP="001C4776">
            <w:pPr>
              <w:spacing w:line="240" w:lineRule="auto"/>
              <w:rPr>
                <w:rFonts w:eastAsia="Times New Roman" w:cs="Arial"/>
                <w:szCs w:val="24"/>
              </w:rPr>
            </w:pPr>
            <w:r w:rsidRPr="001C4776">
              <w:rPr>
                <w:szCs w:val="20"/>
              </w:rPr>
              <w:t>Чести</w:t>
            </w:r>
          </w:p>
        </w:tc>
      </w:tr>
      <w:tr w:rsidR="001C4776" w14:paraId="6CE10413" w14:textId="77777777" w:rsidTr="001C4776">
        <w:tc>
          <w:tcPr>
            <w:tcW w:w="3192" w:type="dxa"/>
            <w:vMerge/>
          </w:tcPr>
          <w:p w14:paraId="7805452E" w14:textId="77777777" w:rsidR="001C4776" w:rsidRPr="001C4776" w:rsidRDefault="001C4776" w:rsidP="001C4776">
            <w:pPr>
              <w:spacing w:line="240" w:lineRule="auto"/>
              <w:rPr>
                <w:rFonts w:eastAsia="Times New Roman" w:cs="Arial"/>
                <w:szCs w:val="24"/>
              </w:rPr>
            </w:pPr>
          </w:p>
        </w:tc>
        <w:tc>
          <w:tcPr>
            <w:tcW w:w="3192" w:type="dxa"/>
          </w:tcPr>
          <w:p w14:paraId="7D3BDE28" w14:textId="74CD01DE" w:rsidR="001C4776" w:rsidRPr="001C4776" w:rsidRDefault="001C4776" w:rsidP="001C4776">
            <w:pPr>
              <w:spacing w:line="240" w:lineRule="auto"/>
              <w:rPr>
                <w:rFonts w:eastAsia="Times New Roman" w:cs="Arial"/>
                <w:szCs w:val="24"/>
              </w:rPr>
            </w:pPr>
            <w:r w:rsidRPr="001C4776">
              <w:rPr>
                <w:szCs w:val="20"/>
              </w:rPr>
              <w:t>астения/изтощение, физическо неразположение, оток</w:t>
            </w:r>
          </w:p>
        </w:tc>
        <w:tc>
          <w:tcPr>
            <w:tcW w:w="3192" w:type="dxa"/>
          </w:tcPr>
          <w:p w14:paraId="7CC6ACD3" w14:textId="77CD8E84" w:rsidR="001C4776" w:rsidRPr="001C4776" w:rsidRDefault="001C4776" w:rsidP="001C4776">
            <w:pPr>
              <w:spacing w:line="240" w:lineRule="auto"/>
              <w:rPr>
                <w:rFonts w:eastAsia="Times New Roman" w:cs="Arial"/>
                <w:szCs w:val="24"/>
              </w:rPr>
            </w:pPr>
            <w:r w:rsidRPr="001C4776">
              <w:rPr>
                <w:szCs w:val="20"/>
              </w:rPr>
              <w:t>Нечести</w:t>
            </w:r>
          </w:p>
        </w:tc>
      </w:tr>
      <w:tr w:rsidR="001C4776" w14:paraId="176F7731" w14:textId="77777777" w:rsidTr="00264CC5">
        <w:tc>
          <w:tcPr>
            <w:tcW w:w="9576" w:type="dxa"/>
            <w:gridSpan w:val="3"/>
          </w:tcPr>
          <w:p w14:paraId="56CB49C9" w14:textId="77777777" w:rsidR="001C4776" w:rsidRPr="001C4776" w:rsidRDefault="001C4776" w:rsidP="001C4776">
            <w:pPr>
              <w:spacing w:line="240" w:lineRule="auto"/>
              <w:rPr>
                <w:rFonts w:eastAsia="Times New Roman" w:cs="Arial"/>
                <w:szCs w:val="24"/>
              </w:rPr>
            </w:pPr>
            <w:r w:rsidRPr="001C4776">
              <w:rPr>
                <w:rFonts w:eastAsia="Times New Roman" w:cs="Arial"/>
                <w:color w:val="000000"/>
                <w:szCs w:val="20"/>
                <w:lang w:eastAsia="bg-BG"/>
              </w:rPr>
              <w:t>* Честота: Определена за всяка нежелана реакция в зависимост от докладваните случаи в клинични проучвания: много чести (≥1/10), чести (≥ 1/100 до &lt;1/10), нечести (≥ 1/1 000 до &lt;1/100), редки (≥1/10 000 до &lt;1/1 000), много редки (&lt;1/10 000).</w:t>
            </w:r>
          </w:p>
          <w:p w14:paraId="4FDA9888" w14:textId="77777777" w:rsidR="001C4776" w:rsidRPr="001C4776" w:rsidRDefault="001C4776" w:rsidP="001C4776">
            <w:pPr>
              <w:spacing w:line="240" w:lineRule="auto"/>
              <w:rPr>
                <w:rFonts w:eastAsia="Times New Roman" w:cs="Arial"/>
                <w:szCs w:val="24"/>
              </w:rPr>
            </w:pPr>
            <w:r w:rsidRPr="001C4776">
              <w:rPr>
                <w:rFonts w:eastAsia="Times New Roman" w:cs="Arial"/>
                <w:color w:val="000000"/>
                <w:szCs w:val="20"/>
                <w:vertAlign w:val="superscript"/>
                <w:lang w:eastAsia="bg-BG"/>
              </w:rPr>
              <w:t>+</w:t>
            </w:r>
            <w:r w:rsidRPr="001C4776">
              <w:rPr>
                <w:rFonts w:eastAsia="Times New Roman" w:cs="Arial"/>
                <w:color w:val="000000"/>
                <w:szCs w:val="20"/>
                <w:lang w:eastAsia="bg-BG"/>
              </w:rPr>
              <w:t>Тази нежелана реакция съобщавана като много честа при пациенти, на лечение с монтелукаст е съобщавана също като много честа и при пациенти на лечение с плацебо в клинични проучвания.</w:t>
            </w:r>
          </w:p>
          <w:p w14:paraId="101A848F" w14:textId="77777777" w:rsidR="001C4776" w:rsidRPr="001C4776" w:rsidRDefault="001C4776" w:rsidP="001C4776">
            <w:pPr>
              <w:spacing w:line="240" w:lineRule="auto"/>
              <w:rPr>
                <w:rFonts w:eastAsia="Times New Roman" w:cs="Arial"/>
                <w:szCs w:val="24"/>
              </w:rPr>
            </w:pPr>
            <w:r w:rsidRPr="001C4776">
              <w:rPr>
                <w:rFonts w:eastAsia="Times New Roman" w:cs="Arial"/>
                <w:color w:val="000000"/>
                <w:szCs w:val="20"/>
                <w:vertAlign w:val="superscript"/>
                <w:lang w:val="ru-RU"/>
              </w:rPr>
              <w:t>++</w:t>
            </w:r>
            <w:r w:rsidRPr="001C4776">
              <w:rPr>
                <w:rFonts w:eastAsia="Times New Roman" w:cs="Arial"/>
                <w:color w:val="000000"/>
                <w:szCs w:val="20"/>
                <w:lang w:val="ru-RU"/>
              </w:rPr>
              <w:t xml:space="preserve"> </w:t>
            </w:r>
            <w:r w:rsidRPr="001C4776">
              <w:rPr>
                <w:rFonts w:eastAsia="Times New Roman" w:cs="Arial"/>
                <w:color w:val="000000"/>
                <w:szCs w:val="20"/>
                <w:lang w:eastAsia="bg-BG"/>
              </w:rPr>
              <w:t>Тази нежелана реакция съобщавана като честа при пациенти на лечение с монтелукаст е съобщавана също като честа и при пациенти на лечение с плацебо в клинични проучвания.</w:t>
            </w:r>
          </w:p>
          <w:p w14:paraId="04C868F7" w14:textId="645C0BAF" w:rsidR="001C4776" w:rsidRPr="001C4776" w:rsidRDefault="001C4776" w:rsidP="001C4776">
            <w:pPr>
              <w:spacing w:line="240" w:lineRule="auto"/>
              <w:rPr>
                <w:rFonts w:cs="Arial"/>
                <w:szCs w:val="20"/>
              </w:rPr>
            </w:pPr>
            <w:r w:rsidRPr="001C4776">
              <w:rPr>
                <w:rFonts w:eastAsia="Times New Roman" w:cs="Arial"/>
                <w:color w:val="000000"/>
                <w:szCs w:val="20"/>
                <w:vertAlign w:val="superscript"/>
                <w:lang w:eastAsia="bg-BG"/>
              </w:rPr>
              <w:t>§</w:t>
            </w:r>
            <w:r w:rsidRPr="001C4776">
              <w:rPr>
                <w:rFonts w:eastAsia="Times New Roman" w:cs="Arial"/>
                <w:color w:val="000000"/>
                <w:szCs w:val="20"/>
                <w:lang w:eastAsia="bg-BG"/>
              </w:rPr>
              <w:t xml:space="preserve"> Категория по честота: Редки</w:t>
            </w:r>
          </w:p>
        </w:tc>
      </w:tr>
    </w:tbl>
    <w:p w14:paraId="4B496F1F" w14:textId="77777777" w:rsidR="001C4776" w:rsidRPr="001C4776" w:rsidRDefault="001C4776" w:rsidP="001C4776">
      <w:pPr>
        <w:spacing w:line="240" w:lineRule="auto"/>
        <w:rPr>
          <w:rFonts w:eastAsia="Times New Roman" w:cs="Arial"/>
          <w:sz w:val="28"/>
          <w:szCs w:val="24"/>
        </w:rPr>
      </w:pPr>
    </w:p>
    <w:p w14:paraId="1DD0C6C7" w14:textId="77777777" w:rsidR="001C4776" w:rsidRPr="001C4776" w:rsidRDefault="001C4776" w:rsidP="001C4776">
      <w:pPr>
        <w:spacing w:line="240" w:lineRule="auto"/>
        <w:rPr>
          <w:rFonts w:eastAsia="Times New Roman" w:cs="Arial"/>
        </w:rPr>
      </w:pPr>
      <w:r w:rsidRPr="001C4776">
        <w:rPr>
          <w:rFonts w:eastAsia="Times New Roman" w:cs="Arial"/>
          <w:color w:val="000000"/>
          <w:u w:val="single"/>
          <w:lang w:eastAsia="bg-BG"/>
        </w:rPr>
        <w:t>Съобщаване на подозирани нежелани реакции</w:t>
      </w:r>
    </w:p>
    <w:p w14:paraId="0F57B450" w14:textId="44F6C0E1" w:rsidR="001C4776" w:rsidRDefault="001C4776" w:rsidP="001C4776">
      <w:pPr>
        <w:spacing w:line="240" w:lineRule="auto"/>
        <w:rPr>
          <w:rFonts w:eastAsia="Times New Roman" w:cs="Arial"/>
          <w:color w:val="000000"/>
          <w:lang w:val="ru-RU"/>
        </w:rPr>
      </w:pPr>
      <w:r w:rsidRPr="001C477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+359 28903417, уебсайт: </w:t>
      </w:r>
      <w:r w:rsidRPr="001C4776">
        <w:rPr>
          <w:rFonts w:eastAsia="Times New Roman" w:cs="Arial"/>
        </w:rPr>
        <w:fldChar w:fldCharType="begin"/>
      </w:r>
      <w:r w:rsidRPr="001C4776">
        <w:rPr>
          <w:rFonts w:eastAsia="Times New Roman" w:cs="Arial"/>
        </w:rPr>
        <w:instrText xml:space="preserve"> HYPERLINK "http://www.bda.bg" </w:instrText>
      </w:r>
      <w:r w:rsidRPr="001C4776">
        <w:rPr>
          <w:rFonts w:eastAsia="Times New Roman" w:cs="Arial"/>
        </w:rPr>
      </w:r>
      <w:r w:rsidRPr="001C4776">
        <w:rPr>
          <w:rFonts w:eastAsia="Times New Roman" w:cs="Arial"/>
        </w:rPr>
        <w:fldChar w:fldCharType="separate"/>
      </w:r>
      <w:r w:rsidRPr="001C4776">
        <w:rPr>
          <w:rFonts w:eastAsia="Times New Roman" w:cs="Arial"/>
          <w:color w:val="000000"/>
          <w:lang w:val="en-US"/>
        </w:rPr>
        <w:t>www</w:t>
      </w:r>
      <w:r w:rsidRPr="001C4776">
        <w:rPr>
          <w:rFonts w:eastAsia="Times New Roman" w:cs="Arial"/>
          <w:color w:val="000000"/>
          <w:lang w:val="ru-RU"/>
        </w:rPr>
        <w:t>.</w:t>
      </w:r>
      <w:proofErr w:type="spellStart"/>
      <w:r w:rsidRPr="001C4776">
        <w:rPr>
          <w:rFonts w:eastAsia="Times New Roman" w:cs="Arial"/>
          <w:color w:val="000000"/>
          <w:lang w:val="en-US"/>
        </w:rPr>
        <w:t>bda</w:t>
      </w:r>
      <w:proofErr w:type="spellEnd"/>
      <w:r w:rsidRPr="001C4776">
        <w:rPr>
          <w:rFonts w:eastAsia="Times New Roman" w:cs="Arial"/>
          <w:color w:val="000000"/>
          <w:lang w:val="ru-RU"/>
        </w:rPr>
        <w:t>.</w:t>
      </w:r>
      <w:proofErr w:type="spellStart"/>
      <w:r w:rsidRPr="001C4776">
        <w:rPr>
          <w:rFonts w:eastAsia="Times New Roman" w:cs="Arial"/>
          <w:color w:val="000000"/>
          <w:lang w:val="en-US"/>
        </w:rPr>
        <w:t>bg</w:t>
      </w:r>
      <w:proofErr w:type="spellEnd"/>
      <w:r w:rsidRPr="001C4776">
        <w:rPr>
          <w:rFonts w:eastAsia="Times New Roman" w:cs="Arial"/>
        </w:rPr>
        <w:fldChar w:fldCharType="end"/>
      </w:r>
      <w:r w:rsidRPr="001C4776">
        <w:rPr>
          <w:rFonts w:eastAsia="Times New Roman" w:cs="Arial"/>
          <w:color w:val="000000"/>
          <w:lang w:val="ru-RU"/>
        </w:rPr>
        <w:t>.</w:t>
      </w:r>
    </w:p>
    <w:p w14:paraId="49525181" w14:textId="77777777" w:rsidR="001C4776" w:rsidRPr="001C4776" w:rsidRDefault="001C4776" w:rsidP="001C4776">
      <w:pPr>
        <w:spacing w:line="240" w:lineRule="auto"/>
        <w:rPr>
          <w:rFonts w:eastAsia="Times New Roman" w:cs="Arial"/>
        </w:rPr>
      </w:pPr>
    </w:p>
    <w:p w14:paraId="5A87DBA3" w14:textId="6A1F99FB" w:rsidR="007122AD" w:rsidRDefault="002C50EE" w:rsidP="00936AD0">
      <w:pPr>
        <w:pStyle w:val="Heading2"/>
      </w:pPr>
      <w:r>
        <w:t>4.9. Предозиране</w:t>
      </w:r>
    </w:p>
    <w:p w14:paraId="59631B3B" w14:textId="4A189999" w:rsidR="001C4776" w:rsidRDefault="001C4776" w:rsidP="001C4776"/>
    <w:p w14:paraId="51CC1161"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В проучвания за хронична астма, монтелукаст е прилаган на възрастни пациенти в дози до 200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дневно в продължение на 22 седмици и в краткосрочни проучвания в дози до 900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дневно на пациенти за приблизително една седмица, без клинично значими нежелани реакции.</w:t>
      </w:r>
    </w:p>
    <w:p w14:paraId="66B188AF" w14:textId="77777777" w:rsidR="001C4776" w:rsidRPr="001C4776" w:rsidRDefault="001C4776" w:rsidP="001C4776">
      <w:pPr>
        <w:spacing w:line="240" w:lineRule="auto"/>
        <w:rPr>
          <w:rFonts w:eastAsia="Times New Roman" w:cs="Arial"/>
          <w:color w:val="000000"/>
          <w:szCs w:val="20"/>
          <w:lang w:eastAsia="bg-BG"/>
        </w:rPr>
      </w:pPr>
    </w:p>
    <w:p w14:paraId="1CC3A68F" w14:textId="75A56F73"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От постмаркетинговия опит и клиничните проучвания има съобщения за остро предозиране с монтелукаст. Те включват съобщения при възрастни и деца с дози от 1000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и по-високи (приблизително 61 </w:t>
      </w:r>
      <w:r w:rsidRPr="001C4776">
        <w:rPr>
          <w:rFonts w:eastAsia="Times New Roman" w:cs="Arial"/>
          <w:color w:val="000000"/>
          <w:szCs w:val="20"/>
          <w:lang w:val="en-US"/>
        </w:rPr>
        <w:t>mg</w:t>
      </w:r>
      <w:r w:rsidRPr="001C4776">
        <w:rPr>
          <w:rFonts w:eastAsia="Times New Roman" w:cs="Arial"/>
          <w:color w:val="000000"/>
          <w:szCs w:val="20"/>
          <w:lang w:val="ru-RU"/>
        </w:rPr>
        <w:t>/</w:t>
      </w:r>
      <w:r w:rsidRPr="001C4776">
        <w:rPr>
          <w:rFonts w:eastAsia="Times New Roman" w:cs="Arial"/>
          <w:color w:val="000000"/>
          <w:szCs w:val="20"/>
          <w:lang w:val="en-US"/>
        </w:rPr>
        <w:t>kg</w:t>
      </w:r>
      <w:r w:rsidRPr="001C4776">
        <w:rPr>
          <w:rFonts w:eastAsia="Times New Roman" w:cs="Arial"/>
          <w:color w:val="000000"/>
          <w:szCs w:val="20"/>
          <w:lang w:val="ru-RU"/>
        </w:rPr>
        <w:t xml:space="preserve"> </w:t>
      </w:r>
      <w:r w:rsidRPr="001C4776">
        <w:rPr>
          <w:rFonts w:eastAsia="Times New Roman" w:cs="Arial"/>
          <w:color w:val="000000"/>
          <w:szCs w:val="20"/>
          <w:lang w:eastAsia="bg-BG"/>
        </w:rPr>
        <w:t>телесно тегло при 42-месечно дете). Наблюдаваните клинична картина и лабораторни резултати са в съответствие с профила на безопасност при възрастни и педиатрични пациенти. В по-гол ямата част от съобщенията за предозиране не е имало нежелани реакции.</w:t>
      </w:r>
    </w:p>
    <w:p w14:paraId="72FA4000" w14:textId="77777777" w:rsidR="001C4776" w:rsidRPr="001C4776" w:rsidRDefault="001C4776" w:rsidP="001C4776">
      <w:pPr>
        <w:spacing w:line="240" w:lineRule="auto"/>
        <w:rPr>
          <w:rFonts w:eastAsia="Times New Roman" w:cs="Arial"/>
          <w:color w:val="000000"/>
          <w:szCs w:val="20"/>
          <w:u w:val="single"/>
          <w:lang w:eastAsia="bg-BG"/>
        </w:rPr>
      </w:pPr>
    </w:p>
    <w:p w14:paraId="18D97A24" w14:textId="43D58FCB" w:rsidR="001C4776" w:rsidRPr="001C4776" w:rsidRDefault="001C4776" w:rsidP="001C4776">
      <w:pPr>
        <w:pStyle w:val="Heading3"/>
        <w:rPr>
          <w:rFonts w:eastAsia="Times New Roman"/>
          <w:sz w:val="28"/>
          <w:u w:val="single"/>
        </w:rPr>
      </w:pPr>
      <w:r w:rsidRPr="001C4776">
        <w:rPr>
          <w:rFonts w:eastAsia="Times New Roman"/>
          <w:u w:val="single"/>
          <w:lang w:eastAsia="bg-BG"/>
        </w:rPr>
        <w:t>Симптоми на предозиране</w:t>
      </w:r>
    </w:p>
    <w:p w14:paraId="6A2F87C6"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Най-често наблюдаваните нежелани реакции са в съответствие с профила на безопасност на монтелукаст и включват коремна болка, сомнолентност, жажда, главоболие, повръщане и психомоторна хиперреактивност.</w:t>
      </w:r>
    </w:p>
    <w:p w14:paraId="2336ABE6" w14:textId="77777777" w:rsidR="001C4776" w:rsidRPr="001C4776" w:rsidRDefault="001C4776" w:rsidP="001C4776">
      <w:pPr>
        <w:spacing w:line="240" w:lineRule="auto"/>
        <w:rPr>
          <w:rFonts w:eastAsia="Times New Roman" w:cs="Arial"/>
          <w:color w:val="000000"/>
          <w:szCs w:val="20"/>
          <w:u w:val="single"/>
          <w:lang w:eastAsia="bg-BG"/>
        </w:rPr>
      </w:pPr>
    </w:p>
    <w:p w14:paraId="3C78A8D2" w14:textId="0576375D" w:rsidR="001C4776" w:rsidRPr="001C4776" w:rsidRDefault="001C4776" w:rsidP="001C4776">
      <w:pPr>
        <w:pStyle w:val="Heading3"/>
        <w:rPr>
          <w:rFonts w:eastAsia="Times New Roman"/>
          <w:sz w:val="28"/>
          <w:u w:val="single"/>
        </w:rPr>
      </w:pPr>
      <w:r w:rsidRPr="001C4776">
        <w:rPr>
          <w:rFonts w:eastAsia="Times New Roman"/>
          <w:u w:val="single"/>
          <w:lang w:eastAsia="bg-BG"/>
        </w:rPr>
        <w:t>Лечение на предозиране</w:t>
      </w:r>
    </w:p>
    <w:p w14:paraId="2CC96364" w14:textId="7BF15DB9" w:rsidR="001C4776" w:rsidRPr="001C4776" w:rsidRDefault="001C4776" w:rsidP="001C4776">
      <w:r w:rsidRPr="001C4776">
        <w:rPr>
          <w:rFonts w:eastAsia="Times New Roman" w:cs="Arial"/>
          <w:color w:val="000000"/>
          <w:szCs w:val="20"/>
          <w:lang w:eastAsia="bg-BG"/>
        </w:rPr>
        <w:t>Няма налична специфична информация относно лечение на предозиране с монотелукаст. Не е известно дали монтелукаст</w:t>
      </w:r>
      <w:r w:rsidRPr="001C4776">
        <w:rPr>
          <w:rFonts w:ascii="Times New Roman" w:eastAsia="Times New Roman" w:hAnsi="Times New Roman" w:cs="Times New Roman"/>
          <w:color w:val="000000"/>
          <w:szCs w:val="20"/>
          <w:lang w:eastAsia="bg-BG"/>
        </w:rPr>
        <w:t xml:space="preserve"> </w:t>
      </w:r>
      <w:r w:rsidRPr="001C4776">
        <w:rPr>
          <w:rFonts w:eastAsia="Times New Roman" w:cs="Arial"/>
          <w:color w:val="000000"/>
          <w:szCs w:val="20"/>
          <w:lang w:eastAsia="bg-BG"/>
        </w:rPr>
        <w:t>се диализира посредством перитонеална или хемодиализа.</w:t>
      </w:r>
    </w:p>
    <w:p w14:paraId="02081B24" w14:textId="1F46E296" w:rsidR="00395555" w:rsidRPr="00395555" w:rsidRDefault="002C50EE" w:rsidP="008A6AF2">
      <w:pPr>
        <w:pStyle w:val="Heading1"/>
      </w:pPr>
      <w:r>
        <w:t>5. ФАРМАКОЛОГИЧНИ СВОЙСТВА</w:t>
      </w:r>
    </w:p>
    <w:p w14:paraId="7DE36AC8" w14:textId="20633E02" w:rsidR="00B6672E" w:rsidRDefault="002C50EE" w:rsidP="00936AD0">
      <w:pPr>
        <w:pStyle w:val="Heading2"/>
      </w:pPr>
      <w:r>
        <w:t>5.1. Фармакодинамични свойства</w:t>
      </w:r>
    </w:p>
    <w:p w14:paraId="1A4E88E7" w14:textId="51E6C5E8" w:rsidR="001C4776" w:rsidRDefault="001C4776" w:rsidP="001C4776"/>
    <w:p w14:paraId="28967E2B"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Фармакотерапевтична група: Левкотриенови рецепторни антагонисти, АТС код: </w:t>
      </w:r>
      <w:r w:rsidRPr="001C4776">
        <w:rPr>
          <w:rFonts w:eastAsia="Times New Roman" w:cs="Arial"/>
          <w:color w:val="000000"/>
          <w:szCs w:val="20"/>
          <w:lang w:val="en-US"/>
        </w:rPr>
        <w:t>R</w:t>
      </w:r>
      <w:r w:rsidRPr="001C4776">
        <w:rPr>
          <w:rFonts w:eastAsia="Times New Roman" w:cs="Arial"/>
          <w:color w:val="000000"/>
          <w:szCs w:val="20"/>
          <w:lang w:val="ru-RU"/>
        </w:rPr>
        <w:t>03</w:t>
      </w:r>
      <w:r w:rsidRPr="001C4776">
        <w:rPr>
          <w:rFonts w:eastAsia="Times New Roman" w:cs="Arial"/>
          <w:color w:val="000000"/>
          <w:szCs w:val="20"/>
          <w:lang w:val="en-US"/>
        </w:rPr>
        <w:t>D</w:t>
      </w:r>
      <w:r w:rsidRPr="001C4776">
        <w:rPr>
          <w:rFonts w:eastAsia="Times New Roman" w:cs="Arial"/>
          <w:color w:val="000000"/>
          <w:szCs w:val="20"/>
          <w:lang w:val="ru-RU"/>
        </w:rPr>
        <w:t xml:space="preserve"> </w:t>
      </w:r>
      <w:r w:rsidRPr="001C4776">
        <w:rPr>
          <w:rFonts w:eastAsia="Times New Roman" w:cs="Arial"/>
          <w:color w:val="000000"/>
          <w:szCs w:val="20"/>
          <w:lang w:eastAsia="bg-BG"/>
        </w:rPr>
        <w:t>СОЗ</w:t>
      </w:r>
    </w:p>
    <w:p w14:paraId="3D98928B" w14:textId="77777777" w:rsidR="007F6EF6" w:rsidRPr="007F6EF6" w:rsidRDefault="007F6EF6" w:rsidP="001C4776">
      <w:pPr>
        <w:spacing w:line="240" w:lineRule="auto"/>
        <w:rPr>
          <w:rFonts w:eastAsia="Times New Roman" w:cs="Arial"/>
          <w:color w:val="000000"/>
          <w:szCs w:val="20"/>
          <w:u w:val="single"/>
          <w:lang w:eastAsia="bg-BG"/>
        </w:rPr>
      </w:pPr>
    </w:p>
    <w:p w14:paraId="30730FAA" w14:textId="20E99F7F"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u w:val="single"/>
          <w:lang w:eastAsia="bg-BG"/>
        </w:rPr>
        <w:t>Механизъм на действие</w:t>
      </w:r>
    </w:p>
    <w:p w14:paraId="492CB0A5"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Цистениловите левкотриени </w:t>
      </w:r>
      <w:r w:rsidRPr="001C4776">
        <w:rPr>
          <w:rFonts w:eastAsia="Times New Roman" w:cs="Arial"/>
          <w:color w:val="000000"/>
          <w:szCs w:val="20"/>
          <w:lang w:val="ru-RU"/>
        </w:rPr>
        <w:t>(</w:t>
      </w:r>
      <w:r w:rsidRPr="001C4776">
        <w:rPr>
          <w:rFonts w:eastAsia="Times New Roman" w:cs="Arial"/>
          <w:color w:val="000000"/>
          <w:szCs w:val="20"/>
          <w:lang w:val="en-US"/>
        </w:rPr>
        <w:t>LTC</w:t>
      </w:r>
      <w:r w:rsidRPr="001C4776">
        <w:rPr>
          <w:rFonts w:eastAsia="Times New Roman" w:cs="Arial"/>
          <w:color w:val="000000"/>
          <w:szCs w:val="20"/>
          <w:lang w:val="ru-RU"/>
        </w:rPr>
        <w:t xml:space="preserve">4, </w:t>
      </w:r>
      <w:r w:rsidRPr="001C4776">
        <w:rPr>
          <w:rFonts w:eastAsia="Times New Roman" w:cs="Arial"/>
          <w:color w:val="000000"/>
          <w:szCs w:val="20"/>
          <w:lang w:val="en-US"/>
        </w:rPr>
        <w:t>LTD</w:t>
      </w:r>
      <w:r w:rsidRPr="001C4776">
        <w:rPr>
          <w:rFonts w:eastAsia="Times New Roman" w:cs="Arial"/>
          <w:color w:val="000000"/>
          <w:szCs w:val="20"/>
          <w:vertAlign w:val="subscript"/>
          <w:lang w:val="ru-RU"/>
        </w:rPr>
        <w:t>4</w:t>
      </w:r>
      <w:r w:rsidRPr="001C4776">
        <w:rPr>
          <w:rFonts w:eastAsia="Times New Roman" w:cs="Arial"/>
          <w:color w:val="000000"/>
          <w:szCs w:val="20"/>
          <w:lang w:val="ru-RU"/>
        </w:rPr>
        <w:t xml:space="preserve">, </w:t>
      </w:r>
      <w:r w:rsidRPr="001C4776">
        <w:rPr>
          <w:rFonts w:eastAsia="Times New Roman" w:cs="Arial"/>
          <w:color w:val="000000"/>
          <w:szCs w:val="20"/>
          <w:lang w:val="en-US"/>
        </w:rPr>
        <w:t>LTE</w:t>
      </w:r>
      <w:r w:rsidRPr="001C4776">
        <w:rPr>
          <w:rFonts w:eastAsia="Times New Roman" w:cs="Arial"/>
          <w:color w:val="000000"/>
          <w:szCs w:val="20"/>
          <w:vertAlign w:val="subscript"/>
          <w:lang w:val="ru-RU"/>
        </w:rPr>
        <w:t>4</w:t>
      </w:r>
      <w:r w:rsidRPr="001C4776">
        <w:rPr>
          <w:rFonts w:eastAsia="Times New Roman" w:cs="Arial"/>
          <w:color w:val="000000"/>
          <w:szCs w:val="20"/>
          <w:lang w:eastAsia="bg-BG"/>
        </w:rPr>
        <w:t xml:space="preserve">) са мощни възпалителни ейкозаноиди, които се освобождават от различни клетки, включително мастоцити и еозинофилни гранулоцити. Тези важни проастматични медиатори се свързват с цистенил левкотриенови </w:t>
      </w:r>
      <w:r w:rsidRPr="001C4776">
        <w:rPr>
          <w:rFonts w:eastAsia="Times New Roman" w:cs="Arial"/>
          <w:color w:val="000000"/>
          <w:szCs w:val="20"/>
        </w:rPr>
        <w:t>(</w:t>
      </w:r>
      <w:proofErr w:type="spellStart"/>
      <w:r w:rsidRPr="001C4776">
        <w:rPr>
          <w:rFonts w:eastAsia="Times New Roman" w:cs="Arial"/>
          <w:color w:val="000000"/>
          <w:szCs w:val="20"/>
          <w:lang w:val="en-US"/>
        </w:rPr>
        <w:t>CysLT</w:t>
      </w:r>
      <w:proofErr w:type="spellEnd"/>
      <w:r w:rsidRPr="001C4776">
        <w:rPr>
          <w:rFonts w:eastAsia="Times New Roman" w:cs="Arial"/>
          <w:color w:val="000000"/>
          <w:szCs w:val="20"/>
        </w:rPr>
        <w:t xml:space="preserve">) </w:t>
      </w:r>
      <w:r w:rsidRPr="001C4776">
        <w:rPr>
          <w:rFonts w:eastAsia="Times New Roman" w:cs="Arial"/>
          <w:color w:val="000000"/>
          <w:szCs w:val="20"/>
          <w:lang w:eastAsia="bg-BG"/>
        </w:rPr>
        <w:t>рецептори, намиращи се в дихателните пътища на човек и въздействат върху тях като причиняват бронхоспазъм, повишена секреция на мукус, съдов пермеабилитет и натрупване на еозинофили.</w:t>
      </w:r>
    </w:p>
    <w:p w14:paraId="6556E60F" w14:textId="77777777" w:rsidR="007F6EF6" w:rsidRPr="007F6EF6" w:rsidRDefault="007F6EF6" w:rsidP="001C4776">
      <w:pPr>
        <w:spacing w:line="240" w:lineRule="auto"/>
        <w:rPr>
          <w:rFonts w:eastAsia="Times New Roman" w:cs="Arial"/>
          <w:color w:val="000000"/>
          <w:szCs w:val="20"/>
          <w:u w:val="single"/>
          <w:lang w:eastAsia="bg-BG"/>
        </w:rPr>
      </w:pPr>
    </w:p>
    <w:p w14:paraId="52817325" w14:textId="213ABC4F"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u w:val="single"/>
          <w:lang w:eastAsia="bg-BG"/>
        </w:rPr>
        <w:t>Фармакодинамични ефекти</w:t>
      </w:r>
    </w:p>
    <w:p w14:paraId="4B2B3E0A"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Монтелукаст е активна съставка, която се прилага перорално и се свързва с висок афинитет и селективност към </w:t>
      </w:r>
      <w:proofErr w:type="spellStart"/>
      <w:r w:rsidRPr="001C4776">
        <w:rPr>
          <w:rFonts w:eastAsia="Times New Roman" w:cs="Arial"/>
          <w:color w:val="000000"/>
          <w:szCs w:val="20"/>
          <w:lang w:val="en-US"/>
        </w:rPr>
        <w:t>CysLT</w:t>
      </w:r>
      <w:proofErr w:type="spellEnd"/>
      <w:r w:rsidRPr="001C4776">
        <w:rPr>
          <w:rFonts w:eastAsia="Times New Roman" w:cs="Arial"/>
          <w:color w:val="000000"/>
          <w:szCs w:val="20"/>
          <w:vertAlign w:val="subscript"/>
          <w:lang w:val="ru-RU"/>
        </w:rPr>
        <w:t>1</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рецептора. В клинични проучвания монтелукаст инхибира бронхоконстрикцията благодарение на инхалаторния </w:t>
      </w:r>
      <w:r w:rsidRPr="001C4776">
        <w:rPr>
          <w:rFonts w:eastAsia="Times New Roman" w:cs="Arial"/>
          <w:color w:val="000000"/>
          <w:szCs w:val="20"/>
          <w:lang w:val="en-US"/>
        </w:rPr>
        <w:t>LTD</w:t>
      </w:r>
      <w:r w:rsidRPr="001C4776">
        <w:rPr>
          <w:rFonts w:eastAsia="Times New Roman" w:cs="Arial"/>
          <w:color w:val="000000"/>
          <w:szCs w:val="20"/>
          <w:vertAlign w:val="subscript"/>
          <w:lang w:val="ru-RU"/>
        </w:rPr>
        <w:t>4</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в дози от 5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В рамките на два часа след перорално приложение се наблюдава бронходилатация. Бронходилатиращия ефект, предизвикан от β-агонист е бил адитивен спрямо този предизвикан от монтелукаст. Лечението с монтелукаст инхибира ранната и късната фаза на бронхоконстрикцията благодарение на антигенното активиране. Монтелукаст в сравнение с плацебо намалява броя на еозинофилите в периферната кръв при възрастни и педиатрични пациенти. В отделно проучване, лечението с монтелукаст води до значимо намаление на еозинофилите в дихателните пътища (определени в храчка). При възрастни и педиатрични пациенти на възраст от 2 до 14 години, монтелукаст сравнен с плацебо понижава периферното натрупване на еозинофили и подобрява контрола на клиничните симптоми на астмата.</w:t>
      </w:r>
    </w:p>
    <w:p w14:paraId="0204A008" w14:textId="77777777" w:rsidR="007F6EF6" w:rsidRPr="007F6EF6" w:rsidRDefault="007F6EF6" w:rsidP="001C4776">
      <w:pPr>
        <w:spacing w:line="240" w:lineRule="auto"/>
        <w:rPr>
          <w:rFonts w:eastAsia="Times New Roman" w:cs="Arial"/>
          <w:color w:val="000000"/>
          <w:szCs w:val="20"/>
          <w:u w:val="single"/>
          <w:lang w:eastAsia="bg-BG"/>
        </w:rPr>
      </w:pPr>
    </w:p>
    <w:p w14:paraId="54F7D92D" w14:textId="51C4B29A"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u w:val="single"/>
          <w:lang w:eastAsia="bg-BG"/>
        </w:rPr>
        <w:t>Клинична ефикасност и безопасност</w:t>
      </w:r>
    </w:p>
    <w:p w14:paraId="4353817E"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 xml:space="preserve">В проучвания при възрастни, монтелукаст 10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веднъж дневно в сравнение с плацебо е доказал значително подобрение в сутрешния форсиран експираторен обем за 1 минута </w:t>
      </w:r>
      <w:r w:rsidRPr="001C4776">
        <w:rPr>
          <w:rFonts w:eastAsia="Times New Roman" w:cs="Arial"/>
          <w:color w:val="000000"/>
          <w:szCs w:val="20"/>
          <w:lang w:val="ru-RU"/>
        </w:rPr>
        <w:lastRenderedPageBreak/>
        <w:t>(</w:t>
      </w:r>
      <w:r w:rsidRPr="001C4776">
        <w:rPr>
          <w:rFonts w:eastAsia="Times New Roman" w:cs="Arial"/>
          <w:color w:val="000000"/>
          <w:szCs w:val="20"/>
          <w:lang w:val="en-US"/>
        </w:rPr>
        <w:t>FEV</w:t>
      </w:r>
      <w:r w:rsidRPr="001C4776">
        <w:rPr>
          <w:rFonts w:eastAsia="Times New Roman" w:cs="Arial"/>
          <w:color w:val="000000"/>
          <w:szCs w:val="20"/>
          <w:vertAlign w:val="subscript"/>
          <w:lang w:val="ru-RU"/>
        </w:rPr>
        <w:t>1</w:t>
      </w:r>
      <w:r w:rsidRPr="001C4776">
        <w:rPr>
          <w:rFonts w:eastAsia="Times New Roman" w:cs="Arial"/>
          <w:color w:val="000000"/>
          <w:szCs w:val="20"/>
          <w:lang w:val="ru-RU"/>
        </w:rPr>
        <w:t xml:space="preserve">) </w:t>
      </w:r>
      <w:r w:rsidRPr="001C4776">
        <w:rPr>
          <w:rFonts w:eastAsia="Times New Roman" w:cs="Arial"/>
          <w:color w:val="000000"/>
          <w:szCs w:val="20"/>
          <w:lang w:eastAsia="bg-BG"/>
        </w:rPr>
        <w:t>(10,4% спрямо 2,7% промяна от изходните стойности), АМ върховия експираторен дебит (24,5</w:t>
      </w:r>
      <w:r w:rsidRPr="001C4776">
        <w:rPr>
          <w:rFonts w:eastAsia="Times New Roman" w:cs="Arial"/>
          <w:color w:val="000000"/>
          <w:szCs w:val="20"/>
          <w:lang w:val="ru-RU"/>
        </w:rPr>
        <w:t>1/</w:t>
      </w:r>
      <w:r w:rsidRPr="001C4776">
        <w:rPr>
          <w:rFonts w:eastAsia="Times New Roman" w:cs="Arial"/>
          <w:color w:val="000000"/>
          <w:szCs w:val="20"/>
          <w:lang w:val="en-US"/>
        </w:rPr>
        <w:t>min</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спрямо 3,3 </w:t>
      </w:r>
      <w:r w:rsidRPr="001C4776">
        <w:rPr>
          <w:rFonts w:eastAsia="Times New Roman" w:cs="Arial"/>
          <w:color w:val="000000"/>
          <w:szCs w:val="20"/>
          <w:lang w:val="en-US"/>
        </w:rPr>
        <w:t>l</w:t>
      </w:r>
      <w:r w:rsidRPr="001C4776">
        <w:rPr>
          <w:rFonts w:eastAsia="Times New Roman" w:cs="Arial"/>
          <w:color w:val="000000"/>
          <w:szCs w:val="20"/>
          <w:lang w:val="ru-RU"/>
        </w:rPr>
        <w:t>/</w:t>
      </w:r>
      <w:r w:rsidRPr="001C4776">
        <w:rPr>
          <w:rFonts w:eastAsia="Times New Roman" w:cs="Arial"/>
          <w:color w:val="000000"/>
          <w:szCs w:val="20"/>
          <w:lang w:val="en-US"/>
        </w:rPr>
        <w:t>min</w:t>
      </w:r>
      <w:r w:rsidRPr="001C4776">
        <w:rPr>
          <w:rFonts w:eastAsia="Times New Roman" w:cs="Arial"/>
          <w:color w:val="000000"/>
          <w:szCs w:val="20"/>
          <w:lang w:val="ru-RU"/>
        </w:rPr>
        <w:t xml:space="preserve"> </w:t>
      </w:r>
      <w:r w:rsidRPr="001C4776">
        <w:rPr>
          <w:rFonts w:eastAsia="Times New Roman" w:cs="Arial"/>
          <w:color w:val="000000"/>
          <w:szCs w:val="20"/>
          <w:lang w:eastAsia="bg-BG"/>
        </w:rPr>
        <w:t>промяна спрямо изходните стойности) и значимо намаление в общата употреба на 0-агонисти (-26,1% спрямо -4,6% промяна от изходните стойности). Подобрението в съобщаваните от пациентите симптоми през деня и нощта е било значително по-добро отколкото при плацебо.</w:t>
      </w:r>
    </w:p>
    <w:p w14:paraId="5DB79EAA" w14:textId="77777777" w:rsidR="007F6EF6" w:rsidRPr="007F6EF6" w:rsidRDefault="007F6EF6" w:rsidP="001C4776">
      <w:pPr>
        <w:spacing w:line="240" w:lineRule="auto"/>
        <w:rPr>
          <w:rFonts w:eastAsia="Times New Roman" w:cs="Arial"/>
          <w:color w:val="000000"/>
          <w:szCs w:val="20"/>
          <w:lang w:eastAsia="bg-BG"/>
        </w:rPr>
      </w:pPr>
    </w:p>
    <w:p w14:paraId="759B990F" w14:textId="067BFD78"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Проучванията при възрастни са доказали способността на монтелукаст да допълва клиничния ефект на инхалаторния кортикостероид (% промяна от изходните показатели за инхалаторен беклометазон плюс монтелукаст спрямо беклометазон по отношение на ФЕО</w:t>
      </w:r>
      <w:r w:rsidRPr="001C4776">
        <w:rPr>
          <w:rFonts w:eastAsia="Times New Roman" w:cs="Arial"/>
          <w:color w:val="000000"/>
          <w:szCs w:val="20"/>
          <w:vertAlign w:val="subscript"/>
          <w:lang w:eastAsia="bg-BG"/>
        </w:rPr>
        <w:t>1</w:t>
      </w:r>
      <w:r w:rsidRPr="001C4776">
        <w:rPr>
          <w:rFonts w:eastAsia="Times New Roman" w:cs="Arial"/>
          <w:color w:val="000000"/>
          <w:szCs w:val="20"/>
          <w:lang w:eastAsia="bg-BG"/>
        </w:rPr>
        <w:t xml:space="preserve"> 5,43% срещу 1,04%; употреба на 0-агонист: -8,70% срещу 2,64%). Сравнен с инхалаторен беклометазон (200 </w:t>
      </w:r>
      <w:r w:rsidRPr="001C4776">
        <w:rPr>
          <w:rFonts w:eastAsia="Times New Roman" w:cs="Arial"/>
          <w:color w:val="000000"/>
          <w:szCs w:val="20"/>
          <w:lang w:val="en-US"/>
        </w:rPr>
        <w:t>micrograms</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два пъта дневно с небулизатор), монтелукаст </w:t>
      </w:r>
      <w:r w:rsidRPr="001C4776">
        <w:rPr>
          <w:rFonts w:eastAsia="Times New Roman" w:cs="Arial"/>
          <w:i/>
          <w:iCs/>
          <w:color w:val="000000"/>
          <w:szCs w:val="20"/>
          <w:lang w:eastAsia="bg-BG"/>
        </w:rPr>
        <w:t>е</w:t>
      </w:r>
      <w:r w:rsidRPr="001C4776">
        <w:rPr>
          <w:rFonts w:eastAsia="Times New Roman" w:cs="Arial"/>
          <w:color w:val="000000"/>
          <w:szCs w:val="20"/>
          <w:lang w:eastAsia="bg-BG"/>
        </w:rPr>
        <w:t xml:space="preserve"> демонстрирал по-бърз начален отговор, въпреки че в 12-седмично проучване беклометазон осигурява по-добър среден терапевтичен ефект (% промяна от изходните показатели съответно за ФЕО</w:t>
      </w:r>
      <w:r w:rsidRPr="001C4776">
        <w:rPr>
          <w:rFonts w:eastAsia="Times New Roman" w:cs="Arial"/>
          <w:color w:val="000000"/>
          <w:szCs w:val="20"/>
          <w:vertAlign w:val="subscript"/>
          <w:lang w:eastAsia="bg-BG"/>
        </w:rPr>
        <w:t>1</w:t>
      </w:r>
      <w:r w:rsidRPr="001C4776">
        <w:rPr>
          <w:rFonts w:eastAsia="Times New Roman" w:cs="Arial"/>
          <w:color w:val="000000"/>
          <w:szCs w:val="20"/>
          <w:lang w:eastAsia="bg-BG"/>
        </w:rPr>
        <w:t>:7,49% срещу 13,3%; употреба на 0-агонисти: -28,28% срещу -43,89%). Все пак, в сравнение с беклометазон, висок процент от пациентите на лечение с монтелукаст са достигнали подобни клинични отговори (напр. 50% от пациентите на лечение с беклометазон постигат подобрение във ФЕО</w:t>
      </w:r>
      <w:r w:rsidRPr="001C4776">
        <w:rPr>
          <w:rFonts w:eastAsia="Times New Roman" w:cs="Arial"/>
          <w:color w:val="000000"/>
          <w:szCs w:val="20"/>
          <w:vertAlign w:val="subscript"/>
          <w:lang w:eastAsia="bg-BG"/>
        </w:rPr>
        <w:t>1</w:t>
      </w:r>
      <w:r w:rsidRPr="001C4776">
        <w:rPr>
          <w:rFonts w:eastAsia="Times New Roman" w:cs="Arial"/>
          <w:color w:val="000000"/>
          <w:szCs w:val="20"/>
          <w:lang w:eastAsia="bg-BG"/>
        </w:rPr>
        <w:t xml:space="preserve"> от приблизително 11% или повече над изходните стойност, докато приблизително 42% от пациентите на лечение с монтелукаст достигат същия отговор).</w:t>
      </w:r>
    </w:p>
    <w:p w14:paraId="3154BFAC" w14:textId="77777777" w:rsidR="007F6EF6" w:rsidRPr="007F6EF6" w:rsidRDefault="007F6EF6" w:rsidP="001C4776">
      <w:pPr>
        <w:spacing w:line="240" w:lineRule="auto"/>
        <w:rPr>
          <w:rFonts w:eastAsia="Times New Roman" w:cs="Arial"/>
          <w:color w:val="000000"/>
          <w:szCs w:val="20"/>
          <w:u w:val="single"/>
          <w:lang w:eastAsia="bg-BG"/>
        </w:rPr>
      </w:pPr>
    </w:p>
    <w:p w14:paraId="6D4BCFEE" w14:textId="684EC7D2"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u w:val="single"/>
          <w:lang w:eastAsia="bg-BG"/>
        </w:rPr>
        <w:t>Педиатрична популация</w:t>
      </w:r>
    </w:p>
    <w:p w14:paraId="1074C47E" w14:textId="77777777" w:rsidR="001C4776" w:rsidRPr="001C4776" w:rsidRDefault="001C4776" w:rsidP="001C4776">
      <w:pPr>
        <w:spacing w:line="240" w:lineRule="auto"/>
        <w:rPr>
          <w:rFonts w:eastAsia="Times New Roman" w:cs="Arial"/>
          <w:sz w:val="28"/>
          <w:szCs w:val="24"/>
        </w:rPr>
      </w:pPr>
      <w:r w:rsidRPr="001C4776">
        <w:rPr>
          <w:rFonts w:eastAsia="Times New Roman" w:cs="Arial"/>
          <w:color w:val="000000"/>
          <w:szCs w:val="20"/>
          <w:lang w:eastAsia="bg-BG"/>
        </w:rPr>
        <w:t>В 8-седмично проучване при педиатрични пациенти на възраст от 6 до 14</w:t>
      </w:r>
      <w:r w:rsidRPr="001C4776">
        <w:rPr>
          <w:rFonts w:eastAsia="Times New Roman" w:cs="Arial"/>
          <w:color w:val="000000"/>
          <w:szCs w:val="20"/>
          <w:lang w:val="ru-RU"/>
        </w:rPr>
        <w:t xml:space="preserve"> </w:t>
      </w:r>
      <w:r w:rsidRPr="001C4776">
        <w:rPr>
          <w:rFonts w:eastAsia="Times New Roman" w:cs="Arial"/>
          <w:color w:val="000000"/>
          <w:szCs w:val="20"/>
          <w:lang w:eastAsia="bg-BG"/>
        </w:rPr>
        <w:t xml:space="preserve">години прием монтелукаст 5 </w:t>
      </w:r>
      <w:r w:rsidRPr="001C4776">
        <w:rPr>
          <w:rFonts w:eastAsia="Times New Roman" w:cs="Arial"/>
          <w:color w:val="000000"/>
          <w:szCs w:val="20"/>
          <w:lang w:val="en-US"/>
        </w:rPr>
        <w:t>mg</w:t>
      </w:r>
      <w:r w:rsidRPr="001C4776">
        <w:rPr>
          <w:rFonts w:eastAsia="Times New Roman" w:cs="Arial"/>
          <w:color w:val="000000"/>
          <w:szCs w:val="20"/>
          <w:lang w:val="ru-RU"/>
        </w:rPr>
        <w:t xml:space="preserve"> </w:t>
      </w:r>
      <w:r w:rsidRPr="001C4776">
        <w:rPr>
          <w:rFonts w:eastAsia="Times New Roman" w:cs="Arial"/>
          <w:color w:val="000000"/>
          <w:szCs w:val="20"/>
          <w:lang w:eastAsia="bg-BG"/>
        </w:rPr>
        <w:t>веднъж дневно сравнен с плацебо значително е подобрил дихателната</w:t>
      </w:r>
    </w:p>
    <w:p w14:paraId="1D4333C5" w14:textId="1B49F10B" w:rsidR="001C4776" w:rsidRPr="007F6EF6" w:rsidRDefault="001C4776" w:rsidP="001C4776">
      <w:pPr>
        <w:rPr>
          <w:rFonts w:eastAsia="Times New Roman" w:cs="Arial"/>
          <w:color w:val="000000"/>
          <w:szCs w:val="20"/>
          <w:lang w:eastAsia="bg-BG"/>
        </w:rPr>
      </w:pPr>
      <w:r w:rsidRPr="007F6EF6">
        <w:rPr>
          <w:rFonts w:eastAsia="Times New Roman" w:cs="Arial"/>
          <w:color w:val="000000"/>
          <w:szCs w:val="20"/>
          <w:lang w:eastAsia="bg-BG"/>
        </w:rPr>
        <w:t xml:space="preserve">функция </w:t>
      </w:r>
      <w:r w:rsidRPr="007F6EF6">
        <w:rPr>
          <w:rFonts w:eastAsia="Times New Roman" w:cs="Arial"/>
          <w:color w:val="000000"/>
          <w:szCs w:val="20"/>
          <w:lang w:val="ru-RU"/>
        </w:rPr>
        <w:t>(</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1</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8,71% спрямо 4,16% промяна от изходната стойност; АМ </w:t>
      </w:r>
      <w:r w:rsidRPr="007F6EF6">
        <w:rPr>
          <w:rFonts w:eastAsia="Times New Roman" w:cs="Arial"/>
          <w:color w:val="000000"/>
          <w:szCs w:val="20"/>
          <w:lang w:val="en-US"/>
        </w:rPr>
        <w:t>PEFR</w:t>
      </w:r>
      <w:r w:rsidRPr="007F6EF6">
        <w:rPr>
          <w:rFonts w:eastAsia="Times New Roman" w:cs="Arial"/>
          <w:color w:val="000000"/>
          <w:szCs w:val="20"/>
          <w:lang w:val="ru-RU"/>
        </w:rPr>
        <w:t xml:space="preserve"> 27,9 </w:t>
      </w:r>
      <w:r w:rsidRPr="007F6EF6">
        <w:rPr>
          <w:rFonts w:eastAsia="Times New Roman" w:cs="Arial"/>
          <w:color w:val="000000"/>
          <w:szCs w:val="20"/>
          <w:lang w:val="en-US"/>
        </w:rPr>
        <w:t>l</w:t>
      </w:r>
      <w:r w:rsidRPr="007F6EF6">
        <w:rPr>
          <w:rFonts w:eastAsia="Times New Roman" w:cs="Arial"/>
          <w:color w:val="000000"/>
          <w:szCs w:val="20"/>
          <w:lang w:val="ru-RU"/>
        </w:rPr>
        <w:t>/</w:t>
      </w:r>
      <w:r w:rsidRPr="007F6EF6">
        <w:rPr>
          <w:rFonts w:eastAsia="Times New Roman" w:cs="Arial"/>
          <w:color w:val="000000"/>
          <w:szCs w:val="20"/>
          <w:lang w:val="en-US"/>
        </w:rPr>
        <w:t>min</w:t>
      </w:r>
      <w:r w:rsidRPr="007F6EF6">
        <w:rPr>
          <w:rFonts w:eastAsia="Times New Roman" w:cs="Arial"/>
          <w:color w:val="000000"/>
          <w:szCs w:val="20"/>
          <w:lang w:eastAsia="bg-BG"/>
        </w:rPr>
        <w:t xml:space="preserve"> спрямо 17,8 </w:t>
      </w:r>
      <w:r w:rsidRPr="007F6EF6">
        <w:rPr>
          <w:rFonts w:eastAsia="Times New Roman" w:cs="Arial"/>
          <w:color w:val="000000"/>
          <w:szCs w:val="20"/>
          <w:lang w:val="en-US"/>
        </w:rPr>
        <w:t>l</w:t>
      </w:r>
      <w:r w:rsidRPr="007F6EF6">
        <w:rPr>
          <w:rFonts w:eastAsia="Times New Roman" w:cs="Arial"/>
          <w:color w:val="000000"/>
          <w:szCs w:val="20"/>
          <w:lang w:val="ru-RU"/>
        </w:rPr>
        <w:t>/</w:t>
      </w:r>
      <w:r w:rsidRPr="007F6EF6">
        <w:rPr>
          <w:rFonts w:eastAsia="Times New Roman" w:cs="Arial"/>
          <w:color w:val="000000"/>
          <w:szCs w:val="20"/>
          <w:lang w:val="en-US"/>
        </w:rPr>
        <w:t>min</w:t>
      </w:r>
      <w:r w:rsidRPr="007F6EF6">
        <w:rPr>
          <w:rFonts w:eastAsia="Times New Roman" w:cs="Arial"/>
          <w:color w:val="000000"/>
          <w:szCs w:val="20"/>
          <w:lang w:val="ru-RU"/>
        </w:rPr>
        <w:t xml:space="preserve"> </w:t>
      </w:r>
      <w:r w:rsidRPr="007F6EF6">
        <w:rPr>
          <w:rFonts w:eastAsia="Times New Roman" w:cs="Arial"/>
          <w:color w:val="000000"/>
          <w:szCs w:val="20"/>
          <w:lang w:eastAsia="bg-BG"/>
        </w:rPr>
        <w:t>промяна от изходните стойност) и намалява употребата</w:t>
      </w:r>
      <w:r w:rsidRPr="007F6EF6">
        <w:rPr>
          <w:rFonts w:eastAsia="Times New Roman" w:cs="Arial"/>
          <w:color w:val="000000"/>
          <w:szCs w:val="20"/>
          <w:lang w:val="ru-RU"/>
        </w:rPr>
        <w:t xml:space="preserve"> </w:t>
      </w:r>
      <w:r w:rsidRPr="007F6EF6">
        <w:rPr>
          <w:rFonts w:eastAsia="Times New Roman" w:cs="Arial"/>
          <w:color w:val="000000"/>
          <w:szCs w:val="20"/>
          <w:lang w:eastAsia="bg-BG"/>
        </w:rPr>
        <w:t>на бета-агонисти “при необходимост” (-11,7% спрямо +8,2% промяна от изходните стойности).</w:t>
      </w:r>
    </w:p>
    <w:p w14:paraId="7EB0F860" w14:textId="663582B8" w:rsidR="007F6EF6" w:rsidRPr="007F6EF6" w:rsidRDefault="007F6EF6" w:rsidP="001C4776">
      <w:pPr>
        <w:rPr>
          <w:rFonts w:eastAsia="Times New Roman" w:cs="Arial"/>
          <w:color w:val="000000"/>
          <w:szCs w:val="20"/>
          <w:lang w:eastAsia="bg-BG"/>
        </w:rPr>
      </w:pPr>
    </w:p>
    <w:p w14:paraId="481E0ABD" w14:textId="77777777"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В 12-месечно проучване, сравняващо ефикасността на монтелукаст спрямо инхалаторен флугиказон по отношение контрол на астмата при пациенти на възраст между 6 и 14 години с лека персистираща астма, монтелукаст не е бил е по-лош от флугиказон в повишаване процента на свободните от астма дни (САД), първичната крайна точка. Осреднено за 12-месеца терапевтичен период, процентът на САД се е повишил от 61,6 на 84,0 в групата на лечение с монтелукаст и от 60,9 на 86,7 в групата на лечение с флугиказон. Разликата между двете групи в ЛС незначително повишила процентът на САД (-2,8 с 95% коефициент на доверителност от - 4,7, -0,9), но в предварително определените граници за клинична неинфериорност. Монтелукаст и флугиказон са подобрили вариабилните за контрола върху астмата, оценени след 12-месечен терапевтичен период.</w:t>
      </w:r>
    </w:p>
    <w:p w14:paraId="7297E232" w14:textId="77777777" w:rsidR="007F6EF6" w:rsidRPr="007F6EF6" w:rsidRDefault="007F6EF6" w:rsidP="007F6EF6">
      <w:pPr>
        <w:spacing w:line="240" w:lineRule="auto"/>
        <w:rPr>
          <w:rFonts w:eastAsia="Times New Roman" w:cs="Arial"/>
          <w:color w:val="000000"/>
          <w:szCs w:val="20"/>
          <w:lang w:eastAsia="bg-BG"/>
        </w:rPr>
      </w:pPr>
    </w:p>
    <w:p w14:paraId="13202FB5" w14:textId="77777777" w:rsidR="007F6EF6" w:rsidRPr="007F6EF6" w:rsidRDefault="007F6EF6" w:rsidP="007F6EF6">
      <w:pPr>
        <w:pStyle w:val="ListParagraph"/>
        <w:numPr>
          <w:ilvl w:val="0"/>
          <w:numId w:val="38"/>
        </w:numPr>
        <w:spacing w:line="240" w:lineRule="auto"/>
        <w:rPr>
          <w:rFonts w:eastAsia="Times New Roman" w:cs="Arial"/>
          <w:sz w:val="28"/>
          <w:szCs w:val="24"/>
        </w:rPr>
      </w:pPr>
      <w:r w:rsidRPr="007F6EF6">
        <w:rPr>
          <w:rFonts w:eastAsia="Times New Roman" w:cs="Arial"/>
          <w:color w:val="000000"/>
          <w:szCs w:val="20"/>
          <w:lang w:val="en-US"/>
        </w:rPr>
        <w:t>FEV</w:t>
      </w:r>
      <w:r w:rsidRPr="007F6EF6">
        <w:rPr>
          <w:rFonts w:eastAsia="Times New Roman" w:cs="Arial"/>
          <w:color w:val="000000"/>
          <w:szCs w:val="20"/>
          <w:vertAlign w:val="subscript"/>
          <w:lang w:val="ru-RU"/>
        </w:rPr>
        <w:t>1</w:t>
      </w:r>
      <w:r w:rsidRPr="007F6EF6">
        <w:rPr>
          <w:rFonts w:eastAsia="Times New Roman" w:cs="Arial"/>
          <w:color w:val="000000"/>
          <w:szCs w:val="20"/>
          <w:lang w:val="ru-RU"/>
        </w:rPr>
        <w:t xml:space="preserve"> </w:t>
      </w:r>
      <w:r w:rsidRPr="007F6EF6">
        <w:rPr>
          <w:rFonts w:eastAsia="Times New Roman" w:cs="Arial"/>
          <w:color w:val="000000"/>
          <w:szCs w:val="20"/>
          <w:lang w:eastAsia="bg-BG"/>
        </w:rPr>
        <w:t>е нараснал от 1</w:t>
      </w:r>
      <w:proofErr w:type="gramStart"/>
      <w:r w:rsidRPr="007F6EF6">
        <w:rPr>
          <w:rFonts w:eastAsia="Times New Roman" w:cs="Arial"/>
          <w:color w:val="000000"/>
          <w:szCs w:val="20"/>
          <w:lang w:eastAsia="bg-BG"/>
        </w:rPr>
        <w:t>,83</w:t>
      </w:r>
      <w:proofErr w:type="gramEnd"/>
      <w:r w:rsidRPr="007F6EF6">
        <w:rPr>
          <w:rFonts w:eastAsia="Times New Roman" w:cs="Arial"/>
          <w:color w:val="000000"/>
          <w:szCs w:val="20"/>
          <w:lang w:eastAsia="bg-BG"/>
        </w:rPr>
        <w:t xml:space="preserve"> 1 на 2,091 в групата на лечение с монтелукаст и от 1,85 1 на 2,141 в групата на лечение с флугиказон. Междугруповата разлика по отношение на ЛС- незначително увеличение във </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1</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е била -0,02 1, с 95% коефициент на доверителност от -0,06,0,02. Предвиденото нарастване от изходните стойности в % за </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 xml:space="preserve">1 </w:t>
      </w:r>
      <w:r w:rsidRPr="007F6EF6">
        <w:rPr>
          <w:rFonts w:eastAsia="Times New Roman" w:cs="Arial"/>
          <w:color w:val="000000"/>
          <w:szCs w:val="20"/>
          <w:lang w:eastAsia="bg-BG"/>
        </w:rPr>
        <w:t xml:space="preserve">е било 0,6% в групата на лечение с монтелукаст и 2,7% в групата на лечение с флугиказон. Разликите за промени от изходните стойности в предвидени проценти за </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 xml:space="preserve">1 </w:t>
      </w:r>
      <w:r w:rsidRPr="007F6EF6">
        <w:rPr>
          <w:rFonts w:eastAsia="Times New Roman" w:cs="Arial"/>
          <w:color w:val="000000"/>
          <w:szCs w:val="20"/>
          <w:lang w:eastAsia="bg-BG"/>
        </w:rPr>
        <w:t>са били значими: -2,2% с 95% коефициент на доверителност на -3,6, -0,7.</w:t>
      </w:r>
    </w:p>
    <w:p w14:paraId="460325FF" w14:textId="77777777" w:rsidR="007F6EF6" w:rsidRPr="007F6EF6" w:rsidRDefault="007F6EF6" w:rsidP="007F6EF6">
      <w:pPr>
        <w:pStyle w:val="ListParagraph"/>
        <w:numPr>
          <w:ilvl w:val="0"/>
          <w:numId w:val="38"/>
        </w:numPr>
        <w:spacing w:line="240" w:lineRule="auto"/>
        <w:rPr>
          <w:rFonts w:eastAsia="Times New Roman" w:cs="Arial"/>
          <w:sz w:val="28"/>
          <w:szCs w:val="24"/>
        </w:rPr>
      </w:pPr>
      <w:r w:rsidRPr="007F6EF6">
        <w:rPr>
          <w:rFonts w:eastAsia="Times New Roman" w:cs="Arial"/>
          <w:color w:val="000000"/>
          <w:szCs w:val="20"/>
          <w:lang w:eastAsia="bg-BG"/>
        </w:rPr>
        <w:t xml:space="preserve">В проценти дните с употреба на β-агонист са намалели от 38,0 до 15,4 в групата на лечение с монтелукаст и от 38,5 на 12,8 в групата на лечение с флугиказон. </w:t>
      </w:r>
      <w:r w:rsidRPr="007F6EF6">
        <w:rPr>
          <w:rFonts w:eastAsia="Times New Roman" w:cs="Arial"/>
          <w:color w:val="000000"/>
          <w:szCs w:val="20"/>
          <w:lang w:eastAsia="bg-BG"/>
        </w:rPr>
        <w:lastRenderedPageBreak/>
        <w:t>Разликата между групите по отношение на процентите на дните с β-агонист е била значима: 2,7 с 95% коефициент на доверителност от 0,9,</w:t>
      </w:r>
      <w:r w:rsidRPr="007F6EF6">
        <w:rPr>
          <w:rFonts w:eastAsia="Times New Roman" w:cs="Arial"/>
          <w:color w:val="000000"/>
          <w:szCs w:val="20"/>
          <w:lang w:val="ru-RU"/>
        </w:rPr>
        <w:t xml:space="preserve"> </w:t>
      </w:r>
      <w:r w:rsidRPr="007F6EF6">
        <w:rPr>
          <w:rFonts w:eastAsia="Times New Roman" w:cs="Arial"/>
          <w:color w:val="000000"/>
          <w:szCs w:val="20"/>
          <w:lang w:eastAsia="bg-BG"/>
        </w:rPr>
        <w:t>4,5.</w:t>
      </w:r>
    </w:p>
    <w:p w14:paraId="325CA5A5" w14:textId="77777777" w:rsidR="007F6EF6" w:rsidRPr="007F6EF6" w:rsidRDefault="007F6EF6" w:rsidP="007F6EF6">
      <w:pPr>
        <w:pStyle w:val="ListParagraph"/>
        <w:numPr>
          <w:ilvl w:val="0"/>
          <w:numId w:val="38"/>
        </w:numPr>
        <w:spacing w:line="240" w:lineRule="auto"/>
        <w:rPr>
          <w:rFonts w:eastAsia="Times New Roman" w:cs="Arial"/>
          <w:sz w:val="28"/>
          <w:szCs w:val="24"/>
        </w:rPr>
      </w:pPr>
      <w:r w:rsidRPr="007F6EF6">
        <w:rPr>
          <w:rFonts w:eastAsia="Times New Roman" w:cs="Arial"/>
          <w:color w:val="000000"/>
          <w:szCs w:val="20"/>
          <w:lang w:eastAsia="bg-BG"/>
        </w:rPr>
        <w:t>Процентът на пациентите с астматичен пристъп (дефиниран като период на влошаване на астмата, който изисква лечение с перорални стероиди, непредвидено посещение при лекар, посещение на спешен център или хоспитализация) е бил 32,2 в групата на лечение с монтелукаст и 25,6 в групата на лечение с флугиказон; 95% коефициент на доверителност е еквивалентен на 1,38 (1,04,</w:t>
      </w:r>
      <w:r w:rsidRPr="007F6EF6">
        <w:rPr>
          <w:rFonts w:eastAsia="Times New Roman" w:cs="Arial"/>
          <w:color w:val="000000"/>
          <w:szCs w:val="20"/>
          <w:lang w:val="ru-RU"/>
        </w:rPr>
        <w:t xml:space="preserve"> </w:t>
      </w:r>
      <w:r w:rsidRPr="007F6EF6">
        <w:rPr>
          <w:rFonts w:eastAsia="Times New Roman" w:cs="Arial"/>
          <w:color w:val="000000"/>
          <w:szCs w:val="20"/>
          <w:lang w:eastAsia="bg-BG"/>
        </w:rPr>
        <w:t>1,84).</w:t>
      </w:r>
    </w:p>
    <w:p w14:paraId="7CA89D34" w14:textId="6CA28887" w:rsidR="007F6EF6" w:rsidRPr="007F6EF6" w:rsidRDefault="007F6EF6" w:rsidP="007F6EF6">
      <w:pPr>
        <w:pStyle w:val="ListParagraph"/>
        <w:numPr>
          <w:ilvl w:val="0"/>
          <w:numId w:val="38"/>
        </w:numPr>
        <w:spacing w:line="240" w:lineRule="auto"/>
        <w:rPr>
          <w:rFonts w:eastAsia="Times New Roman" w:cs="Arial"/>
          <w:sz w:val="28"/>
          <w:szCs w:val="24"/>
        </w:rPr>
      </w:pPr>
      <w:r w:rsidRPr="007F6EF6">
        <w:rPr>
          <w:rFonts w:eastAsia="Times New Roman" w:cs="Arial"/>
          <w:color w:val="000000"/>
          <w:szCs w:val="20"/>
          <w:lang w:eastAsia="bg-BG"/>
        </w:rPr>
        <w:t>Процентът на пациентите със системна употреба на кортикостероиди (главно перорални) по време на периода на проучване е бил 17,8% в групата на лечение с монтелукаст и 10,5% в групата на лечение с флутиказон. Разликата между групите е била значима: 7,3% с 95% коефициент на доверителност на 2,9; 11,7.</w:t>
      </w:r>
    </w:p>
    <w:p w14:paraId="7C9DFD7F" w14:textId="77777777" w:rsidR="007F6EF6" w:rsidRPr="007F6EF6" w:rsidRDefault="007F6EF6" w:rsidP="007F6EF6">
      <w:pPr>
        <w:spacing w:line="240" w:lineRule="auto"/>
        <w:rPr>
          <w:rFonts w:eastAsia="Times New Roman" w:cs="Arial"/>
          <w:color w:val="000000"/>
          <w:szCs w:val="20"/>
          <w:lang w:eastAsia="bg-BG"/>
        </w:rPr>
      </w:pPr>
    </w:p>
    <w:p w14:paraId="6BA3CAA6" w14:textId="25746045"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В 12-седмично, плацебо контролирано проучване при педиатрични пациенти на възраст от 2 до 5 години, монтелукаст 4 </w:t>
      </w:r>
      <w:r w:rsidRPr="007F6EF6">
        <w:rPr>
          <w:rFonts w:eastAsia="Times New Roman" w:cs="Arial"/>
          <w:color w:val="000000"/>
          <w:szCs w:val="20"/>
          <w:lang w:val="en-US"/>
        </w:rPr>
        <w:t>mg</w:t>
      </w:r>
      <w:r w:rsidRPr="007F6EF6">
        <w:rPr>
          <w:rFonts w:eastAsia="Times New Roman" w:cs="Arial"/>
          <w:color w:val="000000"/>
          <w:szCs w:val="20"/>
          <w:lang w:val="ru-RU"/>
        </w:rPr>
        <w:t xml:space="preserve"> </w:t>
      </w:r>
      <w:r w:rsidRPr="007F6EF6">
        <w:rPr>
          <w:rFonts w:eastAsia="Times New Roman" w:cs="Arial"/>
          <w:color w:val="000000"/>
          <w:szCs w:val="20"/>
          <w:lang w:eastAsia="bg-BG"/>
        </w:rPr>
        <w:t>прилаган веднъж дневно е подобрил показателите за контрол на астмата в сравнение с плацебо, без значение от съпътстващата контролираща терапия (инхалаторен/приложен с небулизатор кортикостероид или инхалаторен/приложен с небулизатор натриев кромогликат). Шестдесет процента от пациентите не са били на каквато и да е контролираща терапия. Монтелукаст е подобрил дневните симптоми (включително кашлица, хрипове, дихателни проблеми и ограничения във физическата активност) и нощните симптоми в сравнение с плацебо. Освен това, монтелукаст е намалил употребата на бета- агонисти “при необходимост”, както и употребата на кортикостероиди при влошена астма в сравнение с плацебо. Пациентите, които са получавали монтелукаст са имали повече дни без симптоми на астма в сравнение с пациентите на плацебо. Терапевтичният ефект е бил постигнат след първата доза.</w:t>
      </w:r>
    </w:p>
    <w:p w14:paraId="7445F96C" w14:textId="77777777" w:rsidR="007F6EF6" w:rsidRPr="007F6EF6" w:rsidRDefault="007F6EF6" w:rsidP="007F6EF6">
      <w:pPr>
        <w:rPr>
          <w:rFonts w:eastAsia="Times New Roman" w:cs="Arial"/>
          <w:color w:val="000000"/>
          <w:szCs w:val="20"/>
          <w:lang w:eastAsia="bg-BG"/>
        </w:rPr>
      </w:pPr>
    </w:p>
    <w:p w14:paraId="3D8AA190" w14:textId="3B7E8B7C" w:rsidR="007F6EF6" w:rsidRPr="007F6EF6" w:rsidRDefault="007F6EF6" w:rsidP="007F6EF6">
      <w:pPr>
        <w:rPr>
          <w:rFonts w:eastAsia="Times New Roman" w:cs="Arial"/>
          <w:color w:val="000000"/>
          <w:szCs w:val="20"/>
          <w:lang w:eastAsia="bg-BG"/>
        </w:rPr>
      </w:pPr>
      <w:r w:rsidRPr="007F6EF6">
        <w:rPr>
          <w:rFonts w:eastAsia="Times New Roman" w:cs="Arial"/>
          <w:color w:val="000000"/>
          <w:szCs w:val="20"/>
          <w:lang w:eastAsia="bg-BG"/>
        </w:rPr>
        <w:t xml:space="preserve">В 12-месечно, плацебо контролирано проучване при педиатрични пациенти на възраст от 2 до 5 години с лека астма и епизодични екзацербации, монтелукаст 4 </w:t>
      </w:r>
      <w:r w:rsidRPr="007F6EF6">
        <w:rPr>
          <w:rFonts w:eastAsia="Times New Roman" w:cs="Arial"/>
          <w:color w:val="000000"/>
          <w:szCs w:val="20"/>
          <w:lang w:val="en-US"/>
        </w:rPr>
        <w:t>mg</w:t>
      </w:r>
      <w:r w:rsidRPr="007F6EF6">
        <w:rPr>
          <w:rFonts w:eastAsia="Times New Roman" w:cs="Arial"/>
          <w:color w:val="000000"/>
          <w:szCs w:val="20"/>
          <w:lang w:val="ru-RU"/>
        </w:rPr>
        <w:t xml:space="preserve"> </w:t>
      </w:r>
      <w:r w:rsidRPr="007F6EF6">
        <w:rPr>
          <w:rFonts w:eastAsia="Times New Roman" w:cs="Arial"/>
          <w:color w:val="000000"/>
          <w:szCs w:val="20"/>
          <w:lang w:eastAsia="bg-BG"/>
        </w:rPr>
        <w:t>прилаган веднъж дневно значително (р &lt; 0,001) е намалил годишното ниво на астматичните пристъпи в сравнение с плацебо (1,60 ГП спрямо 2,34 ГП съответно), [ГП определен като ≥3 последователни дни с дневни симптоми, изискващи употребата на бега-агонист или кортикостероид (перорален или инхалаторен) или хоспитализация по повод астма]. Процентът на намаление на степента на ГП е бил 31,9%, с 95% коефициент на доверителност от 16,9; 44,1.</w:t>
      </w:r>
    </w:p>
    <w:p w14:paraId="00B9F994" w14:textId="79A85AF5" w:rsidR="007F6EF6" w:rsidRPr="007F6EF6" w:rsidRDefault="007F6EF6" w:rsidP="007F6EF6">
      <w:pPr>
        <w:rPr>
          <w:rFonts w:eastAsia="Times New Roman" w:cs="Arial"/>
          <w:color w:val="000000"/>
          <w:szCs w:val="20"/>
          <w:lang w:eastAsia="bg-BG"/>
        </w:rPr>
      </w:pPr>
    </w:p>
    <w:p w14:paraId="30ACE1FD" w14:textId="77777777"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В плацебо контролирано проучване с педиатрични пациенти на възраст от 6 месеца до 5 години, които са имали интермитентна астма, но не и персистираща астма, лечението с монтелукаст е прилагано за повече от 12 месеца в доза 4 </w:t>
      </w:r>
      <w:r w:rsidRPr="007F6EF6">
        <w:rPr>
          <w:rFonts w:eastAsia="Times New Roman" w:cs="Arial"/>
          <w:color w:val="000000"/>
          <w:szCs w:val="20"/>
          <w:lang w:val="en-US"/>
        </w:rPr>
        <w:t>mg</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веднъж дневно или като серии от 12-дневни курсове, които са започвали с началото на интермитентните симптоми. Не са били наблюдавани значими различия в броя на астматичните епизоди между пациентите на лечение с 4 </w:t>
      </w:r>
      <w:r w:rsidRPr="007F6EF6">
        <w:rPr>
          <w:rFonts w:eastAsia="Times New Roman" w:cs="Arial"/>
          <w:color w:val="000000"/>
          <w:szCs w:val="20"/>
          <w:lang w:val="en-US"/>
        </w:rPr>
        <w:t>mg</w:t>
      </w:r>
      <w:r w:rsidRPr="007F6EF6">
        <w:rPr>
          <w:rFonts w:eastAsia="Times New Roman" w:cs="Arial"/>
          <w:color w:val="000000"/>
          <w:szCs w:val="20"/>
          <w:lang w:val="ru-RU"/>
        </w:rPr>
        <w:t xml:space="preserve"> </w:t>
      </w:r>
      <w:r w:rsidRPr="007F6EF6">
        <w:rPr>
          <w:rFonts w:eastAsia="Times New Roman" w:cs="Arial"/>
          <w:color w:val="000000"/>
          <w:szCs w:val="20"/>
          <w:lang w:eastAsia="bg-BG"/>
        </w:rPr>
        <w:t>монтелукаст или плацебо, кулминиращи в астматичен пристъп, определен като астматичен епизод изискващ намесата на медицинско лице, като непланувано посещение при лекар, спешен център или болница, или лечение с перорални, интравенозни или интрамускулно прилагани кортикостероиди.</w:t>
      </w:r>
    </w:p>
    <w:p w14:paraId="04C2F57D" w14:textId="77777777" w:rsidR="007F6EF6" w:rsidRPr="007F6EF6" w:rsidRDefault="007F6EF6" w:rsidP="007F6EF6">
      <w:pPr>
        <w:spacing w:line="240" w:lineRule="auto"/>
        <w:rPr>
          <w:rFonts w:eastAsia="Times New Roman" w:cs="Arial"/>
          <w:color w:val="000000"/>
          <w:szCs w:val="20"/>
          <w:lang w:eastAsia="bg-BG"/>
        </w:rPr>
      </w:pPr>
    </w:p>
    <w:p w14:paraId="736671A6" w14:textId="7AA0C56E"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Ефикасността на монтелукаст е била подкрепена при педиатрични пациенти на възраст от 6 месеца до 2 години с екстраполация от установената ефикасност при пациенти на възраст 2 години или по-големи с астма и се базира на сходните фармакокинетични </w:t>
      </w:r>
      <w:r w:rsidRPr="007F6EF6">
        <w:rPr>
          <w:rFonts w:eastAsia="Times New Roman" w:cs="Arial"/>
          <w:color w:val="000000"/>
          <w:szCs w:val="20"/>
          <w:lang w:eastAsia="bg-BG"/>
        </w:rPr>
        <w:lastRenderedPageBreak/>
        <w:t>данни, както и на допускането, че хода на заболяването, патофизиологията и ефекта на лекарствения продукт са значително подобни при тази популация.</w:t>
      </w:r>
    </w:p>
    <w:p w14:paraId="19200F46" w14:textId="77777777" w:rsidR="007F6EF6" w:rsidRPr="007F6EF6" w:rsidRDefault="007F6EF6" w:rsidP="007F6EF6">
      <w:pPr>
        <w:spacing w:line="240" w:lineRule="auto"/>
        <w:rPr>
          <w:rFonts w:eastAsia="Times New Roman" w:cs="Arial"/>
          <w:color w:val="000000"/>
          <w:szCs w:val="20"/>
          <w:lang w:eastAsia="bg-BG"/>
        </w:rPr>
      </w:pPr>
    </w:p>
    <w:p w14:paraId="3C22E17B" w14:textId="46507EDF"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Значително намаление на провокираната от физическа активност бронхоконстрикция (ФПБ) е била доказана в 12-седмично проучване при възрастни (максимално понижение на ФЕО1 22,33% за монтелукаст спрямо 32,40% за плацебо; време за възстановяване до ниво около 5% от изходните стойности ФЕО1 44,22 </w:t>
      </w:r>
      <w:r w:rsidRPr="007F6EF6">
        <w:rPr>
          <w:rFonts w:eastAsia="Times New Roman" w:cs="Arial"/>
          <w:color w:val="000000"/>
          <w:szCs w:val="20"/>
          <w:lang w:val="en-US"/>
        </w:rPr>
        <w:t>min</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спрямо 60,64 </w:t>
      </w:r>
      <w:r w:rsidRPr="007F6EF6">
        <w:rPr>
          <w:rFonts w:eastAsia="Times New Roman" w:cs="Arial"/>
          <w:color w:val="000000"/>
          <w:szCs w:val="20"/>
          <w:lang w:val="en-US"/>
        </w:rPr>
        <w:t>min</w:t>
      </w:r>
      <w:r w:rsidRPr="007F6EF6">
        <w:rPr>
          <w:rFonts w:eastAsia="Times New Roman" w:cs="Arial"/>
          <w:color w:val="000000"/>
          <w:szCs w:val="20"/>
          <w:lang w:val="ru-RU"/>
        </w:rPr>
        <w:t xml:space="preserve">). </w:t>
      </w:r>
      <w:r w:rsidRPr="007F6EF6">
        <w:rPr>
          <w:rFonts w:eastAsia="Times New Roman" w:cs="Arial"/>
          <w:color w:val="000000"/>
          <w:szCs w:val="20"/>
          <w:lang w:eastAsia="bg-BG"/>
        </w:rPr>
        <w:t>Този ефект е бил траен в 12- седмичния период на проучването.</w:t>
      </w:r>
    </w:p>
    <w:p w14:paraId="7CE06B95" w14:textId="77777777" w:rsidR="007F6EF6" w:rsidRPr="007F6EF6" w:rsidRDefault="007F6EF6" w:rsidP="007F6EF6">
      <w:pPr>
        <w:spacing w:line="240" w:lineRule="auto"/>
        <w:rPr>
          <w:rFonts w:eastAsia="Times New Roman" w:cs="Arial"/>
          <w:color w:val="000000"/>
          <w:szCs w:val="20"/>
          <w:lang w:eastAsia="bg-BG"/>
        </w:rPr>
      </w:pPr>
    </w:p>
    <w:p w14:paraId="21310AC5" w14:textId="7DF6B73C"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Освен това, намалението на ФПБ е било доказано и в едно краткосрочно проучване при педиатрични пациенти на възраст от 6 до 14 години (максимално понижение на </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1</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18,27% спрямо 26,11 %; време за възстановяване до ниво около 5% от изходните стойности на </w:t>
      </w:r>
      <w:r w:rsidRPr="007F6EF6">
        <w:rPr>
          <w:rFonts w:eastAsia="Times New Roman" w:cs="Arial"/>
          <w:color w:val="000000"/>
          <w:szCs w:val="20"/>
          <w:lang w:val="en-US"/>
        </w:rPr>
        <w:t>FEV</w:t>
      </w:r>
      <w:r w:rsidRPr="007F6EF6">
        <w:rPr>
          <w:rFonts w:eastAsia="Times New Roman" w:cs="Arial"/>
          <w:color w:val="000000"/>
          <w:szCs w:val="20"/>
          <w:vertAlign w:val="subscript"/>
          <w:lang w:val="ru-RU"/>
        </w:rPr>
        <w:t>1</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17,76 </w:t>
      </w:r>
      <w:r w:rsidRPr="007F6EF6">
        <w:rPr>
          <w:rFonts w:eastAsia="Times New Roman" w:cs="Arial"/>
          <w:color w:val="000000"/>
          <w:szCs w:val="20"/>
          <w:lang w:val="en-US"/>
        </w:rPr>
        <w:t>min</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спрямо 27,98 </w:t>
      </w:r>
      <w:r w:rsidRPr="007F6EF6">
        <w:rPr>
          <w:rFonts w:eastAsia="Times New Roman" w:cs="Arial"/>
          <w:color w:val="000000"/>
          <w:szCs w:val="20"/>
          <w:lang w:val="en-US"/>
        </w:rPr>
        <w:t>min</w:t>
      </w:r>
      <w:r w:rsidRPr="007F6EF6">
        <w:rPr>
          <w:rFonts w:eastAsia="Times New Roman" w:cs="Arial"/>
          <w:color w:val="000000"/>
          <w:szCs w:val="20"/>
          <w:lang w:val="ru-RU"/>
        </w:rPr>
        <w:t xml:space="preserve">). </w:t>
      </w:r>
      <w:r w:rsidRPr="007F6EF6">
        <w:rPr>
          <w:rFonts w:eastAsia="Times New Roman" w:cs="Arial"/>
          <w:color w:val="000000"/>
          <w:szCs w:val="20"/>
          <w:lang w:eastAsia="bg-BG"/>
        </w:rPr>
        <w:t>Ефектът при двете проучвания е бил доказан в края на еднодневен дозов интервал.</w:t>
      </w:r>
    </w:p>
    <w:p w14:paraId="472C8385" w14:textId="77777777" w:rsidR="007F6EF6" w:rsidRPr="007F6EF6" w:rsidRDefault="007F6EF6" w:rsidP="007F6EF6">
      <w:pPr>
        <w:rPr>
          <w:rFonts w:eastAsia="Times New Roman" w:cs="Arial"/>
          <w:color w:val="000000"/>
          <w:szCs w:val="20"/>
          <w:lang w:eastAsia="bg-BG"/>
        </w:rPr>
      </w:pPr>
    </w:p>
    <w:p w14:paraId="4AB6720C" w14:textId="2A217427" w:rsidR="007F6EF6" w:rsidRDefault="007F6EF6" w:rsidP="007F6EF6">
      <w:pPr>
        <w:rPr>
          <w:rFonts w:eastAsia="Times New Roman" w:cs="Arial"/>
          <w:color w:val="000000"/>
          <w:szCs w:val="20"/>
          <w:lang w:eastAsia="bg-BG"/>
        </w:rPr>
      </w:pPr>
      <w:r w:rsidRPr="007F6EF6">
        <w:rPr>
          <w:rFonts w:eastAsia="Times New Roman" w:cs="Arial"/>
          <w:color w:val="000000"/>
          <w:szCs w:val="20"/>
          <w:lang w:eastAsia="bg-BG"/>
        </w:rPr>
        <w:t xml:space="preserve">При пациенти с аспиринова астма, които получават успоредно инхалатори и и/или перорални кортикостероиди, лечението с монтелукаст в сравнение с плацебо е довело до значимо подобрение в контрола на астмата </w:t>
      </w:r>
      <w:r w:rsidRPr="007F6EF6">
        <w:rPr>
          <w:rFonts w:eastAsia="Times New Roman" w:cs="Arial"/>
          <w:color w:val="000000"/>
          <w:szCs w:val="20"/>
          <w:lang w:val="ru-RU"/>
        </w:rPr>
        <w:t>(</w:t>
      </w:r>
      <w:proofErr w:type="spellStart"/>
      <w:r w:rsidRPr="007F6EF6">
        <w:rPr>
          <w:rFonts w:eastAsia="Times New Roman" w:cs="Arial"/>
          <w:color w:val="000000"/>
          <w:szCs w:val="20"/>
          <w:lang w:val="en-US"/>
        </w:rPr>
        <w:t>FEVi</w:t>
      </w:r>
      <w:proofErr w:type="spellEnd"/>
      <w:r w:rsidRPr="007F6EF6">
        <w:rPr>
          <w:rFonts w:eastAsia="Times New Roman" w:cs="Arial"/>
          <w:color w:val="000000"/>
          <w:szCs w:val="20"/>
          <w:lang w:val="ru-RU"/>
        </w:rPr>
        <w:t xml:space="preserve"> </w:t>
      </w:r>
      <w:r w:rsidRPr="007F6EF6">
        <w:rPr>
          <w:rFonts w:eastAsia="Times New Roman" w:cs="Arial"/>
          <w:color w:val="000000"/>
          <w:szCs w:val="20"/>
          <w:lang w:eastAsia="bg-BG"/>
        </w:rPr>
        <w:t>8,55% срещу -1,74% промяна от изходния и намаление в общата употреба на β-агонисти -27,78% срещу 2,09% промяна от изходния показател).</w:t>
      </w:r>
    </w:p>
    <w:p w14:paraId="6071CFA3" w14:textId="77777777" w:rsidR="007F6EF6" w:rsidRPr="007F6EF6" w:rsidRDefault="007F6EF6" w:rsidP="007F6EF6">
      <w:pPr>
        <w:rPr>
          <w:rFonts w:cs="Arial"/>
          <w:sz w:val="24"/>
        </w:rPr>
      </w:pPr>
    </w:p>
    <w:p w14:paraId="78DD93AA" w14:textId="09378765" w:rsidR="00B6672E" w:rsidRDefault="002C50EE" w:rsidP="00936AD0">
      <w:pPr>
        <w:pStyle w:val="Heading2"/>
      </w:pPr>
      <w:r>
        <w:t>5.2. Фармакокинетични свойства</w:t>
      </w:r>
    </w:p>
    <w:p w14:paraId="3251E5BD" w14:textId="0AE75868" w:rsidR="007F6EF6" w:rsidRDefault="007F6EF6" w:rsidP="007F6EF6"/>
    <w:p w14:paraId="2575F4E6" w14:textId="77777777" w:rsidR="007F6EF6" w:rsidRPr="007F6EF6" w:rsidRDefault="007F6EF6" w:rsidP="007F6EF6">
      <w:pPr>
        <w:pStyle w:val="Heading3"/>
        <w:rPr>
          <w:rFonts w:eastAsia="Times New Roman"/>
          <w:u w:val="single"/>
        </w:rPr>
      </w:pPr>
      <w:r w:rsidRPr="007F6EF6">
        <w:rPr>
          <w:rFonts w:eastAsia="Times New Roman"/>
          <w:u w:val="single"/>
          <w:lang w:eastAsia="bg-BG"/>
        </w:rPr>
        <w:t>Абсорбция</w:t>
      </w:r>
    </w:p>
    <w:p w14:paraId="3940F46C" w14:textId="77777777"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След перорално приложение монтелукаст се абсорбира бързо. За филмираните </w:t>
      </w:r>
      <w:r w:rsidRPr="007F6EF6">
        <w:rPr>
          <w:rFonts w:eastAsia="Times New Roman" w:cs="Arial"/>
          <w:i/>
          <w:iCs/>
          <w:color w:val="000000"/>
          <w:lang w:eastAsia="bg-BG"/>
        </w:rPr>
        <w:t xml:space="preserve">таблетки от 10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 xml:space="preserve">средната пикова плазмена концентрация </w:t>
      </w:r>
      <w:r w:rsidRPr="007F6EF6">
        <w:rPr>
          <w:rFonts w:eastAsia="Times New Roman" w:cs="Arial"/>
          <w:smallCaps/>
          <w:color w:val="000000"/>
          <w:lang w:eastAsia="bg-BG"/>
        </w:rPr>
        <w:t>(</w:t>
      </w:r>
      <w:proofErr w:type="spellStart"/>
      <w:r w:rsidRPr="007F6EF6">
        <w:rPr>
          <w:rFonts w:eastAsia="Times New Roman" w:cs="Arial"/>
          <w:smallCaps/>
          <w:color w:val="000000"/>
          <w:lang w:val="en-US"/>
        </w:rPr>
        <w:t>C</w:t>
      </w:r>
      <w:r w:rsidRPr="007F6EF6">
        <w:rPr>
          <w:rFonts w:eastAsia="Times New Roman" w:cs="Arial"/>
          <w:smallCaps/>
          <w:color w:val="000000"/>
          <w:vertAlign w:val="subscript"/>
          <w:lang w:val="en-US"/>
        </w:rPr>
        <w:t>max</w:t>
      </w:r>
      <w:proofErr w:type="spellEnd"/>
      <w:r w:rsidRPr="007F6EF6">
        <w:rPr>
          <w:rFonts w:eastAsia="Times New Roman" w:cs="Arial"/>
          <w:smallCaps/>
          <w:color w:val="000000"/>
          <w:lang w:eastAsia="bg-BG"/>
        </w:rPr>
        <w:t>)</w:t>
      </w:r>
      <w:r w:rsidRPr="007F6EF6">
        <w:rPr>
          <w:rFonts w:eastAsia="Times New Roman" w:cs="Arial"/>
          <w:color w:val="000000"/>
          <w:lang w:eastAsia="bg-BG"/>
        </w:rPr>
        <w:t xml:space="preserve"> се достига три часа (Т</w:t>
      </w:r>
      <w:r w:rsidRPr="007F6EF6">
        <w:rPr>
          <w:rFonts w:eastAsia="Times New Roman" w:cs="Arial"/>
          <w:color w:val="000000"/>
          <w:vertAlign w:val="subscript"/>
          <w:lang w:val="en-US"/>
        </w:rPr>
        <w:t>max</w:t>
      </w:r>
      <w:r w:rsidRPr="007F6EF6">
        <w:rPr>
          <w:rFonts w:eastAsia="Times New Roman" w:cs="Arial"/>
          <w:color w:val="000000"/>
          <w:lang w:eastAsia="bg-BG"/>
        </w:rPr>
        <w:t>) след приложението при възрастни на гладно. Средната бионаличност след перорално приложение е 64%. Пероралната бионаличност и С</w:t>
      </w:r>
      <w:r w:rsidRPr="007F6EF6">
        <w:rPr>
          <w:rFonts w:eastAsia="Times New Roman" w:cs="Arial"/>
          <w:color w:val="000000"/>
          <w:vertAlign w:val="subscript"/>
          <w:lang w:val="en-US"/>
        </w:rPr>
        <w:t>max</w:t>
      </w:r>
      <w:r w:rsidRPr="007F6EF6">
        <w:rPr>
          <w:rFonts w:eastAsia="Times New Roman" w:cs="Arial"/>
          <w:color w:val="000000"/>
          <w:lang w:val="ru-RU"/>
        </w:rPr>
        <w:t xml:space="preserve"> </w:t>
      </w:r>
      <w:r w:rsidRPr="007F6EF6">
        <w:rPr>
          <w:rFonts w:eastAsia="Times New Roman" w:cs="Arial"/>
          <w:color w:val="000000"/>
          <w:lang w:eastAsia="bg-BG"/>
        </w:rPr>
        <w:t xml:space="preserve">не се повлияват от стандартното хранене. Безопасността и ефикасността са били доказани в клинични проучвания, при които филмираните таблетки от 10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са прилагани независимо от времето на хранене.</w:t>
      </w:r>
    </w:p>
    <w:p w14:paraId="5529E9B9" w14:textId="77777777" w:rsidR="007F6EF6" w:rsidRPr="007F6EF6" w:rsidRDefault="007F6EF6" w:rsidP="007F6EF6">
      <w:pPr>
        <w:spacing w:line="240" w:lineRule="auto"/>
        <w:rPr>
          <w:rFonts w:eastAsia="Times New Roman" w:cs="Arial"/>
          <w:color w:val="000000"/>
          <w:lang w:eastAsia="bg-BG"/>
        </w:rPr>
      </w:pPr>
    </w:p>
    <w:p w14:paraId="0BED970C" w14:textId="020D595D"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С таблетките за дъвчене от 5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С</w:t>
      </w:r>
      <w:r w:rsidRPr="007F6EF6">
        <w:rPr>
          <w:rFonts w:eastAsia="Times New Roman" w:cs="Arial"/>
          <w:color w:val="000000"/>
          <w:vertAlign w:val="subscript"/>
          <w:lang w:val="en-US"/>
        </w:rPr>
        <w:t>max</w:t>
      </w:r>
      <w:r w:rsidRPr="007F6EF6">
        <w:rPr>
          <w:rFonts w:eastAsia="Times New Roman" w:cs="Arial"/>
          <w:color w:val="000000"/>
          <w:lang w:val="ru-RU"/>
        </w:rPr>
        <w:t xml:space="preserve"> </w:t>
      </w:r>
      <w:r w:rsidRPr="007F6EF6">
        <w:rPr>
          <w:rFonts w:eastAsia="Times New Roman" w:cs="Arial"/>
          <w:color w:val="000000"/>
          <w:lang w:eastAsia="bg-BG"/>
        </w:rPr>
        <w:t>се достига 2 часа след приложение при възрастни на гладно. Средната бионаличност след перорално приложение е 73% и намалява до 63% от стандартната храна.</w:t>
      </w:r>
    </w:p>
    <w:p w14:paraId="27B2C8B2" w14:textId="77777777" w:rsidR="007F6EF6" w:rsidRPr="007F6EF6" w:rsidRDefault="007F6EF6" w:rsidP="007F6EF6">
      <w:pPr>
        <w:spacing w:line="240" w:lineRule="auto"/>
        <w:rPr>
          <w:rFonts w:eastAsia="Times New Roman" w:cs="Arial"/>
          <w:color w:val="000000"/>
          <w:lang w:eastAsia="bg-BG"/>
        </w:rPr>
      </w:pPr>
    </w:p>
    <w:p w14:paraId="34C86999" w14:textId="43F84D1A"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След приложение на таблетки за дъвчене от 4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на пациенти на възраст между 2 и 5 години на гладно, С</w:t>
      </w:r>
      <w:r w:rsidRPr="007F6EF6">
        <w:rPr>
          <w:rFonts w:eastAsia="Times New Roman" w:cs="Arial"/>
          <w:color w:val="000000"/>
          <w:vertAlign w:val="subscript"/>
          <w:lang w:val="en-US"/>
        </w:rPr>
        <w:t>max</w:t>
      </w:r>
      <w:r w:rsidRPr="007F6EF6">
        <w:rPr>
          <w:rFonts w:eastAsia="Times New Roman" w:cs="Arial"/>
          <w:color w:val="000000"/>
          <w:lang w:eastAsia="bg-BG"/>
        </w:rPr>
        <w:t xml:space="preserve"> се постига 2 часа след приложение. Средното С</w:t>
      </w:r>
      <w:r w:rsidRPr="007F6EF6">
        <w:rPr>
          <w:rFonts w:eastAsia="Times New Roman" w:cs="Arial"/>
          <w:color w:val="000000"/>
          <w:vertAlign w:val="subscript"/>
          <w:lang w:val="en-US"/>
        </w:rPr>
        <w:t>max</w:t>
      </w:r>
      <w:r w:rsidRPr="007F6EF6">
        <w:rPr>
          <w:rFonts w:eastAsia="Times New Roman" w:cs="Arial"/>
          <w:color w:val="000000"/>
          <w:lang w:val="ru-RU"/>
        </w:rPr>
        <w:t xml:space="preserve"> </w:t>
      </w:r>
      <w:r w:rsidRPr="007F6EF6">
        <w:rPr>
          <w:rFonts w:eastAsia="Times New Roman" w:cs="Arial"/>
          <w:color w:val="000000"/>
          <w:lang w:eastAsia="bg-BG"/>
        </w:rPr>
        <w:t>е 66% по-високо, докато средното С</w:t>
      </w:r>
      <w:r w:rsidRPr="007F6EF6">
        <w:rPr>
          <w:rFonts w:eastAsia="Times New Roman" w:cs="Arial"/>
          <w:color w:val="000000"/>
          <w:vertAlign w:val="subscript"/>
          <w:lang w:val="en-US"/>
        </w:rPr>
        <w:t>min</w:t>
      </w:r>
      <w:r w:rsidRPr="007F6EF6">
        <w:rPr>
          <w:rFonts w:eastAsia="Times New Roman" w:cs="Arial"/>
          <w:color w:val="000000"/>
          <w:lang w:eastAsia="bg-BG"/>
        </w:rPr>
        <w:t xml:space="preserve"> е по-ниско отколкото при възрастни, получаващи таблетки от 10 </w:t>
      </w:r>
      <w:r w:rsidRPr="007F6EF6">
        <w:rPr>
          <w:rFonts w:eastAsia="Times New Roman" w:cs="Arial"/>
          <w:color w:val="000000"/>
          <w:lang w:val="en-US"/>
        </w:rPr>
        <w:t>mg</w:t>
      </w:r>
    </w:p>
    <w:p w14:paraId="34E8B93F" w14:textId="77777777" w:rsidR="007F6EF6" w:rsidRPr="007F6EF6" w:rsidRDefault="007F6EF6" w:rsidP="007F6EF6">
      <w:pPr>
        <w:rPr>
          <w:rFonts w:eastAsia="Times New Roman" w:cs="Arial"/>
          <w:color w:val="000000"/>
          <w:lang w:eastAsia="bg-BG"/>
        </w:rPr>
      </w:pPr>
    </w:p>
    <w:p w14:paraId="4F4D3A6D" w14:textId="77777777" w:rsidR="007F6EF6" w:rsidRPr="007F6EF6" w:rsidRDefault="007F6EF6" w:rsidP="007F6EF6">
      <w:pPr>
        <w:rPr>
          <w:rFonts w:eastAsia="Times New Roman" w:cs="Arial"/>
        </w:rPr>
      </w:pPr>
      <w:r w:rsidRPr="007F6EF6">
        <w:rPr>
          <w:rFonts w:eastAsia="Times New Roman" w:cs="Arial"/>
          <w:color w:val="000000"/>
          <w:lang w:eastAsia="bg-BG"/>
        </w:rPr>
        <w:t xml:space="preserve">Лекарствената форма на 4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 xml:space="preserve">гранули е биоеквивалентна на 4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 xml:space="preserve">таблетки за дъвчене кгато се прилага на възрастни на гладно. При педиатрични пациенти на възраст от 6 месеца до 2 години, </w:t>
      </w:r>
      <w:proofErr w:type="spellStart"/>
      <w:r w:rsidRPr="007F6EF6">
        <w:rPr>
          <w:rFonts w:eastAsia="Times New Roman" w:cs="Arial"/>
          <w:color w:val="000000"/>
          <w:lang w:val="en-US"/>
        </w:rPr>
        <w:t>C</w:t>
      </w:r>
      <w:r w:rsidRPr="007F6EF6">
        <w:rPr>
          <w:rFonts w:eastAsia="Times New Roman" w:cs="Arial"/>
          <w:color w:val="000000"/>
          <w:vertAlign w:val="subscript"/>
          <w:lang w:val="en-US"/>
        </w:rPr>
        <w:t>max</w:t>
      </w:r>
      <w:proofErr w:type="spellEnd"/>
      <w:r w:rsidRPr="007F6EF6">
        <w:rPr>
          <w:rFonts w:eastAsia="Times New Roman" w:cs="Arial"/>
          <w:color w:val="000000"/>
          <w:lang w:eastAsia="bg-BG"/>
        </w:rPr>
        <w:t xml:space="preserve"> се постига 2 часа след приложение на гранулите. С</w:t>
      </w:r>
      <w:r w:rsidRPr="007F6EF6">
        <w:rPr>
          <w:rFonts w:eastAsia="Times New Roman" w:cs="Arial"/>
          <w:color w:val="000000"/>
          <w:vertAlign w:val="subscript"/>
          <w:lang w:val="en-US"/>
        </w:rPr>
        <w:t>max</w:t>
      </w:r>
      <w:r w:rsidRPr="007F6EF6">
        <w:rPr>
          <w:rFonts w:eastAsia="Times New Roman" w:cs="Arial"/>
          <w:color w:val="000000"/>
          <w:lang w:eastAsia="bg-BG"/>
        </w:rPr>
        <w:t xml:space="preserve"> е почти 2-кратно по-висок отколкото при възрастни получавали таблетки от 10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 xml:space="preserve">Едновременното приложение на ябълкова каша или стандартна храна богата на мазнини заедно с гранулите, не е имало клинично значим ефект върху фармакокинетиката на монтелукаст, опредена с </w:t>
      </w:r>
      <w:r w:rsidRPr="007F6EF6">
        <w:rPr>
          <w:rFonts w:eastAsia="Times New Roman" w:cs="Arial"/>
          <w:color w:val="000000"/>
          <w:lang w:val="en-US"/>
        </w:rPr>
        <w:t>AUC</w:t>
      </w:r>
      <w:r w:rsidRPr="007F6EF6">
        <w:rPr>
          <w:rFonts w:eastAsia="Times New Roman" w:cs="Arial"/>
          <w:color w:val="000000"/>
          <w:lang w:val="ru-RU"/>
        </w:rPr>
        <w:t xml:space="preserve"> </w:t>
      </w:r>
      <w:r w:rsidRPr="007F6EF6">
        <w:rPr>
          <w:rFonts w:eastAsia="Times New Roman" w:cs="Arial"/>
          <w:color w:val="000000"/>
          <w:lang w:eastAsia="bg-BG"/>
        </w:rPr>
        <w:t xml:space="preserve">(1225,7 спр. 1223,1 </w:t>
      </w:r>
      <w:r w:rsidRPr="007F6EF6">
        <w:rPr>
          <w:rFonts w:eastAsia="Times New Roman" w:cs="Arial"/>
          <w:color w:val="000000"/>
          <w:lang w:val="en-US"/>
        </w:rPr>
        <w:t>ng</w:t>
      </w:r>
      <w:r w:rsidRPr="007F6EF6">
        <w:rPr>
          <w:rFonts w:eastAsia="Times New Roman" w:cs="Arial"/>
          <w:color w:val="000000"/>
          <w:lang w:val="ru-RU"/>
        </w:rPr>
        <w:t>.</w:t>
      </w:r>
      <w:proofErr w:type="spellStart"/>
      <w:r w:rsidRPr="007F6EF6">
        <w:rPr>
          <w:rFonts w:eastAsia="Times New Roman" w:cs="Arial"/>
          <w:color w:val="000000"/>
          <w:lang w:val="en-US"/>
        </w:rPr>
        <w:t>hr</w:t>
      </w:r>
      <w:proofErr w:type="spellEnd"/>
      <w:r w:rsidRPr="007F6EF6">
        <w:rPr>
          <w:rFonts w:eastAsia="Times New Roman" w:cs="Arial"/>
          <w:color w:val="000000"/>
          <w:lang w:val="ru-RU"/>
        </w:rPr>
        <w:t>/</w:t>
      </w:r>
      <w:r w:rsidRPr="007F6EF6">
        <w:rPr>
          <w:rFonts w:eastAsia="Times New Roman" w:cs="Arial"/>
          <w:color w:val="000000"/>
          <w:lang w:val="en-US"/>
        </w:rPr>
        <w:t>mL</w:t>
      </w:r>
      <w:r w:rsidRPr="007F6EF6">
        <w:rPr>
          <w:rFonts w:eastAsia="Times New Roman" w:cs="Arial"/>
          <w:color w:val="000000"/>
          <w:lang w:val="ru-RU"/>
        </w:rPr>
        <w:t xml:space="preserve"> </w:t>
      </w:r>
      <w:r w:rsidRPr="007F6EF6">
        <w:rPr>
          <w:rFonts w:eastAsia="Times New Roman" w:cs="Arial"/>
          <w:color w:val="000000"/>
          <w:lang w:eastAsia="bg-BG"/>
        </w:rPr>
        <w:t xml:space="preserve">със и без ябълкова каша съответно и 1191,8 спр. 1148,5 </w:t>
      </w:r>
      <w:r w:rsidRPr="007F6EF6">
        <w:rPr>
          <w:rFonts w:eastAsia="Times New Roman" w:cs="Arial"/>
          <w:color w:val="000000"/>
          <w:lang w:val="en-US"/>
        </w:rPr>
        <w:t>ng</w:t>
      </w:r>
      <w:r w:rsidRPr="007F6EF6">
        <w:rPr>
          <w:rFonts w:eastAsia="Times New Roman" w:cs="Arial"/>
          <w:color w:val="000000"/>
          <w:lang w:val="ru-RU"/>
        </w:rPr>
        <w:t>.</w:t>
      </w:r>
      <w:proofErr w:type="spellStart"/>
      <w:r w:rsidRPr="007F6EF6">
        <w:rPr>
          <w:rFonts w:eastAsia="Times New Roman" w:cs="Arial"/>
          <w:color w:val="000000"/>
          <w:lang w:val="en-US"/>
        </w:rPr>
        <w:t>hr</w:t>
      </w:r>
      <w:proofErr w:type="spellEnd"/>
      <w:r w:rsidRPr="007F6EF6">
        <w:rPr>
          <w:rFonts w:eastAsia="Times New Roman" w:cs="Arial"/>
          <w:color w:val="000000"/>
          <w:lang w:val="ru-RU"/>
        </w:rPr>
        <w:t>/</w:t>
      </w:r>
      <w:r w:rsidRPr="007F6EF6">
        <w:rPr>
          <w:rFonts w:eastAsia="Times New Roman" w:cs="Arial"/>
          <w:color w:val="000000"/>
          <w:lang w:val="en-US"/>
        </w:rPr>
        <w:t>mL</w:t>
      </w:r>
      <w:r w:rsidRPr="007F6EF6">
        <w:rPr>
          <w:rFonts w:eastAsia="Times New Roman" w:cs="Arial"/>
          <w:color w:val="000000"/>
          <w:lang w:val="ru-RU"/>
        </w:rPr>
        <w:t xml:space="preserve"> </w:t>
      </w:r>
      <w:r w:rsidRPr="007F6EF6">
        <w:rPr>
          <w:rFonts w:eastAsia="Times New Roman" w:cs="Arial"/>
          <w:color w:val="000000"/>
          <w:lang w:eastAsia="bg-BG"/>
        </w:rPr>
        <w:t>със и без стандартна, богата на мазнини храна).</w:t>
      </w:r>
    </w:p>
    <w:p w14:paraId="6AC33A5E" w14:textId="77777777" w:rsidR="007F6EF6" w:rsidRPr="007F6EF6" w:rsidRDefault="007F6EF6" w:rsidP="007F6EF6">
      <w:pPr>
        <w:spacing w:line="240" w:lineRule="auto"/>
        <w:rPr>
          <w:rFonts w:eastAsia="Times New Roman" w:cs="Arial"/>
          <w:color w:val="000000"/>
          <w:u w:val="single"/>
          <w:lang w:eastAsia="bg-BG"/>
        </w:rPr>
      </w:pPr>
    </w:p>
    <w:p w14:paraId="60C74B8D" w14:textId="480E619A" w:rsidR="007F6EF6" w:rsidRPr="007F6EF6" w:rsidRDefault="007F6EF6" w:rsidP="007F6EF6">
      <w:pPr>
        <w:pStyle w:val="Heading3"/>
        <w:rPr>
          <w:rFonts w:eastAsia="Times New Roman"/>
          <w:u w:val="single"/>
        </w:rPr>
      </w:pPr>
      <w:r w:rsidRPr="007F6EF6">
        <w:rPr>
          <w:rFonts w:eastAsia="Times New Roman"/>
          <w:u w:val="single"/>
          <w:lang w:eastAsia="bg-BG"/>
        </w:rPr>
        <w:t>Разпределение</w:t>
      </w:r>
    </w:p>
    <w:p w14:paraId="58AA45E6" w14:textId="77777777"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Монтелукаст се свързва в повече от 99% с плазмените протеини. Обемът на разпределение в стационарно състояние </w:t>
      </w:r>
      <w:r w:rsidRPr="007F6EF6">
        <w:rPr>
          <w:rFonts w:eastAsia="Times New Roman" w:cs="Arial"/>
          <w:i/>
          <w:iCs/>
          <w:color w:val="000000"/>
          <w:lang w:val="ru-RU"/>
        </w:rPr>
        <w:t>(</w:t>
      </w:r>
      <w:r w:rsidRPr="007F6EF6">
        <w:rPr>
          <w:rFonts w:eastAsia="Times New Roman" w:cs="Arial"/>
          <w:i/>
          <w:iCs/>
          <w:color w:val="000000"/>
          <w:lang w:val="en-US"/>
        </w:rPr>
        <w:t>steady</w:t>
      </w:r>
      <w:r w:rsidRPr="007F6EF6">
        <w:rPr>
          <w:rFonts w:eastAsia="Times New Roman" w:cs="Arial"/>
          <w:i/>
          <w:iCs/>
          <w:color w:val="000000"/>
          <w:lang w:val="ru-RU"/>
        </w:rPr>
        <w:t>-</w:t>
      </w:r>
      <w:r w:rsidRPr="007F6EF6">
        <w:rPr>
          <w:rFonts w:eastAsia="Times New Roman" w:cs="Arial"/>
          <w:i/>
          <w:iCs/>
          <w:color w:val="000000"/>
          <w:lang w:val="en-US"/>
        </w:rPr>
        <w:t>state</w:t>
      </w:r>
      <w:r w:rsidRPr="007F6EF6">
        <w:rPr>
          <w:rFonts w:eastAsia="Times New Roman" w:cs="Arial"/>
          <w:i/>
          <w:iCs/>
          <w:color w:val="000000"/>
          <w:lang w:val="ru-RU"/>
        </w:rPr>
        <w:t>)</w:t>
      </w:r>
      <w:r w:rsidRPr="007F6EF6">
        <w:rPr>
          <w:rFonts w:eastAsia="Times New Roman" w:cs="Arial"/>
          <w:color w:val="000000"/>
          <w:lang w:val="ru-RU"/>
        </w:rPr>
        <w:t xml:space="preserve"> </w:t>
      </w:r>
      <w:r w:rsidRPr="007F6EF6">
        <w:rPr>
          <w:rFonts w:eastAsia="Times New Roman" w:cs="Arial"/>
          <w:color w:val="000000"/>
          <w:lang w:eastAsia="bg-BG"/>
        </w:rPr>
        <w:t>достига 8-11 литра. Проучвания проведени при плъхове с радиомаркиран монтелукаст са показали минимално преминаване на кръвно-мозъчната бариера. Освен това, концентрациите на радиомаркирания материал на 24-тия час след дозата са минимални и във всички други тъкани.</w:t>
      </w:r>
    </w:p>
    <w:p w14:paraId="31D492F3" w14:textId="77777777" w:rsidR="007F6EF6" w:rsidRPr="007F6EF6" w:rsidRDefault="007F6EF6" w:rsidP="007F6EF6">
      <w:pPr>
        <w:spacing w:line="240" w:lineRule="auto"/>
        <w:rPr>
          <w:rFonts w:eastAsia="Times New Roman" w:cs="Arial"/>
          <w:color w:val="000000"/>
          <w:u w:val="single"/>
          <w:lang w:eastAsia="bg-BG"/>
        </w:rPr>
      </w:pPr>
    </w:p>
    <w:p w14:paraId="1748750E" w14:textId="5EA317CA" w:rsidR="007F6EF6" w:rsidRPr="007F6EF6" w:rsidRDefault="007F6EF6" w:rsidP="007F6EF6">
      <w:pPr>
        <w:pStyle w:val="Heading3"/>
        <w:rPr>
          <w:rFonts w:eastAsia="Times New Roman"/>
          <w:u w:val="single"/>
        </w:rPr>
      </w:pPr>
      <w:r w:rsidRPr="007F6EF6">
        <w:rPr>
          <w:rFonts w:eastAsia="Times New Roman"/>
          <w:u w:val="single"/>
          <w:lang w:eastAsia="bg-BG"/>
        </w:rPr>
        <w:t>Биотрансформация</w:t>
      </w:r>
    </w:p>
    <w:p w14:paraId="51BF4E29" w14:textId="77777777" w:rsidR="007F6EF6" w:rsidRPr="007F6EF6" w:rsidRDefault="007F6EF6" w:rsidP="007F6EF6">
      <w:pPr>
        <w:spacing w:line="240" w:lineRule="auto"/>
        <w:rPr>
          <w:rFonts w:eastAsia="Times New Roman" w:cs="Arial"/>
        </w:rPr>
      </w:pPr>
      <w:r w:rsidRPr="007F6EF6">
        <w:rPr>
          <w:rFonts w:eastAsia="Times New Roman" w:cs="Arial"/>
          <w:color w:val="000000"/>
          <w:lang w:eastAsia="bg-BG"/>
        </w:rPr>
        <w:t>Монтелукаст се метаболизира в голяма степен. В проучвания с терапевтични дози, плазмените концентрации на метаболитите на монтелукаст при възрастни и деца в стационарно състояние не може да бъдат измерени.</w:t>
      </w:r>
    </w:p>
    <w:p w14:paraId="4830188C" w14:textId="77777777" w:rsidR="007F6EF6" w:rsidRPr="007F6EF6" w:rsidRDefault="007F6EF6" w:rsidP="007F6EF6">
      <w:pPr>
        <w:spacing w:line="240" w:lineRule="auto"/>
        <w:rPr>
          <w:rFonts w:eastAsia="Times New Roman" w:cs="Arial"/>
          <w:color w:val="000000"/>
          <w:lang w:eastAsia="bg-BG"/>
        </w:rPr>
      </w:pPr>
    </w:p>
    <w:p w14:paraId="33265DF3" w14:textId="431643B4"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Цитохром Р450 2С8 е основният ензим в метаболизма на монтелукаст. Освен това </w:t>
      </w:r>
      <w:r w:rsidRPr="007F6EF6">
        <w:rPr>
          <w:rFonts w:eastAsia="Times New Roman" w:cs="Arial"/>
          <w:color w:val="000000"/>
          <w:lang w:val="en-US"/>
        </w:rPr>
        <w:t>CYP</w:t>
      </w:r>
      <w:r w:rsidRPr="007F6EF6">
        <w:rPr>
          <w:rFonts w:eastAsia="Times New Roman" w:cs="Arial"/>
          <w:color w:val="000000"/>
          <w:lang w:val="ru-RU"/>
        </w:rPr>
        <w:t xml:space="preserve"> </w:t>
      </w:r>
      <w:r w:rsidRPr="007F6EF6">
        <w:rPr>
          <w:rFonts w:eastAsia="Times New Roman" w:cs="Arial"/>
          <w:color w:val="000000"/>
          <w:lang w:eastAsia="bg-BG"/>
        </w:rPr>
        <w:t xml:space="preserve">ЗА4 и 2С9 могат да имат незначителен принос, въпреки че е доказано, че итраконазол, който е инхибитор на </w:t>
      </w:r>
      <w:r w:rsidRPr="007F6EF6">
        <w:rPr>
          <w:rFonts w:eastAsia="Times New Roman" w:cs="Arial"/>
          <w:color w:val="000000"/>
          <w:lang w:val="en-US"/>
        </w:rPr>
        <w:t>CYP</w:t>
      </w:r>
      <w:r w:rsidRPr="007F6EF6">
        <w:rPr>
          <w:rFonts w:eastAsia="Times New Roman" w:cs="Arial"/>
          <w:color w:val="000000"/>
          <w:lang w:val="ru-RU"/>
        </w:rPr>
        <w:t xml:space="preserve"> </w:t>
      </w:r>
      <w:r w:rsidRPr="007F6EF6">
        <w:rPr>
          <w:rFonts w:eastAsia="Times New Roman" w:cs="Arial"/>
          <w:color w:val="000000"/>
          <w:lang w:eastAsia="bg-BG"/>
        </w:rPr>
        <w:t xml:space="preserve">ЗА4 не променя фармакокинетичните параметри на монтелукаст при здрави индивиди, които са приемали 10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 xml:space="preserve">монтелукаст дневно. Въз основа на </w:t>
      </w:r>
      <w:r w:rsidRPr="007F6EF6">
        <w:rPr>
          <w:rFonts w:eastAsia="Times New Roman" w:cs="Arial"/>
          <w:i/>
          <w:iCs/>
          <w:color w:val="000000"/>
          <w:lang w:val="en-US"/>
        </w:rPr>
        <w:t>in</w:t>
      </w:r>
      <w:r w:rsidRPr="007F6EF6">
        <w:rPr>
          <w:rFonts w:eastAsia="Times New Roman" w:cs="Arial"/>
          <w:i/>
          <w:iCs/>
          <w:color w:val="000000"/>
          <w:lang w:val="ru-RU"/>
        </w:rPr>
        <w:t xml:space="preserve"> </w:t>
      </w:r>
      <w:r w:rsidRPr="007F6EF6">
        <w:rPr>
          <w:rFonts w:eastAsia="Times New Roman" w:cs="Arial"/>
          <w:i/>
          <w:iCs/>
          <w:color w:val="000000"/>
          <w:lang w:val="en-US"/>
        </w:rPr>
        <w:t>vitro</w:t>
      </w:r>
      <w:r w:rsidRPr="007F6EF6">
        <w:rPr>
          <w:rFonts w:eastAsia="Times New Roman" w:cs="Arial"/>
          <w:color w:val="000000"/>
          <w:lang w:val="ru-RU"/>
        </w:rPr>
        <w:t xml:space="preserve"> </w:t>
      </w:r>
      <w:r w:rsidRPr="007F6EF6">
        <w:rPr>
          <w:rFonts w:eastAsia="Times New Roman" w:cs="Arial"/>
          <w:color w:val="000000"/>
          <w:lang w:eastAsia="bg-BG"/>
        </w:rPr>
        <w:t>резултати в човешки чернодробни микрозоми е установено, че терапевтичната плазмена концентрация на монтелукаст не инхибира цитохроми Р450 ЗА4,</w:t>
      </w:r>
      <w:r w:rsidRPr="007F6EF6">
        <w:rPr>
          <w:rFonts w:eastAsia="Times New Roman" w:cs="Arial"/>
          <w:color w:val="000000"/>
          <w:lang w:val="ru-RU"/>
        </w:rPr>
        <w:t xml:space="preserve"> </w:t>
      </w:r>
      <w:r w:rsidRPr="007F6EF6">
        <w:rPr>
          <w:rFonts w:eastAsia="Times New Roman" w:cs="Arial"/>
          <w:color w:val="000000"/>
          <w:lang w:eastAsia="bg-BG"/>
        </w:rPr>
        <w:t>2С9,</w:t>
      </w:r>
      <w:r w:rsidRPr="007F6EF6">
        <w:rPr>
          <w:rFonts w:eastAsia="Times New Roman" w:cs="Arial"/>
          <w:color w:val="000000"/>
          <w:lang w:val="ru-RU"/>
        </w:rPr>
        <w:t xml:space="preserve"> </w:t>
      </w:r>
      <w:r w:rsidRPr="007F6EF6">
        <w:rPr>
          <w:rFonts w:eastAsia="Times New Roman" w:cs="Arial"/>
          <w:color w:val="000000"/>
          <w:lang w:eastAsia="bg-BG"/>
        </w:rPr>
        <w:t>1А2,</w:t>
      </w:r>
      <w:r w:rsidRPr="007F6EF6">
        <w:rPr>
          <w:rFonts w:eastAsia="Times New Roman" w:cs="Arial"/>
          <w:color w:val="000000"/>
          <w:lang w:val="ru-RU"/>
        </w:rPr>
        <w:t xml:space="preserve"> </w:t>
      </w:r>
      <w:r w:rsidRPr="007F6EF6">
        <w:rPr>
          <w:rFonts w:eastAsia="Times New Roman" w:cs="Arial"/>
          <w:color w:val="000000"/>
          <w:lang w:eastAsia="bg-BG"/>
        </w:rPr>
        <w:t>2А6,</w:t>
      </w:r>
      <w:r w:rsidRPr="007F6EF6">
        <w:rPr>
          <w:rFonts w:eastAsia="Times New Roman" w:cs="Arial"/>
          <w:color w:val="000000"/>
          <w:lang w:val="ru-RU"/>
        </w:rPr>
        <w:t xml:space="preserve"> </w:t>
      </w:r>
      <w:r w:rsidRPr="007F6EF6">
        <w:rPr>
          <w:rFonts w:eastAsia="Times New Roman" w:cs="Arial"/>
          <w:color w:val="000000"/>
          <w:lang w:eastAsia="bg-BG"/>
        </w:rPr>
        <w:t xml:space="preserve">2С19 или </w:t>
      </w:r>
      <w:r w:rsidRPr="007F6EF6">
        <w:rPr>
          <w:rFonts w:eastAsia="Times New Roman" w:cs="Arial"/>
          <w:color w:val="000000"/>
          <w:lang w:val="ru-RU"/>
        </w:rPr>
        <w:t>2</w:t>
      </w:r>
      <w:r w:rsidRPr="007F6EF6">
        <w:rPr>
          <w:rFonts w:eastAsia="Times New Roman" w:cs="Arial"/>
          <w:color w:val="000000"/>
          <w:lang w:val="en-US"/>
        </w:rPr>
        <w:t>D</w:t>
      </w:r>
      <w:r w:rsidRPr="007F6EF6">
        <w:rPr>
          <w:rFonts w:eastAsia="Times New Roman" w:cs="Arial"/>
          <w:color w:val="000000"/>
          <w:lang w:val="ru-RU"/>
        </w:rPr>
        <w:t xml:space="preserve">6. </w:t>
      </w:r>
      <w:r w:rsidRPr="007F6EF6">
        <w:rPr>
          <w:rFonts w:eastAsia="Times New Roman" w:cs="Arial"/>
          <w:color w:val="000000"/>
          <w:lang w:eastAsia="bg-BG"/>
        </w:rPr>
        <w:t>Приносът на метаболитите за терапевтичния ефект на монтелукаст е минимален.</w:t>
      </w:r>
    </w:p>
    <w:p w14:paraId="12EEA601" w14:textId="77777777" w:rsidR="007F6EF6" w:rsidRPr="007F6EF6" w:rsidRDefault="007F6EF6" w:rsidP="007F6EF6">
      <w:pPr>
        <w:spacing w:line="240" w:lineRule="auto"/>
        <w:rPr>
          <w:rFonts w:eastAsia="Times New Roman" w:cs="Arial"/>
          <w:color w:val="000000"/>
          <w:u w:val="single"/>
          <w:lang w:eastAsia="bg-BG"/>
        </w:rPr>
      </w:pPr>
    </w:p>
    <w:p w14:paraId="61EF120F" w14:textId="782A89A0" w:rsidR="007F6EF6" w:rsidRPr="007F6EF6" w:rsidRDefault="007F6EF6" w:rsidP="007F6EF6">
      <w:pPr>
        <w:pStyle w:val="Heading3"/>
        <w:rPr>
          <w:rFonts w:eastAsia="Times New Roman"/>
          <w:u w:val="single"/>
        </w:rPr>
      </w:pPr>
      <w:r w:rsidRPr="007F6EF6">
        <w:rPr>
          <w:rFonts w:eastAsia="Times New Roman"/>
          <w:u w:val="single"/>
          <w:lang w:eastAsia="bg-BG"/>
        </w:rPr>
        <w:t>Елиминиране</w:t>
      </w:r>
    </w:p>
    <w:p w14:paraId="2B94C109" w14:textId="77777777"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При здрави възрастни индивиди, плазменият клирънс на монтелукаст е средно 45 </w:t>
      </w:r>
      <w:r w:rsidRPr="007F6EF6">
        <w:rPr>
          <w:rFonts w:eastAsia="Times New Roman" w:cs="Arial"/>
          <w:color w:val="000000"/>
          <w:lang w:val="en-US"/>
        </w:rPr>
        <w:t>ml</w:t>
      </w:r>
      <w:r w:rsidRPr="007F6EF6">
        <w:rPr>
          <w:rFonts w:eastAsia="Times New Roman" w:cs="Arial"/>
          <w:color w:val="000000"/>
          <w:lang w:val="ru-RU"/>
        </w:rPr>
        <w:t>/</w:t>
      </w:r>
      <w:r w:rsidRPr="007F6EF6">
        <w:rPr>
          <w:rFonts w:eastAsia="Times New Roman" w:cs="Arial"/>
          <w:color w:val="000000"/>
          <w:lang w:val="en-US"/>
        </w:rPr>
        <w:t>min</w:t>
      </w:r>
      <w:r w:rsidRPr="007F6EF6">
        <w:rPr>
          <w:rFonts w:eastAsia="Times New Roman" w:cs="Arial"/>
          <w:color w:val="000000"/>
          <w:lang w:val="ru-RU"/>
        </w:rPr>
        <w:t xml:space="preserve">. </w:t>
      </w:r>
      <w:r w:rsidRPr="007F6EF6">
        <w:rPr>
          <w:rFonts w:eastAsia="Times New Roman" w:cs="Arial"/>
          <w:color w:val="000000"/>
          <w:lang w:eastAsia="bg-BG"/>
        </w:rPr>
        <w:t>След перорална доза на радиомаркиран монтелукаст, 86% от радиоактивността е открита в изпражненията на 5-тия ден и &lt;0,2% в урината. Това заедно с определената перорална бионаличност показва, че монтелукаст и метаболитите му се екскретират основно през жлъчката.</w:t>
      </w:r>
    </w:p>
    <w:p w14:paraId="4140DAA7" w14:textId="77777777" w:rsidR="007F6EF6" w:rsidRPr="007F6EF6" w:rsidRDefault="007F6EF6" w:rsidP="007F6EF6">
      <w:pPr>
        <w:spacing w:line="240" w:lineRule="auto"/>
        <w:rPr>
          <w:rFonts w:eastAsia="Times New Roman" w:cs="Arial"/>
          <w:color w:val="000000"/>
          <w:u w:val="single"/>
          <w:lang w:eastAsia="bg-BG"/>
        </w:rPr>
      </w:pPr>
    </w:p>
    <w:p w14:paraId="04BE4C37" w14:textId="686336F9" w:rsidR="007F6EF6" w:rsidRPr="007F6EF6" w:rsidRDefault="007F6EF6" w:rsidP="007F6EF6">
      <w:pPr>
        <w:pStyle w:val="Heading3"/>
        <w:rPr>
          <w:rFonts w:eastAsia="Times New Roman"/>
          <w:u w:val="single"/>
        </w:rPr>
      </w:pPr>
      <w:r w:rsidRPr="007F6EF6">
        <w:rPr>
          <w:rFonts w:eastAsia="Times New Roman"/>
          <w:u w:val="single"/>
          <w:lang w:eastAsia="bg-BG"/>
        </w:rPr>
        <w:t>Специфични групи пациенти</w:t>
      </w:r>
    </w:p>
    <w:p w14:paraId="137E9A92" w14:textId="77777777" w:rsidR="007F6EF6" w:rsidRPr="007F6EF6" w:rsidRDefault="007F6EF6" w:rsidP="007F6EF6">
      <w:pPr>
        <w:spacing w:line="240" w:lineRule="auto"/>
        <w:rPr>
          <w:rFonts w:eastAsia="Times New Roman" w:cs="Arial"/>
        </w:rPr>
      </w:pPr>
      <w:r w:rsidRPr="007F6EF6">
        <w:rPr>
          <w:rFonts w:eastAsia="Times New Roman" w:cs="Arial"/>
          <w:color w:val="000000"/>
          <w:lang w:eastAsia="bg-BG"/>
        </w:rPr>
        <w:t xml:space="preserve">Не се налага корекция на дозата при пациенти в старческа възраст или лека до умерено тежка чернодробна недостатъчност. Не са провеждани проучвания при пациенти с бъбречна недостатъчност. Тъй като монтелукаст и метаболитите му се елиминират през жлъчните пътища, не се налага адаптиране на дозата при пациенти с бъбречни увреждания. Няма данни за фармакокинетиката на монтелукаст при пациенти с тежка чернодробна недостатъчност </w:t>
      </w:r>
      <w:r w:rsidRPr="007F6EF6">
        <w:rPr>
          <w:rFonts w:eastAsia="Times New Roman" w:cs="Arial"/>
          <w:color w:val="000000"/>
          <w:lang w:val="ru-RU"/>
        </w:rPr>
        <w:t>(</w:t>
      </w:r>
      <w:r w:rsidRPr="007F6EF6">
        <w:rPr>
          <w:rFonts w:eastAsia="Times New Roman" w:cs="Arial"/>
          <w:color w:val="000000"/>
          <w:lang w:val="en-US"/>
        </w:rPr>
        <w:t>Child</w:t>
      </w:r>
      <w:r w:rsidRPr="007F6EF6">
        <w:rPr>
          <w:rFonts w:eastAsia="Times New Roman" w:cs="Arial"/>
          <w:color w:val="000000"/>
          <w:lang w:val="ru-RU"/>
        </w:rPr>
        <w:t xml:space="preserve">- </w:t>
      </w:r>
      <w:r w:rsidRPr="007F6EF6">
        <w:rPr>
          <w:rFonts w:eastAsia="Times New Roman" w:cs="Arial"/>
          <w:color w:val="000000"/>
          <w:lang w:val="en-US"/>
        </w:rPr>
        <w:t>Pugh</w:t>
      </w:r>
      <w:r w:rsidRPr="007F6EF6">
        <w:rPr>
          <w:rFonts w:eastAsia="Times New Roman" w:cs="Arial"/>
          <w:color w:val="000000"/>
          <w:lang w:val="ru-RU"/>
        </w:rPr>
        <w:t xml:space="preserve"> </w:t>
      </w:r>
      <w:r w:rsidRPr="007F6EF6">
        <w:rPr>
          <w:rFonts w:eastAsia="Times New Roman" w:cs="Arial"/>
          <w:color w:val="000000"/>
          <w:lang w:eastAsia="bg-BG"/>
        </w:rPr>
        <w:t>степен &gt; 9).</w:t>
      </w:r>
    </w:p>
    <w:p w14:paraId="5BA943C2" w14:textId="77777777" w:rsidR="007F6EF6" w:rsidRPr="007F6EF6" w:rsidRDefault="007F6EF6" w:rsidP="007F6EF6">
      <w:pPr>
        <w:rPr>
          <w:rFonts w:eastAsia="Times New Roman" w:cs="Arial"/>
          <w:color w:val="000000"/>
          <w:lang w:eastAsia="bg-BG"/>
        </w:rPr>
      </w:pPr>
    </w:p>
    <w:p w14:paraId="683751F7" w14:textId="079946EA" w:rsidR="007F6EF6" w:rsidRPr="007F6EF6" w:rsidRDefault="007F6EF6" w:rsidP="007F6EF6">
      <w:pPr>
        <w:rPr>
          <w:rFonts w:eastAsia="Times New Roman" w:cs="Arial"/>
          <w:color w:val="000000"/>
          <w:lang w:eastAsia="bg-BG"/>
        </w:rPr>
      </w:pPr>
      <w:r w:rsidRPr="007F6EF6">
        <w:rPr>
          <w:rFonts w:eastAsia="Times New Roman" w:cs="Arial"/>
          <w:color w:val="000000"/>
          <w:lang w:eastAsia="bg-BG"/>
        </w:rPr>
        <w:t xml:space="preserve">При високи дози монтелукаст (20 и 60 пъти над препоръчаната доза за възрастни) се наблюдава понижение на плазмената концентрация на теофилин. Този ефект не се наблюдава при препоръчваната доза от 10 </w:t>
      </w:r>
      <w:r w:rsidRPr="007F6EF6">
        <w:rPr>
          <w:rFonts w:eastAsia="Times New Roman" w:cs="Arial"/>
          <w:color w:val="000000"/>
          <w:lang w:val="en-US"/>
        </w:rPr>
        <w:t>mg</w:t>
      </w:r>
      <w:r w:rsidRPr="007F6EF6">
        <w:rPr>
          <w:rFonts w:eastAsia="Times New Roman" w:cs="Arial"/>
          <w:color w:val="000000"/>
          <w:lang w:val="ru-RU"/>
        </w:rPr>
        <w:t xml:space="preserve"> </w:t>
      </w:r>
      <w:r w:rsidRPr="007F6EF6">
        <w:rPr>
          <w:rFonts w:eastAsia="Times New Roman" w:cs="Arial"/>
          <w:color w:val="000000"/>
          <w:lang w:eastAsia="bg-BG"/>
        </w:rPr>
        <w:t>веднъж дневно.</w:t>
      </w:r>
    </w:p>
    <w:p w14:paraId="1E4245E4" w14:textId="77777777" w:rsidR="007F6EF6" w:rsidRPr="007F6EF6" w:rsidRDefault="007F6EF6" w:rsidP="007F6EF6"/>
    <w:p w14:paraId="4FB791BE" w14:textId="4DCE88A9" w:rsidR="00B6672E" w:rsidRDefault="002C50EE" w:rsidP="00936AD0">
      <w:pPr>
        <w:pStyle w:val="Heading2"/>
      </w:pPr>
      <w:r>
        <w:t>5.3. Предклинични данни за безопасност</w:t>
      </w:r>
    </w:p>
    <w:p w14:paraId="075DA220" w14:textId="2E215A3A" w:rsidR="007F6EF6" w:rsidRDefault="007F6EF6" w:rsidP="007F6EF6"/>
    <w:p w14:paraId="5455AD50" w14:textId="77777777"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В проучвания за токсичност провеждани при животни са наблюдавани минимални биохимични промени в </w:t>
      </w:r>
      <w:r w:rsidRPr="007F6EF6">
        <w:rPr>
          <w:rFonts w:eastAsia="Times New Roman" w:cs="Arial"/>
          <w:color w:val="000000"/>
          <w:szCs w:val="20"/>
          <w:lang w:val="en-US"/>
        </w:rPr>
        <w:t>ALT</w:t>
      </w:r>
      <w:r w:rsidRPr="007F6EF6">
        <w:rPr>
          <w:rFonts w:eastAsia="Times New Roman" w:cs="Arial"/>
          <w:color w:val="000000"/>
          <w:szCs w:val="20"/>
          <w:lang w:val="ru-RU"/>
        </w:rPr>
        <w:t xml:space="preserve">, </w:t>
      </w:r>
      <w:r w:rsidRPr="007F6EF6">
        <w:rPr>
          <w:rFonts w:eastAsia="Times New Roman" w:cs="Arial"/>
          <w:color w:val="000000"/>
          <w:szCs w:val="20"/>
          <w:lang w:eastAsia="bg-BG"/>
        </w:rPr>
        <w:t>глюкозата, фосфора и триглицеридите, преходни по своята характеристика. Проявите на токсичност при животните са били хиперсаливация, гастроинтестинални симптоми, редки изпражнения и йонен дисбаланс. Те са наблюдавани при дози 17 пъти по- високи от клиничните.</w:t>
      </w:r>
    </w:p>
    <w:p w14:paraId="2A772299" w14:textId="77777777" w:rsidR="007F6EF6" w:rsidRPr="007F6EF6" w:rsidRDefault="007F6EF6" w:rsidP="007F6EF6">
      <w:pPr>
        <w:spacing w:line="240" w:lineRule="auto"/>
        <w:rPr>
          <w:rFonts w:eastAsia="Times New Roman" w:cs="Arial"/>
          <w:color w:val="000000"/>
          <w:szCs w:val="20"/>
          <w:lang w:eastAsia="bg-BG"/>
        </w:rPr>
      </w:pPr>
    </w:p>
    <w:p w14:paraId="387928F7" w14:textId="77777777" w:rsidR="007F6EF6" w:rsidRPr="007F6EF6" w:rsidRDefault="007F6EF6" w:rsidP="007F6EF6">
      <w:pPr>
        <w:rPr>
          <w:rFonts w:eastAsia="Times New Roman" w:cs="Arial"/>
          <w:sz w:val="28"/>
          <w:szCs w:val="24"/>
        </w:rPr>
      </w:pPr>
      <w:r w:rsidRPr="007F6EF6">
        <w:rPr>
          <w:rFonts w:eastAsia="Times New Roman" w:cs="Arial"/>
          <w:color w:val="000000"/>
          <w:szCs w:val="20"/>
          <w:lang w:eastAsia="bg-BG"/>
        </w:rPr>
        <w:t xml:space="preserve">При маймуни нежеланите ефекти са се появили при дози от 150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kg</w:t>
      </w:r>
      <w:r w:rsidRPr="007F6EF6">
        <w:rPr>
          <w:rFonts w:eastAsia="Times New Roman" w:cs="Arial"/>
          <w:color w:val="000000"/>
          <w:szCs w:val="20"/>
          <w:lang w:val="ru-RU"/>
        </w:rPr>
        <w:t xml:space="preserve"> </w:t>
      </w:r>
      <w:r w:rsidRPr="007F6EF6">
        <w:rPr>
          <w:rFonts w:eastAsia="Times New Roman" w:cs="Arial"/>
          <w:color w:val="000000"/>
          <w:szCs w:val="20"/>
          <w:lang w:eastAsia="bg-BG"/>
        </w:rPr>
        <w:t>телесно</w:t>
      </w:r>
      <w:r w:rsidRPr="007F6EF6">
        <w:rPr>
          <w:rFonts w:eastAsia="Times New Roman" w:cs="Arial"/>
          <w:color w:val="000000"/>
          <w:szCs w:val="20"/>
          <w:lang w:val="ru-RU"/>
        </w:rPr>
        <w:t xml:space="preserve"> </w:t>
      </w:r>
      <w:r w:rsidRPr="007F6EF6">
        <w:rPr>
          <w:rFonts w:eastAsia="Times New Roman" w:cs="Arial"/>
          <w:color w:val="000000"/>
          <w:szCs w:val="20"/>
          <w:lang w:eastAsia="bg-BG"/>
        </w:rPr>
        <w:t>тегло дневно (&gt;232 пъти над системната експозиция, наблюдавана при клинични дози). В проучваният при животни монтелукаст не е повлиял фертилитета или репродуктивните възможности при системна експозиция, по-висока от клинична системна експозиция повече от 24-пъти. В едно</w:t>
      </w:r>
      <w:r w:rsidRPr="007F6EF6">
        <w:rPr>
          <w:rFonts w:eastAsia="Times New Roman" w:cs="Arial"/>
          <w:sz w:val="28"/>
          <w:szCs w:val="24"/>
        </w:rPr>
        <w:t xml:space="preserve"> </w:t>
      </w:r>
      <w:r w:rsidRPr="007F6EF6">
        <w:rPr>
          <w:rFonts w:eastAsia="Times New Roman" w:cs="Arial"/>
          <w:color w:val="000000"/>
          <w:szCs w:val="20"/>
          <w:lang w:eastAsia="bg-BG"/>
        </w:rPr>
        <w:t xml:space="preserve">проучване на женския фертилитет при плъхове с доза 200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kg</w:t>
      </w:r>
      <w:r w:rsidRPr="007F6EF6">
        <w:rPr>
          <w:rFonts w:eastAsia="Times New Roman" w:cs="Arial"/>
          <w:color w:val="000000"/>
          <w:szCs w:val="20"/>
          <w:lang w:val="ru-RU"/>
        </w:rPr>
        <w:t xml:space="preserve"> </w:t>
      </w:r>
      <w:r w:rsidRPr="007F6EF6">
        <w:rPr>
          <w:rFonts w:eastAsia="Times New Roman" w:cs="Arial"/>
          <w:color w:val="000000"/>
          <w:szCs w:val="20"/>
          <w:lang w:eastAsia="bg-BG"/>
        </w:rPr>
        <w:t>телесно тегло дневно (&gt; 69 пъти над системната клинична експозиция) е било отбелязано леко намаление на телесното тегло на малките. В проучвания при зайци е била установена по-висока честота на незавършена осификация в сравнение с контролните животни, при системна експозиция над 24-пъти по- висока от клиничната. При плъхове не са били наблюдавани аномалии. Установено е, че монтелукаст преминава плацентарната бариера и се екскретира в кърмата на животните.</w:t>
      </w:r>
    </w:p>
    <w:p w14:paraId="247B1F1D" w14:textId="77777777" w:rsidR="007F6EF6" w:rsidRPr="007F6EF6" w:rsidRDefault="007F6EF6" w:rsidP="007F6EF6">
      <w:pPr>
        <w:spacing w:line="240" w:lineRule="auto"/>
        <w:rPr>
          <w:rFonts w:eastAsia="Times New Roman" w:cs="Arial"/>
          <w:color w:val="000000"/>
          <w:szCs w:val="20"/>
          <w:lang w:eastAsia="bg-BG"/>
        </w:rPr>
      </w:pPr>
    </w:p>
    <w:p w14:paraId="1B2551B7" w14:textId="3A9941B9"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При еднократен перорален прием на дози до 5 000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kg</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телесно тегло от мишки и плъхове (15 000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m</w:t>
      </w:r>
      <w:r w:rsidRPr="007F6EF6">
        <w:rPr>
          <w:rFonts w:eastAsia="Times New Roman" w:cs="Arial"/>
          <w:color w:val="000000"/>
          <w:szCs w:val="20"/>
          <w:vertAlign w:val="superscript"/>
          <w:lang w:val="ru-RU"/>
        </w:rPr>
        <w:t>2</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и 30 000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m</w:t>
      </w:r>
      <w:r w:rsidRPr="007F6EF6">
        <w:rPr>
          <w:rFonts w:eastAsia="Times New Roman" w:cs="Arial"/>
          <w:color w:val="000000"/>
          <w:szCs w:val="20"/>
          <w:vertAlign w:val="superscript"/>
          <w:lang w:val="ru-RU"/>
        </w:rPr>
        <w:t>2</w:t>
      </w:r>
      <w:r w:rsidRPr="007F6EF6">
        <w:rPr>
          <w:rFonts w:eastAsia="Times New Roman" w:cs="Arial"/>
          <w:color w:val="000000"/>
          <w:szCs w:val="20"/>
          <w:vertAlign w:val="superscript"/>
          <w:lang w:eastAsia="bg-BG"/>
        </w:rPr>
        <w:t xml:space="preserve"> </w:t>
      </w:r>
      <w:r w:rsidRPr="007F6EF6">
        <w:rPr>
          <w:rFonts w:eastAsia="Times New Roman" w:cs="Arial"/>
          <w:color w:val="000000"/>
          <w:szCs w:val="20"/>
          <w:lang w:eastAsia="bg-BG"/>
        </w:rPr>
        <w:t>при</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мишки и плъхове), в проучване за максимална доза не са наблюдавани смъртни случаи. Тази доза е еквивалентна на 25 000 пъти препоръчваната човешка дневна доза за възрастни (базирайки се на телесно тегло за възрастни пациенти 50 </w:t>
      </w:r>
      <w:r w:rsidRPr="007F6EF6">
        <w:rPr>
          <w:rFonts w:eastAsia="Times New Roman" w:cs="Arial"/>
          <w:color w:val="000000"/>
          <w:szCs w:val="20"/>
          <w:lang w:val="en-US"/>
        </w:rPr>
        <w:t>kg</w:t>
      </w:r>
      <w:r w:rsidRPr="007F6EF6">
        <w:rPr>
          <w:rFonts w:eastAsia="Times New Roman" w:cs="Arial"/>
          <w:color w:val="000000"/>
          <w:szCs w:val="20"/>
          <w:lang w:val="ru-RU"/>
        </w:rPr>
        <w:t>).</w:t>
      </w:r>
    </w:p>
    <w:p w14:paraId="27D0A702" w14:textId="77777777" w:rsidR="007F6EF6" w:rsidRPr="007F6EF6" w:rsidRDefault="007F6EF6" w:rsidP="007F6EF6">
      <w:pPr>
        <w:spacing w:line="240" w:lineRule="auto"/>
        <w:rPr>
          <w:rFonts w:eastAsia="Times New Roman" w:cs="Arial"/>
          <w:color w:val="000000"/>
          <w:szCs w:val="20"/>
          <w:lang w:eastAsia="bg-BG"/>
        </w:rPr>
      </w:pPr>
    </w:p>
    <w:p w14:paraId="01BCA5FD" w14:textId="22656B43" w:rsidR="007F6EF6" w:rsidRP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Установено е, че монтелукаст не е фототоксичен за мишки за </w:t>
      </w:r>
      <w:r w:rsidRPr="007F6EF6">
        <w:rPr>
          <w:rFonts w:eastAsia="Times New Roman" w:cs="Arial"/>
          <w:color w:val="000000"/>
          <w:szCs w:val="20"/>
          <w:lang w:val="en-US"/>
        </w:rPr>
        <w:t>UVA</w:t>
      </w:r>
      <w:r w:rsidRPr="007F6EF6">
        <w:rPr>
          <w:rFonts w:eastAsia="Times New Roman" w:cs="Arial"/>
          <w:color w:val="000000"/>
          <w:szCs w:val="20"/>
          <w:lang w:val="ru-RU"/>
        </w:rPr>
        <w:t xml:space="preserve">, </w:t>
      </w:r>
      <w:r w:rsidRPr="007F6EF6">
        <w:rPr>
          <w:rFonts w:eastAsia="Times New Roman" w:cs="Arial"/>
          <w:color w:val="000000"/>
          <w:szCs w:val="20"/>
          <w:lang w:val="en-US"/>
        </w:rPr>
        <w:t>UVB</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и лъчите от видимия спектър в дози до 500 </w:t>
      </w:r>
      <w:r w:rsidRPr="007F6EF6">
        <w:rPr>
          <w:rFonts w:eastAsia="Times New Roman" w:cs="Arial"/>
          <w:color w:val="000000"/>
          <w:szCs w:val="20"/>
          <w:lang w:val="en-US"/>
        </w:rPr>
        <w:t>mg</w:t>
      </w:r>
      <w:r w:rsidRPr="007F6EF6">
        <w:rPr>
          <w:rFonts w:eastAsia="Times New Roman" w:cs="Arial"/>
          <w:color w:val="000000"/>
          <w:szCs w:val="20"/>
          <w:lang w:val="ru-RU"/>
        </w:rPr>
        <w:t>/</w:t>
      </w:r>
      <w:r w:rsidRPr="007F6EF6">
        <w:rPr>
          <w:rFonts w:eastAsia="Times New Roman" w:cs="Arial"/>
          <w:color w:val="000000"/>
          <w:szCs w:val="20"/>
          <w:lang w:val="en-US"/>
        </w:rPr>
        <w:t>kg</w:t>
      </w:r>
      <w:r w:rsidRPr="007F6EF6">
        <w:rPr>
          <w:rFonts w:eastAsia="Times New Roman" w:cs="Arial"/>
          <w:color w:val="000000"/>
          <w:szCs w:val="20"/>
          <w:lang w:val="ru-RU"/>
        </w:rPr>
        <w:t xml:space="preserve"> </w:t>
      </w:r>
      <w:r w:rsidRPr="007F6EF6">
        <w:rPr>
          <w:rFonts w:eastAsia="Times New Roman" w:cs="Arial"/>
          <w:color w:val="000000"/>
          <w:szCs w:val="20"/>
          <w:lang w:eastAsia="bg-BG"/>
        </w:rPr>
        <w:t>телесно тегло дневно (приблизително 200 пъти над основната системна експозиция).</w:t>
      </w:r>
    </w:p>
    <w:p w14:paraId="46BD3B1A" w14:textId="77777777" w:rsidR="007F6EF6" w:rsidRPr="007F6EF6" w:rsidRDefault="007F6EF6" w:rsidP="007F6EF6">
      <w:pPr>
        <w:spacing w:line="240" w:lineRule="auto"/>
        <w:rPr>
          <w:rFonts w:eastAsia="Times New Roman" w:cs="Arial"/>
          <w:color w:val="000000"/>
          <w:szCs w:val="20"/>
          <w:lang w:eastAsia="bg-BG"/>
        </w:rPr>
      </w:pPr>
    </w:p>
    <w:p w14:paraId="508F2A2D" w14:textId="40456718" w:rsidR="007F6EF6" w:rsidRDefault="007F6EF6" w:rsidP="007F6EF6">
      <w:pPr>
        <w:spacing w:line="240" w:lineRule="auto"/>
        <w:rPr>
          <w:rFonts w:eastAsia="Times New Roman" w:cs="Arial"/>
          <w:sz w:val="28"/>
          <w:szCs w:val="24"/>
        </w:rPr>
      </w:pPr>
      <w:r w:rsidRPr="007F6EF6">
        <w:rPr>
          <w:rFonts w:eastAsia="Times New Roman" w:cs="Arial"/>
          <w:color w:val="000000"/>
          <w:szCs w:val="20"/>
          <w:lang w:eastAsia="bg-BG"/>
        </w:rPr>
        <w:t xml:space="preserve">Монтелукаст не е мутагенен, нито туморогенен в </w:t>
      </w:r>
      <w:r w:rsidRPr="007F6EF6">
        <w:rPr>
          <w:rFonts w:eastAsia="Times New Roman" w:cs="Arial"/>
          <w:i/>
          <w:iCs/>
          <w:color w:val="000000"/>
          <w:szCs w:val="20"/>
          <w:lang w:val="en-US"/>
        </w:rPr>
        <w:t>in</w:t>
      </w:r>
      <w:r w:rsidRPr="007F6EF6">
        <w:rPr>
          <w:rFonts w:eastAsia="Times New Roman" w:cs="Arial"/>
          <w:i/>
          <w:iCs/>
          <w:color w:val="000000"/>
          <w:szCs w:val="20"/>
          <w:lang w:val="ru-RU"/>
        </w:rPr>
        <w:t xml:space="preserve"> </w:t>
      </w:r>
      <w:r w:rsidRPr="007F6EF6">
        <w:rPr>
          <w:rFonts w:eastAsia="Times New Roman" w:cs="Arial"/>
          <w:i/>
          <w:iCs/>
          <w:color w:val="000000"/>
          <w:szCs w:val="20"/>
          <w:lang w:val="en-US"/>
        </w:rPr>
        <w:t>vivo</w:t>
      </w:r>
      <w:r w:rsidRPr="007F6EF6">
        <w:rPr>
          <w:rFonts w:eastAsia="Times New Roman" w:cs="Arial"/>
          <w:color w:val="000000"/>
          <w:szCs w:val="20"/>
          <w:lang w:val="ru-RU"/>
        </w:rPr>
        <w:t xml:space="preserve"> </w:t>
      </w:r>
      <w:r w:rsidRPr="007F6EF6">
        <w:rPr>
          <w:rFonts w:eastAsia="Times New Roman" w:cs="Arial"/>
          <w:color w:val="000000"/>
          <w:szCs w:val="20"/>
          <w:lang w:eastAsia="bg-BG"/>
        </w:rPr>
        <w:t xml:space="preserve">и </w:t>
      </w:r>
      <w:r w:rsidRPr="007F6EF6">
        <w:rPr>
          <w:rFonts w:eastAsia="Times New Roman" w:cs="Arial"/>
          <w:i/>
          <w:iCs/>
          <w:color w:val="000000"/>
          <w:szCs w:val="20"/>
          <w:lang w:val="en-US"/>
        </w:rPr>
        <w:t>in</w:t>
      </w:r>
      <w:r w:rsidRPr="007F6EF6">
        <w:rPr>
          <w:rFonts w:eastAsia="Times New Roman" w:cs="Arial"/>
          <w:i/>
          <w:iCs/>
          <w:color w:val="000000"/>
          <w:szCs w:val="20"/>
          <w:lang w:val="ru-RU"/>
        </w:rPr>
        <w:t xml:space="preserve"> </w:t>
      </w:r>
      <w:r w:rsidRPr="007F6EF6">
        <w:rPr>
          <w:rFonts w:eastAsia="Times New Roman" w:cs="Arial"/>
          <w:i/>
          <w:iCs/>
          <w:color w:val="000000"/>
          <w:szCs w:val="20"/>
          <w:lang w:val="en-US"/>
        </w:rPr>
        <w:t>vitro</w:t>
      </w:r>
      <w:r w:rsidRPr="007F6EF6">
        <w:rPr>
          <w:rFonts w:eastAsia="Times New Roman" w:cs="Arial"/>
          <w:color w:val="000000"/>
          <w:szCs w:val="20"/>
          <w:lang w:val="ru-RU"/>
        </w:rPr>
        <w:t xml:space="preserve"> </w:t>
      </w:r>
      <w:r w:rsidRPr="007F6EF6">
        <w:rPr>
          <w:rFonts w:eastAsia="Times New Roman" w:cs="Arial"/>
          <w:color w:val="000000"/>
          <w:szCs w:val="20"/>
          <w:lang w:eastAsia="bg-BG"/>
        </w:rPr>
        <w:t>тестове проведени при гризачи.</w:t>
      </w:r>
    </w:p>
    <w:p w14:paraId="4190D05F" w14:textId="77777777" w:rsidR="007F6EF6" w:rsidRPr="007F6EF6" w:rsidRDefault="007F6EF6" w:rsidP="007F6EF6">
      <w:pPr>
        <w:spacing w:line="240" w:lineRule="auto"/>
        <w:rPr>
          <w:rFonts w:eastAsia="Times New Roman" w:cs="Arial"/>
          <w:sz w:val="28"/>
          <w:szCs w:val="24"/>
        </w:rPr>
      </w:pPr>
    </w:p>
    <w:p w14:paraId="1BA6531D" w14:textId="6B969F61" w:rsidR="00B6672E" w:rsidRDefault="002C50EE" w:rsidP="00936AD0">
      <w:pPr>
        <w:pStyle w:val="Heading1"/>
      </w:pPr>
      <w:r>
        <w:t>7. ПРИТЕЖАТЕЛ НА РАЗРЕШЕНИЕТО ЗА УПОТРЕБА</w:t>
      </w:r>
    </w:p>
    <w:p w14:paraId="0C6D4866" w14:textId="577F23C8" w:rsidR="007F6EF6" w:rsidRDefault="007F6EF6" w:rsidP="007F6EF6"/>
    <w:p w14:paraId="0984792D" w14:textId="77777777" w:rsidR="007F6EF6" w:rsidRPr="007F6EF6" w:rsidRDefault="007F6EF6" w:rsidP="007F6EF6">
      <w:pPr>
        <w:rPr>
          <w:sz w:val="24"/>
          <w:szCs w:val="24"/>
          <w:lang w:val="ru-RU"/>
        </w:rPr>
      </w:pPr>
      <w:proofErr w:type="spellStart"/>
      <w:r w:rsidRPr="007F6EF6">
        <w:rPr>
          <w:lang w:val="en-US"/>
        </w:rPr>
        <w:t>Teva</w:t>
      </w:r>
      <w:proofErr w:type="spellEnd"/>
      <w:r w:rsidRPr="007F6EF6">
        <w:rPr>
          <w:lang w:eastAsia="bg-BG"/>
        </w:rPr>
        <w:t xml:space="preserve"> </w:t>
      </w:r>
      <w:r w:rsidRPr="007F6EF6">
        <w:rPr>
          <w:lang w:val="en-US"/>
        </w:rPr>
        <w:t>B</w:t>
      </w:r>
      <w:r w:rsidRPr="007F6EF6">
        <w:rPr>
          <w:lang w:val="ru-RU"/>
        </w:rPr>
        <w:t>.</w:t>
      </w:r>
      <w:r w:rsidRPr="007F6EF6">
        <w:rPr>
          <w:lang w:val="en-US"/>
        </w:rPr>
        <w:t>V</w:t>
      </w:r>
      <w:r w:rsidRPr="007F6EF6">
        <w:rPr>
          <w:lang w:val="ru-RU"/>
        </w:rPr>
        <w:t>.</w:t>
      </w:r>
    </w:p>
    <w:p w14:paraId="226F60F5" w14:textId="77777777" w:rsidR="007F6EF6" w:rsidRDefault="007F6EF6" w:rsidP="007F6EF6">
      <w:pPr>
        <w:rPr>
          <w:lang w:val="ru-RU"/>
        </w:rPr>
      </w:pPr>
      <w:proofErr w:type="spellStart"/>
      <w:r w:rsidRPr="007F6EF6">
        <w:rPr>
          <w:lang w:val="en-US"/>
        </w:rPr>
        <w:t>Swensweg</w:t>
      </w:r>
      <w:proofErr w:type="spellEnd"/>
      <w:r w:rsidRPr="007F6EF6">
        <w:rPr>
          <w:lang w:val="ru-RU"/>
        </w:rPr>
        <w:t xml:space="preserve"> </w:t>
      </w:r>
      <w:r w:rsidRPr="007F6EF6">
        <w:rPr>
          <w:lang w:eastAsia="bg-BG"/>
        </w:rPr>
        <w:t xml:space="preserve">5, 2031 </w:t>
      </w:r>
      <w:r w:rsidRPr="007F6EF6">
        <w:rPr>
          <w:lang w:val="en-US"/>
        </w:rPr>
        <w:t>GA</w:t>
      </w:r>
      <w:r w:rsidRPr="007F6EF6">
        <w:rPr>
          <w:lang w:val="ru-RU"/>
        </w:rPr>
        <w:t xml:space="preserve"> </w:t>
      </w:r>
      <w:r w:rsidRPr="007F6EF6">
        <w:rPr>
          <w:lang w:val="en-US"/>
        </w:rPr>
        <w:t>Haarlem</w:t>
      </w:r>
      <w:r w:rsidRPr="007F6EF6">
        <w:rPr>
          <w:lang w:val="ru-RU"/>
        </w:rPr>
        <w:t xml:space="preserve"> </w:t>
      </w:r>
    </w:p>
    <w:p w14:paraId="438C885F" w14:textId="63432856" w:rsidR="007F6EF6" w:rsidRPr="007F6EF6" w:rsidRDefault="007F6EF6" w:rsidP="007F6EF6">
      <w:r w:rsidRPr="007F6EF6">
        <w:rPr>
          <w:lang w:eastAsia="bg-BG"/>
        </w:rPr>
        <w:t>Нидерландия</w:t>
      </w:r>
    </w:p>
    <w:p w14:paraId="508F3A54" w14:textId="25E75832" w:rsidR="00B6672E" w:rsidRDefault="00936AD0" w:rsidP="00936AD0">
      <w:pPr>
        <w:pStyle w:val="Heading1"/>
      </w:pPr>
      <w:r>
        <w:t>8.</w:t>
      </w:r>
      <w:r w:rsidR="002C50EE">
        <w:t>НОМЕР НА РАЗРЕШЕНИЕТО ЗА УПОТРЕБА</w:t>
      </w:r>
    </w:p>
    <w:p w14:paraId="372F2AB1" w14:textId="27858871" w:rsidR="007F6EF6" w:rsidRDefault="007F6EF6" w:rsidP="007F6EF6"/>
    <w:p w14:paraId="1EA33242" w14:textId="69625B14" w:rsidR="007F6EF6" w:rsidRPr="007F6EF6" w:rsidRDefault="007F6EF6" w:rsidP="007F6EF6">
      <w:pPr>
        <w:rPr>
          <w:sz w:val="24"/>
          <w:szCs w:val="24"/>
        </w:rPr>
      </w:pPr>
      <w:proofErr w:type="spellStart"/>
      <w:r>
        <w:rPr>
          <w:lang w:val="en-US"/>
        </w:rPr>
        <w:t>Peг</w:t>
      </w:r>
      <w:proofErr w:type="spellEnd"/>
      <w:r>
        <w:rPr>
          <w:lang w:val="en-US"/>
        </w:rPr>
        <w:t xml:space="preserve">. </w:t>
      </w:r>
      <w:r w:rsidRPr="007F6EF6">
        <w:rPr>
          <w:lang w:eastAsia="bg-BG"/>
        </w:rPr>
        <w:t>№20110527</w:t>
      </w:r>
    </w:p>
    <w:p w14:paraId="48D01D1C" w14:textId="77777777" w:rsidR="007F6EF6" w:rsidRPr="007F6EF6" w:rsidRDefault="007F6EF6" w:rsidP="007F6EF6"/>
    <w:p w14:paraId="2CCB5832" w14:textId="7D4D01E0" w:rsidR="007C605B" w:rsidRDefault="002C50EE" w:rsidP="007C605B">
      <w:pPr>
        <w:pStyle w:val="Heading1"/>
      </w:pPr>
      <w:r>
        <w:t>9. ДАТА НА ПЪРВО РАЗРЕШАВАНЕ/ПОДНОВЯВАНЕ НА РАЗРЕШЕНИЕТО ЗА УПОТРЕБА</w:t>
      </w:r>
    </w:p>
    <w:p w14:paraId="0E4DF8FF" w14:textId="6056039C" w:rsidR="007F6EF6" w:rsidRDefault="007F6EF6" w:rsidP="007F6EF6"/>
    <w:p w14:paraId="220EDA6F" w14:textId="77777777" w:rsidR="007F6EF6" w:rsidRPr="007F6EF6" w:rsidRDefault="007F6EF6" w:rsidP="007F6EF6">
      <w:pPr>
        <w:rPr>
          <w:sz w:val="24"/>
          <w:szCs w:val="24"/>
        </w:rPr>
      </w:pPr>
      <w:r w:rsidRPr="007F6EF6">
        <w:rPr>
          <w:lang w:eastAsia="bg-BG"/>
        </w:rPr>
        <w:t>Дата на първо разрешаване: 13 септември 2011 г.</w:t>
      </w:r>
    </w:p>
    <w:p w14:paraId="2EDE96A3" w14:textId="77777777" w:rsidR="007F6EF6" w:rsidRPr="007F6EF6" w:rsidRDefault="007F6EF6" w:rsidP="007F6EF6">
      <w:pPr>
        <w:rPr>
          <w:sz w:val="24"/>
          <w:szCs w:val="24"/>
        </w:rPr>
      </w:pPr>
      <w:r w:rsidRPr="007F6EF6">
        <w:rPr>
          <w:lang w:eastAsia="bg-BG"/>
        </w:rPr>
        <w:t>Дата на подновяване: 20 април 2016 г.</w:t>
      </w:r>
    </w:p>
    <w:p w14:paraId="5ED5619E" w14:textId="77777777" w:rsidR="007F6EF6" w:rsidRPr="007F6EF6" w:rsidRDefault="007F6EF6" w:rsidP="007F6EF6"/>
    <w:p w14:paraId="0E9D0119" w14:textId="0245C6D7" w:rsidR="002C50EE" w:rsidRDefault="002C50EE" w:rsidP="002C50EE">
      <w:pPr>
        <w:pStyle w:val="Heading1"/>
      </w:pPr>
      <w:r>
        <w:lastRenderedPageBreak/>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27C6B"/>
    <w:multiLevelType w:val="hybridMultilevel"/>
    <w:tmpl w:val="D71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7" w15:restartNumberingAfterBreak="0">
    <w:nsid w:val="7F3E493B"/>
    <w:multiLevelType w:val="hybridMultilevel"/>
    <w:tmpl w:val="8F9A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C477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7F6EF6"/>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5146</Words>
  <Characters>29338</Characters>
  <Application>Microsoft Office Word</Application>
  <DocSecurity>0</DocSecurity>
  <Lines>244</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2022-07-28T14:57:00Z</dcterms:created>
  <dcterms:modified xsi:type="dcterms:W3CDTF">2022-07-28T14:57:00Z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