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112A0C6E" w:rsidR="007122AD" w:rsidRDefault="00DD466D" w:rsidP="00936AD0">
      <w:pPr>
        <w:pStyle w:val="Heading1"/>
      </w:pPr>
      <w:r>
        <w:t>1.ИМЕ НА ЛЕКАРСТВЕНИЯ ПРОДУКТ</w:t>
      </w:r>
    </w:p>
    <w:p w14:paraId="152B9EFF" w14:textId="457F579B" w:rsidR="0000048F" w:rsidRDefault="0000048F" w:rsidP="0000048F"/>
    <w:p w14:paraId="0737C720" w14:textId="77777777" w:rsidR="0000048F" w:rsidRPr="0000048F" w:rsidRDefault="0000048F" w:rsidP="0000048F">
      <w:pPr>
        <w:rPr>
          <w:sz w:val="24"/>
          <w:szCs w:val="24"/>
        </w:rPr>
      </w:pPr>
      <w:r w:rsidRPr="0000048F">
        <w:rPr>
          <w:lang w:eastAsia="bg-BG"/>
        </w:rPr>
        <w:t xml:space="preserve">Ефира 5 </w:t>
      </w:r>
      <w:r w:rsidRPr="0000048F">
        <w:rPr>
          <w:lang w:val="en-US"/>
        </w:rPr>
        <w:t>mg</w:t>
      </w:r>
      <w:r w:rsidRPr="0000048F">
        <w:t xml:space="preserve"> </w:t>
      </w:r>
      <w:r w:rsidRPr="0000048F">
        <w:rPr>
          <w:lang w:eastAsia="bg-BG"/>
        </w:rPr>
        <w:t>таблетки за дъвчене</w:t>
      </w:r>
    </w:p>
    <w:p w14:paraId="01DEC802" w14:textId="77777777" w:rsidR="0000048F" w:rsidRPr="0000048F" w:rsidRDefault="0000048F" w:rsidP="0000048F">
      <w:pPr>
        <w:rPr>
          <w:sz w:val="24"/>
          <w:szCs w:val="24"/>
        </w:rPr>
      </w:pPr>
      <w:proofErr w:type="spellStart"/>
      <w:r w:rsidRPr="0000048F">
        <w:rPr>
          <w:lang w:val="en-US"/>
        </w:rPr>
        <w:t>Ephyra</w:t>
      </w:r>
      <w:proofErr w:type="spellEnd"/>
      <w:r w:rsidRPr="0000048F">
        <w:t xml:space="preserve"> </w:t>
      </w:r>
      <w:r w:rsidRPr="0000048F">
        <w:rPr>
          <w:lang w:eastAsia="bg-BG"/>
        </w:rPr>
        <w:t xml:space="preserve">5 </w:t>
      </w:r>
      <w:r w:rsidRPr="0000048F">
        <w:rPr>
          <w:lang w:val="en-US"/>
        </w:rPr>
        <w:t>mg</w:t>
      </w:r>
      <w:r w:rsidRPr="0000048F">
        <w:t xml:space="preserve"> </w:t>
      </w:r>
      <w:r w:rsidRPr="0000048F">
        <w:rPr>
          <w:lang w:val="en-US"/>
        </w:rPr>
        <w:t>chewable</w:t>
      </w:r>
      <w:r w:rsidRPr="0000048F">
        <w:t xml:space="preserve"> </w:t>
      </w:r>
      <w:r w:rsidRPr="0000048F">
        <w:rPr>
          <w:lang w:val="en-US"/>
        </w:rPr>
        <w:t>tablets</w:t>
      </w:r>
    </w:p>
    <w:p w14:paraId="4150AD46" w14:textId="77777777" w:rsidR="0000048F" w:rsidRPr="0000048F" w:rsidRDefault="0000048F" w:rsidP="0000048F"/>
    <w:p w14:paraId="6920A680" w14:textId="5AAB9CBD" w:rsidR="00C40420" w:rsidRDefault="00DD466D" w:rsidP="004A448E">
      <w:pPr>
        <w:pStyle w:val="Heading1"/>
      </w:pPr>
      <w:r>
        <w:t>2. КАЧЕСТВЕН И КОЛИЧЕСТВЕН СЪСТАВ</w:t>
      </w:r>
    </w:p>
    <w:p w14:paraId="04A8D85B" w14:textId="5C80CF6F" w:rsidR="0000048F" w:rsidRDefault="0000048F" w:rsidP="0000048F"/>
    <w:p w14:paraId="351FFE58"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Всяка таблетка за дъвчене съдържа 5,20 </w:t>
      </w:r>
      <w:r w:rsidRPr="0000048F">
        <w:rPr>
          <w:rFonts w:eastAsia="Times New Roman" w:cs="Arial"/>
          <w:color w:val="000000"/>
          <w:szCs w:val="20"/>
          <w:lang w:val="en-US"/>
        </w:rPr>
        <w:t>mg</w:t>
      </w:r>
      <w:r w:rsidRPr="0000048F">
        <w:rPr>
          <w:rFonts w:eastAsia="Times New Roman" w:cs="Arial"/>
          <w:color w:val="000000"/>
          <w:szCs w:val="20"/>
        </w:rPr>
        <w:t xml:space="preserve"> </w:t>
      </w:r>
      <w:r w:rsidRPr="0000048F">
        <w:rPr>
          <w:rFonts w:eastAsia="Times New Roman" w:cs="Arial"/>
          <w:color w:val="000000"/>
          <w:szCs w:val="20"/>
          <w:lang w:eastAsia="bg-BG"/>
        </w:rPr>
        <w:t xml:space="preserve">монтелукаст натрий </w:t>
      </w:r>
      <w:r w:rsidRPr="0000048F">
        <w:rPr>
          <w:rFonts w:eastAsia="Times New Roman" w:cs="Arial"/>
          <w:i/>
          <w:iCs/>
          <w:color w:val="000000"/>
          <w:szCs w:val="20"/>
        </w:rPr>
        <w:t>(</w:t>
      </w:r>
      <w:proofErr w:type="spellStart"/>
      <w:r w:rsidRPr="0000048F">
        <w:rPr>
          <w:rFonts w:eastAsia="Times New Roman" w:cs="Arial"/>
          <w:i/>
          <w:iCs/>
          <w:color w:val="000000"/>
          <w:szCs w:val="20"/>
          <w:lang w:val="en-US"/>
        </w:rPr>
        <w:t>montelukast</w:t>
      </w:r>
      <w:proofErr w:type="spellEnd"/>
      <w:r w:rsidRPr="0000048F">
        <w:rPr>
          <w:rFonts w:eastAsia="Times New Roman" w:cs="Arial"/>
          <w:i/>
          <w:iCs/>
          <w:color w:val="000000"/>
          <w:szCs w:val="20"/>
        </w:rPr>
        <w:t xml:space="preserve"> </w:t>
      </w:r>
      <w:r w:rsidRPr="0000048F">
        <w:rPr>
          <w:rFonts w:eastAsia="Times New Roman" w:cs="Arial"/>
          <w:i/>
          <w:iCs/>
          <w:color w:val="000000"/>
          <w:szCs w:val="20"/>
          <w:lang w:val="en-US"/>
        </w:rPr>
        <w:t>sodium</w:t>
      </w:r>
      <w:r w:rsidRPr="0000048F">
        <w:rPr>
          <w:rFonts w:eastAsia="Times New Roman" w:cs="Arial"/>
          <w:i/>
          <w:iCs/>
          <w:color w:val="000000"/>
          <w:szCs w:val="20"/>
        </w:rPr>
        <w:t>),</w:t>
      </w:r>
      <w:r w:rsidRPr="0000048F">
        <w:rPr>
          <w:rFonts w:eastAsia="Times New Roman" w:cs="Arial"/>
          <w:color w:val="000000"/>
          <w:szCs w:val="20"/>
        </w:rPr>
        <w:t xml:space="preserve"> </w:t>
      </w:r>
      <w:r w:rsidRPr="0000048F">
        <w:rPr>
          <w:rFonts w:eastAsia="Times New Roman" w:cs="Arial"/>
          <w:color w:val="000000"/>
          <w:szCs w:val="20"/>
          <w:lang w:eastAsia="bg-BG"/>
        </w:rPr>
        <w:t xml:space="preserve">който е еквивалентен на 5 </w:t>
      </w:r>
      <w:r w:rsidRPr="0000048F">
        <w:rPr>
          <w:rFonts w:eastAsia="Times New Roman" w:cs="Arial"/>
          <w:color w:val="000000"/>
          <w:szCs w:val="20"/>
          <w:lang w:val="en-US"/>
        </w:rPr>
        <w:t>mg</w:t>
      </w:r>
      <w:r w:rsidRPr="0000048F">
        <w:rPr>
          <w:rFonts w:eastAsia="Times New Roman" w:cs="Arial"/>
          <w:color w:val="000000"/>
          <w:szCs w:val="20"/>
        </w:rPr>
        <w:t xml:space="preserve"> </w:t>
      </w:r>
      <w:r w:rsidRPr="0000048F">
        <w:rPr>
          <w:rFonts w:eastAsia="Times New Roman" w:cs="Arial"/>
          <w:color w:val="000000"/>
          <w:szCs w:val="20"/>
          <w:lang w:eastAsia="bg-BG"/>
        </w:rPr>
        <w:t xml:space="preserve">монтелукаст </w:t>
      </w:r>
      <w:r w:rsidRPr="0000048F">
        <w:rPr>
          <w:rFonts w:eastAsia="Times New Roman" w:cs="Arial"/>
          <w:i/>
          <w:iCs/>
          <w:color w:val="000000"/>
          <w:szCs w:val="20"/>
        </w:rPr>
        <w:t>(</w:t>
      </w:r>
      <w:proofErr w:type="spellStart"/>
      <w:r w:rsidRPr="0000048F">
        <w:rPr>
          <w:rFonts w:eastAsia="Times New Roman" w:cs="Arial"/>
          <w:i/>
          <w:iCs/>
          <w:color w:val="000000"/>
          <w:szCs w:val="20"/>
          <w:lang w:val="en-US"/>
        </w:rPr>
        <w:t>montelukast</w:t>
      </w:r>
      <w:proofErr w:type="spellEnd"/>
      <w:r w:rsidRPr="0000048F">
        <w:rPr>
          <w:rFonts w:eastAsia="Times New Roman" w:cs="Arial"/>
          <w:i/>
          <w:iCs/>
          <w:color w:val="000000"/>
          <w:szCs w:val="20"/>
        </w:rPr>
        <w:t>).</w:t>
      </w:r>
    </w:p>
    <w:p w14:paraId="36C37E92" w14:textId="77777777" w:rsidR="0000048F" w:rsidRPr="0000048F" w:rsidRDefault="0000048F" w:rsidP="0000048F">
      <w:pPr>
        <w:spacing w:line="240" w:lineRule="auto"/>
        <w:rPr>
          <w:rFonts w:eastAsia="Times New Roman" w:cs="Arial"/>
          <w:color w:val="000000"/>
          <w:szCs w:val="20"/>
          <w:u w:val="single"/>
          <w:lang w:eastAsia="bg-BG"/>
        </w:rPr>
      </w:pPr>
    </w:p>
    <w:p w14:paraId="276D4864" w14:textId="6FCA1639"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u w:val="single"/>
          <w:lang w:eastAsia="bg-BG"/>
        </w:rPr>
        <w:t>Помощно(и) вещество(а) с известно действие:</w:t>
      </w:r>
    </w:p>
    <w:p w14:paraId="54A2ADE3" w14:textId="267EF6AD" w:rsidR="0000048F" w:rsidRPr="0000048F" w:rsidRDefault="0000048F" w:rsidP="0000048F">
      <w:pPr>
        <w:rPr>
          <w:rFonts w:cs="Arial"/>
          <w:sz w:val="24"/>
        </w:rPr>
      </w:pPr>
      <w:r w:rsidRPr="0000048F">
        <w:rPr>
          <w:rFonts w:eastAsia="Times New Roman" w:cs="Arial"/>
          <w:color w:val="000000"/>
          <w:szCs w:val="20"/>
          <w:lang w:eastAsia="bg-BG"/>
        </w:rPr>
        <w:t xml:space="preserve">Всяка таблетка за дъвчене съдържа 0,5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аспартам (Е951).</w:t>
      </w:r>
    </w:p>
    <w:p w14:paraId="614984C4" w14:textId="5FCE76DC" w:rsidR="008A6AF2" w:rsidRDefault="00DD466D" w:rsidP="002C50EE">
      <w:pPr>
        <w:pStyle w:val="Heading1"/>
      </w:pPr>
      <w:r>
        <w:t>3. ЛЕКАРСТВЕНА ФОРМА</w:t>
      </w:r>
    </w:p>
    <w:p w14:paraId="0EB2CE7C" w14:textId="7CA8287C" w:rsidR="0000048F" w:rsidRDefault="0000048F" w:rsidP="0000048F"/>
    <w:p w14:paraId="34FBBDF6" w14:textId="77777777" w:rsidR="0000048F" w:rsidRPr="0000048F" w:rsidRDefault="0000048F" w:rsidP="0000048F">
      <w:pPr>
        <w:rPr>
          <w:sz w:val="24"/>
          <w:szCs w:val="24"/>
        </w:rPr>
      </w:pPr>
      <w:r w:rsidRPr="0000048F">
        <w:rPr>
          <w:lang w:eastAsia="bg-BG"/>
        </w:rPr>
        <w:t>Таблетка за дъвчене</w:t>
      </w:r>
    </w:p>
    <w:p w14:paraId="55B2A5C1" w14:textId="77777777" w:rsidR="0000048F" w:rsidRDefault="0000048F" w:rsidP="0000048F">
      <w:pPr>
        <w:rPr>
          <w:lang w:eastAsia="bg-BG"/>
        </w:rPr>
      </w:pPr>
    </w:p>
    <w:p w14:paraId="38B35B43" w14:textId="7C86AD48" w:rsidR="0000048F" w:rsidRPr="0000048F" w:rsidRDefault="0000048F" w:rsidP="0000048F">
      <w:pPr>
        <w:rPr>
          <w:lang w:eastAsia="bg-BG"/>
        </w:rPr>
      </w:pPr>
      <w:r w:rsidRPr="0000048F">
        <w:rPr>
          <w:lang w:eastAsia="bg-BG"/>
        </w:rPr>
        <w:t xml:space="preserve">5 </w:t>
      </w:r>
      <w:r w:rsidRPr="0000048F">
        <w:rPr>
          <w:lang w:val="en-US"/>
        </w:rPr>
        <w:t>mg</w:t>
      </w:r>
      <w:r w:rsidRPr="0000048F">
        <w:rPr>
          <w:lang w:val="ru-RU"/>
        </w:rPr>
        <w:t xml:space="preserve"> </w:t>
      </w:r>
      <w:r w:rsidRPr="0000048F">
        <w:rPr>
          <w:lang w:eastAsia="bg-BG"/>
        </w:rPr>
        <w:t>таблетка за дъвчене: пъстророзова, с квадратна форма, с вдлъбнато релефно означение “93” от едната страна и “7425” от другата страна на таблетката.</w:t>
      </w:r>
    </w:p>
    <w:p w14:paraId="5A261B26" w14:textId="77777777" w:rsidR="0000048F" w:rsidRPr="0000048F" w:rsidRDefault="0000048F" w:rsidP="0000048F"/>
    <w:p w14:paraId="490FC2C4" w14:textId="0F4A4A75" w:rsidR="002C50EE" w:rsidRDefault="002C50EE" w:rsidP="002C50EE">
      <w:pPr>
        <w:pStyle w:val="Heading1"/>
      </w:pPr>
      <w:r>
        <w:t>4. КЛИНИЧНИ ДАННИ</w:t>
      </w:r>
    </w:p>
    <w:p w14:paraId="74330405" w14:textId="418DCE08" w:rsidR="007122AD" w:rsidRDefault="002C50EE" w:rsidP="00936AD0">
      <w:pPr>
        <w:pStyle w:val="Heading2"/>
      </w:pPr>
      <w:r>
        <w:t>4.1. Терапевтични показания</w:t>
      </w:r>
    </w:p>
    <w:p w14:paraId="7825D87A" w14:textId="5EEEBCC6" w:rsidR="0000048F" w:rsidRDefault="0000048F" w:rsidP="0000048F"/>
    <w:p w14:paraId="4A588D9A" w14:textId="77777777" w:rsidR="0000048F" w:rsidRPr="0000048F" w:rsidRDefault="0000048F" w:rsidP="0000048F">
      <w:pPr>
        <w:rPr>
          <w:sz w:val="24"/>
          <w:szCs w:val="24"/>
        </w:rPr>
      </w:pPr>
      <w:r w:rsidRPr="0000048F">
        <w:rPr>
          <w:lang w:eastAsia="bg-BG"/>
        </w:rPr>
        <w:t>Монтелукаст е показан в лечението на астма като допълнителна терапия при пациенти от 6 до 14 години с лека до умерено тежка персистираща астма, която не е контролирана адекватно с инхалаторни кортикостероиди и при която бързодействащите β-агонисти давани при необходимост не осигуряват адекватен клиничен контрол на астмата.</w:t>
      </w:r>
    </w:p>
    <w:p w14:paraId="502530B7" w14:textId="77777777" w:rsidR="0000048F" w:rsidRDefault="0000048F" w:rsidP="0000048F">
      <w:pPr>
        <w:rPr>
          <w:lang w:eastAsia="bg-BG"/>
        </w:rPr>
      </w:pPr>
    </w:p>
    <w:p w14:paraId="423D1CAB" w14:textId="65AA44FB" w:rsidR="0000048F" w:rsidRPr="0000048F" w:rsidRDefault="0000048F" w:rsidP="0000048F">
      <w:pPr>
        <w:rPr>
          <w:sz w:val="24"/>
          <w:szCs w:val="24"/>
        </w:rPr>
      </w:pPr>
      <w:r w:rsidRPr="0000048F">
        <w:rPr>
          <w:lang w:eastAsia="bg-BG"/>
        </w:rPr>
        <w:t>Монтелукаст може да се използва като алтернативна терапевтична възможност към ниските дози кортикостероиди, за пациенти с лека до умерено тежка персистираща астма, без анамнестични данни за скорошни тежки астматични пристъпи, които изискват употребата на перорални кортикостероиди и за които е установено че не са способни да използват инхалаторни кортикостероиди (вж. точка 4.2).</w:t>
      </w:r>
    </w:p>
    <w:p w14:paraId="0E18BA28" w14:textId="77777777" w:rsidR="0000048F" w:rsidRDefault="0000048F" w:rsidP="0000048F">
      <w:pPr>
        <w:rPr>
          <w:lang w:eastAsia="bg-BG"/>
        </w:rPr>
      </w:pPr>
    </w:p>
    <w:p w14:paraId="07CCECE6" w14:textId="016B3B25" w:rsidR="0000048F" w:rsidRDefault="0000048F" w:rsidP="0000048F">
      <w:pPr>
        <w:rPr>
          <w:lang w:eastAsia="bg-BG"/>
        </w:rPr>
      </w:pPr>
      <w:r w:rsidRPr="0000048F">
        <w:rPr>
          <w:lang w:eastAsia="bg-BG"/>
        </w:rPr>
        <w:t>Освен това, монтелукаст е показан за профилактика на астма, при която преобладаващ компонент е бронхоспазъм индуциран от усилия.</w:t>
      </w:r>
    </w:p>
    <w:p w14:paraId="09C8BD82" w14:textId="77777777" w:rsidR="0000048F" w:rsidRPr="0000048F" w:rsidRDefault="0000048F" w:rsidP="0000048F">
      <w:pPr>
        <w:rPr>
          <w:lang w:eastAsia="bg-BG"/>
        </w:rPr>
      </w:pPr>
    </w:p>
    <w:p w14:paraId="53F5B866" w14:textId="3DCACD06" w:rsidR="007122AD" w:rsidRDefault="002C50EE" w:rsidP="00936AD0">
      <w:pPr>
        <w:pStyle w:val="Heading2"/>
      </w:pPr>
      <w:r>
        <w:t>4.2. Дозировка и начин на приложение</w:t>
      </w:r>
    </w:p>
    <w:p w14:paraId="28283247" w14:textId="291D9221" w:rsidR="0000048F" w:rsidRDefault="0000048F" w:rsidP="0000048F"/>
    <w:p w14:paraId="35D9F695" w14:textId="77777777" w:rsidR="0000048F" w:rsidRPr="0000048F" w:rsidRDefault="0000048F" w:rsidP="0000048F">
      <w:pPr>
        <w:pStyle w:val="Heading3"/>
        <w:rPr>
          <w:rFonts w:eastAsia="Times New Roman"/>
          <w:sz w:val="28"/>
          <w:u w:val="single"/>
        </w:rPr>
      </w:pPr>
      <w:r w:rsidRPr="0000048F">
        <w:rPr>
          <w:rFonts w:eastAsia="Times New Roman"/>
          <w:u w:val="single"/>
          <w:lang w:eastAsia="bg-BG"/>
        </w:rPr>
        <w:lastRenderedPageBreak/>
        <w:t>Дозировка</w:t>
      </w:r>
    </w:p>
    <w:p w14:paraId="4C3E589B" w14:textId="77777777" w:rsidR="0000048F" w:rsidRPr="0000048F" w:rsidRDefault="0000048F" w:rsidP="0000048F">
      <w:pPr>
        <w:spacing w:line="240" w:lineRule="auto"/>
        <w:rPr>
          <w:rFonts w:eastAsia="Times New Roman" w:cs="Arial"/>
          <w:color w:val="000000"/>
          <w:szCs w:val="20"/>
          <w:lang w:eastAsia="bg-BG"/>
        </w:rPr>
      </w:pPr>
    </w:p>
    <w:p w14:paraId="05D57AAA" w14:textId="5753FDD9"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Този лекарствен продукт трябва да се дава на деца под контрола на възрастни.</w:t>
      </w:r>
    </w:p>
    <w:p w14:paraId="6E7BC8A3" w14:textId="0EDA05EF" w:rsidR="0000048F" w:rsidRPr="0000048F" w:rsidRDefault="0000048F" w:rsidP="0000048F">
      <w:pPr>
        <w:rPr>
          <w:rFonts w:eastAsia="Times New Roman" w:cs="Arial"/>
          <w:color w:val="000000"/>
          <w:szCs w:val="20"/>
          <w:lang w:eastAsia="bg-BG"/>
        </w:rPr>
      </w:pPr>
      <w:r w:rsidRPr="0000048F">
        <w:rPr>
          <w:rFonts w:eastAsia="Times New Roman" w:cs="Arial"/>
          <w:color w:val="000000"/>
          <w:szCs w:val="20"/>
          <w:lang w:eastAsia="bg-BG"/>
        </w:rPr>
        <w:t>Препоръчителната доза за пациенти в детска възраст от 6 -14 години е една</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таблетка за дъвчене от 5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дневно, вечер. Ако се приема преди или по време на хранене,монтелукаст трябва да се приема 1 час преди или поне 2 часа след хранене. В тази възрастова група не е</w:t>
      </w:r>
      <w:r w:rsidRPr="0000048F">
        <w:rPr>
          <w:rFonts w:eastAsia="Times New Roman" w:cs="Arial"/>
          <w:color w:val="000000"/>
          <w:szCs w:val="20"/>
          <w:vertAlign w:val="superscript"/>
          <w:lang w:eastAsia="bg-BG"/>
        </w:rPr>
        <w:t xml:space="preserve"> </w:t>
      </w:r>
      <w:r w:rsidRPr="0000048F">
        <w:rPr>
          <w:rFonts w:eastAsia="Times New Roman" w:cs="Arial"/>
          <w:color w:val="000000"/>
          <w:szCs w:val="20"/>
          <w:lang w:eastAsia="bg-BG"/>
        </w:rPr>
        <w:t>необходима адаптация на дозата.</w:t>
      </w:r>
    </w:p>
    <w:p w14:paraId="5D224A36" w14:textId="0785CFCA" w:rsidR="0000048F" w:rsidRPr="0000048F" w:rsidRDefault="0000048F" w:rsidP="0000048F">
      <w:pPr>
        <w:rPr>
          <w:rFonts w:eastAsia="Times New Roman" w:cs="Arial"/>
          <w:color w:val="000000"/>
          <w:szCs w:val="20"/>
          <w:lang w:eastAsia="bg-BG"/>
        </w:rPr>
      </w:pPr>
    </w:p>
    <w:p w14:paraId="5492CD5A" w14:textId="77777777" w:rsidR="0000048F" w:rsidRPr="0000048F" w:rsidRDefault="0000048F" w:rsidP="0000048F">
      <w:pPr>
        <w:spacing w:line="240" w:lineRule="auto"/>
        <w:rPr>
          <w:rFonts w:eastAsia="Times New Roman" w:cs="Arial"/>
          <w:sz w:val="28"/>
          <w:szCs w:val="24"/>
        </w:rPr>
      </w:pPr>
      <w:r w:rsidRPr="0000048F">
        <w:rPr>
          <w:rFonts w:eastAsia="Times New Roman" w:cs="Arial"/>
          <w:i/>
          <w:iCs/>
          <w:color w:val="000000"/>
          <w:szCs w:val="20"/>
          <w:lang w:eastAsia="bg-BG"/>
        </w:rPr>
        <w:t>Общи препоръки</w:t>
      </w:r>
    </w:p>
    <w:p w14:paraId="1EDCC8F1"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Терапевтичният ефект на монтелукаст върху показателите за контрол на астмата се проявява в рамките на един ден. На пациентите трябва да бъде препоръчано да продължат да приемат монтелукаст дори и ако тяхната астма е под контрол, както и по време на периодите на влошаване на астмата.</w:t>
      </w:r>
    </w:p>
    <w:p w14:paraId="333B370B" w14:textId="77777777" w:rsidR="0000048F" w:rsidRPr="0000048F" w:rsidRDefault="0000048F" w:rsidP="0000048F">
      <w:pPr>
        <w:spacing w:line="240" w:lineRule="auto"/>
        <w:rPr>
          <w:rFonts w:eastAsia="Times New Roman" w:cs="Arial"/>
          <w:i/>
          <w:iCs/>
          <w:color w:val="000000"/>
          <w:szCs w:val="20"/>
          <w:lang w:eastAsia="bg-BG"/>
        </w:rPr>
      </w:pPr>
    </w:p>
    <w:p w14:paraId="171597D3" w14:textId="180C8446" w:rsidR="0000048F" w:rsidRPr="0000048F" w:rsidRDefault="0000048F" w:rsidP="0000048F">
      <w:pPr>
        <w:spacing w:line="240" w:lineRule="auto"/>
        <w:rPr>
          <w:rFonts w:eastAsia="Times New Roman" w:cs="Arial"/>
          <w:sz w:val="28"/>
          <w:szCs w:val="24"/>
        </w:rPr>
      </w:pPr>
      <w:r w:rsidRPr="0000048F">
        <w:rPr>
          <w:rFonts w:eastAsia="Times New Roman" w:cs="Arial"/>
          <w:i/>
          <w:iCs/>
          <w:color w:val="000000"/>
          <w:szCs w:val="20"/>
          <w:lang w:eastAsia="bg-BG"/>
        </w:rPr>
        <w:t>Ефира като алтернативна терапевтична възможност на ниските дози инхалаторни кортикостероиди при лека персистираща астма:</w:t>
      </w:r>
    </w:p>
    <w:p w14:paraId="326E3E10"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Монтелукаст не се препоръчва като монотерапия при пациенти със средно тежка персистираща астма. Употребата на монтелукаст като алтернативна терапевтична възможност на ниските дози инхалаторни кортикостероиди, при деца с лека персистираща астма, трябва да се обсъжда само при пациенти, които нямат анамнеза за тежки астматични пристъпи, които изискват перорални кортикостероиди и за които е установено че нямат възможност да използват инхалаторни кортикостероиди (вж. точка 4.1). Лека персистираща астма се дефинира като симптоми на астма по-често от веднъж седмично, но по-рядко от веднъж дневно, наличие на нощни симптоми по-често от два пъти месечно, но по-рядко от веднъж седмично, нормална белодробна функция между отделните епизоди. Ако при проследяването не се постига задоволителен контрол на астмата (обикновено в рамките на един месец), трябва да се оцени необходимостта от допълнително или различно противовъзпалително лечение, базирано на стъпаловидна система за лечение на астма. Пациентите трябва периодично да се оценяват по отношение контрола на астмата.</w:t>
      </w:r>
    </w:p>
    <w:p w14:paraId="0C9E60DF" w14:textId="77777777" w:rsidR="0000048F" w:rsidRPr="0000048F" w:rsidRDefault="0000048F" w:rsidP="0000048F">
      <w:pPr>
        <w:spacing w:line="240" w:lineRule="auto"/>
        <w:rPr>
          <w:rFonts w:eastAsia="Times New Roman" w:cs="Arial"/>
          <w:i/>
          <w:iCs/>
          <w:color w:val="000000"/>
          <w:szCs w:val="20"/>
          <w:lang w:eastAsia="bg-BG"/>
        </w:rPr>
      </w:pPr>
    </w:p>
    <w:p w14:paraId="4A4FBF6F" w14:textId="01BB61AA" w:rsidR="0000048F" w:rsidRPr="0000048F" w:rsidRDefault="0000048F" w:rsidP="0000048F">
      <w:pPr>
        <w:spacing w:line="240" w:lineRule="auto"/>
        <w:rPr>
          <w:rFonts w:eastAsia="Times New Roman" w:cs="Arial"/>
          <w:sz w:val="28"/>
          <w:szCs w:val="24"/>
        </w:rPr>
      </w:pPr>
      <w:r w:rsidRPr="0000048F">
        <w:rPr>
          <w:rFonts w:eastAsia="Times New Roman" w:cs="Arial"/>
          <w:i/>
          <w:iCs/>
          <w:color w:val="000000"/>
          <w:szCs w:val="20"/>
          <w:lang w:eastAsia="bg-BG"/>
        </w:rPr>
        <w:t>Терапия с монтелукаст във връзка с друго лечение на астма</w:t>
      </w:r>
    </w:p>
    <w:p w14:paraId="706FD412"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Когато лечението с монтелукаст се използва като допълнителна терапия към инхалаторните кортикостероиди, монтелукаст не трябва да бъде бърз заместител на инхалаторните кортикостероиди (вж. точка 4.4).</w:t>
      </w:r>
    </w:p>
    <w:p w14:paraId="4906A4A5" w14:textId="77777777" w:rsidR="0000048F" w:rsidRPr="0000048F" w:rsidRDefault="0000048F" w:rsidP="0000048F">
      <w:pPr>
        <w:spacing w:line="240" w:lineRule="auto"/>
        <w:rPr>
          <w:rFonts w:eastAsia="Times New Roman" w:cs="Arial"/>
          <w:i/>
          <w:iCs/>
          <w:color w:val="000000"/>
          <w:szCs w:val="20"/>
          <w:lang w:eastAsia="bg-BG"/>
        </w:rPr>
      </w:pPr>
    </w:p>
    <w:p w14:paraId="0D27B313" w14:textId="32F701A3" w:rsidR="0000048F" w:rsidRPr="0000048F" w:rsidRDefault="0000048F" w:rsidP="0000048F">
      <w:pPr>
        <w:spacing w:line="240" w:lineRule="auto"/>
        <w:rPr>
          <w:rFonts w:eastAsia="Times New Roman" w:cs="Arial"/>
          <w:sz w:val="28"/>
          <w:szCs w:val="24"/>
        </w:rPr>
      </w:pPr>
      <w:r w:rsidRPr="0000048F">
        <w:rPr>
          <w:rFonts w:eastAsia="Times New Roman" w:cs="Arial"/>
          <w:i/>
          <w:iCs/>
          <w:color w:val="000000"/>
          <w:szCs w:val="20"/>
          <w:lang w:eastAsia="bg-BG"/>
        </w:rPr>
        <w:t>Педиатрична популация</w:t>
      </w:r>
    </w:p>
    <w:p w14:paraId="470D8F2F"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Монтелукаст 5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таблетки за дъвчене не се препоръчва за употреба </w:t>
      </w:r>
      <w:r w:rsidRPr="0000048F">
        <w:rPr>
          <w:rFonts w:eastAsia="Times New Roman" w:cs="Arial"/>
          <w:i/>
          <w:iCs/>
          <w:color w:val="000000"/>
          <w:szCs w:val="20"/>
          <w:lang w:eastAsia="bg-BG"/>
        </w:rPr>
        <w:t>при</w:t>
      </w:r>
      <w:r w:rsidRPr="0000048F">
        <w:rPr>
          <w:rFonts w:eastAsia="Times New Roman" w:cs="Arial"/>
          <w:color w:val="000000"/>
          <w:szCs w:val="20"/>
          <w:lang w:eastAsia="bg-BG"/>
        </w:rPr>
        <w:t xml:space="preserve"> деца на възраст под 6- години. Безопасността и ефикасността на монтелукаст 5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таблетки за дъвчене при деца под 6 години не са установени (вж. точка 5.1).</w:t>
      </w:r>
    </w:p>
    <w:p w14:paraId="24068FC7" w14:textId="77777777" w:rsidR="0000048F" w:rsidRPr="0000048F" w:rsidRDefault="0000048F" w:rsidP="0000048F">
      <w:pPr>
        <w:spacing w:line="240" w:lineRule="auto"/>
        <w:rPr>
          <w:rFonts w:eastAsia="Times New Roman" w:cs="Arial"/>
          <w:color w:val="000000"/>
          <w:szCs w:val="20"/>
          <w:lang w:eastAsia="bg-BG"/>
        </w:rPr>
      </w:pPr>
    </w:p>
    <w:p w14:paraId="6E3AC926" w14:textId="1EE721C0"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10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филмирани таблетки се прилагат на юноши на и над 15-годишна възраст и възрастни. 4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таблетки за дъвчене са предназначени за педиатрични пациенти между 2 и 5-годишна възраст.</w:t>
      </w:r>
    </w:p>
    <w:p w14:paraId="6043B728"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За педиатрични пациенти, които имат проблем с приемането на таблетки за дъвчене е налична форма от 4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гранули.</w:t>
      </w:r>
    </w:p>
    <w:p w14:paraId="1F413F22" w14:textId="77777777" w:rsidR="0000048F" w:rsidRPr="0000048F" w:rsidRDefault="0000048F" w:rsidP="0000048F">
      <w:pPr>
        <w:spacing w:line="240" w:lineRule="auto"/>
        <w:rPr>
          <w:rFonts w:eastAsia="Times New Roman" w:cs="Arial"/>
          <w:i/>
          <w:iCs/>
          <w:color w:val="000000"/>
          <w:szCs w:val="20"/>
          <w:lang w:eastAsia="bg-BG"/>
        </w:rPr>
      </w:pPr>
    </w:p>
    <w:p w14:paraId="20D65938" w14:textId="2AC694A5" w:rsidR="0000048F" w:rsidRPr="0000048F" w:rsidRDefault="0000048F" w:rsidP="0000048F">
      <w:pPr>
        <w:spacing w:line="240" w:lineRule="auto"/>
        <w:rPr>
          <w:rFonts w:eastAsia="Times New Roman" w:cs="Arial"/>
          <w:sz w:val="28"/>
          <w:szCs w:val="24"/>
        </w:rPr>
      </w:pPr>
      <w:r w:rsidRPr="0000048F">
        <w:rPr>
          <w:rFonts w:eastAsia="Times New Roman" w:cs="Arial"/>
          <w:i/>
          <w:iCs/>
          <w:color w:val="000000"/>
          <w:szCs w:val="20"/>
          <w:lang w:eastAsia="bg-BG"/>
        </w:rPr>
        <w:t>Специални популации</w:t>
      </w:r>
    </w:p>
    <w:p w14:paraId="5A296B18"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lastRenderedPageBreak/>
        <w:t>При пациенти с бъбречна недостатъчност или леко до средно тежко чернодробно увреждане не се налага адаптация на дозата. За пациенти с тежко чернодробно увреждане няма достатъчно данни. Дозата е еднаква за момчета и момичета.</w:t>
      </w:r>
    </w:p>
    <w:p w14:paraId="4BAB0AE0" w14:textId="77777777" w:rsidR="0000048F" w:rsidRPr="0000048F" w:rsidRDefault="0000048F" w:rsidP="0000048F">
      <w:pPr>
        <w:rPr>
          <w:rFonts w:eastAsia="Times New Roman" w:cs="Arial"/>
          <w:color w:val="000000"/>
          <w:szCs w:val="20"/>
          <w:u w:val="single"/>
          <w:lang w:eastAsia="bg-BG"/>
        </w:rPr>
      </w:pPr>
    </w:p>
    <w:p w14:paraId="0749A895" w14:textId="77777777" w:rsidR="0000048F" w:rsidRPr="0000048F" w:rsidRDefault="0000048F" w:rsidP="0000048F">
      <w:pPr>
        <w:pStyle w:val="Heading3"/>
        <w:rPr>
          <w:rFonts w:eastAsia="Times New Roman"/>
          <w:u w:val="single"/>
          <w:lang w:eastAsia="bg-BG"/>
        </w:rPr>
      </w:pPr>
      <w:r w:rsidRPr="0000048F">
        <w:rPr>
          <w:rFonts w:eastAsia="Times New Roman"/>
          <w:u w:val="single"/>
          <w:lang w:eastAsia="bg-BG"/>
        </w:rPr>
        <w:t xml:space="preserve">Начин на приложение </w:t>
      </w:r>
    </w:p>
    <w:p w14:paraId="33812784" w14:textId="7B5246A8" w:rsidR="0000048F" w:rsidRDefault="0000048F" w:rsidP="0000048F">
      <w:pPr>
        <w:rPr>
          <w:rFonts w:eastAsia="Times New Roman" w:cs="Arial"/>
          <w:color w:val="000000"/>
          <w:szCs w:val="20"/>
          <w:lang w:eastAsia="bg-BG"/>
        </w:rPr>
      </w:pPr>
      <w:r w:rsidRPr="0000048F">
        <w:rPr>
          <w:rFonts w:eastAsia="Times New Roman" w:cs="Arial"/>
          <w:color w:val="000000"/>
          <w:szCs w:val="20"/>
          <w:lang w:eastAsia="bg-BG"/>
        </w:rPr>
        <w:t>Перорално приложение Таблетките трябва да се сдъвчат преди да се преглътнат.</w:t>
      </w:r>
    </w:p>
    <w:p w14:paraId="1E6D9A30" w14:textId="77777777" w:rsidR="0000048F" w:rsidRPr="0000048F" w:rsidRDefault="0000048F" w:rsidP="0000048F">
      <w:pPr>
        <w:rPr>
          <w:rFonts w:cs="Arial"/>
          <w:sz w:val="24"/>
        </w:rPr>
      </w:pPr>
    </w:p>
    <w:p w14:paraId="0F253247" w14:textId="6DC0E05A" w:rsidR="007122AD" w:rsidRDefault="002C50EE" w:rsidP="00936AD0">
      <w:pPr>
        <w:pStyle w:val="Heading2"/>
      </w:pPr>
      <w:r>
        <w:t>4.3. Противопоказания</w:t>
      </w:r>
    </w:p>
    <w:p w14:paraId="1B6BD063" w14:textId="12262AD4" w:rsidR="0000048F" w:rsidRDefault="0000048F" w:rsidP="0000048F"/>
    <w:p w14:paraId="5D45B7B8" w14:textId="20AB73FC" w:rsidR="0000048F" w:rsidRDefault="0000048F" w:rsidP="0000048F">
      <w:pPr>
        <w:rPr>
          <w:lang w:eastAsia="bg-BG"/>
        </w:rPr>
      </w:pPr>
      <w:r w:rsidRPr="0000048F">
        <w:rPr>
          <w:lang w:eastAsia="bg-BG"/>
        </w:rPr>
        <w:t>Свръхчувствителност към активното вещество или към някое от помощните вещества изброени в то</w:t>
      </w:r>
      <w:r>
        <w:rPr>
          <w:lang w:eastAsia="bg-BG"/>
        </w:rPr>
        <w:t>чка 6.1.</w:t>
      </w:r>
    </w:p>
    <w:p w14:paraId="6C8D5A45" w14:textId="77777777" w:rsidR="0000048F" w:rsidRPr="0000048F" w:rsidRDefault="0000048F" w:rsidP="0000048F">
      <w:pPr>
        <w:spacing w:line="240" w:lineRule="auto"/>
        <w:rPr>
          <w:rFonts w:ascii="Times New Roman" w:eastAsia="Times New Roman" w:hAnsi="Times New Roman" w:cs="Times New Roman"/>
          <w:sz w:val="24"/>
          <w:szCs w:val="24"/>
        </w:rPr>
      </w:pPr>
    </w:p>
    <w:p w14:paraId="0E0BDCC7" w14:textId="05CCED19" w:rsidR="007122AD" w:rsidRDefault="002C50EE" w:rsidP="00936AD0">
      <w:pPr>
        <w:pStyle w:val="Heading2"/>
      </w:pPr>
      <w:r>
        <w:t>4.4. Специални предупреждения и предпазни мерки при употреба</w:t>
      </w:r>
    </w:p>
    <w:p w14:paraId="21B09E71" w14:textId="0FBB1E09" w:rsidR="0000048F" w:rsidRDefault="0000048F" w:rsidP="0000048F"/>
    <w:p w14:paraId="42CE52DD"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Пациентите трябва да бъдат съветвани никога да не използват перорално монтелукаст за лечение на остри пристъпи на астма, какго и да поддържат на разположение подходящи животоспасяващи лекарства. При развитие на остър астматичен пристъп трябва да се използва краткодействащ инхалаторен 0-агонист. Пациентите трябва да се обърнат за съвет към лекуващия ги лекар колкото е възможно по-скоро, ако се нуждаят от повече инхалации от краткодействащи р-агонисти, отколкото е обичайно.</w:t>
      </w:r>
    </w:p>
    <w:p w14:paraId="5F751FB7" w14:textId="77777777" w:rsidR="0000048F" w:rsidRPr="0000048F" w:rsidRDefault="0000048F" w:rsidP="0000048F">
      <w:pPr>
        <w:spacing w:line="240" w:lineRule="auto"/>
        <w:rPr>
          <w:rFonts w:eastAsia="Times New Roman" w:cs="Arial"/>
          <w:color w:val="000000"/>
          <w:szCs w:val="20"/>
          <w:lang w:eastAsia="bg-BG"/>
        </w:rPr>
      </w:pPr>
    </w:p>
    <w:p w14:paraId="004DCCFE" w14:textId="24A16A3B"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Монтелукаст не трябва да бъде заместител на инхалаторните или перорални кортикостероиди.</w:t>
      </w:r>
    </w:p>
    <w:p w14:paraId="01248760" w14:textId="77777777" w:rsidR="0000048F" w:rsidRPr="0000048F" w:rsidRDefault="0000048F" w:rsidP="0000048F">
      <w:pPr>
        <w:spacing w:line="240" w:lineRule="auto"/>
        <w:rPr>
          <w:rFonts w:eastAsia="Times New Roman" w:cs="Arial"/>
          <w:color w:val="000000"/>
          <w:szCs w:val="20"/>
          <w:lang w:eastAsia="bg-BG"/>
        </w:rPr>
      </w:pPr>
    </w:p>
    <w:p w14:paraId="43BDE48B" w14:textId="2B4E97DB"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Няма данни, доказващи, че дозата на пероралните кортикостероиди може да бъде намалена, когато едновременно се дава и монтелукаст.</w:t>
      </w:r>
    </w:p>
    <w:p w14:paraId="66F59225"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В редки случаи, пациентите на лечение с антиастматични средства, включително монтелукаст може да се представят със системна еозинофилия, понякога с клинични прояви на васкулит, отговарящ на синдрома на </w:t>
      </w:r>
      <w:proofErr w:type="spellStart"/>
      <w:r w:rsidRPr="0000048F">
        <w:rPr>
          <w:rFonts w:eastAsia="Times New Roman" w:cs="Arial"/>
          <w:color w:val="000000"/>
          <w:szCs w:val="20"/>
          <w:lang w:val="en-US"/>
        </w:rPr>
        <w:t>Churg</w:t>
      </w:r>
      <w:proofErr w:type="spellEnd"/>
      <w:r w:rsidRPr="0000048F">
        <w:rPr>
          <w:rFonts w:eastAsia="Times New Roman" w:cs="Arial"/>
          <w:color w:val="000000"/>
          <w:szCs w:val="20"/>
          <w:lang w:val="ru-RU"/>
        </w:rPr>
        <w:t>-</w:t>
      </w:r>
      <w:r w:rsidRPr="0000048F">
        <w:rPr>
          <w:rFonts w:eastAsia="Times New Roman" w:cs="Arial"/>
          <w:color w:val="000000"/>
          <w:szCs w:val="20"/>
          <w:lang w:val="en-US"/>
        </w:rPr>
        <w:t>Strauss</w:t>
      </w:r>
      <w:r w:rsidRPr="0000048F">
        <w:rPr>
          <w:rFonts w:eastAsia="Times New Roman" w:cs="Arial"/>
          <w:color w:val="000000"/>
          <w:szCs w:val="20"/>
          <w:lang w:val="ru-RU"/>
        </w:rPr>
        <w:t xml:space="preserve">, </w:t>
      </w:r>
      <w:r w:rsidRPr="0000048F">
        <w:rPr>
          <w:rFonts w:eastAsia="Times New Roman" w:cs="Arial"/>
          <w:color w:val="000000"/>
          <w:szCs w:val="20"/>
          <w:lang w:eastAsia="bg-BG"/>
        </w:rPr>
        <w:t>състояние, което често се лекува със системна кортикостероидна терапия. Тези случаи понякога са свързани с намаляването на дозата или прекратяване на пероралната кортикостероидна терапия. Въпреки, че причинната връзка с левкотриеновите рецепторни антагонисти не е установена, лекарите трябва да бъдат бдителни по отношение на появата при техните пациенти на еозинофилия, васкулитен обрив, влошаване на белодробните симптоми, сърдечно-съдови усложнения и/или невропатия. Пациентите, които развият подобни симптоми трябва да се преоценят и да се преразгледа терапевтичния режим.</w:t>
      </w:r>
    </w:p>
    <w:p w14:paraId="1068C18B" w14:textId="77777777" w:rsidR="0000048F" w:rsidRPr="0000048F" w:rsidRDefault="0000048F" w:rsidP="0000048F">
      <w:pPr>
        <w:spacing w:line="240" w:lineRule="auto"/>
        <w:rPr>
          <w:rFonts w:eastAsia="Times New Roman" w:cs="Arial"/>
          <w:color w:val="000000"/>
          <w:szCs w:val="20"/>
          <w:lang w:eastAsia="bg-BG"/>
        </w:rPr>
      </w:pPr>
    </w:p>
    <w:p w14:paraId="75F48202" w14:textId="716A270B"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Лечението с монтелукаст не променя необходимостта пациентите с астма, чувствителна към ацетилсалицилова киселина, да избягват приема на ацетилсалицилова киселина и други нестероидни противовъзпалителни лекарства.</w:t>
      </w:r>
    </w:p>
    <w:p w14:paraId="28DEADDB" w14:textId="77777777" w:rsidR="0000048F" w:rsidRPr="0000048F" w:rsidRDefault="0000048F" w:rsidP="0000048F">
      <w:pPr>
        <w:spacing w:line="240" w:lineRule="auto"/>
        <w:rPr>
          <w:rFonts w:eastAsia="Times New Roman" w:cs="Arial"/>
          <w:color w:val="000000"/>
          <w:szCs w:val="20"/>
          <w:lang w:eastAsia="bg-BG"/>
        </w:rPr>
      </w:pPr>
    </w:p>
    <w:p w14:paraId="402C8E7F" w14:textId="1DD5A9C5"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Съобщават се невро-психични събития при възрастни, юноши и деца, приемащи Ефира 5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(вж. точка 4.8). Пациентите и лекарите трябва да бъдат предупредени за невро-психични събития. Пациентите и/или лицата, полагащи грижи, трябва да бъдат инструктирани да уведомят лекаря си, ако настъпят такива промени. Лекуващите лекари трябва внимателно да преценят съотношението полза/риск от продължителното лечение с монтелукаст, ако възникнат такива събития.</w:t>
      </w:r>
    </w:p>
    <w:p w14:paraId="4C8B0971" w14:textId="77777777" w:rsidR="0000048F" w:rsidRPr="0000048F" w:rsidRDefault="0000048F" w:rsidP="0000048F">
      <w:pPr>
        <w:spacing w:line="240" w:lineRule="auto"/>
        <w:rPr>
          <w:rFonts w:eastAsia="Times New Roman" w:cs="Arial"/>
          <w:color w:val="000000"/>
          <w:szCs w:val="20"/>
          <w:u w:val="single"/>
          <w:lang w:eastAsia="bg-BG"/>
        </w:rPr>
      </w:pPr>
    </w:p>
    <w:p w14:paraId="08637D13" w14:textId="01C06262"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u w:val="single"/>
          <w:lang w:eastAsia="bg-BG"/>
        </w:rPr>
        <w:t>Педиатрична популация</w:t>
      </w:r>
    </w:p>
    <w:p w14:paraId="6BC1FAB2"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lastRenderedPageBreak/>
        <w:t xml:space="preserve">Безопасността и ефикасността на таблетките за дъвчене от 5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не са установени за педиатричната популация под 6-годишна възраст.</w:t>
      </w:r>
    </w:p>
    <w:p w14:paraId="0BBB72BB"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Диагнозата на персистираща астма при много малки деца (6 месеца-2 години) трябва да бъде поставена от педиатър или пулмолог.</w:t>
      </w:r>
    </w:p>
    <w:p w14:paraId="551B5C8A" w14:textId="77777777" w:rsidR="0000048F" w:rsidRPr="0000048F" w:rsidRDefault="0000048F" w:rsidP="0000048F">
      <w:pPr>
        <w:spacing w:line="240" w:lineRule="auto"/>
        <w:rPr>
          <w:rFonts w:eastAsia="Times New Roman" w:cs="Arial"/>
          <w:color w:val="000000"/>
          <w:szCs w:val="20"/>
          <w:u w:val="single"/>
          <w:lang w:eastAsia="bg-BG"/>
        </w:rPr>
      </w:pPr>
    </w:p>
    <w:p w14:paraId="312D3159" w14:textId="0CF6049B"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u w:val="single"/>
          <w:lang w:eastAsia="bg-BG"/>
        </w:rPr>
        <w:t>Помощни вещества:</w:t>
      </w:r>
    </w:p>
    <w:p w14:paraId="1A3BC459" w14:textId="77777777" w:rsidR="0000048F" w:rsidRPr="0000048F" w:rsidRDefault="0000048F" w:rsidP="0000048F">
      <w:pPr>
        <w:spacing w:line="240" w:lineRule="auto"/>
        <w:rPr>
          <w:rFonts w:eastAsia="Times New Roman" w:cs="Arial"/>
          <w:i/>
          <w:iCs/>
          <w:color w:val="000000"/>
          <w:szCs w:val="20"/>
          <w:lang w:eastAsia="bg-BG"/>
        </w:rPr>
      </w:pPr>
    </w:p>
    <w:p w14:paraId="2DCAECC3" w14:textId="15B9F6BF" w:rsidR="0000048F" w:rsidRPr="0000048F" w:rsidRDefault="0000048F" w:rsidP="0000048F">
      <w:pPr>
        <w:spacing w:line="240" w:lineRule="auto"/>
        <w:rPr>
          <w:rFonts w:eastAsia="Times New Roman" w:cs="Arial"/>
          <w:sz w:val="28"/>
          <w:szCs w:val="24"/>
        </w:rPr>
      </w:pPr>
      <w:r w:rsidRPr="0000048F">
        <w:rPr>
          <w:rFonts w:eastAsia="Times New Roman" w:cs="Arial"/>
          <w:i/>
          <w:iCs/>
          <w:color w:val="000000"/>
          <w:szCs w:val="20"/>
          <w:lang w:eastAsia="bg-BG"/>
        </w:rPr>
        <w:t>Аспартам</w:t>
      </w:r>
    </w:p>
    <w:p w14:paraId="5CE9CEFA"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Когато се приема перорално, аспартамът се хидролизира в стомашно-чревния тракт. Един от основните продукти на хидролизата е фенилаланин.</w:t>
      </w:r>
    </w:p>
    <w:p w14:paraId="10B63A5E"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Може да навреди на пациенти, които страдат от фенилкетонурия.</w:t>
      </w:r>
    </w:p>
    <w:p w14:paraId="45AC1EF7" w14:textId="77777777" w:rsidR="0000048F" w:rsidRPr="0000048F" w:rsidRDefault="0000048F" w:rsidP="0000048F">
      <w:pPr>
        <w:spacing w:line="240" w:lineRule="auto"/>
        <w:rPr>
          <w:rFonts w:eastAsia="Times New Roman" w:cs="Arial"/>
          <w:i/>
          <w:iCs/>
          <w:color w:val="000000"/>
          <w:szCs w:val="20"/>
          <w:lang w:eastAsia="bg-BG"/>
        </w:rPr>
      </w:pPr>
    </w:p>
    <w:p w14:paraId="39E9F10E" w14:textId="01E83E56" w:rsidR="0000048F" w:rsidRPr="0000048F" w:rsidRDefault="0000048F" w:rsidP="0000048F">
      <w:pPr>
        <w:spacing w:line="240" w:lineRule="auto"/>
        <w:rPr>
          <w:rFonts w:eastAsia="Times New Roman" w:cs="Arial"/>
          <w:sz w:val="28"/>
          <w:szCs w:val="24"/>
        </w:rPr>
      </w:pPr>
      <w:r w:rsidRPr="0000048F">
        <w:rPr>
          <w:rFonts w:eastAsia="Times New Roman" w:cs="Arial"/>
          <w:i/>
          <w:iCs/>
          <w:color w:val="000000"/>
          <w:szCs w:val="20"/>
          <w:lang w:eastAsia="bg-BG"/>
        </w:rPr>
        <w:t>Натрий</w:t>
      </w:r>
    </w:p>
    <w:p w14:paraId="187BEF9A" w14:textId="772CCCA3" w:rsidR="0000048F" w:rsidRPr="0000048F" w:rsidRDefault="0000048F" w:rsidP="0000048F">
      <w:pPr>
        <w:rPr>
          <w:rFonts w:eastAsia="Times New Roman" w:cs="Arial"/>
          <w:color w:val="000000"/>
          <w:szCs w:val="20"/>
          <w:lang w:eastAsia="bg-BG"/>
        </w:rPr>
      </w:pPr>
      <w:r w:rsidRPr="0000048F">
        <w:rPr>
          <w:rFonts w:eastAsia="Times New Roman" w:cs="Arial"/>
          <w:color w:val="000000"/>
          <w:szCs w:val="20"/>
          <w:lang w:eastAsia="bg-BG"/>
        </w:rPr>
        <w:t xml:space="preserve">Това лекарство съдържа по-малко от 1 </w:t>
      </w:r>
      <w:proofErr w:type="spellStart"/>
      <w:r w:rsidRPr="0000048F">
        <w:rPr>
          <w:rFonts w:eastAsia="Times New Roman" w:cs="Arial"/>
          <w:color w:val="000000"/>
          <w:szCs w:val="20"/>
          <w:lang w:val="en-US"/>
        </w:rPr>
        <w:t>mmol</w:t>
      </w:r>
      <w:proofErr w:type="spellEnd"/>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натрий (23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на таблетка за дъвчене, т.е. може да се каже, че практически не съдържа натрий.</w:t>
      </w:r>
    </w:p>
    <w:p w14:paraId="0CB37112" w14:textId="77777777" w:rsidR="0000048F" w:rsidRPr="0000048F" w:rsidRDefault="0000048F" w:rsidP="0000048F"/>
    <w:p w14:paraId="0734264C" w14:textId="2DA85F15"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2F546133" w14:textId="5321C0AF" w:rsidR="0000048F" w:rsidRDefault="0000048F" w:rsidP="0000048F"/>
    <w:p w14:paraId="6863CC00"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Монтелукаст може да бъде прилаган с други видове лечения, използвани рутинно в</w:t>
      </w:r>
    </w:p>
    <w:p w14:paraId="5795FFE1"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профилактиката и хроничното лечение на астма. В клиничните проучвания за лекарствени</w:t>
      </w:r>
    </w:p>
    <w:p w14:paraId="6A01A3F1" w14:textId="77777777" w:rsidR="0000048F" w:rsidRPr="0000048F" w:rsidRDefault="0000048F" w:rsidP="0000048F">
      <w:pPr>
        <w:rPr>
          <w:rFonts w:eastAsia="Times New Roman" w:cs="Arial"/>
          <w:sz w:val="28"/>
          <w:szCs w:val="24"/>
        </w:rPr>
      </w:pPr>
      <w:r w:rsidRPr="0000048F">
        <w:rPr>
          <w:rFonts w:eastAsia="Times New Roman" w:cs="Arial"/>
          <w:color w:val="000000"/>
          <w:szCs w:val="20"/>
          <w:lang w:eastAsia="bg-BG"/>
        </w:rPr>
        <w:t>взаимодействия препоръчваната клинична доза за монтелукаст няма клинично значими ефекти върху фармакокинетиката на следните лекарства: теофилин, преднизон, преднизолон, перорални контрацептиви (етинил естрадиол/норетиндрон 35/1), терфенадин, дигоксин и варфарин.</w:t>
      </w:r>
    </w:p>
    <w:p w14:paraId="039BF9E2" w14:textId="77777777" w:rsidR="0000048F" w:rsidRPr="0000048F" w:rsidRDefault="0000048F" w:rsidP="0000048F">
      <w:pPr>
        <w:spacing w:line="240" w:lineRule="auto"/>
        <w:rPr>
          <w:rFonts w:eastAsia="Times New Roman" w:cs="Arial"/>
          <w:color w:val="000000"/>
          <w:szCs w:val="20"/>
          <w:lang w:eastAsia="bg-BG"/>
        </w:rPr>
      </w:pPr>
    </w:p>
    <w:p w14:paraId="5BFB3FC6" w14:textId="285297F2"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Площта под кривата на плазмената концентрация </w:t>
      </w:r>
      <w:r w:rsidRPr="0000048F">
        <w:rPr>
          <w:rFonts w:eastAsia="Times New Roman" w:cs="Arial"/>
          <w:color w:val="000000"/>
          <w:szCs w:val="20"/>
          <w:lang w:val="ru-RU"/>
        </w:rPr>
        <w:t>(</w:t>
      </w:r>
      <w:r w:rsidRPr="0000048F">
        <w:rPr>
          <w:rFonts w:eastAsia="Times New Roman" w:cs="Arial"/>
          <w:color w:val="000000"/>
          <w:szCs w:val="20"/>
          <w:lang w:val="en-US"/>
        </w:rPr>
        <w:t>AUC</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за монтелукаст е била намалена приблизително с 40% при лица с едновременно приложение на фенобарбитап. Тъй като монтелукаст се метаболизира от </w:t>
      </w:r>
      <w:r w:rsidRPr="0000048F">
        <w:rPr>
          <w:rFonts w:eastAsia="Times New Roman" w:cs="Arial"/>
          <w:color w:val="000000"/>
          <w:szCs w:val="20"/>
          <w:lang w:val="en-US"/>
        </w:rPr>
        <w:t>CYP</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ЗА4,2С8 и 2С9 когато се прилага едновременно с индуктори на </w:t>
      </w:r>
      <w:r w:rsidRPr="0000048F">
        <w:rPr>
          <w:rFonts w:eastAsia="Times New Roman" w:cs="Arial"/>
          <w:color w:val="000000"/>
          <w:szCs w:val="20"/>
          <w:lang w:val="en-US"/>
        </w:rPr>
        <w:t>CYP</w:t>
      </w:r>
      <w:r w:rsidRPr="0000048F">
        <w:rPr>
          <w:rFonts w:eastAsia="Times New Roman" w:cs="Arial"/>
          <w:color w:val="000000"/>
          <w:szCs w:val="20"/>
          <w:lang w:val="ru-RU"/>
        </w:rPr>
        <w:t xml:space="preserve"> </w:t>
      </w:r>
      <w:r w:rsidRPr="0000048F">
        <w:rPr>
          <w:rFonts w:eastAsia="Times New Roman" w:cs="Arial"/>
          <w:color w:val="000000"/>
          <w:szCs w:val="20"/>
          <w:lang w:eastAsia="bg-BG"/>
        </w:rPr>
        <w:t>ЗА4,2С8 и 2С9 като фенитоин, фенобарбитал и рифампицин и особено при деца, е необходимо повишено внимание.</w:t>
      </w:r>
    </w:p>
    <w:p w14:paraId="25108DC5" w14:textId="77777777" w:rsidR="0000048F" w:rsidRPr="0000048F" w:rsidRDefault="0000048F" w:rsidP="0000048F">
      <w:pPr>
        <w:spacing w:line="240" w:lineRule="auto"/>
        <w:rPr>
          <w:rFonts w:eastAsia="Times New Roman" w:cs="Arial"/>
          <w:i/>
          <w:iCs/>
          <w:color w:val="000000"/>
          <w:szCs w:val="20"/>
          <w:lang w:val="en-US"/>
        </w:rPr>
      </w:pPr>
    </w:p>
    <w:p w14:paraId="50CA65FF" w14:textId="11CDF3D9" w:rsidR="0000048F" w:rsidRPr="0000048F" w:rsidRDefault="0000048F" w:rsidP="0000048F">
      <w:pPr>
        <w:spacing w:line="240" w:lineRule="auto"/>
        <w:rPr>
          <w:rFonts w:eastAsia="Times New Roman" w:cs="Arial"/>
          <w:sz w:val="28"/>
          <w:szCs w:val="24"/>
        </w:rPr>
      </w:pPr>
      <w:r w:rsidRPr="0000048F">
        <w:rPr>
          <w:rFonts w:eastAsia="Times New Roman" w:cs="Arial"/>
          <w:i/>
          <w:iCs/>
          <w:color w:val="000000"/>
          <w:szCs w:val="20"/>
          <w:lang w:val="en-US"/>
        </w:rPr>
        <w:t>In</w:t>
      </w:r>
      <w:r w:rsidRPr="0000048F">
        <w:rPr>
          <w:rFonts w:eastAsia="Times New Roman" w:cs="Arial"/>
          <w:i/>
          <w:iCs/>
          <w:color w:val="000000"/>
          <w:szCs w:val="20"/>
          <w:lang w:val="ru-RU"/>
        </w:rPr>
        <w:t xml:space="preserve"> </w:t>
      </w:r>
      <w:r w:rsidRPr="0000048F">
        <w:rPr>
          <w:rFonts w:eastAsia="Times New Roman" w:cs="Arial"/>
          <w:i/>
          <w:iCs/>
          <w:color w:val="000000"/>
          <w:szCs w:val="20"/>
          <w:lang w:val="en-US"/>
        </w:rPr>
        <w:t>vitro</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проучвания са показали, че монтелукаст е мощен инхибитор на </w:t>
      </w:r>
      <w:r w:rsidRPr="0000048F">
        <w:rPr>
          <w:rFonts w:eastAsia="Times New Roman" w:cs="Arial"/>
          <w:color w:val="000000"/>
          <w:szCs w:val="20"/>
          <w:lang w:val="en-US"/>
        </w:rPr>
        <w:t>CYP</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2С8. Въпреки това, данните от клинични изпитвания за лекарствени взаимодействия, включващи монтелукаст и розиглитазон (проучван субстрат, представителен за лекарства, които се метаболизират основно от </w:t>
      </w:r>
      <w:r w:rsidRPr="0000048F">
        <w:rPr>
          <w:rFonts w:eastAsia="Times New Roman" w:cs="Arial"/>
          <w:color w:val="000000"/>
          <w:szCs w:val="20"/>
          <w:lang w:val="en-US"/>
        </w:rPr>
        <w:t>CYP</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2С8) са показали, че монтелукаст не инхибира </w:t>
      </w:r>
      <w:r w:rsidRPr="0000048F">
        <w:rPr>
          <w:rFonts w:eastAsia="Times New Roman" w:cs="Arial"/>
          <w:color w:val="000000"/>
          <w:szCs w:val="20"/>
          <w:lang w:val="en-US"/>
        </w:rPr>
        <w:t>CYP</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2С8 </w:t>
      </w:r>
      <w:r w:rsidRPr="0000048F">
        <w:rPr>
          <w:rFonts w:eastAsia="Times New Roman" w:cs="Arial"/>
          <w:i/>
          <w:iCs/>
          <w:color w:val="000000"/>
          <w:szCs w:val="20"/>
          <w:lang w:val="en-US"/>
        </w:rPr>
        <w:t>in</w:t>
      </w:r>
      <w:r w:rsidRPr="0000048F">
        <w:rPr>
          <w:rFonts w:eastAsia="Times New Roman" w:cs="Arial"/>
          <w:i/>
          <w:iCs/>
          <w:color w:val="000000"/>
          <w:szCs w:val="20"/>
          <w:lang w:val="ru-RU"/>
        </w:rPr>
        <w:t xml:space="preserve"> </w:t>
      </w:r>
      <w:r w:rsidRPr="0000048F">
        <w:rPr>
          <w:rFonts w:eastAsia="Times New Roman" w:cs="Arial"/>
          <w:i/>
          <w:iCs/>
          <w:color w:val="000000"/>
          <w:szCs w:val="20"/>
          <w:lang w:val="en-US"/>
        </w:rPr>
        <w:t>vivo</w:t>
      </w:r>
      <w:r w:rsidRPr="0000048F">
        <w:rPr>
          <w:rFonts w:eastAsia="Times New Roman" w:cs="Arial"/>
          <w:i/>
          <w:iCs/>
          <w:color w:val="000000"/>
          <w:szCs w:val="20"/>
          <w:lang w:val="ru-RU"/>
        </w:rPr>
        <w:t>.</w:t>
      </w:r>
      <w:r w:rsidRPr="0000048F">
        <w:rPr>
          <w:rFonts w:eastAsia="Times New Roman" w:cs="Arial"/>
          <w:color w:val="000000"/>
          <w:szCs w:val="20"/>
          <w:lang w:val="ru-RU"/>
        </w:rPr>
        <w:t xml:space="preserve"> </w:t>
      </w:r>
      <w:r w:rsidRPr="0000048F">
        <w:rPr>
          <w:rFonts w:eastAsia="Times New Roman" w:cs="Arial"/>
          <w:color w:val="000000"/>
          <w:szCs w:val="20"/>
          <w:lang w:eastAsia="bg-BG"/>
        </w:rPr>
        <w:t>Затова не се очаква монтелукаст да промени подчертано метаболизма на лекарствата, метаболизирани от този ензим (напр. паклйтаксел, розиглитазон и репаглинид).</w:t>
      </w:r>
    </w:p>
    <w:p w14:paraId="47CCA9CD" w14:textId="77777777" w:rsidR="0000048F" w:rsidRPr="0000048F" w:rsidRDefault="0000048F" w:rsidP="0000048F">
      <w:pPr>
        <w:spacing w:line="240" w:lineRule="auto"/>
        <w:rPr>
          <w:rFonts w:eastAsia="Times New Roman" w:cs="Arial"/>
          <w:i/>
          <w:iCs/>
          <w:color w:val="000000"/>
          <w:szCs w:val="20"/>
          <w:lang w:val="en-US"/>
        </w:rPr>
      </w:pPr>
    </w:p>
    <w:p w14:paraId="7FB7C405" w14:textId="071B926A" w:rsidR="0000048F" w:rsidRPr="0000048F" w:rsidRDefault="0000048F" w:rsidP="0000048F">
      <w:pPr>
        <w:spacing w:line="240" w:lineRule="auto"/>
        <w:rPr>
          <w:rFonts w:eastAsia="Times New Roman" w:cs="Arial"/>
          <w:sz w:val="28"/>
          <w:szCs w:val="24"/>
        </w:rPr>
      </w:pPr>
      <w:r w:rsidRPr="0000048F">
        <w:rPr>
          <w:rFonts w:eastAsia="Times New Roman" w:cs="Arial"/>
          <w:i/>
          <w:iCs/>
          <w:color w:val="000000"/>
          <w:szCs w:val="20"/>
          <w:lang w:val="en-US"/>
        </w:rPr>
        <w:t>In</w:t>
      </w:r>
      <w:r w:rsidRPr="0000048F">
        <w:rPr>
          <w:rFonts w:eastAsia="Times New Roman" w:cs="Arial"/>
          <w:i/>
          <w:iCs/>
          <w:color w:val="000000"/>
          <w:szCs w:val="20"/>
          <w:lang w:val="ru-RU"/>
        </w:rPr>
        <w:t xml:space="preserve"> </w:t>
      </w:r>
      <w:r w:rsidRPr="0000048F">
        <w:rPr>
          <w:rFonts w:eastAsia="Times New Roman" w:cs="Arial"/>
          <w:i/>
          <w:iCs/>
          <w:color w:val="000000"/>
          <w:szCs w:val="20"/>
          <w:lang w:val="en-US"/>
        </w:rPr>
        <w:t>vitro</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проучванията показват, че монтелукаст е субстрат на </w:t>
      </w:r>
      <w:r w:rsidRPr="0000048F">
        <w:rPr>
          <w:rFonts w:eastAsia="Times New Roman" w:cs="Arial"/>
          <w:color w:val="000000"/>
          <w:szCs w:val="20"/>
          <w:lang w:val="en-US"/>
        </w:rPr>
        <w:t>CYP</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2С8 и в по-малка значителна степен на 2С9 и ЗА4. В клинично проучване на лекарство-лекарство взаимодействие, включващо монтелукаст и гемфиброзил (инхибитор едновременно на </w:t>
      </w:r>
      <w:r w:rsidRPr="0000048F">
        <w:rPr>
          <w:rFonts w:eastAsia="Times New Roman" w:cs="Arial"/>
          <w:color w:val="000000"/>
          <w:szCs w:val="20"/>
          <w:lang w:val="en-US"/>
        </w:rPr>
        <w:t>CYP</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2С8 и 2С9), гемфиброзил увеличава системната експозиция на монтелукаст 4,4 пъти. Не се изисква обичайно коригиране на дозата на монтелукаст след едновременното приложение на гемфиброзил или други силни </w:t>
      </w:r>
      <w:r w:rsidRPr="0000048F">
        <w:rPr>
          <w:rFonts w:eastAsia="Times New Roman" w:cs="Arial"/>
          <w:color w:val="000000"/>
          <w:szCs w:val="20"/>
          <w:lang w:val="en-US"/>
        </w:rPr>
        <w:t>CYP</w:t>
      </w:r>
      <w:r w:rsidRPr="0000048F">
        <w:rPr>
          <w:rFonts w:eastAsia="Times New Roman" w:cs="Arial"/>
          <w:color w:val="000000"/>
          <w:szCs w:val="20"/>
          <w:lang w:val="ru-RU"/>
        </w:rPr>
        <w:t xml:space="preserve"> </w:t>
      </w:r>
      <w:r w:rsidRPr="0000048F">
        <w:rPr>
          <w:rFonts w:eastAsia="Times New Roman" w:cs="Arial"/>
          <w:color w:val="000000"/>
          <w:szCs w:val="20"/>
          <w:lang w:eastAsia="bg-BG"/>
        </w:rPr>
        <w:t>ЗА4 инхибитори, влияещи за незначителното увеличение на системната експозиция на монтелукаст.</w:t>
      </w:r>
    </w:p>
    <w:p w14:paraId="7EA76568" w14:textId="77777777" w:rsidR="0000048F" w:rsidRPr="0000048F" w:rsidRDefault="0000048F" w:rsidP="0000048F">
      <w:pPr>
        <w:spacing w:line="240" w:lineRule="auto"/>
        <w:rPr>
          <w:rFonts w:eastAsia="Times New Roman" w:cs="Arial"/>
          <w:color w:val="000000"/>
          <w:szCs w:val="20"/>
          <w:lang w:eastAsia="bg-BG"/>
        </w:rPr>
      </w:pPr>
    </w:p>
    <w:p w14:paraId="47E7F298" w14:textId="119AE748"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lastRenderedPageBreak/>
        <w:t xml:space="preserve">Въз основа на </w:t>
      </w:r>
      <w:r w:rsidRPr="0000048F">
        <w:rPr>
          <w:rFonts w:eastAsia="Times New Roman" w:cs="Arial"/>
          <w:i/>
          <w:iCs/>
          <w:color w:val="000000"/>
          <w:szCs w:val="20"/>
          <w:lang w:val="en-US"/>
        </w:rPr>
        <w:t>in</w:t>
      </w:r>
      <w:r w:rsidRPr="0000048F">
        <w:rPr>
          <w:rFonts w:eastAsia="Times New Roman" w:cs="Arial"/>
          <w:i/>
          <w:iCs/>
          <w:color w:val="000000"/>
          <w:szCs w:val="20"/>
          <w:lang w:val="ru-RU"/>
        </w:rPr>
        <w:t xml:space="preserve"> </w:t>
      </w:r>
      <w:r w:rsidRPr="0000048F">
        <w:rPr>
          <w:rFonts w:eastAsia="Times New Roman" w:cs="Arial"/>
          <w:i/>
          <w:iCs/>
          <w:color w:val="000000"/>
          <w:szCs w:val="20"/>
          <w:lang w:val="en-US"/>
        </w:rPr>
        <w:t>vitro</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данни, не се очакват клинично важни лекарствени взаимодействия с по- слаби инхибитори на </w:t>
      </w:r>
      <w:r w:rsidRPr="0000048F">
        <w:rPr>
          <w:rFonts w:eastAsia="Times New Roman" w:cs="Arial"/>
          <w:color w:val="000000"/>
          <w:szCs w:val="20"/>
          <w:lang w:val="en-US"/>
        </w:rPr>
        <w:t>CYP</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2С8 (напр. триметоприм). Едновременното приложение на монтелукаст с итраконазол, силен </w:t>
      </w:r>
      <w:r w:rsidRPr="0000048F">
        <w:rPr>
          <w:rFonts w:eastAsia="Times New Roman" w:cs="Arial"/>
          <w:color w:val="000000"/>
          <w:szCs w:val="20"/>
          <w:lang w:val="en-US"/>
        </w:rPr>
        <w:t>CYP</w:t>
      </w:r>
      <w:r w:rsidRPr="0000048F">
        <w:rPr>
          <w:rFonts w:eastAsia="Times New Roman" w:cs="Arial"/>
          <w:color w:val="000000"/>
          <w:szCs w:val="20"/>
          <w:lang w:val="ru-RU"/>
        </w:rPr>
        <w:t xml:space="preserve"> </w:t>
      </w:r>
      <w:r w:rsidRPr="0000048F">
        <w:rPr>
          <w:rFonts w:eastAsia="Times New Roman" w:cs="Arial"/>
          <w:color w:val="000000"/>
          <w:szCs w:val="20"/>
          <w:lang w:eastAsia="bg-BG"/>
        </w:rPr>
        <w:t>ЗА4 инхибитор влияе за незначителното увеличение на системната експозиция на монтелукаст.</w:t>
      </w:r>
    </w:p>
    <w:p w14:paraId="50E9EDA3" w14:textId="2856BB08" w:rsidR="0000048F" w:rsidRPr="0000048F" w:rsidRDefault="0000048F" w:rsidP="0000048F"/>
    <w:p w14:paraId="5D9F40EA" w14:textId="17B0481A" w:rsidR="007122AD" w:rsidRDefault="002C50EE" w:rsidP="00936AD0">
      <w:pPr>
        <w:pStyle w:val="Heading2"/>
      </w:pPr>
      <w:r>
        <w:t>4.6. Фертилитет, бременност и кърмене</w:t>
      </w:r>
    </w:p>
    <w:p w14:paraId="60CAC0FF" w14:textId="5D5ACF47" w:rsidR="0000048F" w:rsidRDefault="0000048F" w:rsidP="0000048F"/>
    <w:p w14:paraId="759EAB0B" w14:textId="77777777" w:rsidR="0000048F" w:rsidRPr="0000048F" w:rsidRDefault="0000048F" w:rsidP="0000048F">
      <w:pPr>
        <w:pStyle w:val="Heading3"/>
        <w:rPr>
          <w:rFonts w:eastAsia="Times New Roman"/>
          <w:sz w:val="28"/>
          <w:u w:val="single"/>
        </w:rPr>
      </w:pPr>
      <w:r w:rsidRPr="0000048F">
        <w:rPr>
          <w:rFonts w:eastAsia="Times New Roman"/>
          <w:u w:val="single"/>
          <w:lang w:eastAsia="bg-BG"/>
        </w:rPr>
        <w:t>Бременност</w:t>
      </w:r>
    </w:p>
    <w:p w14:paraId="2D95B1AC" w14:textId="77777777" w:rsidR="0000048F" w:rsidRPr="0000048F" w:rsidRDefault="0000048F" w:rsidP="0000048F">
      <w:pPr>
        <w:spacing w:line="240" w:lineRule="auto"/>
        <w:rPr>
          <w:rFonts w:eastAsia="Times New Roman" w:cs="Arial"/>
          <w:color w:val="000000"/>
          <w:szCs w:val="20"/>
          <w:lang w:eastAsia="bg-BG"/>
        </w:rPr>
      </w:pPr>
      <w:r w:rsidRPr="0000048F">
        <w:rPr>
          <w:rFonts w:eastAsia="Times New Roman" w:cs="Arial"/>
          <w:color w:val="000000"/>
          <w:szCs w:val="20"/>
          <w:lang w:eastAsia="bg-BG"/>
        </w:rPr>
        <w:t xml:space="preserve">Проучванията при животни не са показали вредни ефекти по отношение на бременността или </w:t>
      </w:r>
    </w:p>
    <w:p w14:paraId="6314B191" w14:textId="21C21469"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ембрионалното/фетусното развитие.</w:t>
      </w:r>
    </w:p>
    <w:p w14:paraId="1175368F" w14:textId="77777777" w:rsidR="0000048F" w:rsidRPr="0000048F" w:rsidRDefault="0000048F" w:rsidP="0000048F">
      <w:pPr>
        <w:spacing w:line="240" w:lineRule="auto"/>
        <w:rPr>
          <w:rFonts w:eastAsia="Times New Roman" w:cs="Arial"/>
          <w:color w:val="000000"/>
          <w:szCs w:val="20"/>
          <w:lang w:eastAsia="bg-BG"/>
        </w:rPr>
      </w:pPr>
    </w:p>
    <w:p w14:paraId="2BECE929" w14:textId="62CDEFCB"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Наличните данни от публикувани проспективни и ретроспективни кохортни проучвания с употреба на монтелукаст при бременни жени, оценяващи големи вродени дефекти, не са установили риск, свързан с лекарството. Наличните проучвания имат методологични ограничения, включително малък размер на извадката, в някои случаи ретроспективно събиране на данни и непоследователни групи за сравнение.</w:t>
      </w:r>
    </w:p>
    <w:p w14:paraId="11DB0CEA" w14:textId="77777777" w:rsidR="0000048F" w:rsidRPr="0000048F" w:rsidRDefault="0000048F" w:rsidP="0000048F">
      <w:pPr>
        <w:spacing w:line="240" w:lineRule="auto"/>
        <w:rPr>
          <w:rFonts w:eastAsia="Times New Roman" w:cs="Arial"/>
          <w:color w:val="000000"/>
          <w:szCs w:val="20"/>
          <w:lang w:eastAsia="bg-BG"/>
        </w:rPr>
      </w:pPr>
    </w:p>
    <w:p w14:paraId="3AB9896F" w14:textId="58BAD06F"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Монтелукаст може да бъде използван по време на бременност само в случай на категорична необходимост.</w:t>
      </w:r>
    </w:p>
    <w:p w14:paraId="46E23EC2" w14:textId="77777777" w:rsidR="0000048F" w:rsidRPr="0000048F" w:rsidRDefault="0000048F" w:rsidP="0000048F">
      <w:pPr>
        <w:spacing w:line="240" w:lineRule="auto"/>
        <w:rPr>
          <w:rFonts w:eastAsia="Times New Roman" w:cs="Arial"/>
          <w:color w:val="000000"/>
          <w:szCs w:val="20"/>
          <w:u w:val="single"/>
          <w:lang w:eastAsia="bg-BG"/>
        </w:rPr>
      </w:pPr>
    </w:p>
    <w:p w14:paraId="7ADA425C" w14:textId="1B8B37A4" w:rsidR="0000048F" w:rsidRPr="0000048F" w:rsidRDefault="0000048F" w:rsidP="0000048F">
      <w:pPr>
        <w:pStyle w:val="Heading3"/>
        <w:rPr>
          <w:rFonts w:eastAsia="Times New Roman"/>
          <w:sz w:val="28"/>
          <w:u w:val="single"/>
        </w:rPr>
      </w:pPr>
      <w:r w:rsidRPr="0000048F">
        <w:rPr>
          <w:rFonts w:eastAsia="Times New Roman"/>
          <w:u w:val="single"/>
          <w:lang w:eastAsia="bg-BG"/>
        </w:rPr>
        <w:t>Кърмене</w:t>
      </w:r>
    </w:p>
    <w:p w14:paraId="2230B7DD"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Проучванията при плъхове са показали, че монтелукаст се екскретира в млякото (вж. точка 5.3). Не е известно дали монтелукаст/неговите метаболити се екскретират в човешкото мляко.</w:t>
      </w:r>
    </w:p>
    <w:p w14:paraId="22968CAE" w14:textId="77777777" w:rsidR="0000048F" w:rsidRPr="0000048F" w:rsidRDefault="0000048F" w:rsidP="0000048F">
      <w:pPr>
        <w:spacing w:line="240" w:lineRule="auto"/>
        <w:rPr>
          <w:rFonts w:eastAsia="Times New Roman" w:cs="Arial"/>
          <w:color w:val="000000"/>
          <w:szCs w:val="20"/>
          <w:lang w:eastAsia="bg-BG"/>
        </w:rPr>
      </w:pPr>
    </w:p>
    <w:p w14:paraId="420A5740" w14:textId="708E6A72"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Монтелукаст може да бъде използван от кърмещи майки само ако се счита, че е изкл</w:t>
      </w:r>
      <w:r w:rsidRPr="0000048F">
        <w:rPr>
          <w:rFonts w:eastAsia="Times New Roman" w:cs="Arial"/>
          <w:color w:val="000000"/>
          <w:szCs w:val="20"/>
          <w:u w:val="single"/>
          <w:lang w:eastAsia="bg-BG"/>
        </w:rPr>
        <w:t>ючителн</w:t>
      </w:r>
      <w:r w:rsidRPr="0000048F">
        <w:rPr>
          <w:rFonts w:eastAsia="Times New Roman" w:cs="Arial"/>
          <w:color w:val="000000"/>
          <w:szCs w:val="20"/>
          <w:lang w:eastAsia="bg-BG"/>
        </w:rPr>
        <w:t>о необходим.</w:t>
      </w:r>
    </w:p>
    <w:p w14:paraId="7FCEAC0F" w14:textId="77777777" w:rsidR="0000048F" w:rsidRPr="0000048F" w:rsidRDefault="0000048F" w:rsidP="0000048F"/>
    <w:p w14:paraId="5DD7A76D" w14:textId="61D3E92D" w:rsidR="007122AD" w:rsidRDefault="002C50EE" w:rsidP="00936AD0">
      <w:pPr>
        <w:pStyle w:val="Heading2"/>
      </w:pPr>
      <w:r>
        <w:t>4.7. Ефекти върху способността за шофиране и работа с машини</w:t>
      </w:r>
    </w:p>
    <w:p w14:paraId="19A54CED" w14:textId="7584D0F3" w:rsidR="0000048F" w:rsidRDefault="0000048F" w:rsidP="0000048F"/>
    <w:p w14:paraId="0350E49B" w14:textId="3573BE6F" w:rsidR="0000048F" w:rsidRDefault="0000048F" w:rsidP="0000048F">
      <w:r>
        <w:t>Монтелукаст не повлиява или повлиява пренебрежимо способността за шофиране и работа с машини. Въпреки това пациентите съобщават за поява на сънливост или замаяност.</w:t>
      </w:r>
    </w:p>
    <w:p w14:paraId="345D847D" w14:textId="77777777" w:rsidR="0000048F" w:rsidRPr="0000048F" w:rsidRDefault="0000048F" w:rsidP="0000048F"/>
    <w:p w14:paraId="44CE30A3" w14:textId="5DC9087E" w:rsidR="007122AD" w:rsidRDefault="002C50EE" w:rsidP="00936AD0">
      <w:pPr>
        <w:pStyle w:val="Heading2"/>
      </w:pPr>
      <w:r>
        <w:t>4.8. Нежелани лекарствени реакции</w:t>
      </w:r>
    </w:p>
    <w:p w14:paraId="0457C02A" w14:textId="02B072ED" w:rsidR="0000048F" w:rsidRDefault="0000048F" w:rsidP="0000048F"/>
    <w:p w14:paraId="76535921"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Монтелукаст е оценен в </w:t>
      </w:r>
      <w:r w:rsidRPr="0000048F">
        <w:rPr>
          <w:rFonts w:eastAsia="Times New Roman" w:cs="Arial"/>
          <w:b/>
          <w:bCs/>
          <w:color w:val="000000"/>
          <w:szCs w:val="20"/>
          <w:lang w:eastAsia="bg-BG"/>
        </w:rPr>
        <w:t xml:space="preserve">клинични проучвания </w:t>
      </w:r>
      <w:r w:rsidRPr="0000048F">
        <w:rPr>
          <w:rFonts w:eastAsia="Times New Roman" w:cs="Arial"/>
          <w:color w:val="000000"/>
          <w:szCs w:val="20"/>
          <w:lang w:eastAsia="bg-BG"/>
        </w:rPr>
        <w:t>при пациенти с персистираща астма какго следва:</w:t>
      </w:r>
    </w:p>
    <w:p w14:paraId="7EBF1C98" w14:textId="77777777" w:rsidR="0000048F" w:rsidRPr="0000048F" w:rsidRDefault="0000048F" w:rsidP="0000048F">
      <w:pPr>
        <w:pStyle w:val="ListParagraph"/>
        <w:numPr>
          <w:ilvl w:val="0"/>
          <w:numId w:val="37"/>
        </w:numPr>
        <w:spacing w:line="240" w:lineRule="auto"/>
        <w:rPr>
          <w:rFonts w:eastAsia="Times New Roman" w:cs="Arial"/>
          <w:sz w:val="28"/>
          <w:szCs w:val="24"/>
        </w:rPr>
      </w:pPr>
      <w:r w:rsidRPr="0000048F">
        <w:rPr>
          <w:rFonts w:eastAsia="Times New Roman" w:cs="Arial"/>
          <w:color w:val="000000"/>
          <w:szCs w:val="20"/>
          <w:lang w:eastAsia="bg-BG"/>
        </w:rPr>
        <w:t xml:space="preserve">10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филмирани таблетки при приблизително 4 000 възрастни пациенти и юноши на възраст на 15 и повече години,</w:t>
      </w:r>
    </w:p>
    <w:p w14:paraId="479CF5DE" w14:textId="77777777" w:rsidR="0000048F" w:rsidRPr="0000048F" w:rsidRDefault="0000048F" w:rsidP="0000048F">
      <w:pPr>
        <w:pStyle w:val="ListParagraph"/>
        <w:numPr>
          <w:ilvl w:val="0"/>
          <w:numId w:val="37"/>
        </w:numPr>
        <w:spacing w:line="240" w:lineRule="auto"/>
        <w:rPr>
          <w:rFonts w:eastAsia="Times New Roman" w:cs="Arial"/>
          <w:sz w:val="28"/>
          <w:szCs w:val="24"/>
        </w:rPr>
      </w:pPr>
      <w:r w:rsidRPr="0000048F">
        <w:rPr>
          <w:rFonts w:eastAsia="Times New Roman" w:cs="Arial"/>
          <w:color w:val="000000"/>
          <w:szCs w:val="20"/>
          <w:lang w:eastAsia="bg-BG"/>
        </w:rPr>
        <w:t xml:space="preserve">5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таблетки за дъвчене при приблизително 1 750 педиатрични пациенти на възраст между 6 и 14 години,</w:t>
      </w:r>
    </w:p>
    <w:p w14:paraId="6A5FBEC7" w14:textId="77777777" w:rsidR="0000048F" w:rsidRPr="0000048F" w:rsidRDefault="0000048F" w:rsidP="0000048F">
      <w:pPr>
        <w:pStyle w:val="ListParagraph"/>
        <w:numPr>
          <w:ilvl w:val="0"/>
          <w:numId w:val="37"/>
        </w:numPr>
        <w:spacing w:line="240" w:lineRule="auto"/>
        <w:rPr>
          <w:rFonts w:eastAsia="Times New Roman" w:cs="Arial"/>
          <w:sz w:val="28"/>
          <w:szCs w:val="24"/>
        </w:rPr>
      </w:pPr>
      <w:r w:rsidRPr="0000048F">
        <w:rPr>
          <w:rFonts w:eastAsia="Times New Roman" w:cs="Arial"/>
          <w:color w:val="000000"/>
          <w:szCs w:val="20"/>
          <w:lang w:eastAsia="bg-BG"/>
        </w:rPr>
        <w:t xml:space="preserve">4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таблетки за дъвчене при 851 педиатрични пациенти на възраст от 2 до 5 години и</w:t>
      </w:r>
    </w:p>
    <w:p w14:paraId="367F3152" w14:textId="2D8F37E3" w:rsidR="0000048F" w:rsidRPr="0000048F" w:rsidRDefault="0000048F" w:rsidP="0000048F">
      <w:pPr>
        <w:pStyle w:val="ListParagraph"/>
        <w:numPr>
          <w:ilvl w:val="0"/>
          <w:numId w:val="37"/>
        </w:numPr>
        <w:spacing w:line="240" w:lineRule="auto"/>
        <w:rPr>
          <w:rFonts w:eastAsia="Times New Roman" w:cs="Arial"/>
          <w:sz w:val="28"/>
          <w:szCs w:val="24"/>
        </w:rPr>
      </w:pPr>
      <w:r w:rsidRPr="0000048F">
        <w:rPr>
          <w:rFonts w:eastAsia="Times New Roman" w:cs="Arial"/>
          <w:color w:val="000000"/>
          <w:szCs w:val="20"/>
          <w:lang w:eastAsia="bg-BG"/>
        </w:rPr>
        <w:t xml:space="preserve">4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гранули при 175 педиатрични пациенти на възраст от 6 месеца до 2 години.</w:t>
      </w:r>
    </w:p>
    <w:p w14:paraId="485853D2" w14:textId="77777777" w:rsidR="0000048F" w:rsidRPr="0000048F" w:rsidRDefault="0000048F" w:rsidP="0000048F">
      <w:pPr>
        <w:spacing w:line="240" w:lineRule="auto"/>
        <w:rPr>
          <w:rFonts w:eastAsia="Times New Roman" w:cs="Arial"/>
          <w:color w:val="000000"/>
          <w:szCs w:val="20"/>
          <w:lang w:eastAsia="bg-BG"/>
        </w:rPr>
      </w:pPr>
    </w:p>
    <w:p w14:paraId="4893D7FA" w14:textId="7626C4C9"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lastRenderedPageBreak/>
        <w:t>Монтелукаст е оценен в клинично проучване при пациенти с интермитентна астма какго следва:</w:t>
      </w:r>
    </w:p>
    <w:p w14:paraId="7F5C289F" w14:textId="77777777" w:rsidR="0000048F" w:rsidRPr="0000048F" w:rsidRDefault="0000048F" w:rsidP="0000048F">
      <w:pPr>
        <w:spacing w:line="240" w:lineRule="auto"/>
        <w:rPr>
          <w:rFonts w:eastAsia="Times New Roman" w:cs="Arial"/>
          <w:color w:val="000000"/>
          <w:szCs w:val="20"/>
          <w:lang w:eastAsia="bg-BG"/>
        </w:rPr>
      </w:pPr>
    </w:p>
    <w:p w14:paraId="6AD16CB5" w14:textId="7F94826A"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Монтелукаст е оценен в </w:t>
      </w:r>
      <w:r w:rsidRPr="0000048F">
        <w:rPr>
          <w:rFonts w:eastAsia="Times New Roman" w:cs="Arial"/>
          <w:b/>
          <w:bCs/>
          <w:color w:val="000000"/>
          <w:szCs w:val="20"/>
          <w:lang w:eastAsia="bg-BG"/>
        </w:rPr>
        <w:t xml:space="preserve">клинично проучване </w:t>
      </w:r>
      <w:r w:rsidRPr="0000048F">
        <w:rPr>
          <w:rFonts w:eastAsia="Times New Roman" w:cs="Arial"/>
          <w:color w:val="000000"/>
          <w:szCs w:val="20"/>
          <w:lang w:eastAsia="bg-BG"/>
        </w:rPr>
        <w:t>при пациенти с интермитентна астма какго следва:</w:t>
      </w:r>
    </w:p>
    <w:p w14:paraId="75B7C942" w14:textId="77777777" w:rsidR="0000048F" w:rsidRPr="0000048F" w:rsidRDefault="0000048F" w:rsidP="0000048F">
      <w:pPr>
        <w:pStyle w:val="ListParagraph"/>
        <w:numPr>
          <w:ilvl w:val="0"/>
          <w:numId w:val="38"/>
        </w:numPr>
        <w:spacing w:line="240" w:lineRule="auto"/>
        <w:rPr>
          <w:rFonts w:eastAsia="Times New Roman" w:cs="Arial"/>
          <w:sz w:val="28"/>
          <w:szCs w:val="24"/>
        </w:rPr>
      </w:pPr>
      <w:r w:rsidRPr="0000048F">
        <w:rPr>
          <w:rFonts w:eastAsia="Times New Roman" w:cs="Arial"/>
          <w:color w:val="000000"/>
          <w:szCs w:val="20"/>
          <w:lang w:eastAsia="bg-BG"/>
        </w:rPr>
        <w:t xml:space="preserve">4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гранули и таблетки за дъвчене при 1038 педиатрични пациенти </w:t>
      </w:r>
      <w:r w:rsidRPr="0000048F">
        <w:rPr>
          <w:rFonts w:eastAsia="Times New Roman" w:cs="Arial"/>
          <w:i/>
          <w:iCs/>
          <w:color w:val="000000"/>
          <w:szCs w:val="20"/>
          <w:lang w:eastAsia="bg-BG"/>
        </w:rPr>
        <w:t>на възраст</w:t>
      </w:r>
      <w:r w:rsidRPr="0000048F">
        <w:rPr>
          <w:rFonts w:eastAsia="Times New Roman" w:cs="Arial"/>
          <w:color w:val="000000"/>
          <w:szCs w:val="20"/>
          <w:lang w:eastAsia="bg-BG"/>
        </w:rPr>
        <w:t xml:space="preserve"> от 6 месеца до 5 години.</w:t>
      </w:r>
    </w:p>
    <w:p w14:paraId="5C327CBD" w14:textId="77777777" w:rsidR="0000048F" w:rsidRPr="0000048F" w:rsidRDefault="0000048F" w:rsidP="0000048F">
      <w:pPr>
        <w:spacing w:line="240" w:lineRule="auto"/>
        <w:rPr>
          <w:rFonts w:eastAsia="Times New Roman" w:cs="Arial"/>
          <w:color w:val="000000"/>
          <w:szCs w:val="20"/>
          <w:lang w:eastAsia="bg-BG"/>
        </w:rPr>
      </w:pPr>
    </w:p>
    <w:p w14:paraId="46359476" w14:textId="17E85679" w:rsidR="0000048F" w:rsidRPr="0000048F" w:rsidRDefault="0000048F" w:rsidP="0000048F">
      <w:pPr>
        <w:spacing w:line="240" w:lineRule="auto"/>
        <w:rPr>
          <w:rFonts w:eastAsia="Times New Roman" w:cs="Arial"/>
          <w:color w:val="000000"/>
          <w:szCs w:val="20"/>
          <w:lang w:eastAsia="bg-BG"/>
        </w:rPr>
      </w:pPr>
      <w:r w:rsidRPr="0000048F">
        <w:rPr>
          <w:rFonts w:eastAsia="Times New Roman" w:cs="Arial"/>
          <w:color w:val="000000"/>
          <w:szCs w:val="20"/>
          <w:lang w:eastAsia="bg-BG"/>
        </w:rPr>
        <w:t>В клинични проучвания при пациенти на лечение с монтелукаст, в по-висока честота от пациентите на плацебо често (≥1/100 до &lt;1/10) са съобщавани следните нежелани реакции:</w:t>
      </w:r>
    </w:p>
    <w:tbl>
      <w:tblPr>
        <w:tblStyle w:val="TableGrid"/>
        <w:tblW w:w="0" w:type="auto"/>
        <w:tblLook w:val="04A0" w:firstRow="1" w:lastRow="0" w:firstColumn="1" w:lastColumn="0" w:noHBand="0" w:noVBand="1"/>
      </w:tblPr>
      <w:tblGrid>
        <w:gridCol w:w="1927"/>
        <w:gridCol w:w="1843"/>
        <w:gridCol w:w="1860"/>
        <w:gridCol w:w="1860"/>
        <w:gridCol w:w="1860"/>
      </w:tblGrid>
      <w:tr w:rsidR="0000048F" w14:paraId="1FEB9248" w14:textId="77777777" w:rsidTr="0000048F">
        <w:tc>
          <w:tcPr>
            <w:tcW w:w="1915" w:type="dxa"/>
          </w:tcPr>
          <w:p w14:paraId="17BB38F9" w14:textId="3F663DD4" w:rsidR="0000048F" w:rsidRPr="0000048F" w:rsidRDefault="0000048F" w:rsidP="0000048F">
            <w:pPr>
              <w:spacing w:line="240" w:lineRule="auto"/>
              <w:rPr>
                <w:rFonts w:ascii="Times New Roman" w:eastAsia="Times New Roman" w:hAnsi="Times New Roman" w:cs="Times New Roman"/>
                <w:szCs w:val="24"/>
              </w:rPr>
            </w:pPr>
            <w:r w:rsidRPr="0000048F">
              <w:rPr>
                <w:b/>
                <w:bCs/>
                <w:szCs w:val="20"/>
              </w:rPr>
              <w:t>Системо-органна класификация</w:t>
            </w:r>
          </w:p>
        </w:tc>
        <w:tc>
          <w:tcPr>
            <w:tcW w:w="1915" w:type="dxa"/>
          </w:tcPr>
          <w:p w14:paraId="0485611B" w14:textId="505EBAE4" w:rsidR="0000048F" w:rsidRPr="0000048F" w:rsidRDefault="0000048F" w:rsidP="0000048F">
            <w:pPr>
              <w:spacing w:line="240" w:lineRule="auto"/>
              <w:rPr>
                <w:rFonts w:ascii="Times New Roman" w:eastAsia="Times New Roman" w:hAnsi="Times New Roman" w:cs="Times New Roman"/>
                <w:szCs w:val="24"/>
              </w:rPr>
            </w:pPr>
            <w:r w:rsidRPr="0000048F">
              <w:rPr>
                <w:b/>
                <w:bCs/>
                <w:szCs w:val="20"/>
              </w:rPr>
              <w:t xml:space="preserve">Възрастни пациенти и юноши 15 години и по-възрастни (две 12- седмнчни проучвания; </w:t>
            </w:r>
            <w:r w:rsidRPr="0000048F">
              <w:rPr>
                <w:b/>
                <w:bCs/>
                <w:szCs w:val="20"/>
                <w:lang w:val="en-US"/>
              </w:rPr>
              <w:t>n</w:t>
            </w:r>
            <w:r w:rsidRPr="0000048F">
              <w:rPr>
                <w:b/>
                <w:bCs/>
                <w:szCs w:val="20"/>
              </w:rPr>
              <w:t>=795)</w:t>
            </w:r>
          </w:p>
        </w:tc>
        <w:tc>
          <w:tcPr>
            <w:tcW w:w="1915" w:type="dxa"/>
          </w:tcPr>
          <w:p w14:paraId="0BEB0893" w14:textId="5D34A49A" w:rsidR="0000048F" w:rsidRPr="0000048F" w:rsidRDefault="0000048F" w:rsidP="0000048F">
            <w:pPr>
              <w:spacing w:line="240" w:lineRule="auto"/>
              <w:rPr>
                <w:rFonts w:ascii="Times New Roman" w:eastAsia="Times New Roman" w:hAnsi="Times New Roman" w:cs="Times New Roman"/>
                <w:szCs w:val="24"/>
              </w:rPr>
            </w:pPr>
            <w:r w:rsidRPr="0000048F">
              <w:rPr>
                <w:b/>
                <w:bCs/>
                <w:szCs w:val="20"/>
              </w:rPr>
              <w:t xml:space="preserve">Педиатрични пациенти 6 до 14 години (едно 8- седмнчно проучване; </w:t>
            </w:r>
            <w:r w:rsidRPr="0000048F">
              <w:rPr>
                <w:b/>
                <w:bCs/>
                <w:szCs w:val="20"/>
                <w:lang w:val="en-US"/>
              </w:rPr>
              <w:t>n</w:t>
            </w:r>
            <w:r w:rsidRPr="0000048F">
              <w:rPr>
                <w:b/>
                <w:bCs/>
                <w:szCs w:val="20"/>
              </w:rPr>
              <w:t xml:space="preserve">=201) (две 56- седмични проучвания; </w:t>
            </w:r>
            <w:r w:rsidRPr="0000048F">
              <w:rPr>
                <w:b/>
                <w:bCs/>
                <w:szCs w:val="20"/>
                <w:lang w:val="en-US"/>
              </w:rPr>
              <w:t>n</w:t>
            </w:r>
            <w:r w:rsidRPr="0000048F">
              <w:rPr>
                <w:b/>
                <w:bCs/>
                <w:szCs w:val="20"/>
              </w:rPr>
              <w:t>=615)</w:t>
            </w:r>
          </w:p>
        </w:tc>
        <w:tc>
          <w:tcPr>
            <w:tcW w:w="1915" w:type="dxa"/>
          </w:tcPr>
          <w:p w14:paraId="52B4B8FB" w14:textId="479B97BD" w:rsidR="0000048F" w:rsidRPr="0000048F" w:rsidRDefault="0000048F" w:rsidP="0000048F">
            <w:pPr>
              <w:spacing w:line="240" w:lineRule="auto"/>
              <w:rPr>
                <w:rFonts w:ascii="Times New Roman" w:eastAsia="Times New Roman" w:hAnsi="Times New Roman" w:cs="Times New Roman"/>
                <w:szCs w:val="24"/>
              </w:rPr>
            </w:pPr>
            <w:r w:rsidRPr="0000048F">
              <w:rPr>
                <w:b/>
                <w:bCs/>
                <w:szCs w:val="20"/>
              </w:rPr>
              <w:t xml:space="preserve">Педиатрични пациенти на възраст от 2 до 5 години (едно 12- седмично проучване; </w:t>
            </w:r>
            <w:r w:rsidRPr="0000048F">
              <w:rPr>
                <w:b/>
                <w:bCs/>
                <w:szCs w:val="20"/>
                <w:lang w:val="en-US"/>
              </w:rPr>
              <w:t>n</w:t>
            </w:r>
            <w:r w:rsidRPr="0000048F">
              <w:rPr>
                <w:b/>
                <w:bCs/>
                <w:szCs w:val="20"/>
              </w:rPr>
              <w:t xml:space="preserve">=461) (едно 48- седмично проучване; </w:t>
            </w:r>
            <w:r w:rsidRPr="0000048F">
              <w:rPr>
                <w:b/>
                <w:bCs/>
                <w:szCs w:val="20"/>
                <w:lang w:val="en-US"/>
              </w:rPr>
              <w:t>n</w:t>
            </w:r>
            <w:r w:rsidRPr="0000048F">
              <w:rPr>
                <w:b/>
                <w:bCs/>
                <w:szCs w:val="20"/>
              </w:rPr>
              <w:t>=278)</w:t>
            </w:r>
          </w:p>
        </w:tc>
        <w:tc>
          <w:tcPr>
            <w:tcW w:w="1916" w:type="dxa"/>
          </w:tcPr>
          <w:p w14:paraId="7A295D41" w14:textId="371907CD" w:rsidR="0000048F" w:rsidRPr="0000048F" w:rsidRDefault="0000048F" w:rsidP="0000048F">
            <w:pPr>
              <w:spacing w:line="240" w:lineRule="auto"/>
              <w:rPr>
                <w:rFonts w:ascii="Times New Roman" w:eastAsia="Times New Roman" w:hAnsi="Times New Roman" w:cs="Times New Roman"/>
                <w:szCs w:val="24"/>
              </w:rPr>
            </w:pPr>
            <w:r w:rsidRPr="0000048F">
              <w:rPr>
                <w:b/>
                <w:bCs/>
                <w:szCs w:val="20"/>
              </w:rPr>
              <w:t xml:space="preserve">Педиатрични пациенти на възраст от </w:t>
            </w:r>
            <w:r w:rsidRPr="0000048F">
              <w:rPr>
                <w:b/>
                <w:bCs/>
                <w:i/>
                <w:iCs/>
                <w:szCs w:val="20"/>
              </w:rPr>
              <w:t xml:space="preserve">6 </w:t>
            </w:r>
            <w:r w:rsidRPr="0000048F">
              <w:rPr>
                <w:b/>
                <w:bCs/>
                <w:szCs w:val="20"/>
              </w:rPr>
              <w:t xml:space="preserve">месеца до 2 години (едно 6- седмично проучване; </w:t>
            </w:r>
            <w:r w:rsidRPr="0000048F">
              <w:rPr>
                <w:b/>
                <w:bCs/>
                <w:szCs w:val="20"/>
                <w:lang w:val="en-US"/>
              </w:rPr>
              <w:t>n</w:t>
            </w:r>
            <w:r w:rsidRPr="0000048F">
              <w:rPr>
                <w:b/>
                <w:bCs/>
                <w:szCs w:val="20"/>
              </w:rPr>
              <w:t>=175)</w:t>
            </w:r>
          </w:p>
        </w:tc>
      </w:tr>
      <w:tr w:rsidR="0000048F" w14:paraId="4D58DA4A" w14:textId="77777777" w:rsidTr="0000048F">
        <w:tc>
          <w:tcPr>
            <w:tcW w:w="1915" w:type="dxa"/>
          </w:tcPr>
          <w:p w14:paraId="2B579DD0" w14:textId="564D0AA7" w:rsidR="0000048F" w:rsidRPr="0000048F" w:rsidRDefault="0000048F" w:rsidP="0000048F">
            <w:pPr>
              <w:spacing w:line="240" w:lineRule="auto"/>
              <w:rPr>
                <w:rFonts w:ascii="Times New Roman" w:eastAsia="Times New Roman" w:hAnsi="Times New Roman" w:cs="Times New Roman"/>
                <w:szCs w:val="24"/>
              </w:rPr>
            </w:pPr>
            <w:r w:rsidRPr="0000048F">
              <w:rPr>
                <w:b/>
                <w:bCs/>
                <w:szCs w:val="20"/>
              </w:rPr>
              <w:t>Нарушения на нервната система</w:t>
            </w:r>
          </w:p>
        </w:tc>
        <w:tc>
          <w:tcPr>
            <w:tcW w:w="1915" w:type="dxa"/>
          </w:tcPr>
          <w:p w14:paraId="5B4DFD3E" w14:textId="649E97EF" w:rsidR="0000048F" w:rsidRPr="0000048F" w:rsidRDefault="0000048F" w:rsidP="0000048F">
            <w:pPr>
              <w:spacing w:line="240" w:lineRule="auto"/>
              <w:rPr>
                <w:rFonts w:ascii="Times New Roman" w:eastAsia="Times New Roman" w:hAnsi="Times New Roman" w:cs="Times New Roman"/>
                <w:szCs w:val="24"/>
              </w:rPr>
            </w:pPr>
            <w:r w:rsidRPr="0000048F">
              <w:rPr>
                <w:szCs w:val="20"/>
              </w:rPr>
              <w:t>главоболие</w:t>
            </w:r>
          </w:p>
        </w:tc>
        <w:tc>
          <w:tcPr>
            <w:tcW w:w="1915" w:type="dxa"/>
          </w:tcPr>
          <w:p w14:paraId="59F914B4" w14:textId="3337A1EA" w:rsidR="0000048F" w:rsidRPr="0000048F" w:rsidRDefault="0000048F" w:rsidP="0000048F">
            <w:pPr>
              <w:spacing w:line="240" w:lineRule="auto"/>
              <w:rPr>
                <w:rFonts w:ascii="Times New Roman" w:eastAsia="Times New Roman" w:hAnsi="Times New Roman" w:cs="Times New Roman"/>
                <w:szCs w:val="24"/>
              </w:rPr>
            </w:pPr>
            <w:r w:rsidRPr="0000048F">
              <w:rPr>
                <w:szCs w:val="20"/>
              </w:rPr>
              <w:t>главоболие</w:t>
            </w:r>
          </w:p>
        </w:tc>
        <w:tc>
          <w:tcPr>
            <w:tcW w:w="1915" w:type="dxa"/>
          </w:tcPr>
          <w:p w14:paraId="439C2DC8" w14:textId="77777777" w:rsidR="0000048F" w:rsidRPr="0000048F" w:rsidRDefault="0000048F" w:rsidP="0000048F">
            <w:pPr>
              <w:spacing w:line="240" w:lineRule="auto"/>
              <w:rPr>
                <w:rFonts w:ascii="Times New Roman" w:eastAsia="Times New Roman" w:hAnsi="Times New Roman" w:cs="Times New Roman"/>
                <w:szCs w:val="24"/>
              </w:rPr>
            </w:pPr>
          </w:p>
        </w:tc>
        <w:tc>
          <w:tcPr>
            <w:tcW w:w="1916" w:type="dxa"/>
          </w:tcPr>
          <w:p w14:paraId="59953D2D" w14:textId="784B4BAC" w:rsidR="0000048F" w:rsidRPr="0000048F" w:rsidRDefault="0000048F" w:rsidP="0000048F">
            <w:pPr>
              <w:spacing w:line="240" w:lineRule="auto"/>
              <w:rPr>
                <w:rFonts w:ascii="Times New Roman" w:eastAsia="Times New Roman" w:hAnsi="Times New Roman" w:cs="Times New Roman"/>
                <w:szCs w:val="24"/>
              </w:rPr>
            </w:pPr>
            <w:r w:rsidRPr="0000048F">
              <w:rPr>
                <w:szCs w:val="20"/>
              </w:rPr>
              <w:t>хиперкинезия</w:t>
            </w:r>
          </w:p>
        </w:tc>
      </w:tr>
      <w:tr w:rsidR="0000048F" w14:paraId="72D5A36F" w14:textId="77777777" w:rsidTr="0000048F">
        <w:tc>
          <w:tcPr>
            <w:tcW w:w="1915" w:type="dxa"/>
          </w:tcPr>
          <w:p w14:paraId="64BB14C9" w14:textId="39B340A4" w:rsidR="0000048F" w:rsidRPr="0000048F" w:rsidRDefault="0000048F" w:rsidP="0000048F">
            <w:pPr>
              <w:spacing w:line="240" w:lineRule="auto"/>
              <w:rPr>
                <w:rFonts w:ascii="Times New Roman" w:eastAsia="Times New Roman" w:hAnsi="Times New Roman" w:cs="Times New Roman"/>
                <w:szCs w:val="24"/>
              </w:rPr>
            </w:pPr>
            <w:r>
              <w:rPr>
                <w:b/>
                <w:bCs/>
                <w:szCs w:val="20"/>
              </w:rPr>
              <w:t>Респираторни, гръдни и меди</w:t>
            </w:r>
            <w:r w:rsidRPr="0000048F">
              <w:rPr>
                <w:b/>
                <w:bCs/>
                <w:szCs w:val="20"/>
              </w:rPr>
              <w:t>астинални нарушения</w:t>
            </w:r>
          </w:p>
        </w:tc>
        <w:tc>
          <w:tcPr>
            <w:tcW w:w="1915" w:type="dxa"/>
          </w:tcPr>
          <w:p w14:paraId="78193CEE" w14:textId="77777777" w:rsidR="0000048F" w:rsidRPr="0000048F" w:rsidRDefault="0000048F" w:rsidP="0000048F">
            <w:pPr>
              <w:spacing w:line="240" w:lineRule="auto"/>
              <w:rPr>
                <w:rFonts w:ascii="Times New Roman" w:eastAsia="Times New Roman" w:hAnsi="Times New Roman" w:cs="Times New Roman"/>
                <w:szCs w:val="24"/>
              </w:rPr>
            </w:pPr>
          </w:p>
        </w:tc>
        <w:tc>
          <w:tcPr>
            <w:tcW w:w="1915" w:type="dxa"/>
          </w:tcPr>
          <w:p w14:paraId="7B437576" w14:textId="77777777" w:rsidR="0000048F" w:rsidRPr="0000048F" w:rsidRDefault="0000048F" w:rsidP="0000048F">
            <w:pPr>
              <w:spacing w:line="240" w:lineRule="auto"/>
              <w:rPr>
                <w:rFonts w:ascii="Times New Roman" w:eastAsia="Times New Roman" w:hAnsi="Times New Roman" w:cs="Times New Roman"/>
                <w:szCs w:val="24"/>
              </w:rPr>
            </w:pPr>
          </w:p>
        </w:tc>
        <w:tc>
          <w:tcPr>
            <w:tcW w:w="1915" w:type="dxa"/>
          </w:tcPr>
          <w:p w14:paraId="65FE2B92" w14:textId="77777777" w:rsidR="0000048F" w:rsidRPr="0000048F" w:rsidRDefault="0000048F" w:rsidP="0000048F">
            <w:pPr>
              <w:spacing w:line="240" w:lineRule="auto"/>
              <w:rPr>
                <w:rFonts w:ascii="Times New Roman" w:eastAsia="Times New Roman" w:hAnsi="Times New Roman" w:cs="Times New Roman"/>
                <w:szCs w:val="24"/>
              </w:rPr>
            </w:pPr>
          </w:p>
        </w:tc>
        <w:tc>
          <w:tcPr>
            <w:tcW w:w="1916" w:type="dxa"/>
          </w:tcPr>
          <w:p w14:paraId="62DA7C0B" w14:textId="352FC484" w:rsidR="0000048F" w:rsidRPr="0000048F" w:rsidRDefault="0000048F" w:rsidP="0000048F">
            <w:pPr>
              <w:spacing w:line="240" w:lineRule="auto"/>
              <w:rPr>
                <w:rFonts w:ascii="Times New Roman" w:eastAsia="Times New Roman" w:hAnsi="Times New Roman" w:cs="Times New Roman"/>
                <w:szCs w:val="24"/>
              </w:rPr>
            </w:pPr>
            <w:r w:rsidRPr="0000048F">
              <w:rPr>
                <w:szCs w:val="20"/>
              </w:rPr>
              <w:t>астма</w:t>
            </w:r>
          </w:p>
        </w:tc>
      </w:tr>
      <w:tr w:rsidR="0000048F" w14:paraId="0BA2D82C" w14:textId="77777777" w:rsidTr="0000048F">
        <w:tc>
          <w:tcPr>
            <w:tcW w:w="1915" w:type="dxa"/>
          </w:tcPr>
          <w:p w14:paraId="08EBD9AE" w14:textId="0492BE6B" w:rsidR="0000048F" w:rsidRPr="0000048F" w:rsidRDefault="0000048F" w:rsidP="0000048F">
            <w:pPr>
              <w:spacing w:line="240" w:lineRule="auto"/>
              <w:rPr>
                <w:rFonts w:ascii="Times New Roman" w:eastAsia="Times New Roman" w:hAnsi="Times New Roman" w:cs="Times New Roman"/>
                <w:szCs w:val="24"/>
              </w:rPr>
            </w:pPr>
            <w:r w:rsidRPr="0000048F">
              <w:rPr>
                <w:b/>
                <w:bCs/>
                <w:szCs w:val="20"/>
              </w:rPr>
              <w:t>Нарушения на стомашно- чревния тракт</w:t>
            </w:r>
          </w:p>
        </w:tc>
        <w:tc>
          <w:tcPr>
            <w:tcW w:w="1915" w:type="dxa"/>
          </w:tcPr>
          <w:p w14:paraId="5B0AA188" w14:textId="0C9FC6C5" w:rsidR="0000048F" w:rsidRPr="0000048F" w:rsidRDefault="0000048F" w:rsidP="0000048F">
            <w:pPr>
              <w:spacing w:line="240" w:lineRule="auto"/>
              <w:rPr>
                <w:rFonts w:ascii="Times New Roman" w:eastAsia="Times New Roman" w:hAnsi="Times New Roman" w:cs="Times New Roman"/>
                <w:szCs w:val="24"/>
              </w:rPr>
            </w:pPr>
            <w:r w:rsidRPr="0000048F">
              <w:rPr>
                <w:szCs w:val="20"/>
              </w:rPr>
              <w:t>коремна болка</w:t>
            </w:r>
          </w:p>
        </w:tc>
        <w:tc>
          <w:tcPr>
            <w:tcW w:w="1915" w:type="dxa"/>
          </w:tcPr>
          <w:p w14:paraId="41E3B686" w14:textId="77777777" w:rsidR="0000048F" w:rsidRPr="0000048F" w:rsidRDefault="0000048F" w:rsidP="0000048F">
            <w:pPr>
              <w:spacing w:line="240" w:lineRule="auto"/>
              <w:rPr>
                <w:rFonts w:ascii="Times New Roman" w:eastAsia="Times New Roman" w:hAnsi="Times New Roman" w:cs="Times New Roman"/>
                <w:szCs w:val="24"/>
              </w:rPr>
            </w:pPr>
          </w:p>
        </w:tc>
        <w:tc>
          <w:tcPr>
            <w:tcW w:w="1915" w:type="dxa"/>
          </w:tcPr>
          <w:p w14:paraId="57DDFD88" w14:textId="68993A5F" w:rsidR="0000048F" w:rsidRPr="0000048F" w:rsidRDefault="0000048F" w:rsidP="0000048F">
            <w:pPr>
              <w:spacing w:line="240" w:lineRule="auto"/>
              <w:rPr>
                <w:rFonts w:ascii="Times New Roman" w:eastAsia="Times New Roman" w:hAnsi="Times New Roman" w:cs="Times New Roman"/>
                <w:szCs w:val="24"/>
              </w:rPr>
            </w:pPr>
            <w:r w:rsidRPr="0000048F">
              <w:rPr>
                <w:szCs w:val="20"/>
              </w:rPr>
              <w:t>коремна болка</w:t>
            </w:r>
          </w:p>
        </w:tc>
        <w:tc>
          <w:tcPr>
            <w:tcW w:w="1916" w:type="dxa"/>
          </w:tcPr>
          <w:p w14:paraId="7A5435DA" w14:textId="5961414D" w:rsidR="0000048F" w:rsidRPr="0000048F" w:rsidRDefault="0000048F" w:rsidP="0000048F">
            <w:pPr>
              <w:spacing w:line="240" w:lineRule="auto"/>
              <w:rPr>
                <w:rFonts w:ascii="Times New Roman" w:eastAsia="Times New Roman" w:hAnsi="Times New Roman" w:cs="Times New Roman"/>
                <w:szCs w:val="24"/>
              </w:rPr>
            </w:pPr>
            <w:r w:rsidRPr="0000048F">
              <w:rPr>
                <w:szCs w:val="20"/>
              </w:rPr>
              <w:t>диария</w:t>
            </w:r>
          </w:p>
        </w:tc>
      </w:tr>
      <w:tr w:rsidR="0000048F" w14:paraId="2868C08E" w14:textId="77777777" w:rsidTr="0000048F">
        <w:tc>
          <w:tcPr>
            <w:tcW w:w="1915" w:type="dxa"/>
          </w:tcPr>
          <w:p w14:paraId="014BB9B9" w14:textId="03130B4E" w:rsidR="0000048F" w:rsidRPr="0000048F" w:rsidRDefault="0000048F" w:rsidP="0000048F">
            <w:pPr>
              <w:spacing w:line="240" w:lineRule="auto"/>
              <w:rPr>
                <w:rFonts w:ascii="Times New Roman" w:eastAsia="Times New Roman" w:hAnsi="Times New Roman" w:cs="Times New Roman"/>
                <w:szCs w:val="24"/>
              </w:rPr>
            </w:pPr>
            <w:r w:rsidRPr="0000048F">
              <w:rPr>
                <w:b/>
                <w:bCs/>
                <w:szCs w:val="20"/>
              </w:rPr>
              <w:t>Нарушения на кожата и подкожната тъкан</w:t>
            </w:r>
          </w:p>
        </w:tc>
        <w:tc>
          <w:tcPr>
            <w:tcW w:w="1915" w:type="dxa"/>
          </w:tcPr>
          <w:p w14:paraId="5120A85A" w14:textId="77777777" w:rsidR="0000048F" w:rsidRPr="0000048F" w:rsidRDefault="0000048F" w:rsidP="0000048F">
            <w:pPr>
              <w:spacing w:line="240" w:lineRule="auto"/>
              <w:rPr>
                <w:rFonts w:ascii="Times New Roman" w:eastAsia="Times New Roman" w:hAnsi="Times New Roman" w:cs="Times New Roman"/>
                <w:szCs w:val="24"/>
              </w:rPr>
            </w:pPr>
          </w:p>
        </w:tc>
        <w:tc>
          <w:tcPr>
            <w:tcW w:w="1915" w:type="dxa"/>
          </w:tcPr>
          <w:p w14:paraId="6CE75CBC" w14:textId="77777777" w:rsidR="0000048F" w:rsidRPr="0000048F" w:rsidRDefault="0000048F" w:rsidP="0000048F">
            <w:pPr>
              <w:spacing w:line="240" w:lineRule="auto"/>
              <w:rPr>
                <w:rFonts w:ascii="Times New Roman" w:eastAsia="Times New Roman" w:hAnsi="Times New Roman" w:cs="Times New Roman"/>
                <w:szCs w:val="24"/>
              </w:rPr>
            </w:pPr>
          </w:p>
        </w:tc>
        <w:tc>
          <w:tcPr>
            <w:tcW w:w="1915" w:type="dxa"/>
          </w:tcPr>
          <w:p w14:paraId="02DD8E03" w14:textId="77777777" w:rsidR="0000048F" w:rsidRPr="0000048F" w:rsidRDefault="0000048F" w:rsidP="0000048F">
            <w:pPr>
              <w:spacing w:line="240" w:lineRule="auto"/>
              <w:rPr>
                <w:rFonts w:ascii="Times New Roman" w:eastAsia="Times New Roman" w:hAnsi="Times New Roman" w:cs="Times New Roman"/>
                <w:szCs w:val="24"/>
              </w:rPr>
            </w:pPr>
          </w:p>
        </w:tc>
        <w:tc>
          <w:tcPr>
            <w:tcW w:w="1916" w:type="dxa"/>
          </w:tcPr>
          <w:p w14:paraId="0CA56B22" w14:textId="77777777" w:rsidR="0000048F" w:rsidRPr="0000048F" w:rsidRDefault="0000048F" w:rsidP="0000048F">
            <w:r w:rsidRPr="0000048F">
              <w:rPr>
                <w:szCs w:val="20"/>
              </w:rPr>
              <w:t>екзематозен</w:t>
            </w:r>
          </w:p>
          <w:p w14:paraId="089DCA5B" w14:textId="410BA8E2" w:rsidR="0000048F" w:rsidRPr="0000048F" w:rsidRDefault="0000048F" w:rsidP="0000048F">
            <w:pPr>
              <w:spacing w:line="240" w:lineRule="auto"/>
              <w:rPr>
                <w:rFonts w:ascii="Times New Roman" w:eastAsia="Times New Roman" w:hAnsi="Times New Roman" w:cs="Times New Roman"/>
                <w:szCs w:val="24"/>
              </w:rPr>
            </w:pPr>
            <w:r w:rsidRPr="0000048F">
              <w:rPr>
                <w:szCs w:val="20"/>
              </w:rPr>
              <w:t>дерматит, обрив</w:t>
            </w:r>
          </w:p>
        </w:tc>
      </w:tr>
      <w:tr w:rsidR="0000048F" w14:paraId="799914E2" w14:textId="77777777" w:rsidTr="0000048F">
        <w:tc>
          <w:tcPr>
            <w:tcW w:w="1915" w:type="dxa"/>
          </w:tcPr>
          <w:p w14:paraId="55AFDA99" w14:textId="775AB30A" w:rsidR="0000048F" w:rsidRPr="0000048F" w:rsidRDefault="0000048F" w:rsidP="0000048F">
            <w:pPr>
              <w:spacing w:line="240" w:lineRule="auto"/>
              <w:rPr>
                <w:rFonts w:ascii="Times New Roman" w:eastAsia="Times New Roman" w:hAnsi="Times New Roman" w:cs="Times New Roman"/>
                <w:szCs w:val="24"/>
              </w:rPr>
            </w:pPr>
            <w:r w:rsidRPr="0000048F">
              <w:rPr>
                <w:b/>
                <w:bCs/>
                <w:szCs w:val="20"/>
              </w:rPr>
              <w:t>Общи нарушения и ефекти на мястото на приложение</w:t>
            </w:r>
          </w:p>
        </w:tc>
        <w:tc>
          <w:tcPr>
            <w:tcW w:w="1915" w:type="dxa"/>
          </w:tcPr>
          <w:p w14:paraId="5661F410" w14:textId="77777777" w:rsidR="0000048F" w:rsidRPr="0000048F" w:rsidRDefault="0000048F" w:rsidP="0000048F">
            <w:pPr>
              <w:spacing w:line="240" w:lineRule="auto"/>
              <w:rPr>
                <w:rFonts w:ascii="Times New Roman" w:eastAsia="Times New Roman" w:hAnsi="Times New Roman" w:cs="Times New Roman"/>
                <w:szCs w:val="24"/>
              </w:rPr>
            </w:pPr>
          </w:p>
        </w:tc>
        <w:tc>
          <w:tcPr>
            <w:tcW w:w="1915" w:type="dxa"/>
          </w:tcPr>
          <w:p w14:paraId="06DCEF1F" w14:textId="77777777" w:rsidR="0000048F" w:rsidRPr="0000048F" w:rsidRDefault="0000048F" w:rsidP="0000048F">
            <w:pPr>
              <w:spacing w:line="240" w:lineRule="auto"/>
              <w:rPr>
                <w:rFonts w:ascii="Times New Roman" w:eastAsia="Times New Roman" w:hAnsi="Times New Roman" w:cs="Times New Roman"/>
                <w:szCs w:val="24"/>
              </w:rPr>
            </w:pPr>
          </w:p>
        </w:tc>
        <w:tc>
          <w:tcPr>
            <w:tcW w:w="1915" w:type="dxa"/>
          </w:tcPr>
          <w:p w14:paraId="64CE1B8D" w14:textId="6D938C74" w:rsidR="0000048F" w:rsidRPr="0000048F" w:rsidRDefault="0000048F" w:rsidP="0000048F">
            <w:pPr>
              <w:spacing w:line="240" w:lineRule="auto"/>
              <w:rPr>
                <w:rFonts w:ascii="Times New Roman" w:eastAsia="Times New Roman" w:hAnsi="Times New Roman" w:cs="Times New Roman"/>
                <w:szCs w:val="24"/>
              </w:rPr>
            </w:pPr>
            <w:r w:rsidRPr="0000048F">
              <w:rPr>
                <w:szCs w:val="20"/>
              </w:rPr>
              <w:t>жажда</w:t>
            </w:r>
          </w:p>
        </w:tc>
        <w:tc>
          <w:tcPr>
            <w:tcW w:w="1916" w:type="dxa"/>
          </w:tcPr>
          <w:p w14:paraId="5203DF44" w14:textId="77777777" w:rsidR="0000048F" w:rsidRPr="0000048F" w:rsidRDefault="0000048F" w:rsidP="0000048F">
            <w:pPr>
              <w:spacing w:line="240" w:lineRule="auto"/>
              <w:rPr>
                <w:rFonts w:ascii="Times New Roman" w:eastAsia="Times New Roman" w:hAnsi="Times New Roman" w:cs="Times New Roman"/>
                <w:szCs w:val="24"/>
              </w:rPr>
            </w:pPr>
          </w:p>
        </w:tc>
      </w:tr>
    </w:tbl>
    <w:p w14:paraId="0F9EE516" w14:textId="2CC3A062" w:rsidR="0000048F" w:rsidRDefault="0000048F" w:rsidP="0000048F">
      <w:pPr>
        <w:spacing w:line="240" w:lineRule="auto"/>
        <w:rPr>
          <w:rFonts w:ascii="Times New Roman" w:eastAsia="Times New Roman" w:hAnsi="Times New Roman" w:cs="Times New Roman"/>
          <w:sz w:val="24"/>
          <w:szCs w:val="24"/>
        </w:rPr>
      </w:pPr>
    </w:p>
    <w:p w14:paraId="471EF400"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При удължаване на лечението в клиничните проучвания, при ограничен брой пациенти до 2 години за възрастните и до 12 месеца за педиатричните пациенти на възраст между 6 и 14 години, профилът на безопасност не се е променил.</w:t>
      </w:r>
    </w:p>
    <w:p w14:paraId="09837AFF"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Общо, 502 педиатрични пациенти на възраст от 2 до 5 години са лекувани с монтелукаст за най- малко 3 месеца, 338 за 6 месеца или по-дълго и 534 пациенти за 12 месеца и по-дълго. С продължаване на лечението, профилът на безопасност също не се е променил.</w:t>
      </w:r>
    </w:p>
    <w:p w14:paraId="141237B2"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Профилът на безопасност при педиатрични пациенти на възраст от 6 месеца до 2 години не се променя при лечение до 3 месеца.</w:t>
      </w:r>
    </w:p>
    <w:p w14:paraId="1ECF9435" w14:textId="77777777" w:rsidR="0000048F" w:rsidRPr="0000048F" w:rsidRDefault="0000048F" w:rsidP="0000048F">
      <w:pPr>
        <w:spacing w:line="240" w:lineRule="auto"/>
        <w:rPr>
          <w:rFonts w:eastAsia="Times New Roman" w:cs="Arial"/>
          <w:color w:val="000000"/>
          <w:szCs w:val="20"/>
          <w:lang w:eastAsia="bg-BG"/>
        </w:rPr>
      </w:pPr>
    </w:p>
    <w:p w14:paraId="67EC8A0B" w14:textId="6BBB2DF6" w:rsidR="0000048F" w:rsidRDefault="0000048F" w:rsidP="0000048F">
      <w:pPr>
        <w:spacing w:line="240" w:lineRule="auto"/>
        <w:rPr>
          <w:rFonts w:eastAsia="Times New Roman" w:cs="Arial"/>
          <w:color w:val="000000"/>
          <w:szCs w:val="20"/>
          <w:lang w:eastAsia="bg-BG"/>
        </w:rPr>
      </w:pPr>
      <w:r w:rsidRPr="0000048F">
        <w:rPr>
          <w:rFonts w:eastAsia="Times New Roman" w:cs="Arial"/>
          <w:color w:val="000000"/>
          <w:szCs w:val="20"/>
          <w:lang w:eastAsia="bg-BG"/>
        </w:rPr>
        <w:t xml:space="preserve">Следните нежелани лекарствени реакции са докладвани при </w:t>
      </w:r>
      <w:r w:rsidRPr="0000048F">
        <w:rPr>
          <w:rFonts w:eastAsia="Times New Roman" w:cs="Arial"/>
          <w:b/>
          <w:bCs/>
          <w:color w:val="000000"/>
          <w:szCs w:val="20"/>
          <w:lang w:eastAsia="bg-BG"/>
        </w:rPr>
        <w:t xml:space="preserve">пост-маркетингова употреба: </w:t>
      </w:r>
      <w:r w:rsidRPr="0000048F">
        <w:rPr>
          <w:rFonts w:eastAsia="Times New Roman" w:cs="Arial"/>
          <w:color w:val="000000"/>
          <w:szCs w:val="20"/>
          <w:lang w:eastAsia="bg-BG"/>
        </w:rPr>
        <w:t>Честотите на нежеланите събития са определени какго следва: много чести (≥1/10), чести (≥ 1/100 до &lt; 1/10), нечести (≥ 1/1 000 до &lt; 1/100), редки (≥ 1/10 000 до &lt; 1/1 000), много редки (&lt; 1/10 000), с неизвестна честота (от наличните данни не може да бъде направена оценка).</w:t>
      </w:r>
    </w:p>
    <w:p w14:paraId="06DF3453" w14:textId="3BE714AB" w:rsidR="0000048F" w:rsidRDefault="0000048F" w:rsidP="0000048F">
      <w:pPr>
        <w:spacing w:line="240" w:lineRule="auto"/>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2349"/>
        <w:gridCol w:w="5351"/>
        <w:gridCol w:w="1650"/>
      </w:tblGrid>
      <w:tr w:rsidR="0000048F" w14:paraId="254584DF" w14:textId="77777777" w:rsidTr="0000048F">
        <w:tc>
          <w:tcPr>
            <w:tcW w:w="2376" w:type="dxa"/>
          </w:tcPr>
          <w:p w14:paraId="04FF9516" w14:textId="44A5A877" w:rsidR="0000048F" w:rsidRPr="0000048F" w:rsidRDefault="0000048F" w:rsidP="0000048F">
            <w:pPr>
              <w:spacing w:line="240" w:lineRule="auto"/>
              <w:rPr>
                <w:rFonts w:eastAsia="Times New Roman" w:cs="Arial"/>
                <w:szCs w:val="24"/>
              </w:rPr>
            </w:pPr>
            <w:r w:rsidRPr="0000048F">
              <w:rPr>
                <w:b/>
                <w:bCs/>
                <w:szCs w:val="20"/>
              </w:rPr>
              <w:t>Системо-органни класове</w:t>
            </w:r>
          </w:p>
        </w:tc>
        <w:tc>
          <w:tcPr>
            <w:tcW w:w="5529" w:type="dxa"/>
          </w:tcPr>
          <w:p w14:paraId="5C071707" w14:textId="223CBC3E" w:rsidR="0000048F" w:rsidRPr="0000048F" w:rsidRDefault="0000048F" w:rsidP="0000048F">
            <w:pPr>
              <w:spacing w:line="240" w:lineRule="auto"/>
              <w:rPr>
                <w:rFonts w:eastAsia="Times New Roman" w:cs="Arial"/>
                <w:szCs w:val="24"/>
              </w:rPr>
            </w:pPr>
            <w:r w:rsidRPr="0000048F">
              <w:rPr>
                <w:b/>
                <w:bCs/>
                <w:szCs w:val="20"/>
              </w:rPr>
              <w:t>Термини за нежелани реакции</w:t>
            </w:r>
          </w:p>
        </w:tc>
        <w:tc>
          <w:tcPr>
            <w:tcW w:w="1671" w:type="dxa"/>
          </w:tcPr>
          <w:p w14:paraId="170B3D90" w14:textId="0F0E564A" w:rsidR="0000048F" w:rsidRPr="0000048F" w:rsidRDefault="0000048F" w:rsidP="0000048F">
            <w:pPr>
              <w:spacing w:line="240" w:lineRule="auto"/>
              <w:rPr>
                <w:rFonts w:eastAsia="Times New Roman" w:cs="Arial"/>
                <w:szCs w:val="24"/>
              </w:rPr>
            </w:pPr>
            <w:r w:rsidRPr="0000048F">
              <w:rPr>
                <w:b/>
                <w:bCs/>
                <w:szCs w:val="20"/>
              </w:rPr>
              <w:t>Категория честота</w:t>
            </w:r>
          </w:p>
        </w:tc>
      </w:tr>
      <w:tr w:rsidR="0000048F" w14:paraId="5D0B005F" w14:textId="77777777" w:rsidTr="0000048F">
        <w:tc>
          <w:tcPr>
            <w:tcW w:w="2376" w:type="dxa"/>
          </w:tcPr>
          <w:p w14:paraId="77072464" w14:textId="34111E77" w:rsidR="0000048F" w:rsidRPr="0000048F" w:rsidRDefault="0000048F" w:rsidP="0000048F">
            <w:pPr>
              <w:spacing w:line="240" w:lineRule="auto"/>
              <w:rPr>
                <w:rFonts w:eastAsia="Times New Roman" w:cs="Arial"/>
                <w:szCs w:val="24"/>
              </w:rPr>
            </w:pPr>
            <w:r w:rsidRPr="0000048F">
              <w:rPr>
                <w:szCs w:val="20"/>
              </w:rPr>
              <w:t>Инфекции и инфестации</w:t>
            </w:r>
          </w:p>
        </w:tc>
        <w:tc>
          <w:tcPr>
            <w:tcW w:w="5529" w:type="dxa"/>
          </w:tcPr>
          <w:p w14:paraId="680C182C" w14:textId="0FCA7CF2" w:rsidR="0000048F" w:rsidRPr="0000048F" w:rsidRDefault="0000048F" w:rsidP="0000048F">
            <w:pPr>
              <w:spacing w:line="240" w:lineRule="auto"/>
              <w:rPr>
                <w:rFonts w:eastAsia="Times New Roman" w:cs="Arial"/>
                <w:szCs w:val="24"/>
              </w:rPr>
            </w:pPr>
            <w:r w:rsidRPr="0000048F">
              <w:rPr>
                <w:szCs w:val="20"/>
              </w:rPr>
              <w:t>Инфекции на горните дихателни пътища</w:t>
            </w:r>
            <w:r w:rsidRPr="0000048F">
              <w:rPr>
                <w:szCs w:val="20"/>
                <w:vertAlign w:val="superscript"/>
              </w:rPr>
              <w:t>+</w:t>
            </w:r>
          </w:p>
        </w:tc>
        <w:tc>
          <w:tcPr>
            <w:tcW w:w="1671" w:type="dxa"/>
          </w:tcPr>
          <w:p w14:paraId="330835F7" w14:textId="66280EDA" w:rsidR="0000048F" w:rsidRPr="0000048F" w:rsidRDefault="0000048F" w:rsidP="0000048F">
            <w:pPr>
              <w:spacing w:line="240" w:lineRule="auto"/>
              <w:rPr>
                <w:rFonts w:eastAsia="Times New Roman" w:cs="Arial"/>
                <w:szCs w:val="24"/>
              </w:rPr>
            </w:pPr>
            <w:r w:rsidRPr="0000048F">
              <w:rPr>
                <w:szCs w:val="20"/>
              </w:rPr>
              <w:t>Много чести</w:t>
            </w:r>
          </w:p>
        </w:tc>
      </w:tr>
      <w:tr w:rsidR="0000048F" w14:paraId="6BC1F82F" w14:textId="77777777" w:rsidTr="0000048F">
        <w:tc>
          <w:tcPr>
            <w:tcW w:w="2376" w:type="dxa"/>
            <w:vMerge w:val="restart"/>
          </w:tcPr>
          <w:p w14:paraId="0A1A2CD5" w14:textId="29CEB137" w:rsidR="0000048F" w:rsidRPr="0000048F" w:rsidRDefault="0000048F" w:rsidP="0000048F">
            <w:pPr>
              <w:spacing w:line="240" w:lineRule="auto"/>
              <w:rPr>
                <w:rFonts w:eastAsia="Times New Roman" w:cs="Arial"/>
                <w:szCs w:val="24"/>
              </w:rPr>
            </w:pPr>
            <w:r w:rsidRPr="0000048F">
              <w:rPr>
                <w:szCs w:val="20"/>
              </w:rPr>
              <w:t>Нарушения на кръвта и лимфната система</w:t>
            </w:r>
          </w:p>
        </w:tc>
        <w:tc>
          <w:tcPr>
            <w:tcW w:w="5529" w:type="dxa"/>
          </w:tcPr>
          <w:p w14:paraId="2936A592" w14:textId="797153A8" w:rsidR="0000048F" w:rsidRPr="0000048F" w:rsidRDefault="0000048F" w:rsidP="0000048F">
            <w:pPr>
              <w:spacing w:line="240" w:lineRule="auto"/>
              <w:rPr>
                <w:rFonts w:eastAsia="Times New Roman" w:cs="Arial"/>
                <w:szCs w:val="24"/>
              </w:rPr>
            </w:pPr>
            <w:r w:rsidRPr="0000048F">
              <w:rPr>
                <w:szCs w:val="20"/>
              </w:rPr>
              <w:t>Увеличена тенденция към кървене</w:t>
            </w:r>
          </w:p>
        </w:tc>
        <w:tc>
          <w:tcPr>
            <w:tcW w:w="1671" w:type="dxa"/>
          </w:tcPr>
          <w:p w14:paraId="307AA2BD" w14:textId="0BA35B94" w:rsidR="0000048F" w:rsidRPr="0000048F" w:rsidRDefault="0000048F" w:rsidP="0000048F">
            <w:pPr>
              <w:spacing w:line="240" w:lineRule="auto"/>
              <w:rPr>
                <w:rFonts w:eastAsia="Times New Roman" w:cs="Arial"/>
                <w:szCs w:val="24"/>
              </w:rPr>
            </w:pPr>
            <w:r w:rsidRPr="0000048F">
              <w:rPr>
                <w:szCs w:val="20"/>
              </w:rPr>
              <w:t>Редки</w:t>
            </w:r>
          </w:p>
        </w:tc>
      </w:tr>
      <w:tr w:rsidR="0000048F" w14:paraId="369ED79C" w14:textId="77777777" w:rsidTr="0000048F">
        <w:tc>
          <w:tcPr>
            <w:tcW w:w="2376" w:type="dxa"/>
            <w:vMerge/>
          </w:tcPr>
          <w:p w14:paraId="0B5B26E0" w14:textId="77777777" w:rsidR="0000048F" w:rsidRPr="0000048F" w:rsidRDefault="0000048F" w:rsidP="0000048F">
            <w:pPr>
              <w:spacing w:line="240" w:lineRule="auto"/>
              <w:rPr>
                <w:rFonts w:eastAsia="Times New Roman" w:cs="Arial"/>
                <w:szCs w:val="24"/>
              </w:rPr>
            </w:pPr>
          </w:p>
        </w:tc>
        <w:tc>
          <w:tcPr>
            <w:tcW w:w="5529" w:type="dxa"/>
          </w:tcPr>
          <w:p w14:paraId="42EF2655" w14:textId="14FD06DF" w:rsidR="0000048F" w:rsidRPr="0000048F" w:rsidRDefault="0000048F" w:rsidP="0000048F">
            <w:pPr>
              <w:spacing w:line="240" w:lineRule="auto"/>
              <w:rPr>
                <w:rFonts w:eastAsia="Times New Roman" w:cs="Arial"/>
                <w:szCs w:val="24"/>
              </w:rPr>
            </w:pPr>
            <w:r w:rsidRPr="0000048F">
              <w:rPr>
                <w:szCs w:val="20"/>
              </w:rPr>
              <w:t>Тромбоцитопения</w:t>
            </w:r>
          </w:p>
        </w:tc>
        <w:tc>
          <w:tcPr>
            <w:tcW w:w="1671" w:type="dxa"/>
          </w:tcPr>
          <w:p w14:paraId="6B9E653D" w14:textId="49FD6523" w:rsidR="0000048F" w:rsidRPr="0000048F" w:rsidRDefault="0000048F" w:rsidP="0000048F">
            <w:pPr>
              <w:spacing w:line="240" w:lineRule="auto"/>
              <w:rPr>
                <w:rFonts w:eastAsia="Times New Roman" w:cs="Arial"/>
                <w:szCs w:val="24"/>
              </w:rPr>
            </w:pPr>
            <w:r w:rsidRPr="0000048F">
              <w:rPr>
                <w:szCs w:val="20"/>
              </w:rPr>
              <w:t>Много редки</w:t>
            </w:r>
          </w:p>
        </w:tc>
      </w:tr>
      <w:tr w:rsidR="0000048F" w14:paraId="7C1E77E5" w14:textId="77777777" w:rsidTr="0000048F">
        <w:tc>
          <w:tcPr>
            <w:tcW w:w="2376" w:type="dxa"/>
            <w:vMerge w:val="restart"/>
          </w:tcPr>
          <w:p w14:paraId="06C25EA8" w14:textId="191DDE89" w:rsidR="0000048F" w:rsidRPr="0000048F" w:rsidRDefault="0000048F" w:rsidP="0000048F">
            <w:pPr>
              <w:spacing w:line="240" w:lineRule="auto"/>
              <w:rPr>
                <w:rFonts w:eastAsia="Times New Roman" w:cs="Arial"/>
                <w:szCs w:val="24"/>
              </w:rPr>
            </w:pPr>
            <w:r w:rsidRPr="0000048F">
              <w:rPr>
                <w:szCs w:val="20"/>
              </w:rPr>
              <w:t>Нарушения на имунната система</w:t>
            </w:r>
          </w:p>
        </w:tc>
        <w:tc>
          <w:tcPr>
            <w:tcW w:w="5529" w:type="dxa"/>
          </w:tcPr>
          <w:p w14:paraId="69B6047B" w14:textId="29EEFA0C" w:rsidR="0000048F" w:rsidRPr="0000048F" w:rsidRDefault="0000048F" w:rsidP="0000048F">
            <w:pPr>
              <w:spacing w:line="240" w:lineRule="auto"/>
              <w:rPr>
                <w:rFonts w:eastAsia="Times New Roman" w:cs="Arial"/>
                <w:szCs w:val="24"/>
              </w:rPr>
            </w:pPr>
            <w:r w:rsidRPr="0000048F">
              <w:rPr>
                <w:szCs w:val="20"/>
              </w:rPr>
              <w:t>Реакции на свръхчувствителност, включващи анафилаксия</w:t>
            </w:r>
          </w:p>
        </w:tc>
        <w:tc>
          <w:tcPr>
            <w:tcW w:w="1671" w:type="dxa"/>
          </w:tcPr>
          <w:p w14:paraId="06D6DE65" w14:textId="4FFB74C0" w:rsidR="0000048F" w:rsidRPr="0000048F" w:rsidRDefault="0000048F" w:rsidP="0000048F">
            <w:pPr>
              <w:spacing w:line="240" w:lineRule="auto"/>
              <w:rPr>
                <w:rFonts w:eastAsia="Times New Roman" w:cs="Arial"/>
                <w:szCs w:val="24"/>
              </w:rPr>
            </w:pPr>
            <w:r w:rsidRPr="0000048F">
              <w:rPr>
                <w:szCs w:val="20"/>
              </w:rPr>
              <w:t>Редки</w:t>
            </w:r>
          </w:p>
        </w:tc>
      </w:tr>
      <w:tr w:rsidR="0000048F" w14:paraId="508370A9" w14:textId="77777777" w:rsidTr="0000048F">
        <w:tc>
          <w:tcPr>
            <w:tcW w:w="2376" w:type="dxa"/>
            <w:vMerge/>
          </w:tcPr>
          <w:p w14:paraId="37EA76AA" w14:textId="77777777" w:rsidR="0000048F" w:rsidRPr="0000048F" w:rsidRDefault="0000048F" w:rsidP="0000048F">
            <w:pPr>
              <w:spacing w:line="240" w:lineRule="auto"/>
              <w:rPr>
                <w:rFonts w:eastAsia="Times New Roman" w:cs="Arial"/>
                <w:szCs w:val="24"/>
              </w:rPr>
            </w:pPr>
          </w:p>
        </w:tc>
        <w:tc>
          <w:tcPr>
            <w:tcW w:w="5529" w:type="dxa"/>
          </w:tcPr>
          <w:p w14:paraId="38D735F2" w14:textId="7CBAD425" w:rsidR="0000048F" w:rsidRPr="0000048F" w:rsidRDefault="0000048F" w:rsidP="0000048F">
            <w:pPr>
              <w:spacing w:line="240" w:lineRule="auto"/>
              <w:rPr>
                <w:rFonts w:eastAsia="Times New Roman" w:cs="Arial"/>
                <w:szCs w:val="24"/>
              </w:rPr>
            </w:pPr>
            <w:r w:rsidRPr="0000048F">
              <w:rPr>
                <w:szCs w:val="20"/>
              </w:rPr>
              <w:t>Чернодробна еозинофилна инфилтрация</w:t>
            </w:r>
          </w:p>
        </w:tc>
        <w:tc>
          <w:tcPr>
            <w:tcW w:w="1671" w:type="dxa"/>
          </w:tcPr>
          <w:p w14:paraId="333D44C1" w14:textId="26698CF3" w:rsidR="0000048F" w:rsidRPr="0000048F" w:rsidRDefault="0000048F" w:rsidP="0000048F">
            <w:pPr>
              <w:spacing w:line="240" w:lineRule="auto"/>
              <w:rPr>
                <w:rFonts w:eastAsia="Times New Roman" w:cs="Arial"/>
                <w:szCs w:val="24"/>
              </w:rPr>
            </w:pPr>
            <w:r w:rsidRPr="0000048F">
              <w:rPr>
                <w:szCs w:val="20"/>
              </w:rPr>
              <w:t>Много редки</w:t>
            </w:r>
          </w:p>
        </w:tc>
      </w:tr>
      <w:tr w:rsidR="0000048F" w14:paraId="2453B926" w14:textId="77777777" w:rsidTr="0000048F">
        <w:tc>
          <w:tcPr>
            <w:tcW w:w="2376" w:type="dxa"/>
            <w:vMerge w:val="restart"/>
          </w:tcPr>
          <w:p w14:paraId="5D85E759" w14:textId="05B806F1" w:rsidR="0000048F" w:rsidRPr="0000048F" w:rsidRDefault="0000048F" w:rsidP="0000048F">
            <w:pPr>
              <w:spacing w:line="240" w:lineRule="auto"/>
              <w:rPr>
                <w:rFonts w:eastAsia="Times New Roman" w:cs="Arial"/>
                <w:szCs w:val="24"/>
              </w:rPr>
            </w:pPr>
            <w:r w:rsidRPr="0000048F">
              <w:rPr>
                <w:szCs w:val="20"/>
              </w:rPr>
              <w:t>Психични нарушения</w:t>
            </w:r>
          </w:p>
        </w:tc>
        <w:tc>
          <w:tcPr>
            <w:tcW w:w="5529" w:type="dxa"/>
          </w:tcPr>
          <w:p w14:paraId="75092702" w14:textId="7FEF011F" w:rsidR="0000048F" w:rsidRPr="0000048F" w:rsidRDefault="0000048F" w:rsidP="0000048F">
            <w:pPr>
              <w:spacing w:line="240" w:lineRule="auto"/>
              <w:rPr>
                <w:rFonts w:eastAsia="Times New Roman" w:cs="Arial"/>
                <w:szCs w:val="24"/>
              </w:rPr>
            </w:pPr>
            <w:r w:rsidRPr="0000048F">
              <w:rPr>
                <w:szCs w:val="20"/>
              </w:rPr>
              <w:t>Промени в сънищата включително кошмари, безсъние, сомнамбулизъм, тревожност, ажитация включително агресивно поведение или враждебност, депресия, психомоторна хиперактивност (включваща раздразнителност, безпокойство, тремор</w:t>
            </w:r>
            <w:r w:rsidRPr="0000048F">
              <w:rPr>
                <w:szCs w:val="20"/>
                <w:vertAlign w:val="superscript"/>
              </w:rPr>
              <w:t>§</w:t>
            </w:r>
            <w:r w:rsidRPr="0000048F">
              <w:rPr>
                <w:szCs w:val="20"/>
              </w:rPr>
              <w:t>)</w:t>
            </w:r>
          </w:p>
        </w:tc>
        <w:tc>
          <w:tcPr>
            <w:tcW w:w="1671" w:type="dxa"/>
          </w:tcPr>
          <w:p w14:paraId="7B2A6438" w14:textId="0F0AFD99" w:rsidR="0000048F" w:rsidRPr="0000048F" w:rsidRDefault="0000048F" w:rsidP="0000048F">
            <w:pPr>
              <w:spacing w:line="240" w:lineRule="auto"/>
              <w:rPr>
                <w:rFonts w:eastAsia="Times New Roman" w:cs="Arial"/>
                <w:szCs w:val="24"/>
              </w:rPr>
            </w:pPr>
            <w:r w:rsidRPr="0000048F">
              <w:rPr>
                <w:szCs w:val="20"/>
              </w:rPr>
              <w:t>Нечести</w:t>
            </w:r>
          </w:p>
        </w:tc>
      </w:tr>
      <w:tr w:rsidR="0000048F" w14:paraId="27C15827" w14:textId="77777777" w:rsidTr="0000048F">
        <w:tc>
          <w:tcPr>
            <w:tcW w:w="2376" w:type="dxa"/>
            <w:vMerge/>
          </w:tcPr>
          <w:p w14:paraId="3AF2A392" w14:textId="77777777" w:rsidR="0000048F" w:rsidRPr="0000048F" w:rsidRDefault="0000048F" w:rsidP="0000048F">
            <w:pPr>
              <w:spacing w:line="240" w:lineRule="auto"/>
              <w:rPr>
                <w:rFonts w:eastAsia="Times New Roman" w:cs="Arial"/>
                <w:szCs w:val="24"/>
              </w:rPr>
            </w:pPr>
          </w:p>
        </w:tc>
        <w:tc>
          <w:tcPr>
            <w:tcW w:w="5529" w:type="dxa"/>
          </w:tcPr>
          <w:p w14:paraId="0979FDCC" w14:textId="33AF8976" w:rsidR="0000048F" w:rsidRPr="0000048F" w:rsidRDefault="0000048F" w:rsidP="0000048F">
            <w:pPr>
              <w:spacing w:line="240" w:lineRule="auto"/>
              <w:rPr>
                <w:rFonts w:eastAsia="Times New Roman" w:cs="Arial"/>
                <w:szCs w:val="24"/>
              </w:rPr>
            </w:pPr>
            <w:r w:rsidRPr="0000048F">
              <w:rPr>
                <w:szCs w:val="20"/>
              </w:rPr>
              <w:t>Нарушение на вниманието, нарушение на паметта, тик</w:t>
            </w:r>
          </w:p>
        </w:tc>
        <w:tc>
          <w:tcPr>
            <w:tcW w:w="1671" w:type="dxa"/>
          </w:tcPr>
          <w:p w14:paraId="280A21D9" w14:textId="70393427" w:rsidR="0000048F" w:rsidRPr="0000048F" w:rsidRDefault="0000048F" w:rsidP="0000048F">
            <w:pPr>
              <w:spacing w:line="240" w:lineRule="auto"/>
              <w:rPr>
                <w:rFonts w:eastAsia="Times New Roman" w:cs="Arial"/>
                <w:szCs w:val="24"/>
              </w:rPr>
            </w:pPr>
            <w:r w:rsidRPr="0000048F">
              <w:rPr>
                <w:szCs w:val="20"/>
              </w:rPr>
              <w:t>Редки</w:t>
            </w:r>
          </w:p>
        </w:tc>
      </w:tr>
      <w:tr w:rsidR="0000048F" w14:paraId="150ACFC8" w14:textId="77777777" w:rsidTr="0000048F">
        <w:tc>
          <w:tcPr>
            <w:tcW w:w="2376" w:type="dxa"/>
            <w:vMerge/>
          </w:tcPr>
          <w:p w14:paraId="3F5F8D3C" w14:textId="77777777" w:rsidR="0000048F" w:rsidRPr="0000048F" w:rsidRDefault="0000048F" w:rsidP="0000048F">
            <w:pPr>
              <w:spacing w:line="240" w:lineRule="auto"/>
              <w:rPr>
                <w:rFonts w:eastAsia="Times New Roman" w:cs="Arial"/>
                <w:szCs w:val="24"/>
              </w:rPr>
            </w:pPr>
          </w:p>
        </w:tc>
        <w:tc>
          <w:tcPr>
            <w:tcW w:w="5529" w:type="dxa"/>
          </w:tcPr>
          <w:p w14:paraId="4FBA120F" w14:textId="5D92B686" w:rsidR="0000048F" w:rsidRPr="0000048F" w:rsidRDefault="0000048F" w:rsidP="0000048F">
            <w:pPr>
              <w:spacing w:line="240" w:lineRule="auto"/>
              <w:rPr>
                <w:rFonts w:eastAsia="Times New Roman" w:cs="Arial"/>
                <w:szCs w:val="24"/>
              </w:rPr>
            </w:pPr>
            <w:r w:rsidRPr="0000048F">
              <w:rPr>
                <w:szCs w:val="20"/>
              </w:rPr>
              <w:t>Халюцинации, дезориентация, суицидни мисли и поведение, обсесивно-компулсивни симптоми, заекване</w:t>
            </w:r>
          </w:p>
        </w:tc>
        <w:tc>
          <w:tcPr>
            <w:tcW w:w="1671" w:type="dxa"/>
          </w:tcPr>
          <w:p w14:paraId="3053AC6E" w14:textId="60712458" w:rsidR="0000048F" w:rsidRPr="0000048F" w:rsidRDefault="0000048F" w:rsidP="0000048F">
            <w:pPr>
              <w:spacing w:line="240" w:lineRule="auto"/>
              <w:rPr>
                <w:rFonts w:eastAsia="Times New Roman" w:cs="Arial"/>
                <w:szCs w:val="24"/>
              </w:rPr>
            </w:pPr>
            <w:r w:rsidRPr="0000048F">
              <w:rPr>
                <w:szCs w:val="20"/>
              </w:rPr>
              <w:t>Много редки</w:t>
            </w:r>
          </w:p>
        </w:tc>
      </w:tr>
      <w:tr w:rsidR="0000048F" w14:paraId="4DBC5B19" w14:textId="77777777" w:rsidTr="0000048F">
        <w:tc>
          <w:tcPr>
            <w:tcW w:w="2376" w:type="dxa"/>
          </w:tcPr>
          <w:p w14:paraId="5AD1DAA3" w14:textId="6F8C32DC" w:rsidR="0000048F" w:rsidRPr="0000048F" w:rsidRDefault="0000048F" w:rsidP="0000048F">
            <w:pPr>
              <w:spacing w:line="240" w:lineRule="auto"/>
              <w:rPr>
                <w:rFonts w:eastAsia="Times New Roman" w:cs="Arial"/>
                <w:szCs w:val="24"/>
              </w:rPr>
            </w:pPr>
            <w:r w:rsidRPr="0000048F">
              <w:rPr>
                <w:szCs w:val="20"/>
              </w:rPr>
              <w:t>Нарушения на нервната система</w:t>
            </w:r>
          </w:p>
        </w:tc>
        <w:tc>
          <w:tcPr>
            <w:tcW w:w="5529" w:type="dxa"/>
          </w:tcPr>
          <w:p w14:paraId="3FBD74C9" w14:textId="70881B87" w:rsidR="0000048F" w:rsidRPr="0000048F" w:rsidRDefault="0000048F" w:rsidP="0000048F">
            <w:pPr>
              <w:spacing w:line="240" w:lineRule="auto"/>
              <w:rPr>
                <w:rFonts w:eastAsia="Times New Roman" w:cs="Arial"/>
                <w:szCs w:val="24"/>
              </w:rPr>
            </w:pPr>
            <w:r w:rsidRPr="0000048F">
              <w:rPr>
                <w:szCs w:val="20"/>
              </w:rPr>
              <w:t>Замаяност, сънливост, парестезия/хнпестезия, гърчове,</w:t>
            </w:r>
          </w:p>
        </w:tc>
        <w:tc>
          <w:tcPr>
            <w:tcW w:w="1671" w:type="dxa"/>
          </w:tcPr>
          <w:p w14:paraId="62360721" w14:textId="309502C1" w:rsidR="0000048F" w:rsidRPr="0000048F" w:rsidRDefault="0000048F" w:rsidP="0000048F">
            <w:pPr>
              <w:spacing w:line="240" w:lineRule="auto"/>
              <w:rPr>
                <w:rFonts w:eastAsia="Times New Roman" w:cs="Arial"/>
                <w:szCs w:val="24"/>
              </w:rPr>
            </w:pPr>
            <w:r w:rsidRPr="0000048F">
              <w:rPr>
                <w:szCs w:val="20"/>
              </w:rPr>
              <w:t>Нечести</w:t>
            </w:r>
          </w:p>
        </w:tc>
      </w:tr>
      <w:tr w:rsidR="0000048F" w14:paraId="7C5671CE" w14:textId="77777777" w:rsidTr="0000048F">
        <w:tc>
          <w:tcPr>
            <w:tcW w:w="2376" w:type="dxa"/>
          </w:tcPr>
          <w:p w14:paraId="4DFFAD51" w14:textId="5F977191" w:rsidR="0000048F" w:rsidRPr="0000048F" w:rsidRDefault="0000048F" w:rsidP="0000048F">
            <w:pPr>
              <w:spacing w:line="240" w:lineRule="auto"/>
              <w:rPr>
                <w:rFonts w:eastAsia="Times New Roman" w:cs="Arial"/>
                <w:szCs w:val="24"/>
              </w:rPr>
            </w:pPr>
            <w:r w:rsidRPr="0000048F">
              <w:rPr>
                <w:szCs w:val="20"/>
              </w:rPr>
              <w:t>Сърдечни нарушения</w:t>
            </w:r>
          </w:p>
        </w:tc>
        <w:tc>
          <w:tcPr>
            <w:tcW w:w="5529" w:type="dxa"/>
          </w:tcPr>
          <w:p w14:paraId="64A8D118" w14:textId="4FEC9E24" w:rsidR="0000048F" w:rsidRPr="0000048F" w:rsidRDefault="0000048F" w:rsidP="0000048F">
            <w:pPr>
              <w:spacing w:line="240" w:lineRule="auto"/>
              <w:rPr>
                <w:rFonts w:eastAsia="Times New Roman" w:cs="Arial"/>
                <w:szCs w:val="24"/>
              </w:rPr>
            </w:pPr>
            <w:r w:rsidRPr="0000048F">
              <w:rPr>
                <w:szCs w:val="20"/>
              </w:rPr>
              <w:t>Палпитации</w:t>
            </w:r>
          </w:p>
        </w:tc>
        <w:tc>
          <w:tcPr>
            <w:tcW w:w="1671" w:type="dxa"/>
          </w:tcPr>
          <w:p w14:paraId="3B6A694D" w14:textId="437BBC72" w:rsidR="0000048F" w:rsidRPr="0000048F" w:rsidRDefault="0000048F" w:rsidP="0000048F">
            <w:pPr>
              <w:spacing w:line="240" w:lineRule="auto"/>
              <w:rPr>
                <w:rFonts w:eastAsia="Times New Roman" w:cs="Arial"/>
                <w:szCs w:val="24"/>
              </w:rPr>
            </w:pPr>
            <w:r w:rsidRPr="0000048F">
              <w:rPr>
                <w:szCs w:val="20"/>
              </w:rPr>
              <w:t>Редки</w:t>
            </w:r>
          </w:p>
        </w:tc>
      </w:tr>
      <w:tr w:rsidR="0000048F" w14:paraId="7169D41E" w14:textId="77777777" w:rsidTr="0000048F">
        <w:tc>
          <w:tcPr>
            <w:tcW w:w="2376" w:type="dxa"/>
            <w:vMerge w:val="restart"/>
          </w:tcPr>
          <w:p w14:paraId="1B58ECF1" w14:textId="7CF9346E" w:rsidR="0000048F" w:rsidRPr="0000048F" w:rsidRDefault="0000048F" w:rsidP="0000048F">
            <w:pPr>
              <w:spacing w:line="240" w:lineRule="auto"/>
              <w:rPr>
                <w:rFonts w:eastAsia="Times New Roman" w:cs="Arial"/>
                <w:szCs w:val="24"/>
              </w:rPr>
            </w:pPr>
            <w:r w:rsidRPr="0000048F">
              <w:rPr>
                <w:szCs w:val="20"/>
              </w:rPr>
              <w:t>Респираторни, гръдни и медиастинални нарушения</w:t>
            </w:r>
          </w:p>
        </w:tc>
        <w:tc>
          <w:tcPr>
            <w:tcW w:w="5529" w:type="dxa"/>
          </w:tcPr>
          <w:p w14:paraId="3D868BD4" w14:textId="7F5D6A0D" w:rsidR="0000048F" w:rsidRPr="0000048F" w:rsidRDefault="0000048F" w:rsidP="0000048F">
            <w:pPr>
              <w:spacing w:line="240" w:lineRule="auto"/>
              <w:rPr>
                <w:rFonts w:eastAsia="Times New Roman" w:cs="Arial"/>
                <w:szCs w:val="24"/>
              </w:rPr>
            </w:pPr>
            <w:r w:rsidRPr="0000048F">
              <w:rPr>
                <w:szCs w:val="20"/>
              </w:rPr>
              <w:t>Епистаксис</w:t>
            </w:r>
          </w:p>
        </w:tc>
        <w:tc>
          <w:tcPr>
            <w:tcW w:w="1671" w:type="dxa"/>
          </w:tcPr>
          <w:p w14:paraId="6DAF1948" w14:textId="3DBA6BEF" w:rsidR="0000048F" w:rsidRPr="0000048F" w:rsidRDefault="0000048F" w:rsidP="0000048F">
            <w:pPr>
              <w:spacing w:line="240" w:lineRule="auto"/>
              <w:rPr>
                <w:rFonts w:eastAsia="Times New Roman" w:cs="Arial"/>
                <w:szCs w:val="24"/>
              </w:rPr>
            </w:pPr>
            <w:r w:rsidRPr="0000048F">
              <w:rPr>
                <w:szCs w:val="20"/>
              </w:rPr>
              <w:t>Нечести</w:t>
            </w:r>
          </w:p>
        </w:tc>
      </w:tr>
      <w:tr w:rsidR="0000048F" w14:paraId="1976358E" w14:textId="77777777" w:rsidTr="0000048F">
        <w:tc>
          <w:tcPr>
            <w:tcW w:w="2376" w:type="dxa"/>
            <w:vMerge/>
          </w:tcPr>
          <w:p w14:paraId="03FB7192" w14:textId="77777777" w:rsidR="0000048F" w:rsidRPr="0000048F" w:rsidRDefault="0000048F" w:rsidP="0000048F">
            <w:pPr>
              <w:spacing w:line="240" w:lineRule="auto"/>
              <w:rPr>
                <w:rFonts w:eastAsia="Times New Roman" w:cs="Arial"/>
                <w:szCs w:val="24"/>
              </w:rPr>
            </w:pPr>
          </w:p>
        </w:tc>
        <w:tc>
          <w:tcPr>
            <w:tcW w:w="5529" w:type="dxa"/>
          </w:tcPr>
          <w:p w14:paraId="6040AC74" w14:textId="33CB895D" w:rsidR="0000048F" w:rsidRPr="0000048F" w:rsidRDefault="0000048F" w:rsidP="0000048F">
            <w:pPr>
              <w:spacing w:line="240" w:lineRule="auto"/>
              <w:rPr>
                <w:rFonts w:eastAsia="Times New Roman" w:cs="Arial"/>
                <w:szCs w:val="24"/>
              </w:rPr>
            </w:pPr>
            <w:r w:rsidRPr="0000048F">
              <w:rPr>
                <w:szCs w:val="20"/>
              </w:rPr>
              <w:t xml:space="preserve">Синдром на </w:t>
            </w:r>
            <w:proofErr w:type="spellStart"/>
            <w:r w:rsidRPr="0000048F">
              <w:rPr>
                <w:szCs w:val="20"/>
                <w:lang w:val="en-US"/>
              </w:rPr>
              <w:t>Churg</w:t>
            </w:r>
            <w:proofErr w:type="spellEnd"/>
            <w:r w:rsidRPr="0000048F">
              <w:rPr>
                <w:szCs w:val="20"/>
                <w:lang w:val="ru-RU"/>
              </w:rPr>
              <w:t>-</w:t>
            </w:r>
            <w:r w:rsidRPr="0000048F">
              <w:rPr>
                <w:szCs w:val="20"/>
                <w:lang w:val="en-US"/>
              </w:rPr>
              <w:t>Strauss</w:t>
            </w:r>
            <w:r w:rsidRPr="0000048F">
              <w:rPr>
                <w:szCs w:val="20"/>
                <w:lang w:val="ru-RU"/>
              </w:rPr>
              <w:t xml:space="preserve"> </w:t>
            </w:r>
            <w:r w:rsidRPr="0000048F">
              <w:rPr>
                <w:szCs w:val="20"/>
              </w:rPr>
              <w:t>(вж. точка 4.4), белодробна еозинофилия</w:t>
            </w:r>
          </w:p>
        </w:tc>
        <w:tc>
          <w:tcPr>
            <w:tcW w:w="1671" w:type="dxa"/>
          </w:tcPr>
          <w:p w14:paraId="2C24C3BF" w14:textId="226190F3" w:rsidR="0000048F" w:rsidRPr="0000048F" w:rsidRDefault="0000048F" w:rsidP="0000048F">
            <w:pPr>
              <w:spacing w:line="240" w:lineRule="auto"/>
              <w:rPr>
                <w:rFonts w:eastAsia="Times New Roman" w:cs="Arial"/>
                <w:szCs w:val="24"/>
              </w:rPr>
            </w:pPr>
            <w:r w:rsidRPr="0000048F">
              <w:rPr>
                <w:szCs w:val="20"/>
              </w:rPr>
              <w:t>Много редки</w:t>
            </w:r>
          </w:p>
        </w:tc>
      </w:tr>
      <w:tr w:rsidR="0000048F" w14:paraId="60C7A4AF" w14:textId="77777777" w:rsidTr="0000048F">
        <w:tc>
          <w:tcPr>
            <w:tcW w:w="2376" w:type="dxa"/>
            <w:vMerge w:val="restart"/>
          </w:tcPr>
          <w:p w14:paraId="66F140C8" w14:textId="10BB3FF9" w:rsidR="0000048F" w:rsidRPr="0000048F" w:rsidRDefault="0000048F" w:rsidP="0000048F">
            <w:pPr>
              <w:spacing w:line="240" w:lineRule="auto"/>
              <w:rPr>
                <w:rFonts w:eastAsia="Times New Roman" w:cs="Arial"/>
                <w:szCs w:val="24"/>
              </w:rPr>
            </w:pPr>
            <w:r w:rsidRPr="0000048F">
              <w:rPr>
                <w:szCs w:val="20"/>
              </w:rPr>
              <w:t>Стомашно-чревни нарушения</w:t>
            </w:r>
          </w:p>
        </w:tc>
        <w:tc>
          <w:tcPr>
            <w:tcW w:w="5529" w:type="dxa"/>
          </w:tcPr>
          <w:p w14:paraId="504F1B56" w14:textId="7A91DFD0" w:rsidR="0000048F" w:rsidRPr="0000048F" w:rsidRDefault="0000048F" w:rsidP="0000048F">
            <w:pPr>
              <w:spacing w:line="240" w:lineRule="auto"/>
              <w:rPr>
                <w:rFonts w:eastAsia="Times New Roman" w:cs="Arial"/>
                <w:szCs w:val="24"/>
              </w:rPr>
            </w:pPr>
            <w:r w:rsidRPr="0000048F">
              <w:rPr>
                <w:szCs w:val="20"/>
              </w:rPr>
              <w:t>Диария</w:t>
            </w:r>
            <w:r w:rsidRPr="0000048F">
              <w:rPr>
                <w:szCs w:val="20"/>
                <w:vertAlign w:val="superscript"/>
              </w:rPr>
              <w:t>++</w:t>
            </w:r>
            <w:r w:rsidRPr="0000048F">
              <w:rPr>
                <w:szCs w:val="20"/>
              </w:rPr>
              <w:t>, гадене</w:t>
            </w:r>
            <w:r w:rsidRPr="0000048F">
              <w:rPr>
                <w:szCs w:val="20"/>
                <w:vertAlign w:val="superscript"/>
              </w:rPr>
              <w:t>++</w:t>
            </w:r>
            <w:r w:rsidRPr="0000048F">
              <w:rPr>
                <w:szCs w:val="20"/>
              </w:rPr>
              <w:t>, повръщане</w:t>
            </w:r>
            <w:r w:rsidRPr="0000048F">
              <w:rPr>
                <w:szCs w:val="20"/>
                <w:vertAlign w:val="superscript"/>
              </w:rPr>
              <w:t>++</w:t>
            </w:r>
          </w:p>
        </w:tc>
        <w:tc>
          <w:tcPr>
            <w:tcW w:w="1671" w:type="dxa"/>
          </w:tcPr>
          <w:p w14:paraId="05D8948D" w14:textId="49441CC8" w:rsidR="0000048F" w:rsidRPr="0000048F" w:rsidRDefault="0000048F" w:rsidP="0000048F">
            <w:pPr>
              <w:spacing w:line="240" w:lineRule="auto"/>
              <w:rPr>
                <w:rFonts w:eastAsia="Times New Roman" w:cs="Arial"/>
                <w:szCs w:val="24"/>
              </w:rPr>
            </w:pPr>
            <w:r w:rsidRPr="0000048F">
              <w:rPr>
                <w:szCs w:val="20"/>
              </w:rPr>
              <w:t>Чести</w:t>
            </w:r>
          </w:p>
        </w:tc>
      </w:tr>
      <w:tr w:rsidR="0000048F" w14:paraId="4E1E98E0" w14:textId="77777777" w:rsidTr="0000048F">
        <w:tc>
          <w:tcPr>
            <w:tcW w:w="2376" w:type="dxa"/>
            <w:vMerge/>
          </w:tcPr>
          <w:p w14:paraId="6605C801" w14:textId="77777777" w:rsidR="0000048F" w:rsidRPr="0000048F" w:rsidRDefault="0000048F" w:rsidP="0000048F">
            <w:pPr>
              <w:spacing w:line="240" w:lineRule="auto"/>
              <w:rPr>
                <w:rFonts w:eastAsia="Times New Roman" w:cs="Arial"/>
                <w:szCs w:val="24"/>
              </w:rPr>
            </w:pPr>
          </w:p>
        </w:tc>
        <w:tc>
          <w:tcPr>
            <w:tcW w:w="5529" w:type="dxa"/>
          </w:tcPr>
          <w:p w14:paraId="06D6C6ED" w14:textId="551105FD" w:rsidR="0000048F" w:rsidRPr="0000048F" w:rsidRDefault="0000048F" w:rsidP="0000048F">
            <w:pPr>
              <w:spacing w:line="240" w:lineRule="auto"/>
              <w:rPr>
                <w:rFonts w:eastAsia="Times New Roman" w:cs="Arial"/>
                <w:szCs w:val="24"/>
              </w:rPr>
            </w:pPr>
            <w:r w:rsidRPr="0000048F">
              <w:rPr>
                <w:szCs w:val="20"/>
              </w:rPr>
              <w:t>Сухота в устата, диспепсия</w:t>
            </w:r>
          </w:p>
        </w:tc>
        <w:tc>
          <w:tcPr>
            <w:tcW w:w="1671" w:type="dxa"/>
          </w:tcPr>
          <w:p w14:paraId="789A2F89" w14:textId="091F92E1" w:rsidR="0000048F" w:rsidRPr="0000048F" w:rsidRDefault="0000048F" w:rsidP="0000048F">
            <w:pPr>
              <w:spacing w:line="240" w:lineRule="auto"/>
              <w:rPr>
                <w:rFonts w:eastAsia="Times New Roman" w:cs="Arial"/>
                <w:szCs w:val="24"/>
              </w:rPr>
            </w:pPr>
            <w:r w:rsidRPr="0000048F">
              <w:rPr>
                <w:szCs w:val="20"/>
              </w:rPr>
              <w:t>Нечести</w:t>
            </w:r>
          </w:p>
        </w:tc>
      </w:tr>
      <w:tr w:rsidR="0000048F" w14:paraId="34FFC4DB" w14:textId="77777777" w:rsidTr="0000048F">
        <w:tc>
          <w:tcPr>
            <w:tcW w:w="2376" w:type="dxa"/>
            <w:vMerge w:val="restart"/>
          </w:tcPr>
          <w:p w14:paraId="06DB97D4" w14:textId="1B527EA8" w:rsidR="0000048F" w:rsidRPr="0000048F" w:rsidRDefault="0000048F" w:rsidP="0000048F">
            <w:pPr>
              <w:spacing w:line="240" w:lineRule="auto"/>
              <w:rPr>
                <w:rFonts w:eastAsia="Times New Roman" w:cs="Arial"/>
                <w:szCs w:val="24"/>
              </w:rPr>
            </w:pPr>
            <w:r w:rsidRPr="0000048F">
              <w:rPr>
                <w:szCs w:val="20"/>
              </w:rPr>
              <w:t>Хепатобилиарни нарушения</w:t>
            </w:r>
          </w:p>
        </w:tc>
        <w:tc>
          <w:tcPr>
            <w:tcW w:w="5529" w:type="dxa"/>
          </w:tcPr>
          <w:p w14:paraId="315C5A50" w14:textId="46D1C05B" w:rsidR="0000048F" w:rsidRPr="0000048F" w:rsidRDefault="0000048F" w:rsidP="0000048F">
            <w:pPr>
              <w:spacing w:line="240" w:lineRule="auto"/>
              <w:rPr>
                <w:rFonts w:eastAsia="Times New Roman" w:cs="Arial"/>
                <w:szCs w:val="24"/>
              </w:rPr>
            </w:pPr>
            <w:r w:rsidRPr="0000048F">
              <w:rPr>
                <w:szCs w:val="20"/>
              </w:rPr>
              <w:t xml:space="preserve">Повишени нива на серумните трансаминази </w:t>
            </w:r>
            <w:r w:rsidRPr="0000048F">
              <w:rPr>
                <w:szCs w:val="20"/>
                <w:lang w:val="ru-RU"/>
              </w:rPr>
              <w:t>(</w:t>
            </w:r>
            <w:r w:rsidRPr="0000048F">
              <w:rPr>
                <w:szCs w:val="20"/>
                <w:lang w:val="en-US"/>
              </w:rPr>
              <w:t>ALT</w:t>
            </w:r>
            <w:r w:rsidRPr="0000048F">
              <w:rPr>
                <w:szCs w:val="20"/>
                <w:lang w:val="ru-RU"/>
              </w:rPr>
              <w:t xml:space="preserve">, </w:t>
            </w:r>
            <w:r w:rsidRPr="0000048F">
              <w:rPr>
                <w:szCs w:val="20"/>
                <w:lang w:val="en-US"/>
              </w:rPr>
              <w:t>AST</w:t>
            </w:r>
            <w:r w:rsidRPr="0000048F">
              <w:rPr>
                <w:szCs w:val="20"/>
                <w:lang w:val="ru-RU"/>
              </w:rPr>
              <w:t>)</w:t>
            </w:r>
          </w:p>
        </w:tc>
        <w:tc>
          <w:tcPr>
            <w:tcW w:w="1671" w:type="dxa"/>
          </w:tcPr>
          <w:p w14:paraId="3F016EAD" w14:textId="77CD4E47" w:rsidR="0000048F" w:rsidRPr="0000048F" w:rsidRDefault="0000048F" w:rsidP="0000048F">
            <w:pPr>
              <w:spacing w:line="240" w:lineRule="auto"/>
              <w:rPr>
                <w:rFonts w:eastAsia="Times New Roman" w:cs="Arial"/>
                <w:szCs w:val="24"/>
              </w:rPr>
            </w:pPr>
            <w:r w:rsidRPr="0000048F">
              <w:rPr>
                <w:szCs w:val="20"/>
              </w:rPr>
              <w:t>Чести</w:t>
            </w:r>
          </w:p>
        </w:tc>
      </w:tr>
      <w:tr w:rsidR="0000048F" w14:paraId="0A83DDAF" w14:textId="77777777" w:rsidTr="0000048F">
        <w:tc>
          <w:tcPr>
            <w:tcW w:w="2376" w:type="dxa"/>
            <w:vMerge/>
          </w:tcPr>
          <w:p w14:paraId="532FCF83" w14:textId="77777777" w:rsidR="0000048F" w:rsidRPr="0000048F" w:rsidRDefault="0000048F" w:rsidP="0000048F">
            <w:pPr>
              <w:spacing w:line="240" w:lineRule="auto"/>
              <w:rPr>
                <w:rFonts w:eastAsia="Times New Roman" w:cs="Arial"/>
                <w:szCs w:val="24"/>
              </w:rPr>
            </w:pPr>
          </w:p>
        </w:tc>
        <w:tc>
          <w:tcPr>
            <w:tcW w:w="5529" w:type="dxa"/>
          </w:tcPr>
          <w:p w14:paraId="6C38B924" w14:textId="1A40F73A" w:rsidR="0000048F" w:rsidRPr="0000048F" w:rsidRDefault="0000048F" w:rsidP="0000048F">
            <w:pPr>
              <w:spacing w:line="240" w:lineRule="auto"/>
              <w:rPr>
                <w:rFonts w:eastAsia="Times New Roman" w:cs="Arial"/>
                <w:szCs w:val="24"/>
              </w:rPr>
            </w:pPr>
            <w:r w:rsidRPr="0000048F">
              <w:rPr>
                <w:szCs w:val="20"/>
              </w:rPr>
              <w:t>Хепатит (включително холестатичен, хепатоцелуларен и смесен тип чернодробно увреждане)</w:t>
            </w:r>
          </w:p>
        </w:tc>
        <w:tc>
          <w:tcPr>
            <w:tcW w:w="1671" w:type="dxa"/>
          </w:tcPr>
          <w:p w14:paraId="57239123" w14:textId="4959223E" w:rsidR="0000048F" w:rsidRPr="0000048F" w:rsidRDefault="0000048F" w:rsidP="0000048F">
            <w:pPr>
              <w:spacing w:line="240" w:lineRule="auto"/>
              <w:rPr>
                <w:rFonts w:eastAsia="Times New Roman" w:cs="Arial"/>
                <w:szCs w:val="24"/>
              </w:rPr>
            </w:pPr>
            <w:r w:rsidRPr="0000048F">
              <w:rPr>
                <w:szCs w:val="20"/>
              </w:rPr>
              <w:t>Много</w:t>
            </w:r>
          </w:p>
        </w:tc>
      </w:tr>
      <w:tr w:rsidR="0000048F" w14:paraId="59767E50" w14:textId="77777777" w:rsidTr="0000048F">
        <w:tc>
          <w:tcPr>
            <w:tcW w:w="2376" w:type="dxa"/>
            <w:vMerge w:val="restart"/>
          </w:tcPr>
          <w:p w14:paraId="7FDC409C" w14:textId="7B838ADF" w:rsidR="0000048F" w:rsidRPr="0000048F" w:rsidRDefault="0000048F" w:rsidP="0000048F">
            <w:pPr>
              <w:spacing w:line="240" w:lineRule="auto"/>
              <w:rPr>
                <w:rFonts w:eastAsia="Times New Roman" w:cs="Arial"/>
                <w:szCs w:val="24"/>
              </w:rPr>
            </w:pPr>
            <w:r w:rsidRPr="0000048F">
              <w:rPr>
                <w:szCs w:val="20"/>
              </w:rPr>
              <w:t>Нарушения на кожата и подкожните тъкани</w:t>
            </w:r>
          </w:p>
        </w:tc>
        <w:tc>
          <w:tcPr>
            <w:tcW w:w="5529" w:type="dxa"/>
          </w:tcPr>
          <w:p w14:paraId="3FA7B029" w14:textId="007391DD" w:rsidR="0000048F" w:rsidRPr="0000048F" w:rsidRDefault="0000048F" w:rsidP="0000048F">
            <w:pPr>
              <w:spacing w:line="240" w:lineRule="auto"/>
              <w:rPr>
                <w:rFonts w:eastAsia="Times New Roman" w:cs="Arial"/>
                <w:szCs w:val="24"/>
              </w:rPr>
            </w:pPr>
            <w:r w:rsidRPr="0000048F">
              <w:rPr>
                <w:szCs w:val="20"/>
              </w:rPr>
              <w:t>Обрив</w:t>
            </w:r>
            <w:r w:rsidRPr="0000048F">
              <w:rPr>
                <w:szCs w:val="20"/>
                <w:vertAlign w:val="superscript"/>
              </w:rPr>
              <w:t>++</w:t>
            </w:r>
          </w:p>
        </w:tc>
        <w:tc>
          <w:tcPr>
            <w:tcW w:w="1671" w:type="dxa"/>
          </w:tcPr>
          <w:p w14:paraId="1F1DE8BE" w14:textId="6CAF80B5" w:rsidR="0000048F" w:rsidRPr="0000048F" w:rsidRDefault="0000048F" w:rsidP="0000048F">
            <w:pPr>
              <w:spacing w:line="240" w:lineRule="auto"/>
              <w:rPr>
                <w:rFonts w:eastAsia="Times New Roman" w:cs="Arial"/>
                <w:szCs w:val="24"/>
              </w:rPr>
            </w:pPr>
            <w:r w:rsidRPr="0000048F">
              <w:rPr>
                <w:szCs w:val="20"/>
              </w:rPr>
              <w:t>Чести</w:t>
            </w:r>
          </w:p>
        </w:tc>
      </w:tr>
      <w:tr w:rsidR="0000048F" w14:paraId="0737208A" w14:textId="77777777" w:rsidTr="0000048F">
        <w:tc>
          <w:tcPr>
            <w:tcW w:w="2376" w:type="dxa"/>
            <w:vMerge/>
          </w:tcPr>
          <w:p w14:paraId="31D8B33B" w14:textId="77777777" w:rsidR="0000048F" w:rsidRPr="0000048F" w:rsidRDefault="0000048F" w:rsidP="0000048F">
            <w:pPr>
              <w:spacing w:line="240" w:lineRule="auto"/>
              <w:rPr>
                <w:rFonts w:eastAsia="Times New Roman" w:cs="Arial"/>
                <w:szCs w:val="24"/>
              </w:rPr>
            </w:pPr>
          </w:p>
        </w:tc>
        <w:tc>
          <w:tcPr>
            <w:tcW w:w="5529" w:type="dxa"/>
          </w:tcPr>
          <w:p w14:paraId="6160B50D" w14:textId="23E98D27" w:rsidR="0000048F" w:rsidRPr="0000048F" w:rsidRDefault="0000048F" w:rsidP="0000048F">
            <w:pPr>
              <w:spacing w:line="240" w:lineRule="auto"/>
              <w:rPr>
                <w:rFonts w:eastAsia="Times New Roman" w:cs="Arial"/>
                <w:szCs w:val="24"/>
              </w:rPr>
            </w:pPr>
            <w:r w:rsidRPr="0000048F">
              <w:rPr>
                <w:szCs w:val="20"/>
              </w:rPr>
              <w:t>Кръвонасядане, уртикария, пруритус</w:t>
            </w:r>
          </w:p>
        </w:tc>
        <w:tc>
          <w:tcPr>
            <w:tcW w:w="1671" w:type="dxa"/>
          </w:tcPr>
          <w:p w14:paraId="560E8CA9" w14:textId="51D8D7AD" w:rsidR="0000048F" w:rsidRPr="0000048F" w:rsidRDefault="0000048F" w:rsidP="0000048F">
            <w:pPr>
              <w:spacing w:line="240" w:lineRule="auto"/>
              <w:rPr>
                <w:rFonts w:eastAsia="Times New Roman" w:cs="Arial"/>
                <w:szCs w:val="24"/>
              </w:rPr>
            </w:pPr>
            <w:r w:rsidRPr="0000048F">
              <w:rPr>
                <w:szCs w:val="20"/>
              </w:rPr>
              <w:t>Нечести</w:t>
            </w:r>
          </w:p>
        </w:tc>
      </w:tr>
      <w:tr w:rsidR="0000048F" w14:paraId="1BDFA071" w14:textId="77777777" w:rsidTr="0000048F">
        <w:tc>
          <w:tcPr>
            <w:tcW w:w="2376" w:type="dxa"/>
            <w:vMerge/>
          </w:tcPr>
          <w:p w14:paraId="68E80C3F" w14:textId="77777777" w:rsidR="0000048F" w:rsidRPr="0000048F" w:rsidRDefault="0000048F" w:rsidP="0000048F">
            <w:pPr>
              <w:spacing w:line="240" w:lineRule="auto"/>
              <w:rPr>
                <w:rFonts w:eastAsia="Times New Roman" w:cs="Arial"/>
                <w:szCs w:val="24"/>
              </w:rPr>
            </w:pPr>
          </w:p>
        </w:tc>
        <w:tc>
          <w:tcPr>
            <w:tcW w:w="5529" w:type="dxa"/>
          </w:tcPr>
          <w:p w14:paraId="292ABCFB" w14:textId="06D6DEC5" w:rsidR="0000048F" w:rsidRPr="0000048F" w:rsidRDefault="0000048F" w:rsidP="0000048F">
            <w:pPr>
              <w:spacing w:line="240" w:lineRule="auto"/>
              <w:rPr>
                <w:rFonts w:eastAsia="Times New Roman" w:cs="Arial"/>
                <w:szCs w:val="24"/>
              </w:rPr>
            </w:pPr>
            <w:r w:rsidRPr="0000048F">
              <w:rPr>
                <w:szCs w:val="20"/>
              </w:rPr>
              <w:t>Ангиоедем</w:t>
            </w:r>
          </w:p>
        </w:tc>
        <w:tc>
          <w:tcPr>
            <w:tcW w:w="1671" w:type="dxa"/>
          </w:tcPr>
          <w:p w14:paraId="67A0B8D5" w14:textId="7C2CD3A6" w:rsidR="0000048F" w:rsidRPr="0000048F" w:rsidRDefault="0000048F" w:rsidP="0000048F">
            <w:pPr>
              <w:spacing w:line="240" w:lineRule="auto"/>
              <w:rPr>
                <w:rFonts w:eastAsia="Times New Roman" w:cs="Arial"/>
                <w:szCs w:val="24"/>
              </w:rPr>
            </w:pPr>
            <w:r w:rsidRPr="0000048F">
              <w:rPr>
                <w:szCs w:val="20"/>
              </w:rPr>
              <w:t>Редки</w:t>
            </w:r>
          </w:p>
        </w:tc>
      </w:tr>
      <w:tr w:rsidR="0000048F" w14:paraId="7A295E48" w14:textId="77777777" w:rsidTr="0000048F">
        <w:tc>
          <w:tcPr>
            <w:tcW w:w="2376" w:type="dxa"/>
            <w:vMerge/>
          </w:tcPr>
          <w:p w14:paraId="6D1AD974" w14:textId="77777777" w:rsidR="0000048F" w:rsidRPr="0000048F" w:rsidRDefault="0000048F" w:rsidP="0000048F">
            <w:pPr>
              <w:spacing w:line="240" w:lineRule="auto"/>
              <w:jc w:val="right"/>
              <w:rPr>
                <w:rFonts w:eastAsia="Times New Roman" w:cs="Arial"/>
                <w:szCs w:val="24"/>
              </w:rPr>
            </w:pPr>
          </w:p>
        </w:tc>
        <w:tc>
          <w:tcPr>
            <w:tcW w:w="5529" w:type="dxa"/>
          </w:tcPr>
          <w:p w14:paraId="3A151F24" w14:textId="2BB5779D" w:rsidR="0000048F" w:rsidRPr="0000048F" w:rsidRDefault="0000048F" w:rsidP="0000048F">
            <w:pPr>
              <w:spacing w:line="240" w:lineRule="auto"/>
              <w:rPr>
                <w:rFonts w:eastAsia="Times New Roman" w:cs="Arial"/>
                <w:szCs w:val="24"/>
              </w:rPr>
            </w:pPr>
            <w:r w:rsidRPr="0000048F">
              <w:rPr>
                <w:szCs w:val="20"/>
              </w:rPr>
              <w:t>Бритема нодозум, еритема мултиформе</w:t>
            </w:r>
          </w:p>
        </w:tc>
        <w:tc>
          <w:tcPr>
            <w:tcW w:w="1671" w:type="dxa"/>
          </w:tcPr>
          <w:p w14:paraId="57588669" w14:textId="6BBA7CED" w:rsidR="0000048F" w:rsidRPr="0000048F" w:rsidRDefault="0000048F" w:rsidP="0000048F">
            <w:pPr>
              <w:spacing w:line="240" w:lineRule="auto"/>
              <w:rPr>
                <w:rFonts w:eastAsia="Times New Roman" w:cs="Arial"/>
                <w:szCs w:val="24"/>
              </w:rPr>
            </w:pPr>
            <w:r w:rsidRPr="0000048F">
              <w:rPr>
                <w:szCs w:val="20"/>
              </w:rPr>
              <w:t>Много редки</w:t>
            </w:r>
          </w:p>
        </w:tc>
      </w:tr>
      <w:tr w:rsidR="0000048F" w14:paraId="18ACE7D8" w14:textId="77777777" w:rsidTr="0000048F">
        <w:tc>
          <w:tcPr>
            <w:tcW w:w="2376" w:type="dxa"/>
          </w:tcPr>
          <w:p w14:paraId="2012DED4" w14:textId="6C578775" w:rsidR="0000048F" w:rsidRPr="0000048F" w:rsidRDefault="0000048F" w:rsidP="0000048F">
            <w:pPr>
              <w:spacing w:line="240" w:lineRule="auto"/>
              <w:rPr>
                <w:rFonts w:eastAsia="Times New Roman" w:cs="Arial"/>
                <w:szCs w:val="24"/>
              </w:rPr>
            </w:pPr>
            <w:r w:rsidRPr="0000048F">
              <w:rPr>
                <w:szCs w:val="20"/>
              </w:rPr>
              <w:t xml:space="preserve">Нарушения на мускулно-скелетната система </w:t>
            </w:r>
            <w:r w:rsidRPr="0000048F">
              <w:rPr>
                <w:szCs w:val="20"/>
              </w:rPr>
              <w:lastRenderedPageBreak/>
              <w:t>и съединителната тъкан</w:t>
            </w:r>
          </w:p>
        </w:tc>
        <w:tc>
          <w:tcPr>
            <w:tcW w:w="5529" w:type="dxa"/>
          </w:tcPr>
          <w:p w14:paraId="0EFB296F" w14:textId="74F47AFA" w:rsidR="0000048F" w:rsidRPr="0000048F" w:rsidRDefault="0000048F" w:rsidP="0000048F">
            <w:pPr>
              <w:spacing w:line="240" w:lineRule="auto"/>
              <w:rPr>
                <w:rFonts w:eastAsia="Times New Roman" w:cs="Arial"/>
                <w:szCs w:val="24"/>
              </w:rPr>
            </w:pPr>
            <w:r w:rsidRPr="0000048F">
              <w:rPr>
                <w:szCs w:val="20"/>
              </w:rPr>
              <w:lastRenderedPageBreak/>
              <w:t>Артралгия, миалгия включваща мускулни крампи</w:t>
            </w:r>
          </w:p>
        </w:tc>
        <w:tc>
          <w:tcPr>
            <w:tcW w:w="1671" w:type="dxa"/>
          </w:tcPr>
          <w:p w14:paraId="54714690" w14:textId="621EC32D" w:rsidR="0000048F" w:rsidRPr="0000048F" w:rsidRDefault="0000048F" w:rsidP="0000048F">
            <w:pPr>
              <w:spacing w:line="240" w:lineRule="auto"/>
              <w:rPr>
                <w:rFonts w:eastAsia="Times New Roman" w:cs="Arial"/>
                <w:szCs w:val="24"/>
              </w:rPr>
            </w:pPr>
            <w:r w:rsidRPr="0000048F">
              <w:rPr>
                <w:szCs w:val="20"/>
              </w:rPr>
              <w:t>Нечести</w:t>
            </w:r>
          </w:p>
        </w:tc>
      </w:tr>
      <w:tr w:rsidR="0000048F" w14:paraId="1C6AF91A" w14:textId="77777777" w:rsidTr="0000048F">
        <w:tc>
          <w:tcPr>
            <w:tcW w:w="2376" w:type="dxa"/>
          </w:tcPr>
          <w:p w14:paraId="3C4701AA" w14:textId="51328703" w:rsidR="0000048F" w:rsidRPr="0000048F" w:rsidRDefault="0000048F" w:rsidP="0000048F">
            <w:pPr>
              <w:spacing w:line="240" w:lineRule="auto"/>
              <w:rPr>
                <w:rFonts w:eastAsia="Times New Roman" w:cs="Arial"/>
                <w:szCs w:val="24"/>
              </w:rPr>
            </w:pPr>
            <w:r w:rsidRPr="0000048F">
              <w:rPr>
                <w:szCs w:val="20"/>
              </w:rPr>
              <w:t>Нарушения на бъбреците и пикочните пътища</w:t>
            </w:r>
          </w:p>
        </w:tc>
        <w:tc>
          <w:tcPr>
            <w:tcW w:w="5529" w:type="dxa"/>
          </w:tcPr>
          <w:p w14:paraId="0B17B971" w14:textId="1A726CFD" w:rsidR="0000048F" w:rsidRPr="0000048F" w:rsidRDefault="0000048F" w:rsidP="0000048F">
            <w:pPr>
              <w:spacing w:line="240" w:lineRule="auto"/>
              <w:rPr>
                <w:rFonts w:eastAsia="Times New Roman" w:cs="Arial"/>
                <w:szCs w:val="24"/>
              </w:rPr>
            </w:pPr>
            <w:r w:rsidRPr="0000048F">
              <w:rPr>
                <w:szCs w:val="20"/>
              </w:rPr>
              <w:t>Енурезис при деца</w:t>
            </w:r>
          </w:p>
        </w:tc>
        <w:tc>
          <w:tcPr>
            <w:tcW w:w="1671" w:type="dxa"/>
          </w:tcPr>
          <w:p w14:paraId="2831DFFF" w14:textId="32CBD2CB" w:rsidR="0000048F" w:rsidRPr="0000048F" w:rsidRDefault="0000048F" w:rsidP="0000048F">
            <w:pPr>
              <w:spacing w:line="240" w:lineRule="auto"/>
              <w:rPr>
                <w:rFonts w:eastAsia="Times New Roman" w:cs="Arial"/>
                <w:szCs w:val="24"/>
              </w:rPr>
            </w:pPr>
            <w:r w:rsidRPr="0000048F">
              <w:rPr>
                <w:szCs w:val="20"/>
              </w:rPr>
              <w:t>Нечести</w:t>
            </w:r>
          </w:p>
        </w:tc>
      </w:tr>
      <w:tr w:rsidR="0000048F" w14:paraId="67AD2969" w14:textId="77777777" w:rsidTr="0000048F">
        <w:tc>
          <w:tcPr>
            <w:tcW w:w="2376" w:type="dxa"/>
            <w:vMerge w:val="restart"/>
          </w:tcPr>
          <w:p w14:paraId="4EE32E84" w14:textId="50628804" w:rsidR="0000048F" w:rsidRPr="0000048F" w:rsidRDefault="0000048F" w:rsidP="0000048F">
            <w:pPr>
              <w:spacing w:line="240" w:lineRule="auto"/>
              <w:rPr>
                <w:rFonts w:eastAsia="Times New Roman" w:cs="Arial"/>
                <w:szCs w:val="24"/>
              </w:rPr>
            </w:pPr>
            <w:r w:rsidRPr="0000048F">
              <w:rPr>
                <w:szCs w:val="20"/>
              </w:rPr>
              <w:t>Общи нарушения и ефекти на мястото на приложение</w:t>
            </w:r>
          </w:p>
        </w:tc>
        <w:tc>
          <w:tcPr>
            <w:tcW w:w="5529" w:type="dxa"/>
          </w:tcPr>
          <w:p w14:paraId="7C7C5025" w14:textId="6F08EC39" w:rsidR="0000048F" w:rsidRPr="0000048F" w:rsidRDefault="0000048F" w:rsidP="0000048F">
            <w:pPr>
              <w:spacing w:line="240" w:lineRule="auto"/>
              <w:rPr>
                <w:rFonts w:eastAsia="Times New Roman" w:cs="Arial"/>
                <w:szCs w:val="24"/>
              </w:rPr>
            </w:pPr>
            <w:r w:rsidRPr="0000048F">
              <w:rPr>
                <w:szCs w:val="20"/>
              </w:rPr>
              <w:t>Пирексия</w:t>
            </w:r>
          </w:p>
        </w:tc>
        <w:tc>
          <w:tcPr>
            <w:tcW w:w="1671" w:type="dxa"/>
          </w:tcPr>
          <w:p w14:paraId="481BA59C" w14:textId="445B40B1" w:rsidR="0000048F" w:rsidRPr="0000048F" w:rsidRDefault="0000048F" w:rsidP="0000048F">
            <w:pPr>
              <w:spacing w:line="240" w:lineRule="auto"/>
              <w:rPr>
                <w:rFonts w:eastAsia="Times New Roman" w:cs="Arial"/>
                <w:szCs w:val="24"/>
              </w:rPr>
            </w:pPr>
            <w:r w:rsidRPr="0000048F">
              <w:rPr>
                <w:szCs w:val="20"/>
              </w:rPr>
              <w:t>Чести</w:t>
            </w:r>
          </w:p>
        </w:tc>
      </w:tr>
      <w:tr w:rsidR="0000048F" w14:paraId="3181DB30" w14:textId="77777777" w:rsidTr="0000048F">
        <w:tc>
          <w:tcPr>
            <w:tcW w:w="2376" w:type="dxa"/>
            <w:vMerge/>
          </w:tcPr>
          <w:p w14:paraId="791A95E1" w14:textId="77777777" w:rsidR="0000048F" w:rsidRPr="0000048F" w:rsidRDefault="0000048F" w:rsidP="0000048F">
            <w:pPr>
              <w:spacing w:line="240" w:lineRule="auto"/>
              <w:rPr>
                <w:rFonts w:eastAsia="Times New Roman" w:cs="Arial"/>
                <w:szCs w:val="24"/>
              </w:rPr>
            </w:pPr>
          </w:p>
        </w:tc>
        <w:tc>
          <w:tcPr>
            <w:tcW w:w="5529" w:type="dxa"/>
          </w:tcPr>
          <w:p w14:paraId="0BF4D8CB" w14:textId="7BCD950C" w:rsidR="0000048F" w:rsidRPr="0000048F" w:rsidRDefault="0000048F" w:rsidP="0000048F">
            <w:pPr>
              <w:spacing w:line="240" w:lineRule="auto"/>
              <w:rPr>
                <w:rFonts w:eastAsia="Times New Roman" w:cs="Arial"/>
                <w:szCs w:val="24"/>
              </w:rPr>
            </w:pPr>
            <w:r w:rsidRPr="0000048F">
              <w:rPr>
                <w:szCs w:val="20"/>
              </w:rPr>
              <w:t>Астения/отпадналост, слабост, оток</w:t>
            </w:r>
          </w:p>
        </w:tc>
        <w:tc>
          <w:tcPr>
            <w:tcW w:w="1671" w:type="dxa"/>
          </w:tcPr>
          <w:p w14:paraId="4B2DA78E" w14:textId="18DBE9E5" w:rsidR="0000048F" w:rsidRPr="0000048F" w:rsidRDefault="0000048F" w:rsidP="0000048F">
            <w:pPr>
              <w:spacing w:line="240" w:lineRule="auto"/>
              <w:rPr>
                <w:rFonts w:eastAsia="Times New Roman" w:cs="Arial"/>
                <w:szCs w:val="24"/>
              </w:rPr>
            </w:pPr>
            <w:r w:rsidRPr="0000048F">
              <w:rPr>
                <w:szCs w:val="20"/>
              </w:rPr>
              <w:t>Нечести</w:t>
            </w:r>
          </w:p>
        </w:tc>
      </w:tr>
      <w:tr w:rsidR="0000048F" w14:paraId="5A71CA61" w14:textId="77777777" w:rsidTr="004F7B66">
        <w:tc>
          <w:tcPr>
            <w:tcW w:w="9576" w:type="dxa"/>
            <w:gridSpan w:val="3"/>
          </w:tcPr>
          <w:p w14:paraId="404D808E" w14:textId="223FFDA8" w:rsidR="0000048F" w:rsidRDefault="0000048F" w:rsidP="0000048F">
            <w:pPr>
              <w:spacing w:line="240" w:lineRule="auto"/>
              <w:rPr>
                <w:rFonts w:eastAsia="Times New Roman" w:cs="Arial"/>
                <w:color w:val="000000"/>
                <w:szCs w:val="20"/>
                <w:lang w:eastAsia="bg-BG"/>
              </w:rPr>
            </w:pPr>
            <w:r w:rsidRPr="0000048F">
              <w:rPr>
                <w:rFonts w:eastAsia="Times New Roman" w:cs="Arial"/>
                <w:color w:val="000000"/>
                <w:szCs w:val="20"/>
                <w:vertAlign w:val="superscript"/>
                <w:lang w:eastAsia="bg-BG"/>
              </w:rPr>
              <w:t>+</w:t>
            </w:r>
            <w:r w:rsidRPr="0000048F">
              <w:rPr>
                <w:rFonts w:eastAsia="Times New Roman" w:cs="Arial"/>
                <w:color w:val="000000"/>
                <w:szCs w:val="20"/>
                <w:lang w:eastAsia="bg-BG"/>
              </w:rPr>
              <w:t>Това нежелано събитие докладвано като много често сред пациентите, които са получавали монтелукаст е докладвано също като много често при пациенти, които са получавали плацебо в клинични проучвания.</w:t>
            </w:r>
          </w:p>
          <w:p w14:paraId="0BF2D6B3" w14:textId="77777777" w:rsidR="0000048F" w:rsidRPr="0000048F" w:rsidRDefault="0000048F" w:rsidP="0000048F">
            <w:pPr>
              <w:spacing w:line="240" w:lineRule="auto"/>
              <w:rPr>
                <w:rFonts w:eastAsia="Times New Roman" w:cs="Arial"/>
                <w:szCs w:val="24"/>
              </w:rPr>
            </w:pPr>
          </w:p>
          <w:p w14:paraId="78499B21" w14:textId="404A1C79" w:rsidR="0000048F" w:rsidRDefault="0000048F" w:rsidP="0000048F">
            <w:pPr>
              <w:spacing w:line="240" w:lineRule="auto"/>
              <w:rPr>
                <w:rFonts w:eastAsia="Times New Roman" w:cs="Arial"/>
                <w:color w:val="000000"/>
                <w:szCs w:val="20"/>
                <w:lang w:eastAsia="bg-BG"/>
              </w:rPr>
            </w:pPr>
            <w:r w:rsidRPr="0000048F">
              <w:rPr>
                <w:rFonts w:eastAsia="Times New Roman" w:cs="Arial"/>
                <w:color w:val="000000"/>
                <w:szCs w:val="20"/>
                <w:vertAlign w:val="superscript"/>
                <w:lang w:eastAsia="bg-BG"/>
              </w:rPr>
              <w:t>++</w:t>
            </w:r>
            <w:r w:rsidRPr="0000048F">
              <w:rPr>
                <w:rFonts w:eastAsia="Times New Roman" w:cs="Arial"/>
                <w:color w:val="000000"/>
                <w:szCs w:val="20"/>
                <w:lang w:eastAsia="bg-BG"/>
              </w:rPr>
              <w:t>Това нежелано събитие докладвано като често при пациентите, които са получавали монтелукаст е докладвано като често и при пациентите, които са получавали плацебо в клинични проучвания</w:t>
            </w:r>
          </w:p>
          <w:p w14:paraId="76331F2D" w14:textId="77777777" w:rsidR="0000048F" w:rsidRPr="0000048F" w:rsidRDefault="0000048F" w:rsidP="0000048F">
            <w:pPr>
              <w:spacing w:line="240" w:lineRule="auto"/>
              <w:rPr>
                <w:rFonts w:eastAsia="Times New Roman" w:cs="Arial"/>
                <w:szCs w:val="24"/>
              </w:rPr>
            </w:pPr>
          </w:p>
          <w:p w14:paraId="58FC19AC" w14:textId="3AD12F22" w:rsidR="0000048F" w:rsidRPr="0000048F" w:rsidRDefault="0000048F" w:rsidP="0000048F">
            <w:pPr>
              <w:spacing w:line="240" w:lineRule="auto"/>
              <w:rPr>
                <w:rFonts w:eastAsia="Times New Roman" w:cs="Arial"/>
                <w:szCs w:val="24"/>
              </w:rPr>
            </w:pPr>
            <w:r w:rsidRPr="0000048F">
              <w:rPr>
                <w:rFonts w:eastAsia="Times New Roman" w:cs="Arial"/>
                <w:color w:val="000000"/>
                <w:szCs w:val="20"/>
                <w:vertAlign w:val="superscript"/>
                <w:lang w:eastAsia="bg-BG"/>
              </w:rPr>
              <w:t>§</w:t>
            </w:r>
            <w:r w:rsidRPr="0000048F">
              <w:rPr>
                <w:rFonts w:eastAsia="Times New Roman" w:cs="Arial"/>
                <w:color w:val="000000"/>
                <w:szCs w:val="20"/>
                <w:lang w:eastAsia="bg-BG"/>
              </w:rPr>
              <w:t xml:space="preserve"> Категория по честота: Редки</w:t>
            </w:r>
          </w:p>
        </w:tc>
      </w:tr>
    </w:tbl>
    <w:p w14:paraId="2B10A6A9" w14:textId="7E233B22" w:rsidR="0000048F" w:rsidRDefault="0000048F" w:rsidP="0000048F">
      <w:pPr>
        <w:spacing w:line="240" w:lineRule="auto"/>
        <w:rPr>
          <w:rFonts w:eastAsia="Times New Roman" w:cs="Arial"/>
          <w:sz w:val="28"/>
          <w:szCs w:val="24"/>
        </w:rPr>
      </w:pPr>
    </w:p>
    <w:p w14:paraId="025696BA" w14:textId="77777777" w:rsidR="0000048F" w:rsidRPr="0000048F" w:rsidRDefault="0000048F" w:rsidP="0000048F">
      <w:pPr>
        <w:spacing w:line="240" w:lineRule="auto"/>
        <w:rPr>
          <w:rFonts w:eastAsia="Times New Roman" w:cs="Arial"/>
        </w:rPr>
      </w:pPr>
      <w:r w:rsidRPr="0000048F">
        <w:rPr>
          <w:rFonts w:eastAsia="Times New Roman" w:cs="Arial"/>
          <w:color w:val="000000"/>
          <w:u w:val="single"/>
          <w:lang w:eastAsia="bg-BG"/>
        </w:rPr>
        <w:t>Съобщаване на подозирани нежелани реакции</w:t>
      </w:r>
    </w:p>
    <w:p w14:paraId="4EE116F7" w14:textId="77777777" w:rsidR="0000048F" w:rsidRPr="0000048F" w:rsidRDefault="0000048F" w:rsidP="0000048F">
      <w:pPr>
        <w:spacing w:line="240" w:lineRule="auto"/>
        <w:rPr>
          <w:rFonts w:eastAsia="Times New Roman" w:cs="Arial"/>
        </w:rPr>
      </w:pPr>
      <w:r w:rsidRPr="0000048F">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изисквала съобщават всяка подозирана нежелана реакция чрез Изпълнителна агенция по лекарствата, ул. „Дамян Груев” № 8, 1303 София, тел.: +35 928903417, уебсайт: </w:t>
      </w:r>
      <w:r w:rsidRPr="0000048F">
        <w:rPr>
          <w:rFonts w:eastAsia="Times New Roman" w:cs="Arial"/>
        </w:rPr>
        <w:fldChar w:fldCharType="begin"/>
      </w:r>
      <w:r w:rsidRPr="0000048F">
        <w:rPr>
          <w:rFonts w:eastAsia="Times New Roman" w:cs="Arial"/>
        </w:rPr>
        <w:instrText xml:space="preserve"> HYPERLINK "http://www.bda.bg" </w:instrText>
      </w:r>
      <w:r w:rsidRPr="0000048F">
        <w:rPr>
          <w:rFonts w:eastAsia="Times New Roman" w:cs="Arial"/>
        </w:rPr>
      </w:r>
      <w:r w:rsidRPr="0000048F">
        <w:rPr>
          <w:rFonts w:eastAsia="Times New Roman" w:cs="Arial"/>
        </w:rPr>
        <w:fldChar w:fldCharType="separate"/>
      </w:r>
      <w:r w:rsidRPr="0000048F">
        <w:rPr>
          <w:rFonts w:eastAsia="Times New Roman" w:cs="Arial"/>
          <w:color w:val="000000"/>
          <w:lang w:val="en-US"/>
        </w:rPr>
        <w:t>www.bda.bg</w:t>
      </w:r>
      <w:r w:rsidRPr="0000048F">
        <w:rPr>
          <w:rFonts w:eastAsia="Times New Roman" w:cs="Arial"/>
        </w:rPr>
        <w:fldChar w:fldCharType="end"/>
      </w:r>
      <w:r w:rsidRPr="0000048F">
        <w:rPr>
          <w:rFonts w:eastAsia="Times New Roman" w:cs="Arial"/>
          <w:color w:val="000000"/>
          <w:lang w:val="en-US"/>
        </w:rPr>
        <w:t>.</w:t>
      </w:r>
    </w:p>
    <w:p w14:paraId="28A08AB4" w14:textId="77777777" w:rsidR="0000048F" w:rsidRPr="0000048F" w:rsidRDefault="0000048F" w:rsidP="0000048F">
      <w:pPr>
        <w:spacing w:line="240" w:lineRule="auto"/>
        <w:rPr>
          <w:rFonts w:eastAsia="Times New Roman" w:cs="Arial"/>
          <w:sz w:val="28"/>
          <w:szCs w:val="24"/>
        </w:rPr>
      </w:pPr>
    </w:p>
    <w:p w14:paraId="5A87DBA3" w14:textId="1947407D" w:rsidR="007122AD" w:rsidRDefault="002C50EE" w:rsidP="00936AD0">
      <w:pPr>
        <w:pStyle w:val="Heading2"/>
      </w:pPr>
      <w:r>
        <w:t>4.9. Предозиране</w:t>
      </w:r>
    </w:p>
    <w:p w14:paraId="5D81B82D" w14:textId="54837C19" w:rsidR="0000048F" w:rsidRDefault="0000048F" w:rsidP="0000048F"/>
    <w:p w14:paraId="3662C3E9"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В проучвания за хронична астма, монтелукаст е прилаган на възрастни пациенти в дози до 200 </w:t>
      </w:r>
      <w:r w:rsidRPr="0000048F">
        <w:rPr>
          <w:rFonts w:eastAsia="Times New Roman" w:cs="Arial"/>
          <w:color w:val="000000"/>
          <w:szCs w:val="20"/>
          <w:lang w:val="en-US"/>
        </w:rPr>
        <w:t>mg</w:t>
      </w:r>
      <w:r w:rsidRPr="0000048F">
        <w:rPr>
          <w:rFonts w:eastAsia="Times New Roman" w:cs="Arial"/>
          <w:color w:val="000000"/>
          <w:szCs w:val="20"/>
          <w:lang w:eastAsia="bg-BG"/>
        </w:rPr>
        <w:t xml:space="preserve">/дневно в продължение на 22 седмици и в краткосрочни изпитвания - до 900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дневно на пациенти за приблизително една седмица без клинично значими нежелани реакции.</w:t>
      </w:r>
    </w:p>
    <w:p w14:paraId="68000FA8" w14:textId="77777777" w:rsidR="0000048F" w:rsidRPr="0000048F" w:rsidRDefault="0000048F" w:rsidP="0000048F">
      <w:pPr>
        <w:spacing w:line="240" w:lineRule="auto"/>
        <w:rPr>
          <w:rFonts w:eastAsia="Times New Roman" w:cs="Arial"/>
          <w:color w:val="000000"/>
          <w:szCs w:val="20"/>
          <w:lang w:eastAsia="bg-BG"/>
        </w:rPr>
      </w:pPr>
    </w:p>
    <w:p w14:paraId="0602883B" w14:textId="5393CBD8"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От постмаркетинговия опит и клиничните проучвания има съобщения за остро предозиране с монтелукаст. Те включват съобщения при възрастни и деца с дози от 1 </w:t>
      </w:r>
      <w:r w:rsidRPr="0000048F">
        <w:rPr>
          <w:rFonts w:eastAsia="Times New Roman" w:cs="Arial"/>
          <w:i/>
          <w:iCs/>
          <w:color w:val="000000"/>
          <w:szCs w:val="20"/>
          <w:lang w:eastAsia="bg-BG"/>
        </w:rPr>
        <w:t>000</w:t>
      </w:r>
      <w:r w:rsidRPr="0000048F">
        <w:rPr>
          <w:rFonts w:eastAsia="Times New Roman" w:cs="Arial"/>
          <w:color w:val="000000"/>
          <w:szCs w:val="20"/>
          <w:lang w:eastAsia="bg-BG"/>
        </w:rPr>
        <w:t xml:space="preserve">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и по-високи (приблизително 61 </w:t>
      </w:r>
      <w:r w:rsidRPr="0000048F">
        <w:rPr>
          <w:rFonts w:eastAsia="Times New Roman" w:cs="Arial"/>
          <w:color w:val="000000"/>
          <w:szCs w:val="20"/>
          <w:lang w:val="en-US"/>
        </w:rPr>
        <w:t>mg</w:t>
      </w:r>
      <w:r w:rsidRPr="0000048F">
        <w:rPr>
          <w:rFonts w:eastAsia="Times New Roman" w:cs="Arial"/>
          <w:color w:val="000000"/>
          <w:szCs w:val="20"/>
          <w:lang w:val="ru-RU"/>
        </w:rPr>
        <w:t>/</w:t>
      </w:r>
      <w:r w:rsidRPr="0000048F">
        <w:rPr>
          <w:rFonts w:eastAsia="Times New Roman" w:cs="Arial"/>
          <w:color w:val="000000"/>
          <w:szCs w:val="20"/>
          <w:lang w:val="en-US"/>
        </w:rPr>
        <w:t>kg</w:t>
      </w:r>
      <w:r w:rsidRPr="0000048F">
        <w:rPr>
          <w:rFonts w:eastAsia="Times New Roman" w:cs="Arial"/>
          <w:color w:val="000000"/>
          <w:szCs w:val="20"/>
          <w:lang w:val="ru-RU"/>
        </w:rPr>
        <w:t xml:space="preserve"> </w:t>
      </w:r>
      <w:r w:rsidRPr="0000048F">
        <w:rPr>
          <w:rFonts w:eastAsia="Times New Roman" w:cs="Arial"/>
          <w:color w:val="000000"/>
          <w:szCs w:val="20"/>
          <w:lang w:eastAsia="bg-BG"/>
        </w:rPr>
        <w:t>при 42-месечно дете). Наблюдаваните клинична картина и лабораторни резултати са в съответствие с профила на безопасност при възрастни и педиатрични пациенти. В по-голямата част от съобщенията за предозиране не е имало нежелани събития.</w:t>
      </w:r>
    </w:p>
    <w:p w14:paraId="05B87B5F" w14:textId="77777777" w:rsidR="0000048F" w:rsidRPr="0000048F" w:rsidRDefault="0000048F" w:rsidP="0000048F">
      <w:pPr>
        <w:spacing w:line="240" w:lineRule="auto"/>
        <w:rPr>
          <w:rFonts w:eastAsia="Times New Roman" w:cs="Arial"/>
          <w:color w:val="000000"/>
          <w:szCs w:val="20"/>
          <w:u w:val="single"/>
          <w:lang w:eastAsia="bg-BG"/>
        </w:rPr>
      </w:pPr>
    </w:p>
    <w:p w14:paraId="2A30F6F5" w14:textId="65659957" w:rsidR="0000048F" w:rsidRPr="0000048F" w:rsidRDefault="0000048F" w:rsidP="0000048F">
      <w:pPr>
        <w:pStyle w:val="Heading3"/>
        <w:rPr>
          <w:rFonts w:eastAsia="Times New Roman"/>
          <w:sz w:val="28"/>
          <w:u w:val="single"/>
        </w:rPr>
      </w:pPr>
      <w:r w:rsidRPr="0000048F">
        <w:rPr>
          <w:rFonts w:eastAsia="Times New Roman"/>
          <w:u w:val="single"/>
          <w:lang w:eastAsia="bg-BG"/>
        </w:rPr>
        <w:t>Симптоми на предозиране</w:t>
      </w:r>
    </w:p>
    <w:p w14:paraId="337EDF55"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Най-често наблюдаваните нежелани събития са в съответствие с профила на безопасност на монтелукаст и включват коремна болка, сомнолентност, жажда, главоболие, повръщане и психомоторна хиперреакгивност.</w:t>
      </w:r>
    </w:p>
    <w:p w14:paraId="685F6A1E" w14:textId="77777777" w:rsidR="0000048F" w:rsidRPr="0000048F" w:rsidRDefault="0000048F" w:rsidP="0000048F">
      <w:pPr>
        <w:spacing w:line="240" w:lineRule="auto"/>
        <w:rPr>
          <w:rFonts w:eastAsia="Times New Roman" w:cs="Arial"/>
          <w:color w:val="000000"/>
          <w:szCs w:val="20"/>
          <w:u w:val="single"/>
          <w:lang w:eastAsia="bg-BG"/>
        </w:rPr>
      </w:pPr>
    </w:p>
    <w:p w14:paraId="254AA0EA" w14:textId="11619A0C" w:rsidR="0000048F" w:rsidRPr="0000048F" w:rsidRDefault="0000048F" w:rsidP="0000048F">
      <w:pPr>
        <w:pStyle w:val="Heading3"/>
        <w:rPr>
          <w:rFonts w:eastAsia="Times New Roman"/>
          <w:sz w:val="28"/>
          <w:u w:val="single"/>
        </w:rPr>
      </w:pPr>
      <w:r w:rsidRPr="0000048F">
        <w:rPr>
          <w:rFonts w:eastAsia="Times New Roman"/>
          <w:u w:val="single"/>
          <w:lang w:eastAsia="bg-BG"/>
        </w:rPr>
        <w:t>Лечение на предозиране</w:t>
      </w:r>
    </w:p>
    <w:p w14:paraId="4D29B4F9" w14:textId="731FF527" w:rsidR="0000048F" w:rsidRDefault="0000048F" w:rsidP="0000048F">
      <w:pPr>
        <w:rPr>
          <w:rFonts w:eastAsia="Times New Roman" w:cs="Arial"/>
          <w:color w:val="000000"/>
          <w:szCs w:val="20"/>
          <w:lang w:eastAsia="bg-BG"/>
        </w:rPr>
      </w:pPr>
      <w:r w:rsidRPr="0000048F">
        <w:rPr>
          <w:rFonts w:eastAsia="Times New Roman" w:cs="Arial"/>
          <w:color w:val="000000"/>
          <w:szCs w:val="20"/>
          <w:lang w:eastAsia="bg-BG"/>
        </w:rPr>
        <w:t>Няма налична специфична информация относно лечението на предозиране с монтелукаст. Не е известно дали монтелукаст се диализира посредством перитонеална или хемодиализа</w:t>
      </w:r>
    </w:p>
    <w:p w14:paraId="2C0CCF08" w14:textId="77777777" w:rsidR="0000048F" w:rsidRPr="0000048F" w:rsidRDefault="0000048F" w:rsidP="0000048F">
      <w:pPr>
        <w:rPr>
          <w:rFonts w:eastAsia="Times New Roman" w:cs="Arial"/>
          <w:color w:val="000000"/>
          <w:szCs w:val="20"/>
          <w:lang w:eastAsia="bg-BG"/>
        </w:rPr>
      </w:pPr>
    </w:p>
    <w:p w14:paraId="02081B24" w14:textId="1F46E296" w:rsidR="00395555" w:rsidRPr="00395555" w:rsidRDefault="002C50EE" w:rsidP="008A6AF2">
      <w:pPr>
        <w:pStyle w:val="Heading1"/>
      </w:pPr>
      <w:r>
        <w:t>5. ФАРМАКОЛОГИЧНИ СВОЙСТВА</w:t>
      </w:r>
    </w:p>
    <w:p w14:paraId="7DE36AC8" w14:textId="026F351C" w:rsidR="00B6672E" w:rsidRDefault="002C50EE" w:rsidP="00936AD0">
      <w:pPr>
        <w:pStyle w:val="Heading2"/>
      </w:pPr>
      <w:r>
        <w:t>5.1. Фармакодинамични свойства</w:t>
      </w:r>
    </w:p>
    <w:p w14:paraId="7F55266B" w14:textId="00AFE05F" w:rsidR="0000048F" w:rsidRDefault="0000048F" w:rsidP="0000048F"/>
    <w:p w14:paraId="4EA6EE52"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Фармакотерапевтична група: левкотриенови рецепторни антагонисти, АТС код: </w:t>
      </w:r>
      <w:r w:rsidRPr="0000048F">
        <w:rPr>
          <w:rFonts w:eastAsia="Times New Roman" w:cs="Arial"/>
          <w:color w:val="000000"/>
          <w:szCs w:val="20"/>
          <w:lang w:val="en-US"/>
        </w:rPr>
        <w:t>R</w:t>
      </w:r>
      <w:r w:rsidRPr="0000048F">
        <w:rPr>
          <w:rFonts w:eastAsia="Times New Roman" w:cs="Arial"/>
          <w:color w:val="000000"/>
          <w:szCs w:val="20"/>
          <w:lang w:val="ru-RU"/>
        </w:rPr>
        <w:t>03</w:t>
      </w:r>
      <w:r w:rsidRPr="0000048F">
        <w:rPr>
          <w:rFonts w:eastAsia="Times New Roman" w:cs="Arial"/>
          <w:color w:val="000000"/>
          <w:szCs w:val="20"/>
          <w:lang w:val="en-US"/>
        </w:rPr>
        <w:t>DC</w:t>
      </w:r>
      <w:r w:rsidRPr="0000048F">
        <w:rPr>
          <w:rFonts w:eastAsia="Times New Roman" w:cs="Arial"/>
          <w:color w:val="000000"/>
          <w:szCs w:val="20"/>
          <w:lang w:val="ru-RU"/>
        </w:rPr>
        <w:t>03</w:t>
      </w:r>
    </w:p>
    <w:p w14:paraId="37E323F1" w14:textId="77777777" w:rsidR="0000048F" w:rsidRPr="0000048F" w:rsidRDefault="0000048F" w:rsidP="0000048F">
      <w:pPr>
        <w:spacing w:line="240" w:lineRule="auto"/>
        <w:rPr>
          <w:rFonts w:eastAsia="Times New Roman" w:cs="Arial"/>
          <w:color w:val="000000"/>
          <w:szCs w:val="20"/>
          <w:u w:val="single"/>
          <w:lang w:eastAsia="bg-BG"/>
        </w:rPr>
      </w:pPr>
    </w:p>
    <w:p w14:paraId="75118F6F" w14:textId="10C02F4C"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u w:val="single"/>
          <w:lang w:eastAsia="bg-BG"/>
        </w:rPr>
        <w:t>Механизъм на действие</w:t>
      </w:r>
    </w:p>
    <w:p w14:paraId="6F1EEB1C" w14:textId="77777777" w:rsidR="0000048F" w:rsidRPr="0000048F" w:rsidRDefault="0000048F" w:rsidP="0000048F">
      <w:pPr>
        <w:spacing w:line="240" w:lineRule="auto"/>
        <w:rPr>
          <w:rFonts w:eastAsia="Times New Roman" w:cs="Arial"/>
          <w:color w:val="000000"/>
          <w:szCs w:val="20"/>
          <w:lang w:eastAsia="bg-BG"/>
        </w:rPr>
      </w:pPr>
      <w:r w:rsidRPr="0000048F">
        <w:rPr>
          <w:rFonts w:eastAsia="Times New Roman" w:cs="Arial"/>
          <w:color w:val="000000"/>
          <w:szCs w:val="20"/>
          <w:lang w:eastAsia="bg-BG"/>
        </w:rPr>
        <w:t xml:space="preserve">Цистениловите левкотриени </w:t>
      </w:r>
      <w:r w:rsidRPr="0000048F">
        <w:rPr>
          <w:rFonts w:eastAsia="Times New Roman" w:cs="Arial"/>
          <w:color w:val="000000"/>
          <w:szCs w:val="20"/>
          <w:lang w:val="ru-RU"/>
        </w:rPr>
        <w:t>(</w:t>
      </w:r>
      <w:r w:rsidRPr="0000048F">
        <w:rPr>
          <w:rFonts w:eastAsia="Times New Roman" w:cs="Arial"/>
          <w:color w:val="000000"/>
          <w:szCs w:val="20"/>
          <w:lang w:val="en-US"/>
        </w:rPr>
        <w:t>LTC</w:t>
      </w:r>
      <w:r w:rsidRPr="0000048F">
        <w:rPr>
          <w:rFonts w:eastAsia="Times New Roman" w:cs="Arial"/>
          <w:color w:val="000000"/>
          <w:szCs w:val="20"/>
          <w:lang w:val="ru-RU"/>
        </w:rPr>
        <w:t xml:space="preserve">4, </w:t>
      </w:r>
      <w:r w:rsidRPr="0000048F">
        <w:rPr>
          <w:rFonts w:eastAsia="Times New Roman" w:cs="Arial"/>
          <w:color w:val="000000"/>
          <w:szCs w:val="20"/>
          <w:lang w:val="en-US"/>
        </w:rPr>
        <w:t>LTD</w:t>
      </w:r>
      <w:r w:rsidRPr="0000048F">
        <w:rPr>
          <w:rFonts w:eastAsia="Times New Roman" w:cs="Arial"/>
          <w:color w:val="000000"/>
          <w:szCs w:val="20"/>
          <w:vertAlign w:val="subscript"/>
          <w:lang w:val="ru-RU"/>
        </w:rPr>
        <w:t>4</w:t>
      </w:r>
      <w:r w:rsidRPr="0000048F">
        <w:rPr>
          <w:rFonts w:eastAsia="Times New Roman" w:cs="Arial"/>
          <w:color w:val="000000"/>
          <w:szCs w:val="20"/>
          <w:lang w:val="ru-RU"/>
        </w:rPr>
        <w:t xml:space="preserve">, </w:t>
      </w:r>
      <w:r w:rsidRPr="0000048F">
        <w:rPr>
          <w:rFonts w:eastAsia="Times New Roman" w:cs="Arial"/>
          <w:color w:val="000000"/>
          <w:szCs w:val="20"/>
          <w:lang w:val="en-US"/>
        </w:rPr>
        <w:t>LTE</w:t>
      </w:r>
      <w:r w:rsidRPr="0000048F">
        <w:rPr>
          <w:rFonts w:eastAsia="Times New Roman" w:cs="Arial"/>
          <w:color w:val="000000"/>
          <w:szCs w:val="20"/>
          <w:vertAlign w:val="subscript"/>
          <w:lang w:val="ru-RU"/>
        </w:rPr>
        <w:t>4</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са мощни възпалителни ейкозаноиди, които се освобождават от различни клетки, включително мастоцити и еозинофилни гранулоцити. Тези важни проастматични медиатори се свързват с цистенил левкотриенови </w:t>
      </w:r>
      <w:r w:rsidRPr="0000048F">
        <w:rPr>
          <w:rFonts w:eastAsia="Times New Roman" w:cs="Arial"/>
          <w:color w:val="000000"/>
          <w:szCs w:val="20"/>
          <w:lang w:val="ru-RU"/>
        </w:rPr>
        <w:t>(</w:t>
      </w:r>
      <w:proofErr w:type="spellStart"/>
      <w:r w:rsidRPr="0000048F">
        <w:rPr>
          <w:rFonts w:eastAsia="Times New Roman" w:cs="Arial"/>
          <w:color w:val="000000"/>
          <w:szCs w:val="20"/>
          <w:lang w:val="en-US"/>
        </w:rPr>
        <w:t>CysLT</w:t>
      </w:r>
      <w:proofErr w:type="spellEnd"/>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рецептори. </w:t>
      </w:r>
      <w:proofErr w:type="spellStart"/>
      <w:r w:rsidRPr="0000048F">
        <w:rPr>
          <w:rFonts w:eastAsia="Times New Roman" w:cs="Arial"/>
          <w:color w:val="000000"/>
          <w:szCs w:val="20"/>
          <w:lang w:val="en-US"/>
        </w:rPr>
        <w:t>CysLT</w:t>
      </w:r>
      <w:proofErr w:type="spellEnd"/>
      <w:r w:rsidRPr="0000048F">
        <w:rPr>
          <w:rFonts w:eastAsia="Times New Roman" w:cs="Arial"/>
          <w:color w:val="000000"/>
          <w:szCs w:val="20"/>
        </w:rPr>
        <w:t xml:space="preserve"> </w:t>
      </w:r>
      <w:r w:rsidRPr="0000048F">
        <w:rPr>
          <w:rFonts w:eastAsia="Times New Roman" w:cs="Arial"/>
          <w:color w:val="000000"/>
          <w:szCs w:val="20"/>
          <w:lang w:eastAsia="bg-BG"/>
        </w:rPr>
        <w:t xml:space="preserve">тип 1 </w:t>
      </w:r>
      <w:r w:rsidRPr="0000048F">
        <w:rPr>
          <w:rFonts w:eastAsia="Times New Roman" w:cs="Arial"/>
          <w:i/>
          <w:iCs/>
          <w:color w:val="000000"/>
          <w:szCs w:val="20"/>
        </w:rPr>
        <w:t>(</w:t>
      </w:r>
      <w:proofErr w:type="spellStart"/>
      <w:r w:rsidRPr="0000048F">
        <w:rPr>
          <w:rFonts w:eastAsia="Times New Roman" w:cs="Arial"/>
          <w:i/>
          <w:iCs/>
          <w:color w:val="000000"/>
          <w:szCs w:val="20"/>
          <w:lang w:val="en-US"/>
        </w:rPr>
        <w:t>CysLT</w:t>
      </w:r>
      <w:proofErr w:type="spellEnd"/>
      <w:r w:rsidRPr="0000048F">
        <w:rPr>
          <w:rFonts w:eastAsia="Times New Roman" w:cs="Arial"/>
          <w:i/>
          <w:iCs/>
          <w:color w:val="000000"/>
          <w:szCs w:val="20"/>
          <w:vertAlign w:val="subscript"/>
        </w:rPr>
        <w:t>1</w:t>
      </w:r>
      <w:r w:rsidRPr="0000048F">
        <w:rPr>
          <w:rFonts w:eastAsia="Times New Roman" w:cs="Arial"/>
          <w:i/>
          <w:iCs/>
          <w:color w:val="000000"/>
          <w:szCs w:val="20"/>
        </w:rPr>
        <w:t>)</w:t>
      </w:r>
      <w:r w:rsidRPr="0000048F">
        <w:rPr>
          <w:rFonts w:eastAsia="Times New Roman" w:cs="Arial"/>
          <w:color w:val="000000"/>
          <w:szCs w:val="20"/>
        </w:rPr>
        <w:t xml:space="preserve"> </w:t>
      </w:r>
      <w:r w:rsidRPr="0000048F">
        <w:rPr>
          <w:rFonts w:eastAsia="Times New Roman" w:cs="Arial"/>
          <w:color w:val="000000"/>
          <w:szCs w:val="20"/>
          <w:lang w:eastAsia="bg-BG"/>
        </w:rPr>
        <w:t xml:space="preserve">рецепторът е разположен в дихателните пътища при човека (включително гладката мускулатура на дихателните пътища и макрофагите) и върху други проинфламаторни клетки (включително еозинофили и </w:t>
      </w:r>
    </w:p>
    <w:p w14:paraId="3DB898C0" w14:textId="1FE6AA45"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някои типове миелоидни стволови клетки).</w:t>
      </w:r>
    </w:p>
    <w:p w14:paraId="64F3888D" w14:textId="77777777" w:rsidR="0000048F" w:rsidRPr="0000048F" w:rsidRDefault="0000048F" w:rsidP="0000048F">
      <w:pPr>
        <w:spacing w:line="240" w:lineRule="auto"/>
        <w:rPr>
          <w:rFonts w:eastAsia="Times New Roman" w:cs="Arial"/>
          <w:color w:val="000000"/>
          <w:szCs w:val="20"/>
          <w:u w:val="single"/>
          <w:lang w:eastAsia="bg-BG"/>
        </w:rPr>
      </w:pPr>
    </w:p>
    <w:p w14:paraId="6DC8C84D" w14:textId="102E8D68"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u w:val="single"/>
          <w:lang w:eastAsia="bg-BG"/>
        </w:rPr>
        <w:t>Фармакодинамични ефекти</w:t>
      </w:r>
    </w:p>
    <w:p w14:paraId="4AB927E9"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Монтелукаст е активна съставка приложена перорално и се свързва с висок афинитет и селективност към </w:t>
      </w:r>
      <w:proofErr w:type="spellStart"/>
      <w:r w:rsidRPr="0000048F">
        <w:rPr>
          <w:rFonts w:eastAsia="Times New Roman" w:cs="Arial"/>
          <w:color w:val="000000"/>
          <w:szCs w:val="20"/>
          <w:lang w:val="en-US"/>
        </w:rPr>
        <w:t>CysLT</w:t>
      </w:r>
      <w:proofErr w:type="spellEnd"/>
      <w:r w:rsidRPr="0000048F">
        <w:rPr>
          <w:rFonts w:eastAsia="Times New Roman" w:cs="Arial"/>
          <w:color w:val="000000"/>
          <w:szCs w:val="20"/>
          <w:vertAlign w:val="subscript"/>
          <w:lang w:val="ru-RU"/>
        </w:rPr>
        <w:t>1</w:t>
      </w:r>
      <w:r w:rsidRPr="0000048F">
        <w:rPr>
          <w:rFonts w:eastAsia="Times New Roman" w:cs="Arial"/>
          <w:color w:val="000000"/>
          <w:szCs w:val="20"/>
          <w:lang w:eastAsia="bg-BG"/>
        </w:rPr>
        <w:t xml:space="preserve"> рецептора. В клинични изпитвания монтелукаст инхибира бронхоконстрикцията благодарение на инхалаторния </w:t>
      </w:r>
      <w:r w:rsidRPr="0000048F">
        <w:rPr>
          <w:rFonts w:eastAsia="Times New Roman" w:cs="Arial"/>
          <w:color w:val="000000"/>
          <w:szCs w:val="20"/>
          <w:lang w:val="en-US"/>
        </w:rPr>
        <w:t>LTD</w:t>
      </w:r>
      <w:r w:rsidRPr="0000048F">
        <w:rPr>
          <w:rFonts w:eastAsia="Times New Roman" w:cs="Arial"/>
          <w:color w:val="000000"/>
          <w:szCs w:val="20"/>
          <w:vertAlign w:val="subscript"/>
          <w:lang w:val="ru-RU"/>
        </w:rPr>
        <w:t>4</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в дози от 5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В рамките на два часа след перорално приложение се наблюдава бронходилатация. Бронходилатиращия ефект предизвикан от бета-агонист е адитивен спрямо този предизвикан от монтелукаст. Лечението с монтелукаст инхибира ранната и късната фаза на бронхоконстрикцията благодарение на антигенното активиране. Монтелукаст в сравнение с плацебо намалява броя на еозинофилите в периферната кръв при възрастни и педиатрични пациенти. В отделно изпитване лечението с монтелукаст води до значимо намаление на еозинофилите в дихателните пътища (определени в храчка) и в периферната кръв, докато подобрява контрола на астмата.</w:t>
      </w:r>
    </w:p>
    <w:p w14:paraId="08894B83" w14:textId="77777777" w:rsidR="0000048F" w:rsidRPr="0000048F" w:rsidRDefault="0000048F" w:rsidP="0000048F">
      <w:pPr>
        <w:spacing w:line="240" w:lineRule="auto"/>
        <w:rPr>
          <w:rFonts w:eastAsia="Times New Roman" w:cs="Arial"/>
          <w:color w:val="000000"/>
          <w:szCs w:val="20"/>
          <w:u w:val="single"/>
          <w:lang w:eastAsia="bg-BG"/>
        </w:rPr>
      </w:pPr>
    </w:p>
    <w:p w14:paraId="3C3CEBE3" w14:textId="6DCA64C8"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u w:val="single"/>
          <w:lang w:eastAsia="bg-BG"/>
        </w:rPr>
        <w:t>Клинична ефикасност и безопасност</w:t>
      </w:r>
    </w:p>
    <w:p w14:paraId="08323FEE"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В проучвания при възрастни монтелукаст 10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веднъж дневно, сравнен с плацебо е доказал значително подобрение в сутрешния форсиран експираторен обем за 1 минута (10,4% спрямо 2,7% промяна от изходните стойности), АМ върховия експираторен дебит (24,5 </w:t>
      </w:r>
      <w:r w:rsidRPr="0000048F">
        <w:rPr>
          <w:rFonts w:eastAsia="Times New Roman" w:cs="Arial"/>
          <w:color w:val="000000"/>
          <w:szCs w:val="20"/>
          <w:lang w:val="ru-RU"/>
        </w:rPr>
        <w:t>1/</w:t>
      </w:r>
      <w:r w:rsidRPr="0000048F">
        <w:rPr>
          <w:rFonts w:eastAsia="Times New Roman" w:cs="Arial"/>
          <w:color w:val="000000"/>
          <w:szCs w:val="20"/>
          <w:lang w:val="en-US"/>
        </w:rPr>
        <w:t>min</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спрямо 3,3 </w:t>
      </w:r>
      <w:r w:rsidRPr="0000048F">
        <w:rPr>
          <w:rFonts w:eastAsia="Times New Roman" w:cs="Arial"/>
          <w:color w:val="000000"/>
          <w:szCs w:val="20"/>
          <w:lang w:val="en-US"/>
        </w:rPr>
        <w:t>l</w:t>
      </w:r>
      <w:r w:rsidRPr="0000048F">
        <w:rPr>
          <w:rFonts w:eastAsia="Times New Roman" w:cs="Arial"/>
          <w:color w:val="000000"/>
          <w:szCs w:val="20"/>
          <w:lang w:val="ru-RU"/>
        </w:rPr>
        <w:t>/</w:t>
      </w:r>
      <w:r w:rsidRPr="0000048F">
        <w:rPr>
          <w:rFonts w:eastAsia="Times New Roman" w:cs="Arial"/>
          <w:color w:val="000000"/>
          <w:szCs w:val="20"/>
          <w:lang w:val="en-US"/>
        </w:rPr>
        <w:t>min</w:t>
      </w:r>
      <w:r w:rsidRPr="0000048F">
        <w:rPr>
          <w:rFonts w:eastAsia="Times New Roman" w:cs="Arial"/>
          <w:color w:val="000000"/>
          <w:szCs w:val="20"/>
          <w:lang w:val="ru-RU"/>
        </w:rPr>
        <w:t xml:space="preserve"> </w:t>
      </w:r>
      <w:r w:rsidRPr="0000048F">
        <w:rPr>
          <w:rFonts w:eastAsia="Times New Roman" w:cs="Arial"/>
          <w:color w:val="000000"/>
          <w:szCs w:val="20"/>
          <w:lang w:eastAsia="bg-BG"/>
        </w:rPr>
        <w:t>промяна спрямо изходните стойности) и значимо намаление в общата употреба на бета-агонисти (-26,1% спрямо 4,6% промяна от изходните стойности). Подобрение в съобщаваните от пациентите симптоми през деня и нощта е било значително по-добро от колкото при плацебо.</w:t>
      </w:r>
    </w:p>
    <w:p w14:paraId="4A93BF72" w14:textId="77777777" w:rsidR="0000048F" w:rsidRPr="0000048F" w:rsidRDefault="0000048F" w:rsidP="0000048F">
      <w:pPr>
        <w:spacing w:line="240" w:lineRule="auto"/>
        <w:rPr>
          <w:rFonts w:eastAsia="Times New Roman" w:cs="Arial"/>
          <w:color w:val="000000"/>
          <w:szCs w:val="20"/>
          <w:lang w:eastAsia="bg-BG"/>
        </w:rPr>
      </w:pPr>
    </w:p>
    <w:p w14:paraId="0ACB467C" w14:textId="1622A800"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Проучванията при възрастни са доказали способността на монтелукаст да допълва клиничния ефект на инхалаторния кортикостероид (% промяна от изходните показатели за инхалаторен беклометазон плюс монтелукаст спрямо беклометазон по отношение на ФЕО</w:t>
      </w:r>
      <w:r w:rsidRPr="0000048F">
        <w:rPr>
          <w:rFonts w:eastAsia="Times New Roman" w:cs="Arial"/>
          <w:color w:val="000000"/>
          <w:szCs w:val="20"/>
          <w:vertAlign w:val="subscript"/>
          <w:lang w:eastAsia="bg-BG"/>
        </w:rPr>
        <w:t>1</w:t>
      </w:r>
      <w:r w:rsidRPr="0000048F">
        <w:rPr>
          <w:rFonts w:eastAsia="Times New Roman" w:cs="Arial"/>
          <w:color w:val="000000"/>
          <w:szCs w:val="20"/>
          <w:lang w:eastAsia="bg-BG"/>
        </w:rPr>
        <w:t xml:space="preserve">: 5,43% срещу 1,04%; употреба на β-агонист: -8,70% срещу 2,64%). Сравнен с инхалаторен беклометазон (200 </w:t>
      </w:r>
      <w:r w:rsidRPr="0000048F">
        <w:rPr>
          <w:rFonts w:eastAsia="Times New Roman" w:cs="Arial"/>
          <w:color w:val="000000"/>
          <w:szCs w:val="20"/>
          <w:lang w:val="en-US"/>
        </w:rPr>
        <w:t>micrograms</w:t>
      </w:r>
      <w:r w:rsidRPr="0000048F">
        <w:rPr>
          <w:rFonts w:eastAsia="Times New Roman" w:cs="Arial"/>
          <w:color w:val="000000"/>
          <w:szCs w:val="20"/>
          <w:lang w:val="ru-RU"/>
        </w:rPr>
        <w:t xml:space="preserve"> </w:t>
      </w:r>
      <w:r w:rsidRPr="0000048F">
        <w:rPr>
          <w:rFonts w:eastAsia="Times New Roman" w:cs="Arial"/>
          <w:color w:val="000000"/>
          <w:szCs w:val="20"/>
          <w:lang w:eastAsia="bg-BG"/>
        </w:rPr>
        <w:t>два пъти дневно с небулизатор), монтелукаст е демонстрирал по-бърз начален отговор, макар че за 12-седмично изпитване беклометазон осигурява по-добър среден терапевтичен ефект (% промяна от изходните показатели съответно за ФЕО</w:t>
      </w:r>
      <w:r w:rsidRPr="0000048F">
        <w:rPr>
          <w:rFonts w:eastAsia="Times New Roman" w:cs="Arial"/>
          <w:color w:val="000000"/>
          <w:szCs w:val="20"/>
          <w:vertAlign w:val="subscript"/>
          <w:lang w:eastAsia="bg-BG"/>
        </w:rPr>
        <w:t>1</w:t>
      </w:r>
      <w:r w:rsidRPr="0000048F">
        <w:rPr>
          <w:rFonts w:eastAsia="Times New Roman" w:cs="Arial"/>
          <w:color w:val="000000"/>
          <w:szCs w:val="20"/>
          <w:lang w:eastAsia="bg-BG"/>
        </w:rPr>
        <w:t xml:space="preserve">: 7,49% срещу 13,3%; употреба на р-агонисти: -28,28% срещу -43,89%). Все пак, сравнени с беклометазон, висок процент от пациентите третирани с монтелукаст са достигнали подобни клинични отговори (напр. 50% от пациентите, лекувани с беклометазон постигат подобрение във ФЕО1 от приблизително </w:t>
      </w:r>
      <w:r w:rsidRPr="0000048F">
        <w:rPr>
          <w:rFonts w:eastAsia="Times New Roman" w:cs="Arial"/>
          <w:color w:val="000000"/>
          <w:szCs w:val="20"/>
          <w:lang w:eastAsia="bg-BG"/>
        </w:rPr>
        <w:lastRenderedPageBreak/>
        <w:t>11% или повече над изходните стойност, докато приблизително 42% от пациентите, третирани с монтелукаст достигат същия отговор).</w:t>
      </w:r>
    </w:p>
    <w:p w14:paraId="0BD5BDDF" w14:textId="77777777" w:rsidR="0000048F" w:rsidRPr="0000048F" w:rsidRDefault="0000048F" w:rsidP="0000048F">
      <w:pPr>
        <w:spacing w:line="240" w:lineRule="auto"/>
        <w:rPr>
          <w:rFonts w:eastAsia="Times New Roman" w:cs="Arial"/>
          <w:color w:val="000000"/>
          <w:szCs w:val="20"/>
          <w:lang w:eastAsia="bg-BG"/>
        </w:rPr>
      </w:pPr>
    </w:p>
    <w:p w14:paraId="763F4C8A" w14:textId="16413F6C" w:rsidR="0000048F" w:rsidRPr="0000048F" w:rsidRDefault="0000048F" w:rsidP="0000048F">
      <w:pPr>
        <w:spacing w:line="240" w:lineRule="auto"/>
        <w:rPr>
          <w:rFonts w:eastAsia="Times New Roman" w:cs="Arial"/>
          <w:color w:val="000000"/>
          <w:szCs w:val="20"/>
          <w:lang w:eastAsia="bg-BG"/>
        </w:rPr>
      </w:pPr>
      <w:r w:rsidRPr="0000048F">
        <w:rPr>
          <w:rFonts w:eastAsia="Times New Roman" w:cs="Arial"/>
          <w:color w:val="000000"/>
          <w:szCs w:val="20"/>
          <w:lang w:eastAsia="bg-BG"/>
        </w:rPr>
        <w:t xml:space="preserve">В 8-седмично проучване при пациенти на възраст между 6 и 14 години, монтелукаст 5 </w:t>
      </w:r>
      <w:r w:rsidRPr="0000048F">
        <w:rPr>
          <w:rFonts w:eastAsia="Times New Roman" w:cs="Arial"/>
          <w:color w:val="000000"/>
          <w:szCs w:val="20"/>
          <w:lang w:val="en-US"/>
        </w:rPr>
        <w:t>mg</w:t>
      </w:r>
      <w:r w:rsidRPr="0000048F">
        <w:rPr>
          <w:rFonts w:eastAsia="Times New Roman" w:cs="Arial"/>
          <w:color w:val="000000"/>
          <w:szCs w:val="20"/>
          <w:lang w:eastAsia="bg-BG"/>
        </w:rPr>
        <w:t xml:space="preserve"> веднъж дневно, в сравнение с плацебо значително е подобрил респираторната функция (ФЕО</w:t>
      </w:r>
      <w:r w:rsidRPr="0000048F">
        <w:rPr>
          <w:rFonts w:eastAsia="Times New Roman" w:cs="Arial"/>
          <w:color w:val="000000"/>
          <w:szCs w:val="20"/>
          <w:vertAlign w:val="subscript"/>
          <w:lang w:eastAsia="bg-BG"/>
        </w:rPr>
        <w:t>1</w:t>
      </w:r>
      <w:r w:rsidRPr="0000048F">
        <w:rPr>
          <w:rFonts w:eastAsia="Times New Roman" w:cs="Arial"/>
          <w:color w:val="000000"/>
          <w:szCs w:val="20"/>
          <w:lang w:eastAsia="bg-BG"/>
        </w:rPr>
        <w:t xml:space="preserve">: 8,71 % спрямо 4,16% промяна от изходните стойности; върхов експираторен дебит 27,9 </w:t>
      </w:r>
      <w:r w:rsidRPr="0000048F">
        <w:rPr>
          <w:rFonts w:eastAsia="Times New Roman" w:cs="Arial"/>
          <w:color w:val="000000"/>
          <w:szCs w:val="20"/>
          <w:lang w:val="en-US"/>
        </w:rPr>
        <w:t>l</w:t>
      </w:r>
      <w:r w:rsidRPr="0000048F">
        <w:rPr>
          <w:rFonts w:eastAsia="Times New Roman" w:cs="Arial"/>
          <w:color w:val="000000"/>
          <w:szCs w:val="20"/>
          <w:lang w:val="ru-RU"/>
        </w:rPr>
        <w:t>/</w:t>
      </w:r>
      <w:r w:rsidRPr="0000048F">
        <w:rPr>
          <w:rFonts w:eastAsia="Times New Roman" w:cs="Arial"/>
          <w:color w:val="000000"/>
          <w:szCs w:val="20"/>
          <w:lang w:val="en-US"/>
        </w:rPr>
        <w:t>min</w:t>
      </w:r>
      <w:r w:rsidRPr="0000048F">
        <w:rPr>
          <w:rFonts w:eastAsia="Times New Roman" w:cs="Arial"/>
          <w:color w:val="000000"/>
          <w:szCs w:val="20"/>
          <w:lang w:eastAsia="bg-BG"/>
        </w:rPr>
        <w:t xml:space="preserve"> спрямо 17,8 </w:t>
      </w:r>
      <w:r w:rsidRPr="0000048F">
        <w:rPr>
          <w:rFonts w:eastAsia="Times New Roman" w:cs="Arial"/>
          <w:color w:val="000000"/>
          <w:szCs w:val="20"/>
          <w:lang w:val="ru-RU"/>
        </w:rPr>
        <w:t>1/</w:t>
      </w:r>
      <w:r w:rsidRPr="0000048F">
        <w:rPr>
          <w:rFonts w:eastAsia="Times New Roman" w:cs="Arial"/>
          <w:color w:val="000000"/>
          <w:szCs w:val="20"/>
          <w:lang w:val="en-US"/>
        </w:rPr>
        <w:t>min</w:t>
      </w:r>
      <w:r w:rsidRPr="0000048F">
        <w:rPr>
          <w:rFonts w:eastAsia="Times New Roman" w:cs="Arial"/>
          <w:color w:val="000000"/>
          <w:szCs w:val="20"/>
          <w:lang w:val="ru-RU"/>
        </w:rPr>
        <w:t xml:space="preserve"> </w:t>
      </w:r>
      <w:r w:rsidRPr="0000048F">
        <w:rPr>
          <w:rFonts w:eastAsia="Times New Roman" w:cs="Arial"/>
          <w:color w:val="000000"/>
          <w:szCs w:val="20"/>
          <w:lang w:eastAsia="bg-BG"/>
        </w:rPr>
        <w:t>промяна от изходните стойности) и намаление употребата на β-агонист при</w:t>
      </w:r>
      <w:r w:rsidRPr="0000048F">
        <w:rPr>
          <w:rFonts w:eastAsia="Times New Roman" w:cs="Arial"/>
          <w:sz w:val="28"/>
          <w:szCs w:val="24"/>
        </w:rPr>
        <w:t xml:space="preserve"> </w:t>
      </w:r>
      <w:r w:rsidRPr="0000048F">
        <w:rPr>
          <w:rFonts w:eastAsia="Times New Roman" w:cs="Arial"/>
          <w:color w:val="000000"/>
          <w:szCs w:val="20"/>
          <w:lang w:eastAsia="bg-BG"/>
        </w:rPr>
        <w:t>необходимост (-11,7% спрямо +8,2% промяна от изходната).</w:t>
      </w:r>
    </w:p>
    <w:p w14:paraId="602AE135" w14:textId="680E9953" w:rsidR="0000048F" w:rsidRPr="0000048F" w:rsidRDefault="0000048F" w:rsidP="0000048F">
      <w:pPr>
        <w:spacing w:line="240" w:lineRule="auto"/>
        <w:rPr>
          <w:rFonts w:eastAsia="Times New Roman" w:cs="Arial"/>
          <w:color w:val="000000"/>
          <w:szCs w:val="20"/>
          <w:lang w:eastAsia="bg-BG"/>
        </w:rPr>
      </w:pPr>
    </w:p>
    <w:p w14:paraId="1F20F264"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В 12-седмично проучване, сравняващо ефикасността на монтелукаст спрямо инхалаторен флутиказон по отношение контрол на астмата при пациенти на възраст между 6 и 14 години с лека персистираща астма, монтелукаст не е бил е по-лош от флутиказон в повишаването на процента на свободните от астма дни (САД). Осреднения над 12 месеца терапевтичен период, процентът на САД се е повишил от 61,6 на 84,0 в групата за монтелукаст и от 60,9 на 86,7 в групата с флутиказон. Разликата между двете групи в ЛС незначително повишила процентът на САД - 2,8 с 95% коефициент на доверителност от -4,7, -0,9. И монтелукаст, и флутиказон са подобрили вариабилните за контрола върху астмата, оценени след 12-месечен терапевтичен период.</w:t>
      </w:r>
    </w:p>
    <w:p w14:paraId="580F3051" w14:textId="77777777" w:rsidR="0000048F" w:rsidRPr="0000048F" w:rsidRDefault="0000048F" w:rsidP="0000048F">
      <w:pPr>
        <w:pStyle w:val="ListParagraph"/>
        <w:numPr>
          <w:ilvl w:val="0"/>
          <w:numId w:val="39"/>
        </w:numPr>
        <w:spacing w:line="240" w:lineRule="auto"/>
        <w:rPr>
          <w:rFonts w:eastAsia="Times New Roman" w:cs="Arial"/>
          <w:sz w:val="28"/>
          <w:szCs w:val="24"/>
        </w:rPr>
      </w:pPr>
      <w:r w:rsidRPr="0000048F">
        <w:rPr>
          <w:rFonts w:eastAsia="Times New Roman" w:cs="Arial"/>
          <w:color w:val="000000"/>
          <w:szCs w:val="20"/>
          <w:lang w:eastAsia="bg-BG"/>
        </w:rPr>
        <w:t>ФЕО1 е нараснал от 1,83 1 на 2,091 в групата с монтелукаст и от 1,85 1 на 2,14 1 в групата с флутиказон. Междугруповата разликата по отношение на ЛС-незначително увеличение във ФЕО1 е била -0,02 1 с 95% коефициент на доверителност от -0,06,0,02. Предвиденото незначително нарастване от изходните стойности в % за ФЕО1 беше 0,6% в групата за монтелукаст и 2,7% в групата, лекувана с флутиказон. Разликите за промени от изходните стойности в предвидени проценти за ФЕО1 са били -2,2% с 95% коефициент на доверителност на -3,6, -0,7.</w:t>
      </w:r>
    </w:p>
    <w:p w14:paraId="649E8020" w14:textId="77777777" w:rsidR="0000048F" w:rsidRPr="0000048F" w:rsidRDefault="0000048F" w:rsidP="0000048F">
      <w:pPr>
        <w:pStyle w:val="ListParagraph"/>
        <w:numPr>
          <w:ilvl w:val="0"/>
          <w:numId w:val="39"/>
        </w:numPr>
        <w:spacing w:line="240" w:lineRule="auto"/>
        <w:rPr>
          <w:rFonts w:eastAsia="Times New Roman" w:cs="Arial"/>
          <w:sz w:val="28"/>
          <w:szCs w:val="24"/>
        </w:rPr>
      </w:pPr>
      <w:r w:rsidRPr="0000048F">
        <w:rPr>
          <w:rFonts w:eastAsia="Times New Roman" w:cs="Arial"/>
          <w:color w:val="000000"/>
          <w:szCs w:val="20"/>
          <w:lang w:eastAsia="bg-BG"/>
        </w:rPr>
        <w:t>В проценти дните с употреба на бета-агонист са намалелил от 38,0 до 15,4 в групата с монтелукаст и от 38,5 на 12,8 в групата с флутиказон. Разликата между групите по отношение на процентите на дните с бета-агонист е била 2,7 с 95% коефициент на доверителност от 0,9, 4,5.</w:t>
      </w:r>
    </w:p>
    <w:p w14:paraId="55627B0C" w14:textId="77777777" w:rsidR="0000048F" w:rsidRPr="0000048F" w:rsidRDefault="0000048F" w:rsidP="0000048F">
      <w:pPr>
        <w:pStyle w:val="ListParagraph"/>
        <w:numPr>
          <w:ilvl w:val="0"/>
          <w:numId w:val="39"/>
        </w:numPr>
        <w:spacing w:line="240" w:lineRule="auto"/>
        <w:rPr>
          <w:rFonts w:eastAsia="Times New Roman" w:cs="Arial"/>
          <w:sz w:val="28"/>
          <w:szCs w:val="24"/>
        </w:rPr>
      </w:pPr>
      <w:r w:rsidRPr="0000048F">
        <w:rPr>
          <w:rFonts w:eastAsia="Times New Roman" w:cs="Arial"/>
          <w:color w:val="000000"/>
          <w:szCs w:val="20"/>
          <w:lang w:eastAsia="bg-BG"/>
        </w:rPr>
        <w:t>Процентът на пациентите с астматичен пристъп (дефиниран като период на влошаване на астмата, който изисква лечение с перорални стероиди, непредвидено посещение при лекар, посещение на спешен център или хоспитализация) е бил 32,2 в групата на лечение с монтелукаст и 25,6 в групата на лечение с флутиказон. 95% коефициент на доверителност е еквивалентен на 1,38 (1,04, 1,84).</w:t>
      </w:r>
    </w:p>
    <w:p w14:paraId="08A51468" w14:textId="0D56C8D0" w:rsidR="0000048F" w:rsidRPr="0000048F" w:rsidRDefault="0000048F" w:rsidP="0000048F">
      <w:pPr>
        <w:pStyle w:val="ListParagraph"/>
        <w:numPr>
          <w:ilvl w:val="0"/>
          <w:numId w:val="39"/>
        </w:numPr>
        <w:spacing w:line="240" w:lineRule="auto"/>
        <w:rPr>
          <w:rFonts w:eastAsia="Times New Roman" w:cs="Arial"/>
          <w:sz w:val="28"/>
          <w:szCs w:val="24"/>
        </w:rPr>
      </w:pPr>
      <w:r w:rsidRPr="0000048F">
        <w:rPr>
          <w:rFonts w:eastAsia="Times New Roman" w:cs="Arial"/>
          <w:color w:val="000000"/>
          <w:szCs w:val="20"/>
          <w:lang w:eastAsia="bg-BG"/>
        </w:rPr>
        <w:t>Процентът на пациентите със системна употреба на кортикостероиди (главно перорални) по време на изпитвания период е бил 17,8% в групата с монтелукаст и 10,5% за групата на флутиказон. Разликата между групите е била 7,3% с 95% коефициент на доверителност на 2,9; 11,7.</w:t>
      </w:r>
    </w:p>
    <w:p w14:paraId="315C8210" w14:textId="77777777" w:rsidR="0000048F" w:rsidRPr="0000048F" w:rsidRDefault="0000048F" w:rsidP="0000048F">
      <w:pPr>
        <w:spacing w:line="240" w:lineRule="auto"/>
        <w:rPr>
          <w:rFonts w:eastAsia="Times New Roman" w:cs="Arial"/>
          <w:color w:val="000000"/>
          <w:szCs w:val="20"/>
          <w:lang w:eastAsia="bg-BG"/>
        </w:rPr>
      </w:pPr>
    </w:p>
    <w:p w14:paraId="400C9281" w14:textId="77E5438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В 12-седмично проучване при възрастни (максимално понижение на ФЕО1 22,33% за групата с монтелукаст спрямо 32,40% за плацебо; време за възстановяване в рамките на 5% от изходните стойности на ФЕО1 44,22 </w:t>
      </w:r>
      <w:r w:rsidRPr="0000048F">
        <w:rPr>
          <w:rFonts w:eastAsia="Times New Roman" w:cs="Arial"/>
          <w:color w:val="000000"/>
          <w:szCs w:val="20"/>
          <w:lang w:val="en-US"/>
        </w:rPr>
        <w:t>min</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спрямо 60,64 </w:t>
      </w:r>
      <w:r w:rsidRPr="0000048F">
        <w:rPr>
          <w:rFonts w:eastAsia="Times New Roman" w:cs="Arial"/>
          <w:color w:val="000000"/>
          <w:szCs w:val="20"/>
          <w:lang w:val="en-US"/>
        </w:rPr>
        <w:t>min</w:t>
      </w:r>
      <w:r w:rsidRPr="0000048F">
        <w:rPr>
          <w:rFonts w:eastAsia="Times New Roman" w:cs="Arial"/>
          <w:color w:val="000000"/>
          <w:szCs w:val="20"/>
          <w:lang w:val="ru-RU"/>
        </w:rPr>
        <w:t xml:space="preserve">) </w:t>
      </w:r>
      <w:r w:rsidRPr="0000048F">
        <w:rPr>
          <w:rFonts w:eastAsia="Times New Roman" w:cs="Arial"/>
          <w:color w:val="000000"/>
          <w:szCs w:val="20"/>
          <w:lang w:eastAsia="bg-BG"/>
        </w:rPr>
        <w:t>е било демонстрирано значимо понижение в бронхоконстрикцията при усилие. Този ефект е бил постоянен през целия период от 12 седмици на изпитването. Намалението на бронхоконстрикцията при усилие също е било доказано и в края на интервала с еднократна дневна доза.</w:t>
      </w:r>
    </w:p>
    <w:p w14:paraId="3C166AD4" w14:textId="77777777" w:rsidR="0000048F" w:rsidRPr="0000048F" w:rsidRDefault="0000048F" w:rsidP="0000048F">
      <w:pPr>
        <w:spacing w:line="240" w:lineRule="auto"/>
        <w:rPr>
          <w:rFonts w:eastAsia="Times New Roman" w:cs="Arial"/>
          <w:color w:val="000000"/>
          <w:szCs w:val="20"/>
          <w:lang w:eastAsia="bg-BG"/>
        </w:rPr>
      </w:pPr>
    </w:p>
    <w:p w14:paraId="3D5D2599" w14:textId="44F66891"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При пациенти с аспиринова астма, получаващи успоредно инхалаторни и/или перорални кортикостероиди, лечението с монтелукаст, в сравнение с плацебо е довело до значимо подобрение в контрола на астмата (ФЕО1 8,55% срещу -1,74% промяна от изходния и </w:t>
      </w:r>
      <w:r w:rsidRPr="0000048F">
        <w:rPr>
          <w:rFonts w:eastAsia="Times New Roman" w:cs="Arial"/>
          <w:color w:val="000000"/>
          <w:szCs w:val="20"/>
          <w:lang w:eastAsia="bg-BG"/>
        </w:rPr>
        <w:lastRenderedPageBreak/>
        <w:t>намаление в общата употреба на р-агонисти -27,78% срещу 2,09% промяна от изходния показател).</w:t>
      </w:r>
    </w:p>
    <w:p w14:paraId="131CF4A6" w14:textId="77777777" w:rsidR="0000048F" w:rsidRPr="0000048F" w:rsidRDefault="0000048F" w:rsidP="0000048F">
      <w:pPr>
        <w:spacing w:line="240" w:lineRule="auto"/>
        <w:rPr>
          <w:rFonts w:ascii="Times New Roman" w:eastAsia="Times New Roman" w:hAnsi="Times New Roman" w:cs="Times New Roman"/>
          <w:sz w:val="24"/>
          <w:szCs w:val="24"/>
        </w:rPr>
      </w:pPr>
    </w:p>
    <w:p w14:paraId="78DD93AA" w14:textId="61A000E8" w:rsidR="00B6672E" w:rsidRDefault="002C50EE" w:rsidP="00936AD0">
      <w:pPr>
        <w:pStyle w:val="Heading2"/>
      </w:pPr>
      <w:r>
        <w:t>5.2. Фармакокинетични свойства</w:t>
      </w:r>
    </w:p>
    <w:p w14:paraId="524FA1F1" w14:textId="54047656" w:rsidR="0000048F" w:rsidRDefault="0000048F" w:rsidP="0000048F"/>
    <w:p w14:paraId="223441F2" w14:textId="77777777" w:rsidR="0000048F" w:rsidRPr="0000048F" w:rsidRDefault="0000048F" w:rsidP="0000048F">
      <w:pPr>
        <w:pStyle w:val="Heading3"/>
        <w:rPr>
          <w:rFonts w:eastAsia="Times New Roman"/>
          <w:sz w:val="28"/>
          <w:u w:val="single"/>
        </w:rPr>
      </w:pPr>
      <w:r w:rsidRPr="0000048F">
        <w:rPr>
          <w:rFonts w:eastAsia="Times New Roman"/>
          <w:u w:val="single"/>
          <w:lang w:eastAsia="bg-BG"/>
        </w:rPr>
        <w:t>Абсорбция</w:t>
      </w:r>
    </w:p>
    <w:p w14:paraId="49D2A1CD"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След перорално приложение монтелукаст се абсорбира бързо. За филмираните таблетки от 10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средната пикова плазмена концентрация (С</w:t>
      </w:r>
      <w:r w:rsidRPr="0000048F">
        <w:rPr>
          <w:rFonts w:eastAsia="Times New Roman" w:cs="Arial"/>
          <w:color w:val="000000"/>
          <w:szCs w:val="20"/>
          <w:vertAlign w:val="subscript"/>
          <w:lang w:val="en-US"/>
        </w:rPr>
        <w:t>max</w:t>
      </w:r>
      <w:r w:rsidRPr="0000048F">
        <w:rPr>
          <w:rFonts w:eastAsia="Times New Roman" w:cs="Arial"/>
          <w:color w:val="000000"/>
          <w:szCs w:val="20"/>
          <w:lang w:eastAsia="bg-BG"/>
        </w:rPr>
        <w:t>) се достига три часа (</w:t>
      </w:r>
      <w:proofErr w:type="spellStart"/>
      <w:r w:rsidRPr="0000048F">
        <w:rPr>
          <w:rFonts w:eastAsia="Times New Roman" w:cs="Arial"/>
          <w:color w:val="000000"/>
          <w:szCs w:val="20"/>
          <w:lang w:val="en-US"/>
        </w:rPr>
        <w:t>T</w:t>
      </w:r>
      <w:r w:rsidRPr="0000048F">
        <w:rPr>
          <w:rFonts w:eastAsia="Times New Roman" w:cs="Arial"/>
          <w:color w:val="000000"/>
          <w:szCs w:val="20"/>
          <w:vertAlign w:val="subscript"/>
          <w:lang w:val="en-US"/>
        </w:rPr>
        <w:t>max</w:t>
      </w:r>
      <w:proofErr w:type="spellEnd"/>
      <w:r w:rsidRPr="0000048F">
        <w:rPr>
          <w:rFonts w:eastAsia="Times New Roman" w:cs="Arial"/>
          <w:color w:val="000000"/>
          <w:szCs w:val="20"/>
          <w:lang w:val="ru-RU"/>
        </w:rPr>
        <w:t xml:space="preserve">) </w:t>
      </w:r>
      <w:r w:rsidRPr="0000048F">
        <w:rPr>
          <w:rFonts w:eastAsia="Times New Roman" w:cs="Arial"/>
          <w:color w:val="000000"/>
          <w:szCs w:val="20"/>
          <w:lang w:eastAsia="bg-BG"/>
        </w:rPr>
        <w:t>след</w:t>
      </w:r>
    </w:p>
    <w:p w14:paraId="4A3CAEA3" w14:textId="0990EDD2" w:rsidR="0000048F" w:rsidRPr="0000048F" w:rsidRDefault="0000048F" w:rsidP="0000048F">
      <w:pPr>
        <w:rPr>
          <w:rFonts w:eastAsia="Times New Roman" w:cs="Arial"/>
          <w:color w:val="000000"/>
          <w:szCs w:val="20"/>
          <w:lang w:eastAsia="bg-BG"/>
        </w:rPr>
      </w:pPr>
      <w:r w:rsidRPr="0000048F">
        <w:rPr>
          <w:rFonts w:eastAsia="Times New Roman" w:cs="Arial"/>
          <w:color w:val="000000"/>
          <w:szCs w:val="20"/>
          <w:lang w:eastAsia="bg-BG"/>
        </w:rPr>
        <w:t>приложението при възрастни на гладно. Средната бионаличност след перорално приложение е 64%. Пероралната бионаличност и С</w:t>
      </w:r>
      <w:r w:rsidRPr="0000048F">
        <w:rPr>
          <w:rFonts w:eastAsia="Times New Roman" w:cs="Arial"/>
          <w:color w:val="000000"/>
          <w:szCs w:val="20"/>
          <w:vertAlign w:val="subscript"/>
          <w:lang w:val="en-US"/>
        </w:rPr>
        <w:t>max</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не се повлияват от стандартното хранене. Безопасността и ефикасността са били доказани в клинични изпитвания, при които филмираните таблетки от 10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са прилагани независимо от времето на хранене.</w:t>
      </w:r>
    </w:p>
    <w:p w14:paraId="180055DA" w14:textId="5FEA4763" w:rsidR="0000048F" w:rsidRPr="0000048F" w:rsidRDefault="0000048F" w:rsidP="0000048F">
      <w:pPr>
        <w:rPr>
          <w:rFonts w:eastAsia="Times New Roman" w:cs="Arial"/>
          <w:color w:val="000000"/>
          <w:szCs w:val="20"/>
          <w:lang w:eastAsia="bg-BG"/>
        </w:rPr>
      </w:pPr>
    </w:p>
    <w:p w14:paraId="7C5E29A8"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За таблетките за дъвчене от 5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С</w:t>
      </w:r>
      <w:r w:rsidRPr="0000048F">
        <w:rPr>
          <w:rFonts w:eastAsia="Times New Roman" w:cs="Arial"/>
          <w:color w:val="000000"/>
          <w:szCs w:val="20"/>
          <w:vertAlign w:val="subscript"/>
          <w:lang w:val="en-US"/>
        </w:rPr>
        <w:t>max</w:t>
      </w:r>
      <w:r w:rsidRPr="0000048F">
        <w:rPr>
          <w:rFonts w:eastAsia="Times New Roman" w:cs="Arial"/>
          <w:color w:val="000000"/>
          <w:szCs w:val="20"/>
          <w:lang w:eastAsia="bg-BG"/>
        </w:rPr>
        <w:t xml:space="preserve"> се достига за два часа след прилагането при възрастни на гладно. Средната бионаличност след перорално приложение е 73% и намалява до 63% от стандартната храна.</w:t>
      </w:r>
    </w:p>
    <w:p w14:paraId="25BBA3E1" w14:textId="77777777" w:rsidR="0000048F" w:rsidRPr="0000048F" w:rsidRDefault="0000048F" w:rsidP="0000048F">
      <w:pPr>
        <w:spacing w:line="240" w:lineRule="auto"/>
        <w:rPr>
          <w:rFonts w:eastAsia="Times New Roman" w:cs="Arial"/>
          <w:color w:val="000000"/>
          <w:szCs w:val="20"/>
          <w:lang w:eastAsia="bg-BG"/>
        </w:rPr>
      </w:pPr>
    </w:p>
    <w:p w14:paraId="437108DE" w14:textId="3219E038"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След приложение на таблетки за дъвчене от 4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на пациенти на възраст между 2 и 5 години на гладно, С</w:t>
      </w:r>
      <w:r w:rsidRPr="0000048F">
        <w:rPr>
          <w:rFonts w:eastAsia="Times New Roman" w:cs="Arial"/>
          <w:color w:val="000000"/>
          <w:szCs w:val="20"/>
          <w:vertAlign w:val="subscript"/>
          <w:lang w:val="en-US"/>
        </w:rPr>
        <w:t>max</w:t>
      </w:r>
      <w:r w:rsidRPr="0000048F">
        <w:rPr>
          <w:rFonts w:eastAsia="Times New Roman" w:cs="Arial"/>
          <w:color w:val="000000"/>
          <w:szCs w:val="20"/>
          <w:vertAlign w:val="subscript"/>
          <w:lang w:eastAsia="bg-BG"/>
        </w:rPr>
        <w:t xml:space="preserve"> </w:t>
      </w:r>
      <w:r w:rsidRPr="0000048F">
        <w:rPr>
          <w:rFonts w:eastAsia="Times New Roman" w:cs="Arial"/>
          <w:color w:val="000000"/>
          <w:szCs w:val="20"/>
          <w:lang w:eastAsia="bg-BG"/>
        </w:rPr>
        <w:t>се достига 2 часа след приложение Средното С</w:t>
      </w:r>
      <w:r w:rsidRPr="0000048F">
        <w:rPr>
          <w:rFonts w:eastAsia="Times New Roman" w:cs="Arial"/>
          <w:color w:val="000000"/>
          <w:szCs w:val="20"/>
          <w:vertAlign w:val="subscript"/>
          <w:lang w:val="en-US"/>
        </w:rPr>
        <w:t>max</w:t>
      </w:r>
      <w:r w:rsidRPr="0000048F">
        <w:rPr>
          <w:rFonts w:eastAsia="Times New Roman" w:cs="Arial"/>
          <w:color w:val="000000"/>
          <w:szCs w:val="20"/>
          <w:lang w:eastAsia="bg-BG"/>
        </w:rPr>
        <w:t xml:space="preserve"> е 66% по-високо докато средното С</w:t>
      </w:r>
      <w:r w:rsidRPr="0000048F">
        <w:rPr>
          <w:rFonts w:eastAsia="Times New Roman" w:cs="Arial"/>
          <w:color w:val="000000"/>
          <w:szCs w:val="20"/>
          <w:vertAlign w:val="subscript"/>
          <w:lang w:val="en-US"/>
        </w:rPr>
        <w:t>min</w:t>
      </w:r>
      <w:r w:rsidRPr="0000048F">
        <w:rPr>
          <w:rFonts w:eastAsia="Times New Roman" w:cs="Arial"/>
          <w:color w:val="000000"/>
          <w:szCs w:val="20"/>
          <w:lang w:eastAsia="bg-BG"/>
        </w:rPr>
        <w:t xml:space="preserve"> е по-ниско отколкото при възрастни, получаващи таблетки от 10 </w:t>
      </w:r>
      <w:r w:rsidRPr="0000048F">
        <w:rPr>
          <w:rFonts w:eastAsia="Times New Roman" w:cs="Arial"/>
          <w:color w:val="000000"/>
          <w:szCs w:val="20"/>
          <w:lang w:val="en-US"/>
        </w:rPr>
        <w:t>mg</w:t>
      </w:r>
      <w:r w:rsidRPr="0000048F">
        <w:rPr>
          <w:rFonts w:eastAsia="Times New Roman" w:cs="Arial"/>
          <w:color w:val="000000"/>
          <w:szCs w:val="20"/>
          <w:lang w:val="ru-RU"/>
        </w:rPr>
        <w:t>.</w:t>
      </w:r>
    </w:p>
    <w:p w14:paraId="4588F488" w14:textId="77777777" w:rsidR="0000048F" w:rsidRPr="0000048F" w:rsidRDefault="0000048F" w:rsidP="0000048F">
      <w:pPr>
        <w:spacing w:line="240" w:lineRule="auto"/>
        <w:rPr>
          <w:rFonts w:eastAsia="Times New Roman" w:cs="Arial"/>
          <w:color w:val="000000"/>
          <w:szCs w:val="20"/>
          <w:u w:val="single"/>
          <w:lang w:eastAsia="bg-BG"/>
        </w:rPr>
      </w:pPr>
    </w:p>
    <w:p w14:paraId="626E09C8" w14:textId="665E2A48" w:rsidR="0000048F" w:rsidRPr="0000048F" w:rsidRDefault="0000048F" w:rsidP="0000048F">
      <w:pPr>
        <w:pStyle w:val="Heading3"/>
        <w:rPr>
          <w:rFonts w:eastAsia="Times New Roman"/>
          <w:sz w:val="28"/>
          <w:u w:val="single"/>
        </w:rPr>
      </w:pPr>
      <w:r w:rsidRPr="0000048F">
        <w:rPr>
          <w:rFonts w:eastAsia="Times New Roman"/>
          <w:u w:val="single"/>
          <w:lang w:eastAsia="bg-BG"/>
        </w:rPr>
        <w:t>Разпределение</w:t>
      </w:r>
    </w:p>
    <w:p w14:paraId="327A3565"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Монтелукаст се свързва в повече от 99% с плазмените протеини. Обемът на разпределение в стационарно състояние </w:t>
      </w:r>
      <w:r w:rsidRPr="0000048F">
        <w:rPr>
          <w:rFonts w:eastAsia="Times New Roman" w:cs="Arial"/>
          <w:i/>
          <w:iCs/>
          <w:color w:val="000000"/>
          <w:szCs w:val="20"/>
          <w:lang w:val="ru-RU"/>
        </w:rPr>
        <w:t>(</w:t>
      </w:r>
      <w:r w:rsidRPr="0000048F">
        <w:rPr>
          <w:rFonts w:eastAsia="Times New Roman" w:cs="Arial"/>
          <w:i/>
          <w:iCs/>
          <w:color w:val="000000"/>
          <w:szCs w:val="20"/>
          <w:lang w:val="en-US"/>
        </w:rPr>
        <w:t>steady</w:t>
      </w:r>
      <w:r w:rsidRPr="0000048F">
        <w:rPr>
          <w:rFonts w:eastAsia="Times New Roman" w:cs="Arial"/>
          <w:i/>
          <w:iCs/>
          <w:color w:val="000000"/>
          <w:szCs w:val="20"/>
          <w:lang w:val="ru-RU"/>
        </w:rPr>
        <w:t>-</w:t>
      </w:r>
      <w:r w:rsidRPr="0000048F">
        <w:rPr>
          <w:rFonts w:eastAsia="Times New Roman" w:cs="Arial"/>
          <w:i/>
          <w:iCs/>
          <w:color w:val="000000"/>
          <w:szCs w:val="20"/>
          <w:lang w:val="en-US"/>
        </w:rPr>
        <w:t>state</w:t>
      </w:r>
      <w:r w:rsidRPr="0000048F">
        <w:rPr>
          <w:rFonts w:eastAsia="Times New Roman" w:cs="Arial"/>
          <w:i/>
          <w:iCs/>
          <w:color w:val="000000"/>
          <w:szCs w:val="20"/>
          <w:lang w:val="ru-RU"/>
        </w:rPr>
        <w:t>)</w:t>
      </w:r>
      <w:r w:rsidRPr="0000048F">
        <w:rPr>
          <w:rFonts w:eastAsia="Times New Roman" w:cs="Arial"/>
          <w:color w:val="000000"/>
          <w:szCs w:val="20"/>
          <w:lang w:val="ru-RU"/>
        </w:rPr>
        <w:t xml:space="preserve"> </w:t>
      </w:r>
      <w:r w:rsidRPr="0000048F">
        <w:rPr>
          <w:rFonts w:eastAsia="Times New Roman" w:cs="Arial"/>
          <w:color w:val="000000"/>
          <w:szCs w:val="20"/>
          <w:lang w:eastAsia="bg-BG"/>
        </w:rPr>
        <w:t>достига 8-11 литра. Изпитванията, проведени при плъхове с радиомаркиран монтелукаст са показали минимално преминаване на кръвно-мозъчната бариера. Освен това, концентрациите на радиомаркирания материал на 24 час след дозата са минимални и във всички други тъкани.</w:t>
      </w:r>
    </w:p>
    <w:p w14:paraId="26E4E278" w14:textId="77777777" w:rsidR="0000048F" w:rsidRPr="0000048F" w:rsidRDefault="0000048F" w:rsidP="0000048F">
      <w:pPr>
        <w:spacing w:line="240" w:lineRule="auto"/>
        <w:rPr>
          <w:rFonts w:eastAsia="Times New Roman" w:cs="Arial"/>
          <w:color w:val="000000"/>
          <w:szCs w:val="20"/>
          <w:u w:val="single"/>
          <w:lang w:eastAsia="bg-BG"/>
        </w:rPr>
      </w:pPr>
    </w:p>
    <w:p w14:paraId="155F2136" w14:textId="2A8AB8EB" w:rsidR="0000048F" w:rsidRPr="0000048F" w:rsidRDefault="0000048F" w:rsidP="0000048F">
      <w:pPr>
        <w:pStyle w:val="Heading3"/>
        <w:rPr>
          <w:rFonts w:eastAsia="Times New Roman"/>
          <w:sz w:val="28"/>
          <w:u w:val="single"/>
        </w:rPr>
      </w:pPr>
      <w:r w:rsidRPr="0000048F">
        <w:rPr>
          <w:rFonts w:eastAsia="Times New Roman"/>
          <w:u w:val="single"/>
          <w:lang w:eastAsia="bg-BG"/>
        </w:rPr>
        <w:t>Биотрансформация</w:t>
      </w:r>
    </w:p>
    <w:p w14:paraId="7D89CCF6"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Монтелукаст се метаболизира в голяма степен. В изпитвания с терапевтични дози, плазмените концентрации на метаболитите на монтелукаст при възрастни в стационарно състояние не могат да бъдат измерени.</w:t>
      </w:r>
    </w:p>
    <w:p w14:paraId="28454C1D" w14:textId="77777777" w:rsidR="0000048F" w:rsidRPr="0000048F" w:rsidRDefault="0000048F" w:rsidP="0000048F">
      <w:pPr>
        <w:spacing w:line="240" w:lineRule="auto"/>
        <w:rPr>
          <w:rFonts w:eastAsia="Times New Roman" w:cs="Arial"/>
          <w:color w:val="000000"/>
          <w:szCs w:val="20"/>
          <w:lang w:eastAsia="bg-BG"/>
        </w:rPr>
      </w:pPr>
    </w:p>
    <w:p w14:paraId="2A88E9FC" w14:textId="35D0D9EE"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Цитохром Р450 2С8 е основният ензим в метаболизма на монтелукаст. Освен това </w:t>
      </w:r>
      <w:r w:rsidRPr="0000048F">
        <w:rPr>
          <w:rFonts w:eastAsia="Times New Roman" w:cs="Arial"/>
          <w:color w:val="000000"/>
          <w:szCs w:val="20"/>
          <w:lang w:val="en-US"/>
        </w:rPr>
        <w:t>CYP</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ЗА4 и 2С9 могат да имат незначителен принос, въпреки че е доказано, че итраконазол, който е инхибитор на </w:t>
      </w:r>
      <w:r w:rsidRPr="0000048F">
        <w:rPr>
          <w:rFonts w:eastAsia="Times New Roman" w:cs="Arial"/>
          <w:color w:val="000000"/>
          <w:szCs w:val="20"/>
          <w:lang w:val="en-US"/>
        </w:rPr>
        <w:t>CYP</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ЗА4 не променя фармакокинетичните параметри на монтелукаст при здрави индивиди, които са приемали 10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монтелукаст дневно. Въз основа на </w:t>
      </w:r>
      <w:r w:rsidRPr="0000048F">
        <w:rPr>
          <w:rFonts w:eastAsia="Times New Roman" w:cs="Arial"/>
          <w:i/>
          <w:iCs/>
          <w:color w:val="000000"/>
          <w:szCs w:val="20"/>
          <w:lang w:val="en-US"/>
        </w:rPr>
        <w:t>in</w:t>
      </w:r>
      <w:r w:rsidRPr="0000048F">
        <w:rPr>
          <w:rFonts w:eastAsia="Times New Roman" w:cs="Arial"/>
          <w:i/>
          <w:iCs/>
          <w:color w:val="000000"/>
          <w:szCs w:val="20"/>
          <w:lang w:val="ru-RU"/>
        </w:rPr>
        <w:t xml:space="preserve"> </w:t>
      </w:r>
      <w:r w:rsidRPr="0000048F">
        <w:rPr>
          <w:rFonts w:eastAsia="Times New Roman" w:cs="Arial"/>
          <w:i/>
          <w:iCs/>
          <w:color w:val="000000"/>
          <w:szCs w:val="20"/>
          <w:lang w:val="en-US"/>
        </w:rPr>
        <w:t>vitro</w:t>
      </w:r>
      <w:r w:rsidRPr="0000048F">
        <w:rPr>
          <w:rFonts w:eastAsia="Times New Roman" w:cs="Arial"/>
          <w:color w:val="000000"/>
          <w:szCs w:val="20"/>
          <w:lang w:val="ru-RU"/>
        </w:rPr>
        <w:t xml:space="preserve"> </w:t>
      </w:r>
      <w:r w:rsidRPr="0000048F">
        <w:rPr>
          <w:rFonts w:eastAsia="Times New Roman" w:cs="Arial"/>
          <w:color w:val="000000"/>
          <w:szCs w:val="20"/>
          <w:lang w:eastAsia="bg-BG"/>
        </w:rPr>
        <w:t>резултати в човешки чернодробни микрозоми е установено, че терапевтичната плазмена концентрация на монтелукаст не инхибира цитохроми Р450 ЗА4,</w:t>
      </w:r>
      <w:r w:rsidRPr="0000048F">
        <w:rPr>
          <w:rFonts w:eastAsia="Times New Roman" w:cs="Arial"/>
          <w:color w:val="000000"/>
          <w:szCs w:val="20"/>
          <w:lang w:val="ru-RU"/>
        </w:rPr>
        <w:t xml:space="preserve"> </w:t>
      </w:r>
      <w:r w:rsidRPr="0000048F">
        <w:rPr>
          <w:rFonts w:eastAsia="Times New Roman" w:cs="Arial"/>
          <w:color w:val="000000"/>
          <w:szCs w:val="20"/>
          <w:lang w:eastAsia="bg-BG"/>
        </w:rPr>
        <w:t>2С9,</w:t>
      </w:r>
      <w:r w:rsidRPr="0000048F">
        <w:rPr>
          <w:rFonts w:eastAsia="Times New Roman" w:cs="Arial"/>
          <w:color w:val="000000"/>
          <w:szCs w:val="20"/>
          <w:lang w:val="ru-RU"/>
        </w:rPr>
        <w:t xml:space="preserve"> </w:t>
      </w:r>
      <w:r w:rsidRPr="0000048F">
        <w:rPr>
          <w:rFonts w:eastAsia="Times New Roman" w:cs="Arial"/>
          <w:color w:val="000000"/>
          <w:szCs w:val="20"/>
          <w:lang w:eastAsia="bg-BG"/>
        </w:rPr>
        <w:t>1А2,</w:t>
      </w:r>
      <w:r w:rsidRPr="0000048F">
        <w:rPr>
          <w:rFonts w:eastAsia="Times New Roman" w:cs="Arial"/>
          <w:color w:val="000000"/>
          <w:szCs w:val="20"/>
          <w:lang w:val="ru-RU"/>
        </w:rPr>
        <w:t xml:space="preserve"> </w:t>
      </w:r>
      <w:r w:rsidRPr="0000048F">
        <w:rPr>
          <w:rFonts w:eastAsia="Times New Roman" w:cs="Arial"/>
          <w:color w:val="000000"/>
          <w:szCs w:val="20"/>
          <w:lang w:eastAsia="bg-BG"/>
        </w:rPr>
        <w:t>2А6,</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2С19, или </w:t>
      </w:r>
      <w:r w:rsidRPr="0000048F">
        <w:rPr>
          <w:rFonts w:eastAsia="Times New Roman" w:cs="Arial"/>
          <w:color w:val="000000"/>
          <w:szCs w:val="20"/>
          <w:lang w:val="ru-RU"/>
        </w:rPr>
        <w:t>2</w:t>
      </w:r>
      <w:r w:rsidRPr="0000048F">
        <w:rPr>
          <w:rFonts w:eastAsia="Times New Roman" w:cs="Arial"/>
          <w:color w:val="000000"/>
          <w:szCs w:val="20"/>
          <w:lang w:val="en-US"/>
        </w:rPr>
        <w:t>D</w:t>
      </w:r>
      <w:r w:rsidRPr="0000048F">
        <w:rPr>
          <w:rFonts w:eastAsia="Times New Roman" w:cs="Arial"/>
          <w:color w:val="000000"/>
          <w:szCs w:val="20"/>
          <w:lang w:val="ru-RU"/>
        </w:rPr>
        <w:t xml:space="preserve">6. </w:t>
      </w:r>
      <w:r w:rsidRPr="0000048F">
        <w:rPr>
          <w:rFonts w:eastAsia="Times New Roman" w:cs="Arial"/>
          <w:color w:val="000000"/>
          <w:szCs w:val="20"/>
          <w:lang w:eastAsia="bg-BG"/>
        </w:rPr>
        <w:t>Приносът на метаболитите за терапевтичния ефект на монтелукаст е минимален.</w:t>
      </w:r>
    </w:p>
    <w:p w14:paraId="783FB692" w14:textId="77777777" w:rsidR="0000048F" w:rsidRPr="0000048F" w:rsidRDefault="0000048F" w:rsidP="0000048F">
      <w:pPr>
        <w:spacing w:line="240" w:lineRule="auto"/>
        <w:rPr>
          <w:rFonts w:eastAsia="Times New Roman" w:cs="Arial"/>
          <w:color w:val="000000"/>
          <w:szCs w:val="20"/>
          <w:u w:val="single"/>
          <w:lang w:eastAsia="bg-BG"/>
        </w:rPr>
      </w:pPr>
    </w:p>
    <w:p w14:paraId="618542AF" w14:textId="0585C769" w:rsidR="0000048F" w:rsidRPr="0000048F" w:rsidRDefault="0000048F" w:rsidP="0000048F">
      <w:pPr>
        <w:pStyle w:val="Heading3"/>
        <w:rPr>
          <w:rFonts w:eastAsia="Times New Roman"/>
          <w:sz w:val="28"/>
          <w:u w:val="single"/>
        </w:rPr>
      </w:pPr>
      <w:r w:rsidRPr="0000048F">
        <w:rPr>
          <w:rFonts w:eastAsia="Times New Roman"/>
          <w:u w:val="single"/>
          <w:lang w:eastAsia="bg-BG"/>
        </w:rPr>
        <w:t>Елиминиране</w:t>
      </w:r>
    </w:p>
    <w:p w14:paraId="505C211E"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При здрави възрастни индивиди, плазмения клирънс на монтелукаст е средно 45 </w:t>
      </w:r>
      <w:r w:rsidRPr="0000048F">
        <w:rPr>
          <w:rFonts w:eastAsia="Times New Roman" w:cs="Arial"/>
          <w:color w:val="000000"/>
          <w:szCs w:val="20"/>
          <w:lang w:val="en-US"/>
        </w:rPr>
        <w:t>ml</w:t>
      </w:r>
      <w:r w:rsidRPr="0000048F">
        <w:rPr>
          <w:rFonts w:eastAsia="Times New Roman" w:cs="Arial"/>
          <w:color w:val="000000"/>
          <w:szCs w:val="20"/>
          <w:lang w:val="ru-RU"/>
        </w:rPr>
        <w:t>/</w:t>
      </w:r>
      <w:r w:rsidRPr="0000048F">
        <w:rPr>
          <w:rFonts w:eastAsia="Times New Roman" w:cs="Arial"/>
          <w:color w:val="000000"/>
          <w:szCs w:val="20"/>
          <w:lang w:val="en-US"/>
        </w:rPr>
        <w:t>min</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След перорална доза на радиомаркиран монтелукаст, 86% от радиоактивността се </w:t>
      </w:r>
      <w:r w:rsidRPr="0000048F">
        <w:rPr>
          <w:rFonts w:eastAsia="Times New Roman" w:cs="Arial"/>
          <w:i/>
          <w:iCs/>
          <w:color w:val="000000"/>
          <w:szCs w:val="20"/>
          <w:lang w:eastAsia="bg-BG"/>
        </w:rPr>
        <w:t xml:space="preserve">открива в </w:t>
      </w:r>
      <w:r w:rsidRPr="0000048F">
        <w:rPr>
          <w:rFonts w:eastAsia="Times New Roman" w:cs="Arial"/>
          <w:color w:val="000000"/>
          <w:szCs w:val="20"/>
          <w:lang w:eastAsia="bg-BG"/>
        </w:rPr>
        <w:t xml:space="preserve">изпражненията на 5-я ден и &lt;0,2% - в урината. Това, заедно с определената </w:t>
      </w:r>
      <w:r w:rsidRPr="0000048F">
        <w:rPr>
          <w:rFonts w:eastAsia="Times New Roman" w:cs="Arial"/>
          <w:color w:val="000000"/>
          <w:szCs w:val="20"/>
          <w:lang w:eastAsia="bg-BG"/>
        </w:rPr>
        <w:lastRenderedPageBreak/>
        <w:t>перорална бионаличност показва, че монтелукаст и метаболитите му се екскретират основно през жлъчката.</w:t>
      </w:r>
    </w:p>
    <w:p w14:paraId="616C209E" w14:textId="77777777" w:rsidR="0000048F" w:rsidRPr="0000048F" w:rsidRDefault="0000048F" w:rsidP="0000048F">
      <w:pPr>
        <w:spacing w:line="240" w:lineRule="auto"/>
        <w:rPr>
          <w:rFonts w:eastAsia="Times New Roman" w:cs="Arial"/>
          <w:color w:val="000000"/>
          <w:szCs w:val="20"/>
          <w:u w:val="single"/>
          <w:lang w:eastAsia="bg-BG"/>
        </w:rPr>
      </w:pPr>
    </w:p>
    <w:p w14:paraId="796F6B2A" w14:textId="3F4BFE6B"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u w:val="single"/>
          <w:lang w:eastAsia="bg-BG"/>
        </w:rPr>
        <w:t>Специфични групи пациенти</w:t>
      </w:r>
    </w:p>
    <w:p w14:paraId="426F2058"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Не се налага корекция на дозата при пациенти в старческа възраст или лека до умерено тежка чернодробна недостатъчност. Проучванията при пациенти с бъбречна недостатъчност не са провеждани. Тъй като монтелукаст и метаболитите му се елиминират през жлъчните пътища, не се налага адаптиране на дозата при пациенти с бъбречни увреждания. Няма данни за фармакокинетиката на монтелукаст при пациенти с тежка чернодробна недостатъчност </w:t>
      </w:r>
      <w:r w:rsidRPr="0000048F">
        <w:rPr>
          <w:rFonts w:eastAsia="Times New Roman" w:cs="Arial"/>
          <w:color w:val="000000"/>
          <w:szCs w:val="20"/>
          <w:lang w:val="ru-RU"/>
        </w:rPr>
        <w:t>(</w:t>
      </w:r>
      <w:r w:rsidRPr="0000048F">
        <w:rPr>
          <w:rFonts w:eastAsia="Times New Roman" w:cs="Arial"/>
          <w:color w:val="000000"/>
          <w:szCs w:val="20"/>
          <w:lang w:val="en-US"/>
        </w:rPr>
        <w:t>Child</w:t>
      </w:r>
      <w:r w:rsidRPr="0000048F">
        <w:rPr>
          <w:rFonts w:eastAsia="Times New Roman" w:cs="Arial"/>
          <w:color w:val="000000"/>
          <w:szCs w:val="20"/>
          <w:lang w:val="ru-RU"/>
        </w:rPr>
        <w:t xml:space="preserve">- </w:t>
      </w:r>
      <w:r w:rsidRPr="0000048F">
        <w:rPr>
          <w:rFonts w:eastAsia="Times New Roman" w:cs="Arial"/>
          <w:color w:val="000000"/>
          <w:szCs w:val="20"/>
          <w:lang w:val="en-US"/>
        </w:rPr>
        <w:t>Pugh</w:t>
      </w:r>
      <w:r w:rsidRPr="0000048F">
        <w:rPr>
          <w:rFonts w:eastAsia="Times New Roman" w:cs="Arial"/>
          <w:color w:val="000000"/>
          <w:szCs w:val="20"/>
          <w:lang w:val="ru-RU"/>
        </w:rPr>
        <w:t xml:space="preserve"> </w:t>
      </w:r>
      <w:r w:rsidRPr="0000048F">
        <w:rPr>
          <w:rFonts w:eastAsia="Times New Roman" w:cs="Arial"/>
          <w:color w:val="000000"/>
          <w:szCs w:val="20"/>
          <w:lang w:eastAsia="bg-BG"/>
        </w:rPr>
        <w:t>степен &gt;9).</w:t>
      </w:r>
    </w:p>
    <w:p w14:paraId="39C18DD6" w14:textId="52F313AD" w:rsidR="0000048F" w:rsidRDefault="0000048F" w:rsidP="0000048F">
      <w:pPr>
        <w:rPr>
          <w:rFonts w:eastAsia="Times New Roman" w:cs="Arial"/>
          <w:color w:val="000000"/>
          <w:szCs w:val="20"/>
          <w:lang w:eastAsia="bg-BG"/>
        </w:rPr>
      </w:pPr>
      <w:r w:rsidRPr="0000048F">
        <w:rPr>
          <w:rFonts w:eastAsia="Times New Roman" w:cs="Arial"/>
          <w:color w:val="000000"/>
          <w:szCs w:val="20"/>
          <w:lang w:eastAsia="bg-BG"/>
        </w:rPr>
        <w:t xml:space="preserve">При високи дози монтелукаст (20- и 60 </w:t>
      </w:r>
      <w:r w:rsidRPr="0000048F">
        <w:rPr>
          <w:rFonts w:eastAsia="Times New Roman" w:cs="Arial"/>
          <w:i/>
          <w:iCs/>
          <w:color w:val="000000"/>
          <w:szCs w:val="20"/>
          <w:lang w:eastAsia="bg-BG"/>
        </w:rPr>
        <w:t>пъти над</w:t>
      </w:r>
      <w:r w:rsidRPr="0000048F">
        <w:rPr>
          <w:rFonts w:eastAsia="Times New Roman" w:cs="Arial"/>
          <w:color w:val="000000"/>
          <w:szCs w:val="20"/>
          <w:lang w:eastAsia="bg-BG"/>
        </w:rPr>
        <w:t xml:space="preserve"> препоръчаната доза за възрастни) се наблюдава понижение на плазмената концентрация на теофилин. Този ефект не се наблюдава при препоръчваната доза от 10 </w:t>
      </w:r>
      <w:r w:rsidRPr="0000048F">
        <w:rPr>
          <w:rFonts w:eastAsia="Times New Roman" w:cs="Arial"/>
          <w:color w:val="000000"/>
          <w:szCs w:val="20"/>
          <w:lang w:val="en-US"/>
        </w:rPr>
        <w:t>mg</w:t>
      </w:r>
      <w:r w:rsidRPr="0000048F">
        <w:rPr>
          <w:rFonts w:eastAsia="Times New Roman" w:cs="Arial"/>
          <w:color w:val="000000"/>
          <w:szCs w:val="20"/>
          <w:lang w:val="ru-RU"/>
        </w:rPr>
        <w:t xml:space="preserve"> </w:t>
      </w:r>
      <w:r w:rsidRPr="0000048F">
        <w:rPr>
          <w:rFonts w:eastAsia="Times New Roman" w:cs="Arial"/>
          <w:color w:val="000000"/>
          <w:szCs w:val="20"/>
          <w:lang w:eastAsia="bg-BG"/>
        </w:rPr>
        <w:t>веднъж дневно.</w:t>
      </w:r>
    </w:p>
    <w:p w14:paraId="5246B135" w14:textId="77777777" w:rsidR="0000048F" w:rsidRPr="0000048F" w:rsidRDefault="0000048F" w:rsidP="0000048F">
      <w:pPr>
        <w:rPr>
          <w:rFonts w:cs="Arial"/>
          <w:sz w:val="24"/>
        </w:rPr>
      </w:pPr>
    </w:p>
    <w:p w14:paraId="4FB791BE" w14:textId="7D092487" w:rsidR="00B6672E" w:rsidRDefault="002C50EE" w:rsidP="00936AD0">
      <w:pPr>
        <w:pStyle w:val="Heading2"/>
      </w:pPr>
      <w:r>
        <w:t>5.3. Предклинични данни за безопасност</w:t>
      </w:r>
    </w:p>
    <w:p w14:paraId="62CB4CEC" w14:textId="2C52D992" w:rsidR="0000048F" w:rsidRDefault="0000048F" w:rsidP="0000048F"/>
    <w:p w14:paraId="6C0CAC50" w14:textId="7777777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В проучвания за токсичност проведени при </w:t>
      </w:r>
      <w:r w:rsidRPr="0000048F">
        <w:rPr>
          <w:rFonts w:eastAsia="Times New Roman" w:cs="Arial"/>
          <w:i/>
          <w:iCs/>
          <w:color w:val="000000"/>
          <w:szCs w:val="20"/>
          <w:lang w:eastAsia="bg-BG"/>
        </w:rPr>
        <w:t>животни</w:t>
      </w:r>
      <w:r w:rsidRPr="0000048F">
        <w:rPr>
          <w:rFonts w:eastAsia="Times New Roman" w:cs="Arial"/>
          <w:color w:val="000000"/>
          <w:szCs w:val="20"/>
          <w:lang w:eastAsia="bg-BG"/>
        </w:rPr>
        <w:t xml:space="preserve"> са наблюдавани минимални био</w:t>
      </w:r>
      <w:r w:rsidRPr="0000048F">
        <w:rPr>
          <w:rFonts w:eastAsia="Times New Roman" w:cs="Arial"/>
          <w:color w:val="000000"/>
          <w:szCs w:val="20"/>
          <w:u w:val="single"/>
          <w:lang w:eastAsia="bg-BG"/>
        </w:rPr>
        <w:t>химичн</w:t>
      </w:r>
      <w:r w:rsidRPr="0000048F">
        <w:rPr>
          <w:rFonts w:eastAsia="Times New Roman" w:cs="Arial"/>
          <w:color w:val="000000"/>
          <w:szCs w:val="20"/>
          <w:lang w:eastAsia="bg-BG"/>
        </w:rPr>
        <w:t xml:space="preserve">и промени в </w:t>
      </w:r>
      <w:r w:rsidRPr="0000048F">
        <w:rPr>
          <w:rFonts w:eastAsia="Times New Roman" w:cs="Arial"/>
          <w:color w:val="000000"/>
          <w:szCs w:val="20"/>
          <w:lang w:val="en-US"/>
        </w:rPr>
        <w:t>ALT</w:t>
      </w:r>
      <w:r w:rsidRPr="0000048F">
        <w:rPr>
          <w:rFonts w:eastAsia="Times New Roman" w:cs="Arial"/>
          <w:color w:val="000000"/>
          <w:szCs w:val="20"/>
          <w:lang w:val="ru-RU"/>
        </w:rPr>
        <w:t xml:space="preserve">, </w:t>
      </w:r>
      <w:r w:rsidRPr="0000048F">
        <w:rPr>
          <w:rFonts w:eastAsia="Times New Roman" w:cs="Arial"/>
          <w:color w:val="000000"/>
          <w:szCs w:val="20"/>
          <w:lang w:eastAsia="bg-BG"/>
        </w:rPr>
        <w:t>глюкозата, фосфора и триглицеридите, преходни по своята характеристика. Проявите на токсичност при животните са били хиперсаливация, гастроинтестинални</w:t>
      </w:r>
    </w:p>
    <w:p w14:paraId="5D4FCF48" w14:textId="77777777" w:rsidR="0000048F" w:rsidRPr="0000048F" w:rsidRDefault="0000048F" w:rsidP="0000048F">
      <w:pPr>
        <w:rPr>
          <w:rFonts w:eastAsia="Times New Roman" w:cs="Arial"/>
          <w:sz w:val="28"/>
          <w:szCs w:val="24"/>
        </w:rPr>
      </w:pPr>
      <w:r w:rsidRPr="0000048F">
        <w:rPr>
          <w:rFonts w:eastAsia="Times New Roman" w:cs="Arial"/>
          <w:color w:val="000000"/>
          <w:szCs w:val="20"/>
          <w:lang w:eastAsia="bg-BG"/>
        </w:rPr>
        <w:t>симптоми, редки изпражнения и йонен дисбаланс. Те са наблюдавани при дози 17 пъти по-</w:t>
      </w:r>
      <w:r w:rsidRPr="0000048F">
        <w:rPr>
          <w:rFonts w:eastAsia="Times New Roman" w:cs="Arial"/>
          <w:smallCaps/>
          <w:color w:val="000000"/>
          <w:szCs w:val="20"/>
          <w:lang w:eastAsia="bg-BG"/>
        </w:rPr>
        <w:t xml:space="preserve"> </w:t>
      </w:r>
      <w:r w:rsidRPr="0000048F">
        <w:rPr>
          <w:rFonts w:eastAsia="Times New Roman" w:cs="Arial"/>
          <w:color w:val="000000"/>
          <w:szCs w:val="20"/>
          <w:lang w:eastAsia="bg-BG"/>
        </w:rPr>
        <w:t xml:space="preserve">високи от клиничните. При маймуни нежеланите ефекти са се появили при дози от 150 </w:t>
      </w:r>
      <w:r w:rsidRPr="0000048F">
        <w:rPr>
          <w:rFonts w:eastAsia="Times New Roman" w:cs="Arial"/>
          <w:color w:val="000000"/>
          <w:szCs w:val="20"/>
          <w:lang w:val="en-US"/>
        </w:rPr>
        <w:t>mg</w:t>
      </w:r>
      <w:r w:rsidRPr="0000048F">
        <w:rPr>
          <w:rFonts w:eastAsia="Times New Roman" w:cs="Arial"/>
          <w:color w:val="000000"/>
          <w:szCs w:val="20"/>
          <w:lang w:val="ru-RU"/>
        </w:rPr>
        <w:t>/</w:t>
      </w:r>
      <w:r w:rsidRPr="0000048F">
        <w:rPr>
          <w:rFonts w:eastAsia="Times New Roman" w:cs="Arial"/>
          <w:color w:val="000000"/>
          <w:szCs w:val="20"/>
          <w:lang w:val="en-US"/>
        </w:rPr>
        <w:t>kg</w:t>
      </w:r>
      <w:r w:rsidRPr="0000048F">
        <w:rPr>
          <w:rFonts w:eastAsia="Times New Roman" w:cs="Arial"/>
          <w:color w:val="000000"/>
          <w:szCs w:val="20"/>
          <w:lang w:eastAsia="bg-BG"/>
        </w:rPr>
        <w:t xml:space="preserve">/дневно (&gt;232 пъти над системната експозиция, наблюдавана при клинични дози). В проучванията при животни монтелукаст не е повлиял фертилитета или репродуктивните възможности при системна експозиция, по-висока от клинична системна експозиция повече от 24 пъти. В едно проучване на женския фертилитет при плъхове, с доза 200 </w:t>
      </w:r>
      <w:r w:rsidRPr="0000048F">
        <w:rPr>
          <w:rFonts w:eastAsia="Times New Roman" w:cs="Arial"/>
          <w:color w:val="000000"/>
          <w:szCs w:val="20"/>
          <w:lang w:val="en-US"/>
        </w:rPr>
        <w:t>mg</w:t>
      </w:r>
      <w:r w:rsidRPr="0000048F">
        <w:rPr>
          <w:rFonts w:eastAsia="Times New Roman" w:cs="Arial"/>
          <w:color w:val="000000"/>
          <w:szCs w:val="20"/>
          <w:lang w:val="ru-RU"/>
        </w:rPr>
        <w:t>/</w:t>
      </w:r>
      <w:r w:rsidRPr="0000048F">
        <w:rPr>
          <w:rFonts w:eastAsia="Times New Roman" w:cs="Arial"/>
          <w:color w:val="000000"/>
          <w:szCs w:val="20"/>
          <w:lang w:val="en-US"/>
        </w:rPr>
        <w:t>kg</w:t>
      </w:r>
      <w:r w:rsidRPr="0000048F">
        <w:rPr>
          <w:rFonts w:eastAsia="Times New Roman" w:cs="Arial"/>
          <w:color w:val="000000"/>
          <w:szCs w:val="20"/>
          <w:lang w:eastAsia="bg-BG"/>
        </w:rPr>
        <w:t>/дневно (&gt; 69 пъти над системната клинична експозиция) е било отбелязано леко намаление на телесното тегло на малките. В проучване при зайци е била установена по-висока честота на незавършена осификация, в сравнение с контролните животни, при системна експозиция над 24 пъти по-висока от клиничната. При плъхове не са били наблюдавани аномалии. Установено е, че монтелукаст преминава плацентарната бариера и се екскретира в кърмата на животните.</w:t>
      </w:r>
    </w:p>
    <w:p w14:paraId="53D756EF" w14:textId="77777777" w:rsidR="0000048F" w:rsidRPr="0000048F" w:rsidRDefault="0000048F" w:rsidP="0000048F">
      <w:pPr>
        <w:spacing w:line="240" w:lineRule="auto"/>
        <w:rPr>
          <w:rFonts w:eastAsia="Times New Roman" w:cs="Arial"/>
          <w:color w:val="000000"/>
          <w:szCs w:val="20"/>
          <w:lang w:eastAsia="bg-BG"/>
        </w:rPr>
      </w:pPr>
    </w:p>
    <w:p w14:paraId="59CFF26B" w14:textId="567B50CB"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При еднократно перорално приемане на дози до 5 000 </w:t>
      </w:r>
      <w:r w:rsidRPr="0000048F">
        <w:rPr>
          <w:rFonts w:eastAsia="Times New Roman" w:cs="Arial"/>
          <w:color w:val="000000"/>
          <w:szCs w:val="20"/>
          <w:lang w:val="en-US"/>
        </w:rPr>
        <w:t>mg</w:t>
      </w:r>
      <w:r w:rsidRPr="0000048F">
        <w:rPr>
          <w:rFonts w:eastAsia="Times New Roman" w:cs="Arial"/>
          <w:color w:val="000000"/>
          <w:szCs w:val="20"/>
          <w:lang w:val="ru-RU"/>
        </w:rPr>
        <w:t>/</w:t>
      </w:r>
      <w:r w:rsidRPr="0000048F">
        <w:rPr>
          <w:rFonts w:eastAsia="Times New Roman" w:cs="Arial"/>
          <w:color w:val="000000"/>
          <w:szCs w:val="20"/>
          <w:lang w:val="en-US"/>
        </w:rPr>
        <w:t>kg</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от мишки и плъхове (15 000 </w:t>
      </w:r>
      <w:r w:rsidRPr="0000048F">
        <w:rPr>
          <w:rFonts w:eastAsia="Times New Roman" w:cs="Arial"/>
          <w:color w:val="000000"/>
          <w:szCs w:val="20"/>
          <w:lang w:val="en-US"/>
        </w:rPr>
        <w:t>mg</w:t>
      </w:r>
      <w:r w:rsidRPr="0000048F">
        <w:rPr>
          <w:rFonts w:eastAsia="Times New Roman" w:cs="Arial"/>
          <w:color w:val="000000"/>
          <w:szCs w:val="20"/>
          <w:lang w:val="ru-RU"/>
        </w:rPr>
        <w:t>/</w:t>
      </w:r>
      <w:r w:rsidRPr="0000048F">
        <w:rPr>
          <w:rFonts w:eastAsia="Times New Roman" w:cs="Arial"/>
          <w:color w:val="000000"/>
          <w:szCs w:val="20"/>
          <w:lang w:val="en-US"/>
        </w:rPr>
        <w:t>m</w:t>
      </w:r>
      <w:r w:rsidRPr="0000048F">
        <w:rPr>
          <w:rFonts w:eastAsia="Times New Roman" w:cs="Arial"/>
          <w:color w:val="000000"/>
          <w:szCs w:val="20"/>
          <w:vertAlign w:val="superscript"/>
          <w:lang w:val="ru-RU"/>
        </w:rPr>
        <w:t>2</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и 30 000 </w:t>
      </w:r>
      <w:r w:rsidRPr="0000048F">
        <w:rPr>
          <w:rFonts w:eastAsia="Times New Roman" w:cs="Arial"/>
          <w:color w:val="000000"/>
          <w:szCs w:val="20"/>
          <w:lang w:val="en-US"/>
        </w:rPr>
        <w:t>mg</w:t>
      </w:r>
      <w:r w:rsidRPr="0000048F">
        <w:rPr>
          <w:rFonts w:eastAsia="Times New Roman" w:cs="Arial"/>
          <w:color w:val="000000"/>
          <w:szCs w:val="20"/>
          <w:lang w:val="ru-RU"/>
        </w:rPr>
        <w:t>/</w:t>
      </w:r>
      <w:r w:rsidRPr="0000048F">
        <w:rPr>
          <w:rFonts w:eastAsia="Times New Roman" w:cs="Arial"/>
          <w:color w:val="000000"/>
          <w:szCs w:val="20"/>
          <w:lang w:val="en-US"/>
        </w:rPr>
        <w:t>m</w:t>
      </w:r>
      <w:r w:rsidRPr="0000048F">
        <w:rPr>
          <w:rFonts w:eastAsia="Times New Roman" w:cs="Arial"/>
          <w:color w:val="000000"/>
          <w:szCs w:val="20"/>
          <w:vertAlign w:val="superscript"/>
          <w:lang w:val="ru-RU"/>
        </w:rPr>
        <w:t>2</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при мишки и плъхове), в проучване за максимална доза не са наблюдавани смъртни случаи. Тази доза е еквивалентна на 25 000 пъти препоръчваната човешка дневна доза за възрастни (базирайки се на телесно тегло за възрастни пациенти 50 </w:t>
      </w:r>
      <w:r w:rsidRPr="0000048F">
        <w:rPr>
          <w:rFonts w:eastAsia="Times New Roman" w:cs="Arial"/>
          <w:color w:val="000000"/>
          <w:szCs w:val="20"/>
          <w:lang w:val="en-US"/>
        </w:rPr>
        <w:t>kg</w:t>
      </w:r>
      <w:r w:rsidRPr="0000048F">
        <w:rPr>
          <w:rFonts w:eastAsia="Times New Roman" w:cs="Arial"/>
          <w:color w:val="000000"/>
          <w:szCs w:val="20"/>
          <w:lang w:val="ru-RU"/>
        </w:rPr>
        <w:t>).</w:t>
      </w:r>
    </w:p>
    <w:p w14:paraId="2DF3EFAE" w14:textId="77777777" w:rsidR="0000048F" w:rsidRPr="0000048F" w:rsidRDefault="0000048F" w:rsidP="0000048F">
      <w:pPr>
        <w:spacing w:line="240" w:lineRule="auto"/>
        <w:rPr>
          <w:rFonts w:eastAsia="Times New Roman" w:cs="Arial"/>
          <w:color w:val="000000"/>
          <w:szCs w:val="20"/>
          <w:lang w:eastAsia="bg-BG"/>
        </w:rPr>
      </w:pPr>
    </w:p>
    <w:p w14:paraId="1993D6FA" w14:textId="072EEAD7"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Установено е, че монтелукаст не е фототоксичен за мишки за </w:t>
      </w:r>
      <w:r w:rsidRPr="0000048F">
        <w:rPr>
          <w:rFonts w:eastAsia="Times New Roman" w:cs="Arial"/>
          <w:color w:val="000000"/>
          <w:szCs w:val="20"/>
          <w:lang w:val="en-US"/>
        </w:rPr>
        <w:t>UVA</w:t>
      </w:r>
      <w:r w:rsidRPr="0000048F">
        <w:rPr>
          <w:rFonts w:eastAsia="Times New Roman" w:cs="Arial"/>
          <w:color w:val="000000"/>
          <w:szCs w:val="20"/>
          <w:lang w:val="ru-RU"/>
        </w:rPr>
        <w:t xml:space="preserve">, </w:t>
      </w:r>
      <w:r w:rsidRPr="0000048F">
        <w:rPr>
          <w:rFonts w:eastAsia="Times New Roman" w:cs="Arial"/>
          <w:color w:val="000000"/>
          <w:szCs w:val="20"/>
          <w:lang w:val="en-US"/>
        </w:rPr>
        <w:t>UVB</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и лъчите от видимия спектър в дози до 500 </w:t>
      </w:r>
      <w:r w:rsidRPr="0000048F">
        <w:rPr>
          <w:rFonts w:eastAsia="Times New Roman" w:cs="Arial"/>
          <w:color w:val="000000"/>
          <w:szCs w:val="20"/>
          <w:lang w:val="en-US"/>
        </w:rPr>
        <w:t>mg</w:t>
      </w:r>
      <w:r w:rsidRPr="0000048F">
        <w:rPr>
          <w:rFonts w:eastAsia="Times New Roman" w:cs="Arial"/>
          <w:color w:val="000000"/>
          <w:szCs w:val="20"/>
          <w:lang w:val="ru-RU"/>
        </w:rPr>
        <w:t>/</w:t>
      </w:r>
      <w:r w:rsidRPr="0000048F">
        <w:rPr>
          <w:rFonts w:eastAsia="Times New Roman" w:cs="Arial"/>
          <w:color w:val="000000"/>
          <w:szCs w:val="20"/>
          <w:lang w:val="en-US"/>
        </w:rPr>
        <w:t>kg</w:t>
      </w:r>
      <w:r w:rsidRPr="0000048F">
        <w:rPr>
          <w:rFonts w:eastAsia="Times New Roman" w:cs="Arial"/>
          <w:color w:val="000000"/>
          <w:szCs w:val="20"/>
          <w:lang w:eastAsia="bg-BG"/>
        </w:rPr>
        <w:t>/дневно (приблизително 200 пъти над основната системна експозиция).</w:t>
      </w:r>
    </w:p>
    <w:p w14:paraId="3B9FACCD" w14:textId="77777777" w:rsidR="0000048F" w:rsidRPr="0000048F" w:rsidRDefault="0000048F" w:rsidP="0000048F">
      <w:pPr>
        <w:spacing w:line="240" w:lineRule="auto"/>
        <w:rPr>
          <w:rFonts w:eastAsia="Times New Roman" w:cs="Arial"/>
          <w:color w:val="000000"/>
          <w:szCs w:val="20"/>
          <w:lang w:eastAsia="bg-BG"/>
        </w:rPr>
      </w:pPr>
    </w:p>
    <w:p w14:paraId="57AB0212" w14:textId="023EBB2F" w:rsidR="0000048F" w:rsidRPr="0000048F" w:rsidRDefault="0000048F" w:rsidP="0000048F">
      <w:pPr>
        <w:spacing w:line="240" w:lineRule="auto"/>
        <w:rPr>
          <w:rFonts w:eastAsia="Times New Roman" w:cs="Arial"/>
          <w:sz w:val="28"/>
          <w:szCs w:val="24"/>
        </w:rPr>
      </w:pPr>
      <w:r w:rsidRPr="0000048F">
        <w:rPr>
          <w:rFonts w:eastAsia="Times New Roman" w:cs="Arial"/>
          <w:color w:val="000000"/>
          <w:szCs w:val="20"/>
          <w:lang w:eastAsia="bg-BG"/>
        </w:rPr>
        <w:t xml:space="preserve">Монтелукаст не е мутагенен нито туморогенен в </w:t>
      </w:r>
      <w:r w:rsidRPr="0000048F">
        <w:rPr>
          <w:rFonts w:eastAsia="Times New Roman" w:cs="Arial"/>
          <w:i/>
          <w:iCs/>
          <w:color w:val="000000"/>
          <w:szCs w:val="20"/>
          <w:lang w:val="en-US"/>
        </w:rPr>
        <w:t>in</w:t>
      </w:r>
      <w:r w:rsidRPr="0000048F">
        <w:rPr>
          <w:rFonts w:eastAsia="Times New Roman" w:cs="Arial"/>
          <w:i/>
          <w:iCs/>
          <w:color w:val="000000"/>
          <w:szCs w:val="20"/>
          <w:lang w:val="ru-RU"/>
        </w:rPr>
        <w:t xml:space="preserve"> </w:t>
      </w:r>
      <w:r w:rsidRPr="0000048F">
        <w:rPr>
          <w:rFonts w:eastAsia="Times New Roman" w:cs="Arial"/>
          <w:i/>
          <w:iCs/>
          <w:color w:val="000000"/>
          <w:szCs w:val="20"/>
          <w:lang w:val="en-US"/>
        </w:rPr>
        <w:t>vivo</w:t>
      </w:r>
      <w:r w:rsidRPr="0000048F">
        <w:rPr>
          <w:rFonts w:eastAsia="Times New Roman" w:cs="Arial"/>
          <w:color w:val="000000"/>
          <w:szCs w:val="20"/>
          <w:lang w:val="ru-RU"/>
        </w:rPr>
        <w:t xml:space="preserve"> </w:t>
      </w:r>
      <w:r w:rsidRPr="0000048F">
        <w:rPr>
          <w:rFonts w:eastAsia="Times New Roman" w:cs="Arial"/>
          <w:color w:val="000000"/>
          <w:szCs w:val="20"/>
          <w:lang w:eastAsia="bg-BG"/>
        </w:rPr>
        <w:t xml:space="preserve">и </w:t>
      </w:r>
      <w:r w:rsidRPr="0000048F">
        <w:rPr>
          <w:rFonts w:eastAsia="Times New Roman" w:cs="Arial"/>
          <w:i/>
          <w:iCs/>
          <w:color w:val="000000"/>
          <w:szCs w:val="20"/>
          <w:lang w:val="en-US"/>
        </w:rPr>
        <w:t>in</w:t>
      </w:r>
      <w:r w:rsidRPr="0000048F">
        <w:rPr>
          <w:rFonts w:eastAsia="Times New Roman" w:cs="Arial"/>
          <w:i/>
          <w:iCs/>
          <w:color w:val="000000"/>
          <w:szCs w:val="20"/>
          <w:lang w:val="ru-RU"/>
        </w:rPr>
        <w:t xml:space="preserve"> </w:t>
      </w:r>
      <w:r w:rsidRPr="0000048F">
        <w:rPr>
          <w:rFonts w:eastAsia="Times New Roman" w:cs="Arial"/>
          <w:i/>
          <w:iCs/>
          <w:color w:val="000000"/>
          <w:szCs w:val="20"/>
          <w:lang w:val="en-US"/>
        </w:rPr>
        <w:t>vitro</w:t>
      </w:r>
      <w:r w:rsidRPr="0000048F">
        <w:rPr>
          <w:rFonts w:eastAsia="Times New Roman" w:cs="Arial"/>
          <w:color w:val="000000"/>
          <w:szCs w:val="20"/>
          <w:lang w:val="ru-RU"/>
        </w:rPr>
        <w:t xml:space="preserve"> </w:t>
      </w:r>
      <w:r w:rsidRPr="0000048F">
        <w:rPr>
          <w:rFonts w:eastAsia="Times New Roman" w:cs="Arial"/>
          <w:color w:val="000000"/>
          <w:szCs w:val="20"/>
          <w:lang w:eastAsia="bg-BG"/>
        </w:rPr>
        <w:t>тестове проведени при гризачи.</w:t>
      </w:r>
    </w:p>
    <w:p w14:paraId="017175BB" w14:textId="2B24146C" w:rsidR="0000048F" w:rsidRPr="0000048F" w:rsidRDefault="0000048F" w:rsidP="0000048F"/>
    <w:p w14:paraId="1BA6531D" w14:textId="49901DC6" w:rsidR="00B6672E" w:rsidRDefault="002C50EE" w:rsidP="00936AD0">
      <w:pPr>
        <w:pStyle w:val="Heading1"/>
      </w:pPr>
      <w:r>
        <w:lastRenderedPageBreak/>
        <w:t>7. ПРИТЕЖАТЕЛ НА РАЗРЕШЕНИЕТО ЗА УПОТРЕБА</w:t>
      </w:r>
    </w:p>
    <w:p w14:paraId="38D30C5F" w14:textId="138E7161" w:rsidR="0000048F" w:rsidRDefault="0000048F" w:rsidP="0000048F"/>
    <w:p w14:paraId="7DC5BF21" w14:textId="77777777" w:rsidR="0000048F" w:rsidRPr="0000048F" w:rsidRDefault="0000048F" w:rsidP="0000048F">
      <w:pPr>
        <w:rPr>
          <w:sz w:val="24"/>
          <w:szCs w:val="24"/>
          <w:lang w:val="en-US"/>
        </w:rPr>
      </w:pPr>
      <w:proofErr w:type="spellStart"/>
      <w:r w:rsidRPr="0000048F">
        <w:rPr>
          <w:lang w:val="en-US"/>
        </w:rPr>
        <w:t>Teva</w:t>
      </w:r>
      <w:proofErr w:type="spellEnd"/>
      <w:r w:rsidRPr="0000048F">
        <w:rPr>
          <w:lang w:val="en-US"/>
        </w:rPr>
        <w:t xml:space="preserve"> B.V.</w:t>
      </w:r>
    </w:p>
    <w:p w14:paraId="264243A9" w14:textId="77777777" w:rsidR="0000048F" w:rsidRPr="0000048F" w:rsidRDefault="0000048F" w:rsidP="0000048F">
      <w:pPr>
        <w:rPr>
          <w:sz w:val="24"/>
          <w:szCs w:val="24"/>
          <w:lang w:val="en-US"/>
        </w:rPr>
      </w:pPr>
      <w:proofErr w:type="spellStart"/>
      <w:r w:rsidRPr="0000048F">
        <w:rPr>
          <w:lang w:val="en-US"/>
        </w:rPr>
        <w:t>Swensweg</w:t>
      </w:r>
      <w:proofErr w:type="spellEnd"/>
      <w:r w:rsidRPr="0000048F">
        <w:rPr>
          <w:lang w:val="en-US"/>
        </w:rPr>
        <w:t xml:space="preserve"> </w:t>
      </w:r>
      <w:r w:rsidRPr="0000048F">
        <w:rPr>
          <w:lang w:eastAsia="bg-BG"/>
        </w:rPr>
        <w:t>5</w:t>
      </w:r>
      <w:proofErr w:type="gramStart"/>
      <w:r w:rsidRPr="0000048F">
        <w:rPr>
          <w:lang w:eastAsia="bg-BG"/>
        </w:rPr>
        <w:t>,2031</w:t>
      </w:r>
      <w:proofErr w:type="gramEnd"/>
      <w:r w:rsidRPr="0000048F">
        <w:rPr>
          <w:lang w:eastAsia="bg-BG"/>
        </w:rPr>
        <w:t xml:space="preserve"> </w:t>
      </w:r>
      <w:r w:rsidRPr="0000048F">
        <w:rPr>
          <w:lang w:val="en-US"/>
        </w:rPr>
        <w:t>GA Haarlem</w:t>
      </w:r>
    </w:p>
    <w:p w14:paraId="5AA05A0C" w14:textId="572A68CF" w:rsidR="0000048F" w:rsidRPr="0000048F" w:rsidRDefault="0000048F" w:rsidP="0000048F">
      <w:r w:rsidRPr="0000048F">
        <w:rPr>
          <w:lang w:eastAsia="bg-BG"/>
        </w:rPr>
        <w:t>Нидерландия</w:t>
      </w:r>
    </w:p>
    <w:p w14:paraId="508F3A54" w14:textId="1103B2CE" w:rsidR="00B6672E" w:rsidRDefault="00936AD0" w:rsidP="00936AD0">
      <w:pPr>
        <w:pStyle w:val="Heading1"/>
      </w:pPr>
      <w:r>
        <w:t>8.</w:t>
      </w:r>
      <w:r w:rsidR="002C50EE">
        <w:t>НОМЕР НА РАЗРЕШЕНИЕТО ЗА УПОТРЕБА</w:t>
      </w:r>
    </w:p>
    <w:p w14:paraId="55EF4800" w14:textId="57AA068F" w:rsidR="0000048F" w:rsidRDefault="0000048F" w:rsidP="0000048F"/>
    <w:p w14:paraId="30CA7EA2" w14:textId="04DA9DA8" w:rsidR="0000048F" w:rsidRPr="0000048F" w:rsidRDefault="0000048F" w:rsidP="0000048F">
      <w:r>
        <w:rPr>
          <w:lang w:val="en-US"/>
        </w:rPr>
        <w:t>Per</w:t>
      </w:r>
      <w:r w:rsidRPr="0000048F">
        <w:rPr>
          <w:lang w:val="ru-RU"/>
        </w:rPr>
        <w:t xml:space="preserve">. </w:t>
      </w:r>
      <w:r>
        <w:t>№20080271</w:t>
      </w:r>
    </w:p>
    <w:p w14:paraId="2CCB5832" w14:textId="51DEDC52" w:rsidR="007C605B" w:rsidRDefault="002C50EE" w:rsidP="007C605B">
      <w:pPr>
        <w:pStyle w:val="Heading1"/>
      </w:pPr>
      <w:r>
        <w:t>9. ДАТА НА ПЪРВО РАЗРЕШАВАНЕ/ПОДНОВЯВАНЕ НА РАЗРЕШЕНИЕТО ЗА УПОТРЕБА</w:t>
      </w:r>
    </w:p>
    <w:p w14:paraId="6DB708A8" w14:textId="21D41131" w:rsidR="0000048F" w:rsidRDefault="0000048F" w:rsidP="0000048F"/>
    <w:p w14:paraId="5593EE22" w14:textId="77777777" w:rsidR="0000048F" w:rsidRPr="0000048F" w:rsidRDefault="0000048F" w:rsidP="0000048F">
      <w:pPr>
        <w:rPr>
          <w:sz w:val="24"/>
          <w:szCs w:val="24"/>
        </w:rPr>
      </w:pPr>
      <w:r w:rsidRPr="0000048F">
        <w:rPr>
          <w:lang w:eastAsia="bg-BG"/>
        </w:rPr>
        <w:t>Дата на първо разрешаване: 17 декември 2008</w:t>
      </w:r>
    </w:p>
    <w:p w14:paraId="2723663F" w14:textId="77777777" w:rsidR="0000048F" w:rsidRPr="0000048F" w:rsidRDefault="0000048F" w:rsidP="0000048F">
      <w:pPr>
        <w:rPr>
          <w:sz w:val="24"/>
          <w:szCs w:val="24"/>
        </w:rPr>
      </w:pPr>
      <w:r w:rsidRPr="0000048F">
        <w:rPr>
          <w:lang w:eastAsia="bg-BG"/>
        </w:rPr>
        <w:t>Дата на последно подновяване: 24 юни 2014</w:t>
      </w:r>
    </w:p>
    <w:p w14:paraId="5FA43787" w14:textId="77777777" w:rsidR="0000048F" w:rsidRPr="0000048F" w:rsidRDefault="0000048F" w:rsidP="0000048F"/>
    <w:p w14:paraId="0E9D0119" w14:textId="0245C6D7" w:rsidR="002C50EE" w:rsidRDefault="002C50EE" w:rsidP="002C50EE">
      <w:pPr>
        <w:pStyle w:val="Heading1"/>
      </w:pPr>
      <w:r>
        <w:t>10. ДАТА НА АКТУАЛИЗИРАНЕ НА ТЕКСТА</w:t>
      </w:r>
    </w:p>
    <w:p w14:paraId="43FB38A2" w14:textId="689F8F04" w:rsidR="007C605B" w:rsidRPr="003E3126" w:rsidRDefault="007C605B" w:rsidP="00B6672E">
      <w:bookmarkStart w:id="1" w:name="_GoBack"/>
      <w:bookmarkEnd w:id="0"/>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3E992C7D"/>
    <w:multiLevelType w:val="hybridMultilevel"/>
    <w:tmpl w:val="DE06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F5772"/>
    <w:multiLevelType w:val="hybridMultilevel"/>
    <w:tmpl w:val="CF9C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83730"/>
    <w:multiLevelType w:val="hybridMultilevel"/>
    <w:tmpl w:val="CB4A881E"/>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4"/>
  </w:num>
  <w:num w:numId="4">
    <w:abstractNumId w:val="3"/>
  </w:num>
  <w:num w:numId="5">
    <w:abstractNumId w:val="1"/>
  </w:num>
  <w:num w:numId="6">
    <w:abstractNumId w:val="18"/>
  </w:num>
  <w:num w:numId="7">
    <w:abstractNumId w:val="12"/>
  </w:num>
  <w:num w:numId="8">
    <w:abstractNumId w:val="16"/>
  </w:num>
  <w:num w:numId="9">
    <w:abstractNumId w:val="2"/>
  </w:num>
  <w:num w:numId="10">
    <w:abstractNumId w:val="4"/>
  </w:num>
  <w:num w:numId="11">
    <w:abstractNumId w:val="33"/>
  </w:num>
  <w:num w:numId="12">
    <w:abstractNumId w:val="15"/>
  </w:num>
  <w:num w:numId="13">
    <w:abstractNumId w:val="21"/>
  </w:num>
  <w:num w:numId="14">
    <w:abstractNumId w:val="13"/>
  </w:num>
  <w:num w:numId="15">
    <w:abstractNumId w:val="32"/>
  </w:num>
  <w:num w:numId="16">
    <w:abstractNumId w:val="11"/>
  </w:num>
  <w:num w:numId="17">
    <w:abstractNumId w:val="27"/>
  </w:num>
  <w:num w:numId="18">
    <w:abstractNumId w:val="8"/>
  </w:num>
  <w:num w:numId="19">
    <w:abstractNumId w:val="29"/>
  </w:num>
  <w:num w:numId="20">
    <w:abstractNumId w:val="26"/>
  </w:num>
  <w:num w:numId="21">
    <w:abstractNumId w:val="19"/>
  </w:num>
  <w:num w:numId="22">
    <w:abstractNumId w:val="28"/>
  </w:num>
  <w:num w:numId="23">
    <w:abstractNumId w:val="20"/>
  </w:num>
  <w:num w:numId="24">
    <w:abstractNumId w:val="9"/>
  </w:num>
  <w:num w:numId="25">
    <w:abstractNumId w:val="25"/>
  </w:num>
  <w:num w:numId="26">
    <w:abstractNumId w:val="24"/>
  </w:num>
  <w:num w:numId="27">
    <w:abstractNumId w:val="34"/>
  </w:num>
  <w:num w:numId="28">
    <w:abstractNumId w:val="6"/>
  </w:num>
  <w:num w:numId="29">
    <w:abstractNumId w:val="23"/>
  </w:num>
  <w:num w:numId="30">
    <w:abstractNumId w:val="38"/>
  </w:num>
  <w:num w:numId="31">
    <w:abstractNumId w:val="5"/>
  </w:num>
  <w:num w:numId="32">
    <w:abstractNumId w:val="37"/>
  </w:num>
  <w:num w:numId="33">
    <w:abstractNumId w:val="31"/>
  </w:num>
  <w:num w:numId="34">
    <w:abstractNumId w:val="36"/>
  </w:num>
  <w:num w:numId="35">
    <w:abstractNumId w:val="7"/>
  </w:num>
  <w:num w:numId="36">
    <w:abstractNumId w:val="10"/>
  </w:num>
  <w:num w:numId="37">
    <w:abstractNumId w:val="22"/>
  </w:num>
  <w:num w:numId="38">
    <w:abstractNumId w:val="17"/>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0048F"/>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4401</Words>
  <Characters>25087</Characters>
  <Application>Microsoft Office Word</Application>
  <DocSecurity>0</DocSecurity>
  <Lines>209</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2022-07-27T13:43:00Z</dcterms:created>
  <dcterms:modified xsi:type="dcterms:W3CDTF">2022-07-27T13:43:00Z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