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4C2AD726" w:rsidR="007122AD" w:rsidRDefault="00DD466D" w:rsidP="00936AD0">
      <w:pPr>
        <w:pStyle w:val="Heading1"/>
      </w:pPr>
      <w:r>
        <w:t>1.ИМЕ НА ЛЕКАРСТВЕНИЯ ПРОДУКТ</w:t>
      </w:r>
    </w:p>
    <w:p w14:paraId="228CA898" w14:textId="092C9641" w:rsidR="007F3AC7" w:rsidRDefault="007F3AC7" w:rsidP="007F3AC7"/>
    <w:p w14:paraId="25DCF1A3" w14:textId="77777777" w:rsidR="007F3AC7" w:rsidRPr="007F3AC7" w:rsidRDefault="007F3AC7" w:rsidP="007F3AC7">
      <w:pPr>
        <w:rPr>
          <w:sz w:val="24"/>
          <w:szCs w:val="24"/>
        </w:rPr>
      </w:pPr>
      <w:r w:rsidRPr="007F3AC7">
        <w:rPr>
          <w:lang w:eastAsia="bg-BG"/>
        </w:rPr>
        <w:t xml:space="preserve">Епитрижин 50 </w:t>
      </w:r>
      <w:r w:rsidRPr="007F3AC7">
        <w:rPr>
          <w:lang w:val="en-US"/>
        </w:rPr>
        <w:t>mg</w:t>
      </w:r>
      <w:r w:rsidRPr="007F3AC7">
        <w:t xml:space="preserve"> </w:t>
      </w:r>
      <w:r w:rsidRPr="007F3AC7">
        <w:rPr>
          <w:lang w:eastAsia="bg-BG"/>
        </w:rPr>
        <w:t>таблетки</w:t>
      </w:r>
    </w:p>
    <w:p w14:paraId="282EB39D" w14:textId="77777777" w:rsidR="007F3AC7" w:rsidRPr="007F3AC7" w:rsidRDefault="007F3AC7" w:rsidP="007F3AC7">
      <w:pPr>
        <w:rPr>
          <w:sz w:val="24"/>
          <w:szCs w:val="24"/>
        </w:rPr>
      </w:pPr>
      <w:r w:rsidRPr="007F3AC7">
        <w:rPr>
          <w:lang w:val="en-US"/>
        </w:rPr>
        <w:t>Epitrigine</w:t>
      </w:r>
      <w:r w:rsidRPr="007F3AC7">
        <w:t xml:space="preserve"> </w:t>
      </w:r>
      <w:r w:rsidRPr="007F3AC7">
        <w:rPr>
          <w:lang w:eastAsia="bg-BG"/>
        </w:rPr>
        <w:t xml:space="preserve">50 </w:t>
      </w:r>
      <w:r w:rsidRPr="007F3AC7">
        <w:rPr>
          <w:lang w:val="en-US"/>
        </w:rPr>
        <w:t>mg</w:t>
      </w:r>
      <w:r w:rsidRPr="007F3AC7">
        <w:t xml:space="preserve"> </w:t>
      </w:r>
      <w:r w:rsidRPr="007F3AC7">
        <w:rPr>
          <w:lang w:val="en-US"/>
        </w:rPr>
        <w:t>tablets</w:t>
      </w:r>
    </w:p>
    <w:p w14:paraId="6894C96D" w14:textId="77777777" w:rsidR="007F3AC7" w:rsidRDefault="007F3AC7" w:rsidP="007F3AC7">
      <w:pPr>
        <w:rPr>
          <w:lang w:eastAsia="bg-BG"/>
        </w:rPr>
      </w:pPr>
    </w:p>
    <w:p w14:paraId="22AD46C2" w14:textId="1038A814" w:rsidR="007F3AC7" w:rsidRPr="007F3AC7" w:rsidRDefault="007F3AC7" w:rsidP="007F3AC7">
      <w:pPr>
        <w:rPr>
          <w:sz w:val="24"/>
          <w:szCs w:val="24"/>
        </w:rPr>
      </w:pPr>
      <w:r w:rsidRPr="007F3AC7">
        <w:rPr>
          <w:lang w:eastAsia="bg-BG"/>
        </w:rPr>
        <w:t xml:space="preserve">Епитрижин 100 </w:t>
      </w:r>
      <w:r w:rsidRPr="007F3AC7">
        <w:rPr>
          <w:lang w:val="en-US"/>
        </w:rPr>
        <w:t>mg</w:t>
      </w:r>
      <w:r w:rsidRPr="007F3AC7">
        <w:t xml:space="preserve"> </w:t>
      </w:r>
      <w:r w:rsidRPr="007F3AC7">
        <w:rPr>
          <w:lang w:eastAsia="bg-BG"/>
        </w:rPr>
        <w:t>таблетки</w:t>
      </w:r>
    </w:p>
    <w:p w14:paraId="6C804735" w14:textId="77777777" w:rsidR="007F3AC7" w:rsidRPr="007F3AC7" w:rsidRDefault="007F3AC7" w:rsidP="007F3AC7">
      <w:pPr>
        <w:rPr>
          <w:sz w:val="24"/>
          <w:szCs w:val="24"/>
        </w:rPr>
      </w:pPr>
      <w:r w:rsidRPr="007F3AC7">
        <w:rPr>
          <w:lang w:val="en-US"/>
        </w:rPr>
        <w:t>Epitrigine</w:t>
      </w:r>
      <w:r w:rsidRPr="007F3AC7">
        <w:t xml:space="preserve"> </w:t>
      </w:r>
      <w:r w:rsidRPr="007F3AC7">
        <w:rPr>
          <w:lang w:eastAsia="bg-BG"/>
        </w:rPr>
        <w:t xml:space="preserve">100 </w:t>
      </w:r>
      <w:r w:rsidRPr="007F3AC7">
        <w:rPr>
          <w:lang w:val="en-US"/>
        </w:rPr>
        <w:t>mg</w:t>
      </w:r>
      <w:r w:rsidRPr="007F3AC7">
        <w:t xml:space="preserve"> </w:t>
      </w:r>
      <w:r w:rsidRPr="007F3AC7">
        <w:rPr>
          <w:lang w:val="en-US"/>
        </w:rPr>
        <w:t>tablets</w:t>
      </w:r>
    </w:p>
    <w:p w14:paraId="0E8CF696" w14:textId="77777777" w:rsidR="007F3AC7" w:rsidRPr="007F3AC7" w:rsidRDefault="007F3AC7" w:rsidP="007F3AC7"/>
    <w:p w14:paraId="6920A680" w14:textId="2F004359" w:rsidR="00C40420" w:rsidRDefault="00DD466D" w:rsidP="004A448E">
      <w:pPr>
        <w:pStyle w:val="Heading1"/>
      </w:pPr>
      <w:r>
        <w:t>2. КАЧЕСТВЕН И КОЛИЧЕСТВЕН СЪСТАВ</w:t>
      </w:r>
    </w:p>
    <w:p w14:paraId="382484A0" w14:textId="6C00B90D" w:rsidR="007F3AC7" w:rsidRDefault="007F3AC7" w:rsidP="007F3AC7"/>
    <w:p w14:paraId="7BA70C22" w14:textId="77777777" w:rsidR="007F3AC7" w:rsidRPr="007F3AC7" w:rsidRDefault="007F3AC7" w:rsidP="007F3AC7">
      <w:pPr>
        <w:rPr>
          <w:sz w:val="24"/>
          <w:szCs w:val="24"/>
        </w:rPr>
      </w:pPr>
      <w:r w:rsidRPr="007F3AC7">
        <w:rPr>
          <w:lang w:eastAsia="bg-BG"/>
        </w:rPr>
        <w:t xml:space="preserve">Всяка таблетка Епитрижин 50 </w:t>
      </w:r>
      <w:r w:rsidRPr="007F3AC7">
        <w:rPr>
          <w:lang w:val="en-US"/>
        </w:rPr>
        <w:t>mg</w:t>
      </w:r>
      <w:r w:rsidRPr="007F3AC7">
        <w:t xml:space="preserve"> </w:t>
      </w:r>
      <w:r w:rsidRPr="007F3AC7">
        <w:rPr>
          <w:lang w:eastAsia="bg-BG"/>
        </w:rPr>
        <w:t xml:space="preserve">съдържа 50 </w:t>
      </w:r>
      <w:r w:rsidRPr="007F3AC7">
        <w:rPr>
          <w:lang w:val="en-US"/>
        </w:rPr>
        <w:t>mg</w:t>
      </w:r>
      <w:r w:rsidRPr="007F3AC7">
        <w:t xml:space="preserve"> </w:t>
      </w:r>
      <w:r w:rsidRPr="007F3AC7">
        <w:rPr>
          <w:lang w:eastAsia="bg-BG"/>
        </w:rPr>
        <w:t xml:space="preserve">ламотрижин </w:t>
      </w:r>
      <w:r w:rsidRPr="007F3AC7">
        <w:t>(</w:t>
      </w:r>
      <w:r w:rsidRPr="007F3AC7">
        <w:rPr>
          <w:lang w:val="en-US"/>
        </w:rPr>
        <w:t>lamotrigine</w:t>
      </w:r>
      <w:r w:rsidRPr="007F3AC7">
        <w:t>).</w:t>
      </w:r>
    </w:p>
    <w:p w14:paraId="528960EC" w14:textId="77777777" w:rsidR="007F3AC7" w:rsidRPr="007F3AC7" w:rsidRDefault="007F3AC7" w:rsidP="007F3AC7">
      <w:pPr>
        <w:rPr>
          <w:sz w:val="24"/>
          <w:szCs w:val="24"/>
        </w:rPr>
      </w:pPr>
      <w:r w:rsidRPr="007F3AC7">
        <w:rPr>
          <w:lang w:eastAsia="bg-BG"/>
        </w:rPr>
        <w:t xml:space="preserve">Всяка таблетка Епитрижин 100 </w:t>
      </w:r>
      <w:r w:rsidRPr="007F3AC7">
        <w:rPr>
          <w:lang w:val="en-US"/>
        </w:rPr>
        <w:t>mg</w:t>
      </w:r>
      <w:r w:rsidRPr="007F3AC7">
        <w:t xml:space="preserve"> </w:t>
      </w:r>
      <w:r w:rsidRPr="007F3AC7">
        <w:rPr>
          <w:lang w:eastAsia="bg-BG"/>
        </w:rPr>
        <w:t xml:space="preserve">съдържа 100 </w:t>
      </w:r>
      <w:r w:rsidRPr="007F3AC7">
        <w:rPr>
          <w:lang w:val="en-US"/>
        </w:rPr>
        <w:t>mg</w:t>
      </w:r>
      <w:r w:rsidRPr="007F3AC7">
        <w:t xml:space="preserve"> </w:t>
      </w:r>
      <w:r w:rsidRPr="007F3AC7">
        <w:rPr>
          <w:lang w:eastAsia="bg-BG"/>
        </w:rPr>
        <w:t xml:space="preserve">ламотрижин </w:t>
      </w:r>
      <w:r w:rsidRPr="007F3AC7">
        <w:t>(</w:t>
      </w:r>
      <w:r w:rsidRPr="007F3AC7">
        <w:rPr>
          <w:lang w:val="en-US"/>
        </w:rPr>
        <w:t>lamotrigine</w:t>
      </w:r>
      <w:r w:rsidRPr="007F3AC7">
        <w:t>).</w:t>
      </w:r>
    </w:p>
    <w:p w14:paraId="1D21C724" w14:textId="77777777" w:rsidR="007F3AC7" w:rsidRDefault="007F3AC7" w:rsidP="007F3AC7">
      <w:pPr>
        <w:rPr>
          <w:u w:val="single"/>
          <w:lang w:eastAsia="bg-BG"/>
        </w:rPr>
      </w:pPr>
    </w:p>
    <w:p w14:paraId="7B581F36" w14:textId="7EB266E1" w:rsidR="007F3AC7" w:rsidRPr="007F3AC7" w:rsidRDefault="007F3AC7" w:rsidP="007F3AC7">
      <w:pPr>
        <w:rPr>
          <w:sz w:val="24"/>
          <w:szCs w:val="24"/>
        </w:rPr>
      </w:pPr>
      <w:r w:rsidRPr="007F3AC7">
        <w:rPr>
          <w:u w:val="single"/>
          <w:lang w:eastAsia="bg-BG"/>
        </w:rPr>
        <w:t>Помощно вещество с известно действие</w:t>
      </w:r>
      <w:r w:rsidRPr="007F3AC7">
        <w:rPr>
          <w:lang w:eastAsia="bg-BG"/>
        </w:rPr>
        <w:t>: лактоза монохидрат</w:t>
      </w:r>
    </w:p>
    <w:p w14:paraId="72C81A23" w14:textId="77777777" w:rsidR="007F3AC7" w:rsidRPr="007F3AC7" w:rsidRDefault="007F3AC7" w:rsidP="007F3AC7"/>
    <w:p w14:paraId="614984C4" w14:textId="33E17E3B" w:rsidR="008A6AF2" w:rsidRDefault="00DD466D" w:rsidP="002C50EE">
      <w:pPr>
        <w:pStyle w:val="Heading1"/>
      </w:pPr>
      <w:r>
        <w:t>3. ЛЕКАРСТВЕНА ФОРМА</w:t>
      </w:r>
    </w:p>
    <w:p w14:paraId="6CB46237" w14:textId="5F28CE71" w:rsidR="007F3AC7" w:rsidRDefault="007F3AC7" w:rsidP="007F3AC7"/>
    <w:p w14:paraId="0C3B2ADD" w14:textId="77777777" w:rsidR="007F3AC7" w:rsidRPr="007F3AC7" w:rsidRDefault="007F3AC7" w:rsidP="007F3AC7">
      <w:pPr>
        <w:rPr>
          <w:sz w:val="24"/>
          <w:szCs w:val="24"/>
        </w:rPr>
      </w:pPr>
      <w:r w:rsidRPr="007F3AC7">
        <w:rPr>
          <w:lang w:eastAsia="bg-BG"/>
        </w:rPr>
        <w:t>Таблетка</w:t>
      </w:r>
    </w:p>
    <w:p w14:paraId="54E816C2" w14:textId="77777777" w:rsidR="007F3AC7" w:rsidRPr="007F3AC7" w:rsidRDefault="007F3AC7" w:rsidP="007F3AC7">
      <w:pPr>
        <w:rPr>
          <w:sz w:val="24"/>
          <w:szCs w:val="24"/>
        </w:rPr>
      </w:pPr>
      <w:r w:rsidRPr="007F3AC7">
        <w:rPr>
          <w:lang w:eastAsia="bg-BG"/>
        </w:rPr>
        <w:t>Описание на таблетките:</w:t>
      </w:r>
    </w:p>
    <w:p w14:paraId="66BDEC56" w14:textId="77777777" w:rsidR="007F3AC7" w:rsidRPr="007F3AC7" w:rsidRDefault="007F3AC7" w:rsidP="007F3AC7">
      <w:pPr>
        <w:rPr>
          <w:sz w:val="24"/>
          <w:szCs w:val="24"/>
        </w:rPr>
      </w:pPr>
      <w:r w:rsidRPr="007F3AC7">
        <w:rPr>
          <w:lang w:eastAsia="bg-BG"/>
        </w:rPr>
        <w:t xml:space="preserve">Епитрижин 50 </w:t>
      </w:r>
      <w:r w:rsidRPr="007F3AC7">
        <w:rPr>
          <w:lang w:val="en-US"/>
        </w:rPr>
        <w:t>mg</w:t>
      </w:r>
      <w:r w:rsidRPr="007F3AC7">
        <w:rPr>
          <w:lang w:val="ru-RU"/>
        </w:rPr>
        <w:t xml:space="preserve"> </w:t>
      </w:r>
      <w:r w:rsidRPr="007F3AC7">
        <w:rPr>
          <w:lang w:eastAsia="bg-BG"/>
        </w:rPr>
        <w:t xml:space="preserve">- светложълти, кръгли, плоски таблетки с диаметър 8 </w:t>
      </w:r>
      <w:r w:rsidRPr="007F3AC7">
        <w:rPr>
          <w:lang w:val="en-US"/>
        </w:rPr>
        <w:t>mm</w:t>
      </w:r>
      <w:r w:rsidRPr="007F3AC7">
        <w:rPr>
          <w:lang w:val="ru-RU"/>
        </w:rPr>
        <w:t xml:space="preserve"> </w:t>
      </w:r>
      <w:r w:rsidRPr="007F3AC7">
        <w:rPr>
          <w:lang w:eastAsia="bg-BG"/>
        </w:rPr>
        <w:t>и маркировка 50.</w:t>
      </w:r>
    </w:p>
    <w:p w14:paraId="3B84A5A2" w14:textId="1F20939C" w:rsidR="007F3AC7" w:rsidRPr="007F3AC7" w:rsidRDefault="007F3AC7" w:rsidP="007F3AC7">
      <w:r w:rsidRPr="007F3AC7">
        <w:rPr>
          <w:lang w:eastAsia="bg-BG"/>
        </w:rPr>
        <w:t xml:space="preserve">Епитрижин 100 </w:t>
      </w:r>
      <w:r w:rsidRPr="007F3AC7">
        <w:rPr>
          <w:lang w:val="en-US"/>
        </w:rPr>
        <w:t>mg</w:t>
      </w:r>
      <w:r w:rsidRPr="007F3AC7">
        <w:rPr>
          <w:lang w:val="ru-RU"/>
        </w:rPr>
        <w:t xml:space="preserve"> </w:t>
      </w:r>
      <w:r w:rsidRPr="007F3AC7">
        <w:rPr>
          <w:lang w:eastAsia="bg-BG"/>
        </w:rPr>
        <w:t xml:space="preserve">- светложълти, кръгли, плоски таблетки с диаметър 10 </w:t>
      </w:r>
      <w:r w:rsidRPr="007F3AC7">
        <w:rPr>
          <w:lang w:val="en-US"/>
        </w:rPr>
        <w:t>mm</w:t>
      </w:r>
      <w:r w:rsidRPr="007F3AC7">
        <w:rPr>
          <w:lang w:val="ru-RU"/>
        </w:rPr>
        <w:t xml:space="preserve"> </w:t>
      </w:r>
      <w:r w:rsidRPr="007F3AC7">
        <w:rPr>
          <w:lang w:eastAsia="bg-BG"/>
        </w:rPr>
        <w:t>и маркировка 100.</w:t>
      </w:r>
    </w:p>
    <w:p w14:paraId="490FC2C4" w14:textId="0F4A4A75" w:rsidR="002C50EE" w:rsidRDefault="002C50EE" w:rsidP="002C50EE">
      <w:pPr>
        <w:pStyle w:val="Heading1"/>
      </w:pPr>
      <w:r>
        <w:t>4. КЛИНИЧНИ ДАННИ</w:t>
      </w:r>
    </w:p>
    <w:p w14:paraId="74330405" w14:textId="3FCB7E85" w:rsidR="007122AD" w:rsidRDefault="002C50EE" w:rsidP="00936AD0">
      <w:pPr>
        <w:pStyle w:val="Heading2"/>
      </w:pPr>
      <w:r>
        <w:t>4.1. Терапевтични показания</w:t>
      </w:r>
    </w:p>
    <w:p w14:paraId="7CC18CA7" w14:textId="283DE8CB" w:rsidR="007F3AC7" w:rsidRDefault="007F3AC7" w:rsidP="007F3AC7"/>
    <w:p w14:paraId="06544405" w14:textId="77777777" w:rsidR="007F3AC7" w:rsidRPr="007F3AC7" w:rsidRDefault="007F3AC7" w:rsidP="007F3AC7">
      <w:pPr>
        <w:spacing w:line="240" w:lineRule="auto"/>
        <w:rPr>
          <w:rFonts w:eastAsia="Times New Roman" w:cs="Arial"/>
          <w:sz w:val="24"/>
          <w:szCs w:val="24"/>
        </w:rPr>
      </w:pPr>
      <w:r w:rsidRPr="007F3AC7">
        <w:rPr>
          <w:rFonts w:eastAsia="Times New Roman" w:cs="Arial"/>
          <w:color w:val="000000"/>
          <w:u w:val="single"/>
          <w:lang w:eastAsia="bg-BG"/>
        </w:rPr>
        <w:t>Епилепсия</w:t>
      </w:r>
    </w:p>
    <w:p w14:paraId="69C21FF2" w14:textId="77777777"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lang w:eastAsia="bg-BG"/>
        </w:rPr>
        <w:t>Възрастни и юноши на 13 и повече години</w:t>
      </w:r>
    </w:p>
    <w:p w14:paraId="75E07885" w14:textId="77777777"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Комбинирана или монотерапия на парциални или генерализирани припадъци, включително тонично-клонични припадъци.</w:t>
      </w:r>
    </w:p>
    <w:p w14:paraId="47483C7A" w14:textId="62230E17"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 xml:space="preserve">Припадъци, свързани със синдрома на </w:t>
      </w:r>
      <w:r w:rsidRPr="007F3AC7">
        <w:rPr>
          <w:rFonts w:eastAsia="Times New Roman" w:cs="Arial"/>
          <w:color w:val="000000"/>
          <w:lang w:val="en-US"/>
        </w:rPr>
        <w:t>Lennox</w:t>
      </w:r>
      <w:r w:rsidRPr="007F3AC7">
        <w:rPr>
          <w:rFonts w:eastAsia="Times New Roman" w:cs="Arial"/>
          <w:color w:val="000000"/>
        </w:rPr>
        <w:t>-</w:t>
      </w:r>
      <w:r w:rsidRPr="007F3AC7">
        <w:rPr>
          <w:rFonts w:eastAsia="Times New Roman" w:cs="Arial"/>
          <w:color w:val="000000"/>
          <w:lang w:val="en-US"/>
        </w:rPr>
        <w:t>Gastaut</w:t>
      </w:r>
      <w:r w:rsidRPr="007F3AC7">
        <w:rPr>
          <w:rFonts w:eastAsia="Times New Roman" w:cs="Arial"/>
          <w:color w:val="000000"/>
        </w:rPr>
        <w:t xml:space="preserve">. </w:t>
      </w:r>
      <w:r w:rsidRPr="007F3AC7">
        <w:rPr>
          <w:rFonts w:eastAsia="Times New Roman" w:cs="Arial"/>
          <w:color w:val="000000"/>
          <w:lang w:eastAsia="bg-BG"/>
        </w:rPr>
        <w:t xml:space="preserve">Епитрижин се прилага за комбинирана терапия, но може да се използва и като начално антиепилептично лекарство (АЕЛ), с което да се започне при синдрома на </w:t>
      </w:r>
      <w:r w:rsidRPr="007F3AC7">
        <w:rPr>
          <w:rFonts w:eastAsia="Times New Roman" w:cs="Arial"/>
          <w:color w:val="000000"/>
          <w:lang w:val="en-US"/>
        </w:rPr>
        <w:t>Lennox</w:t>
      </w:r>
      <w:r w:rsidRPr="007F3AC7">
        <w:rPr>
          <w:rFonts w:eastAsia="Times New Roman" w:cs="Arial"/>
          <w:color w:val="000000"/>
          <w:lang w:val="ru-RU"/>
        </w:rPr>
        <w:t>-</w:t>
      </w:r>
      <w:r w:rsidRPr="007F3AC7">
        <w:rPr>
          <w:rFonts w:eastAsia="Times New Roman" w:cs="Arial"/>
          <w:color w:val="000000"/>
          <w:lang w:val="en-US"/>
        </w:rPr>
        <w:t>Gastaut</w:t>
      </w:r>
      <w:r w:rsidRPr="007F3AC7">
        <w:rPr>
          <w:rFonts w:eastAsia="Times New Roman" w:cs="Arial"/>
          <w:color w:val="000000"/>
          <w:lang w:val="ru-RU"/>
        </w:rPr>
        <w:t>.</w:t>
      </w:r>
    </w:p>
    <w:p w14:paraId="26C5D38D" w14:textId="77777777" w:rsidR="007F3AC7" w:rsidRPr="007F3AC7" w:rsidRDefault="007F3AC7" w:rsidP="007F3AC7">
      <w:pPr>
        <w:spacing w:line="240" w:lineRule="auto"/>
        <w:rPr>
          <w:rFonts w:eastAsia="Times New Roman" w:cs="Arial"/>
          <w:i/>
          <w:iCs/>
          <w:color w:val="000000"/>
          <w:lang w:eastAsia="bg-BG"/>
        </w:rPr>
      </w:pPr>
    </w:p>
    <w:p w14:paraId="3944E432" w14:textId="3F7C834C"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lang w:eastAsia="bg-BG"/>
        </w:rPr>
        <w:t>Деца и юноши на възраст от 2 до 12 години</w:t>
      </w:r>
    </w:p>
    <w:p w14:paraId="50B22BC7" w14:textId="77777777"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 xml:space="preserve">Комбинирана терапия при парциални и генерализирани припадъци, включително тонично-клонични припадъци и припадъци, свързани със синдрома на </w:t>
      </w:r>
      <w:r w:rsidRPr="007F3AC7">
        <w:rPr>
          <w:rFonts w:eastAsia="Times New Roman" w:cs="Arial"/>
          <w:color w:val="000000"/>
          <w:lang w:val="en-US"/>
        </w:rPr>
        <w:t>Lennox</w:t>
      </w:r>
      <w:r w:rsidRPr="007F3AC7">
        <w:rPr>
          <w:rFonts w:eastAsia="Times New Roman" w:cs="Arial"/>
          <w:color w:val="000000"/>
          <w:lang w:val="ru-RU"/>
        </w:rPr>
        <w:t>-</w:t>
      </w:r>
      <w:r w:rsidRPr="007F3AC7">
        <w:rPr>
          <w:rFonts w:eastAsia="Times New Roman" w:cs="Arial"/>
          <w:color w:val="000000"/>
          <w:lang w:val="en-US"/>
        </w:rPr>
        <w:t>Gastaut</w:t>
      </w:r>
      <w:r w:rsidRPr="007F3AC7">
        <w:rPr>
          <w:rFonts w:eastAsia="Times New Roman" w:cs="Arial"/>
          <w:color w:val="000000"/>
          <w:lang w:val="ru-RU"/>
        </w:rPr>
        <w:t>.</w:t>
      </w:r>
    </w:p>
    <w:p w14:paraId="63C9CC9B" w14:textId="38953F82"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Монотерапия на типични абсанси.</w:t>
      </w:r>
    </w:p>
    <w:p w14:paraId="49BA4927" w14:textId="77777777" w:rsidR="007F3AC7" w:rsidRPr="007F3AC7" w:rsidRDefault="007F3AC7" w:rsidP="007F3AC7">
      <w:pPr>
        <w:spacing w:line="240" w:lineRule="auto"/>
        <w:rPr>
          <w:rFonts w:eastAsia="Times New Roman" w:cs="Arial"/>
          <w:color w:val="000000"/>
          <w:u w:val="single"/>
          <w:lang w:eastAsia="bg-BG"/>
        </w:rPr>
      </w:pPr>
    </w:p>
    <w:p w14:paraId="4FBB3F6F" w14:textId="5E464B0E" w:rsidR="007F3AC7" w:rsidRPr="007F3AC7" w:rsidRDefault="007F3AC7" w:rsidP="007F3AC7">
      <w:pPr>
        <w:spacing w:line="240" w:lineRule="auto"/>
        <w:rPr>
          <w:rFonts w:eastAsia="Times New Roman" w:cs="Arial"/>
          <w:sz w:val="24"/>
          <w:szCs w:val="24"/>
        </w:rPr>
      </w:pPr>
      <w:r w:rsidRPr="007F3AC7">
        <w:rPr>
          <w:rFonts w:eastAsia="Times New Roman" w:cs="Arial"/>
          <w:color w:val="000000"/>
          <w:u w:val="single"/>
          <w:lang w:eastAsia="bg-BG"/>
        </w:rPr>
        <w:lastRenderedPageBreak/>
        <w:t>Биполярно разстройство</w:t>
      </w:r>
    </w:p>
    <w:p w14:paraId="19F8F310" w14:textId="77777777" w:rsidR="007F3AC7" w:rsidRPr="007F3AC7" w:rsidRDefault="007F3AC7" w:rsidP="007F3AC7">
      <w:pPr>
        <w:spacing w:line="240" w:lineRule="auto"/>
        <w:rPr>
          <w:rFonts w:eastAsia="Times New Roman" w:cs="Arial"/>
          <w:i/>
          <w:iCs/>
          <w:color w:val="000000"/>
          <w:lang w:eastAsia="bg-BG"/>
        </w:rPr>
      </w:pPr>
    </w:p>
    <w:p w14:paraId="5D7D5918" w14:textId="0A953AAF"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lang w:eastAsia="bg-BG"/>
        </w:rPr>
        <w:t>Възрастни на възраст на 18 и повече години</w:t>
      </w:r>
    </w:p>
    <w:p w14:paraId="25D8193D" w14:textId="77777777" w:rsidR="007F3AC7" w:rsidRPr="007F3AC7" w:rsidRDefault="007F3AC7" w:rsidP="007F3AC7">
      <w:pPr>
        <w:pStyle w:val="ListParagraph"/>
        <w:numPr>
          <w:ilvl w:val="0"/>
          <w:numId w:val="37"/>
        </w:numPr>
        <w:spacing w:line="240" w:lineRule="auto"/>
        <w:rPr>
          <w:rFonts w:eastAsia="Times New Roman" w:cs="Arial"/>
          <w:sz w:val="24"/>
          <w:szCs w:val="24"/>
        </w:rPr>
      </w:pPr>
      <w:r w:rsidRPr="007F3AC7">
        <w:rPr>
          <w:rFonts w:eastAsia="Times New Roman" w:cs="Arial"/>
          <w:color w:val="000000"/>
          <w:lang w:eastAsia="bg-BG"/>
        </w:rPr>
        <w:t>Предотвратяване на депресивни епизоди при пациенти с биполярно тип I разстройство, които имат предимно депресивни епизоди (вж. точка 5.1).</w:t>
      </w:r>
    </w:p>
    <w:p w14:paraId="22AFF93A" w14:textId="77777777" w:rsidR="007F3AC7" w:rsidRPr="007F3AC7" w:rsidRDefault="007F3AC7" w:rsidP="007F3AC7">
      <w:pPr>
        <w:spacing w:line="240" w:lineRule="auto"/>
        <w:rPr>
          <w:rFonts w:eastAsia="Times New Roman" w:cs="Arial"/>
          <w:color w:val="000000"/>
          <w:lang w:eastAsia="bg-BG"/>
        </w:rPr>
      </w:pPr>
    </w:p>
    <w:p w14:paraId="6A186C9D" w14:textId="53F8EB14" w:rsidR="007F3AC7" w:rsidRDefault="007F3AC7" w:rsidP="007F3AC7">
      <w:pPr>
        <w:spacing w:line="240" w:lineRule="auto"/>
        <w:rPr>
          <w:rFonts w:ascii="Times New Roman" w:eastAsia="Times New Roman" w:hAnsi="Times New Roman" w:cs="Times New Roman"/>
          <w:color w:val="000000"/>
          <w:lang w:eastAsia="bg-BG"/>
        </w:rPr>
      </w:pPr>
      <w:r w:rsidRPr="007F3AC7">
        <w:rPr>
          <w:rFonts w:eastAsia="Times New Roman" w:cs="Arial"/>
          <w:color w:val="000000"/>
          <w:lang w:eastAsia="bg-BG"/>
        </w:rPr>
        <w:t>Епитрижин не е показан за интензивно лечение на манийни или депресивни епизоди.</w:t>
      </w:r>
    </w:p>
    <w:p w14:paraId="46242AC8" w14:textId="748A1A56" w:rsidR="007F3AC7" w:rsidRPr="007F3AC7" w:rsidRDefault="007F3AC7" w:rsidP="007F3AC7">
      <w:pPr>
        <w:spacing w:line="240" w:lineRule="auto"/>
        <w:rPr>
          <w:rFonts w:ascii="Times New Roman" w:eastAsia="Times New Roman" w:hAnsi="Times New Roman" w:cs="Times New Roman"/>
          <w:sz w:val="24"/>
          <w:szCs w:val="24"/>
        </w:rPr>
      </w:pPr>
    </w:p>
    <w:p w14:paraId="53F5B866" w14:textId="52FEFF2C" w:rsidR="007122AD" w:rsidRDefault="002C50EE" w:rsidP="00936AD0">
      <w:pPr>
        <w:pStyle w:val="Heading2"/>
      </w:pPr>
      <w:r>
        <w:t>4.2. Дозировка и начин на приложение</w:t>
      </w:r>
    </w:p>
    <w:p w14:paraId="1B9014E7" w14:textId="017E9433" w:rsidR="007F3AC7" w:rsidRDefault="007F3AC7" w:rsidP="007F3AC7"/>
    <w:p w14:paraId="6236807C" w14:textId="77777777" w:rsidR="007F3AC7" w:rsidRPr="007F3AC7" w:rsidRDefault="007F3AC7" w:rsidP="007F3AC7">
      <w:pPr>
        <w:pStyle w:val="Heading3"/>
        <w:rPr>
          <w:rFonts w:eastAsia="Times New Roman"/>
          <w:u w:val="single"/>
        </w:rPr>
      </w:pPr>
      <w:r w:rsidRPr="007F3AC7">
        <w:rPr>
          <w:rFonts w:eastAsia="Times New Roman"/>
          <w:u w:val="single"/>
          <w:lang w:eastAsia="bg-BG"/>
        </w:rPr>
        <w:t>Дозировка</w:t>
      </w:r>
    </w:p>
    <w:p w14:paraId="1DD2FF6A" w14:textId="77777777" w:rsidR="007F3AC7" w:rsidRPr="007F3AC7" w:rsidRDefault="007F3AC7" w:rsidP="007F3AC7">
      <w:pPr>
        <w:spacing w:line="240" w:lineRule="auto"/>
        <w:rPr>
          <w:rFonts w:eastAsia="Times New Roman" w:cs="Arial"/>
          <w:color w:val="000000"/>
          <w:lang w:eastAsia="bg-BG"/>
        </w:rPr>
      </w:pPr>
    </w:p>
    <w:p w14:paraId="5FEC079C" w14:textId="4AE066C2"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Таблетките Епитрижин трябва да бъдат поглъщани цели без да се дъвчат или чупят.</w:t>
      </w:r>
    </w:p>
    <w:p w14:paraId="256C040A" w14:textId="77777777" w:rsidR="007F3AC7" w:rsidRPr="007F3AC7" w:rsidRDefault="007F3AC7" w:rsidP="007F3AC7">
      <w:pPr>
        <w:spacing w:line="240" w:lineRule="auto"/>
        <w:rPr>
          <w:rFonts w:eastAsia="Times New Roman" w:cs="Arial"/>
          <w:color w:val="000000"/>
          <w:lang w:eastAsia="bg-BG"/>
        </w:rPr>
      </w:pPr>
    </w:p>
    <w:p w14:paraId="7CECE175" w14:textId="429D3E4E"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Ако изчислената доза (например за лечение на деца с епилепсия или на пациенти с чернодробни нарушения) не съответства на съдържанието на цяла таблетка, трябва да се приема по-ниска доза, съответстваща на цели таблетки.</w:t>
      </w:r>
    </w:p>
    <w:p w14:paraId="29A276EC" w14:textId="77777777" w:rsidR="007F3AC7" w:rsidRPr="007F3AC7" w:rsidRDefault="007F3AC7" w:rsidP="007F3AC7">
      <w:pPr>
        <w:spacing w:line="240" w:lineRule="auto"/>
        <w:rPr>
          <w:rFonts w:eastAsia="Times New Roman" w:cs="Arial"/>
          <w:i/>
          <w:iCs/>
          <w:color w:val="000000"/>
          <w:lang w:eastAsia="bg-BG"/>
        </w:rPr>
      </w:pPr>
    </w:p>
    <w:p w14:paraId="26923406" w14:textId="3BE3B4F9"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lang w:eastAsia="bg-BG"/>
        </w:rPr>
        <w:t>Повторно започване на лечение</w:t>
      </w:r>
    </w:p>
    <w:p w14:paraId="51E2A105" w14:textId="77777777"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При повторно започване на лечението с ламотрижин при пациенти, които по някаква причина са прекъснали приема му, трябва да се прецени необходимостта от постепенно повишаване на дозата до поддържащата доза, тъй като рискът от сериозен обрив е свързан с високи начални дози и превишаване на препоръчваната доза за повишаване на ламотрижин (вж. точка 4.4). Колкото по-голям е интервалът от време след приема на предишната доза, толкова по-голямо внимание трябва да се обърне на постепенното достигане на поддържащата доза. Когато интервалът от време след прекъсването на лечението с ламотрижин надвишава пет полуживота (вж. точка 5.2), обикновено поддържащата доза на ламотрижин трябва да се достигне според подходящата схема.</w:t>
      </w:r>
    </w:p>
    <w:p w14:paraId="4A6754A9" w14:textId="77777777" w:rsidR="007F3AC7" w:rsidRPr="007F3AC7" w:rsidRDefault="007F3AC7" w:rsidP="007F3AC7">
      <w:pPr>
        <w:spacing w:line="240" w:lineRule="auto"/>
        <w:rPr>
          <w:rFonts w:eastAsia="Times New Roman" w:cs="Arial"/>
          <w:color w:val="000000"/>
          <w:lang w:eastAsia="bg-BG"/>
        </w:rPr>
      </w:pPr>
    </w:p>
    <w:p w14:paraId="7E482AA8" w14:textId="58B8F3A1"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Препоръчва се лечението с ламотрижин да не се започва отново при пациенти, които са го прекъснали поради обрив, свързан с предишното лечение с ламотрижин, освен ако потенциалната полза несъмнено надвишава риска.</w:t>
      </w:r>
    </w:p>
    <w:p w14:paraId="00C4939F" w14:textId="77777777" w:rsidR="007F3AC7" w:rsidRPr="007F3AC7" w:rsidRDefault="007F3AC7" w:rsidP="007F3AC7">
      <w:pPr>
        <w:spacing w:line="240" w:lineRule="auto"/>
        <w:rPr>
          <w:rFonts w:eastAsia="Times New Roman" w:cs="Arial"/>
          <w:color w:val="000000"/>
          <w:u w:val="single"/>
          <w:lang w:eastAsia="bg-BG"/>
        </w:rPr>
      </w:pPr>
    </w:p>
    <w:p w14:paraId="31997A2D" w14:textId="7927A3D1" w:rsidR="007F3AC7" w:rsidRPr="007F3AC7" w:rsidRDefault="007F3AC7" w:rsidP="007F3AC7">
      <w:pPr>
        <w:spacing w:line="240" w:lineRule="auto"/>
        <w:rPr>
          <w:rFonts w:eastAsia="Times New Roman" w:cs="Arial"/>
          <w:sz w:val="24"/>
          <w:szCs w:val="24"/>
        </w:rPr>
      </w:pPr>
      <w:r w:rsidRPr="007F3AC7">
        <w:rPr>
          <w:rFonts w:eastAsia="Times New Roman" w:cs="Arial"/>
          <w:color w:val="000000"/>
          <w:u w:val="single"/>
          <w:lang w:eastAsia="bg-BG"/>
        </w:rPr>
        <w:t>Епилепсия</w:t>
      </w:r>
    </w:p>
    <w:p w14:paraId="67F0CFA9" w14:textId="77777777"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Препоръчваното постепенно повишаване на дозата и поддържащите дози за възрастни и юноши на възраст на 13 и повече години (Таблица 1), и за деца и юноши от 2 до 12 години (Таблица 2) са представени по-долу. Началната доза и последващото й повишаване не трябва да бъдат превишавани (вж, точка 4.4), поради риск от поява на обрив.</w:t>
      </w:r>
    </w:p>
    <w:p w14:paraId="4C855D59" w14:textId="77777777" w:rsidR="007F3AC7" w:rsidRPr="007F3AC7" w:rsidRDefault="007F3AC7" w:rsidP="007F3AC7">
      <w:pPr>
        <w:spacing w:line="240" w:lineRule="auto"/>
        <w:rPr>
          <w:rFonts w:eastAsia="Times New Roman" w:cs="Arial"/>
          <w:color w:val="000000"/>
          <w:lang w:eastAsia="bg-BG"/>
        </w:rPr>
      </w:pPr>
    </w:p>
    <w:p w14:paraId="1C5B72E5" w14:textId="105FF6A2" w:rsidR="007F3AC7" w:rsidRPr="007F3AC7" w:rsidRDefault="007F3AC7" w:rsidP="007F3AC7">
      <w:pPr>
        <w:spacing w:line="240" w:lineRule="auto"/>
        <w:rPr>
          <w:rFonts w:eastAsia="Times New Roman" w:cs="Arial"/>
          <w:sz w:val="24"/>
          <w:szCs w:val="24"/>
        </w:rPr>
      </w:pPr>
      <w:r w:rsidRPr="007F3AC7">
        <w:rPr>
          <w:rFonts w:eastAsia="Times New Roman" w:cs="Arial"/>
          <w:color w:val="000000"/>
          <w:lang w:eastAsia="bg-BG"/>
        </w:rPr>
        <w:t>При преустановяване на съпътстващ прием на АЕЛ или при добавяне на други АЕЛ/лекарствени продукти към терапевтични схеми, включващи ламотрижин, трябва да се има предвид ефекта, който може да окаже това върху фармакокинетиката на ламотрижин (вж. точка 4.5).</w:t>
      </w:r>
    </w:p>
    <w:p w14:paraId="458FDDB0" w14:textId="77777777" w:rsidR="007F3AC7" w:rsidRPr="007F3AC7" w:rsidRDefault="007F3AC7" w:rsidP="007F3AC7">
      <w:pPr>
        <w:spacing w:line="240" w:lineRule="auto"/>
        <w:rPr>
          <w:rFonts w:eastAsia="Times New Roman" w:cs="Arial"/>
          <w:i/>
          <w:iCs/>
          <w:color w:val="000000"/>
          <w:u w:val="single"/>
          <w:lang w:eastAsia="bg-BG"/>
        </w:rPr>
      </w:pPr>
    </w:p>
    <w:p w14:paraId="7B536F43" w14:textId="335B0306" w:rsidR="007F3AC7" w:rsidRPr="007F3AC7" w:rsidRDefault="007F3AC7" w:rsidP="007F3AC7">
      <w:pPr>
        <w:spacing w:line="240" w:lineRule="auto"/>
        <w:rPr>
          <w:rFonts w:eastAsia="Times New Roman" w:cs="Arial"/>
          <w:sz w:val="24"/>
          <w:szCs w:val="24"/>
        </w:rPr>
      </w:pPr>
      <w:r w:rsidRPr="007F3AC7">
        <w:rPr>
          <w:rFonts w:eastAsia="Times New Roman" w:cs="Arial"/>
          <w:i/>
          <w:iCs/>
          <w:color w:val="000000"/>
          <w:u w:val="single"/>
          <w:lang w:eastAsia="bg-BG"/>
        </w:rPr>
        <w:t xml:space="preserve">Таблица 1: Възрастни и юноши на възраст 13 и повече години - препоръчвана схема за лечение </w:t>
      </w:r>
      <w:r w:rsidRPr="007F3AC7">
        <w:rPr>
          <w:rFonts w:eastAsia="Times New Roman" w:cs="Arial"/>
          <w:i/>
          <w:iCs/>
          <w:color w:val="000000"/>
          <w:lang w:eastAsia="bg-BG"/>
        </w:rPr>
        <w:t>на епилепсия</w:t>
      </w:r>
    </w:p>
    <w:tbl>
      <w:tblPr>
        <w:tblStyle w:val="TableGrid"/>
        <w:tblW w:w="0" w:type="auto"/>
        <w:tblLook w:val="04A0" w:firstRow="1" w:lastRow="0" w:firstColumn="1" w:lastColumn="0" w:noHBand="0" w:noVBand="1"/>
      </w:tblPr>
      <w:tblGrid>
        <w:gridCol w:w="2451"/>
        <w:gridCol w:w="2294"/>
        <w:gridCol w:w="2281"/>
        <w:gridCol w:w="2324"/>
      </w:tblGrid>
      <w:tr w:rsidR="00813009" w14:paraId="345150EA" w14:textId="77777777" w:rsidTr="00813009">
        <w:tc>
          <w:tcPr>
            <w:tcW w:w="2451" w:type="dxa"/>
          </w:tcPr>
          <w:p w14:paraId="47AAE821" w14:textId="5190786B" w:rsidR="00813009" w:rsidRPr="00813009" w:rsidRDefault="00813009" w:rsidP="00813009">
            <w:pPr>
              <w:rPr>
                <w:rFonts w:cs="Arial"/>
              </w:rPr>
            </w:pPr>
            <w:r w:rsidRPr="00813009">
              <w:rPr>
                <w:rFonts w:cs="Arial"/>
              </w:rPr>
              <w:t>Схема на лечение</w:t>
            </w:r>
          </w:p>
        </w:tc>
        <w:tc>
          <w:tcPr>
            <w:tcW w:w="2374" w:type="dxa"/>
          </w:tcPr>
          <w:p w14:paraId="02981DDF" w14:textId="2E688461" w:rsidR="00813009" w:rsidRPr="00813009" w:rsidRDefault="00813009" w:rsidP="00813009">
            <w:pPr>
              <w:rPr>
                <w:rFonts w:cs="Arial"/>
              </w:rPr>
            </w:pPr>
            <w:r w:rsidRPr="00813009">
              <w:rPr>
                <w:rFonts w:cs="Arial"/>
              </w:rPr>
              <w:t>Седмици 1+2</w:t>
            </w:r>
          </w:p>
        </w:tc>
        <w:tc>
          <w:tcPr>
            <w:tcW w:w="2371" w:type="dxa"/>
          </w:tcPr>
          <w:p w14:paraId="20BEAC5C" w14:textId="7AAB391A" w:rsidR="00813009" w:rsidRPr="00813009" w:rsidRDefault="00813009" w:rsidP="00813009">
            <w:pPr>
              <w:rPr>
                <w:rFonts w:cs="Arial"/>
              </w:rPr>
            </w:pPr>
            <w:r w:rsidRPr="00813009">
              <w:rPr>
                <w:rFonts w:cs="Arial"/>
              </w:rPr>
              <w:t>Седмици 3 + 4</w:t>
            </w:r>
          </w:p>
        </w:tc>
        <w:tc>
          <w:tcPr>
            <w:tcW w:w="2380" w:type="dxa"/>
          </w:tcPr>
          <w:p w14:paraId="4DE70FAD" w14:textId="15BA9FAC" w:rsidR="00813009" w:rsidRPr="00813009" w:rsidRDefault="00813009" w:rsidP="00813009">
            <w:pPr>
              <w:rPr>
                <w:rFonts w:cs="Arial"/>
              </w:rPr>
            </w:pPr>
            <w:r w:rsidRPr="00813009">
              <w:rPr>
                <w:rFonts w:cs="Arial"/>
              </w:rPr>
              <w:t>Обичайна поддържаща доза</w:t>
            </w:r>
          </w:p>
        </w:tc>
      </w:tr>
      <w:tr w:rsidR="00813009" w14:paraId="0460A1F1" w14:textId="77777777" w:rsidTr="00813009">
        <w:tc>
          <w:tcPr>
            <w:tcW w:w="2451" w:type="dxa"/>
          </w:tcPr>
          <w:p w14:paraId="2E99FE85" w14:textId="338C3B76" w:rsidR="00813009" w:rsidRPr="00813009" w:rsidRDefault="00813009" w:rsidP="00813009">
            <w:pPr>
              <w:rPr>
                <w:rFonts w:cs="Arial"/>
              </w:rPr>
            </w:pPr>
            <w:r w:rsidRPr="00813009">
              <w:rPr>
                <w:rFonts w:cs="Arial"/>
                <w:b/>
                <w:bCs/>
              </w:rPr>
              <w:lastRenderedPageBreak/>
              <w:t>Монотерапия .*</w:t>
            </w:r>
          </w:p>
        </w:tc>
        <w:tc>
          <w:tcPr>
            <w:tcW w:w="2374" w:type="dxa"/>
          </w:tcPr>
          <w:p w14:paraId="64C6022A" w14:textId="25D1FDA1"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2371" w:type="dxa"/>
          </w:tcPr>
          <w:p w14:paraId="1B4DFAE6" w14:textId="03FBC237"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w:t>
            </w:r>
          </w:p>
        </w:tc>
        <w:tc>
          <w:tcPr>
            <w:tcW w:w="2380" w:type="dxa"/>
          </w:tcPr>
          <w:p w14:paraId="6C565859" w14:textId="77777777" w:rsidR="00813009" w:rsidRPr="00813009" w:rsidRDefault="00813009" w:rsidP="00813009">
            <w:pPr>
              <w:rPr>
                <w:rFonts w:cs="Arial"/>
              </w:rPr>
            </w:pPr>
            <w:r w:rsidRPr="00813009">
              <w:rPr>
                <w:rFonts w:cs="Arial"/>
              </w:rPr>
              <w:t xml:space="preserve">100-200 </w:t>
            </w:r>
            <w:r w:rsidRPr="00813009">
              <w:rPr>
                <w:rFonts w:cs="Arial"/>
                <w:lang w:val="en-US"/>
              </w:rPr>
              <w:t>mg</w:t>
            </w:r>
            <w:r w:rsidRPr="00813009">
              <w:rPr>
                <w:rFonts w:cs="Arial"/>
              </w:rPr>
              <w:t>/ден (веднъж дневно или в два приема)</w:t>
            </w:r>
          </w:p>
          <w:p w14:paraId="47883A27" w14:textId="77777777" w:rsidR="00813009" w:rsidRPr="00813009" w:rsidRDefault="00813009" w:rsidP="00813009">
            <w:pPr>
              <w:rPr>
                <w:rFonts w:cs="Arial"/>
              </w:rPr>
            </w:pPr>
            <w:r w:rsidRPr="00813009">
              <w:rPr>
                <w:rFonts w:cs="Arial"/>
              </w:rPr>
              <w:t xml:space="preserve">За да се постигне поддържащо лечение, дозите може да се повишават с максимум 50- 100 </w:t>
            </w:r>
            <w:r w:rsidRPr="00813009">
              <w:rPr>
                <w:rFonts w:cs="Arial"/>
                <w:lang w:val="en-US"/>
              </w:rPr>
              <w:t>mg</w:t>
            </w:r>
            <w:r w:rsidRPr="00813009">
              <w:rPr>
                <w:rFonts w:cs="Arial"/>
                <w:lang w:val="ru-RU"/>
              </w:rPr>
              <w:t xml:space="preserve"> </w:t>
            </w:r>
            <w:r w:rsidRPr="00813009">
              <w:rPr>
                <w:rFonts w:cs="Arial"/>
              </w:rPr>
              <w:t>на всяка една до две седмици до постигане на оптимален отговор.</w:t>
            </w:r>
          </w:p>
          <w:p w14:paraId="199F03C7" w14:textId="502BD2B1" w:rsidR="00813009" w:rsidRPr="00813009" w:rsidRDefault="00813009" w:rsidP="00813009">
            <w:pPr>
              <w:rPr>
                <w:rFonts w:cs="Arial"/>
              </w:rPr>
            </w:pPr>
            <w:r w:rsidRPr="00813009">
              <w:rPr>
                <w:rFonts w:cs="Arial"/>
              </w:rPr>
              <w:t xml:space="preserve">При някои пациенти са необходими 500 </w:t>
            </w:r>
            <w:r w:rsidRPr="00813009">
              <w:rPr>
                <w:rFonts w:cs="Arial"/>
                <w:lang w:val="en-US"/>
              </w:rPr>
              <w:t>mg</w:t>
            </w:r>
            <w:r w:rsidRPr="00813009">
              <w:rPr>
                <w:rFonts w:cs="Arial"/>
                <w:lang w:val="ru-RU"/>
              </w:rPr>
              <w:t xml:space="preserve"> </w:t>
            </w:r>
            <w:r w:rsidRPr="00813009">
              <w:rPr>
                <w:rFonts w:cs="Arial"/>
              </w:rPr>
              <w:t>дневно за постигане на желания терапевтичен отговор.</w:t>
            </w:r>
          </w:p>
        </w:tc>
      </w:tr>
      <w:tr w:rsidR="00813009" w14:paraId="7463CBED" w14:textId="77777777" w:rsidTr="004B27D4">
        <w:tc>
          <w:tcPr>
            <w:tcW w:w="9576" w:type="dxa"/>
            <w:gridSpan w:val="4"/>
          </w:tcPr>
          <w:p w14:paraId="4EC19AFD" w14:textId="2BDA4F77" w:rsidR="00813009" w:rsidRPr="00813009" w:rsidRDefault="00813009" w:rsidP="007F3AC7">
            <w:pPr>
              <w:rPr>
                <w:rFonts w:cs="Arial"/>
              </w:rPr>
            </w:pPr>
            <w:r w:rsidRPr="00813009">
              <w:rPr>
                <w:rFonts w:eastAsia="Times New Roman" w:cs="Arial"/>
                <w:b/>
                <w:bCs/>
                <w:color w:val="000000"/>
                <w:lang w:eastAsia="bg-BG"/>
              </w:rPr>
              <w:t xml:space="preserve">Комбинирана терапия С валпроат </w:t>
            </w:r>
            <w:r w:rsidRPr="00813009">
              <w:rPr>
                <w:rFonts w:eastAsia="Times New Roman" w:cs="Arial"/>
                <w:color w:val="000000"/>
                <w:lang w:eastAsia="bg-BG"/>
              </w:rPr>
              <w:t>(инхибитор на глюкуронирането на ламотрижин - вж. . точка 4.5):</w:t>
            </w:r>
          </w:p>
        </w:tc>
      </w:tr>
      <w:tr w:rsidR="00813009" w14:paraId="5C7A3477" w14:textId="77777777" w:rsidTr="00813009">
        <w:tc>
          <w:tcPr>
            <w:tcW w:w="2451" w:type="dxa"/>
          </w:tcPr>
          <w:p w14:paraId="33933224" w14:textId="068F4643" w:rsidR="00813009" w:rsidRPr="00813009" w:rsidRDefault="00813009" w:rsidP="00813009">
            <w:pPr>
              <w:rPr>
                <w:rFonts w:cs="Arial"/>
              </w:rPr>
            </w:pPr>
            <w:r w:rsidRPr="00813009">
              <w:rPr>
                <w:rFonts w:cs="Arial"/>
              </w:rPr>
              <w:t>Тази схема на дозиране трябва да бъде използвана с валпроат независимо от съпътстващия прием на други лекарствени продукти</w:t>
            </w:r>
          </w:p>
        </w:tc>
        <w:tc>
          <w:tcPr>
            <w:tcW w:w="2374" w:type="dxa"/>
          </w:tcPr>
          <w:p w14:paraId="30F77069" w14:textId="41872526" w:rsidR="00813009" w:rsidRPr="00813009" w:rsidRDefault="00813009" w:rsidP="00813009">
            <w:pPr>
              <w:rPr>
                <w:rFonts w:cs="Arial"/>
              </w:rPr>
            </w:pPr>
            <w:r w:rsidRPr="00813009">
              <w:rPr>
                <w:rFonts w:cs="Arial"/>
              </w:rPr>
              <w:t xml:space="preserve">12,5 </w:t>
            </w:r>
            <w:r w:rsidRPr="00813009">
              <w:rPr>
                <w:rFonts w:cs="Arial"/>
                <w:lang w:val="en-US"/>
              </w:rPr>
              <w:t>mg</w:t>
            </w:r>
            <w:r w:rsidRPr="00813009">
              <w:rPr>
                <w:rFonts w:cs="Arial"/>
              </w:rPr>
              <w:t xml:space="preserve">/ден (приемани като 25 </w:t>
            </w:r>
            <w:r w:rsidRPr="00813009">
              <w:rPr>
                <w:rFonts w:cs="Arial"/>
                <w:lang w:val="en-US"/>
              </w:rPr>
              <w:t>mg</w:t>
            </w:r>
            <w:r w:rsidRPr="00813009">
              <w:rPr>
                <w:rFonts w:cs="Arial"/>
                <w:lang w:val="ru-RU"/>
              </w:rPr>
              <w:t xml:space="preserve"> </w:t>
            </w:r>
            <w:r w:rsidRPr="00813009">
              <w:rPr>
                <w:rFonts w:cs="Arial"/>
              </w:rPr>
              <w:t>през ден)</w:t>
            </w:r>
          </w:p>
        </w:tc>
        <w:tc>
          <w:tcPr>
            <w:tcW w:w="2371" w:type="dxa"/>
          </w:tcPr>
          <w:p w14:paraId="1FA0441D" w14:textId="78A8EE1B"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2380" w:type="dxa"/>
          </w:tcPr>
          <w:p w14:paraId="03C370B5" w14:textId="77777777" w:rsidR="00813009" w:rsidRPr="00813009" w:rsidRDefault="00813009" w:rsidP="00813009">
            <w:pPr>
              <w:rPr>
                <w:rFonts w:cs="Arial"/>
              </w:rPr>
            </w:pPr>
            <w:r w:rsidRPr="00813009">
              <w:rPr>
                <w:rFonts w:cs="Arial"/>
              </w:rPr>
              <w:t xml:space="preserve">100 - 200 </w:t>
            </w:r>
            <w:r w:rsidRPr="00813009">
              <w:rPr>
                <w:rFonts w:cs="Arial"/>
                <w:lang w:val="en-US"/>
              </w:rPr>
              <w:t>mg</w:t>
            </w:r>
            <w:r w:rsidRPr="00813009">
              <w:rPr>
                <w:rFonts w:cs="Arial"/>
              </w:rPr>
              <w:t>/ден (веднъж дневно или в два приема)</w:t>
            </w:r>
          </w:p>
          <w:p w14:paraId="6261C973" w14:textId="7BC77CA2" w:rsidR="00813009" w:rsidRPr="00813009" w:rsidRDefault="00813009" w:rsidP="00813009">
            <w:pPr>
              <w:rPr>
                <w:rFonts w:cs="Arial"/>
              </w:rPr>
            </w:pPr>
            <w:r w:rsidRPr="00813009">
              <w:rPr>
                <w:rFonts w:cs="Arial"/>
              </w:rPr>
              <w:t xml:space="preserve">За да се постигне поддържащо лечение, дозите може да се повишават с максимум 25- 50 </w:t>
            </w:r>
            <w:r w:rsidRPr="00813009">
              <w:rPr>
                <w:rFonts w:cs="Arial"/>
                <w:lang w:val="en-US"/>
              </w:rPr>
              <w:t>mg</w:t>
            </w:r>
            <w:r w:rsidRPr="00813009">
              <w:rPr>
                <w:rFonts w:cs="Arial"/>
                <w:lang w:val="ru-RU"/>
              </w:rPr>
              <w:t xml:space="preserve"> </w:t>
            </w:r>
            <w:r w:rsidRPr="00813009">
              <w:rPr>
                <w:rFonts w:cs="Arial"/>
              </w:rPr>
              <w:t>на всяка една до две седмици до постигане на оптимален отговор.</w:t>
            </w:r>
          </w:p>
        </w:tc>
      </w:tr>
      <w:tr w:rsidR="00813009" w14:paraId="6D26CBFF" w14:textId="77777777" w:rsidTr="004B27D4">
        <w:tc>
          <w:tcPr>
            <w:tcW w:w="9576" w:type="dxa"/>
            <w:gridSpan w:val="4"/>
          </w:tcPr>
          <w:p w14:paraId="223BD9FF" w14:textId="2ECA888B" w:rsidR="00813009" w:rsidRPr="00813009" w:rsidRDefault="00813009" w:rsidP="007F3AC7">
            <w:pPr>
              <w:rPr>
                <w:rFonts w:cs="Arial"/>
              </w:rPr>
            </w:pPr>
            <w:r w:rsidRPr="00813009">
              <w:rPr>
                <w:rFonts w:eastAsia="Times New Roman" w:cs="Arial"/>
                <w:b/>
                <w:bCs/>
                <w:color w:val="000000"/>
                <w:lang w:eastAsia="bg-BG"/>
              </w:rPr>
              <w:t xml:space="preserve">Комбинирана терапия БЕЗ валпроат и С индуктори на глюкуронирането на ламотрижин </w:t>
            </w:r>
            <w:r w:rsidRPr="00813009">
              <w:rPr>
                <w:rFonts w:eastAsia="Times New Roman" w:cs="Arial"/>
                <w:color w:val="000000"/>
                <w:lang w:eastAsia="bg-BG"/>
              </w:rPr>
              <w:t>(вж. точка 4.5):</w:t>
            </w:r>
          </w:p>
        </w:tc>
      </w:tr>
      <w:tr w:rsidR="00813009" w14:paraId="4C97C32A" w14:textId="77777777" w:rsidTr="00813009">
        <w:tc>
          <w:tcPr>
            <w:tcW w:w="2451" w:type="dxa"/>
          </w:tcPr>
          <w:p w14:paraId="046CF6F8" w14:textId="332BF21F" w:rsidR="00813009" w:rsidRPr="00813009" w:rsidRDefault="00813009" w:rsidP="00813009">
            <w:pPr>
              <w:rPr>
                <w:rFonts w:cs="Arial"/>
              </w:rPr>
            </w:pPr>
            <w:r w:rsidRPr="00813009">
              <w:rPr>
                <w:rFonts w:cs="Arial"/>
              </w:rPr>
              <w:t>Тази схема па дозиране трябва да се използва без валпроат, но с: фенитоин карбамазепин фенобарбитал примидон рифампицин лопинавир/ритонавир</w:t>
            </w:r>
          </w:p>
        </w:tc>
        <w:tc>
          <w:tcPr>
            <w:tcW w:w="2374" w:type="dxa"/>
          </w:tcPr>
          <w:p w14:paraId="634B28FC" w14:textId="37F46821"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w:t>
            </w:r>
          </w:p>
        </w:tc>
        <w:tc>
          <w:tcPr>
            <w:tcW w:w="2371" w:type="dxa"/>
          </w:tcPr>
          <w:p w14:paraId="557041C8" w14:textId="364B7DCD"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 (в два приема)</w:t>
            </w:r>
          </w:p>
        </w:tc>
        <w:tc>
          <w:tcPr>
            <w:tcW w:w="2380" w:type="dxa"/>
          </w:tcPr>
          <w:p w14:paraId="0925E3B7" w14:textId="77777777" w:rsidR="00813009" w:rsidRPr="00813009" w:rsidRDefault="00813009" w:rsidP="00813009">
            <w:pPr>
              <w:rPr>
                <w:rFonts w:cs="Arial"/>
              </w:rPr>
            </w:pPr>
            <w:r w:rsidRPr="00813009">
              <w:rPr>
                <w:rFonts w:cs="Arial"/>
              </w:rPr>
              <w:t xml:space="preserve">200-400 </w:t>
            </w:r>
            <w:r w:rsidRPr="00813009">
              <w:rPr>
                <w:rFonts w:cs="Arial"/>
                <w:lang w:val="en-US"/>
              </w:rPr>
              <w:t>mg</w:t>
            </w:r>
            <w:r w:rsidRPr="00813009">
              <w:rPr>
                <w:rFonts w:cs="Arial"/>
              </w:rPr>
              <w:t>/ден (в два приема)</w:t>
            </w:r>
          </w:p>
          <w:p w14:paraId="0D9D867A" w14:textId="77777777" w:rsidR="00813009" w:rsidRPr="00813009" w:rsidRDefault="00813009" w:rsidP="00813009">
            <w:pPr>
              <w:rPr>
                <w:rFonts w:cs="Arial"/>
              </w:rPr>
            </w:pPr>
            <w:r w:rsidRPr="00813009">
              <w:rPr>
                <w:rFonts w:cs="Arial"/>
              </w:rPr>
              <w:t xml:space="preserve">За да се постигне поддържащо лечение, дозите може да се повишават с максимум 100 </w:t>
            </w:r>
            <w:r w:rsidRPr="00813009">
              <w:rPr>
                <w:rFonts w:cs="Arial"/>
                <w:lang w:val="en-US"/>
              </w:rPr>
              <w:t>mg</w:t>
            </w:r>
            <w:r w:rsidRPr="00813009">
              <w:rPr>
                <w:rFonts w:cs="Arial"/>
                <w:lang w:val="ru-RU"/>
              </w:rPr>
              <w:t xml:space="preserve"> </w:t>
            </w:r>
            <w:r w:rsidRPr="00813009">
              <w:rPr>
                <w:rFonts w:cs="Arial"/>
              </w:rPr>
              <w:t xml:space="preserve">на всяка една до две седмици до </w:t>
            </w:r>
            <w:r w:rsidRPr="00813009">
              <w:rPr>
                <w:rFonts w:cs="Arial"/>
              </w:rPr>
              <w:lastRenderedPageBreak/>
              <w:t>постигане на оптимален отговор.</w:t>
            </w:r>
          </w:p>
          <w:p w14:paraId="4E98879F" w14:textId="6F3CA320" w:rsidR="00813009" w:rsidRPr="00813009" w:rsidRDefault="00813009" w:rsidP="00813009">
            <w:pPr>
              <w:rPr>
                <w:rFonts w:cs="Arial"/>
              </w:rPr>
            </w:pPr>
            <w:r w:rsidRPr="00813009">
              <w:rPr>
                <w:rFonts w:cs="Arial"/>
              </w:rPr>
              <w:t xml:space="preserve">При някои пациенти са необходими 700 </w:t>
            </w:r>
            <w:r w:rsidRPr="00813009">
              <w:rPr>
                <w:rFonts w:cs="Arial"/>
                <w:lang w:val="en-US"/>
              </w:rPr>
              <w:t>mg</w:t>
            </w:r>
            <w:r w:rsidRPr="00813009">
              <w:rPr>
                <w:rFonts w:cs="Arial"/>
                <w:lang w:val="ru-RU"/>
              </w:rPr>
              <w:t xml:space="preserve"> </w:t>
            </w:r>
            <w:r w:rsidRPr="00813009">
              <w:rPr>
                <w:rFonts w:cs="Arial"/>
              </w:rPr>
              <w:t>дневно за постигане на желания терапевтичен отговор.</w:t>
            </w:r>
          </w:p>
        </w:tc>
      </w:tr>
      <w:tr w:rsidR="00813009" w14:paraId="00F1810A" w14:textId="77777777" w:rsidTr="004B27D4">
        <w:tc>
          <w:tcPr>
            <w:tcW w:w="9576" w:type="dxa"/>
            <w:gridSpan w:val="4"/>
          </w:tcPr>
          <w:p w14:paraId="2A545945" w14:textId="382AAC08" w:rsidR="00813009" w:rsidRPr="00813009" w:rsidRDefault="00813009" w:rsidP="007F3AC7">
            <w:pPr>
              <w:rPr>
                <w:rFonts w:cs="Arial"/>
              </w:rPr>
            </w:pPr>
            <w:r w:rsidRPr="00813009">
              <w:rPr>
                <w:rFonts w:eastAsia="Times New Roman" w:cs="Arial"/>
                <w:b/>
                <w:bCs/>
                <w:color w:val="000000"/>
                <w:lang w:eastAsia="bg-BG"/>
              </w:rPr>
              <w:lastRenderedPageBreak/>
              <w:t xml:space="preserve">Комбинирана терапия БЕЗ валпроат и БЕЗ индуктори на глюкуронирането на ламотрижин </w:t>
            </w:r>
            <w:r w:rsidRPr="00813009">
              <w:rPr>
                <w:rFonts w:eastAsia="Times New Roman" w:cs="Arial"/>
                <w:color w:val="000000"/>
                <w:lang w:eastAsia="bg-BG"/>
              </w:rPr>
              <w:t>(вж. точка 4.5):</w:t>
            </w:r>
          </w:p>
        </w:tc>
      </w:tr>
      <w:tr w:rsidR="00813009" w14:paraId="0D199938" w14:textId="77777777" w:rsidTr="00813009">
        <w:tc>
          <w:tcPr>
            <w:tcW w:w="2451" w:type="dxa"/>
          </w:tcPr>
          <w:p w14:paraId="4BF00F5C" w14:textId="26907EBA" w:rsidR="00813009" w:rsidRPr="00813009" w:rsidRDefault="00813009" w:rsidP="00813009">
            <w:pPr>
              <w:rPr>
                <w:rFonts w:cs="Arial"/>
              </w:rPr>
            </w:pPr>
            <w:r w:rsidRPr="00813009">
              <w:rPr>
                <w:rFonts w:cs="Arial"/>
              </w:rPr>
              <w:t>Тази схема на дозиране трябва да се използва с други лекарствени продукти, които не инхибират или не индуцират значително глюкуронирането на ламотрижин</w:t>
            </w:r>
          </w:p>
        </w:tc>
        <w:tc>
          <w:tcPr>
            <w:tcW w:w="2374" w:type="dxa"/>
          </w:tcPr>
          <w:p w14:paraId="538A1523" w14:textId="105A6FD4"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2371" w:type="dxa"/>
          </w:tcPr>
          <w:p w14:paraId="7359C76A" w14:textId="7880CBB7"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w:t>
            </w:r>
          </w:p>
        </w:tc>
        <w:tc>
          <w:tcPr>
            <w:tcW w:w="2380" w:type="dxa"/>
          </w:tcPr>
          <w:p w14:paraId="00141210" w14:textId="77777777" w:rsidR="00813009" w:rsidRPr="00813009" w:rsidRDefault="00813009" w:rsidP="00813009">
            <w:pPr>
              <w:rPr>
                <w:rFonts w:cs="Arial"/>
              </w:rPr>
            </w:pPr>
            <w:r w:rsidRPr="00813009">
              <w:rPr>
                <w:rFonts w:cs="Arial"/>
              </w:rPr>
              <w:t xml:space="preserve">100 - 200 </w:t>
            </w:r>
            <w:r w:rsidRPr="00813009">
              <w:rPr>
                <w:rFonts w:cs="Arial"/>
                <w:lang w:val="en-US"/>
              </w:rPr>
              <w:t>mg</w:t>
            </w:r>
            <w:r w:rsidRPr="00813009">
              <w:rPr>
                <w:rFonts w:cs="Arial"/>
              </w:rPr>
              <w:t>/ден (веднъж дневно или в два приема)</w:t>
            </w:r>
          </w:p>
          <w:p w14:paraId="56441655" w14:textId="1D05968E" w:rsidR="00813009" w:rsidRPr="00813009" w:rsidRDefault="00813009" w:rsidP="00813009">
            <w:pPr>
              <w:rPr>
                <w:rFonts w:cs="Arial"/>
              </w:rPr>
            </w:pPr>
            <w:r w:rsidRPr="00813009">
              <w:rPr>
                <w:rFonts w:cs="Arial"/>
              </w:rPr>
              <w:t xml:space="preserve">За да се постигне поддържащо лечение, дозите може да се повишават с максимум 50- 100 </w:t>
            </w:r>
            <w:r w:rsidRPr="00813009">
              <w:rPr>
                <w:rFonts w:cs="Arial"/>
                <w:lang w:val="en-US"/>
              </w:rPr>
              <w:t>mg</w:t>
            </w:r>
            <w:r w:rsidRPr="00813009">
              <w:rPr>
                <w:rFonts w:cs="Arial"/>
                <w:lang w:val="ru-RU"/>
              </w:rPr>
              <w:t xml:space="preserve"> </w:t>
            </w:r>
            <w:r w:rsidRPr="00813009">
              <w:rPr>
                <w:rFonts w:cs="Arial"/>
              </w:rPr>
              <w:t>на всяка една до две седмици до постигане на оптимален отговор.</w:t>
            </w:r>
          </w:p>
        </w:tc>
      </w:tr>
      <w:tr w:rsidR="00813009" w14:paraId="0C4971BD" w14:textId="77777777" w:rsidTr="004B27D4">
        <w:tc>
          <w:tcPr>
            <w:tcW w:w="9576" w:type="dxa"/>
            <w:gridSpan w:val="4"/>
          </w:tcPr>
          <w:p w14:paraId="5DBF3B0E" w14:textId="4BBA8CBF" w:rsidR="00813009" w:rsidRPr="00813009" w:rsidRDefault="00813009" w:rsidP="007F3AC7">
            <w:pPr>
              <w:rPr>
                <w:rFonts w:cs="Arial"/>
              </w:rPr>
            </w:pPr>
            <w:r w:rsidRPr="00813009">
              <w:rPr>
                <w:rFonts w:cs="Arial"/>
              </w:rPr>
              <w:t>При пациенти, приемащи лекарствени продукти, за които не са известни фармакокинетични взаимодействия с ламотрижин (вж. точка 4.5), трябва да се използва схема на лечение като препоръчаната за ламотрижин с едновременен прием на валпроат.</w:t>
            </w:r>
          </w:p>
        </w:tc>
      </w:tr>
    </w:tbl>
    <w:p w14:paraId="4BCC3D91" w14:textId="77777777" w:rsidR="00813009" w:rsidRDefault="00813009" w:rsidP="00813009">
      <w:pPr>
        <w:spacing w:line="240" w:lineRule="auto"/>
        <w:rPr>
          <w:rFonts w:ascii="Times New Roman" w:eastAsia="Times New Roman" w:hAnsi="Times New Roman" w:cs="Times New Roman"/>
          <w:i/>
          <w:iCs/>
          <w:color w:val="000000"/>
          <w:u w:val="single"/>
          <w:lang w:eastAsia="bg-BG"/>
        </w:rPr>
      </w:pPr>
    </w:p>
    <w:p w14:paraId="057D25E6" w14:textId="7562C514" w:rsidR="00813009" w:rsidRPr="00813009" w:rsidRDefault="00813009" w:rsidP="00813009">
      <w:pPr>
        <w:spacing w:line="240" w:lineRule="auto"/>
        <w:rPr>
          <w:rFonts w:eastAsia="Times New Roman" w:cs="Arial"/>
          <w:i/>
          <w:iCs/>
          <w:color w:val="000000"/>
          <w:u w:val="single"/>
          <w:lang w:eastAsia="bg-BG"/>
        </w:rPr>
      </w:pPr>
      <w:r w:rsidRPr="00813009">
        <w:rPr>
          <w:rFonts w:eastAsia="Times New Roman" w:cs="Arial"/>
          <w:i/>
          <w:iCs/>
          <w:color w:val="000000"/>
          <w:u w:val="single"/>
          <w:lang w:eastAsia="bg-BG"/>
        </w:rPr>
        <w:t xml:space="preserve">Таблица 2: Деца и юноши на възраст от 2 до 12 години - препоръчвана схема на лечение на епилепсия (обща дневна доза в </w:t>
      </w:r>
      <w:r w:rsidRPr="00813009">
        <w:rPr>
          <w:rFonts w:eastAsia="Times New Roman" w:cs="Arial"/>
          <w:i/>
          <w:iCs/>
          <w:color w:val="000000"/>
          <w:u w:val="single"/>
          <w:lang w:val="en-US"/>
        </w:rPr>
        <w:t>ms</w:t>
      </w:r>
      <w:r w:rsidRPr="00813009">
        <w:rPr>
          <w:rFonts w:eastAsia="Times New Roman" w:cs="Arial"/>
          <w:i/>
          <w:iCs/>
          <w:color w:val="000000"/>
          <w:u w:val="single"/>
          <w:lang w:val="ru-RU"/>
        </w:rPr>
        <w:t>/</w:t>
      </w:r>
      <w:r w:rsidRPr="00813009">
        <w:rPr>
          <w:rFonts w:eastAsia="Times New Roman" w:cs="Arial"/>
          <w:i/>
          <w:iCs/>
          <w:color w:val="000000"/>
          <w:u w:val="single"/>
          <w:lang w:val="en-US"/>
        </w:rPr>
        <w:t>ks</w:t>
      </w:r>
      <w:r w:rsidRPr="00813009">
        <w:rPr>
          <w:rFonts w:eastAsia="Times New Roman" w:cs="Arial"/>
          <w:i/>
          <w:iCs/>
          <w:color w:val="000000"/>
          <w:u w:val="single"/>
          <w:lang w:val="ru-RU"/>
        </w:rPr>
        <w:t xml:space="preserve"> </w:t>
      </w:r>
      <w:r w:rsidRPr="00813009">
        <w:rPr>
          <w:rFonts w:eastAsia="Times New Roman" w:cs="Arial"/>
          <w:i/>
          <w:iCs/>
          <w:color w:val="000000"/>
          <w:u w:val="single"/>
          <w:lang w:eastAsia="bg-BG"/>
        </w:rPr>
        <w:t>телесно тегло/ден)</w:t>
      </w:r>
    </w:p>
    <w:tbl>
      <w:tblPr>
        <w:tblStyle w:val="TableGrid"/>
        <w:tblW w:w="0" w:type="auto"/>
        <w:tblLook w:val="04A0" w:firstRow="1" w:lastRow="0" w:firstColumn="1" w:lastColumn="0" w:noHBand="0" w:noVBand="1"/>
      </w:tblPr>
      <w:tblGrid>
        <w:gridCol w:w="2451"/>
        <w:gridCol w:w="2290"/>
        <w:gridCol w:w="2291"/>
        <w:gridCol w:w="2318"/>
      </w:tblGrid>
      <w:tr w:rsidR="00813009" w14:paraId="2E11F771" w14:textId="77777777" w:rsidTr="00813009">
        <w:tc>
          <w:tcPr>
            <w:tcW w:w="2451" w:type="dxa"/>
          </w:tcPr>
          <w:p w14:paraId="158131B0" w14:textId="7BFD9802" w:rsidR="00813009" w:rsidRPr="00813009" w:rsidRDefault="00813009" w:rsidP="00813009">
            <w:pPr>
              <w:spacing w:line="240" w:lineRule="auto"/>
              <w:rPr>
                <w:rFonts w:eastAsia="Times New Roman" w:cs="Arial"/>
                <w:sz w:val="24"/>
                <w:szCs w:val="24"/>
              </w:rPr>
            </w:pPr>
            <w:r w:rsidRPr="00813009">
              <w:rPr>
                <w:rFonts w:cs="Arial"/>
              </w:rPr>
              <w:t>Схема на лечение</w:t>
            </w:r>
          </w:p>
        </w:tc>
        <w:tc>
          <w:tcPr>
            <w:tcW w:w="2373" w:type="dxa"/>
          </w:tcPr>
          <w:p w14:paraId="185BEFDA" w14:textId="4ABD8F58" w:rsidR="00813009" w:rsidRPr="00813009" w:rsidRDefault="00813009" w:rsidP="00813009">
            <w:pPr>
              <w:spacing w:line="240" w:lineRule="auto"/>
              <w:rPr>
                <w:rFonts w:eastAsia="Times New Roman" w:cs="Arial"/>
                <w:sz w:val="24"/>
                <w:szCs w:val="24"/>
              </w:rPr>
            </w:pPr>
            <w:r w:rsidRPr="00813009">
              <w:rPr>
                <w:rFonts w:cs="Arial"/>
              </w:rPr>
              <w:t>Седмици 1 + 2</w:t>
            </w:r>
          </w:p>
        </w:tc>
        <w:tc>
          <w:tcPr>
            <w:tcW w:w="2373" w:type="dxa"/>
          </w:tcPr>
          <w:p w14:paraId="1A0D398B" w14:textId="6530FE4E" w:rsidR="00813009" w:rsidRPr="00813009" w:rsidRDefault="00813009" w:rsidP="00813009">
            <w:pPr>
              <w:spacing w:line="240" w:lineRule="auto"/>
              <w:rPr>
                <w:rFonts w:eastAsia="Times New Roman" w:cs="Arial"/>
                <w:sz w:val="24"/>
                <w:szCs w:val="24"/>
              </w:rPr>
            </w:pPr>
            <w:r w:rsidRPr="00813009">
              <w:rPr>
                <w:rFonts w:cs="Arial"/>
              </w:rPr>
              <w:t>Седмици 3 + 4</w:t>
            </w:r>
          </w:p>
        </w:tc>
        <w:tc>
          <w:tcPr>
            <w:tcW w:w="2379" w:type="dxa"/>
          </w:tcPr>
          <w:p w14:paraId="08653795" w14:textId="2398E049" w:rsidR="00813009" w:rsidRPr="00813009" w:rsidRDefault="00813009" w:rsidP="00813009">
            <w:pPr>
              <w:spacing w:line="240" w:lineRule="auto"/>
              <w:rPr>
                <w:rFonts w:eastAsia="Times New Roman" w:cs="Arial"/>
                <w:sz w:val="24"/>
                <w:szCs w:val="24"/>
              </w:rPr>
            </w:pPr>
            <w:r w:rsidRPr="00813009">
              <w:rPr>
                <w:rFonts w:cs="Arial"/>
              </w:rPr>
              <w:t>Обичайна поддържаща доза</w:t>
            </w:r>
          </w:p>
        </w:tc>
      </w:tr>
      <w:tr w:rsidR="00813009" w14:paraId="3E39B9BD" w14:textId="77777777" w:rsidTr="00813009">
        <w:tc>
          <w:tcPr>
            <w:tcW w:w="2451" w:type="dxa"/>
          </w:tcPr>
          <w:p w14:paraId="024E7941" w14:textId="3AE12437" w:rsidR="00813009" w:rsidRPr="00813009" w:rsidRDefault="00813009" w:rsidP="00813009">
            <w:pPr>
              <w:spacing w:line="240" w:lineRule="auto"/>
              <w:rPr>
                <w:rFonts w:eastAsia="Times New Roman" w:cs="Arial"/>
                <w:sz w:val="24"/>
                <w:szCs w:val="24"/>
              </w:rPr>
            </w:pPr>
            <w:r w:rsidRPr="00813009">
              <w:rPr>
                <w:rFonts w:cs="Arial"/>
                <w:b/>
                <w:bCs/>
              </w:rPr>
              <w:t>Монотерапия при типични абсанси:</w:t>
            </w:r>
          </w:p>
        </w:tc>
        <w:tc>
          <w:tcPr>
            <w:tcW w:w="2373" w:type="dxa"/>
          </w:tcPr>
          <w:p w14:paraId="178E65DE" w14:textId="6A3727B2" w:rsidR="00813009" w:rsidRPr="00813009" w:rsidRDefault="00813009" w:rsidP="00813009">
            <w:pPr>
              <w:spacing w:line="240" w:lineRule="auto"/>
              <w:rPr>
                <w:rFonts w:eastAsia="Times New Roman" w:cs="Arial"/>
                <w:sz w:val="24"/>
                <w:szCs w:val="24"/>
              </w:rPr>
            </w:pPr>
            <w:r w:rsidRPr="00813009">
              <w:rPr>
                <w:rFonts w:cs="Arial"/>
              </w:rPr>
              <w:t xml:space="preserve">0,3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 или в два приема)</w:t>
            </w:r>
          </w:p>
        </w:tc>
        <w:tc>
          <w:tcPr>
            <w:tcW w:w="2373" w:type="dxa"/>
          </w:tcPr>
          <w:p w14:paraId="4CE6B26B" w14:textId="60FAD012" w:rsidR="00813009" w:rsidRPr="00813009" w:rsidRDefault="00813009" w:rsidP="00813009">
            <w:pPr>
              <w:spacing w:line="240" w:lineRule="auto"/>
              <w:rPr>
                <w:rFonts w:eastAsia="Times New Roman" w:cs="Arial"/>
                <w:sz w:val="24"/>
                <w:szCs w:val="24"/>
              </w:rPr>
            </w:pPr>
            <w:r w:rsidRPr="00813009">
              <w:rPr>
                <w:rFonts w:cs="Arial"/>
              </w:rPr>
              <w:t xml:space="preserve">0,6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 или в два приема)</w:t>
            </w:r>
          </w:p>
        </w:tc>
        <w:tc>
          <w:tcPr>
            <w:tcW w:w="2379" w:type="dxa"/>
          </w:tcPr>
          <w:p w14:paraId="110D3EC6" w14:textId="77777777" w:rsidR="00813009" w:rsidRPr="00813009" w:rsidRDefault="00813009" w:rsidP="00813009">
            <w:pPr>
              <w:rPr>
                <w:rFonts w:cs="Arial"/>
              </w:rPr>
            </w:pPr>
            <w:r w:rsidRPr="00813009">
              <w:rPr>
                <w:rFonts w:cs="Arial"/>
              </w:rPr>
              <w:t xml:space="preserve">1-10 </w:t>
            </w:r>
            <w:r w:rsidRPr="00813009">
              <w:rPr>
                <w:rFonts w:cs="Arial"/>
                <w:lang w:val="en-US"/>
              </w:rPr>
              <w:t>mg</w:t>
            </w:r>
            <w:r w:rsidRPr="00813009">
              <w:rPr>
                <w:rFonts w:cs="Arial"/>
                <w:lang w:val="ru-RU"/>
              </w:rPr>
              <w:t>/</w:t>
            </w:r>
            <w:r w:rsidRPr="00813009">
              <w:rPr>
                <w:rFonts w:cs="Arial"/>
                <w:lang w:val="en-US"/>
              </w:rPr>
              <w:t>kg</w:t>
            </w:r>
            <w:r w:rsidRPr="00813009">
              <w:rPr>
                <w:rFonts w:cs="Arial"/>
              </w:rPr>
              <w:t xml:space="preserve">/ден, въпреки че при някои пациенти са необходими по-високи дози (до 15 </w:t>
            </w:r>
            <w:r w:rsidRPr="00813009">
              <w:rPr>
                <w:rFonts w:cs="Arial"/>
                <w:lang w:val="en-US"/>
              </w:rPr>
              <w:t>mg</w:t>
            </w:r>
            <w:r w:rsidRPr="00813009">
              <w:rPr>
                <w:rFonts w:cs="Arial"/>
                <w:lang w:val="ru-RU"/>
              </w:rPr>
              <w:t>/</w:t>
            </w:r>
            <w:r w:rsidRPr="00813009">
              <w:rPr>
                <w:rFonts w:cs="Arial"/>
                <w:lang w:val="en-US"/>
              </w:rPr>
              <w:t>kg</w:t>
            </w:r>
            <w:r w:rsidRPr="00813009">
              <w:rPr>
                <w:rFonts w:cs="Arial"/>
              </w:rPr>
              <w:t>/де</w:t>
            </w:r>
            <w:r w:rsidRPr="00813009">
              <w:rPr>
                <w:rFonts w:cs="Arial"/>
                <w:u w:val="single"/>
              </w:rPr>
              <w:t xml:space="preserve">н) </w:t>
            </w:r>
            <w:r w:rsidRPr="00813009">
              <w:rPr>
                <w:rFonts w:cs="Arial"/>
              </w:rPr>
              <w:t>за постигане на желания отговор</w:t>
            </w:r>
          </w:p>
          <w:p w14:paraId="43615E91" w14:textId="77777777" w:rsidR="00813009" w:rsidRPr="00813009" w:rsidRDefault="00813009" w:rsidP="00813009">
            <w:pPr>
              <w:spacing w:line="240" w:lineRule="auto"/>
              <w:rPr>
                <w:rFonts w:cs="Arial"/>
              </w:rPr>
            </w:pPr>
            <w:r w:rsidRPr="00813009">
              <w:rPr>
                <w:rFonts w:cs="Arial"/>
              </w:rPr>
              <w:t>(веднъж дневно или в два приема)</w:t>
            </w:r>
          </w:p>
          <w:p w14:paraId="49578943" w14:textId="41F5EC73"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 xml:space="preserve">За да се постигне поддържащо лечение, дозите може да се повишават </w:t>
            </w:r>
            <w:r w:rsidRPr="00813009">
              <w:rPr>
                <w:rFonts w:eastAsia="Times New Roman" w:cs="Arial"/>
                <w:color w:val="000000"/>
                <w:lang w:eastAsia="bg-BG"/>
              </w:rPr>
              <w:lastRenderedPageBreak/>
              <w:t xml:space="preserve">максимум с 0,6 </w:t>
            </w:r>
            <w:r w:rsidRPr="00813009">
              <w:rPr>
                <w:rFonts w:eastAsia="Times New Roman" w:cs="Arial"/>
                <w:color w:val="000000"/>
                <w:lang w:val="en-US"/>
              </w:rPr>
              <w:t>mg</w:t>
            </w:r>
            <w:r w:rsidRPr="00813009">
              <w:rPr>
                <w:rFonts w:eastAsia="Times New Roman" w:cs="Arial"/>
                <w:color w:val="000000"/>
                <w:lang w:val="ru-RU"/>
              </w:rPr>
              <w:t>/</w:t>
            </w:r>
            <w:r w:rsidRPr="00813009">
              <w:rPr>
                <w:rFonts w:eastAsia="Times New Roman" w:cs="Arial"/>
                <w:color w:val="000000"/>
                <w:lang w:val="en-US"/>
              </w:rPr>
              <w:t>kg</w:t>
            </w:r>
            <w:r w:rsidRPr="00813009">
              <w:rPr>
                <w:rFonts w:eastAsia="Times New Roman" w:cs="Arial"/>
                <w:color w:val="000000"/>
                <w:lang w:eastAsia="bg-BG"/>
              </w:rPr>
              <w:t xml:space="preserve">/ден на всеки една до две седмици до постигане на оптимален отговор, с максимална дневна доза от 200 </w:t>
            </w:r>
            <w:r w:rsidRPr="00813009">
              <w:rPr>
                <w:rFonts w:eastAsia="Times New Roman" w:cs="Arial"/>
                <w:color w:val="000000"/>
                <w:lang w:val="en-US"/>
              </w:rPr>
              <w:t>mg</w:t>
            </w:r>
            <w:r w:rsidRPr="00813009">
              <w:rPr>
                <w:rFonts w:eastAsia="Times New Roman" w:cs="Arial"/>
                <w:color w:val="000000"/>
                <w:lang w:eastAsia="bg-BG"/>
              </w:rPr>
              <w:t>/ден.</w:t>
            </w:r>
          </w:p>
        </w:tc>
      </w:tr>
      <w:tr w:rsidR="00813009" w14:paraId="7C871EE9" w14:textId="77777777" w:rsidTr="004B27D4">
        <w:tc>
          <w:tcPr>
            <w:tcW w:w="9576" w:type="dxa"/>
            <w:gridSpan w:val="4"/>
          </w:tcPr>
          <w:p w14:paraId="6612DBCC" w14:textId="4F82BF39" w:rsidR="00813009" w:rsidRPr="00813009" w:rsidRDefault="00813009" w:rsidP="00813009">
            <w:pPr>
              <w:spacing w:line="240" w:lineRule="auto"/>
              <w:rPr>
                <w:rFonts w:eastAsia="Times New Roman" w:cs="Arial"/>
                <w:sz w:val="24"/>
                <w:szCs w:val="24"/>
              </w:rPr>
            </w:pPr>
            <w:r w:rsidRPr="00813009">
              <w:rPr>
                <w:rFonts w:cs="Arial"/>
                <w:b/>
                <w:bCs/>
              </w:rPr>
              <w:lastRenderedPageBreak/>
              <w:t xml:space="preserve">Комбинирана терапия С валпроат </w:t>
            </w:r>
            <w:r w:rsidRPr="00813009">
              <w:rPr>
                <w:rFonts w:cs="Arial"/>
              </w:rPr>
              <w:t>(инхибитор на глюкуронирането на ламотрижин - вж. точка 4.5):</w:t>
            </w:r>
          </w:p>
        </w:tc>
      </w:tr>
      <w:tr w:rsidR="00813009" w14:paraId="511CDAF8" w14:textId="77777777" w:rsidTr="00813009">
        <w:tc>
          <w:tcPr>
            <w:tcW w:w="2451" w:type="dxa"/>
          </w:tcPr>
          <w:p w14:paraId="66B9CFDF" w14:textId="57CFE3FF" w:rsidR="00813009" w:rsidRPr="00813009" w:rsidRDefault="00813009" w:rsidP="00813009">
            <w:pPr>
              <w:spacing w:line="240" w:lineRule="auto"/>
              <w:rPr>
                <w:rFonts w:eastAsia="Times New Roman" w:cs="Arial"/>
                <w:sz w:val="24"/>
                <w:szCs w:val="24"/>
              </w:rPr>
            </w:pPr>
            <w:r w:rsidRPr="00813009">
              <w:rPr>
                <w:rFonts w:cs="Arial"/>
              </w:rPr>
              <w:t>Тази схема на дозиране трябва да се използва с валпроат независимо от съпътстващия прием на други лекарствени продукти</w:t>
            </w:r>
          </w:p>
        </w:tc>
        <w:tc>
          <w:tcPr>
            <w:tcW w:w="2373" w:type="dxa"/>
          </w:tcPr>
          <w:p w14:paraId="01688857" w14:textId="5D6A8AD9" w:rsidR="00813009" w:rsidRPr="00813009" w:rsidRDefault="00813009" w:rsidP="00813009">
            <w:pPr>
              <w:spacing w:line="240" w:lineRule="auto"/>
              <w:rPr>
                <w:rFonts w:eastAsia="Times New Roman" w:cs="Arial"/>
                <w:sz w:val="24"/>
                <w:szCs w:val="24"/>
              </w:rPr>
            </w:pPr>
            <w:r w:rsidRPr="00813009">
              <w:rPr>
                <w:rFonts w:cs="Arial"/>
              </w:rPr>
              <w:t xml:space="preserve">0,15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w:t>
            </w:r>
          </w:p>
        </w:tc>
        <w:tc>
          <w:tcPr>
            <w:tcW w:w="2373" w:type="dxa"/>
          </w:tcPr>
          <w:p w14:paraId="22431B6B" w14:textId="5B5D7F2C" w:rsidR="00813009" w:rsidRPr="00813009" w:rsidRDefault="00813009" w:rsidP="00813009">
            <w:pPr>
              <w:spacing w:line="240" w:lineRule="auto"/>
              <w:rPr>
                <w:rFonts w:eastAsia="Times New Roman" w:cs="Arial"/>
                <w:sz w:val="24"/>
                <w:szCs w:val="24"/>
              </w:rPr>
            </w:pPr>
            <w:r w:rsidRPr="00813009">
              <w:rPr>
                <w:rFonts w:cs="Arial"/>
              </w:rPr>
              <w:t xml:space="preserve">0,3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w:t>
            </w:r>
          </w:p>
        </w:tc>
        <w:tc>
          <w:tcPr>
            <w:tcW w:w="2379" w:type="dxa"/>
            <w:vAlign w:val="bottom"/>
          </w:tcPr>
          <w:p w14:paraId="2CE49ABF" w14:textId="77777777" w:rsidR="00813009" w:rsidRPr="00813009" w:rsidRDefault="00813009" w:rsidP="00813009">
            <w:pPr>
              <w:rPr>
                <w:rFonts w:cs="Arial"/>
              </w:rPr>
            </w:pPr>
            <w:r w:rsidRPr="00813009">
              <w:rPr>
                <w:rFonts w:cs="Arial"/>
              </w:rPr>
              <w:t xml:space="preserve">1-5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 или в два приема)</w:t>
            </w:r>
          </w:p>
          <w:p w14:paraId="037F98FD" w14:textId="59114A1B" w:rsidR="00813009" w:rsidRPr="00813009" w:rsidRDefault="00813009" w:rsidP="00813009">
            <w:pPr>
              <w:spacing w:line="240" w:lineRule="auto"/>
              <w:rPr>
                <w:rFonts w:eastAsia="Times New Roman" w:cs="Arial"/>
                <w:sz w:val="24"/>
                <w:szCs w:val="24"/>
              </w:rPr>
            </w:pPr>
            <w:r w:rsidRPr="00813009">
              <w:rPr>
                <w:rFonts w:cs="Arial"/>
              </w:rPr>
              <w:t xml:space="preserve">За да се постигне поддържащо лечение, дозите може да се повишават максимум с 0,3 </w:t>
            </w:r>
            <w:r w:rsidRPr="00813009">
              <w:rPr>
                <w:rFonts w:cs="Arial"/>
                <w:lang w:val="en-US"/>
              </w:rPr>
              <w:t>mg</w:t>
            </w:r>
            <w:r w:rsidRPr="00813009">
              <w:rPr>
                <w:rFonts w:cs="Arial"/>
                <w:lang w:val="ru-RU"/>
              </w:rPr>
              <w:t>/</w:t>
            </w:r>
            <w:r w:rsidRPr="00813009">
              <w:rPr>
                <w:rFonts w:cs="Arial"/>
                <w:lang w:val="en-US"/>
              </w:rPr>
              <w:t>kg</w:t>
            </w:r>
            <w:r w:rsidRPr="00813009">
              <w:rPr>
                <w:rFonts w:cs="Arial"/>
              </w:rPr>
              <w:t xml:space="preserve">/ден на всяка 1-2 седмици до постигане на оптимален отговор, до максимална поддържаща доза 200 </w:t>
            </w:r>
            <w:r w:rsidRPr="00813009">
              <w:rPr>
                <w:rFonts w:cs="Arial"/>
                <w:lang w:val="en-US"/>
              </w:rPr>
              <w:t>mg</w:t>
            </w:r>
            <w:r w:rsidRPr="00813009">
              <w:rPr>
                <w:rFonts w:cs="Arial"/>
              </w:rPr>
              <w:t>/ден.</w:t>
            </w:r>
          </w:p>
        </w:tc>
      </w:tr>
      <w:tr w:rsidR="00813009" w14:paraId="2174D64A" w14:textId="77777777" w:rsidTr="004B27D4">
        <w:tc>
          <w:tcPr>
            <w:tcW w:w="9576" w:type="dxa"/>
            <w:gridSpan w:val="4"/>
          </w:tcPr>
          <w:p w14:paraId="3D8B3B75" w14:textId="31420ABC" w:rsidR="00813009" w:rsidRPr="00813009" w:rsidRDefault="00813009" w:rsidP="00813009">
            <w:pPr>
              <w:spacing w:line="240" w:lineRule="auto"/>
              <w:rPr>
                <w:rFonts w:eastAsia="Times New Roman" w:cs="Arial"/>
                <w:sz w:val="24"/>
                <w:szCs w:val="24"/>
              </w:rPr>
            </w:pPr>
            <w:r w:rsidRPr="00813009">
              <w:rPr>
                <w:rFonts w:eastAsia="Times New Roman" w:cs="Arial"/>
                <w:b/>
                <w:bCs/>
                <w:color w:val="000000"/>
                <w:lang w:eastAsia="bg-BG"/>
              </w:rPr>
              <w:t xml:space="preserve">Комбинирана терапия БЕЗ валпроат и С индуктори на глюкуронирането на ламотрижин </w:t>
            </w:r>
            <w:r w:rsidRPr="00813009">
              <w:rPr>
                <w:rFonts w:eastAsia="Times New Roman" w:cs="Arial"/>
                <w:color w:val="000000"/>
                <w:lang w:eastAsia="bg-BG"/>
              </w:rPr>
              <w:t>(вж. точка 4.5):</w:t>
            </w:r>
          </w:p>
        </w:tc>
      </w:tr>
      <w:tr w:rsidR="00813009" w14:paraId="6C6BA34C" w14:textId="77777777" w:rsidTr="00813009">
        <w:tc>
          <w:tcPr>
            <w:tcW w:w="2451" w:type="dxa"/>
            <w:vAlign w:val="bottom"/>
          </w:tcPr>
          <w:p w14:paraId="0B897397" w14:textId="77777777" w:rsidR="00813009" w:rsidRPr="00813009" w:rsidRDefault="00813009" w:rsidP="00813009">
            <w:pPr>
              <w:rPr>
                <w:rFonts w:cs="Arial"/>
              </w:rPr>
            </w:pPr>
            <w:r w:rsidRPr="00813009">
              <w:rPr>
                <w:rFonts w:cs="Arial"/>
              </w:rPr>
              <w:t>Тази схема на дозиране трябва да се използва без валпроат, но с:</w:t>
            </w:r>
          </w:p>
          <w:p w14:paraId="602B9D28" w14:textId="77777777" w:rsidR="00813009" w:rsidRDefault="00813009" w:rsidP="00813009">
            <w:pPr>
              <w:spacing w:line="240" w:lineRule="auto"/>
              <w:rPr>
                <w:rFonts w:cs="Arial"/>
              </w:rPr>
            </w:pPr>
            <w:r w:rsidRPr="00813009">
              <w:rPr>
                <w:rFonts w:cs="Arial"/>
              </w:rPr>
              <w:t>фенитоин карбамазепин фенобарбитал примидон рифампицин лопинавир/ритонавир</w:t>
            </w:r>
          </w:p>
          <w:p w14:paraId="16333F4A" w14:textId="77777777" w:rsidR="00813009" w:rsidRDefault="00813009" w:rsidP="00813009">
            <w:pPr>
              <w:spacing w:line="240" w:lineRule="auto"/>
              <w:rPr>
                <w:rFonts w:cs="Arial"/>
              </w:rPr>
            </w:pPr>
          </w:p>
          <w:p w14:paraId="4015AD1C" w14:textId="77777777" w:rsidR="00813009" w:rsidRDefault="00813009" w:rsidP="00813009">
            <w:pPr>
              <w:spacing w:line="240" w:lineRule="auto"/>
              <w:rPr>
                <w:rFonts w:cs="Arial"/>
              </w:rPr>
            </w:pPr>
          </w:p>
          <w:p w14:paraId="5DD86958" w14:textId="77777777" w:rsidR="00813009" w:rsidRDefault="00813009" w:rsidP="00813009">
            <w:pPr>
              <w:spacing w:line="240" w:lineRule="auto"/>
              <w:rPr>
                <w:rFonts w:cs="Arial"/>
              </w:rPr>
            </w:pPr>
          </w:p>
          <w:p w14:paraId="20492020" w14:textId="77777777" w:rsidR="00813009" w:rsidRDefault="00813009" w:rsidP="00813009">
            <w:pPr>
              <w:spacing w:line="240" w:lineRule="auto"/>
              <w:rPr>
                <w:rFonts w:cs="Arial"/>
              </w:rPr>
            </w:pPr>
          </w:p>
          <w:p w14:paraId="440743CD" w14:textId="77777777" w:rsidR="00813009" w:rsidRDefault="00813009" w:rsidP="00813009">
            <w:pPr>
              <w:spacing w:line="240" w:lineRule="auto"/>
              <w:rPr>
                <w:rFonts w:cs="Arial"/>
              </w:rPr>
            </w:pPr>
          </w:p>
          <w:p w14:paraId="1A4DA61C" w14:textId="5B147FE7" w:rsidR="00813009" w:rsidRPr="00813009" w:rsidRDefault="00813009" w:rsidP="00813009">
            <w:pPr>
              <w:spacing w:line="240" w:lineRule="auto"/>
              <w:rPr>
                <w:rFonts w:eastAsia="Times New Roman" w:cs="Arial"/>
                <w:sz w:val="24"/>
                <w:szCs w:val="24"/>
              </w:rPr>
            </w:pPr>
          </w:p>
        </w:tc>
        <w:tc>
          <w:tcPr>
            <w:tcW w:w="2373" w:type="dxa"/>
          </w:tcPr>
          <w:p w14:paraId="2FEA2FC1" w14:textId="0BC91717" w:rsidR="00813009" w:rsidRPr="00813009" w:rsidRDefault="00813009" w:rsidP="00813009">
            <w:pPr>
              <w:spacing w:line="240" w:lineRule="auto"/>
              <w:rPr>
                <w:rFonts w:eastAsia="Times New Roman" w:cs="Arial"/>
                <w:sz w:val="24"/>
                <w:szCs w:val="24"/>
              </w:rPr>
            </w:pPr>
            <w:r w:rsidRPr="00813009">
              <w:rPr>
                <w:rFonts w:cs="Arial"/>
              </w:rPr>
              <w:t xml:space="preserve">0,6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два приема)</w:t>
            </w:r>
          </w:p>
        </w:tc>
        <w:tc>
          <w:tcPr>
            <w:tcW w:w="2373" w:type="dxa"/>
          </w:tcPr>
          <w:p w14:paraId="4636BFB4" w14:textId="3C877225" w:rsidR="00813009" w:rsidRPr="00813009" w:rsidRDefault="00813009" w:rsidP="00813009">
            <w:pPr>
              <w:spacing w:line="240" w:lineRule="auto"/>
              <w:rPr>
                <w:rFonts w:eastAsia="Times New Roman" w:cs="Arial"/>
                <w:sz w:val="24"/>
                <w:szCs w:val="24"/>
              </w:rPr>
            </w:pPr>
            <w:r w:rsidRPr="00813009">
              <w:rPr>
                <w:rFonts w:cs="Arial"/>
              </w:rPr>
              <w:t xml:space="preserve">1,2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два приема)</w:t>
            </w:r>
          </w:p>
        </w:tc>
        <w:tc>
          <w:tcPr>
            <w:tcW w:w="2379" w:type="dxa"/>
            <w:vAlign w:val="bottom"/>
          </w:tcPr>
          <w:p w14:paraId="3332D666" w14:textId="77777777" w:rsidR="00813009" w:rsidRPr="00813009" w:rsidRDefault="00813009" w:rsidP="00813009">
            <w:pPr>
              <w:rPr>
                <w:rFonts w:cs="Arial"/>
              </w:rPr>
            </w:pPr>
            <w:r w:rsidRPr="00813009">
              <w:rPr>
                <w:rFonts w:cs="Arial"/>
              </w:rPr>
              <w:t xml:space="preserve">5-15 </w:t>
            </w:r>
            <w:r w:rsidRPr="00813009">
              <w:rPr>
                <w:rFonts w:cs="Arial"/>
                <w:lang w:val="en-US"/>
              </w:rPr>
              <w:t>mg</w:t>
            </w:r>
            <w:r w:rsidRPr="00813009">
              <w:rPr>
                <w:rFonts w:cs="Arial"/>
                <w:lang w:val="ru-RU"/>
              </w:rPr>
              <w:t>/</w:t>
            </w:r>
            <w:r w:rsidRPr="00813009">
              <w:rPr>
                <w:rFonts w:cs="Arial"/>
                <w:lang w:val="en-US"/>
              </w:rPr>
              <w:t>kg</w:t>
            </w:r>
            <w:r w:rsidRPr="00813009">
              <w:rPr>
                <w:rFonts w:cs="Arial"/>
              </w:rPr>
              <w:t>/ден (веднъж дневно или в два отделни приема)</w:t>
            </w:r>
          </w:p>
          <w:p w14:paraId="3D6525E5" w14:textId="4057E28B" w:rsidR="00813009" w:rsidRPr="00813009" w:rsidRDefault="00813009" w:rsidP="00813009">
            <w:pPr>
              <w:spacing w:line="240" w:lineRule="auto"/>
              <w:rPr>
                <w:rFonts w:eastAsia="Times New Roman" w:cs="Arial"/>
                <w:sz w:val="24"/>
                <w:szCs w:val="24"/>
              </w:rPr>
            </w:pPr>
            <w:r w:rsidRPr="00813009">
              <w:rPr>
                <w:rFonts w:cs="Arial"/>
              </w:rPr>
              <w:t xml:space="preserve">За да се постигне поддържащо лечение, дозите може да се повишават максимум с 1,2 </w:t>
            </w:r>
            <w:r w:rsidRPr="00813009">
              <w:rPr>
                <w:rFonts w:cs="Arial"/>
                <w:lang w:val="en-US"/>
              </w:rPr>
              <w:t>mg</w:t>
            </w:r>
            <w:r w:rsidRPr="00813009">
              <w:rPr>
                <w:rFonts w:cs="Arial"/>
                <w:lang w:val="ru-RU"/>
              </w:rPr>
              <w:t>/</w:t>
            </w:r>
            <w:r w:rsidRPr="00813009">
              <w:rPr>
                <w:rFonts w:cs="Arial"/>
                <w:lang w:val="en-US"/>
              </w:rPr>
              <w:t>kg</w:t>
            </w:r>
            <w:r w:rsidRPr="00813009">
              <w:rPr>
                <w:rFonts w:cs="Arial"/>
              </w:rPr>
              <w:t xml:space="preserve">/ден всяка 1 -2 седмици до постигане на оптимален отговор, до максимална поддържаща доза 400 </w:t>
            </w:r>
            <w:r w:rsidRPr="00813009">
              <w:rPr>
                <w:rFonts w:cs="Arial"/>
                <w:lang w:val="en-US"/>
              </w:rPr>
              <w:t>mg</w:t>
            </w:r>
            <w:r w:rsidRPr="00813009">
              <w:rPr>
                <w:rFonts w:cs="Arial"/>
              </w:rPr>
              <w:t>/ден</w:t>
            </w:r>
          </w:p>
        </w:tc>
      </w:tr>
      <w:tr w:rsidR="00813009" w14:paraId="39535C6E" w14:textId="77777777" w:rsidTr="004B27D4">
        <w:tc>
          <w:tcPr>
            <w:tcW w:w="9576" w:type="dxa"/>
            <w:gridSpan w:val="4"/>
          </w:tcPr>
          <w:p w14:paraId="2630CDC9" w14:textId="023577FB" w:rsidR="00813009" w:rsidRPr="00813009" w:rsidRDefault="00813009" w:rsidP="00813009">
            <w:pPr>
              <w:spacing w:line="240" w:lineRule="auto"/>
              <w:rPr>
                <w:rFonts w:eastAsia="Times New Roman" w:cs="Arial"/>
                <w:sz w:val="24"/>
                <w:szCs w:val="24"/>
              </w:rPr>
            </w:pPr>
            <w:r w:rsidRPr="00813009">
              <w:rPr>
                <w:rFonts w:cs="Arial"/>
                <w:b/>
                <w:bCs/>
              </w:rPr>
              <w:t xml:space="preserve">Комбинирана терапия БЕЗ валпроат и БЕЗ индуктори на глюкуронирането на ламотрижин </w:t>
            </w:r>
            <w:r w:rsidRPr="00813009">
              <w:rPr>
                <w:rFonts w:cs="Arial"/>
              </w:rPr>
              <w:t>(вж. точка 4.5):</w:t>
            </w:r>
          </w:p>
        </w:tc>
      </w:tr>
      <w:tr w:rsidR="00813009" w14:paraId="1488EE2E" w14:textId="77777777" w:rsidTr="004B27D4">
        <w:tc>
          <w:tcPr>
            <w:tcW w:w="2451" w:type="dxa"/>
          </w:tcPr>
          <w:p w14:paraId="4E0DBB95" w14:textId="0FA3F980" w:rsidR="00813009" w:rsidRPr="00813009" w:rsidRDefault="00813009" w:rsidP="00813009">
            <w:pPr>
              <w:spacing w:line="240" w:lineRule="auto"/>
              <w:rPr>
                <w:rFonts w:eastAsia="Times New Roman" w:cs="Arial"/>
                <w:sz w:val="24"/>
                <w:szCs w:val="24"/>
              </w:rPr>
            </w:pPr>
            <w:r w:rsidRPr="00813009">
              <w:rPr>
                <w:rFonts w:cs="Arial"/>
              </w:rPr>
              <w:lastRenderedPageBreak/>
              <w:t xml:space="preserve">Тази схема на дозиране трябва да се използва с други лекарствени продукти, които </w:t>
            </w:r>
            <w:r w:rsidRPr="00813009">
              <w:rPr>
                <w:rFonts w:cs="Arial"/>
                <w:i/>
                <w:iCs/>
              </w:rPr>
              <w:t xml:space="preserve">не </w:t>
            </w:r>
            <w:r w:rsidRPr="00813009">
              <w:rPr>
                <w:rFonts w:cs="Arial"/>
              </w:rPr>
              <w:t>инхибират или не индуцират значително глюкуронирането на ламотрижин</w:t>
            </w:r>
          </w:p>
        </w:tc>
        <w:tc>
          <w:tcPr>
            <w:tcW w:w="2373" w:type="dxa"/>
          </w:tcPr>
          <w:p w14:paraId="7FE211E0" w14:textId="20A76B49" w:rsidR="00813009" w:rsidRPr="00813009" w:rsidRDefault="00813009" w:rsidP="00813009">
            <w:pPr>
              <w:spacing w:line="240" w:lineRule="auto"/>
              <w:rPr>
                <w:rFonts w:eastAsia="Times New Roman" w:cs="Arial"/>
                <w:sz w:val="24"/>
                <w:szCs w:val="24"/>
              </w:rPr>
            </w:pPr>
            <w:r w:rsidRPr="00813009">
              <w:rPr>
                <w:rFonts w:cs="Arial"/>
              </w:rPr>
              <w:t xml:space="preserve">0,3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един или в два приема дневно)</w:t>
            </w:r>
          </w:p>
        </w:tc>
        <w:tc>
          <w:tcPr>
            <w:tcW w:w="2373" w:type="dxa"/>
          </w:tcPr>
          <w:p w14:paraId="1ED4BAE8" w14:textId="51CB8372" w:rsidR="00813009" w:rsidRPr="00813009" w:rsidRDefault="00813009" w:rsidP="00813009">
            <w:pPr>
              <w:spacing w:line="240" w:lineRule="auto"/>
              <w:rPr>
                <w:rFonts w:eastAsia="Times New Roman" w:cs="Arial"/>
                <w:sz w:val="24"/>
                <w:szCs w:val="24"/>
              </w:rPr>
            </w:pPr>
            <w:r w:rsidRPr="00813009">
              <w:rPr>
                <w:rFonts w:cs="Arial"/>
              </w:rPr>
              <w:t xml:space="preserve">0,6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един или в два приема дневно)</w:t>
            </w:r>
          </w:p>
        </w:tc>
        <w:tc>
          <w:tcPr>
            <w:tcW w:w="2379" w:type="dxa"/>
            <w:vAlign w:val="bottom"/>
          </w:tcPr>
          <w:p w14:paraId="077E8189" w14:textId="77777777" w:rsidR="00813009" w:rsidRPr="00813009" w:rsidRDefault="00813009" w:rsidP="00813009">
            <w:pPr>
              <w:rPr>
                <w:rFonts w:cs="Arial"/>
              </w:rPr>
            </w:pPr>
            <w:r w:rsidRPr="00813009">
              <w:rPr>
                <w:rFonts w:cs="Arial"/>
              </w:rPr>
              <w:t xml:space="preserve">1-10 </w:t>
            </w:r>
            <w:r w:rsidRPr="00813009">
              <w:rPr>
                <w:rFonts w:cs="Arial"/>
                <w:lang w:val="en-US"/>
              </w:rPr>
              <w:t>mg</w:t>
            </w:r>
            <w:r w:rsidRPr="00813009">
              <w:rPr>
                <w:rFonts w:cs="Arial"/>
                <w:lang w:val="ru-RU"/>
              </w:rPr>
              <w:t>/</w:t>
            </w:r>
            <w:r w:rsidRPr="00813009">
              <w:rPr>
                <w:rFonts w:cs="Arial"/>
                <w:lang w:val="en-US"/>
              </w:rPr>
              <w:t>kg</w:t>
            </w:r>
            <w:r w:rsidRPr="00813009">
              <w:rPr>
                <w:rFonts w:cs="Arial"/>
              </w:rPr>
              <w:t>/ден (в един или в два приема дневно)</w:t>
            </w:r>
          </w:p>
          <w:p w14:paraId="62132BEC" w14:textId="1B3C256F" w:rsidR="00813009" w:rsidRPr="00813009" w:rsidRDefault="00813009" w:rsidP="00813009">
            <w:pPr>
              <w:spacing w:line="240" w:lineRule="auto"/>
              <w:rPr>
                <w:rFonts w:eastAsia="Times New Roman" w:cs="Arial"/>
                <w:sz w:val="24"/>
                <w:szCs w:val="24"/>
              </w:rPr>
            </w:pPr>
            <w:r w:rsidRPr="00813009">
              <w:rPr>
                <w:rFonts w:cs="Arial"/>
              </w:rPr>
              <w:t xml:space="preserve">За да се постигне поддържащо лечение, дозите може да се повишават максимум с 0,6 </w:t>
            </w:r>
            <w:r w:rsidRPr="00813009">
              <w:rPr>
                <w:rFonts w:cs="Arial"/>
                <w:lang w:val="en-US"/>
              </w:rPr>
              <w:t>mg</w:t>
            </w:r>
            <w:r w:rsidRPr="00813009">
              <w:rPr>
                <w:rFonts w:cs="Arial"/>
                <w:lang w:val="ru-RU"/>
              </w:rPr>
              <w:t>/</w:t>
            </w:r>
            <w:r w:rsidRPr="00813009">
              <w:rPr>
                <w:rFonts w:cs="Arial"/>
                <w:lang w:val="en-US"/>
              </w:rPr>
              <w:t>kg</w:t>
            </w:r>
            <w:r w:rsidRPr="00813009">
              <w:rPr>
                <w:rFonts w:cs="Arial"/>
                <w:lang w:val="ru-RU"/>
              </w:rPr>
              <w:t xml:space="preserve"> </w:t>
            </w:r>
            <w:r w:rsidRPr="00813009">
              <w:rPr>
                <w:rFonts w:cs="Arial"/>
              </w:rPr>
              <w:t xml:space="preserve">всяка 1-2 седмици до постигане на оптимален отговор, до максимална поддържаща доза 200 </w:t>
            </w:r>
            <w:r w:rsidRPr="00813009">
              <w:rPr>
                <w:rFonts w:cs="Arial"/>
                <w:u w:val="single"/>
                <w:lang w:val="en-US"/>
              </w:rPr>
              <w:t>mg</w:t>
            </w:r>
            <w:r w:rsidRPr="00813009">
              <w:rPr>
                <w:rFonts w:cs="Arial"/>
                <w:u w:val="single"/>
              </w:rPr>
              <w:t>/ден</w:t>
            </w:r>
          </w:p>
        </w:tc>
      </w:tr>
      <w:tr w:rsidR="00813009" w14:paraId="1E5CE2C7" w14:textId="77777777" w:rsidTr="004B27D4">
        <w:tc>
          <w:tcPr>
            <w:tcW w:w="9576" w:type="dxa"/>
            <w:gridSpan w:val="4"/>
          </w:tcPr>
          <w:p w14:paraId="7E29A2F1" w14:textId="307AAD04"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При пациенти, приемащи лекарствени продукти, за които не са известни фармакокинетични взаимодействия с ламотрижин (вж. точка 4.5), трябва да се използва схема на лечение като препоръчаната за ламотрижин с едновременен прием на валпроат.</w:t>
            </w:r>
          </w:p>
        </w:tc>
      </w:tr>
    </w:tbl>
    <w:p w14:paraId="692F9590" w14:textId="77777777" w:rsidR="00813009" w:rsidRPr="00813009" w:rsidRDefault="00813009" w:rsidP="00813009">
      <w:pPr>
        <w:spacing w:line="240" w:lineRule="auto"/>
        <w:rPr>
          <w:rFonts w:ascii="Times New Roman" w:eastAsia="Times New Roman" w:hAnsi="Times New Roman" w:cs="Times New Roman"/>
          <w:sz w:val="24"/>
          <w:szCs w:val="24"/>
        </w:rPr>
      </w:pPr>
    </w:p>
    <w:p w14:paraId="46F1342E"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За да е сигурно поддържането на терапевтичната доза, теглото на детето трябва да се проследява и дозата да се променя според промените в теглото. Предполага се, че при пациентите на възраст от две до шест години ще е необходимо прилагане на поддържаща доза на горната граница на препоръчания интервал.</w:t>
      </w:r>
    </w:p>
    <w:p w14:paraId="08E7DF01" w14:textId="77777777" w:rsidR="00813009" w:rsidRPr="00813009" w:rsidRDefault="00813009" w:rsidP="00813009">
      <w:pPr>
        <w:spacing w:line="240" w:lineRule="auto"/>
        <w:rPr>
          <w:rFonts w:eastAsia="Times New Roman" w:cs="Arial"/>
          <w:color w:val="000000"/>
          <w:lang w:eastAsia="bg-BG"/>
        </w:rPr>
      </w:pPr>
    </w:p>
    <w:p w14:paraId="2E6B9537" w14:textId="206CCC5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След постигане на контрол върху заболяването при комбинирана терапия приемът на съпътстващите АЕЛ може да се спре, като се продължи с монотерапия с ламотрижин.</w:t>
      </w:r>
    </w:p>
    <w:p w14:paraId="704823E9" w14:textId="77777777" w:rsidR="00813009" w:rsidRPr="00813009" w:rsidRDefault="00813009" w:rsidP="00813009">
      <w:pPr>
        <w:spacing w:line="240" w:lineRule="auto"/>
        <w:rPr>
          <w:rFonts w:eastAsia="Times New Roman" w:cs="Arial"/>
          <w:sz w:val="24"/>
          <w:szCs w:val="24"/>
        </w:rPr>
      </w:pPr>
    </w:p>
    <w:p w14:paraId="1A96A60C" w14:textId="77777777" w:rsidR="00813009" w:rsidRPr="00813009" w:rsidRDefault="00813009" w:rsidP="00813009">
      <w:pPr>
        <w:spacing w:line="240" w:lineRule="auto"/>
        <w:rPr>
          <w:rFonts w:eastAsia="Times New Roman" w:cs="Arial"/>
          <w:sz w:val="24"/>
          <w:szCs w:val="24"/>
        </w:rPr>
      </w:pPr>
      <w:r w:rsidRPr="00813009">
        <w:rPr>
          <w:rFonts w:eastAsia="Times New Roman" w:cs="Arial"/>
          <w:i/>
          <w:iCs/>
          <w:color w:val="000000"/>
          <w:u w:val="single"/>
          <w:lang w:eastAsia="bg-BG"/>
        </w:rPr>
        <w:t>Деца под 2 години</w:t>
      </w:r>
    </w:p>
    <w:p w14:paraId="0B1164B7"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Данните за ефикасност и безопасност на ламотрижин при комбинирана терапия на парциални припадъци при деца на възраст от 1 месец до 2 години са ограничени (вж. точка 4.4). Липсват данни при деца на възраст под 1 месец. Следователно употребата на Епитрижин при деца на възраст под 2 години не се препоръчва. Ако въпреки това, основавайки се на клиничната необходимост се вземе решение за лечение, вижте точки 4.4, 5.1 и 5.2.</w:t>
      </w:r>
    </w:p>
    <w:p w14:paraId="19D253A4" w14:textId="77777777" w:rsidR="00813009" w:rsidRPr="00813009" w:rsidRDefault="00813009" w:rsidP="00813009">
      <w:pPr>
        <w:spacing w:line="240" w:lineRule="auto"/>
        <w:rPr>
          <w:rFonts w:eastAsia="Times New Roman" w:cs="Arial"/>
          <w:color w:val="000000"/>
          <w:u w:val="single"/>
          <w:lang w:eastAsia="bg-BG"/>
        </w:rPr>
      </w:pPr>
    </w:p>
    <w:p w14:paraId="35517049" w14:textId="70AF8D72" w:rsidR="00813009" w:rsidRPr="00813009" w:rsidRDefault="00813009" w:rsidP="00813009">
      <w:pPr>
        <w:spacing w:line="240" w:lineRule="auto"/>
        <w:rPr>
          <w:rFonts w:eastAsia="Times New Roman" w:cs="Arial"/>
          <w:sz w:val="24"/>
          <w:szCs w:val="24"/>
        </w:rPr>
      </w:pPr>
      <w:r w:rsidRPr="00813009">
        <w:rPr>
          <w:rFonts w:eastAsia="Times New Roman" w:cs="Arial"/>
          <w:color w:val="000000"/>
          <w:u w:val="single"/>
          <w:lang w:eastAsia="bg-BG"/>
        </w:rPr>
        <w:t>Биполярно разстройство</w:t>
      </w:r>
    </w:p>
    <w:p w14:paraId="104D7604"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В таблиците по-долу са представени препоръчваните схеми на повишаване на дозата и поддържащите дози за пациенти на възраст 18 и повече години. Преходната схема включва постепенно повишаване на дозата на ламотрижин до поддържаща стабилизираща доза за период от шест седмици (Таблица 3), след което приемът на други психотропни лекарствени продукти и/или АЕЛ може да бъде преустановен, ако е клинично показано (Таблица 4). Корекциите на дозата след добавяне на други психотропни лекарствени продукти и/или АЕЛ също са представени по-долу (Таблица 5). Поради риск от развитие на обрив не трябва да бъде превишавана началната доза и трябва да се спазват препоръките за повишаване на дозата (вж. точка 4.4).</w:t>
      </w:r>
    </w:p>
    <w:p w14:paraId="7A546357" w14:textId="77777777" w:rsidR="00813009" w:rsidRPr="00813009" w:rsidRDefault="00813009" w:rsidP="00813009">
      <w:pPr>
        <w:spacing w:line="240" w:lineRule="auto"/>
        <w:rPr>
          <w:rFonts w:eastAsia="Times New Roman" w:cs="Arial"/>
          <w:i/>
          <w:iCs/>
          <w:color w:val="000000"/>
          <w:u w:val="single"/>
          <w:lang w:eastAsia="bg-BG"/>
        </w:rPr>
      </w:pPr>
    </w:p>
    <w:p w14:paraId="06B53499" w14:textId="34DF6C8E" w:rsidR="00813009" w:rsidRPr="00813009" w:rsidRDefault="00813009" w:rsidP="00813009">
      <w:pPr>
        <w:spacing w:line="240" w:lineRule="auto"/>
        <w:rPr>
          <w:rFonts w:eastAsia="Times New Roman" w:cs="Arial"/>
          <w:sz w:val="24"/>
          <w:szCs w:val="24"/>
        </w:rPr>
      </w:pPr>
      <w:r w:rsidRPr="00813009">
        <w:rPr>
          <w:rFonts w:eastAsia="Times New Roman" w:cs="Arial"/>
          <w:i/>
          <w:iCs/>
          <w:color w:val="000000"/>
          <w:u w:val="single"/>
          <w:lang w:eastAsia="bg-BG"/>
        </w:rPr>
        <w:lastRenderedPageBreak/>
        <w:t>Таблица 3: Възрастни пациенти на 18 и повече години - препоръчвана схема за повишаване на дозата до поддържаща стабилизираща обща дневна доза при лечение на биполярно разстройство</w:t>
      </w:r>
    </w:p>
    <w:tbl>
      <w:tblPr>
        <w:tblStyle w:val="TableGrid"/>
        <w:tblW w:w="0" w:type="auto"/>
        <w:tblLook w:val="04A0" w:firstRow="1" w:lastRow="0" w:firstColumn="1" w:lastColumn="0" w:noHBand="0" w:noVBand="1"/>
      </w:tblPr>
      <w:tblGrid>
        <w:gridCol w:w="2451"/>
        <w:gridCol w:w="1651"/>
        <w:gridCol w:w="1686"/>
        <w:gridCol w:w="1686"/>
        <w:gridCol w:w="1876"/>
      </w:tblGrid>
      <w:tr w:rsidR="00813009" w14:paraId="253311F3" w14:textId="77777777" w:rsidTr="00813009">
        <w:tc>
          <w:tcPr>
            <w:tcW w:w="2452" w:type="dxa"/>
          </w:tcPr>
          <w:p w14:paraId="36C7601E" w14:textId="3F6B7A06" w:rsidR="00813009" w:rsidRPr="00813009" w:rsidRDefault="00813009" w:rsidP="00813009">
            <w:pPr>
              <w:rPr>
                <w:rFonts w:cs="Arial"/>
              </w:rPr>
            </w:pPr>
            <w:r w:rsidRPr="00813009">
              <w:rPr>
                <w:rFonts w:cs="Arial"/>
              </w:rPr>
              <w:t>Схема на лечение</w:t>
            </w:r>
          </w:p>
        </w:tc>
        <w:tc>
          <w:tcPr>
            <w:tcW w:w="1730" w:type="dxa"/>
          </w:tcPr>
          <w:p w14:paraId="19BF3FA2" w14:textId="19351E29" w:rsidR="00813009" w:rsidRPr="00813009" w:rsidRDefault="00813009" w:rsidP="00813009">
            <w:pPr>
              <w:rPr>
                <w:rFonts w:cs="Arial"/>
              </w:rPr>
            </w:pPr>
            <w:r w:rsidRPr="00813009">
              <w:rPr>
                <w:rFonts w:cs="Arial"/>
              </w:rPr>
              <w:t xml:space="preserve">Седмици 1 </w:t>
            </w:r>
            <w:r w:rsidRPr="00813009">
              <w:rPr>
                <w:rFonts w:cs="Arial"/>
                <w:i/>
                <w:iCs/>
              </w:rPr>
              <w:t>+2</w:t>
            </w:r>
          </w:p>
        </w:tc>
        <w:tc>
          <w:tcPr>
            <w:tcW w:w="1753" w:type="dxa"/>
          </w:tcPr>
          <w:p w14:paraId="58F8F06F" w14:textId="25D2C68A" w:rsidR="00813009" w:rsidRPr="00813009" w:rsidRDefault="00813009" w:rsidP="00813009">
            <w:pPr>
              <w:rPr>
                <w:rFonts w:cs="Arial"/>
              </w:rPr>
            </w:pPr>
            <w:r w:rsidRPr="00813009">
              <w:rPr>
                <w:rFonts w:cs="Arial"/>
              </w:rPr>
              <w:t>Седмици 3 + 4</w:t>
            </w:r>
          </w:p>
        </w:tc>
        <w:tc>
          <w:tcPr>
            <w:tcW w:w="1753" w:type="dxa"/>
          </w:tcPr>
          <w:p w14:paraId="612CB035" w14:textId="22176617" w:rsidR="00813009" w:rsidRPr="00813009" w:rsidRDefault="00813009" w:rsidP="00813009">
            <w:pPr>
              <w:rPr>
                <w:rFonts w:cs="Arial"/>
              </w:rPr>
            </w:pPr>
            <w:r w:rsidRPr="00813009">
              <w:rPr>
                <w:rFonts w:cs="Arial"/>
              </w:rPr>
              <w:t>Седмица 5</w:t>
            </w:r>
          </w:p>
        </w:tc>
        <w:tc>
          <w:tcPr>
            <w:tcW w:w="1888" w:type="dxa"/>
          </w:tcPr>
          <w:p w14:paraId="0A70D1F3" w14:textId="76B43E8B" w:rsidR="00813009" w:rsidRPr="00813009" w:rsidRDefault="00813009" w:rsidP="00813009">
            <w:pPr>
              <w:rPr>
                <w:rFonts w:cs="Arial"/>
              </w:rPr>
            </w:pPr>
            <w:r w:rsidRPr="00813009">
              <w:rPr>
                <w:rFonts w:cs="Arial"/>
              </w:rPr>
              <w:t>Таргетна стабилизираща доза (Седмица 6)*</w:t>
            </w:r>
          </w:p>
        </w:tc>
      </w:tr>
      <w:tr w:rsidR="00813009" w14:paraId="5098F3EC" w14:textId="77777777" w:rsidTr="004B27D4">
        <w:tc>
          <w:tcPr>
            <w:tcW w:w="9576" w:type="dxa"/>
            <w:gridSpan w:val="5"/>
          </w:tcPr>
          <w:p w14:paraId="4009BCB3" w14:textId="5A8DE308" w:rsidR="00813009" w:rsidRPr="00813009" w:rsidRDefault="00813009" w:rsidP="007F3AC7">
            <w:pPr>
              <w:rPr>
                <w:rFonts w:cs="Arial"/>
              </w:rPr>
            </w:pPr>
            <w:r w:rsidRPr="00813009">
              <w:rPr>
                <w:rFonts w:eastAsia="Times New Roman" w:cs="Arial"/>
                <w:b/>
                <w:bCs/>
                <w:color w:val="000000"/>
                <w:lang w:eastAsia="bg-BG"/>
              </w:rPr>
              <w:t xml:space="preserve">Монотерапия с ламотрижин ИЛИ комбинирана терапия БЕЗ валпроат и БЕЗ индукгори на глюкуронирането на ламотрижин </w:t>
            </w:r>
            <w:r w:rsidRPr="00813009">
              <w:rPr>
                <w:rFonts w:eastAsia="Times New Roman" w:cs="Arial"/>
                <w:color w:val="000000"/>
                <w:lang w:eastAsia="bg-BG"/>
              </w:rPr>
              <w:t>(вж. точка 4.5):</w:t>
            </w:r>
          </w:p>
        </w:tc>
      </w:tr>
      <w:tr w:rsidR="00813009" w14:paraId="4CF42BBB" w14:textId="77777777" w:rsidTr="00813009">
        <w:tc>
          <w:tcPr>
            <w:tcW w:w="2452" w:type="dxa"/>
          </w:tcPr>
          <w:p w14:paraId="16D276DC" w14:textId="2A231C8D" w:rsidR="00813009" w:rsidRPr="00813009" w:rsidRDefault="00813009" w:rsidP="00813009">
            <w:pPr>
              <w:rPr>
                <w:rFonts w:cs="Arial"/>
              </w:rPr>
            </w:pPr>
            <w:r w:rsidRPr="00813009">
              <w:rPr>
                <w:rFonts w:cs="Arial"/>
              </w:rPr>
              <w:t>Тази схема на дозиране трябва да се използва с други лекарствени продукти, които не инхибират или не индуцират значимо глюкуронирането на ламотрижин</w:t>
            </w:r>
          </w:p>
        </w:tc>
        <w:tc>
          <w:tcPr>
            <w:tcW w:w="1730" w:type="dxa"/>
          </w:tcPr>
          <w:p w14:paraId="23268C66" w14:textId="200B06EB"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1753" w:type="dxa"/>
          </w:tcPr>
          <w:p w14:paraId="18E4DA8E" w14:textId="621539F7"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 или в два приема)</w:t>
            </w:r>
          </w:p>
        </w:tc>
        <w:tc>
          <w:tcPr>
            <w:tcW w:w="1753" w:type="dxa"/>
          </w:tcPr>
          <w:p w14:paraId="1EA14797" w14:textId="635D9557"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 (веднъж дневно или в два приема)</w:t>
            </w:r>
          </w:p>
        </w:tc>
        <w:tc>
          <w:tcPr>
            <w:tcW w:w="1888" w:type="dxa"/>
          </w:tcPr>
          <w:p w14:paraId="183717EE" w14:textId="77777777"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 - обичайна таргетна доза за оптимален отговор (веднъж дневно или в два приема)</w:t>
            </w:r>
          </w:p>
          <w:p w14:paraId="149DB977" w14:textId="77777777" w:rsidR="00813009" w:rsidRPr="00813009" w:rsidRDefault="00813009" w:rsidP="00813009">
            <w:pPr>
              <w:rPr>
                <w:rFonts w:cs="Arial"/>
              </w:rPr>
            </w:pPr>
            <w:r w:rsidRPr="00813009">
              <w:rPr>
                <w:rFonts w:cs="Arial"/>
              </w:rPr>
              <w:t>В клинични изпитвания са прилагани дози в интервала</w:t>
            </w:r>
          </w:p>
          <w:p w14:paraId="2C4422B4" w14:textId="01E0BFF5" w:rsidR="00813009" w:rsidRPr="00813009" w:rsidRDefault="00813009" w:rsidP="00813009">
            <w:pPr>
              <w:rPr>
                <w:rFonts w:cs="Arial"/>
              </w:rPr>
            </w:pPr>
            <w:r w:rsidRPr="00813009">
              <w:rPr>
                <w:rFonts w:cs="Arial"/>
              </w:rPr>
              <w:t xml:space="preserve">100 - 400 </w:t>
            </w:r>
            <w:r w:rsidRPr="00813009">
              <w:rPr>
                <w:rFonts w:cs="Arial"/>
                <w:lang w:val="en-US"/>
              </w:rPr>
              <w:t>mg</w:t>
            </w:r>
            <w:r w:rsidRPr="00813009">
              <w:rPr>
                <w:rFonts w:cs="Arial"/>
              </w:rPr>
              <w:t>/ден</w:t>
            </w:r>
          </w:p>
        </w:tc>
      </w:tr>
      <w:tr w:rsidR="00813009" w14:paraId="7A736011" w14:textId="77777777" w:rsidTr="004B27D4">
        <w:tc>
          <w:tcPr>
            <w:tcW w:w="9576" w:type="dxa"/>
            <w:gridSpan w:val="5"/>
          </w:tcPr>
          <w:p w14:paraId="7DBDEE7E" w14:textId="6A5264FB" w:rsidR="00813009" w:rsidRPr="00813009" w:rsidRDefault="00813009" w:rsidP="007F3AC7">
            <w:pPr>
              <w:rPr>
                <w:rFonts w:cs="Arial"/>
              </w:rPr>
            </w:pPr>
            <w:r w:rsidRPr="00813009">
              <w:rPr>
                <w:rFonts w:cs="Arial"/>
                <w:b/>
                <w:bCs/>
              </w:rPr>
              <w:t xml:space="preserve">Комбинирана терапия С валпроат </w:t>
            </w:r>
            <w:r w:rsidRPr="00813009">
              <w:rPr>
                <w:rFonts w:cs="Arial"/>
              </w:rPr>
              <w:t>(инхибитор на глюкуронирането на ламотрижин - вж. точка 4.5):</w:t>
            </w:r>
          </w:p>
        </w:tc>
      </w:tr>
      <w:tr w:rsidR="00813009" w14:paraId="013BEA9F" w14:textId="77777777" w:rsidTr="00813009">
        <w:tc>
          <w:tcPr>
            <w:tcW w:w="2452" w:type="dxa"/>
          </w:tcPr>
          <w:p w14:paraId="3739559A" w14:textId="497253BA" w:rsidR="00813009" w:rsidRPr="00813009" w:rsidRDefault="00813009" w:rsidP="00813009">
            <w:pPr>
              <w:rPr>
                <w:rFonts w:cs="Arial"/>
              </w:rPr>
            </w:pPr>
            <w:r w:rsidRPr="00813009">
              <w:rPr>
                <w:rFonts w:cs="Arial"/>
              </w:rPr>
              <w:t>Тази схема на лечение трябва да бъде използвана с валпроат независимо от съпътстващия прием на други лекарствени продукти</w:t>
            </w:r>
          </w:p>
        </w:tc>
        <w:tc>
          <w:tcPr>
            <w:tcW w:w="1730" w:type="dxa"/>
          </w:tcPr>
          <w:p w14:paraId="2D95BE4D" w14:textId="4202D086" w:rsidR="00813009" w:rsidRPr="00813009" w:rsidRDefault="00813009" w:rsidP="00813009">
            <w:pPr>
              <w:rPr>
                <w:rFonts w:cs="Arial"/>
              </w:rPr>
            </w:pPr>
            <w:r w:rsidRPr="00813009">
              <w:rPr>
                <w:rFonts w:cs="Arial"/>
              </w:rPr>
              <w:t xml:space="preserve">12,5 </w:t>
            </w:r>
            <w:r w:rsidRPr="00813009">
              <w:rPr>
                <w:rFonts w:cs="Arial"/>
                <w:lang w:val="en-US"/>
              </w:rPr>
              <w:t>mg</w:t>
            </w:r>
            <w:r w:rsidRPr="00813009">
              <w:rPr>
                <w:rFonts w:cs="Arial"/>
              </w:rPr>
              <w:t xml:space="preserve">/ден (приемани като 25 </w:t>
            </w:r>
            <w:r w:rsidRPr="00813009">
              <w:rPr>
                <w:rFonts w:cs="Arial"/>
                <w:lang w:val="en-US"/>
              </w:rPr>
              <w:t>mg</w:t>
            </w:r>
            <w:r w:rsidRPr="00813009">
              <w:rPr>
                <w:rFonts w:cs="Arial"/>
                <w:lang w:val="ru-RU"/>
              </w:rPr>
              <w:t xml:space="preserve"> </w:t>
            </w:r>
            <w:r w:rsidRPr="00813009">
              <w:rPr>
                <w:rFonts w:cs="Arial"/>
              </w:rPr>
              <w:t>през ден)</w:t>
            </w:r>
          </w:p>
        </w:tc>
        <w:tc>
          <w:tcPr>
            <w:tcW w:w="1753" w:type="dxa"/>
          </w:tcPr>
          <w:p w14:paraId="64B26324" w14:textId="0106893D" w:rsidR="00813009" w:rsidRPr="00813009" w:rsidRDefault="00813009" w:rsidP="00813009">
            <w:pPr>
              <w:rPr>
                <w:rFonts w:cs="Arial"/>
              </w:rPr>
            </w:pPr>
            <w:r w:rsidRPr="00813009">
              <w:rPr>
                <w:rFonts w:cs="Arial"/>
              </w:rPr>
              <w:t xml:space="preserve">25 </w:t>
            </w:r>
            <w:r w:rsidRPr="00813009">
              <w:rPr>
                <w:rFonts w:cs="Arial"/>
                <w:lang w:val="en-US"/>
              </w:rPr>
              <w:t>mg</w:t>
            </w:r>
            <w:r w:rsidRPr="00813009">
              <w:rPr>
                <w:rFonts w:cs="Arial"/>
              </w:rPr>
              <w:t>/ден (веднъж дневно)</w:t>
            </w:r>
          </w:p>
        </w:tc>
        <w:tc>
          <w:tcPr>
            <w:tcW w:w="1753" w:type="dxa"/>
          </w:tcPr>
          <w:p w14:paraId="2A924DBF" w14:textId="72CB937E" w:rsidR="00813009" w:rsidRPr="00813009" w:rsidRDefault="00813009" w:rsidP="00813009">
            <w:pPr>
              <w:rPr>
                <w:rFonts w:cs="Arial"/>
              </w:rPr>
            </w:pPr>
            <w:r w:rsidRPr="00813009">
              <w:rPr>
                <w:rFonts w:cs="Arial"/>
              </w:rPr>
              <w:t xml:space="preserve">50 </w:t>
            </w:r>
            <w:r w:rsidRPr="00813009">
              <w:rPr>
                <w:rFonts w:cs="Arial"/>
                <w:lang w:val="en-US"/>
              </w:rPr>
              <w:t>mg</w:t>
            </w:r>
            <w:r w:rsidRPr="00813009">
              <w:rPr>
                <w:rFonts w:cs="Arial"/>
              </w:rPr>
              <w:t>/ден (веднъж дневно или в два приема дневно)</w:t>
            </w:r>
          </w:p>
        </w:tc>
        <w:tc>
          <w:tcPr>
            <w:tcW w:w="1888" w:type="dxa"/>
          </w:tcPr>
          <w:p w14:paraId="06E63AAB" w14:textId="77777777"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 - обичайна таргетна доза за оптимален отговор (веднъж дневно или в два приема)</w:t>
            </w:r>
          </w:p>
          <w:p w14:paraId="49BD60EB" w14:textId="496574BB" w:rsidR="00813009" w:rsidRPr="00813009" w:rsidRDefault="00813009" w:rsidP="00813009">
            <w:pPr>
              <w:rPr>
                <w:rFonts w:cs="Arial"/>
              </w:rPr>
            </w:pPr>
            <w:r w:rsidRPr="00813009">
              <w:rPr>
                <w:rFonts w:cs="Arial"/>
              </w:rPr>
              <w:t xml:space="preserve">В зависимост от клиничния отговор може да се приложи максимална доза от 200 </w:t>
            </w:r>
            <w:r w:rsidRPr="00813009">
              <w:rPr>
                <w:rFonts w:cs="Arial"/>
                <w:lang w:val="en-US"/>
              </w:rPr>
              <w:t>mg</w:t>
            </w:r>
            <w:r w:rsidRPr="00813009">
              <w:rPr>
                <w:rFonts w:cs="Arial"/>
              </w:rPr>
              <w:t>/ден</w:t>
            </w:r>
          </w:p>
        </w:tc>
      </w:tr>
      <w:tr w:rsidR="00813009" w14:paraId="07C9F85C" w14:textId="77777777" w:rsidTr="004B27D4">
        <w:tc>
          <w:tcPr>
            <w:tcW w:w="9576" w:type="dxa"/>
            <w:gridSpan w:val="5"/>
          </w:tcPr>
          <w:p w14:paraId="112D0949" w14:textId="13B1DC1A" w:rsidR="00813009" w:rsidRPr="00813009" w:rsidRDefault="00813009" w:rsidP="007F3AC7">
            <w:pPr>
              <w:rPr>
                <w:rFonts w:cs="Arial"/>
              </w:rPr>
            </w:pPr>
            <w:r w:rsidRPr="00813009">
              <w:rPr>
                <w:rFonts w:eastAsia="Times New Roman" w:cs="Arial"/>
                <w:b/>
                <w:bCs/>
                <w:color w:val="000000"/>
                <w:lang w:eastAsia="bg-BG"/>
              </w:rPr>
              <w:t xml:space="preserve">Комбинирана терапия БЕЗ валпроат и С индуктори на глюкуронирането на ламотрижин </w:t>
            </w:r>
            <w:r w:rsidRPr="00813009">
              <w:rPr>
                <w:rFonts w:eastAsia="Times New Roman" w:cs="Arial"/>
                <w:color w:val="000000"/>
                <w:lang w:eastAsia="bg-BG"/>
              </w:rPr>
              <w:t>(вж. точка 4.5):</w:t>
            </w:r>
          </w:p>
        </w:tc>
      </w:tr>
      <w:tr w:rsidR="00813009" w14:paraId="4BF2D8D0" w14:textId="77777777" w:rsidTr="00813009">
        <w:tc>
          <w:tcPr>
            <w:tcW w:w="2452" w:type="dxa"/>
          </w:tcPr>
          <w:p w14:paraId="15E75C4E" w14:textId="77777777" w:rsidR="00813009" w:rsidRPr="00813009" w:rsidRDefault="00813009" w:rsidP="00813009">
            <w:pPr>
              <w:rPr>
                <w:rFonts w:cs="Arial"/>
              </w:rPr>
            </w:pPr>
            <w:r w:rsidRPr="00813009">
              <w:rPr>
                <w:rFonts w:cs="Arial"/>
              </w:rPr>
              <w:t>Тази схема на лечение трябва да бъде прилагана без валпроат, но с:</w:t>
            </w:r>
          </w:p>
          <w:p w14:paraId="6A4995CB" w14:textId="67CCCEC3" w:rsidR="00813009" w:rsidRPr="00813009" w:rsidRDefault="00813009" w:rsidP="00813009">
            <w:pPr>
              <w:rPr>
                <w:rFonts w:cs="Arial"/>
              </w:rPr>
            </w:pPr>
            <w:r w:rsidRPr="00813009">
              <w:rPr>
                <w:rFonts w:cs="Arial"/>
              </w:rPr>
              <w:lastRenderedPageBreak/>
              <w:t>фенитоин карбамазепин фенобарбитал примидон рифампицин лопинавир/ритонавир</w:t>
            </w:r>
          </w:p>
        </w:tc>
        <w:tc>
          <w:tcPr>
            <w:tcW w:w="1730" w:type="dxa"/>
          </w:tcPr>
          <w:p w14:paraId="24048BAD" w14:textId="3724F20C" w:rsidR="00813009" w:rsidRPr="00813009" w:rsidRDefault="00813009" w:rsidP="00813009">
            <w:pPr>
              <w:rPr>
                <w:rFonts w:cs="Arial"/>
              </w:rPr>
            </w:pPr>
            <w:r w:rsidRPr="00813009">
              <w:rPr>
                <w:rFonts w:cs="Arial"/>
              </w:rPr>
              <w:lastRenderedPageBreak/>
              <w:t xml:space="preserve">50 </w:t>
            </w:r>
            <w:r w:rsidRPr="00813009">
              <w:rPr>
                <w:rFonts w:cs="Arial"/>
                <w:lang w:val="en-US"/>
              </w:rPr>
              <w:t>mg</w:t>
            </w:r>
            <w:r w:rsidRPr="00813009">
              <w:rPr>
                <w:rFonts w:cs="Arial"/>
              </w:rPr>
              <w:t>/ден (веднъж дневно)</w:t>
            </w:r>
          </w:p>
        </w:tc>
        <w:tc>
          <w:tcPr>
            <w:tcW w:w="1753" w:type="dxa"/>
          </w:tcPr>
          <w:p w14:paraId="5D6F3A25" w14:textId="1F667CB8"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 (разделени в два приема)</w:t>
            </w:r>
          </w:p>
        </w:tc>
        <w:tc>
          <w:tcPr>
            <w:tcW w:w="1753" w:type="dxa"/>
          </w:tcPr>
          <w:p w14:paraId="0F169687" w14:textId="39CB67D3"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 (разделени в два приема)</w:t>
            </w:r>
          </w:p>
        </w:tc>
        <w:tc>
          <w:tcPr>
            <w:tcW w:w="1888" w:type="dxa"/>
            <w:vAlign w:val="bottom"/>
          </w:tcPr>
          <w:p w14:paraId="709980E6" w14:textId="4B5AE058"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 xml:space="preserve">/ден през седмица 6, при нужда повишаване до обичайната </w:t>
            </w:r>
            <w:r w:rsidRPr="00813009">
              <w:rPr>
                <w:rFonts w:cs="Arial"/>
              </w:rPr>
              <w:lastRenderedPageBreak/>
              <w:t xml:space="preserve">таргетна доза от 400 </w:t>
            </w:r>
            <w:r w:rsidRPr="00813009">
              <w:rPr>
                <w:rFonts w:cs="Arial"/>
                <w:lang w:val="en-US"/>
              </w:rPr>
              <w:t>mg</w:t>
            </w:r>
            <w:r w:rsidRPr="00813009">
              <w:rPr>
                <w:rFonts w:cs="Arial"/>
              </w:rPr>
              <w:t>/ден през седмица 7 за постигане ца оптимален отговор (разделени в два приема)</w:t>
            </w:r>
          </w:p>
        </w:tc>
      </w:tr>
      <w:tr w:rsidR="00813009" w14:paraId="4FF76036" w14:textId="77777777" w:rsidTr="004B27D4">
        <w:tc>
          <w:tcPr>
            <w:tcW w:w="9576" w:type="dxa"/>
            <w:gridSpan w:val="5"/>
          </w:tcPr>
          <w:p w14:paraId="036189FD" w14:textId="4FBD8696" w:rsidR="00813009" w:rsidRPr="00813009" w:rsidRDefault="00813009" w:rsidP="007F3AC7">
            <w:pPr>
              <w:rPr>
                <w:rFonts w:cs="Arial"/>
              </w:rPr>
            </w:pPr>
            <w:r w:rsidRPr="00813009">
              <w:rPr>
                <w:rFonts w:eastAsia="Times New Roman" w:cs="Arial"/>
                <w:color w:val="000000"/>
                <w:lang w:eastAsia="bg-BG"/>
              </w:rPr>
              <w:lastRenderedPageBreak/>
              <w:t>При пациенти, приемащи лекарствени продукти, за които не са известни фармакокинетични взаимодействия с ламотрижин (вж. точка 4.5), трябва да се използва схема на лечение като препоръчаната за ламотрижин с едновременен прием на валпроат.</w:t>
            </w:r>
          </w:p>
        </w:tc>
      </w:tr>
    </w:tbl>
    <w:p w14:paraId="4330B1BE"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 Таргетната стабилизираща доза варира според клиничния отговор</w:t>
      </w:r>
    </w:p>
    <w:p w14:paraId="2AD18FDC" w14:textId="77777777" w:rsidR="00813009" w:rsidRPr="00813009" w:rsidRDefault="00813009" w:rsidP="00813009">
      <w:pPr>
        <w:spacing w:line="240" w:lineRule="auto"/>
        <w:rPr>
          <w:rFonts w:eastAsia="Times New Roman" w:cs="Arial"/>
          <w:i/>
          <w:iCs/>
          <w:color w:val="000000"/>
          <w:u w:val="single"/>
          <w:lang w:eastAsia="bg-BG"/>
        </w:rPr>
      </w:pPr>
    </w:p>
    <w:p w14:paraId="3E1F98D2" w14:textId="0EB758AD" w:rsidR="00813009" w:rsidRPr="00813009" w:rsidRDefault="00813009" w:rsidP="00813009">
      <w:pPr>
        <w:spacing w:line="240" w:lineRule="auto"/>
        <w:rPr>
          <w:rFonts w:eastAsia="Times New Roman" w:cs="Arial"/>
          <w:sz w:val="24"/>
          <w:szCs w:val="24"/>
        </w:rPr>
      </w:pPr>
      <w:r w:rsidRPr="00813009">
        <w:rPr>
          <w:rFonts w:eastAsia="Times New Roman" w:cs="Arial"/>
          <w:i/>
          <w:iCs/>
          <w:color w:val="000000"/>
          <w:u w:val="single"/>
          <w:lang w:eastAsia="bg-BG"/>
        </w:rPr>
        <w:t>Таблица 4: Възрастни пациенти на 18 и повече години - поддържаща стабилизираща обща дневна доза след преустановяване на лечението със съпътстващи лекарствени продукти при лечение на биполярно разстройство</w:t>
      </w:r>
    </w:p>
    <w:p w14:paraId="5D367F1D" w14:textId="77777777" w:rsidR="00813009" w:rsidRPr="00813009" w:rsidRDefault="00813009" w:rsidP="00813009">
      <w:pPr>
        <w:spacing w:line="240" w:lineRule="auto"/>
        <w:rPr>
          <w:rFonts w:eastAsia="Times New Roman" w:cs="Arial"/>
          <w:sz w:val="24"/>
          <w:szCs w:val="24"/>
        </w:rPr>
      </w:pPr>
      <w:r w:rsidRPr="00813009">
        <w:rPr>
          <w:rFonts w:eastAsia="Times New Roman" w:cs="Arial"/>
          <w:color w:val="000000"/>
          <w:lang w:eastAsia="bg-BG"/>
        </w:rPr>
        <w:t>След достигането на таргетната дневна поддържаща стабилизираща доза приемът на другите лекарствени продукти може да бъде преустановен както е посочено по-долу.</w:t>
      </w:r>
    </w:p>
    <w:p w14:paraId="7008176E" w14:textId="1389656B" w:rsidR="007F3AC7" w:rsidRDefault="007F3AC7" w:rsidP="007F3AC7"/>
    <w:tbl>
      <w:tblPr>
        <w:tblStyle w:val="TableGrid"/>
        <w:tblW w:w="0" w:type="auto"/>
        <w:tblLook w:val="04A0" w:firstRow="1" w:lastRow="0" w:firstColumn="1" w:lastColumn="0" w:noHBand="0" w:noVBand="1"/>
      </w:tblPr>
      <w:tblGrid>
        <w:gridCol w:w="2453"/>
        <w:gridCol w:w="1892"/>
        <w:gridCol w:w="1692"/>
        <w:gridCol w:w="1587"/>
        <w:gridCol w:w="1726"/>
      </w:tblGrid>
      <w:tr w:rsidR="00813009" w14:paraId="335D8EE0" w14:textId="77777777" w:rsidTr="00813009">
        <w:tc>
          <w:tcPr>
            <w:tcW w:w="2452" w:type="dxa"/>
          </w:tcPr>
          <w:p w14:paraId="5F129AA1" w14:textId="28AED2A1" w:rsidR="00813009" w:rsidRPr="00813009" w:rsidRDefault="00813009" w:rsidP="00813009">
            <w:pPr>
              <w:rPr>
                <w:rFonts w:cs="Arial"/>
              </w:rPr>
            </w:pPr>
            <w:r w:rsidRPr="00813009">
              <w:rPr>
                <w:rFonts w:cs="Arial"/>
              </w:rPr>
              <w:t>Схема на лечение</w:t>
            </w:r>
          </w:p>
        </w:tc>
        <w:tc>
          <w:tcPr>
            <w:tcW w:w="1899" w:type="dxa"/>
          </w:tcPr>
          <w:p w14:paraId="67C30A4C" w14:textId="55D33B43" w:rsidR="00813009" w:rsidRPr="00813009" w:rsidRDefault="00813009" w:rsidP="00813009">
            <w:pPr>
              <w:rPr>
                <w:rFonts w:cs="Arial"/>
              </w:rPr>
            </w:pPr>
            <w:r w:rsidRPr="00813009">
              <w:rPr>
                <w:rFonts w:cs="Arial"/>
              </w:rPr>
              <w:t>Настояща стабилизираща доза на ламотрижин (преди преустановяван е на приема)</w:t>
            </w:r>
          </w:p>
        </w:tc>
        <w:tc>
          <w:tcPr>
            <w:tcW w:w="1759" w:type="dxa"/>
          </w:tcPr>
          <w:p w14:paraId="406EF075" w14:textId="23954BD7" w:rsidR="00813009" w:rsidRPr="00813009" w:rsidRDefault="00813009" w:rsidP="00813009">
            <w:pPr>
              <w:rPr>
                <w:rFonts w:cs="Arial"/>
              </w:rPr>
            </w:pPr>
            <w:r w:rsidRPr="00813009">
              <w:rPr>
                <w:rFonts w:cs="Arial"/>
              </w:rPr>
              <w:t>Седмица 1 (започваща с преустано</w:t>
            </w:r>
            <w:r w:rsidRPr="00813009">
              <w:rPr>
                <w:rFonts w:cs="Arial"/>
              </w:rPr>
              <w:softHyphen/>
              <w:t>вяване на приема)</w:t>
            </w:r>
          </w:p>
        </w:tc>
        <w:tc>
          <w:tcPr>
            <w:tcW w:w="1692" w:type="dxa"/>
          </w:tcPr>
          <w:p w14:paraId="7B0B9317" w14:textId="318B2A0F" w:rsidR="00813009" w:rsidRPr="00813009" w:rsidRDefault="00813009" w:rsidP="00813009">
            <w:pPr>
              <w:rPr>
                <w:rFonts w:cs="Arial"/>
              </w:rPr>
            </w:pPr>
            <w:r w:rsidRPr="00813009">
              <w:rPr>
                <w:rFonts w:cs="Arial"/>
              </w:rPr>
              <w:t>Седмица 2</w:t>
            </w:r>
          </w:p>
        </w:tc>
        <w:tc>
          <w:tcPr>
            <w:tcW w:w="1774" w:type="dxa"/>
          </w:tcPr>
          <w:p w14:paraId="0616CA5A" w14:textId="42D948B5" w:rsidR="00813009" w:rsidRPr="00813009" w:rsidRDefault="00813009" w:rsidP="00813009">
            <w:pPr>
              <w:rPr>
                <w:rFonts w:cs="Arial"/>
              </w:rPr>
            </w:pPr>
            <w:r w:rsidRPr="00813009">
              <w:rPr>
                <w:rFonts w:cs="Arial"/>
              </w:rPr>
              <w:t>От седмица 3 нататък*</w:t>
            </w:r>
          </w:p>
        </w:tc>
      </w:tr>
      <w:tr w:rsidR="00813009" w14:paraId="100507C0" w14:textId="77777777" w:rsidTr="004B27D4">
        <w:tc>
          <w:tcPr>
            <w:tcW w:w="9576" w:type="dxa"/>
            <w:gridSpan w:val="5"/>
          </w:tcPr>
          <w:p w14:paraId="36A917DB" w14:textId="3903229A" w:rsidR="00813009" w:rsidRPr="00813009" w:rsidRDefault="00813009" w:rsidP="007F3AC7">
            <w:pPr>
              <w:rPr>
                <w:rFonts w:cs="Arial"/>
              </w:rPr>
            </w:pPr>
            <w:r w:rsidRPr="00813009">
              <w:rPr>
                <w:rFonts w:eastAsia="Times New Roman" w:cs="Arial"/>
                <w:b/>
                <w:bCs/>
                <w:color w:val="000000"/>
                <w:lang w:eastAsia="bg-BG"/>
              </w:rPr>
              <w:t xml:space="preserve">Спиране на приема на валпроат </w:t>
            </w:r>
            <w:r w:rsidRPr="00813009">
              <w:rPr>
                <w:rFonts w:eastAsia="Times New Roman" w:cs="Arial"/>
                <w:color w:val="000000"/>
                <w:lang w:eastAsia="bg-BG"/>
              </w:rPr>
              <w:t>(инхибитор на глюкуронирането на ламотрижин - вж. точка 4.5), в зависимост от първоначалната доза на ламотрижин:</w:t>
            </w:r>
          </w:p>
        </w:tc>
      </w:tr>
      <w:tr w:rsidR="00813009" w14:paraId="13F70AFD" w14:textId="77777777" w:rsidTr="00813009">
        <w:tc>
          <w:tcPr>
            <w:tcW w:w="2452" w:type="dxa"/>
            <w:vMerge w:val="restart"/>
          </w:tcPr>
          <w:p w14:paraId="2C070666" w14:textId="4F71BE4E" w:rsidR="00813009" w:rsidRPr="00813009" w:rsidRDefault="00813009" w:rsidP="00813009">
            <w:pPr>
              <w:rPr>
                <w:rFonts w:cs="Arial"/>
              </w:rPr>
            </w:pPr>
            <w:r w:rsidRPr="00813009">
              <w:rPr>
                <w:rFonts w:cs="Arial"/>
              </w:rPr>
              <w:t xml:space="preserve">След спиране на приема на валпроат, стабилизиращата доза се удвоява, като не се превишава нарастването от повече от 100 </w:t>
            </w:r>
            <w:r w:rsidRPr="00813009">
              <w:rPr>
                <w:rFonts w:cs="Arial"/>
                <w:lang w:val="en-US"/>
              </w:rPr>
              <w:t>mg</w:t>
            </w:r>
            <w:r w:rsidRPr="00813009">
              <w:rPr>
                <w:rFonts w:cs="Arial"/>
              </w:rPr>
              <w:t>/седмица</w:t>
            </w:r>
          </w:p>
        </w:tc>
        <w:tc>
          <w:tcPr>
            <w:tcW w:w="1899" w:type="dxa"/>
          </w:tcPr>
          <w:p w14:paraId="248D52FE" w14:textId="599E9A70"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w:t>
            </w:r>
          </w:p>
        </w:tc>
        <w:tc>
          <w:tcPr>
            <w:tcW w:w="1759" w:type="dxa"/>
          </w:tcPr>
          <w:p w14:paraId="5CB5AF3E" w14:textId="3497AE4E"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c>
          <w:tcPr>
            <w:tcW w:w="3466" w:type="dxa"/>
            <w:gridSpan w:val="2"/>
          </w:tcPr>
          <w:p w14:paraId="393A7DC0" w14:textId="72B2FC51" w:rsidR="00813009" w:rsidRPr="00813009" w:rsidRDefault="00813009" w:rsidP="00813009">
            <w:pPr>
              <w:rPr>
                <w:rFonts w:cs="Arial"/>
              </w:rPr>
            </w:pPr>
            <w:r w:rsidRPr="00813009">
              <w:rPr>
                <w:rFonts w:eastAsia="Times New Roman" w:cs="Arial"/>
                <w:color w:val="000000"/>
                <w:lang w:eastAsia="bg-BG"/>
              </w:rPr>
              <w:t xml:space="preserve">Поддържане на тази доза (200 </w:t>
            </w:r>
            <w:r w:rsidRPr="00813009">
              <w:rPr>
                <w:rFonts w:eastAsia="Times New Roman" w:cs="Arial"/>
                <w:color w:val="000000"/>
                <w:lang w:val="en-US"/>
              </w:rPr>
              <w:t>mg</w:t>
            </w:r>
            <w:r w:rsidRPr="00813009">
              <w:rPr>
                <w:rFonts w:eastAsia="Times New Roman" w:cs="Arial"/>
                <w:color w:val="000000"/>
                <w:lang w:eastAsia="bg-BG"/>
              </w:rPr>
              <w:t>/ден) (разделена в два приема)</w:t>
            </w:r>
          </w:p>
        </w:tc>
      </w:tr>
      <w:tr w:rsidR="00813009" w14:paraId="02F893F0" w14:textId="77777777" w:rsidTr="00813009">
        <w:tc>
          <w:tcPr>
            <w:tcW w:w="2452" w:type="dxa"/>
            <w:vMerge/>
          </w:tcPr>
          <w:p w14:paraId="076D5665" w14:textId="77777777" w:rsidR="00813009" w:rsidRPr="00813009" w:rsidRDefault="00813009" w:rsidP="00813009">
            <w:pPr>
              <w:rPr>
                <w:rFonts w:cs="Arial"/>
              </w:rPr>
            </w:pPr>
          </w:p>
        </w:tc>
        <w:tc>
          <w:tcPr>
            <w:tcW w:w="1899" w:type="dxa"/>
          </w:tcPr>
          <w:p w14:paraId="089802F0" w14:textId="3A06A43A"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c>
          <w:tcPr>
            <w:tcW w:w="1759" w:type="dxa"/>
          </w:tcPr>
          <w:p w14:paraId="4AB5650A" w14:textId="2BD72042"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/ден</w:t>
            </w:r>
          </w:p>
        </w:tc>
        <w:tc>
          <w:tcPr>
            <w:tcW w:w="1692" w:type="dxa"/>
          </w:tcPr>
          <w:p w14:paraId="2BF1FEC9" w14:textId="5ECA0FA2" w:rsidR="00813009" w:rsidRPr="00813009" w:rsidRDefault="00813009" w:rsidP="00813009">
            <w:pPr>
              <w:rPr>
                <w:rFonts w:cs="Arial"/>
              </w:rPr>
            </w:pPr>
            <w:r w:rsidRPr="00813009">
              <w:rPr>
                <w:rFonts w:cs="Arial"/>
              </w:rPr>
              <w:t xml:space="preserve">400 </w:t>
            </w:r>
            <w:r w:rsidRPr="00813009">
              <w:rPr>
                <w:rFonts w:cs="Arial"/>
                <w:lang w:val="en-US"/>
              </w:rPr>
              <w:t>mg</w:t>
            </w:r>
            <w:r w:rsidRPr="00813009">
              <w:rPr>
                <w:rFonts w:cs="Arial"/>
              </w:rPr>
              <w:t>/ден</w:t>
            </w:r>
          </w:p>
        </w:tc>
        <w:tc>
          <w:tcPr>
            <w:tcW w:w="1774" w:type="dxa"/>
          </w:tcPr>
          <w:p w14:paraId="7DC829CD" w14:textId="08C6939F" w:rsidR="00813009" w:rsidRPr="00813009" w:rsidRDefault="00813009" w:rsidP="00813009">
            <w:pPr>
              <w:rPr>
                <w:rFonts w:cs="Arial"/>
              </w:rPr>
            </w:pPr>
            <w:r w:rsidRPr="00813009">
              <w:rPr>
                <w:rFonts w:cs="Arial"/>
              </w:rPr>
              <w:t xml:space="preserve">Поддържане на тази доза (400 </w:t>
            </w:r>
            <w:r w:rsidRPr="00813009">
              <w:rPr>
                <w:rFonts w:cs="Arial"/>
                <w:lang w:val="en-US"/>
              </w:rPr>
              <w:t>mg</w:t>
            </w:r>
            <w:r w:rsidRPr="00813009">
              <w:rPr>
                <w:rFonts w:cs="Arial"/>
              </w:rPr>
              <w:t>/ден)</w:t>
            </w:r>
          </w:p>
        </w:tc>
      </w:tr>
      <w:tr w:rsidR="00813009" w14:paraId="797BBB16" w14:textId="77777777" w:rsidTr="004B27D4">
        <w:tc>
          <w:tcPr>
            <w:tcW w:w="9576" w:type="dxa"/>
            <w:gridSpan w:val="5"/>
          </w:tcPr>
          <w:p w14:paraId="4B0AD434" w14:textId="52FEAA35" w:rsidR="00813009" w:rsidRPr="00813009" w:rsidRDefault="00813009" w:rsidP="007F3AC7">
            <w:pPr>
              <w:rPr>
                <w:rFonts w:cs="Arial"/>
              </w:rPr>
            </w:pPr>
            <w:r w:rsidRPr="00813009">
              <w:rPr>
                <w:rFonts w:cs="Arial"/>
                <w:b/>
                <w:bCs/>
              </w:rPr>
              <w:t xml:space="preserve">Спиране на приема на индуктори на глюкуронирането на ламотрижин </w:t>
            </w:r>
            <w:r w:rsidRPr="00813009">
              <w:rPr>
                <w:rFonts w:cs="Arial"/>
              </w:rPr>
              <w:t>(вж. точка 4.5) в зависимост от първоначалната доза на ламотрижин:</w:t>
            </w:r>
          </w:p>
        </w:tc>
      </w:tr>
      <w:tr w:rsidR="00813009" w14:paraId="59E5435D" w14:textId="77777777" w:rsidTr="00813009">
        <w:tc>
          <w:tcPr>
            <w:tcW w:w="2452" w:type="dxa"/>
            <w:vMerge w:val="restart"/>
          </w:tcPr>
          <w:p w14:paraId="1AC536ED" w14:textId="7D82EE39" w:rsidR="00813009" w:rsidRPr="00813009" w:rsidRDefault="00813009" w:rsidP="00813009">
            <w:pPr>
              <w:rPr>
                <w:rFonts w:cs="Arial"/>
              </w:rPr>
            </w:pPr>
            <w:r w:rsidRPr="00813009">
              <w:rPr>
                <w:rFonts w:cs="Arial"/>
              </w:rPr>
              <w:t xml:space="preserve">Тази схема на дозиране трябва да се използва при спиране приема на: фенитоин карбамазепин фенобарбитал примидон </w:t>
            </w:r>
            <w:r w:rsidRPr="00813009">
              <w:rPr>
                <w:rFonts w:cs="Arial"/>
              </w:rPr>
              <w:lastRenderedPageBreak/>
              <w:t>рифампицин лопинавир/ритонавир</w:t>
            </w:r>
          </w:p>
        </w:tc>
        <w:tc>
          <w:tcPr>
            <w:tcW w:w="1899" w:type="dxa"/>
          </w:tcPr>
          <w:p w14:paraId="1AD8E65C" w14:textId="22F9FB38" w:rsidR="00813009" w:rsidRPr="00813009" w:rsidRDefault="00813009" w:rsidP="00813009">
            <w:pPr>
              <w:rPr>
                <w:rFonts w:cs="Arial"/>
              </w:rPr>
            </w:pPr>
            <w:r w:rsidRPr="00813009">
              <w:rPr>
                <w:rFonts w:cs="Arial"/>
              </w:rPr>
              <w:lastRenderedPageBreak/>
              <w:t xml:space="preserve">400 </w:t>
            </w:r>
            <w:r w:rsidRPr="00813009">
              <w:rPr>
                <w:rFonts w:cs="Arial"/>
                <w:lang w:val="en-US"/>
              </w:rPr>
              <w:t>mg</w:t>
            </w:r>
            <w:r w:rsidRPr="00813009">
              <w:rPr>
                <w:rFonts w:cs="Arial"/>
              </w:rPr>
              <w:t>/ден</w:t>
            </w:r>
          </w:p>
        </w:tc>
        <w:tc>
          <w:tcPr>
            <w:tcW w:w="1759" w:type="dxa"/>
          </w:tcPr>
          <w:p w14:paraId="0E0A1D1C" w14:textId="6B274638" w:rsidR="00813009" w:rsidRPr="00813009" w:rsidRDefault="00813009" w:rsidP="00813009">
            <w:pPr>
              <w:rPr>
                <w:rFonts w:cs="Arial"/>
              </w:rPr>
            </w:pPr>
            <w:r w:rsidRPr="00813009">
              <w:rPr>
                <w:rFonts w:cs="Arial"/>
              </w:rPr>
              <w:t xml:space="preserve">400 </w:t>
            </w:r>
            <w:r w:rsidRPr="00813009">
              <w:rPr>
                <w:rFonts w:cs="Arial"/>
                <w:lang w:val="en-US"/>
              </w:rPr>
              <w:t>mg</w:t>
            </w:r>
            <w:r w:rsidRPr="00813009">
              <w:rPr>
                <w:rFonts w:cs="Arial"/>
              </w:rPr>
              <w:t>/ден</w:t>
            </w:r>
          </w:p>
        </w:tc>
        <w:tc>
          <w:tcPr>
            <w:tcW w:w="1692" w:type="dxa"/>
          </w:tcPr>
          <w:p w14:paraId="350B6BCD" w14:textId="5CBDB8FE"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/ден</w:t>
            </w:r>
          </w:p>
        </w:tc>
        <w:tc>
          <w:tcPr>
            <w:tcW w:w="1774" w:type="dxa"/>
          </w:tcPr>
          <w:p w14:paraId="12336CE5" w14:textId="756EE2C7"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r>
      <w:tr w:rsidR="00813009" w14:paraId="63862E60" w14:textId="77777777" w:rsidTr="00813009">
        <w:tc>
          <w:tcPr>
            <w:tcW w:w="2452" w:type="dxa"/>
            <w:vMerge/>
          </w:tcPr>
          <w:p w14:paraId="4B562D23" w14:textId="77777777" w:rsidR="00813009" w:rsidRPr="00813009" w:rsidRDefault="00813009" w:rsidP="00813009">
            <w:pPr>
              <w:rPr>
                <w:rFonts w:cs="Arial"/>
              </w:rPr>
            </w:pPr>
          </w:p>
        </w:tc>
        <w:tc>
          <w:tcPr>
            <w:tcW w:w="1899" w:type="dxa"/>
          </w:tcPr>
          <w:p w14:paraId="440E7633" w14:textId="39FEEBD2"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/ден</w:t>
            </w:r>
          </w:p>
        </w:tc>
        <w:tc>
          <w:tcPr>
            <w:tcW w:w="1759" w:type="dxa"/>
          </w:tcPr>
          <w:p w14:paraId="79D95E3D" w14:textId="03A9B720" w:rsidR="00813009" w:rsidRPr="00813009" w:rsidRDefault="00813009" w:rsidP="00813009">
            <w:pPr>
              <w:rPr>
                <w:rFonts w:cs="Arial"/>
              </w:rPr>
            </w:pPr>
            <w:r w:rsidRPr="00813009">
              <w:rPr>
                <w:rFonts w:cs="Arial"/>
              </w:rPr>
              <w:t xml:space="preserve">300 </w:t>
            </w:r>
            <w:r w:rsidRPr="00813009">
              <w:rPr>
                <w:rFonts w:cs="Arial"/>
                <w:lang w:val="en-US"/>
              </w:rPr>
              <w:t>mg</w:t>
            </w:r>
            <w:r w:rsidRPr="00813009">
              <w:rPr>
                <w:rFonts w:cs="Arial"/>
              </w:rPr>
              <w:t>/ден</w:t>
            </w:r>
          </w:p>
        </w:tc>
        <w:tc>
          <w:tcPr>
            <w:tcW w:w="1692" w:type="dxa"/>
          </w:tcPr>
          <w:p w14:paraId="23013097" w14:textId="20E30651" w:rsidR="00813009" w:rsidRPr="00813009" w:rsidRDefault="00813009" w:rsidP="00813009">
            <w:pPr>
              <w:rPr>
                <w:rFonts w:cs="Arial"/>
              </w:rPr>
            </w:pPr>
            <w:r w:rsidRPr="00813009">
              <w:rPr>
                <w:rFonts w:cs="Arial"/>
              </w:rPr>
              <w:t xml:space="preserve">225 </w:t>
            </w:r>
            <w:r w:rsidRPr="00813009">
              <w:rPr>
                <w:rFonts w:cs="Arial"/>
                <w:lang w:val="en-US"/>
              </w:rPr>
              <w:t>mg</w:t>
            </w:r>
            <w:r w:rsidRPr="00813009">
              <w:rPr>
                <w:rFonts w:cs="Arial"/>
              </w:rPr>
              <w:t>/ден</w:t>
            </w:r>
          </w:p>
        </w:tc>
        <w:tc>
          <w:tcPr>
            <w:tcW w:w="1774" w:type="dxa"/>
          </w:tcPr>
          <w:p w14:paraId="7FB1D004" w14:textId="4076140A" w:rsidR="00813009" w:rsidRPr="00813009" w:rsidRDefault="00813009" w:rsidP="00813009">
            <w:pPr>
              <w:rPr>
                <w:rFonts w:cs="Arial"/>
              </w:rPr>
            </w:pPr>
            <w:r w:rsidRPr="00813009">
              <w:rPr>
                <w:rFonts w:cs="Arial"/>
              </w:rPr>
              <w:t xml:space="preserve">150 </w:t>
            </w:r>
            <w:r w:rsidRPr="00813009">
              <w:rPr>
                <w:rFonts w:cs="Arial"/>
                <w:lang w:val="en-US"/>
              </w:rPr>
              <w:t>mg</w:t>
            </w:r>
            <w:r w:rsidRPr="00813009">
              <w:rPr>
                <w:rFonts w:cs="Arial"/>
              </w:rPr>
              <w:t>/ден</w:t>
            </w:r>
          </w:p>
        </w:tc>
      </w:tr>
      <w:tr w:rsidR="00813009" w14:paraId="44F56932" w14:textId="77777777" w:rsidTr="00813009">
        <w:tc>
          <w:tcPr>
            <w:tcW w:w="2452" w:type="dxa"/>
            <w:vMerge/>
          </w:tcPr>
          <w:p w14:paraId="2DADFBB5" w14:textId="77777777" w:rsidR="00813009" w:rsidRPr="00813009" w:rsidRDefault="00813009" w:rsidP="00813009">
            <w:pPr>
              <w:rPr>
                <w:rFonts w:cs="Arial"/>
              </w:rPr>
            </w:pPr>
          </w:p>
        </w:tc>
        <w:tc>
          <w:tcPr>
            <w:tcW w:w="1899" w:type="dxa"/>
          </w:tcPr>
          <w:p w14:paraId="069E18A3" w14:textId="0CEB8978"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c>
          <w:tcPr>
            <w:tcW w:w="1759" w:type="dxa"/>
          </w:tcPr>
          <w:p w14:paraId="7A23DC6F" w14:textId="43057F29" w:rsidR="00813009" w:rsidRPr="00813009" w:rsidRDefault="00813009" w:rsidP="00813009">
            <w:pPr>
              <w:rPr>
                <w:rFonts w:cs="Arial"/>
              </w:rPr>
            </w:pPr>
            <w:r w:rsidRPr="00813009">
              <w:rPr>
                <w:rFonts w:cs="Arial"/>
              </w:rPr>
              <w:t xml:space="preserve">200 </w:t>
            </w:r>
            <w:r w:rsidRPr="00813009">
              <w:rPr>
                <w:rFonts w:cs="Arial"/>
                <w:lang w:val="en-US"/>
              </w:rPr>
              <w:t>mg</w:t>
            </w:r>
            <w:r w:rsidRPr="00813009">
              <w:rPr>
                <w:rFonts w:cs="Arial"/>
              </w:rPr>
              <w:t>/ден</w:t>
            </w:r>
          </w:p>
        </w:tc>
        <w:tc>
          <w:tcPr>
            <w:tcW w:w="1692" w:type="dxa"/>
          </w:tcPr>
          <w:p w14:paraId="4CCC8982" w14:textId="44EC1512" w:rsidR="00813009" w:rsidRPr="00813009" w:rsidRDefault="00813009" w:rsidP="00813009">
            <w:pPr>
              <w:rPr>
                <w:rFonts w:cs="Arial"/>
              </w:rPr>
            </w:pPr>
            <w:r w:rsidRPr="00813009">
              <w:rPr>
                <w:rFonts w:cs="Arial"/>
              </w:rPr>
              <w:t xml:space="preserve">150 </w:t>
            </w:r>
            <w:r w:rsidRPr="00813009">
              <w:rPr>
                <w:rFonts w:cs="Arial"/>
                <w:lang w:val="en-US"/>
              </w:rPr>
              <w:t>mg</w:t>
            </w:r>
            <w:r w:rsidRPr="00813009">
              <w:rPr>
                <w:rFonts w:cs="Arial"/>
              </w:rPr>
              <w:t>/ден</w:t>
            </w:r>
          </w:p>
        </w:tc>
        <w:tc>
          <w:tcPr>
            <w:tcW w:w="1774" w:type="dxa"/>
          </w:tcPr>
          <w:p w14:paraId="5DC40B61" w14:textId="2FF130D3" w:rsidR="00813009" w:rsidRPr="00813009" w:rsidRDefault="00813009" w:rsidP="00813009">
            <w:pPr>
              <w:rPr>
                <w:rFonts w:cs="Arial"/>
              </w:rPr>
            </w:pPr>
            <w:r w:rsidRPr="00813009">
              <w:rPr>
                <w:rFonts w:cs="Arial"/>
              </w:rPr>
              <w:t xml:space="preserve">100 </w:t>
            </w:r>
            <w:r w:rsidRPr="00813009">
              <w:rPr>
                <w:rFonts w:cs="Arial"/>
                <w:lang w:val="en-US"/>
              </w:rPr>
              <w:t>mg</w:t>
            </w:r>
            <w:r w:rsidRPr="00813009">
              <w:rPr>
                <w:rFonts w:cs="Arial"/>
              </w:rPr>
              <w:t>/ден</w:t>
            </w:r>
          </w:p>
        </w:tc>
      </w:tr>
      <w:tr w:rsidR="00813009" w14:paraId="58912ADF" w14:textId="77777777" w:rsidTr="004B27D4">
        <w:tc>
          <w:tcPr>
            <w:tcW w:w="9576" w:type="dxa"/>
            <w:gridSpan w:val="5"/>
          </w:tcPr>
          <w:p w14:paraId="041945A3" w14:textId="4893F8C3" w:rsidR="00813009" w:rsidRPr="00813009" w:rsidRDefault="00813009" w:rsidP="007F3AC7">
            <w:pPr>
              <w:rPr>
                <w:rFonts w:cs="Arial"/>
              </w:rPr>
            </w:pPr>
            <w:r w:rsidRPr="00813009">
              <w:rPr>
                <w:rFonts w:eastAsia="Times New Roman" w:cs="Arial"/>
                <w:b/>
                <w:bCs/>
                <w:color w:val="000000"/>
                <w:lang w:eastAsia="bg-BG"/>
              </w:rPr>
              <w:t xml:space="preserve">Спиране на приема на лекарствени продукти, които НЕ инхибират или НЕ индуциране значително глюкуронирането на ламотрижин (вж. </w:t>
            </w:r>
            <w:r w:rsidRPr="00813009">
              <w:rPr>
                <w:rFonts w:eastAsia="Times New Roman" w:cs="Arial"/>
                <w:color w:val="000000"/>
                <w:lang w:eastAsia="bg-BG"/>
              </w:rPr>
              <w:t>точка 4.5):</w:t>
            </w:r>
          </w:p>
        </w:tc>
      </w:tr>
      <w:tr w:rsidR="00813009" w14:paraId="66F56479" w14:textId="77777777" w:rsidTr="004B27D4">
        <w:tc>
          <w:tcPr>
            <w:tcW w:w="2452" w:type="dxa"/>
          </w:tcPr>
          <w:p w14:paraId="542690BE" w14:textId="020D2D26" w:rsidR="00813009" w:rsidRPr="00813009" w:rsidRDefault="00813009" w:rsidP="00813009">
            <w:pPr>
              <w:rPr>
                <w:rFonts w:cs="Arial"/>
              </w:rPr>
            </w:pPr>
            <w:r w:rsidRPr="00813009">
              <w:rPr>
                <w:rFonts w:cs="Arial"/>
              </w:rPr>
              <w:t>Тази схема на дозиране трябва да се използва при спиране на приема на други лекарствени продукти, които не инхибират или не индуцират значително глюкуронирането на ламотрижин</w:t>
            </w:r>
          </w:p>
        </w:tc>
        <w:tc>
          <w:tcPr>
            <w:tcW w:w="7124" w:type="dxa"/>
            <w:gridSpan w:val="4"/>
          </w:tcPr>
          <w:p w14:paraId="4E323CE1" w14:textId="77777777" w:rsidR="00813009" w:rsidRPr="00813009" w:rsidRDefault="00813009" w:rsidP="00813009">
            <w:pPr>
              <w:rPr>
                <w:rFonts w:cs="Arial"/>
              </w:rPr>
            </w:pPr>
            <w:r w:rsidRPr="00813009">
              <w:rPr>
                <w:rFonts w:cs="Arial"/>
              </w:rPr>
              <w:t xml:space="preserve">Поддържане на таргетната доза, достигната при повишаване на дозата (200 </w:t>
            </w:r>
            <w:r w:rsidRPr="00813009">
              <w:rPr>
                <w:rFonts w:cs="Arial"/>
                <w:lang w:val="en-US"/>
              </w:rPr>
              <w:t>mg</w:t>
            </w:r>
            <w:r w:rsidRPr="00813009">
              <w:rPr>
                <w:rFonts w:cs="Arial"/>
              </w:rPr>
              <w:t>/ден; разделена в два приема)</w:t>
            </w:r>
          </w:p>
          <w:p w14:paraId="77392961" w14:textId="785667B1" w:rsidR="00813009" w:rsidRPr="00813009" w:rsidRDefault="00813009" w:rsidP="00813009">
            <w:pPr>
              <w:rPr>
                <w:rFonts w:cs="Arial"/>
              </w:rPr>
            </w:pPr>
            <w:r w:rsidRPr="00813009">
              <w:rPr>
                <w:rFonts w:cs="Arial"/>
              </w:rPr>
              <w:t xml:space="preserve">(дозов диапазон 100 -400 </w:t>
            </w:r>
            <w:r w:rsidRPr="00813009">
              <w:rPr>
                <w:rFonts w:cs="Arial"/>
                <w:lang w:val="en-US"/>
              </w:rPr>
              <w:t>mg</w:t>
            </w:r>
            <w:r w:rsidRPr="00813009">
              <w:rPr>
                <w:rFonts w:cs="Arial"/>
              </w:rPr>
              <w:t>/ден)</w:t>
            </w:r>
          </w:p>
        </w:tc>
      </w:tr>
      <w:tr w:rsidR="00813009" w14:paraId="35D8F2F5" w14:textId="77777777" w:rsidTr="004B27D4">
        <w:tc>
          <w:tcPr>
            <w:tcW w:w="9576" w:type="dxa"/>
            <w:gridSpan w:val="5"/>
          </w:tcPr>
          <w:p w14:paraId="7A29EF94" w14:textId="283074DE" w:rsidR="00813009" w:rsidRPr="00813009" w:rsidRDefault="00813009" w:rsidP="007F3AC7">
            <w:pPr>
              <w:rPr>
                <w:rFonts w:cs="Arial"/>
              </w:rPr>
            </w:pPr>
            <w:r w:rsidRPr="00813009">
              <w:rPr>
                <w:rFonts w:eastAsia="Times New Roman" w:cs="Arial"/>
                <w:color w:val="000000"/>
                <w:lang w:eastAsia="bg-BG"/>
              </w:rPr>
              <w:t>При пациенти, приемащи лекарствени продукти, за които не са известни фармакокинетични взаимодействия с ламотрижин (вж. точка 4.5), схемата на лечение, препоръчана за ламотрижин, е първоначално да се подържа настоящата доза и лечението с ламотрижин да се променя въз основа на клиничния отговор.</w:t>
            </w:r>
          </w:p>
        </w:tc>
      </w:tr>
    </w:tbl>
    <w:p w14:paraId="308B8E57" w14:textId="472C3A2A"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 xml:space="preserve">* При необходимост дозата може да се повиши до 400 </w:t>
      </w:r>
      <w:r w:rsidRPr="004B27D4">
        <w:rPr>
          <w:rFonts w:eastAsia="Times New Roman" w:cs="Arial"/>
          <w:color w:val="000000"/>
          <w:lang w:val="en-US"/>
        </w:rPr>
        <w:t>mg</w:t>
      </w:r>
      <w:r w:rsidRPr="004B27D4">
        <w:rPr>
          <w:rFonts w:eastAsia="Times New Roman" w:cs="Arial"/>
          <w:color w:val="000000"/>
          <w:lang w:eastAsia="bg-BG"/>
        </w:rPr>
        <w:t>/ден</w:t>
      </w:r>
    </w:p>
    <w:p w14:paraId="15623F07" w14:textId="77777777" w:rsidR="004B27D4" w:rsidRPr="004B27D4" w:rsidRDefault="004B27D4" w:rsidP="004B27D4">
      <w:pPr>
        <w:spacing w:line="240" w:lineRule="auto"/>
        <w:rPr>
          <w:rFonts w:eastAsia="Times New Roman" w:cs="Arial"/>
          <w:i/>
          <w:iCs/>
          <w:color w:val="000000"/>
          <w:u w:val="single"/>
          <w:lang w:eastAsia="bg-BG"/>
        </w:rPr>
      </w:pPr>
    </w:p>
    <w:p w14:paraId="74E07FCF" w14:textId="06C02BF0"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Таблица 5: Възрастни пациенти на 18 и повече години - адаптиране на дневната дозировка на ламотрижин след добавяне на други лекарствени продукти при лечението на биполярно разстройство</w:t>
      </w:r>
    </w:p>
    <w:p w14:paraId="4D2A28E0" w14:textId="77777777" w:rsidR="004B27D4" w:rsidRPr="004B27D4" w:rsidRDefault="004B27D4" w:rsidP="004B27D4">
      <w:pPr>
        <w:rPr>
          <w:rFonts w:eastAsia="Times New Roman" w:cs="Arial"/>
          <w:color w:val="000000"/>
          <w:lang w:eastAsia="bg-BG"/>
        </w:rPr>
      </w:pPr>
    </w:p>
    <w:p w14:paraId="38406A3D" w14:textId="588C4C90" w:rsidR="004B27D4" w:rsidRDefault="004B27D4" w:rsidP="004B27D4">
      <w:pPr>
        <w:rPr>
          <w:rFonts w:eastAsia="Times New Roman" w:cs="Arial"/>
          <w:color w:val="000000"/>
          <w:lang w:eastAsia="bg-BG"/>
        </w:rPr>
      </w:pPr>
      <w:r w:rsidRPr="004B27D4">
        <w:rPr>
          <w:rFonts w:eastAsia="Times New Roman" w:cs="Arial"/>
          <w:color w:val="000000"/>
          <w:lang w:eastAsia="bg-BG"/>
        </w:rPr>
        <w:t>Няма клиничен опит в адаптирането на дневната доза на ламотрижин след добавяне на други лекарствени продукти. Обаче на основата на изпитвания за взаимодействия с други лекарствени продукти могат бъдат направени следните препоръки</w:t>
      </w:r>
    </w:p>
    <w:tbl>
      <w:tblPr>
        <w:tblStyle w:val="TableGrid"/>
        <w:tblW w:w="0" w:type="auto"/>
        <w:tblLook w:val="04A0" w:firstRow="1" w:lastRow="0" w:firstColumn="1" w:lastColumn="0" w:noHBand="0" w:noVBand="1"/>
      </w:tblPr>
      <w:tblGrid>
        <w:gridCol w:w="2452"/>
        <w:gridCol w:w="1880"/>
        <w:gridCol w:w="1761"/>
        <w:gridCol w:w="1637"/>
        <w:gridCol w:w="1620"/>
      </w:tblGrid>
      <w:tr w:rsidR="004B27D4" w14:paraId="2DC413B5" w14:textId="77777777" w:rsidTr="004B27D4">
        <w:tc>
          <w:tcPr>
            <w:tcW w:w="2451" w:type="dxa"/>
          </w:tcPr>
          <w:p w14:paraId="1155ECB9" w14:textId="22C1AE66" w:rsidR="004B27D4" w:rsidRPr="004B27D4" w:rsidRDefault="004B27D4" w:rsidP="004B27D4">
            <w:pPr>
              <w:rPr>
                <w:rFonts w:cs="Arial"/>
              </w:rPr>
            </w:pPr>
            <w:r w:rsidRPr="004B27D4">
              <w:rPr>
                <w:rFonts w:cs="Arial"/>
              </w:rPr>
              <w:t>Схема на лечение</w:t>
            </w:r>
          </w:p>
        </w:tc>
        <w:tc>
          <w:tcPr>
            <w:tcW w:w="1890" w:type="dxa"/>
            <w:vAlign w:val="bottom"/>
          </w:tcPr>
          <w:p w14:paraId="28673379" w14:textId="7B4C4350" w:rsidR="004B27D4" w:rsidRPr="004B27D4" w:rsidRDefault="004B27D4" w:rsidP="004B27D4">
            <w:pPr>
              <w:rPr>
                <w:rFonts w:cs="Arial"/>
              </w:rPr>
            </w:pPr>
            <w:r w:rsidRPr="004B27D4">
              <w:rPr>
                <w:rFonts w:cs="Arial"/>
              </w:rPr>
              <w:t>Настояща стабилизираща доза ламотрижин (преди добавянето)</w:t>
            </w:r>
          </w:p>
        </w:tc>
        <w:tc>
          <w:tcPr>
            <w:tcW w:w="1807" w:type="dxa"/>
          </w:tcPr>
          <w:p w14:paraId="1A2E80A0" w14:textId="37BF401C" w:rsidR="004B27D4" w:rsidRPr="004B27D4" w:rsidRDefault="004B27D4" w:rsidP="004B27D4">
            <w:pPr>
              <w:rPr>
                <w:rFonts w:cs="Arial"/>
              </w:rPr>
            </w:pPr>
            <w:r w:rsidRPr="004B27D4">
              <w:rPr>
                <w:rFonts w:cs="Arial"/>
              </w:rPr>
              <w:t>Седмица 1 (започваща с добавянето)</w:t>
            </w:r>
          </w:p>
        </w:tc>
        <w:tc>
          <w:tcPr>
            <w:tcW w:w="1720" w:type="dxa"/>
          </w:tcPr>
          <w:p w14:paraId="05094189" w14:textId="3F0B4950" w:rsidR="004B27D4" w:rsidRPr="004B27D4" w:rsidRDefault="004B27D4" w:rsidP="004B27D4">
            <w:pPr>
              <w:rPr>
                <w:rFonts w:cs="Arial"/>
              </w:rPr>
            </w:pPr>
            <w:r w:rsidRPr="004B27D4">
              <w:rPr>
                <w:rFonts w:cs="Arial"/>
              </w:rPr>
              <w:t>Седмица 2</w:t>
            </w:r>
          </w:p>
        </w:tc>
        <w:tc>
          <w:tcPr>
            <w:tcW w:w="1708" w:type="dxa"/>
          </w:tcPr>
          <w:p w14:paraId="4F23DC37" w14:textId="2F08656B" w:rsidR="004B27D4" w:rsidRPr="004B27D4" w:rsidRDefault="004B27D4" w:rsidP="004B27D4">
            <w:pPr>
              <w:rPr>
                <w:rFonts w:cs="Arial"/>
              </w:rPr>
            </w:pPr>
            <w:r w:rsidRPr="004B27D4">
              <w:rPr>
                <w:rFonts w:cs="Arial"/>
              </w:rPr>
              <w:t>От седмица 3 нататък</w:t>
            </w:r>
          </w:p>
        </w:tc>
      </w:tr>
      <w:tr w:rsidR="004B27D4" w14:paraId="285B28A6" w14:textId="77777777" w:rsidTr="004B27D4">
        <w:tc>
          <w:tcPr>
            <w:tcW w:w="9576" w:type="dxa"/>
            <w:gridSpan w:val="5"/>
          </w:tcPr>
          <w:p w14:paraId="0E0D1E96" w14:textId="0E943752" w:rsidR="004B27D4" w:rsidRPr="004B27D4" w:rsidRDefault="004B27D4" w:rsidP="004B27D4">
            <w:pPr>
              <w:rPr>
                <w:rFonts w:cs="Arial"/>
              </w:rPr>
            </w:pPr>
            <w:r w:rsidRPr="004B27D4">
              <w:rPr>
                <w:rFonts w:eastAsia="Times New Roman" w:cs="Arial"/>
                <w:b/>
                <w:bCs/>
                <w:color w:val="000000"/>
                <w:lang w:eastAsia="bg-BG"/>
              </w:rPr>
              <w:t xml:space="preserve">Добавяне на валпроат </w:t>
            </w:r>
            <w:r w:rsidRPr="004B27D4">
              <w:rPr>
                <w:rFonts w:eastAsia="Times New Roman" w:cs="Arial"/>
                <w:color w:val="000000"/>
                <w:lang w:eastAsia="bg-BG"/>
              </w:rPr>
              <w:t>(инхибитор на глкжуронирането на ламотрижин - вж. точка 4.5), в зависимост от първоначалната доза на ламотрижин:</w:t>
            </w:r>
          </w:p>
        </w:tc>
      </w:tr>
      <w:tr w:rsidR="004B27D4" w14:paraId="4F2B85F7" w14:textId="77777777" w:rsidTr="004B27D4">
        <w:tc>
          <w:tcPr>
            <w:tcW w:w="2451" w:type="dxa"/>
            <w:vAlign w:val="bottom"/>
          </w:tcPr>
          <w:p w14:paraId="4C333F12" w14:textId="40F5E95D" w:rsidR="004B27D4" w:rsidRPr="004B27D4" w:rsidRDefault="004B27D4" w:rsidP="004B27D4">
            <w:pPr>
              <w:rPr>
                <w:rFonts w:cs="Arial"/>
              </w:rPr>
            </w:pPr>
            <w:r w:rsidRPr="004B27D4">
              <w:rPr>
                <w:rFonts w:cs="Arial"/>
              </w:rPr>
              <w:t>Тази схема на дозиране трябва да се използва при</w:t>
            </w:r>
          </w:p>
        </w:tc>
        <w:tc>
          <w:tcPr>
            <w:tcW w:w="1890" w:type="dxa"/>
          </w:tcPr>
          <w:p w14:paraId="65077C6A" w14:textId="3506760B"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c>
          <w:tcPr>
            <w:tcW w:w="1807" w:type="dxa"/>
          </w:tcPr>
          <w:p w14:paraId="6B3CD768" w14:textId="53EB54FE" w:rsidR="004B27D4" w:rsidRPr="004B27D4" w:rsidRDefault="004B27D4" w:rsidP="004B27D4">
            <w:pPr>
              <w:rPr>
                <w:rFonts w:cs="Arial"/>
              </w:rPr>
            </w:pPr>
            <w:r w:rsidRPr="004B27D4">
              <w:rPr>
                <w:rFonts w:cs="Arial"/>
              </w:rPr>
              <w:t xml:space="preserve">100 </w:t>
            </w:r>
            <w:r w:rsidRPr="004B27D4">
              <w:rPr>
                <w:rFonts w:cs="Arial"/>
                <w:lang w:val="en-US"/>
              </w:rPr>
              <w:t>mg</w:t>
            </w:r>
            <w:r w:rsidRPr="004B27D4">
              <w:rPr>
                <w:rFonts w:cs="Arial"/>
              </w:rPr>
              <w:t>/ден</w:t>
            </w:r>
          </w:p>
        </w:tc>
        <w:tc>
          <w:tcPr>
            <w:tcW w:w="3428" w:type="dxa"/>
            <w:gridSpan w:val="2"/>
            <w:vAlign w:val="bottom"/>
          </w:tcPr>
          <w:p w14:paraId="3527B3DA" w14:textId="06287BAE" w:rsidR="004B27D4" w:rsidRPr="004B27D4" w:rsidRDefault="004B27D4" w:rsidP="004B27D4">
            <w:pPr>
              <w:rPr>
                <w:rFonts w:cs="Arial"/>
              </w:rPr>
            </w:pPr>
            <w:r w:rsidRPr="004B27D4">
              <w:rPr>
                <w:rFonts w:cs="Arial"/>
              </w:rPr>
              <w:t xml:space="preserve">Да се поддържа тази доза (100 </w:t>
            </w:r>
            <w:r w:rsidRPr="004B27D4">
              <w:rPr>
                <w:rFonts w:cs="Arial"/>
                <w:lang w:val="en-US"/>
              </w:rPr>
              <w:t>mg</w:t>
            </w:r>
            <w:r w:rsidRPr="004B27D4">
              <w:rPr>
                <w:rFonts w:cs="Arial"/>
              </w:rPr>
              <w:t>/ден)</w:t>
            </w:r>
          </w:p>
        </w:tc>
      </w:tr>
      <w:tr w:rsidR="004B27D4" w14:paraId="43F7389D" w14:textId="77777777" w:rsidTr="004B27D4">
        <w:tc>
          <w:tcPr>
            <w:tcW w:w="2451" w:type="dxa"/>
          </w:tcPr>
          <w:p w14:paraId="53BF316A" w14:textId="5A1D68CC" w:rsidR="004B27D4" w:rsidRPr="004B27D4" w:rsidRDefault="004B27D4" w:rsidP="004B27D4">
            <w:pPr>
              <w:rPr>
                <w:rFonts w:cs="Arial"/>
              </w:rPr>
            </w:pPr>
            <w:r w:rsidRPr="004B27D4">
              <w:rPr>
                <w:rFonts w:cs="Arial"/>
              </w:rPr>
              <w:t>добавяне на валпроат, независимо от съпътстващия прием на</w:t>
            </w:r>
          </w:p>
        </w:tc>
        <w:tc>
          <w:tcPr>
            <w:tcW w:w="1890" w:type="dxa"/>
          </w:tcPr>
          <w:p w14:paraId="68D7A3CB" w14:textId="354A48DB" w:rsidR="004B27D4" w:rsidRPr="004B27D4" w:rsidRDefault="004B27D4" w:rsidP="004B27D4">
            <w:pPr>
              <w:rPr>
                <w:rFonts w:cs="Arial"/>
              </w:rPr>
            </w:pPr>
            <w:r w:rsidRPr="004B27D4">
              <w:rPr>
                <w:rFonts w:cs="Arial"/>
              </w:rPr>
              <w:t xml:space="preserve">300 </w:t>
            </w:r>
            <w:r w:rsidRPr="004B27D4">
              <w:rPr>
                <w:rFonts w:cs="Arial"/>
                <w:lang w:val="en-US"/>
              </w:rPr>
              <w:t>mg</w:t>
            </w:r>
            <w:r w:rsidRPr="004B27D4">
              <w:rPr>
                <w:rFonts w:cs="Arial"/>
              </w:rPr>
              <w:t>/ден</w:t>
            </w:r>
          </w:p>
        </w:tc>
        <w:tc>
          <w:tcPr>
            <w:tcW w:w="1807" w:type="dxa"/>
          </w:tcPr>
          <w:p w14:paraId="33B39F5A" w14:textId="7DD9BEDD" w:rsidR="004B27D4" w:rsidRPr="004B27D4" w:rsidRDefault="004B27D4" w:rsidP="004B27D4">
            <w:pPr>
              <w:rPr>
                <w:rFonts w:cs="Arial"/>
              </w:rPr>
            </w:pPr>
            <w:r w:rsidRPr="004B27D4">
              <w:rPr>
                <w:rFonts w:cs="Arial"/>
              </w:rPr>
              <w:t xml:space="preserve">150 </w:t>
            </w:r>
            <w:r w:rsidRPr="004B27D4">
              <w:rPr>
                <w:rFonts w:cs="Arial"/>
                <w:lang w:val="en-US"/>
              </w:rPr>
              <w:t>mg</w:t>
            </w:r>
            <w:r w:rsidRPr="004B27D4">
              <w:rPr>
                <w:rFonts w:cs="Arial"/>
              </w:rPr>
              <w:t>/ден</w:t>
            </w:r>
          </w:p>
        </w:tc>
        <w:tc>
          <w:tcPr>
            <w:tcW w:w="3428" w:type="dxa"/>
            <w:gridSpan w:val="2"/>
          </w:tcPr>
          <w:p w14:paraId="324609EB" w14:textId="257C252A" w:rsidR="004B27D4" w:rsidRPr="004B27D4" w:rsidRDefault="004B27D4" w:rsidP="004B27D4">
            <w:pPr>
              <w:rPr>
                <w:rFonts w:cs="Arial"/>
              </w:rPr>
            </w:pPr>
            <w:r w:rsidRPr="004B27D4">
              <w:rPr>
                <w:rFonts w:cs="Arial"/>
              </w:rPr>
              <w:t xml:space="preserve">Да се поддържа тази доза (150 </w:t>
            </w:r>
            <w:r w:rsidRPr="004B27D4">
              <w:rPr>
                <w:rFonts w:cs="Arial"/>
                <w:lang w:val="en-US"/>
              </w:rPr>
              <w:t>mg</w:t>
            </w:r>
            <w:r w:rsidRPr="004B27D4">
              <w:rPr>
                <w:rFonts w:cs="Arial"/>
              </w:rPr>
              <w:t>/ден)</w:t>
            </w:r>
          </w:p>
        </w:tc>
      </w:tr>
      <w:tr w:rsidR="004B27D4" w14:paraId="34A876EA" w14:textId="77777777" w:rsidTr="004B27D4">
        <w:tc>
          <w:tcPr>
            <w:tcW w:w="2451" w:type="dxa"/>
          </w:tcPr>
          <w:p w14:paraId="7E43BA5F" w14:textId="26AA7FEC" w:rsidR="004B27D4" w:rsidRPr="004B27D4" w:rsidRDefault="004B27D4" w:rsidP="004B27D4">
            <w:pPr>
              <w:rPr>
                <w:rFonts w:cs="Arial"/>
              </w:rPr>
            </w:pPr>
            <w:r w:rsidRPr="004B27D4">
              <w:rPr>
                <w:rFonts w:cs="Arial"/>
              </w:rPr>
              <w:t>други лекарствени продукти</w:t>
            </w:r>
          </w:p>
        </w:tc>
        <w:tc>
          <w:tcPr>
            <w:tcW w:w="1890" w:type="dxa"/>
          </w:tcPr>
          <w:p w14:paraId="0751B877" w14:textId="75FA3508" w:rsidR="004B27D4" w:rsidRPr="004B27D4" w:rsidRDefault="004B27D4" w:rsidP="004B27D4">
            <w:pPr>
              <w:rPr>
                <w:rFonts w:cs="Arial"/>
              </w:rPr>
            </w:pPr>
            <w:r w:rsidRPr="004B27D4">
              <w:rPr>
                <w:rFonts w:cs="Arial"/>
              </w:rPr>
              <w:t xml:space="preserve">400 </w:t>
            </w:r>
            <w:r w:rsidRPr="004B27D4">
              <w:rPr>
                <w:rFonts w:cs="Arial"/>
                <w:lang w:val="en-US"/>
              </w:rPr>
              <w:t>mg</w:t>
            </w:r>
            <w:r w:rsidRPr="004B27D4">
              <w:rPr>
                <w:rFonts w:cs="Arial"/>
              </w:rPr>
              <w:t>/ден</w:t>
            </w:r>
          </w:p>
        </w:tc>
        <w:tc>
          <w:tcPr>
            <w:tcW w:w="1807" w:type="dxa"/>
          </w:tcPr>
          <w:p w14:paraId="651E5AB6" w14:textId="1AD16BDE"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c>
          <w:tcPr>
            <w:tcW w:w="3428" w:type="dxa"/>
            <w:gridSpan w:val="2"/>
          </w:tcPr>
          <w:p w14:paraId="621E04BB" w14:textId="6F23F624" w:rsidR="004B27D4" w:rsidRPr="004B27D4" w:rsidRDefault="004B27D4" w:rsidP="004B27D4">
            <w:pPr>
              <w:rPr>
                <w:rFonts w:cs="Arial"/>
              </w:rPr>
            </w:pPr>
            <w:r w:rsidRPr="004B27D4">
              <w:rPr>
                <w:rFonts w:cs="Arial"/>
              </w:rPr>
              <w:t xml:space="preserve">Да се поддържа тази доза (200 </w:t>
            </w:r>
            <w:r w:rsidRPr="004B27D4">
              <w:rPr>
                <w:rFonts w:cs="Arial"/>
                <w:lang w:val="en-US"/>
              </w:rPr>
              <w:t>mg</w:t>
            </w:r>
            <w:r w:rsidRPr="004B27D4">
              <w:rPr>
                <w:rFonts w:cs="Arial"/>
              </w:rPr>
              <w:t>/ден)</w:t>
            </w:r>
          </w:p>
        </w:tc>
      </w:tr>
      <w:tr w:rsidR="004B27D4" w14:paraId="5F361F05" w14:textId="77777777" w:rsidTr="004B27D4">
        <w:tc>
          <w:tcPr>
            <w:tcW w:w="9576" w:type="dxa"/>
            <w:gridSpan w:val="5"/>
          </w:tcPr>
          <w:p w14:paraId="14A37E6F" w14:textId="58E42208" w:rsidR="004B27D4" w:rsidRPr="004B27D4" w:rsidRDefault="004B27D4" w:rsidP="004B27D4">
            <w:pPr>
              <w:rPr>
                <w:rFonts w:cs="Arial"/>
              </w:rPr>
            </w:pPr>
            <w:r w:rsidRPr="004B27D4">
              <w:rPr>
                <w:rFonts w:cs="Arial"/>
                <w:b/>
                <w:bCs/>
              </w:rPr>
              <w:lastRenderedPageBreak/>
              <w:t xml:space="preserve">Добавяне на мндуктори на глкжуронирането на ламотрижин при пациенти, които НЕ приемат валпроат </w:t>
            </w:r>
            <w:r w:rsidRPr="004B27D4">
              <w:rPr>
                <w:rFonts w:cs="Arial"/>
              </w:rPr>
              <w:t>(вж. точка 4,5), в зависимост от първоначалната доза на ламотрижин:</w:t>
            </w:r>
          </w:p>
        </w:tc>
      </w:tr>
      <w:tr w:rsidR="004B27D4" w14:paraId="68AF95E8" w14:textId="77777777" w:rsidTr="004B27D4">
        <w:tc>
          <w:tcPr>
            <w:tcW w:w="2451" w:type="dxa"/>
            <w:vMerge w:val="restart"/>
            <w:vAlign w:val="bottom"/>
          </w:tcPr>
          <w:p w14:paraId="4781F165" w14:textId="77777777" w:rsidR="004B27D4" w:rsidRPr="004B27D4" w:rsidRDefault="004B27D4" w:rsidP="004B27D4">
            <w:pPr>
              <w:rPr>
                <w:rFonts w:cs="Arial"/>
              </w:rPr>
            </w:pPr>
            <w:r w:rsidRPr="004B27D4">
              <w:rPr>
                <w:rFonts w:cs="Arial"/>
              </w:rPr>
              <w:t>Тази схема на дозиране</w:t>
            </w:r>
          </w:p>
          <w:p w14:paraId="5F168170" w14:textId="77777777" w:rsidR="004B27D4" w:rsidRPr="004B27D4" w:rsidRDefault="004B27D4" w:rsidP="004B27D4">
            <w:pPr>
              <w:rPr>
                <w:rFonts w:cs="Arial"/>
              </w:rPr>
            </w:pPr>
            <w:r w:rsidRPr="004B27D4">
              <w:rPr>
                <w:rFonts w:cs="Arial"/>
              </w:rPr>
              <w:t>трябва да се използва без</w:t>
            </w:r>
          </w:p>
          <w:p w14:paraId="3A50F396" w14:textId="7D709D0B" w:rsidR="004B27D4" w:rsidRPr="004B27D4" w:rsidRDefault="004B27D4" w:rsidP="004B27D4">
            <w:pPr>
              <w:rPr>
                <w:rFonts w:cs="Arial"/>
              </w:rPr>
            </w:pPr>
            <w:r w:rsidRPr="004B27D4">
              <w:rPr>
                <w:rFonts w:cs="Arial"/>
              </w:rPr>
              <w:t>валпроат при добавяне на някой от следните лекарствени продукти: фенитоин карбамазепин фенобарбитал примидон рифампицин лопинавир/ритонавир</w:t>
            </w:r>
          </w:p>
        </w:tc>
        <w:tc>
          <w:tcPr>
            <w:tcW w:w="1890" w:type="dxa"/>
            <w:vAlign w:val="bottom"/>
          </w:tcPr>
          <w:p w14:paraId="4E9D8321" w14:textId="7A0B7722"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c>
          <w:tcPr>
            <w:tcW w:w="1807" w:type="dxa"/>
            <w:vAlign w:val="bottom"/>
          </w:tcPr>
          <w:p w14:paraId="0BBC6754" w14:textId="24E6494A"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c>
          <w:tcPr>
            <w:tcW w:w="1720" w:type="dxa"/>
            <w:vAlign w:val="bottom"/>
          </w:tcPr>
          <w:p w14:paraId="55D4A8ED" w14:textId="31967220" w:rsidR="004B27D4" w:rsidRPr="004B27D4" w:rsidRDefault="004B27D4" w:rsidP="004B27D4">
            <w:pPr>
              <w:rPr>
                <w:rFonts w:cs="Arial"/>
              </w:rPr>
            </w:pPr>
            <w:r w:rsidRPr="004B27D4">
              <w:rPr>
                <w:rFonts w:cs="Arial"/>
              </w:rPr>
              <w:t xml:space="preserve">300 </w:t>
            </w:r>
            <w:r w:rsidRPr="004B27D4">
              <w:rPr>
                <w:rFonts w:cs="Arial"/>
                <w:lang w:val="en-US"/>
              </w:rPr>
              <w:t>mg</w:t>
            </w:r>
            <w:r w:rsidRPr="004B27D4">
              <w:rPr>
                <w:rFonts w:cs="Arial"/>
              </w:rPr>
              <w:t>/ден</w:t>
            </w:r>
          </w:p>
        </w:tc>
        <w:tc>
          <w:tcPr>
            <w:tcW w:w="1708" w:type="dxa"/>
            <w:vAlign w:val="bottom"/>
          </w:tcPr>
          <w:p w14:paraId="5A617AC4" w14:textId="73A51215" w:rsidR="004B27D4" w:rsidRPr="004B27D4" w:rsidRDefault="004B27D4" w:rsidP="004B27D4">
            <w:pPr>
              <w:rPr>
                <w:rFonts w:cs="Arial"/>
              </w:rPr>
            </w:pPr>
            <w:r w:rsidRPr="004B27D4">
              <w:rPr>
                <w:rFonts w:cs="Arial"/>
              </w:rPr>
              <w:t xml:space="preserve">400 </w:t>
            </w:r>
            <w:r w:rsidRPr="004B27D4">
              <w:rPr>
                <w:rFonts w:cs="Arial"/>
                <w:lang w:val="en-US"/>
              </w:rPr>
              <w:t>mg</w:t>
            </w:r>
            <w:r w:rsidRPr="004B27D4">
              <w:rPr>
                <w:rFonts w:cs="Arial"/>
              </w:rPr>
              <w:t>/ден</w:t>
            </w:r>
          </w:p>
        </w:tc>
      </w:tr>
      <w:tr w:rsidR="004B27D4" w14:paraId="3D6879B8" w14:textId="77777777" w:rsidTr="004B27D4">
        <w:tc>
          <w:tcPr>
            <w:tcW w:w="2451" w:type="dxa"/>
            <w:vMerge/>
            <w:vAlign w:val="bottom"/>
          </w:tcPr>
          <w:p w14:paraId="3316C3EB" w14:textId="025D11D6" w:rsidR="004B27D4" w:rsidRPr="004B27D4" w:rsidRDefault="004B27D4" w:rsidP="004B27D4">
            <w:pPr>
              <w:rPr>
                <w:rFonts w:cs="Arial"/>
              </w:rPr>
            </w:pPr>
          </w:p>
        </w:tc>
        <w:tc>
          <w:tcPr>
            <w:tcW w:w="1890" w:type="dxa"/>
            <w:vAlign w:val="bottom"/>
          </w:tcPr>
          <w:p w14:paraId="0B66D1A9" w14:textId="6F42068E" w:rsidR="004B27D4" w:rsidRPr="004B27D4" w:rsidRDefault="004B27D4" w:rsidP="004B27D4">
            <w:pPr>
              <w:rPr>
                <w:rFonts w:cs="Arial"/>
              </w:rPr>
            </w:pPr>
            <w:r w:rsidRPr="004B27D4">
              <w:rPr>
                <w:rFonts w:cs="Arial"/>
              </w:rPr>
              <w:t xml:space="preserve">150 </w:t>
            </w:r>
            <w:r w:rsidRPr="004B27D4">
              <w:rPr>
                <w:rFonts w:cs="Arial"/>
                <w:lang w:val="en-US"/>
              </w:rPr>
              <w:t>mg</w:t>
            </w:r>
            <w:r w:rsidRPr="004B27D4">
              <w:rPr>
                <w:rFonts w:cs="Arial"/>
              </w:rPr>
              <w:t>/ден</w:t>
            </w:r>
          </w:p>
        </w:tc>
        <w:tc>
          <w:tcPr>
            <w:tcW w:w="1807" w:type="dxa"/>
            <w:vAlign w:val="bottom"/>
          </w:tcPr>
          <w:p w14:paraId="0285F838" w14:textId="530257E4" w:rsidR="004B27D4" w:rsidRPr="004B27D4" w:rsidRDefault="004B27D4" w:rsidP="004B27D4">
            <w:pPr>
              <w:rPr>
                <w:rFonts w:cs="Arial"/>
              </w:rPr>
            </w:pPr>
            <w:r w:rsidRPr="004B27D4">
              <w:rPr>
                <w:rFonts w:cs="Arial"/>
              </w:rPr>
              <w:t xml:space="preserve">150 </w:t>
            </w:r>
            <w:r w:rsidRPr="004B27D4">
              <w:rPr>
                <w:rFonts w:cs="Arial"/>
                <w:lang w:val="en-US"/>
              </w:rPr>
              <w:t>mg</w:t>
            </w:r>
            <w:r w:rsidRPr="004B27D4">
              <w:rPr>
                <w:rFonts w:cs="Arial"/>
              </w:rPr>
              <w:t>/ден</w:t>
            </w:r>
          </w:p>
        </w:tc>
        <w:tc>
          <w:tcPr>
            <w:tcW w:w="1720" w:type="dxa"/>
            <w:vAlign w:val="bottom"/>
          </w:tcPr>
          <w:p w14:paraId="68903C2E" w14:textId="1BF2ABA8" w:rsidR="004B27D4" w:rsidRPr="004B27D4" w:rsidRDefault="004B27D4" w:rsidP="004B27D4">
            <w:pPr>
              <w:rPr>
                <w:rFonts w:cs="Arial"/>
              </w:rPr>
            </w:pPr>
            <w:r w:rsidRPr="004B27D4">
              <w:rPr>
                <w:rFonts w:cs="Arial"/>
              </w:rPr>
              <w:t xml:space="preserve">225 </w:t>
            </w:r>
            <w:r w:rsidRPr="004B27D4">
              <w:rPr>
                <w:rFonts w:cs="Arial"/>
                <w:lang w:val="en-US"/>
              </w:rPr>
              <w:t>mg</w:t>
            </w:r>
            <w:r w:rsidRPr="004B27D4">
              <w:rPr>
                <w:rFonts w:cs="Arial"/>
              </w:rPr>
              <w:t>/ден</w:t>
            </w:r>
          </w:p>
        </w:tc>
        <w:tc>
          <w:tcPr>
            <w:tcW w:w="1708" w:type="dxa"/>
            <w:vAlign w:val="bottom"/>
          </w:tcPr>
          <w:p w14:paraId="0061A7A1" w14:textId="47B0201A" w:rsidR="004B27D4" w:rsidRPr="004B27D4" w:rsidRDefault="004B27D4" w:rsidP="004B27D4">
            <w:pPr>
              <w:rPr>
                <w:rFonts w:cs="Arial"/>
              </w:rPr>
            </w:pPr>
            <w:r w:rsidRPr="004B27D4">
              <w:rPr>
                <w:rFonts w:cs="Arial"/>
              </w:rPr>
              <w:t xml:space="preserve">300 </w:t>
            </w:r>
            <w:r w:rsidRPr="004B27D4">
              <w:rPr>
                <w:rFonts w:cs="Arial"/>
                <w:lang w:val="en-US"/>
              </w:rPr>
              <w:t>mg</w:t>
            </w:r>
            <w:r w:rsidRPr="004B27D4">
              <w:rPr>
                <w:rFonts w:cs="Arial"/>
              </w:rPr>
              <w:t>/ден</w:t>
            </w:r>
          </w:p>
        </w:tc>
      </w:tr>
      <w:tr w:rsidR="004B27D4" w14:paraId="30C4761B" w14:textId="77777777" w:rsidTr="004B27D4">
        <w:tc>
          <w:tcPr>
            <w:tcW w:w="2451" w:type="dxa"/>
            <w:vMerge/>
            <w:vAlign w:val="bottom"/>
          </w:tcPr>
          <w:p w14:paraId="6C126474" w14:textId="2CCE1406" w:rsidR="004B27D4" w:rsidRPr="004B27D4" w:rsidRDefault="004B27D4" w:rsidP="004B27D4">
            <w:pPr>
              <w:rPr>
                <w:rFonts w:cs="Arial"/>
              </w:rPr>
            </w:pPr>
          </w:p>
        </w:tc>
        <w:tc>
          <w:tcPr>
            <w:tcW w:w="1890" w:type="dxa"/>
          </w:tcPr>
          <w:p w14:paraId="18A4B1DA" w14:textId="1C4B1263" w:rsidR="004B27D4" w:rsidRPr="004B27D4" w:rsidRDefault="004B27D4" w:rsidP="004B27D4">
            <w:pPr>
              <w:rPr>
                <w:rFonts w:cs="Arial"/>
              </w:rPr>
            </w:pPr>
            <w:r w:rsidRPr="004B27D4">
              <w:rPr>
                <w:rFonts w:cs="Arial"/>
              </w:rPr>
              <w:t xml:space="preserve">100 </w:t>
            </w:r>
            <w:r w:rsidRPr="004B27D4">
              <w:rPr>
                <w:rFonts w:cs="Arial"/>
                <w:lang w:val="en-US"/>
              </w:rPr>
              <w:t>mg</w:t>
            </w:r>
            <w:r w:rsidRPr="004B27D4">
              <w:rPr>
                <w:rFonts w:cs="Arial"/>
              </w:rPr>
              <w:t>/ден</w:t>
            </w:r>
          </w:p>
        </w:tc>
        <w:tc>
          <w:tcPr>
            <w:tcW w:w="1807" w:type="dxa"/>
          </w:tcPr>
          <w:p w14:paraId="0147A77B" w14:textId="070D1159" w:rsidR="004B27D4" w:rsidRPr="004B27D4" w:rsidRDefault="004B27D4" w:rsidP="004B27D4">
            <w:pPr>
              <w:rPr>
                <w:rFonts w:cs="Arial"/>
              </w:rPr>
            </w:pPr>
            <w:r w:rsidRPr="004B27D4">
              <w:rPr>
                <w:rFonts w:cs="Arial"/>
              </w:rPr>
              <w:t xml:space="preserve">100 </w:t>
            </w:r>
            <w:r w:rsidRPr="004B27D4">
              <w:rPr>
                <w:rFonts w:cs="Arial"/>
                <w:lang w:val="en-US"/>
              </w:rPr>
              <w:t>mg</w:t>
            </w:r>
            <w:r w:rsidRPr="004B27D4">
              <w:rPr>
                <w:rFonts w:cs="Arial"/>
              </w:rPr>
              <w:t>/ден</w:t>
            </w:r>
          </w:p>
        </w:tc>
        <w:tc>
          <w:tcPr>
            <w:tcW w:w="1720" w:type="dxa"/>
          </w:tcPr>
          <w:p w14:paraId="34F0BE66" w14:textId="1B5F2B59" w:rsidR="004B27D4" w:rsidRPr="004B27D4" w:rsidRDefault="004B27D4" w:rsidP="004B27D4">
            <w:pPr>
              <w:rPr>
                <w:rFonts w:cs="Arial"/>
              </w:rPr>
            </w:pPr>
            <w:r w:rsidRPr="004B27D4">
              <w:rPr>
                <w:rFonts w:cs="Arial"/>
              </w:rPr>
              <w:t xml:space="preserve">150 </w:t>
            </w:r>
            <w:r w:rsidRPr="004B27D4">
              <w:rPr>
                <w:rFonts w:cs="Arial"/>
                <w:lang w:val="en-US"/>
              </w:rPr>
              <w:t>mg</w:t>
            </w:r>
            <w:r w:rsidRPr="004B27D4">
              <w:rPr>
                <w:rFonts w:cs="Arial"/>
              </w:rPr>
              <w:t>/ден</w:t>
            </w:r>
          </w:p>
        </w:tc>
        <w:tc>
          <w:tcPr>
            <w:tcW w:w="1708" w:type="dxa"/>
          </w:tcPr>
          <w:p w14:paraId="12C5290C" w14:textId="2D0EA8A9" w:rsidR="004B27D4" w:rsidRPr="004B27D4" w:rsidRDefault="004B27D4" w:rsidP="004B27D4">
            <w:pPr>
              <w:rPr>
                <w:rFonts w:cs="Arial"/>
              </w:rPr>
            </w:pPr>
            <w:r w:rsidRPr="004B27D4">
              <w:rPr>
                <w:rFonts w:cs="Arial"/>
              </w:rPr>
              <w:t xml:space="preserve">200 </w:t>
            </w:r>
            <w:r w:rsidRPr="004B27D4">
              <w:rPr>
                <w:rFonts w:cs="Arial"/>
                <w:lang w:val="en-US"/>
              </w:rPr>
              <w:t>mg</w:t>
            </w:r>
            <w:r w:rsidRPr="004B27D4">
              <w:rPr>
                <w:rFonts w:cs="Arial"/>
              </w:rPr>
              <w:t>/ден</w:t>
            </w:r>
          </w:p>
        </w:tc>
      </w:tr>
      <w:tr w:rsidR="004B27D4" w14:paraId="7FF1ECD9" w14:textId="77777777" w:rsidTr="004B27D4">
        <w:tc>
          <w:tcPr>
            <w:tcW w:w="9576" w:type="dxa"/>
            <w:gridSpan w:val="5"/>
          </w:tcPr>
          <w:p w14:paraId="03E4EA01" w14:textId="6CC461D3" w:rsidR="004B27D4" w:rsidRPr="004B27D4" w:rsidRDefault="004B27D4" w:rsidP="004B27D4">
            <w:pPr>
              <w:rPr>
                <w:rFonts w:cs="Arial"/>
              </w:rPr>
            </w:pPr>
            <w:r w:rsidRPr="004B27D4">
              <w:rPr>
                <w:rFonts w:eastAsia="Times New Roman" w:cs="Arial"/>
                <w:b/>
                <w:bCs/>
                <w:color w:val="000000"/>
                <w:lang w:eastAsia="bg-BG"/>
              </w:rPr>
              <w:t xml:space="preserve">Добавяне на лекарствени продукти, които НЕ инхибират или НЕ индуцират значително глюкуронирането на ламотрижин </w:t>
            </w:r>
            <w:r w:rsidRPr="004B27D4">
              <w:rPr>
                <w:rFonts w:eastAsia="Times New Roman" w:cs="Arial"/>
                <w:color w:val="000000"/>
                <w:lang w:eastAsia="bg-BG"/>
              </w:rPr>
              <w:t>(вж. точка 4.5):</w:t>
            </w:r>
          </w:p>
        </w:tc>
      </w:tr>
      <w:tr w:rsidR="004B27D4" w14:paraId="72D0B564" w14:textId="77777777" w:rsidTr="004B27D4">
        <w:trPr>
          <w:trHeight w:val="2708"/>
        </w:trPr>
        <w:tc>
          <w:tcPr>
            <w:tcW w:w="2451" w:type="dxa"/>
            <w:vAlign w:val="bottom"/>
          </w:tcPr>
          <w:p w14:paraId="79D94D0F" w14:textId="77777777" w:rsidR="004B27D4" w:rsidRPr="004B27D4" w:rsidRDefault="004B27D4" w:rsidP="004B27D4">
            <w:pPr>
              <w:rPr>
                <w:rFonts w:cs="Arial"/>
              </w:rPr>
            </w:pPr>
            <w:r w:rsidRPr="004B27D4">
              <w:rPr>
                <w:rFonts w:cs="Arial"/>
              </w:rPr>
              <w:t>Тази схема на дозиране</w:t>
            </w:r>
          </w:p>
          <w:p w14:paraId="7F183269" w14:textId="112E2D88" w:rsidR="004B27D4" w:rsidRPr="004B27D4" w:rsidRDefault="004B27D4" w:rsidP="004B27D4">
            <w:pPr>
              <w:rPr>
                <w:rFonts w:cs="Arial"/>
                <w:lang w:val="ru-RU"/>
              </w:rPr>
            </w:pPr>
            <w:r w:rsidRPr="004B27D4">
              <w:rPr>
                <w:rFonts w:cs="Arial"/>
              </w:rPr>
              <w:t>трябва да се използва при добавяне на други лекарствени продукти, които не инхибират или не индуцират значително</w:t>
            </w:r>
            <w:r w:rsidRPr="004B27D4">
              <w:rPr>
                <w:rFonts w:cs="Arial"/>
                <w:lang w:val="ru-RU"/>
              </w:rPr>
              <w:t xml:space="preserve"> </w:t>
            </w:r>
            <w:r w:rsidRPr="004B27D4">
              <w:rPr>
                <w:rFonts w:cs="Arial"/>
              </w:rPr>
              <w:t>глюкуронирането на ламотрижин</w:t>
            </w:r>
          </w:p>
        </w:tc>
        <w:tc>
          <w:tcPr>
            <w:tcW w:w="7125" w:type="dxa"/>
            <w:gridSpan w:val="4"/>
            <w:vAlign w:val="bottom"/>
          </w:tcPr>
          <w:p w14:paraId="6AFB561A" w14:textId="77777777" w:rsidR="004B27D4" w:rsidRPr="004B27D4" w:rsidRDefault="004B27D4" w:rsidP="004B27D4">
            <w:pPr>
              <w:rPr>
                <w:rFonts w:cs="Arial"/>
              </w:rPr>
            </w:pPr>
          </w:p>
          <w:p w14:paraId="342AA403" w14:textId="25B9FBBD" w:rsidR="004B27D4" w:rsidRPr="004B27D4" w:rsidRDefault="004B27D4" w:rsidP="004B27D4">
            <w:pPr>
              <w:rPr>
                <w:rFonts w:cs="Arial"/>
              </w:rPr>
            </w:pPr>
            <w:r w:rsidRPr="004B27D4">
              <w:rPr>
                <w:rFonts w:cs="Arial"/>
              </w:rPr>
              <w:t>Да се поддържа таргетната доза, достигната при повишаването</w:t>
            </w:r>
          </w:p>
          <w:p w14:paraId="39364A64" w14:textId="202AD1A9" w:rsidR="004B27D4" w:rsidRPr="004B27D4" w:rsidRDefault="004B27D4" w:rsidP="004B27D4">
            <w:pPr>
              <w:rPr>
                <w:rFonts w:cs="Arial"/>
              </w:rPr>
            </w:pPr>
            <w:r w:rsidRPr="004B27D4">
              <w:rPr>
                <w:rFonts w:cs="Arial"/>
              </w:rPr>
              <w:t xml:space="preserve">на дозата (200 </w:t>
            </w:r>
            <w:r w:rsidRPr="004B27D4">
              <w:rPr>
                <w:rFonts w:cs="Arial"/>
                <w:lang w:val="en-US"/>
              </w:rPr>
              <w:t>mg</w:t>
            </w:r>
            <w:r w:rsidRPr="004B27D4">
              <w:rPr>
                <w:rFonts w:cs="Arial"/>
              </w:rPr>
              <w:t xml:space="preserve">/ден; дозов диапазон 100-400 </w:t>
            </w:r>
            <w:r w:rsidRPr="004B27D4">
              <w:rPr>
                <w:rFonts w:cs="Arial"/>
                <w:lang w:val="en-US"/>
              </w:rPr>
              <w:t>mg</w:t>
            </w:r>
            <w:r w:rsidRPr="004B27D4">
              <w:rPr>
                <w:rFonts w:cs="Arial"/>
              </w:rPr>
              <w:t>/ден)</w:t>
            </w:r>
          </w:p>
        </w:tc>
      </w:tr>
      <w:tr w:rsidR="004B27D4" w14:paraId="127DC2C0" w14:textId="77777777" w:rsidTr="004B27D4">
        <w:tc>
          <w:tcPr>
            <w:tcW w:w="9576" w:type="dxa"/>
            <w:gridSpan w:val="5"/>
          </w:tcPr>
          <w:p w14:paraId="3504C170" w14:textId="65281EE7" w:rsidR="004B27D4" w:rsidRPr="004B27D4" w:rsidRDefault="004B27D4" w:rsidP="004B27D4">
            <w:pPr>
              <w:rPr>
                <w:rFonts w:cs="Arial"/>
              </w:rPr>
            </w:pPr>
            <w:r w:rsidRPr="004B27D4">
              <w:rPr>
                <w:rFonts w:eastAsia="Times New Roman" w:cs="Arial"/>
                <w:color w:val="000000"/>
                <w:lang w:eastAsia="bg-BG"/>
              </w:rPr>
              <w:t>При пациенти, приемащи лекарствени продукти, за които не са известни фармакокинетични взаимодействия с ламотрижин (вж. точка 4.5), трябва да се използва схема на лечение като препоръчаната за ламотрижин с едновременен прием на валпроат.</w:t>
            </w:r>
          </w:p>
        </w:tc>
      </w:tr>
    </w:tbl>
    <w:p w14:paraId="42B0E310" w14:textId="77777777" w:rsidR="004B27D4" w:rsidRDefault="004B27D4" w:rsidP="004B27D4">
      <w:pPr>
        <w:spacing w:line="240" w:lineRule="auto"/>
        <w:rPr>
          <w:rFonts w:ascii="Times New Roman" w:eastAsia="Times New Roman" w:hAnsi="Times New Roman" w:cs="Times New Roman"/>
          <w:i/>
          <w:iCs/>
          <w:color w:val="000000"/>
          <w:u w:val="single"/>
          <w:lang w:eastAsia="bg-BG"/>
        </w:rPr>
      </w:pPr>
    </w:p>
    <w:p w14:paraId="79C949AA" w14:textId="36D5C9F1"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Спиране на лечението с ламотрижин при пациенти с биполярно разстройство</w:t>
      </w:r>
    </w:p>
    <w:p w14:paraId="3A1BF658"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По време на клиничните изпитвания не е наблюдавано увеличение на честотата, тежестта или вида на нежеланите реакции след внезапно спиране на ламотрижин спрямо плацебо. Следователно пациентите могат да прекъснат лечението с ламотрижин без постепенно намаляване на дозата.</w:t>
      </w:r>
    </w:p>
    <w:p w14:paraId="06C4BC59" w14:textId="77777777" w:rsidR="004B27D4" w:rsidRPr="004B27D4" w:rsidRDefault="004B27D4" w:rsidP="004B27D4">
      <w:pPr>
        <w:spacing w:line="240" w:lineRule="auto"/>
        <w:rPr>
          <w:rFonts w:eastAsia="Times New Roman" w:cs="Arial"/>
          <w:i/>
          <w:iCs/>
          <w:color w:val="000000"/>
          <w:u w:val="single"/>
          <w:lang w:eastAsia="bg-BG"/>
        </w:rPr>
      </w:pPr>
    </w:p>
    <w:p w14:paraId="5DC663E9" w14:textId="1703C5B7"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Деца и юноши под 18 години</w:t>
      </w:r>
    </w:p>
    <w:p w14:paraId="26823D9F" w14:textId="77777777" w:rsidR="004B27D4" w:rsidRPr="004B27D4" w:rsidRDefault="004B27D4" w:rsidP="004B27D4">
      <w:pPr>
        <w:spacing w:line="240" w:lineRule="auto"/>
        <w:rPr>
          <w:rFonts w:eastAsia="Times New Roman" w:cs="Arial"/>
          <w:color w:val="000000"/>
          <w:lang w:eastAsia="bg-BG"/>
        </w:rPr>
      </w:pPr>
      <w:r w:rsidRPr="004B27D4">
        <w:rPr>
          <w:rFonts w:eastAsia="Times New Roman" w:cs="Arial"/>
          <w:color w:val="000000"/>
          <w:lang w:eastAsia="bg-BG"/>
        </w:rPr>
        <w:t xml:space="preserve">Епитрижин не е показан за приложение при деца под 18 години, тъй като рандомизирано, с преустановяване на приема проучване, не показва значима ефикасност и показва повишено </w:t>
      </w:r>
    </w:p>
    <w:p w14:paraId="1EF3C899" w14:textId="447A6505"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съобщаване на суицидност (вж. точка 4.4 и 5.1).</w:t>
      </w:r>
    </w:p>
    <w:p w14:paraId="4ABB39CE" w14:textId="77777777" w:rsidR="004B27D4" w:rsidRPr="004B27D4" w:rsidRDefault="004B27D4" w:rsidP="004B27D4">
      <w:pPr>
        <w:spacing w:line="240" w:lineRule="auto"/>
        <w:rPr>
          <w:rFonts w:eastAsia="Times New Roman" w:cs="Arial"/>
          <w:color w:val="000000"/>
          <w:u w:val="single"/>
          <w:lang w:eastAsia="bg-BG"/>
        </w:rPr>
      </w:pPr>
    </w:p>
    <w:p w14:paraId="09635F17" w14:textId="6D82B734" w:rsidR="004B27D4" w:rsidRPr="004B27D4" w:rsidRDefault="004B27D4" w:rsidP="004B27D4">
      <w:pPr>
        <w:spacing w:line="240" w:lineRule="auto"/>
        <w:rPr>
          <w:rFonts w:eastAsia="Times New Roman" w:cs="Arial"/>
          <w:sz w:val="24"/>
          <w:szCs w:val="24"/>
        </w:rPr>
      </w:pPr>
      <w:r w:rsidRPr="004B27D4">
        <w:rPr>
          <w:rFonts w:eastAsia="Times New Roman" w:cs="Arial"/>
          <w:color w:val="000000"/>
          <w:u w:val="single"/>
          <w:lang w:eastAsia="bg-BG"/>
        </w:rPr>
        <w:lastRenderedPageBreak/>
        <w:t>Общи препоръки за дозиране на ламотрижин при специални групи пациенти</w:t>
      </w:r>
    </w:p>
    <w:p w14:paraId="646D5785" w14:textId="77777777" w:rsidR="004B27D4" w:rsidRPr="004B27D4" w:rsidRDefault="004B27D4" w:rsidP="004B27D4">
      <w:pPr>
        <w:spacing w:line="240" w:lineRule="auto"/>
        <w:rPr>
          <w:rFonts w:eastAsia="Times New Roman" w:cs="Arial"/>
          <w:i/>
          <w:iCs/>
          <w:color w:val="000000"/>
          <w:lang w:eastAsia="bg-BG"/>
        </w:rPr>
      </w:pPr>
    </w:p>
    <w:p w14:paraId="4443B019" w14:textId="0BA56DAE"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t>Жени, приемащи хормонални контрацептиви</w:t>
      </w:r>
    </w:p>
    <w:p w14:paraId="73C79881"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Приемът на комбинацията етинилестрадиол/левоноргестрел (30 μ</w:t>
      </w:r>
      <w:r w:rsidRPr="004B27D4">
        <w:rPr>
          <w:rFonts w:eastAsia="Times New Roman" w:cs="Arial"/>
          <w:color w:val="000000"/>
          <w:lang w:val="en-US"/>
        </w:rPr>
        <w:t>g</w:t>
      </w:r>
      <w:r w:rsidRPr="004B27D4">
        <w:rPr>
          <w:rFonts w:eastAsia="Times New Roman" w:cs="Arial"/>
          <w:color w:val="000000"/>
          <w:lang w:val="ru-RU"/>
        </w:rPr>
        <w:t>/</w:t>
      </w:r>
      <w:r w:rsidRPr="004B27D4">
        <w:rPr>
          <w:rFonts w:eastAsia="Times New Roman" w:cs="Arial"/>
          <w:color w:val="000000"/>
          <w:lang w:eastAsia="bg-BG"/>
        </w:rPr>
        <w:t>150 μ</w:t>
      </w:r>
      <w:r w:rsidRPr="004B27D4">
        <w:rPr>
          <w:rFonts w:eastAsia="Times New Roman" w:cs="Arial"/>
          <w:color w:val="000000"/>
          <w:lang w:val="en-US"/>
        </w:rPr>
        <w:t>g</w:t>
      </w:r>
      <w:r w:rsidRPr="004B27D4">
        <w:rPr>
          <w:rFonts w:eastAsia="Times New Roman" w:cs="Arial"/>
          <w:color w:val="000000"/>
          <w:lang w:val="ru-RU"/>
        </w:rPr>
        <w:t xml:space="preserve">) </w:t>
      </w:r>
      <w:r w:rsidRPr="004B27D4">
        <w:rPr>
          <w:rFonts w:eastAsia="Times New Roman" w:cs="Arial"/>
          <w:color w:val="000000"/>
          <w:lang w:eastAsia="bg-BG"/>
        </w:rPr>
        <w:t>повишава клирънса на ламотрижин приблизително два пъти, което предизвиква понижени стойности на ламотрижин. След титриране могат да са необходими по-високи поддържащи дози на ламотрижин (до двукратно по-високи) за постигане на максимален терапевтичен отговор. През седмицата без прием на контрацептив е наблюдавано двукратно повишаване на стойностите на ламотрижин. Не могат да бъдат изключени дозозависими нежелани реакции. Ето защо трябва да се предпочита приложението на контрацептиви без „седмица без хапче” като лечение от първа линия (например продължителни хормонални контрацептиви или нехормонални методи; вж. точки 4.4 и 4.5).</w:t>
      </w:r>
    </w:p>
    <w:p w14:paraId="4FAE87FA" w14:textId="77777777" w:rsidR="004B27D4" w:rsidRPr="004B27D4" w:rsidRDefault="004B27D4" w:rsidP="004B27D4">
      <w:pPr>
        <w:spacing w:line="240" w:lineRule="auto"/>
        <w:rPr>
          <w:rFonts w:eastAsia="Times New Roman" w:cs="Arial"/>
          <w:i/>
          <w:iCs/>
          <w:color w:val="000000"/>
          <w:lang w:eastAsia="bg-BG"/>
        </w:rPr>
      </w:pPr>
    </w:p>
    <w:p w14:paraId="4B327C82" w14:textId="51C362B5"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t>Започване на прием на хормонални контрацептиви при пациенти, които вече приемат поддържащи дози ламотрижин и НЕ приемат индуктори на глкжуронирането на ламотрижин</w:t>
      </w:r>
    </w:p>
    <w:p w14:paraId="6ADF5394"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 xml:space="preserve">Поддържащата доза на ламотрижин в повечето случаи трябва да бъде увеличена до два пъти (вж. точки 4.4 и 4.5). Препоръчително е от началото на хормоналната терапия дозата на ламотрижин да бъде повишавана с 50 до 100 </w:t>
      </w:r>
      <w:r w:rsidRPr="004B27D4">
        <w:rPr>
          <w:rFonts w:eastAsia="Times New Roman" w:cs="Arial"/>
          <w:color w:val="000000"/>
          <w:lang w:val="en-US"/>
        </w:rPr>
        <w:t>mg</w:t>
      </w:r>
      <w:r w:rsidRPr="004B27D4">
        <w:rPr>
          <w:rFonts w:eastAsia="Times New Roman" w:cs="Arial"/>
          <w:color w:val="000000"/>
          <w:lang w:eastAsia="bg-BG"/>
        </w:rPr>
        <w:t>/ден всяка седмица, съобразно индивидуалния клиничен отговор. Повишаванията на дозата не трябва да надвишават тази степен, освен ако клиничният отговор не подкрепя по-големи повишавания.</w:t>
      </w:r>
    </w:p>
    <w:p w14:paraId="14963221"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Може да се обсъди измерване на серумните концентрации на ламотрижин преди и след началото на приема на хормоналните контрацептиви за потвърждаване, че се поддържа изходната концентрация на ламотрижин. При необходимост дозата може да бъде адаптирана. При жени, приемащи хормонални контрацептиви, които включват една седмица неактивно лечение ("седмица без хапче"), трябва да бъде проследявано серумното ниво на ламотрижин през седмица 3 на активното лечение, т.е. в дните от 15 до 21 от цикъла на приемане на таблетките. Затова внимателно трябва да се обмисли употребата на контрацепция без седмица без хапче като лечение от първа линия (например продължителна хормонална контрацепция или нехормонални методи; вж. точки 4.4 и 4.5).</w:t>
      </w:r>
    </w:p>
    <w:p w14:paraId="1AA38A2B" w14:textId="77777777" w:rsidR="004B27D4" w:rsidRPr="004B27D4" w:rsidRDefault="004B27D4" w:rsidP="004B27D4">
      <w:pPr>
        <w:spacing w:line="240" w:lineRule="auto"/>
        <w:rPr>
          <w:rFonts w:eastAsia="Times New Roman" w:cs="Arial"/>
          <w:i/>
          <w:iCs/>
          <w:color w:val="000000"/>
          <w:lang w:eastAsia="bg-BG"/>
        </w:rPr>
      </w:pPr>
    </w:p>
    <w:p w14:paraId="610DDC0D" w14:textId="75A373EF"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t>Спиране на приема на хормонални контрацептиви при пациенти, които вече приемат поддържащи дози ламотрижин и НЕ приемат индуктори на глкжуронирането на ламотрижин</w:t>
      </w:r>
    </w:p>
    <w:p w14:paraId="7140DBB1" w14:textId="77777777" w:rsidR="004B27D4" w:rsidRPr="004B27D4" w:rsidRDefault="004B27D4" w:rsidP="004B27D4">
      <w:pPr>
        <w:rPr>
          <w:rFonts w:eastAsia="Times New Roman" w:cs="Arial"/>
          <w:sz w:val="24"/>
          <w:szCs w:val="24"/>
        </w:rPr>
      </w:pPr>
      <w:r w:rsidRPr="004B27D4">
        <w:rPr>
          <w:rFonts w:eastAsia="Times New Roman" w:cs="Arial"/>
          <w:color w:val="000000"/>
          <w:lang w:eastAsia="bg-BG"/>
        </w:rPr>
        <w:t xml:space="preserve">В повечето случаи е необходимо поддържащата доза на ламотрижин да бъде намалена с до 50% (вж. точки 4.4 и 4.5). Препоръчва се постепенно намаляване на дневната доза на ламотрижин с 50-100 </w:t>
      </w:r>
      <w:r w:rsidRPr="004B27D4">
        <w:rPr>
          <w:rFonts w:eastAsia="Times New Roman" w:cs="Arial"/>
          <w:color w:val="000000"/>
          <w:lang w:val="en-US"/>
        </w:rPr>
        <w:t>mg</w:t>
      </w:r>
      <w:r w:rsidRPr="004B27D4">
        <w:rPr>
          <w:rFonts w:eastAsia="Times New Roman" w:cs="Arial"/>
          <w:color w:val="000000"/>
          <w:lang w:val="ru-RU"/>
        </w:rPr>
        <w:t xml:space="preserve"> </w:t>
      </w:r>
      <w:r w:rsidRPr="004B27D4">
        <w:rPr>
          <w:rFonts w:eastAsia="Times New Roman" w:cs="Arial"/>
          <w:color w:val="000000"/>
          <w:lang w:eastAsia="bg-BG"/>
        </w:rPr>
        <w:t>всяка седмица (в степен, ненадхвърляща 25% от общата дневна доза за седмица) за период от 3 седмици, освен ако клиничният отговор не налага различно поведение. Може да се обсъди измерване на серумните концентрации на ламотрижин преди и след спиране на</w:t>
      </w:r>
      <w:r w:rsidRPr="004B27D4">
        <w:rPr>
          <w:rFonts w:eastAsia="Times New Roman" w:cs="Arial"/>
          <w:color w:val="000000"/>
          <w:lang w:val="ru-RU" w:eastAsia="bg-BG"/>
        </w:rPr>
        <w:t xml:space="preserve"> </w:t>
      </w:r>
      <w:r w:rsidRPr="004B27D4">
        <w:rPr>
          <w:rFonts w:eastAsia="Times New Roman" w:cs="Arial"/>
          <w:color w:val="000000"/>
          <w:lang w:eastAsia="bg-BG"/>
        </w:rPr>
        <w:t>хормоналните контрацептиви за потвърждаване, че се поддържа изходната концентрация на ламотрижин. При жени, които желаят да спрат приема на хормонален контрацептив, което включва една седмица на неактивно лечение ("седмица без хапче"), проследяването на серумните концентрации на ламотрижин трябва да се провежда през седмица 3 от активното лечение, т.е. от ден 15 до ден 21 от цикъла на приемане на таблетките. През първата седмица след трайното спиране на приема на контрацептива не трябва да бъдат вземани проби за оценка на стойностите на ламотрижин.</w:t>
      </w:r>
    </w:p>
    <w:p w14:paraId="0EE9B580" w14:textId="77777777" w:rsidR="004B27D4" w:rsidRPr="004B27D4" w:rsidRDefault="004B27D4" w:rsidP="004B27D4">
      <w:pPr>
        <w:spacing w:line="240" w:lineRule="auto"/>
        <w:rPr>
          <w:rFonts w:eastAsia="Times New Roman" w:cs="Arial"/>
          <w:i/>
          <w:iCs/>
          <w:color w:val="000000"/>
          <w:lang w:eastAsia="bg-BG"/>
        </w:rPr>
      </w:pPr>
    </w:p>
    <w:p w14:paraId="60391354" w14:textId="7956B84F"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lastRenderedPageBreak/>
        <w:t>Започване на терапия с ламотрижин при пациентки, които вече приемат хормонални контрацептиви</w:t>
      </w:r>
    </w:p>
    <w:p w14:paraId="08A76B70"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Повишаването на дозата трябва да следва нормалните препоръчани дози, описани в таблиците.</w:t>
      </w:r>
    </w:p>
    <w:p w14:paraId="545FC6B4" w14:textId="77777777" w:rsidR="004B27D4" w:rsidRPr="004B27D4" w:rsidRDefault="004B27D4" w:rsidP="004B27D4">
      <w:pPr>
        <w:spacing w:line="240" w:lineRule="auto"/>
        <w:rPr>
          <w:rFonts w:eastAsia="Times New Roman" w:cs="Arial"/>
          <w:i/>
          <w:iCs/>
          <w:color w:val="000000"/>
          <w:lang w:eastAsia="bg-BG"/>
        </w:rPr>
      </w:pPr>
    </w:p>
    <w:p w14:paraId="19D16D13" w14:textId="3D252095"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lang w:eastAsia="bg-BG"/>
        </w:rPr>
        <w:t>Започване и спиране на приема на хормонални контрацептиви при пациентки, които вече приемат поддържащи дози ламотрижин и ПРИЕМАТ индуктори на глюкуронирането на ламотрижин</w:t>
      </w:r>
    </w:p>
    <w:p w14:paraId="12522D06" w14:textId="3E4919D9"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Може да не се наложат корекции на препоръчваната поддържаща доза ламотрижин.</w:t>
      </w:r>
    </w:p>
    <w:p w14:paraId="39F13BDE" w14:textId="77777777" w:rsidR="004B27D4" w:rsidRPr="004B27D4" w:rsidRDefault="004B27D4" w:rsidP="004B27D4">
      <w:pPr>
        <w:spacing w:line="240" w:lineRule="auto"/>
        <w:rPr>
          <w:rFonts w:eastAsia="Times New Roman" w:cs="Arial"/>
          <w:i/>
          <w:iCs/>
          <w:color w:val="000000"/>
          <w:u w:val="single"/>
          <w:lang w:eastAsia="bg-BG"/>
        </w:rPr>
      </w:pPr>
    </w:p>
    <w:p w14:paraId="7595FEB7" w14:textId="1571630A"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Пациенти в старческа възраст (над 65 години)</w:t>
      </w:r>
    </w:p>
    <w:p w14:paraId="1659B3E2"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Не са необходими корекции в препоръчителните схеми на лечение, Фармакокинетиката на ламотрижин при тази възрастова група не се различава значително от тази при пациентите в по- млада възраст (вж. точка 5.2).</w:t>
      </w:r>
    </w:p>
    <w:p w14:paraId="6E5950F1" w14:textId="77777777" w:rsidR="004B27D4" w:rsidRPr="004B27D4" w:rsidRDefault="004B27D4" w:rsidP="004B27D4">
      <w:pPr>
        <w:spacing w:line="240" w:lineRule="auto"/>
        <w:rPr>
          <w:rFonts w:eastAsia="Times New Roman" w:cs="Arial"/>
          <w:i/>
          <w:iCs/>
          <w:color w:val="000000"/>
          <w:u w:val="single"/>
          <w:lang w:eastAsia="bg-BG"/>
        </w:rPr>
      </w:pPr>
    </w:p>
    <w:p w14:paraId="0A56B341" w14:textId="76928731"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Бъбречно увреждане</w:t>
      </w:r>
    </w:p>
    <w:p w14:paraId="3B278966"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Епитрижин трябва да се прилага внимателно при пациенти с бъбречна недостатъчност. При пациенти в краен стадий на бъбречна недостатъчност началните дози ламотрижин трябва да са според съпътстващия прием на лекарствени продукти от пациента. При пациентите със значително бъбречно увреждане може да са ефикасни намалени поддържащи дози (виж точки 4.4 и 5.2).</w:t>
      </w:r>
    </w:p>
    <w:p w14:paraId="0A9615D4" w14:textId="77777777" w:rsidR="004B27D4" w:rsidRPr="004B27D4" w:rsidRDefault="004B27D4" w:rsidP="004B27D4">
      <w:pPr>
        <w:spacing w:line="240" w:lineRule="auto"/>
        <w:rPr>
          <w:rFonts w:eastAsia="Times New Roman" w:cs="Arial"/>
          <w:i/>
          <w:iCs/>
          <w:color w:val="000000"/>
          <w:u w:val="single"/>
          <w:lang w:eastAsia="bg-BG"/>
        </w:rPr>
      </w:pPr>
    </w:p>
    <w:p w14:paraId="76CEDE26" w14:textId="73832E5A"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Чернодробно увреждане</w:t>
      </w:r>
    </w:p>
    <w:p w14:paraId="792D5EAC"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 xml:space="preserve">Началната, поддържащата и дозата при повишаване трябва да се редуцират приблизително с 50 % при пациенти със средно тежко </w:t>
      </w:r>
      <w:r w:rsidRPr="004B27D4">
        <w:rPr>
          <w:rFonts w:eastAsia="Times New Roman" w:cs="Arial"/>
          <w:color w:val="000000"/>
          <w:lang w:val="ru-RU"/>
        </w:rPr>
        <w:t>(</w:t>
      </w:r>
      <w:r w:rsidRPr="004B27D4">
        <w:rPr>
          <w:rFonts w:eastAsia="Times New Roman" w:cs="Arial"/>
          <w:color w:val="000000"/>
          <w:lang w:val="en-US"/>
        </w:rPr>
        <w:t>Child</w:t>
      </w:r>
      <w:r w:rsidRPr="004B27D4">
        <w:rPr>
          <w:rFonts w:eastAsia="Times New Roman" w:cs="Arial"/>
          <w:color w:val="000000"/>
          <w:lang w:val="ru-RU"/>
        </w:rPr>
        <w:t>-</w:t>
      </w:r>
      <w:r w:rsidRPr="004B27D4">
        <w:rPr>
          <w:rFonts w:eastAsia="Times New Roman" w:cs="Arial"/>
          <w:color w:val="000000"/>
          <w:lang w:val="en-US"/>
        </w:rPr>
        <w:t>Pugh</w:t>
      </w:r>
      <w:r w:rsidRPr="004B27D4">
        <w:rPr>
          <w:rFonts w:eastAsia="Times New Roman" w:cs="Arial"/>
          <w:color w:val="000000"/>
          <w:lang w:val="ru-RU"/>
        </w:rPr>
        <w:t xml:space="preserve"> </w:t>
      </w:r>
      <w:r w:rsidRPr="004B27D4">
        <w:rPr>
          <w:rFonts w:eastAsia="Times New Roman" w:cs="Arial"/>
          <w:color w:val="000000"/>
          <w:lang w:eastAsia="bg-BG"/>
        </w:rPr>
        <w:t xml:space="preserve">степен В) чернодробно увреждане и със 75 % при тежко </w:t>
      </w:r>
      <w:r w:rsidRPr="004B27D4">
        <w:rPr>
          <w:rFonts w:eastAsia="Times New Roman" w:cs="Arial"/>
          <w:color w:val="000000"/>
          <w:lang w:val="ru-RU"/>
        </w:rPr>
        <w:t>(</w:t>
      </w:r>
      <w:r w:rsidRPr="004B27D4">
        <w:rPr>
          <w:rFonts w:eastAsia="Times New Roman" w:cs="Arial"/>
          <w:color w:val="000000"/>
          <w:lang w:val="en-US"/>
        </w:rPr>
        <w:t>Child</w:t>
      </w:r>
      <w:r w:rsidRPr="004B27D4">
        <w:rPr>
          <w:rFonts w:eastAsia="Times New Roman" w:cs="Arial"/>
          <w:color w:val="000000"/>
          <w:lang w:val="ru-RU"/>
        </w:rPr>
        <w:t>-</w:t>
      </w:r>
      <w:r w:rsidRPr="004B27D4">
        <w:rPr>
          <w:rFonts w:eastAsia="Times New Roman" w:cs="Arial"/>
          <w:color w:val="000000"/>
          <w:lang w:val="en-US"/>
        </w:rPr>
        <w:t>Pugh</w:t>
      </w:r>
      <w:r w:rsidRPr="004B27D4">
        <w:rPr>
          <w:rFonts w:eastAsia="Times New Roman" w:cs="Arial"/>
          <w:color w:val="000000"/>
          <w:lang w:val="ru-RU"/>
        </w:rPr>
        <w:t xml:space="preserve"> </w:t>
      </w:r>
      <w:r w:rsidRPr="004B27D4">
        <w:rPr>
          <w:rFonts w:eastAsia="Times New Roman" w:cs="Arial"/>
          <w:color w:val="000000"/>
          <w:lang w:eastAsia="bg-BG"/>
        </w:rPr>
        <w:t>степен С) чернодробно увреждане. Дозата при повишаване и поддържащата доза трябва да се определят в зависимост от клиничния отговор (вж. точка 5.2).</w:t>
      </w:r>
    </w:p>
    <w:p w14:paraId="5E3AB3C0" w14:textId="77777777" w:rsidR="004B27D4" w:rsidRPr="004B27D4" w:rsidRDefault="004B27D4" w:rsidP="004B27D4">
      <w:pPr>
        <w:spacing w:line="240" w:lineRule="auto"/>
        <w:rPr>
          <w:rFonts w:eastAsia="Times New Roman" w:cs="Arial"/>
          <w:i/>
          <w:iCs/>
          <w:color w:val="000000"/>
          <w:u w:val="single"/>
          <w:lang w:eastAsia="bg-BG"/>
        </w:rPr>
      </w:pPr>
    </w:p>
    <w:p w14:paraId="5C95EAE3" w14:textId="3AD0257B"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Употреба с атазанавир/ритонавир</w:t>
      </w:r>
    </w:p>
    <w:p w14:paraId="7E60F0C9"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Не се налага корекция в начина на повишаване на дозата на ламотрижин, когато той се добавя към вече провеждаща се терапия с атазанавир/ритонавир.</w:t>
      </w:r>
    </w:p>
    <w:p w14:paraId="0AB44B82" w14:textId="77777777" w:rsidR="004B27D4" w:rsidRPr="004B27D4" w:rsidRDefault="004B27D4" w:rsidP="004B27D4">
      <w:pPr>
        <w:spacing w:line="240" w:lineRule="auto"/>
        <w:rPr>
          <w:rFonts w:eastAsia="Times New Roman" w:cs="Arial"/>
          <w:color w:val="000000"/>
          <w:lang w:eastAsia="bg-BG"/>
        </w:rPr>
      </w:pPr>
    </w:p>
    <w:p w14:paraId="6802458E" w14:textId="0D0EC550"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При пациенти, които вече приемат поддържащи дози ламотрижин и не приемат глюкуронидазни индуктори; може да се наложи покачване на дозата на ламотрижин, ако се добави атазанавир/ритонавир или понижаване на дозата, ако лечението с атазанавир/ритонавир се преустанови. Необходимо е да се проследяват плазмените концентрации на ламотрижин преди и 2 седмици след започване или прекратяване на лечението с атазанавир/ритонавир, с оглед преценка от необходимостта за коригиране дозата на ламотрижин (вж. точка 4.5).</w:t>
      </w:r>
    </w:p>
    <w:p w14:paraId="3449E7AF" w14:textId="77777777" w:rsidR="004B27D4" w:rsidRPr="004B27D4" w:rsidRDefault="004B27D4" w:rsidP="004B27D4">
      <w:pPr>
        <w:spacing w:line="240" w:lineRule="auto"/>
        <w:rPr>
          <w:rFonts w:eastAsia="Times New Roman" w:cs="Arial"/>
          <w:i/>
          <w:iCs/>
          <w:color w:val="000000"/>
          <w:u w:val="single"/>
          <w:lang w:eastAsia="bg-BG"/>
        </w:rPr>
      </w:pPr>
    </w:p>
    <w:p w14:paraId="3A334036" w14:textId="41C16B9B" w:rsidR="004B27D4" w:rsidRPr="004B27D4" w:rsidRDefault="004B27D4" w:rsidP="004B27D4">
      <w:pPr>
        <w:spacing w:line="240" w:lineRule="auto"/>
        <w:rPr>
          <w:rFonts w:eastAsia="Times New Roman" w:cs="Arial"/>
          <w:sz w:val="24"/>
          <w:szCs w:val="24"/>
        </w:rPr>
      </w:pPr>
      <w:r w:rsidRPr="004B27D4">
        <w:rPr>
          <w:rFonts w:eastAsia="Times New Roman" w:cs="Arial"/>
          <w:i/>
          <w:iCs/>
          <w:color w:val="000000"/>
          <w:u w:val="single"/>
          <w:lang w:eastAsia="bg-BG"/>
        </w:rPr>
        <w:t>Употреба едновременно с лопинавир/ритонавир</w:t>
      </w:r>
    </w:p>
    <w:p w14:paraId="5B333979" w14:textId="77777777"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Не се налага корекция в начина на покачване на дозата на ламотрижин, когато той се добавя към вече провеждаща се терапия с лопинавир/ритонавир.</w:t>
      </w:r>
    </w:p>
    <w:p w14:paraId="3BAC3A70" w14:textId="77777777" w:rsidR="004B27D4" w:rsidRPr="004B27D4" w:rsidRDefault="004B27D4" w:rsidP="004B27D4">
      <w:pPr>
        <w:spacing w:line="240" w:lineRule="auto"/>
        <w:rPr>
          <w:rFonts w:eastAsia="Times New Roman" w:cs="Arial"/>
          <w:color w:val="000000"/>
          <w:lang w:eastAsia="bg-BG"/>
        </w:rPr>
      </w:pPr>
    </w:p>
    <w:p w14:paraId="5730B956" w14:textId="1249FE44"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При пациенти, които вече приемат поддържащи дози ламотрижин и не приемат глюкуронидазни индуктори, може да се наложи повишаване на дозата на ламотрижин, ако се</w:t>
      </w:r>
    </w:p>
    <w:p w14:paraId="6BBFC42C" w14:textId="594ABC51" w:rsidR="004B27D4" w:rsidRPr="004B27D4" w:rsidRDefault="004B27D4" w:rsidP="004B27D4">
      <w:pPr>
        <w:spacing w:line="240" w:lineRule="auto"/>
        <w:rPr>
          <w:rFonts w:eastAsia="Times New Roman" w:cs="Arial"/>
          <w:i/>
          <w:iCs/>
          <w:color w:val="000000"/>
          <w:lang w:eastAsia="bg-BG"/>
        </w:rPr>
      </w:pPr>
      <w:r w:rsidRPr="004B27D4">
        <w:rPr>
          <w:rFonts w:eastAsia="Times New Roman" w:cs="Arial"/>
          <w:color w:val="000000"/>
          <w:lang w:eastAsia="bg-BG"/>
        </w:rPr>
        <w:t xml:space="preserve">добави лопинавир/ритонавир или понижаване на дозата, ако лечението с лопинавир/ритонавир се преустанови. Необходимо е да се проследяват плазмените концентрации на ламотрижин преди и 2 седмици след започване или прекратяване на </w:t>
      </w:r>
      <w:r w:rsidRPr="004B27D4">
        <w:rPr>
          <w:rFonts w:eastAsia="Times New Roman" w:cs="Arial"/>
          <w:color w:val="000000"/>
          <w:lang w:eastAsia="bg-BG"/>
        </w:rPr>
        <w:lastRenderedPageBreak/>
        <w:t xml:space="preserve">лечението с лопинавир/ритонавир, с оглед преценка от необходимостта за коригиране дозата на ламотрижин (вж. </w:t>
      </w:r>
      <w:r w:rsidRPr="004B27D4">
        <w:rPr>
          <w:rFonts w:eastAsia="Times New Roman" w:cs="Arial"/>
          <w:i/>
          <w:iCs/>
          <w:color w:val="000000"/>
          <w:lang w:eastAsia="bg-BG"/>
        </w:rPr>
        <w:t>точка 4.5).</w:t>
      </w:r>
    </w:p>
    <w:p w14:paraId="23276344" w14:textId="3917FA80" w:rsidR="004B27D4" w:rsidRPr="004B27D4" w:rsidRDefault="004B27D4" w:rsidP="004B27D4">
      <w:pPr>
        <w:spacing w:line="240" w:lineRule="auto"/>
        <w:rPr>
          <w:rFonts w:eastAsia="Times New Roman" w:cs="Arial"/>
          <w:i/>
          <w:iCs/>
          <w:color w:val="000000"/>
          <w:lang w:eastAsia="bg-BG"/>
        </w:rPr>
      </w:pPr>
    </w:p>
    <w:p w14:paraId="4E1A0F9C" w14:textId="77777777" w:rsidR="004B27D4" w:rsidRPr="004B27D4" w:rsidRDefault="004B27D4" w:rsidP="004B27D4">
      <w:pPr>
        <w:pStyle w:val="Heading3"/>
        <w:rPr>
          <w:rFonts w:eastAsia="Times New Roman"/>
          <w:u w:val="single"/>
          <w:lang w:eastAsia="bg-BG"/>
        </w:rPr>
      </w:pPr>
      <w:r w:rsidRPr="004B27D4">
        <w:rPr>
          <w:rFonts w:eastAsia="Times New Roman"/>
          <w:u w:val="single"/>
          <w:lang w:eastAsia="bg-BG"/>
        </w:rPr>
        <w:t xml:space="preserve">Начин на приложение </w:t>
      </w:r>
    </w:p>
    <w:p w14:paraId="43BDD8C7" w14:textId="653219F1" w:rsidR="004B27D4" w:rsidRPr="004B27D4" w:rsidRDefault="004B27D4" w:rsidP="004B27D4">
      <w:pPr>
        <w:spacing w:line="240" w:lineRule="auto"/>
        <w:rPr>
          <w:rFonts w:eastAsia="Times New Roman" w:cs="Arial"/>
          <w:sz w:val="24"/>
          <w:szCs w:val="24"/>
        </w:rPr>
      </w:pPr>
      <w:r w:rsidRPr="004B27D4">
        <w:rPr>
          <w:rFonts w:eastAsia="Times New Roman" w:cs="Arial"/>
          <w:color w:val="000000"/>
          <w:lang w:eastAsia="bg-BG"/>
        </w:rPr>
        <w:t>Перорално приложение</w:t>
      </w:r>
    </w:p>
    <w:p w14:paraId="67F1CF53" w14:textId="77777777" w:rsidR="004B27D4" w:rsidRPr="004B27D4" w:rsidRDefault="004B27D4" w:rsidP="004B27D4">
      <w:pPr>
        <w:spacing w:line="240" w:lineRule="auto"/>
        <w:rPr>
          <w:rFonts w:ascii="Times New Roman" w:eastAsia="Times New Roman" w:hAnsi="Times New Roman" w:cs="Times New Roman"/>
          <w:sz w:val="24"/>
          <w:szCs w:val="24"/>
          <w:lang w:val="ru-RU"/>
        </w:rPr>
      </w:pPr>
    </w:p>
    <w:p w14:paraId="19621432" w14:textId="77777777" w:rsidR="004B27D4" w:rsidRPr="004B27D4" w:rsidRDefault="004B27D4" w:rsidP="004B27D4">
      <w:pPr>
        <w:rPr>
          <w:rFonts w:cs="Arial"/>
        </w:rPr>
      </w:pPr>
    </w:p>
    <w:p w14:paraId="0F253247" w14:textId="2A9B1246" w:rsidR="007122AD" w:rsidRDefault="002C50EE" w:rsidP="00936AD0">
      <w:pPr>
        <w:pStyle w:val="Heading2"/>
      </w:pPr>
      <w:r>
        <w:t>4.3. Противопоказания</w:t>
      </w:r>
    </w:p>
    <w:p w14:paraId="1A18D535" w14:textId="45B81A8F" w:rsidR="004B27D4" w:rsidRDefault="004B27D4" w:rsidP="004B27D4"/>
    <w:p w14:paraId="42DFC4A7" w14:textId="2255DFFB" w:rsidR="004B27D4" w:rsidRDefault="004B27D4" w:rsidP="004B27D4">
      <w:pPr>
        <w:rPr>
          <w:lang w:eastAsia="bg-BG"/>
        </w:rPr>
      </w:pPr>
      <w:r w:rsidRPr="004B27D4">
        <w:rPr>
          <w:lang w:eastAsia="bg-BG"/>
        </w:rPr>
        <w:t>Свръхчувствителност към активното вещество или към някое от помощните вещества изброени в точка 6.1.</w:t>
      </w:r>
    </w:p>
    <w:p w14:paraId="537E56A8" w14:textId="77777777" w:rsidR="004B27D4" w:rsidRPr="004B27D4" w:rsidRDefault="004B27D4" w:rsidP="004B27D4">
      <w:pPr>
        <w:rPr>
          <w:sz w:val="24"/>
          <w:szCs w:val="24"/>
        </w:rPr>
      </w:pPr>
    </w:p>
    <w:p w14:paraId="0E0BDCC7" w14:textId="30CF46E5" w:rsidR="007122AD" w:rsidRDefault="002C50EE" w:rsidP="00936AD0">
      <w:pPr>
        <w:pStyle w:val="Heading2"/>
      </w:pPr>
      <w:r>
        <w:t>4.4. Специални предупреждения и предпазни мерки при употреба</w:t>
      </w:r>
    </w:p>
    <w:p w14:paraId="1ADF8D32" w14:textId="0D386E04" w:rsidR="004B27D4" w:rsidRDefault="004B27D4" w:rsidP="004B27D4"/>
    <w:p w14:paraId="66C1DCAF" w14:textId="77777777"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Кожен обрив</w:t>
      </w:r>
    </w:p>
    <w:p w14:paraId="363C2314"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Съобщавани са нежелани реакции от страна на кожата, които се проявяват през първите осем седмици от началото на терапията с ламотрижин. Повечето от обривите са леко проявени и показват склонност към самоограничаване, обаче са описвани и тежко проявени обриви, изискващи болнично лечение и прекратяване прилагането на ламотрижин. При употреба на ламотрижин се съобщава за животозастрашаващи кожни реакции (синдрома на </w:t>
      </w:r>
      <w:r w:rsidRPr="004B27D4">
        <w:rPr>
          <w:rFonts w:eastAsia="Times New Roman" w:cs="Arial"/>
          <w:color w:val="000000"/>
          <w:lang w:val="en-US"/>
        </w:rPr>
        <w:t>Stevens</w:t>
      </w:r>
      <w:r w:rsidRPr="004B27D4">
        <w:rPr>
          <w:rFonts w:eastAsia="Times New Roman" w:cs="Arial"/>
          <w:color w:val="000000"/>
          <w:lang w:val="ru-RU"/>
        </w:rPr>
        <w:t>-</w:t>
      </w:r>
      <w:r w:rsidRPr="004B27D4">
        <w:rPr>
          <w:rFonts w:eastAsia="Times New Roman" w:cs="Arial"/>
          <w:color w:val="000000"/>
          <w:lang w:val="en-US"/>
        </w:rPr>
        <w:t>Johnson</w:t>
      </w:r>
      <w:r w:rsidRPr="004B27D4">
        <w:rPr>
          <w:rFonts w:eastAsia="Times New Roman" w:cs="Arial"/>
          <w:color w:val="000000"/>
          <w:lang w:val="ru-RU"/>
        </w:rPr>
        <w:t xml:space="preserve">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 токсична епидермална некролиза </w:t>
      </w:r>
      <w:r w:rsidRPr="004B27D4">
        <w:rPr>
          <w:rFonts w:eastAsia="Times New Roman" w:cs="Arial"/>
          <w:color w:val="000000"/>
          <w:lang w:val="ru-RU"/>
        </w:rPr>
        <w:t>(</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 xml:space="preserve">и лекарствени реакции с еозинофилия и системни симптоми </w:t>
      </w:r>
      <w:r w:rsidRPr="004B27D4">
        <w:rPr>
          <w:rFonts w:eastAsia="Times New Roman" w:cs="Arial"/>
          <w:color w:val="000000"/>
          <w:lang w:val="ru-RU"/>
        </w:rPr>
        <w:t>(</w:t>
      </w:r>
      <w:r w:rsidRPr="004B27D4">
        <w:rPr>
          <w:rFonts w:eastAsia="Times New Roman" w:cs="Arial"/>
          <w:color w:val="000000"/>
          <w:lang w:val="en-US"/>
        </w:rPr>
        <w:t>DRESS</w:t>
      </w:r>
      <w:r w:rsidRPr="004B27D4">
        <w:rPr>
          <w:rFonts w:eastAsia="Times New Roman" w:cs="Arial"/>
          <w:color w:val="000000"/>
          <w:lang w:val="ru-RU"/>
        </w:rPr>
        <w:t xml:space="preserve">); </w:t>
      </w:r>
      <w:r w:rsidRPr="004B27D4">
        <w:rPr>
          <w:rFonts w:eastAsia="Times New Roman" w:cs="Arial"/>
          <w:color w:val="000000"/>
          <w:lang w:eastAsia="bg-BG"/>
        </w:rPr>
        <w:t xml:space="preserve">също известно като синдром на свръхчувствителност </w:t>
      </w:r>
      <w:r w:rsidRPr="004B27D4">
        <w:rPr>
          <w:rFonts w:eastAsia="Times New Roman" w:cs="Arial"/>
          <w:color w:val="000000"/>
          <w:lang w:val="ru-RU"/>
        </w:rPr>
        <w:t>(</w:t>
      </w:r>
      <w:r w:rsidRPr="004B27D4">
        <w:rPr>
          <w:rFonts w:eastAsia="Times New Roman" w:cs="Arial"/>
          <w:color w:val="000000"/>
          <w:lang w:val="en-US"/>
        </w:rPr>
        <w:t>HSS</w:t>
      </w:r>
      <w:r w:rsidRPr="004B27D4">
        <w:rPr>
          <w:rFonts w:eastAsia="Times New Roman" w:cs="Arial"/>
          <w:color w:val="000000"/>
          <w:lang w:val="ru-RU"/>
        </w:rPr>
        <w:t xml:space="preserve">) </w:t>
      </w:r>
      <w:r w:rsidRPr="004B27D4">
        <w:rPr>
          <w:rFonts w:eastAsia="Times New Roman" w:cs="Arial"/>
          <w:color w:val="000000"/>
          <w:lang w:eastAsia="bg-BG"/>
        </w:rPr>
        <w:t>(вж. точка 4.8).</w:t>
      </w:r>
    </w:p>
    <w:p w14:paraId="6C5BD8F9" w14:textId="77777777" w:rsidR="004B27D4" w:rsidRPr="004B27D4" w:rsidRDefault="004B27D4" w:rsidP="004B27D4">
      <w:pPr>
        <w:spacing w:line="240" w:lineRule="auto"/>
        <w:rPr>
          <w:rFonts w:eastAsia="Times New Roman" w:cs="Arial"/>
          <w:color w:val="000000"/>
          <w:lang w:eastAsia="bg-BG"/>
        </w:rPr>
      </w:pPr>
    </w:p>
    <w:p w14:paraId="3C1A999F" w14:textId="1F67CE23"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Пациентите трябва да бъдат предупредени за признаците и симптомите и да се наблюдават внимателно за поява на кожни реакции. Най-висок риск за възникване на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или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 xml:space="preserve">съществува в рамките на първите седмици от лечението. Ако са налице симптоми или признаци на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или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 xml:space="preserve">(например прогресивно кожен обрив, често с мехури или мукозни лезии), терапията с ламотрижин трябва да се преустанови. Най-добрите резултати в овладяването на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се постигат при ранна диагностика и незабавно преустановяване на всички заподозрени лекарства. Ранното прекратяване на терапията се свързва с по-добра прогноза.</w:t>
      </w:r>
    </w:p>
    <w:p w14:paraId="7BDC9000" w14:textId="77777777" w:rsidR="004B27D4" w:rsidRPr="004B27D4" w:rsidRDefault="004B27D4" w:rsidP="004B27D4">
      <w:pPr>
        <w:spacing w:line="240" w:lineRule="auto"/>
        <w:rPr>
          <w:rFonts w:eastAsia="Times New Roman" w:cs="Arial"/>
          <w:color w:val="000000"/>
          <w:lang w:eastAsia="bg-BG"/>
        </w:rPr>
      </w:pPr>
    </w:p>
    <w:p w14:paraId="63843D0E" w14:textId="1A9FB482"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При възрастни пациенти, включени в изпитвания, използващи ламотрижин в препоръчителните дози, честотата на тежките кожни обриви е приблизително 1 случай на 500 пациенти с епилепсия. Приблизително половината от тези случаи са били докладвани като синдром на </w:t>
      </w:r>
      <w:r w:rsidRPr="004B27D4">
        <w:rPr>
          <w:rFonts w:eastAsia="Times New Roman" w:cs="Arial"/>
          <w:color w:val="000000"/>
          <w:lang w:val="en-US"/>
        </w:rPr>
        <w:t>Stevens</w:t>
      </w:r>
      <w:r w:rsidRPr="004B27D4">
        <w:rPr>
          <w:rFonts w:eastAsia="Times New Roman" w:cs="Arial"/>
          <w:color w:val="000000"/>
          <w:lang w:val="ru-RU"/>
        </w:rPr>
        <w:t>-</w:t>
      </w:r>
      <w:r w:rsidRPr="004B27D4">
        <w:rPr>
          <w:rFonts w:eastAsia="Times New Roman" w:cs="Arial"/>
          <w:color w:val="000000"/>
          <w:lang w:val="en-US"/>
        </w:rPr>
        <w:t>Johnson</w:t>
      </w:r>
      <w:r w:rsidRPr="004B27D4">
        <w:rPr>
          <w:rFonts w:eastAsia="Times New Roman" w:cs="Arial"/>
          <w:color w:val="000000"/>
          <w:lang w:val="ru-RU"/>
        </w:rPr>
        <w:t xml:space="preserve"> </w:t>
      </w:r>
      <w:r w:rsidRPr="004B27D4">
        <w:rPr>
          <w:rFonts w:eastAsia="Times New Roman" w:cs="Arial"/>
          <w:color w:val="000000"/>
          <w:lang w:eastAsia="bg-BG"/>
        </w:rPr>
        <w:t>(1:1 000). В клинични изпитвания при пациенти с биполярно тип I разстройство броят на наблюдаваните случаи с тежък обрив е приблизително 1 на 1 000.</w:t>
      </w:r>
    </w:p>
    <w:p w14:paraId="64B7BC49" w14:textId="77777777" w:rsidR="004B27D4" w:rsidRPr="004B27D4" w:rsidRDefault="004B27D4" w:rsidP="004B27D4">
      <w:pPr>
        <w:spacing w:line="240" w:lineRule="auto"/>
        <w:rPr>
          <w:rFonts w:eastAsia="Times New Roman" w:cs="Arial"/>
          <w:color w:val="000000"/>
          <w:lang w:eastAsia="bg-BG"/>
        </w:rPr>
      </w:pPr>
    </w:p>
    <w:p w14:paraId="6327292F" w14:textId="578D59B8" w:rsidR="004B27D4" w:rsidRPr="004B27D4" w:rsidRDefault="004B27D4" w:rsidP="004B27D4">
      <w:pPr>
        <w:spacing w:line="240" w:lineRule="auto"/>
        <w:rPr>
          <w:rFonts w:eastAsia="Times New Roman" w:cs="Arial"/>
        </w:rPr>
      </w:pPr>
      <w:r w:rsidRPr="004B27D4">
        <w:rPr>
          <w:rFonts w:eastAsia="Times New Roman" w:cs="Arial"/>
          <w:color w:val="000000"/>
          <w:lang w:eastAsia="bg-BG"/>
        </w:rPr>
        <w:t>Рискът от развитие на тежки кожни обриви при децата е по-висок от този при възрастни. Данните от изпитванията показват, че честотата на обривите, свързани с хоспитализация при деца с епилепсия е от 1:300 до 1:100.</w:t>
      </w:r>
    </w:p>
    <w:p w14:paraId="7CDD0A25" w14:textId="77777777" w:rsidR="004B27D4" w:rsidRPr="004B27D4" w:rsidRDefault="004B27D4" w:rsidP="004B27D4">
      <w:pPr>
        <w:spacing w:line="240" w:lineRule="auto"/>
        <w:rPr>
          <w:rFonts w:eastAsia="Times New Roman" w:cs="Arial"/>
          <w:color w:val="000000"/>
          <w:lang w:eastAsia="bg-BG"/>
        </w:rPr>
      </w:pPr>
    </w:p>
    <w:p w14:paraId="7063EDE0" w14:textId="77BF318E" w:rsidR="004B27D4" w:rsidRPr="004B27D4" w:rsidRDefault="004B27D4" w:rsidP="004B27D4">
      <w:pPr>
        <w:spacing w:line="240" w:lineRule="auto"/>
        <w:rPr>
          <w:rFonts w:eastAsia="Times New Roman" w:cs="Arial"/>
        </w:rPr>
      </w:pPr>
      <w:r w:rsidRPr="004B27D4">
        <w:rPr>
          <w:rFonts w:eastAsia="Times New Roman" w:cs="Arial"/>
          <w:color w:val="000000"/>
          <w:lang w:eastAsia="bg-BG"/>
        </w:rPr>
        <w:t>Началните прояви на обрив при деца могат да бъдат погрешно диагностицирани като инфекция. През първите осем седмици от лечението при прояви на фебрилитет и обрив при деца трябва да се има предвид възможността от развитие на нежелана реакция, свързана с лечението с ламотрижин.</w:t>
      </w:r>
    </w:p>
    <w:p w14:paraId="74D6C97B" w14:textId="77777777" w:rsidR="004B27D4" w:rsidRPr="004B27D4" w:rsidRDefault="004B27D4" w:rsidP="004B27D4">
      <w:pPr>
        <w:spacing w:line="240" w:lineRule="auto"/>
        <w:rPr>
          <w:rFonts w:eastAsia="Times New Roman" w:cs="Arial"/>
          <w:color w:val="000000"/>
          <w:lang w:eastAsia="bg-BG"/>
        </w:rPr>
      </w:pPr>
    </w:p>
    <w:p w14:paraId="66FC3184" w14:textId="77777777" w:rsidR="004B27D4" w:rsidRPr="004B27D4" w:rsidRDefault="004B27D4" w:rsidP="004B27D4">
      <w:pPr>
        <w:spacing w:line="240" w:lineRule="auto"/>
        <w:rPr>
          <w:rFonts w:eastAsia="Times New Roman" w:cs="Arial"/>
          <w:color w:val="000000"/>
          <w:lang w:eastAsia="bg-BG"/>
        </w:rPr>
      </w:pPr>
      <w:r w:rsidRPr="004B27D4">
        <w:rPr>
          <w:rFonts w:eastAsia="Times New Roman" w:cs="Arial"/>
          <w:color w:val="000000"/>
          <w:lang w:eastAsia="bg-BG"/>
        </w:rPr>
        <w:lastRenderedPageBreak/>
        <w:t xml:space="preserve">В допълнение рискът за развитие на обриви зависи от: </w:t>
      </w:r>
    </w:p>
    <w:p w14:paraId="01DF4F6E" w14:textId="77777777" w:rsidR="004B27D4" w:rsidRPr="004B27D4" w:rsidRDefault="004B27D4" w:rsidP="004B27D4">
      <w:pPr>
        <w:pStyle w:val="ListParagraph"/>
        <w:numPr>
          <w:ilvl w:val="0"/>
          <w:numId w:val="37"/>
        </w:numPr>
        <w:spacing w:line="240" w:lineRule="auto"/>
        <w:rPr>
          <w:rFonts w:eastAsia="Times New Roman" w:cs="Arial"/>
        </w:rPr>
      </w:pPr>
      <w:r w:rsidRPr="004B27D4">
        <w:rPr>
          <w:rFonts w:eastAsia="Times New Roman" w:cs="Arial"/>
          <w:color w:val="000000"/>
          <w:lang w:eastAsia="bg-BG"/>
        </w:rPr>
        <w:t>прием на високи начални дози ламотрижин и превишаване на препоръчителната доза за повишаване (вж. точка 4.2).</w:t>
      </w:r>
    </w:p>
    <w:p w14:paraId="3BDC6345" w14:textId="20F21368" w:rsidR="004B27D4" w:rsidRPr="004B27D4" w:rsidRDefault="004B27D4" w:rsidP="004B27D4">
      <w:pPr>
        <w:pStyle w:val="ListParagraph"/>
        <w:numPr>
          <w:ilvl w:val="0"/>
          <w:numId w:val="37"/>
        </w:numPr>
        <w:spacing w:line="240" w:lineRule="auto"/>
        <w:rPr>
          <w:rFonts w:eastAsia="Times New Roman" w:cs="Arial"/>
        </w:rPr>
      </w:pPr>
      <w:r w:rsidRPr="004B27D4">
        <w:rPr>
          <w:rFonts w:eastAsia="Times New Roman" w:cs="Arial"/>
          <w:color w:val="000000"/>
          <w:lang w:eastAsia="bg-BG"/>
        </w:rPr>
        <w:t>едновременно прилагане с валпроат (вж, точка 4.2).</w:t>
      </w:r>
    </w:p>
    <w:p w14:paraId="125C3D37" w14:textId="77777777" w:rsidR="004B27D4" w:rsidRPr="004B27D4" w:rsidRDefault="004B27D4" w:rsidP="004B27D4">
      <w:pPr>
        <w:spacing w:line="240" w:lineRule="auto"/>
        <w:rPr>
          <w:rFonts w:eastAsia="Times New Roman" w:cs="Arial"/>
          <w:color w:val="000000"/>
          <w:lang w:eastAsia="bg-BG"/>
        </w:rPr>
      </w:pPr>
    </w:p>
    <w:p w14:paraId="10D91E3E" w14:textId="6EF6EFD9" w:rsidR="004B27D4" w:rsidRPr="004B27D4" w:rsidRDefault="004B27D4" w:rsidP="004B27D4">
      <w:pPr>
        <w:spacing w:line="240" w:lineRule="auto"/>
        <w:rPr>
          <w:rFonts w:eastAsia="Times New Roman" w:cs="Arial"/>
        </w:rPr>
      </w:pPr>
      <w:r w:rsidRPr="004B27D4">
        <w:rPr>
          <w:rFonts w:eastAsia="Times New Roman" w:cs="Arial"/>
          <w:color w:val="000000"/>
          <w:lang w:eastAsia="bg-BG"/>
        </w:rPr>
        <w:t>По време на лечението на пациенти с анамнеза за кожен обрив или алергия към други АЕЛ се изисква специално внимание, тъй като установената честота на незначително изразен обрив след лечение с ламотрижин е около три пъти по-висока при такива пациенти в сравнение с тези без подобна анамнеза.</w:t>
      </w:r>
    </w:p>
    <w:p w14:paraId="1605B462" w14:textId="77777777" w:rsidR="004B27D4" w:rsidRPr="004B27D4" w:rsidRDefault="004B27D4" w:rsidP="004B27D4">
      <w:pPr>
        <w:rPr>
          <w:rFonts w:eastAsia="Times New Roman" w:cs="Arial"/>
          <w:color w:val="000000"/>
          <w:lang w:eastAsia="bg-BG"/>
        </w:rPr>
      </w:pPr>
    </w:p>
    <w:p w14:paraId="48E1416E" w14:textId="73E5CFC4" w:rsidR="004B27D4" w:rsidRPr="004B27D4" w:rsidRDefault="004B27D4" w:rsidP="004B27D4">
      <w:pPr>
        <w:rPr>
          <w:rFonts w:eastAsia="Times New Roman" w:cs="Arial"/>
          <w:color w:val="000000"/>
          <w:lang w:eastAsia="bg-BG"/>
        </w:rPr>
      </w:pPr>
      <w:r w:rsidRPr="004B27D4">
        <w:rPr>
          <w:rFonts w:eastAsia="Times New Roman" w:cs="Arial"/>
          <w:color w:val="000000"/>
          <w:lang w:eastAsia="bg-BG"/>
        </w:rPr>
        <w:t xml:space="preserve">Най-добри резултати в овладяването на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eastAsia="bg-BG"/>
        </w:rPr>
        <w:t xml:space="preserve">и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се постигат при ранна диагностика и незабавно прекъсване на всеки заподозрян лекарствен продукт. Ранното прекратяване на лечението е свързано с по-добра прогноза.</w:t>
      </w:r>
    </w:p>
    <w:p w14:paraId="52608CEF" w14:textId="5D0B9B0B" w:rsidR="004B27D4" w:rsidRPr="004B27D4" w:rsidRDefault="004B27D4" w:rsidP="004B27D4">
      <w:pPr>
        <w:rPr>
          <w:rFonts w:eastAsia="Times New Roman" w:cs="Arial"/>
          <w:color w:val="000000"/>
          <w:lang w:eastAsia="bg-BG"/>
        </w:rPr>
      </w:pPr>
    </w:p>
    <w:p w14:paraId="4E6BC036"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При развитие на обрив при всички пациенти (възрастни и деца), е необходим преглед на пациента и незабавно спиране приложението на ламотрижин, освен ако със сигурност е установено, че обривът не е свързан с приема на лекарството. Препоръчва се лечението с ламотрижин да не се започва отново при пациенти, които са го прекъснали поради обрив, свързан с предишно лечение с ламотрижин, освен ако потенциалната полза несъмнено надвишава риска. Ако при пациента се наблюдава </w:t>
      </w:r>
      <w:r w:rsidRPr="004B27D4">
        <w:rPr>
          <w:rFonts w:eastAsia="Times New Roman" w:cs="Arial"/>
          <w:color w:val="000000"/>
          <w:lang w:val="en-US"/>
        </w:rPr>
        <w:t>SJS</w:t>
      </w:r>
      <w:r w:rsidRPr="004B27D4">
        <w:rPr>
          <w:rFonts w:eastAsia="Times New Roman" w:cs="Arial"/>
          <w:color w:val="000000"/>
          <w:lang w:val="ru-RU"/>
        </w:rPr>
        <w:t xml:space="preserve">, </w:t>
      </w:r>
      <w:r w:rsidRPr="004B27D4">
        <w:rPr>
          <w:rFonts w:eastAsia="Times New Roman" w:cs="Arial"/>
          <w:color w:val="000000"/>
          <w:lang w:val="en-US"/>
        </w:rPr>
        <w:t>TEN</w:t>
      </w:r>
      <w:r w:rsidRPr="004B27D4">
        <w:rPr>
          <w:rFonts w:eastAsia="Times New Roman" w:cs="Arial"/>
          <w:color w:val="000000"/>
          <w:lang w:val="ru-RU"/>
        </w:rPr>
        <w:t xml:space="preserve"> </w:t>
      </w:r>
      <w:r w:rsidRPr="004B27D4">
        <w:rPr>
          <w:rFonts w:eastAsia="Times New Roman" w:cs="Arial"/>
          <w:color w:val="000000"/>
          <w:lang w:eastAsia="bg-BG"/>
        </w:rPr>
        <w:t xml:space="preserve">или </w:t>
      </w:r>
      <w:r w:rsidRPr="004B27D4">
        <w:rPr>
          <w:rFonts w:eastAsia="Times New Roman" w:cs="Arial"/>
          <w:color w:val="000000"/>
          <w:lang w:val="en-US"/>
        </w:rPr>
        <w:t>DRESS</w:t>
      </w:r>
      <w:r w:rsidRPr="004B27D4">
        <w:rPr>
          <w:rFonts w:eastAsia="Times New Roman" w:cs="Arial"/>
          <w:color w:val="000000"/>
          <w:lang w:val="ru-RU"/>
        </w:rPr>
        <w:t xml:space="preserve"> </w:t>
      </w:r>
      <w:r w:rsidRPr="004B27D4">
        <w:rPr>
          <w:rFonts w:eastAsia="Times New Roman" w:cs="Arial"/>
          <w:color w:val="000000"/>
          <w:lang w:eastAsia="bg-BG"/>
        </w:rPr>
        <w:t>след употреба на ламотрижин, никога не трябва да се прилага повторно лечение.</w:t>
      </w:r>
    </w:p>
    <w:p w14:paraId="007FE0C7" w14:textId="77777777" w:rsidR="004B27D4" w:rsidRPr="004B27D4" w:rsidRDefault="004B27D4" w:rsidP="004B27D4">
      <w:pPr>
        <w:spacing w:line="240" w:lineRule="auto"/>
        <w:rPr>
          <w:rFonts w:eastAsia="Times New Roman" w:cs="Arial"/>
          <w:color w:val="000000"/>
          <w:lang w:eastAsia="bg-BG"/>
        </w:rPr>
      </w:pPr>
    </w:p>
    <w:p w14:paraId="16B9C5EA" w14:textId="4F18ABB3" w:rsidR="004B27D4" w:rsidRPr="004B27D4" w:rsidRDefault="004B27D4" w:rsidP="004B27D4">
      <w:pPr>
        <w:spacing w:line="240" w:lineRule="auto"/>
        <w:rPr>
          <w:rFonts w:eastAsia="Times New Roman" w:cs="Arial"/>
        </w:rPr>
      </w:pPr>
      <w:r w:rsidRPr="004B27D4">
        <w:rPr>
          <w:rFonts w:eastAsia="Times New Roman" w:cs="Arial"/>
          <w:color w:val="000000"/>
          <w:lang w:eastAsia="bg-BG"/>
        </w:rPr>
        <w:t>Обривът е съобщаван и като част от синдрома на свръхчувствителност, който включва различни системни симптоми като повишена температура, лимфаденопатия, оток на лицето, промени в кръвната картина и функциите на черния дроб (вж. точка 4.8). Тежестта на клиничните прояви на този синдром е различна при отделните пациенти, като в редки случаи може да доведе до развитие на дисеминирана вътресъдова коагулация и мултиорганна недостатъчност. Важно е да се има предвид, че ранните прояви на свръхчувствителност (например повишена температура, лимфаденопатия) могат да се проявят без поява на обрив. При установяване на подобни признаци и симптоми е необходима незабавна оценка на състоянието на пациента и спиране приложението на ламотрижин при липса на друга етиология за развитие на тези реакции.</w:t>
      </w:r>
    </w:p>
    <w:p w14:paraId="330DEBAD" w14:textId="77777777" w:rsidR="004B27D4" w:rsidRPr="004B27D4" w:rsidRDefault="004B27D4" w:rsidP="004B27D4">
      <w:pPr>
        <w:spacing w:line="240" w:lineRule="auto"/>
        <w:rPr>
          <w:rFonts w:eastAsia="Times New Roman" w:cs="Arial"/>
          <w:color w:val="000000"/>
          <w:lang w:eastAsia="bg-BG"/>
        </w:rPr>
      </w:pPr>
    </w:p>
    <w:p w14:paraId="6FEA63DE" w14:textId="44DED13D" w:rsidR="004B27D4" w:rsidRPr="004B27D4" w:rsidRDefault="004B27D4" w:rsidP="004B27D4">
      <w:pPr>
        <w:spacing w:line="240" w:lineRule="auto"/>
        <w:rPr>
          <w:rFonts w:eastAsia="Times New Roman" w:cs="Arial"/>
        </w:rPr>
      </w:pPr>
      <w:r w:rsidRPr="004B27D4">
        <w:rPr>
          <w:rFonts w:eastAsia="Times New Roman" w:cs="Arial"/>
          <w:color w:val="000000"/>
          <w:lang w:eastAsia="bg-BG"/>
        </w:rPr>
        <w:t>В повечето случаи асептичния менингит е обратим при спиране приема на лекарството, но при някои случаи се повтаря при повторна употребата на ламотрижин. Повторната употреба води до бързо възстановяване на симптомите, които често са по-тежки. Приемът на ламотрижин не трябва да се възобнови при пациенти, при конто е спрян поради асептичен менингит, свързан с предишно лечение с ламотрижин.</w:t>
      </w:r>
    </w:p>
    <w:p w14:paraId="6972951A" w14:textId="77777777" w:rsidR="004B27D4" w:rsidRPr="004B27D4" w:rsidRDefault="004B27D4" w:rsidP="004B27D4">
      <w:pPr>
        <w:spacing w:line="240" w:lineRule="auto"/>
        <w:rPr>
          <w:rFonts w:eastAsia="Times New Roman" w:cs="Arial"/>
          <w:color w:val="000000"/>
          <w:lang w:eastAsia="bg-BG"/>
        </w:rPr>
      </w:pPr>
    </w:p>
    <w:p w14:paraId="0E062EE4" w14:textId="38171AF9"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Има също съобщения за реакции на фоточувствителност, свързани с употребата на ламотрижин (вж. точка 4.8). В няколко случая реакцията е настъпила при висока доза (400 </w:t>
      </w:r>
      <w:r w:rsidRPr="004B27D4">
        <w:rPr>
          <w:rFonts w:eastAsia="Times New Roman" w:cs="Arial"/>
          <w:color w:val="000000"/>
          <w:lang w:val="en-US"/>
        </w:rPr>
        <w:t>mg</w:t>
      </w:r>
      <w:r w:rsidRPr="004B27D4">
        <w:rPr>
          <w:rFonts w:eastAsia="Times New Roman" w:cs="Arial"/>
          <w:color w:val="000000"/>
          <w:lang w:val="ru-RU"/>
        </w:rPr>
        <w:t xml:space="preserve"> </w:t>
      </w:r>
      <w:r w:rsidRPr="004B27D4">
        <w:rPr>
          <w:rFonts w:eastAsia="Times New Roman" w:cs="Arial"/>
          <w:color w:val="000000"/>
          <w:lang w:eastAsia="bg-BG"/>
        </w:rPr>
        <w:t xml:space="preserve">или повече), при повишаване на дозата или при бързо възходящо титриране. Ако при пациент, който проявява признаци на фоточувствителност, има съмнение за свързана с ламотрижин фоточувствителност (напр. прекомерно слънчево изгаряне), трябва да се обмисли прекратяване на лечението. Ако продължаването на лечението с ламотрижин се счита за клинично обосновано, пациентът трябва да бъде посъветван да избягва излагане на слънчева светлина и на изкуствена </w:t>
      </w:r>
      <w:r w:rsidRPr="004B27D4">
        <w:rPr>
          <w:rFonts w:eastAsia="Times New Roman" w:cs="Arial"/>
          <w:color w:val="000000"/>
          <w:lang w:val="en-US"/>
        </w:rPr>
        <w:t>UV</w:t>
      </w:r>
      <w:r w:rsidRPr="004B27D4">
        <w:rPr>
          <w:rFonts w:eastAsia="Times New Roman" w:cs="Arial"/>
          <w:color w:val="000000"/>
          <w:lang w:val="ru-RU"/>
        </w:rPr>
        <w:t xml:space="preserve"> </w:t>
      </w:r>
      <w:r w:rsidRPr="004B27D4">
        <w:rPr>
          <w:rFonts w:eastAsia="Times New Roman" w:cs="Arial"/>
          <w:color w:val="000000"/>
          <w:lang w:eastAsia="bg-BG"/>
        </w:rPr>
        <w:t>светлина и да взема предпазни мерки (напр. използване на защитно облекло и слънцезащитни кремове).</w:t>
      </w:r>
    </w:p>
    <w:p w14:paraId="7C81AB0A" w14:textId="77777777" w:rsidR="004B27D4" w:rsidRPr="004B27D4" w:rsidRDefault="004B27D4" w:rsidP="004B27D4">
      <w:pPr>
        <w:spacing w:line="240" w:lineRule="auto"/>
        <w:rPr>
          <w:rFonts w:eastAsia="Times New Roman" w:cs="Arial"/>
          <w:color w:val="000000"/>
          <w:u w:val="single"/>
          <w:lang w:eastAsia="bg-BG"/>
        </w:rPr>
      </w:pPr>
    </w:p>
    <w:p w14:paraId="1E41A265" w14:textId="6BCEEDB2"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lastRenderedPageBreak/>
        <w:t xml:space="preserve">Хемофагоцитна лимфохистиоцитоза </w:t>
      </w:r>
      <w:r w:rsidRPr="004B27D4">
        <w:rPr>
          <w:rFonts w:eastAsia="Times New Roman" w:cs="Arial"/>
          <w:color w:val="000000"/>
          <w:u w:val="single"/>
        </w:rPr>
        <w:t>(</w:t>
      </w:r>
      <w:r w:rsidRPr="004B27D4">
        <w:rPr>
          <w:rFonts w:eastAsia="Times New Roman" w:cs="Arial"/>
          <w:color w:val="000000"/>
          <w:u w:val="single"/>
          <w:lang w:val="en-US"/>
        </w:rPr>
        <w:t>Haemophagocytic</w:t>
      </w:r>
      <w:r w:rsidRPr="004B27D4">
        <w:rPr>
          <w:rFonts w:eastAsia="Times New Roman" w:cs="Arial"/>
          <w:color w:val="000000"/>
          <w:u w:val="single"/>
        </w:rPr>
        <w:t xml:space="preserve"> </w:t>
      </w:r>
      <w:r w:rsidRPr="004B27D4">
        <w:rPr>
          <w:rFonts w:eastAsia="Times New Roman" w:cs="Arial"/>
          <w:color w:val="000000"/>
          <w:u w:val="single"/>
          <w:lang w:val="en-US"/>
        </w:rPr>
        <w:t>lymphohistiocytosis</w:t>
      </w:r>
      <w:r w:rsidRPr="004B27D4">
        <w:rPr>
          <w:rFonts w:eastAsia="Times New Roman" w:cs="Arial"/>
          <w:color w:val="000000"/>
          <w:u w:val="single"/>
        </w:rPr>
        <w:t xml:space="preserve">, </w:t>
      </w:r>
      <w:r w:rsidRPr="004B27D4">
        <w:rPr>
          <w:rFonts w:eastAsia="Times New Roman" w:cs="Arial"/>
          <w:color w:val="000000"/>
          <w:u w:val="single"/>
          <w:lang w:val="en-US"/>
        </w:rPr>
        <w:t>HLH</w:t>
      </w:r>
      <w:r w:rsidRPr="004B27D4">
        <w:rPr>
          <w:rFonts w:eastAsia="Times New Roman" w:cs="Arial"/>
          <w:color w:val="000000"/>
          <w:u w:val="single"/>
        </w:rPr>
        <w:t xml:space="preserve">) </w:t>
      </w:r>
      <w:r w:rsidRPr="004B27D4">
        <w:rPr>
          <w:rFonts w:eastAsia="Times New Roman" w:cs="Arial"/>
          <w:color w:val="000000"/>
          <w:lang w:val="en-US"/>
        </w:rPr>
        <w:t>HLH</w:t>
      </w:r>
      <w:r w:rsidRPr="004B27D4">
        <w:rPr>
          <w:rFonts w:eastAsia="Times New Roman" w:cs="Arial"/>
          <w:color w:val="000000"/>
        </w:rPr>
        <w:t xml:space="preserve"> </w:t>
      </w:r>
      <w:r w:rsidRPr="004B27D4">
        <w:rPr>
          <w:rFonts w:eastAsia="Times New Roman" w:cs="Arial"/>
          <w:color w:val="000000"/>
          <w:lang w:eastAsia="bg-BG"/>
        </w:rPr>
        <w:t xml:space="preserve">е съобщена при пациенти, които приемат ламотрижин (вж. точка 4.8). </w:t>
      </w:r>
      <w:r w:rsidRPr="004B27D4">
        <w:rPr>
          <w:rFonts w:eastAsia="Times New Roman" w:cs="Arial"/>
          <w:color w:val="000000"/>
          <w:lang w:val="en-US"/>
        </w:rPr>
        <w:t>HLH</w:t>
      </w:r>
      <w:r w:rsidRPr="004B27D4">
        <w:rPr>
          <w:rFonts w:eastAsia="Times New Roman" w:cs="Arial"/>
          <w:color w:val="000000"/>
          <w:lang w:val="ru-RU"/>
        </w:rPr>
        <w:t xml:space="preserve"> </w:t>
      </w:r>
      <w:r w:rsidRPr="004B27D4">
        <w:rPr>
          <w:rFonts w:eastAsia="Times New Roman" w:cs="Arial"/>
          <w:color w:val="000000"/>
          <w:lang w:eastAsia="bg-BG"/>
        </w:rPr>
        <w:t>се характеризира с признаци и симптоми като повишена температура, обрив, неврологични симптоми, хепатоспленомегалия, лимфаденопатия, цитопении, високи стойности на серумен феритин, хипертриглицеридемия, отклонения във функцията на черния дроб и коагулация. Симптомите настъпват обикновено в рамките на 4 седмици от началото на лечението, Хемофагоцитната лимфохистиоцитоза може да бъде животозастрашаваща.</w:t>
      </w:r>
    </w:p>
    <w:p w14:paraId="26FA9945" w14:textId="77777777" w:rsidR="004B27D4" w:rsidRPr="004B27D4" w:rsidRDefault="004B27D4" w:rsidP="004B27D4">
      <w:pPr>
        <w:spacing w:line="240" w:lineRule="auto"/>
        <w:rPr>
          <w:rFonts w:eastAsia="Times New Roman" w:cs="Arial"/>
          <w:color w:val="000000"/>
          <w:lang w:eastAsia="bg-BG"/>
        </w:rPr>
      </w:pPr>
    </w:p>
    <w:p w14:paraId="56FFADB2" w14:textId="158B95B2"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Пациентите трябва да бъдат информирани за симптомите, свързани с </w:t>
      </w:r>
      <w:r w:rsidRPr="004B27D4">
        <w:rPr>
          <w:rFonts w:eastAsia="Times New Roman" w:cs="Arial"/>
          <w:color w:val="000000"/>
          <w:lang w:val="en-US"/>
        </w:rPr>
        <w:t>HLH</w:t>
      </w:r>
      <w:r w:rsidRPr="004B27D4">
        <w:rPr>
          <w:rFonts w:eastAsia="Times New Roman" w:cs="Arial"/>
          <w:color w:val="000000"/>
          <w:lang w:val="ru-RU"/>
        </w:rPr>
        <w:t xml:space="preserve"> </w:t>
      </w:r>
      <w:r w:rsidRPr="004B27D4">
        <w:rPr>
          <w:rFonts w:eastAsia="Times New Roman" w:cs="Arial"/>
          <w:color w:val="000000"/>
          <w:lang w:eastAsia="bg-BG"/>
        </w:rPr>
        <w:t>и трябва да бъдат посъветвани да потърсят незабавно медицинска помощ, ако получат тези симптоми, по време на лечението с ламотрижин.</w:t>
      </w:r>
    </w:p>
    <w:p w14:paraId="2448B6EF" w14:textId="77777777" w:rsidR="004B27D4" w:rsidRPr="004B27D4" w:rsidRDefault="004B27D4" w:rsidP="004B27D4">
      <w:pPr>
        <w:spacing w:line="240" w:lineRule="auto"/>
        <w:rPr>
          <w:rFonts w:eastAsia="Times New Roman" w:cs="Arial"/>
          <w:color w:val="000000"/>
          <w:lang w:eastAsia="bg-BG"/>
        </w:rPr>
      </w:pPr>
    </w:p>
    <w:p w14:paraId="29B75790" w14:textId="76D6AA1B"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Незабавно оценете състоянието на пациентите, които развиват тези признаци и симптоми и обмислете диагноза </w:t>
      </w:r>
      <w:r w:rsidRPr="004B27D4">
        <w:rPr>
          <w:rFonts w:eastAsia="Times New Roman" w:cs="Arial"/>
          <w:color w:val="000000"/>
          <w:lang w:val="en-US"/>
        </w:rPr>
        <w:t>HLH</w:t>
      </w:r>
      <w:r w:rsidRPr="004B27D4">
        <w:rPr>
          <w:rFonts w:eastAsia="Times New Roman" w:cs="Arial"/>
          <w:color w:val="000000"/>
          <w:lang w:val="ru-RU"/>
        </w:rPr>
        <w:t xml:space="preserve">. </w:t>
      </w:r>
      <w:r w:rsidRPr="004B27D4">
        <w:rPr>
          <w:rFonts w:eastAsia="Times New Roman" w:cs="Arial"/>
          <w:color w:val="000000"/>
          <w:lang w:eastAsia="bg-BG"/>
        </w:rPr>
        <w:t>Приемът на ламотрижин трябва незабавно да се преустанови освен ако може да се установи друга етиология за развитието на тези реакции.</w:t>
      </w:r>
    </w:p>
    <w:p w14:paraId="299EFDC7" w14:textId="77777777" w:rsidR="004B27D4" w:rsidRPr="004B27D4" w:rsidRDefault="004B27D4" w:rsidP="004B27D4">
      <w:pPr>
        <w:spacing w:line="240" w:lineRule="auto"/>
        <w:rPr>
          <w:rFonts w:eastAsia="Times New Roman" w:cs="Arial"/>
          <w:color w:val="000000"/>
          <w:u w:val="single"/>
          <w:lang w:eastAsia="bg-BG"/>
        </w:rPr>
      </w:pPr>
    </w:p>
    <w:p w14:paraId="79A6F73E" w14:textId="149EC2AC"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Влошаване на клиничното състояние и суициден риск</w:t>
      </w:r>
    </w:p>
    <w:p w14:paraId="6B262388" w14:textId="77777777" w:rsidR="004B27D4" w:rsidRPr="004B27D4" w:rsidRDefault="004B27D4" w:rsidP="004B27D4">
      <w:pPr>
        <w:rPr>
          <w:rFonts w:eastAsia="Times New Roman" w:cs="Arial"/>
        </w:rPr>
      </w:pPr>
      <w:r w:rsidRPr="004B27D4">
        <w:rPr>
          <w:rFonts w:eastAsia="Times New Roman" w:cs="Arial"/>
          <w:color w:val="000000"/>
          <w:lang w:eastAsia="bg-BG"/>
        </w:rPr>
        <w:t>При пациенти, лекувани с АЕЛ по различни показания, включително епилепсия и биполярно разстройство, са съобщавани суицидни мисли и поведения (суицидност). Един мета-анализ на рандомизирани плацебо-контролирани изпитвания на АЕЛ показва слабо повишен риск от</w:t>
      </w:r>
      <w:r w:rsidRPr="004B27D4">
        <w:rPr>
          <w:rFonts w:eastAsia="Times New Roman" w:cs="Arial"/>
          <w:color w:val="000000"/>
          <w:lang w:val="ru-RU" w:eastAsia="bg-BG"/>
        </w:rPr>
        <w:t xml:space="preserve"> </w:t>
      </w:r>
      <w:r w:rsidRPr="004B27D4">
        <w:rPr>
          <w:rFonts w:eastAsia="Times New Roman" w:cs="Arial"/>
          <w:color w:val="000000"/>
          <w:lang w:eastAsia="bg-BG"/>
        </w:rPr>
        <w:t>суицидно поведение. Механизмът на този риск не е ясен и наличните данни не изключват възможността за повишен риск при ламотрижин.</w:t>
      </w:r>
    </w:p>
    <w:p w14:paraId="0E24B858" w14:textId="77777777" w:rsidR="004B27D4" w:rsidRPr="004B27D4" w:rsidRDefault="004B27D4" w:rsidP="004B27D4">
      <w:pPr>
        <w:spacing w:line="240" w:lineRule="auto"/>
        <w:rPr>
          <w:rFonts w:eastAsia="Times New Roman" w:cs="Arial"/>
          <w:color w:val="000000"/>
          <w:lang w:eastAsia="bg-BG"/>
        </w:rPr>
      </w:pPr>
    </w:p>
    <w:p w14:paraId="312E1BAF" w14:textId="19E8AC3F" w:rsidR="004B27D4" w:rsidRPr="004B27D4" w:rsidRDefault="004B27D4" w:rsidP="004B27D4">
      <w:pPr>
        <w:spacing w:line="240" w:lineRule="auto"/>
        <w:rPr>
          <w:rFonts w:eastAsia="Times New Roman" w:cs="Arial"/>
        </w:rPr>
      </w:pPr>
      <w:r w:rsidRPr="004B27D4">
        <w:rPr>
          <w:rFonts w:eastAsia="Times New Roman" w:cs="Arial"/>
          <w:color w:val="000000"/>
          <w:lang w:eastAsia="bg-BG"/>
        </w:rPr>
        <w:t>Поради това, по време на лечението с ламотрижин пациентите трябва да бъдат проследявани за признаци на суицидни мисли и поведение и да се предприеме подходящо лечение. Пациентите (и хората, които се грижат за тях) трябва да се посъветват да потърсят лекарски съвет, в случай че се появят признаци за суицидни мисли и поведение.</w:t>
      </w:r>
    </w:p>
    <w:p w14:paraId="49627BE8" w14:textId="77777777" w:rsidR="004B27D4" w:rsidRPr="004B27D4" w:rsidRDefault="004B27D4" w:rsidP="004B27D4">
      <w:pPr>
        <w:spacing w:line="240" w:lineRule="auto"/>
        <w:rPr>
          <w:rFonts w:eastAsia="Times New Roman" w:cs="Arial"/>
          <w:color w:val="000000"/>
          <w:lang w:eastAsia="bg-BG"/>
        </w:rPr>
      </w:pPr>
    </w:p>
    <w:p w14:paraId="50E8C50A" w14:textId="31C0B813" w:rsidR="004B27D4" w:rsidRPr="004B27D4" w:rsidRDefault="004B27D4" w:rsidP="004B27D4">
      <w:pPr>
        <w:spacing w:line="240" w:lineRule="auto"/>
        <w:rPr>
          <w:rFonts w:eastAsia="Times New Roman" w:cs="Arial"/>
        </w:rPr>
      </w:pPr>
      <w:r w:rsidRPr="004B27D4">
        <w:rPr>
          <w:rFonts w:eastAsia="Times New Roman" w:cs="Arial"/>
          <w:color w:val="000000"/>
          <w:lang w:eastAsia="bg-BG"/>
        </w:rPr>
        <w:t>При пациентите с биполярно разстройство може да настъпи влошаване на депресивните симптоми и/или поява на суицидност независимо дали приемат или не приемат лекарства за лечение на биполярно разстройство, включително ламотрижин. Поради това пациентите, приемащи Епитрижин за биполярно разстройство трябва да бъдат внимателно проследявани за клинично влошаване на състоянието (включително поява на нови симптоми) и за суицидност, особено в началото на курса на лечение или при промени на дозата. Някои пациенти, като например такива с анамнеза за суицидно поведение или мисли, възрастни в млада възраст или пациенти със силно изразени суицидни идеи преди началото на лечението, изглежда са с по- висок риск за мисли и опити за самоубийство и трябва да бъдат проследявани внимателно по време на лечението.</w:t>
      </w:r>
    </w:p>
    <w:p w14:paraId="15F372C2" w14:textId="77777777" w:rsidR="004B27D4" w:rsidRPr="004B27D4" w:rsidRDefault="004B27D4" w:rsidP="004B27D4">
      <w:pPr>
        <w:spacing w:line="240" w:lineRule="auto"/>
        <w:rPr>
          <w:rFonts w:eastAsia="Times New Roman" w:cs="Arial"/>
          <w:color w:val="000000"/>
          <w:lang w:eastAsia="bg-BG"/>
        </w:rPr>
      </w:pPr>
    </w:p>
    <w:p w14:paraId="0CDC00E1" w14:textId="77125929" w:rsidR="004B27D4" w:rsidRPr="004B27D4" w:rsidRDefault="004B27D4" w:rsidP="004B27D4">
      <w:pPr>
        <w:spacing w:line="240" w:lineRule="auto"/>
        <w:rPr>
          <w:rFonts w:eastAsia="Times New Roman" w:cs="Arial"/>
        </w:rPr>
      </w:pPr>
      <w:r w:rsidRPr="004B27D4">
        <w:rPr>
          <w:rFonts w:eastAsia="Times New Roman" w:cs="Arial"/>
          <w:color w:val="000000"/>
          <w:lang w:eastAsia="bg-BG"/>
        </w:rPr>
        <w:t>Трябва да се обмисли промяна на схемата за лечение, включително възможно преустановяване приема на лекарството, при пациенти с влошаване на клиничното състояние (включително поява на нови симптоми) и/или поява на суицидни мисли/поведение, особено ако симптомите са тежки, внезапно появяващи се или не са част от настоящите симптоми на пациента.</w:t>
      </w:r>
    </w:p>
    <w:p w14:paraId="23EDDBB4" w14:textId="77777777" w:rsidR="004B27D4" w:rsidRPr="004B27D4" w:rsidRDefault="004B27D4" w:rsidP="004B27D4">
      <w:pPr>
        <w:spacing w:line="240" w:lineRule="auto"/>
        <w:rPr>
          <w:rFonts w:eastAsia="Times New Roman" w:cs="Arial"/>
          <w:color w:val="000000"/>
          <w:u w:val="single"/>
          <w:lang w:eastAsia="bg-BG"/>
        </w:rPr>
      </w:pPr>
    </w:p>
    <w:p w14:paraId="6F1A6EF5" w14:textId="6238464D"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Хормонални контрацептиви</w:t>
      </w:r>
    </w:p>
    <w:p w14:paraId="31D93617" w14:textId="77777777" w:rsidR="004B27D4" w:rsidRPr="004B27D4" w:rsidRDefault="004B27D4" w:rsidP="004B27D4">
      <w:pPr>
        <w:spacing w:line="240" w:lineRule="auto"/>
        <w:rPr>
          <w:rFonts w:eastAsia="Times New Roman" w:cs="Arial"/>
          <w:i/>
          <w:iCs/>
          <w:color w:val="000000"/>
          <w:lang w:eastAsia="bg-BG"/>
        </w:rPr>
      </w:pPr>
    </w:p>
    <w:p w14:paraId="641FA82F" w14:textId="37862F81" w:rsidR="004B27D4" w:rsidRPr="004B27D4" w:rsidRDefault="004B27D4" w:rsidP="004B27D4">
      <w:pPr>
        <w:spacing w:line="240" w:lineRule="auto"/>
        <w:rPr>
          <w:rFonts w:eastAsia="Times New Roman" w:cs="Arial"/>
        </w:rPr>
      </w:pPr>
      <w:r w:rsidRPr="004B27D4">
        <w:rPr>
          <w:rFonts w:eastAsia="Times New Roman" w:cs="Arial"/>
          <w:i/>
          <w:iCs/>
          <w:color w:val="000000"/>
          <w:lang w:eastAsia="bg-BG"/>
        </w:rPr>
        <w:lastRenderedPageBreak/>
        <w:t xml:space="preserve">Ефекти на хормоналните контрацептиви върху ефикасността на ламотрижин </w:t>
      </w:r>
      <w:r w:rsidRPr="004B27D4">
        <w:rPr>
          <w:rFonts w:eastAsia="Times New Roman" w:cs="Arial"/>
          <w:color w:val="000000"/>
          <w:lang w:eastAsia="bg-BG"/>
        </w:rPr>
        <w:t>Установено е, че комбинацията етинилестрадиол/левоноргестрел (30 μ</w:t>
      </w:r>
      <w:r w:rsidRPr="004B27D4">
        <w:rPr>
          <w:rFonts w:eastAsia="Times New Roman" w:cs="Arial"/>
          <w:color w:val="000000"/>
          <w:lang w:val="en-US"/>
        </w:rPr>
        <w:t>g</w:t>
      </w:r>
      <w:r w:rsidRPr="004B27D4">
        <w:rPr>
          <w:rFonts w:eastAsia="Times New Roman" w:cs="Arial"/>
          <w:color w:val="000000"/>
          <w:lang w:val="ru-RU"/>
        </w:rPr>
        <w:t xml:space="preserve">/150 </w:t>
      </w:r>
      <w:r w:rsidRPr="004B27D4">
        <w:rPr>
          <w:rFonts w:eastAsia="Times New Roman" w:cs="Arial"/>
          <w:color w:val="000000"/>
          <w:lang w:eastAsia="bg-BG"/>
        </w:rPr>
        <w:t>μ</w:t>
      </w:r>
      <w:r w:rsidRPr="004B27D4">
        <w:rPr>
          <w:rFonts w:eastAsia="Times New Roman" w:cs="Arial"/>
          <w:color w:val="000000"/>
          <w:lang w:val="en-US"/>
        </w:rPr>
        <w:t>g</w:t>
      </w:r>
      <w:r w:rsidRPr="004B27D4">
        <w:rPr>
          <w:rFonts w:eastAsia="Times New Roman" w:cs="Arial"/>
          <w:color w:val="000000"/>
          <w:lang w:val="ru-RU"/>
        </w:rPr>
        <w:t xml:space="preserve">) </w:t>
      </w:r>
      <w:r w:rsidRPr="004B27D4">
        <w:rPr>
          <w:rFonts w:eastAsia="Times New Roman" w:cs="Arial"/>
          <w:color w:val="000000"/>
          <w:lang w:eastAsia="bg-BG"/>
        </w:rPr>
        <w:t>повишава клирънса на ламотрижин приблизително два пъти, което води до намаляване на стойностите на ламотрижин (вж. точка 4.5). Понижаването на концентрациите на ламотрижин е свързано със загуба на контрол върху припадъците. За постигане на максимален терапевтичен отговор в повечето случаи може да е необходимо чрез титриране да се достигнат по-високи поддържащи дози на ламотрижин (приблизително два пъти по-високи). При преустановяването на приема на хормоналните контрацептиви, клирънсът на ламотрижин може да намалее наполовина. Повишаването на концентрациите на ламотрижин може да бъде свързано с дозозависими нежелани събития. По тази причина състоянието на пациентите трябва да бъде проследявано.</w:t>
      </w:r>
    </w:p>
    <w:p w14:paraId="2394EA27" w14:textId="77777777" w:rsidR="004B27D4" w:rsidRPr="004B27D4" w:rsidRDefault="004B27D4" w:rsidP="004B27D4">
      <w:pPr>
        <w:spacing w:line="240" w:lineRule="auto"/>
        <w:rPr>
          <w:rFonts w:eastAsia="Times New Roman" w:cs="Arial"/>
          <w:color w:val="000000"/>
          <w:lang w:eastAsia="bg-BG"/>
        </w:rPr>
      </w:pPr>
    </w:p>
    <w:p w14:paraId="2D840498" w14:textId="74FCDC1B" w:rsidR="004B27D4" w:rsidRPr="004B27D4" w:rsidRDefault="004B27D4" w:rsidP="004B27D4">
      <w:pPr>
        <w:spacing w:line="240" w:lineRule="auto"/>
        <w:rPr>
          <w:rFonts w:eastAsia="Times New Roman" w:cs="Arial"/>
        </w:rPr>
      </w:pPr>
      <w:r w:rsidRPr="004B27D4">
        <w:rPr>
          <w:rFonts w:eastAsia="Times New Roman" w:cs="Arial"/>
          <w:color w:val="000000"/>
          <w:lang w:eastAsia="bg-BG"/>
        </w:rPr>
        <w:t>При жени, които не приемат индуктор на глюкуронирането на ламотрижин и са на хормонален контрацептив, чиято схема включва една седмица на неактивно лечение (седмица без прием на контрацептив), е установено постепенно временно покачване на нивата на ламотрижин по време на седмицата без прием на контрацептив (вж, точка 4.2). Вариациите в нивата на ламотрижин от този порядък могат да бъдат свързани с нежелани реакции. Затова трябва да се обмисли употребата на контрацепция без седмица без прием на контрацептив като лечение от първа линия (например продължителна хормонална контрацепция или нехормонални методи).</w:t>
      </w:r>
    </w:p>
    <w:p w14:paraId="2945B833" w14:textId="77777777" w:rsidR="004B27D4" w:rsidRPr="004B27D4" w:rsidRDefault="004B27D4" w:rsidP="004B27D4">
      <w:pPr>
        <w:spacing w:line="240" w:lineRule="auto"/>
        <w:rPr>
          <w:rFonts w:eastAsia="Times New Roman" w:cs="Arial"/>
          <w:color w:val="000000"/>
          <w:lang w:eastAsia="bg-BG"/>
        </w:rPr>
      </w:pPr>
    </w:p>
    <w:p w14:paraId="3CB0F5D0" w14:textId="22E794D7" w:rsidR="004B27D4" w:rsidRPr="004B27D4" w:rsidRDefault="004B27D4" w:rsidP="004B27D4">
      <w:pPr>
        <w:spacing w:line="240" w:lineRule="auto"/>
        <w:rPr>
          <w:rFonts w:eastAsia="Times New Roman" w:cs="Arial"/>
        </w:rPr>
      </w:pPr>
      <w:r w:rsidRPr="004B27D4">
        <w:rPr>
          <w:rFonts w:eastAsia="Times New Roman" w:cs="Arial"/>
          <w:color w:val="000000"/>
          <w:lang w:eastAsia="bg-BG"/>
        </w:rPr>
        <w:t>Не са провеждани проучвания за взаимодействия с други перорални контрацептиви или хормонални заместителни терапии и ламотрижин, въпреки че е възможно те да повлияят фармакокинетичните параметри на ламотрижин по подобен начин.</w:t>
      </w:r>
    </w:p>
    <w:p w14:paraId="22F8FB4A" w14:textId="77777777" w:rsidR="004B27D4" w:rsidRPr="004B27D4" w:rsidRDefault="004B27D4" w:rsidP="004B27D4">
      <w:pPr>
        <w:rPr>
          <w:rFonts w:eastAsia="Times New Roman" w:cs="Arial"/>
          <w:i/>
          <w:iCs/>
          <w:color w:val="000000"/>
          <w:lang w:eastAsia="bg-BG"/>
        </w:rPr>
      </w:pPr>
    </w:p>
    <w:p w14:paraId="56F09A62" w14:textId="77777777" w:rsidR="004B27D4" w:rsidRPr="004B27D4" w:rsidRDefault="004B27D4" w:rsidP="004B27D4">
      <w:pPr>
        <w:rPr>
          <w:rFonts w:eastAsia="Times New Roman" w:cs="Arial"/>
        </w:rPr>
      </w:pPr>
      <w:r w:rsidRPr="004B27D4">
        <w:rPr>
          <w:rFonts w:eastAsia="Times New Roman" w:cs="Arial"/>
          <w:i/>
          <w:iCs/>
          <w:color w:val="000000"/>
          <w:lang w:eastAsia="bg-BG"/>
        </w:rPr>
        <w:t xml:space="preserve">Ефекти на ламотрижин върху ефикасността на хормоналните контрацептиви </w:t>
      </w:r>
      <w:r w:rsidRPr="004B27D4">
        <w:rPr>
          <w:rFonts w:eastAsia="Times New Roman" w:cs="Arial"/>
          <w:color w:val="000000"/>
          <w:lang w:eastAsia="bg-BG"/>
        </w:rPr>
        <w:t xml:space="preserve">Резултатите от проучване за взаимодействия при 16 здрави доброволки показват, че при едновременен прием на ламотрижин и хормонален контрацептив (комбинация етинилестрадиол/левоноргестрел) е налице умерено увеличение на клирънса на левоноргестрел и промени в серумните фоликулостимулиращ хормон </w:t>
      </w:r>
      <w:r w:rsidRPr="004B27D4">
        <w:rPr>
          <w:rFonts w:eastAsia="Times New Roman" w:cs="Arial"/>
          <w:color w:val="000000"/>
          <w:lang w:val="ru-RU"/>
        </w:rPr>
        <w:t>(</w:t>
      </w:r>
      <w:r w:rsidRPr="004B27D4">
        <w:rPr>
          <w:rFonts w:eastAsia="Times New Roman" w:cs="Arial"/>
          <w:color w:val="000000"/>
          <w:lang w:val="en-US"/>
        </w:rPr>
        <w:t>FSH</w:t>
      </w:r>
      <w:r w:rsidRPr="004B27D4">
        <w:rPr>
          <w:rFonts w:eastAsia="Times New Roman" w:cs="Arial"/>
          <w:color w:val="000000"/>
          <w:lang w:val="ru-RU"/>
        </w:rPr>
        <w:t xml:space="preserve">) </w:t>
      </w:r>
      <w:r w:rsidRPr="004B27D4">
        <w:rPr>
          <w:rFonts w:eastAsia="Times New Roman" w:cs="Arial"/>
          <w:color w:val="000000"/>
          <w:lang w:eastAsia="bg-BG"/>
        </w:rPr>
        <w:t xml:space="preserve">и лутеинизиращ хормон </w:t>
      </w:r>
      <w:r w:rsidRPr="004B27D4">
        <w:rPr>
          <w:rFonts w:eastAsia="Times New Roman" w:cs="Arial"/>
          <w:color w:val="000000"/>
          <w:lang w:val="ru-RU"/>
        </w:rPr>
        <w:t>(</w:t>
      </w:r>
      <w:r w:rsidRPr="004B27D4">
        <w:rPr>
          <w:rFonts w:eastAsia="Times New Roman" w:cs="Arial"/>
          <w:color w:val="000000"/>
          <w:lang w:val="en-US"/>
        </w:rPr>
        <w:t>LH</w:t>
      </w:r>
      <w:r w:rsidRPr="004B27D4">
        <w:rPr>
          <w:rFonts w:eastAsia="Times New Roman" w:cs="Arial"/>
          <w:color w:val="000000"/>
          <w:lang w:val="ru-RU"/>
        </w:rPr>
        <w:t>)(</w:t>
      </w:r>
      <w:r w:rsidRPr="004B27D4">
        <w:rPr>
          <w:rFonts w:eastAsia="Times New Roman" w:cs="Arial"/>
          <w:color w:val="000000"/>
          <w:lang w:eastAsia="bg-BG"/>
        </w:rPr>
        <w:t>вж. точка 4.5). Не е изяснено влиянието на тези промени върху овариалната овулаторна активност. Не може обаче да бъде изключена възможността при някои пациенти, приемащи ламоприжин заедно с хормонални контрацептиви, тези промени да предизвикат намаляване на</w:t>
      </w:r>
      <w:r w:rsidRPr="004B27D4">
        <w:rPr>
          <w:rFonts w:eastAsia="Times New Roman" w:cs="Arial"/>
          <w:color w:val="000000"/>
          <w:lang w:val="ru-RU" w:eastAsia="bg-BG"/>
        </w:rPr>
        <w:t xml:space="preserve"> </w:t>
      </w:r>
      <w:r w:rsidRPr="004B27D4">
        <w:rPr>
          <w:rFonts w:eastAsia="Times New Roman" w:cs="Arial"/>
          <w:color w:val="000000"/>
          <w:lang w:eastAsia="bg-BG"/>
        </w:rPr>
        <w:t>контрацептивната ефикасност. Затова тези пациентки трябва да бъдат инструктирани да съобщават за промени в менструалния си цикъл, напр. пробивно кървене.</w:t>
      </w:r>
    </w:p>
    <w:p w14:paraId="51208EAC" w14:textId="77777777" w:rsidR="004B27D4" w:rsidRPr="004B27D4" w:rsidRDefault="004B27D4" w:rsidP="004B27D4">
      <w:pPr>
        <w:spacing w:line="240" w:lineRule="auto"/>
        <w:rPr>
          <w:rFonts w:eastAsia="Times New Roman" w:cs="Arial"/>
          <w:color w:val="000000"/>
          <w:u w:val="single"/>
          <w:lang w:eastAsia="bg-BG"/>
        </w:rPr>
      </w:pPr>
    </w:p>
    <w:p w14:paraId="675F797E" w14:textId="44B439F7"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Дихидрофолат редуктаза</w:t>
      </w:r>
    </w:p>
    <w:p w14:paraId="54C4B316"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Ламотрижин има слаб инхибиторен ефект върху редуктазата на дихидрофолиевата киселина. По тази причина при продължително лечение може да повлияе фолатния метаболизъм (вж. точка 4.6). Въпреки това, при продължително лечение с ламотрижин при хора не се установяват значителни промени в хемоглобиновата концентрация, средния обем на еритроцитите и серумните или еритроцитни концентрации на фолат за период до една година. Не се установява промяна и в концентрациите на фолат в еритроцитите за период до 5 години.</w:t>
      </w:r>
    </w:p>
    <w:p w14:paraId="0BA143D7" w14:textId="77777777" w:rsidR="004B27D4" w:rsidRPr="004B27D4" w:rsidRDefault="004B27D4" w:rsidP="004B27D4">
      <w:pPr>
        <w:spacing w:line="240" w:lineRule="auto"/>
        <w:rPr>
          <w:rFonts w:eastAsia="Times New Roman" w:cs="Arial"/>
          <w:color w:val="000000"/>
          <w:u w:val="single"/>
          <w:lang w:eastAsia="bg-BG"/>
        </w:rPr>
      </w:pPr>
    </w:p>
    <w:p w14:paraId="19172471" w14:textId="60ADEE71"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Бъбречна недостатъчност</w:t>
      </w:r>
    </w:p>
    <w:p w14:paraId="27DDC789"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При изследвания на пациенти с терминална бъбречна недостатъчност при приложение на еднократна доза ламотрижин не се установяват статистически значими промени в плазмените концентрации на ламотрижин. Въпреки това, може да бъде очаквано </w:t>
      </w:r>
      <w:r w:rsidRPr="004B27D4">
        <w:rPr>
          <w:rFonts w:eastAsia="Times New Roman" w:cs="Arial"/>
          <w:color w:val="000000"/>
          <w:lang w:eastAsia="bg-BG"/>
        </w:rPr>
        <w:lastRenderedPageBreak/>
        <w:t>кумулиране на глюкуронирания метаболит на продукта. Препоръчва се повишено внимание при лечение на пациенти с бъбречна недостатъчност.</w:t>
      </w:r>
    </w:p>
    <w:p w14:paraId="633DE931" w14:textId="77777777" w:rsidR="004B27D4" w:rsidRPr="004B27D4" w:rsidRDefault="004B27D4" w:rsidP="004B27D4">
      <w:pPr>
        <w:spacing w:line="240" w:lineRule="auto"/>
        <w:rPr>
          <w:rFonts w:eastAsia="Times New Roman" w:cs="Arial"/>
          <w:color w:val="000000"/>
          <w:u w:val="single"/>
          <w:lang w:eastAsia="bg-BG"/>
        </w:rPr>
      </w:pPr>
    </w:p>
    <w:p w14:paraId="023CAD5D" w14:textId="690E436F"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 xml:space="preserve">Пациенти, лекувани </w:t>
      </w:r>
      <w:r w:rsidRPr="004B27D4">
        <w:rPr>
          <w:rFonts w:eastAsia="Times New Roman" w:cs="Arial"/>
          <w:i/>
          <w:iCs/>
          <w:color w:val="000000"/>
          <w:u w:val="single"/>
          <w:lang w:eastAsia="bg-BG"/>
        </w:rPr>
        <w:t>с</w:t>
      </w:r>
      <w:r w:rsidRPr="004B27D4">
        <w:rPr>
          <w:rFonts w:eastAsia="Times New Roman" w:cs="Arial"/>
          <w:color w:val="000000"/>
          <w:u w:val="single"/>
          <w:lang w:eastAsia="bg-BG"/>
        </w:rPr>
        <w:t xml:space="preserve"> други продукти, съдържащи ламотрижин</w:t>
      </w:r>
    </w:p>
    <w:p w14:paraId="6CD36D0C"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Епитрижин не трябва да се прилага без консултация с лекар при пациенти, лекувани понастоящем с други продукти, съдържащи ламотрижин.</w:t>
      </w:r>
    </w:p>
    <w:p w14:paraId="6978F6B4" w14:textId="77777777" w:rsidR="004B27D4" w:rsidRPr="004B27D4" w:rsidRDefault="004B27D4" w:rsidP="004B27D4">
      <w:pPr>
        <w:spacing w:line="240" w:lineRule="auto"/>
        <w:rPr>
          <w:rFonts w:eastAsia="Times New Roman" w:cs="Arial"/>
          <w:color w:val="000000"/>
          <w:u w:val="single"/>
          <w:lang w:eastAsia="bg-BG"/>
        </w:rPr>
      </w:pPr>
    </w:p>
    <w:p w14:paraId="060B6245" w14:textId="5927DDE8"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 xml:space="preserve">ЕКГ тип </w:t>
      </w:r>
      <w:r w:rsidRPr="004B27D4">
        <w:rPr>
          <w:rFonts w:eastAsia="Times New Roman" w:cs="Arial"/>
          <w:color w:val="000000"/>
          <w:u w:val="single"/>
          <w:lang w:val="en-US"/>
        </w:rPr>
        <w:t>Brugada</w:t>
      </w:r>
      <w:r w:rsidRPr="004B27D4">
        <w:rPr>
          <w:rFonts w:eastAsia="Times New Roman" w:cs="Arial"/>
          <w:color w:val="000000"/>
          <w:u w:val="single"/>
          <w:lang w:val="ru-RU"/>
        </w:rPr>
        <w:t xml:space="preserve"> </w:t>
      </w:r>
      <w:r w:rsidRPr="004B27D4">
        <w:rPr>
          <w:rFonts w:eastAsia="Times New Roman" w:cs="Arial"/>
          <w:color w:val="000000"/>
          <w:u w:val="single"/>
          <w:lang w:eastAsia="bg-BG"/>
        </w:rPr>
        <w:t>и други нарушения на сърдечния ритъм и проводимостта</w:t>
      </w:r>
    </w:p>
    <w:p w14:paraId="7DC5B3AD"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При пациенти лекувани с ламотрижин е съобщено за аритмогенно нарушение със </w:t>
      </w:r>
      <w:r w:rsidRPr="004B27D4">
        <w:rPr>
          <w:rFonts w:eastAsia="Times New Roman" w:cs="Arial"/>
          <w:color w:val="000000"/>
          <w:lang w:val="en-US"/>
        </w:rPr>
        <w:t>ST</w:t>
      </w:r>
      <w:r w:rsidRPr="004B27D4">
        <w:rPr>
          <w:rFonts w:eastAsia="Times New Roman" w:cs="Arial"/>
          <w:color w:val="000000"/>
          <w:lang w:val="ru-RU"/>
        </w:rPr>
        <w:t>-</w:t>
      </w:r>
      <w:r w:rsidRPr="004B27D4">
        <w:rPr>
          <w:rFonts w:eastAsia="Times New Roman" w:cs="Arial"/>
          <w:color w:val="000000"/>
          <w:lang w:val="en-US"/>
        </w:rPr>
        <w:t>T</w:t>
      </w:r>
      <w:r w:rsidRPr="004B27D4">
        <w:rPr>
          <w:rFonts w:eastAsia="Times New Roman" w:cs="Arial"/>
          <w:color w:val="000000"/>
          <w:lang w:val="ru-RU"/>
        </w:rPr>
        <w:t xml:space="preserve"> </w:t>
      </w:r>
      <w:r w:rsidRPr="004B27D4">
        <w:rPr>
          <w:rFonts w:eastAsia="Times New Roman" w:cs="Arial"/>
          <w:color w:val="000000"/>
          <w:lang w:eastAsia="bg-BG"/>
        </w:rPr>
        <w:t xml:space="preserve">аномалия и характерен ЕКГ тип </w:t>
      </w:r>
      <w:r w:rsidRPr="004B27D4">
        <w:rPr>
          <w:rFonts w:eastAsia="Times New Roman" w:cs="Arial"/>
          <w:color w:val="000000"/>
          <w:lang w:val="en-US"/>
        </w:rPr>
        <w:t>Brugada</w:t>
      </w:r>
      <w:r w:rsidRPr="004B27D4">
        <w:rPr>
          <w:rFonts w:eastAsia="Times New Roman" w:cs="Arial"/>
          <w:color w:val="000000"/>
          <w:lang w:val="ru-RU"/>
        </w:rPr>
        <w:t xml:space="preserve">. </w:t>
      </w:r>
      <w:r w:rsidRPr="004B27D4">
        <w:rPr>
          <w:rFonts w:eastAsia="Times New Roman" w:cs="Arial"/>
          <w:color w:val="000000"/>
          <w:lang w:eastAsia="bg-BG"/>
        </w:rPr>
        <w:t xml:space="preserve">Въз основа на </w:t>
      </w:r>
      <w:r w:rsidRPr="004B27D4">
        <w:rPr>
          <w:rFonts w:eastAsia="Times New Roman" w:cs="Arial"/>
          <w:i/>
          <w:iCs/>
          <w:color w:val="000000"/>
          <w:lang w:val="en-US"/>
        </w:rPr>
        <w:t>in</w:t>
      </w:r>
      <w:r w:rsidRPr="004B27D4">
        <w:rPr>
          <w:rFonts w:eastAsia="Times New Roman" w:cs="Arial"/>
          <w:i/>
          <w:iCs/>
          <w:color w:val="000000"/>
          <w:lang w:val="ru-RU"/>
        </w:rPr>
        <w:t xml:space="preserve"> </w:t>
      </w:r>
      <w:r w:rsidRPr="004B27D4">
        <w:rPr>
          <w:rFonts w:eastAsia="Times New Roman" w:cs="Arial"/>
          <w:i/>
          <w:iCs/>
          <w:color w:val="000000"/>
          <w:lang w:val="en-US"/>
        </w:rPr>
        <w:t>vitro</w:t>
      </w:r>
      <w:r w:rsidRPr="004B27D4">
        <w:rPr>
          <w:rFonts w:eastAsia="Times New Roman" w:cs="Arial"/>
          <w:color w:val="000000"/>
          <w:lang w:val="ru-RU"/>
        </w:rPr>
        <w:t xml:space="preserve"> </w:t>
      </w:r>
      <w:r w:rsidRPr="004B27D4">
        <w:rPr>
          <w:rFonts w:eastAsia="Times New Roman" w:cs="Arial"/>
          <w:color w:val="000000"/>
          <w:lang w:eastAsia="bg-BG"/>
        </w:rPr>
        <w:t xml:space="preserve">находки ламотрижин потенциално може да забави камерната проводимост (разширяване на </w:t>
      </w:r>
      <w:r w:rsidRPr="004B27D4">
        <w:rPr>
          <w:rFonts w:eastAsia="Times New Roman" w:cs="Arial"/>
          <w:color w:val="000000"/>
          <w:lang w:val="en-US"/>
        </w:rPr>
        <w:t>QRS</w:t>
      </w:r>
      <w:r w:rsidRPr="004B27D4">
        <w:rPr>
          <w:rFonts w:eastAsia="Times New Roman" w:cs="Arial"/>
          <w:color w:val="000000"/>
          <w:lang w:val="ru-RU"/>
        </w:rPr>
        <w:t xml:space="preserve">) </w:t>
      </w:r>
      <w:r w:rsidRPr="004B27D4">
        <w:rPr>
          <w:rFonts w:eastAsia="Times New Roman" w:cs="Arial"/>
          <w:color w:val="000000"/>
          <w:lang w:eastAsia="bg-BG"/>
        </w:rPr>
        <w:t xml:space="preserve">и да индуцира проаритмия в терапевтично значими концентрации при пациенти със сърдечни заболявания. Ламотрижин действа като слабо антиаритмично средство клас </w:t>
      </w:r>
      <w:r w:rsidRPr="004B27D4">
        <w:rPr>
          <w:rFonts w:eastAsia="Times New Roman" w:cs="Arial"/>
          <w:color w:val="000000"/>
          <w:lang w:val="en-US"/>
        </w:rPr>
        <w:t>IB</w:t>
      </w:r>
      <w:r w:rsidRPr="004B27D4">
        <w:rPr>
          <w:rFonts w:eastAsia="Times New Roman" w:cs="Arial"/>
          <w:color w:val="000000"/>
          <w:lang w:val="ru-RU"/>
        </w:rPr>
        <w:t xml:space="preserve"> </w:t>
      </w:r>
      <w:r w:rsidRPr="004B27D4">
        <w:rPr>
          <w:rFonts w:eastAsia="Times New Roman" w:cs="Arial"/>
          <w:color w:val="000000"/>
          <w:lang w:eastAsia="bg-BG"/>
        </w:rPr>
        <w:t xml:space="preserve">със свързани потенциални рискове за сериозни или летални сърдечни събития. Едновременното приложение на други блокери на натриевите канали може допълнително да повиши рисковете (вж. точка 5.3).. В терапевтични дози до 400 </w:t>
      </w:r>
      <w:r w:rsidRPr="004B27D4">
        <w:rPr>
          <w:rFonts w:eastAsia="Times New Roman" w:cs="Arial"/>
          <w:color w:val="000000"/>
          <w:lang w:val="en-US"/>
        </w:rPr>
        <w:t>mg</w:t>
      </w:r>
      <w:r w:rsidRPr="004B27D4">
        <w:rPr>
          <w:rFonts w:eastAsia="Times New Roman" w:cs="Arial"/>
          <w:color w:val="000000"/>
          <w:lang w:eastAsia="bg-BG"/>
        </w:rPr>
        <w:t xml:space="preserve">/ден ламотрижин не забавя камерната проводимост (разширяване на </w:t>
      </w:r>
      <w:r w:rsidRPr="004B27D4">
        <w:rPr>
          <w:rFonts w:eastAsia="Times New Roman" w:cs="Arial"/>
          <w:color w:val="000000"/>
          <w:lang w:val="en-US"/>
        </w:rPr>
        <w:t>QRS</w:t>
      </w:r>
      <w:r w:rsidRPr="004B27D4">
        <w:rPr>
          <w:rFonts w:eastAsia="Times New Roman" w:cs="Arial"/>
          <w:color w:val="000000"/>
          <w:lang w:val="ru-RU"/>
        </w:rPr>
        <w:t xml:space="preserve">) </w:t>
      </w:r>
      <w:r w:rsidRPr="004B27D4">
        <w:rPr>
          <w:rFonts w:eastAsia="Times New Roman" w:cs="Arial"/>
          <w:color w:val="000000"/>
          <w:lang w:eastAsia="bg-BG"/>
        </w:rPr>
        <w:t xml:space="preserve">и не причинява удължаване на </w:t>
      </w:r>
      <w:r w:rsidRPr="004B27D4">
        <w:rPr>
          <w:rFonts w:eastAsia="Times New Roman" w:cs="Arial"/>
          <w:color w:val="000000"/>
          <w:lang w:val="en-US"/>
        </w:rPr>
        <w:t>QT</w:t>
      </w:r>
      <w:r w:rsidRPr="004B27D4">
        <w:rPr>
          <w:rFonts w:eastAsia="Times New Roman" w:cs="Arial"/>
          <w:color w:val="000000"/>
          <w:lang w:val="ru-RU"/>
        </w:rPr>
        <w:t xml:space="preserve"> </w:t>
      </w:r>
      <w:r w:rsidRPr="004B27D4">
        <w:rPr>
          <w:rFonts w:eastAsia="Times New Roman" w:cs="Arial"/>
          <w:color w:val="000000"/>
          <w:lang w:eastAsia="bg-BG"/>
        </w:rPr>
        <w:t xml:space="preserve">при здрави лица в цялостно проучване на </w:t>
      </w:r>
      <w:r w:rsidRPr="004B27D4">
        <w:rPr>
          <w:rFonts w:eastAsia="Times New Roman" w:cs="Arial"/>
          <w:color w:val="000000"/>
          <w:lang w:val="en-US"/>
        </w:rPr>
        <w:t>QT</w:t>
      </w:r>
      <w:r w:rsidRPr="004B27D4">
        <w:rPr>
          <w:rFonts w:eastAsia="Times New Roman" w:cs="Arial"/>
          <w:color w:val="000000"/>
          <w:lang w:val="ru-RU"/>
        </w:rPr>
        <w:t xml:space="preserve">. </w:t>
      </w:r>
      <w:r w:rsidRPr="004B27D4">
        <w:rPr>
          <w:rFonts w:eastAsia="Times New Roman" w:cs="Arial"/>
          <w:color w:val="000000"/>
          <w:lang w:eastAsia="bg-BG"/>
        </w:rPr>
        <w:t xml:space="preserve">Употребата на ламотрижин трябва внимателно да се обмисли при пациенти </w:t>
      </w:r>
      <w:r w:rsidRPr="004B27D4">
        <w:rPr>
          <w:rFonts w:eastAsia="Times New Roman" w:cs="Arial"/>
          <w:color w:val="000000"/>
          <w:lang w:val="en-US"/>
        </w:rPr>
        <w:t>s</w:t>
      </w:r>
      <w:r w:rsidRPr="004B27D4">
        <w:rPr>
          <w:rFonts w:eastAsia="Times New Roman" w:cs="Arial"/>
          <w:color w:val="000000"/>
          <w:lang w:val="ru-RU"/>
        </w:rPr>
        <w:t xml:space="preserve"> </w:t>
      </w:r>
      <w:r w:rsidRPr="004B27D4">
        <w:rPr>
          <w:rFonts w:eastAsia="Times New Roman" w:cs="Arial"/>
          <w:color w:val="000000"/>
          <w:lang w:eastAsia="bg-BG"/>
        </w:rPr>
        <w:t xml:space="preserve">клинично значими структурни или функционални сърдечни заболявания като синдром на </w:t>
      </w:r>
      <w:r w:rsidRPr="004B27D4">
        <w:rPr>
          <w:rFonts w:eastAsia="Times New Roman" w:cs="Arial"/>
          <w:color w:val="000000"/>
          <w:lang w:val="en-US"/>
        </w:rPr>
        <w:t>Brugada</w:t>
      </w:r>
      <w:r w:rsidRPr="004B27D4">
        <w:rPr>
          <w:rFonts w:eastAsia="Times New Roman" w:cs="Arial"/>
          <w:color w:val="000000"/>
          <w:lang w:val="ru-RU"/>
        </w:rPr>
        <w:t xml:space="preserve"> </w:t>
      </w:r>
      <w:r w:rsidRPr="004B27D4">
        <w:rPr>
          <w:rFonts w:eastAsia="Times New Roman" w:cs="Arial"/>
          <w:color w:val="000000"/>
          <w:lang w:eastAsia="bg-BG"/>
        </w:rPr>
        <w:t>или други сърдечни каналопатии, сърдечна недостатъчност, исхемична болест на сърцето, сърдечен блок или камерни аритмии. Ако употребата на ламотрижин е клинично оправдана при тези пациенти, трябва да се обмисли консултация с кардиолог, преди да се започне приложение на ламотрижин.</w:t>
      </w:r>
    </w:p>
    <w:p w14:paraId="0CBAF07A" w14:textId="77777777" w:rsidR="004B27D4" w:rsidRPr="004B27D4" w:rsidRDefault="004B27D4" w:rsidP="004B27D4">
      <w:pPr>
        <w:spacing w:line="240" w:lineRule="auto"/>
        <w:rPr>
          <w:rFonts w:eastAsia="Times New Roman" w:cs="Arial"/>
          <w:color w:val="000000"/>
          <w:u w:val="single"/>
          <w:lang w:eastAsia="bg-BG"/>
        </w:rPr>
      </w:pPr>
    </w:p>
    <w:p w14:paraId="248AE00C" w14:textId="609D4708"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Развитие на децата</w:t>
      </w:r>
    </w:p>
    <w:p w14:paraId="7EC1EAEC"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Няма данни за ефекта на ламотрижин върху растежа, половото съзряване и когнитивното, емоционалното и поведенческото развитие на децата.</w:t>
      </w:r>
    </w:p>
    <w:p w14:paraId="1F1574C3" w14:textId="77777777" w:rsidR="004B27D4" w:rsidRPr="004B27D4" w:rsidRDefault="004B27D4" w:rsidP="004B27D4">
      <w:pPr>
        <w:spacing w:line="240" w:lineRule="auto"/>
        <w:rPr>
          <w:rFonts w:eastAsia="Times New Roman" w:cs="Arial"/>
          <w:color w:val="000000"/>
          <w:u w:val="single"/>
          <w:lang w:eastAsia="bg-BG"/>
        </w:rPr>
      </w:pPr>
    </w:p>
    <w:p w14:paraId="705E5345" w14:textId="7AA82161"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Предпазни мерки при епилепсия</w:t>
      </w:r>
    </w:p>
    <w:p w14:paraId="6DAD81DD"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Както при други АЕЛ, внезапното спиране на приема на ламотрижин може да доведе до нова поява на припадъци. Дозата на ламотрижин трябва да бъде понижавана постепенно за период от две седмици, освен при съображения за безопасност (напр. обрив), изискващи рязко прекратяване на лечението.</w:t>
      </w:r>
    </w:p>
    <w:p w14:paraId="7C64CA44" w14:textId="77777777" w:rsidR="004B27D4" w:rsidRPr="004B27D4" w:rsidRDefault="004B27D4" w:rsidP="004B27D4">
      <w:pPr>
        <w:spacing w:line="240" w:lineRule="auto"/>
        <w:rPr>
          <w:rFonts w:eastAsia="Times New Roman" w:cs="Arial"/>
          <w:color w:val="000000"/>
          <w:lang w:eastAsia="bg-BG"/>
        </w:rPr>
      </w:pPr>
    </w:p>
    <w:p w14:paraId="345BE89B" w14:textId="152D0D52" w:rsidR="004B27D4" w:rsidRPr="004B27D4" w:rsidRDefault="004B27D4" w:rsidP="004B27D4">
      <w:pPr>
        <w:spacing w:line="240" w:lineRule="auto"/>
        <w:rPr>
          <w:rFonts w:eastAsia="Times New Roman" w:cs="Arial"/>
        </w:rPr>
      </w:pPr>
      <w:r w:rsidRPr="004B27D4">
        <w:rPr>
          <w:rFonts w:eastAsia="Times New Roman" w:cs="Arial"/>
          <w:color w:val="000000"/>
          <w:lang w:eastAsia="bg-BG"/>
        </w:rPr>
        <w:t xml:space="preserve">Според данни от литературата при пациенти с тежки конвулсивни форми на епилепсия, включително </w:t>
      </w:r>
      <w:r w:rsidRPr="004B27D4">
        <w:rPr>
          <w:rFonts w:eastAsia="Times New Roman" w:cs="Arial"/>
          <w:i/>
          <w:iCs/>
          <w:color w:val="000000"/>
          <w:lang w:val="en-US"/>
        </w:rPr>
        <w:t>status</w:t>
      </w:r>
      <w:r w:rsidRPr="004B27D4">
        <w:rPr>
          <w:rFonts w:eastAsia="Times New Roman" w:cs="Arial"/>
          <w:i/>
          <w:iCs/>
          <w:color w:val="000000"/>
          <w:lang w:val="ru-RU"/>
        </w:rPr>
        <w:t xml:space="preserve"> </w:t>
      </w:r>
      <w:r w:rsidRPr="004B27D4">
        <w:rPr>
          <w:rFonts w:eastAsia="Times New Roman" w:cs="Arial"/>
          <w:i/>
          <w:iCs/>
          <w:color w:val="000000"/>
          <w:lang w:val="en-US"/>
        </w:rPr>
        <w:t>epilepiicus</w:t>
      </w:r>
      <w:r w:rsidRPr="004B27D4">
        <w:rPr>
          <w:rFonts w:eastAsia="Times New Roman" w:cs="Arial"/>
          <w:i/>
          <w:iCs/>
          <w:color w:val="000000"/>
          <w:lang w:val="ru-RU"/>
        </w:rPr>
        <w:t>,</w:t>
      </w:r>
      <w:r w:rsidRPr="004B27D4">
        <w:rPr>
          <w:rFonts w:eastAsia="Times New Roman" w:cs="Arial"/>
          <w:color w:val="000000"/>
          <w:lang w:val="ru-RU"/>
        </w:rPr>
        <w:t xml:space="preserve"> </w:t>
      </w:r>
      <w:r w:rsidRPr="004B27D4">
        <w:rPr>
          <w:rFonts w:eastAsia="Times New Roman" w:cs="Arial"/>
          <w:color w:val="000000"/>
          <w:lang w:eastAsia="bg-BG"/>
        </w:rPr>
        <w:t>може да се развие рабдомиолиза, мултиорганна дисфункция и дисеминирана вътресъдова коагулопатия, в някои случаи с летален изход. Описвани са подобни случаи, свързани с приложението на ламотрижин.</w:t>
      </w:r>
    </w:p>
    <w:p w14:paraId="2FA44D26" w14:textId="77777777" w:rsidR="004B27D4" w:rsidRPr="004B27D4" w:rsidRDefault="004B27D4" w:rsidP="004B27D4">
      <w:pPr>
        <w:rPr>
          <w:rFonts w:eastAsia="Times New Roman" w:cs="Arial"/>
          <w:color w:val="000000"/>
          <w:lang w:eastAsia="bg-BG"/>
        </w:rPr>
      </w:pPr>
    </w:p>
    <w:p w14:paraId="72952F52" w14:textId="77777777" w:rsidR="004B27D4" w:rsidRPr="004B27D4" w:rsidRDefault="004B27D4" w:rsidP="004B27D4">
      <w:pPr>
        <w:rPr>
          <w:rFonts w:eastAsia="Times New Roman" w:cs="Arial"/>
        </w:rPr>
      </w:pPr>
      <w:r w:rsidRPr="004B27D4">
        <w:rPr>
          <w:rFonts w:eastAsia="Times New Roman" w:cs="Arial"/>
          <w:color w:val="000000"/>
          <w:lang w:eastAsia="bg-BG"/>
        </w:rPr>
        <w:t>Може да се наблюдава клинично значимо влошаване в честотата на припадъците вместо подобрение. При пациенти с повече от един тип припадъци, установената полза от контрола на</w:t>
      </w:r>
      <w:r w:rsidRPr="004B27D4">
        <w:rPr>
          <w:rFonts w:eastAsia="Times New Roman" w:cs="Arial"/>
          <w:color w:val="000000"/>
          <w:lang w:val="ru-RU" w:eastAsia="bg-BG"/>
        </w:rPr>
        <w:t xml:space="preserve"> </w:t>
      </w:r>
      <w:r w:rsidRPr="004B27D4">
        <w:rPr>
          <w:rFonts w:eastAsia="Times New Roman" w:cs="Arial"/>
          <w:color w:val="000000"/>
          <w:lang w:eastAsia="bg-BG"/>
        </w:rPr>
        <w:t>един тип припадък трябва да бъде преценена срещу каквото и да е наблюдавано влошаване при другите тилове припадъци.</w:t>
      </w:r>
    </w:p>
    <w:p w14:paraId="6C0B4953" w14:textId="77777777" w:rsidR="004B27D4" w:rsidRPr="004B27D4" w:rsidRDefault="004B27D4" w:rsidP="004B27D4">
      <w:pPr>
        <w:spacing w:line="240" w:lineRule="auto"/>
        <w:rPr>
          <w:rFonts w:eastAsia="Times New Roman" w:cs="Arial"/>
          <w:color w:val="000000"/>
          <w:lang w:eastAsia="bg-BG"/>
        </w:rPr>
      </w:pPr>
    </w:p>
    <w:p w14:paraId="604540E4" w14:textId="6CFAC959" w:rsidR="004B27D4" w:rsidRPr="004B27D4" w:rsidRDefault="004B27D4" w:rsidP="004B27D4">
      <w:pPr>
        <w:spacing w:line="240" w:lineRule="auto"/>
        <w:rPr>
          <w:rFonts w:eastAsia="Times New Roman" w:cs="Arial"/>
        </w:rPr>
      </w:pPr>
      <w:r w:rsidRPr="004B27D4">
        <w:rPr>
          <w:rFonts w:eastAsia="Times New Roman" w:cs="Arial"/>
          <w:color w:val="000000"/>
          <w:lang w:eastAsia="bg-BG"/>
        </w:rPr>
        <w:t>Миоклоничните припадъци може да бъдат влошени от ламотрижин.</w:t>
      </w:r>
    </w:p>
    <w:p w14:paraId="58B40D15" w14:textId="77777777" w:rsidR="004B27D4" w:rsidRPr="004B27D4" w:rsidRDefault="004B27D4" w:rsidP="004B27D4">
      <w:pPr>
        <w:spacing w:line="240" w:lineRule="auto"/>
        <w:rPr>
          <w:rFonts w:eastAsia="Times New Roman" w:cs="Arial"/>
          <w:color w:val="000000"/>
          <w:lang w:eastAsia="bg-BG"/>
        </w:rPr>
      </w:pPr>
    </w:p>
    <w:p w14:paraId="5BD75E71" w14:textId="0808E7DF" w:rsidR="004B27D4" w:rsidRPr="004B27D4" w:rsidRDefault="004B27D4" w:rsidP="004B27D4">
      <w:pPr>
        <w:spacing w:line="240" w:lineRule="auto"/>
        <w:rPr>
          <w:rFonts w:eastAsia="Times New Roman" w:cs="Arial"/>
        </w:rPr>
      </w:pPr>
      <w:r w:rsidRPr="004B27D4">
        <w:rPr>
          <w:rFonts w:eastAsia="Times New Roman" w:cs="Arial"/>
          <w:color w:val="000000"/>
          <w:lang w:eastAsia="bg-BG"/>
        </w:rPr>
        <w:t>Налице е предположение от наличните данни, че отговорите при комбинацията с ензимни индуктори са по-слаби в сравнение с комбинацията с антиепилептични средства, които не индуцират ензими. Причината не е изяснена.</w:t>
      </w:r>
    </w:p>
    <w:p w14:paraId="18A823C6" w14:textId="77777777" w:rsidR="004B27D4" w:rsidRPr="004B27D4" w:rsidRDefault="004B27D4" w:rsidP="004B27D4">
      <w:pPr>
        <w:spacing w:line="240" w:lineRule="auto"/>
        <w:rPr>
          <w:rFonts w:eastAsia="Times New Roman" w:cs="Arial"/>
          <w:color w:val="000000"/>
          <w:lang w:eastAsia="bg-BG"/>
        </w:rPr>
      </w:pPr>
    </w:p>
    <w:p w14:paraId="704EF94D" w14:textId="0E66CBE1" w:rsidR="004B27D4" w:rsidRPr="004B27D4" w:rsidRDefault="004B27D4" w:rsidP="004B27D4">
      <w:pPr>
        <w:spacing w:line="240" w:lineRule="auto"/>
        <w:rPr>
          <w:rFonts w:eastAsia="Times New Roman" w:cs="Arial"/>
        </w:rPr>
      </w:pPr>
      <w:r w:rsidRPr="004B27D4">
        <w:rPr>
          <w:rFonts w:eastAsia="Times New Roman" w:cs="Arial"/>
          <w:color w:val="000000"/>
          <w:lang w:eastAsia="bg-BG"/>
        </w:rPr>
        <w:t>При деца, които приемат ламотрижин за лечение на типични абсанси, е възможно ефикасността да не се поддържа при всички пациенти.</w:t>
      </w:r>
    </w:p>
    <w:p w14:paraId="5F69BA75" w14:textId="77777777" w:rsidR="004B27D4" w:rsidRPr="004B27D4" w:rsidRDefault="004B27D4" w:rsidP="004B27D4">
      <w:pPr>
        <w:spacing w:line="240" w:lineRule="auto"/>
        <w:rPr>
          <w:rFonts w:eastAsia="Times New Roman" w:cs="Arial"/>
          <w:color w:val="000000"/>
          <w:u w:val="single"/>
          <w:lang w:eastAsia="bg-BG"/>
        </w:rPr>
      </w:pPr>
    </w:p>
    <w:p w14:paraId="20BF0087" w14:textId="05711CC7"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Предпазни мерки при биполярно разстройство</w:t>
      </w:r>
    </w:p>
    <w:p w14:paraId="3AF28CDE" w14:textId="77777777" w:rsidR="004B27D4" w:rsidRPr="004B27D4" w:rsidRDefault="004B27D4" w:rsidP="004B27D4">
      <w:pPr>
        <w:spacing w:line="240" w:lineRule="auto"/>
        <w:rPr>
          <w:rFonts w:eastAsia="Times New Roman" w:cs="Arial"/>
          <w:i/>
          <w:iCs/>
          <w:color w:val="000000"/>
          <w:lang w:eastAsia="bg-BG"/>
        </w:rPr>
      </w:pPr>
    </w:p>
    <w:p w14:paraId="5A83F0C4" w14:textId="7623153C" w:rsidR="004B27D4" w:rsidRPr="004B27D4" w:rsidRDefault="004B27D4" w:rsidP="004B27D4">
      <w:pPr>
        <w:spacing w:line="240" w:lineRule="auto"/>
        <w:rPr>
          <w:rFonts w:eastAsia="Times New Roman" w:cs="Arial"/>
        </w:rPr>
      </w:pPr>
      <w:r w:rsidRPr="004B27D4">
        <w:rPr>
          <w:rFonts w:eastAsia="Times New Roman" w:cs="Arial"/>
          <w:i/>
          <w:iCs/>
          <w:color w:val="000000"/>
          <w:lang w:eastAsia="bg-BG"/>
        </w:rPr>
        <w:t>Деца и юноши под 18 години</w:t>
      </w:r>
    </w:p>
    <w:p w14:paraId="12B8721D" w14:textId="77777777" w:rsidR="004B27D4" w:rsidRPr="004B27D4" w:rsidRDefault="004B27D4" w:rsidP="004B27D4">
      <w:pPr>
        <w:spacing w:line="240" w:lineRule="auto"/>
        <w:rPr>
          <w:rFonts w:eastAsia="Times New Roman" w:cs="Arial"/>
        </w:rPr>
      </w:pPr>
      <w:r w:rsidRPr="004B27D4">
        <w:rPr>
          <w:rFonts w:eastAsia="Times New Roman" w:cs="Arial"/>
          <w:color w:val="000000"/>
          <w:lang w:eastAsia="bg-BG"/>
        </w:rPr>
        <w:t>Лечението с антидепресанти е свързано с повишен риск от суицидни мисли и поведение при деца и юноши с голям депресивен епизод и други психични разстройства.</w:t>
      </w:r>
    </w:p>
    <w:p w14:paraId="20292A35" w14:textId="77777777" w:rsidR="004B27D4" w:rsidRPr="004B27D4" w:rsidRDefault="004B27D4" w:rsidP="004B27D4">
      <w:pPr>
        <w:spacing w:line="240" w:lineRule="auto"/>
        <w:rPr>
          <w:rFonts w:eastAsia="Times New Roman" w:cs="Arial"/>
          <w:color w:val="000000"/>
          <w:u w:val="single"/>
          <w:lang w:eastAsia="bg-BG"/>
        </w:rPr>
      </w:pPr>
    </w:p>
    <w:p w14:paraId="48FE6D05" w14:textId="0612F40C" w:rsidR="004B27D4" w:rsidRPr="004B27D4" w:rsidRDefault="004B27D4" w:rsidP="004B27D4">
      <w:pPr>
        <w:spacing w:line="240" w:lineRule="auto"/>
        <w:rPr>
          <w:rFonts w:eastAsia="Times New Roman" w:cs="Arial"/>
        </w:rPr>
      </w:pPr>
      <w:r w:rsidRPr="004B27D4">
        <w:rPr>
          <w:rFonts w:eastAsia="Times New Roman" w:cs="Arial"/>
          <w:color w:val="000000"/>
          <w:u w:val="single"/>
          <w:lang w:eastAsia="bg-BG"/>
        </w:rPr>
        <w:t>Помощни вещества в Епитрижин таблетки</w:t>
      </w:r>
    </w:p>
    <w:p w14:paraId="63A93247" w14:textId="77777777" w:rsidR="004B27D4" w:rsidRPr="00DF5B05" w:rsidRDefault="004B27D4" w:rsidP="004B27D4">
      <w:pPr>
        <w:spacing w:line="240" w:lineRule="auto"/>
        <w:rPr>
          <w:rFonts w:eastAsia="Times New Roman" w:cs="Arial"/>
          <w:lang w:val="en-US"/>
        </w:rPr>
      </w:pPr>
      <w:r w:rsidRPr="004B27D4">
        <w:rPr>
          <w:rFonts w:eastAsia="Times New Roman" w:cs="Arial"/>
          <w:color w:val="000000"/>
          <w:lang w:eastAsia="bg-BG"/>
        </w:rPr>
        <w:t xml:space="preserve">Таблетките Епитрижин съдържат лактоза монохидрат. Пациенти </w:t>
      </w:r>
      <w:r w:rsidRPr="004B27D4">
        <w:rPr>
          <w:rFonts w:eastAsia="Times New Roman" w:cs="Arial"/>
          <w:i/>
          <w:iCs/>
          <w:color w:val="000000"/>
          <w:lang w:eastAsia="bg-BG"/>
        </w:rPr>
        <w:t>с</w:t>
      </w:r>
      <w:r w:rsidRPr="004B27D4">
        <w:rPr>
          <w:rFonts w:eastAsia="Times New Roman" w:cs="Arial"/>
          <w:color w:val="000000"/>
          <w:lang w:eastAsia="bg-BG"/>
        </w:rPr>
        <w:t xml:space="preserve">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2147D641" w14:textId="4D3070F0" w:rsidR="004B27D4" w:rsidRPr="004B27D4" w:rsidRDefault="004B27D4" w:rsidP="004B27D4"/>
    <w:p w14:paraId="0734264C" w14:textId="06B38262"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F9DAE03" w14:textId="4F297CB6" w:rsidR="00DF5B05" w:rsidRDefault="00DF5B05" w:rsidP="00DF5B05"/>
    <w:p w14:paraId="4843BB08" w14:textId="77777777" w:rsidR="00DF5B05" w:rsidRPr="00DF5B05" w:rsidRDefault="00DF5B05" w:rsidP="00DF5B05">
      <w:pPr>
        <w:spacing w:line="240" w:lineRule="auto"/>
        <w:rPr>
          <w:rFonts w:eastAsia="Times New Roman" w:cs="Arial"/>
          <w:sz w:val="24"/>
          <w:szCs w:val="24"/>
        </w:rPr>
      </w:pPr>
      <w:r w:rsidRPr="00DF5B05">
        <w:rPr>
          <w:rFonts w:eastAsia="Times New Roman" w:cs="Arial"/>
          <w:color w:val="000000"/>
          <w:lang w:eastAsia="bg-BG"/>
        </w:rPr>
        <w:t>Изпитвания, свързани с лекарствени и други взаимодействия, са провеждани само при възрастни пациенти.</w:t>
      </w:r>
    </w:p>
    <w:p w14:paraId="352E14F0" w14:textId="77777777" w:rsidR="00DF5B05" w:rsidRPr="00402E6B" w:rsidRDefault="00DF5B05" w:rsidP="00DF5B05">
      <w:pPr>
        <w:spacing w:line="240" w:lineRule="auto"/>
        <w:rPr>
          <w:rFonts w:eastAsia="Times New Roman" w:cs="Arial"/>
          <w:color w:val="000000"/>
          <w:lang w:eastAsia="bg-BG"/>
        </w:rPr>
      </w:pPr>
    </w:p>
    <w:p w14:paraId="696AF081" w14:textId="19177D49" w:rsidR="00DF5B05" w:rsidRPr="00DF5B05" w:rsidRDefault="00DF5B05" w:rsidP="00DF5B05">
      <w:pPr>
        <w:spacing w:line="240" w:lineRule="auto"/>
        <w:rPr>
          <w:rFonts w:eastAsia="Times New Roman" w:cs="Arial"/>
          <w:sz w:val="24"/>
          <w:szCs w:val="24"/>
        </w:rPr>
      </w:pPr>
      <w:r w:rsidRPr="00DF5B05">
        <w:rPr>
          <w:rFonts w:eastAsia="Times New Roman" w:cs="Arial"/>
          <w:color w:val="000000"/>
          <w:lang w:eastAsia="bg-BG"/>
        </w:rPr>
        <w:t xml:space="preserve">Уридин 5-дифосфо (УДФ)-глюкуронил трансферазите </w:t>
      </w:r>
      <w:r w:rsidRPr="00DF5B05">
        <w:rPr>
          <w:rFonts w:eastAsia="Times New Roman" w:cs="Arial"/>
          <w:color w:val="000000"/>
          <w:lang w:val="ru-RU"/>
        </w:rPr>
        <w:t>(</w:t>
      </w:r>
      <w:r w:rsidRPr="00DF5B05">
        <w:rPr>
          <w:rFonts w:eastAsia="Times New Roman" w:cs="Arial"/>
          <w:color w:val="000000"/>
          <w:lang w:val="en-US"/>
        </w:rPr>
        <w:t>UGTs</w:t>
      </w:r>
      <w:r w:rsidRPr="00DF5B05">
        <w:rPr>
          <w:rFonts w:eastAsia="Times New Roman" w:cs="Arial"/>
          <w:color w:val="000000"/>
          <w:lang w:val="ru-RU"/>
        </w:rPr>
        <w:t xml:space="preserve">) </w:t>
      </w:r>
      <w:r w:rsidRPr="00DF5B05">
        <w:rPr>
          <w:rFonts w:eastAsia="Times New Roman" w:cs="Arial"/>
          <w:color w:val="000000"/>
          <w:lang w:eastAsia="bg-BG"/>
        </w:rPr>
        <w:t xml:space="preserve">са идентифицирани като ензимите, отговорни за метаболизма на ламотрижин. Ето защо, веществата, които индуцират или инхибират глюкуронидирането, могат да окажат влияние върху привидния клирънс на ламотрижин. Силни или умерени индуктори на цитохром Р450 ЗА4 </w:t>
      </w:r>
      <w:r w:rsidRPr="00DF5B05">
        <w:rPr>
          <w:rFonts w:eastAsia="Times New Roman" w:cs="Arial"/>
          <w:color w:val="000000"/>
          <w:lang w:val="ru-RU"/>
        </w:rPr>
        <w:t>(</w:t>
      </w:r>
      <w:r w:rsidRPr="00DF5B05">
        <w:rPr>
          <w:rFonts w:eastAsia="Times New Roman" w:cs="Arial"/>
          <w:color w:val="000000"/>
          <w:lang w:val="en-US"/>
        </w:rPr>
        <w:t>CYP</w:t>
      </w:r>
      <w:r w:rsidRPr="00DF5B05">
        <w:rPr>
          <w:rFonts w:eastAsia="Times New Roman" w:cs="Arial"/>
          <w:color w:val="000000"/>
          <w:lang w:val="ru-RU"/>
        </w:rPr>
        <w:t>3</w:t>
      </w:r>
      <w:r w:rsidRPr="00DF5B05">
        <w:rPr>
          <w:rFonts w:eastAsia="Times New Roman" w:cs="Arial"/>
          <w:color w:val="000000"/>
          <w:lang w:val="en-US"/>
        </w:rPr>
        <w:t>A</w:t>
      </w:r>
      <w:r w:rsidRPr="00DF5B05">
        <w:rPr>
          <w:rFonts w:eastAsia="Times New Roman" w:cs="Arial"/>
          <w:color w:val="000000"/>
          <w:lang w:val="ru-RU"/>
        </w:rPr>
        <w:t xml:space="preserve">4) </w:t>
      </w:r>
      <w:r w:rsidRPr="00DF5B05">
        <w:rPr>
          <w:rFonts w:eastAsia="Times New Roman" w:cs="Arial"/>
          <w:color w:val="000000"/>
          <w:lang w:eastAsia="bg-BG"/>
        </w:rPr>
        <w:t xml:space="preserve">ензимите, за които също е известно, че са индуктори на </w:t>
      </w:r>
      <w:r w:rsidRPr="00DF5B05">
        <w:rPr>
          <w:rFonts w:eastAsia="Times New Roman" w:cs="Arial"/>
          <w:color w:val="000000"/>
          <w:lang w:val="en-US"/>
        </w:rPr>
        <w:t>UGTs</w:t>
      </w:r>
      <w:r w:rsidRPr="00DF5B05">
        <w:rPr>
          <w:rFonts w:eastAsia="Times New Roman" w:cs="Arial"/>
          <w:color w:val="000000"/>
          <w:lang w:val="ru-RU"/>
        </w:rPr>
        <w:t xml:space="preserve">, </w:t>
      </w:r>
      <w:r w:rsidRPr="00DF5B05">
        <w:rPr>
          <w:rFonts w:eastAsia="Times New Roman" w:cs="Arial"/>
          <w:color w:val="000000"/>
          <w:lang w:eastAsia="bg-BG"/>
        </w:rPr>
        <w:t>могат също да ускорят метаболизма на ламотрижин.</w:t>
      </w:r>
    </w:p>
    <w:p w14:paraId="6CFDDC7F" w14:textId="77777777" w:rsidR="00DF5B05" w:rsidRPr="00402E6B" w:rsidRDefault="00DF5B05" w:rsidP="00DF5B05">
      <w:pPr>
        <w:spacing w:line="240" w:lineRule="auto"/>
        <w:rPr>
          <w:rFonts w:eastAsia="Times New Roman" w:cs="Arial"/>
          <w:color w:val="000000"/>
          <w:lang w:eastAsia="bg-BG"/>
        </w:rPr>
      </w:pPr>
    </w:p>
    <w:p w14:paraId="46997375" w14:textId="43E6169A" w:rsidR="00DF5B05" w:rsidRPr="00DF5B05" w:rsidRDefault="00DF5B05" w:rsidP="00DF5B05">
      <w:pPr>
        <w:spacing w:line="240" w:lineRule="auto"/>
        <w:rPr>
          <w:rFonts w:eastAsia="Times New Roman" w:cs="Arial"/>
          <w:sz w:val="24"/>
          <w:szCs w:val="24"/>
        </w:rPr>
      </w:pPr>
      <w:r w:rsidRPr="00DF5B05">
        <w:rPr>
          <w:rFonts w:eastAsia="Times New Roman" w:cs="Arial"/>
          <w:color w:val="000000"/>
          <w:lang w:eastAsia="bg-BG"/>
        </w:rPr>
        <w:t>Няма данни, че ламотрижин предизвиква клинично значимо индуциране или инхибиране на цитохром Р450 ензимите. Ламотрижин може да индуцира своя собствен метаболизъм, като този ефект е умерено проявен и няма клинично значими последствия.</w:t>
      </w:r>
    </w:p>
    <w:p w14:paraId="445ACDF9" w14:textId="77777777" w:rsidR="00370F80" w:rsidRPr="00402E6B" w:rsidRDefault="00370F80" w:rsidP="00DF5B05">
      <w:pPr>
        <w:spacing w:line="240" w:lineRule="auto"/>
        <w:rPr>
          <w:rFonts w:eastAsia="Times New Roman" w:cs="Arial"/>
          <w:color w:val="000000"/>
          <w:lang w:eastAsia="bg-BG"/>
        </w:rPr>
      </w:pPr>
    </w:p>
    <w:p w14:paraId="07EF2D3E" w14:textId="5E5029A7" w:rsidR="00DF5B05" w:rsidRPr="00DF5B05" w:rsidRDefault="00DF5B05" w:rsidP="00DF5B05">
      <w:pPr>
        <w:spacing w:line="240" w:lineRule="auto"/>
        <w:rPr>
          <w:rFonts w:eastAsia="Times New Roman" w:cs="Arial"/>
          <w:sz w:val="24"/>
          <w:szCs w:val="24"/>
        </w:rPr>
      </w:pPr>
      <w:r w:rsidRPr="00DF5B05">
        <w:rPr>
          <w:rFonts w:eastAsia="Times New Roman" w:cs="Arial"/>
          <w:color w:val="000000"/>
          <w:lang w:eastAsia="bg-BG"/>
        </w:rPr>
        <w:t>Лекарства, за които е установено, че имат клинично значимо влияние върху метаболизма на ламотрижин, са посочени в Таблица 6. Специфични препоръки за дозировка относно тези лекарствени продукти са предоставени в точка 4.2. В допълнение тази таблица изброява тези лекарства, за които е доказано, че имат малък или нямат ефект върху концентрацията на ламотрижин. По принцип не се очаква едновременното прилагане на такива лекарства да доведе до някакво клинично въздействие. Въпреки това трябва да се обърне внимание на пациенти, чиято епилепсия е особено чувствителна към колебанията в концентрациите на ламотрижин.</w:t>
      </w:r>
    </w:p>
    <w:p w14:paraId="17FD5798" w14:textId="77777777" w:rsidR="00370F80" w:rsidRPr="00402E6B" w:rsidRDefault="00370F80" w:rsidP="00DF5B05">
      <w:pPr>
        <w:rPr>
          <w:rFonts w:eastAsia="Times New Roman" w:cs="Arial"/>
          <w:i/>
          <w:iCs/>
          <w:color w:val="000000"/>
          <w:u w:val="single"/>
          <w:lang w:eastAsia="bg-BG"/>
        </w:rPr>
      </w:pPr>
    </w:p>
    <w:p w14:paraId="05A220DF" w14:textId="6D160E0D" w:rsidR="00DF5B05" w:rsidRPr="00402E6B" w:rsidRDefault="00DF5B05" w:rsidP="00DF5B05">
      <w:pPr>
        <w:rPr>
          <w:rFonts w:eastAsia="Times New Roman" w:cs="Arial"/>
          <w:i/>
          <w:iCs/>
          <w:color w:val="000000"/>
          <w:u w:val="single"/>
          <w:lang w:eastAsia="bg-BG"/>
        </w:rPr>
      </w:pPr>
      <w:r w:rsidRPr="00402E6B">
        <w:rPr>
          <w:rFonts w:eastAsia="Times New Roman" w:cs="Arial"/>
          <w:i/>
          <w:iCs/>
          <w:color w:val="000000"/>
          <w:u w:val="single"/>
          <w:lang w:eastAsia="bg-BG"/>
        </w:rPr>
        <w:t>Таблица 6: Ефекти на други лекарствени продукти върху глюкуронирането на ламотрижин</w:t>
      </w:r>
    </w:p>
    <w:tbl>
      <w:tblPr>
        <w:tblStyle w:val="TableGrid"/>
        <w:tblW w:w="0" w:type="auto"/>
        <w:tblLook w:val="04A0" w:firstRow="1" w:lastRow="0" w:firstColumn="1" w:lastColumn="0" w:noHBand="0" w:noVBand="1"/>
      </w:tblPr>
      <w:tblGrid>
        <w:gridCol w:w="2773"/>
        <w:gridCol w:w="3804"/>
        <w:gridCol w:w="2773"/>
      </w:tblGrid>
      <w:tr w:rsidR="00402E6B" w14:paraId="72F6E6C4" w14:textId="77777777" w:rsidTr="00402E6B">
        <w:tc>
          <w:tcPr>
            <w:tcW w:w="3192" w:type="dxa"/>
          </w:tcPr>
          <w:p w14:paraId="259759CF" w14:textId="767B2E25" w:rsidR="00402E6B" w:rsidRDefault="00402E6B" w:rsidP="00402E6B">
            <w:r>
              <w:rPr>
                <w:b/>
                <w:bCs/>
              </w:rPr>
              <w:t>Лекарствени продукти, които значително инхибират глюкуронирането на ламотрижин</w:t>
            </w:r>
          </w:p>
        </w:tc>
        <w:tc>
          <w:tcPr>
            <w:tcW w:w="3192" w:type="dxa"/>
          </w:tcPr>
          <w:p w14:paraId="3A5D1060" w14:textId="6EA64B88" w:rsidR="00402E6B" w:rsidRDefault="00402E6B" w:rsidP="00402E6B">
            <w:r>
              <w:rPr>
                <w:b/>
                <w:bCs/>
              </w:rPr>
              <w:t>Лекарствени продукти, които значително индуцират глюкуронирането на ламотрижин</w:t>
            </w:r>
          </w:p>
        </w:tc>
        <w:tc>
          <w:tcPr>
            <w:tcW w:w="3192" w:type="dxa"/>
            <w:vAlign w:val="bottom"/>
          </w:tcPr>
          <w:p w14:paraId="1F49F2DE" w14:textId="7CAC979D" w:rsidR="00402E6B" w:rsidRDefault="00402E6B" w:rsidP="00402E6B">
            <w:r>
              <w:rPr>
                <w:b/>
                <w:bCs/>
              </w:rPr>
              <w:t>Лекарствени продукти, които незначително инхибират или индуцират глюкуронирането на ламотрижин</w:t>
            </w:r>
          </w:p>
        </w:tc>
      </w:tr>
      <w:tr w:rsidR="00402E6B" w14:paraId="3FD1F3B3" w14:textId="77777777" w:rsidTr="00402E6B">
        <w:tc>
          <w:tcPr>
            <w:tcW w:w="3192" w:type="dxa"/>
          </w:tcPr>
          <w:p w14:paraId="04FFEF48" w14:textId="044161F1" w:rsidR="00402E6B" w:rsidRDefault="00402E6B" w:rsidP="00402E6B">
            <w:r>
              <w:lastRenderedPageBreak/>
              <w:t>Валпроат</w:t>
            </w:r>
          </w:p>
        </w:tc>
        <w:tc>
          <w:tcPr>
            <w:tcW w:w="3192" w:type="dxa"/>
          </w:tcPr>
          <w:p w14:paraId="698B5D38" w14:textId="5B57106C" w:rsidR="00402E6B" w:rsidRDefault="00402E6B" w:rsidP="00402E6B">
            <w:r>
              <w:t>Фенитоин</w:t>
            </w:r>
          </w:p>
        </w:tc>
        <w:tc>
          <w:tcPr>
            <w:tcW w:w="3192" w:type="dxa"/>
          </w:tcPr>
          <w:p w14:paraId="228412CC" w14:textId="361DF014" w:rsidR="00402E6B" w:rsidRDefault="00402E6B" w:rsidP="00402E6B">
            <w:r>
              <w:t>Окскарбазепин</w:t>
            </w:r>
          </w:p>
        </w:tc>
      </w:tr>
      <w:tr w:rsidR="00402E6B" w14:paraId="6DBC81E2" w14:textId="77777777" w:rsidTr="00402E6B">
        <w:tc>
          <w:tcPr>
            <w:tcW w:w="3192" w:type="dxa"/>
          </w:tcPr>
          <w:p w14:paraId="747F00D3" w14:textId="77777777" w:rsidR="00402E6B" w:rsidRDefault="00402E6B" w:rsidP="00402E6B"/>
        </w:tc>
        <w:tc>
          <w:tcPr>
            <w:tcW w:w="3192" w:type="dxa"/>
          </w:tcPr>
          <w:p w14:paraId="474FA6F2" w14:textId="2E12D2EF" w:rsidR="00402E6B" w:rsidRDefault="00402E6B" w:rsidP="00402E6B">
            <w:r>
              <w:t>Карбамазепин</w:t>
            </w:r>
          </w:p>
        </w:tc>
        <w:tc>
          <w:tcPr>
            <w:tcW w:w="3192" w:type="dxa"/>
          </w:tcPr>
          <w:p w14:paraId="55C47B56" w14:textId="2332E6CE" w:rsidR="00402E6B" w:rsidRDefault="00402E6B" w:rsidP="00402E6B">
            <w:r>
              <w:t>Фелбамат</w:t>
            </w:r>
          </w:p>
        </w:tc>
      </w:tr>
      <w:tr w:rsidR="00402E6B" w14:paraId="02E318FD" w14:textId="77777777" w:rsidTr="00402E6B">
        <w:tc>
          <w:tcPr>
            <w:tcW w:w="3192" w:type="dxa"/>
          </w:tcPr>
          <w:p w14:paraId="73CFADAA" w14:textId="77777777" w:rsidR="00402E6B" w:rsidRDefault="00402E6B" w:rsidP="00402E6B"/>
        </w:tc>
        <w:tc>
          <w:tcPr>
            <w:tcW w:w="3192" w:type="dxa"/>
          </w:tcPr>
          <w:p w14:paraId="014648A0" w14:textId="72CD275A" w:rsidR="00402E6B" w:rsidRDefault="00402E6B" w:rsidP="00402E6B">
            <w:r>
              <w:t>Фенобарбитал</w:t>
            </w:r>
          </w:p>
        </w:tc>
        <w:tc>
          <w:tcPr>
            <w:tcW w:w="3192" w:type="dxa"/>
          </w:tcPr>
          <w:p w14:paraId="005CCAF7" w14:textId="436BA294" w:rsidR="00402E6B" w:rsidRDefault="00402E6B" w:rsidP="00402E6B">
            <w:r>
              <w:t>Габапентин</w:t>
            </w:r>
          </w:p>
        </w:tc>
      </w:tr>
      <w:tr w:rsidR="00402E6B" w14:paraId="1185B758" w14:textId="77777777" w:rsidTr="00402E6B">
        <w:tc>
          <w:tcPr>
            <w:tcW w:w="3192" w:type="dxa"/>
          </w:tcPr>
          <w:p w14:paraId="5D4243D0" w14:textId="77777777" w:rsidR="00402E6B" w:rsidRDefault="00402E6B" w:rsidP="00402E6B"/>
        </w:tc>
        <w:tc>
          <w:tcPr>
            <w:tcW w:w="3192" w:type="dxa"/>
          </w:tcPr>
          <w:p w14:paraId="523062D8" w14:textId="1348DD69" w:rsidR="00402E6B" w:rsidRDefault="00402E6B" w:rsidP="00402E6B">
            <w:r>
              <w:t>Примидон</w:t>
            </w:r>
          </w:p>
        </w:tc>
        <w:tc>
          <w:tcPr>
            <w:tcW w:w="3192" w:type="dxa"/>
          </w:tcPr>
          <w:p w14:paraId="254CE1F8" w14:textId="6D62D038" w:rsidR="00402E6B" w:rsidRDefault="00402E6B" w:rsidP="00402E6B">
            <w:r>
              <w:t>Леветирацетам</w:t>
            </w:r>
          </w:p>
        </w:tc>
      </w:tr>
      <w:tr w:rsidR="00402E6B" w14:paraId="6C1B4B96" w14:textId="77777777" w:rsidTr="00402E6B">
        <w:tc>
          <w:tcPr>
            <w:tcW w:w="3192" w:type="dxa"/>
          </w:tcPr>
          <w:p w14:paraId="51D7730D" w14:textId="77777777" w:rsidR="00402E6B" w:rsidRDefault="00402E6B" w:rsidP="00402E6B"/>
        </w:tc>
        <w:tc>
          <w:tcPr>
            <w:tcW w:w="3192" w:type="dxa"/>
          </w:tcPr>
          <w:p w14:paraId="51658985" w14:textId="02DAF4B3" w:rsidR="00402E6B" w:rsidRDefault="00402E6B" w:rsidP="00402E6B">
            <w:r>
              <w:t>Рифампицин</w:t>
            </w:r>
          </w:p>
        </w:tc>
        <w:tc>
          <w:tcPr>
            <w:tcW w:w="3192" w:type="dxa"/>
          </w:tcPr>
          <w:p w14:paraId="3F599E50" w14:textId="24EA3059" w:rsidR="00402E6B" w:rsidRDefault="00402E6B" w:rsidP="00402E6B">
            <w:r>
              <w:t>Прегабалин</w:t>
            </w:r>
          </w:p>
        </w:tc>
      </w:tr>
      <w:tr w:rsidR="00402E6B" w14:paraId="00269044" w14:textId="77777777" w:rsidTr="00402E6B">
        <w:tc>
          <w:tcPr>
            <w:tcW w:w="3192" w:type="dxa"/>
          </w:tcPr>
          <w:p w14:paraId="6E2FA23D" w14:textId="77777777" w:rsidR="00402E6B" w:rsidRDefault="00402E6B" w:rsidP="00402E6B"/>
        </w:tc>
        <w:tc>
          <w:tcPr>
            <w:tcW w:w="3192" w:type="dxa"/>
          </w:tcPr>
          <w:p w14:paraId="346FFBF7" w14:textId="474D9E73" w:rsidR="00402E6B" w:rsidRDefault="00402E6B" w:rsidP="00402E6B">
            <w:r>
              <w:t>Лопинавир/ритонавир</w:t>
            </w:r>
          </w:p>
        </w:tc>
        <w:tc>
          <w:tcPr>
            <w:tcW w:w="3192" w:type="dxa"/>
          </w:tcPr>
          <w:p w14:paraId="47220BAC" w14:textId="07C483A3" w:rsidR="00402E6B" w:rsidRDefault="00402E6B" w:rsidP="00402E6B">
            <w:r>
              <w:t>Топирамат</w:t>
            </w:r>
          </w:p>
        </w:tc>
      </w:tr>
      <w:tr w:rsidR="00402E6B" w14:paraId="73B59475" w14:textId="77777777" w:rsidTr="00402E6B">
        <w:tc>
          <w:tcPr>
            <w:tcW w:w="3192" w:type="dxa"/>
          </w:tcPr>
          <w:p w14:paraId="62793ED1" w14:textId="77777777" w:rsidR="00402E6B" w:rsidRDefault="00402E6B" w:rsidP="00402E6B"/>
        </w:tc>
        <w:tc>
          <w:tcPr>
            <w:tcW w:w="3192" w:type="dxa"/>
          </w:tcPr>
          <w:p w14:paraId="18FAC03C" w14:textId="77777777" w:rsidR="00402E6B" w:rsidRDefault="00402E6B" w:rsidP="00402E6B">
            <w:r>
              <w:t>Комбинацията</w:t>
            </w:r>
          </w:p>
          <w:p w14:paraId="606BC805" w14:textId="66AD843A" w:rsidR="00402E6B" w:rsidRDefault="00402E6B" w:rsidP="00402E6B">
            <w:r>
              <w:t>етинилестрадиол/левоноргестрел*</w:t>
            </w:r>
          </w:p>
        </w:tc>
        <w:tc>
          <w:tcPr>
            <w:tcW w:w="3192" w:type="dxa"/>
          </w:tcPr>
          <w:p w14:paraId="21E545DB" w14:textId="29B69B62" w:rsidR="00402E6B" w:rsidRDefault="00402E6B" w:rsidP="00402E6B">
            <w:r>
              <w:t>Зонизамид</w:t>
            </w:r>
          </w:p>
        </w:tc>
      </w:tr>
      <w:tr w:rsidR="00402E6B" w14:paraId="27A62A30" w14:textId="77777777" w:rsidTr="00402E6B">
        <w:tc>
          <w:tcPr>
            <w:tcW w:w="3192" w:type="dxa"/>
          </w:tcPr>
          <w:p w14:paraId="180D4BA9" w14:textId="77777777" w:rsidR="00402E6B" w:rsidRDefault="00402E6B" w:rsidP="00402E6B"/>
        </w:tc>
        <w:tc>
          <w:tcPr>
            <w:tcW w:w="3192" w:type="dxa"/>
          </w:tcPr>
          <w:p w14:paraId="511C4F4F" w14:textId="5D73D12C" w:rsidR="00402E6B" w:rsidRDefault="00402E6B" w:rsidP="00402E6B">
            <w:r>
              <w:t>Атазанавир/ритонавир*</w:t>
            </w:r>
          </w:p>
        </w:tc>
        <w:tc>
          <w:tcPr>
            <w:tcW w:w="3192" w:type="dxa"/>
          </w:tcPr>
          <w:p w14:paraId="461B7D63" w14:textId="3F2C6545" w:rsidR="00402E6B" w:rsidRDefault="00402E6B" w:rsidP="00402E6B">
            <w:r>
              <w:t>Литий</w:t>
            </w:r>
          </w:p>
        </w:tc>
      </w:tr>
      <w:tr w:rsidR="00402E6B" w14:paraId="256C9E7D" w14:textId="77777777" w:rsidTr="00402E6B">
        <w:tc>
          <w:tcPr>
            <w:tcW w:w="3192" w:type="dxa"/>
          </w:tcPr>
          <w:p w14:paraId="2CAD4A81" w14:textId="77777777" w:rsidR="00402E6B" w:rsidRDefault="00402E6B" w:rsidP="00402E6B"/>
        </w:tc>
        <w:tc>
          <w:tcPr>
            <w:tcW w:w="3192" w:type="dxa"/>
          </w:tcPr>
          <w:p w14:paraId="0F101341" w14:textId="77777777" w:rsidR="00402E6B" w:rsidRDefault="00402E6B" w:rsidP="00402E6B"/>
        </w:tc>
        <w:tc>
          <w:tcPr>
            <w:tcW w:w="3192" w:type="dxa"/>
          </w:tcPr>
          <w:p w14:paraId="76BF56AA" w14:textId="2535CB34" w:rsidR="00402E6B" w:rsidRDefault="00402E6B" w:rsidP="00402E6B">
            <w:r>
              <w:t>Бупропион</w:t>
            </w:r>
          </w:p>
        </w:tc>
      </w:tr>
      <w:tr w:rsidR="00402E6B" w14:paraId="2B88BF48" w14:textId="77777777" w:rsidTr="00402E6B">
        <w:tc>
          <w:tcPr>
            <w:tcW w:w="3192" w:type="dxa"/>
          </w:tcPr>
          <w:p w14:paraId="5308D615" w14:textId="77777777" w:rsidR="00402E6B" w:rsidRDefault="00402E6B" w:rsidP="00402E6B"/>
        </w:tc>
        <w:tc>
          <w:tcPr>
            <w:tcW w:w="3192" w:type="dxa"/>
          </w:tcPr>
          <w:p w14:paraId="1509D812" w14:textId="77777777" w:rsidR="00402E6B" w:rsidRDefault="00402E6B" w:rsidP="00402E6B"/>
        </w:tc>
        <w:tc>
          <w:tcPr>
            <w:tcW w:w="3192" w:type="dxa"/>
          </w:tcPr>
          <w:p w14:paraId="35B2E85B" w14:textId="1BC15A24" w:rsidR="00402E6B" w:rsidRDefault="00402E6B" w:rsidP="00402E6B">
            <w:r>
              <w:t>Оланзапин</w:t>
            </w:r>
          </w:p>
        </w:tc>
      </w:tr>
      <w:tr w:rsidR="00402E6B" w14:paraId="60D67FCB" w14:textId="77777777" w:rsidTr="00402E6B">
        <w:tc>
          <w:tcPr>
            <w:tcW w:w="3192" w:type="dxa"/>
          </w:tcPr>
          <w:p w14:paraId="381EE6ED" w14:textId="77777777" w:rsidR="00402E6B" w:rsidRDefault="00402E6B" w:rsidP="00402E6B"/>
        </w:tc>
        <w:tc>
          <w:tcPr>
            <w:tcW w:w="3192" w:type="dxa"/>
          </w:tcPr>
          <w:p w14:paraId="148DEDAA" w14:textId="77777777" w:rsidR="00402E6B" w:rsidRDefault="00402E6B" w:rsidP="00402E6B"/>
        </w:tc>
        <w:tc>
          <w:tcPr>
            <w:tcW w:w="3192" w:type="dxa"/>
          </w:tcPr>
          <w:p w14:paraId="23E344E3" w14:textId="63ABDF28" w:rsidR="00402E6B" w:rsidRDefault="00402E6B" w:rsidP="00402E6B">
            <w:r>
              <w:t>Арипипразол</w:t>
            </w:r>
          </w:p>
        </w:tc>
      </w:tr>
      <w:tr w:rsidR="00402E6B" w14:paraId="5FEF563C" w14:textId="77777777" w:rsidTr="00402E6B">
        <w:tc>
          <w:tcPr>
            <w:tcW w:w="3192" w:type="dxa"/>
          </w:tcPr>
          <w:p w14:paraId="1FF18BF4" w14:textId="77777777" w:rsidR="00402E6B" w:rsidRDefault="00402E6B" w:rsidP="00402E6B"/>
        </w:tc>
        <w:tc>
          <w:tcPr>
            <w:tcW w:w="3192" w:type="dxa"/>
          </w:tcPr>
          <w:p w14:paraId="1092D720" w14:textId="77777777" w:rsidR="00402E6B" w:rsidRDefault="00402E6B" w:rsidP="00402E6B"/>
        </w:tc>
        <w:tc>
          <w:tcPr>
            <w:tcW w:w="3192" w:type="dxa"/>
          </w:tcPr>
          <w:p w14:paraId="6C53A50A" w14:textId="539CF7B1" w:rsidR="00402E6B" w:rsidRDefault="00402E6B" w:rsidP="00402E6B">
            <w:r>
              <w:t>Парацетамол</w:t>
            </w:r>
          </w:p>
        </w:tc>
      </w:tr>
      <w:tr w:rsidR="00402E6B" w14:paraId="2DF09F28" w14:textId="77777777" w:rsidTr="00402E6B">
        <w:tc>
          <w:tcPr>
            <w:tcW w:w="3192" w:type="dxa"/>
          </w:tcPr>
          <w:p w14:paraId="7BCC2152" w14:textId="77777777" w:rsidR="00402E6B" w:rsidRDefault="00402E6B" w:rsidP="00402E6B"/>
        </w:tc>
        <w:tc>
          <w:tcPr>
            <w:tcW w:w="3192" w:type="dxa"/>
          </w:tcPr>
          <w:p w14:paraId="61274BB6" w14:textId="77777777" w:rsidR="00402E6B" w:rsidRDefault="00402E6B" w:rsidP="00402E6B"/>
        </w:tc>
        <w:tc>
          <w:tcPr>
            <w:tcW w:w="3192" w:type="dxa"/>
          </w:tcPr>
          <w:p w14:paraId="3B9067F3" w14:textId="47D72C4C" w:rsidR="00402E6B" w:rsidRDefault="00402E6B" w:rsidP="00402E6B">
            <w:r>
              <w:t>Лакозамид</w:t>
            </w:r>
          </w:p>
        </w:tc>
      </w:tr>
      <w:tr w:rsidR="00402E6B" w14:paraId="37353D99" w14:textId="77777777" w:rsidTr="00402E6B">
        <w:tc>
          <w:tcPr>
            <w:tcW w:w="3192" w:type="dxa"/>
          </w:tcPr>
          <w:p w14:paraId="03169F1F" w14:textId="77777777" w:rsidR="00402E6B" w:rsidRDefault="00402E6B" w:rsidP="00402E6B"/>
        </w:tc>
        <w:tc>
          <w:tcPr>
            <w:tcW w:w="3192" w:type="dxa"/>
          </w:tcPr>
          <w:p w14:paraId="15E316B8" w14:textId="77777777" w:rsidR="00402E6B" w:rsidRDefault="00402E6B" w:rsidP="00402E6B"/>
        </w:tc>
        <w:tc>
          <w:tcPr>
            <w:tcW w:w="3192" w:type="dxa"/>
          </w:tcPr>
          <w:p w14:paraId="43EB5C00" w14:textId="24CB4823" w:rsidR="00402E6B" w:rsidRDefault="00402E6B" w:rsidP="00402E6B">
            <w:r>
              <w:t>Перампанел</w:t>
            </w:r>
          </w:p>
        </w:tc>
      </w:tr>
    </w:tbl>
    <w:p w14:paraId="49E446A6" w14:textId="4E7605D3" w:rsidR="00402E6B" w:rsidRPr="00402E6B" w:rsidRDefault="00402E6B" w:rsidP="00402E6B">
      <w:pPr>
        <w:spacing w:line="240" w:lineRule="auto"/>
        <w:rPr>
          <w:rFonts w:eastAsia="Times New Roman" w:cs="Arial"/>
        </w:rPr>
      </w:pPr>
      <w:r w:rsidRPr="00402E6B">
        <w:rPr>
          <w:rFonts w:eastAsia="Times New Roman" w:cs="Arial"/>
          <w:color w:val="000000"/>
          <w:lang w:eastAsia="bg-BG"/>
        </w:rPr>
        <w:t>*3а указания при дозиране (вж. точка 4.2), също за жени приемащи хормонални контрацептиви вижте също Хормонални контрацептиви в точка 4.4.</w:t>
      </w:r>
    </w:p>
    <w:p w14:paraId="0AD41F90" w14:textId="77777777" w:rsidR="00402E6B" w:rsidRPr="00402E6B" w:rsidRDefault="00402E6B" w:rsidP="00402E6B">
      <w:pPr>
        <w:spacing w:line="240" w:lineRule="auto"/>
        <w:rPr>
          <w:rFonts w:eastAsia="Times New Roman" w:cs="Arial"/>
          <w:color w:val="000000"/>
          <w:u w:val="single"/>
          <w:lang w:eastAsia="bg-BG"/>
        </w:rPr>
      </w:pPr>
    </w:p>
    <w:p w14:paraId="55773867" w14:textId="20CA455F"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Взаимодействия е антиепилептични лекарства</w:t>
      </w:r>
    </w:p>
    <w:p w14:paraId="59BBA90C"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Валпроат, който инхибира глюкуронирането на ламотрижин, забавя метаболизма на ламотрижин и удължава средния полуживот на ламотрижин приблизително два пъти. При пациенти, подложени на съпътстваща терапия с валпроат, трябва да бъде прилаган подходящ лечебен план (вж. точка 4.2).</w:t>
      </w:r>
    </w:p>
    <w:p w14:paraId="48FFDFE9" w14:textId="77777777" w:rsidR="00402E6B" w:rsidRPr="00402E6B" w:rsidRDefault="00402E6B" w:rsidP="00402E6B">
      <w:pPr>
        <w:spacing w:line="240" w:lineRule="auto"/>
        <w:rPr>
          <w:rFonts w:eastAsia="Times New Roman" w:cs="Arial"/>
          <w:color w:val="000000"/>
          <w:lang w:eastAsia="bg-BG"/>
        </w:rPr>
      </w:pPr>
    </w:p>
    <w:p w14:paraId="0F512534" w14:textId="06CB86D2"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Определени АЕЛ (като фенитоин, карбамазепин, фенобарбитал и примидон), които индуцират цитохром Р 450 ензимите индуцират също </w:t>
      </w:r>
      <w:r w:rsidRPr="00402E6B">
        <w:rPr>
          <w:rFonts w:eastAsia="Times New Roman" w:cs="Arial"/>
          <w:color w:val="000000"/>
          <w:lang w:val="en-US"/>
        </w:rPr>
        <w:t>UGTs</w:t>
      </w:r>
      <w:r w:rsidRPr="00402E6B">
        <w:rPr>
          <w:rFonts w:eastAsia="Times New Roman" w:cs="Arial"/>
          <w:color w:val="000000"/>
          <w:lang w:val="ru-RU"/>
        </w:rPr>
        <w:t xml:space="preserve">, </w:t>
      </w:r>
      <w:r w:rsidRPr="00402E6B">
        <w:rPr>
          <w:rFonts w:eastAsia="Times New Roman" w:cs="Arial"/>
          <w:color w:val="000000"/>
          <w:lang w:eastAsia="bg-BG"/>
        </w:rPr>
        <w:t>поради което ускоряват метаболизма на ламотрижин. При пациенти, получаващи съпътстваща терапия с фенитоин, карбамазепин, фенобарбитал или примидон трябва да бъде прилагана подходяща терапевтична схема (вж. точка 4.2).</w:t>
      </w:r>
    </w:p>
    <w:p w14:paraId="2A4626CD" w14:textId="77777777" w:rsidR="00402E6B" w:rsidRPr="00402E6B" w:rsidRDefault="00402E6B" w:rsidP="00402E6B">
      <w:pPr>
        <w:spacing w:line="240" w:lineRule="auto"/>
        <w:rPr>
          <w:rFonts w:eastAsia="Times New Roman" w:cs="Arial"/>
          <w:color w:val="000000"/>
          <w:lang w:eastAsia="bg-BG"/>
        </w:rPr>
      </w:pPr>
    </w:p>
    <w:p w14:paraId="370CE853" w14:textId="1B3DBB46" w:rsidR="00402E6B" w:rsidRPr="00402E6B" w:rsidRDefault="00402E6B" w:rsidP="00402E6B">
      <w:pPr>
        <w:spacing w:line="240" w:lineRule="auto"/>
        <w:rPr>
          <w:rFonts w:eastAsia="Times New Roman" w:cs="Arial"/>
        </w:rPr>
      </w:pPr>
      <w:r w:rsidRPr="00402E6B">
        <w:rPr>
          <w:rFonts w:eastAsia="Times New Roman" w:cs="Arial"/>
          <w:color w:val="000000"/>
          <w:lang w:eastAsia="bg-BG"/>
        </w:rPr>
        <w:t>При включване на карбамазепин в хода на лечение с ламотрижин се описва развитие на симптоми от страна на централната нервна система, включително замаяност, атаксия, двойно виждане, замъглено зрение и гадене. Тези събития обикновено отзвучават при понижаване на дозата на карбамазепин. Подобни ефекти са наблюдавани по време на изпитване с ламотрижин и окскарбазепин при здрави възрастни доброволци, но не е проучвано понижаване на дозата.</w:t>
      </w:r>
    </w:p>
    <w:p w14:paraId="43D7EFF9" w14:textId="77777777" w:rsidR="00402E6B" w:rsidRPr="00402E6B" w:rsidRDefault="00402E6B" w:rsidP="00402E6B">
      <w:pPr>
        <w:spacing w:line="240" w:lineRule="auto"/>
        <w:rPr>
          <w:rFonts w:eastAsia="Times New Roman" w:cs="Arial"/>
          <w:color w:val="000000"/>
          <w:lang w:eastAsia="bg-BG"/>
        </w:rPr>
      </w:pPr>
    </w:p>
    <w:p w14:paraId="053986FB" w14:textId="604B4D0E"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литературата има съобщения за понижени концентрации на ламотрижин при прием на ламотрижин в комбинация с окскарбазепин. Обаче, в проспективно проучване при възрастни здрави доброволци при прием на дози от 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ламотрижин и 1200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окскарбазепин, е установено, че окскарбазепин не променя метаболизма на ламотрижин и ламотрижин не променя метаболизма на окскарбазепин. Затова при пациенти, приемащи съпътстваща терапия с окскарбазепин, трябва да се използва схема на лечение за комбинирана терапия с ламотрижин без валпроат и без индуктори на глюкуронирането на ламотрижин (вж. точка 4.2).</w:t>
      </w:r>
    </w:p>
    <w:p w14:paraId="0DB2183B" w14:textId="77777777" w:rsidR="00402E6B" w:rsidRPr="00402E6B" w:rsidRDefault="00402E6B" w:rsidP="00402E6B">
      <w:pPr>
        <w:spacing w:line="240" w:lineRule="auto"/>
        <w:rPr>
          <w:rFonts w:eastAsia="Times New Roman" w:cs="Arial"/>
          <w:color w:val="000000"/>
          <w:lang w:eastAsia="bg-BG"/>
        </w:rPr>
      </w:pPr>
    </w:p>
    <w:p w14:paraId="0AFC01F6" w14:textId="53E184D7"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При проучване със здрави доброволци, едновременното приложение на фелбамат (1 200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два пъти дневно) с ламотрижин (100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два пъти дневно за 10 дни) не е довело до клинично значими ефекти върху фармакокинетиката на ламотрижин.</w:t>
      </w:r>
    </w:p>
    <w:p w14:paraId="279CCD4E" w14:textId="77777777" w:rsidR="00402E6B" w:rsidRPr="00402E6B" w:rsidRDefault="00402E6B" w:rsidP="00402E6B">
      <w:pPr>
        <w:spacing w:line="240" w:lineRule="auto"/>
        <w:rPr>
          <w:rFonts w:eastAsia="Times New Roman" w:cs="Arial"/>
          <w:color w:val="000000"/>
          <w:lang w:eastAsia="bg-BG"/>
        </w:rPr>
      </w:pPr>
    </w:p>
    <w:p w14:paraId="00E3E561" w14:textId="127EDACE" w:rsidR="00402E6B" w:rsidRPr="00402E6B" w:rsidRDefault="00402E6B" w:rsidP="00402E6B">
      <w:pPr>
        <w:spacing w:line="240" w:lineRule="auto"/>
        <w:rPr>
          <w:rFonts w:eastAsia="Times New Roman" w:cs="Arial"/>
        </w:rPr>
      </w:pPr>
      <w:r w:rsidRPr="00402E6B">
        <w:rPr>
          <w:rFonts w:eastAsia="Times New Roman" w:cs="Arial"/>
          <w:color w:val="000000"/>
          <w:lang w:eastAsia="bg-BG"/>
        </w:rPr>
        <w:t>На основата на ретроспективен анализ на плазмените концентрации при пациенти, приемали ламотрижин с и без габапентин, изглежда че габапентин не променя клирънса на ламотрижин.</w:t>
      </w:r>
    </w:p>
    <w:p w14:paraId="49A9CF34" w14:textId="77777777" w:rsidR="00402E6B" w:rsidRPr="00402E6B" w:rsidRDefault="00402E6B" w:rsidP="00402E6B">
      <w:pPr>
        <w:rPr>
          <w:rFonts w:eastAsia="Times New Roman" w:cs="Arial"/>
          <w:color w:val="000000"/>
          <w:lang w:eastAsia="bg-BG"/>
        </w:rPr>
      </w:pPr>
    </w:p>
    <w:p w14:paraId="4C84A1BD" w14:textId="457CF337" w:rsidR="00402E6B" w:rsidRPr="00402E6B" w:rsidRDefault="00402E6B" w:rsidP="00402E6B">
      <w:pPr>
        <w:rPr>
          <w:rFonts w:eastAsia="Times New Roman" w:cs="Arial"/>
          <w:color w:val="000000"/>
          <w:lang w:eastAsia="bg-BG"/>
        </w:rPr>
      </w:pPr>
      <w:r w:rsidRPr="00402E6B">
        <w:rPr>
          <w:rFonts w:eastAsia="Times New Roman" w:cs="Arial"/>
          <w:color w:val="000000"/>
          <w:lang w:eastAsia="bg-BG"/>
        </w:rPr>
        <w:t>Потенциалните взаимодействия между леветирацетам и ламотрижин са изследвани чрез оценка на серумните концентрации на двете лекарства по време на плацебо-контролирани клинични изпитвания. Тези данни показват, че ламотрижин не повлиява фармакокинетиката на</w:t>
      </w:r>
      <w:r w:rsidRPr="00402E6B">
        <w:rPr>
          <w:rFonts w:eastAsia="Times New Roman" w:cs="Arial"/>
          <w:i/>
          <w:iCs/>
          <w:color w:val="000000"/>
          <w:lang w:eastAsia="bg-BG"/>
        </w:rPr>
        <w:t xml:space="preserve"> </w:t>
      </w:r>
      <w:r w:rsidRPr="00402E6B">
        <w:rPr>
          <w:rFonts w:eastAsia="Times New Roman" w:cs="Arial"/>
          <w:color w:val="000000"/>
          <w:lang w:eastAsia="bg-BG"/>
        </w:rPr>
        <w:t>леветирацетам и че леветирацетам не повлиява фармакокинетиката на ламотрижин.</w:t>
      </w:r>
    </w:p>
    <w:p w14:paraId="658B6290" w14:textId="2F51297F" w:rsidR="00402E6B" w:rsidRPr="00402E6B" w:rsidRDefault="00402E6B" w:rsidP="00402E6B">
      <w:pPr>
        <w:rPr>
          <w:rFonts w:eastAsia="Times New Roman" w:cs="Arial"/>
          <w:color w:val="000000"/>
          <w:lang w:eastAsia="bg-BG"/>
        </w:rPr>
      </w:pPr>
    </w:p>
    <w:p w14:paraId="67867147"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Най-ниските плазмени концентрации на ламотрижин в стационарно състояние не се повлияват от съпътстващия прием на прегабалин (200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3 пъти на ден). Не са установени фармакокинетичнн взаимодействия между ламотрижин и прегабалин.</w:t>
      </w:r>
    </w:p>
    <w:p w14:paraId="73A2CC22" w14:textId="77777777" w:rsidR="00402E6B" w:rsidRPr="00402E6B" w:rsidRDefault="00402E6B" w:rsidP="00402E6B">
      <w:pPr>
        <w:spacing w:line="240" w:lineRule="auto"/>
        <w:rPr>
          <w:rFonts w:eastAsia="Times New Roman" w:cs="Arial"/>
          <w:color w:val="000000"/>
          <w:lang w:eastAsia="bg-BG"/>
        </w:rPr>
      </w:pPr>
    </w:p>
    <w:p w14:paraId="2BB4A096" w14:textId="106451CC" w:rsidR="00402E6B" w:rsidRPr="00402E6B" w:rsidRDefault="00402E6B" w:rsidP="00402E6B">
      <w:pPr>
        <w:spacing w:line="240" w:lineRule="auto"/>
        <w:rPr>
          <w:rFonts w:eastAsia="Times New Roman" w:cs="Arial"/>
        </w:rPr>
      </w:pPr>
      <w:r w:rsidRPr="00402E6B">
        <w:rPr>
          <w:rFonts w:eastAsia="Times New Roman" w:cs="Arial"/>
          <w:color w:val="000000"/>
          <w:lang w:eastAsia="bg-BG"/>
        </w:rPr>
        <w:t>Топирамат не предизвиква промяна в плазмените концентрации на ламотрижин. Приложението на ламотрижин води до 15% повишаване на концентрациите на топирамат.</w:t>
      </w:r>
    </w:p>
    <w:p w14:paraId="4E208F70" w14:textId="77777777" w:rsidR="00402E6B" w:rsidRPr="00402E6B" w:rsidRDefault="00402E6B" w:rsidP="00402E6B">
      <w:pPr>
        <w:spacing w:line="240" w:lineRule="auto"/>
        <w:rPr>
          <w:rFonts w:eastAsia="Times New Roman" w:cs="Arial"/>
          <w:color w:val="000000"/>
          <w:lang w:eastAsia="bg-BG"/>
        </w:rPr>
      </w:pPr>
    </w:p>
    <w:p w14:paraId="4B8174A1" w14:textId="477E2A10"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едно изпитване при пациенти с епилепсия, едновременният прием на зонизамид (200 до 400 </w:t>
      </w:r>
      <w:r w:rsidRPr="00402E6B">
        <w:rPr>
          <w:rFonts w:eastAsia="Times New Roman" w:cs="Arial"/>
          <w:color w:val="000000"/>
          <w:lang w:val="en-US"/>
        </w:rPr>
        <w:t>mg</w:t>
      </w:r>
      <w:r w:rsidRPr="00402E6B">
        <w:rPr>
          <w:rFonts w:eastAsia="Times New Roman" w:cs="Arial"/>
          <w:color w:val="000000"/>
          <w:lang w:eastAsia="bg-BG"/>
        </w:rPr>
        <w:t xml:space="preserve">/ден) с ламотрижин (150 до 500 </w:t>
      </w:r>
      <w:r w:rsidRPr="00402E6B">
        <w:rPr>
          <w:rFonts w:eastAsia="Times New Roman" w:cs="Arial"/>
          <w:color w:val="000000"/>
          <w:lang w:val="en-US"/>
        </w:rPr>
        <w:t>mg</w:t>
      </w:r>
      <w:r w:rsidRPr="00402E6B">
        <w:rPr>
          <w:rFonts w:eastAsia="Times New Roman" w:cs="Arial"/>
          <w:color w:val="000000"/>
          <w:lang w:eastAsia="bg-BG"/>
        </w:rPr>
        <w:t>/ден) за 35 дни не е довел до значими ефекти върху фармакокинетиката на ламотрижин.</w:t>
      </w:r>
    </w:p>
    <w:p w14:paraId="6E47BFE0" w14:textId="77777777" w:rsidR="00402E6B" w:rsidRPr="00402E6B" w:rsidRDefault="00402E6B" w:rsidP="00402E6B">
      <w:pPr>
        <w:spacing w:line="240" w:lineRule="auto"/>
        <w:rPr>
          <w:rFonts w:eastAsia="Times New Roman" w:cs="Arial"/>
          <w:color w:val="000000"/>
          <w:lang w:eastAsia="bg-BG"/>
        </w:rPr>
      </w:pPr>
    </w:p>
    <w:p w14:paraId="40643209" w14:textId="522B9D8B"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плацебо-контролирано клинично проучване при пациенти с парциални гърчове плазмените концентрации на ламотрижин не се повлияват при едновременно приложение с лакозамид (200, 400 или 600 </w:t>
      </w:r>
      <w:r w:rsidRPr="00402E6B">
        <w:rPr>
          <w:rFonts w:eastAsia="Times New Roman" w:cs="Arial"/>
          <w:color w:val="000000"/>
          <w:lang w:val="en-US"/>
        </w:rPr>
        <w:t>mg</w:t>
      </w:r>
      <w:r w:rsidRPr="00402E6B">
        <w:rPr>
          <w:rFonts w:eastAsia="Times New Roman" w:cs="Arial"/>
          <w:color w:val="000000"/>
          <w:lang w:eastAsia="bg-BG"/>
        </w:rPr>
        <w:t>/ден).</w:t>
      </w:r>
    </w:p>
    <w:p w14:paraId="710324EE" w14:textId="77777777" w:rsidR="00402E6B" w:rsidRPr="00402E6B" w:rsidRDefault="00402E6B" w:rsidP="00402E6B">
      <w:pPr>
        <w:spacing w:line="240" w:lineRule="auto"/>
        <w:rPr>
          <w:rFonts w:eastAsia="Times New Roman" w:cs="Arial"/>
          <w:color w:val="000000"/>
          <w:lang w:eastAsia="bg-BG"/>
        </w:rPr>
      </w:pPr>
    </w:p>
    <w:p w14:paraId="5EE04C2C" w14:textId="5198E12C"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обобщен анализ на данните от три плацебо-контролирани клинични проучвания, изследващи едновременно приложение на перампанел при пациенти с парциални и първично генерализирани тонично-клонични гърчове, най-високата оценена доза от перампанел (12 </w:t>
      </w:r>
      <w:r w:rsidRPr="00402E6B">
        <w:rPr>
          <w:rFonts w:eastAsia="Times New Roman" w:cs="Arial"/>
          <w:color w:val="000000"/>
          <w:lang w:val="en-US"/>
        </w:rPr>
        <w:t>mg</w:t>
      </w:r>
      <w:r w:rsidRPr="00402E6B">
        <w:rPr>
          <w:rFonts w:eastAsia="Times New Roman" w:cs="Arial"/>
          <w:color w:val="000000"/>
          <w:lang w:eastAsia="bg-BG"/>
        </w:rPr>
        <w:t>/ден) повишава клирънса на ламотрижин с по-малко от 10%.</w:t>
      </w:r>
    </w:p>
    <w:p w14:paraId="1D047E20" w14:textId="77777777" w:rsidR="00402E6B" w:rsidRPr="00402E6B" w:rsidRDefault="00402E6B" w:rsidP="00402E6B">
      <w:pPr>
        <w:spacing w:line="240" w:lineRule="auto"/>
        <w:rPr>
          <w:rFonts w:eastAsia="Times New Roman" w:cs="Arial"/>
          <w:color w:val="000000"/>
          <w:lang w:eastAsia="bg-BG"/>
        </w:rPr>
      </w:pPr>
    </w:p>
    <w:p w14:paraId="5DD72A12" w14:textId="20ACB766"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Въпреки че са съобщавани промени в плазмените концентрации на други АЕЛ, в контролираните изпитвания не е установено ламотрижин да повлиява плазмените концентрации на едновременно прилаганите АЕЛ. Данните от </w:t>
      </w:r>
      <w:r w:rsidRPr="00402E6B">
        <w:rPr>
          <w:rFonts w:eastAsia="Times New Roman" w:cs="Arial"/>
          <w:i/>
          <w:iCs/>
          <w:color w:val="000000"/>
          <w:lang w:val="en-US"/>
        </w:rPr>
        <w:t>in</w:t>
      </w:r>
      <w:r w:rsidRPr="00402E6B">
        <w:rPr>
          <w:rFonts w:eastAsia="Times New Roman" w:cs="Arial"/>
          <w:i/>
          <w:iCs/>
          <w:color w:val="000000"/>
          <w:lang w:val="ru-RU"/>
        </w:rPr>
        <w:t xml:space="preserve"> </w:t>
      </w:r>
      <w:r w:rsidRPr="00402E6B">
        <w:rPr>
          <w:rFonts w:eastAsia="Times New Roman" w:cs="Arial"/>
          <w:i/>
          <w:iCs/>
          <w:color w:val="000000"/>
          <w:lang w:val="en-US"/>
        </w:rPr>
        <w:t>vitro</w:t>
      </w:r>
      <w:r w:rsidRPr="00402E6B">
        <w:rPr>
          <w:rFonts w:eastAsia="Times New Roman" w:cs="Arial"/>
          <w:color w:val="000000"/>
          <w:lang w:val="ru-RU"/>
        </w:rPr>
        <w:t xml:space="preserve"> </w:t>
      </w:r>
      <w:r w:rsidRPr="00402E6B">
        <w:rPr>
          <w:rFonts w:eastAsia="Times New Roman" w:cs="Arial"/>
          <w:color w:val="000000"/>
          <w:lang w:eastAsia="bg-BG"/>
        </w:rPr>
        <w:t>изпитвания показват, че ламотрижин не измества други АЕЛ от местата на свързването им с плазмените протеини.</w:t>
      </w:r>
    </w:p>
    <w:p w14:paraId="29423509" w14:textId="77777777" w:rsidR="00402E6B" w:rsidRPr="00402E6B" w:rsidRDefault="00402E6B" w:rsidP="00402E6B">
      <w:pPr>
        <w:spacing w:line="240" w:lineRule="auto"/>
        <w:rPr>
          <w:rFonts w:eastAsia="Times New Roman" w:cs="Arial"/>
          <w:color w:val="000000"/>
          <w:u w:val="single"/>
          <w:lang w:eastAsia="bg-BG"/>
        </w:rPr>
      </w:pPr>
    </w:p>
    <w:p w14:paraId="2275D892" w14:textId="506762B2"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Взаимодействие с други психоактивни средства</w:t>
      </w:r>
    </w:p>
    <w:p w14:paraId="1E021F53"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Фармакокинетичните свойства на литий след прием на 2 </w:t>
      </w:r>
      <w:r w:rsidRPr="00402E6B">
        <w:rPr>
          <w:rFonts w:eastAsia="Times New Roman" w:cs="Arial"/>
          <w:color w:val="000000"/>
          <w:lang w:val="en-US"/>
        </w:rPr>
        <w:t>g</w:t>
      </w:r>
      <w:r w:rsidRPr="00402E6B">
        <w:rPr>
          <w:rFonts w:eastAsia="Times New Roman" w:cs="Arial"/>
          <w:color w:val="000000"/>
          <w:lang w:val="ru-RU"/>
        </w:rPr>
        <w:t xml:space="preserve"> </w:t>
      </w:r>
      <w:r w:rsidRPr="00402E6B">
        <w:rPr>
          <w:rFonts w:eastAsia="Times New Roman" w:cs="Arial"/>
          <w:color w:val="000000"/>
          <w:lang w:eastAsia="bg-BG"/>
        </w:rPr>
        <w:t xml:space="preserve">безводен литиев глюконат, приеман два пъти дневно за шест дни от 20 здрави лица, не се променят при едновременното му прилагане със 100 </w:t>
      </w:r>
      <w:r w:rsidRPr="00402E6B">
        <w:rPr>
          <w:rFonts w:eastAsia="Times New Roman" w:cs="Arial"/>
          <w:color w:val="000000"/>
          <w:lang w:val="en-US"/>
        </w:rPr>
        <w:t>mg</w:t>
      </w:r>
      <w:r w:rsidRPr="00402E6B">
        <w:rPr>
          <w:rFonts w:eastAsia="Times New Roman" w:cs="Arial"/>
          <w:color w:val="000000"/>
          <w:lang w:eastAsia="bg-BG"/>
        </w:rPr>
        <w:t>/дневно ламотрижин.</w:t>
      </w:r>
    </w:p>
    <w:p w14:paraId="595BA533" w14:textId="77777777" w:rsidR="00402E6B" w:rsidRPr="00402E6B" w:rsidRDefault="00402E6B" w:rsidP="00402E6B">
      <w:pPr>
        <w:spacing w:line="240" w:lineRule="auto"/>
        <w:rPr>
          <w:rFonts w:eastAsia="Times New Roman" w:cs="Arial"/>
          <w:color w:val="000000"/>
          <w:lang w:eastAsia="bg-BG"/>
        </w:rPr>
      </w:pPr>
    </w:p>
    <w:p w14:paraId="5278752A" w14:textId="6BF96319"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Многократните перорални дози бупропион не оказват статистически значими ефекти върху фармакокинетиката на еднократна доза ламотрижин при 12 лица, като е наблюдавано само леко увеличение на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на ламотрижин глюкуронид.</w:t>
      </w:r>
    </w:p>
    <w:p w14:paraId="6B2E21FD" w14:textId="77777777" w:rsidR="00402E6B" w:rsidRPr="00402E6B" w:rsidRDefault="00402E6B" w:rsidP="00402E6B">
      <w:pPr>
        <w:spacing w:line="240" w:lineRule="auto"/>
        <w:rPr>
          <w:rFonts w:eastAsia="Times New Roman" w:cs="Arial"/>
          <w:color w:val="000000"/>
          <w:lang w:eastAsia="bg-BG"/>
        </w:rPr>
      </w:pPr>
    </w:p>
    <w:p w14:paraId="7233A711" w14:textId="2BDD7DC1"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При едно изпитване със здрави възрастни доброволци приемът на 15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оланзапин понижава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и С</w:t>
      </w:r>
      <w:r w:rsidRPr="00402E6B">
        <w:rPr>
          <w:rFonts w:eastAsia="Times New Roman" w:cs="Arial"/>
          <w:color w:val="000000"/>
          <w:lang w:val="en-US"/>
        </w:rPr>
        <w:t>max</w:t>
      </w:r>
      <w:r w:rsidRPr="00402E6B">
        <w:rPr>
          <w:rFonts w:eastAsia="Times New Roman" w:cs="Arial"/>
          <w:color w:val="000000"/>
          <w:lang w:eastAsia="bg-BG"/>
        </w:rPr>
        <w:t xml:space="preserve"> на ламотрижин съответно средно с 24% и 20%. Не се очаква повлияване от такава величина да има клинично значение. Установено е, че прием на 200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ламотрижин не повлиява фармакокинетиката на оланзапин.</w:t>
      </w:r>
    </w:p>
    <w:p w14:paraId="5C37FF71" w14:textId="77777777" w:rsidR="00402E6B" w:rsidRPr="00402E6B" w:rsidRDefault="00402E6B" w:rsidP="00402E6B">
      <w:pPr>
        <w:spacing w:line="240" w:lineRule="auto"/>
        <w:rPr>
          <w:rFonts w:eastAsia="Times New Roman" w:cs="Arial"/>
          <w:color w:val="000000"/>
          <w:lang w:eastAsia="bg-BG"/>
        </w:rPr>
      </w:pPr>
    </w:p>
    <w:p w14:paraId="429D3D13" w14:textId="63DACEAF"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Многократните перорални дози ламотрижин от 400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дневно не оказват значим клиничен ефект върху фармакокинетиката на еднократна доза от 2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рисперидон при 14 здрави възрастни доброволци. След едновременен прием на рисперидон 2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с ламотрижин, 12 от 14 доброволци съобщават за сънливост, в сравнение с 1 от 20 при самостоятелен прием на рисперидон, и нито един при самостоятелния прием на ламотрижин.</w:t>
      </w:r>
    </w:p>
    <w:p w14:paraId="6201AEF4" w14:textId="77777777" w:rsidR="00402E6B" w:rsidRPr="00402E6B" w:rsidRDefault="00402E6B" w:rsidP="00402E6B">
      <w:pPr>
        <w:spacing w:line="240" w:lineRule="auto"/>
        <w:rPr>
          <w:rFonts w:eastAsia="Times New Roman" w:cs="Arial"/>
          <w:color w:val="000000"/>
          <w:lang w:eastAsia="bg-BG"/>
        </w:rPr>
      </w:pPr>
    </w:p>
    <w:p w14:paraId="253CCC29" w14:textId="6B4F7328"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проучване при 18 възрастни пациенти с тип I биполярно разстройство, приемащи ламотрижин по установена схема на дозиране (100-400 </w:t>
      </w:r>
      <w:r w:rsidRPr="00402E6B">
        <w:rPr>
          <w:rFonts w:eastAsia="Times New Roman" w:cs="Arial"/>
          <w:color w:val="000000"/>
          <w:lang w:val="en-US"/>
        </w:rPr>
        <w:t>mg</w:t>
      </w:r>
      <w:r w:rsidRPr="00402E6B">
        <w:rPr>
          <w:rFonts w:eastAsia="Times New Roman" w:cs="Arial"/>
          <w:color w:val="000000"/>
          <w:lang w:eastAsia="bg-BG"/>
        </w:rPr>
        <w:t xml:space="preserve">/дневно), дозите на арипипразол са повишени от 10 </w:t>
      </w:r>
      <w:r w:rsidRPr="00402E6B">
        <w:rPr>
          <w:rFonts w:eastAsia="Times New Roman" w:cs="Arial"/>
          <w:color w:val="000000"/>
          <w:lang w:val="en-US"/>
        </w:rPr>
        <w:t>mg</w:t>
      </w:r>
      <w:r w:rsidRPr="00402E6B">
        <w:rPr>
          <w:rFonts w:eastAsia="Times New Roman" w:cs="Arial"/>
          <w:color w:val="000000"/>
          <w:lang w:eastAsia="bg-BG"/>
        </w:rPr>
        <w:t xml:space="preserve">/дневно до таргетна доза от 30 </w:t>
      </w:r>
      <w:r w:rsidRPr="00402E6B">
        <w:rPr>
          <w:rFonts w:eastAsia="Times New Roman" w:cs="Arial"/>
          <w:color w:val="000000"/>
          <w:lang w:val="en-US"/>
        </w:rPr>
        <w:t>mg</w:t>
      </w:r>
      <w:r w:rsidRPr="00402E6B">
        <w:rPr>
          <w:rFonts w:eastAsia="Times New Roman" w:cs="Arial"/>
          <w:color w:val="000000"/>
          <w:lang w:eastAsia="bg-BG"/>
        </w:rPr>
        <w:t>/дневно за период от 7 дни. Наблюдавано е понижение на С</w:t>
      </w:r>
      <w:r w:rsidRPr="00402E6B">
        <w:rPr>
          <w:rFonts w:eastAsia="Times New Roman" w:cs="Arial"/>
          <w:color w:val="000000"/>
          <w:vertAlign w:val="subscript"/>
          <w:lang w:val="en-US"/>
        </w:rPr>
        <w:t>max</w:t>
      </w:r>
      <w:r w:rsidRPr="00402E6B">
        <w:rPr>
          <w:rFonts w:eastAsia="Times New Roman" w:cs="Arial"/>
          <w:color w:val="000000"/>
          <w:lang w:eastAsia="bg-BG"/>
        </w:rPr>
        <w:t xml:space="preserve"> и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на ламотрижин със средно 10 %.</w:t>
      </w:r>
    </w:p>
    <w:p w14:paraId="57DDBA97" w14:textId="77777777" w:rsidR="00402E6B" w:rsidRPr="00402E6B" w:rsidRDefault="00402E6B" w:rsidP="00402E6B">
      <w:pPr>
        <w:rPr>
          <w:rFonts w:eastAsia="Times New Roman" w:cs="Arial"/>
          <w:color w:val="000000"/>
          <w:lang w:eastAsia="bg-BG"/>
        </w:rPr>
      </w:pPr>
    </w:p>
    <w:p w14:paraId="57B1B84A" w14:textId="704C24AB" w:rsidR="00402E6B" w:rsidRPr="00402E6B" w:rsidRDefault="00402E6B" w:rsidP="00402E6B">
      <w:pPr>
        <w:rPr>
          <w:rFonts w:eastAsia="Times New Roman" w:cs="Arial"/>
          <w:color w:val="000000"/>
          <w:lang w:val="ru-RU"/>
        </w:rPr>
      </w:pPr>
      <w:r w:rsidRPr="00402E6B">
        <w:rPr>
          <w:rFonts w:eastAsia="Times New Roman" w:cs="Arial"/>
          <w:color w:val="000000"/>
          <w:lang w:eastAsia="bg-BG"/>
        </w:rPr>
        <w:t xml:space="preserve">Резултати от опити </w:t>
      </w:r>
      <w:r w:rsidRPr="00402E6B">
        <w:rPr>
          <w:rFonts w:eastAsia="Times New Roman" w:cs="Arial"/>
          <w:i/>
          <w:iCs/>
          <w:color w:val="000000"/>
          <w:lang w:val="en-US"/>
        </w:rPr>
        <w:t>in</w:t>
      </w:r>
      <w:r w:rsidRPr="00402E6B">
        <w:rPr>
          <w:rFonts w:eastAsia="Times New Roman" w:cs="Arial"/>
          <w:i/>
          <w:iCs/>
          <w:color w:val="000000"/>
          <w:lang w:val="ru-RU"/>
        </w:rPr>
        <w:t xml:space="preserve"> </w:t>
      </w:r>
      <w:r w:rsidRPr="00402E6B">
        <w:rPr>
          <w:rFonts w:eastAsia="Times New Roman" w:cs="Arial"/>
          <w:i/>
          <w:iCs/>
          <w:color w:val="000000"/>
          <w:lang w:val="en-US"/>
        </w:rPr>
        <w:t>vitro</w:t>
      </w:r>
      <w:r w:rsidRPr="00402E6B">
        <w:rPr>
          <w:rFonts w:eastAsia="Times New Roman" w:cs="Arial"/>
          <w:color w:val="000000"/>
          <w:lang w:val="ru-RU"/>
        </w:rPr>
        <w:t xml:space="preserve"> </w:t>
      </w:r>
      <w:r w:rsidRPr="00402E6B">
        <w:rPr>
          <w:rFonts w:eastAsia="Times New Roman" w:cs="Arial"/>
          <w:color w:val="000000"/>
          <w:lang w:eastAsia="bg-BG"/>
        </w:rPr>
        <w:t>показват, че образуването на основния метаболит на ламотрижин, 2-</w:t>
      </w:r>
      <w:r w:rsidRPr="00402E6B">
        <w:rPr>
          <w:rFonts w:eastAsia="Times New Roman" w:cs="Arial"/>
          <w:color w:val="000000"/>
          <w:lang w:val="en-US"/>
        </w:rPr>
        <w:t>N</w:t>
      </w:r>
      <w:r w:rsidRPr="00402E6B">
        <w:rPr>
          <w:rFonts w:eastAsia="Times New Roman" w:cs="Arial"/>
          <w:color w:val="000000"/>
          <w:lang w:eastAsia="bg-BG"/>
        </w:rPr>
        <w:t xml:space="preserve">-глюкуронид, се инхибира минимално от съвместна инкубация с амитриптилин, бупропион, клоназепам, халоперидол или лоразепам. Резултатите от тези опити предполагат и че метаболизмът на ламотрижин е малко вероятно да бъде инхибиран от клозапин, флуоксетин фенелзин, рисперидон, сертралин или тразодон. Освен това, изследване на метаболизма на буфуралол в препарати от микрозоми от човешки черен дроб предполагат, че ламотрижин не намалява клирънса на лекарствените продукти, които се елиминират предимно чрез </w:t>
      </w:r>
      <w:r w:rsidRPr="00402E6B">
        <w:rPr>
          <w:rFonts w:eastAsia="Times New Roman" w:cs="Arial"/>
          <w:color w:val="000000"/>
          <w:lang w:val="en-US"/>
        </w:rPr>
        <w:t>CYP</w:t>
      </w:r>
      <w:r w:rsidRPr="00402E6B">
        <w:rPr>
          <w:rFonts w:eastAsia="Times New Roman" w:cs="Arial"/>
          <w:color w:val="000000"/>
          <w:lang w:val="ru-RU"/>
        </w:rPr>
        <w:t>2</w:t>
      </w:r>
      <w:r w:rsidRPr="00402E6B">
        <w:rPr>
          <w:rFonts w:eastAsia="Times New Roman" w:cs="Arial"/>
          <w:color w:val="000000"/>
          <w:lang w:val="en-US"/>
        </w:rPr>
        <w:t>D</w:t>
      </w:r>
      <w:r w:rsidRPr="00402E6B">
        <w:rPr>
          <w:rFonts w:eastAsia="Times New Roman" w:cs="Arial"/>
          <w:color w:val="000000"/>
          <w:lang w:val="ru-RU"/>
        </w:rPr>
        <w:t>6</w:t>
      </w:r>
    </w:p>
    <w:p w14:paraId="3427B0F4" w14:textId="71BC4BCA" w:rsidR="00402E6B" w:rsidRPr="00402E6B" w:rsidRDefault="00402E6B" w:rsidP="00402E6B">
      <w:pPr>
        <w:rPr>
          <w:rFonts w:eastAsia="Times New Roman" w:cs="Arial"/>
          <w:color w:val="000000"/>
          <w:lang w:val="ru-RU"/>
        </w:rPr>
      </w:pPr>
    </w:p>
    <w:p w14:paraId="15FF7EE0" w14:textId="77777777"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Взаимодействия с хормонални контрацептиви</w:t>
      </w:r>
    </w:p>
    <w:p w14:paraId="5B83960F" w14:textId="77777777" w:rsidR="00402E6B" w:rsidRPr="00402E6B" w:rsidRDefault="00402E6B" w:rsidP="00402E6B">
      <w:pPr>
        <w:spacing w:line="240" w:lineRule="auto"/>
        <w:rPr>
          <w:rFonts w:eastAsia="Times New Roman" w:cs="Arial"/>
          <w:i/>
          <w:iCs/>
          <w:color w:val="000000"/>
          <w:lang w:eastAsia="bg-BG"/>
        </w:rPr>
      </w:pPr>
    </w:p>
    <w:p w14:paraId="05B31652" w14:textId="3E62487C" w:rsidR="00402E6B" w:rsidRPr="00402E6B" w:rsidRDefault="00402E6B" w:rsidP="00402E6B">
      <w:pPr>
        <w:spacing w:line="240" w:lineRule="auto"/>
        <w:rPr>
          <w:rFonts w:eastAsia="Times New Roman" w:cs="Arial"/>
        </w:rPr>
      </w:pPr>
      <w:r w:rsidRPr="00402E6B">
        <w:rPr>
          <w:rFonts w:eastAsia="Times New Roman" w:cs="Arial"/>
          <w:i/>
          <w:iCs/>
          <w:color w:val="000000"/>
          <w:lang w:eastAsia="bg-BG"/>
        </w:rPr>
        <w:t xml:space="preserve">Ефект на хормоналните контрацептиви върху фармакокинетиката на ламотрижин </w:t>
      </w:r>
      <w:r w:rsidRPr="00402E6B">
        <w:rPr>
          <w:rFonts w:eastAsia="Times New Roman" w:cs="Arial"/>
          <w:color w:val="000000"/>
          <w:lang w:eastAsia="bg-BG"/>
        </w:rPr>
        <w:t>При клинично изпитване с участието на 16 жени доброволки, прием на комбиниран перорален контрацептив 30 μ</w:t>
      </w:r>
      <w:r w:rsidRPr="00402E6B">
        <w:rPr>
          <w:rFonts w:eastAsia="Times New Roman" w:cs="Arial"/>
          <w:color w:val="000000"/>
          <w:lang w:val="en-US"/>
        </w:rPr>
        <w:t>g</w:t>
      </w:r>
      <w:r w:rsidRPr="00402E6B">
        <w:rPr>
          <w:rFonts w:eastAsia="Times New Roman" w:cs="Arial"/>
          <w:color w:val="000000"/>
          <w:lang w:val="ru-RU"/>
        </w:rPr>
        <w:t xml:space="preserve"> </w:t>
      </w:r>
      <w:r w:rsidRPr="00402E6B">
        <w:rPr>
          <w:rFonts w:eastAsia="Times New Roman" w:cs="Arial"/>
          <w:color w:val="000000"/>
          <w:lang w:eastAsia="bg-BG"/>
        </w:rPr>
        <w:t>етинилестрадиол/150 μ</w:t>
      </w:r>
      <w:r w:rsidRPr="00402E6B">
        <w:rPr>
          <w:rFonts w:eastAsia="Times New Roman" w:cs="Arial"/>
          <w:color w:val="000000"/>
          <w:lang w:val="en-US"/>
        </w:rPr>
        <w:t>g</w:t>
      </w:r>
      <w:r w:rsidRPr="00402E6B">
        <w:rPr>
          <w:rFonts w:eastAsia="Times New Roman" w:cs="Arial"/>
          <w:color w:val="000000"/>
          <w:lang w:val="ru-RU"/>
        </w:rPr>
        <w:t xml:space="preserve"> </w:t>
      </w:r>
      <w:r w:rsidRPr="00402E6B">
        <w:rPr>
          <w:rFonts w:eastAsia="Times New Roman" w:cs="Arial"/>
          <w:color w:val="000000"/>
          <w:lang w:eastAsia="bg-BG"/>
        </w:rPr>
        <w:t xml:space="preserve">левоноргестрел е довел до приблизително двукратно повишаване на клирънса на ламотрижин след перорално приложение, имащо за резултат намаляване средно с 52 % и 39 % съответно на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и С</w:t>
      </w:r>
      <w:r w:rsidRPr="00402E6B">
        <w:rPr>
          <w:rFonts w:eastAsia="Times New Roman" w:cs="Arial"/>
          <w:color w:val="000000"/>
          <w:vertAlign w:val="subscript"/>
          <w:lang w:val="en-US"/>
        </w:rPr>
        <w:t>max</w:t>
      </w:r>
      <w:r w:rsidRPr="00402E6B">
        <w:rPr>
          <w:rFonts w:eastAsia="Times New Roman" w:cs="Arial"/>
          <w:color w:val="000000"/>
          <w:lang w:eastAsia="bg-BG"/>
        </w:rPr>
        <w:t xml:space="preserve"> на ламотрижин. Серумните концентрации на ламотрижин са се повишили през седмицата на неактивно лечение (включително през „седмицата без контрацептив”), като концентрациите преди дозите в края на седмицата на неактивно лечение са били средно около два пъти по-високи в сравнение с периода на едновременно прилагане на лекарствата (вж, точка 4.4). Не е необходимо адаптиране съгласно препоръчаните указания за повишаване на дозата на ламотрижин на основата единствено на употребата на хормонални контрацептиви, но поддържащата доза на ламотрижин в повечето случаи трябва да бъде повишена или понижена при започване или спиране приема на хормоналните контрацептиви (вж. точка 4.2).</w:t>
      </w:r>
    </w:p>
    <w:p w14:paraId="1BE20F4F" w14:textId="77777777" w:rsidR="00402E6B" w:rsidRPr="00402E6B" w:rsidRDefault="00402E6B" w:rsidP="00402E6B">
      <w:pPr>
        <w:spacing w:line="240" w:lineRule="auto"/>
        <w:rPr>
          <w:rFonts w:eastAsia="Times New Roman" w:cs="Arial"/>
          <w:i/>
          <w:iCs/>
          <w:color w:val="000000"/>
          <w:lang w:eastAsia="bg-BG"/>
        </w:rPr>
      </w:pPr>
    </w:p>
    <w:p w14:paraId="426BEB15" w14:textId="6220B58F" w:rsidR="00402E6B" w:rsidRPr="00402E6B" w:rsidRDefault="00402E6B" w:rsidP="00402E6B">
      <w:pPr>
        <w:spacing w:line="240" w:lineRule="auto"/>
        <w:rPr>
          <w:rFonts w:eastAsia="Times New Roman" w:cs="Arial"/>
        </w:rPr>
      </w:pPr>
      <w:r w:rsidRPr="00402E6B">
        <w:rPr>
          <w:rFonts w:eastAsia="Times New Roman" w:cs="Arial"/>
          <w:i/>
          <w:iCs/>
          <w:color w:val="000000"/>
          <w:lang w:eastAsia="bg-BG"/>
        </w:rPr>
        <w:t xml:space="preserve">Ефект на ламотрижин върху фармакокинетиката на хормоналните контрацептиви </w:t>
      </w:r>
      <w:r w:rsidRPr="00402E6B">
        <w:rPr>
          <w:rFonts w:eastAsia="Times New Roman" w:cs="Arial"/>
          <w:color w:val="000000"/>
          <w:lang w:eastAsia="bg-BG"/>
        </w:rPr>
        <w:t xml:space="preserve">При клинично изпитване </w:t>
      </w:r>
      <w:r w:rsidRPr="00402E6B">
        <w:rPr>
          <w:rFonts w:eastAsia="Times New Roman" w:cs="Arial"/>
          <w:i/>
          <w:iCs/>
          <w:color w:val="000000"/>
          <w:lang w:eastAsia="bg-BG"/>
        </w:rPr>
        <w:t>с</w:t>
      </w:r>
      <w:r w:rsidRPr="00402E6B">
        <w:rPr>
          <w:rFonts w:eastAsia="Times New Roman" w:cs="Arial"/>
          <w:color w:val="000000"/>
          <w:lang w:eastAsia="bg-BG"/>
        </w:rPr>
        <w:t xml:space="preserve"> участието на 16 жени доброволки, приемът на стационарна доза от 300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ламотрижин не е оказал ефект върху фармакокинетиката на етинилестрадиоловата съставка на комбинираната перорална контрацептивна таблетка. Установено е умерено увеличение на пероралния клирънс на съставката левоноргестрел, водещо до намаляване средно с 19% и 12% съответно на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и С</w:t>
      </w:r>
      <w:r w:rsidRPr="00402E6B">
        <w:rPr>
          <w:rFonts w:eastAsia="Times New Roman" w:cs="Arial"/>
          <w:color w:val="000000"/>
          <w:vertAlign w:val="subscript"/>
          <w:lang w:val="en-US"/>
        </w:rPr>
        <w:t>max</w:t>
      </w:r>
      <w:r w:rsidRPr="00402E6B">
        <w:rPr>
          <w:rFonts w:eastAsia="Times New Roman" w:cs="Arial"/>
          <w:color w:val="000000"/>
          <w:lang w:eastAsia="bg-BG"/>
        </w:rPr>
        <w:t xml:space="preserve"> на левоноргестрел. Измерването на серумните </w:t>
      </w:r>
      <w:r w:rsidRPr="00402E6B">
        <w:rPr>
          <w:rFonts w:eastAsia="Times New Roman" w:cs="Arial"/>
          <w:color w:val="000000"/>
          <w:lang w:val="en-US"/>
        </w:rPr>
        <w:t>FSH</w:t>
      </w:r>
      <w:r w:rsidRPr="00402E6B">
        <w:rPr>
          <w:rFonts w:eastAsia="Times New Roman" w:cs="Arial"/>
          <w:color w:val="000000"/>
          <w:lang w:val="ru-RU"/>
        </w:rPr>
        <w:t xml:space="preserve">, </w:t>
      </w:r>
      <w:r w:rsidRPr="00402E6B">
        <w:rPr>
          <w:rFonts w:eastAsia="Times New Roman" w:cs="Arial"/>
          <w:color w:val="000000"/>
          <w:lang w:val="en-US"/>
        </w:rPr>
        <w:t>LH</w:t>
      </w:r>
      <w:r w:rsidRPr="00402E6B">
        <w:rPr>
          <w:rFonts w:eastAsia="Times New Roman" w:cs="Arial"/>
          <w:color w:val="000000"/>
          <w:lang w:val="ru-RU"/>
        </w:rPr>
        <w:t xml:space="preserve"> </w:t>
      </w:r>
      <w:r w:rsidRPr="00402E6B">
        <w:rPr>
          <w:rFonts w:eastAsia="Times New Roman" w:cs="Arial"/>
          <w:color w:val="000000"/>
          <w:lang w:eastAsia="bg-BG"/>
        </w:rPr>
        <w:t xml:space="preserve">и естрадиол по време на изпитването показва намаляване на супресията на овариалната хормонална дейност при някои жени, въпреки че измерването на серумния прогестерон показва, че няма хормонални данни за овулация при никоя от шестнадесетте жени. Не е изяснено въздействието на умереното повишаване на клирънса на левоноргестрел и промените в серумния </w:t>
      </w:r>
      <w:r w:rsidRPr="00402E6B">
        <w:rPr>
          <w:rFonts w:eastAsia="Times New Roman" w:cs="Arial"/>
          <w:color w:val="000000"/>
          <w:lang w:val="en-US"/>
        </w:rPr>
        <w:t>FSH</w:t>
      </w:r>
      <w:r w:rsidRPr="00402E6B">
        <w:rPr>
          <w:rFonts w:eastAsia="Times New Roman" w:cs="Arial"/>
          <w:color w:val="000000"/>
          <w:lang w:val="ru-RU"/>
        </w:rPr>
        <w:t xml:space="preserve"> </w:t>
      </w:r>
      <w:r w:rsidRPr="00402E6B">
        <w:rPr>
          <w:rFonts w:eastAsia="Times New Roman" w:cs="Arial"/>
          <w:color w:val="000000"/>
          <w:lang w:eastAsia="bg-BG"/>
        </w:rPr>
        <w:t xml:space="preserve">и </w:t>
      </w:r>
      <w:r w:rsidRPr="00402E6B">
        <w:rPr>
          <w:rFonts w:eastAsia="Times New Roman" w:cs="Arial"/>
          <w:color w:val="000000"/>
          <w:lang w:val="en-US"/>
        </w:rPr>
        <w:t>LH</w:t>
      </w:r>
      <w:r w:rsidRPr="00402E6B">
        <w:rPr>
          <w:rFonts w:eastAsia="Times New Roman" w:cs="Arial"/>
          <w:color w:val="000000"/>
          <w:lang w:val="ru-RU"/>
        </w:rPr>
        <w:t xml:space="preserve"> </w:t>
      </w:r>
      <w:r w:rsidRPr="00402E6B">
        <w:rPr>
          <w:rFonts w:eastAsia="Times New Roman" w:cs="Arial"/>
          <w:color w:val="000000"/>
          <w:lang w:eastAsia="bg-BG"/>
        </w:rPr>
        <w:t xml:space="preserve">върху </w:t>
      </w:r>
      <w:r w:rsidRPr="00402E6B">
        <w:rPr>
          <w:rFonts w:eastAsia="Times New Roman" w:cs="Arial"/>
          <w:color w:val="000000"/>
          <w:lang w:eastAsia="bg-BG"/>
        </w:rPr>
        <w:lastRenderedPageBreak/>
        <w:t xml:space="preserve">овулаторната дейност на яйчника (вж. точка 4.4). Не са проучвани ефектите на ламотрижин в дневни дози различни от 300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както и не са провеждани изпитвания с други хормонални лекарствени продукти.</w:t>
      </w:r>
    </w:p>
    <w:p w14:paraId="156E91F7" w14:textId="77777777" w:rsidR="00402E6B" w:rsidRPr="00402E6B" w:rsidRDefault="00402E6B" w:rsidP="00402E6B">
      <w:pPr>
        <w:spacing w:line="240" w:lineRule="auto"/>
        <w:rPr>
          <w:rFonts w:eastAsia="Times New Roman" w:cs="Arial"/>
          <w:color w:val="000000"/>
          <w:u w:val="single"/>
          <w:lang w:eastAsia="bg-BG"/>
        </w:rPr>
      </w:pPr>
    </w:p>
    <w:p w14:paraId="41264D4F" w14:textId="4A7213CE"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Взаимодействия с други лекарствени продукти</w:t>
      </w:r>
    </w:p>
    <w:p w14:paraId="7570B0E1" w14:textId="2585004A" w:rsidR="00402E6B" w:rsidRPr="00402E6B" w:rsidRDefault="00402E6B" w:rsidP="00402E6B">
      <w:pPr>
        <w:spacing w:line="240" w:lineRule="auto"/>
        <w:rPr>
          <w:rFonts w:eastAsia="Times New Roman" w:cs="Arial"/>
        </w:rPr>
      </w:pPr>
      <w:r w:rsidRPr="00402E6B">
        <w:rPr>
          <w:rFonts w:eastAsia="Times New Roman" w:cs="Arial"/>
          <w:color w:val="000000"/>
          <w:lang w:eastAsia="bg-BG"/>
        </w:rPr>
        <w:t>В изпитване с участието на 10 мъже доброволци е установено, че рифампицин повишава клирънса и намалява времето на полуживот на ламотрижин поради индукция на чернодробните ензими, отговорни за глюкуронирането. При пациенти, лекувани едновременно с рифампицин, трябва да се използва подходяща схема на лечение (вж. точка 4.2).</w:t>
      </w:r>
    </w:p>
    <w:p w14:paraId="044FF2B8" w14:textId="77777777" w:rsidR="00402E6B" w:rsidRPr="00402E6B" w:rsidRDefault="00402E6B" w:rsidP="00402E6B">
      <w:pPr>
        <w:spacing w:line="240" w:lineRule="auto"/>
        <w:rPr>
          <w:rFonts w:eastAsia="Times New Roman" w:cs="Arial"/>
          <w:color w:val="000000"/>
          <w:lang w:eastAsia="bg-BG"/>
        </w:rPr>
      </w:pPr>
    </w:p>
    <w:p w14:paraId="7F3E9821" w14:textId="4DE27930" w:rsidR="00402E6B" w:rsidRPr="00402E6B" w:rsidRDefault="00402E6B" w:rsidP="00402E6B">
      <w:pPr>
        <w:spacing w:line="240" w:lineRule="auto"/>
        <w:rPr>
          <w:rFonts w:eastAsia="Times New Roman" w:cs="Arial"/>
        </w:rPr>
      </w:pPr>
      <w:r w:rsidRPr="00402E6B">
        <w:rPr>
          <w:rFonts w:eastAsia="Times New Roman" w:cs="Arial"/>
          <w:color w:val="000000"/>
          <w:lang w:eastAsia="bg-BG"/>
        </w:rPr>
        <w:t>В изпитване при здрави доброволци лопинавир/ритонавир предизвикват приблизително двукратно понижаване на плазмените концентрации на ламотрижин, вероятно чрез индуциране на глюкуронирането. При пациенти, приемащи едновременно лечение с лопинавир/ритонавир трябва да бъде използван подходящ терапевтичен режим (вж. точка 4.2).</w:t>
      </w:r>
    </w:p>
    <w:p w14:paraId="22950CAC" w14:textId="77777777" w:rsidR="00402E6B" w:rsidRPr="00402E6B" w:rsidRDefault="00402E6B" w:rsidP="00402E6B">
      <w:pPr>
        <w:spacing w:line="240" w:lineRule="auto"/>
        <w:rPr>
          <w:rFonts w:eastAsia="Times New Roman" w:cs="Arial"/>
          <w:color w:val="000000"/>
          <w:lang w:eastAsia="bg-BG"/>
        </w:rPr>
      </w:pPr>
    </w:p>
    <w:p w14:paraId="1F5F1583" w14:textId="7A68D3DF"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изпитване при здрави възрастни доброволци атазанавир/ритонавир (300 </w:t>
      </w:r>
      <w:r w:rsidRPr="00402E6B">
        <w:rPr>
          <w:rFonts w:eastAsia="Times New Roman" w:cs="Arial"/>
          <w:color w:val="000000"/>
          <w:lang w:val="en-US"/>
        </w:rPr>
        <w:t>mg</w:t>
      </w:r>
      <w:r w:rsidRPr="00402E6B">
        <w:rPr>
          <w:rFonts w:eastAsia="Times New Roman" w:cs="Arial"/>
          <w:color w:val="000000"/>
          <w:lang w:val="ru-RU"/>
        </w:rPr>
        <w:t>/</w:t>
      </w:r>
      <w:r w:rsidRPr="00402E6B">
        <w:rPr>
          <w:rFonts w:eastAsia="Times New Roman" w:cs="Arial"/>
          <w:color w:val="000000"/>
          <w:lang w:eastAsia="bg-BG"/>
        </w:rPr>
        <w:t xml:space="preserve">100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приложени за 9 дни са понижили плазмените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eastAsia="bg-BG"/>
        </w:rPr>
        <w:t>и С</w:t>
      </w:r>
      <w:r w:rsidRPr="00402E6B">
        <w:rPr>
          <w:rFonts w:eastAsia="Times New Roman" w:cs="Arial"/>
          <w:color w:val="000000"/>
          <w:vertAlign w:val="subscript"/>
          <w:lang w:val="en-US"/>
        </w:rPr>
        <w:t>m</w:t>
      </w:r>
      <w:r w:rsidRPr="00402E6B">
        <w:rPr>
          <w:rFonts w:eastAsia="Times New Roman" w:cs="Arial"/>
          <w:color w:val="000000"/>
          <w:vertAlign w:val="subscript"/>
          <w:lang w:eastAsia="bg-BG"/>
        </w:rPr>
        <w:t>ах</w:t>
      </w:r>
      <w:r w:rsidRPr="00402E6B">
        <w:rPr>
          <w:rFonts w:eastAsia="Times New Roman" w:cs="Arial"/>
          <w:color w:val="000000"/>
          <w:lang w:eastAsia="bg-BG"/>
        </w:rPr>
        <w:t xml:space="preserve"> на ламотрижин (еднократна доза от 100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с около 32% и 6% съответно. При пациенти, приемащи едновременно лечение с атазанавир/ритонавир трябва да бъде използван подходящ терапевтичен режим (вж. точка 4.2).</w:t>
      </w:r>
    </w:p>
    <w:p w14:paraId="5503B905" w14:textId="77777777" w:rsidR="00402E6B" w:rsidRPr="00402E6B" w:rsidRDefault="00402E6B" w:rsidP="00402E6B">
      <w:pPr>
        <w:spacing w:line="240" w:lineRule="auto"/>
        <w:rPr>
          <w:rFonts w:eastAsia="Times New Roman" w:cs="Arial"/>
          <w:color w:val="000000"/>
          <w:lang w:eastAsia="bg-BG"/>
        </w:rPr>
      </w:pPr>
    </w:p>
    <w:p w14:paraId="1DC90F3E" w14:textId="4B13E34C"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В изпитване при здрави възрастни доброволци, парацетамол 1 </w:t>
      </w:r>
      <w:r w:rsidRPr="00402E6B">
        <w:rPr>
          <w:rFonts w:eastAsia="Times New Roman" w:cs="Arial"/>
          <w:color w:val="000000"/>
          <w:lang w:val="en-US"/>
        </w:rPr>
        <w:t>g</w:t>
      </w:r>
      <w:r w:rsidRPr="00402E6B">
        <w:rPr>
          <w:rFonts w:eastAsia="Times New Roman" w:cs="Arial"/>
          <w:color w:val="000000"/>
          <w:lang w:val="ru-RU"/>
        </w:rPr>
        <w:t xml:space="preserve"> </w:t>
      </w:r>
      <w:r w:rsidRPr="00402E6B">
        <w:rPr>
          <w:rFonts w:eastAsia="Times New Roman" w:cs="Arial"/>
          <w:color w:val="000000"/>
          <w:lang w:eastAsia="bg-BG"/>
        </w:rPr>
        <w:t xml:space="preserve">(четири пъти дневно) понижава плазмените </w:t>
      </w:r>
      <w:r w:rsidRPr="00402E6B">
        <w:rPr>
          <w:rFonts w:eastAsia="Times New Roman" w:cs="Arial"/>
          <w:color w:val="000000"/>
          <w:lang w:val="en-US"/>
        </w:rPr>
        <w:t>AUC</w:t>
      </w:r>
      <w:r w:rsidRPr="00402E6B">
        <w:rPr>
          <w:rFonts w:eastAsia="Times New Roman" w:cs="Arial"/>
          <w:color w:val="000000"/>
          <w:lang w:val="ru-RU"/>
        </w:rPr>
        <w:t xml:space="preserve"> </w:t>
      </w:r>
      <w:r w:rsidRPr="00402E6B">
        <w:rPr>
          <w:rFonts w:eastAsia="Times New Roman" w:cs="Arial"/>
          <w:color w:val="000000"/>
          <w:lang w:val="en-US"/>
        </w:rPr>
        <w:t>I</w:t>
      </w:r>
      <w:r w:rsidRPr="00402E6B">
        <w:rPr>
          <w:rFonts w:eastAsia="Times New Roman" w:cs="Arial"/>
          <w:color w:val="000000"/>
          <w:lang w:val="ru-RU"/>
        </w:rPr>
        <w:t xml:space="preserve"> </w:t>
      </w:r>
      <w:r w:rsidRPr="00402E6B">
        <w:rPr>
          <w:rFonts w:eastAsia="Times New Roman" w:cs="Arial"/>
          <w:color w:val="000000"/>
          <w:lang w:val="en-US"/>
        </w:rPr>
        <w:t>C</w:t>
      </w:r>
      <w:r w:rsidRPr="00402E6B">
        <w:rPr>
          <w:rFonts w:eastAsia="Times New Roman" w:cs="Arial"/>
          <w:color w:val="000000"/>
          <w:vertAlign w:val="subscript"/>
          <w:lang w:val="en-US"/>
        </w:rPr>
        <w:t>min</w:t>
      </w:r>
      <w:r w:rsidRPr="00402E6B">
        <w:rPr>
          <w:rFonts w:eastAsia="Times New Roman" w:cs="Arial"/>
          <w:color w:val="000000"/>
          <w:lang w:val="ru-RU"/>
        </w:rPr>
        <w:t xml:space="preserve"> </w:t>
      </w:r>
      <w:r w:rsidRPr="00402E6B">
        <w:rPr>
          <w:rFonts w:eastAsia="Times New Roman" w:cs="Arial"/>
          <w:color w:val="000000"/>
          <w:lang w:eastAsia="bg-BG"/>
        </w:rPr>
        <w:t>на ламотрижин средно съответно с 20 % и 25 %.</w:t>
      </w:r>
    </w:p>
    <w:p w14:paraId="798A5D7E" w14:textId="77777777" w:rsidR="00402E6B" w:rsidRPr="00402E6B" w:rsidRDefault="00402E6B" w:rsidP="00402E6B">
      <w:pPr>
        <w:rPr>
          <w:rFonts w:eastAsia="Times New Roman" w:cs="Arial"/>
          <w:color w:val="000000"/>
          <w:lang w:eastAsia="bg-BG"/>
        </w:rPr>
      </w:pPr>
    </w:p>
    <w:p w14:paraId="5FB48BB4" w14:textId="4C31B637" w:rsidR="00402E6B" w:rsidRPr="00402E6B" w:rsidRDefault="00402E6B" w:rsidP="00402E6B">
      <w:pPr>
        <w:rPr>
          <w:rFonts w:eastAsia="Times New Roman" w:cs="Arial"/>
          <w:color w:val="000000"/>
          <w:lang w:eastAsia="bg-BG"/>
        </w:rPr>
      </w:pPr>
      <w:r w:rsidRPr="00402E6B">
        <w:rPr>
          <w:rFonts w:eastAsia="Times New Roman" w:cs="Arial"/>
          <w:color w:val="000000"/>
          <w:lang w:eastAsia="bg-BG"/>
        </w:rPr>
        <w:t xml:space="preserve">Данни от </w:t>
      </w:r>
      <w:r w:rsidRPr="00402E6B">
        <w:rPr>
          <w:rFonts w:eastAsia="Times New Roman" w:cs="Arial"/>
          <w:i/>
          <w:iCs/>
          <w:color w:val="000000"/>
          <w:lang w:val="en-US"/>
        </w:rPr>
        <w:t>in</w:t>
      </w:r>
      <w:r w:rsidRPr="00402E6B">
        <w:rPr>
          <w:rFonts w:eastAsia="Times New Roman" w:cs="Arial"/>
          <w:i/>
          <w:iCs/>
          <w:color w:val="000000"/>
          <w:lang w:val="ru-RU"/>
        </w:rPr>
        <w:t xml:space="preserve"> </w:t>
      </w:r>
      <w:r w:rsidRPr="00402E6B">
        <w:rPr>
          <w:rFonts w:eastAsia="Times New Roman" w:cs="Arial"/>
          <w:i/>
          <w:iCs/>
          <w:color w:val="000000"/>
          <w:lang w:val="en-US"/>
        </w:rPr>
        <w:t>vitro</w:t>
      </w:r>
      <w:r w:rsidRPr="00402E6B">
        <w:rPr>
          <w:rFonts w:eastAsia="Times New Roman" w:cs="Arial"/>
          <w:color w:val="000000"/>
          <w:lang w:val="ru-RU"/>
        </w:rPr>
        <w:t xml:space="preserve"> </w:t>
      </w:r>
      <w:r w:rsidRPr="00402E6B">
        <w:rPr>
          <w:rFonts w:eastAsia="Times New Roman" w:cs="Arial"/>
          <w:color w:val="000000"/>
          <w:lang w:eastAsia="bg-BG"/>
        </w:rPr>
        <w:t xml:space="preserve">проучване показват, че ламотрижин, но не и </w:t>
      </w:r>
      <w:r w:rsidRPr="00402E6B">
        <w:rPr>
          <w:rFonts w:eastAsia="Times New Roman" w:cs="Arial"/>
          <w:color w:val="000000"/>
          <w:lang w:val="en-US"/>
        </w:rPr>
        <w:t>N</w:t>
      </w:r>
      <w:r w:rsidRPr="00402E6B">
        <w:rPr>
          <w:rFonts w:eastAsia="Times New Roman" w:cs="Arial"/>
          <w:color w:val="000000"/>
          <w:lang w:eastAsia="bg-BG"/>
        </w:rPr>
        <w:t xml:space="preserve">(2)-глюкуронид метаболита, е инхибитор на Органичния транспортер 2 </w:t>
      </w:r>
      <w:r w:rsidRPr="00402E6B">
        <w:rPr>
          <w:rFonts w:eastAsia="Times New Roman" w:cs="Arial"/>
          <w:color w:val="000000"/>
          <w:lang w:val="ru-RU"/>
        </w:rPr>
        <w:t>(</w:t>
      </w:r>
      <w:r w:rsidRPr="00402E6B">
        <w:rPr>
          <w:rFonts w:eastAsia="Times New Roman" w:cs="Arial"/>
          <w:color w:val="000000"/>
          <w:lang w:val="en-US"/>
        </w:rPr>
        <w:t>OCT</w:t>
      </w:r>
      <w:r w:rsidRPr="00402E6B">
        <w:rPr>
          <w:rFonts w:eastAsia="Times New Roman" w:cs="Arial"/>
          <w:color w:val="000000"/>
          <w:lang w:val="ru-RU"/>
        </w:rPr>
        <w:t xml:space="preserve"> </w:t>
      </w:r>
      <w:r w:rsidRPr="00402E6B">
        <w:rPr>
          <w:rFonts w:eastAsia="Times New Roman" w:cs="Arial"/>
          <w:color w:val="000000"/>
          <w:lang w:eastAsia="bg-BG"/>
        </w:rPr>
        <w:t xml:space="preserve">2) в потенциално клинично значими концентрации. Тези данни показват, че ламотрижин е инхибитор на </w:t>
      </w:r>
      <w:r w:rsidRPr="00402E6B">
        <w:rPr>
          <w:rFonts w:eastAsia="Times New Roman" w:cs="Arial"/>
          <w:color w:val="000000"/>
          <w:lang w:val="en-US"/>
        </w:rPr>
        <w:t>OCT</w:t>
      </w:r>
      <w:r w:rsidRPr="00402E6B">
        <w:rPr>
          <w:rFonts w:eastAsia="Times New Roman" w:cs="Arial"/>
          <w:color w:val="000000"/>
          <w:lang w:val="ru-RU"/>
        </w:rPr>
        <w:t xml:space="preserve"> </w:t>
      </w:r>
      <w:r w:rsidRPr="00402E6B">
        <w:rPr>
          <w:rFonts w:eastAsia="Times New Roman" w:cs="Arial"/>
          <w:color w:val="000000"/>
          <w:lang w:eastAsia="bg-BG"/>
        </w:rPr>
        <w:t xml:space="preserve">2 с </w:t>
      </w:r>
      <w:r w:rsidRPr="00402E6B">
        <w:rPr>
          <w:rFonts w:eastAsia="Times New Roman" w:cs="Arial"/>
          <w:color w:val="000000"/>
          <w:lang w:val="en-US"/>
        </w:rPr>
        <w:t>IC</w:t>
      </w:r>
      <w:r w:rsidRPr="00402E6B">
        <w:rPr>
          <w:rFonts w:eastAsia="Times New Roman" w:cs="Arial"/>
          <w:color w:val="000000"/>
          <w:lang w:val="ru-RU"/>
        </w:rPr>
        <w:t xml:space="preserve">50 </w:t>
      </w:r>
      <w:r w:rsidRPr="00402E6B">
        <w:rPr>
          <w:rFonts w:eastAsia="Times New Roman" w:cs="Arial"/>
          <w:color w:val="000000"/>
          <w:lang w:eastAsia="bg-BG"/>
        </w:rPr>
        <w:t xml:space="preserve">стойност 53,8 μМ. Едновременното приложение на ламотрижин с лекарствени продукти, които се елиминират през бъбреците и са субстрати на </w:t>
      </w:r>
      <w:r w:rsidRPr="00402E6B">
        <w:rPr>
          <w:rFonts w:eastAsia="Times New Roman" w:cs="Arial"/>
          <w:color w:val="000000"/>
          <w:lang w:val="en-US"/>
        </w:rPr>
        <w:t>OCT</w:t>
      </w:r>
      <w:r w:rsidRPr="00402E6B">
        <w:rPr>
          <w:rFonts w:eastAsia="Times New Roman" w:cs="Arial"/>
          <w:color w:val="000000"/>
          <w:lang w:val="ru-RU"/>
        </w:rPr>
        <w:t xml:space="preserve"> </w:t>
      </w:r>
      <w:r w:rsidRPr="00402E6B">
        <w:rPr>
          <w:rFonts w:eastAsia="Times New Roman" w:cs="Arial"/>
          <w:color w:val="000000"/>
          <w:lang w:eastAsia="bg-BG"/>
        </w:rPr>
        <w:t>2 (напр. метформин, габапентин и</w:t>
      </w:r>
      <w:r w:rsidRPr="00402E6B">
        <w:rPr>
          <w:rFonts w:eastAsia="Times New Roman" w:cs="Arial"/>
          <w:i/>
          <w:iCs/>
          <w:color w:val="000000"/>
          <w:lang w:eastAsia="bg-BG"/>
        </w:rPr>
        <w:t xml:space="preserve"> </w:t>
      </w:r>
      <w:r w:rsidRPr="00402E6B">
        <w:rPr>
          <w:rFonts w:eastAsia="Times New Roman" w:cs="Arial"/>
          <w:color w:val="000000"/>
          <w:lang w:eastAsia="bg-BG"/>
        </w:rPr>
        <w:t>варениклин), може да доведе до повишени плазмени нива на тези лекарства.</w:t>
      </w:r>
    </w:p>
    <w:p w14:paraId="2A28372B" w14:textId="63D948A2" w:rsidR="00402E6B" w:rsidRPr="00402E6B" w:rsidRDefault="00402E6B" w:rsidP="00402E6B">
      <w:pPr>
        <w:rPr>
          <w:rFonts w:eastAsia="Times New Roman" w:cs="Arial"/>
          <w:color w:val="000000"/>
          <w:lang w:eastAsia="bg-BG"/>
        </w:rPr>
      </w:pPr>
    </w:p>
    <w:p w14:paraId="3580B19B"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Клиничната значимост на тези резултати не е ясно определена. Въпреки това, приложението на лекарството трябва да е с повишено внимание при пациенти, които едновременно приемат някой от тези лекарствени продукти.</w:t>
      </w:r>
    </w:p>
    <w:p w14:paraId="779969E0" w14:textId="77777777" w:rsidR="00402E6B" w:rsidRPr="00402E6B" w:rsidRDefault="00402E6B" w:rsidP="00402E6B">
      <w:pPr>
        <w:spacing w:line="240" w:lineRule="auto"/>
        <w:rPr>
          <w:rFonts w:eastAsia="Times New Roman" w:cs="Arial"/>
          <w:color w:val="000000"/>
          <w:lang w:eastAsia="bg-BG"/>
        </w:rPr>
      </w:pPr>
    </w:p>
    <w:p w14:paraId="252A5A2E" w14:textId="64D26C80" w:rsidR="00402E6B" w:rsidRPr="00402E6B" w:rsidRDefault="00402E6B" w:rsidP="00402E6B">
      <w:pPr>
        <w:spacing w:line="240" w:lineRule="auto"/>
        <w:rPr>
          <w:rFonts w:eastAsia="Times New Roman" w:cs="Arial"/>
        </w:rPr>
      </w:pPr>
      <w:r w:rsidRPr="00402E6B">
        <w:rPr>
          <w:rFonts w:eastAsia="Times New Roman" w:cs="Arial"/>
          <w:color w:val="000000"/>
          <w:lang w:eastAsia="bg-BG"/>
        </w:rPr>
        <w:t>При пациенти, лекувани едновременно с орлистат и антиепилептични лекарствени продукти, (напр. валпроат, ламотрижин) са наблюдавани припадъци, за появата на които не може да се изключи причинно-следствена връзка с взаимодействието. Орлистат може да намали резорбцията на антиепилептичните лекарствени средства и по този начин да наруши контрола върху припадъците. Поради това тези пациенти трябва да бъдат проследявани за възможни промени в честотата и/или тежестта на припадъците.</w:t>
      </w:r>
    </w:p>
    <w:p w14:paraId="44DF2AA9" w14:textId="4074609F" w:rsidR="00402E6B" w:rsidRPr="00402E6B" w:rsidRDefault="00402E6B" w:rsidP="00402E6B"/>
    <w:p w14:paraId="5D9F40EA" w14:textId="2465E95B" w:rsidR="007122AD" w:rsidRDefault="002C50EE" w:rsidP="00936AD0">
      <w:pPr>
        <w:pStyle w:val="Heading2"/>
      </w:pPr>
      <w:r>
        <w:t>4.6. Фертилитет, бременност и кърмене</w:t>
      </w:r>
    </w:p>
    <w:p w14:paraId="74B5FDA1" w14:textId="04D004D3" w:rsidR="00402E6B" w:rsidRDefault="00402E6B" w:rsidP="00402E6B"/>
    <w:p w14:paraId="6BBC9980"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Риск, свързан с антиепилептичните лекарства като цяло</w:t>
      </w:r>
    </w:p>
    <w:p w14:paraId="3D59BCBC"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Лечението на жените с детероден потенциал трябва да бъде под контрола на специалист. Необходимостта от лечение с АЕЛ трябва да бъде преразгледана, в случай </w:t>
      </w:r>
      <w:r w:rsidRPr="00402E6B">
        <w:rPr>
          <w:rFonts w:eastAsia="Times New Roman" w:cs="Arial"/>
          <w:color w:val="000000"/>
          <w:lang w:eastAsia="bg-BG"/>
        </w:rPr>
        <w:lastRenderedPageBreak/>
        <w:t>че жената планира да забременее. При жените, лекувани за епилепсия, внезапното спиране на лечението с АЕЛ трябва да се избягва, тъй като това може да доведе до поява на припадъци със сериозни последствия върху жената и нероденото дете.</w:t>
      </w:r>
    </w:p>
    <w:p w14:paraId="5CC246F3" w14:textId="77777777" w:rsidR="00402E6B" w:rsidRPr="00402E6B" w:rsidRDefault="00402E6B" w:rsidP="00402E6B">
      <w:pPr>
        <w:spacing w:line="240" w:lineRule="auto"/>
        <w:rPr>
          <w:rFonts w:eastAsia="Times New Roman" w:cs="Arial"/>
          <w:color w:val="000000"/>
          <w:lang w:eastAsia="bg-BG"/>
        </w:rPr>
      </w:pPr>
    </w:p>
    <w:p w14:paraId="36AA4E3E" w14:textId="52929746"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Рискът от вродени малформации в поколението на майки, лекувани с АЕЛ, нараства от 2 до 3 пъти в сравнение с очакваната честота от около 3 % в общата популация. Най-често съобщаваните дефекти са заешка устна, сърдечно-съдови малформации и дефекти на невралната тръба. Лечението с няколко АЕЛ е свързано с повишен риск от вродени малформации в сравнение с монотерапията, която по възможност трябва да бъде предпочитана.</w:t>
      </w:r>
    </w:p>
    <w:p w14:paraId="47D01FDF" w14:textId="77777777" w:rsidR="00402E6B" w:rsidRPr="00402E6B" w:rsidRDefault="00402E6B" w:rsidP="00402E6B">
      <w:pPr>
        <w:spacing w:line="240" w:lineRule="auto"/>
        <w:rPr>
          <w:rFonts w:eastAsia="Times New Roman" w:cs="Arial"/>
          <w:color w:val="000000"/>
          <w:u w:val="single"/>
          <w:lang w:eastAsia="bg-BG"/>
        </w:rPr>
      </w:pPr>
    </w:p>
    <w:p w14:paraId="3E88611D" w14:textId="2428AF0C"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Риск, свързан с ламотрижин</w:t>
      </w:r>
    </w:p>
    <w:p w14:paraId="05A14DE0" w14:textId="77777777" w:rsidR="00402E6B" w:rsidRPr="00402E6B" w:rsidRDefault="00402E6B" w:rsidP="00402E6B">
      <w:pPr>
        <w:spacing w:line="240" w:lineRule="auto"/>
        <w:rPr>
          <w:rFonts w:eastAsia="Times New Roman" w:cs="Arial"/>
          <w:i/>
          <w:iCs/>
          <w:color w:val="000000"/>
          <w:lang w:eastAsia="bg-BG"/>
        </w:rPr>
      </w:pPr>
    </w:p>
    <w:p w14:paraId="11025F0B" w14:textId="166396EA" w:rsidR="00402E6B" w:rsidRPr="00402E6B" w:rsidRDefault="00402E6B" w:rsidP="00402E6B">
      <w:pPr>
        <w:pStyle w:val="Heading3"/>
        <w:rPr>
          <w:rFonts w:eastAsia="Times New Roman"/>
          <w:i/>
          <w:u w:val="single"/>
        </w:rPr>
      </w:pPr>
      <w:r w:rsidRPr="00402E6B">
        <w:rPr>
          <w:rFonts w:eastAsia="Times New Roman"/>
          <w:i/>
          <w:u w:val="single"/>
          <w:lang w:eastAsia="bg-BG"/>
        </w:rPr>
        <w:t>Бременност</w:t>
      </w:r>
    </w:p>
    <w:p w14:paraId="2304E3BE"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Постмаркетинговите данни от няколко проспективни регистри на бременни жени оценяват изхода от бременността при над 8 700 жени, приемали ламотрижин монотерапия по време на първите три месеца от бременност. Въпреки, че данните не показват повишен риск от значими вродени малформации тези данни са все още ограничени, за да може да се изключи умерено повишаване на риска от честотата на заешка устна и вълча паст. Проучванията при животни са показали токсичност върху развитието (вж. точка 5.3).</w:t>
      </w:r>
    </w:p>
    <w:p w14:paraId="4FDA2B9D" w14:textId="77777777" w:rsidR="00402E6B" w:rsidRPr="00402E6B" w:rsidRDefault="00402E6B" w:rsidP="00402E6B">
      <w:pPr>
        <w:spacing w:line="240" w:lineRule="auto"/>
        <w:rPr>
          <w:rFonts w:eastAsia="Times New Roman" w:cs="Arial"/>
          <w:color w:val="000000"/>
          <w:lang w:eastAsia="bg-BG"/>
        </w:rPr>
      </w:pPr>
    </w:p>
    <w:p w14:paraId="0DA1B316" w14:textId="18354D10"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Ако е наложително лечение с ламотрижин по време на бременност се препоръчва приложението на най-ниската възможна терапевтична доза.</w:t>
      </w:r>
    </w:p>
    <w:p w14:paraId="37BB5A05" w14:textId="77777777" w:rsidR="00402E6B" w:rsidRPr="00402E6B" w:rsidRDefault="00402E6B" w:rsidP="00402E6B">
      <w:pPr>
        <w:spacing w:line="240" w:lineRule="auto"/>
        <w:rPr>
          <w:rFonts w:eastAsia="Times New Roman" w:cs="Arial"/>
          <w:color w:val="000000"/>
          <w:lang w:eastAsia="bg-BG"/>
        </w:rPr>
      </w:pPr>
    </w:p>
    <w:p w14:paraId="0F601C46" w14:textId="7FC806D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Ламотрижин има слаб инхибиторен ефект върху редуктазата на дихидрофолиевата киселина, поради което може теоретично да повиши риска от ембриофетално увреждане чрез понижаване стойностите на фолиева киселина (вж. точка 4.4). Препоръчителен е прием на фолиева киселина при планиране на бременност и в ранните периоди на бременността.</w:t>
      </w:r>
    </w:p>
    <w:p w14:paraId="2D583DB4" w14:textId="77777777" w:rsidR="00402E6B" w:rsidRPr="00402E6B" w:rsidRDefault="00402E6B" w:rsidP="00402E6B">
      <w:pPr>
        <w:rPr>
          <w:rFonts w:eastAsia="Times New Roman" w:cs="Arial"/>
          <w:color w:val="000000"/>
          <w:lang w:eastAsia="bg-BG"/>
        </w:rPr>
      </w:pPr>
    </w:p>
    <w:p w14:paraId="1180864F" w14:textId="2D43FBC8" w:rsidR="00402E6B" w:rsidRPr="00402E6B" w:rsidRDefault="00402E6B" w:rsidP="00402E6B">
      <w:pPr>
        <w:rPr>
          <w:rFonts w:eastAsia="Times New Roman" w:cs="Arial"/>
          <w:color w:val="000000"/>
          <w:lang w:eastAsia="bg-BG"/>
        </w:rPr>
      </w:pPr>
      <w:r w:rsidRPr="00402E6B">
        <w:rPr>
          <w:rFonts w:eastAsia="Times New Roman" w:cs="Arial"/>
          <w:color w:val="000000"/>
          <w:lang w:eastAsia="bg-BG"/>
        </w:rPr>
        <w:t>Физиологичните промени, настъпващи по време на бременност, могат да окажат влияние върху концентрациите на ламотрижин и/или върху терапевтичния ефект. Има съобщения за понижаване на плазмените концентрации на ламотрижин по време на бременност с потенциален риск от загуба на контрол върху.припадъците. След раждането концентрациите на ламотрижин могат бързо да се повишат с риск от дозосвързани нежелани реакции. Поради това серумните концентрации на ламотрижин трябва да бъдат проследявани преди, по време на и след бременността, както и за кратко след раждането. При необходимост дозата трябва да бъде адаптирана, за да се поддържа серумната концентрация на ламотрижин на нивото от преди бременността, или да бъде адаптирана според клиничния отговор. Освен това след раждането трябва да се следи за проява на дозосвързани нежелани реакции.</w:t>
      </w:r>
    </w:p>
    <w:p w14:paraId="241EF5E2" w14:textId="52CBAADA" w:rsidR="00402E6B" w:rsidRPr="00402E6B" w:rsidRDefault="00402E6B" w:rsidP="00402E6B">
      <w:pPr>
        <w:rPr>
          <w:rFonts w:eastAsia="Times New Roman" w:cs="Arial"/>
          <w:color w:val="000000"/>
          <w:lang w:eastAsia="bg-BG"/>
        </w:rPr>
      </w:pPr>
    </w:p>
    <w:p w14:paraId="6D187EF8" w14:textId="77777777" w:rsidR="00402E6B" w:rsidRPr="00402E6B" w:rsidRDefault="00402E6B" w:rsidP="00402E6B">
      <w:pPr>
        <w:pStyle w:val="Heading3"/>
        <w:rPr>
          <w:rFonts w:eastAsia="Times New Roman"/>
          <w:i/>
          <w:u w:val="single"/>
        </w:rPr>
      </w:pPr>
      <w:r w:rsidRPr="00402E6B">
        <w:rPr>
          <w:rFonts w:eastAsia="Times New Roman"/>
          <w:i/>
          <w:u w:val="single"/>
          <w:lang w:eastAsia="bg-BG"/>
        </w:rPr>
        <w:t>Кърмене</w:t>
      </w:r>
    </w:p>
    <w:p w14:paraId="5FCBEA13"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Има съобщения, че ламотрижин преминава в кърмата в силно вариабилни концентрации, водещо до достигане на общи плазмени нива на ламотрижин при кърмачетата от около 50% от тези при майката. По тази причина, при някои кърмачета, серумните концентрации на ламотрижин могат да достигнат стойности, при които се наблюдават фармакологични ефекти.</w:t>
      </w:r>
    </w:p>
    <w:p w14:paraId="20BD472D" w14:textId="77777777" w:rsidR="00402E6B" w:rsidRPr="00402E6B" w:rsidRDefault="00402E6B" w:rsidP="00402E6B">
      <w:pPr>
        <w:spacing w:line="240" w:lineRule="auto"/>
        <w:rPr>
          <w:rFonts w:eastAsia="Times New Roman" w:cs="Arial"/>
          <w:color w:val="000000"/>
          <w:lang w:eastAsia="bg-BG"/>
        </w:rPr>
      </w:pPr>
    </w:p>
    <w:p w14:paraId="2CDFD004" w14:textId="39BCF2D9"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lastRenderedPageBreak/>
        <w:t>Потенциалните ползи от кърменето трябва да бъдат преценени срещу потенциалния риск от нежелани ефекти за детето. Ако жената реши да кърми, докато е на лечение с ламотрижин, кърмачето трябва да бъде проследявано за поява на нежелани реакции, като седация, обрив и слабо наддаване на тегло.</w:t>
      </w:r>
    </w:p>
    <w:p w14:paraId="78218A20" w14:textId="77777777" w:rsidR="00402E6B" w:rsidRPr="00402E6B" w:rsidRDefault="00402E6B" w:rsidP="00402E6B">
      <w:pPr>
        <w:spacing w:line="240" w:lineRule="auto"/>
        <w:rPr>
          <w:rFonts w:eastAsia="Times New Roman" w:cs="Arial"/>
          <w:i/>
          <w:iCs/>
          <w:color w:val="000000"/>
          <w:u w:val="single"/>
          <w:lang w:eastAsia="bg-BG"/>
        </w:rPr>
      </w:pPr>
    </w:p>
    <w:p w14:paraId="213BFF9F" w14:textId="0CDC3D1F" w:rsidR="00402E6B" w:rsidRPr="00402E6B" w:rsidRDefault="00402E6B" w:rsidP="00402E6B">
      <w:pPr>
        <w:pStyle w:val="Heading3"/>
        <w:rPr>
          <w:rFonts w:eastAsia="Times New Roman"/>
          <w:i/>
          <w:u w:val="single"/>
        </w:rPr>
      </w:pPr>
      <w:r w:rsidRPr="00402E6B">
        <w:rPr>
          <w:rFonts w:eastAsia="Times New Roman"/>
          <w:i/>
          <w:u w:val="single"/>
          <w:lang w:eastAsia="bg-BG"/>
        </w:rPr>
        <w:t>Фертилитет</w:t>
      </w:r>
    </w:p>
    <w:p w14:paraId="15CA4C42" w14:textId="77777777" w:rsidR="00402E6B" w:rsidRPr="00402E6B" w:rsidRDefault="00402E6B" w:rsidP="00402E6B">
      <w:pPr>
        <w:spacing w:line="240" w:lineRule="auto"/>
        <w:rPr>
          <w:rFonts w:ascii="Times New Roman" w:eastAsia="Times New Roman" w:hAnsi="Times New Roman" w:cs="Times New Roman"/>
          <w:sz w:val="24"/>
          <w:szCs w:val="24"/>
        </w:rPr>
      </w:pPr>
      <w:r w:rsidRPr="00402E6B">
        <w:rPr>
          <w:rFonts w:eastAsia="Times New Roman" w:cs="Arial"/>
          <w:color w:val="000000"/>
          <w:lang w:eastAsia="bg-BG"/>
        </w:rPr>
        <w:t>Изследванията при животни не показват неблагоприятно повлияване на фертилитета от ламотрижин (вж. точка 5.3).</w:t>
      </w:r>
    </w:p>
    <w:p w14:paraId="6A665F89" w14:textId="77777777" w:rsidR="00402E6B" w:rsidRPr="00402E6B" w:rsidRDefault="00402E6B" w:rsidP="00402E6B"/>
    <w:p w14:paraId="5DD7A76D" w14:textId="0E73C2E8" w:rsidR="007122AD" w:rsidRDefault="002C50EE" w:rsidP="00936AD0">
      <w:pPr>
        <w:pStyle w:val="Heading2"/>
      </w:pPr>
      <w:r>
        <w:t>4.7. Ефекти върху способността за шофиране и работа с машини</w:t>
      </w:r>
    </w:p>
    <w:p w14:paraId="0A0903BE" w14:textId="16E1521D" w:rsidR="00402E6B" w:rsidRDefault="00402E6B" w:rsidP="00402E6B"/>
    <w:p w14:paraId="1817584D" w14:textId="77777777" w:rsidR="00402E6B" w:rsidRPr="00402E6B" w:rsidRDefault="00402E6B" w:rsidP="00402E6B">
      <w:pPr>
        <w:rPr>
          <w:sz w:val="24"/>
          <w:szCs w:val="24"/>
        </w:rPr>
      </w:pPr>
      <w:r w:rsidRPr="00402E6B">
        <w:rPr>
          <w:lang w:eastAsia="bg-BG"/>
        </w:rPr>
        <w:t>Тъй като съществуват индивидуални разлики в повлияването от лечението с АЕЛ, на пациентите, приемащи Епитрижин за лечение на епилепсия, се препоръчва да се консултират с лекуващия лекар относно специфични въпроси, свързани с шофирането и епилепсията.</w:t>
      </w:r>
    </w:p>
    <w:p w14:paraId="4057B59C" w14:textId="77777777" w:rsidR="00402E6B" w:rsidRDefault="00402E6B" w:rsidP="00402E6B">
      <w:pPr>
        <w:rPr>
          <w:lang w:eastAsia="bg-BG"/>
        </w:rPr>
      </w:pPr>
    </w:p>
    <w:p w14:paraId="52A33EBD" w14:textId="5BAABE69" w:rsidR="00402E6B" w:rsidRPr="00402E6B" w:rsidRDefault="00402E6B" w:rsidP="00402E6B">
      <w:pPr>
        <w:rPr>
          <w:sz w:val="24"/>
          <w:szCs w:val="24"/>
        </w:rPr>
      </w:pPr>
      <w:r w:rsidRPr="00402E6B">
        <w:rPr>
          <w:lang w:eastAsia="bg-BG"/>
        </w:rPr>
        <w:t>Не са провеждани изпитвания за ефектите върху способността за шофиране и работа с машини. При две изпитвания с доброволци е установено, че ефектът на ламотрижин върху фината зрителна двигателна координация, движенията на очите, равновесието и субективните седативни ефекти не се различава в сравнение с плацебо. При клинични изпитвания с ламотрижин са докладвани нежелани реакции от неврологичен характер като замайване и диплопия. Поради тази причина, преди да шофират или да работят с машини, пациентите трябва първо да установят как им влияе лечението с ламотрижин.</w:t>
      </w:r>
    </w:p>
    <w:p w14:paraId="5D17DDF4" w14:textId="77777777" w:rsidR="00402E6B" w:rsidRPr="00402E6B" w:rsidRDefault="00402E6B" w:rsidP="00402E6B"/>
    <w:p w14:paraId="44CE30A3" w14:textId="7FDEF7FC" w:rsidR="007122AD" w:rsidRDefault="002C50EE" w:rsidP="00936AD0">
      <w:pPr>
        <w:pStyle w:val="Heading2"/>
      </w:pPr>
      <w:r>
        <w:t>4.8. Нежелани лекарствени реакции</w:t>
      </w:r>
    </w:p>
    <w:p w14:paraId="27DC8858" w14:textId="52674CF1" w:rsidR="00402E6B" w:rsidRDefault="00402E6B" w:rsidP="00402E6B"/>
    <w:p w14:paraId="642BD72A" w14:textId="77777777" w:rsidR="00402E6B" w:rsidRPr="00402E6B" w:rsidRDefault="00402E6B" w:rsidP="00402E6B">
      <w:pPr>
        <w:rPr>
          <w:sz w:val="24"/>
          <w:szCs w:val="24"/>
        </w:rPr>
      </w:pPr>
      <w:r w:rsidRPr="00402E6B">
        <w:rPr>
          <w:lang w:eastAsia="bg-BG"/>
        </w:rPr>
        <w:t>Нежеланите лекарствени реакции за показанията епилепсията и за биполярно разстройство са според данни от контролирани клинични изпитвания и друг клиничен опит и са изброени в таблицата по-долу. Категориите по честота са изведени от контролирани клинични изпитвания (монотерапия за епилепсия (обозначени с кръстче</w:t>
      </w:r>
      <w:r w:rsidRPr="00402E6B">
        <w:rPr>
          <w:vertAlign w:val="superscript"/>
          <w:lang w:eastAsia="bg-BG"/>
        </w:rPr>
        <w:t>+</w:t>
      </w:r>
      <w:r w:rsidRPr="00402E6B">
        <w:rPr>
          <w:lang w:eastAsia="bg-BG"/>
        </w:rPr>
        <w:t>) и за биполярно разстройство (обозначени със знак за параграф</w:t>
      </w:r>
      <w:r w:rsidRPr="00402E6B">
        <w:rPr>
          <w:vertAlign w:val="superscript"/>
          <w:lang w:eastAsia="bg-BG"/>
        </w:rPr>
        <w:t>§</w:t>
      </w:r>
      <w:r w:rsidRPr="00402E6B">
        <w:rPr>
          <w:lang w:eastAsia="bg-BG"/>
        </w:rPr>
        <w:t>)). При разлика в категорията по честота между данните от клинични изпитвания при епилепсия и при биполярно разстройство е показана най-консервативната честота. Въпреки това, при липса на данни от контролирани клинични изпитвания категориите по честота са изведени от друг клиничен опит.</w:t>
      </w:r>
    </w:p>
    <w:p w14:paraId="38F4BD0E" w14:textId="77777777" w:rsidR="00402E6B" w:rsidRDefault="00402E6B" w:rsidP="00402E6B">
      <w:pPr>
        <w:rPr>
          <w:lang w:eastAsia="bg-BG"/>
        </w:rPr>
      </w:pPr>
    </w:p>
    <w:p w14:paraId="00EA4486" w14:textId="36536920" w:rsidR="00402E6B" w:rsidRPr="00402E6B" w:rsidRDefault="00402E6B" w:rsidP="00402E6B">
      <w:pPr>
        <w:rPr>
          <w:sz w:val="24"/>
          <w:szCs w:val="24"/>
        </w:rPr>
      </w:pPr>
      <w:r w:rsidRPr="00402E6B">
        <w:rPr>
          <w:lang w:eastAsia="bg-BG"/>
        </w:rPr>
        <w:t>Възприета е следната класификация на нежеланите лекарствени реакции: много чести (≥1/10), чести (≥1/100 до &lt; 1/10), нечести (≥1/1 000 до &lt; 1/100), редки (≥1/10 000 до &lt; 1/1 000), много редки (&lt; 1/10 000), с неизвестна честота (от наличните данни не може да бъде направена оценка).</w:t>
      </w:r>
    </w:p>
    <w:p w14:paraId="5FFFA37F" w14:textId="20058B85" w:rsidR="00402E6B" w:rsidRDefault="00402E6B" w:rsidP="00402E6B"/>
    <w:tbl>
      <w:tblPr>
        <w:tblStyle w:val="TableGrid"/>
        <w:tblW w:w="0" w:type="auto"/>
        <w:tblLook w:val="04A0" w:firstRow="1" w:lastRow="0" w:firstColumn="1" w:lastColumn="0" w:noHBand="0" w:noVBand="1"/>
      </w:tblPr>
      <w:tblGrid>
        <w:gridCol w:w="3113"/>
        <w:gridCol w:w="3159"/>
        <w:gridCol w:w="3078"/>
      </w:tblGrid>
      <w:tr w:rsidR="00402E6B" w14:paraId="5E0E36D3" w14:textId="77777777" w:rsidTr="00402E6B">
        <w:tc>
          <w:tcPr>
            <w:tcW w:w="3192" w:type="dxa"/>
          </w:tcPr>
          <w:p w14:paraId="59AA1EE7" w14:textId="23EBD172" w:rsidR="00402E6B" w:rsidRDefault="00402E6B" w:rsidP="00402E6B">
            <w:r>
              <w:rPr>
                <w:b/>
                <w:bCs/>
              </w:rPr>
              <w:t>Системо-органен клас</w:t>
            </w:r>
          </w:p>
        </w:tc>
        <w:tc>
          <w:tcPr>
            <w:tcW w:w="3192" w:type="dxa"/>
          </w:tcPr>
          <w:p w14:paraId="6E707090" w14:textId="28CEC075" w:rsidR="00402E6B" w:rsidRDefault="00402E6B" w:rsidP="00402E6B">
            <w:r>
              <w:t>Нежелана реакция</w:t>
            </w:r>
          </w:p>
        </w:tc>
        <w:tc>
          <w:tcPr>
            <w:tcW w:w="3192" w:type="dxa"/>
          </w:tcPr>
          <w:p w14:paraId="6A9B2CAF" w14:textId="1EBA0B44" w:rsidR="00402E6B" w:rsidRDefault="00402E6B" w:rsidP="00402E6B">
            <w:r>
              <w:t>Честота</w:t>
            </w:r>
          </w:p>
        </w:tc>
      </w:tr>
      <w:tr w:rsidR="00402E6B" w14:paraId="42BD0E54" w14:textId="77777777" w:rsidTr="00402E6B">
        <w:tc>
          <w:tcPr>
            <w:tcW w:w="3192" w:type="dxa"/>
            <w:vMerge w:val="restart"/>
          </w:tcPr>
          <w:p w14:paraId="625A2327" w14:textId="624F0379" w:rsidR="00402E6B" w:rsidRDefault="00402E6B" w:rsidP="00402E6B">
            <w:r>
              <w:t>Нарушения на кръвта и лимфната система</w:t>
            </w:r>
          </w:p>
        </w:tc>
        <w:tc>
          <w:tcPr>
            <w:tcW w:w="3192" w:type="dxa"/>
          </w:tcPr>
          <w:p w14:paraId="37037B97" w14:textId="0C4515A6" w:rsidR="00402E6B" w:rsidRDefault="00402E6B" w:rsidP="00402E6B">
            <w:r>
              <w:t>Хематологични отклонения</w:t>
            </w:r>
            <w:r>
              <w:rPr>
                <w:vertAlign w:val="superscript"/>
              </w:rPr>
              <w:t>1</w:t>
            </w:r>
            <w:r>
              <w:t xml:space="preserve">, включително неутропения, левкопения, анемия, тромбоцитопения, </w:t>
            </w:r>
            <w:r>
              <w:lastRenderedPageBreak/>
              <w:t>панцитопения, апластична анемия, агранулоцитоза</w:t>
            </w:r>
          </w:p>
        </w:tc>
        <w:tc>
          <w:tcPr>
            <w:tcW w:w="3192" w:type="dxa"/>
          </w:tcPr>
          <w:p w14:paraId="1BA92354" w14:textId="515C28DE" w:rsidR="00402E6B" w:rsidRDefault="00402E6B" w:rsidP="00402E6B">
            <w:r>
              <w:lastRenderedPageBreak/>
              <w:t>Много редки</w:t>
            </w:r>
          </w:p>
        </w:tc>
      </w:tr>
      <w:tr w:rsidR="00402E6B" w14:paraId="329E0FBF" w14:textId="77777777" w:rsidTr="00402E6B">
        <w:tc>
          <w:tcPr>
            <w:tcW w:w="3192" w:type="dxa"/>
            <w:vMerge/>
          </w:tcPr>
          <w:p w14:paraId="69DB8AEC" w14:textId="77777777" w:rsidR="00402E6B" w:rsidRDefault="00402E6B" w:rsidP="00402E6B"/>
        </w:tc>
        <w:tc>
          <w:tcPr>
            <w:tcW w:w="3192" w:type="dxa"/>
          </w:tcPr>
          <w:p w14:paraId="266D7AD8" w14:textId="5798A2E4" w:rsidR="00402E6B" w:rsidRDefault="00402E6B" w:rsidP="00402E6B">
            <w:r>
              <w:t xml:space="preserve">Хемофагоцитна лимфохистиоцитоза </w:t>
            </w:r>
            <w:r w:rsidRPr="00402E6B">
              <w:t>(</w:t>
            </w:r>
            <w:r>
              <w:rPr>
                <w:lang w:val="en-US"/>
              </w:rPr>
              <w:t>HLH</w:t>
            </w:r>
            <w:r w:rsidRPr="00402E6B">
              <w:t xml:space="preserve">). </w:t>
            </w:r>
            <w:r>
              <w:t>(вж. точка 4.4)</w:t>
            </w:r>
          </w:p>
        </w:tc>
        <w:tc>
          <w:tcPr>
            <w:tcW w:w="3192" w:type="dxa"/>
          </w:tcPr>
          <w:p w14:paraId="510E74A7" w14:textId="15ADE14B" w:rsidR="00402E6B" w:rsidRDefault="00402E6B" w:rsidP="00402E6B">
            <w:r>
              <w:t>Много редки</w:t>
            </w:r>
          </w:p>
        </w:tc>
      </w:tr>
      <w:tr w:rsidR="00402E6B" w14:paraId="6AA75C0C" w14:textId="77777777" w:rsidTr="00402E6B">
        <w:tc>
          <w:tcPr>
            <w:tcW w:w="3192" w:type="dxa"/>
            <w:vMerge/>
          </w:tcPr>
          <w:p w14:paraId="74CEED7F" w14:textId="77777777" w:rsidR="00402E6B" w:rsidRDefault="00402E6B" w:rsidP="00402E6B"/>
        </w:tc>
        <w:tc>
          <w:tcPr>
            <w:tcW w:w="3192" w:type="dxa"/>
          </w:tcPr>
          <w:p w14:paraId="417A1C8B" w14:textId="4AA8B344" w:rsidR="00402E6B" w:rsidRDefault="00402E6B" w:rsidP="00402E6B">
            <w:r>
              <w:t>Лимфаденопатия</w:t>
            </w:r>
          </w:p>
        </w:tc>
        <w:tc>
          <w:tcPr>
            <w:tcW w:w="3192" w:type="dxa"/>
          </w:tcPr>
          <w:p w14:paraId="44F21A4F" w14:textId="77777777" w:rsidR="00402E6B" w:rsidRDefault="00402E6B" w:rsidP="00402E6B">
            <w:r>
              <w:t>С неизвестна</w:t>
            </w:r>
          </w:p>
          <w:p w14:paraId="04A5E0A2" w14:textId="16E8240A" w:rsidR="00402E6B" w:rsidRDefault="00402E6B" w:rsidP="00402E6B">
            <w:r>
              <w:t>честота</w:t>
            </w:r>
          </w:p>
        </w:tc>
      </w:tr>
      <w:tr w:rsidR="00402E6B" w14:paraId="754032C3" w14:textId="77777777" w:rsidTr="00402E6B">
        <w:tc>
          <w:tcPr>
            <w:tcW w:w="3192" w:type="dxa"/>
            <w:vMerge w:val="restart"/>
          </w:tcPr>
          <w:p w14:paraId="31833737" w14:textId="1DCF0CE3" w:rsidR="00402E6B" w:rsidRDefault="00402E6B" w:rsidP="00402E6B">
            <w:r>
              <w:t>Нарушения на имунната система</w:t>
            </w:r>
          </w:p>
        </w:tc>
        <w:tc>
          <w:tcPr>
            <w:tcW w:w="3192" w:type="dxa"/>
          </w:tcPr>
          <w:p w14:paraId="11EA0051" w14:textId="2B2E1CA2" w:rsidR="00402E6B" w:rsidRDefault="00402E6B" w:rsidP="00402E6B">
            <w:r>
              <w:t>Синдром на свръхчувствителност</w:t>
            </w:r>
            <w:r>
              <w:rPr>
                <w:vertAlign w:val="superscript"/>
              </w:rPr>
              <w:t>2</w:t>
            </w:r>
          </w:p>
        </w:tc>
        <w:tc>
          <w:tcPr>
            <w:tcW w:w="3192" w:type="dxa"/>
          </w:tcPr>
          <w:p w14:paraId="591AD3E7" w14:textId="230D4739" w:rsidR="00402E6B" w:rsidRDefault="00402E6B" w:rsidP="00402E6B">
            <w:r>
              <w:t>Много редки</w:t>
            </w:r>
          </w:p>
        </w:tc>
      </w:tr>
      <w:tr w:rsidR="00402E6B" w14:paraId="6754827E" w14:textId="77777777" w:rsidTr="00402E6B">
        <w:tc>
          <w:tcPr>
            <w:tcW w:w="3192" w:type="dxa"/>
            <w:vMerge/>
          </w:tcPr>
          <w:p w14:paraId="3AE8479E" w14:textId="77777777" w:rsidR="00402E6B" w:rsidRDefault="00402E6B" w:rsidP="00402E6B"/>
        </w:tc>
        <w:tc>
          <w:tcPr>
            <w:tcW w:w="3192" w:type="dxa"/>
          </w:tcPr>
          <w:p w14:paraId="7C105E13" w14:textId="4F721D6A" w:rsidR="00402E6B" w:rsidRDefault="00402E6B" w:rsidP="00402E6B">
            <w:r>
              <w:t>Хипогамаглобулинемия</w:t>
            </w:r>
          </w:p>
        </w:tc>
        <w:tc>
          <w:tcPr>
            <w:tcW w:w="3192" w:type="dxa"/>
          </w:tcPr>
          <w:p w14:paraId="1AF5EB67" w14:textId="67DF3ED3" w:rsidR="00402E6B" w:rsidRDefault="00402E6B" w:rsidP="00402E6B">
            <w:r>
              <w:t>С неизвестна честота</w:t>
            </w:r>
          </w:p>
        </w:tc>
      </w:tr>
      <w:tr w:rsidR="00402E6B" w14:paraId="58BC389B" w14:textId="77777777" w:rsidTr="00402E6B">
        <w:tc>
          <w:tcPr>
            <w:tcW w:w="3192" w:type="dxa"/>
            <w:vMerge w:val="restart"/>
          </w:tcPr>
          <w:p w14:paraId="301EFED4" w14:textId="7A7A2441" w:rsidR="00402E6B" w:rsidRDefault="00402E6B" w:rsidP="00402E6B">
            <w:r>
              <w:t>Психични нарушения</w:t>
            </w:r>
          </w:p>
        </w:tc>
        <w:tc>
          <w:tcPr>
            <w:tcW w:w="3192" w:type="dxa"/>
          </w:tcPr>
          <w:p w14:paraId="3022E9CD" w14:textId="3ACDB844" w:rsidR="00402E6B" w:rsidRDefault="00402E6B" w:rsidP="00402E6B">
            <w:r>
              <w:t>Агресия, раздразнителност</w:t>
            </w:r>
          </w:p>
        </w:tc>
        <w:tc>
          <w:tcPr>
            <w:tcW w:w="3192" w:type="dxa"/>
          </w:tcPr>
          <w:p w14:paraId="46702EB2" w14:textId="0122DCDA" w:rsidR="00402E6B" w:rsidRDefault="00402E6B" w:rsidP="00402E6B">
            <w:r>
              <w:t>Чести</w:t>
            </w:r>
          </w:p>
        </w:tc>
      </w:tr>
      <w:tr w:rsidR="00402E6B" w14:paraId="5E4DDBD3" w14:textId="77777777" w:rsidTr="00402E6B">
        <w:tc>
          <w:tcPr>
            <w:tcW w:w="3192" w:type="dxa"/>
            <w:vMerge/>
          </w:tcPr>
          <w:p w14:paraId="47D47943" w14:textId="77777777" w:rsidR="00402E6B" w:rsidRDefault="00402E6B" w:rsidP="00402E6B"/>
        </w:tc>
        <w:tc>
          <w:tcPr>
            <w:tcW w:w="3192" w:type="dxa"/>
          </w:tcPr>
          <w:p w14:paraId="3D3CC8D8" w14:textId="317F49FF" w:rsidR="00402E6B" w:rsidRDefault="00402E6B" w:rsidP="00402E6B">
            <w:r>
              <w:t>Объркване, халюцинации, тикове</w:t>
            </w:r>
          </w:p>
        </w:tc>
        <w:tc>
          <w:tcPr>
            <w:tcW w:w="3192" w:type="dxa"/>
          </w:tcPr>
          <w:p w14:paraId="5FF1E793" w14:textId="7B469B51" w:rsidR="00402E6B" w:rsidRDefault="00402E6B" w:rsidP="00402E6B">
            <w:r>
              <w:t>Много редки</w:t>
            </w:r>
          </w:p>
        </w:tc>
      </w:tr>
      <w:tr w:rsidR="00402E6B" w14:paraId="4476DBF0" w14:textId="77777777" w:rsidTr="00402E6B">
        <w:tc>
          <w:tcPr>
            <w:tcW w:w="3192" w:type="dxa"/>
            <w:vMerge/>
          </w:tcPr>
          <w:p w14:paraId="6BF71D4B" w14:textId="77777777" w:rsidR="00402E6B" w:rsidRDefault="00402E6B" w:rsidP="00402E6B"/>
        </w:tc>
        <w:tc>
          <w:tcPr>
            <w:tcW w:w="3192" w:type="dxa"/>
          </w:tcPr>
          <w:p w14:paraId="022BB8D1" w14:textId="5EC17C68" w:rsidR="00402E6B" w:rsidRDefault="00402E6B" w:rsidP="00402E6B">
            <w:r>
              <w:t>Кошмари</w:t>
            </w:r>
          </w:p>
        </w:tc>
        <w:tc>
          <w:tcPr>
            <w:tcW w:w="3192" w:type="dxa"/>
          </w:tcPr>
          <w:p w14:paraId="625DD30F" w14:textId="3FCE7B52" w:rsidR="00402E6B" w:rsidRDefault="00402E6B" w:rsidP="00402E6B">
            <w:r>
              <w:t>С неизвестна честота</w:t>
            </w:r>
          </w:p>
        </w:tc>
      </w:tr>
      <w:tr w:rsidR="00402E6B" w14:paraId="6D3FAE85" w14:textId="77777777" w:rsidTr="00402E6B">
        <w:tc>
          <w:tcPr>
            <w:tcW w:w="3192" w:type="dxa"/>
            <w:vMerge w:val="restart"/>
          </w:tcPr>
          <w:p w14:paraId="1EE06FD7" w14:textId="6F5DD4F3" w:rsidR="00402E6B" w:rsidRDefault="00402E6B" w:rsidP="00402E6B">
            <w:r>
              <w:t>Нарушения на нервната система</w:t>
            </w:r>
          </w:p>
        </w:tc>
        <w:tc>
          <w:tcPr>
            <w:tcW w:w="3192" w:type="dxa"/>
          </w:tcPr>
          <w:p w14:paraId="232F42EE" w14:textId="7DBF5826" w:rsidR="00402E6B" w:rsidRDefault="00402E6B" w:rsidP="00402E6B">
            <w:r>
              <w:t>Главоболие</w:t>
            </w:r>
            <w:r>
              <w:rPr>
                <w:vertAlign w:val="superscript"/>
              </w:rPr>
              <w:t>+§</w:t>
            </w:r>
          </w:p>
        </w:tc>
        <w:tc>
          <w:tcPr>
            <w:tcW w:w="3192" w:type="dxa"/>
          </w:tcPr>
          <w:p w14:paraId="6727644C" w14:textId="30A59CF9" w:rsidR="00402E6B" w:rsidRDefault="00402E6B" w:rsidP="00402E6B">
            <w:r>
              <w:t>Много чести</w:t>
            </w:r>
          </w:p>
        </w:tc>
      </w:tr>
      <w:tr w:rsidR="00402E6B" w14:paraId="7CF291AF" w14:textId="77777777" w:rsidTr="00402E6B">
        <w:tc>
          <w:tcPr>
            <w:tcW w:w="3192" w:type="dxa"/>
            <w:vMerge/>
          </w:tcPr>
          <w:p w14:paraId="3F170845" w14:textId="77777777" w:rsidR="00402E6B" w:rsidRDefault="00402E6B" w:rsidP="00402E6B"/>
        </w:tc>
        <w:tc>
          <w:tcPr>
            <w:tcW w:w="3192" w:type="dxa"/>
          </w:tcPr>
          <w:p w14:paraId="71A524E4" w14:textId="5C83B6FA" w:rsidR="00402E6B" w:rsidRDefault="00402E6B" w:rsidP="00402E6B">
            <w:r>
              <w:t>Сънливост</w:t>
            </w:r>
            <w:r>
              <w:rPr>
                <w:vertAlign w:val="superscript"/>
              </w:rPr>
              <w:t>+§</w:t>
            </w:r>
            <w:r>
              <w:t>, замайване</w:t>
            </w:r>
            <w:r>
              <w:rPr>
                <w:vertAlign w:val="superscript"/>
              </w:rPr>
              <w:t>+§</w:t>
            </w:r>
            <w:r>
              <w:t>, тремор</w:t>
            </w:r>
            <w:r>
              <w:rPr>
                <w:vertAlign w:val="superscript"/>
              </w:rPr>
              <w:t>+</w:t>
            </w:r>
            <w:r>
              <w:t>, безсъние</w:t>
            </w:r>
            <w:r>
              <w:rPr>
                <w:vertAlign w:val="superscript"/>
              </w:rPr>
              <w:t>+</w:t>
            </w:r>
            <w:r>
              <w:t xml:space="preserve"> възбуда</w:t>
            </w:r>
            <w:r>
              <w:rPr>
                <w:vertAlign w:val="superscript"/>
              </w:rPr>
              <w:t>§</w:t>
            </w:r>
          </w:p>
        </w:tc>
        <w:tc>
          <w:tcPr>
            <w:tcW w:w="3192" w:type="dxa"/>
          </w:tcPr>
          <w:p w14:paraId="67853942" w14:textId="440F6957" w:rsidR="00402E6B" w:rsidRDefault="00402E6B" w:rsidP="00402E6B">
            <w:r>
              <w:t>Чести</w:t>
            </w:r>
          </w:p>
        </w:tc>
      </w:tr>
      <w:tr w:rsidR="00402E6B" w14:paraId="107D9DA4" w14:textId="77777777" w:rsidTr="00402E6B">
        <w:tc>
          <w:tcPr>
            <w:tcW w:w="3192" w:type="dxa"/>
            <w:vMerge/>
          </w:tcPr>
          <w:p w14:paraId="00CBD852" w14:textId="77777777" w:rsidR="00402E6B" w:rsidRDefault="00402E6B" w:rsidP="00402E6B"/>
        </w:tc>
        <w:tc>
          <w:tcPr>
            <w:tcW w:w="3192" w:type="dxa"/>
          </w:tcPr>
          <w:p w14:paraId="27366B14" w14:textId="1E490440" w:rsidR="00402E6B" w:rsidRDefault="00402E6B" w:rsidP="00402E6B">
            <w:r>
              <w:t>Атаксия</w:t>
            </w:r>
            <w:r>
              <w:rPr>
                <w:vertAlign w:val="superscript"/>
              </w:rPr>
              <w:t>+</w:t>
            </w:r>
          </w:p>
        </w:tc>
        <w:tc>
          <w:tcPr>
            <w:tcW w:w="3192" w:type="dxa"/>
          </w:tcPr>
          <w:p w14:paraId="6DB694F6" w14:textId="7234D653" w:rsidR="00402E6B" w:rsidRDefault="00402E6B" w:rsidP="00402E6B">
            <w:r>
              <w:t>Нечести</w:t>
            </w:r>
          </w:p>
        </w:tc>
      </w:tr>
      <w:tr w:rsidR="00402E6B" w14:paraId="371D4253" w14:textId="77777777" w:rsidTr="00402E6B">
        <w:tc>
          <w:tcPr>
            <w:tcW w:w="3192" w:type="dxa"/>
            <w:vMerge/>
          </w:tcPr>
          <w:p w14:paraId="3E15469D" w14:textId="77777777" w:rsidR="00402E6B" w:rsidRDefault="00402E6B" w:rsidP="00402E6B"/>
        </w:tc>
        <w:tc>
          <w:tcPr>
            <w:tcW w:w="3192" w:type="dxa"/>
          </w:tcPr>
          <w:p w14:paraId="5142CB0D" w14:textId="700F2E80" w:rsidR="00402E6B" w:rsidRDefault="00402E6B" w:rsidP="00402E6B">
            <w:r>
              <w:t>Нистагъм</w:t>
            </w:r>
            <w:r>
              <w:rPr>
                <w:vertAlign w:val="superscript"/>
              </w:rPr>
              <w:t>+</w:t>
            </w:r>
            <w:r>
              <w:t>. асептичен менингит (вж. точка 4.4)</w:t>
            </w:r>
          </w:p>
        </w:tc>
        <w:tc>
          <w:tcPr>
            <w:tcW w:w="3192" w:type="dxa"/>
          </w:tcPr>
          <w:p w14:paraId="0A749FA5" w14:textId="1177EA8D" w:rsidR="00402E6B" w:rsidRDefault="00402E6B" w:rsidP="00402E6B">
            <w:r>
              <w:t>Редки</w:t>
            </w:r>
          </w:p>
        </w:tc>
      </w:tr>
      <w:tr w:rsidR="00402E6B" w14:paraId="58ACF43E" w14:textId="77777777" w:rsidTr="00402E6B">
        <w:tc>
          <w:tcPr>
            <w:tcW w:w="3192" w:type="dxa"/>
            <w:vMerge/>
          </w:tcPr>
          <w:p w14:paraId="78864BA2" w14:textId="77777777" w:rsidR="00402E6B" w:rsidRDefault="00402E6B" w:rsidP="00402E6B"/>
        </w:tc>
        <w:tc>
          <w:tcPr>
            <w:tcW w:w="3192" w:type="dxa"/>
          </w:tcPr>
          <w:p w14:paraId="53106BC1" w14:textId="406DD50D" w:rsidR="00402E6B" w:rsidRDefault="00402E6B" w:rsidP="00402E6B">
            <w:r>
              <w:t>Нестабилност, двигателни нарушения, влошаване състоянието на пациенти, страдащи от болестта на Паркинсон</w:t>
            </w:r>
            <w:r>
              <w:rPr>
                <w:vertAlign w:val="superscript"/>
              </w:rPr>
              <w:t>3</w:t>
            </w:r>
            <w:r>
              <w:t>, екстрапирамидни симптоми, хореоатетоза</w:t>
            </w:r>
            <w:r>
              <w:rPr>
                <w:vertAlign w:val="superscript"/>
              </w:rPr>
              <w:t>+</w:t>
            </w:r>
            <w:r>
              <w:t>, увеличена честота на припадъците.</w:t>
            </w:r>
          </w:p>
        </w:tc>
        <w:tc>
          <w:tcPr>
            <w:tcW w:w="3192" w:type="dxa"/>
          </w:tcPr>
          <w:p w14:paraId="3802A627" w14:textId="5093258B" w:rsidR="00402E6B" w:rsidRDefault="00402E6B" w:rsidP="00402E6B">
            <w:r>
              <w:t>Много редки</w:t>
            </w:r>
          </w:p>
        </w:tc>
      </w:tr>
      <w:tr w:rsidR="00402E6B" w14:paraId="412E0966" w14:textId="77777777" w:rsidTr="00402E6B">
        <w:tc>
          <w:tcPr>
            <w:tcW w:w="3192" w:type="dxa"/>
            <w:vMerge w:val="restart"/>
          </w:tcPr>
          <w:p w14:paraId="7E22D2B3" w14:textId="38142CD3" w:rsidR="00402E6B" w:rsidRDefault="00402E6B" w:rsidP="00402E6B">
            <w:r>
              <w:t>Нарушения на очите</w:t>
            </w:r>
          </w:p>
        </w:tc>
        <w:tc>
          <w:tcPr>
            <w:tcW w:w="3192" w:type="dxa"/>
          </w:tcPr>
          <w:p w14:paraId="18FA179D" w14:textId="790860A2" w:rsidR="00402E6B" w:rsidRDefault="00402E6B" w:rsidP="00402E6B">
            <w:r>
              <w:t>Диплопия</w:t>
            </w:r>
            <w:r>
              <w:rPr>
                <w:vertAlign w:val="superscript"/>
              </w:rPr>
              <w:t>+</w:t>
            </w:r>
            <w:r>
              <w:t>, замъглено зрение</w:t>
            </w:r>
            <w:r>
              <w:rPr>
                <w:vertAlign w:val="superscript"/>
              </w:rPr>
              <w:t>+</w:t>
            </w:r>
          </w:p>
        </w:tc>
        <w:tc>
          <w:tcPr>
            <w:tcW w:w="3192" w:type="dxa"/>
          </w:tcPr>
          <w:p w14:paraId="4D689BCE" w14:textId="517019B7" w:rsidR="00402E6B" w:rsidRDefault="00402E6B" w:rsidP="00402E6B">
            <w:r>
              <w:t>Нечести</w:t>
            </w:r>
          </w:p>
        </w:tc>
      </w:tr>
      <w:tr w:rsidR="00402E6B" w14:paraId="7892876C" w14:textId="77777777" w:rsidTr="00402E6B">
        <w:tc>
          <w:tcPr>
            <w:tcW w:w="3192" w:type="dxa"/>
            <w:vMerge/>
          </w:tcPr>
          <w:p w14:paraId="1E2B668C" w14:textId="77777777" w:rsidR="00402E6B" w:rsidRDefault="00402E6B" w:rsidP="00402E6B"/>
        </w:tc>
        <w:tc>
          <w:tcPr>
            <w:tcW w:w="3192" w:type="dxa"/>
          </w:tcPr>
          <w:p w14:paraId="0209D032" w14:textId="54976CDA" w:rsidR="00402E6B" w:rsidRDefault="00402E6B" w:rsidP="00402E6B">
            <w:r>
              <w:t>Конюнктивит</w:t>
            </w:r>
          </w:p>
        </w:tc>
        <w:tc>
          <w:tcPr>
            <w:tcW w:w="3192" w:type="dxa"/>
          </w:tcPr>
          <w:p w14:paraId="4D84BEA4" w14:textId="5037CC33" w:rsidR="00402E6B" w:rsidRDefault="00402E6B" w:rsidP="00402E6B">
            <w:r>
              <w:t>Редки</w:t>
            </w:r>
          </w:p>
        </w:tc>
      </w:tr>
      <w:tr w:rsidR="00402E6B" w14:paraId="057963D4" w14:textId="77777777" w:rsidTr="00402E6B">
        <w:tc>
          <w:tcPr>
            <w:tcW w:w="3192" w:type="dxa"/>
          </w:tcPr>
          <w:p w14:paraId="28623605" w14:textId="781549A6" w:rsidR="00402E6B" w:rsidRDefault="00402E6B" w:rsidP="00402E6B">
            <w:r>
              <w:t>Стомашно-чревни нарушения</w:t>
            </w:r>
          </w:p>
        </w:tc>
        <w:tc>
          <w:tcPr>
            <w:tcW w:w="3192" w:type="dxa"/>
          </w:tcPr>
          <w:p w14:paraId="5ABF13FD" w14:textId="63B75E3D" w:rsidR="00402E6B" w:rsidRDefault="00402E6B" w:rsidP="00402E6B">
            <w:r>
              <w:t>Гадене</w:t>
            </w:r>
            <w:r>
              <w:rPr>
                <w:vertAlign w:val="superscript"/>
              </w:rPr>
              <w:t>+</w:t>
            </w:r>
            <w:r>
              <w:t>, повръщане</w:t>
            </w:r>
            <w:r>
              <w:rPr>
                <w:vertAlign w:val="superscript"/>
              </w:rPr>
              <w:t>+</w:t>
            </w:r>
            <w:r>
              <w:t>, диария</w:t>
            </w:r>
            <w:r>
              <w:rPr>
                <w:vertAlign w:val="superscript"/>
              </w:rPr>
              <w:t>+</w:t>
            </w:r>
            <w:r>
              <w:t>, сухота в устата</w:t>
            </w:r>
            <w:r>
              <w:rPr>
                <w:vertAlign w:val="superscript"/>
              </w:rPr>
              <w:t>§</w:t>
            </w:r>
          </w:p>
        </w:tc>
        <w:tc>
          <w:tcPr>
            <w:tcW w:w="3192" w:type="dxa"/>
          </w:tcPr>
          <w:p w14:paraId="6F6EB742" w14:textId="0CA72A99" w:rsidR="00402E6B" w:rsidRDefault="00402E6B" w:rsidP="00402E6B">
            <w:r>
              <w:t>Чести</w:t>
            </w:r>
          </w:p>
        </w:tc>
      </w:tr>
      <w:tr w:rsidR="00402E6B" w14:paraId="58B6FE55" w14:textId="77777777" w:rsidTr="00402E6B">
        <w:tc>
          <w:tcPr>
            <w:tcW w:w="3192" w:type="dxa"/>
          </w:tcPr>
          <w:p w14:paraId="1CF77171" w14:textId="0419DA4C" w:rsidR="00402E6B" w:rsidRDefault="00402E6B" w:rsidP="00402E6B">
            <w:r>
              <w:t>Хепатобилиарни нарушения</w:t>
            </w:r>
          </w:p>
        </w:tc>
        <w:tc>
          <w:tcPr>
            <w:tcW w:w="3192" w:type="dxa"/>
          </w:tcPr>
          <w:p w14:paraId="5BC7C315" w14:textId="6ED83740" w:rsidR="00402E6B" w:rsidRDefault="00402E6B" w:rsidP="00402E6B">
            <w:r>
              <w:t>Чернодробна недостатъчност, нарушена чернодробна функция</w:t>
            </w:r>
            <w:r>
              <w:rPr>
                <w:vertAlign w:val="superscript"/>
              </w:rPr>
              <w:t>4</w:t>
            </w:r>
            <w:r>
              <w:t>, повишени стойности на показателите на чернодробните функционални тестове</w:t>
            </w:r>
          </w:p>
        </w:tc>
        <w:tc>
          <w:tcPr>
            <w:tcW w:w="3192" w:type="dxa"/>
          </w:tcPr>
          <w:p w14:paraId="1993DDF7" w14:textId="77CC8171" w:rsidR="00402E6B" w:rsidRDefault="00402E6B" w:rsidP="00402E6B">
            <w:r>
              <w:t>Много редки</w:t>
            </w:r>
          </w:p>
        </w:tc>
      </w:tr>
      <w:tr w:rsidR="00402E6B" w14:paraId="223BC4BF" w14:textId="77777777" w:rsidTr="00402E6B">
        <w:tc>
          <w:tcPr>
            <w:tcW w:w="3192" w:type="dxa"/>
            <w:vMerge w:val="restart"/>
          </w:tcPr>
          <w:p w14:paraId="7F47E628" w14:textId="7B8EBB2B" w:rsidR="00402E6B" w:rsidRDefault="00402E6B" w:rsidP="00402E6B">
            <w:r>
              <w:t>Нарушения на кожата и подкожната тъкан</w:t>
            </w:r>
          </w:p>
        </w:tc>
        <w:tc>
          <w:tcPr>
            <w:tcW w:w="3192" w:type="dxa"/>
          </w:tcPr>
          <w:p w14:paraId="04558039" w14:textId="2DAF48D9" w:rsidR="00402E6B" w:rsidRDefault="00402E6B" w:rsidP="00402E6B">
            <w:r>
              <w:t>Кожен обрив</w:t>
            </w:r>
            <w:r>
              <w:rPr>
                <w:vertAlign w:val="superscript"/>
              </w:rPr>
              <w:t>5+§</w:t>
            </w:r>
          </w:p>
        </w:tc>
        <w:tc>
          <w:tcPr>
            <w:tcW w:w="3192" w:type="dxa"/>
          </w:tcPr>
          <w:p w14:paraId="5F24CF91" w14:textId="388A79C9" w:rsidR="00402E6B" w:rsidRDefault="00402E6B" w:rsidP="00402E6B">
            <w:r>
              <w:t>Много чести</w:t>
            </w:r>
          </w:p>
        </w:tc>
      </w:tr>
      <w:tr w:rsidR="00402E6B" w14:paraId="3DA92CD0" w14:textId="77777777" w:rsidTr="00402E6B">
        <w:tc>
          <w:tcPr>
            <w:tcW w:w="3192" w:type="dxa"/>
            <w:vMerge/>
          </w:tcPr>
          <w:p w14:paraId="69F78968" w14:textId="77777777" w:rsidR="00402E6B" w:rsidRDefault="00402E6B" w:rsidP="00402E6B"/>
        </w:tc>
        <w:tc>
          <w:tcPr>
            <w:tcW w:w="3192" w:type="dxa"/>
          </w:tcPr>
          <w:p w14:paraId="585F598F" w14:textId="336EDC67" w:rsidR="00402E6B" w:rsidRDefault="00402E6B" w:rsidP="00402E6B">
            <w:r>
              <w:t>Алопеция, реакция на фоточувствителност</w:t>
            </w:r>
          </w:p>
        </w:tc>
        <w:tc>
          <w:tcPr>
            <w:tcW w:w="3192" w:type="dxa"/>
          </w:tcPr>
          <w:p w14:paraId="5CFBA9AD" w14:textId="3F0A20BA" w:rsidR="00402E6B" w:rsidRDefault="00402E6B" w:rsidP="00402E6B">
            <w:r>
              <w:t>Нечести</w:t>
            </w:r>
          </w:p>
        </w:tc>
      </w:tr>
      <w:tr w:rsidR="00402E6B" w14:paraId="397167EC" w14:textId="77777777" w:rsidTr="00402E6B">
        <w:tc>
          <w:tcPr>
            <w:tcW w:w="3192" w:type="dxa"/>
            <w:vMerge/>
          </w:tcPr>
          <w:p w14:paraId="1E28EEAC" w14:textId="77777777" w:rsidR="00402E6B" w:rsidRDefault="00402E6B" w:rsidP="00402E6B"/>
        </w:tc>
        <w:tc>
          <w:tcPr>
            <w:tcW w:w="3192" w:type="dxa"/>
          </w:tcPr>
          <w:p w14:paraId="2358FE6C" w14:textId="02965A16" w:rsidR="00402E6B" w:rsidRDefault="00402E6B" w:rsidP="00402E6B">
            <w:r>
              <w:t xml:space="preserve">Синдром на </w:t>
            </w:r>
            <w:r>
              <w:rPr>
                <w:lang w:val="en-US"/>
              </w:rPr>
              <w:t>Stevens-Johnson</w:t>
            </w:r>
          </w:p>
        </w:tc>
        <w:tc>
          <w:tcPr>
            <w:tcW w:w="3192" w:type="dxa"/>
          </w:tcPr>
          <w:p w14:paraId="28254915" w14:textId="5D0AC1A7" w:rsidR="00402E6B" w:rsidRDefault="00402E6B" w:rsidP="00402E6B">
            <w:r>
              <w:t>Редки</w:t>
            </w:r>
          </w:p>
        </w:tc>
      </w:tr>
      <w:tr w:rsidR="00402E6B" w14:paraId="5FED3514" w14:textId="77777777" w:rsidTr="00402E6B">
        <w:tc>
          <w:tcPr>
            <w:tcW w:w="3192" w:type="dxa"/>
            <w:vMerge/>
          </w:tcPr>
          <w:p w14:paraId="4EAC928A" w14:textId="77777777" w:rsidR="00402E6B" w:rsidRDefault="00402E6B" w:rsidP="00402E6B"/>
        </w:tc>
        <w:tc>
          <w:tcPr>
            <w:tcW w:w="3192" w:type="dxa"/>
          </w:tcPr>
          <w:p w14:paraId="4D7E8EC0" w14:textId="00B3FE56" w:rsidR="00402E6B" w:rsidRDefault="00402E6B" w:rsidP="00402E6B">
            <w:r>
              <w:t>Токсична епидермална некролиза</w:t>
            </w:r>
          </w:p>
        </w:tc>
        <w:tc>
          <w:tcPr>
            <w:tcW w:w="3192" w:type="dxa"/>
          </w:tcPr>
          <w:p w14:paraId="0B3734B2" w14:textId="1430EB7B" w:rsidR="00402E6B" w:rsidRDefault="00402E6B" w:rsidP="00402E6B">
            <w:r>
              <w:t>Много редки</w:t>
            </w:r>
          </w:p>
        </w:tc>
      </w:tr>
      <w:tr w:rsidR="00402E6B" w14:paraId="29AA52EC" w14:textId="77777777" w:rsidTr="00402E6B">
        <w:tc>
          <w:tcPr>
            <w:tcW w:w="3192" w:type="dxa"/>
            <w:vMerge/>
          </w:tcPr>
          <w:p w14:paraId="2A1A24BF" w14:textId="77777777" w:rsidR="00402E6B" w:rsidRDefault="00402E6B" w:rsidP="00402E6B"/>
        </w:tc>
        <w:tc>
          <w:tcPr>
            <w:tcW w:w="3192" w:type="dxa"/>
          </w:tcPr>
          <w:p w14:paraId="48007D1E" w14:textId="33C6970A" w:rsidR="00402E6B" w:rsidRDefault="00402E6B" w:rsidP="00402E6B">
            <w:r>
              <w:t>Медикаментозна реакция с еозинофилия и системни</w:t>
            </w:r>
            <w:r>
              <w:rPr>
                <w:vertAlign w:val="superscript"/>
              </w:rPr>
              <w:t>2</w:t>
            </w:r>
            <w:r>
              <w:t xml:space="preserve"> симптоми</w:t>
            </w:r>
          </w:p>
        </w:tc>
        <w:tc>
          <w:tcPr>
            <w:tcW w:w="3192" w:type="dxa"/>
          </w:tcPr>
          <w:p w14:paraId="55CCB78C" w14:textId="649D394E" w:rsidR="00402E6B" w:rsidRDefault="00402E6B" w:rsidP="00402E6B">
            <w:r>
              <w:t>Много редки</w:t>
            </w:r>
          </w:p>
        </w:tc>
      </w:tr>
      <w:tr w:rsidR="00402E6B" w14:paraId="5F5491B3" w14:textId="77777777" w:rsidTr="00402E6B">
        <w:tc>
          <w:tcPr>
            <w:tcW w:w="3192" w:type="dxa"/>
            <w:vMerge w:val="restart"/>
          </w:tcPr>
          <w:p w14:paraId="063BF224" w14:textId="7EAC3F49" w:rsidR="00402E6B" w:rsidRDefault="00402E6B" w:rsidP="00402E6B">
            <w:r>
              <w:t>Нарушения на мускулно-скелетната система и съединителната тъкан</w:t>
            </w:r>
          </w:p>
        </w:tc>
        <w:tc>
          <w:tcPr>
            <w:tcW w:w="3192" w:type="dxa"/>
          </w:tcPr>
          <w:p w14:paraId="44C510B7" w14:textId="3104C2DD" w:rsidR="00402E6B" w:rsidRDefault="00402E6B" w:rsidP="00402E6B">
            <w:r>
              <w:t>Артралгии</w:t>
            </w:r>
            <w:r>
              <w:rPr>
                <w:vertAlign w:val="superscript"/>
              </w:rPr>
              <w:t>§</w:t>
            </w:r>
          </w:p>
        </w:tc>
        <w:tc>
          <w:tcPr>
            <w:tcW w:w="3192" w:type="dxa"/>
          </w:tcPr>
          <w:p w14:paraId="571F1AD0" w14:textId="1EB46F21" w:rsidR="00402E6B" w:rsidRDefault="00402E6B" w:rsidP="00402E6B">
            <w:r>
              <w:t>Чести</w:t>
            </w:r>
          </w:p>
        </w:tc>
      </w:tr>
      <w:tr w:rsidR="00402E6B" w14:paraId="4F3B854E" w14:textId="77777777" w:rsidTr="00402E6B">
        <w:tc>
          <w:tcPr>
            <w:tcW w:w="3192" w:type="dxa"/>
            <w:vMerge/>
          </w:tcPr>
          <w:p w14:paraId="4A666EB2" w14:textId="77777777" w:rsidR="00402E6B" w:rsidRDefault="00402E6B" w:rsidP="00402E6B"/>
        </w:tc>
        <w:tc>
          <w:tcPr>
            <w:tcW w:w="3192" w:type="dxa"/>
          </w:tcPr>
          <w:p w14:paraId="56B1875E" w14:textId="0B180C79" w:rsidR="00402E6B" w:rsidRDefault="00402E6B" w:rsidP="00402E6B">
            <w:r>
              <w:t>Лупус подобни реакции</w:t>
            </w:r>
          </w:p>
        </w:tc>
        <w:tc>
          <w:tcPr>
            <w:tcW w:w="3192" w:type="dxa"/>
          </w:tcPr>
          <w:p w14:paraId="73A2FFC8" w14:textId="34A33C60" w:rsidR="00402E6B" w:rsidRDefault="00402E6B" w:rsidP="00402E6B">
            <w:r>
              <w:t>Много редки</w:t>
            </w:r>
          </w:p>
        </w:tc>
      </w:tr>
      <w:tr w:rsidR="00402E6B" w14:paraId="10AF77B9" w14:textId="77777777" w:rsidTr="00402E6B">
        <w:tc>
          <w:tcPr>
            <w:tcW w:w="3192" w:type="dxa"/>
          </w:tcPr>
          <w:p w14:paraId="3975DFAC" w14:textId="754FEE1D" w:rsidR="00402E6B" w:rsidRDefault="00402E6B" w:rsidP="00402E6B">
            <w:r>
              <w:t>Нарушения на бъбреците и пикочните пътища</w:t>
            </w:r>
          </w:p>
        </w:tc>
        <w:tc>
          <w:tcPr>
            <w:tcW w:w="3192" w:type="dxa"/>
          </w:tcPr>
          <w:p w14:paraId="7A129742" w14:textId="166EB411" w:rsidR="00402E6B" w:rsidRDefault="00402E6B" w:rsidP="00402E6B">
            <w:r>
              <w:t>Тубулоинтестициален нефрит, синдром на тубулоинтестициален нефрит и увеит</w:t>
            </w:r>
          </w:p>
        </w:tc>
        <w:tc>
          <w:tcPr>
            <w:tcW w:w="3192" w:type="dxa"/>
          </w:tcPr>
          <w:p w14:paraId="3641ADA6" w14:textId="2FFEA873" w:rsidR="00402E6B" w:rsidRDefault="00402E6B" w:rsidP="00402E6B">
            <w:r>
              <w:t>С неизвестна честота</w:t>
            </w:r>
          </w:p>
        </w:tc>
      </w:tr>
      <w:tr w:rsidR="00402E6B" w14:paraId="590B69DA" w14:textId="77777777" w:rsidTr="00402E6B">
        <w:tc>
          <w:tcPr>
            <w:tcW w:w="3192" w:type="dxa"/>
          </w:tcPr>
          <w:p w14:paraId="3690B373" w14:textId="57910710" w:rsidR="00402E6B" w:rsidRDefault="00402E6B" w:rsidP="00402E6B">
            <w:r>
              <w:t>Общи нарушения и ефекти на мястото на приложение</w:t>
            </w:r>
          </w:p>
        </w:tc>
        <w:tc>
          <w:tcPr>
            <w:tcW w:w="3192" w:type="dxa"/>
          </w:tcPr>
          <w:p w14:paraId="684101F1" w14:textId="71C8CEFF" w:rsidR="00402E6B" w:rsidRDefault="00402E6B" w:rsidP="00402E6B">
            <w:r>
              <w:t>Уморяемост</w:t>
            </w:r>
            <w:r>
              <w:rPr>
                <w:vertAlign w:val="superscript"/>
              </w:rPr>
              <w:t>+</w:t>
            </w:r>
            <w:r>
              <w:t>, болка</w:t>
            </w:r>
            <w:r>
              <w:rPr>
                <w:vertAlign w:val="superscript"/>
              </w:rPr>
              <w:t>§</w:t>
            </w:r>
            <w:r>
              <w:t>, болка в гърба</w:t>
            </w:r>
            <w:r>
              <w:rPr>
                <w:vertAlign w:val="superscript"/>
              </w:rPr>
              <w:t>§</w:t>
            </w:r>
          </w:p>
        </w:tc>
        <w:tc>
          <w:tcPr>
            <w:tcW w:w="3192" w:type="dxa"/>
          </w:tcPr>
          <w:p w14:paraId="20F4591D" w14:textId="3FB9F2D7" w:rsidR="00402E6B" w:rsidRDefault="00402E6B" w:rsidP="00402E6B">
            <w:r>
              <w:t>Чести</w:t>
            </w:r>
          </w:p>
        </w:tc>
      </w:tr>
    </w:tbl>
    <w:p w14:paraId="392E2E03" w14:textId="77777777" w:rsidR="00402E6B" w:rsidRDefault="00402E6B" w:rsidP="00402E6B">
      <w:pPr>
        <w:spacing w:line="240" w:lineRule="auto"/>
        <w:rPr>
          <w:rFonts w:ascii="Times New Roman" w:eastAsia="Times New Roman" w:hAnsi="Times New Roman" w:cs="Times New Roman"/>
          <w:color w:val="000000"/>
          <w:u w:val="single"/>
          <w:lang w:eastAsia="bg-BG"/>
        </w:rPr>
      </w:pPr>
    </w:p>
    <w:p w14:paraId="5ED4DCB9" w14:textId="1F1D1152"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Описание на избрани нежелани реакции</w:t>
      </w:r>
    </w:p>
    <w:p w14:paraId="0AB00E31" w14:textId="77777777" w:rsidR="00402E6B" w:rsidRPr="00402E6B" w:rsidRDefault="00402E6B" w:rsidP="00402E6B">
      <w:pPr>
        <w:spacing w:line="240" w:lineRule="auto"/>
        <w:rPr>
          <w:rFonts w:eastAsia="Times New Roman" w:cs="Arial"/>
          <w:color w:val="000000"/>
          <w:vertAlign w:val="superscript"/>
          <w:lang w:eastAsia="bg-BG"/>
        </w:rPr>
      </w:pPr>
    </w:p>
    <w:p w14:paraId="27248F02" w14:textId="4F910D17" w:rsidR="00402E6B" w:rsidRPr="00402E6B" w:rsidRDefault="00402E6B" w:rsidP="00402E6B">
      <w:pPr>
        <w:spacing w:line="240" w:lineRule="auto"/>
        <w:rPr>
          <w:rFonts w:eastAsia="Times New Roman" w:cs="Arial"/>
        </w:rPr>
      </w:pPr>
      <w:r w:rsidRPr="00402E6B">
        <w:rPr>
          <w:rFonts w:eastAsia="Times New Roman" w:cs="Arial"/>
          <w:color w:val="000000"/>
          <w:vertAlign w:val="superscript"/>
          <w:lang w:eastAsia="bg-BG"/>
        </w:rPr>
        <w:t>1</w:t>
      </w:r>
      <w:r w:rsidRPr="00402E6B">
        <w:rPr>
          <w:rFonts w:eastAsia="Times New Roman" w:cs="Arial"/>
          <w:color w:val="000000"/>
          <w:lang w:eastAsia="bg-BG"/>
        </w:rPr>
        <w:t xml:space="preserve">Хематологичните отклонения и лимфаденопатията могат да бъдат или да не бъдат свързани с еозинофилия и системни симптоми </w:t>
      </w:r>
      <w:r w:rsidRPr="00402E6B">
        <w:rPr>
          <w:rFonts w:eastAsia="Times New Roman" w:cs="Arial"/>
          <w:color w:val="000000"/>
          <w:lang w:val="ru-RU"/>
        </w:rPr>
        <w:t>(</w:t>
      </w:r>
      <w:r w:rsidRPr="00402E6B">
        <w:rPr>
          <w:rFonts w:eastAsia="Times New Roman" w:cs="Arial"/>
          <w:color w:val="000000"/>
          <w:lang w:val="en-US"/>
        </w:rPr>
        <w:t>DRESS</w:t>
      </w:r>
      <w:r w:rsidRPr="00402E6B">
        <w:rPr>
          <w:rFonts w:eastAsia="Times New Roman" w:cs="Arial"/>
          <w:color w:val="000000"/>
          <w:lang w:val="ru-RU"/>
        </w:rPr>
        <w:t xml:space="preserve">)/ </w:t>
      </w:r>
      <w:r w:rsidRPr="00402E6B">
        <w:rPr>
          <w:rFonts w:eastAsia="Times New Roman" w:cs="Arial"/>
          <w:color w:val="000000"/>
          <w:lang w:eastAsia="bg-BG"/>
        </w:rPr>
        <w:t>синдрома на свръхчувствителност (вж. Специални предупреждения и предпазни мерки при употреба и Нарушения на имунната система).</w:t>
      </w:r>
    </w:p>
    <w:p w14:paraId="2287D207" w14:textId="77777777" w:rsidR="00402E6B" w:rsidRPr="00402E6B" w:rsidRDefault="00402E6B" w:rsidP="00402E6B">
      <w:pPr>
        <w:spacing w:line="240" w:lineRule="auto"/>
        <w:rPr>
          <w:rFonts w:eastAsia="Times New Roman" w:cs="Arial"/>
          <w:color w:val="000000"/>
          <w:vertAlign w:val="superscript"/>
          <w:lang w:eastAsia="bg-BG"/>
        </w:rPr>
      </w:pPr>
    </w:p>
    <w:p w14:paraId="6356D7D6" w14:textId="77777777" w:rsidR="00402E6B" w:rsidRPr="00402E6B" w:rsidRDefault="00402E6B" w:rsidP="00402E6B">
      <w:pPr>
        <w:rPr>
          <w:rFonts w:eastAsia="Times New Roman" w:cs="Arial"/>
        </w:rPr>
      </w:pPr>
      <w:r w:rsidRPr="00402E6B">
        <w:rPr>
          <w:rFonts w:eastAsia="Times New Roman" w:cs="Arial"/>
          <w:color w:val="000000"/>
          <w:vertAlign w:val="superscript"/>
          <w:lang w:eastAsia="bg-BG"/>
        </w:rPr>
        <w:t>2</w:t>
      </w:r>
      <w:r w:rsidRPr="00402E6B">
        <w:rPr>
          <w:rFonts w:eastAsia="Times New Roman" w:cs="Arial"/>
          <w:color w:val="000000"/>
          <w:lang w:eastAsia="bg-BG"/>
        </w:rPr>
        <w:t xml:space="preserve">Като част от синдрома на свръхчувствителност, известен също като </w:t>
      </w:r>
      <w:r w:rsidRPr="00402E6B">
        <w:rPr>
          <w:rFonts w:eastAsia="Times New Roman" w:cs="Arial"/>
          <w:color w:val="000000"/>
          <w:lang w:val="en-US"/>
        </w:rPr>
        <w:t>DRESS</w:t>
      </w:r>
      <w:r w:rsidRPr="00402E6B">
        <w:rPr>
          <w:rFonts w:eastAsia="Times New Roman" w:cs="Arial"/>
          <w:color w:val="000000"/>
          <w:lang w:val="ru-RU"/>
        </w:rPr>
        <w:t xml:space="preserve">, </w:t>
      </w:r>
      <w:r w:rsidRPr="00402E6B">
        <w:rPr>
          <w:rFonts w:eastAsia="Times New Roman" w:cs="Arial"/>
          <w:color w:val="000000"/>
          <w:lang w:eastAsia="bg-BG"/>
        </w:rPr>
        <w:t>е съобщаван обрив, свързан с различни системни симптоми като повишена температура, лимфаденопатия, оток на лицето и промени в кръвната картина и функциите на черния дроб и бъбреците Проявите на този синдром са с различна клинична тежест, като рядко могат да доведат до дисеминирана интраваскуларна коагулация и мултиорганна недостатъчност. Трябва да се има предвид, че ранните прояви на свръхчувствителност (например повишена температура</w:t>
      </w:r>
      <w:r w:rsidRPr="00402E6B">
        <w:rPr>
          <w:rFonts w:eastAsia="Times New Roman" w:cs="Arial"/>
          <w:color w:val="000000"/>
          <w:lang w:val="ru-RU" w:eastAsia="bg-BG"/>
        </w:rPr>
        <w:t xml:space="preserve"> </w:t>
      </w:r>
      <w:r w:rsidRPr="00402E6B">
        <w:rPr>
          <w:rFonts w:eastAsia="Times New Roman" w:cs="Arial"/>
          <w:color w:val="000000"/>
          <w:lang w:eastAsia="bg-BG"/>
        </w:rPr>
        <w:t>лимфаденопатия) може да са проявени и без доловимо развитие на обрив. При установяване на описаните признаци и симптоми е необходима незабавна оценка на състоянието на пациента и спиране приема на Епитрижин при липса на друга етиология за развитие на тези реакции (вж, точка 4.4).</w:t>
      </w:r>
    </w:p>
    <w:p w14:paraId="175E5316" w14:textId="77777777" w:rsidR="00402E6B" w:rsidRPr="00402E6B" w:rsidRDefault="00402E6B" w:rsidP="00402E6B">
      <w:pPr>
        <w:spacing w:line="240" w:lineRule="auto"/>
        <w:rPr>
          <w:rFonts w:eastAsia="Times New Roman" w:cs="Arial"/>
          <w:color w:val="000000"/>
          <w:vertAlign w:val="superscript"/>
          <w:lang w:eastAsia="bg-BG"/>
        </w:rPr>
      </w:pPr>
    </w:p>
    <w:p w14:paraId="15A30C34" w14:textId="62594FFC" w:rsidR="00402E6B" w:rsidRPr="00402E6B" w:rsidRDefault="00402E6B" w:rsidP="00402E6B">
      <w:pPr>
        <w:spacing w:line="240" w:lineRule="auto"/>
        <w:rPr>
          <w:rFonts w:eastAsia="Times New Roman" w:cs="Arial"/>
        </w:rPr>
      </w:pPr>
      <w:r w:rsidRPr="00402E6B">
        <w:rPr>
          <w:rFonts w:eastAsia="Times New Roman" w:cs="Arial"/>
          <w:color w:val="000000"/>
          <w:vertAlign w:val="superscript"/>
          <w:lang w:eastAsia="bg-BG"/>
        </w:rPr>
        <w:t>3</w:t>
      </w:r>
      <w:r w:rsidRPr="00402E6B">
        <w:rPr>
          <w:rFonts w:eastAsia="Times New Roman" w:cs="Arial"/>
          <w:color w:val="000000"/>
          <w:lang w:eastAsia="bg-BG"/>
        </w:rPr>
        <w:t>Тези реакции са докладвани по време на другия клиничен опит. Установено е, че приложението на ламотрижин може да влоши състоянието на пациенти, страдащи от болестта на Паркинсон. Има отделни съобщения за поява на екстрапирамидни симптоми и хореоатетоза при пациенти без това съпътстващо заболяване.</w:t>
      </w:r>
    </w:p>
    <w:p w14:paraId="3AFEA5AB" w14:textId="77777777" w:rsidR="00402E6B" w:rsidRPr="00402E6B" w:rsidRDefault="00402E6B" w:rsidP="00402E6B">
      <w:pPr>
        <w:spacing w:line="240" w:lineRule="auto"/>
        <w:rPr>
          <w:rFonts w:eastAsia="Times New Roman" w:cs="Arial"/>
          <w:color w:val="000000"/>
          <w:vertAlign w:val="superscript"/>
          <w:lang w:eastAsia="bg-BG"/>
        </w:rPr>
      </w:pPr>
    </w:p>
    <w:p w14:paraId="2B17EA1A" w14:textId="18A632FC" w:rsidR="00402E6B" w:rsidRPr="00402E6B" w:rsidRDefault="00402E6B" w:rsidP="00402E6B">
      <w:pPr>
        <w:spacing w:line="240" w:lineRule="auto"/>
        <w:rPr>
          <w:rFonts w:eastAsia="Times New Roman" w:cs="Arial"/>
        </w:rPr>
      </w:pPr>
      <w:r w:rsidRPr="00402E6B">
        <w:rPr>
          <w:rFonts w:eastAsia="Times New Roman" w:cs="Arial"/>
          <w:color w:val="000000"/>
          <w:vertAlign w:val="superscript"/>
          <w:lang w:eastAsia="bg-BG"/>
        </w:rPr>
        <w:t>4</w:t>
      </w:r>
      <w:r w:rsidRPr="00402E6B">
        <w:rPr>
          <w:rFonts w:eastAsia="Times New Roman" w:cs="Arial"/>
          <w:color w:val="000000"/>
          <w:lang w:eastAsia="bg-BG"/>
        </w:rPr>
        <w:t>Чернодробната дисфункция обикновено се проявява във връзка с реакциите на свръхчувствителност, но в отделни случаи е наблюдавана самостоятелно.</w:t>
      </w:r>
    </w:p>
    <w:p w14:paraId="1B2A0DCF" w14:textId="77777777" w:rsidR="00402E6B" w:rsidRPr="00402E6B" w:rsidRDefault="00402E6B" w:rsidP="00402E6B">
      <w:pPr>
        <w:spacing w:line="240" w:lineRule="auto"/>
        <w:rPr>
          <w:rFonts w:eastAsia="Times New Roman" w:cs="Arial"/>
          <w:color w:val="000000"/>
          <w:vertAlign w:val="superscript"/>
          <w:lang w:eastAsia="bg-BG"/>
        </w:rPr>
      </w:pPr>
    </w:p>
    <w:p w14:paraId="4F7CBEA9" w14:textId="56266CD5" w:rsidR="00402E6B" w:rsidRPr="00402E6B" w:rsidRDefault="00402E6B" w:rsidP="00402E6B">
      <w:pPr>
        <w:spacing w:line="240" w:lineRule="auto"/>
        <w:rPr>
          <w:rFonts w:eastAsia="Times New Roman" w:cs="Arial"/>
        </w:rPr>
      </w:pPr>
      <w:r w:rsidRPr="00402E6B">
        <w:rPr>
          <w:rFonts w:eastAsia="Times New Roman" w:cs="Arial"/>
          <w:color w:val="000000"/>
          <w:vertAlign w:val="superscript"/>
          <w:lang w:eastAsia="bg-BG"/>
        </w:rPr>
        <w:t>5</w:t>
      </w:r>
      <w:r w:rsidRPr="00402E6B">
        <w:rPr>
          <w:rFonts w:eastAsia="Times New Roman" w:cs="Arial"/>
          <w:color w:val="000000"/>
          <w:lang w:eastAsia="bg-BG"/>
        </w:rPr>
        <w:t>При проведените двойно-слепи допълнителни клинични изпитвания при възрастни, се установяват обриви при до 8-12% от пациентите, приемащи ламотрижин и при 5-6% от пациентите, приемащи плацебо. Развитието на обриви води до спиране на приема на ламотрижин при 2% от пациентите. Обривът, в повечето случаи макулопапулозен, се развива през първите осем седмици от началото на лечението, като преминава след спиране на приема на ламотрижин (вж. точка 4.4).</w:t>
      </w:r>
    </w:p>
    <w:p w14:paraId="0BB3577A" w14:textId="77777777" w:rsidR="00402E6B" w:rsidRPr="00402E6B" w:rsidRDefault="00402E6B" w:rsidP="00402E6B">
      <w:pPr>
        <w:spacing w:line="240" w:lineRule="auto"/>
        <w:rPr>
          <w:rFonts w:eastAsia="Times New Roman" w:cs="Arial"/>
          <w:color w:val="000000"/>
          <w:lang w:eastAsia="bg-BG"/>
        </w:rPr>
      </w:pPr>
    </w:p>
    <w:p w14:paraId="7FAB43B7" w14:textId="37607D4A" w:rsidR="00402E6B" w:rsidRPr="00402E6B" w:rsidRDefault="00402E6B" w:rsidP="00402E6B">
      <w:pPr>
        <w:spacing w:line="240" w:lineRule="auto"/>
        <w:rPr>
          <w:rFonts w:eastAsia="Times New Roman" w:cs="Arial"/>
        </w:rPr>
      </w:pPr>
      <w:r w:rsidRPr="00402E6B">
        <w:rPr>
          <w:rFonts w:eastAsia="Times New Roman" w:cs="Arial"/>
          <w:color w:val="000000"/>
          <w:lang w:eastAsia="bg-BG"/>
        </w:rPr>
        <w:lastRenderedPageBreak/>
        <w:t xml:space="preserve">Съобщавани са сериозни, потенциално животозастрашаващи обриви, включително синдром на </w:t>
      </w:r>
      <w:r w:rsidRPr="00402E6B">
        <w:rPr>
          <w:rFonts w:eastAsia="Times New Roman" w:cs="Arial"/>
          <w:color w:val="000000"/>
          <w:lang w:val="en-US"/>
        </w:rPr>
        <w:t>Stevens</w:t>
      </w:r>
      <w:r w:rsidRPr="00402E6B">
        <w:rPr>
          <w:rFonts w:eastAsia="Times New Roman" w:cs="Arial"/>
          <w:color w:val="000000"/>
          <w:lang w:val="ru-RU"/>
        </w:rPr>
        <w:t>-</w:t>
      </w:r>
      <w:r w:rsidRPr="00402E6B">
        <w:rPr>
          <w:rFonts w:eastAsia="Times New Roman" w:cs="Arial"/>
          <w:color w:val="000000"/>
          <w:lang w:val="en-US"/>
        </w:rPr>
        <w:t>Johnson</w:t>
      </w:r>
      <w:r w:rsidRPr="00402E6B">
        <w:rPr>
          <w:rFonts w:eastAsia="Times New Roman" w:cs="Arial"/>
          <w:color w:val="000000"/>
          <w:lang w:val="ru-RU"/>
        </w:rPr>
        <w:t xml:space="preserve"> </w:t>
      </w:r>
      <w:r w:rsidRPr="00402E6B">
        <w:rPr>
          <w:rFonts w:eastAsia="Times New Roman" w:cs="Arial"/>
          <w:color w:val="000000"/>
          <w:lang w:eastAsia="bg-BG"/>
        </w:rPr>
        <w:t xml:space="preserve">и токсична епидермална некролиза (синдром на </w:t>
      </w:r>
      <w:r w:rsidRPr="00402E6B">
        <w:rPr>
          <w:rFonts w:eastAsia="Times New Roman" w:cs="Arial"/>
          <w:color w:val="000000"/>
          <w:lang w:val="en-US"/>
        </w:rPr>
        <w:t>Lyell</w:t>
      </w:r>
      <w:r w:rsidRPr="00402E6B">
        <w:rPr>
          <w:rFonts w:eastAsia="Times New Roman" w:cs="Arial"/>
          <w:color w:val="000000"/>
          <w:lang w:val="ru-RU"/>
        </w:rPr>
        <w:t xml:space="preserve">) </w:t>
      </w:r>
      <w:r w:rsidRPr="00402E6B">
        <w:rPr>
          <w:rFonts w:eastAsia="Times New Roman" w:cs="Arial"/>
          <w:color w:val="000000"/>
          <w:lang w:eastAsia="bg-BG"/>
        </w:rPr>
        <w:t xml:space="preserve">и медикаментозна реакция с еозинофилия и системни симптоми </w:t>
      </w:r>
      <w:r w:rsidRPr="00402E6B">
        <w:rPr>
          <w:rFonts w:eastAsia="Times New Roman" w:cs="Arial"/>
          <w:color w:val="000000"/>
          <w:lang w:val="ru-RU"/>
        </w:rPr>
        <w:t>(</w:t>
      </w:r>
      <w:r w:rsidRPr="00402E6B">
        <w:rPr>
          <w:rFonts w:eastAsia="Times New Roman" w:cs="Arial"/>
          <w:color w:val="000000"/>
          <w:lang w:val="en-US"/>
        </w:rPr>
        <w:t>DRESS</w:t>
      </w:r>
      <w:r w:rsidRPr="00402E6B">
        <w:rPr>
          <w:rFonts w:eastAsia="Times New Roman" w:cs="Arial"/>
          <w:color w:val="000000"/>
          <w:lang w:val="ru-RU"/>
        </w:rPr>
        <w:t xml:space="preserve">). </w:t>
      </w:r>
      <w:r w:rsidRPr="00402E6B">
        <w:rPr>
          <w:rFonts w:eastAsia="Times New Roman" w:cs="Arial"/>
          <w:color w:val="000000"/>
          <w:lang w:eastAsia="bg-BG"/>
        </w:rPr>
        <w:t>В повечето случаи тези реакции отзвучават след спиране на приема на ламотрижин. Въпреки това, при някои пациенти се развиват необратими цикатрикси, също така има редки случаи на летален изход (вж. точка 4.4).</w:t>
      </w:r>
    </w:p>
    <w:p w14:paraId="10AA2B69" w14:textId="77777777" w:rsidR="00402E6B" w:rsidRPr="00402E6B" w:rsidRDefault="00402E6B" w:rsidP="00402E6B">
      <w:pPr>
        <w:spacing w:line="240" w:lineRule="auto"/>
        <w:rPr>
          <w:rFonts w:eastAsia="Times New Roman" w:cs="Arial"/>
          <w:color w:val="000000"/>
          <w:lang w:eastAsia="bg-BG"/>
        </w:rPr>
      </w:pPr>
    </w:p>
    <w:p w14:paraId="6851BA04" w14:textId="7A2FA3C1" w:rsidR="00402E6B" w:rsidRPr="00402E6B" w:rsidRDefault="00402E6B" w:rsidP="00402E6B">
      <w:pPr>
        <w:spacing w:line="240" w:lineRule="auto"/>
        <w:rPr>
          <w:rFonts w:eastAsia="Times New Roman" w:cs="Arial"/>
        </w:rPr>
      </w:pPr>
      <w:r w:rsidRPr="00402E6B">
        <w:rPr>
          <w:rFonts w:eastAsia="Times New Roman" w:cs="Arial"/>
          <w:color w:val="000000"/>
          <w:lang w:eastAsia="bg-BG"/>
        </w:rPr>
        <w:t>Общият риск за поява на обрив показва силна взаимовръзка с:</w:t>
      </w:r>
    </w:p>
    <w:p w14:paraId="733CD2FC" w14:textId="77777777" w:rsidR="00402E6B" w:rsidRPr="00402E6B" w:rsidRDefault="00402E6B" w:rsidP="00402E6B">
      <w:pPr>
        <w:pStyle w:val="ListParagraph"/>
        <w:numPr>
          <w:ilvl w:val="0"/>
          <w:numId w:val="37"/>
        </w:numPr>
        <w:spacing w:line="240" w:lineRule="auto"/>
        <w:rPr>
          <w:rFonts w:eastAsia="Times New Roman" w:cs="Arial"/>
        </w:rPr>
      </w:pPr>
      <w:r w:rsidRPr="00402E6B">
        <w:rPr>
          <w:rFonts w:eastAsia="Times New Roman" w:cs="Arial"/>
          <w:color w:val="000000"/>
          <w:lang w:eastAsia="bg-BG"/>
        </w:rPr>
        <w:t>прием на високи начални дози ламотрижин и превишаване на препоръчителната доза за повишаване на ламотрижин (вж. точка 4.2).</w:t>
      </w:r>
    </w:p>
    <w:p w14:paraId="749AC81E" w14:textId="05E3122C" w:rsidR="00402E6B" w:rsidRPr="00402E6B" w:rsidRDefault="00402E6B" w:rsidP="00402E6B">
      <w:pPr>
        <w:pStyle w:val="ListParagraph"/>
        <w:numPr>
          <w:ilvl w:val="0"/>
          <w:numId w:val="37"/>
        </w:numPr>
        <w:spacing w:line="240" w:lineRule="auto"/>
        <w:rPr>
          <w:rFonts w:eastAsia="Times New Roman" w:cs="Arial"/>
        </w:rPr>
      </w:pPr>
      <w:r w:rsidRPr="00402E6B">
        <w:rPr>
          <w:rFonts w:eastAsia="Times New Roman" w:cs="Arial"/>
          <w:color w:val="000000"/>
          <w:lang w:eastAsia="bg-BG"/>
        </w:rPr>
        <w:t>едновременно прилагане на валпроат (вж. точка 4.2),</w:t>
      </w:r>
    </w:p>
    <w:p w14:paraId="74C2233E" w14:textId="77777777" w:rsidR="00402E6B" w:rsidRPr="00402E6B" w:rsidRDefault="00402E6B" w:rsidP="00402E6B">
      <w:pPr>
        <w:spacing w:line="240" w:lineRule="auto"/>
        <w:rPr>
          <w:rFonts w:eastAsia="Times New Roman" w:cs="Arial"/>
          <w:color w:val="000000"/>
          <w:lang w:eastAsia="bg-BG"/>
        </w:rPr>
      </w:pPr>
    </w:p>
    <w:p w14:paraId="70FC2FA4" w14:textId="6208556D" w:rsidR="00402E6B" w:rsidRPr="00402E6B" w:rsidRDefault="00402E6B" w:rsidP="00402E6B">
      <w:pPr>
        <w:spacing w:line="240" w:lineRule="auto"/>
        <w:rPr>
          <w:rFonts w:eastAsia="Times New Roman" w:cs="Arial"/>
          <w:color w:val="000000"/>
          <w:lang w:eastAsia="bg-BG"/>
        </w:rPr>
      </w:pPr>
      <w:r w:rsidRPr="00402E6B">
        <w:rPr>
          <w:rFonts w:eastAsia="Times New Roman" w:cs="Arial"/>
          <w:color w:val="000000"/>
          <w:lang w:eastAsia="bg-BG"/>
        </w:rPr>
        <w:t>Съществуват съобщения за понижена костна минерална плътност, остеопения, остеопороза и фрактури при пациенти на продължително лечение с ламотрижин. Механизмът, по който ламотрижин оказва влияние върху костния метаболизъм не е установен.</w:t>
      </w:r>
    </w:p>
    <w:p w14:paraId="5AEFF771" w14:textId="77777777" w:rsidR="00402E6B" w:rsidRPr="00402E6B" w:rsidRDefault="00402E6B" w:rsidP="00402E6B">
      <w:pPr>
        <w:spacing w:line="240" w:lineRule="auto"/>
        <w:rPr>
          <w:rFonts w:eastAsia="Times New Roman" w:cs="Arial"/>
          <w:color w:val="000000"/>
          <w:u w:val="single"/>
          <w:lang w:eastAsia="bg-BG"/>
        </w:rPr>
      </w:pPr>
    </w:p>
    <w:p w14:paraId="15BC9374" w14:textId="56CEE9E6" w:rsidR="00402E6B" w:rsidRPr="00402E6B" w:rsidRDefault="00402E6B" w:rsidP="00402E6B">
      <w:pPr>
        <w:spacing w:line="240" w:lineRule="auto"/>
        <w:rPr>
          <w:rFonts w:eastAsia="Times New Roman" w:cs="Arial"/>
        </w:rPr>
      </w:pPr>
      <w:r w:rsidRPr="00402E6B">
        <w:rPr>
          <w:rFonts w:eastAsia="Times New Roman" w:cs="Arial"/>
          <w:color w:val="000000"/>
          <w:u w:val="single"/>
          <w:lang w:eastAsia="bg-BG"/>
        </w:rPr>
        <w:t>Съобщаване на подозирани нежелани реакции</w:t>
      </w:r>
    </w:p>
    <w:p w14:paraId="7E7179C4" w14:textId="77777777" w:rsidR="00402E6B" w:rsidRPr="00402E6B" w:rsidRDefault="00402E6B" w:rsidP="00402E6B">
      <w:pPr>
        <w:spacing w:line="240" w:lineRule="auto"/>
        <w:rPr>
          <w:rFonts w:eastAsia="Times New Roman" w:cs="Arial"/>
        </w:rPr>
      </w:pPr>
      <w:r w:rsidRPr="00402E6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02 8903417, уебсайт: </w:t>
      </w:r>
      <w:hyperlink r:id="rId5" w:history="1">
        <w:r w:rsidRPr="00402E6B">
          <w:rPr>
            <w:rFonts w:eastAsia="Times New Roman" w:cs="Arial"/>
            <w:color w:val="000000"/>
            <w:lang w:val="en-US"/>
          </w:rPr>
          <w:t>www.bda.bg</w:t>
        </w:r>
      </w:hyperlink>
      <w:r w:rsidRPr="00402E6B">
        <w:rPr>
          <w:rFonts w:eastAsia="Times New Roman" w:cs="Arial"/>
          <w:color w:val="000000"/>
          <w:lang w:val="en-US"/>
        </w:rPr>
        <w:t>.</w:t>
      </w:r>
    </w:p>
    <w:p w14:paraId="0FC62118" w14:textId="59B2E533" w:rsidR="00402E6B" w:rsidRPr="00402E6B" w:rsidRDefault="00402E6B" w:rsidP="00402E6B"/>
    <w:p w14:paraId="5A87DBA3" w14:textId="3F0FAA46" w:rsidR="007122AD" w:rsidRDefault="002C50EE" w:rsidP="00936AD0">
      <w:pPr>
        <w:pStyle w:val="Heading2"/>
      </w:pPr>
      <w:r>
        <w:t>4.9. Предозиране</w:t>
      </w:r>
    </w:p>
    <w:p w14:paraId="5704039D" w14:textId="500B831D" w:rsidR="00402E6B" w:rsidRDefault="00402E6B" w:rsidP="00402E6B"/>
    <w:p w14:paraId="1B329C1E" w14:textId="77777777" w:rsidR="00402E6B" w:rsidRPr="00402E6B" w:rsidRDefault="00402E6B" w:rsidP="00402E6B">
      <w:pPr>
        <w:pStyle w:val="Heading3"/>
        <w:rPr>
          <w:rFonts w:eastAsia="Times New Roman"/>
          <w:u w:val="single"/>
        </w:rPr>
      </w:pPr>
      <w:r w:rsidRPr="00402E6B">
        <w:rPr>
          <w:rFonts w:eastAsia="Times New Roman"/>
          <w:u w:val="single"/>
          <w:lang w:eastAsia="bg-BG"/>
        </w:rPr>
        <w:t>Симптоми и признаци</w:t>
      </w:r>
    </w:p>
    <w:p w14:paraId="7F9BF00E"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Съобщавани са случайни предозирания с дози 10 до 20 пъти по-големи от максималната терапевтична доза. В резултат на предозирането се установяват симптоми включително нистагъм, атаксия, промени в съзнанието, генерализирани тонично-клонични гърчове </w:t>
      </w:r>
      <w:r w:rsidRPr="00402E6B">
        <w:rPr>
          <w:rFonts w:eastAsia="Times New Roman" w:cs="Arial"/>
          <w:color w:val="000000"/>
          <w:lang w:val="ru-RU"/>
        </w:rPr>
        <w:t>(</w:t>
      </w:r>
      <w:r w:rsidRPr="00402E6B">
        <w:rPr>
          <w:rFonts w:eastAsia="Times New Roman" w:cs="Arial"/>
          <w:color w:val="000000"/>
          <w:lang w:val="en-US"/>
        </w:rPr>
        <w:t>grand</w:t>
      </w:r>
      <w:r w:rsidRPr="00402E6B">
        <w:rPr>
          <w:rFonts w:eastAsia="Times New Roman" w:cs="Arial"/>
          <w:color w:val="000000"/>
          <w:lang w:val="ru-RU"/>
        </w:rPr>
        <w:t xml:space="preserve"> </w:t>
      </w:r>
      <w:r w:rsidRPr="00402E6B">
        <w:rPr>
          <w:rFonts w:eastAsia="Times New Roman" w:cs="Arial"/>
          <w:color w:val="000000"/>
          <w:lang w:val="en-US"/>
        </w:rPr>
        <w:t>mal</w:t>
      </w:r>
      <w:r w:rsidRPr="00402E6B">
        <w:rPr>
          <w:rFonts w:eastAsia="Times New Roman" w:cs="Arial"/>
          <w:color w:val="000000"/>
          <w:lang w:val="ru-RU"/>
        </w:rPr>
        <w:t xml:space="preserve">) </w:t>
      </w:r>
      <w:r w:rsidRPr="00402E6B">
        <w:rPr>
          <w:rFonts w:eastAsia="Times New Roman" w:cs="Arial"/>
          <w:color w:val="000000"/>
          <w:lang w:eastAsia="bg-BG"/>
        </w:rPr>
        <w:t>и кома.</w:t>
      </w:r>
    </w:p>
    <w:p w14:paraId="6D734311" w14:textId="77777777" w:rsidR="00402E6B" w:rsidRPr="00402E6B" w:rsidRDefault="00402E6B" w:rsidP="00402E6B">
      <w:pPr>
        <w:spacing w:line="240" w:lineRule="auto"/>
        <w:rPr>
          <w:rFonts w:eastAsia="Times New Roman" w:cs="Arial"/>
          <w:color w:val="000000"/>
          <w:lang w:eastAsia="bg-BG"/>
        </w:rPr>
      </w:pPr>
    </w:p>
    <w:p w14:paraId="1C553C07" w14:textId="0CECA499"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Разширяване на </w:t>
      </w:r>
      <w:r w:rsidRPr="00402E6B">
        <w:rPr>
          <w:rFonts w:eastAsia="Times New Roman" w:cs="Arial"/>
          <w:color w:val="000000"/>
          <w:lang w:val="en-US"/>
        </w:rPr>
        <w:t>QRS</w:t>
      </w:r>
      <w:r w:rsidRPr="00402E6B">
        <w:rPr>
          <w:rFonts w:eastAsia="Times New Roman" w:cs="Arial"/>
          <w:color w:val="000000"/>
          <w:lang w:val="ru-RU"/>
        </w:rPr>
        <w:t xml:space="preserve"> </w:t>
      </w:r>
      <w:r w:rsidRPr="00402E6B">
        <w:rPr>
          <w:rFonts w:eastAsia="Times New Roman" w:cs="Arial"/>
          <w:color w:val="000000"/>
          <w:lang w:eastAsia="bg-BG"/>
        </w:rPr>
        <w:t xml:space="preserve">интервала и удължаване на </w:t>
      </w:r>
      <w:r w:rsidRPr="00402E6B">
        <w:rPr>
          <w:rFonts w:eastAsia="Times New Roman" w:cs="Arial"/>
          <w:color w:val="000000"/>
          <w:lang w:val="en-US"/>
        </w:rPr>
        <w:t>QT</w:t>
      </w:r>
      <w:r w:rsidRPr="00402E6B">
        <w:rPr>
          <w:rFonts w:eastAsia="Times New Roman" w:cs="Arial"/>
          <w:color w:val="000000"/>
          <w:lang w:val="ru-RU"/>
        </w:rPr>
        <w:t xml:space="preserve"> </w:t>
      </w:r>
      <w:r w:rsidRPr="00402E6B">
        <w:rPr>
          <w:rFonts w:eastAsia="Times New Roman" w:cs="Arial"/>
          <w:color w:val="000000"/>
          <w:lang w:eastAsia="bg-BG"/>
        </w:rPr>
        <w:t xml:space="preserve">(забавяне на интравентрикуларната проводимост) също са наблюдавани при пациенти след предозиране. Разширяването на </w:t>
      </w:r>
      <w:r w:rsidRPr="00402E6B">
        <w:rPr>
          <w:rFonts w:eastAsia="Times New Roman" w:cs="Arial"/>
          <w:color w:val="000000"/>
          <w:lang w:val="en-US"/>
        </w:rPr>
        <w:t>QRS</w:t>
      </w:r>
      <w:r w:rsidRPr="00402E6B">
        <w:rPr>
          <w:rFonts w:eastAsia="Times New Roman" w:cs="Arial"/>
          <w:color w:val="000000"/>
          <w:lang w:val="ru-RU"/>
        </w:rPr>
        <w:t xml:space="preserve"> </w:t>
      </w:r>
      <w:r w:rsidRPr="00402E6B">
        <w:rPr>
          <w:rFonts w:eastAsia="Times New Roman" w:cs="Arial"/>
          <w:color w:val="000000"/>
          <w:lang w:eastAsia="bg-BG"/>
        </w:rPr>
        <w:t xml:space="preserve">продължителността до повече от 100 </w:t>
      </w:r>
      <w:r w:rsidRPr="00402E6B">
        <w:rPr>
          <w:rFonts w:eastAsia="Times New Roman" w:cs="Arial"/>
          <w:color w:val="000000"/>
          <w:lang w:val="en-US"/>
        </w:rPr>
        <w:t>msec</w:t>
      </w:r>
      <w:r w:rsidRPr="00402E6B">
        <w:rPr>
          <w:rFonts w:eastAsia="Times New Roman" w:cs="Arial"/>
          <w:color w:val="000000"/>
          <w:lang w:val="ru-RU"/>
        </w:rPr>
        <w:t xml:space="preserve"> </w:t>
      </w:r>
      <w:r w:rsidRPr="00402E6B">
        <w:rPr>
          <w:rFonts w:eastAsia="Times New Roman" w:cs="Arial"/>
          <w:color w:val="000000"/>
          <w:lang w:eastAsia="bg-BG"/>
        </w:rPr>
        <w:t>може да бъде свързано с по-тежка токсичност.</w:t>
      </w:r>
    </w:p>
    <w:p w14:paraId="64B1CAA5" w14:textId="79E0D9EF" w:rsidR="00402E6B" w:rsidRPr="00402E6B" w:rsidRDefault="00402E6B" w:rsidP="00402E6B">
      <w:pPr>
        <w:rPr>
          <w:rFonts w:cs="Arial"/>
        </w:rPr>
      </w:pPr>
    </w:p>
    <w:p w14:paraId="41CB77FA" w14:textId="77777777" w:rsidR="00402E6B" w:rsidRPr="00402E6B" w:rsidRDefault="00402E6B" w:rsidP="00402E6B">
      <w:pPr>
        <w:pStyle w:val="Heading3"/>
        <w:rPr>
          <w:rFonts w:eastAsia="Times New Roman"/>
          <w:u w:val="single"/>
        </w:rPr>
      </w:pPr>
      <w:r w:rsidRPr="00402E6B">
        <w:rPr>
          <w:rFonts w:eastAsia="Times New Roman"/>
          <w:u w:val="single"/>
          <w:lang w:eastAsia="bg-BG"/>
        </w:rPr>
        <w:t>Лечение</w:t>
      </w:r>
    </w:p>
    <w:p w14:paraId="4215A248" w14:textId="35C69926" w:rsidR="00402E6B" w:rsidRPr="00402E6B" w:rsidRDefault="00402E6B" w:rsidP="00402E6B">
      <w:pPr>
        <w:rPr>
          <w:rFonts w:cs="Arial"/>
        </w:rPr>
      </w:pPr>
      <w:r w:rsidRPr="00402E6B">
        <w:rPr>
          <w:rFonts w:eastAsia="Times New Roman" w:cs="Arial"/>
          <w:color w:val="000000"/>
          <w:lang w:eastAsia="bg-BG"/>
        </w:rPr>
        <w:t>При предозиране пациентът трябва да постъпи в болнично заведение и да бъде подложен на подходяща поддържаща терапия. При необходимост трябва да бъде направено лечение насочено към намаляване на резорбцията (активен въглен, лаксативен или стомашен лаваж). По-нататъшното поведение трябва да бъде както е клинично показано, като се вземат предвид потенциалните ефекти върху сърдечната проводимост (вж. точка 4.4). Лечението се определя в зависимост от клиничните признаци. Няма опит с хемодиализата в лечението на предозирането. При шест доброволци с бъбречна недостатъчност, 20% от ламотрижина са били отстранени от организма по време на 4-часовата хемодиализна сесия (вж. точка 5.2).</w:t>
      </w:r>
    </w:p>
    <w:p w14:paraId="02081B24" w14:textId="1F46E296" w:rsidR="00395555" w:rsidRPr="00395555" w:rsidRDefault="002C50EE" w:rsidP="008A6AF2">
      <w:pPr>
        <w:pStyle w:val="Heading1"/>
      </w:pPr>
      <w:r>
        <w:lastRenderedPageBreak/>
        <w:t>5. ФАРМАКОЛОГИЧНИ СВОЙСТВА</w:t>
      </w:r>
    </w:p>
    <w:p w14:paraId="7DE36AC8" w14:textId="5A1D6266" w:rsidR="00B6672E" w:rsidRDefault="002C50EE" w:rsidP="00936AD0">
      <w:pPr>
        <w:pStyle w:val="Heading2"/>
      </w:pPr>
      <w:r>
        <w:t>5.1. Фармакодинамични свойства</w:t>
      </w:r>
    </w:p>
    <w:p w14:paraId="3454C117" w14:textId="3280679F" w:rsidR="00402E6B" w:rsidRDefault="00402E6B" w:rsidP="00402E6B"/>
    <w:p w14:paraId="07EB576F"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Фармакотерапевтична група: други антиепилептични лекарства, АТС код: </w:t>
      </w:r>
      <w:r w:rsidRPr="00402E6B">
        <w:rPr>
          <w:rFonts w:eastAsia="Times New Roman" w:cs="Arial"/>
          <w:color w:val="000000"/>
          <w:lang w:val="en-US"/>
        </w:rPr>
        <w:t>N</w:t>
      </w:r>
      <w:r w:rsidRPr="00402E6B">
        <w:rPr>
          <w:rFonts w:eastAsia="Times New Roman" w:cs="Arial"/>
          <w:color w:val="000000"/>
          <w:lang w:val="ru-RU"/>
        </w:rPr>
        <w:t>03</w:t>
      </w:r>
      <w:r w:rsidRPr="00402E6B">
        <w:rPr>
          <w:rFonts w:eastAsia="Times New Roman" w:cs="Arial"/>
          <w:color w:val="000000"/>
          <w:lang w:val="en-US"/>
        </w:rPr>
        <w:t>AX</w:t>
      </w:r>
      <w:r w:rsidRPr="00402E6B">
        <w:rPr>
          <w:rFonts w:eastAsia="Times New Roman" w:cs="Arial"/>
          <w:color w:val="000000"/>
          <w:lang w:val="ru-RU"/>
        </w:rPr>
        <w:t>09.</w:t>
      </w:r>
    </w:p>
    <w:p w14:paraId="2CA10FAF" w14:textId="77777777" w:rsidR="00402E6B" w:rsidRPr="00402E6B" w:rsidRDefault="00402E6B" w:rsidP="00402E6B">
      <w:pPr>
        <w:spacing w:line="240" w:lineRule="auto"/>
        <w:rPr>
          <w:rFonts w:eastAsia="Times New Roman" w:cs="Arial"/>
          <w:color w:val="000000"/>
          <w:u w:val="single"/>
          <w:lang w:eastAsia="bg-BG"/>
        </w:rPr>
      </w:pPr>
    </w:p>
    <w:p w14:paraId="6A85FFDC" w14:textId="1667F14F"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Механизъм на действие</w:t>
      </w:r>
    </w:p>
    <w:p w14:paraId="31B58027"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Резултатите от фармакологичните проучвания показват, че ламотрижин е употреба- и волтаж-зависим блокер на волтаж-активираните натриевите канали. Той инхибира продължителното повтарящо се възбуждане на невроните и потиска освобождаването на глутамат (невротрансмитер, който има ключова роля в генерирането на епилептичните гърчове). Тези ефекти вероятно допринасят за свойствата на ламотрижин като антиконвулсант.</w:t>
      </w:r>
    </w:p>
    <w:p w14:paraId="667D9B23" w14:textId="77777777" w:rsidR="00402E6B" w:rsidRPr="00402E6B" w:rsidRDefault="00402E6B" w:rsidP="00402E6B">
      <w:pPr>
        <w:spacing w:line="240" w:lineRule="auto"/>
        <w:rPr>
          <w:rFonts w:eastAsia="Times New Roman" w:cs="Arial"/>
          <w:color w:val="000000"/>
          <w:lang w:eastAsia="bg-BG"/>
        </w:rPr>
      </w:pPr>
    </w:p>
    <w:p w14:paraId="1B021ADB" w14:textId="39E377F4"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За разлика от това механизмите, по които ламотрижин оказва терапевтичен ефект при биполярно разстройство не са установени, въпреки че се отдава значение на повлияването на волтаж-активираните натриеви канали.</w:t>
      </w:r>
    </w:p>
    <w:p w14:paraId="7D773488" w14:textId="77777777" w:rsidR="00402E6B" w:rsidRPr="00402E6B" w:rsidRDefault="00402E6B" w:rsidP="00402E6B">
      <w:pPr>
        <w:spacing w:line="240" w:lineRule="auto"/>
        <w:rPr>
          <w:rFonts w:eastAsia="Times New Roman" w:cs="Arial"/>
          <w:color w:val="000000"/>
          <w:u w:val="single"/>
          <w:lang w:eastAsia="bg-BG"/>
        </w:rPr>
      </w:pPr>
    </w:p>
    <w:p w14:paraId="3ACD105C" w14:textId="7BB58333"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Фармакодинамични ефекти</w:t>
      </w:r>
    </w:p>
    <w:p w14:paraId="67F97A3A"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При изследвания за оценка на ефекта на лекарствата върху централната нервна система установените ефекти от прилагане на 240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ламотрижин на здрави доброволци, са били подобни на тези за плацебо. От друга страна след прилагане на 1 000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фенитоин или 10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диазепам се установяват значително нарушаване на фината зрителна двигателна координация, движенията на очите, равновесието и субективни ефекти на седиране.</w:t>
      </w:r>
    </w:p>
    <w:p w14:paraId="3CABAC24" w14:textId="77777777" w:rsidR="00402E6B" w:rsidRPr="00402E6B" w:rsidRDefault="00402E6B" w:rsidP="00402E6B">
      <w:pPr>
        <w:spacing w:line="240" w:lineRule="auto"/>
        <w:rPr>
          <w:rFonts w:eastAsia="Times New Roman" w:cs="Arial"/>
          <w:color w:val="000000"/>
          <w:lang w:eastAsia="bg-BG"/>
        </w:rPr>
      </w:pPr>
    </w:p>
    <w:p w14:paraId="68D2F6FB" w14:textId="61275318"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При друго изпитване след перорален прием на еднократна доза от 600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карбамазепин се установява значително влошаване на фината зрителна двигателна координация, движенията на очите и равновесието и повишаване на сърдечната честота, От друга страна след прилагане на ламотрижин в дози от 150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и 300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установените ефекти са подобни на тези при прием на плацебо.</w:t>
      </w:r>
    </w:p>
    <w:p w14:paraId="59D64609" w14:textId="77777777" w:rsidR="00402E6B" w:rsidRPr="00402E6B" w:rsidRDefault="00402E6B" w:rsidP="00402E6B">
      <w:pPr>
        <w:spacing w:line="240" w:lineRule="auto"/>
        <w:rPr>
          <w:rFonts w:eastAsia="Times New Roman" w:cs="Arial"/>
          <w:color w:val="000000"/>
          <w:u w:val="single"/>
          <w:lang w:eastAsia="bg-BG"/>
        </w:rPr>
      </w:pPr>
    </w:p>
    <w:p w14:paraId="0059FB51" w14:textId="20F7B48D"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Изследване на ефекта на ламотрижин върху сърдечната проводимост</w:t>
      </w:r>
    </w:p>
    <w:p w14:paraId="170AF6C5" w14:textId="77777777" w:rsidR="00402E6B" w:rsidRPr="00402E6B" w:rsidRDefault="00402E6B" w:rsidP="00402E6B">
      <w:pPr>
        <w:spacing w:line="240" w:lineRule="auto"/>
        <w:rPr>
          <w:rFonts w:eastAsia="Times New Roman" w:cs="Arial"/>
          <w:sz w:val="24"/>
          <w:szCs w:val="24"/>
        </w:rPr>
      </w:pPr>
      <w:r w:rsidRPr="00402E6B">
        <w:rPr>
          <w:rFonts w:eastAsia="Times New Roman" w:cs="Arial"/>
          <w:color w:val="000000"/>
          <w:lang w:eastAsia="bg-BG"/>
        </w:rPr>
        <w:t xml:space="preserve">Ефектът на многократното прилагане на ламотрижин (до 400 </w:t>
      </w:r>
      <w:r w:rsidRPr="00402E6B">
        <w:rPr>
          <w:rFonts w:eastAsia="Times New Roman" w:cs="Arial"/>
          <w:color w:val="000000"/>
          <w:lang w:val="en-US"/>
        </w:rPr>
        <w:t>mg</w:t>
      </w:r>
      <w:r w:rsidRPr="00402E6B">
        <w:rPr>
          <w:rFonts w:eastAsia="Times New Roman" w:cs="Arial"/>
          <w:color w:val="000000"/>
          <w:lang w:eastAsia="bg-BG"/>
        </w:rPr>
        <w:t xml:space="preserve">/ден) върху сърдечната проводимост, оценена чрез ЕКГ с 12 отвеждания, е изследван при изпитване върху здрави възрастни доброволци. Не е отчетен клинично значим ефект на ламотрижин върху </w:t>
      </w:r>
      <w:r w:rsidRPr="00402E6B">
        <w:rPr>
          <w:rFonts w:eastAsia="Times New Roman" w:cs="Arial"/>
          <w:color w:val="000000"/>
          <w:lang w:val="en-US"/>
        </w:rPr>
        <w:t>QT</w:t>
      </w:r>
      <w:r w:rsidRPr="00402E6B">
        <w:rPr>
          <w:rFonts w:eastAsia="Times New Roman" w:cs="Arial"/>
          <w:color w:val="000000"/>
          <w:lang w:val="ru-RU"/>
        </w:rPr>
        <w:t xml:space="preserve"> </w:t>
      </w:r>
      <w:r w:rsidRPr="00402E6B">
        <w:rPr>
          <w:rFonts w:eastAsia="Times New Roman" w:cs="Arial"/>
          <w:color w:val="000000"/>
          <w:lang w:eastAsia="bg-BG"/>
        </w:rPr>
        <w:t>интервала в сравнение с плацебо.</w:t>
      </w:r>
    </w:p>
    <w:p w14:paraId="0065D8F6" w14:textId="77777777" w:rsidR="00402E6B" w:rsidRPr="00402E6B" w:rsidRDefault="00402E6B" w:rsidP="00402E6B">
      <w:pPr>
        <w:spacing w:line="240" w:lineRule="auto"/>
        <w:rPr>
          <w:rFonts w:eastAsia="Times New Roman" w:cs="Arial"/>
          <w:color w:val="000000"/>
          <w:u w:val="single"/>
          <w:lang w:eastAsia="bg-BG"/>
        </w:rPr>
      </w:pPr>
    </w:p>
    <w:p w14:paraId="1AA99AB8" w14:textId="0C49A5AF" w:rsidR="00402E6B" w:rsidRPr="00402E6B" w:rsidRDefault="00402E6B" w:rsidP="00402E6B">
      <w:pPr>
        <w:spacing w:line="240" w:lineRule="auto"/>
        <w:rPr>
          <w:rFonts w:eastAsia="Times New Roman" w:cs="Arial"/>
          <w:sz w:val="24"/>
          <w:szCs w:val="24"/>
        </w:rPr>
      </w:pPr>
      <w:r w:rsidRPr="00402E6B">
        <w:rPr>
          <w:rFonts w:eastAsia="Times New Roman" w:cs="Arial"/>
          <w:color w:val="000000"/>
          <w:u w:val="single"/>
          <w:lang w:eastAsia="bg-BG"/>
        </w:rPr>
        <w:t>Клинична ефикасност и безопасност</w:t>
      </w:r>
    </w:p>
    <w:p w14:paraId="7CBE5D84" w14:textId="77777777" w:rsidR="00402E6B" w:rsidRPr="00402E6B" w:rsidRDefault="00402E6B" w:rsidP="00402E6B">
      <w:pPr>
        <w:spacing w:line="240" w:lineRule="auto"/>
        <w:rPr>
          <w:rFonts w:eastAsia="Times New Roman" w:cs="Arial"/>
          <w:i/>
          <w:iCs/>
          <w:color w:val="000000"/>
          <w:lang w:eastAsia="bg-BG"/>
        </w:rPr>
      </w:pPr>
    </w:p>
    <w:p w14:paraId="77A13AB2" w14:textId="5E40F330" w:rsidR="00402E6B" w:rsidRPr="00402E6B" w:rsidRDefault="00402E6B" w:rsidP="00402E6B">
      <w:pPr>
        <w:spacing w:line="240" w:lineRule="auto"/>
        <w:rPr>
          <w:rFonts w:eastAsia="Times New Roman" w:cs="Arial"/>
          <w:sz w:val="24"/>
          <w:szCs w:val="24"/>
        </w:rPr>
      </w:pPr>
      <w:r w:rsidRPr="00402E6B">
        <w:rPr>
          <w:rFonts w:eastAsia="Times New Roman" w:cs="Arial"/>
          <w:i/>
          <w:iCs/>
          <w:color w:val="000000"/>
          <w:lang w:eastAsia="bg-BG"/>
        </w:rPr>
        <w:t xml:space="preserve">Превенция на епизоди на промяна на настроението при пациенти с биполярно разстройство </w:t>
      </w:r>
      <w:r w:rsidRPr="00402E6B">
        <w:rPr>
          <w:rFonts w:eastAsia="Times New Roman" w:cs="Arial"/>
          <w:color w:val="000000"/>
          <w:lang w:eastAsia="bg-BG"/>
        </w:rPr>
        <w:t>Две изпитвания оценяват ефикасността при превенция на епизоди на промяна на настроението при пациенти с биполярно I разстройство.</w:t>
      </w:r>
    </w:p>
    <w:p w14:paraId="2F648464" w14:textId="77777777" w:rsidR="00402E6B" w:rsidRPr="00402E6B" w:rsidRDefault="00402E6B" w:rsidP="00402E6B">
      <w:pPr>
        <w:spacing w:line="240" w:lineRule="auto"/>
        <w:rPr>
          <w:rFonts w:eastAsia="Times New Roman" w:cs="Arial"/>
          <w:color w:val="000000"/>
          <w:lang w:eastAsia="bg-BG"/>
        </w:rPr>
      </w:pPr>
    </w:p>
    <w:p w14:paraId="5186009A" w14:textId="77777777" w:rsidR="00402E6B" w:rsidRPr="00402E6B" w:rsidRDefault="00402E6B" w:rsidP="00402E6B">
      <w:pPr>
        <w:rPr>
          <w:rFonts w:eastAsia="Times New Roman" w:cs="Arial"/>
          <w:sz w:val="24"/>
          <w:szCs w:val="24"/>
        </w:rPr>
      </w:pPr>
      <w:r w:rsidRPr="00402E6B">
        <w:rPr>
          <w:rFonts w:eastAsia="Times New Roman" w:cs="Arial"/>
          <w:color w:val="000000"/>
          <w:lang w:eastAsia="bg-BG"/>
        </w:rPr>
        <w:t xml:space="preserve">Проучването </w:t>
      </w:r>
      <w:r w:rsidRPr="00402E6B">
        <w:rPr>
          <w:rFonts w:eastAsia="Times New Roman" w:cs="Arial"/>
          <w:color w:val="000000"/>
          <w:lang w:val="en-US"/>
        </w:rPr>
        <w:t>SCAB</w:t>
      </w:r>
      <w:r w:rsidRPr="00402E6B">
        <w:rPr>
          <w:rFonts w:eastAsia="Times New Roman" w:cs="Arial"/>
          <w:color w:val="000000"/>
          <w:lang w:val="ru-RU"/>
        </w:rPr>
        <w:t xml:space="preserve">20003 </w:t>
      </w:r>
      <w:r w:rsidRPr="00402E6B">
        <w:rPr>
          <w:rFonts w:eastAsia="Times New Roman" w:cs="Arial"/>
          <w:color w:val="000000"/>
          <w:lang w:eastAsia="bg-BG"/>
        </w:rPr>
        <w:t xml:space="preserve">е мултицентрово, двойно-сляпо, двойно-заслепено, плацебо и литий-контролирано, рандомизирано, с фиксирана доза за оценка на дългосрочната превенция на релапс и повторна поява на депресия и/или мания при пациенти с биполярно тип </w:t>
      </w:r>
      <w:r w:rsidRPr="00402E6B">
        <w:rPr>
          <w:rFonts w:eastAsia="Times New Roman" w:cs="Arial"/>
          <w:color w:val="000000"/>
          <w:lang w:val="en-US"/>
        </w:rPr>
        <w:t>I</w:t>
      </w:r>
      <w:r w:rsidRPr="00402E6B">
        <w:rPr>
          <w:rFonts w:eastAsia="Times New Roman" w:cs="Arial"/>
          <w:color w:val="000000"/>
          <w:lang w:val="ru-RU"/>
        </w:rPr>
        <w:t xml:space="preserve"> </w:t>
      </w:r>
      <w:r w:rsidRPr="00402E6B">
        <w:rPr>
          <w:rFonts w:eastAsia="Times New Roman" w:cs="Arial"/>
          <w:color w:val="000000"/>
          <w:lang w:eastAsia="bg-BG"/>
        </w:rPr>
        <w:t xml:space="preserve">разстройство, които наскоро или в момента на изпитването са били в голям депресивен епизод. След стабилизиране с монотерапия с ламотрижин или с комбинирана терапия пациентите са били рандомизирани в една от петте групи на лечение: ламотрижин (50,200, 400 </w:t>
      </w:r>
      <w:r w:rsidRPr="00402E6B">
        <w:rPr>
          <w:rFonts w:eastAsia="Times New Roman" w:cs="Arial"/>
          <w:color w:val="000000"/>
          <w:lang w:val="en-US"/>
        </w:rPr>
        <w:t>mg</w:t>
      </w:r>
      <w:r w:rsidRPr="00402E6B">
        <w:rPr>
          <w:rFonts w:eastAsia="Times New Roman" w:cs="Arial"/>
          <w:color w:val="000000"/>
          <w:lang w:val="ru-RU"/>
        </w:rPr>
        <w:t xml:space="preserve"> </w:t>
      </w:r>
      <w:r w:rsidRPr="00402E6B">
        <w:rPr>
          <w:rFonts w:eastAsia="Times New Roman" w:cs="Arial"/>
          <w:color w:val="000000"/>
          <w:lang w:eastAsia="bg-BG"/>
        </w:rPr>
        <w:t xml:space="preserve">на ден), литий (серумни нива от 0,8 до 1,1 </w:t>
      </w:r>
      <w:r w:rsidRPr="00402E6B">
        <w:rPr>
          <w:rFonts w:eastAsia="Times New Roman" w:cs="Arial"/>
          <w:color w:val="000000"/>
          <w:lang w:val="en-US"/>
        </w:rPr>
        <w:t>mmol</w:t>
      </w:r>
      <w:r w:rsidRPr="00402E6B">
        <w:rPr>
          <w:rFonts w:eastAsia="Times New Roman" w:cs="Arial"/>
          <w:color w:val="000000"/>
          <w:lang w:val="ru-RU"/>
        </w:rPr>
        <w:t xml:space="preserve">/1) </w:t>
      </w:r>
      <w:r w:rsidRPr="00402E6B">
        <w:rPr>
          <w:rFonts w:eastAsia="Times New Roman" w:cs="Arial"/>
          <w:color w:val="000000"/>
          <w:lang w:eastAsia="bg-BG"/>
        </w:rPr>
        <w:lastRenderedPageBreak/>
        <w:t xml:space="preserve">или плацебо за максимум 76 седмици (18 месеца). Първичната крайна точка е била "Време до намеса при епизод на промяна на настроението </w:t>
      </w:r>
      <w:r w:rsidRPr="00402E6B">
        <w:rPr>
          <w:rFonts w:eastAsia="Times New Roman" w:cs="Arial"/>
          <w:color w:val="000000"/>
          <w:lang w:val="ru-RU"/>
        </w:rPr>
        <w:t>(</w:t>
      </w:r>
      <w:r w:rsidRPr="00402E6B">
        <w:rPr>
          <w:rFonts w:eastAsia="Times New Roman" w:cs="Arial"/>
          <w:color w:val="000000"/>
          <w:lang w:val="en-US"/>
        </w:rPr>
        <w:t>TIME</w:t>
      </w:r>
      <w:r w:rsidRPr="00402E6B">
        <w:rPr>
          <w:rFonts w:eastAsia="Times New Roman" w:cs="Arial"/>
          <w:color w:val="000000"/>
          <w:lang w:val="ru-RU"/>
        </w:rPr>
        <w:t xml:space="preserve">)", </w:t>
      </w:r>
      <w:r w:rsidRPr="00402E6B">
        <w:rPr>
          <w:rFonts w:eastAsia="Times New Roman" w:cs="Arial"/>
          <w:color w:val="000000"/>
          <w:lang w:eastAsia="bg-BG"/>
        </w:rPr>
        <w:t xml:space="preserve">където намесите са допълнителна лекарствена терапия или електроконвулсивна терапия (ЕКТ). Проучването </w:t>
      </w:r>
      <w:r w:rsidRPr="00402E6B">
        <w:rPr>
          <w:rFonts w:eastAsia="Times New Roman" w:cs="Arial"/>
          <w:color w:val="000000"/>
          <w:lang w:val="en-US"/>
        </w:rPr>
        <w:t>SCAB</w:t>
      </w:r>
      <w:r w:rsidRPr="00402E6B">
        <w:rPr>
          <w:rFonts w:eastAsia="Times New Roman" w:cs="Arial"/>
          <w:color w:val="000000"/>
          <w:lang w:eastAsia="bg-BG"/>
        </w:rPr>
        <w:t xml:space="preserve">2006 е било с подобен дизайн като проучването </w:t>
      </w:r>
      <w:r w:rsidRPr="00402E6B">
        <w:rPr>
          <w:rFonts w:eastAsia="Times New Roman" w:cs="Arial"/>
          <w:color w:val="000000"/>
          <w:lang w:val="en-US"/>
        </w:rPr>
        <w:t>SCAB</w:t>
      </w:r>
      <w:r w:rsidRPr="00402E6B">
        <w:rPr>
          <w:rFonts w:eastAsia="Times New Roman" w:cs="Arial"/>
          <w:color w:val="000000"/>
          <w:lang w:val="ru-RU"/>
        </w:rPr>
        <w:t xml:space="preserve">2003, </w:t>
      </w:r>
      <w:r w:rsidRPr="00402E6B">
        <w:rPr>
          <w:rFonts w:eastAsia="Times New Roman" w:cs="Arial"/>
          <w:color w:val="000000"/>
          <w:lang w:eastAsia="bg-BG"/>
        </w:rPr>
        <w:t xml:space="preserve">но се различава от </w:t>
      </w:r>
      <w:r w:rsidRPr="00402E6B">
        <w:rPr>
          <w:rFonts w:eastAsia="Times New Roman" w:cs="Arial"/>
          <w:color w:val="000000"/>
          <w:lang w:val="en-US"/>
        </w:rPr>
        <w:t>SCAB</w:t>
      </w:r>
      <w:r w:rsidRPr="00402E6B">
        <w:rPr>
          <w:rFonts w:eastAsia="Times New Roman" w:cs="Arial"/>
          <w:color w:val="000000"/>
          <w:lang w:val="ru-RU"/>
        </w:rPr>
        <w:t xml:space="preserve">2003 </w:t>
      </w:r>
      <w:r w:rsidRPr="00402E6B">
        <w:rPr>
          <w:rFonts w:eastAsia="Times New Roman" w:cs="Arial"/>
          <w:color w:val="000000"/>
          <w:lang w:eastAsia="bg-BG"/>
        </w:rPr>
        <w:t xml:space="preserve">по оценката на флексибилна доза ламотрижин (100 до 400 </w:t>
      </w:r>
      <w:r w:rsidRPr="00402E6B">
        <w:rPr>
          <w:rFonts w:eastAsia="Times New Roman" w:cs="Arial"/>
          <w:color w:val="000000"/>
          <w:lang w:val="en-US"/>
        </w:rPr>
        <w:t>mg</w:t>
      </w:r>
      <w:r w:rsidRPr="00402E6B">
        <w:rPr>
          <w:rFonts w:eastAsia="Times New Roman" w:cs="Arial"/>
          <w:color w:val="000000"/>
          <w:lang w:eastAsia="bg-BG"/>
        </w:rPr>
        <w:t>/ден) и включва пациенти с биполярно тип I разстройство, които са имали наскоро или в момента са в маниен епизод. Резултатите са представени в Таблица 7.</w:t>
      </w:r>
    </w:p>
    <w:p w14:paraId="1BF8C9F1" w14:textId="77777777" w:rsidR="00402E6B" w:rsidRPr="00402E6B" w:rsidRDefault="00402E6B" w:rsidP="00402E6B">
      <w:pPr>
        <w:spacing w:line="240" w:lineRule="auto"/>
        <w:rPr>
          <w:rFonts w:eastAsia="Times New Roman" w:cs="Arial"/>
          <w:i/>
          <w:iCs/>
          <w:color w:val="000000"/>
          <w:u w:val="single"/>
          <w:lang w:eastAsia="bg-BG"/>
        </w:rPr>
      </w:pPr>
    </w:p>
    <w:p w14:paraId="1CD1EA31" w14:textId="3C120FE6" w:rsidR="00402E6B" w:rsidRPr="00402E6B" w:rsidRDefault="00402E6B" w:rsidP="00402E6B">
      <w:pPr>
        <w:spacing w:line="240" w:lineRule="auto"/>
        <w:rPr>
          <w:rFonts w:eastAsia="Times New Roman" w:cs="Arial"/>
          <w:sz w:val="24"/>
          <w:szCs w:val="24"/>
        </w:rPr>
      </w:pPr>
      <w:r w:rsidRPr="00402E6B">
        <w:rPr>
          <w:rFonts w:eastAsia="Times New Roman" w:cs="Arial"/>
          <w:i/>
          <w:iCs/>
          <w:color w:val="000000"/>
          <w:u w:val="single"/>
          <w:lang w:eastAsia="bg-BG"/>
        </w:rPr>
        <w:t>Таблица 7: Резюме на резултатите от проучванията, изследващи ефикасността на ламотрижин при превенцията на епизоди на промяна на настроението при пациенти с биполярно тип /разстройство</w:t>
      </w:r>
    </w:p>
    <w:tbl>
      <w:tblPr>
        <w:tblStyle w:val="TableGrid"/>
        <w:tblW w:w="0" w:type="auto"/>
        <w:tblLook w:val="04A0" w:firstRow="1" w:lastRow="0" w:firstColumn="1" w:lastColumn="0" w:noHBand="0" w:noVBand="1"/>
      </w:tblPr>
      <w:tblGrid>
        <w:gridCol w:w="1860"/>
        <w:gridCol w:w="1162"/>
        <w:gridCol w:w="1153"/>
        <w:gridCol w:w="1264"/>
        <w:gridCol w:w="1494"/>
        <w:gridCol w:w="1153"/>
        <w:gridCol w:w="1264"/>
      </w:tblGrid>
      <w:tr w:rsidR="00402E6B" w14:paraId="2B9B56EA" w14:textId="77777777" w:rsidTr="00402E6B">
        <w:tc>
          <w:tcPr>
            <w:tcW w:w="9576" w:type="dxa"/>
            <w:gridSpan w:val="7"/>
          </w:tcPr>
          <w:p w14:paraId="092D5826" w14:textId="4081181A" w:rsidR="00402E6B" w:rsidRDefault="00402E6B" w:rsidP="00402E6B">
            <w:pPr>
              <w:spacing w:line="240" w:lineRule="auto"/>
              <w:jc w:val="center"/>
              <w:rPr>
                <w:rFonts w:ascii="Times New Roman" w:eastAsia="Times New Roman" w:hAnsi="Times New Roman" w:cs="Times New Roman"/>
                <w:sz w:val="24"/>
                <w:szCs w:val="24"/>
              </w:rPr>
            </w:pPr>
            <w:r>
              <w:rPr>
                <w:b/>
                <w:bCs/>
              </w:rPr>
              <w:t>‘Дял’ на пациентите без събитие на седмица 76</w:t>
            </w:r>
          </w:p>
        </w:tc>
      </w:tr>
      <w:tr w:rsidR="00402E6B" w14:paraId="3872BCCD" w14:textId="77777777" w:rsidTr="00402E6B">
        <w:tc>
          <w:tcPr>
            <w:tcW w:w="1860" w:type="dxa"/>
          </w:tcPr>
          <w:p w14:paraId="01620FD3" w14:textId="77777777" w:rsidR="00402E6B" w:rsidRDefault="00402E6B" w:rsidP="00402E6B">
            <w:pPr>
              <w:spacing w:line="240" w:lineRule="auto"/>
              <w:rPr>
                <w:rFonts w:ascii="Times New Roman" w:eastAsia="Times New Roman" w:hAnsi="Times New Roman" w:cs="Times New Roman"/>
                <w:sz w:val="24"/>
                <w:szCs w:val="24"/>
              </w:rPr>
            </w:pPr>
          </w:p>
        </w:tc>
        <w:tc>
          <w:tcPr>
            <w:tcW w:w="3720" w:type="dxa"/>
            <w:gridSpan w:val="3"/>
          </w:tcPr>
          <w:p w14:paraId="164BF79E" w14:textId="510F2030" w:rsidR="00402E6B" w:rsidRDefault="00402E6B" w:rsidP="00402E6B">
            <w:pPr>
              <w:spacing w:line="240" w:lineRule="auto"/>
              <w:rPr>
                <w:rFonts w:ascii="Times New Roman" w:eastAsia="Times New Roman" w:hAnsi="Times New Roman" w:cs="Times New Roman"/>
                <w:sz w:val="24"/>
                <w:szCs w:val="24"/>
              </w:rPr>
            </w:pPr>
            <w:r>
              <w:rPr>
                <w:b/>
                <w:bCs/>
              </w:rPr>
              <w:t xml:space="preserve">Проучване </w:t>
            </w:r>
            <w:r>
              <w:rPr>
                <w:b/>
                <w:bCs/>
                <w:lang w:val="en-US"/>
              </w:rPr>
              <w:t xml:space="preserve">SCAB2003 </w:t>
            </w:r>
            <w:r>
              <w:rPr>
                <w:b/>
                <w:bCs/>
              </w:rPr>
              <w:t>Биполярно I</w:t>
            </w:r>
          </w:p>
        </w:tc>
        <w:tc>
          <w:tcPr>
            <w:tcW w:w="3996" w:type="dxa"/>
            <w:gridSpan w:val="3"/>
          </w:tcPr>
          <w:p w14:paraId="2262841B" w14:textId="4C52B4CB" w:rsidR="00402E6B" w:rsidRDefault="00402E6B" w:rsidP="00402E6B">
            <w:pPr>
              <w:spacing w:line="240" w:lineRule="auto"/>
              <w:rPr>
                <w:rFonts w:ascii="Times New Roman" w:eastAsia="Times New Roman" w:hAnsi="Times New Roman" w:cs="Times New Roman"/>
                <w:sz w:val="24"/>
                <w:szCs w:val="24"/>
              </w:rPr>
            </w:pPr>
            <w:r>
              <w:rPr>
                <w:b/>
                <w:bCs/>
              </w:rPr>
              <w:t xml:space="preserve">Проучване </w:t>
            </w:r>
            <w:r>
              <w:rPr>
                <w:b/>
                <w:bCs/>
                <w:lang w:val="en-US"/>
              </w:rPr>
              <w:t xml:space="preserve">SCAB2006 </w:t>
            </w:r>
            <w:r>
              <w:rPr>
                <w:b/>
                <w:bCs/>
              </w:rPr>
              <w:t>БиполярноI</w:t>
            </w:r>
          </w:p>
        </w:tc>
      </w:tr>
      <w:tr w:rsidR="00402E6B" w14:paraId="76EA1DA8" w14:textId="77777777" w:rsidTr="00402E6B">
        <w:tc>
          <w:tcPr>
            <w:tcW w:w="1860" w:type="dxa"/>
          </w:tcPr>
          <w:p w14:paraId="24C1D8C5" w14:textId="3870C15B" w:rsidR="00402E6B" w:rsidRDefault="00402E6B" w:rsidP="00402E6B">
            <w:pPr>
              <w:spacing w:line="240" w:lineRule="auto"/>
              <w:rPr>
                <w:rFonts w:ascii="Times New Roman" w:eastAsia="Times New Roman" w:hAnsi="Times New Roman" w:cs="Times New Roman"/>
                <w:sz w:val="24"/>
                <w:szCs w:val="24"/>
              </w:rPr>
            </w:pPr>
            <w:r>
              <w:t>Критерий за включване</w:t>
            </w:r>
          </w:p>
        </w:tc>
        <w:tc>
          <w:tcPr>
            <w:tcW w:w="3720" w:type="dxa"/>
            <w:gridSpan w:val="3"/>
          </w:tcPr>
          <w:p w14:paraId="0B85E429" w14:textId="58B6A37D" w:rsidR="00402E6B" w:rsidRDefault="00402E6B" w:rsidP="00402E6B">
            <w:pPr>
              <w:spacing w:line="240" w:lineRule="auto"/>
              <w:rPr>
                <w:rFonts w:ascii="Times New Roman" w:eastAsia="Times New Roman" w:hAnsi="Times New Roman" w:cs="Times New Roman"/>
                <w:sz w:val="24"/>
                <w:szCs w:val="24"/>
              </w:rPr>
            </w:pPr>
            <w:r>
              <w:t>Голям депресивен епизод</w:t>
            </w:r>
          </w:p>
        </w:tc>
        <w:tc>
          <w:tcPr>
            <w:tcW w:w="3996" w:type="dxa"/>
            <w:gridSpan w:val="3"/>
          </w:tcPr>
          <w:p w14:paraId="72F332A0" w14:textId="71AACDAC" w:rsidR="00402E6B" w:rsidRDefault="00402E6B" w:rsidP="00402E6B">
            <w:pPr>
              <w:spacing w:line="240" w:lineRule="auto"/>
              <w:rPr>
                <w:rFonts w:ascii="Times New Roman" w:eastAsia="Times New Roman" w:hAnsi="Times New Roman" w:cs="Times New Roman"/>
                <w:sz w:val="24"/>
                <w:szCs w:val="24"/>
              </w:rPr>
            </w:pPr>
            <w:r>
              <w:t>Голям маниен епизод</w:t>
            </w:r>
          </w:p>
        </w:tc>
      </w:tr>
      <w:tr w:rsidR="00402E6B" w14:paraId="395061FC" w14:textId="77777777" w:rsidTr="00402E6B">
        <w:tc>
          <w:tcPr>
            <w:tcW w:w="1860" w:type="dxa"/>
          </w:tcPr>
          <w:p w14:paraId="0E80A7DA" w14:textId="77777777" w:rsidR="00402E6B" w:rsidRDefault="00402E6B" w:rsidP="00402E6B">
            <w:pPr>
              <w:spacing w:line="240" w:lineRule="auto"/>
              <w:rPr>
                <w:rFonts w:ascii="Times New Roman" w:eastAsia="Times New Roman" w:hAnsi="Times New Roman" w:cs="Times New Roman"/>
                <w:sz w:val="24"/>
                <w:szCs w:val="24"/>
              </w:rPr>
            </w:pPr>
          </w:p>
        </w:tc>
        <w:tc>
          <w:tcPr>
            <w:tcW w:w="1218" w:type="dxa"/>
          </w:tcPr>
          <w:p w14:paraId="78B4065F" w14:textId="34854824" w:rsidR="00402E6B" w:rsidRDefault="00402E6B" w:rsidP="00402E6B">
            <w:pPr>
              <w:spacing w:line="240" w:lineRule="auto"/>
              <w:rPr>
                <w:rFonts w:ascii="Times New Roman" w:eastAsia="Times New Roman" w:hAnsi="Times New Roman" w:cs="Times New Roman"/>
                <w:sz w:val="24"/>
                <w:szCs w:val="24"/>
              </w:rPr>
            </w:pPr>
            <w:r>
              <w:t>Ламог рижин</w:t>
            </w:r>
          </w:p>
        </w:tc>
        <w:tc>
          <w:tcPr>
            <w:tcW w:w="1212" w:type="dxa"/>
          </w:tcPr>
          <w:p w14:paraId="2D6562D9" w14:textId="782D6724" w:rsidR="00402E6B" w:rsidRDefault="00402E6B" w:rsidP="00402E6B">
            <w:pPr>
              <w:spacing w:line="240" w:lineRule="auto"/>
              <w:rPr>
                <w:rFonts w:ascii="Times New Roman" w:eastAsia="Times New Roman" w:hAnsi="Times New Roman" w:cs="Times New Roman"/>
                <w:sz w:val="24"/>
                <w:szCs w:val="24"/>
              </w:rPr>
            </w:pPr>
            <w:r>
              <w:t>Литий</w:t>
            </w:r>
          </w:p>
        </w:tc>
        <w:tc>
          <w:tcPr>
            <w:tcW w:w="1290" w:type="dxa"/>
          </w:tcPr>
          <w:p w14:paraId="258DEDE2" w14:textId="4D0BF1FF" w:rsidR="00402E6B" w:rsidRDefault="00402E6B" w:rsidP="00402E6B">
            <w:pPr>
              <w:spacing w:line="240" w:lineRule="auto"/>
              <w:rPr>
                <w:rFonts w:ascii="Times New Roman" w:eastAsia="Times New Roman" w:hAnsi="Times New Roman" w:cs="Times New Roman"/>
                <w:sz w:val="24"/>
                <w:szCs w:val="24"/>
              </w:rPr>
            </w:pPr>
            <w:r>
              <w:t>Плацебо</w:t>
            </w:r>
          </w:p>
        </w:tc>
        <w:tc>
          <w:tcPr>
            <w:tcW w:w="1494" w:type="dxa"/>
          </w:tcPr>
          <w:p w14:paraId="50EBC2C7" w14:textId="619E1821" w:rsidR="00402E6B" w:rsidRDefault="00402E6B" w:rsidP="00402E6B">
            <w:pPr>
              <w:spacing w:line="240" w:lineRule="auto"/>
              <w:rPr>
                <w:rFonts w:ascii="Times New Roman" w:eastAsia="Times New Roman" w:hAnsi="Times New Roman" w:cs="Times New Roman"/>
                <w:sz w:val="24"/>
                <w:szCs w:val="24"/>
              </w:rPr>
            </w:pPr>
            <w:r>
              <w:t>Ламотрижин</w:t>
            </w:r>
          </w:p>
        </w:tc>
        <w:tc>
          <w:tcPr>
            <w:tcW w:w="1212" w:type="dxa"/>
          </w:tcPr>
          <w:p w14:paraId="7F9C37A9" w14:textId="0910A6AC" w:rsidR="00402E6B" w:rsidRDefault="00402E6B" w:rsidP="00402E6B">
            <w:pPr>
              <w:spacing w:line="240" w:lineRule="auto"/>
              <w:rPr>
                <w:rFonts w:ascii="Times New Roman" w:eastAsia="Times New Roman" w:hAnsi="Times New Roman" w:cs="Times New Roman"/>
                <w:sz w:val="24"/>
                <w:szCs w:val="24"/>
              </w:rPr>
            </w:pPr>
            <w:r>
              <w:t>Литий</w:t>
            </w:r>
          </w:p>
        </w:tc>
        <w:tc>
          <w:tcPr>
            <w:tcW w:w="1290" w:type="dxa"/>
          </w:tcPr>
          <w:p w14:paraId="271059C3" w14:textId="1DBB170A" w:rsidR="00402E6B" w:rsidRPr="00402E6B" w:rsidRDefault="00402E6B" w:rsidP="00402E6B">
            <w:r>
              <w:t>Плацебо</w:t>
            </w:r>
          </w:p>
        </w:tc>
      </w:tr>
      <w:tr w:rsidR="00402E6B" w14:paraId="33009038" w14:textId="77777777" w:rsidTr="00402E6B">
        <w:tc>
          <w:tcPr>
            <w:tcW w:w="1860" w:type="dxa"/>
          </w:tcPr>
          <w:p w14:paraId="5BCBD9B6" w14:textId="67EC664C" w:rsidR="00402E6B" w:rsidRDefault="00402E6B" w:rsidP="00402E6B">
            <w:pPr>
              <w:spacing w:line="240" w:lineRule="auto"/>
              <w:rPr>
                <w:rFonts w:ascii="Times New Roman" w:eastAsia="Times New Roman" w:hAnsi="Times New Roman" w:cs="Times New Roman"/>
                <w:sz w:val="24"/>
                <w:szCs w:val="24"/>
              </w:rPr>
            </w:pPr>
            <w:r>
              <w:t>Без намеса</w:t>
            </w:r>
          </w:p>
        </w:tc>
        <w:tc>
          <w:tcPr>
            <w:tcW w:w="1218" w:type="dxa"/>
          </w:tcPr>
          <w:p w14:paraId="366BFACD" w14:textId="731D5C87" w:rsidR="00402E6B" w:rsidRDefault="00402E6B" w:rsidP="00402E6B">
            <w:pPr>
              <w:spacing w:line="240" w:lineRule="auto"/>
              <w:rPr>
                <w:rFonts w:ascii="Times New Roman" w:eastAsia="Times New Roman" w:hAnsi="Times New Roman" w:cs="Times New Roman"/>
                <w:sz w:val="24"/>
                <w:szCs w:val="24"/>
              </w:rPr>
            </w:pPr>
            <w:r>
              <w:t>0,22</w:t>
            </w:r>
          </w:p>
        </w:tc>
        <w:tc>
          <w:tcPr>
            <w:tcW w:w="1212" w:type="dxa"/>
          </w:tcPr>
          <w:p w14:paraId="67816296" w14:textId="4873AEF6" w:rsidR="00402E6B" w:rsidRDefault="00402E6B" w:rsidP="00402E6B">
            <w:pPr>
              <w:spacing w:line="240" w:lineRule="auto"/>
              <w:rPr>
                <w:rFonts w:ascii="Times New Roman" w:eastAsia="Times New Roman" w:hAnsi="Times New Roman" w:cs="Times New Roman"/>
                <w:sz w:val="24"/>
                <w:szCs w:val="24"/>
              </w:rPr>
            </w:pPr>
            <w:r>
              <w:t>0,21</w:t>
            </w:r>
          </w:p>
        </w:tc>
        <w:tc>
          <w:tcPr>
            <w:tcW w:w="1290" w:type="dxa"/>
          </w:tcPr>
          <w:p w14:paraId="69B005B5" w14:textId="190C0064" w:rsidR="00402E6B" w:rsidRDefault="00402E6B" w:rsidP="00402E6B">
            <w:pPr>
              <w:spacing w:line="240" w:lineRule="auto"/>
              <w:rPr>
                <w:rFonts w:ascii="Times New Roman" w:eastAsia="Times New Roman" w:hAnsi="Times New Roman" w:cs="Times New Roman"/>
                <w:sz w:val="24"/>
                <w:szCs w:val="24"/>
              </w:rPr>
            </w:pPr>
            <w:r>
              <w:t>0,12</w:t>
            </w:r>
          </w:p>
        </w:tc>
        <w:tc>
          <w:tcPr>
            <w:tcW w:w="1494" w:type="dxa"/>
          </w:tcPr>
          <w:p w14:paraId="20D7DC34" w14:textId="7C77BAD1" w:rsidR="00402E6B" w:rsidRDefault="00402E6B" w:rsidP="00402E6B">
            <w:pPr>
              <w:spacing w:line="240" w:lineRule="auto"/>
              <w:rPr>
                <w:rFonts w:ascii="Times New Roman" w:eastAsia="Times New Roman" w:hAnsi="Times New Roman" w:cs="Times New Roman"/>
                <w:sz w:val="24"/>
                <w:szCs w:val="24"/>
              </w:rPr>
            </w:pPr>
            <w:r>
              <w:t>0,17</w:t>
            </w:r>
          </w:p>
        </w:tc>
        <w:tc>
          <w:tcPr>
            <w:tcW w:w="1212" w:type="dxa"/>
          </w:tcPr>
          <w:p w14:paraId="14277C81" w14:textId="1846D080" w:rsidR="00402E6B" w:rsidRDefault="00402E6B" w:rsidP="00402E6B">
            <w:pPr>
              <w:spacing w:line="240" w:lineRule="auto"/>
              <w:rPr>
                <w:rFonts w:ascii="Times New Roman" w:eastAsia="Times New Roman" w:hAnsi="Times New Roman" w:cs="Times New Roman"/>
                <w:sz w:val="24"/>
                <w:szCs w:val="24"/>
              </w:rPr>
            </w:pPr>
            <w:r>
              <w:t>0,24</w:t>
            </w:r>
          </w:p>
        </w:tc>
        <w:tc>
          <w:tcPr>
            <w:tcW w:w="1290" w:type="dxa"/>
          </w:tcPr>
          <w:p w14:paraId="49E00A86" w14:textId="6FB9799E" w:rsidR="00402E6B" w:rsidRDefault="00402E6B" w:rsidP="00402E6B">
            <w:pPr>
              <w:spacing w:line="240" w:lineRule="auto"/>
              <w:rPr>
                <w:rFonts w:ascii="Times New Roman" w:eastAsia="Times New Roman" w:hAnsi="Times New Roman" w:cs="Times New Roman"/>
                <w:sz w:val="24"/>
                <w:szCs w:val="24"/>
              </w:rPr>
            </w:pPr>
            <w:r>
              <w:t>0,04</w:t>
            </w:r>
          </w:p>
        </w:tc>
      </w:tr>
      <w:tr w:rsidR="00402E6B" w14:paraId="731F48E0" w14:textId="77777777" w:rsidTr="00402E6B">
        <w:tc>
          <w:tcPr>
            <w:tcW w:w="1860" w:type="dxa"/>
          </w:tcPr>
          <w:p w14:paraId="397B884D" w14:textId="77777777" w:rsidR="00402E6B" w:rsidRDefault="00402E6B" w:rsidP="00402E6B">
            <w:r>
              <w:t>р-стойност</w:t>
            </w:r>
          </w:p>
          <w:p w14:paraId="37A99082" w14:textId="5328CD02" w:rsidR="00402E6B" w:rsidRDefault="00402E6B" w:rsidP="00402E6B">
            <w:pPr>
              <w:spacing w:line="240" w:lineRule="auto"/>
              <w:rPr>
                <w:rFonts w:ascii="Times New Roman" w:eastAsia="Times New Roman" w:hAnsi="Times New Roman" w:cs="Times New Roman"/>
                <w:sz w:val="24"/>
                <w:szCs w:val="24"/>
              </w:rPr>
            </w:pPr>
            <w:r>
              <w:t xml:space="preserve">логаритмично трансформиран ренков тест </w:t>
            </w:r>
            <w:r w:rsidRPr="00402E6B">
              <w:rPr>
                <w:lang w:val="ru-RU"/>
              </w:rPr>
              <w:t>(</w:t>
            </w:r>
            <w:r>
              <w:rPr>
                <w:lang w:val="en-US"/>
              </w:rPr>
              <w:t>log</w:t>
            </w:r>
            <w:r w:rsidRPr="00402E6B">
              <w:rPr>
                <w:lang w:val="ru-RU"/>
              </w:rPr>
              <w:t xml:space="preserve"> </w:t>
            </w:r>
            <w:r>
              <w:rPr>
                <w:lang w:val="en-US"/>
              </w:rPr>
              <w:t>rank</w:t>
            </w:r>
            <w:r w:rsidRPr="00402E6B">
              <w:rPr>
                <w:lang w:val="ru-RU"/>
              </w:rPr>
              <w:t xml:space="preserve"> </w:t>
            </w:r>
            <w:r>
              <w:rPr>
                <w:lang w:val="en-US"/>
              </w:rPr>
              <w:t>test</w:t>
            </w:r>
            <w:r w:rsidRPr="00402E6B">
              <w:rPr>
                <w:lang w:val="ru-RU"/>
              </w:rPr>
              <w:t>)</w:t>
            </w:r>
          </w:p>
        </w:tc>
        <w:tc>
          <w:tcPr>
            <w:tcW w:w="1218" w:type="dxa"/>
          </w:tcPr>
          <w:p w14:paraId="7F198EBC" w14:textId="5F4DBA2A" w:rsidR="00402E6B" w:rsidRDefault="00402E6B" w:rsidP="00402E6B">
            <w:pPr>
              <w:spacing w:line="240" w:lineRule="auto"/>
              <w:rPr>
                <w:rFonts w:ascii="Times New Roman" w:eastAsia="Times New Roman" w:hAnsi="Times New Roman" w:cs="Times New Roman"/>
                <w:sz w:val="24"/>
                <w:szCs w:val="24"/>
              </w:rPr>
            </w:pPr>
            <w:r>
              <w:t>0,004</w:t>
            </w:r>
          </w:p>
        </w:tc>
        <w:tc>
          <w:tcPr>
            <w:tcW w:w="1212" w:type="dxa"/>
          </w:tcPr>
          <w:p w14:paraId="1285B564" w14:textId="43EBC170" w:rsidR="00402E6B" w:rsidRDefault="00402E6B" w:rsidP="00402E6B">
            <w:pPr>
              <w:spacing w:line="240" w:lineRule="auto"/>
              <w:rPr>
                <w:rFonts w:ascii="Times New Roman" w:eastAsia="Times New Roman" w:hAnsi="Times New Roman" w:cs="Times New Roman"/>
                <w:sz w:val="24"/>
                <w:szCs w:val="24"/>
              </w:rPr>
            </w:pPr>
            <w:r>
              <w:t>0,006</w:t>
            </w:r>
          </w:p>
        </w:tc>
        <w:tc>
          <w:tcPr>
            <w:tcW w:w="1290" w:type="dxa"/>
          </w:tcPr>
          <w:p w14:paraId="2E8C70CE"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5CD06082" w14:textId="4668B9E8" w:rsidR="00402E6B" w:rsidRDefault="00402E6B" w:rsidP="00402E6B">
            <w:pPr>
              <w:spacing w:line="240" w:lineRule="auto"/>
              <w:rPr>
                <w:rFonts w:ascii="Times New Roman" w:eastAsia="Times New Roman" w:hAnsi="Times New Roman" w:cs="Times New Roman"/>
                <w:sz w:val="24"/>
                <w:szCs w:val="24"/>
              </w:rPr>
            </w:pPr>
            <w:r>
              <w:t>0,023</w:t>
            </w:r>
          </w:p>
        </w:tc>
        <w:tc>
          <w:tcPr>
            <w:tcW w:w="1212" w:type="dxa"/>
          </w:tcPr>
          <w:p w14:paraId="4113349E" w14:textId="3AB0D96A" w:rsidR="00402E6B" w:rsidRDefault="00402E6B" w:rsidP="00402E6B">
            <w:pPr>
              <w:spacing w:line="240" w:lineRule="auto"/>
              <w:rPr>
                <w:rFonts w:ascii="Times New Roman" w:eastAsia="Times New Roman" w:hAnsi="Times New Roman" w:cs="Times New Roman"/>
                <w:sz w:val="24"/>
                <w:szCs w:val="24"/>
              </w:rPr>
            </w:pPr>
            <w:r>
              <w:t>0,006</w:t>
            </w:r>
          </w:p>
        </w:tc>
        <w:tc>
          <w:tcPr>
            <w:tcW w:w="1290" w:type="dxa"/>
          </w:tcPr>
          <w:p w14:paraId="18D65FA0" w14:textId="77777777" w:rsidR="00402E6B" w:rsidRDefault="00402E6B" w:rsidP="00402E6B">
            <w:pPr>
              <w:spacing w:line="240" w:lineRule="auto"/>
              <w:rPr>
                <w:rFonts w:ascii="Times New Roman" w:eastAsia="Times New Roman" w:hAnsi="Times New Roman" w:cs="Times New Roman"/>
                <w:sz w:val="24"/>
                <w:szCs w:val="24"/>
              </w:rPr>
            </w:pPr>
          </w:p>
        </w:tc>
      </w:tr>
      <w:tr w:rsidR="00402E6B" w14:paraId="7CF09C14" w14:textId="77777777" w:rsidTr="00402E6B">
        <w:tc>
          <w:tcPr>
            <w:tcW w:w="1860" w:type="dxa"/>
          </w:tcPr>
          <w:p w14:paraId="123BABB8" w14:textId="77777777" w:rsidR="00402E6B" w:rsidRDefault="00402E6B" w:rsidP="00402E6B">
            <w:pPr>
              <w:spacing w:line="240" w:lineRule="auto"/>
              <w:rPr>
                <w:rFonts w:ascii="Times New Roman" w:eastAsia="Times New Roman" w:hAnsi="Times New Roman" w:cs="Times New Roman"/>
                <w:sz w:val="24"/>
                <w:szCs w:val="24"/>
              </w:rPr>
            </w:pPr>
          </w:p>
        </w:tc>
        <w:tc>
          <w:tcPr>
            <w:tcW w:w="1218" w:type="dxa"/>
          </w:tcPr>
          <w:p w14:paraId="16376C84" w14:textId="77777777" w:rsidR="00402E6B" w:rsidRDefault="00402E6B" w:rsidP="00402E6B">
            <w:pPr>
              <w:spacing w:line="240" w:lineRule="auto"/>
              <w:rPr>
                <w:rFonts w:ascii="Times New Roman" w:eastAsia="Times New Roman" w:hAnsi="Times New Roman" w:cs="Times New Roman"/>
                <w:sz w:val="24"/>
                <w:szCs w:val="24"/>
              </w:rPr>
            </w:pPr>
          </w:p>
        </w:tc>
        <w:tc>
          <w:tcPr>
            <w:tcW w:w="1212" w:type="dxa"/>
          </w:tcPr>
          <w:p w14:paraId="674AC00B" w14:textId="77777777" w:rsidR="00402E6B" w:rsidRDefault="00402E6B" w:rsidP="00402E6B">
            <w:pPr>
              <w:spacing w:line="240" w:lineRule="auto"/>
              <w:rPr>
                <w:rFonts w:ascii="Times New Roman" w:eastAsia="Times New Roman" w:hAnsi="Times New Roman" w:cs="Times New Roman"/>
                <w:sz w:val="24"/>
                <w:szCs w:val="24"/>
              </w:rPr>
            </w:pPr>
          </w:p>
        </w:tc>
        <w:tc>
          <w:tcPr>
            <w:tcW w:w="1290" w:type="dxa"/>
          </w:tcPr>
          <w:p w14:paraId="39B659C3"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239E59AB" w14:textId="77777777" w:rsidR="00402E6B" w:rsidRDefault="00402E6B" w:rsidP="00402E6B">
            <w:pPr>
              <w:spacing w:line="240" w:lineRule="auto"/>
              <w:rPr>
                <w:rFonts w:ascii="Times New Roman" w:eastAsia="Times New Roman" w:hAnsi="Times New Roman" w:cs="Times New Roman"/>
                <w:sz w:val="24"/>
                <w:szCs w:val="24"/>
              </w:rPr>
            </w:pPr>
          </w:p>
        </w:tc>
        <w:tc>
          <w:tcPr>
            <w:tcW w:w="1212" w:type="dxa"/>
          </w:tcPr>
          <w:p w14:paraId="0CE2C812" w14:textId="77777777" w:rsidR="00402E6B" w:rsidRDefault="00402E6B" w:rsidP="00402E6B">
            <w:pPr>
              <w:spacing w:line="240" w:lineRule="auto"/>
              <w:rPr>
                <w:rFonts w:ascii="Times New Roman" w:eastAsia="Times New Roman" w:hAnsi="Times New Roman" w:cs="Times New Roman"/>
                <w:sz w:val="24"/>
                <w:szCs w:val="24"/>
              </w:rPr>
            </w:pPr>
          </w:p>
        </w:tc>
        <w:tc>
          <w:tcPr>
            <w:tcW w:w="1290" w:type="dxa"/>
          </w:tcPr>
          <w:p w14:paraId="732210EF" w14:textId="77777777" w:rsidR="00402E6B" w:rsidRDefault="00402E6B" w:rsidP="00402E6B">
            <w:pPr>
              <w:spacing w:line="240" w:lineRule="auto"/>
              <w:rPr>
                <w:rFonts w:ascii="Times New Roman" w:eastAsia="Times New Roman" w:hAnsi="Times New Roman" w:cs="Times New Roman"/>
                <w:sz w:val="24"/>
                <w:szCs w:val="24"/>
              </w:rPr>
            </w:pPr>
          </w:p>
        </w:tc>
      </w:tr>
      <w:tr w:rsidR="00402E6B" w14:paraId="386AF408" w14:textId="77777777" w:rsidTr="00402E6B">
        <w:tc>
          <w:tcPr>
            <w:tcW w:w="1860" w:type="dxa"/>
          </w:tcPr>
          <w:p w14:paraId="35A0A3D4" w14:textId="2D919312" w:rsidR="00402E6B" w:rsidRDefault="00402E6B" w:rsidP="00402E6B">
            <w:pPr>
              <w:spacing w:line="240" w:lineRule="auto"/>
              <w:rPr>
                <w:rFonts w:ascii="Times New Roman" w:eastAsia="Times New Roman" w:hAnsi="Times New Roman" w:cs="Times New Roman"/>
                <w:sz w:val="24"/>
                <w:szCs w:val="24"/>
              </w:rPr>
            </w:pPr>
            <w:r>
              <w:t>Без депресия</w:t>
            </w:r>
          </w:p>
        </w:tc>
        <w:tc>
          <w:tcPr>
            <w:tcW w:w="1218" w:type="dxa"/>
          </w:tcPr>
          <w:p w14:paraId="6EB9B987" w14:textId="44C3F208" w:rsidR="00402E6B" w:rsidRDefault="00402E6B" w:rsidP="00402E6B">
            <w:pPr>
              <w:spacing w:line="240" w:lineRule="auto"/>
              <w:rPr>
                <w:rFonts w:ascii="Times New Roman" w:eastAsia="Times New Roman" w:hAnsi="Times New Roman" w:cs="Times New Roman"/>
                <w:sz w:val="24"/>
                <w:szCs w:val="24"/>
              </w:rPr>
            </w:pPr>
            <w:r>
              <w:t>0,51</w:t>
            </w:r>
          </w:p>
        </w:tc>
        <w:tc>
          <w:tcPr>
            <w:tcW w:w="1212" w:type="dxa"/>
          </w:tcPr>
          <w:p w14:paraId="660F751D" w14:textId="2C28E43D" w:rsidR="00402E6B" w:rsidRDefault="00402E6B" w:rsidP="00402E6B">
            <w:pPr>
              <w:spacing w:line="240" w:lineRule="auto"/>
              <w:rPr>
                <w:rFonts w:ascii="Times New Roman" w:eastAsia="Times New Roman" w:hAnsi="Times New Roman" w:cs="Times New Roman"/>
                <w:sz w:val="24"/>
                <w:szCs w:val="24"/>
              </w:rPr>
            </w:pPr>
            <w:r>
              <w:t>0,46</w:t>
            </w:r>
          </w:p>
        </w:tc>
        <w:tc>
          <w:tcPr>
            <w:tcW w:w="1290" w:type="dxa"/>
          </w:tcPr>
          <w:p w14:paraId="7A0CCA26" w14:textId="37C8CF01" w:rsidR="00402E6B" w:rsidRDefault="00402E6B" w:rsidP="00402E6B">
            <w:pPr>
              <w:spacing w:line="240" w:lineRule="auto"/>
              <w:rPr>
                <w:rFonts w:ascii="Times New Roman" w:eastAsia="Times New Roman" w:hAnsi="Times New Roman" w:cs="Times New Roman"/>
                <w:sz w:val="24"/>
                <w:szCs w:val="24"/>
              </w:rPr>
            </w:pPr>
            <w:r>
              <w:t>0,41</w:t>
            </w:r>
          </w:p>
        </w:tc>
        <w:tc>
          <w:tcPr>
            <w:tcW w:w="1494" w:type="dxa"/>
          </w:tcPr>
          <w:p w14:paraId="57B4143B" w14:textId="2DBA20D9" w:rsidR="00402E6B" w:rsidRDefault="00402E6B" w:rsidP="00402E6B">
            <w:pPr>
              <w:spacing w:line="240" w:lineRule="auto"/>
              <w:rPr>
                <w:rFonts w:ascii="Times New Roman" w:eastAsia="Times New Roman" w:hAnsi="Times New Roman" w:cs="Times New Roman"/>
                <w:sz w:val="24"/>
                <w:szCs w:val="24"/>
              </w:rPr>
            </w:pPr>
            <w:r>
              <w:t>0,82</w:t>
            </w:r>
          </w:p>
        </w:tc>
        <w:tc>
          <w:tcPr>
            <w:tcW w:w="1212" w:type="dxa"/>
          </w:tcPr>
          <w:p w14:paraId="32790229" w14:textId="588AE33F" w:rsidR="00402E6B" w:rsidRDefault="00402E6B" w:rsidP="00402E6B">
            <w:pPr>
              <w:spacing w:line="240" w:lineRule="auto"/>
              <w:rPr>
                <w:rFonts w:ascii="Times New Roman" w:eastAsia="Times New Roman" w:hAnsi="Times New Roman" w:cs="Times New Roman"/>
                <w:sz w:val="24"/>
                <w:szCs w:val="24"/>
              </w:rPr>
            </w:pPr>
            <w:r>
              <w:t>0,71</w:t>
            </w:r>
          </w:p>
        </w:tc>
        <w:tc>
          <w:tcPr>
            <w:tcW w:w="1290" w:type="dxa"/>
          </w:tcPr>
          <w:p w14:paraId="6754B9DB" w14:textId="633CCD7D" w:rsidR="00402E6B" w:rsidRDefault="00402E6B" w:rsidP="00402E6B">
            <w:pPr>
              <w:spacing w:line="240" w:lineRule="auto"/>
              <w:rPr>
                <w:rFonts w:ascii="Times New Roman" w:eastAsia="Times New Roman" w:hAnsi="Times New Roman" w:cs="Times New Roman"/>
                <w:sz w:val="24"/>
                <w:szCs w:val="24"/>
              </w:rPr>
            </w:pPr>
            <w:r>
              <w:t>0,40</w:t>
            </w:r>
          </w:p>
        </w:tc>
      </w:tr>
      <w:tr w:rsidR="00402E6B" w14:paraId="2B876683" w14:textId="77777777" w:rsidTr="00402E6B">
        <w:tc>
          <w:tcPr>
            <w:tcW w:w="1860" w:type="dxa"/>
          </w:tcPr>
          <w:p w14:paraId="7A2098D7" w14:textId="2EA419F0" w:rsidR="00402E6B" w:rsidRDefault="00402E6B" w:rsidP="00402E6B">
            <w:pPr>
              <w:spacing w:line="240" w:lineRule="auto"/>
              <w:rPr>
                <w:rFonts w:ascii="Times New Roman" w:eastAsia="Times New Roman" w:hAnsi="Times New Roman" w:cs="Times New Roman"/>
                <w:sz w:val="24"/>
                <w:szCs w:val="24"/>
              </w:rPr>
            </w:pPr>
            <w:r>
              <w:t xml:space="preserve">р-стойност логаритмично трансформиран ренков тест </w:t>
            </w:r>
            <w:r w:rsidRPr="00402E6B">
              <w:rPr>
                <w:lang w:val="ru-RU"/>
              </w:rPr>
              <w:t>(</w:t>
            </w:r>
            <w:r>
              <w:rPr>
                <w:lang w:val="en-US"/>
              </w:rPr>
              <w:t>log</w:t>
            </w:r>
            <w:r w:rsidRPr="00402E6B">
              <w:rPr>
                <w:lang w:val="ru-RU"/>
              </w:rPr>
              <w:t xml:space="preserve"> </w:t>
            </w:r>
            <w:r>
              <w:rPr>
                <w:lang w:val="en-US"/>
              </w:rPr>
              <w:t>rank</w:t>
            </w:r>
            <w:r w:rsidRPr="00402E6B">
              <w:rPr>
                <w:lang w:val="ru-RU"/>
              </w:rPr>
              <w:t xml:space="preserve"> </w:t>
            </w:r>
            <w:r>
              <w:rPr>
                <w:lang w:val="en-US"/>
              </w:rPr>
              <w:t>test</w:t>
            </w:r>
            <w:r w:rsidRPr="00402E6B">
              <w:rPr>
                <w:lang w:val="ru-RU"/>
              </w:rPr>
              <w:t>)</w:t>
            </w:r>
          </w:p>
        </w:tc>
        <w:tc>
          <w:tcPr>
            <w:tcW w:w="1218" w:type="dxa"/>
          </w:tcPr>
          <w:p w14:paraId="4F946A50" w14:textId="6883EABF" w:rsidR="00402E6B" w:rsidRDefault="00402E6B" w:rsidP="00402E6B">
            <w:pPr>
              <w:spacing w:line="240" w:lineRule="auto"/>
              <w:rPr>
                <w:rFonts w:ascii="Times New Roman" w:eastAsia="Times New Roman" w:hAnsi="Times New Roman" w:cs="Times New Roman"/>
                <w:sz w:val="24"/>
                <w:szCs w:val="24"/>
              </w:rPr>
            </w:pPr>
            <w:r>
              <w:t>0,047</w:t>
            </w:r>
          </w:p>
        </w:tc>
        <w:tc>
          <w:tcPr>
            <w:tcW w:w="1212" w:type="dxa"/>
          </w:tcPr>
          <w:p w14:paraId="0BBF62CC" w14:textId="27D18412" w:rsidR="00402E6B" w:rsidRDefault="00402E6B" w:rsidP="00402E6B">
            <w:pPr>
              <w:spacing w:line="240" w:lineRule="auto"/>
              <w:rPr>
                <w:rFonts w:ascii="Times New Roman" w:eastAsia="Times New Roman" w:hAnsi="Times New Roman" w:cs="Times New Roman"/>
                <w:sz w:val="24"/>
                <w:szCs w:val="24"/>
              </w:rPr>
            </w:pPr>
            <w:r>
              <w:t>6,209</w:t>
            </w:r>
          </w:p>
        </w:tc>
        <w:tc>
          <w:tcPr>
            <w:tcW w:w="1290" w:type="dxa"/>
          </w:tcPr>
          <w:p w14:paraId="483DD685"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075B7ED1" w14:textId="2BC4627C" w:rsidR="00402E6B" w:rsidRDefault="00402E6B" w:rsidP="00402E6B">
            <w:pPr>
              <w:spacing w:line="240" w:lineRule="auto"/>
              <w:rPr>
                <w:rFonts w:ascii="Times New Roman" w:eastAsia="Times New Roman" w:hAnsi="Times New Roman" w:cs="Times New Roman"/>
                <w:sz w:val="24"/>
                <w:szCs w:val="24"/>
              </w:rPr>
            </w:pPr>
            <w:r>
              <w:t>0,015</w:t>
            </w:r>
          </w:p>
        </w:tc>
        <w:tc>
          <w:tcPr>
            <w:tcW w:w="1212" w:type="dxa"/>
          </w:tcPr>
          <w:p w14:paraId="5C1CCAE0" w14:textId="2802EE83" w:rsidR="00402E6B" w:rsidRDefault="00402E6B" w:rsidP="00402E6B">
            <w:pPr>
              <w:spacing w:line="240" w:lineRule="auto"/>
              <w:rPr>
                <w:rFonts w:ascii="Times New Roman" w:eastAsia="Times New Roman" w:hAnsi="Times New Roman" w:cs="Times New Roman"/>
                <w:sz w:val="24"/>
                <w:szCs w:val="24"/>
              </w:rPr>
            </w:pPr>
            <w:r>
              <w:t>0,167</w:t>
            </w:r>
          </w:p>
        </w:tc>
        <w:tc>
          <w:tcPr>
            <w:tcW w:w="1290" w:type="dxa"/>
          </w:tcPr>
          <w:p w14:paraId="579FE0FE" w14:textId="77777777" w:rsidR="00402E6B" w:rsidRDefault="00402E6B" w:rsidP="00402E6B">
            <w:pPr>
              <w:spacing w:line="240" w:lineRule="auto"/>
              <w:rPr>
                <w:rFonts w:ascii="Times New Roman" w:eastAsia="Times New Roman" w:hAnsi="Times New Roman" w:cs="Times New Roman"/>
                <w:sz w:val="24"/>
                <w:szCs w:val="24"/>
              </w:rPr>
            </w:pPr>
          </w:p>
        </w:tc>
      </w:tr>
      <w:tr w:rsidR="00402E6B" w14:paraId="3B8F57CD" w14:textId="77777777" w:rsidTr="00402E6B">
        <w:tc>
          <w:tcPr>
            <w:tcW w:w="1860" w:type="dxa"/>
          </w:tcPr>
          <w:p w14:paraId="04747B32" w14:textId="77777777" w:rsidR="00402E6B" w:rsidRDefault="00402E6B" w:rsidP="00402E6B">
            <w:pPr>
              <w:spacing w:line="240" w:lineRule="auto"/>
              <w:rPr>
                <w:rFonts w:ascii="Times New Roman" w:eastAsia="Times New Roman" w:hAnsi="Times New Roman" w:cs="Times New Roman"/>
                <w:sz w:val="24"/>
                <w:szCs w:val="24"/>
              </w:rPr>
            </w:pPr>
          </w:p>
        </w:tc>
        <w:tc>
          <w:tcPr>
            <w:tcW w:w="1218" w:type="dxa"/>
          </w:tcPr>
          <w:p w14:paraId="03A6EB35" w14:textId="77777777" w:rsidR="00402E6B" w:rsidRDefault="00402E6B" w:rsidP="00402E6B">
            <w:pPr>
              <w:spacing w:line="240" w:lineRule="auto"/>
              <w:rPr>
                <w:rFonts w:ascii="Times New Roman" w:eastAsia="Times New Roman" w:hAnsi="Times New Roman" w:cs="Times New Roman"/>
                <w:sz w:val="24"/>
                <w:szCs w:val="24"/>
              </w:rPr>
            </w:pPr>
          </w:p>
        </w:tc>
        <w:tc>
          <w:tcPr>
            <w:tcW w:w="1212" w:type="dxa"/>
          </w:tcPr>
          <w:p w14:paraId="359A1304" w14:textId="77777777" w:rsidR="00402E6B" w:rsidRDefault="00402E6B" w:rsidP="00402E6B">
            <w:pPr>
              <w:spacing w:line="240" w:lineRule="auto"/>
              <w:rPr>
                <w:rFonts w:ascii="Times New Roman" w:eastAsia="Times New Roman" w:hAnsi="Times New Roman" w:cs="Times New Roman"/>
                <w:sz w:val="24"/>
                <w:szCs w:val="24"/>
              </w:rPr>
            </w:pPr>
          </w:p>
        </w:tc>
        <w:tc>
          <w:tcPr>
            <w:tcW w:w="1290" w:type="dxa"/>
          </w:tcPr>
          <w:p w14:paraId="72D85438"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7023EB64" w14:textId="77777777" w:rsidR="00402E6B" w:rsidRDefault="00402E6B" w:rsidP="00402E6B">
            <w:pPr>
              <w:spacing w:line="240" w:lineRule="auto"/>
              <w:rPr>
                <w:rFonts w:ascii="Times New Roman" w:eastAsia="Times New Roman" w:hAnsi="Times New Roman" w:cs="Times New Roman"/>
                <w:sz w:val="24"/>
                <w:szCs w:val="24"/>
              </w:rPr>
            </w:pPr>
          </w:p>
        </w:tc>
        <w:tc>
          <w:tcPr>
            <w:tcW w:w="1212" w:type="dxa"/>
          </w:tcPr>
          <w:p w14:paraId="2D0A4FB1" w14:textId="77777777" w:rsidR="00402E6B" w:rsidRDefault="00402E6B" w:rsidP="00402E6B">
            <w:pPr>
              <w:spacing w:line="240" w:lineRule="auto"/>
              <w:rPr>
                <w:rFonts w:ascii="Times New Roman" w:eastAsia="Times New Roman" w:hAnsi="Times New Roman" w:cs="Times New Roman"/>
                <w:sz w:val="24"/>
                <w:szCs w:val="24"/>
              </w:rPr>
            </w:pPr>
          </w:p>
        </w:tc>
        <w:tc>
          <w:tcPr>
            <w:tcW w:w="1290" w:type="dxa"/>
          </w:tcPr>
          <w:p w14:paraId="7FA01695" w14:textId="77777777" w:rsidR="00402E6B" w:rsidRDefault="00402E6B" w:rsidP="00402E6B">
            <w:pPr>
              <w:spacing w:line="240" w:lineRule="auto"/>
              <w:rPr>
                <w:rFonts w:ascii="Times New Roman" w:eastAsia="Times New Roman" w:hAnsi="Times New Roman" w:cs="Times New Roman"/>
                <w:sz w:val="24"/>
                <w:szCs w:val="24"/>
              </w:rPr>
            </w:pPr>
          </w:p>
        </w:tc>
      </w:tr>
      <w:tr w:rsidR="00402E6B" w14:paraId="34538270" w14:textId="77777777" w:rsidTr="00402E6B">
        <w:tc>
          <w:tcPr>
            <w:tcW w:w="1860" w:type="dxa"/>
          </w:tcPr>
          <w:p w14:paraId="05282F1D" w14:textId="1384EBAA" w:rsidR="00402E6B" w:rsidRDefault="00402E6B" w:rsidP="00402E6B">
            <w:pPr>
              <w:spacing w:line="240" w:lineRule="auto"/>
              <w:rPr>
                <w:rFonts w:ascii="Times New Roman" w:eastAsia="Times New Roman" w:hAnsi="Times New Roman" w:cs="Times New Roman"/>
                <w:sz w:val="24"/>
                <w:szCs w:val="24"/>
              </w:rPr>
            </w:pPr>
            <w:r>
              <w:t>Без мания</w:t>
            </w:r>
          </w:p>
        </w:tc>
        <w:tc>
          <w:tcPr>
            <w:tcW w:w="1218" w:type="dxa"/>
          </w:tcPr>
          <w:p w14:paraId="71A424A1" w14:textId="6D518497" w:rsidR="00402E6B" w:rsidRDefault="00402E6B" w:rsidP="00402E6B">
            <w:pPr>
              <w:spacing w:line="240" w:lineRule="auto"/>
              <w:rPr>
                <w:rFonts w:ascii="Times New Roman" w:eastAsia="Times New Roman" w:hAnsi="Times New Roman" w:cs="Times New Roman"/>
                <w:sz w:val="24"/>
                <w:szCs w:val="24"/>
              </w:rPr>
            </w:pPr>
            <w:r>
              <w:t>0,70</w:t>
            </w:r>
          </w:p>
        </w:tc>
        <w:tc>
          <w:tcPr>
            <w:tcW w:w="1212" w:type="dxa"/>
          </w:tcPr>
          <w:p w14:paraId="411E1E10" w14:textId="6B5878A8" w:rsidR="00402E6B" w:rsidRDefault="00402E6B" w:rsidP="00402E6B">
            <w:pPr>
              <w:spacing w:line="240" w:lineRule="auto"/>
              <w:rPr>
                <w:rFonts w:ascii="Times New Roman" w:eastAsia="Times New Roman" w:hAnsi="Times New Roman" w:cs="Times New Roman"/>
                <w:sz w:val="24"/>
                <w:szCs w:val="24"/>
              </w:rPr>
            </w:pPr>
            <w:r>
              <w:t>0,86</w:t>
            </w:r>
          </w:p>
        </w:tc>
        <w:tc>
          <w:tcPr>
            <w:tcW w:w="1290" w:type="dxa"/>
          </w:tcPr>
          <w:p w14:paraId="3B74231B" w14:textId="3C19C323" w:rsidR="00402E6B" w:rsidRDefault="00402E6B" w:rsidP="00402E6B">
            <w:pPr>
              <w:spacing w:line="240" w:lineRule="auto"/>
              <w:rPr>
                <w:rFonts w:ascii="Times New Roman" w:eastAsia="Times New Roman" w:hAnsi="Times New Roman" w:cs="Times New Roman"/>
                <w:sz w:val="24"/>
                <w:szCs w:val="24"/>
              </w:rPr>
            </w:pPr>
            <w:r>
              <w:t>0,67</w:t>
            </w:r>
          </w:p>
        </w:tc>
        <w:tc>
          <w:tcPr>
            <w:tcW w:w="1494" w:type="dxa"/>
          </w:tcPr>
          <w:p w14:paraId="71738DBC" w14:textId="435FE42A" w:rsidR="00402E6B" w:rsidRDefault="00402E6B" w:rsidP="00402E6B">
            <w:pPr>
              <w:spacing w:line="240" w:lineRule="auto"/>
              <w:rPr>
                <w:rFonts w:ascii="Times New Roman" w:eastAsia="Times New Roman" w:hAnsi="Times New Roman" w:cs="Times New Roman"/>
                <w:sz w:val="24"/>
                <w:szCs w:val="24"/>
              </w:rPr>
            </w:pPr>
            <w:r>
              <w:t>0,53</w:t>
            </w:r>
          </w:p>
        </w:tc>
        <w:tc>
          <w:tcPr>
            <w:tcW w:w="1212" w:type="dxa"/>
          </w:tcPr>
          <w:p w14:paraId="791157B6" w14:textId="50C0FFEA" w:rsidR="00402E6B" w:rsidRDefault="00402E6B" w:rsidP="00402E6B">
            <w:pPr>
              <w:spacing w:line="240" w:lineRule="auto"/>
              <w:rPr>
                <w:rFonts w:ascii="Times New Roman" w:eastAsia="Times New Roman" w:hAnsi="Times New Roman" w:cs="Times New Roman"/>
                <w:sz w:val="24"/>
                <w:szCs w:val="24"/>
              </w:rPr>
            </w:pPr>
            <w:r>
              <w:t>0,64</w:t>
            </w:r>
          </w:p>
        </w:tc>
        <w:tc>
          <w:tcPr>
            <w:tcW w:w="1290" w:type="dxa"/>
          </w:tcPr>
          <w:p w14:paraId="295EC90B" w14:textId="172699FD" w:rsidR="00402E6B" w:rsidRDefault="00402E6B" w:rsidP="00402E6B">
            <w:pPr>
              <w:spacing w:line="240" w:lineRule="auto"/>
              <w:rPr>
                <w:rFonts w:ascii="Times New Roman" w:eastAsia="Times New Roman" w:hAnsi="Times New Roman" w:cs="Times New Roman"/>
                <w:sz w:val="24"/>
                <w:szCs w:val="24"/>
              </w:rPr>
            </w:pPr>
            <w:r>
              <w:t>0,37</w:t>
            </w:r>
          </w:p>
        </w:tc>
      </w:tr>
      <w:tr w:rsidR="00402E6B" w14:paraId="4E516BC3" w14:textId="77777777" w:rsidTr="00402E6B">
        <w:tc>
          <w:tcPr>
            <w:tcW w:w="1860" w:type="dxa"/>
          </w:tcPr>
          <w:p w14:paraId="3EEE3A8E" w14:textId="77777777" w:rsidR="00402E6B" w:rsidRDefault="00402E6B" w:rsidP="00402E6B">
            <w:r>
              <w:t>р-стойност</w:t>
            </w:r>
          </w:p>
          <w:p w14:paraId="02BFDB8E" w14:textId="5449238A" w:rsidR="00402E6B" w:rsidRDefault="00402E6B" w:rsidP="00402E6B">
            <w:pPr>
              <w:spacing w:line="240" w:lineRule="auto"/>
              <w:rPr>
                <w:rFonts w:ascii="Times New Roman" w:eastAsia="Times New Roman" w:hAnsi="Times New Roman" w:cs="Times New Roman"/>
                <w:sz w:val="24"/>
                <w:szCs w:val="24"/>
              </w:rPr>
            </w:pPr>
            <w:r>
              <w:t xml:space="preserve">логаритмично трансформиран ренков тест </w:t>
            </w:r>
            <w:r w:rsidRPr="00402E6B">
              <w:rPr>
                <w:lang w:val="ru-RU"/>
              </w:rPr>
              <w:t>(</w:t>
            </w:r>
            <w:r>
              <w:rPr>
                <w:lang w:val="en-US"/>
              </w:rPr>
              <w:t>log</w:t>
            </w:r>
            <w:r w:rsidRPr="00402E6B">
              <w:rPr>
                <w:lang w:val="ru-RU"/>
              </w:rPr>
              <w:t xml:space="preserve"> </w:t>
            </w:r>
            <w:r>
              <w:rPr>
                <w:lang w:val="en-US"/>
              </w:rPr>
              <w:t>rank</w:t>
            </w:r>
            <w:r w:rsidRPr="00402E6B">
              <w:rPr>
                <w:lang w:val="ru-RU"/>
              </w:rPr>
              <w:t xml:space="preserve"> </w:t>
            </w:r>
            <w:r>
              <w:rPr>
                <w:lang w:val="en-US"/>
              </w:rPr>
              <w:t>test</w:t>
            </w:r>
            <w:r w:rsidRPr="00402E6B">
              <w:rPr>
                <w:lang w:val="ru-RU"/>
              </w:rPr>
              <w:t>)</w:t>
            </w:r>
          </w:p>
        </w:tc>
        <w:tc>
          <w:tcPr>
            <w:tcW w:w="1218" w:type="dxa"/>
          </w:tcPr>
          <w:p w14:paraId="15569A66" w14:textId="14E549B1" w:rsidR="00402E6B" w:rsidRDefault="00402E6B" w:rsidP="00402E6B">
            <w:pPr>
              <w:spacing w:line="240" w:lineRule="auto"/>
              <w:rPr>
                <w:rFonts w:ascii="Times New Roman" w:eastAsia="Times New Roman" w:hAnsi="Times New Roman" w:cs="Times New Roman"/>
                <w:sz w:val="24"/>
                <w:szCs w:val="24"/>
              </w:rPr>
            </w:pPr>
            <w:r>
              <w:t>0,339</w:t>
            </w:r>
          </w:p>
        </w:tc>
        <w:tc>
          <w:tcPr>
            <w:tcW w:w="1212" w:type="dxa"/>
          </w:tcPr>
          <w:p w14:paraId="366DFD4B" w14:textId="3B48B5A3" w:rsidR="00402E6B" w:rsidRDefault="00402E6B" w:rsidP="00402E6B">
            <w:pPr>
              <w:spacing w:line="240" w:lineRule="auto"/>
              <w:rPr>
                <w:rFonts w:ascii="Times New Roman" w:eastAsia="Times New Roman" w:hAnsi="Times New Roman" w:cs="Times New Roman"/>
                <w:sz w:val="24"/>
                <w:szCs w:val="24"/>
              </w:rPr>
            </w:pPr>
            <w:r>
              <w:t>0,026</w:t>
            </w:r>
          </w:p>
        </w:tc>
        <w:tc>
          <w:tcPr>
            <w:tcW w:w="1290" w:type="dxa"/>
          </w:tcPr>
          <w:p w14:paraId="349B069B" w14:textId="77777777" w:rsidR="00402E6B" w:rsidRDefault="00402E6B" w:rsidP="00402E6B">
            <w:pPr>
              <w:spacing w:line="240" w:lineRule="auto"/>
              <w:rPr>
                <w:rFonts w:ascii="Times New Roman" w:eastAsia="Times New Roman" w:hAnsi="Times New Roman" w:cs="Times New Roman"/>
                <w:sz w:val="24"/>
                <w:szCs w:val="24"/>
              </w:rPr>
            </w:pPr>
          </w:p>
        </w:tc>
        <w:tc>
          <w:tcPr>
            <w:tcW w:w="1494" w:type="dxa"/>
          </w:tcPr>
          <w:p w14:paraId="3A59326A" w14:textId="6F6CF9BD" w:rsidR="00402E6B" w:rsidRDefault="00402E6B" w:rsidP="00402E6B">
            <w:pPr>
              <w:spacing w:line="240" w:lineRule="auto"/>
              <w:rPr>
                <w:rFonts w:ascii="Times New Roman" w:eastAsia="Times New Roman" w:hAnsi="Times New Roman" w:cs="Times New Roman"/>
                <w:sz w:val="24"/>
                <w:szCs w:val="24"/>
              </w:rPr>
            </w:pPr>
            <w:r>
              <w:t>0,280</w:t>
            </w:r>
          </w:p>
        </w:tc>
        <w:tc>
          <w:tcPr>
            <w:tcW w:w="1212" w:type="dxa"/>
          </w:tcPr>
          <w:p w14:paraId="0AEFD8A3" w14:textId="42B5CB76" w:rsidR="00402E6B" w:rsidRDefault="00402E6B" w:rsidP="00402E6B">
            <w:pPr>
              <w:spacing w:line="240" w:lineRule="auto"/>
              <w:rPr>
                <w:rFonts w:ascii="Times New Roman" w:eastAsia="Times New Roman" w:hAnsi="Times New Roman" w:cs="Times New Roman"/>
                <w:sz w:val="24"/>
                <w:szCs w:val="24"/>
              </w:rPr>
            </w:pPr>
            <w:r>
              <w:t>0,006</w:t>
            </w:r>
          </w:p>
        </w:tc>
        <w:tc>
          <w:tcPr>
            <w:tcW w:w="1290" w:type="dxa"/>
          </w:tcPr>
          <w:p w14:paraId="2E56ADAC" w14:textId="77777777" w:rsidR="00402E6B" w:rsidRDefault="00402E6B" w:rsidP="00402E6B">
            <w:pPr>
              <w:spacing w:line="240" w:lineRule="auto"/>
              <w:rPr>
                <w:rFonts w:ascii="Times New Roman" w:eastAsia="Times New Roman" w:hAnsi="Times New Roman" w:cs="Times New Roman"/>
                <w:sz w:val="24"/>
                <w:szCs w:val="24"/>
              </w:rPr>
            </w:pPr>
          </w:p>
        </w:tc>
      </w:tr>
    </w:tbl>
    <w:p w14:paraId="2DBF386C" w14:textId="77777777" w:rsidR="00402E6B" w:rsidRDefault="00402E6B" w:rsidP="00402E6B">
      <w:pPr>
        <w:spacing w:line="240" w:lineRule="auto"/>
        <w:rPr>
          <w:rFonts w:ascii="Times New Roman" w:eastAsia="Times New Roman" w:hAnsi="Times New Roman" w:cs="Times New Roman"/>
          <w:color w:val="000000"/>
          <w:lang w:eastAsia="bg-BG"/>
        </w:rPr>
      </w:pPr>
    </w:p>
    <w:p w14:paraId="3759588D" w14:textId="682D526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При анализи, подкрепящи времето до първия депресивен епизод и времето до първия маниен/хипоманиен или смесен епизод, лекуваните с ламотрижин пациенти са имали значимо по-дълги времена до първи депресивен епизод в сравнение с пациентите на плацебо, и разликата в третирането не е имала статистическа значимост по отношение на времето до маниен/хипоманиен или смесени епизоди.</w:t>
      </w:r>
    </w:p>
    <w:p w14:paraId="22BD8F77" w14:textId="77777777" w:rsidR="00402E6B" w:rsidRPr="00EE658C" w:rsidRDefault="00402E6B" w:rsidP="00402E6B">
      <w:pPr>
        <w:spacing w:line="240" w:lineRule="auto"/>
        <w:rPr>
          <w:rFonts w:eastAsia="Times New Roman" w:cs="Arial"/>
          <w:color w:val="000000"/>
          <w:lang w:eastAsia="bg-BG"/>
        </w:rPr>
      </w:pPr>
    </w:p>
    <w:p w14:paraId="79A6DAEE" w14:textId="1BE45C81"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Ефикасността на ламотрижин в комбинация със стабилизатори на настроението не е достатъчно проучена.</w:t>
      </w:r>
    </w:p>
    <w:p w14:paraId="69D41312" w14:textId="77777777" w:rsidR="00402E6B" w:rsidRPr="00EE658C" w:rsidRDefault="00402E6B" w:rsidP="00402E6B">
      <w:pPr>
        <w:spacing w:line="240" w:lineRule="auto"/>
        <w:rPr>
          <w:rFonts w:eastAsia="Times New Roman" w:cs="Arial"/>
          <w:color w:val="000000"/>
          <w:u w:val="single"/>
          <w:lang w:eastAsia="bg-BG"/>
        </w:rPr>
      </w:pPr>
    </w:p>
    <w:p w14:paraId="1129E821" w14:textId="4BAA92F1" w:rsidR="00402E6B" w:rsidRPr="00EE658C" w:rsidRDefault="00402E6B" w:rsidP="00402E6B">
      <w:pPr>
        <w:spacing w:line="240" w:lineRule="auto"/>
        <w:rPr>
          <w:rFonts w:eastAsia="Times New Roman" w:cs="Arial"/>
          <w:sz w:val="24"/>
          <w:szCs w:val="24"/>
        </w:rPr>
      </w:pPr>
      <w:r w:rsidRPr="00EE658C">
        <w:rPr>
          <w:rFonts w:eastAsia="Times New Roman" w:cs="Arial"/>
          <w:color w:val="000000"/>
          <w:u w:val="single"/>
          <w:lang w:eastAsia="bg-BG"/>
        </w:rPr>
        <w:t>Педиатрична популация</w:t>
      </w:r>
    </w:p>
    <w:p w14:paraId="18D61697" w14:textId="77777777" w:rsidR="00402E6B" w:rsidRPr="00EE658C" w:rsidRDefault="00402E6B" w:rsidP="00402E6B">
      <w:pPr>
        <w:spacing w:line="240" w:lineRule="auto"/>
        <w:rPr>
          <w:rFonts w:eastAsia="Times New Roman" w:cs="Arial"/>
          <w:i/>
          <w:iCs/>
          <w:color w:val="000000"/>
          <w:lang w:eastAsia="bg-BG"/>
        </w:rPr>
      </w:pPr>
    </w:p>
    <w:p w14:paraId="0FBB03A5" w14:textId="07EC8C7C" w:rsidR="00402E6B" w:rsidRPr="00EE658C" w:rsidRDefault="00402E6B" w:rsidP="00402E6B">
      <w:pPr>
        <w:spacing w:line="240" w:lineRule="auto"/>
        <w:rPr>
          <w:rFonts w:eastAsia="Times New Roman" w:cs="Arial"/>
          <w:sz w:val="24"/>
          <w:szCs w:val="24"/>
        </w:rPr>
      </w:pPr>
      <w:r w:rsidRPr="00EE658C">
        <w:rPr>
          <w:rFonts w:eastAsia="Times New Roman" w:cs="Arial"/>
          <w:i/>
          <w:iCs/>
          <w:color w:val="000000"/>
          <w:lang w:eastAsia="bg-BG"/>
        </w:rPr>
        <w:t>Деца на възраст от 1 до 24 месеца</w:t>
      </w:r>
    </w:p>
    <w:p w14:paraId="148799A0"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Ефикасността и безопасността при комбинирана терапия на парциални припадъци при пациенти на възраст от 1 до 24 месеца са оценени в едно малко, двойно-сляпо,</w:t>
      </w:r>
    </w:p>
    <w:p w14:paraId="32E55A9E" w14:textId="77777777" w:rsidR="00402E6B" w:rsidRPr="00EE658C" w:rsidRDefault="00402E6B" w:rsidP="00402E6B">
      <w:pPr>
        <w:rPr>
          <w:rFonts w:eastAsia="Times New Roman" w:cs="Arial"/>
          <w:sz w:val="24"/>
          <w:szCs w:val="24"/>
        </w:rPr>
      </w:pPr>
      <w:r w:rsidRPr="00EE658C">
        <w:rPr>
          <w:rFonts w:eastAsia="Times New Roman" w:cs="Arial"/>
          <w:color w:val="000000"/>
          <w:lang w:eastAsia="bg-BG"/>
        </w:rPr>
        <w:t>плацебо-контролирано изпитване до отпадане. Лечението е инициирано при 177</w:t>
      </w:r>
      <w:r w:rsidRPr="00EE658C">
        <w:rPr>
          <w:rFonts w:eastAsia="Times New Roman" w:cs="Arial"/>
          <w:color w:val="000000"/>
          <w:lang w:val="ru-RU"/>
        </w:rPr>
        <w:t xml:space="preserve"> </w:t>
      </w:r>
      <w:r w:rsidRPr="00EE658C">
        <w:rPr>
          <w:rFonts w:eastAsia="Times New Roman" w:cs="Arial"/>
          <w:color w:val="000000"/>
          <w:lang w:eastAsia="bg-BG"/>
        </w:rPr>
        <w:t>лица по схема за титриране на дозата, подобна на тази при деца на възраст от 2 до 12 години. Ламотрижин</w:t>
      </w:r>
      <w:r w:rsidRPr="00EE658C">
        <w:rPr>
          <w:rFonts w:eastAsia="Times New Roman" w:cs="Arial"/>
          <w:color w:val="000000"/>
          <w:lang w:val="ru-RU" w:eastAsia="bg-BG"/>
        </w:rPr>
        <w:t xml:space="preserve"> </w:t>
      </w:r>
      <w:r w:rsidRPr="00EE658C">
        <w:rPr>
          <w:rFonts w:eastAsia="Times New Roman" w:cs="Arial"/>
          <w:color w:val="000000"/>
          <w:lang w:eastAsia="bg-BG"/>
        </w:rPr>
        <w:t xml:space="preserve">таблетки от 2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xml:space="preserve">са най-малкото налично количество на активното вещество в една таблетка и затова стандартната схема на дозиране е адаптирана в някои случаи по време на етапа на титрирането (например чрез прилагане на една таблетка от 2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xml:space="preserve">през ден, когато изчислената доза е по-малка от 2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В края на 2-рата седмица от титрирането са измерени серумните концентрации и последващата доза е понижен или не е повишена, ако концентрацията надвишава 0,41 μ</w:t>
      </w:r>
      <w:r w:rsidRPr="00EE658C">
        <w:rPr>
          <w:rFonts w:eastAsia="Times New Roman" w:cs="Arial"/>
          <w:color w:val="000000"/>
          <w:lang w:val="en-US"/>
        </w:rPr>
        <w:t>g</w:t>
      </w:r>
      <w:r w:rsidRPr="00EE658C">
        <w:rPr>
          <w:rFonts w:eastAsia="Times New Roman" w:cs="Arial"/>
          <w:color w:val="000000"/>
          <w:lang w:val="ru-RU"/>
        </w:rPr>
        <w:t>/</w:t>
      </w:r>
      <w:r w:rsidRPr="00EE658C">
        <w:rPr>
          <w:rFonts w:eastAsia="Times New Roman" w:cs="Arial"/>
          <w:color w:val="000000"/>
          <w:lang w:val="en-US"/>
        </w:rPr>
        <w:t>ml</w:t>
      </w:r>
      <w:r w:rsidRPr="00EE658C">
        <w:rPr>
          <w:rFonts w:eastAsia="Times New Roman" w:cs="Arial"/>
          <w:color w:val="000000"/>
          <w:lang w:val="ru-RU"/>
        </w:rPr>
        <w:t xml:space="preserve">, </w:t>
      </w:r>
      <w:r w:rsidRPr="00EE658C">
        <w:rPr>
          <w:rFonts w:eastAsia="Times New Roman" w:cs="Arial"/>
          <w:color w:val="000000"/>
          <w:lang w:eastAsia="bg-BG"/>
        </w:rPr>
        <w:t>очакваната концентрация при възрастни по това време. При някои пациенти в края на втората седмица се е наложило намаляване на дозата с до 90%. Тридесет и осем респондери (&gt; 40% намаляване на честотата на припадъците) са рандомизирани на плацебо или да продължат на ламотрижин. Процентът на лицата, при които терапията е неуспешна е 84% (16/19 лица) при плацебо-рамото и 58% (11/19 лица) при рамото на ламотрижин. Разликата не е статистически значима: 26,3%, С195%-2,6%о 50,2%, р=0,07.</w:t>
      </w:r>
    </w:p>
    <w:p w14:paraId="7C6AE69E" w14:textId="77777777" w:rsidR="00402E6B" w:rsidRPr="00EE658C" w:rsidRDefault="00402E6B" w:rsidP="00402E6B">
      <w:pPr>
        <w:spacing w:line="240" w:lineRule="auto"/>
        <w:rPr>
          <w:rFonts w:eastAsia="Times New Roman" w:cs="Arial"/>
          <w:color w:val="000000"/>
          <w:lang w:eastAsia="bg-BG"/>
        </w:rPr>
      </w:pPr>
    </w:p>
    <w:p w14:paraId="23D23EC9" w14:textId="64752074"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 xml:space="preserve">Общо 256 лица на възраст от 1 до 24 месеца са изложени на експозиция на ламотрижин в дозов интервал от 1 до 15 </w:t>
      </w:r>
      <w:r w:rsidRPr="00EE658C">
        <w:rPr>
          <w:rFonts w:eastAsia="Times New Roman" w:cs="Arial"/>
          <w:color w:val="000000"/>
          <w:lang w:val="en-US"/>
        </w:rPr>
        <w:t>mg</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eastAsia="bg-BG"/>
        </w:rPr>
        <w:t>/ден за до 72 седмици. Профилът на безопасност на ламотрижин при деца на възраст от 1 месец до 2 години е подобен на този при по-големи деца, с изключение на това, че клинично значимо влошаване на припадъците (&gt;=50%) е докладвано по-често при деца на възраст под 2 години (26%) в сравнение с по-големите деца (14%).</w:t>
      </w:r>
    </w:p>
    <w:p w14:paraId="1C77506D" w14:textId="77777777" w:rsidR="00402E6B" w:rsidRPr="00EE658C" w:rsidRDefault="00402E6B" w:rsidP="00402E6B">
      <w:pPr>
        <w:spacing w:line="240" w:lineRule="auto"/>
        <w:rPr>
          <w:rFonts w:eastAsia="Times New Roman" w:cs="Arial"/>
          <w:i/>
          <w:iCs/>
          <w:color w:val="000000"/>
          <w:lang w:eastAsia="bg-BG"/>
        </w:rPr>
      </w:pPr>
    </w:p>
    <w:p w14:paraId="53BF6143" w14:textId="2C1E2B7E" w:rsidR="00402E6B" w:rsidRPr="00EE658C" w:rsidRDefault="00402E6B" w:rsidP="00402E6B">
      <w:pPr>
        <w:spacing w:line="240" w:lineRule="auto"/>
        <w:rPr>
          <w:rFonts w:eastAsia="Times New Roman" w:cs="Arial"/>
          <w:sz w:val="24"/>
          <w:szCs w:val="24"/>
        </w:rPr>
      </w:pPr>
      <w:r w:rsidRPr="00EE658C">
        <w:rPr>
          <w:rFonts w:eastAsia="Times New Roman" w:cs="Arial"/>
          <w:i/>
          <w:iCs/>
          <w:color w:val="000000"/>
          <w:lang w:eastAsia="bg-BG"/>
        </w:rPr>
        <w:t xml:space="preserve">Синдрома на </w:t>
      </w:r>
      <w:r w:rsidRPr="00EE658C">
        <w:rPr>
          <w:rFonts w:eastAsia="Times New Roman" w:cs="Arial"/>
          <w:i/>
          <w:iCs/>
          <w:color w:val="000000"/>
          <w:lang w:val="en-US"/>
        </w:rPr>
        <w:t>Lennox</w:t>
      </w:r>
      <w:r w:rsidRPr="00EE658C">
        <w:rPr>
          <w:rFonts w:eastAsia="Times New Roman" w:cs="Arial"/>
          <w:i/>
          <w:iCs/>
          <w:color w:val="000000"/>
          <w:lang w:val="ru-RU"/>
        </w:rPr>
        <w:t>-</w:t>
      </w:r>
      <w:r w:rsidRPr="00EE658C">
        <w:rPr>
          <w:rFonts w:eastAsia="Times New Roman" w:cs="Arial"/>
          <w:i/>
          <w:iCs/>
          <w:color w:val="000000"/>
          <w:lang w:val="en-US"/>
        </w:rPr>
        <w:t>Gastaut</w:t>
      </w:r>
    </w:p>
    <w:p w14:paraId="700322AD"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 xml:space="preserve">Няма данни за монотерапия при припадъци, свързани със синдрома на </w:t>
      </w:r>
      <w:r w:rsidRPr="00EE658C">
        <w:rPr>
          <w:rFonts w:eastAsia="Times New Roman" w:cs="Arial"/>
          <w:color w:val="000000"/>
          <w:lang w:val="en-US"/>
        </w:rPr>
        <w:t>Lennox</w:t>
      </w:r>
      <w:r w:rsidRPr="00EE658C">
        <w:rPr>
          <w:rFonts w:eastAsia="Times New Roman" w:cs="Arial"/>
          <w:color w:val="000000"/>
          <w:lang w:val="ru-RU"/>
        </w:rPr>
        <w:t>-</w:t>
      </w:r>
      <w:r w:rsidRPr="00EE658C">
        <w:rPr>
          <w:rFonts w:eastAsia="Times New Roman" w:cs="Arial"/>
          <w:color w:val="000000"/>
          <w:lang w:val="en-US"/>
        </w:rPr>
        <w:t>Gastaut</w:t>
      </w:r>
    </w:p>
    <w:p w14:paraId="642B5A03" w14:textId="77777777" w:rsidR="00402E6B" w:rsidRPr="00EE658C" w:rsidRDefault="00402E6B" w:rsidP="00402E6B">
      <w:pPr>
        <w:spacing w:line="240" w:lineRule="auto"/>
        <w:rPr>
          <w:rFonts w:eastAsia="Times New Roman" w:cs="Arial"/>
          <w:i/>
          <w:iCs/>
          <w:color w:val="000000"/>
          <w:lang w:eastAsia="bg-BG"/>
        </w:rPr>
      </w:pPr>
    </w:p>
    <w:p w14:paraId="435630CC" w14:textId="28551C4C" w:rsidR="00402E6B" w:rsidRPr="00EE658C" w:rsidRDefault="00402E6B" w:rsidP="00402E6B">
      <w:pPr>
        <w:spacing w:line="240" w:lineRule="auto"/>
        <w:rPr>
          <w:rFonts w:eastAsia="Times New Roman" w:cs="Arial"/>
          <w:sz w:val="24"/>
          <w:szCs w:val="24"/>
        </w:rPr>
      </w:pPr>
      <w:r w:rsidRPr="00EE658C">
        <w:rPr>
          <w:rFonts w:eastAsia="Times New Roman" w:cs="Arial"/>
          <w:i/>
          <w:iCs/>
          <w:color w:val="000000"/>
          <w:lang w:eastAsia="bg-BG"/>
        </w:rPr>
        <w:t>Превенция на епизоди на промяна на настроението при деца (на възраст 10-12 години) и юноши (на възраст 13-17 години)</w:t>
      </w:r>
    </w:p>
    <w:p w14:paraId="5C9AD5F4"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 xml:space="preserve">Многоцентрово, паралелногрупово, плацебо-контролирано, двойносляпо, рандомизирано, с преустановяване на приема проучване оценява ефикасността и безопасността на ламотрижин </w:t>
      </w:r>
      <w:r w:rsidRPr="00EE658C">
        <w:rPr>
          <w:rFonts w:eastAsia="Times New Roman" w:cs="Arial"/>
          <w:color w:val="000000"/>
          <w:lang w:val="en-US"/>
        </w:rPr>
        <w:t>IR</w:t>
      </w:r>
      <w:r w:rsidRPr="00EE658C">
        <w:rPr>
          <w:rFonts w:eastAsia="Times New Roman" w:cs="Arial"/>
          <w:color w:val="000000"/>
          <w:lang w:val="ru-RU"/>
        </w:rPr>
        <w:t xml:space="preserve">, </w:t>
      </w:r>
      <w:r w:rsidRPr="00EE658C">
        <w:rPr>
          <w:rFonts w:eastAsia="Times New Roman" w:cs="Arial"/>
          <w:color w:val="000000"/>
          <w:lang w:eastAsia="bg-BG"/>
        </w:rPr>
        <w:t xml:space="preserve">като допълваща поддържаща терапия за забавяне на епизоди на промяна на настроението при деца и юноши от мъжки и женски пол (на възраст 10-17 години), които са диагностицирани с тип I биполярно разстройство и при които е отложен или са получили подобрение на биполярен епизод, докато са лекувани с ламотрижин в комбинация със съпътстващи антипсихотични лекарства или други лекарства, стабилизатори на настроението. Резултатът от първичния анализ за ефикасност (време до поява на биполярно събитие </w:t>
      </w:r>
      <w:r w:rsidRPr="00EE658C">
        <w:rPr>
          <w:rFonts w:eastAsia="Times New Roman" w:cs="Arial"/>
          <w:color w:val="000000"/>
          <w:lang w:val="ru-RU"/>
        </w:rPr>
        <w:t>(</w:t>
      </w:r>
      <w:r w:rsidRPr="00EE658C">
        <w:rPr>
          <w:rFonts w:eastAsia="Times New Roman" w:cs="Arial"/>
          <w:color w:val="000000"/>
          <w:lang w:val="en-US"/>
        </w:rPr>
        <w:t>time</w:t>
      </w:r>
      <w:r w:rsidRPr="00EE658C">
        <w:rPr>
          <w:rFonts w:eastAsia="Times New Roman" w:cs="Arial"/>
          <w:color w:val="000000"/>
          <w:lang w:val="ru-RU"/>
        </w:rPr>
        <w:t xml:space="preserve"> </w:t>
      </w:r>
      <w:r w:rsidRPr="00EE658C">
        <w:rPr>
          <w:rFonts w:eastAsia="Times New Roman" w:cs="Arial"/>
          <w:color w:val="000000"/>
          <w:lang w:val="en-US"/>
        </w:rPr>
        <w:t>to</w:t>
      </w:r>
      <w:r w:rsidRPr="00EE658C">
        <w:rPr>
          <w:rFonts w:eastAsia="Times New Roman" w:cs="Arial"/>
          <w:color w:val="000000"/>
          <w:lang w:val="ru-RU"/>
        </w:rPr>
        <w:t xml:space="preserve"> </w:t>
      </w:r>
      <w:r w:rsidRPr="00EE658C">
        <w:rPr>
          <w:rFonts w:eastAsia="Times New Roman" w:cs="Arial"/>
          <w:color w:val="000000"/>
          <w:lang w:val="en-US"/>
        </w:rPr>
        <w:t>occurrence</w:t>
      </w:r>
      <w:r w:rsidRPr="00EE658C">
        <w:rPr>
          <w:rFonts w:eastAsia="Times New Roman" w:cs="Arial"/>
          <w:color w:val="000000"/>
          <w:lang w:val="ru-RU"/>
        </w:rPr>
        <w:t xml:space="preserve"> </w:t>
      </w:r>
      <w:r w:rsidRPr="00EE658C">
        <w:rPr>
          <w:rFonts w:eastAsia="Times New Roman" w:cs="Arial"/>
          <w:color w:val="000000"/>
          <w:lang w:val="en-US"/>
        </w:rPr>
        <w:t>of</w:t>
      </w:r>
      <w:r w:rsidRPr="00EE658C">
        <w:rPr>
          <w:rFonts w:eastAsia="Times New Roman" w:cs="Arial"/>
          <w:color w:val="000000"/>
          <w:lang w:val="ru-RU"/>
        </w:rPr>
        <w:t xml:space="preserve"> </w:t>
      </w:r>
      <w:r w:rsidRPr="00EE658C">
        <w:rPr>
          <w:rFonts w:eastAsia="Times New Roman" w:cs="Arial"/>
          <w:color w:val="000000"/>
          <w:lang w:val="en-US"/>
        </w:rPr>
        <w:t>a</w:t>
      </w:r>
      <w:r w:rsidRPr="00EE658C">
        <w:rPr>
          <w:rFonts w:eastAsia="Times New Roman" w:cs="Arial"/>
          <w:color w:val="000000"/>
          <w:lang w:val="ru-RU"/>
        </w:rPr>
        <w:t xml:space="preserve"> </w:t>
      </w:r>
      <w:r w:rsidRPr="00EE658C">
        <w:rPr>
          <w:rFonts w:eastAsia="Times New Roman" w:cs="Arial"/>
          <w:color w:val="000000"/>
          <w:lang w:val="en-US"/>
        </w:rPr>
        <w:t>bipolar</w:t>
      </w:r>
      <w:r w:rsidRPr="00EE658C">
        <w:rPr>
          <w:rFonts w:eastAsia="Times New Roman" w:cs="Arial"/>
          <w:color w:val="000000"/>
          <w:lang w:val="ru-RU"/>
        </w:rPr>
        <w:t xml:space="preserve"> </w:t>
      </w:r>
      <w:r w:rsidRPr="00EE658C">
        <w:rPr>
          <w:rFonts w:eastAsia="Times New Roman" w:cs="Arial"/>
          <w:color w:val="000000"/>
          <w:lang w:val="en-US"/>
        </w:rPr>
        <w:t>event</w:t>
      </w:r>
      <w:r w:rsidRPr="00EE658C">
        <w:rPr>
          <w:rFonts w:eastAsia="Times New Roman" w:cs="Arial"/>
          <w:color w:val="000000"/>
          <w:lang w:val="ru-RU"/>
        </w:rPr>
        <w:t>-</w:t>
      </w:r>
      <w:r w:rsidRPr="00EE658C">
        <w:rPr>
          <w:rFonts w:eastAsia="Times New Roman" w:cs="Arial"/>
          <w:color w:val="000000"/>
          <w:lang w:val="en-US"/>
        </w:rPr>
        <w:t>TOBE</w:t>
      </w:r>
      <w:r w:rsidRPr="00EE658C">
        <w:rPr>
          <w:rFonts w:eastAsia="Times New Roman" w:cs="Arial"/>
          <w:color w:val="000000"/>
          <w:lang w:val="ru-RU"/>
        </w:rPr>
        <w:t xml:space="preserve">)) </w:t>
      </w:r>
      <w:r w:rsidRPr="00EE658C">
        <w:rPr>
          <w:rFonts w:eastAsia="Times New Roman" w:cs="Arial"/>
          <w:color w:val="000000"/>
          <w:lang w:eastAsia="bg-BG"/>
        </w:rPr>
        <w:t>не достига статистическа значимост (р=0,0717), следователно не е показана ефикасност. Освен това, резултатите за безопасност показват повишено съобщаване на суицидно поведение на пациенти, лекувани с ламотрижин: 5% (4 пациенти) в рамото на ламотрижин в сравнение с 0 при плацебо (вж. точка 4.2).</w:t>
      </w:r>
    </w:p>
    <w:p w14:paraId="1F1674DD" w14:textId="77777777" w:rsidR="00402E6B" w:rsidRPr="00EE658C" w:rsidRDefault="00402E6B" w:rsidP="00402E6B">
      <w:pPr>
        <w:spacing w:line="240" w:lineRule="auto"/>
        <w:rPr>
          <w:rFonts w:eastAsia="Times New Roman" w:cs="Arial"/>
          <w:color w:val="000000"/>
          <w:u w:val="single"/>
          <w:lang w:eastAsia="bg-BG"/>
        </w:rPr>
      </w:pPr>
    </w:p>
    <w:p w14:paraId="3B0ED54C" w14:textId="06239BA3" w:rsidR="00402E6B" w:rsidRPr="00EE658C" w:rsidRDefault="00402E6B" w:rsidP="00402E6B">
      <w:pPr>
        <w:spacing w:line="240" w:lineRule="auto"/>
        <w:rPr>
          <w:rFonts w:eastAsia="Times New Roman" w:cs="Arial"/>
          <w:color w:val="000000"/>
          <w:u w:val="single"/>
          <w:lang w:eastAsia="bg-BG"/>
        </w:rPr>
      </w:pPr>
      <w:r w:rsidRPr="00EE658C">
        <w:rPr>
          <w:rFonts w:eastAsia="Times New Roman" w:cs="Arial"/>
          <w:color w:val="000000"/>
          <w:u w:val="single"/>
          <w:lang w:eastAsia="bg-BG"/>
        </w:rPr>
        <w:t>Анализ на суицидността</w:t>
      </w:r>
    </w:p>
    <w:p w14:paraId="43198E6A"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Честотата на суицидните идеи и поведение е оценена в сборен анализ на плацебо- контролираните клинични изпитвания с ламотрижин, включващи общо 6 467 пациенти, приемащи ламотрижин по различни показания.</w:t>
      </w:r>
    </w:p>
    <w:p w14:paraId="51F1764D" w14:textId="77777777" w:rsidR="00402E6B" w:rsidRPr="00EE658C" w:rsidRDefault="00402E6B" w:rsidP="00402E6B">
      <w:pPr>
        <w:spacing w:line="240" w:lineRule="auto"/>
        <w:rPr>
          <w:rFonts w:eastAsia="Times New Roman" w:cs="Arial"/>
          <w:color w:val="000000"/>
          <w:lang w:eastAsia="bg-BG"/>
        </w:rPr>
      </w:pPr>
    </w:p>
    <w:p w14:paraId="46794F20" w14:textId="3B8E020D"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lastRenderedPageBreak/>
        <w:t>В подгрупата на изпитванията при биполярно разстройство честотата на събитията е била числено, но не статистически значимо по-голяма при ламотрижин (29/1212 [2,4%]) в сравнение с плацебо (19/1054 [1,8%]). При сборния анализ на психиатричните показания, събитията са били по-чести в първия месец от лечението при пациенти, приемащи ламотрижин. Поведенческите събития са били по-чести при мъжете.</w:t>
      </w:r>
    </w:p>
    <w:p w14:paraId="388FC1AA" w14:textId="77777777" w:rsidR="00402E6B" w:rsidRPr="00EE658C" w:rsidRDefault="00402E6B" w:rsidP="00402E6B">
      <w:pPr>
        <w:spacing w:line="240" w:lineRule="auto"/>
        <w:rPr>
          <w:rFonts w:eastAsia="Times New Roman" w:cs="Arial"/>
          <w:color w:val="000000"/>
          <w:lang w:eastAsia="bg-BG"/>
        </w:rPr>
      </w:pPr>
    </w:p>
    <w:p w14:paraId="36DD5791" w14:textId="7E056069" w:rsidR="00402E6B" w:rsidRPr="00EE658C" w:rsidRDefault="00402E6B" w:rsidP="00402E6B">
      <w:pPr>
        <w:spacing w:line="240" w:lineRule="auto"/>
        <w:rPr>
          <w:rFonts w:eastAsia="Times New Roman" w:cs="Arial"/>
          <w:color w:val="000000"/>
          <w:lang w:eastAsia="bg-BG"/>
        </w:rPr>
      </w:pPr>
      <w:r w:rsidRPr="00EE658C">
        <w:rPr>
          <w:rFonts w:eastAsia="Times New Roman" w:cs="Arial"/>
          <w:color w:val="000000"/>
          <w:lang w:eastAsia="bg-BG"/>
        </w:rPr>
        <w:t>В подгрупата на изпитванията при епилепсия не е имало статистически значими разлики в честотата на събитията между ламотрижин и плацебо. Въпреки че, броят на събитията, свързани със суицидни идеи и поведение е бил твърде малък (6/1073 [0,6%] при ламотрижин и 2/805 [0,3%] при плацебо), за да позволи дефинитивно сравнение между третираните групи, съобщената относителна честота в този анализ на ламотрижин съвпада със съобщения клас-специфичен ефект за АЕЛ (вж. точка 4.4).</w:t>
      </w:r>
    </w:p>
    <w:p w14:paraId="2F508B31" w14:textId="3FF891C5" w:rsidR="00402E6B" w:rsidRPr="00EE658C" w:rsidRDefault="00402E6B" w:rsidP="00402E6B">
      <w:pPr>
        <w:spacing w:line="240" w:lineRule="auto"/>
        <w:rPr>
          <w:rFonts w:eastAsia="Times New Roman" w:cs="Arial"/>
          <w:color w:val="000000"/>
          <w:lang w:eastAsia="bg-BG"/>
        </w:rPr>
      </w:pPr>
    </w:p>
    <w:p w14:paraId="799152AE" w14:textId="77777777" w:rsidR="00402E6B" w:rsidRPr="00EE658C" w:rsidRDefault="00402E6B" w:rsidP="00402E6B">
      <w:pPr>
        <w:spacing w:line="240" w:lineRule="auto"/>
        <w:rPr>
          <w:rFonts w:eastAsia="Times New Roman" w:cs="Arial"/>
          <w:sz w:val="24"/>
          <w:szCs w:val="24"/>
        </w:rPr>
      </w:pPr>
      <w:r w:rsidRPr="00EE658C">
        <w:rPr>
          <w:rFonts w:eastAsia="Times New Roman" w:cs="Arial"/>
          <w:color w:val="000000"/>
          <w:u w:val="single"/>
          <w:lang w:eastAsia="bg-BG"/>
        </w:rPr>
        <w:t>Изследване на ефекта на ламотрижин върху сърдечната проводимост</w:t>
      </w:r>
    </w:p>
    <w:p w14:paraId="3DFD0A88" w14:textId="49E0F3A4" w:rsidR="00402E6B" w:rsidRPr="00EE658C" w:rsidRDefault="00402E6B" w:rsidP="00402E6B">
      <w:pPr>
        <w:spacing w:line="240" w:lineRule="auto"/>
        <w:rPr>
          <w:rFonts w:eastAsia="Times New Roman" w:cs="Arial"/>
          <w:sz w:val="24"/>
          <w:szCs w:val="24"/>
        </w:rPr>
      </w:pPr>
      <w:r w:rsidRPr="00EE658C">
        <w:rPr>
          <w:rFonts w:eastAsia="Times New Roman" w:cs="Arial"/>
          <w:color w:val="000000"/>
          <w:lang w:eastAsia="bg-BG"/>
        </w:rPr>
        <w:t xml:space="preserve">Ефектът на многократно прилагане на ламотрижин (до 400 </w:t>
      </w:r>
      <w:r w:rsidRPr="00EE658C">
        <w:rPr>
          <w:rFonts w:eastAsia="Times New Roman" w:cs="Arial"/>
          <w:color w:val="000000"/>
          <w:lang w:val="en-US"/>
        </w:rPr>
        <w:t>mg</w:t>
      </w:r>
      <w:r w:rsidRPr="00EE658C">
        <w:rPr>
          <w:rFonts w:eastAsia="Times New Roman" w:cs="Arial"/>
          <w:color w:val="000000"/>
          <w:lang w:eastAsia="bg-BG"/>
        </w:rPr>
        <w:t xml:space="preserve">/ден) върху сърдечната проводимост, оценена чрез ЕКГ с 12 отвеждания, е изследван при изпитване върху здрави възрастни доброволци. Не е отчетен клинично значим ефект на ламотрижин върху </w:t>
      </w:r>
      <w:r w:rsidRPr="00EE658C">
        <w:rPr>
          <w:rFonts w:eastAsia="Times New Roman" w:cs="Arial"/>
          <w:color w:val="000000"/>
          <w:lang w:val="en-US"/>
        </w:rPr>
        <w:t>QT</w:t>
      </w:r>
      <w:r w:rsidRPr="00EE658C">
        <w:rPr>
          <w:rFonts w:eastAsia="Times New Roman" w:cs="Arial"/>
          <w:color w:val="000000"/>
          <w:lang w:val="ru-RU"/>
        </w:rPr>
        <w:t xml:space="preserve"> </w:t>
      </w:r>
      <w:r w:rsidRPr="00EE658C">
        <w:rPr>
          <w:rFonts w:eastAsia="Times New Roman" w:cs="Arial"/>
          <w:color w:val="000000"/>
          <w:lang w:eastAsia="bg-BG"/>
        </w:rPr>
        <w:t>интервала в сравнение с плацебо.</w:t>
      </w:r>
    </w:p>
    <w:p w14:paraId="0314178E" w14:textId="24EB2555" w:rsidR="00402E6B" w:rsidRPr="00402E6B" w:rsidRDefault="00402E6B" w:rsidP="00402E6B"/>
    <w:p w14:paraId="78DD93AA" w14:textId="6C04022C" w:rsidR="00B6672E" w:rsidRDefault="002C50EE" w:rsidP="00936AD0">
      <w:pPr>
        <w:pStyle w:val="Heading2"/>
      </w:pPr>
      <w:r>
        <w:t>5.2. Фармакокинетични свойства</w:t>
      </w:r>
    </w:p>
    <w:p w14:paraId="70D43915" w14:textId="189ED870" w:rsidR="00EE658C" w:rsidRDefault="00EE658C" w:rsidP="00EE658C"/>
    <w:p w14:paraId="15584C97" w14:textId="77777777" w:rsidR="00EE658C" w:rsidRPr="00EE658C" w:rsidRDefault="00EE658C" w:rsidP="00EE658C">
      <w:pPr>
        <w:pStyle w:val="Heading3"/>
        <w:rPr>
          <w:rFonts w:eastAsia="Times New Roman"/>
          <w:u w:val="single"/>
        </w:rPr>
      </w:pPr>
      <w:r w:rsidRPr="00EE658C">
        <w:rPr>
          <w:rFonts w:eastAsia="Times New Roman"/>
          <w:u w:val="single"/>
          <w:lang w:eastAsia="bg-BG"/>
        </w:rPr>
        <w:t>Абсорбция</w:t>
      </w:r>
    </w:p>
    <w:p w14:paraId="777EEA79"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Ламотрижин се резорбира бързо и изцяло в червата, като не се установява клинично значим метаболизъм при първо преминаване. Максимални плазмени концентрации се достигат приблизително 2,5 часа след перорално приложение на ламотрижин. След прием на храна времето за достигане на максимална концентрация леко се удължава, но степента на резорбция не се променя. Максималните концентрации в стационарно състояние показват интериндивидуална вариабилност, но при всеки индивидуален пациент тези стойности се различават много рядко.</w:t>
      </w:r>
    </w:p>
    <w:p w14:paraId="4B9A1950" w14:textId="77777777" w:rsidR="00EE658C" w:rsidRPr="00EE658C" w:rsidRDefault="00EE658C" w:rsidP="00EE658C">
      <w:pPr>
        <w:spacing w:line="240" w:lineRule="auto"/>
        <w:rPr>
          <w:rFonts w:eastAsia="Times New Roman" w:cs="Arial"/>
          <w:color w:val="000000"/>
          <w:u w:val="single"/>
          <w:lang w:eastAsia="bg-BG"/>
        </w:rPr>
      </w:pPr>
    </w:p>
    <w:p w14:paraId="5AF62CAA" w14:textId="6999C7FD" w:rsidR="00EE658C" w:rsidRPr="00EE658C" w:rsidRDefault="00EE658C" w:rsidP="00EE658C">
      <w:pPr>
        <w:pStyle w:val="Heading3"/>
        <w:rPr>
          <w:rFonts w:eastAsia="Times New Roman"/>
          <w:u w:val="single"/>
        </w:rPr>
      </w:pPr>
      <w:r w:rsidRPr="00EE658C">
        <w:rPr>
          <w:rFonts w:eastAsia="Times New Roman"/>
          <w:u w:val="single"/>
          <w:lang w:eastAsia="bg-BG"/>
        </w:rPr>
        <w:t>Разпределение</w:t>
      </w:r>
    </w:p>
    <w:p w14:paraId="311C4C00"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Свързването с плазмените протеини е приблизително 55 %. Не се очакват прояви на токсичност при изместване от мястото на свързване с плазмените протеини.</w:t>
      </w:r>
    </w:p>
    <w:p w14:paraId="59B8055A" w14:textId="77777777" w:rsidR="00EE658C" w:rsidRPr="00EE658C" w:rsidRDefault="00EE658C" w:rsidP="00EE658C">
      <w:pPr>
        <w:spacing w:line="240" w:lineRule="auto"/>
        <w:rPr>
          <w:rFonts w:eastAsia="Times New Roman" w:cs="Arial"/>
          <w:color w:val="000000"/>
          <w:lang w:eastAsia="bg-BG"/>
        </w:rPr>
      </w:pPr>
    </w:p>
    <w:p w14:paraId="259C7877" w14:textId="2050E042" w:rsidR="00EE658C" w:rsidRPr="00EE658C" w:rsidRDefault="00EE658C" w:rsidP="00EE658C">
      <w:pPr>
        <w:spacing w:line="240" w:lineRule="auto"/>
        <w:rPr>
          <w:rFonts w:eastAsia="Times New Roman" w:cs="Arial"/>
          <w:color w:val="000000"/>
          <w:lang w:eastAsia="bg-BG"/>
        </w:rPr>
      </w:pPr>
      <w:r w:rsidRPr="00EE658C">
        <w:rPr>
          <w:rFonts w:eastAsia="Times New Roman" w:cs="Arial"/>
          <w:color w:val="000000"/>
          <w:lang w:eastAsia="bg-BG"/>
        </w:rPr>
        <w:t xml:space="preserve">Обемът на разпределение е от 0,92 до 1,22 </w:t>
      </w:r>
      <w:r w:rsidRPr="00EE658C">
        <w:rPr>
          <w:rFonts w:eastAsia="Times New Roman" w:cs="Arial"/>
          <w:color w:val="000000"/>
          <w:lang w:val="en-US"/>
        </w:rPr>
        <w:t>l</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w:t>
      </w:r>
    </w:p>
    <w:p w14:paraId="6CB63434" w14:textId="77777777" w:rsidR="00EE658C" w:rsidRPr="00EE658C" w:rsidRDefault="00EE658C" w:rsidP="00EE658C">
      <w:pPr>
        <w:spacing w:line="240" w:lineRule="auto"/>
        <w:rPr>
          <w:rFonts w:eastAsia="Times New Roman" w:cs="Arial"/>
          <w:color w:val="000000"/>
          <w:u w:val="single"/>
          <w:lang w:eastAsia="bg-BG"/>
        </w:rPr>
      </w:pPr>
    </w:p>
    <w:p w14:paraId="7EC6263F" w14:textId="71C9FB2F" w:rsidR="00EE658C" w:rsidRPr="00EE658C" w:rsidRDefault="00EE658C" w:rsidP="00EE658C">
      <w:pPr>
        <w:pStyle w:val="Heading3"/>
        <w:rPr>
          <w:rFonts w:eastAsia="Times New Roman"/>
          <w:u w:val="single"/>
        </w:rPr>
      </w:pPr>
      <w:r w:rsidRPr="00EE658C">
        <w:rPr>
          <w:rFonts w:eastAsia="Times New Roman"/>
          <w:u w:val="single"/>
          <w:lang w:eastAsia="bg-BG"/>
        </w:rPr>
        <w:t>Биотрансформация</w:t>
      </w:r>
    </w:p>
    <w:p w14:paraId="12B647DC" w14:textId="5FB08E70"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Ламотрижин се метаболизира от ензимите УДФ-глюкуронил трансферази.</w:t>
      </w:r>
    </w:p>
    <w:p w14:paraId="490D08B5" w14:textId="77777777" w:rsidR="00EE658C" w:rsidRPr="00EE658C" w:rsidRDefault="00EE658C" w:rsidP="00EE658C">
      <w:pPr>
        <w:spacing w:line="240" w:lineRule="auto"/>
        <w:rPr>
          <w:rFonts w:eastAsia="Times New Roman" w:cs="Arial"/>
          <w:color w:val="000000"/>
          <w:lang w:eastAsia="bg-BG"/>
        </w:rPr>
      </w:pPr>
    </w:p>
    <w:p w14:paraId="75EF77E5" w14:textId="1355438C"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В много малка степен в зависимост от дозата ламотрижин може да индуцира собствения си метаболизъм. Няма доказателства за влияние на ламотрижин върху фармакокинетиката на други АЕЛ. Не се очакват взаимодействия между ламотрижин и лекарствените продукти, които се метаболизират от цитохром Р</w:t>
      </w:r>
      <w:r w:rsidRPr="00EE658C">
        <w:rPr>
          <w:rFonts w:eastAsia="Times New Roman" w:cs="Arial"/>
          <w:color w:val="000000"/>
          <w:vertAlign w:val="subscript"/>
          <w:lang w:eastAsia="bg-BG"/>
        </w:rPr>
        <w:t>450</w:t>
      </w:r>
      <w:r w:rsidRPr="00EE658C">
        <w:rPr>
          <w:rFonts w:eastAsia="Times New Roman" w:cs="Arial"/>
          <w:color w:val="000000"/>
          <w:lang w:eastAsia="bg-BG"/>
        </w:rPr>
        <w:t xml:space="preserve"> ензимите.</w:t>
      </w:r>
    </w:p>
    <w:p w14:paraId="648835A1" w14:textId="77777777" w:rsidR="00EE658C" w:rsidRPr="00EE658C" w:rsidRDefault="00EE658C" w:rsidP="00EE658C">
      <w:pPr>
        <w:spacing w:line="240" w:lineRule="auto"/>
        <w:rPr>
          <w:rFonts w:eastAsia="Times New Roman" w:cs="Arial"/>
          <w:color w:val="000000"/>
          <w:u w:val="single"/>
          <w:lang w:eastAsia="bg-BG"/>
        </w:rPr>
      </w:pPr>
    </w:p>
    <w:p w14:paraId="7ED77623" w14:textId="03B226D4" w:rsidR="00EE658C" w:rsidRPr="00EE658C" w:rsidRDefault="00EE658C" w:rsidP="00EE658C">
      <w:pPr>
        <w:pStyle w:val="Heading3"/>
        <w:rPr>
          <w:rFonts w:eastAsia="Times New Roman"/>
          <w:u w:val="single"/>
        </w:rPr>
      </w:pPr>
      <w:r w:rsidRPr="00EE658C">
        <w:rPr>
          <w:rFonts w:eastAsia="Times New Roman"/>
          <w:u w:val="single"/>
          <w:lang w:eastAsia="bg-BG"/>
        </w:rPr>
        <w:t>Елиминиране</w:t>
      </w:r>
    </w:p>
    <w:p w14:paraId="2ADC16ED"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Плазменият клирънс при здрави лица е приблизително 30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 xml:space="preserve">. </w:t>
      </w:r>
      <w:r w:rsidRPr="00EE658C">
        <w:rPr>
          <w:rFonts w:eastAsia="Times New Roman" w:cs="Arial"/>
          <w:color w:val="000000"/>
          <w:lang w:eastAsia="bg-BG"/>
        </w:rPr>
        <w:t xml:space="preserve">Клирънсът на ламотрижин е предимно чрез метаболизиране с последващо елиминиране под формата на глюкуронид- конюгат с урината. По-малко от 10% от ламотрижин се екскретират непроменени с урината. Само около 2% се екскретират с фецеса. Клирънсът и времето </w:t>
      </w:r>
      <w:r w:rsidRPr="00EE658C">
        <w:rPr>
          <w:rFonts w:eastAsia="Times New Roman" w:cs="Arial"/>
          <w:color w:val="000000"/>
          <w:lang w:eastAsia="bg-BG"/>
        </w:rPr>
        <w:lastRenderedPageBreak/>
        <w:t xml:space="preserve">на полуживот не са зависими от дозата. Плазменият полуживот при здрави лица е изчислен приблизително на около 33 часа (интервал от 14 до 103 часа). При проучване с пациенти със синдром на </w:t>
      </w:r>
      <w:r w:rsidRPr="00EE658C">
        <w:rPr>
          <w:rFonts w:eastAsia="Times New Roman" w:cs="Arial"/>
          <w:color w:val="000000"/>
          <w:lang w:val="en-US"/>
        </w:rPr>
        <w:t>Gilbert</w:t>
      </w:r>
      <w:r w:rsidRPr="00EE658C">
        <w:rPr>
          <w:rFonts w:eastAsia="Times New Roman" w:cs="Arial"/>
          <w:color w:val="000000"/>
          <w:lang w:val="ru-RU"/>
        </w:rPr>
        <w:t xml:space="preserve">, </w:t>
      </w:r>
      <w:r w:rsidRPr="00EE658C">
        <w:rPr>
          <w:rFonts w:eastAsia="Times New Roman" w:cs="Arial"/>
          <w:color w:val="000000"/>
          <w:lang w:eastAsia="bg-BG"/>
        </w:rPr>
        <w:t>средният клирънс е понижен с 32% в сравнение с нормалните контроли, но стойностите са в границите за общата популация.</w:t>
      </w:r>
    </w:p>
    <w:p w14:paraId="5988D87A" w14:textId="77777777" w:rsidR="00EE658C" w:rsidRPr="00EE658C" w:rsidRDefault="00EE658C" w:rsidP="00EE658C">
      <w:pPr>
        <w:spacing w:line="240" w:lineRule="auto"/>
        <w:rPr>
          <w:rFonts w:eastAsia="Times New Roman" w:cs="Arial"/>
          <w:color w:val="000000"/>
          <w:lang w:eastAsia="bg-BG"/>
        </w:rPr>
      </w:pPr>
    </w:p>
    <w:p w14:paraId="58683F76" w14:textId="1413E019"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Времето на полуживот на ламотрижин се променя значително при едновременно прилагане с други лекарства. При едновременно прилагане с лекарства, които активират глюкуронирането, като карбамазепин и фенитоин, средното време на полуживот на ламотрижин се редуцира приблизително до 14 часа, също така, при съвместно прилагане с валпроат, се удължава средно приблизително до 70 часа (вж. точка 4.2).</w:t>
      </w:r>
    </w:p>
    <w:p w14:paraId="11211F84" w14:textId="77777777" w:rsidR="00EE658C" w:rsidRPr="00EE658C" w:rsidRDefault="00EE658C" w:rsidP="00EE658C">
      <w:pPr>
        <w:spacing w:line="240" w:lineRule="auto"/>
        <w:rPr>
          <w:rFonts w:eastAsia="Times New Roman" w:cs="Arial"/>
          <w:color w:val="000000"/>
          <w:u w:val="single"/>
          <w:lang w:eastAsia="bg-BG"/>
        </w:rPr>
      </w:pPr>
    </w:p>
    <w:p w14:paraId="32578901" w14:textId="71E59F67" w:rsidR="00EE658C" w:rsidRPr="00EE658C" w:rsidRDefault="00EE658C" w:rsidP="00EE658C">
      <w:pPr>
        <w:pStyle w:val="Heading3"/>
        <w:rPr>
          <w:rFonts w:eastAsia="Times New Roman"/>
          <w:u w:val="single"/>
        </w:rPr>
      </w:pPr>
      <w:r w:rsidRPr="00EE658C">
        <w:rPr>
          <w:rFonts w:eastAsia="Times New Roman"/>
          <w:u w:val="single"/>
          <w:lang w:eastAsia="bg-BG"/>
        </w:rPr>
        <w:t>Линейност</w:t>
      </w:r>
    </w:p>
    <w:p w14:paraId="632FBDDC"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Фармакокинетиката на ламотрижин е линейна до 450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най-високата еднократна изпитвана доза.</w:t>
      </w:r>
    </w:p>
    <w:p w14:paraId="52C23498" w14:textId="77777777" w:rsidR="00EE658C" w:rsidRPr="00EE658C" w:rsidRDefault="00EE658C" w:rsidP="00EE658C">
      <w:pPr>
        <w:spacing w:line="240" w:lineRule="auto"/>
        <w:rPr>
          <w:rFonts w:eastAsia="Times New Roman" w:cs="Arial"/>
          <w:color w:val="000000"/>
          <w:u w:val="single"/>
          <w:lang w:eastAsia="bg-BG"/>
        </w:rPr>
      </w:pPr>
    </w:p>
    <w:p w14:paraId="39937A3D" w14:textId="3EC2D069" w:rsidR="00EE658C" w:rsidRPr="00EE658C" w:rsidRDefault="00EE658C" w:rsidP="00EE658C">
      <w:pPr>
        <w:spacing w:line="240" w:lineRule="auto"/>
        <w:rPr>
          <w:rFonts w:eastAsia="Times New Roman" w:cs="Arial"/>
          <w:sz w:val="24"/>
          <w:szCs w:val="24"/>
        </w:rPr>
      </w:pPr>
      <w:r w:rsidRPr="00EE658C">
        <w:rPr>
          <w:rFonts w:eastAsia="Times New Roman" w:cs="Arial"/>
          <w:color w:val="000000"/>
          <w:u w:val="single"/>
          <w:lang w:eastAsia="bg-BG"/>
        </w:rPr>
        <w:t>Специални групи пациенти</w:t>
      </w:r>
    </w:p>
    <w:p w14:paraId="68F61469" w14:textId="77777777" w:rsidR="00EE658C" w:rsidRPr="00EE658C" w:rsidRDefault="00EE658C" w:rsidP="00EE658C">
      <w:pPr>
        <w:spacing w:line="240" w:lineRule="auto"/>
        <w:rPr>
          <w:rFonts w:eastAsia="Times New Roman" w:cs="Arial"/>
          <w:color w:val="000000"/>
          <w:lang w:eastAsia="bg-BG"/>
        </w:rPr>
      </w:pPr>
    </w:p>
    <w:p w14:paraId="69C53D6A" w14:textId="022B2610"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Деца</w:t>
      </w:r>
    </w:p>
    <w:p w14:paraId="7DE922B6" w14:textId="77777777" w:rsidR="00EE658C" w:rsidRPr="00EE658C" w:rsidRDefault="00EE658C" w:rsidP="00EE658C">
      <w:pPr>
        <w:rPr>
          <w:rFonts w:eastAsia="Times New Roman" w:cs="Arial"/>
          <w:sz w:val="24"/>
          <w:szCs w:val="24"/>
        </w:rPr>
      </w:pPr>
      <w:r w:rsidRPr="00EE658C">
        <w:rPr>
          <w:rFonts w:eastAsia="Times New Roman" w:cs="Arial"/>
          <w:color w:val="000000"/>
          <w:lang w:eastAsia="bg-BG"/>
        </w:rPr>
        <w:t>При определяне на клирънса спрямо телесното тегло, при деца се установяват по-високи стойности от тези при възрастни, като най-високи са при лица под 5 години. Времето на полуживот на ламотрижин при деца най-общо е по-малко от това при възрастни като средната</w:t>
      </w:r>
      <w:r w:rsidRPr="00EE658C">
        <w:rPr>
          <w:rFonts w:eastAsia="Times New Roman" w:cs="Arial"/>
          <w:color w:val="000000"/>
          <w:lang w:val="ru-RU" w:eastAsia="bg-BG"/>
        </w:rPr>
        <w:t xml:space="preserve"> </w:t>
      </w:r>
      <w:r w:rsidRPr="00EE658C">
        <w:rPr>
          <w:rFonts w:eastAsia="Times New Roman" w:cs="Arial"/>
          <w:color w:val="000000"/>
          <w:lang w:eastAsia="bg-BG"/>
        </w:rPr>
        <w:t>стойност е приблизително 7 часа при прилагане с лекарствени продукти, които индуцират ензимни системи като карбамазепин и фенитоин и се удължава до средни стойности от 45 до 50 часа при едновременно прилагане само с валпроат (вж. точка 4.2).</w:t>
      </w:r>
    </w:p>
    <w:p w14:paraId="448334EB" w14:textId="77777777" w:rsidR="00EE658C" w:rsidRPr="00EE658C" w:rsidRDefault="00EE658C" w:rsidP="00EE658C">
      <w:pPr>
        <w:spacing w:line="240" w:lineRule="auto"/>
        <w:rPr>
          <w:rFonts w:eastAsia="Times New Roman" w:cs="Arial"/>
          <w:i/>
          <w:iCs/>
          <w:color w:val="000000"/>
          <w:lang w:eastAsia="bg-BG"/>
        </w:rPr>
      </w:pPr>
    </w:p>
    <w:p w14:paraId="73E5A064" w14:textId="648E5C99" w:rsidR="00EE658C" w:rsidRPr="00EE658C" w:rsidRDefault="00EE658C" w:rsidP="00EE658C">
      <w:pPr>
        <w:spacing w:line="240" w:lineRule="auto"/>
        <w:rPr>
          <w:rFonts w:eastAsia="Times New Roman" w:cs="Arial"/>
          <w:sz w:val="24"/>
          <w:szCs w:val="24"/>
        </w:rPr>
      </w:pPr>
      <w:r w:rsidRPr="00EE658C">
        <w:rPr>
          <w:rFonts w:eastAsia="Times New Roman" w:cs="Arial"/>
          <w:i/>
          <w:iCs/>
          <w:color w:val="000000"/>
          <w:lang w:eastAsia="bg-BG"/>
        </w:rPr>
        <w:t>Малки деца на възраст от 2 до 26 месеца</w:t>
      </w:r>
    </w:p>
    <w:p w14:paraId="4B471B55"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При 143 педиатрични пациенти на възраст от 2 до 26 месеца, тежащи от 3 до 16 </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клирънсът е намален в сравнение с по-големи деца със същото телесно тегло, приемащи подобни перорални дози на </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телесно тегло като децата, по-големи от 2 години. Средното време на полуживот е изчислено на 23 часа при децата на възраст под 26 месеца, които са на терапия с ензимни индуктори, на 136 часа при едновременно прилагане с валпроат и на 38 часа при лица, лекувани без ензимни индуктори/инхибитбри. Интериндивидуалната вариабилност на пероралния клирънс е по-голяма в групата на педиатричните пациенти на 2 до 26 месеца (47%).</w:t>
      </w:r>
    </w:p>
    <w:p w14:paraId="01F0613A"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Предполагаемите стойности на серумна концентрация при деца от 2 до 26 месеца като цяло са в същия интервал като при по-големите деца, въпреки че при някои деца с телесно тегло под 10 </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може да се установят по-високи С</w:t>
      </w:r>
      <w:r w:rsidRPr="00EE658C">
        <w:rPr>
          <w:rFonts w:eastAsia="Times New Roman" w:cs="Arial"/>
          <w:color w:val="000000"/>
          <w:vertAlign w:val="subscript"/>
          <w:lang w:val="en-US"/>
        </w:rPr>
        <w:t>max</w:t>
      </w:r>
      <w:r w:rsidRPr="00EE658C">
        <w:rPr>
          <w:rFonts w:eastAsia="Times New Roman" w:cs="Arial"/>
          <w:color w:val="000000"/>
          <w:lang w:eastAsia="bg-BG"/>
        </w:rPr>
        <w:t xml:space="preserve"> нива.</w:t>
      </w:r>
    </w:p>
    <w:p w14:paraId="14E2EE7D" w14:textId="77777777" w:rsidR="00EE658C" w:rsidRPr="00EE658C" w:rsidRDefault="00EE658C" w:rsidP="00EE658C">
      <w:pPr>
        <w:spacing w:line="240" w:lineRule="auto"/>
        <w:rPr>
          <w:rFonts w:eastAsia="Times New Roman" w:cs="Arial"/>
          <w:i/>
          <w:iCs/>
          <w:color w:val="000000"/>
          <w:lang w:eastAsia="bg-BG"/>
        </w:rPr>
      </w:pPr>
    </w:p>
    <w:p w14:paraId="7DCE9D46" w14:textId="78920551" w:rsidR="00EE658C" w:rsidRPr="00EE658C" w:rsidRDefault="00EE658C" w:rsidP="00EE658C">
      <w:pPr>
        <w:spacing w:line="240" w:lineRule="auto"/>
        <w:rPr>
          <w:rFonts w:eastAsia="Times New Roman" w:cs="Arial"/>
          <w:sz w:val="24"/>
          <w:szCs w:val="24"/>
        </w:rPr>
      </w:pPr>
      <w:r w:rsidRPr="00EE658C">
        <w:rPr>
          <w:rFonts w:eastAsia="Times New Roman" w:cs="Arial"/>
          <w:i/>
          <w:iCs/>
          <w:color w:val="000000"/>
          <w:lang w:eastAsia="bg-BG"/>
        </w:rPr>
        <w:t>Пациенти в старческа възраст</w:t>
      </w:r>
    </w:p>
    <w:p w14:paraId="7A7470E7"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Проведен е популационен фармакокинетичен анализ при млади пациенти и при пациенти в старческа възраст с епилепсия, които са включени в едни и същи изпитвания. При оценка на резултатите не се установяват клинично значими промени в клирънса на ламотрижин. При прием на еднократна доза се установяват с 12 % по-ниски стойности на привидния клирънс, като съответно за 20 годишна възраст са около 35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 xml:space="preserve">, </w:t>
      </w:r>
      <w:r w:rsidRPr="00EE658C">
        <w:rPr>
          <w:rFonts w:eastAsia="Times New Roman" w:cs="Arial"/>
          <w:color w:val="000000"/>
          <w:lang w:eastAsia="bg-BG"/>
        </w:rPr>
        <w:t xml:space="preserve">докато при пациенти на 70 годишна възраст са 31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 xml:space="preserve">. </w:t>
      </w:r>
      <w:r w:rsidRPr="00EE658C">
        <w:rPr>
          <w:rFonts w:eastAsia="Times New Roman" w:cs="Arial"/>
          <w:color w:val="000000"/>
          <w:lang w:eastAsia="bg-BG"/>
        </w:rPr>
        <w:t xml:space="preserve">Понижаване от 10 % се установява след лечение в продължение на 48 седмици, като стойностите съответно са от 41 до 37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 xml:space="preserve"> </w:t>
      </w:r>
      <w:r w:rsidRPr="00EE658C">
        <w:rPr>
          <w:rFonts w:eastAsia="Times New Roman" w:cs="Arial"/>
          <w:color w:val="000000"/>
          <w:lang w:eastAsia="bg-BG"/>
        </w:rPr>
        <w:t xml:space="preserve">за двете възрастови групи. Проведени са и проучвания на фармакокинетиката на ламотрижин след еднократен прием на 150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xml:space="preserve">при 12 здрави лица в старческа възраст. Средните стойности на клирънса при тези пациенти (0,39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са в рамките на стойностите (0,31 до 0,65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установени след проведени девет клинични </w:t>
      </w:r>
      <w:r w:rsidRPr="00EE658C">
        <w:rPr>
          <w:rFonts w:eastAsia="Times New Roman" w:cs="Arial"/>
          <w:color w:val="000000"/>
          <w:lang w:eastAsia="bg-BG"/>
        </w:rPr>
        <w:lastRenderedPageBreak/>
        <w:t xml:space="preserve">изследвания при възрастни (които не са в старческа възраст), след прилагане на единични дози от 30 до 450 </w:t>
      </w:r>
      <w:r w:rsidRPr="00EE658C">
        <w:rPr>
          <w:rFonts w:eastAsia="Times New Roman" w:cs="Arial"/>
          <w:color w:val="000000"/>
          <w:lang w:val="en-US"/>
        </w:rPr>
        <w:t>mg</w:t>
      </w:r>
      <w:r w:rsidRPr="00EE658C">
        <w:rPr>
          <w:rFonts w:eastAsia="Times New Roman" w:cs="Arial"/>
          <w:color w:val="000000"/>
          <w:lang w:val="ru-RU"/>
        </w:rPr>
        <w:t>.</w:t>
      </w:r>
    </w:p>
    <w:p w14:paraId="2135711F" w14:textId="77777777" w:rsidR="00EE658C" w:rsidRPr="00EE658C" w:rsidRDefault="00EE658C" w:rsidP="00EE658C">
      <w:pPr>
        <w:spacing w:line="240" w:lineRule="auto"/>
        <w:rPr>
          <w:rFonts w:eastAsia="Times New Roman" w:cs="Arial"/>
          <w:i/>
          <w:iCs/>
          <w:color w:val="000000"/>
          <w:lang w:eastAsia="bg-BG"/>
        </w:rPr>
      </w:pPr>
    </w:p>
    <w:p w14:paraId="601C4307" w14:textId="60E3E0D7" w:rsidR="00EE658C" w:rsidRPr="00EE658C" w:rsidRDefault="00EE658C" w:rsidP="00EE658C">
      <w:pPr>
        <w:spacing w:line="240" w:lineRule="auto"/>
        <w:rPr>
          <w:rFonts w:eastAsia="Times New Roman" w:cs="Arial"/>
          <w:sz w:val="24"/>
          <w:szCs w:val="24"/>
        </w:rPr>
      </w:pPr>
      <w:r w:rsidRPr="00EE658C">
        <w:rPr>
          <w:rFonts w:eastAsia="Times New Roman" w:cs="Arial"/>
          <w:i/>
          <w:iCs/>
          <w:color w:val="000000"/>
          <w:lang w:eastAsia="bg-BG"/>
        </w:rPr>
        <w:t>Бъбречно увреждане</w:t>
      </w:r>
    </w:p>
    <w:p w14:paraId="37446026"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На дванадесет доброволци с хронична бъбречна недостатъчност и на други шест пациенти на хемодиализа е била приложена еднократна доза от 100 </w:t>
      </w:r>
      <w:r w:rsidRPr="00EE658C">
        <w:rPr>
          <w:rFonts w:eastAsia="Times New Roman" w:cs="Arial"/>
          <w:color w:val="000000"/>
          <w:lang w:val="en-US"/>
        </w:rPr>
        <w:t>mg</w:t>
      </w:r>
      <w:r w:rsidRPr="00EE658C">
        <w:rPr>
          <w:rFonts w:eastAsia="Times New Roman" w:cs="Arial"/>
          <w:color w:val="000000"/>
          <w:lang w:val="ru-RU"/>
        </w:rPr>
        <w:t xml:space="preserve"> </w:t>
      </w:r>
      <w:r w:rsidRPr="00EE658C">
        <w:rPr>
          <w:rFonts w:eastAsia="Times New Roman" w:cs="Arial"/>
          <w:color w:val="000000"/>
          <w:lang w:eastAsia="bg-BG"/>
        </w:rPr>
        <w:t xml:space="preserve">ламотрижин. Средните стойности на клирънса са 0,42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(хронична бъбречна недостатъчност), 0,33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(в периода между хемодиализните сесии) и 1,57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(по време на хемодиализа), в сравнение с 0,58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при здрави доброволци. Средното време на полуживот на ламотрижин в плазмата е 42,9 часа (хронична бъбречна недостатъчност), 57,4 часа (между хемодиализите) и 13,0 часа (по време на хемодиализа), в сравнение с 26,2 часа при здрави доброволци. Средно, приблизително 20% (между 5,6 и 35,1) от количеството ламотрижин, налично в тялото, е било елиминирано по време на 4-часова хемодиализа. За тази група пациенти началните дози ламотрижин трябва да се определят според съпътстващия прием на лекарствени продукти. Намалени поддържащи дози могат да бъдат ефикасни при пациенти със значително увреждане на бъбречната функция (вж. точки 4.2 и 4.4).</w:t>
      </w:r>
    </w:p>
    <w:p w14:paraId="5E722115" w14:textId="77777777" w:rsidR="00EE658C" w:rsidRPr="00EE658C" w:rsidRDefault="00EE658C" w:rsidP="00EE658C">
      <w:pPr>
        <w:spacing w:line="240" w:lineRule="auto"/>
        <w:rPr>
          <w:rFonts w:eastAsia="Times New Roman" w:cs="Arial"/>
          <w:i/>
          <w:iCs/>
          <w:color w:val="000000"/>
          <w:lang w:eastAsia="bg-BG"/>
        </w:rPr>
      </w:pPr>
    </w:p>
    <w:p w14:paraId="55296E44" w14:textId="1A418403" w:rsidR="00EE658C" w:rsidRPr="00EE658C" w:rsidRDefault="00EE658C" w:rsidP="00EE658C">
      <w:pPr>
        <w:spacing w:line="240" w:lineRule="auto"/>
        <w:rPr>
          <w:rFonts w:eastAsia="Times New Roman" w:cs="Arial"/>
          <w:sz w:val="24"/>
          <w:szCs w:val="24"/>
        </w:rPr>
      </w:pPr>
      <w:r w:rsidRPr="00EE658C">
        <w:rPr>
          <w:rFonts w:eastAsia="Times New Roman" w:cs="Arial"/>
          <w:i/>
          <w:iCs/>
          <w:color w:val="000000"/>
          <w:lang w:eastAsia="bg-BG"/>
        </w:rPr>
        <w:t>Чернодробно увреждане</w:t>
      </w:r>
    </w:p>
    <w:p w14:paraId="31780617"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При 24 лица с различна степен на чернодробно увреждане и 12 здрави контроли е проведено фармакокинетично проучване с прилагане на еднократна доза ламотрижин. Медианата на привидния клирънс на ламотрижин е била 0,31,0,24 или 0,10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 xml:space="preserve">при пациентите с чернодробно увреждане степен А, В, или С </w:t>
      </w:r>
      <w:r w:rsidRPr="00EE658C">
        <w:rPr>
          <w:rFonts w:eastAsia="Times New Roman" w:cs="Arial"/>
          <w:color w:val="000000"/>
          <w:lang w:val="ru-RU"/>
        </w:rPr>
        <w:t>(</w:t>
      </w:r>
      <w:r w:rsidRPr="00EE658C">
        <w:rPr>
          <w:rFonts w:eastAsia="Times New Roman" w:cs="Arial"/>
          <w:color w:val="000000"/>
          <w:lang w:val="en-US"/>
        </w:rPr>
        <w:t>Child</w:t>
      </w:r>
      <w:r w:rsidRPr="00EE658C">
        <w:rPr>
          <w:rFonts w:eastAsia="Times New Roman" w:cs="Arial"/>
          <w:color w:val="000000"/>
          <w:lang w:val="ru-RU"/>
        </w:rPr>
        <w:t xml:space="preserve"> </w:t>
      </w:r>
      <w:r w:rsidRPr="00EE658C">
        <w:rPr>
          <w:rFonts w:eastAsia="Times New Roman" w:cs="Arial"/>
          <w:color w:val="000000"/>
          <w:lang w:eastAsia="bg-BG"/>
        </w:rPr>
        <w:t xml:space="preserve">- </w:t>
      </w:r>
      <w:r w:rsidRPr="00EE658C">
        <w:rPr>
          <w:rFonts w:eastAsia="Times New Roman" w:cs="Arial"/>
          <w:color w:val="000000"/>
          <w:lang w:val="en-US"/>
        </w:rPr>
        <w:t>Pugh</w:t>
      </w:r>
      <w:r w:rsidRPr="00EE658C">
        <w:rPr>
          <w:rFonts w:eastAsia="Times New Roman" w:cs="Arial"/>
          <w:color w:val="000000"/>
          <w:lang w:val="ru-RU"/>
        </w:rPr>
        <w:t xml:space="preserve"> </w:t>
      </w:r>
      <w:r w:rsidRPr="00EE658C">
        <w:rPr>
          <w:rFonts w:eastAsia="Times New Roman" w:cs="Arial"/>
          <w:color w:val="000000"/>
          <w:lang w:eastAsia="bg-BG"/>
        </w:rPr>
        <w:t xml:space="preserve">класификация) съответно, сравнена с 0,34 </w:t>
      </w:r>
      <w:r w:rsidRPr="00EE658C">
        <w:rPr>
          <w:rFonts w:eastAsia="Times New Roman" w:cs="Arial"/>
          <w:color w:val="000000"/>
          <w:lang w:val="en-US"/>
        </w:rPr>
        <w:t>ml</w:t>
      </w:r>
      <w:r w:rsidRPr="00EE658C">
        <w:rPr>
          <w:rFonts w:eastAsia="Times New Roman" w:cs="Arial"/>
          <w:color w:val="000000"/>
          <w:lang w:val="ru-RU"/>
        </w:rPr>
        <w:t>/</w:t>
      </w:r>
      <w:r w:rsidRPr="00EE658C">
        <w:rPr>
          <w:rFonts w:eastAsia="Times New Roman" w:cs="Arial"/>
          <w:color w:val="000000"/>
          <w:lang w:val="en-US"/>
        </w:rPr>
        <w:t>min</w:t>
      </w:r>
      <w:r w:rsidRPr="00EE658C">
        <w:rPr>
          <w:rFonts w:eastAsia="Times New Roman" w:cs="Arial"/>
          <w:color w:val="000000"/>
          <w:lang w:val="ru-RU"/>
        </w:rPr>
        <w:t>/</w:t>
      </w:r>
      <w:r w:rsidRPr="00EE658C">
        <w:rPr>
          <w:rFonts w:eastAsia="Times New Roman" w:cs="Arial"/>
          <w:color w:val="000000"/>
          <w:lang w:val="en-US"/>
        </w:rPr>
        <w:t>kg</w:t>
      </w:r>
      <w:r w:rsidRPr="00EE658C">
        <w:rPr>
          <w:rFonts w:eastAsia="Times New Roman" w:cs="Arial"/>
          <w:color w:val="000000"/>
          <w:lang w:val="ru-RU"/>
        </w:rPr>
        <w:t xml:space="preserve"> </w:t>
      </w:r>
      <w:r w:rsidRPr="00EE658C">
        <w:rPr>
          <w:rFonts w:eastAsia="Times New Roman" w:cs="Arial"/>
          <w:color w:val="000000"/>
          <w:lang w:eastAsia="bg-BG"/>
        </w:rPr>
        <w:t>при здравите контроли. Началната доза, дозата при повишаване и поддържащата доза трябва да бъдат редуцирани при пациенти с умерено или тежко чернодробно увреждане (вж. точка 4.2).</w:t>
      </w:r>
    </w:p>
    <w:p w14:paraId="20E1F344" w14:textId="4C5FDBF9" w:rsidR="00EE658C" w:rsidRPr="00EE658C" w:rsidRDefault="00EE658C" w:rsidP="00EE658C"/>
    <w:p w14:paraId="4FB791BE" w14:textId="239B4A13" w:rsidR="00B6672E" w:rsidRDefault="002C50EE" w:rsidP="00936AD0">
      <w:pPr>
        <w:pStyle w:val="Heading2"/>
      </w:pPr>
      <w:r>
        <w:t>5.3. Предклинични данни за безопасност</w:t>
      </w:r>
    </w:p>
    <w:p w14:paraId="1775872F" w14:textId="12CFC61B" w:rsidR="00EE658C" w:rsidRDefault="00EE658C" w:rsidP="00EE658C"/>
    <w:p w14:paraId="0D29D56D" w14:textId="777777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Неклиничните данни не показват особен риск за хора на база на конвенционалните фармакологични проучвания за безопасност, проучвания за токсичност при многократно прилагане, генотоксичност и карциногенен потенциал.</w:t>
      </w:r>
    </w:p>
    <w:p w14:paraId="525E1D25" w14:textId="77777777" w:rsidR="00EE658C" w:rsidRPr="00EE658C" w:rsidRDefault="00EE658C" w:rsidP="00EE658C">
      <w:pPr>
        <w:spacing w:line="240" w:lineRule="auto"/>
        <w:rPr>
          <w:rFonts w:eastAsia="Times New Roman" w:cs="Arial"/>
          <w:color w:val="000000"/>
          <w:lang w:eastAsia="bg-BG"/>
        </w:rPr>
      </w:pPr>
    </w:p>
    <w:p w14:paraId="18ED78E9" w14:textId="4FAA4677"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При проучванията за репродуктивна токсичност и токсичност върху развитието при гризачи и зайци, не са наблюдавани тератогенни ефекти, но са установени понижено фетално тегло и забавяне на скелетната осификация при нива на експозиция, по-малки или сходни с очакваните при клинична експозиция. Тъй като по-високи нива на експозиция не биха могли да бъдат изследвани при животни поради тежкото токсично въздействие върху майчиния организъм, тератогенният потенциал на ламотрижин не е характеризиран над клиничната експозиция.</w:t>
      </w:r>
    </w:p>
    <w:p w14:paraId="75E413E5" w14:textId="77777777" w:rsidR="00EE658C" w:rsidRPr="00EE658C" w:rsidRDefault="00EE658C" w:rsidP="00EE658C">
      <w:pPr>
        <w:spacing w:line="240" w:lineRule="auto"/>
        <w:rPr>
          <w:rFonts w:eastAsia="Times New Roman" w:cs="Arial"/>
          <w:color w:val="000000"/>
          <w:lang w:eastAsia="bg-BG"/>
        </w:rPr>
      </w:pPr>
    </w:p>
    <w:p w14:paraId="694452F7" w14:textId="7F90ED14"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При плъхове е наблюдавано увеличение на феталната и постнаталната смъртност при прилагане на ламотрижин през късния гестационен и ранния постнатален период. Тези ефекти са били наблюдавани при очакваната клинична експозиция.</w:t>
      </w:r>
    </w:p>
    <w:p w14:paraId="1EC2DF95" w14:textId="77777777" w:rsidR="00EE658C" w:rsidRPr="00EE658C" w:rsidRDefault="00EE658C" w:rsidP="00EE658C">
      <w:pPr>
        <w:spacing w:line="240" w:lineRule="auto"/>
        <w:rPr>
          <w:rFonts w:eastAsia="Times New Roman" w:cs="Arial"/>
          <w:color w:val="000000"/>
          <w:lang w:eastAsia="bg-BG"/>
        </w:rPr>
      </w:pPr>
    </w:p>
    <w:p w14:paraId="7D2FC324" w14:textId="49DC2D4E"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При плъхове в ювенилна възраст са наблюдавани ефект върху обучението при </w:t>
      </w:r>
      <w:r w:rsidRPr="00EE658C">
        <w:rPr>
          <w:rFonts w:eastAsia="Times New Roman" w:cs="Arial"/>
          <w:color w:val="000000"/>
          <w:lang w:val="en-US"/>
        </w:rPr>
        <w:t>Biel</w:t>
      </w:r>
      <w:r w:rsidRPr="00EE658C">
        <w:rPr>
          <w:rFonts w:eastAsia="Times New Roman" w:cs="Arial"/>
          <w:color w:val="000000"/>
          <w:lang w:val="ru-RU"/>
        </w:rPr>
        <w:t xml:space="preserve"> </w:t>
      </w:r>
      <w:r w:rsidRPr="00EE658C">
        <w:rPr>
          <w:rFonts w:eastAsia="Times New Roman" w:cs="Arial"/>
          <w:color w:val="000000"/>
          <w:lang w:val="en-US"/>
        </w:rPr>
        <w:t>maze</w:t>
      </w:r>
      <w:r w:rsidRPr="00EE658C">
        <w:rPr>
          <w:rFonts w:eastAsia="Times New Roman" w:cs="Arial"/>
          <w:color w:val="000000"/>
          <w:lang w:val="ru-RU"/>
        </w:rPr>
        <w:t xml:space="preserve"> </w:t>
      </w:r>
      <w:r w:rsidRPr="00EE658C">
        <w:rPr>
          <w:rFonts w:eastAsia="Times New Roman" w:cs="Arial"/>
          <w:color w:val="000000"/>
          <w:lang w:eastAsia="bg-BG"/>
        </w:rPr>
        <w:t xml:space="preserve">теста, леко забавяне на балано-препуциалната сепарация и на вагиналната проходимост, както и намалено наддаване на тегло след раждането при </w:t>
      </w:r>
      <w:r w:rsidRPr="00EE658C">
        <w:rPr>
          <w:rFonts w:eastAsia="Times New Roman" w:cs="Arial"/>
          <w:color w:val="000000"/>
          <w:lang w:val="en-US"/>
        </w:rPr>
        <w:t>F</w:t>
      </w:r>
      <w:r w:rsidRPr="00EE658C">
        <w:rPr>
          <w:rFonts w:eastAsia="Times New Roman" w:cs="Arial"/>
          <w:color w:val="000000"/>
          <w:lang w:val="ru-RU"/>
        </w:rPr>
        <w:t xml:space="preserve">1 </w:t>
      </w:r>
      <w:r w:rsidRPr="00EE658C">
        <w:rPr>
          <w:rFonts w:eastAsia="Times New Roman" w:cs="Arial"/>
          <w:color w:val="000000"/>
          <w:lang w:eastAsia="bg-BG"/>
        </w:rPr>
        <w:t>животни при експозиции, приблизително два пъти по-високи от терапевтичните експозиции при хора, въз основа на телесната повърхност.</w:t>
      </w:r>
    </w:p>
    <w:p w14:paraId="10F04975" w14:textId="77777777" w:rsidR="00EE658C" w:rsidRPr="00EE658C" w:rsidRDefault="00EE658C" w:rsidP="00EE658C">
      <w:pPr>
        <w:spacing w:line="240" w:lineRule="auto"/>
        <w:rPr>
          <w:rFonts w:eastAsia="Times New Roman" w:cs="Arial"/>
          <w:color w:val="000000"/>
          <w:lang w:eastAsia="bg-BG"/>
        </w:rPr>
      </w:pPr>
    </w:p>
    <w:p w14:paraId="1CCE7FBA" w14:textId="77777777" w:rsidR="00EE658C" w:rsidRPr="00EE658C" w:rsidRDefault="00EE658C" w:rsidP="00EE658C">
      <w:pPr>
        <w:spacing w:line="240" w:lineRule="auto"/>
        <w:rPr>
          <w:rFonts w:eastAsia="Times New Roman" w:cs="Arial"/>
          <w:color w:val="000000"/>
          <w:lang w:eastAsia="bg-BG"/>
        </w:rPr>
      </w:pPr>
      <w:r w:rsidRPr="00EE658C">
        <w:rPr>
          <w:rFonts w:eastAsia="Times New Roman" w:cs="Arial"/>
          <w:color w:val="000000"/>
          <w:lang w:eastAsia="bg-BG"/>
        </w:rPr>
        <w:t xml:space="preserve">Опитите при животни не показват неблагоприятни ефекти на ламотрижин върху фертилитета. </w:t>
      </w:r>
    </w:p>
    <w:p w14:paraId="2C5E2E1F" w14:textId="6D3EC9BE"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Ламотрижин е довел до намаляване на феталните нива на фолиева киселина при плъхове. Смята се, че дефицитът на фолиева киселина е свързан с повишен риск от вродени малформации при животни и хора.</w:t>
      </w:r>
    </w:p>
    <w:p w14:paraId="53EFA019" w14:textId="77777777" w:rsidR="00EE658C" w:rsidRPr="00EE658C" w:rsidRDefault="00EE658C" w:rsidP="00EE658C">
      <w:pPr>
        <w:spacing w:line="240" w:lineRule="auto"/>
        <w:rPr>
          <w:rFonts w:eastAsia="Times New Roman" w:cs="Arial"/>
          <w:color w:val="000000"/>
          <w:lang w:eastAsia="bg-BG"/>
        </w:rPr>
      </w:pPr>
    </w:p>
    <w:p w14:paraId="341C206C" w14:textId="3906C63B"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Ламотрижин води до дозозависимо инхибиране на </w:t>
      </w:r>
      <w:r w:rsidRPr="00EE658C">
        <w:rPr>
          <w:rFonts w:eastAsia="Times New Roman" w:cs="Arial"/>
          <w:color w:val="000000"/>
          <w:lang w:val="en-US"/>
        </w:rPr>
        <w:t>hERG</w:t>
      </w:r>
      <w:r w:rsidRPr="00EE658C">
        <w:rPr>
          <w:rFonts w:eastAsia="Times New Roman" w:cs="Arial"/>
          <w:color w:val="000000"/>
          <w:lang w:val="ru-RU"/>
        </w:rPr>
        <w:t xml:space="preserve"> </w:t>
      </w:r>
      <w:r w:rsidRPr="00EE658C">
        <w:rPr>
          <w:rFonts w:eastAsia="Times New Roman" w:cs="Arial"/>
          <w:color w:val="000000"/>
          <w:lang w:eastAsia="bg-BG"/>
        </w:rPr>
        <w:t xml:space="preserve">каналчета при човешки ембрионални бъбречни клетки. </w:t>
      </w:r>
      <w:r w:rsidRPr="00EE658C">
        <w:rPr>
          <w:rFonts w:eastAsia="Times New Roman" w:cs="Arial"/>
          <w:color w:val="000000"/>
          <w:lang w:val="en-US"/>
        </w:rPr>
        <w:t>IC</w:t>
      </w:r>
      <w:r w:rsidRPr="00EE658C">
        <w:rPr>
          <w:rFonts w:eastAsia="Times New Roman" w:cs="Arial"/>
          <w:color w:val="000000"/>
          <w:lang w:val="ru-RU"/>
        </w:rPr>
        <w:t xml:space="preserve">50 </w:t>
      </w:r>
      <w:r w:rsidRPr="00EE658C">
        <w:rPr>
          <w:rFonts w:eastAsia="Times New Roman" w:cs="Arial"/>
          <w:color w:val="000000"/>
          <w:lang w:eastAsia="bg-BG"/>
        </w:rPr>
        <w:t xml:space="preserve">е приблизително девет пъти над максималната терапевтична свободна концентрация. Ламотрижин не предизвиква удължаване на </w:t>
      </w:r>
      <w:r w:rsidRPr="00EE658C">
        <w:rPr>
          <w:rFonts w:eastAsia="Times New Roman" w:cs="Arial"/>
          <w:color w:val="000000"/>
          <w:lang w:val="en-US"/>
        </w:rPr>
        <w:t>QT</w:t>
      </w:r>
      <w:r w:rsidRPr="00EE658C">
        <w:rPr>
          <w:rFonts w:eastAsia="Times New Roman" w:cs="Arial"/>
          <w:color w:val="000000"/>
          <w:lang w:val="ru-RU"/>
        </w:rPr>
        <w:t xml:space="preserve"> </w:t>
      </w:r>
      <w:r w:rsidRPr="00EE658C">
        <w:rPr>
          <w:rFonts w:eastAsia="Times New Roman" w:cs="Arial"/>
          <w:color w:val="000000"/>
          <w:lang w:eastAsia="bg-BG"/>
        </w:rPr>
        <w:t xml:space="preserve">интервала при животни при експозиции приблизително до два пъти над максималната терапевтична свободна концентрация. При клинично проучване със здрави възрастни доброволци не е наблюдаван клинично значим ефект на ламотрижин върху </w:t>
      </w:r>
      <w:r w:rsidRPr="00EE658C">
        <w:rPr>
          <w:rFonts w:eastAsia="Times New Roman" w:cs="Arial"/>
          <w:color w:val="000000"/>
          <w:lang w:val="en-US"/>
        </w:rPr>
        <w:t>QT</w:t>
      </w:r>
      <w:r w:rsidRPr="00EE658C">
        <w:rPr>
          <w:rFonts w:eastAsia="Times New Roman" w:cs="Arial"/>
          <w:color w:val="000000"/>
          <w:lang w:val="ru-RU"/>
        </w:rPr>
        <w:t xml:space="preserve"> </w:t>
      </w:r>
      <w:r w:rsidRPr="00EE658C">
        <w:rPr>
          <w:rFonts w:eastAsia="Times New Roman" w:cs="Arial"/>
          <w:color w:val="000000"/>
          <w:lang w:eastAsia="bg-BG"/>
        </w:rPr>
        <w:t>интервала (вж. точка 5.1).</w:t>
      </w:r>
    </w:p>
    <w:p w14:paraId="15CFD5A3" w14:textId="77777777" w:rsidR="00EE658C" w:rsidRPr="00EE658C" w:rsidRDefault="00EE658C" w:rsidP="00EE658C">
      <w:pPr>
        <w:spacing w:line="240" w:lineRule="auto"/>
        <w:rPr>
          <w:rFonts w:eastAsia="Times New Roman" w:cs="Arial"/>
          <w:color w:val="000000"/>
          <w:lang w:eastAsia="bg-BG"/>
        </w:rPr>
      </w:pPr>
    </w:p>
    <w:p w14:paraId="36149BD0" w14:textId="2ADDB0AE" w:rsidR="00EE658C" w:rsidRPr="00EE658C" w:rsidRDefault="00EE658C" w:rsidP="00EE658C">
      <w:pPr>
        <w:spacing w:line="240" w:lineRule="auto"/>
        <w:rPr>
          <w:rFonts w:eastAsia="Times New Roman" w:cs="Arial"/>
          <w:sz w:val="24"/>
          <w:szCs w:val="24"/>
        </w:rPr>
      </w:pPr>
      <w:r w:rsidRPr="00EE658C">
        <w:rPr>
          <w:rFonts w:eastAsia="Times New Roman" w:cs="Arial"/>
          <w:color w:val="000000"/>
          <w:lang w:eastAsia="bg-BG"/>
        </w:rPr>
        <w:t xml:space="preserve">Проучвания </w:t>
      </w:r>
      <w:r w:rsidRPr="00EE658C">
        <w:rPr>
          <w:rFonts w:eastAsia="Times New Roman" w:cs="Arial"/>
          <w:i/>
          <w:iCs/>
          <w:color w:val="000000"/>
          <w:lang w:val="en-US"/>
        </w:rPr>
        <w:t>in</w:t>
      </w:r>
      <w:r w:rsidRPr="00EE658C">
        <w:rPr>
          <w:rFonts w:eastAsia="Times New Roman" w:cs="Arial"/>
          <w:i/>
          <w:iCs/>
          <w:color w:val="000000"/>
          <w:lang w:val="ru-RU"/>
        </w:rPr>
        <w:t xml:space="preserve"> </w:t>
      </w:r>
      <w:r w:rsidRPr="00EE658C">
        <w:rPr>
          <w:rFonts w:eastAsia="Times New Roman" w:cs="Arial"/>
          <w:i/>
          <w:iCs/>
          <w:color w:val="000000"/>
          <w:lang w:val="en-US"/>
        </w:rPr>
        <w:t>vitro</w:t>
      </w:r>
      <w:r w:rsidRPr="00EE658C">
        <w:rPr>
          <w:rFonts w:eastAsia="Times New Roman" w:cs="Arial"/>
          <w:color w:val="000000"/>
          <w:lang w:val="ru-RU"/>
        </w:rPr>
        <w:t xml:space="preserve"> </w:t>
      </w:r>
      <w:r w:rsidRPr="00EE658C">
        <w:rPr>
          <w:rFonts w:eastAsia="Times New Roman" w:cs="Arial"/>
          <w:color w:val="000000"/>
          <w:lang w:eastAsia="bg-BG"/>
        </w:rPr>
        <w:t xml:space="preserve">показват, че в терапевтично значими концентрации ламотрижин проявява антиаритмично действие от клас </w:t>
      </w:r>
      <w:r w:rsidRPr="00EE658C">
        <w:rPr>
          <w:rFonts w:eastAsia="Times New Roman" w:cs="Arial"/>
          <w:color w:val="000000"/>
          <w:lang w:val="en-US"/>
        </w:rPr>
        <w:t>III</w:t>
      </w:r>
      <w:r w:rsidRPr="00EE658C">
        <w:rPr>
          <w:rFonts w:eastAsia="Times New Roman" w:cs="Arial"/>
          <w:color w:val="000000"/>
          <w:lang w:eastAsia="bg-BG"/>
        </w:rPr>
        <w:t xml:space="preserve">. хора той инхибира натриевите йонни канали в сърцето с кинетика с бързо настъпващи начало и край на действието и силна волтажна зависимост, подобно на други антиаритмични средства от клас </w:t>
      </w:r>
      <w:r w:rsidRPr="00EE658C">
        <w:rPr>
          <w:rFonts w:eastAsia="Times New Roman" w:cs="Arial"/>
          <w:color w:val="000000"/>
          <w:lang w:val="en-US"/>
        </w:rPr>
        <w:t>IB</w:t>
      </w:r>
      <w:r w:rsidRPr="00EE658C">
        <w:rPr>
          <w:rFonts w:eastAsia="Times New Roman" w:cs="Arial"/>
          <w:color w:val="000000"/>
          <w:lang w:val="ru-RU"/>
        </w:rPr>
        <w:t xml:space="preserve">. </w:t>
      </w:r>
      <w:r w:rsidRPr="00EE658C">
        <w:rPr>
          <w:rFonts w:eastAsia="Times New Roman" w:cs="Arial"/>
          <w:color w:val="000000"/>
          <w:lang w:eastAsia="bg-BG"/>
        </w:rPr>
        <w:t xml:space="preserve">В терапевтични дози ламотрижин не забавя камерната проводимост (разширяване на </w:t>
      </w:r>
      <w:r w:rsidRPr="00EE658C">
        <w:rPr>
          <w:rFonts w:eastAsia="Times New Roman" w:cs="Arial"/>
          <w:color w:val="000000"/>
          <w:lang w:val="en-US"/>
        </w:rPr>
        <w:t>QRS</w:t>
      </w:r>
      <w:r w:rsidRPr="00EE658C">
        <w:rPr>
          <w:rFonts w:eastAsia="Times New Roman" w:cs="Arial"/>
          <w:color w:val="000000"/>
          <w:lang w:val="ru-RU"/>
        </w:rPr>
        <w:t>)</w:t>
      </w:r>
      <w:r w:rsidRPr="00EE658C">
        <w:rPr>
          <w:rFonts w:eastAsia="Times New Roman" w:cs="Arial"/>
          <w:color w:val="000000"/>
          <w:lang w:eastAsia="bg-BG"/>
        </w:rPr>
        <w:t>при</w:t>
      </w:r>
      <w:r w:rsidRPr="00EE658C">
        <w:rPr>
          <w:rFonts w:eastAsia="Times New Roman" w:cs="Arial"/>
          <w:color w:val="000000"/>
          <w:lang w:val="ru-RU"/>
        </w:rPr>
        <w:t xml:space="preserve"> </w:t>
      </w:r>
      <w:r w:rsidRPr="00EE658C">
        <w:rPr>
          <w:rFonts w:eastAsia="Times New Roman" w:cs="Arial"/>
          <w:color w:val="000000"/>
          <w:lang w:eastAsia="bg-BG"/>
        </w:rPr>
        <w:t xml:space="preserve">здрави лица в цялостно проучване на </w:t>
      </w:r>
      <w:r w:rsidRPr="00EE658C">
        <w:rPr>
          <w:rFonts w:eastAsia="Times New Roman" w:cs="Arial"/>
          <w:color w:val="000000"/>
          <w:lang w:val="en-US"/>
        </w:rPr>
        <w:t>QT</w:t>
      </w:r>
      <w:r w:rsidRPr="00EE658C">
        <w:rPr>
          <w:rFonts w:eastAsia="Times New Roman" w:cs="Arial"/>
          <w:color w:val="000000"/>
          <w:lang w:val="ru-RU"/>
        </w:rPr>
        <w:t xml:space="preserve">, </w:t>
      </w:r>
      <w:r w:rsidRPr="00EE658C">
        <w:rPr>
          <w:rFonts w:eastAsia="Times New Roman" w:cs="Arial"/>
          <w:color w:val="000000"/>
          <w:lang w:eastAsia="bg-BG"/>
        </w:rPr>
        <w:t xml:space="preserve">но при пациенти с клинично значими структурни или функционални сърдечни заболявания ламотрижин може потенциално да забави камерната проводимост (разширяване на </w:t>
      </w:r>
      <w:r w:rsidRPr="00EE658C">
        <w:rPr>
          <w:rFonts w:eastAsia="Times New Roman" w:cs="Arial"/>
          <w:color w:val="000000"/>
          <w:lang w:val="en-US"/>
        </w:rPr>
        <w:t>QRS</w:t>
      </w:r>
      <w:r w:rsidRPr="00EE658C">
        <w:rPr>
          <w:rFonts w:eastAsia="Times New Roman" w:cs="Arial"/>
          <w:color w:val="000000"/>
          <w:lang w:val="ru-RU"/>
        </w:rPr>
        <w:t xml:space="preserve">) </w:t>
      </w:r>
      <w:r w:rsidRPr="00EE658C">
        <w:rPr>
          <w:rFonts w:eastAsia="Times New Roman" w:cs="Arial"/>
          <w:color w:val="000000"/>
          <w:lang w:eastAsia="bg-BG"/>
        </w:rPr>
        <w:t>и да предизвика проаритмия (вж. точка 4.4).</w:t>
      </w:r>
    </w:p>
    <w:p w14:paraId="47EFBDD8" w14:textId="77777777" w:rsidR="00EE658C" w:rsidRPr="00EE658C" w:rsidRDefault="00EE658C" w:rsidP="00EE658C"/>
    <w:p w14:paraId="1BA6531D" w14:textId="60F0C349" w:rsidR="00B6672E" w:rsidRDefault="002C50EE" w:rsidP="00936AD0">
      <w:pPr>
        <w:pStyle w:val="Heading1"/>
      </w:pPr>
      <w:r>
        <w:t>7. ПРИТЕЖАТЕЛ НА РАЗРЕШЕНИЕТО ЗА УПОТРЕБА</w:t>
      </w:r>
    </w:p>
    <w:p w14:paraId="0F80BAFD" w14:textId="58922BDD" w:rsidR="006D39BA" w:rsidRDefault="006D39BA" w:rsidP="006D39BA"/>
    <w:p w14:paraId="3B6A03D3" w14:textId="77777777" w:rsidR="006D39BA" w:rsidRPr="006D39BA" w:rsidRDefault="006D39BA" w:rsidP="006D39BA">
      <w:pPr>
        <w:rPr>
          <w:sz w:val="24"/>
          <w:szCs w:val="24"/>
        </w:rPr>
      </w:pPr>
      <w:r w:rsidRPr="006D39BA">
        <w:rPr>
          <w:lang w:eastAsia="bg-BG"/>
        </w:rPr>
        <w:t>Тева Фарма ЕАД</w:t>
      </w:r>
    </w:p>
    <w:p w14:paraId="6D218454" w14:textId="5FCFA9E0" w:rsidR="006D39BA" w:rsidRPr="006D39BA" w:rsidRDefault="006D39BA" w:rsidP="006D39BA">
      <w:pPr>
        <w:rPr>
          <w:sz w:val="24"/>
          <w:szCs w:val="24"/>
        </w:rPr>
      </w:pPr>
      <w:r>
        <w:rPr>
          <w:lang w:eastAsia="bg-BG"/>
        </w:rPr>
        <w:t>ул. „Люба Величкова“ № 9. 1</w:t>
      </w:r>
      <w:r w:rsidRPr="006D39BA">
        <w:rPr>
          <w:lang w:eastAsia="bg-BG"/>
        </w:rPr>
        <w:t>407 София</w:t>
      </w:r>
    </w:p>
    <w:p w14:paraId="7AA9A0B6" w14:textId="39DE70B8" w:rsidR="006D39BA" w:rsidRPr="006D39BA" w:rsidRDefault="006D39BA" w:rsidP="006D39BA">
      <w:r w:rsidRPr="006D39BA">
        <w:rPr>
          <w:lang w:eastAsia="bg-BG"/>
        </w:rPr>
        <w:t>България</w:t>
      </w:r>
    </w:p>
    <w:p w14:paraId="508F3A54" w14:textId="3CB4D0D0" w:rsidR="00B6672E" w:rsidRDefault="00936AD0" w:rsidP="00936AD0">
      <w:pPr>
        <w:pStyle w:val="Heading1"/>
      </w:pPr>
      <w:r>
        <w:t>8.</w:t>
      </w:r>
      <w:r w:rsidR="002C50EE">
        <w:t>НОМЕР НА РАЗРЕШЕНИЕТО ЗА УПОТРЕБА</w:t>
      </w:r>
    </w:p>
    <w:p w14:paraId="7FBB9E9D" w14:textId="5BC0F22E" w:rsidR="006D39BA" w:rsidRDefault="006D39BA" w:rsidP="006D39BA"/>
    <w:p w14:paraId="5D2749B0" w14:textId="77777777" w:rsidR="006D39BA" w:rsidRPr="006D39BA" w:rsidRDefault="006D39BA" w:rsidP="006D39BA">
      <w:pPr>
        <w:rPr>
          <w:sz w:val="24"/>
          <w:szCs w:val="24"/>
        </w:rPr>
      </w:pPr>
      <w:r w:rsidRPr="006D39BA">
        <w:rPr>
          <w:lang w:eastAsia="bg-BG"/>
        </w:rPr>
        <w:t xml:space="preserve">Епитрижин 50 </w:t>
      </w:r>
      <w:r w:rsidRPr="006D39BA">
        <w:rPr>
          <w:lang w:val="en-US"/>
        </w:rPr>
        <w:t>mg</w:t>
      </w:r>
      <w:r w:rsidRPr="006D39BA">
        <w:t xml:space="preserve"> </w:t>
      </w:r>
      <w:r w:rsidRPr="006D39BA">
        <w:rPr>
          <w:lang w:eastAsia="bg-BG"/>
        </w:rPr>
        <w:t xml:space="preserve">- </w:t>
      </w:r>
      <w:r w:rsidRPr="006D39BA">
        <w:rPr>
          <w:lang w:val="en-US"/>
        </w:rPr>
        <w:t>Per</w:t>
      </w:r>
      <w:r w:rsidRPr="006D39BA">
        <w:t xml:space="preserve">. </w:t>
      </w:r>
      <w:r w:rsidRPr="006D39BA">
        <w:rPr>
          <w:lang w:eastAsia="bg-BG"/>
        </w:rPr>
        <w:t>№ 20050166</w:t>
      </w:r>
    </w:p>
    <w:p w14:paraId="4742BCC1" w14:textId="77777777" w:rsidR="006D39BA" w:rsidRPr="006D39BA" w:rsidRDefault="006D39BA" w:rsidP="006D39BA">
      <w:pPr>
        <w:rPr>
          <w:sz w:val="24"/>
          <w:szCs w:val="24"/>
        </w:rPr>
      </w:pPr>
      <w:r w:rsidRPr="006D39BA">
        <w:rPr>
          <w:lang w:eastAsia="bg-BG"/>
        </w:rPr>
        <w:t xml:space="preserve">Епитрижин 100 </w:t>
      </w:r>
      <w:r w:rsidRPr="006D39BA">
        <w:rPr>
          <w:lang w:val="en-US"/>
        </w:rPr>
        <w:t>mg</w:t>
      </w:r>
      <w:r w:rsidRPr="006D39BA">
        <w:t xml:space="preserve"> </w:t>
      </w:r>
      <w:r w:rsidRPr="006D39BA">
        <w:rPr>
          <w:lang w:eastAsia="bg-BG"/>
        </w:rPr>
        <w:t xml:space="preserve">- </w:t>
      </w:r>
      <w:r w:rsidRPr="006D39BA">
        <w:rPr>
          <w:lang w:val="en-US"/>
        </w:rPr>
        <w:t>Per</w:t>
      </w:r>
      <w:r w:rsidRPr="006D39BA">
        <w:t xml:space="preserve">. </w:t>
      </w:r>
      <w:r w:rsidRPr="006D39BA">
        <w:rPr>
          <w:lang w:eastAsia="bg-BG"/>
        </w:rPr>
        <w:t>№ 20050167</w:t>
      </w:r>
    </w:p>
    <w:p w14:paraId="1417C660" w14:textId="77777777" w:rsidR="006D39BA" w:rsidRPr="006D39BA" w:rsidRDefault="006D39BA" w:rsidP="006D39BA"/>
    <w:p w14:paraId="2CCB5832" w14:textId="66500D74" w:rsidR="007C605B" w:rsidRDefault="002C50EE" w:rsidP="007C605B">
      <w:pPr>
        <w:pStyle w:val="Heading1"/>
      </w:pPr>
      <w:r>
        <w:t>9. ДАТА НА ПЪРВО РАЗРЕШАВАНЕ/ПОДНОВЯВАНЕ НА РАЗРЕШЕНИЕТО ЗА УПОТРЕБА</w:t>
      </w:r>
    </w:p>
    <w:p w14:paraId="28211713" w14:textId="187EF804" w:rsidR="006D39BA" w:rsidRDefault="006D39BA" w:rsidP="006D39BA"/>
    <w:p w14:paraId="6776C7CD" w14:textId="77777777" w:rsidR="006D39BA" w:rsidRPr="006D39BA" w:rsidRDefault="006D39BA" w:rsidP="006D39BA">
      <w:pPr>
        <w:rPr>
          <w:sz w:val="24"/>
          <w:szCs w:val="24"/>
        </w:rPr>
      </w:pPr>
      <w:r w:rsidRPr="006D39BA">
        <w:rPr>
          <w:lang w:eastAsia="bg-BG"/>
        </w:rPr>
        <w:t>Дата на първо разрешаване: 29.03.2005 г.</w:t>
      </w:r>
    </w:p>
    <w:p w14:paraId="59FD6933" w14:textId="3F36678D" w:rsidR="006D39BA" w:rsidRPr="006D39BA" w:rsidRDefault="006D39BA" w:rsidP="006D39BA">
      <w:pPr>
        <w:rPr>
          <w:sz w:val="24"/>
          <w:szCs w:val="24"/>
        </w:rPr>
      </w:pPr>
      <w:r w:rsidRPr="006D39BA">
        <w:rPr>
          <w:lang w:eastAsia="bg-BG"/>
        </w:rPr>
        <w:t>Дата на последно подновяване: 07.06.2010 г.</w:t>
      </w:r>
    </w:p>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A212D"/>
    <w:multiLevelType w:val="hybridMultilevel"/>
    <w:tmpl w:val="04BA9922"/>
    <w:lvl w:ilvl="0" w:tplc="DAF2067C">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0F80"/>
    <w:rsid w:val="003765DC"/>
    <w:rsid w:val="00395555"/>
    <w:rsid w:val="003E3126"/>
    <w:rsid w:val="00402E6B"/>
    <w:rsid w:val="00426E5F"/>
    <w:rsid w:val="004A448E"/>
    <w:rsid w:val="004B27D4"/>
    <w:rsid w:val="004D4D6B"/>
    <w:rsid w:val="004F1CE7"/>
    <w:rsid w:val="004F498A"/>
    <w:rsid w:val="00517A5B"/>
    <w:rsid w:val="00593A00"/>
    <w:rsid w:val="005A66D9"/>
    <w:rsid w:val="00605BCA"/>
    <w:rsid w:val="006158A1"/>
    <w:rsid w:val="00617B1F"/>
    <w:rsid w:val="00672487"/>
    <w:rsid w:val="00672600"/>
    <w:rsid w:val="00681D4A"/>
    <w:rsid w:val="00685882"/>
    <w:rsid w:val="006D39BA"/>
    <w:rsid w:val="007122AD"/>
    <w:rsid w:val="0075649D"/>
    <w:rsid w:val="007C605B"/>
    <w:rsid w:val="007F3AC7"/>
    <w:rsid w:val="00813009"/>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DF5B05"/>
    <w:rsid w:val="00EB6364"/>
    <w:rsid w:val="00EE658C"/>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12236</Words>
  <Characters>69748</Characters>
  <Application>Microsoft Office Word</Application>
  <DocSecurity>0</DocSecurity>
  <Lines>581</Lines>
  <Paragraphs>163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2022-10-04T17:10:00Z</dcterms:created>
  <dcterms:modified xsi:type="dcterms:W3CDTF">2022-10-04T17:10:00Z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