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7ED6292" w:rsidR="007122AD" w:rsidRDefault="00DD466D" w:rsidP="00936AD0">
      <w:pPr>
        <w:pStyle w:val="Heading1"/>
      </w:pPr>
      <w:r>
        <w:t>1.ИМЕ НА ЛЕКАРСТВЕНИЯ ПРОДУКТ</w:t>
      </w:r>
    </w:p>
    <w:p w14:paraId="38EB206E" w14:textId="2F47E7F1" w:rsidR="00AE1D6B" w:rsidRDefault="00AE1D6B" w:rsidP="00AE1D6B"/>
    <w:p w14:paraId="568CBB80" w14:textId="77777777" w:rsidR="00AE1D6B" w:rsidRPr="00AE1D6B" w:rsidRDefault="00AE1D6B" w:rsidP="00AE1D6B">
      <w:pPr>
        <w:rPr>
          <w:sz w:val="24"/>
          <w:szCs w:val="24"/>
        </w:rPr>
      </w:pPr>
      <w:r w:rsidRPr="00AE1D6B">
        <w:rPr>
          <w:lang w:eastAsia="bg-BG"/>
        </w:rPr>
        <w:t xml:space="preserve">Еплеренон Акорд 25 </w:t>
      </w:r>
      <w:r w:rsidRPr="00AE1D6B">
        <w:rPr>
          <w:lang w:val="en-US"/>
        </w:rPr>
        <w:t>mg</w:t>
      </w:r>
      <w:r w:rsidRPr="00AE1D6B">
        <w:t xml:space="preserve"> </w:t>
      </w:r>
      <w:r w:rsidRPr="00AE1D6B">
        <w:rPr>
          <w:lang w:eastAsia="bg-BG"/>
        </w:rPr>
        <w:t>филмирани таблетки</w:t>
      </w:r>
    </w:p>
    <w:p w14:paraId="70021263" w14:textId="77777777" w:rsidR="00AE1D6B" w:rsidRPr="00AE1D6B" w:rsidRDefault="00AE1D6B" w:rsidP="00AE1D6B">
      <w:pPr>
        <w:rPr>
          <w:sz w:val="24"/>
          <w:szCs w:val="24"/>
        </w:rPr>
      </w:pPr>
      <w:proofErr w:type="spellStart"/>
      <w:r w:rsidRPr="00AE1D6B">
        <w:rPr>
          <w:lang w:val="en-US"/>
        </w:rPr>
        <w:t>Eplerenone</w:t>
      </w:r>
      <w:proofErr w:type="spellEnd"/>
      <w:r w:rsidRPr="00AE1D6B">
        <w:t xml:space="preserve"> </w:t>
      </w:r>
      <w:r w:rsidRPr="00AE1D6B">
        <w:rPr>
          <w:lang w:val="en-US"/>
        </w:rPr>
        <w:t>Accord</w:t>
      </w:r>
      <w:r w:rsidRPr="00AE1D6B">
        <w:t xml:space="preserve"> </w:t>
      </w:r>
      <w:r w:rsidRPr="00AE1D6B">
        <w:rPr>
          <w:lang w:eastAsia="bg-BG"/>
        </w:rPr>
        <w:t xml:space="preserve">25 </w:t>
      </w:r>
      <w:r w:rsidRPr="00AE1D6B">
        <w:rPr>
          <w:lang w:val="en-US"/>
        </w:rPr>
        <w:t>mg</w:t>
      </w:r>
      <w:r w:rsidRPr="00AE1D6B">
        <w:t xml:space="preserve"> </w:t>
      </w:r>
      <w:r w:rsidRPr="00AE1D6B">
        <w:rPr>
          <w:lang w:val="en-US"/>
        </w:rPr>
        <w:t>film</w:t>
      </w:r>
      <w:r w:rsidRPr="00AE1D6B">
        <w:t>-</w:t>
      </w:r>
      <w:r w:rsidRPr="00AE1D6B">
        <w:rPr>
          <w:lang w:val="en-US"/>
        </w:rPr>
        <w:t>coated</w:t>
      </w:r>
      <w:r w:rsidRPr="00AE1D6B">
        <w:t xml:space="preserve"> </w:t>
      </w:r>
      <w:r w:rsidRPr="00AE1D6B">
        <w:rPr>
          <w:lang w:val="en-US"/>
        </w:rPr>
        <w:t>tablets</w:t>
      </w:r>
    </w:p>
    <w:p w14:paraId="61E95BF9" w14:textId="77777777" w:rsidR="00AE1D6B" w:rsidRDefault="00AE1D6B" w:rsidP="00AE1D6B">
      <w:pPr>
        <w:rPr>
          <w:lang w:eastAsia="bg-BG"/>
        </w:rPr>
      </w:pPr>
    </w:p>
    <w:p w14:paraId="1A884798" w14:textId="26C8015F" w:rsidR="00AE1D6B" w:rsidRPr="00AE1D6B" w:rsidRDefault="00AE1D6B" w:rsidP="00AE1D6B">
      <w:pPr>
        <w:rPr>
          <w:sz w:val="24"/>
          <w:szCs w:val="24"/>
        </w:rPr>
      </w:pPr>
      <w:r w:rsidRPr="00AE1D6B">
        <w:rPr>
          <w:lang w:eastAsia="bg-BG"/>
        </w:rPr>
        <w:t xml:space="preserve">Еплеренон Акорд </w:t>
      </w:r>
      <w:r w:rsidRPr="00AE1D6B">
        <w:t xml:space="preserve">50 </w:t>
      </w:r>
      <w:r w:rsidRPr="00AE1D6B">
        <w:rPr>
          <w:lang w:val="en-US"/>
        </w:rPr>
        <w:t>mg</w:t>
      </w:r>
      <w:r w:rsidRPr="00AE1D6B">
        <w:t xml:space="preserve"> </w:t>
      </w:r>
      <w:r w:rsidRPr="00AE1D6B">
        <w:rPr>
          <w:lang w:eastAsia="bg-BG"/>
        </w:rPr>
        <w:t>филмирани таблетки</w:t>
      </w:r>
    </w:p>
    <w:p w14:paraId="792F4DC9" w14:textId="77777777" w:rsidR="00AE1D6B" w:rsidRPr="00AE1D6B" w:rsidRDefault="00AE1D6B" w:rsidP="00AE1D6B">
      <w:pPr>
        <w:rPr>
          <w:sz w:val="24"/>
          <w:szCs w:val="24"/>
        </w:rPr>
      </w:pPr>
      <w:proofErr w:type="spellStart"/>
      <w:r w:rsidRPr="00AE1D6B">
        <w:rPr>
          <w:lang w:val="en-US"/>
        </w:rPr>
        <w:t>Eplerenone</w:t>
      </w:r>
      <w:proofErr w:type="spellEnd"/>
      <w:r w:rsidRPr="00AE1D6B">
        <w:t xml:space="preserve"> </w:t>
      </w:r>
      <w:r w:rsidRPr="00AE1D6B">
        <w:rPr>
          <w:lang w:val="en-US"/>
        </w:rPr>
        <w:t>Accord</w:t>
      </w:r>
      <w:r w:rsidRPr="00AE1D6B">
        <w:t xml:space="preserve"> 50 </w:t>
      </w:r>
      <w:r w:rsidRPr="00AE1D6B">
        <w:rPr>
          <w:lang w:val="en-US"/>
        </w:rPr>
        <w:t>mg</w:t>
      </w:r>
      <w:r w:rsidRPr="00AE1D6B">
        <w:t xml:space="preserve"> </w:t>
      </w:r>
      <w:r w:rsidRPr="00AE1D6B">
        <w:rPr>
          <w:lang w:val="en-US"/>
        </w:rPr>
        <w:t>film</w:t>
      </w:r>
      <w:r w:rsidRPr="00AE1D6B">
        <w:t>-</w:t>
      </w:r>
      <w:r w:rsidRPr="00AE1D6B">
        <w:rPr>
          <w:lang w:val="en-US"/>
        </w:rPr>
        <w:t>coated</w:t>
      </w:r>
      <w:r w:rsidRPr="00AE1D6B">
        <w:t xml:space="preserve"> </w:t>
      </w:r>
      <w:r w:rsidRPr="00AE1D6B">
        <w:rPr>
          <w:lang w:val="en-US"/>
        </w:rPr>
        <w:t>tablets</w:t>
      </w:r>
    </w:p>
    <w:p w14:paraId="7499C311" w14:textId="77777777" w:rsidR="00AE1D6B" w:rsidRPr="00AE1D6B" w:rsidRDefault="00AE1D6B" w:rsidP="00AE1D6B"/>
    <w:p w14:paraId="6920A680" w14:textId="507A3DB7" w:rsidR="00C40420" w:rsidRDefault="00DD466D" w:rsidP="004A448E">
      <w:pPr>
        <w:pStyle w:val="Heading1"/>
      </w:pPr>
      <w:r>
        <w:t>2. КАЧЕСТВЕН И КОЛИЧЕСТВЕН СЪСТАВ</w:t>
      </w:r>
    </w:p>
    <w:p w14:paraId="7C9E82A6" w14:textId="68070D18" w:rsidR="00AE1D6B" w:rsidRDefault="00AE1D6B" w:rsidP="00AE1D6B"/>
    <w:p w14:paraId="415D6749"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съдържа 25 </w:t>
      </w:r>
      <w:r w:rsidRPr="00AE1D6B">
        <w:rPr>
          <w:rFonts w:eastAsia="Times New Roman" w:cs="Arial"/>
          <w:color w:val="000000"/>
          <w:szCs w:val="20"/>
          <w:lang w:val="en-US"/>
        </w:rPr>
        <w:t>mg</w:t>
      </w:r>
      <w:r w:rsidRPr="00AE1D6B">
        <w:rPr>
          <w:rFonts w:eastAsia="Times New Roman" w:cs="Arial"/>
          <w:color w:val="000000"/>
          <w:szCs w:val="20"/>
        </w:rPr>
        <w:t xml:space="preserve"> </w:t>
      </w:r>
      <w:r w:rsidRPr="00AE1D6B">
        <w:rPr>
          <w:rFonts w:eastAsia="Times New Roman" w:cs="Arial"/>
          <w:color w:val="000000"/>
          <w:szCs w:val="20"/>
          <w:lang w:eastAsia="bg-BG"/>
        </w:rPr>
        <w:t xml:space="preserve">еплеренон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w:t>
      </w:r>
    </w:p>
    <w:p w14:paraId="37503AE7"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съдържа 50 </w:t>
      </w:r>
      <w:r w:rsidRPr="00AE1D6B">
        <w:rPr>
          <w:rFonts w:eastAsia="Times New Roman" w:cs="Arial"/>
          <w:color w:val="000000"/>
          <w:szCs w:val="20"/>
          <w:lang w:val="en-US"/>
        </w:rPr>
        <w:t>mg</w:t>
      </w:r>
      <w:r w:rsidRPr="00AE1D6B">
        <w:rPr>
          <w:rFonts w:eastAsia="Times New Roman" w:cs="Arial"/>
          <w:color w:val="000000"/>
          <w:szCs w:val="20"/>
        </w:rPr>
        <w:t xml:space="preserve"> </w:t>
      </w:r>
      <w:r w:rsidRPr="00AE1D6B">
        <w:rPr>
          <w:rFonts w:eastAsia="Times New Roman" w:cs="Arial"/>
          <w:color w:val="000000"/>
          <w:szCs w:val="20"/>
          <w:lang w:eastAsia="bg-BG"/>
        </w:rPr>
        <w:t xml:space="preserve">еплеренон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w:t>
      </w:r>
    </w:p>
    <w:p w14:paraId="07EA0200" w14:textId="77777777" w:rsidR="00AE1D6B" w:rsidRPr="00AE1D6B" w:rsidRDefault="00AE1D6B" w:rsidP="00AE1D6B">
      <w:pPr>
        <w:spacing w:line="240" w:lineRule="auto"/>
        <w:rPr>
          <w:rFonts w:eastAsia="Times New Roman" w:cs="Arial"/>
          <w:color w:val="000000"/>
          <w:szCs w:val="20"/>
          <w:lang w:eastAsia="bg-BG"/>
        </w:rPr>
      </w:pPr>
    </w:p>
    <w:p w14:paraId="1BF09287" w14:textId="7246244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Помощно вещество с известно действие:</w:t>
      </w:r>
    </w:p>
    <w:p w14:paraId="7731FA04"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от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съдържа 19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лактоза монохидрат (вж. точка 4.4).</w:t>
      </w:r>
    </w:p>
    <w:p w14:paraId="718E360C" w14:textId="53515567" w:rsidR="00AE1D6B" w:rsidRPr="00AE1D6B" w:rsidRDefault="00AE1D6B" w:rsidP="00AE1D6B">
      <w:pPr>
        <w:rPr>
          <w:rFonts w:cs="Arial"/>
          <w:sz w:val="24"/>
        </w:rPr>
      </w:pPr>
      <w:r w:rsidRPr="00AE1D6B">
        <w:rPr>
          <w:rFonts w:eastAsia="Times New Roman" w:cs="Arial"/>
          <w:color w:val="000000"/>
          <w:szCs w:val="20"/>
          <w:lang w:eastAsia="bg-BG"/>
        </w:rPr>
        <w:t xml:space="preserve">Всяка таблетка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съдържа 38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лактоза монохидрат (вж. точка 4.4).</w:t>
      </w:r>
    </w:p>
    <w:p w14:paraId="614984C4" w14:textId="0A26E2D9" w:rsidR="008A6AF2" w:rsidRDefault="00DD466D" w:rsidP="002C50EE">
      <w:pPr>
        <w:pStyle w:val="Heading1"/>
      </w:pPr>
      <w:r>
        <w:t>3. ЛЕКАРСТВЕНА ФОРМА</w:t>
      </w:r>
    </w:p>
    <w:p w14:paraId="10D94400" w14:textId="7A126B12" w:rsidR="00AE1D6B" w:rsidRDefault="00AE1D6B" w:rsidP="00AE1D6B"/>
    <w:p w14:paraId="25FB6E8B"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Филмирана таблетка.</w:t>
      </w:r>
    </w:p>
    <w:p w14:paraId="46021205" w14:textId="77777777" w:rsidR="00AE1D6B" w:rsidRPr="00AE1D6B" w:rsidRDefault="00AE1D6B" w:rsidP="00AE1D6B">
      <w:pPr>
        <w:spacing w:line="240" w:lineRule="auto"/>
        <w:rPr>
          <w:rFonts w:eastAsia="Times New Roman" w:cs="Arial"/>
          <w:b/>
          <w:bCs/>
          <w:color w:val="000000"/>
          <w:szCs w:val="20"/>
          <w:lang w:eastAsia="bg-BG"/>
        </w:rPr>
      </w:pPr>
    </w:p>
    <w:p w14:paraId="39CC956D" w14:textId="45436838" w:rsidR="00AE1D6B" w:rsidRPr="00AE1D6B" w:rsidRDefault="00AE1D6B" w:rsidP="00AE1D6B">
      <w:pPr>
        <w:spacing w:line="240" w:lineRule="auto"/>
        <w:rPr>
          <w:rFonts w:eastAsia="Times New Roman" w:cs="Arial"/>
          <w:sz w:val="28"/>
          <w:szCs w:val="24"/>
        </w:rPr>
      </w:pPr>
      <w:r w:rsidRPr="00AE1D6B">
        <w:rPr>
          <w:rFonts w:eastAsia="Times New Roman" w:cs="Arial"/>
          <w:b/>
          <w:bCs/>
          <w:color w:val="000000"/>
          <w:szCs w:val="20"/>
          <w:lang w:eastAsia="bg-BG"/>
        </w:rPr>
        <w:t xml:space="preserve">25 </w:t>
      </w:r>
      <w:r w:rsidRPr="00AE1D6B">
        <w:rPr>
          <w:rFonts w:eastAsia="Times New Roman" w:cs="Arial"/>
          <w:b/>
          <w:bCs/>
          <w:color w:val="000000"/>
          <w:szCs w:val="20"/>
          <w:lang w:val="en-US"/>
        </w:rPr>
        <w:t>mg</w:t>
      </w:r>
      <w:r w:rsidRPr="00AE1D6B">
        <w:rPr>
          <w:rFonts w:eastAsia="Times New Roman" w:cs="Arial"/>
          <w:b/>
          <w:bCs/>
          <w:color w:val="000000"/>
          <w:szCs w:val="20"/>
          <w:lang w:val="ru-RU"/>
        </w:rPr>
        <w:t xml:space="preserve"> </w:t>
      </w:r>
      <w:r w:rsidRPr="00AE1D6B">
        <w:rPr>
          <w:rFonts w:eastAsia="Times New Roman" w:cs="Arial"/>
          <w:b/>
          <w:bCs/>
          <w:color w:val="000000"/>
          <w:szCs w:val="20"/>
          <w:lang w:eastAsia="bg-BG"/>
        </w:rPr>
        <w:t xml:space="preserve">филмирани таблетки: </w:t>
      </w:r>
      <w:r w:rsidRPr="00AE1D6B">
        <w:rPr>
          <w:rFonts w:eastAsia="Times New Roman" w:cs="Arial"/>
          <w:color w:val="000000"/>
          <w:szCs w:val="20"/>
          <w:lang w:eastAsia="bg-BG"/>
        </w:rPr>
        <w:t xml:space="preserve">Жълта, двойноизпъкнала филмирана таблетка с формата на диамант, с релефно обозначение ,,ЕГ’ от едната страна и гладка от другата страна. Дължината, широчината и дебелината на таблетката са съответно 7,20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6,40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3,15 ±0,3 </w:t>
      </w:r>
      <w:r w:rsidRPr="00AE1D6B">
        <w:rPr>
          <w:rFonts w:eastAsia="Times New Roman" w:cs="Arial"/>
          <w:color w:val="000000"/>
          <w:szCs w:val="20"/>
          <w:lang w:val="en-US"/>
        </w:rPr>
        <w:t>mm</w:t>
      </w:r>
      <w:r w:rsidRPr="00AE1D6B">
        <w:rPr>
          <w:rFonts w:eastAsia="Times New Roman" w:cs="Arial"/>
          <w:color w:val="000000"/>
          <w:szCs w:val="20"/>
          <w:lang w:val="ru-RU"/>
        </w:rPr>
        <w:t>.</w:t>
      </w:r>
    </w:p>
    <w:p w14:paraId="421F4914" w14:textId="77777777" w:rsidR="00AE1D6B" w:rsidRPr="00AE1D6B" w:rsidRDefault="00AE1D6B" w:rsidP="00AE1D6B">
      <w:pPr>
        <w:spacing w:line="240" w:lineRule="auto"/>
        <w:rPr>
          <w:rFonts w:eastAsia="Times New Roman" w:cs="Arial"/>
          <w:b/>
          <w:bCs/>
          <w:color w:val="000000"/>
          <w:szCs w:val="20"/>
          <w:lang w:eastAsia="bg-BG"/>
        </w:rPr>
      </w:pPr>
    </w:p>
    <w:p w14:paraId="788D42A6" w14:textId="5E42C227" w:rsidR="00AE1D6B" w:rsidRPr="00AE1D6B" w:rsidRDefault="00AE1D6B" w:rsidP="00AE1D6B">
      <w:pPr>
        <w:spacing w:line="240" w:lineRule="auto"/>
        <w:rPr>
          <w:rFonts w:eastAsia="Times New Roman" w:cs="Arial"/>
          <w:sz w:val="28"/>
          <w:szCs w:val="24"/>
        </w:rPr>
      </w:pPr>
      <w:r w:rsidRPr="00AE1D6B">
        <w:rPr>
          <w:rFonts w:eastAsia="Times New Roman" w:cs="Arial"/>
          <w:b/>
          <w:bCs/>
          <w:color w:val="000000"/>
          <w:szCs w:val="20"/>
          <w:lang w:eastAsia="bg-BG"/>
        </w:rPr>
        <w:t xml:space="preserve">50 </w:t>
      </w:r>
      <w:r w:rsidRPr="00AE1D6B">
        <w:rPr>
          <w:rFonts w:eastAsia="Times New Roman" w:cs="Arial"/>
          <w:b/>
          <w:bCs/>
          <w:color w:val="000000"/>
          <w:szCs w:val="20"/>
          <w:lang w:val="en-US"/>
        </w:rPr>
        <w:t>mg</w:t>
      </w:r>
      <w:r w:rsidRPr="00AE1D6B">
        <w:rPr>
          <w:rFonts w:eastAsia="Times New Roman" w:cs="Arial"/>
          <w:b/>
          <w:bCs/>
          <w:color w:val="000000"/>
          <w:szCs w:val="20"/>
          <w:lang w:val="ru-RU"/>
        </w:rPr>
        <w:t xml:space="preserve"> </w:t>
      </w:r>
      <w:r w:rsidRPr="00AE1D6B">
        <w:rPr>
          <w:rFonts w:eastAsia="Times New Roman" w:cs="Arial"/>
          <w:b/>
          <w:bCs/>
          <w:color w:val="000000"/>
          <w:szCs w:val="20"/>
          <w:lang w:eastAsia="bg-BG"/>
        </w:rPr>
        <w:t xml:space="preserve">филмирани таблетки: </w:t>
      </w:r>
      <w:r w:rsidRPr="00AE1D6B">
        <w:rPr>
          <w:rFonts w:eastAsia="Times New Roman" w:cs="Arial"/>
          <w:color w:val="000000"/>
          <w:szCs w:val="20"/>
          <w:lang w:eastAsia="bg-BG"/>
        </w:rPr>
        <w:t xml:space="preserve">Жълта, двойноизпъкнала филмирана таблетка с формата </w:t>
      </w:r>
      <w:r w:rsidRPr="00AE1D6B">
        <w:rPr>
          <w:rFonts w:eastAsia="Times New Roman" w:cs="Arial"/>
          <w:b/>
          <w:bCs/>
          <w:color w:val="000000"/>
          <w:szCs w:val="20"/>
          <w:lang w:eastAsia="bg-BG"/>
        </w:rPr>
        <w:t xml:space="preserve">на </w:t>
      </w:r>
      <w:r w:rsidRPr="00AE1D6B">
        <w:rPr>
          <w:rFonts w:eastAsia="Times New Roman" w:cs="Arial"/>
          <w:color w:val="000000"/>
          <w:szCs w:val="20"/>
          <w:lang w:eastAsia="bg-BG"/>
        </w:rPr>
        <w:t xml:space="preserve">диамант, с релефно обозначение „Е2” от едната страна и гладка от другата страна. Дължината, широчината и дебелината на таблетката са съответно 9,00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8,10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4,25 ±0,3 </w:t>
      </w:r>
      <w:r w:rsidRPr="00AE1D6B">
        <w:rPr>
          <w:rFonts w:eastAsia="Times New Roman" w:cs="Arial"/>
          <w:color w:val="000000"/>
          <w:szCs w:val="20"/>
          <w:lang w:val="en-US"/>
        </w:rPr>
        <w:t>mm</w:t>
      </w:r>
      <w:r w:rsidRPr="00AE1D6B">
        <w:rPr>
          <w:rFonts w:eastAsia="Times New Roman" w:cs="Arial"/>
          <w:color w:val="000000"/>
          <w:szCs w:val="20"/>
          <w:lang w:val="ru-RU"/>
        </w:rPr>
        <w:t>.</w:t>
      </w:r>
    </w:p>
    <w:p w14:paraId="2FA27EC9" w14:textId="77777777" w:rsidR="00AE1D6B" w:rsidRPr="00AE1D6B" w:rsidRDefault="00AE1D6B" w:rsidP="00AE1D6B"/>
    <w:p w14:paraId="490FC2C4" w14:textId="0F4A4A75" w:rsidR="002C50EE" w:rsidRDefault="002C50EE" w:rsidP="002C50EE">
      <w:pPr>
        <w:pStyle w:val="Heading1"/>
      </w:pPr>
      <w:r>
        <w:t>4. КЛИНИЧНИ ДАННИ</w:t>
      </w:r>
    </w:p>
    <w:p w14:paraId="74330405" w14:textId="1EE2928F" w:rsidR="007122AD" w:rsidRDefault="002C50EE" w:rsidP="00936AD0">
      <w:pPr>
        <w:pStyle w:val="Heading2"/>
      </w:pPr>
      <w:r>
        <w:t>4.1. Терапевтични показания</w:t>
      </w:r>
    </w:p>
    <w:p w14:paraId="751D305E" w14:textId="7BD57DBB" w:rsidR="00AE1D6B" w:rsidRDefault="00AE1D6B" w:rsidP="00AE1D6B"/>
    <w:p w14:paraId="77E81D6E"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е показан:</w:t>
      </w:r>
    </w:p>
    <w:p w14:paraId="167C85EC" w14:textId="77777777" w:rsidR="00AE1D6B" w:rsidRPr="00AE1D6B" w:rsidRDefault="00AE1D6B" w:rsidP="00AE1D6B">
      <w:pPr>
        <w:spacing w:line="240" w:lineRule="auto"/>
        <w:rPr>
          <w:rFonts w:eastAsia="Times New Roman" w:cs="Arial"/>
          <w:color w:val="000000"/>
          <w:szCs w:val="20"/>
          <w:lang w:eastAsia="bg-BG"/>
        </w:rPr>
      </w:pPr>
    </w:p>
    <w:p w14:paraId="1EBDF38F" w14:textId="2B03E7A3" w:rsidR="00AE1D6B" w:rsidRPr="00AE1D6B" w:rsidRDefault="00AE1D6B" w:rsidP="00AE1D6B">
      <w:pPr>
        <w:pStyle w:val="ListParagraph"/>
        <w:numPr>
          <w:ilvl w:val="0"/>
          <w:numId w:val="38"/>
        </w:numPr>
        <w:spacing w:line="240" w:lineRule="auto"/>
        <w:rPr>
          <w:rFonts w:eastAsia="Times New Roman" w:cs="Arial"/>
          <w:sz w:val="28"/>
          <w:szCs w:val="24"/>
        </w:rPr>
      </w:pPr>
      <w:r w:rsidRPr="00AE1D6B">
        <w:rPr>
          <w:rFonts w:eastAsia="Times New Roman" w:cs="Arial"/>
          <w:color w:val="000000"/>
          <w:szCs w:val="20"/>
          <w:lang w:eastAsia="bg-BG"/>
        </w:rPr>
        <w:t xml:space="preserve">като допълнение към стандартно лечение, включващо бета-блокери за намаляване на риска от сърдечносъдова смъртност и заболеваемост при стабилни пациенти с левокамерна дисфункция </w:t>
      </w:r>
      <w:r w:rsidRPr="00AE1D6B">
        <w:rPr>
          <w:rFonts w:eastAsia="Times New Roman" w:cs="Arial"/>
          <w:color w:val="000000"/>
          <w:szCs w:val="20"/>
          <w:lang w:val="ru-RU"/>
        </w:rPr>
        <w:t>(</w:t>
      </w:r>
      <w:r w:rsidRPr="00AE1D6B">
        <w:rPr>
          <w:rFonts w:eastAsia="Times New Roman" w:cs="Arial"/>
          <w:color w:val="000000"/>
          <w:szCs w:val="20"/>
          <w:lang w:val="en-US"/>
        </w:rPr>
        <w:t>LVEF</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≤40%) и клинични данни за сърдечна недостатъчност </w:t>
      </w:r>
      <w:r>
        <w:rPr>
          <w:rFonts w:eastAsia="Times New Roman" w:cs="Arial"/>
          <w:color w:val="000000"/>
          <w:szCs w:val="20"/>
          <w:lang w:eastAsia="bg-BG"/>
        </w:rPr>
        <w:t>след скорошен миокарден инфаркт</w:t>
      </w:r>
      <w:r w:rsidRPr="00AE1D6B">
        <w:rPr>
          <w:rFonts w:eastAsia="Times New Roman" w:cs="Arial"/>
          <w:color w:val="000000"/>
          <w:szCs w:val="20"/>
          <w:lang w:val="ru-RU" w:eastAsia="bg-BG"/>
        </w:rPr>
        <w:t>.</w:t>
      </w:r>
    </w:p>
    <w:p w14:paraId="724AFDA7" w14:textId="77777777" w:rsidR="00AE1D6B" w:rsidRPr="00AE1D6B" w:rsidRDefault="00AE1D6B" w:rsidP="00AE1D6B">
      <w:pPr>
        <w:spacing w:line="240" w:lineRule="auto"/>
        <w:rPr>
          <w:rFonts w:eastAsia="Times New Roman" w:cs="Arial"/>
          <w:color w:val="000000"/>
          <w:szCs w:val="20"/>
          <w:lang w:eastAsia="bg-BG"/>
        </w:rPr>
      </w:pPr>
    </w:p>
    <w:p w14:paraId="78356C51" w14:textId="01AA96ED" w:rsidR="00AE1D6B" w:rsidRPr="00AE1D6B" w:rsidRDefault="00AE1D6B" w:rsidP="00AE1D6B">
      <w:pPr>
        <w:pStyle w:val="ListParagraph"/>
        <w:numPr>
          <w:ilvl w:val="0"/>
          <w:numId w:val="37"/>
        </w:numPr>
        <w:spacing w:line="240" w:lineRule="auto"/>
        <w:rPr>
          <w:rFonts w:eastAsia="Times New Roman" w:cs="Arial"/>
          <w:sz w:val="28"/>
          <w:szCs w:val="24"/>
        </w:rPr>
      </w:pPr>
      <w:r w:rsidRPr="00AE1D6B">
        <w:rPr>
          <w:rFonts w:eastAsia="Times New Roman" w:cs="Arial"/>
          <w:color w:val="000000"/>
          <w:szCs w:val="20"/>
          <w:lang w:eastAsia="bg-BG"/>
        </w:rPr>
        <w:lastRenderedPageBreak/>
        <w:t xml:space="preserve">като допълнение към стандартно оптимално лечение за намаляване на риска от сърдечносъдова смъртност и заболеваемост при възрастни пациенти с (хронична) сърдечна недостатъчност </w:t>
      </w:r>
      <w:r w:rsidRPr="00AE1D6B">
        <w:rPr>
          <w:rFonts w:eastAsia="Times New Roman" w:cs="Arial"/>
          <w:color w:val="000000"/>
          <w:szCs w:val="20"/>
          <w:lang w:val="en-US"/>
        </w:rPr>
        <w:t>II</w:t>
      </w:r>
      <w:r w:rsidRPr="00AE1D6B">
        <w:rPr>
          <w:rFonts w:eastAsia="Times New Roman" w:cs="Arial"/>
          <w:color w:val="000000"/>
          <w:szCs w:val="20"/>
          <w:lang w:eastAsia="bg-BG"/>
        </w:rPr>
        <w:t xml:space="preserve"> клас по </w:t>
      </w:r>
      <w:r w:rsidRPr="00AE1D6B">
        <w:rPr>
          <w:rFonts w:eastAsia="Times New Roman" w:cs="Arial"/>
          <w:color w:val="000000"/>
          <w:szCs w:val="20"/>
          <w:lang w:val="en-US"/>
        </w:rPr>
        <w:t>NYHA</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левокамерна систолна дисфункция </w:t>
      </w:r>
      <w:r w:rsidRPr="00AE1D6B">
        <w:rPr>
          <w:rFonts w:eastAsia="Times New Roman" w:cs="Arial"/>
          <w:color w:val="000000"/>
          <w:szCs w:val="20"/>
          <w:lang w:val="ru-RU"/>
        </w:rPr>
        <w:t>(</w:t>
      </w:r>
      <w:r w:rsidRPr="00AE1D6B">
        <w:rPr>
          <w:rFonts w:eastAsia="Times New Roman" w:cs="Arial"/>
          <w:color w:val="000000"/>
          <w:szCs w:val="20"/>
          <w:lang w:val="en-US"/>
        </w:rPr>
        <w:t>LVEF</w:t>
      </w:r>
      <w:r w:rsidRPr="00AE1D6B">
        <w:rPr>
          <w:rFonts w:eastAsia="Times New Roman" w:cs="Arial"/>
          <w:color w:val="000000"/>
          <w:szCs w:val="20"/>
          <w:lang w:val="ru-RU"/>
        </w:rPr>
        <w:t xml:space="preserve"> </w:t>
      </w:r>
      <w:r w:rsidRPr="00AE1D6B">
        <w:rPr>
          <w:rFonts w:eastAsia="Times New Roman" w:cs="Arial"/>
          <w:color w:val="000000"/>
          <w:szCs w:val="20"/>
          <w:lang w:eastAsia="bg-BG"/>
        </w:rPr>
        <w:t>≤ 30%) (вж .точка 5.1).</w:t>
      </w:r>
    </w:p>
    <w:p w14:paraId="48456B3D" w14:textId="77777777" w:rsidR="00AE1D6B" w:rsidRPr="00AE1D6B" w:rsidRDefault="00AE1D6B" w:rsidP="00AE1D6B"/>
    <w:p w14:paraId="53F5B866" w14:textId="4FDA1030" w:rsidR="007122AD" w:rsidRDefault="002C50EE" w:rsidP="00936AD0">
      <w:pPr>
        <w:pStyle w:val="Heading2"/>
      </w:pPr>
      <w:r>
        <w:t>4.2. Дозировка и начин на приложение</w:t>
      </w:r>
    </w:p>
    <w:p w14:paraId="7BABCF36" w14:textId="0939394A" w:rsidR="00AE1D6B" w:rsidRDefault="00AE1D6B" w:rsidP="00AE1D6B"/>
    <w:p w14:paraId="712554AE" w14:textId="77777777" w:rsidR="00AE1D6B" w:rsidRPr="00AE1D6B" w:rsidRDefault="00AE1D6B" w:rsidP="00AE1D6B">
      <w:pPr>
        <w:pStyle w:val="Heading3"/>
        <w:rPr>
          <w:rFonts w:eastAsia="Times New Roman"/>
          <w:sz w:val="28"/>
          <w:u w:val="single"/>
        </w:rPr>
      </w:pPr>
      <w:r w:rsidRPr="00AE1D6B">
        <w:rPr>
          <w:rFonts w:eastAsia="Times New Roman"/>
          <w:u w:val="single"/>
          <w:lang w:eastAsia="bg-BG"/>
        </w:rPr>
        <w:t>Дозировка</w:t>
      </w:r>
    </w:p>
    <w:p w14:paraId="3A2D2ECE" w14:textId="77777777" w:rsidR="00AE1D6B" w:rsidRPr="00AE1D6B" w:rsidRDefault="00AE1D6B" w:rsidP="00AE1D6B">
      <w:pPr>
        <w:spacing w:line="240" w:lineRule="auto"/>
        <w:rPr>
          <w:rFonts w:eastAsia="Times New Roman" w:cs="Arial"/>
          <w:color w:val="000000"/>
          <w:szCs w:val="20"/>
          <w:lang w:eastAsia="bg-BG"/>
        </w:rPr>
      </w:pPr>
    </w:p>
    <w:p w14:paraId="402E8B6D" w14:textId="08D04D2B"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За индивидуализиране на дозата са налични таблетки от 25 и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Максималната доза е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дневно.</w:t>
      </w:r>
    </w:p>
    <w:p w14:paraId="5376E11F" w14:textId="77777777" w:rsidR="00AE1D6B" w:rsidRPr="00AE1D6B" w:rsidRDefault="00AE1D6B" w:rsidP="00AE1D6B">
      <w:pPr>
        <w:spacing w:line="240" w:lineRule="auto"/>
        <w:rPr>
          <w:rFonts w:eastAsia="Times New Roman" w:cs="Arial"/>
          <w:i/>
          <w:iCs/>
          <w:color w:val="000000"/>
          <w:szCs w:val="20"/>
          <w:lang w:eastAsia="bg-BG"/>
        </w:rPr>
      </w:pPr>
    </w:p>
    <w:p w14:paraId="54A7A3F2" w14:textId="726979E9"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При пациенти със сърдечна недостатъчност след миокарден инфаркт:</w:t>
      </w:r>
    </w:p>
    <w:p w14:paraId="34018B65" w14:textId="77777777" w:rsidR="00AE1D6B" w:rsidRPr="00AE1D6B" w:rsidRDefault="00AE1D6B" w:rsidP="00AE1D6B">
      <w:pPr>
        <w:spacing w:line="240" w:lineRule="auto"/>
        <w:rPr>
          <w:rFonts w:eastAsia="Times New Roman" w:cs="Arial"/>
          <w:color w:val="000000"/>
          <w:szCs w:val="20"/>
          <w:lang w:eastAsia="bg-BG"/>
        </w:rPr>
      </w:pPr>
    </w:p>
    <w:p w14:paraId="3E496277" w14:textId="12A7374F"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Препоръчителната поддържаща доза на еплеренон е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Лечението трябва да бъде започнато с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и титрирано до прицелната доза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за предпочитане в рамките на 4 седмици, като се вземат предвид серумните концентрации на калия (вж. Таблица 1). Лечението с еплеренон обикновено започва в рамките на 3 до 14 дни след остър миокарден инфаркт.</w:t>
      </w:r>
    </w:p>
    <w:p w14:paraId="48BFAB21" w14:textId="77777777" w:rsidR="00AE1D6B" w:rsidRPr="00AE1D6B" w:rsidRDefault="00AE1D6B" w:rsidP="00AE1D6B">
      <w:pPr>
        <w:spacing w:line="240" w:lineRule="auto"/>
        <w:rPr>
          <w:rFonts w:eastAsia="Times New Roman" w:cs="Arial"/>
          <w:i/>
          <w:iCs/>
          <w:color w:val="000000"/>
          <w:szCs w:val="20"/>
          <w:lang w:eastAsia="bg-BG"/>
        </w:rPr>
      </w:pPr>
    </w:p>
    <w:p w14:paraId="20534A1F" w14:textId="3A4D7649"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 xml:space="preserve">При пациенти с (хронична) сърдечна недостатъчност </w:t>
      </w:r>
      <w:r w:rsidRPr="00AE1D6B">
        <w:rPr>
          <w:rFonts w:eastAsia="Times New Roman" w:cs="Arial"/>
          <w:i/>
          <w:iCs/>
          <w:color w:val="000000"/>
          <w:szCs w:val="20"/>
          <w:lang w:val="en-US"/>
        </w:rPr>
        <w:t>II</w:t>
      </w:r>
      <w:r w:rsidRPr="00AE1D6B">
        <w:rPr>
          <w:rFonts w:eastAsia="Times New Roman" w:cs="Arial"/>
          <w:i/>
          <w:iCs/>
          <w:color w:val="000000"/>
          <w:szCs w:val="20"/>
          <w:lang w:val="ru-RU"/>
        </w:rPr>
        <w:t xml:space="preserve"> </w:t>
      </w:r>
      <w:r w:rsidRPr="00AE1D6B">
        <w:rPr>
          <w:rFonts w:eastAsia="Times New Roman" w:cs="Arial"/>
          <w:i/>
          <w:iCs/>
          <w:color w:val="000000"/>
          <w:szCs w:val="20"/>
          <w:lang w:eastAsia="bg-BG"/>
        </w:rPr>
        <w:t xml:space="preserve">клас </w:t>
      </w:r>
      <w:r w:rsidRPr="00AE1D6B">
        <w:rPr>
          <w:rFonts w:eastAsia="Times New Roman" w:cs="Arial"/>
          <w:i/>
          <w:iCs/>
          <w:color w:val="000000"/>
          <w:szCs w:val="20"/>
          <w:lang w:val="en-US"/>
        </w:rPr>
        <w:t>no</w:t>
      </w:r>
      <w:r w:rsidRPr="00AE1D6B">
        <w:rPr>
          <w:rFonts w:eastAsia="Times New Roman" w:cs="Arial"/>
          <w:i/>
          <w:iCs/>
          <w:color w:val="000000"/>
          <w:szCs w:val="20"/>
          <w:lang w:val="ru-RU"/>
        </w:rPr>
        <w:t xml:space="preserve"> </w:t>
      </w:r>
      <w:r w:rsidRPr="00AE1D6B">
        <w:rPr>
          <w:rFonts w:eastAsia="Times New Roman" w:cs="Arial"/>
          <w:i/>
          <w:iCs/>
          <w:color w:val="000000"/>
          <w:szCs w:val="20"/>
          <w:lang w:val="en-US"/>
        </w:rPr>
        <w:t>NYHA</w:t>
      </w:r>
      <w:r w:rsidRPr="00AE1D6B">
        <w:rPr>
          <w:rFonts w:eastAsia="Times New Roman" w:cs="Arial"/>
          <w:i/>
          <w:iCs/>
          <w:color w:val="000000"/>
          <w:szCs w:val="20"/>
          <w:lang w:val="ru-RU"/>
        </w:rPr>
        <w:t>:</w:t>
      </w:r>
    </w:p>
    <w:p w14:paraId="4C6CF710" w14:textId="77777777" w:rsidR="00AE1D6B" w:rsidRPr="00AE1D6B" w:rsidRDefault="00AE1D6B" w:rsidP="00AE1D6B">
      <w:pPr>
        <w:spacing w:line="240" w:lineRule="auto"/>
        <w:rPr>
          <w:rFonts w:eastAsia="Times New Roman" w:cs="Arial"/>
          <w:color w:val="000000"/>
          <w:szCs w:val="20"/>
          <w:lang w:eastAsia="bg-BG"/>
        </w:rPr>
      </w:pPr>
    </w:p>
    <w:p w14:paraId="364F4767" w14:textId="7C14FE4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пациентите с хронична сърдечна недостатъчност II клас по </w:t>
      </w:r>
      <w:r w:rsidRPr="00AE1D6B">
        <w:rPr>
          <w:rFonts w:eastAsia="Times New Roman" w:cs="Arial"/>
          <w:color w:val="000000"/>
          <w:szCs w:val="20"/>
          <w:lang w:val="en-US"/>
        </w:rPr>
        <w:t>NYHA</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лечението трябва да бъде започнато с доза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и титрирано до прицелната доза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за предпочитане в рамките на 4 седмици, като се вземат предвид концентрациите на серумния калий (вж. Таблица 1 и точка 4.4).</w:t>
      </w:r>
    </w:p>
    <w:p w14:paraId="704EA633" w14:textId="77777777" w:rsidR="00AE1D6B" w:rsidRPr="00AE1D6B" w:rsidRDefault="00AE1D6B" w:rsidP="00AE1D6B">
      <w:pPr>
        <w:spacing w:line="240" w:lineRule="auto"/>
        <w:rPr>
          <w:rFonts w:eastAsia="Times New Roman" w:cs="Arial"/>
          <w:color w:val="000000"/>
          <w:szCs w:val="20"/>
          <w:lang w:eastAsia="bg-BG"/>
        </w:rPr>
      </w:pPr>
    </w:p>
    <w:p w14:paraId="1A73007B" w14:textId="0B4EFD0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 със серумен калий &gt; 5,0 </w:t>
      </w:r>
      <w:proofErr w:type="spellStart"/>
      <w:r w:rsidRPr="00AE1D6B">
        <w:rPr>
          <w:rFonts w:eastAsia="Times New Roman" w:cs="Arial"/>
          <w:color w:val="000000"/>
          <w:szCs w:val="20"/>
          <w:lang w:val="en-US"/>
        </w:rPr>
        <w:t>mmol</w:t>
      </w:r>
      <w:proofErr w:type="spellEnd"/>
      <w:r w:rsidRPr="00AE1D6B">
        <w:rPr>
          <w:rFonts w:eastAsia="Times New Roman" w:cs="Arial"/>
          <w:color w:val="000000"/>
          <w:szCs w:val="20"/>
          <w:lang w:val="ru-RU"/>
        </w:rPr>
        <w:t xml:space="preserve">/1 </w:t>
      </w:r>
      <w:r w:rsidRPr="00AE1D6B">
        <w:rPr>
          <w:rFonts w:eastAsia="Times New Roman" w:cs="Arial"/>
          <w:color w:val="000000"/>
          <w:szCs w:val="20"/>
          <w:lang w:eastAsia="bg-BG"/>
        </w:rPr>
        <w:t>не трябва да се започва лечение с еплеренон (вж, точка 4.3).</w:t>
      </w:r>
    </w:p>
    <w:p w14:paraId="17B99F6E" w14:textId="77777777" w:rsidR="00AE1D6B" w:rsidRPr="00AE1D6B" w:rsidRDefault="00AE1D6B" w:rsidP="00AE1D6B">
      <w:pPr>
        <w:spacing w:line="240" w:lineRule="auto"/>
        <w:rPr>
          <w:rFonts w:eastAsia="Times New Roman" w:cs="Arial"/>
          <w:color w:val="000000"/>
          <w:szCs w:val="20"/>
          <w:lang w:eastAsia="bg-BG"/>
        </w:rPr>
      </w:pPr>
    </w:p>
    <w:p w14:paraId="48E61BCA" w14:textId="144AE180"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Серумният калий трябва да бъде измерен преди започване на лечение с еплеренон, през първата седмица и един месец след започване на лечението или корекция на дозата. След това серумният калий трябва да бъде изследван периодично при необходимост.</w:t>
      </w:r>
    </w:p>
    <w:p w14:paraId="151D6C83" w14:textId="77777777" w:rsidR="00AE1D6B" w:rsidRPr="00AE1D6B" w:rsidRDefault="00AE1D6B" w:rsidP="00AE1D6B">
      <w:pPr>
        <w:spacing w:line="240" w:lineRule="auto"/>
        <w:rPr>
          <w:rFonts w:eastAsia="Times New Roman" w:cs="Arial"/>
          <w:color w:val="000000"/>
          <w:szCs w:val="20"/>
          <w:lang w:eastAsia="bg-BG"/>
        </w:rPr>
      </w:pPr>
    </w:p>
    <w:p w14:paraId="21DABB04" w14:textId="77777777" w:rsidR="00AE1D6B" w:rsidRPr="00AE1D6B" w:rsidRDefault="00AE1D6B" w:rsidP="00AE1D6B">
      <w:pPr>
        <w:spacing w:line="240" w:lineRule="auto"/>
        <w:rPr>
          <w:rFonts w:eastAsia="Times New Roman" w:cs="Arial"/>
          <w:color w:val="000000"/>
          <w:szCs w:val="20"/>
          <w:lang w:eastAsia="bg-BG"/>
        </w:rPr>
      </w:pPr>
      <w:r w:rsidRPr="00AE1D6B">
        <w:rPr>
          <w:rFonts w:eastAsia="Times New Roman" w:cs="Arial"/>
          <w:color w:val="000000"/>
          <w:szCs w:val="20"/>
          <w:lang w:eastAsia="bg-BG"/>
        </w:rPr>
        <w:t xml:space="preserve">След започване на лечението, дозата трябва да бъде коригирана спрямо концентрацията на серумния калий, </w:t>
      </w:r>
    </w:p>
    <w:p w14:paraId="3EC4FB8F" w14:textId="24D887B4"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както е показано в Таблица 1.</w:t>
      </w:r>
    </w:p>
    <w:p w14:paraId="007D2F97" w14:textId="77777777" w:rsidR="00AE1D6B" w:rsidRPr="00AE1D6B" w:rsidRDefault="00AE1D6B" w:rsidP="00AE1D6B">
      <w:pPr>
        <w:spacing w:line="240" w:lineRule="auto"/>
        <w:rPr>
          <w:rFonts w:eastAsia="Times New Roman" w:cs="Arial"/>
          <w:color w:val="000000"/>
          <w:szCs w:val="20"/>
          <w:lang w:eastAsia="bg-BG"/>
        </w:rPr>
      </w:pPr>
    </w:p>
    <w:p w14:paraId="25F37B5C" w14:textId="5F454BE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Таблица 1: Коригиране на дозата след започване на лечението</w:t>
      </w:r>
    </w:p>
    <w:tbl>
      <w:tblPr>
        <w:tblStyle w:val="TableGrid"/>
        <w:tblW w:w="0" w:type="auto"/>
        <w:tblLook w:val="04A0" w:firstRow="1" w:lastRow="0" w:firstColumn="1" w:lastColumn="0" w:noHBand="0" w:noVBand="1"/>
      </w:tblPr>
      <w:tblGrid>
        <w:gridCol w:w="3104"/>
        <w:gridCol w:w="3123"/>
        <w:gridCol w:w="3123"/>
      </w:tblGrid>
      <w:tr w:rsidR="00AE1D6B" w14:paraId="7B50546B" w14:textId="77777777" w:rsidTr="00AE1D6B">
        <w:tc>
          <w:tcPr>
            <w:tcW w:w="3192" w:type="dxa"/>
          </w:tcPr>
          <w:p w14:paraId="7A63A5AF" w14:textId="434072A6" w:rsidR="00AE1D6B" w:rsidRPr="00AE1D6B" w:rsidRDefault="00AE1D6B" w:rsidP="00AE1D6B">
            <w:r w:rsidRPr="00AE1D6B">
              <w:rPr>
                <w:b/>
                <w:bCs/>
              </w:rPr>
              <w:t xml:space="preserve">Серумен калий </w:t>
            </w:r>
            <w:r w:rsidRPr="00AE1D6B">
              <w:rPr>
                <w:b/>
                <w:bCs/>
                <w:lang w:val="en-US"/>
              </w:rPr>
              <w:t>(</w:t>
            </w:r>
            <w:proofErr w:type="spellStart"/>
            <w:r w:rsidRPr="00AE1D6B">
              <w:rPr>
                <w:b/>
                <w:bCs/>
                <w:lang w:val="en-US"/>
              </w:rPr>
              <w:t>mmol</w:t>
            </w:r>
            <w:proofErr w:type="spellEnd"/>
            <w:r w:rsidRPr="00AE1D6B">
              <w:rPr>
                <w:b/>
                <w:bCs/>
                <w:lang w:val="en-US"/>
              </w:rPr>
              <w:t>/1)</w:t>
            </w:r>
          </w:p>
        </w:tc>
        <w:tc>
          <w:tcPr>
            <w:tcW w:w="3192" w:type="dxa"/>
          </w:tcPr>
          <w:p w14:paraId="5BD820E2" w14:textId="1A7B16A9" w:rsidR="00AE1D6B" w:rsidRPr="00AE1D6B" w:rsidRDefault="00AE1D6B" w:rsidP="00AE1D6B">
            <w:r w:rsidRPr="00AE1D6B">
              <w:rPr>
                <w:b/>
                <w:bCs/>
              </w:rPr>
              <w:t>Действие</w:t>
            </w:r>
          </w:p>
        </w:tc>
        <w:tc>
          <w:tcPr>
            <w:tcW w:w="3192" w:type="dxa"/>
          </w:tcPr>
          <w:p w14:paraId="0D72771D" w14:textId="7F210863" w:rsidR="00AE1D6B" w:rsidRPr="00AE1D6B" w:rsidRDefault="00AE1D6B" w:rsidP="00AE1D6B">
            <w:r w:rsidRPr="00AE1D6B">
              <w:rPr>
                <w:b/>
                <w:bCs/>
              </w:rPr>
              <w:t>Коригиране на дозата</w:t>
            </w:r>
          </w:p>
        </w:tc>
      </w:tr>
      <w:tr w:rsidR="00AE1D6B" w14:paraId="540D7E16" w14:textId="77777777" w:rsidTr="00AE1D6B">
        <w:tc>
          <w:tcPr>
            <w:tcW w:w="3192" w:type="dxa"/>
          </w:tcPr>
          <w:p w14:paraId="53C3989D" w14:textId="314BCA9B" w:rsidR="00AE1D6B" w:rsidRPr="00AE1D6B" w:rsidRDefault="00AE1D6B" w:rsidP="00AE1D6B">
            <w:r w:rsidRPr="00AE1D6B">
              <w:t>&lt;5,0</w:t>
            </w:r>
          </w:p>
        </w:tc>
        <w:tc>
          <w:tcPr>
            <w:tcW w:w="3192" w:type="dxa"/>
          </w:tcPr>
          <w:p w14:paraId="11C28FBC" w14:textId="43A873E6" w:rsidR="00AE1D6B" w:rsidRPr="00AE1D6B" w:rsidRDefault="00AE1D6B" w:rsidP="00AE1D6B">
            <w:r w:rsidRPr="00AE1D6B">
              <w:t>Повишаване на дозата</w:t>
            </w:r>
          </w:p>
        </w:tc>
        <w:tc>
          <w:tcPr>
            <w:tcW w:w="3192" w:type="dxa"/>
          </w:tcPr>
          <w:p w14:paraId="3073255C" w14:textId="77777777" w:rsidR="00AE1D6B" w:rsidRPr="00AE1D6B" w:rsidRDefault="00AE1D6B" w:rsidP="00AE1D6B">
            <w:r w:rsidRPr="00AE1D6B">
              <w:t xml:space="preserve">25 </w:t>
            </w:r>
            <w:r w:rsidRPr="00AE1D6B">
              <w:rPr>
                <w:lang w:val="en-US"/>
              </w:rPr>
              <w:t>mg</w:t>
            </w:r>
            <w:r w:rsidRPr="00AE1D6B">
              <w:rPr>
                <w:lang w:val="ru-RU"/>
              </w:rPr>
              <w:t xml:space="preserve"> </w:t>
            </w:r>
            <w:r w:rsidRPr="00AE1D6B">
              <w:t xml:space="preserve">през ден до 25 </w:t>
            </w:r>
            <w:r w:rsidRPr="00AE1D6B">
              <w:rPr>
                <w:lang w:val="en-US"/>
              </w:rPr>
              <w:t>mg</w:t>
            </w:r>
            <w:r w:rsidRPr="00AE1D6B">
              <w:rPr>
                <w:lang w:val="ru-RU"/>
              </w:rPr>
              <w:t xml:space="preserve"> </w:t>
            </w:r>
            <w:r w:rsidRPr="00AE1D6B">
              <w:t>веднъж дневно .</w:t>
            </w:r>
          </w:p>
          <w:p w14:paraId="7010EAD2" w14:textId="4C6CF5FD" w:rsidR="00AE1D6B" w:rsidRPr="00AE1D6B" w:rsidRDefault="00AE1D6B" w:rsidP="00AE1D6B">
            <w:r w:rsidRPr="00AE1D6B">
              <w:t xml:space="preserve">25 </w:t>
            </w:r>
            <w:r w:rsidRPr="00AE1D6B">
              <w:rPr>
                <w:lang w:val="en-US"/>
              </w:rPr>
              <w:t>mg</w:t>
            </w:r>
            <w:r w:rsidRPr="00AE1D6B">
              <w:rPr>
                <w:lang w:val="ru-RU"/>
              </w:rPr>
              <w:t xml:space="preserve"> </w:t>
            </w:r>
            <w:r w:rsidRPr="00AE1D6B">
              <w:t xml:space="preserve">веднъж дневно до 50 </w:t>
            </w:r>
            <w:r w:rsidRPr="00AE1D6B">
              <w:rPr>
                <w:lang w:val="en-US"/>
              </w:rPr>
              <w:t>mg</w:t>
            </w:r>
            <w:r w:rsidRPr="00AE1D6B">
              <w:rPr>
                <w:lang w:val="ru-RU"/>
              </w:rPr>
              <w:t xml:space="preserve"> </w:t>
            </w:r>
            <w:r w:rsidRPr="00AE1D6B">
              <w:t>веднъж дневно</w:t>
            </w:r>
          </w:p>
        </w:tc>
      </w:tr>
      <w:tr w:rsidR="00AE1D6B" w14:paraId="4BD2B37B" w14:textId="77777777" w:rsidTr="00AE1D6B">
        <w:tc>
          <w:tcPr>
            <w:tcW w:w="3192" w:type="dxa"/>
          </w:tcPr>
          <w:p w14:paraId="24AAFF51" w14:textId="0B25D443" w:rsidR="00AE1D6B" w:rsidRPr="00AE1D6B" w:rsidRDefault="00AE1D6B" w:rsidP="00AE1D6B">
            <w:r w:rsidRPr="00AE1D6B">
              <w:t>5,0-5,4</w:t>
            </w:r>
          </w:p>
        </w:tc>
        <w:tc>
          <w:tcPr>
            <w:tcW w:w="3192" w:type="dxa"/>
          </w:tcPr>
          <w:p w14:paraId="4F117A6D" w14:textId="454CD0A7" w:rsidR="00AE1D6B" w:rsidRPr="00AE1D6B" w:rsidRDefault="00AE1D6B" w:rsidP="00AE1D6B">
            <w:r w:rsidRPr="00AE1D6B">
              <w:t>Поддържане на дозата</w:t>
            </w:r>
          </w:p>
        </w:tc>
        <w:tc>
          <w:tcPr>
            <w:tcW w:w="3192" w:type="dxa"/>
          </w:tcPr>
          <w:p w14:paraId="6C9283AF" w14:textId="2EED66FE" w:rsidR="00AE1D6B" w:rsidRPr="00AE1D6B" w:rsidRDefault="00AE1D6B" w:rsidP="00AE1D6B">
            <w:r w:rsidRPr="00AE1D6B">
              <w:t>Не е необходима корекция на дозата</w:t>
            </w:r>
          </w:p>
        </w:tc>
      </w:tr>
      <w:tr w:rsidR="00AE1D6B" w14:paraId="5E2DA0A0" w14:textId="77777777" w:rsidTr="00AE1D6B">
        <w:tc>
          <w:tcPr>
            <w:tcW w:w="3192" w:type="dxa"/>
            <w:vMerge w:val="restart"/>
          </w:tcPr>
          <w:p w14:paraId="6D3C4687" w14:textId="6494ED52" w:rsidR="00AE1D6B" w:rsidRPr="00AE1D6B" w:rsidRDefault="00AE1D6B" w:rsidP="00AE1D6B">
            <w:r w:rsidRPr="00AE1D6B">
              <w:t>5,5 - 5,9</w:t>
            </w:r>
          </w:p>
        </w:tc>
        <w:tc>
          <w:tcPr>
            <w:tcW w:w="3192" w:type="dxa"/>
            <w:vMerge w:val="restart"/>
          </w:tcPr>
          <w:p w14:paraId="3C6AA8DF" w14:textId="406154D5" w:rsidR="00AE1D6B" w:rsidRPr="00AE1D6B" w:rsidRDefault="00AE1D6B" w:rsidP="00AE1D6B">
            <w:r w:rsidRPr="00AE1D6B">
              <w:t>Понижаване на дозата</w:t>
            </w:r>
          </w:p>
        </w:tc>
        <w:tc>
          <w:tcPr>
            <w:tcW w:w="3192" w:type="dxa"/>
          </w:tcPr>
          <w:p w14:paraId="62DD485A" w14:textId="71003463" w:rsidR="00AE1D6B" w:rsidRPr="00AE1D6B" w:rsidRDefault="00AE1D6B" w:rsidP="00AE1D6B">
            <w:r w:rsidRPr="00AE1D6B">
              <w:t xml:space="preserve">От 50 </w:t>
            </w:r>
            <w:r w:rsidRPr="00AE1D6B">
              <w:rPr>
                <w:lang w:val="en-US"/>
              </w:rPr>
              <w:t>mg</w:t>
            </w:r>
            <w:r w:rsidRPr="00AE1D6B">
              <w:rPr>
                <w:lang w:val="ru-RU"/>
              </w:rPr>
              <w:t xml:space="preserve"> </w:t>
            </w:r>
            <w:r w:rsidRPr="00AE1D6B">
              <w:t xml:space="preserve">веднъж дневно до 25 </w:t>
            </w:r>
            <w:r w:rsidRPr="00AE1D6B">
              <w:rPr>
                <w:lang w:val="en-US"/>
              </w:rPr>
              <w:t>mg</w:t>
            </w:r>
            <w:r w:rsidRPr="00AE1D6B">
              <w:rPr>
                <w:lang w:val="ru-RU"/>
              </w:rPr>
              <w:t xml:space="preserve"> </w:t>
            </w:r>
            <w:r w:rsidRPr="00AE1D6B">
              <w:t>веднъж дневно</w:t>
            </w:r>
          </w:p>
        </w:tc>
      </w:tr>
      <w:tr w:rsidR="00AE1D6B" w14:paraId="06E08484" w14:textId="77777777" w:rsidTr="00AE1D6B">
        <w:tc>
          <w:tcPr>
            <w:tcW w:w="3192" w:type="dxa"/>
            <w:vMerge/>
          </w:tcPr>
          <w:p w14:paraId="1778049A" w14:textId="77777777" w:rsidR="00AE1D6B" w:rsidRPr="00AE1D6B" w:rsidRDefault="00AE1D6B" w:rsidP="00AE1D6B"/>
        </w:tc>
        <w:tc>
          <w:tcPr>
            <w:tcW w:w="3192" w:type="dxa"/>
            <w:vMerge/>
          </w:tcPr>
          <w:p w14:paraId="72553FB0" w14:textId="77777777" w:rsidR="00AE1D6B" w:rsidRPr="00AE1D6B" w:rsidRDefault="00AE1D6B" w:rsidP="00AE1D6B"/>
        </w:tc>
        <w:tc>
          <w:tcPr>
            <w:tcW w:w="3192" w:type="dxa"/>
          </w:tcPr>
          <w:p w14:paraId="4B794889" w14:textId="2FE69EF8" w:rsidR="00AE1D6B" w:rsidRPr="00AE1D6B" w:rsidRDefault="00AE1D6B" w:rsidP="00AE1D6B">
            <w:r w:rsidRPr="00AE1D6B">
              <w:t xml:space="preserve">От 25 </w:t>
            </w:r>
            <w:r w:rsidRPr="00AE1D6B">
              <w:rPr>
                <w:lang w:val="en-US"/>
              </w:rPr>
              <w:t>mg</w:t>
            </w:r>
            <w:r w:rsidRPr="00AE1D6B">
              <w:rPr>
                <w:lang w:val="ru-RU"/>
              </w:rPr>
              <w:t xml:space="preserve"> </w:t>
            </w:r>
            <w:r w:rsidRPr="00AE1D6B">
              <w:t xml:space="preserve">веднъж дневно до 25 </w:t>
            </w:r>
            <w:r w:rsidRPr="00AE1D6B">
              <w:rPr>
                <w:lang w:val="en-US"/>
              </w:rPr>
              <w:t>mg</w:t>
            </w:r>
            <w:r w:rsidRPr="00AE1D6B">
              <w:rPr>
                <w:lang w:val="ru-RU"/>
              </w:rPr>
              <w:t xml:space="preserve"> </w:t>
            </w:r>
            <w:r w:rsidRPr="00AE1D6B">
              <w:t>през ден</w:t>
            </w:r>
          </w:p>
        </w:tc>
      </w:tr>
      <w:tr w:rsidR="00AE1D6B" w14:paraId="73CC15E9" w14:textId="77777777" w:rsidTr="00AE1D6B">
        <w:tc>
          <w:tcPr>
            <w:tcW w:w="3192" w:type="dxa"/>
            <w:vMerge/>
          </w:tcPr>
          <w:p w14:paraId="6E488023" w14:textId="77777777" w:rsidR="00AE1D6B" w:rsidRPr="00AE1D6B" w:rsidRDefault="00AE1D6B" w:rsidP="00AE1D6B"/>
        </w:tc>
        <w:tc>
          <w:tcPr>
            <w:tcW w:w="3192" w:type="dxa"/>
            <w:vMerge/>
          </w:tcPr>
          <w:p w14:paraId="6E68A3CA" w14:textId="77777777" w:rsidR="00AE1D6B" w:rsidRPr="00AE1D6B" w:rsidRDefault="00AE1D6B" w:rsidP="00AE1D6B"/>
        </w:tc>
        <w:tc>
          <w:tcPr>
            <w:tcW w:w="3192" w:type="dxa"/>
          </w:tcPr>
          <w:p w14:paraId="3F607DEF" w14:textId="3D6D643D" w:rsidR="00AE1D6B" w:rsidRPr="00AE1D6B" w:rsidRDefault="00AE1D6B" w:rsidP="00AE1D6B">
            <w:r w:rsidRPr="00AE1D6B">
              <w:t xml:space="preserve">25 </w:t>
            </w:r>
            <w:r w:rsidRPr="00AE1D6B">
              <w:rPr>
                <w:lang w:val="en-US"/>
              </w:rPr>
              <w:t>mg</w:t>
            </w:r>
            <w:r w:rsidRPr="00AE1D6B">
              <w:rPr>
                <w:lang w:val="ru-RU"/>
              </w:rPr>
              <w:t xml:space="preserve"> </w:t>
            </w:r>
            <w:r w:rsidRPr="00AE1D6B">
              <w:t>през ден или временно прекратяване на лечението</w:t>
            </w:r>
          </w:p>
        </w:tc>
      </w:tr>
      <w:tr w:rsidR="00AE1D6B" w14:paraId="46F5DF6D" w14:textId="77777777" w:rsidTr="00AE1D6B">
        <w:tc>
          <w:tcPr>
            <w:tcW w:w="3192" w:type="dxa"/>
          </w:tcPr>
          <w:p w14:paraId="77716E8C" w14:textId="28AB5154" w:rsidR="00AE1D6B" w:rsidRPr="00AE1D6B" w:rsidRDefault="00AE1D6B" w:rsidP="00AE1D6B">
            <w:r w:rsidRPr="00AE1D6B">
              <w:t>&gt;6,0</w:t>
            </w:r>
          </w:p>
        </w:tc>
        <w:tc>
          <w:tcPr>
            <w:tcW w:w="3192" w:type="dxa"/>
          </w:tcPr>
          <w:p w14:paraId="55AAE812" w14:textId="4F5BBCD6" w:rsidR="00AE1D6B" w:rsidRPr="00AE1D6B" w:rsidRDefault="00AE1D6B" w:rsidP="00AE1D6B">
            <w:r w:rsidRPr="00AE1D6B">
              <w:t>Временно прекратяване на лечението</w:t>
            </w:r>
          </w:p>
        </w:tc>
        <w:tc>
          <w:tcPr>
            <w:tcW w:w="3192" w:type="dxa"/>
          </w:tcPr>
          <w:p w14:paraId="1895D415" w14:textId="0D6835DC" w:rsidR="00AE1D6B" w:rsidRPr="00AE1D6B" w:rsidRDefault="00AE1D6B" w:rsidP="00AE1D6B">
            <w:r w:rsidRPr="00AE1D6B">
              <w:rPr>
                <w:rFonts w:cs="Arial"/>
              </w:rPr>
              <w:t>**</w:t>
            </w:r>
          </w:p>
        </w:tc>
      </w:tr>
    </w:tbl>
    <w:p w14:paraId="73578A4C" w14:textId="71E703C6" w:rsidR="00AE1D6B" w:rsidRDefault="00AE1D6B" w:rsidP="00AE1D6B"/>
    <w:p w14:paraId="4688AE60" w14:textId="6241BDE6" w:rsidR="00AE1D6B" w:rsidRPr="00AE1D6B" w:rsidRDefault="00AE1D6B" w:rsidP="00AE1D6B">
      <w:pPr>
        <w:rPr>
          <w:rFonts w:cs="Arial"/>
          <w:szCs w:val="20"/>
          <w:lang w:val="ru-RU"/>
        </w:rPr>
      </w:pPr>
      <w:r w:rsidRPr="00AE1D6B">
        <w:rPr>
          <w:rFonts w:cs="Arial"/>
          <w:szCs w:val="20"/>
        </w:rPr>
        <w:t>След временно прекратяване на приема на еплеренон поради серумен калий</w:t>
      </w:r>
      <w:r w:rsidRPr="00AE1D6B">
        <w:rPr>
          <w:rFonts w:cs="Arial"/>
          <w:szCs w:val="20"/>
          <w:lang w:val="ru-RU"/>
        </w:rPr>
        <w:t xml:space="preserve"> &gt;6,0 </w:t>
      </w:r>
      <w:proofErr w:type="spellStart"/>
      <w:r w:rsidRPr="00AE1D6B">
        <w:rPr>
          <w:rFonts w:cs="Arial"/>
          <w:szCs w:val="20"/>
          <w:lang w:val="en-US"/>
        </w:rPr>
        <w:t>mmol</w:t>
      </w:r>
      <w:proofErr w:type="spellEnd"/>
      <w:r w:rsidRPr="00AE1D6B">
        <w:rPr>
          <w:rFonts w:cs="Arial"/>
          <w:szCs w:val="20"/>
          <w:lang w:val="ru-RU"/>
        </w:rPr>
        <w:t>/</w:t>
      </w:r>
      <w:r w:rsidRPr="00AE1D6B">
        <w:rPr>
          <w:rFonts w:cs="Arial"/>
          <w:szCs w:val="20"/>
          <w:lang w:val="en-US"/>
        </w:rPr>
        <w:t>l</w:t>
      </w:r>
      <w:r w:rsidRPr="00AE1D6B">
        <w:rPr>
          <w:rFonts w:cs="Arial"/>
          <w:szCs w:val="20"/>
        </w:rPr>
        <w:t xml:space="preserve"> лечението с еплеренон може да бъде подновено в доза 25 </w:t>
      </w:r>
      <w:r w:rsidRPr="00AE1D6B">
        <w:rPr>
          <w:rFonts w:cs="Arial"/>
          <w:szCs w:val="20"/>
          <w:lang w:val="en-US"/>
        </w:rPr>
        <w:t>mg</w:t>
      </w:r>
      <w:r w:rsidRPr="00AE1D6B">
        <w:rPr>
          <w:rFonts w:cs="Arial"/>
          <w:szCs w:val="20"/>
          <w:lang w:val="ru-RU"/>
        </w:rPr>
        <w:t xml:space="preserve"> </w:t>
      </w:r>
      <w:r w:rsidRPr="00AE1D6B">
        <w:rPr>
          <w:rFonts w:cs="Arial"/>
          <w:szCs w:val="20"/>
        </w:rPr>
        <w:t>през ден след</w:t>
      </w:r>
      <w:r w:rsidRPr="00AE1D6B">
        <w:rPr>
          <w:rFonts w:cs="Arial"/>
          <w:szCs w:val="20"/>
          <w:lang w:val="ru-RU"/>
        </w:rPr>
        <w:t xml:space="preserve"> </w:t>
      </w:r>
      <w:r w:rsidRPr="00AE1D6B">
        <w:rPr>
          <w:rFonts w:cs="Arial"/>
          <w:szCs w:val="20"/>
        </w:rPr>
        <w:t xml:space="preserve">спадане на концентрациите на калий под 5,0 </w:t>
      </w:r>
      <w:proofErr w:type="spellStart"/>
      <w:r w:rsidRPr="00AE1D6B">
        <w:rPr>
          <w:rFonts w:cs="Arial"/>
          <w:szCs w:val="20"/>
          <w:lang w:val="en-US"/>
        </w:rPr>
        <w:t>mmol</w:t>
      </w:r>
      <w:proofErr w:type="spellEnd"/>
      <w:r w:rsidRPr="00AE1D6B">
        <w:rPr>
          <w:rFonts w:cs="Arial"/>
          <w:szCs w:val="20"/>
          <w:lang w:val="ru-RU"/>
        </w:rPr>
        <w:t>/l.</w:t>
      </w:r>
    </w:p>
    <w:p w14:paraId="26BAABF1" w14:textId="0F1F057D" w:rsidR="00AE1D6B" w:rsidRPr="00AE1D6B" w:rsidRDefault="00AE1D6B" w:rsidP="00AE1D6B">
      <w:pPr>
        <w:rPr>
          <w:rFonts w:cs="Arial"/>
          <w:szCs w:val="20"/>
          <w:lang w:val="ru-RU"/>
        </w:rPr>
      </w:pPr>
    </w:p>
    <w:p w14:paraId="5151DC8B"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Педиатрична популация</w:t>
      </w:r>
    </w:p>
    <w:p w14:paraId="00DC9602" w14:textId="77777777" w:rsidR="00AE1D6B" w:rsidRPr="00AE1D6B" w:rsidRDefault="00AE1D6B" w:rsidP="00AE1D6B">
      <w:pPr>
        <w:spacing w:line="240" w:lineRule="auto"/>
        <w:rPr>
          <w:rFonts w:eastAsia="Times New Roman" w:cs="Arial"/>
          <w:color w:val="000000"/>
          <w:szCs w:val="20"/>
          <w:lang w:eastAsia="bg-BG"/>
        </w:rPr>
      </w:pPr>
    </w:p>
    <w:p w14:paraId="4C869F34" w14:textId="72B7664D"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Безопасността и ефикасността на еплеренон при деца и юноши не са установени. Наличните понастоящем данни са описани в точка 5.1 и 5.2.</w:t>
      </w:r>
    </w:p>
    <w:p w14:paraId="70643BAA" w14:textId="77777777" w:rsidR="00AE1D6B" w:rsidRPr="00AE1D6B" w:rsidRDefault="00AE1D6B" w:rsidP="00AE1D6B">
      <w:pPr>
        <w:spacing w:line="240" w:lineRule="auto"/>
        <w:rPr>
          <w:rFonts w:eastAsia="Times New Roman" w:cs="Arial"/>
          <w:i/>
          <w:iCs/>
          <w:color w:val="000000"/>
          <w:szCs w:val="20"/>
          <w:lang w:eastAsia="bg-BG"/>
        </w:rPr>
      </w:pPr>
    </w:p>
    <w:p w14:paraId="63967E82" w14:textId="3CE676B1"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Пациенти е старческа възраст</w:t>
      </w:r>
    </w:p>
    <w:p w14:paraId="39C26C09" w14:textId="77777777" w:rsidR="00AE1D6B" w:rsidRPr="00AE1D6B" w:rsidRDefault="00AE1D6B" w:rsidP="00AE1D6B">
      <w:pPr>
        <w:spacing w:line="240" w:lineRule="auto"/>
        <w:rPr>
          <w:rFonts w:eastAsia="Times New Roman" w:cs="Arial"/>
          <w:color w:val="000000"/>
          <w:szCs w:val="20"/>
          <w:lang w:eastAsia="bg-BG"/>
        </w:rPr>
      </w:pPr>
    </w:p>
    <w:p w14:paraId="1F801B4B" w14:textId="16619CA0"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При пациенти в старческа възраст не е необходима корекция на началната доза. Поради възрастово-обусловеното понижаване на бъбречната функция, рискът от хиперкалиемия нараства при пациенти в старческа възраст. Този риск може да нарасне допълнително при наличие на придружаващи заболявания, свързани с повишена системна експозиция, в частност при леко до умерено чернодробно увреждане. Препоръчва се периодично проследяване на серумния калий (вж. точка 4.4).</w:t>
      </w:r>
    </w:p>
    <w:p w14:paraId="703244D2" w14:textId="77777777" w:rsidR="00AE1D6B" w:rsidRPr="00AE1D6B" w:rsidRDefault="00AE1D6B" w:rsidP="00AE1D6B">
      <w:pPr>
        <w:spacing w:line="240" w:lineRule="auto"/>
        <w:rPr>
          <w:rFonts w:eastAsia="Times New Roman" w:cs="Arial"/>
          <w:i/>
          <w:iCs/>
          <w:color w:val="000000"/>
          <w:szCs w:val="20"/>
          <w:lang w:eastAsia="bg-BG"/>
        </w:rPr>
      </w:pPr>
    </w:p>
    <w:p w14:paraId="10A3CC76" w14:textId="5051E104"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Бъбречно увреждане</w:t>
      </w:r>
    </w:p>
    <w:p w14:paraId="01362CCE" w14:textId="77777777" w:rsidR="00AE1D6B" w:rsidRPr="00AE1D6B" w:rsidRDefault="00AE1D6B" w:rsidP="00AE1D6B">
      <w:pPr>
        <w:spacing w:line="240" w:lineRule="auto"/>
        <w:rPr>
          <w:rFonts w:eastAsia="Times New Roman" w:cs="Arial"/>
          <w:color w:val="000000"/>
          <w:szCs w:val="20"/>
          <w:lang w:eastAsia="bg-BG"/>
        </w:rPr>
      </w:pPr>
    </w:p>
    <w:p w14:paraId="76E797E4" w14:textId="53871B7B"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При пациенти с леко бъбречно увреждане не е необходима корекция на началната доза Препоръчва се периодично проследяване на серумния калий (вж. точка 4.4) и корекция на дозите в съответствие с Таблица 1.</w:t>
      </w:r>
    </w:p>
    <w:p w14:paraId="4C00021E" w14:textId="77777777" w:rsidR="00AE1D6B" w:rsidRPr="00AE1D6B" w:rsidRDefault="00AE1D6B" w:rsidP="00AE1D6B">
      <w:pPr>
        <w:spacing w:line="240" w:lineRule="auto"/>
        <w:rPr>
          <w:rFonts w:eastAsia="Times New Roman" w:cs="Arial"/>
          <w:color w:val="000000"/>
          <w:szCs w:val="20"/>
          <w:lang w:eastAsia="bg-BG"/>
        </w:rPr>
      </w:pPr>
    </w:p>
    <w:p w14:paraId="2DBAFB8B" w14:textId="29736BEC"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Пациентите с умерено бъбречно увреждане (креатининов клирънс 30-60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трябва да започнат лечението с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през ден и дозата да бъде определена въз основа на концентрациите на калия (вж .Таблица 1). Препоръчва се периодично проследяване на серумния калий (вж. точка 4.4).</w:t>
      </w:r>
    </w:p>
    <w:p w14:paraId="31E01D54" w14:textId="77777777" w:rsidR="00AE1D6B" w:rsidRPr="00AE1D6B" w:rsidRDefault="00AE1D6B" w:rsidP="00AE1D6B">
      <w:pPr>
        <w:spacing w:line="240" w:lineRule="auto"/>
        <w:rPr>
          <w:rFonts w:eastAsia="Times New Roman" w:cs="Arial"/>
          <w:color w:val="000000"/>
          <w:szCs w:val="20"/>
          <w:lang w:eastAsia="bg-BG"/>
        </w:rPr>
      </w:pPr>
    </w:p>
    <w:p w14:paraId="7950C4C1" w14:textId="375E25E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Няма опит при пациенти с креатининов клирънс под 50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сърдечна недостатъчност след миокарден инфаркт. Употребата на еплеренон при тези пациенти трябва да се извършва внимателно. Дози над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дневно не са проучвани при пациенти с креатининов клирънс под 50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w:t>
      </w:r>
    </w:p>
    <w:p w14:paraId="33D366CA" w14:textId="77777777" w:rsidR="00AE1D6B" w:rsidRPr="00AE1D6B" w:rsidRDefault="00AE1D6B" w:rsidP="00AE1D6B">
      <w:pPr>
        <w:spacing w:line="240" w:lineRule="auto"/>
        <w:rPr>
          <w:rFonts w:eastAsia="Times New Roman" w:cs="Arial"/>
          <w:color w:val="000000"/>
          <w:szCs w:val="20"/>
          <w:lang w:eastAsia="bg-BG"/>
        </w:rPr>
      </w:pPr>
    </w:p>
    <w:p w14:paraId="2A992856" w14:textId="3BCC9DED"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Приложението при пациенти с тежко бъбречно увреждане (креатининов клирънс под 30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е противопоказано (вж.точка 4.3).</w:t>
      </w:r>
    </w:p>
    <w:p w14:paraId="6C816A01" w14:textId="77777777" w:rsidR="00AE1D6B" w:rsidRPr="00AE1D6B" w:rsidRDefault="00AE1D6B" w:rsidP="00AE1D6B">
      <w:pPr>
        <w:spacing w:line="240" w:lineRule="auto"/>
        <w:rPr>
          <w:rFonts w:eastAsia="Times New Roman" w:cs="Arial"/>
          <w:color w:val="000000"/>
          <w:szCs w:val="20"/>
          <w:lang w:eastAsia="bg-BG"/>
        </w:rPr>
      </w:pPr>
    </w:p>
    <w:p w14:paraId="50AD2769" w14:textId="33660959"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не се диализира.</w:t>
      </w:r>
    </w:p>
    <w:p w14:paraId="793B820A" w14:textId="77777777" w:rsidR="00AE1D6B" w:rsidRPr="00AE1D6B" w:rsidRDefault="00AE1D6B" w:rsidP="00AE1D6B">
      <w:pPr>
        <w:spacing w:line="240" w:lineRule="auto"/>
        <w:rPr>
          <w:rFonts w:eastAsia="Times New Roman" w:cs="Arial"/>
          <w:i/>
          <w:iCs/>
          <w:color w:val="000000"/>
          <w:szCs w:val="20"/>
          <w:lang w:eastAsia="bg-BG"/>
        </w:rPr>
      </w:pPr>
    </w:p>
    <w:p w14:paraId="1DCDBB84" w14:textId="7DD1EB44"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Чернодробно увреждане</w:t>
      </w:r>
    </w:p>
    <w:p w14:paraId="34120C13" w14:textId="77777777" w:rsidR="00AE1D6B" w:rsidRPr="00AE1D6B" w:rsidRDefault="00AE1D6B" w:rsidP="00AE1D6B">
      <w:pPr>
        <w:spacing w:line="240" w:lineRule="auto"/>
        <w:rPr>
          <w:rFonts w:eastAsia="Times New Roman" w:cs="Arial"/>
          <w:color w:val="000000"/>
          <w:szCs w:val="20"/>
          <w:lang w:eastAsia="bg-BG"/>
        </w:rPr>
      </w:pPr>
    </w:p>
    <w:p w14:paraId="789F7EA8" w14:textId="7AF8C106"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lastRenderedPageBreak/>
        <w:t>При пациенти с леко до умерено чернодробно увреждане не е необходима корекция на началната доза. Поради повишена системна експозиция на еплеренон при пациенти с леко до умерено чернодробно увреждане се препоръчва често и редовно проследяване на серумния калий при тези пациенти, особено когато са в старческа възраст (вж. точка 4.4).</w:t>
      </w:r>
    </w:p>
    <w:p w14:paraId="3A52BB88" w14:textId="77777777" w:rsidR="00AE1D6B" w:rsidRPr="00AE1D6B" w:rsidRDefault="00AE1D6B" w:rsidP="00AE1D6B">
      <w:pPr>
        <w:spacing w:line="240" w:lineRule="auto"/>
        <w:rPr>
          <w:rFonts w:eastAsia="Times New Roman" w:cs="Arial"/>
          <w:i/>
          <w:iCs/>
          <w:color w:val="000000"/>
          <w:szCs w:val="20"/>
          <w:lang w:eastAsia="bg-BG"/>
        </w:rPr>
      </w:pPr>
    </w:p>
    <w:p w14:paraId="19CAECB8" w14:textId="501B171E"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Придружаващо лечение</w:t>
      </w:r>
    </w:p>
    <w:p w14:paraId="471439E6" w14:textId="77777777" w:rsidR="00AE1D6B" w:rsidRPr="00AE1D6B" w:rsidRDefault="00AE1D6B" w:rsidP="00AE1D6B">
      <w:pPr>
        <w:spacing w:line="240" w:lineRule="auto"/>
        <w:rPr>
          <w:rFonts w:eastAsia="Times New Roman" w:cs="Arial"/>
          <w:color w:val="000000"/>
          <w:szCs w:val="20"/>
          <w:lang w:eastAsia="bg-BG"/>
        </w:rPr>
      </w:pPr>
    </w:p>
    <w:p w14:paraId="18E801B9" w14:textId="12F11DE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 случай на придружаващо лечение с леки до умерени инхибитори на </w:t>
      </w:r>
      <w:r w:rsidRPr="00AE1D6B">
        <w:rPr>
          <w:rFonts w:eastAsia="Times New Roman" w:cs="Arial"/>
          <w:color w:val="000000"/>
          <w:szCs w:val="20"/>
          <w:lang w:val="en-US"/>
        </w:rPr>
        <w:t>CYP</w:t>
      </w:r>
      <w:r w:rsidRPr="00AE1D6B">
        <w:rPr>
          <w:rFonts w:eastAsia="Times New Roman" w:cs="Arial"/>
          <w:color w:val="000000"/>
          <w:szCs w:val="20"/>
          <w:lang w:val="ru-RU"/>
        </w:rPr>
        <w:t>3</w:t>
      </w:r>
      <w:r w:rsidRPr="00AE1D6B">
        <w:rPr>
          <w:rFonts w:eastAsia="Times New Roman" w:cs="Arial"/>
          <w:color w:val="000000"/>
          <w:szCs w:val="20"/>
          <w:lang w:val="en-US"/>
        </w:rPr>
        <w:t>A</w:t>
      </w:r>
      <w:r w:rsidRPr="00AE1D6B">
        <w:rPr>
          <w:rFonts w:eastAsia="Times New Roman" w:cs="Arial"/>
          <w:color w:val="000000"/>
          <w:szCs w:val="20"/>
          <w:lang w:val="ru-RU"/>
        </w:rPr>
        <w:t xml:space="preserve">4, </w:t>
      </w:r>
      <w:r w:rsidRPr="00AE1D6B">
        <w:rPr>
          <w:rFonts w:eastAsia="Times New Roman" w:cs="Arial"/>
          <w:color w:val="000000"/>
          <w:szCs w:val="20"/>
          <w:lang w:eastAsia="bg-BG"/>
        </w:rPr>
        <w:t xml:space="preserve">напр. амиодарон, дилтиазем и верапамил, може да се започне с доза от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w:t>
      </w:r>
    </w:p>
    <w:p w14:paraId="1796D68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Дозировката не трябва да превишава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(вж. точка 4.5).</w:t>
      </w:r>
    </w:p>
    <w:p w14:paraId="43A19560" w14:textId="77777777" w:rsidR="00AE1D6B" w:rsidRPr="00AE1D6B" w:rsidRDefault="00AE1D6B" w:rsidP="00AE1D6B">
      <w:pPr>
        <w:spacing w:line="240" w:lineRule="auto"/>
        <w:rPr>
          <w:rFonts w:eastAsia="Times New Roman" w:cs="Arial"/>
          <w:color w:val="000000"/>
          <w:szCs w:val="20"/>
          <w:u w:val="single"/>
          <w:lang w:eastAsia="bg-BG"/>
        </w:rPr>
      </w:pPr>
    </w:p>
    <w:p w14:paraId="10AF9A22" w14:textId="6DFDFB60" w:rsidR="00AE1D6B" w:rsidRPr="00AE1D6B" w:rsidRDefault="00AE1D6B" w:rsidP="00AE1D6B">
      <w:pPr>
        <w:pStyle w:val="Heading3"/>
        <w:rPr>
          <w:rFonts w:eastAsia="Times New Roman"/>
          <w:sz w:val="28"/>
          <w:u w:val="single"/>
        </w:rPr>
      </w:pPr>
      <w:r w:rsidRPr="00AE1D6B">
        <w:rPr>
          <w:rFonts w:eastAsia="Times New Roman"/>
          <w:u w:val="single"/>
          <w:lang w:eastAsia="bg-BG"/>
        </w:rPr>
        <w:t>Начин на приложение</w:t>
      </w:r>
    </w:p>
    <w:p w14:paraId="0D9215A4" w14:textId="77777777" w:rsidR="00AE1D6B" w:rsidRPr="00AE1D6B" w:rsidRDefault="00AE1D6B" w:rsidP="00AE1D6B">
      <w:pPr>
        <w:spacing w:line="240" w:lineRule="auto"/>
        <w:rPr>
          <w:rFonts w:eastAsia="Times New Roman" w:cs="Arial"/>
          <w:color w:val="000000"/>
          <w:szCs w:val="20"/>
          <w:lang w:eastAsia="bg-BG"/>
        </w:rPr>
      </w:pPr>
    </w:p>
    <w:p w14:paraId="3BB8D595" w14:textId="28EC555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може да бъде приеман със или без храна (вижте точка 5.2). Таблетките трябда да се поглъщат цели с обилно количество вода.</w:t>
      </w:r>
    </w:p>
    <w:p w14:paraId="34223339" w14:textId="77777777" w:rsidR="00AE1D6B" w:rsidRPr="00AE1D6B" w:rsidRDefault="00AE1D6B" w:rsidP="00AE1D6B">
      <w:pPr>
        <w:rPr>
          <w:sz w:val="20"/>
          <w:szCs w:val="20"/>
        </w:rPr>
      </w:pPr>
    </w:p>
    <w:p w14:paraId="0E05B003" w14:textId="77777777" w:rsidR="00AE1D6B" w:rsidRPr="00AE1D6B" w:rsidRDefault="00AE1D6B" w:rsidP="00AE1D6B">
      <w:pPr>
        <w:rPr>
          <w:lang w:val="ru-RU"/>
        </w:rPr>
      </w:pPr>
    </w:p>
    <w:p w14:paraId="0F253247" w14:textId="620BCDF7" w:rsidR="007122AD" w:rsidRDefault="002C50EE" w:rsidP="00936AD0">
      <w:pPr>
        <w:pStyle w:val="Heading2"/>
      </w:pPr>
      <w:r>
        <w:t>4.3. Противопоказания</w:t>
      </w:r>
    </w:p>
    <w:p w14:paraId="79E96EC5" w14:textId="0B4B66F1" w:rsidR="00AE1D6B" w:rsidRDefault="00AE1D6B" w:rsidP="00AE1D6B"/>
    <w:p w14:paraId="02105722" w14:textId="552EF0D5" w:rsidR="00AE1D6B" w:rsidRPr="00AE1D6B" w:rsidRDefault="00AE1D6B" w:rsidP="00AE1D6B">
      <w:pPr>
        <w:pStyle w:val="ListParagraph"/>
        <w:numPr>
          <w:ilvl w:val="0"/>
          <w:numId w:val="37"/>
        </w:numPr>
        <w:rPr>
          <w:lang w:eastAsia="bg-BG"/>
        </w:rPr>
      </w:pPr>
      <w:r w:rsidRPr="00AE1D6B">
        <w:rPr>
          <w:lang w:eastAsia="bg-BG"/>
        </w:rPr>
        <w:t>Свръхчувствителност към активното вещество или към някое от помощните в</w:t>
      </w:r>
      <w:r>
        <w:rPr>
          <w:lang w:eastAsia="bg-BG"/>
        </w:rPr>
        <w:t>ещества изброени в точка 6.1.</w:t>
      </w:r>
    </w:p>
    <w:p w14:paraId="47EB68C6"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изходна концентрация на серумния калий &gt; 5,0 </w:t>
      </w:r>
      <w:proofErr w:type="spellStart"/>
      <w:r w:rsidRPr="00AE1D6B">
        <w:rPr>
          <w:lang w:val="en-US"/>
        </w:rPr>
        <w:t>mmol</w:t>
      </w:r>
      <w:proofErr w:type="spellEnd"/>
      <w:r w:rsidRPr="00AE1D6B">
        <w:rPr>
          <w:lang w:val="ru-RU"/>
        </w:rPr>
        <w:t>/1.</w:t>
      </w:r>
    </w:p>
    <w:p w14:paraId="2D1F6154"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тежка бъбречна недостатъчност </w:t>
      </w:r>
      <w:r w:rsidRPr="00AE1D6B">
        <w:rPr>
          <w:lang w:val="ru-RU"/>
        </w:rPr>
        <w:t>(</w:t>
      </w:r>
      <w:proofErr w:type="spellStart"/>
      <w:r w:rsidRPr="00AE1D6B">
        <w:rPr>
          <w:lang w:val="en-US"/>
        </w:rPr>
        <w:t>eGFR</w:t>
      </w:r>
      <w:proofErr w:type="spellEnd"/>
      <w:r w:rsidRPr="00AE1D6B">
        <w:rPr>
          <w:lang w:val="ru-RU"/>
        </w:rPr>
        <w:t xml:space="preserve"> </w:t>
      </w:r>
      <w:r w:rsidRPr="00AE1D6B">
        <w:rPr>
          <w:lang w:eastAsia="bg-BG"/>
        </w:rPr>
        <w:t xml:space="preserve">&lt; 30 </w:t>
      </w:r>
      <w:r w:rsidRPr="00AE1D6B">
        <w:rPr>
          <w:lang w:val="en-US"/>
        </w:rPr>
        <w:t>ml</w:t>
      </w:r>
      <w:r w:rsidRPr="00AE1D6B">
        <w:rPr>
          <w:lang w:val="ru-RU"/>
        </w:rPr>
        <w:t>/</w:t>
      </w:r>
      <w:r w:rsidRPr="00AE1D6B">
        <w:rPr>
          <w:lang w:val="en-US"/>
        </w:rPr>
        <w:t>min</w:t>
      </w:r>
      <w:r w:rsidRPr="00AE1D6B">
        <w:rPr>
          <w:lang w:val="ru-RU"/>
        </w:rPr>
        <w:t xml:space="preserve">/1,73 </w:t>
      </w:r>
      <w:r w:rsidRPr="00AE1D6B">
        <w:rPr>
          <w:lang w:eastAsia="bg-BG"/>
        </w:rPr>
        <w:t>m2).</w:t>
      </w:r>
    </w:p>
    <w:p w14:paraId="27E5A57D"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тежка чернодробна недостатъчност (клас С по </w:t>
      </w:r>
      <w:r w:rsidRPr="00AE1D6B">
        <w:rPr>
          <w:lang w:val="en-US"/>
        </w:rPr>
        <w:t>Child</w:t>
      </w:r>
      <w:r w:rsidRPr="00AE1D6B">
        <w:rPr>
          <w:lang w:val="ru-RU"/>
        </w:rPr>
        <w:t>-</w:t>
      </w:r>
      <w:r w:rsidRPr="00AE1D6B">
        <w:rPr>
          <w:lang w:val="en-US"/>
        </w:rPr>
        <w:t>Pugh</w:t>
      </w:r>
      <w:r w:rsidRPr="00AE1D6B">
        <w:rPr>
          <w:lang w:val="ru-RU"/>
        </w:rPr>
        <w:t>).</w:t>
      </w:r>
    </w:p>
    <w:p w14:paraId="300A7B50"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получаващи калий-съхраняващи диуретици или мощни инхибитори на </w:t>
      </w:r>
      <w:r w:rsidRPr="00AE1D6B">
        <w:rPr>
          <w:lang w:val="en-US"/>
        </w:rPr>
        <w:t>CYP</w:t>
      </w:r>
      <w:r w:rsidRPr="00AE1D6B">
        <w:t>3</w:t>
      </w:r>
      <w:r w:rsidRPr="00AE1D6B">
        <w:rPr>
          <w:lang w:val="en-US"/>
        </w:rPr>
        <w:t>A</w:t>
      </w:r>
      <w:r w:rsidRPr="00AE1D6B">
        <w:t xml:space="preserve">4 </w:t>
      </w:r>
      <w:r w:rsidRPr="00AE1D6B">
        <w:rPr>
          <w:lang w:eastAsia="bg-BG"/>
        </w:rPr>
        <w:t>(напр. итраконазол, кетоконазол, ритонавир, нелфинавир, кларитромицин, телитромицин и нефазодон) (вж.точка 4.5).</w:t>
      </w:r>
    </w:p>
    <w:p w14:paraId="1D2969CE" w14:textId="77777777" w:rsidR="00AE1D6B" w:rsidRPr="00AE1D6B" w:rsidRDefault="00AE1D6B" w:rsidP="00AE1D6B">
      <w:pPr>
        <w:pStyle w:val="ListParagraph"/>
        <w:numPr>
          <w:ilvl w:val="0"/>
          <w:numId w:val="37"/>
        </w:numPr>
        <w:rPr>
          <w:lang w:eastAsia="bg-BG"/>
        </w:rPr>
      </w:pPr>
      <w:r w:rsidRPr="00AE1D6B">
        <w:rPr>
          <w:lang w:eastAsia="bg-BG"/>
        </w:rPr>
        <w:t>Комбиниране на инхибитор на ангиотензин конвертиращия ензим (АСЕ) и ангиотензин рецепторен блокер (АРБ) с еплеренон.</w:t>
      </w:r>
    </w:p>
    <w:p w14:paraId="66B8EA44" w14:textId="77777777" w:rsidR="00AE1D6B" w:rsidRPr="00AE1D6B" w:rsidRDefault="00AE1D6B" w:rsidP="00AE1D6B"/>
    <w:p w14:paraId="0E0BDCC7" w14:textId="04D9F85E" w:rsidR="007122AD" w:rsidRDefault="002C50EE" w:rsidP="00936AD0">
      <w:pPr>
        <w:pStyle w:val="Heading2"/>
      </w:pPr>
      <w:r>
        <w:t>4.4. Специални предупреждения и предпазни мерки при употреба</w:t>
      </w:r>
    </w:p>
    <w:p w14:paraId="3919F196" w14:textId="3355CD40" w:rsidR="00AE1D6B" w:rsidRDefault="00AE1D6B" w:rsidP="00AE1D6B"/>
    <w:p w14:paraId="7B6BC130"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Хиперкалиемия:</w:t>
      </w:r>
    </w:p>
    <w:p w14:paraId="6FDF3982"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Обусловено от неговия механизъм на действие, с еплеренон е възможно да настъпи хиперкалиемия. При всички пациенти серумните калиеви концентрации трябва да бъдат проследявани в началото на лечението и при промяна на дозировката. След това се препоръчва периодично проследяване, особено при пациенти с риск от развитие на хиперкалиемия, като пациенти в старческа възраст, пациенти с бъбречна недостатъчност (вж. точка 4.2) и пациенти с диабет. Не се препоръчва употребата на калиеви добавки след започване на лечение е еплеренон поради повишен риск от хиперкалиемия. Намаляването на дозата на еплеренон понижава концентрациите на серумния калий. Едно клинично проучване показва, че добавянето на хидрохлоротиазид към терапията с еплеренон е компенсирало нарастването на серумния калий.</w:t>
      </w:r>
    </w:p>
    <w:p w14:paraId="5E7EB4E1" w14:textId="77777777" w:rsidR="00AE1D6B" w:rsidRPr="00AE1D6B" w:rsidRDefault="00AE1D6B" w:rsidP="00AE1D6B">
      <w:pPr>
        <w:spacing w:line="240" w:lineRule="auto"/>
        <w:rPr>
          <w:rFonts w:eastAsia="Times New Roman" w:cs="Arial"/>
          <w:color w:val="000000"/>
          <w:szCs w:val="20"/>
          <w:lang w:eastAsia="bg-BG"/>
        </w:rPr>
      </w:pPr>
    </w:p>
    <w:p w14:paraId="61AE1FCB" w14:textId="3F2A8D6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Рискът от хиперкалиемия може да се повиши, когато еплеренон се използва в комбинация с инхибитор на ангиотензин конвертиращия ензим (АСБ) и/или ангиотензин рецепторен блокер (АРБ). Комбинацията на инхибитор на ангиотензин конвертиращия </w:t>
      </w:r>
      <w:r w:rsidRPr="00AE1D6B">
        <w:rPr>
          <w:rFonts w:eastAsia="Times New Roman" w:cs="Arial"/>
          <w:color w:val="000000"/>
          <w:szCs w:val="20"/>
          <w:lang w:eastAsia="bg-BG"/>
        </w:rPr>
        <w:lastRenderedPageBreak/>
        <w:t>ензим (АСЕ) или ангиотензин рецепторен блокер (АРБ) с еплеренон не трябва да се използва (вж.точки 4.3 и 4.5).</w:t>
      </w:r>
    </w:p>
    <w:p w14:paraId="6C6EC662" w14:textId="77777777" w:rsidR="00AE1D6B" w:rsidRPr="00AE1D6B" w:rsidRDefault="00AE1D6B" w:rsidP="00AE1D6B">
      <w:pPr>
        <w:spacing w:line="240" w:lineRule="auto"/>
        <w:rPr>
          <w:rFonts w:eastAsia="Times New Roman" w:cs="Arial"/>
          <w:i/>
          <w:iCs/>
          <w:color w:val="000000"/>
          <w:szCs w:val="20"/>
          <w:lang w:eastAsia="bg-BG"/>
        </w:rPr>
      </w:pPr>
    </w:p>
    <w:p w14:paraId="70069A6A" w14:textId="3DEDF222"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Нарушена бъбречна функция:</w:t>
      </w:r>
    </w:p>
    <w:p w14:paraId="485ED562"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Калиевите концентрации трябва да бъдат редовно проследявани при пациенти с увредена бъбречна функция, включително при диабетна микроалбуминурия. Рискът от хиперкалиемия нараства с понижаване на бъбречната функция. Въпреки ограничените данни от проучването </w:t>
      </w:r>
      <w:r w:rsidRPr="00AE1D6B">
        <w:rPr>
          <w:rFonts w:eastAsia="Times New Roman" w:cs="Arial"/>
          <w:color w:val="000000"/>
          <w:szCs w:val="20"/>
          <w:lang w:val="en-US"/>
        </w:rPr>
        <w:t>EPHESUS</w:t>
      </w:r>
      <w:r w:rsidRPr="00AE1D6B">
        <w:rPr>
          <w:rFonts w:eastAsia="Times New Roman" w:cs="Arial"/>
          <w:color w:val="000000"/>
          <w:szCs w:val="20"/>
          <w:lang w:val="ru-RU"/>
        </w:rPr>
        <w:t xml:space="preserve"> </w:t>
      </w:r>
      <w:r w:rsidRPr="00AE1D6B">
        <w:rPr>
          <w:rFonts w:eastAsia="Times New Roman" w:cs="Arial"/>
          <w:color w:val="000000"/>
          <w:szCs w:val="20"/>
          <w:lang w:eastAsia="bg-BG"/>
        </w:rPr>
        <w:t>при пациенти с диабет тип 2 и микроалбуминурия, при този малък брой пациенти е наблюдавана повишена честота на хиперкалиемия. Следователно, тези пациенти трябва д</w:t>
      </w:r>
      <w:r w:rsidRPr="00AE1D6B">
        <w:rPr>
          <w:rFonts w:eastAsia="Times New Roman" w:cs="Arial"/>
          <w:color w:val="000000"/>
          <w:szCs w:val="20"/>
          <w:lang w:val="en-US"/>
        </w:rPr>
        <w:t>a</w:t>
      </w:r>
      <w:r w:rsidRPr="00AE1D6B">
        <w:rPr>
          <w:rFonts w:eastAsia="Times New Roman" w:cs="Arial"/>
          <w:color w:val="000000"/>
          <w:szCs w:val="20"/>
          <w:lang w:eastAsia="bg-BG"/>
        </w:rPr>
        <w:t xml:space="preserve"> бъдат лекувани с повишено внимание. Еплеренон не се диализира.</w:t>
      </w:r>
    </w:p>
    <w:p w14:paraId="19048580" w14:textId="77777777" w:rsidR="00AE1D6B" w:rsidRPr="00AE1D6B" w:rsidRDefault="00AE1D6B" w:rsidP="00AE1D6B">
      <w:pPr>
        <w:spacing w:line="240" w:lineRule="auto"/>
        <w:rPr>
          <w:rFonts w:eastAsia="Times New Roman" w:cs="Arial"/>
          <w:sz w:val="28"/>
          <w:szCs w:val="24"/>
        </w:rPr>
      </w:pPr>
    </w:p>
    <w:p w14:paraId="4D97A6CA" w14:textId="34F43E3D"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Нарушена чернодробна функция:</w:t>
      </w:r>
    </w:p>
    <w:p w14:paraId="4DE66521"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 с леко до умерено чернодробно увреждане </w:t>
      </w:r>
      <w:r w:rsidRPr="00AE1D6B">
        <w:rPr>
          <w:rFonts w:eastAsia="Times New Roman" w:cs="Arial"/>
          <w:color w:val="000000"/>
          <w:szCs w:val="20"/>
          <w:lang w:val="ru-RU"/>
        </w:rPr>
        <w:t>(</w:t>
      </w:r>
      <w:r w:rsidRPr="00AE1D6B">
        <w:rPr>
          <w:rFonts w:eastAsia="Times New Roman" w:cs="Arial"/>
          <w:color w:val="000000"/>
          <w:szCs w:val="20"/>
          <w:lang w:val="en-US"/>
        </w:rPr>
        <w:t>Child</w:t>
      </w:r>
      <w:r w:rsidRPr="00AE1D6B">
        <w:rPr>
          <w:rFonts w:eastAsia="Times New Roman" w:cs="Arial"/>
          <w:color w:val="000000"/>
          <w:szCs w:val="20"/>
          <w:lang w:val="ru-RU"/>
        </w:rPr>
        <w:t xml:space="preserve"> </w:t>
      </w:r>
      <w:r w:rsidRPr="00AE1D6B">
        <w:rPr>
          <w:rFonts w:eastAsia="Times New Roman" w:cs="Arial"/>
          <w:color w:val="000000"/>
          <w:szCs w:val="20"/>
          <w:lang w:val="en-US"/>
        </w:rPr>
        <w:t>Pugh</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клас А и В) не са наблюдавани покачвания на серумния калий над 5,5 </w:t>
      </w:r>
      <w:proofErr w:type="spellStart"/>
      <w:r w:rsidRPr="00AE1D6B">
        <w:rPr>
          <w:rFonts w:eastAsia="Times New Roman" w:cs="Arial"/>
          <w:color w:val="000000"/>
          <w:szCs w:val="20"/>
          <w:lang w:val="en-US"/>
        </w:rPr>
        <w:t>mmol</w:t>
      </w:r>
      <w:proofErr w:type="spellEnd"/>
      <w:r w:rsidRPr="00AE1D6B">
        <w:rPr>
          <w:rFonts w:eastAsia="Times New Roman" w:cs="Arial"/>
          <w:color w:val="000000"/>
          <w:szCs w:val="20"/>
          <w:lang w:val="ru-RU"/>
        </w:rPr>
        <w:t xml:space="preserve">/1. </w:t>
      </w:r>
      <w:r w:rsidRPr="00AE1D6B">
        <w:rPr>
          <w:rFonts w:eastAsia="Times New Roman" w:cs="Arial"/>
          <w:color w:val="000000"/>
          <w:szCs w:val="20"/>
          <w:lang w:eastAsia="bg-BG"/>
        </w:rPr>
        <w:t>При пациенти с леко до умерено чернодробно увреждане трябва да бъдат проследявани стойностите на електролитите. Употребата на еплеренон при пациенти с тежко чернодробно увреждане не е изследвана и поради това е противопоказана (вж. точки 4.2 и 4.3).</w:t>
      </w:r>
    </w:p>
    <w:p w14:paraId="695476AF" w14:textId="77777777" w:rsidR="00AE1D6B" w:rsidRPr="00AE1D6B" w:rsidRDefault="00AE1D6B" w:rsidP="00AE1D6B">
      <w:pPr>
        <w:spacing w:line="240" w:lineRule="auto"/>
        <w:rPr>
          <w:rFonts w:eastAsia="Times New Roman" w:cs="Arial"/>
          <w:i/>
          <w:iCs/>
          <w:color w:val="000000"/>
          <w:szCs w:val="20"/>
          <w:lang w:eastAsia="bg-BG"/>
        </w:rPr>
      </w:pPr>
    </w:p>
    <w:p w14:paraId="1AC28359" w14:textId="5D824315"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Индуктори на СУРЗА4:</w:t>
      </w:r>
    </w:p>
    <w:p w14:paraId="3335B77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Не се препоръчва едновременно приложение на еплеренон със силни индуктори на </w:t>
      </w:r>
      <w:r w:rsidRPr="00AE1D6B">
        <w:rPr>
          <w:rFonts w:eastAsia="Times New Roman" w:cs="Arial"/>
          <w:color w:val="000000"/>
          <w:szCs w:val="20"/>
          <w:lang w:val="en-US"/>
        </w:rPr>
        <w:t>CYP</w:t>
      </w:r>
      <w:r w:rsidRPr="00AE1D6B">
        <w:rPr>
          <w:rFonts w:eastAsia="Times New Roman" w:cs="Arial"/>
          <w:color w:val="000000"/>
          <w:szCs w:val="20"/>
          <w:lang w:val="ru-RU"/>
        </w:rPr>
        <w:t>3</w:t>
      </w:r>
      <w:r w:rsidRPr="00AE1D6B">
        <w:rPr>
          <w:rFonts w:eastAsia="Times New Roman" w:cs="Arial"/>
          <w:color w:val="000000"/>
          <w:szCs w:val="20"/>
          <w:lang w:val="en-US"/>
        </w:rPr>
        <w:t>A</w:t>
      </w:r>
      <w:r w:rsidRPr="00AE1D6B">
        <w:rPr>
          <w:rFonts w:eastAsia="Times New Roman" w:cs="Arial"/>
          <w:color w:val="000000"/>
          <w:szCs w:val="20"/>
          <w:lang w:val="ru-RU"/>
        </w:rPr>
        <w:t xml:space="preserve">4 </w:t>
      </w:r>
      <w:r w:rsidRPr="00AE1D6B">
        <w:rPr>
          <w:rFonts w:eastAsia="Times New Roman" w:cs="Arial"/>
          <w:color w:val="000000"/>
          <w:szCs w:val="20"/>
          <w:lang w:eastAsia="bg-BG"/>
        </w:rPr>
        <w:t>(вж. точка 4.5).</w:t>
      </w:r>
    </w:p>
    <w:p w14:paraId="62B0E613" w14:textId="77777777" w:rsidR="00AE1D6B" w:rsidRPr="00AE1D6B" w:rsidRDefault="00AE1D6B" w:rsidP="00AE1D6B">
      <w:pPr>
        <w:rPr>
          <w:rFonts w:eastAsia="Times New Roman" w:cs="Arial"/>
          <w:i/>
          <w:iCs/>
          <w:color w:val="000000"/>
          <w:szCs w:val="20"/>
          <w:lang w:eastAsia="bg-BG"/>
        </w:rPr>
      </w:pPr>
    </w:p>
    <w:p w14:paraId="7DAFEE35" w14:textId="37776322" w:rsidR="00AE1D6B" w:rsidRPr="00AE1D6B" w:rsidRDefault="00AE1D6B" w:rsidP="00AE1D6B">
      <w:pPr>
        <w:rPr>
          <w:rFonts w:eastAsia="Times New Roman" w:cs="Arial"/>
          <w:color w:val="000000"/>
          <w:szCs w:val="20"/>
          <w:lang w:eastAsia="bg-BG"/>
        </w:rPr>
      </w:pPr>
      <w:r w:rsidRPr="00AE1D6B">
        <w:rPr>
          <w:rFonts w:eastAsia="Times New Roman" w:cs="Arial"/>
          <w:i/>
          <w:iCs/>
          <w:color w:val="000000"/>
          <w:szCs w:val="20"/>
          <w:lang w:eastAsia="bg-BG"/>
        </w:rPr>
        <w:t>Литий, циклоспорин и такролимус</w:t>
      </w:r>
      <w:r w:rsidRPr="00AE1D6B">
        <w:rPr>
          <w:rFonts w:eastAsia="Times New Roman" w:cs="Arial"/>
          <w:color w:val="000000"/>
          <w:szCs w:val="20"/>
          <w:lang w:eastAsia="bg-BG"/>
        </w:rPr>
        <w:t xml:space="preserve"> трябва да бъдат избягвани по време на лечение с еплеренон (вж. точка 4.5).</w:t>
      </w:r>
    </w:p>
    <w:p w14:paraId="7A22EF55" w14:textId="294483DF" w:rsidR="00AE1D6B" w:rsidRPr="00AE1D6B" w:rsidRDefault="00AE1D6B" w:rsidP="00AE1D6B">
      <w:pPr>
        <w:rPr>
          <w:rFonts w:eastAsia="Times New Roman" w:cs="Arial"/>
          <w:color w:val="000000"/>
          <w:szCs w:val="20"/>
          <w:lang w:eastAsia="bg-BG"/>
        </w:rPr>
      </w:pPr>
    </w:p>
    <w:p w14:paraId="353387D3"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Лактоза:</w:t>
      </w:r>
    </w:p>
    <w:p w14:paraId="14EE8059"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Таблетките съдържат лактоза и не трябва да бъдат прилагани при пациенти с редки вродени проблеми, като непоносимост към галактоза, дефицит на лактаза на </w:t>
      </w:r>
      <w:r w:rsidRPr="00AE1D6B">
        <w:rPr>
          <w:rFonts w:eastAsia="Times New Roman" w:cs="Arial"/>
          <w:color w:val="000000"/>
          <w:szCs w:val="20"/>
          <w:lang w:val="en-US"/>
        </w:rPr>
        <w:t>Lapp</w:t>
      </w:r>
      <w:r w:rsidRPr="00AE1D6B">
        <w:rPr>
          <w:rFonts w:eastAsia="Times New Roman" w:cs="Arial"/>
          <w:color w:val="000000"/>
          <w:szCs w:val="20"/>
          <w:lang w:val="ru-RU"/>
        </w:rPr>
        <w:t xml:space="preserve"> </w:t>
      </w:r>
      <w:r w:rsidRPr="00AE1D6B">
        <w:rPr>
          <w:rFonts w:eastAsia="Times New Roman" w:cs="Arial"/>
          <w:color w:val="000000"/>
          <w:szCs w:val="20"/>
          <w:lang w:eastAsia="bg-BG"/>
        </w:rPr>
        <w:t>или глюкозо- галактозна малабсорбция.</w:t>
      </w:r>
    </w:p>
    <w:p w14:paraId="36C07750" w14:textId="7F22D168" w:rsidR="00AE1D6B" w:rsidRPr="00AE1D6B" w:rsidRDefault="00AE1D6B" w:rsidP="00AE1D6B"/>
    <w:p w14:paraId="16520512" w14:textId="77777777" w:rsidR="00AE1D6B"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734264C" w14:textId="75C88DD8" w:rsidR="007122AD" w:rsidRDefault="002C50EE" w:rsidP="00936AD0">
      <w:pPr>
        <w:pStyle w:val="Heading2"/>
      </w:pPr>
      <w:r>
        <w:t xml:space="preserve"> </w:t>
      </w:r>
    </w:p>
    <w:p w14:paraId="068B0839" w14:textId="77777777" w:rsidR="00AE1D6B" w:rsidRPr="00AE1D6B" w:rsidRDefault="00AE1D6B" w:rsidP="00AE1D6B">
      <w:pPr>
        <w:spacing w:line="240" w:lineRule="auto"/>
        <w:rPr>
          <w:rFonts w:eastAsia="Times New Roman" w:cs="Arial"/>
        </w:rPr>
      </w:pPr>
      <w:r w:rsidRPr="00AE1D6B">
        <w:rPr>
          <w:rFonts w:eastAsia="Times New Roman" w:cs="Arial"/>
          <w:color w:val="000000"/>
          <w:u w:val="single"/>
          <w:lang w:eastAsia="bg-BG"/>
        </w:rPr>
        <w:t>Фармакодинамични взаимодействия</w:t>
      </w:r>
    </w:p>
    <w:p w14:paraId="7720F00A" w14:textId="77777777" w:rsidR="00AE1D6B" w:rsidRPr="00AE1D6B" w:rsidRDefault="00AE1D6B" w:rsidP="00AE1D6B">
      <w:pPr>
        <w:spacing w:line="240" w:lineRule="auto"/>
        <w:rPr>
          <w:rFonts w:eastAsia="Times New Roman" w:cs="Arial"/>
          <w:i/>
          <w:iCs/>
          <w:color w:val="000000"/>
          <w:lang w:eastAsia="bg-BG"/>
        </w:rPr>
      </w:pPr>
    </w:p>
    <w:p w14:paraId="1EC71BC5" w14:textId="7D3BB87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Калий-съхраняващи диуретици и калиеви добавки:</w:t>
      </w:r>
    </w:p>
    <w:p w14:paraId="57811CB9"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Поради повишен риск от хиперкалиемия еплеренон не трябва да бъде прилаган при пациенти, получаващи други калий-съхраняващи диуретици и калиеви добавки (вж. точка 4.3). Калий- съхраняващите диуретици могат също да засилят ефекта на антихипертензивни лекарства и други диуретици.</w:t>
      </w:r>
    </w:p>
    <w:p w14:paraId="01DE64E8" w14:textId="77777777" w:rsidR="00AE1D6B" w:rsidRPr="00AE1D6B" w:rsidRDefault="00AE1D6B" w:rsidP="00AE1D6B">
      <w:pPr>
        <w:spacing w:line="240" w:lineRule="auto"/>
        <w:rPr>
          <w:rFonts w:eastAsia="Times New Roman" w:cs="Arial"/>
          <w:i/>
          <w:iCs/>
          <w:color w:val="000000"/>
          <w:lang w:eastAsia="bg-BG"/>
        </w:rPr>
      </w:pPr>
    </w:p>
    <w:p w14:paraId="0F37BBFA" w14:textId="45A5BA06"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АСЕ инхибитори, ангиотензин рецепторни блокери (АРБ):</w:t>
      </w:r>
    </w:p>
    <w:p w14:paraId="6833265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Рискът от хиперкалиемия може да се повиши, когато еплеренон се използва в комбинация с инхибитор на ангиотензин конвертиращия ензим (АСЕ) и/или ангиотензин рецепторен блокер (АРБ). Препоръчва се строго проследяване на серумния калий и бъбречната функция, особен</w:t>
      </w:r>
      <w:r w:rsidRPr="00AE1D6B">
        <w:rPr>
          <w:rFonts w:eastAsia="Times New Roman" w:cs="Arial"/>
          <w:color w:val="000000"/>
          <w:lang w:val="en-US"/>
        </w:rPr>
        <w:t>o</w:t>
      </w:r>
      <w:r w:rsidRPr="00AE1D6B">
        <w:rPr>
          <w:rFonts w:eastAsia="Times New Roman" w:cs="Arial"/>
          <w:color w:val="000000"/>
          <w:lang w:eastAsia="bg-BG"/>
        </w:rPr>
        <w:t xml:space="preserve"> при пациенти с риск от увредена бъбречна функция, напр.пациен</w:t>
      </w:r>
      <w:r w:rsidRPr="00AE1D6B">
        <w:rPr>
          <w:rFonts w:eastAsia="Times New Roman" w:cs="Arial"/>
          <w:color w:val="000000"/>
          <w:lang w:val="en-US"/>
        </w:rPr>
        <w:t>t</w:t>
      </w:r>
      <w:r w:rsidRPr="00AE1D6B">
        <w:rPr>
          <w:rFonts w:eastAsia="Times New Roman" w:cs="Arial"/>
          <w:color w:val="000000"/>
          <w:lang w:eastAsia="bg-BG"/>
        </w:rPr>
        <w:t xml:space="preserve">и в напреднала възраст. Тройната комбинация от инхибитор на ангиотензин </w:t>
      </w:r>
      <w:r w:rsidRPr="00AE1D6B">
        <w:rPr>
          <w:rFonts w:eastAsia="Times New Roman" w:cs="Arial"/>
          <w:color w:val="000000"/>
          <w:lang w:eastAsia="bg-BG"/>
        </w:rPr>
        <w:lastRenderedPageBreak/>
        <w:t>конвертиращия ензим (АСЕ) и ангиотензин. рецепторен блокер (АРБ) с еплеренон не трябва да се използва (вж.точки 4.3 и 4.4).</w:t>
      </w:r>
    </w:p>
    <w:p w14:paraId="47FBE040" w14:textId="77777777" w:rsidR="00AE1D6B" w:rsidRPr="00AE1D6B" w:rsidRDefault="00AE1D6B" w:rsidP="00AE1D6B">
      <w:pPr>
        <w:spacing w:line="240" w:lineRule="auto"/>
        <w:rPr>
          <w:rFonts w:eastAsia="Times New Roman" w:cs="Arial"/>
          <w:i/>
          <w:iCs/>
          <w:color w:val="000000"/>
          <w:lang w:eastAsia="bg-BG"/>
        </w:rPr>
      </w:pPr>
    </w:p>
    <w:p w14:paraId="0D5273C8" w14:textId="4BD1BAE6"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Литий:</w:t>
      </w:r>
    </w:p>
    <w:p w14:paraId="2F307E86"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Не са провеждани проучвания за лекарствени взаимодействия на еплеренон с литий. Въпреки това при пациенти, получаващи литий едновременно с диуретици и АСЕ инхибитори, се съобщава за литиева токсичност (вж. точка 4.4). Едновременното приложение на еплеренон и литий трябва да бъде избягвано. При необходимост от приложение на тази комбинация, плазмените концентрации на лития трябва да се проследяват (вж. точка 4.4).</w:t>
      </w:r>
    </w:p>
    <w:p w14:paraId="5EBBC110" w14:textId="77777777" w:rsidR="00AE1D6B" w:rsidRPr="00AE1D6B" w:rsidRDefault="00AE1D6B" w:rsidP="00AE1D6B">
      <w:pPr>
        <w:spacing w:line="240" w:lineRule="auto"/>
        <w:rPr>
          <w:rFonts w:eastAsia="Times New Roman" w:cs="Arial"/>
          <w:i/>
          <w:iCs/>
          <w:color w:val="000000"/>
          <w:lang w:eastAsia="bg-BG"/>
        </w:rPr>
      </w:pPr>
    </w:p>
    <w:p w14:paraId="72729D5D" w14:textId="24D6C7CD"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Циклоспорин, такролимус:</w:t>
      </w:r>
    </w:p>
    <w:p w14:paraId="320BEBF3"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Циклоспорин и такролимус могат да доведат до нарушение на бъбречната функция и повишаване на риска от хиперкалиемия. Едновременното приложение на еплеренон и циклоспорин или такролимус трябва да бъде избягвано. Ако употребата на цикоспорин и такролимус по време на лечение с еплеренон е наложителна, се препоръчва често проследяване на серумния калий и бъбречната функция (вж. точка 4.4).</w:t>
      </w:r>
    </w:p>
    <w:p w14:paraId="32B76FE8" w14:textId="77777777" w:rsidR="00AE1D6B" w:rsidRPr="00AE1D6B" w:rsidRDefault="00AE1D6B" w:rsidP="00AE1D6B">
      <w:pPr>
        <w:spacing w:line="240" w:lineRule="auto"/>
        <w:rPr>
          <w:rFonts w:eastAsia="Times New Roman" w:cs="Arial"/>
          <w:i/>
          <w:iCs/>
          <w:color w:val="000000"/>
          <w:lang w:eastAsia="bg-BG"/>
        </w:rPr>
      </w:pPr>
    </w:p>
    <w:p w14:paraId="0E67AA2A" w14:textId="63EA687D"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Нестероидни противовъзпалителни средства (НСПВС):</w:t>
      </w:r>
    </w:p>
    <w:p w14:paraId="39F7BB6A"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Лечението с НСПВС може да доведе до остра бъбречна недостатъчност чрез пряко действие върху гломерулната филтрация, особено при рискови пациенти (в напреднала възраст и/или. дехидратирани пациенти). Пациенти, приемещи еплеренон и НСПВС, трябва да бъдат адекватно хидратирани, а бъбречната им функция - проконтролирана преди започване на лечението.</w:t>
      </w:r>
    </w:p>
    <w:p w14:paraId="1CE202E7" w14:textId="77777777" w:rsidR="00AE1D6B" w:rsidRPr="00AE1D6B" w:rsidRDefault="00AE1D6B" w:rsidP="00AE1D6B">
      <w:pPr>
        <w:spacing w:line="240" w:lineRule="auto"/>
        <w:rPr>
          <w:rFonts w:eastAsia="Times New Roman" w:cs="Arial"/>
          <w:i/>
          <w:iCs/>
          <w:color w:val="000000"/>
          <w:lang w:eastAsia="bg-BG"/>
        </w:rPr>
      </w:pPr>
    </w:p>
    <w:p w14:paraId="6FDDA726" w14:textId="424CF1B8"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Триметоприм:</w:t>
      </w:r>
    </w:p>
    <w:p w14:paraId="25624E40"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триметоприм с еплеренон повишава риска от хиперкалиемия. Серумният калий и бъбречната функция трябва да бъдат проследявани, особено при пациенти с бъбречно увреждане и в напреднала възраст.</w:t>
      </w:r>
    </w:p>
    <w:p w14:paraId="08FDAAD5" w14:textId="77777777" w:rsidR="00AE1D6B" w:rsidRPr="00AE1D6B" w:rsidRDefault="00AE1D6B" w:rsidP="00AE1D6B">
      <w:pPr>
        <w:spacing w:line="240" w:lineRule="auto"/>
        <w:rPr>
          <w:rFonts w:eastAsia="Times New Roman" w:cs="Arial"/>
          <w:i/>
          <w:iCs/>
          <w:color w:val="000000"/>
          <w:lang w:eastAsia="bg-BG"/>
        </w:rPr>
      </w:pPr>
    </w:p>
    <w:p w14:paraId="4760A106" w14:textId="25961057"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Алфа-1-блокери (напр, празозин, алфузозин):</w:t>
      </w:r>
    </w:p>
    <w:p w14:paraId="29F69C78" w14:textId="068F5CF6" w:rsidR="00AE1D6B" w:rsidRPr="00AE1D6B" w:rsidRDefault="00AE1D6B" w:rsidP="00AE1D6B">
      <w:pPr>
        <w:rPr>
          <w:rFonts w:eastAsia="Times New Roman" w:cs="Arial"/>
          <w:color w:val="000000"/>
          <w:lang w:eastAsia="bg-BG"/>
        </w:rPr>
      </w:pPr>
      <w:r w:rsidRPr="00AE1D6B">
        <w:rPr>
          <w:rFonts w:eastAsia="Times New Roman" w:cs="Arial"/>
          <w:color w:val="000000"/>
          <w:lang w:eastAsia="bg-BG"/>
        </w:rPr>
        <w:t>При комбиниране на алфа-1-блокери с еплеренон съществува потенциал за засилен хипотензивен ефект и/или постурална хипотония. При едновременно приложение на алфа-1- блокери се препоръчва клинично наблюдение за постурална хипотония.</w:t>
      </w:r>
    </w:p>
    <w:p w14:paraId="44EE09F5" w14:textId="7B00C581" w:rsidR="00AE1D6B" w:rsidRPr="00AE1D6B" w:rsidRDefault="00AE1D6B" w:rsidP="00AE1D6B">
      <w:pPr>
        <w:rPr>
          <w:rFonts w:eastAsia="Times New Roman" w:cs="Arial"/>
          <w:color w:val="000000"/>
          <w:lang w:eastAsia="bg-BG"/>
        </w:rPr>
      </w:pPr>
    </w:p>
    <w:p w14:paraId="3AA4C8A6" w14:textId="77777777"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Трициклични антидепресанти, невролептици, амифостин, баклофен:</w:t>
      </w:r>
    </w:p>
    <w:p w14:paraId="5EB264FD"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тези лекарства с еплеренон може потенциално да повиши антихипертензивните ефекти и риска от постурална хипотония.</w:t>
      </w:r>
    </w:p>
    <w:p w14:paraId="48F2A5E3" w14:textId="77777777" w:rsidR="00AE1D6B" w:rsidRPr="00AE1D6B" w:rsidRDefault="00AE1D6B" w:rsidP="00AE1D6B">
      <w:pPr>
        <w:spacing w:line="240" w:lineRule="auto"/>
        <w:rPr>
          <w:rFonts w:eastAsia="Times New Roman" w:cs="Arial"/>
          <w:i/>
          <w:iCs/>
          <w:color w:val="000000"/>
          <w:lang w:eastAsia="bg-BG"/>
        </w:rPr>
      </w:pPr>
    </w:p>
    <w:p w14:paraId="7CD93232" w14:textId="6419B2F1"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Глюкокортикоиди, тетракозактид:</w:t>
      </w:r>
    </w:p>
    <w:p w14:paraId="3367A4C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тези лекарства с еплеренон може потенциално да понижи антихипертензивните ефекти (задръжка на натрий и течности).</w:t>
      </w:r>
    </w:p>
    <w:p w14:paraId="7398E9D4" w14:textId="77777777" w:rsidR="00AE1D6B" w:rsidRPr="00AE1D6B" w:rsidRDefault="00AE1D6B" w:rsidP="00AE1D6B">
      <w:pPr>
        <w:spacing w:line="240" w:lineRule="auto"/>
        <w:rPr>
          <w:rFonts w:eastAsia="Times New Roman" w:cs="Arial"/>
          <w:color w:val="000000"/>
          <w:u w:val="single"/>
          <w:lang w:eastAsia="bg-BG"/>
        </w:rPr>
      </w:pPr>
    </w:p>
    <w:p w14:paraId="2A28F61B" w14:textId="1FD2C33E" w:rsidR="00AE1D6B" w:rsidRPr="00AE1D6B" w:rsidRDefault="00AE1D6B" w:rsidP="00AE1D6B">
      <w:pPr>
        <w:spacing w:line="240" w:lineRule="auto"/>
        <w:rPr>
          <w:rFonts w:eastAsia="Times New Roman" w:cs="Arial"/>
        </w:rPr>
      </w:pPr>
      <w:r w:rsidRPr="00AE1D6B">
        <w:rPr>
          <w:rFonts w:eastAsia="Times New Roman" w:cs="Arial"/>
          <w:color w:val="000000"/>
          <w:u w:val="single"/>
          <w:lang w:eastAsia="bg-BG"/>
        </w:rPr>
        <w:t>Фармакокинетични взаимодействия</w:t>
      </w:r>
    </w:p>
    <w:p w14:paraId="198BC77B" w14:textId="77777777" w:rsidR="00AE1D6B" w:rsidRPr="00AE1D6B" w:rsidRDefault="00AE1D6B" w:rsidP="00AE1D6B">
      <w:pPr>
        <w:spacing w:line="240" w:lineRule="auto"/>
        <w:rPr>
          <w:rFonts w:eastAsia="Times New Roman" w:cs="Arial"/>
          <w:color w:val="000000"/>
          <w:lang w:eastAsia="bg-BG"/>
        </w:rPr>
      </w:pPr>
    </w:p>
    <w:p w14:paraId="007629CD" w14:textId="4C4F4EB8" w:rsidR="00AE1D6B" w:rsidRPr="00AE1D6B" w:rsidRDefault="00AE1D6B" w:rsidP="00AE1D6B">
      <w:pPr>
        <w:spacing w:line="240" w:lineRule="auto"/>
        <w:rPr>
          <w:rFonts w:eastAsia="Times New Roman" w:cs="Arial"/>
        </w:rPr>
      </w:pPr>
      <w:r w:rsidRPr="00AE1D6B">
        <w:rPr>
          <w:rFonts w:eastAsia="Times New Roman" w:cs="Arial"/>
          <w:color w:val="000000"/>
          <w:lang w:eastAsia="bg-BG"/>
        </w:rPr>
        <w:t xml:space="preserve">Проучвания </w:t>
      </w:r>
      <w:r w:rsidRPr="00AE1D6B">
        <w:rPr>
          <w:rFonts w:eastAsia="Times New Roman" w:cs="Arial"/>
          <w:i/>
          <w:iCs/>
          <w:color w:val="000000"/>
          <w:lang w:val="en-US"/>
        </w:rPr>
        <w:t>in</w:t>
      </w:r>
      <w:r w:rsidRPr="00AE1D6B">
        <w:rPr>
          <w:rFonts w:eastAsia="Times New Roman" w:cs="Arial"/>
          <w:i/>
          <w:iCs/>
          <w:color w:val="000000"/>
        </w:rPr>
        <w:t xml:space="preserve"> </w:t>
      </w:r>
      <w:r w:rsidRPr="00AE1D6B">
        <w:rPr>
          <w:rFonts w:eastAsia="Times New Roman" w:cs="Arial"/>
          <w:i/>
          <w:iCs/>
          <w:color w:val="000000"/>
          <w:lang w:val="en-US"/>
        </w:rPr>
        <w:t>vitro</w:t>
      </w:r>
      <w:r w:rsidRPr="00AE1D6B">
        <w:rPr>
          <w:rFonts w:eastAsia="Times New Roman" w:cs="Arial"/>
          <w:color w:val="000000"/>
        </w:rPr>
        <w:t xml:space="preserve"> </w:t>
      </w:r>
      <w:r w:rsidRPr="00AE1D6B">
        <w:rPr>
          <w:rFonts w:eastAsia="Times New Roman" w:cs="Arial"/>
          <w:color w:val="000000"/>
          <w:lang w:eastAsia="bg-BG"/>
        </w:rPr>
        <w:t xml:space="preserve">показват, че еплеренон не е инхибитор на изоензимите </w:t>
      </w:r>
      <w:r w:rsidRPr="00AE1D6B">
        <w:rPr>
          <w:rFonts w:eastAsia="Times New Roman" w:cs="Arial"/>
          <w:color w:val="000000"/>
          <w:lang w:val="en-US"/>
        </w:rPr>
        <w:t>CYP</w:t>
      </w:r>
      <w:r w:rsidRPr="00AE1D6B">
        <w:rPr>
          <w:rFonts w:eastAsia="Times New Roman" w:cs="Arial"/>
          <w:color w:val="000000"/>
        </w:rPr>
        <w:t>1</w:t>
      </w:r>
      <w:r w:rsidRPr="00AE1D6B">
        <w:rPr>
          <w:rFonts w:eastAsia="Times New Roman" w:cs="Arial"/>
          <w:color w:val="000000"/>
          <w:lang w:val="en-US"/>
        </w:rPr>
        <w:t>A</w:t>
      </w:r>
      <w:r w:rsidRPr="00AE1D6B">
        <w:rPr>
          <w:rFonts w:eastAsia="Times New Roman" w:cs="Arial"/>
          <w:color w:val="000000"/>
        </w:rPr>
        <w:t xml:space="preserve">2,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C</w:t>
      </w:r>
      <w:r w:rsidRPr="00AE1D6B">
        <w:rPr>
          <w:rFonts w:eastAsia="Times New Roman" w:cs="Arial"/>
          <w:color w:val="000000"/>
        </w:rPr>
        <w:t xml:space="preserve">19,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C</w:t>
      </w:r>
      <w:r w:rsidRPr="00AE1D6B">
        <w:rPr>
          <w:rFonts w:eastAsia="Times New Roman" w:cs="Arial"/>
          <w:color w:val="000000"/>
        </w:rPr>
        <w:t xml:space="preserve">9,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D</w:t>
      </w:r>
      <w:r w:rsidRPr="00AE1D6B">
        <w:rPr>
          <w:rFonts w:eastAsia="Times New Roman" w:cs="Arial"/>
          <w:color w:val="000000"/>
        </w:rPr>
        <w:t xml:space="preserve">6 </w:t>
      </w:r>
      <w:r w:rsidRPr="00AE1D6B">
        <w:rPr>
          <w:rFonts w:eastAsia="Times New Roman" w:cs="Arial"/>
          <w:color w:val="000000"/>
          <w:lang w:eastAsia="bg-BG"/>
        </w:rPr>
        <w:t xml:space="preserve">или </w:t>
      </w:r>
      <w:r w:rsidRPr="00AE1D6B">
        <w:rPr>
          <w:rFonts w:eastAsia="Times New Roman" w:cs="Arial"/>
          <w:color w:val="000000"/>
          <w:lang w:val="en-US"/>
        </w:rPr>
        <w:t>CYP</w:t>
      </w:r>
      <w:r w:rsidRPr="00AE1D6B">
        <w:rPr>
          <w:rFonts w:eastAsia="Times New Roman" w:cs="Arial"/>
          <w:color w:val="000000"/>
        </w:rPr>
        <w:t>3</w:t>
      </w:r>
      <w:r w:rsidRPr="00AE1D6B">
        <w:rPr>
          <w:rFonts w:eastAsia="Times New Roman" w:cs="Arial"/>
          <w:color w:val="000000"/>
          <w:lang w:val="en-US"/>
        </w:rPr>
        <w:t>A</w:t>
      </w:r>
      <w:r w:rsidRPr="00AE1D6B">
        <w:rPr>
          <w:rFonts w:eastAsia="Times New Roman" w:cs="Arial"/>
          <w:color w:val="000000"/>
        </w:rPr>
        <w:t xml:space="preserve">4. </w:t>
      </w:r>
      <w:r w:rsidRPr="00AE1D6B">
        <w:rPr>
          <w:rFonts w:eastAsia="Times New Roman" w:cs="Arial"/>
          <w:color w:val="000000"/>
          <w:lang w:eastAsia="bg-BG"/>
        </w:rPr>
        <w:t>Еплеренон не е субстрат или инхибитор на Р-гликопротеин.</w:t>
      </w:r>
    </w:p>
    <w:p w14:paraId="50771447" w14:textId="77777777" w:rsidR="00AE1D6B" w:rsidRPr="00AE1D6B" w:rsidRDefault="00AE1D6B" w:rsidP="00AE1D6B">
      <w:pPr>
        <w:spacing w:line="240" w:lineRule="auto"/>
        <w:rPr>
          <w:rFonts w:eastAsia="Times New Roman" w:cs="Arial"/>
          <w:i/>
          <w:iCs/>
          <w:color w:val="000000"/>
          <w:lang w:eastAsia="bg-BG"/>
        </w:rPr>
      </w:pPr>
    </w:p>
    <w:p w14:paraId="502E5598" w14:textId="22707CF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Дигоксин:</w:t>
      </w:r>
    </w:p>
    <w:p w14:paraId="1C9683EF"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lastRenderedPageBreak/>
        <w:t xml:space="preserve">Системната експозиция </w:t>
      </w:r>
      <w:r w:rsidRPr="00AE1D6B">
        <w:rPr>
          <w:rFonts w:eastAsia="Times New Roman" w:cs="Arial"/>
          <w:color w:val="000000"/>
          <w:lang w:val="ru-RU"/>
        </w:rPr>
        <w:t>(</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към дигоксин нараства с 16% (90% </w:t>
      </w:r>
      <w:r w:rsidRPr="00AE1D6B">
        <w:rPr>
          <w:rFonts w:eastAsia="Times New Roman" w:cs="Arial"/>
          <w:color w:val="000000"/>
          <w:lang w:val="en-US"/>
        </w:rPr>
        <w:t>CI</w:t>
      </w:r>
      <w:r w:rsidRPr="00AE1D6B">
        <w:rPr>
          <w:rFonts w:eastAsia="Times New Roman" w:cs="Arial"/>
          <w:color w:val="000000"/>
          <w:lang w:val="ru-RU"/>
        </w:rPr>
        <w:t xml:space="preserve">: </w:t>
      </w:r>
      <w:r w:rsidRPr="00AE1D6B">
        <w:rPr>
          <w:rFonts w:eastAsia="Times New Roman" w:cs="Arial"/>
          <w:color w:val="000000"/>
          <w:lang w:eastAsia="bg-BG"/>
        </w:rPr>
        <w:t>4% - 30%) при едновременно приложение с еплеренон. Необходимо е повишено внимание при дозиране на дигоксин близо до горната граница на терапевтичния диапазон.</w:t>
      </w:r>
    </w:p>
    <w:p w14:paraId="7458802F" w14:textId="77777777" w:rsidR="00AE1D6B" w:rsidRPr="00AE1D6B" w:rsidRDefault="00AE1D6B" w:rsidP="00AE1D6B">
      <w:pPr>
        <w:spacing w:line="240" w:lineRule="auto"/>
        <w:rPr>
          <w:rFonts w:eastAsia="Times New Roman" w:cs="Arial"/>
          <w:i/>
          <w:iCs/>
          <w:color w:val="000000"/>
          <w:lang w:eastAsia="bg-BG"/>
        </w:rPr>
      </w:pPr>
    </w:p>
    <w:p w14:paraId="5550335A" w14:textId="0351CE00"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Варфарин:</w:t>
      </w:r>
    </w:p>
    <w:p w14:paraId="00CEE123"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Не са наблюдавани клинично значими фармакокинетични взаимодействия с варфарин. Необходимо е повишено внимание при дозиране на варфарин близо до горната граница на терапевтичния диапазон.</w:t>
      </w:r>
    </w:p>
    <w:p w14:paraId="16C25C4D" w14:textId="77777777" w:rsidR="00AE1D6B" w:rsidRPr="00AE1D6B" w:rsidRDefault="00AE1D6B" w:rsidP="00AE1D6B">
      <w:pPr>
        <w:spacing w:line="240" w:lineRule="auto"/>
        <w:rPr>
          <w:rFonts w:eastAsia="Times New Roman" w:cs="Arial"/>
          <w:i/>
          <w:iCs/>
          <w:color w:val="000000"/>
          <w:lang w:eastAsia="bg-BG"/>
        </w:rPr>
      </w:pPr>
    </w:p>
    <w:p w14:paraId="1B9F9C3C" w14:textId="023A6F0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Субстрати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r w:rsidRPr="00AE1D6B">
        <w:rPr>
          <w:rFonts w:eastAsia="Times New Roman" w:cs="Arial"/>
          <w:color w:val="000000"/>
          <w:lang w:val="ru-RU"/>
        </w:rPr>
        <w:t xml:space="preserve"> </w:t>
      </w:r>
      <w:r w:rsidRPr="00AE1D6B">
        <w:rPr>
          <w:rFonts w:eastAsia="Times New Roman" w:cs="Arial"/>
          <w:color w:val="000000"/>
          <w:lang w:eastAsia="bg-BG"/>
        </w:rPr>
        <w:t xml:space="preserve">Резултатите от фармакокинетични проучвания с тест-субстрати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напр. мидазолам и цизаприд, не показват значими фармакокинетични взаимодействия при едновременно приложение на тези лекарства и еплеренон.</w:t>
      </w:r>
    </w:p>
    <w:p w14:paraId="0EFBCCE0" w14:textId="77777777" w:rsidR="00AE1D6B" w:rsidRPr="00AE1D6B" w:rsidRDefault="00AE1D6B" w:rsidP="00AE1D6B">
      <w:pPr>
        <w:spacing w:line="240" w:lineRule="auto"/>
        <w:rPr>
          <w:rFonts w:eastAsia="Times New Roman" w:cs="Arial"/>
          <w:i/>
          <w:iCs/>
          <w:color w:val="000000"/>
          <w:lang w:eastAsia="bg-BG"/>
        </w:rPr>
      </w:pPr>
    </w:p>
    <w:p w14:paraId="55397D31" w14:textId="395BBA03"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Инхибитори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p>
    <w:p w14:paraId="11DAE85F" w14:textId="61EACFC3" w:rsidR="00AE1D6B" w:rsidRPr="00AE1D6B" w:rsidRDefault="00AE1D6B" w:rsidP="00AE1D6B">
      <w:pPr>
        <w:pStyle w:val="ListParagraph"/>
        <w:numPr>
          <w:ilvl w:val="0"/>
          <w:numId w:val="40"/>
        </w:numPr>
        <w:spacing w:line="240" w:lineRule="auto"/>
        <w:rPr>
          <w:rFonts w:eastAsia="Times New Roman" w:cs="Arial"/>
        </w:rPr>
      </w:pPr>
      <w:r w:rsidRPr="00AE1D6B">
        <w:rPr>
          <w:rFonts w:eastAsia="Times New Roman" w:cs="Arial"/>
          <w:color w:val="000000"/>
          <w:lang w:eastAsia="bg-BG"/>
        </w:rPr>
        <w:t xml:space="preserve">Мощни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eastAsia="bg-BG"/>
        </w:rPr>
        <w:t>А4: При едновременно приложение на еплеренон и лекарства,</w:t>
      </w:r>
      <w:r w:rsidRPr="00AE1D6B">
        <w:rPr>
          <w:rFonts w:eastAsia="Times New Roman" w:cs="Arial"/>
          <w:color w:val="000000"/>
          <w:lang w:val="ru-RU" w:eastAsia="bg-BG"/>
        </w:rPr>
        <w:t xml:space="preserve"> </w:t>
      </w:r>
      <w:r w:rsidRPr="00AE1D6B">
        <w:rPr>
          <w:rFonts w:eastAsia="Times New Roman" w:cs="Arial"/>
          <w:color w:val="000000"/>
          <w:lang w:eastAsia="bg-BG"/>
        </w:rPr>
        <w:t xml:space="preserve">инхибиращи ензима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могат да настъпят значими фармакокинетични взаимодействия. Мощен инхибитор на </w:t>
      </w:r>
      <w:r w:rsidRPr="00AE1D6B">
        <w:rPr>
          <w:rFonts w:eastAsia="Times New Roman" w:cs="Arial"/>
          <w:color w:val="000000"/>
          <w:lang w:val="en-US"/>
        </w:rPr>
        <w:t>CYP</w:t>
      </w:r>
      <w:r w:rsidRPr="00AE1D6B">
        <w:rPr>
          <w:rFonts w:eastAsia="Times New Roman" w:cs="Arial"/>
          <w:color w:val="000000"/>
          <w:lang w:val="ru-RU"/>
        </w:rPr>
        <w:t xml:space="preserve">3 </w:t>
      </w:r>
      <w:r w:rsidRPr="00AE1D6B">
        <w:rPr>
          <w:rFonts w:eastAsia="Times New Roman" w:cs="Arial"/>
          <w:color w:val="000000"/>
          <w:lang w:eastAsia="bg-BG"/>
        </w:rPr>
        <w:t xml:space="preserve">А4 (кетоконазол 200 </w:t>
      </w:r>
      <w:r w:rsidRPr="00AE1D6B">
        <w:rPr>
          <w:rFonts w:eastAsia="Times New Roman" w:cs="Arial"/>
          <w:color w:val="000000"/>
          <w:lang w:val="en-US"/>
        </w:rPr>
        <w:t>mg</w:t>
      </w:r>
      <w:r w:rsidRPr="00AE1D6B">
        <w:rPr>
          <w:rFonts w:eastAsia="Times New Roman" w:cs="Arial"/>
          <w:color w:val="000000"/>
          <w:lang w:val="ru-RU"/>
        </w:rPr>
        <w:t xml:space="preserve"> </w:t>
      </w:r>
      <w:r w:rsidRPr="00AE1D6B">
        <w:rPr>
          <w:rFonts w:eastAsia="Times New Roman" w:cs="Arial"/>
          <w:color w:val="000000"/>
          <w:lang w:eastAsia="bg-BG"/>
        </w:rPr>
        <w:t xml:space="preserve">два пъти дневно) е довел до покачване с 441%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(вж. точка 4.3). Едновременната употреба на еплеренон 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като кетоконазол, итраконазол, ритонавир, нелфинавир, кларитромицин, телитромицин и нефазадон е противопоказано (вж. точка 4.3).</w:t>
      </w:r>
    </w:p>
    <w:p w14:paraId="60967325" w14:textId="77777777" w:rsidR="00AE1D6B" w:rsidRPr="00AE1D6B" w:rsidRDefault="00AE1D6B" w:rsidP="00AE1D6B">
      <w:pPr>
        <w:spacing w:line="240" w:lineRule="auto"/>
        <w:rPr>
          <w:rFonts w:eastAsia="Times New Roman" w:cs="Arial"/>
          <w:color w:val="000000"/>
          <w:lang w:eastAsia="bg-BG"/>
        </w:rPr>
      </w:pPr>
    </w:p>
    <w:p w14:paraId="161142A1" w14:textId="2AC8489D" w:rsidR="00AE1D6B" w:rsidRPr="00AE1D6B" w:rsidRDefault="00AE1D6B" w:rsidP="00AE1D6B">
      <w:pPr>
        <w:pStyle w:val="ListParagraph"/>
        <w:numPr>
          <w:ilvl w:val="0"/>
          <w:numId w:val="40"/>
        </w:numPr>
        <w:spacing w:line="240" w:lineRule="auto"/>
        <w:rPr>
          <w:rFonts w:eastAsia="Times New Roman" w:cs="Arial"/>
        </w:rPr>
      </w:pPr>
      <w:r w:rsidRPr="00AE1D6B">
        <w:rPr>
          <w:rFonts w:eastAsia="Times New Roman" w:cs="Arial"/>
          <w:color w:val="000000"/>
          <w:lang w:eastAsia="bg-BG"/>
        </w:rPr>
        <w:t xml:space="preserve">Леки до умерени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Едновременното приложение с еритромицин, саквинавир, амиодарон, дилтиазем, верапамил и флуконазол е довело до значими фармакокинетични взаимодействия с нарастване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от порядъка на 98% до 187%. Следователно, дозировката на еплеренон не трябва да превишава 25 </w:t>
      </w:r>
      <w:r w:rsidRPr="00AE1D6B">
        <w:rPr>
          <w:rFonts w:eastAsia="Times New Roman" w:cs="Arial"/>
          <w:color w:val="000000"/>
          <w:lang w:val="en-US"/>
        </w:rPr>
        <w:t>mg</w:t>
      </w:r>
      <w:r w:rsidRPr="00AE1D6B">
        <w:rPr>
          <w:rFonts w:eastAsia="Times New Roman" w:cs="Arial"/>
          <w:color w:val="000000"/>
          <w:lang w:val="ru-RU"/>
        </w:rPr>
        <w:t xml:space="preserve"> </w:t>
      </w:r>
      <w:r w:rsidRPr="00AE1D6B">
        <w:rPr>
          <w:rFonts w:eastAsia="Times New Roman" w:cs="Arial"/>
          <w:color w:val="000000"/>
          <w:lang w:eastAsia="bg-BG"/>
        </w:rPr>
        <w:t xml:space="preserve">при едновременно приложение на леки до умерени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eastAsia="bg-BG"/>
        </w:rPr>
        <w:t>А4 и еплеренон (вж. точка 4.2).</w:t>
      </w:r>
    </w:p>
    <w:p w14:paraId="03868830" w14:textId="77777777" w:rsidR="00AE1D6B" w:rsidRPr="00AE1D6B" w:rsidRDefault="00AE1D6B" w:rsidP="00AE1D6B">
      <w:pPr>
        <w:spacing w:line="240" w:lineRule="auto"/>
        <w:rPr>
          <w:rFonts w:eastAsia="Times New Roman" w:cs="Arial"/>
          <w:i/>
          <w:iCs/>
          <w:color w:val="000000"/>
          <w:lang w:eastAsia="bg-BG"/>
        </w:rPr>
      </w:pPr>
    </w:p>
    <w:p w14:paraId="2F35E438" w14:textId="4CD787EE"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Индуктори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p>
    <w:p w14:paraId="418107FE"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 xml:space="preserve">Едновременното приложение на жълт кантарион (мощен индуктор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с еплеренон е предизвикало понижение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с 30%. По-изразено понижение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може да настъпи при още по-мощни индуктори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като рифампицин. Поради риска от понижена ефикасност на еплеренон едновременното приложение на силни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индуктори (рифампицин, карбамазепин, фенитоин, фенобарбитал, жълт кантарион) с еплеренон не се препоръчва (вж. точка 4.4).</w:t>
      </w:r>
    </w:p>
    <w:p w14:paraId="750B1603" w14:textId="77777777" w:rsidR="00AE1D6B" w:rsidRPr="00AE1D6B" w:rsidRDefault="00AE1D6B" w:rsidP="00AE1D6B">
      <w:pPr>
        <w:spacing w:line="240" w:lineRule="auto"/>
        <w:rPr>
          <w:rFonts w:eastAsia="Times New Roman" w:cs="Arial"/>
          <w:i/>
          <w:iCs/>
          <w:color w:val="000000"/>
          <w:lang w:eastAsia="bg-BG"/>
        </w:rPr>
      </w:pPr>
    </w:p>
    <w:p w14:paraId="0E1C7856" w14:textId="5B2351EF"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Антиациди:</w:t>
      </w:r>
    </w:p>
    <w:p w14:paraId="754145A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Въз основа на резултатите от фармакокинетично клинично проучване не се очаква значимо взаимодействие при едновременно приложение на антиациди с еплеренон.</w:t>
      </w:r>
    </w:p>
    <w:p w14:paraId="67A5ED55" w14:textId="77777777" w:rsidR="00AE1D6B" w:rsidRPr="00AE1D6B" w:rsidRDefault="00AE1D6B" w:rsidP="00AE1D6B"/>
    <w:p w14:paraId="5D9F40EA" w14:textId="0831442F" w:rsidR="007122AD" w:rsidRDefault="002C50EE" w:rsidP="00936AD0">
      <w:pPr>
        <w:pStyle w:val="Heading2"/>
      </w:pPr>
      <w:r>
        <w:t>4.6. Фертилитет, бременност и кърмене</w:t>
      </w:r>
    </w:p>
    <w:p w14:paraId="65117878" w14:textId="6A4772AD" w:rsidR="00AE1D6B" w:rsidRDefault="00AE1D6B" w:rsidP="00AE1D6B"/>
    <w:p w14:paraId="70D2600A" w14:textId="77777777" w:rsidR="00AE1D6B" w:rsidRPr="00AE1D6B" w:rsidRDefault="00AE1D6B" w:rsidP="00AE1D6B">
      <w:pPr>
        <w:pStyle w:val="Heading3"/>
        <w:rPr>
          <w:rFonts w:eastAsia="Times New Roman"/>
          <w:sz w:val="28"/>
          <w:u w:val="single"/>
        </w:rPr>
      </w:pPr>
      <w:r w:rsidRPr="00AE1D6B">
        <w:rPr>
          <w:rFonts w:eastAsia="Times New Roman"/>
          <w:u w:val="single"/>
          <w:lang w:eastAsia="bg-BG"/>
        </w:rPr>
        <w:t>Бременност</w:t>
      </w:r>
    </w:p>
    <w:p w14:paraId="58EC99E9" w14:textId="77777777" w:rsidR="00AE1D6B" w:rsidRPr="00AE1D6B" w:rsidRDefault="00AE1D6B" w:rsidP="00AE1D6B">
      <w:pPr>
        <w:spacing w:line="240" w:lineRule="auto"/>
        <w:rPr>
          <w:rFonts w:eastAsia="Times New Roman" w:cs="Arial"/>
          <w:color w:val="000000"/>
          <w:szCs w:val="20"/>
          <w:lang w:eastAsia="bg-BG"/>
        </w:rPr>
      </w:pPr>
    </w:p>
    <w:p w14:paraId="51BB575E" w14:textId="7E4284C6"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Липсват достатъчно данни за употребата на еплеренон при бременни жени. Проучвания при животни не показват преки или непреки неблагоприятни ефекти по отношение на бременността, ембриофеталното развитие, раждането и постнаталното развитие (вж. точка 5.3). Необходимо е внимание при предписване на еплеренон на бременни жени.</w:t>
      </w:r>
    </w:p>
    <w:p w14:paraId="66203FF5" w14:textId="77777777" w:rsidR="00AE1D6B" w:rsidRPr="00AE1D6B" w:rsidRDefault="00AE1D6B" w:rsidP="00AE1D6B">
      <w:pPr>
        <w:spacing w:line="240" w:lineRule="auto"/>
        <w:rPr>
          <w:rFonts w:eastAsia="Times New Roman" w:cs="Arial"/>
          <w:color w:val="000000"/>
          <w:szCs w:val="20"/>
          <w:u w:val="single"/>
          <w:lang w:eastAsia="bg-BG"/>
        </w:rPr>
      </w:pPr>
    </w:p>
    <w:p w14:paraId="1B13952E" w14:textId="73CEF880" w:rsidR="00AE1D6B" w:rsidRPr="00AE1D6B" w:rsidRDefault="00AE1D6B" w:rsidP="00AE1D6B">
      <w:pPr>
        <w:pStyle w:val="Heading3"/>
        <w:rPr>
          <w:rFonts w:eastAsia="Times New Roman"/>
          <w:sz w:val="28"/>
          <w:u w:val="single"/>
        </w:rPr>
      </w:pPr>
      <w:r w:rsidRPr="00AE1D6B">
        <w:rPr>
          <w:rFonts w:eastAsia="Times New Roman"/>
          <w:u w:val="single"/>
          <w:lang w:eastAsia="bg-BG"/>
        </w:rPr>
        <w:lastRenderedPageBreak/>
        <w:t>Кърмене</w:t>
      </w:r>
    </w:p>
    <w:p w14:paraId="3C610CA5" w14:textId="77777777" w:rsidR="00AE1D6B" w:rsidRPr="00AE1D6B" w:rsidRDefault="00AE1D6B" w:rsidP="00AE1D6B">
      <w:pPr>
        <w:spacing w:line="240" w:lineRule="auto"/>
        <w:rPr>
          <w:rFonts w:eastAsia="Times New Roman" w:cs="Arial"/>
          <w:color w:val="000000"/>
          <w:szCs w:val="20"/>
          <w:lang w:eastAsia="bg-BG"/>
        </w:rPr>
      </w:pPr>
    </w:p>
    <w:p w14:paraId="594ECBFE" w14:textId="07D974C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Не е известно дали еплеренон се екскретира в кърмата при човека след перорално приложение. Предклинични данни, обаче, показват, че еплеренон и/или метаболити се установяват в кърмата при плъхове и че новородени плъхове, изложени чрез този път на прием, се развиват нормално.</w:t>
      </w:r>
    </w:p>
    <w:p w14:paraId="3EF4B7A6"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Поради неизвестния потенциал за нежелани реакции върху кърмачето трябва да се вземе решение дали да бъде спряно кърменето или да се спре лекарството, като се вземе предвид значението на лекарството за майката.</w:t>
      </w:r>
    </w:p>
    <w:p w14:paraId="0D0AE4D5" w14:textId="77777777" w:rsidR="00AE1D6B" w:rsidRPr="00AE1D6B" w:rsidRDefault="00AE1D6B" w:rsidP="00AE1D6B">
      <w:pPr>
        <w:spacing w:line="240" w:lineRule="auto"/>
        <w:rPr>
          <w:rFonts w:eastAsia="Times New Roman" w:cs="Arial"/>
          <w:color w:val="000000"/>
          <w:szCs w:val="20"/>
          <w:u w:val="single"/>
          <w:lang w:eastAsia="bg-BG"/>
        </w:rPr>
      </w:pPr>
    </w:p>
    <w:p w14:paraId="4D36361E" w14:textId="722EEB6F" w:rsidR="00AE1D6B" w:rsidRPr="00AE1D6B" w:rsidRDefault="00AE1D6B" w:rsidP="00AE1D6B">
      <w:pPr>
        <w:pStyle w:val="Heading3"/>
        <w:rPr>
          <w:rFonts w:eastAsia="Times New Roman"/>
          <w:sz w:val="28"/>
          <w:u w:val="single"/>
        </w:rPr>
      </w:pPr>
      <w:r w:rsidRPr="00AE1D6B">
        <w:rPr>
          <w:rFonts w:eastAsia="Times New Roman"/>
          <w:u w:val="single"/>
          <w:lang w:eastAsia="bg-BG"/>
        </w:rPr>
        <w:t>Фертилитет</w:t>
      </w:r>
    </w:p>
    <w:p w14:paraId="7EF9FEBE" w14:textId="77777777" w:rsidR="00AE1D6B" w:rsidRPr="00AE1D6B" w:rsidRDefault="00AE1D6B" w:rsidP="00AE1D6B">
      <w:pPr>
        <w:spacing w:line="240" w:lineRule="auto"/>
        <w:rPr>
          <w:rFonts w:eastAsia="Times New Roman" w:cs="Arial"/>
          <w:color w:val="000000"/>
          <w:szCs w:val="20"/>
          <w:lang w:eastAsia="bg-BG"/>
        </w:rPr>
      </w:pPr>
    </w:p>
    <w:p w14:paraId="33C6FC6F" w14:textId="75F97B3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Липсват данни относно фертилитета при хора.</w:t>
      </w:r>
    </w:p>
    <w:p w14:paraId="520743F1" w14:textId="77777777" w:rsidR="00AE1D6B" w:rsidRPr="00AE1D6B" w:rsidRDefault="00AE1D6B" w:rsidP="00AE1D6B"/>
    <w:p w14:paraId="5DD7A76D" w14:textId="77EA3FDF" w:rsidR="007122AD" w:rsidRDefault="002C50EE" w:rsidP="00936AD0">
      <w:pPr>
        <w:pStyle w:val="Heading2"/>
      </w:pPr>
      <w:r>
        <w:t>4.7. Ефекти върху способността за шофиране и работа с машини</w:t>
      </w:r>
    </w:p>
    <w:p w14:paraId="70A132F0" w14:textId="732C14CD" w:rsidR="00AE1D6B" w:rsidRDefault="00AE1D6B" w:rsidP="00AE1D6B"/>
    <w:p w14:paraId="55572443" w14:textId="77777777" w:rsidR="00AE1D6B" w:rsidRPr="00AE1D6B" w:rsidRDefault="00AE1D6B" w:rsidP="00AE1D6B">
      <w:pPr>
        <w:rPr>
          <w:sz w:val="24"/>
          <w:szCs w:val="24"/>
        </w:rPr>
      </w:pPr>
      <w:r w:rsidRPr="00AE1D6B">
        <w:rPr>
          <w:lang w:eastAsia="bg-BG"/>
        </w:rPr>
        <w:t>Не са провеждани проучвания за влиянието на еплеренон върху способността за шофиране или работа с машини. Еплеренон не предизвиква сънливост или нарушение на когнитивните функции, но при управление на МПС или работа с машини трябва да се вземе предвид, че по време на лечението е възможна поява на замайване.</w:t>
      </w:r>
    </w:p>
    <w:p w14:paraId="7D26E0CC" w14:textId="77777777" w:rsidR="00AE1D6B" w:rsidRPr="00AE1D6B" w:rsidRDefault="00AE1D6B" w:rsidP="00AE1D6B"/>
    <w:p w14:paraId="44CE30A3" w14:textId="0B16F197" w:rsidR="007122AD" w:rsidRDefault="002C50EE" w:rsidP="00936AD0">
      <w:pPr>
        <w:pStyle w:val="Heading2"/>
      </w:pPr>
      <w:r>
        <w:t>4.8. Нежелани лекарствени реакции</w:t>
      </w:r>
    </w:p>
    <w:p w14:paraId="0A3ED9C4" w14:textId="2834F89D" w:rsidR="00AE1D6B" w:rsidRDefault="00AE1D6B" w:rsidP="00AE1D6B"/>
    <w:p w14:paraId="7B53B18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 две проучвания (проучване, оценяващо ефикасността и преживяемостга при приложение на еплеренон при сърдечна недостатъчност след остър миокарден инфаркт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 xml:space="preserve"> </w:t>
      </w:r>
      <w:r w:rsidRPr="00AE1D6B">
        <w:rPr>
          <w:rFonts w:eastAsia="Times New Roman" w:cs="Arial"/>
          <w:color w:val="000000"/>
          <w:szCs w:val="20"/>
          <w:lang w:val="en-US"/>
        </w:rPr>
        <w:t>Post</w:t>
      </w:r>
      <w:r w:rsidRPr="00AE1D6B">
        <w:rPr>
          <w:rFonts w:eastAsia="Times New Roman" w:cs="Arial"/>
          <w:color w:val="000000"/>
          <w:szCs w:val="20"/>
        </w:rPr>
        <w:t>-</w:t>
      </w:r>
      <w:r w:rsidRPr="00AE1D6B">
        <w:rPr>
          <w:rFonts w:eastAsia="Times New Roman" w:cs="Arial"/>
          <w:color w:val="000000"/>
          <w:szCs w:val="20"/>
          <w:lang w:val="en-US"/>
        </w:rPr>
        <w:t>acute</w:t>
      </w:r>
      <w:r w:rsidRPr="00AE1D6B">
        <w:rPr>
          <w:rFonts w:eastAsia="Times New Roman" w:cs="Arial"/>
          <w:color w:val="000000"/>
          <w:szCs w:val="20"/>
        </w:rPr>
        <w:t xml:space="preserve"> </w:t>
      </w:r>
      <w:r w:rsidRPr="00AE1D6B">
        <w:rPr>
          <w:rFonts w:eastAsia="Times New Roman" w:cs="Arial"/>
          <w:color w:val="000000"/>
          <w:szCs w:val="20"/>
          <w:lang w:val="en-US"/>
        </w:rPr>
        <w:t>Myocardial</w:t>
      </w:r>
      <w:r w:rsidRPr="00AE1D6B">
        <w:rPr>
          <w:rFonts w:eastAsia="Times New Roman" w:cs="Arial"/>
          <w:color w:val="000000"/>
          <w:szCs w:val="20"/>
        </w:rPr>
        <w:t xml:space="preserve"> </w:t>
      </w:r>
      <w:r w:rsidRPr="00AE1D6B">
        <w:rPr>
          <w:rFonts w:eastAsia="Times New Roman" w:cs="Arial"/>
          <w:color w:val="000000"/>
          <w:szCs w:val="20"/>
          <w:lang w:val="en-US"/>
        </w:rPr>
        <w:t>Infarction</w:t>
      </w:r>
      <w:r w:rsidRPr="00AE1D6B">
        <w:rPr>
          <w:rFonts w:eastAsia="Times New Roman" w:cs="Arial"/>
          <w:color w:val="000000"/>
          <w:szCs w:val="20"/>
        </w:rPr>
        <w:t xml:space="preserve"> </w:t>
      </w:r>
      <w:r w:rsidRPr="00AE1D6B">
        <w:rPr>
          <w:rFonts w:eastAsia="Times New Roman" w:cs="Arial"/>
          <w:color w:val="000000"/>
          <w:szCs w:val="20"/>
          <w:lang w:val="en-US"/>
        </w:rPr>
        <w:t>Heart</w:t>
      </w:r>
      <w:r w:rsidRPr="00AE1D6B">
        <w:rPr>
          <w:rFonts w:eastAsia="Times New Roman" w:cs="Arial"/>
          <w:color w:val="000000"/>
          <w:szCs w:val="20"/>
        </w:rPr>
        <w:t xml:space="preserve"> </w:t>
      </w:r>
      <w:r w:rsidRPr="00AE1D6B">
        <w:rPr>
          <w:rFonts w:eastAsia="Times New Roman" w:cs="Arial"/>
          <w:color w:val="000000"/>
          <w:szCs w:val="20"/>
          <w:lang w:val="en-US"/>
        </w:rPr>
        <w:t>Failure</w:t>
      </w:r>
      <w:r w:rsidRPr="00AE1D6B">
        <w:rPr>
          <w:rFonts w:eastAsia="Times New Roman" w:cs="Arial"/>
          <w:color w:val="000000"/>
          <w:szCs w:val="20"/>
        </w:rPr>
        <w:t xml:space="preserve"> </w:t>
      </w:r>
      <w:r w:rsidRPr="00AE1D6B">
        <w:rPr>
          <w:rFonts w:eastAsia="Times New Roman" w:cs="Arial"/>
          <w:color w:val="000000"/>
          <w:szCs w:val="20"/>
          <w:lang w:val="en-US"/>
        </w:rPr>
        <w:t>Efficacy</w:t>
      </w:r>
      <w:r w:rsidRPr="00AE1D6B">
        <w:rPr>
          <w:rFonts w:eastAsia="Times New Roman" w:cs="Arial"/>
          <w:color w:val="000000"/>
          <w:szCs w:val="20"/>
        </w:rPr>
        <w:t xml:space="preserve"> </w:t>
      </w:r>
      <w:r w:rsidRPr="00AE1D6B">
        <w:rPr>
          <w:rFonts w:eastAsia="Times New Roman" w:cs="Arial"/>
          <w:color w:val="000000"/>
          <w:szCs w:val="20"/>
          <w:lang w:val="en-US"/>
        </w:rPr>
        <w:t>and</w:t>
      </w:r>
      <w:r w:rsidRPr="00AE1D6B">
        <w:rPr>
          <w:rFonts w:eastAsia="Times New Roman" w:cs="Arial"/>
          <w:color w:val="000000"/>
          <w:szCs w:val="20"/>
        </w:rPr>
        <w:t xml:space="preserve"> </w:t>
      </w:r>
      <w:r w:rsidRPr="00AE1D6B">
        <w:rPr>
          <w:rFonts w:eastAsia="Times New Roman" w:cs="Arial"/>
          <w:color w:val="000000"/>
          <w:szCs w:val="20"/>
          <w:lang w:val="en-US"/>
        </w:rPr>
        <w:t>Survival</w:t>
      </w:r>
      <w:r w:rsidRPr="00AE1D6B">
        <w:rPr>
          <w:rFonts w:eastAsia="Times New Roman" w:cs="Arial"/>
          <w:color w:val="000000"/>
          <w:szCs w:val="20"/>
        </w:rPr>
        <w:t xml:space="preserve"> </w:t>
      </w:r>
      <w:r w:rsidRPr="00AE1D6B">
        <w:rPr>
          <w:rFonts w:eastAsia="Times New Roman" w:cs="Arial"/>
          <w:color w:val="000000"/>
          <w:szCs w:val="20"/>
          <w:lang w:val="en-US"/>
        </w:rPr>
        <w:t>Study</w:t>
      </w:r>
      <w:r w:rsidRPr="00AE1D6B">
        <w:rPr>
          <w:rFonts w:eastAsia="Times New Roman" w:cs="Arial"/>
          <w:color w:val="000000"/>
          <w:szCs w:val="20"/>
        </w:rPr>
        <w:t xml:space="preserve"> - </w:t>
      </w:r>
      <w:r w:rsidRPr="00AE1D6B">
        <w:rPr>
          <w:rFonts w:eastAsia="Times New Roman" w:cs="Arial"/>
          <w:color w:val="000000"/>
          <w:szCs w:val="20"/>
          <w:lang w:val="en-US"/>
        </w:rPr>
        <w:t>EPHESUS</w:t>
      </w:r>
      <w:r w:rsidRPr="00AE1D6B">
        <w:rPr>
          <w:rFonts w:eastAsia="Times New Roman" w:cs="Arial"/>
          <w:color w:val="000000"/>
          <w:szCs w:val="20"/>
        </w:rPr>
        <w:t xml:space="preserve">) </w:t>
      </w:r>
      <w:r w:rsidRPr="00AE1D6B">
        <w:rPr>
          <w:rFonts w:eastAsia="Times New Roman" w:cs="Arial"/>
          <w:color w:val="000000"/>
          <w:szCs w:val="20"/>
          <w:lang w:eastAsia="bg-BG"/>
        </w:rPr>
        <w:t xml:space="preserve">и проучване, оценяващо хоспитализирането и преживяемостга при приложение на еплеренон при лека сърдечна недостатъчност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 xml:space="preserve"> </w:t>
      </w:r>
      <w:r w:rsidRPr="00AE1D6B">
        <w:rPr>
          <w:rFonts w:eastAsia="Times New Roman" w:cs="Arial"/>
          <w:color w:val="000000"/>
          <w:szCs w:val="20"/>
          <w:lang w:val="en-US"/>
        </w:rPr>
        <w:t>in</w:t>
      </w:r>
      <w:r w:rsidRPr="00AE1D6B">
        <w:rPr>
          <w:rFonts w:eastAsia="Times New Roman" w:cs="Arial"/>
          <w:color w:val="000000"/>
          <w:szCs w:val="20"/>
        </w:rPr>
        <w:t xml:space="preserve"> </w:t>
      </w:r>
      <w:r w:rsidRPr="00AE1D6B">
        <w:rPr>
          <w:rFonts w:eastAsia="Times New Roman" w:cs="Arial"/>
          <w:color w:val="000000"/>
          <w:szCs w:val="20"/>
          <w:lang w:val="en-US"/>
        </w:rPr>
        <w:t>Mild</w:t>
      </w:r>
      <w:r w:rsidRPr="00AE1D6B">
        <w:rPr>
          <w:rFonts w:eastAsia="Times New Roman" w:cs="Arial"/>
          <w:color w:val="000000"/>
          <w:szCs w:val="20"/>
        </w:rPr>
        <w:t xml:space="preserve"> </w:t>
      </w:r>
      <w:r w:rsidRPr="00AE1D6B">
        <w:rPr>
          <w:rFonts w:eastAsia="Times New Roman" w:cs="Arial"/>
          <w:color w:val="000000"/>
          <w:szCs w:val="20"/>
          <w:lang w:val="en-US"/>
        </w:rPr>
        <w:t>Patients</w:t>
      </w:r>
      <w:r w:rsidRPr="00AE1D6B">
        <w:rPr>
          <w:rFonts w:eastAsia="Times New Roman" w:cs="Arial"/>
          <w:color w:val="000000"/>
          <w:szCs w:val="20"/>
        </w:rPr>
        <w:t xml:space="preserve"> </w:t>
      </w:r>
      <w:r w:rsidRPr="00AE1D6B">
        <w:rPr>
          <w:rFonts w:eastAsia="Times New Roman" w:cs="Arial"/>
          <w:color w:val="000000"/>
          <w:szCs w:val="20"/>
          <w:lang w:val="en-US"/>
        </w:rPr>
        <w:t>Hospitalization</w:t>
      </w:r>
      <w:r w:rsidRPr="00AE1D6B">
        <w:rPr>
          <w:rFonts w:eastAsia="Times New Roman" w:cs="Arial"/>
          <w:color w:val="000000"/>
          <w:szCs w:val="20"/>
        </w:rPr>
        <w:t xml:space="preserve"> </w:t>
      </w:r>
      <w:r w:rsidRPr="00AE1D6B">
        <w:rPr>
          <w:rFonts w:eastAsia="Times New Roman" w:cs="Arial"/>
          <w:color w:val="000000"/>
          <w:szCs w:val="20"/>
          <w:lang w:val="en-US"/>
        </w:rPr>
        <w:t>and</w:t>
      </w:r>
      <w:r w:rsidRPr="00AE1D6B">
        <w:rPr>
          <w:rFonts w:eastAsia="Times New Roman" w:cs="Arial"/>
          <w:color w:val="000000"/>
          <w:szCs w:val="20"/>
        </w:rPr>
        <w:t xml:space="preserve"> </w:t>
      </w:r>
      <w:r w:rsidRPr="00AE1D6B">
        <w:rPr>
          <w:rFonts w:eastAsia="Times New Roman" w:cs="Arial"/>
          <w:color w:val="000000"/>
          <w:szCs w:val="20"/>
          <w:lang w:val="en-US"/>
        </w:rPr>
        <w:t>Survival</w:t>
      </w:r>
      <w:r w:rsidRPr="00AE1D6B">
        <w:rPr>
          <w:rFonts w:eastAsia="Times New Roman" w:cs="Arial"/>
          <w:color w:val="000000"/>
          <w:szCs w:val="20"/>
        </w:rPr>
        <w:t xml:space="preserve"> </w:t>
      </w:r>
      <w:r w:rsidRPr="00AE1D6B">
        <w:rPr>
          <w:rFonts w:eastAsia="Times New Roman" w:cs="Arial"/>
          <w:color w:val="000000"/>
          <w:szCs w:val="20"/>
          <w:lang w:val="en-US"/>
        </w:rPr>
        <w:t>Study</w:t>
      </w:r>
      <w:r w:rsidRPr="00AE1D6B">
        <w:rPr>
          <w:rFonts w:eastAsia="Times New Roman" w:cs="Arial"/>
          <w:color w:val="000000"/>
          <w:szCs w:val="20"/>
        </w:rPr>
        <w:t xml:space="preserve"> </w:t>
      </w:r>
      <w:r w:rsidRPr="00AE1D6B">
        <w:rPr>
          <w:rFonts w:eastAsia="Times New Roman" w:cs="Arial"/>
          <w:color w:val="000000"/>
          <w:szCs w:val="20"/>
          <w:lang w:val="en-US"/>
        </w:rPr>
        <w:t>in</w:t>
      </w:r>
      <w:r w:rsidRPr="00AE1D6B">
        <w:rPr>
          <w:rFonts w:eastAsia="Times New Roman" w:cs="Arial"/>
          <w:color w:val="000000"/>
          <w:szCs w:val="20"/>
        </w:rPr>
        <w:t xml:space="preserve"> </w:t>
      </w:r>
      <w:r w:rsidRPr="00AE1D6B">
        <w:rPr>
          <w:rFonts w:eastAsia="Times New Roman" w:cs="Arial"/>
          <w:color w:val="000000"/>
          <w:szCs w:val="20"/>
          <w:lang w:val="en-US"/>
        </w:rPr>
        <w:t>Heart</w:t>
      </w:r>
      <w:r w:rsidRPr="00AE1D6B">
        <w:rPr>
          <w:rFonts w:eastAsia="Times New Roman" w:cs="Arial"/>
          <w:color w:val="000000"/>
          <w:szCs w:val="20"/>
        </w:rPr>
        <w:t xml:space="preserve"> </w:t>
      </w:r>
      <w:r w:rsidRPr="00AE1D6B">
        <w:rPr>
          <w:rFonts w:eastAsia="Times New Roman" w:cs="Arial"/>
          <w:color w:val="000000"/>
          <w:szCs w:val="20"/>
          <w:lang w:val="en-US"/>
        </w:rPr>
        <w:t>Failure</w:t>
      </w:r>
      <w:r w:rsidRPr="00AE1D6B">
        <w:rPr>
          <w:rFonts w:eastAsia="Times New Roman" w:cs="Arial"/>
          <w:color w:val="000000"/>
          <w:szCs w:val="20"/>
        </w:rPr>
        <w:t xml:space="preserve"> -</w:t>
      </w:r>
      <w:r w:rsidRPr="00AE1D6B">
        <w:rPr>
          <w:rFonts w:eastAsia="Times New Roman" w:cs="Arial"/>
          <w:color w:val="000000"/>
          <w:szCs w:val="20"/>
          <w:lang w:val="en-US"/>
        </w:rPr>
        <w:t>EMPHASIS</w:t>
      </w:r>
      <w:r w:rsidRPr="00AE1D6B">
        <w:rPr>
          <w:rFonts w:eastAsia="Times New Roman" w:cs="Arial"/>
          <w:color w:val="000000"/>
          <w:szCs w:val="20"/>
        </w:rPr>
        <w:t>-</w:t>
      </w:r>
      <w:r w:rsidRPr="00AE1D6B">
        <w:rPr>
          <w:rFonts w:eastAsia="Times New Roman" w:cs="Arial"/>
          <w:color w:val="000000"/>
          <w:szCs w:val="20"/>
          <w:lang w:val="en-US"/>
        </w:rPr>
        <w:t>HF</w:t>
      </w:r>
      <w:r w:rsidRPr="00AE1D6B">
        <w:rPr>
          <w:rFonts w:eastAsia="Times New Roman" w:cs="Arial"/>
          <w:color w:val="000000"/>
          <w:szCs w:val="20"/>
        </w:rPr>
        <w:t xml:space="preserve">)), </w:t>
      </w:r>
      <w:r w:rsidRPr="00AE1D6B">
        <w:rPr>
          <w:rFonts w:eastAsia="Times New Roman" w:cs="Arial"/>
          <w:color w:val="000000"/>
          <w:szCs w:val="20"/>
          <w:lang w:eastAsia="bg-BG"/>
        </w:rPr>
        <w:t xml:space="preserve">общата честота на нежелани лекарствени реакции, съобщавана при еплеренон е била сходна с плацебо. Най-честата нежелана реакция, съобщена в проучването </w:t>
      </w:r>
      <w:r w:rsidRPr="00AE1D6B">
        <w:rPr>
          <w:rFonts w:eastAsia="Times New Roman" w:cs="Arial"/>
          <w:color w:val="000000"/>
          <w:szCs w:val="20"/>
          <w:lang w:val="en-US"/>
        </w:rPr>
        <w:t>EMPHASIS</w:t>
      </w:r>
      <w:r w:rsidRPr="00AE1D6B">
        <w:rPr>
          <w:rFonts w:eastAsia="Times New Roman" w:cs="Arial"/>
          <w:color w:val="000000"/>
          <w:szCs w:val="20"/>
          <w:lang w:val="ru-RU"/>
        </w:rPr>
        <w:t>-</w:t>
      </w:r>
      <w:r w:rsidRPr="00AE1D6B">
        <w:rPr>
          <w:rFonts w:eastAsia="Times New Roman" w:cs="Arial"/>
          <w:color w:val="000000"/>
          <w:szCs w:val="20"/>
          <w:lang w:val="en-US"/>
        </w:rPr>
        <w:t>HF</w:t>
      </w:r>
      <w:r w:rsidRPr="00AE1D6B">
        <w:rPr>
          <w:rFonts w:eastAsia="Times New Roman" w:cs="Arial"/>
          <w:color w:val="000000"/>
          <w:szCs w:val="20"/>
          <w:lang w:val="ru-RU"/>
        </w:rPr>
        <w:t xml:space="preserve"> </w:t>
      </w:r>
      <w:r w:rsidRPr="00AE1D6B">
        <w:rPr>
          <w:rFonts w:eastAsia="Times New Roman" w:cs="Arial"/>
          <w:color w:val="000000"/>
          <w:szCs w:val="20"/>
          <w:lang w:eastAsia="bg-BG"/>
        </w:rPr>
        <w:t>е била хиперкалиемия с честота съответно 8,7% и 4% за еплеренон и плацебо.</w:t>
      </w:r>
    </w:p>
    <w:p w14:paraId="68382773" w14:textId="77777777" w:rsidR="00AE1D6B" w:rsidRPr="00AE1D6B" w:rsidRDefault="00AE1D6B" w:rsidP="00AE1D6B">
      <w:pPr>
        <w:spacing w:line="240" w:lineRule="auto"/>
        <w:rPr>
          <w:rFonts w:eastAsia="Times New Roman" w:cs="Arial"/>
          <w:color w:val="000000"/>
          <w:szCs w:val="20"/>
          <w:lang w:eastAsia="bg-BG"/>
        </w:rPr>
      </w:pPr>
    </w:p>
    <w:p w14:paraId="54CD8092" w14:textId="4291A37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Посочените по-долу нежелани реакции са такива, при които се подозира връзка с лечението и са повече отколкото при плацебо, или такива, които са сериозни и са значително повече, отколкото при плацебо, или са наблюдавани по време на постмаркетинговия период.</w:t>
      </w:r>
    </w:p>
    <w:p w14:paraId="520E3129" w14:textId="77777777" w:rsidR="00AE1D6B" w:rsidRPr="00AE1D6B" w:rsidRDefault="00AE1D6B" w:rsidP="00AE1D6B">
      <w:pPr>
        <w:spacing w:line="240" w:lineRule="auto"/>
        <w:rPr>
          <w:rFonts w:eastAsia="Times New Roman" w:cs="Arial"/>
          <w:color w:val="000000"/>
          <w:szCs w:val="20"/>
          <w:lang w:eastAsia="bg-BG"/>
        </w:rPr>
      </w:pPr>
    </w:p>
    <w:p w14:paraId="6ACA51A7" w14:textId="4D4E5B3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Нежеланите реакции са изброени по системо-органен клас и абсолютна честотота. Честотите </w:t>
      </w:r>
      <w:r w:rsidRPr="00AE1D6B">
        <w:rPr>
          <w:rFonts w:eastAsia="Times New Roman" w:cs="Arial"/>
          <w:color w:val="000000"/>
          <w:szCs w:val="20"/>
          <w:lang w:val="en-US"/>
        </w:rPr>
        <w:t>c</w:t>
      </w:r>
      <w:r w:rsidRPr="00AE1D6B">
        <w:rPr>
          <w:rFonts w:eastAsia="Times New Roman" w:cs="Arial"/>
          <w:color w:val="000000"/>
          <w:szCs w:val="20"/>
          <w:lang w:eastAsia="bg-BG"/>
        </w:rPr>
        <w:t>а определени като: Много чести (≥1/10) Чести (≥1/100 до &lt;1/10) Нечести (≥1/1 000 до &lt;1/100) Редки (≥1/10 000 до &lt;1/1 000) Много редки (1/10 000)</w:t>
      </w:r>
    </w:p>
    <w:p w14:paraId="133272A8" w14:textId="735C9CDC" w:rsidR="00AE1D6B" w:rsidRDefault="00AE1D6B" w:rsidP="00AE1D6B">
      <w:pPr>
        <w:rPr>
          <w:rFonts w:eastAsia="Times New Roman" w:cs="Arial"/>
          <w:color w:val="000000"/>
          <w:szCs w:val="20"/>
          <w:lang w:eastAsia="bg-BG"/>
        </w:rPr>
      </w:pPr>
      <w:r w:rsidRPr="00AE1D6B">
        <w:rPr>
          <w:rFonts w:eastAsia="Times New Roman" w:cs="Arial"/>
          <w:color w:val="000000"/>
          <w:szCs w:val="20"/>
          <w:lang w:eastAsia="bg-BG"/>
        </w:rPr>
        <w:t>С неизвестна честота (от наличните данни не може да бъде направена оценка).</w:t>
      </w:r>
    </w:p>
    <w:p w14:paraId="42FA97C3" w14:textId="229CE6CA" w:rsidR="008608CB" w:rsidRDefault="008608CB" w:rsidP="00AE1D6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47"/>
        <w:gridCol w:w="4703"/>
      </w:tblGrid>
      <w:tr w:rsidR="008608CB" w14:paraId="62F008A4" w14:textId="77777777" w:rsidTr="008608CB">
        <w:tc>
          <w:tcPr>
            <w:tcW w:w="4788" w:type="dxa"/>
            <w:vAlign w:val="bottom"/>
          </w:tcPr>
          <w:p w14:paraId="480B5A9A" w14:textId="58239C26" w:rsidR="008608CB" w:rsidRPr="008608CB" w:rsidRDefault="008608CB" w:rsidP="008608CB">
            <w:pPr>
              <w:rPr>
                <w:rFonts w:cs="Arial"/>
              </w:rPr>
            </w:pPr>
            <w:proofErr w:type="spellStart"/>
            <w:r w:rsidRPr="008608CB">
              <w:rPr>
                <w:b/>
                <w:bCs/>
                <w:szCs w:val="20"/>
                <w:lang w:val="en-US"/>
              </w:rPr>
              <w:t>MedDRA</w:t>
            </w:r>
            <w:proofErr w:type="spellEnd"/>
            <w:r w:rsidRPr="008608CB">
              <w:rPr>
                <w:b/>
                <w:bCs/>
                <w:szCs w:val="20"/>
                <w:lang w:val="en-US"/>
              </w:rPr>
              <w:t xml:space="preserve"> - </w:t>
            </w:r>
            <w:r w:rsidRPr="008608CB">
              <w:rPr>
                <w:b/>
                <w:bCs/>
                <w:szCs w:val="20"/>
              </w:rPr>
              <w:t>системо-органен клас</w:t>
            </w:r>
          </w:p>
        </w:tc>
        <w:tc>
          <w:tcPr>
            <w:tcW w:w="4788" w:type="dxa"/>
          </w:tcPr>
          <w:p w14:paraId="769F93A5" w14:textId="692A32D9" w:rsidR="008608CB" w:rsidRPr="008608CB" w:rsidRDefault="008608CB" w:rsidP="008608CB">
            <w:pPr>
              <w:rPr>
                <w:rFonts w:cs="Arial"/>
              </w:rPr>
            </w:pPr>
            <w:r w:rsidRPr="008608CB">
              <w:rPr>
                <w:b/>
                <w:bCs/>
                <w:szCs w:val="20"/>
              </w:rPr>
              <w:t>Нежелана лекарствена реакция</w:t>
            </w:r>
          </w:p>
        </w:tc>
      </w:tr>
      <w:tr w:rsidR="008608CB" w14:paraId="35C75705" w14:textId="77777777" w:rsidTr="008608CB">
        <w:tc>
          <w:tcPr>
            <w:tcW w:w="9576" w:type="dxa"/>
            <w:gridSpan w:val="2"/>
          </w:tcPr>
          <w:p w14:paraId="6480A1AD" w14:textId="4C07C342" w:rsidR="008608CB" w:rsidRPr="008608CB" w:rsidRDefault="008608CB" w:rsidP="008608CB">
            <w:pPr>
              <w:rPr>
                <w:rFonts w:cs="Arial"/>
                <w:b/>
                <w:sz w:val="24"/>
              </w:rPr>
            </w:pPr>
            <w:r w:rsidRPr="008608CB">
              <w:rPr>
                <w:b/>
                <w:lang w:eastAsia="bg-BG"/>
              </w:rPr>
              <w:t>Инфекции и инфестацин</w:t>
            </w:r>
          </w:p>
        </w:tc>
      </w:tr>
      <w:tr w:rsidR="008608CB" w14:paraId="6CEBE259" w14:textId="77777777" w:rsidTr="008608CB">
        <w:tc>
          <w:tcPr>
            <w:tcW w:w="4788" w:type="dxa"/>
          </w:tcPr>
          <w:p w14:paraId="3B62273E" w14:textId="795E1836" w:rsidR="008608CB" w:rsidRDefault="008608CB" w:rsidP="008608CB">
            <w:pPr>
              <w:rPr>
                <w:rFonts w:cs="Arial"/>
                <w:sz w:val="24"/>
              </w:rPr>
            </w:pPr>
            <w:r>
              <w:t>Нечести</w:t>
            </w:r>
          </w:p>
        </w:tc>
        <w:tc>
          <w:tcPr>
            <w:tcW w:w="4788" w:type="dxa"/>
          </w:tcPr>
          <w:p w14:paraId="3F8859DA" w14:textId="29D3D105" w:rsidR="008608CB" w:rsidRDefault="008608CB" w:rsidP="008608CB">
            <w:pPr>
              <w:rPr>
                <w:rFonts w:cs="Arial"/>
                <w:sz w:val="24"/>
              </w:rPr>
            </w:pPr>
            <w:r>
              <w:t>пиелонефрит, инфекция, фарингит</w:t>
            </w:r>
          </w:p>
        </w:tc>
      </w:tr>
      <w:tr w:rsidR="008608CB" w14:paraId="48A42C27" w14:textId="77777777" w:rsidTr="008608CB">
        <w:tc>
          <w:tcPr>
            <w:tcW w:w="9576" w:type="dxa"/>
            <w:gridSpan w:val="2"/>
          </w:tcPr>
          <w:p w14:paraId="253A4CE1" w14:textId="3F53F861" w:rsidR="008608CB" w:rsidRPr="008608CB" w:rsidRDefault="008608CB" w:rsidP="008608CB">
            <w:pPr>
              <w:rPr>
                <w:rFonts w:cs="Arial"/>
                <w:b/>
                <w:sz w:val="24"/>
              </w:rPr>
            </w:pPr>
            <w:r w:rsidRPr="008608CB">
              <w:rPr>
                <w:b/>
                <w:lang w:eastAsia="bg-BG"/>
              </w:rPr>
              <w:t>Нарушения на кръвта и лимфната система</w:t>
            </w:r>
          </w:p>
        </w:tc>
      </w:tr>
      <w:tr w:rsidR="008608CB" w14:paraId="474FCBA3" w14:textId="77777777" w:rsidTr="008608CB">
        <w:tc>
          <w:tcPr>
            <w:tcW w:w="4788" w:type="dxa"/>
          </w:tcPr>
          <w:p w14:paraId="5D3EBAE5" w14:textId="39BF6D60" w:rsidR="008608CB" w:rsidRDefault="008608CB" w:rsidP="008608CB">
            <w:pPr>
              <w:rPr>
                <w:rFonts w:cs="Arial"/>
                <w:sz w:val="24"/>
              </w:rPr>
            </w:pPr>
            <w:r>
              <w:t>Нечести</w:t>
            </w:r>
          </w:p>
        </w:tc>
        <w:tc>
          <w:tcPr>
            <w:tcW w:w="4788" w:type="dxa"/>
          </w:tcPr>
          <w:p w14:paraId="4A94BE27" w14:textId="7FD3CDC5" w:rsidR="008608CB" w:rsidRDefault="008608CB" w:rsidP="008608CB">
            <w:pPr>
              <w:rPr>
                <w:rFonts w:cs="Arial"/>
                <w:sz w:val="24"/>
              </w:rPr>
            </w:pPr>
            <w:r>
              <w:t>еозинофилия</w:t>
            </w:r>
          </w:p>
        </w:tc>
      </w:tr>
      <w:tr w:rsidR="008608CB" w14:paraId="243D78C4" w14:textId="77777777" w:rsidTr="008608CB">
        <w:tc>
          <w:tcPr>
            <w:tcW w:w="9576" w:type="dxa"/>
            <w:gridSpan w:val="2"/>
          </w:tcPr>
          <w:p w14:paraId="5DD3DFCC" w14:textId="2EA1E13C" w:rsidR="008608CB" w:rsidRPr="008608CB" w:rsidRDefault="008608CB" w:rsidP="008608CB">
            <w:pPr>
              <w:rPr>
                <w:rFonts w:cs="Arial"/>
                <w:b/>
                <w:sz w:val="24"/>
              </w:rPr>
            </w:pPr>
            <w:r w:rsidRPr="008608CB">
              <w:rPr>
                <w:b/>
              </w:rPr>
              <w:lastRenderedPageBreak/>
              <w:t>Нарушения на ендокринната система</w:t>
            </w:r>
          </w:p>
        </w:tc>
      </w:tr>
      <w:tr w:rsidR="008608CB" w14:paraId="106448E9" w14:textId="77777777" w:rsidTr="008608CB">
        <w:tc>
          <w:tcPr>
            <w:tcW w:w="4788" w:type="dxa"/>
          </w:tcPr>
          <w:p w14:paraId="654EC101" w14:textId="3689F334" w:rsidR="008608CB" w:rsidRDefault="008608CB" w:rsidP="008608CB">
            <w:pPr>
              <w:rPr>
                <w:rFonts w:cs="Arial"/>
                <w:sz w:val="24"/>
              </w:rPr>
            </w:pPr>
            <w:r>
              <w:t>Нечести</w:t>
            </w:r>
          </w:p>
        </w:tc>
        <w:tc>
          <w:tcPr>
            <w:tcW w:w="4788" w:type="dxa"/>
          </w:tcPr>
          <w:p w14:paraId="194F4059" w14:textId="6543EE20" w:rsidR="008608CB" w:rsidRDefault="008608CB" w:rsidP="008608CB">
            <w:pPr>
              <w:rPr>
                <w:rFonts w:cs="Arial"/>
                <w:sz w:val="24"/>
              </w:rPr>
            </w:pPr>
            <w:r>
              <w:t>хипотиреоидизъм</w:t>
            </w:r>
          </w:p>
        </w:tc>
      </w:tr>
      <w:tr w:rsidR="008608CB" w14:paraId="63D5A248" w14:textId="77777777" w:rsidTr="008608CB">
        <w:tc>
          <w:tcPr>
            <w:tcW w:w="9576" w:type="dxa"/>
            <w:gridSpan w:val="2"/>
          </w:tcPr>
          <w:p w14:paraId="30345CB7" w14:textId="65A318C4" w:rsidR="008608CB" w:rsidRPr="008608CB" w:rsidRDefault="008608CB" w:rsidP="008608CB">
            <w:pPr>
              <w:rPr>
                <w:rFonts w:cs="Arial"/>
                <w:b/>
                <w:sz w:val="24"/>
              </w:rPr>
            </w:pPr>
            <w:r w:rsidRPr="008608CB">
              <w:rPr>
                <w:b/>
                <w:lang w:eastAsia="bg-BG"/>
              </w:rPr>
              <w:t>Нарушения на метаболизма и храненето</w:t>
            </w:r>
          </w:p>
        </w:tc>
      </w:tr>
      <w:tr w:rsidR="008608CB" w14:paraId="4C74BBCF" w14:textId="77777777" w:rsidTr="008608CB">
        <w:trPr>
          <w:trHeight w:val="278"/>
        </w:trPr>
        <w:tc>
          <w:tcPr>
            <w:tcW w:w="4788" w:type="dxa"/>
          </w:tcPr>
          <w:p w14:paraId="15BFA124" w14:textId="0E3D1A3A" w:rsidR="008608CB" w:rsidRDefault="008608CB" w:rsidP="008608CB">
            <w:pPr>
              <w:rPr>
                <w:rFonts w:cs="Arial"/>
                <w:sz w:val="24"/>
              </w:rPr>
            </w:pPr>
            <w:r>
              <w:t>Чести</w:t>
            </w:r>
          </w:p>
        </w:tc>
        <w:tc>
          <w:tcPr>
            <w:tcW w:w="4788" w:type="dxa"/>
          </w:tcPr>
          <w:p w14:paraId="739594A7" w14:textId="5923CC81" w:rsidR="008608CB" w:rsidRDefault="008608CB" w:rsidP="008608CB">
            <w:pPr>
              <w:rPr>
                <w:rFonts w:cs="Arial"/>
                <w:sz w:val="24"/>
              </w:rPr>
            </w:pPr>
            <w:r>
              <w:t>хиперкалиемия (вж.точки 4.3 и 4.4), хиперхолестеролемия</w:t>
            </w:r>
          </w:p>
        </w:tc>
      </w:tr>
      <w:tr w:rsidR="008608CB" w14:paraId="026244FC" w14:textId="77777777" w:rsidTr="008608CB">
        <w:tc>
          <w:tcPr>
            <w:tcW w:w="4788" w:type="dxa"/>
          </w:tcPr>
          <w:p w14:paraId="3555D8D4" w14:textId="4D695BDC" w:rsidR="008608CB" w:rsidRDefault="008608CB" w:rsidP="008608CB">
            <w:pPr>
              <w:rPr>
                <w:rFonts w:cs="Arial"/>
                <w:sz w:val="24"/>
              </w:rPr>
            </w:pPr>
            <w:r>
              <w:t>Нечести</w:t>
            </w:r>
          </w:p>
        </w:tc>
        <w:tc>
          <w:tcPr>
            <w:tcW w:w="4788" w:type="dxa"/>
          </w:tcPr>
          <w:p w14:paraId="396C14AF" w14:textId="5DF5EF72" w:rsidR="008608CB" w:rsidRDefault="008608CB" w:rsidP="008608CB">
            <w:pPr>
              <w:rPr>
                <w:rFonts w:cs="Arial"/>
                <w:sz w:val="24"/>
              </w:rPr>
            </w:pPr>
            <w:r>
              <w:t>хипонатриемия, дехидратация, хипертриглицеридемия</w:t>
            </w:r>
          </w:p>
        </w:tc>
      </w:tr>
      <w:tr w:rsidR="008608CB" w14:paraId="0F6CC5CC" w14:textId="77777777" w:rsidTr="008608CB">
        <w:tc>
          <w:tcPr>
            <w:tcW w:w="9576" w:type="dxa"/>
            <w:gridSpan w:val="2"/>
          </w:tcPr>
          <w:p w14:paraId="2200B000" w14:textId="22D069B8" w:rsidR="008608CB" w:rsidRPr="008608CB" w:rsidRDefault="008608CB" w:rsidP="008608CB">
            <w:pPr>
              <w:rPr>
                <w:rFonts w:cs="Arial"/>
                <w:b/>
                <w:sz w:val="24"/>
              </w:rPr>
            </w:pPr>
            <w:r w:rsidRPr="008608CB">
              <w:rPr>
                <w:b/>
                <w:lang w:eastAsia="bg-BG"/>
              </w:rPr>
              <w:t>Психични нарушения</w:t>
            </w:r>
          </w:p>
        </w:tc>
      </w:tr>
      <w:tr w:rsidR="008608CB" w14:paraId="5F1939D9" w14:textId="77777777" w:rsidTr="008608CB">
        <w:tc>
          <w:tcPr>
            <w:tcW w:w="4788" w:type="dxa"/>
          </w:tcPr>
          <w:p w14:paraId="5AECD5C2" w14:textId="0C4538DF" w:rsidR="008608CB" w:rsidRDefault="008608CB" w:rsidP="008608CB">
            <w:pPr>
              <w:rPr>
                <w:rFonts w:cs="Arial"/>
                <w:sz w:val="24"/>
              </w:rPr>
            </w:pPr>
            <w:r>
              <w:t>Чести</w:t>
            </w:r>
          </w:p>
        </w:tc>
        <w:tc>
          <w:tcPr>
            <w:tcW w:w="4788" w:type="dxa"/>
          </w:tcPr>
          <w:p w14:paraId="4AD16B96" w14:textId="56A38DA4" w:rsidR="008608CB" w:rsidRDefault="008608CB" w:rsidP="008608CB">
            <w:pPr>
              <w:rPr>
                <w:rFonts w:cs="Arial"/>
                <w:sz w:val="24"/>
              </w:rPr>
            </w:pPr>
            <w:r>
              <w:t>безсъние</w:t>
            </w:r>
          </w:p>
        </w:tc>
      </w:tr>
      <w:tr w:rsidR="008608CB" w14:paraId="4BC3E5E7" w14:textId="77777777" w:rsidTr="008608CB">
        <w:tc>
          <w:tcPr>
            <w:tcW w:w="9576" w:type="dxa"/>
            <w:gridSpan w:val="2"/>
          </w:tcPr>
          <w:p w14:paraId="0ADC981A" w14:textId="02823A7B" w:rsidR="008608CB" w:rsidRPr="008608CB" w:rsidRDefault="008608CB" w:rsidP="008608CB">
            <w:pPr>
              <w:rPr>
                <w:rFonts w:cs="Arial"/>
                <w:b/>
                <w:sz w:val="24"/>
              </w:rPr>
            </w:pPr>
            <w:r w:rsidRPr="008608CB">
              <w:rPr>
                <w:b/>
                <w:lang w:eastAsia="bg-BG"/>
              </w:rPr>
              <w:t>Нарушения на нервната система</w:t>
            </w:r>
          </w:p>
        </w:tc>
      </w:tr>
      <w:tr w:rsidR="008608CB" w14:paraId="2A3468FC" w14:textId="77777777" w:rsidTr="008608CB">
        <w:tc>
          <w:tcPr>
            <w:tcW w:w="4788" w:type="dxa"/>
          </w:tcPr>
          <w:p w14:paraId="35579B32" w14:textId="3D01C1E9" w:rsidR="008608CB" w:rsidRDefault="008608CB" w:rsidP="008608CB">
            <w:pPr>
              <w:rPr>
                <w:rFonts w:cs="Arial"/>
                <w:sz w:val="24"/>
              </w:rPr>
            </w:pPr>
            <w:r>
              <w:t>Чести</w:t>
            </w:r>
          </w:p>
        </w:tc>
        <w:tc>
          <w:tcPr>
            <w:tcW w:w="4788" w:type="dxa"/>
          </w:tcPr>
          <w:p w14:paraId="7CE9A38E" w14:textId="0778D1FA" w:rsidR="008608CB" w:rsidRDefault="008608CB" w:rsidP="008608CB">
            <w:pPr>
              <w:rPr>
                <w:rFonts w:cs="Arial"/>
                <w:sz w:val="24"/>
              </w:rPr>
            </w:pPr>
            <w:r>
              <w:t>световъртеж, синкоп, главоболие</w:t>
            </w:r>
          </w:p>
        </w:tc>
      </w:tr>
      <w:tr w:rsidR="008608CB" w14:paraId="65005A8A" w14:textId="77777777" w:rsidTr="008608CB">
        <w:tc>
          <w:tcPr>
            <w:tcW w:w="4788" w:type="dxa"/>
          </w:tcPr>
          <w:p w14:paraId="37AC62B0" w14:textId="411C1E7D" w:rsidR="008608CB" w:rsidRDefault="008608CB" w:rsidP="008608CB">
            <w:pPr>
              <w:rPr>
                <w:rFonts w:cs="Arial"/>
                <w:sz w:val="24"/>
              </w:rPr>
            </w:pPr>
            <w:r>
              <w:t>Нечести</w:t>
            </w:r>
          </w:p>
        </w:tc>
        <w:tc>
          <w:tcPr>
            <w:tcW w:w="4788" w:type="dxa"/>
          </w:tcPr>
          <w:p w14:paraId="6B52DD4A" w14:textId="6ECA83DD" w:rsidR="008608CB" w:rsidRDefault="008608CB" w:rsidP="008608CB">
            <w:pPr>
              <w:rPr>
                <w:rFonts w:cs="Arial"/>
                <w:sz w:val="24"/>
              </w:rPr>
            </w:pPr>
            <w:r>
              <w:t>хипоестезия</w:t>
            </w:r>
          </w:p>
        </w:tc>
      </w:tr>
      <w:tr w:rsidR="008608CB" w14:paraId="4E9986EA" w14:textId="77777777" w:rsidTr="008608CB">
        <w:tc>
          <w:tcPr>
            <w:tcW w:w="9576" w:type="dxa"/>
            <w:gridSpan w:val="2"/>
          </w:tcPr>
          <w:p w14:paraId="2822801C" w14:textId="14B03042" w:rsidR="008608CB" w:rsidRPr="008608CB" w:rsidRDefault="008608CB" w:rsidP="008608CB">
            <w:pPr>
              <w:rPr>
                <w:rFonts w:cs="Arial"/>
                <w:b/>
                <w:sz w:val="24"/>
              </w:rPr>
            </w:pPr>
            <w:r w:rsidRPr="008608CB">
              <w:rPr>
                <w:b/>
                <w:lang w:eastAsia="bg-BG"/>
              </w:rPr>
              <w:t>Сърдечни нарушения</w:t>
            </w:r>
          </w:p>
        </w:tc>
      </w:tr>
      <w:tr w:rsidR="008608CB" w14:paraId="7EC301F1" w14:textId="77777777" w:rsidTr="008608CB">
        <w:tc>
          <w:tcPr>
            <w:tcW w:w="4788" w:type="dxa"/>
          </w:tcPr>
          <w:p w14:paraId="72D9A98E" w14:textId="5E04FCA3" w:rsidR="008608CB" w:rsidRDefault="008608CB" w:rsidP="008608CB">
            <w:pPr>
              <w:rPr>
                <w:rFonts w:cs="Arial"/>
                <w:sz w:val="24"/>
              </w:rPr>
            </w:pPr>
            <w:r>
              <w:t>Чести</w:t>
            </w:r>
          </w:p>
        </w:tc>
        <w:tc>
          <w:tcPr>
            <w:tcW w:w="4788" w:type="dxa"/>
            <w:vAlign w:val="bottom"/>
          </w:tcPr>
          <w:p w14:paraId="234A91AB" w14:textId="005CD0A9" w:rsidR="008608CB" w:rsidRDefault="008608CB" w:rsidP="008608CB">
            <w:pPr>
              <w:rPr>
                <w:rFonts w:cs="Arial"/>
                <w:sz w:val="24"/>
              </w:rPr>
            </w:pPr>
            <w:r>
              <w:t>левокамерна сърдечна недостатъчност, предсърдно мъждене</w:t>
            </w:r>
          </w:p>
        </w:tc>
      </w:tr>
      <w:tr w:rsidR="008608CB" w14:paraId="0DEC6A3E" w14:textId="77777777" w:rsidTr="008608CB">
        <w:tc>
          <w:tcPr>
            <w:tcW w:w="4788" w:type="dxa"/>
          </w:tcPr>
          <w:p w14:paraId="1A2E7CEE" w14:textId="03BD95E6" w:rsidR="008608CB" w:rsidRDefault="008608CB" w:rsidP="008608CB">
            <w:pPr>
              <w:rPr>
                <w:rFonts w:cs="Arial"/>
                <w:sz w:val="24"/>
              </w:rPr>
            </w:pPr>
            <w:r>
              <w:t>Нечести</w:t>
            </w:r>
          </w:p>
        </w:tc>
        <w:tc>
          <w:tcPr>
            <w:tcW w:w="4788" w:type="dxa"/>
          </w:tcPr>
          <w:p w14:paraId="047B6C0A" w14:textId="1B2C5C5E" w:rsidR="008608CB" w:rsidRDefault="008608CB" w:rsidP="008608CB">
            <w:pPr>
              <w:rPr>
                <w:rFonts w:cs="Arial"/>
                <w:sz w:val="24"/>
              </w:rPr>
            </w:pPr>
            <w:r>
              <w:t>тахикардия</w:t>
            </w:r>
          </w:p>
        </w:tc>
      </w:tr>
      <w:tr w:rsidR="008608CB" w14:paraId="604CE9F7" w14:textId="77777777" w:rsidTr="008608CB">
        <w:tc>
          <w:tcPr>
            <w:tcW w:w="9576" w:type="dxa"/>
            <w:gridSpan w:val="2"/>
          </w:tcPr>
          <w:p w14:paraId="448292F7" w14:textId="230DEC2F" w:rsidR="008608CB" w:rsidRPr="008608CB" w:rsidRDefault="008608CB" w:rsidP="008608CB">
            <w:pPr>
              <w:rPr>
                <w:rFonts w:cs="Arial"/>
                <w:b/>
                <w:sz w:val="24"/>
              </w:rPr>
            </w:pPr>
            <w:r w:rsidRPr="008608CB">
              <w:rPr>
                <w:b/>
                <w:lang w:eastAsia="bg-BG"/>
              </w:rPr>
              <w:t>Съдови нарушения</w:t>
            </w:r>
          </w:p>
        </w:tc>
      </w:tr>
      <w:tr w:rsidR="008608CB" w14:paraId="6B77D7F1" w14:textId="77777777" w:rsidTr="008608CB">
        <w:tc>
          <w:tcPr>
            <w:tcW w:w="4788" w:type="dxa"/>
          </w:tcPr>
          <w:p w14:paraId="01B89994" w14:textId="6CFF4899" w:rsidR="008608CB" w:rsidRPr="008608CB" w:rsidRDefault="008608CB" w:rsidP="008608CB">
            <w:pPr>
              <w:rPr>
                <w:rFonts w:cs="Arial"/>
              </w:rPr>
            </w:pPr>
            <w:r w:rsidRPr="008608CB">
              <w:t>Чести</w:t>
            </w:r>
          </w:p>
        </w:tc>
        <w:tc>
          <w:tcPr>
            <w:tcW w:w="4788" w:type="dxa"/>
          </w:tcPr>
          <w:p w14:paraId="21E86503" w14:textId="4A1AA9E0" w:rsidR="008608CB" w:rsidRPr="008608CB" w:rsidRDefault="008608CB" w:rsidP="008608CB">
            <w:pPr>
              <w:rPr>
                <w:rFonts w:cs="Arial"/>
              </w:rPr>
            </w:pPr>
            <w:r>
              <w:t>хипотония</w:t>
            </w:r>
          </w:p>
        </w:tc>
      </w:tr>
      <w:tr w:rsidR="008608CB" w14:paraId="576506B2" w14:textId="77777777" w:rsidTr="008608CB">
        <w:tc>
          <w:tcPr>
            <w:tcW w:w="4788" w:type="dxa"/>
          </w:tcPr>
          <w:p w14:paraId="6FA41DB4" w14:textId="0DB077CB" w:rsidR="008608CB" w:rsidRPr="008608CB" w:rsidRDefault="008608CB" w:rsidP="008608CB">
            <w:pPr>
              <w:rPr>
                <w:rFonts w:cs="Arial"/>
              </w:rPr>
            </w:pPr>
            <w:r w:rsidRPr="008608CB">
              <w:t>Нечести</w:t>
            </w:r>
          </w:p>
        </w:tc>
        <w:tc>
          <w:tcPr>
            <w:tcW w:w="4788" w:type="dxa"/>
          </w:tcPr>
          <w:p w14:paraId="061464A0" w14:textId="45F050B5" w:rsidR="008608CB" w:rsidRPr="008608CB" w:rsidRDefault="008608CB" w:rsidP="008608CB">
            <w:pPr>
              <w:rPr>
                <w:rFonts w:cs="Arial"/>
              </w:rPr>
            </w:pPr>
            <w:r w:rsidRPr="008608CB">
              <w:t>артериална тромбоза на крайник, ортостатична хипотония</w:t>
            </w:r>
          </w:p>
        </w:tc>
      </w:tr>
      <w:tr w:rsidR="008608CB" w14:paraId="5E99E165" w14:textId="77777777" w:rsidTr="008608CB">
        <w:tc>
          <w:tcPr>
            <w:tcW w:w="9576" w:type="dxa"/>
            <w:gridSpan w:val="2"/>
          </w:tcPr>
          <w:p w14:paraId="04EBA15B" w14:textId="0A54C534" w:rsidR="008608CB" w:rsidRPr="008608CB" w:rsidRDefault="008608CB" w:rsidP="008608CB">
            <w:pPr>
              <w:rPr>
                <w:rFonts w:cs="Arial"/>
                <w:b/>
                <w:sz w:val="24"/>
              </w:rPr>
            </w:pPr>
            <w:r w:rsidRPr="008608CB">
              <w:rPr>
                <w:b/>
              </w:rPr>
              <w:t>Респираторни, гръдни н медиастиналнн нарушения</w:t>
            </w:r>
          </w:p>
        </w:tc>
      </w:tr>
      <w:tr w:rsidR="008608CB" w14:paraId="04825ACB" w14:textId="77777777" w:rsidTr="008608CB">
        <w:tc>
          <w:tcPr>
            <w:tcW w:w="4788" w:type="dxa"/>
          </w:tcPr>
          <w:p w14:paraId="5068C884" w14:textId="3BDF1CCF" w:rsidR="008608CB" w:rsidRDefault="008608CB" w:rsidP="008608CB">
            <w:pPr>
              <w:rPr>
                <w:rFonts w:cs="Arial"/>
                <w:sz w:val="24"/>
              </w:rPr>
            </w:pPr>
            <w:r>
              <w:t>Чести</w:t>
            </w:r>
          </w:p>
        </w:tc>
        <w:tc>
          <w:tcPr>
            <w:tcW w:w="4788" w:type="dxa"/>
          </w:tcPr>
          <w:p w14:paraId="5EE14E36" w14:textId="7960F42F" w:rsidR="008608CB" w:rsidRDefault="008608CB" w:rsidP="008608CB">
            <w:pPr>
              <w:rPr>
                <w:rFonts w:cs="Arial"/>
                <w:sz w:val="24"/>
              </w:rPr>
            </w:pPr>
            <w:r>
              <w:t>кашлица</w:t>
            </w:r>
          </w:p>
        </w:tc>
      </w:tr>
      <w:tr w:rsidR="008608CB" w14:paraId="68E3DD32" w14:textId="77777777" w:rsidTr="008608CB">
        <w:tc>
          <w:tcPr>
            <w:tcW w:w="9576" w:type="dxa"/>
            <w:gridSpan w:val="2"/>
          </w:tcPr>
          <w:p w14:paraId="4B21C087" w14:textId="1F9EF9F3" w:rsidR="008608CB" w:rsidRPr="008608CB" w:rsidRDefault="008608CB" w:rsidP="008608CB">
            <w:pPr>
              <w:rPr>
                <w:rFonts w:cs="Arial"/>
                <w:b/>
                <w:sz w:val="24"/>
              </w:rPr>
            </w:pPr>
            <w:r w:rsidRPr="008608CB">
              <w:rPr>
                <w:b/>
                <w:lang w:eastAsia="bg-BG"/>
              </w:rPr>
              <w:t>Стомашно-чревни нарушения</w:t>
            </w:r>
          </w:p>
        </w:tc>
      </w:tr>
      <w:tr w:rsidR="008608CB" w14:paraId="5D4DBA85" w14:textId="77777777" w:rsidTr="008608CB">
        <w:tc>
          <w:tcPr>
            <w:tcW w:w="4788" w:type="dxa"/>
          </w:tcPr>
          <w:p w14:paraId="08A9C56C" w14:textId="01A24D38" w:rsidR="008608CB" w:rsidRDefault="008608CB" w:rsidP="008608CB">
            <w:pPr>
              <w:rPr>
                <w:rFonts w:cs="Arial"/>
                <w:sz w:val="24"/>
              </w:rPr>
            </w:pPr>
            <w:r>
              <w:t>Чести</w:t>
            </w:r>
          </w:p>
        </w:tc>
        <w:tc>
          <w:tcPr>
            <w:tcW w:w="4788" w:type="dxa"/>
          </w:tcPr>
          <w:p w14:paraId="7407762E" w14:textId="4A790CB3" w:rsidR="008608CB" w:rsidRDefault="008608CB" w:rsidP="008608CB">
            <w:pPr>
              <w:rPr>
                <w:rFonts w:cs="Arial"/>
                <w:sz w:val="24"/>
              </w:rPr>
            </w:pPr>
            <w:r>
              <w:t>диария, гадене, запек, повръщане</w:t>
            </w:r>
          </w:p>
        </w:tc>
      </w:tr>
      <w:tr w:rsidR="008608CB" w14:paraId="04BA2D5B" w14:textId="77777777" w:rsidTr="008608CB">
        <w:tc>
          <w:tcPr>
            <w:tcW w:w="4788" w:type="dxa"/>
          </w:tcPr>
          <w:p w14:paraId="09F96B3E" w14:textId="20E90114" w:rsidR="008608CB" w:rsidRDefault="008608CB" w:rsidP="008608CB">
            <w:pPr>
              <w:rPr>
                <w:rFonts w:cs="Arial"/>
                <w:sz w:val="24"/>
              </w:rPr>
            </w:pPr>
            <w:r>
              <w:t>Нечести</w:t>
            </w:r>
          </w:p>
        </w:tc>
        <w:tc>
          <w:tcPr>
            <w:tcW w:w="4788" w:type="dxa"/>
          </w:tcPr>
          <w:p w14:paraId="4093E4B8" w14:textId="25DB173C" w:rsidR="008608CB" w:rsidRDefault="008608CB" w:rsidP="008608CB">
            <w:pPr>
              <w:rPr>
                <w:rFonts w:cs="Arial"/>
                <w:sz w:val="24"/>
              </w:rPr>
            </w:pPr>
            <w:r>
              <w:t>флатуленция</w:t>
            </w:r>
          </w:p>
        </w:tc>
      </w:tr>
      <w:tr w:rsidR="008608CB" w14:paraId="21AD62C8" w14:textId="77777777" w:rsidTr="008608CB">
        <w:tc>
          <w:tcPr>
            <w:tcW w:w="9576" w:type="dxa"/>
            <w:gridSpan w:val="2"/>
          </w:tcPr>
          <w:p w14:paraId="186CD17D" w14:textId="1DA4F754" w:rsidR="008608CB" w:rsidRPr="008608CB" w:rsidRDefault="008608CB" w:rsidP="008608CB">
            <w:pPr>
              <w:rPr>
                <w:rFonts w:cs="Arial"/>
                <w:b/>
                <w:sz w:val="24"/>
              </w:rPr>
            </w:pPr>
            <w:r w:rsidRPr="008608CB">
              <w:rPr>
                <w:b/>
              </w:rPr>
              <w:t>Нарушения на кожата и подкожната тъкан</w:t>
            </w:r>
          </w:p>
        </w:tc>
      </w:tr>
      <w:tr w:rsidR="008608CB" w14:paraId="7DDF31AF" w14:textId="77777777" w:rsidTr="008608CB">
        <w:tc>
          <w:tcPr>
            <w:tcW w:w="4788" w:type="dxa"/>
          </w:tcPr>
          <w:p w14:paraId="13B3593E" w14:textId="2119F5C0" w:rsidR="008608CB" w:rsidRDefault="008608CB" w:rsidP="008608CB">
            <w:pPr>
              <w:rPr>
                <w:rFonts w:cs="Arial"/>
                <w:sz w:val="24"/>
              </w:rPr>
            </w:pPr>
            <w:r>
              <w:t>Чести</w:t>
            </w:r>
          </w:p>
        </w:tc>
        <w:tc>
          <w:tcPr>
            <w:tcW w:w="4788" w:type="dxa"/>
          </w:tcPr>
          <w:p w14:paraId="6273570B" w14:textId="7BF59D10" w:rsidR="008608CB" w:rsidRDefault="008608CB" w:rsidP="008608CB">
            <w:pPr>
              <w:rPr>
                <w:rFonts w:cs="Arial"/>
                <w:sz w:val="24"/>
              </w:rPr>
            </w:pPr>
            <w:r>
              <w:t>обрив, пруритус</w:t>
            </w:r>
          </w:p>
        </w:tc>
      </w:tr>
      <w:tr w:rsidR="008608CB" w14:paraId="2CD05F92" w14:textId="77777777" w:rsidTr="008608CB">
        <w:tc>
          <w:tcPr>
            <w:tcW w:w="4788" w:type="dxa"/>
          </w:tcPr>
          <w:p w14:paraId="76820DF7" w14:textId="1897789C" w:rsidR="008608CB" w:rsidRDefault="008608CB" w:rsidP="008608CB">
            <w:pPr>
              <w:rPr>
                <w:rFonts w:cs="Arial"/>
                <w:sz w:val="24"/>
              </w:rPr>
            </w:pPr>
            <w:r>
              <w:t>Нечести</w:t>
            </w:r>
          </w:p>
        </w:tc>
        <w:tc>
          <w:tcPr>
            <w:tcW w:w="4788" w:type="dxa"/>
          </w:tcPr>
          <w:p w14:paraId="765EC59F" w14:textId="05FAADA6" w:rsidR="008608CB" w:rsidRDefault="008608CB" w:rsidP="008608CB">
            <w:pPr>
              <w:rPr>
                <w:rFonts w:cs="Arial"/>
                <w:sz w:val="24"/>
              </w:rPr>
            </w:pPr>
            <w:r>
              <w:t>хиперхидроза, ангиоедем</w:t>
            </w:r>
          </w:p>
        </w:tc>
      </w:tr>
      <w:tr w:rsidR="008608CB" w14:paraId="518507B7" w14:textId="77777777" w:rsidTr="008608CB">
        <w:tc>
          <w:tcPr>
            <w:tcW w:w="9576" w:type="dxa"/>
            <w:gridSpan w:val="2"/>
          </w:tcPr>
          <w:p w14:paraId="037C458E" w14:textId="27054FED" w:rsidR="008608CB" w:rsidRPr="008608CB" w:rsidRDefault="008608CB" w:rsidP="008608CB">
            <w:pPr>
              <w:rPr>
                <w:rFonts w:cs="Arial"/>
                <w:b/>
                <w:sz w:val="24"/>
              </w:rPr>
            </w:pPr>
            <w:r w:rsidRPr="008608CB">
              <w:rPr>
                <w:b/>
                <w:lang w:eastAsia="bg-BG"/>
              </w:rPr>
              <w:t>Нарушения на мускулно-скелетната система и съединителната тъкан</w:t>
            </w:r>
          </w:p>
        </w:tc>
      </w:tr>
      <w:tr w:rsidR="008608CB" w14:paraId="5118CC3A" w14:textId="77777777" w:rsidTr="008608CB">
        <w:tc>
          <w:tcPr>
            <w:tcW w:w="4788" w:type="dxa"/>
          </w:tcPr>
          <w:p w14:paraId="7785DAFB" w14:textId="4325B580" w:rsidR="008608CB" w:rsidRDefault="008608CB" w:rsidP="008608CB">
            <w:pPr>
              <w:rPr>
                <w:rFonts w:cs="Arial"/>
                <w:sz w:val="24"/>
              </w:rPr>
            </w:pPr>
            <w:r>
              <w:t>Чести</w:t>
            </w:r>
          </w:p>
        </w:tc>
        <w:tc>
          <w:tcPr>
            <w:tcW w:w="4788" w:type="dxa"/>
          </w:tcPr>
          <w:p w14:paraId="652ED7C7" w14:textId="18B0C79F" w:rsidR="008608CB" w:rsidRDefault="008608CB" w:rsidP="008608CB">
            <w:pPr>
              <w:rPr>
                <w:rFonts w:cs="Arial"/>
                <w:sz w:val="24"/>
              </w:rPr>
            </w:pPr>
            <w:r>
              <w:t>мускулни спазми, болки в гърба</w:t>
            </w:r>
          </w:p>
        </w:tc>
      </w:tr>
      <w:tr w:rsidR="008608CB" w14:paraId="6086FD0D" w14:textId="77777777" w:rsidTr="008608CB">
        <w:tc>
          <w:tcPr>
            <w:tcW w:w="4788" w:type="dxa"/>
          </w:tcPr>
          <w:p w14:paraId="3F5FAC3B" w14:textId="50E6D0E3" w:rsidR="008608CB" w:rsidRDefault="008608CB" w:rsidP="008608CB">
            <w:pPr>
              <w:rPr>
                <w:rFonts w:cs="Arial"/>
                <w:sz w:val="24"/>
              </w:rPr>
            </w:pPr>
            <w:r>
              <w:t>Нечести</w:t>
            </w:r>
          </w:p>
        </w:tc>
        <w:tc>
          <w:tcPr>
            <w:tcW w:w="4788" w:type="dxa"/>
          </w:tcPr>
          <w:p w14:paraId="545F2122" w14:textId="41E88229" w:rsidR="008608CB" w:rsidRDefault="008608CB" w:rsidP="008608CB">
            <w:pPr>
              <w:rPr>
                <w:rFonts w:cs="Arial"/>
                <w:sz w:val="24"/>
              </w:rPr>
            </w:pPr>
            <w:r>
              <w:t>мускулно-скелетна болка</w:t>
            </w:r>
          </w:p>
        </w:tc>
      </w:tr>
      <w:tr w:rsidR="008608CB" w14:paraId="77372511" w14:textId="77777777" w:rsidTr="008608CB">
        <w:tc>
          <w:tcPr>
            <w:tcW w:w="9576" w:type="dxa"/>
            <w:gridSpan w:val="2"/>
          </w:tcPr>
          <w:p w14:paraId="59CF0D1E" w14:textId="00C61619" w:rsidR="008608CB" w:rsidRPr="008608CB" w:rsidRDefault="008608CB" w:rsidP="008608CB">
            <w:pPr>
              <w:rPr>
                <w:rFonts w:cs="Arial"/>
                <w:b/>
                <w:sz w:val="24"/>
              </w:rPr>
            </w:pPr>
            <w:r w:rsidRPr="008608CB">
              <w:rPr>
                <w:b/>
                <w:lang w:eastAsia="bg-BG"/>
              </w:rPr>
              <w:t>Нарушения на бъбреците и пикочните пътища</w:t>
            </w:r>
          </w:p>
        </w:tc>
      </w:tr>
      <w:tr w:rsidR="008608CB" w14:paraId="7DCC109A" w14:textId="77777777" w:rsidTr="008608CB">
        <w:tc>
          <w:tcPr>
            <w:tcW w:w="4788" w:type="dxa"/>
          </w:tcPr>
          <w:p w14:paraId="1995EFF8" w14:textId="008BDA30" w:rsidR="008608CB" w:rsidRDefault="008608CB" w:rsidP="008608CB">
            <w:pPr>
              <w:rPr>
                <w:rFonts w:cs="Arial"/>
                <w:sz w:val="24"/>
              </w:rPr>
            </w:pPr>
            <w:r>
              <w:t>Чести</w:t>
            </w:r>
          </w:p>
        </w:tc>
        <w:tc>
          <w:tcPr>
            <w:tcW w:w="4788" w:type="dxa"/>
          </w:tcPr>
          <w:p w14:paraId="2823BB10" w14:textId="103E1E56" w:rsidR="008608CB" w:rsidRDefault="008608CB" w:rsidP="008608CB">
            <w:pPr>
              <w:rPr>
                <w:rFonts w:cs="Arial"/>
                <w:sz w:val="24"/>
              </w:rPr>
            </w:pPr>
            <w:r>
              <w:t>бъбречно увреждане (вж.точки 4.4 и 4.5)</w:t>
            </w:r>
          </w:p>
        </w:tc>
      </w:tr>
      <w:tr w:rsidR="008608CB" w14:paraId="6CBADB6C" w14:textId="77777777" w:rsidTr="008608CB">
        <w:tc>
          <w:tcPr>
            <w:tcW w:w="9576" w:type="dxa"/>
            <w:gridSpan w:val="2"/>
          </w:tcPr>
          <w:p w14:paraId="2EE39AEA" w14:textId="303C716A" w:rsidR="008608CB" w:rsidRPr="008608CB" w:rsidRDefault="008608CB" w:rsidP="008608CB">
            <w:pPr>
              <w:rPr>
                <w:rFonts w:cs="Arial"/>
                <w:b/>
                <w:sz w:val="24"/>
              </w:rPr>
            </w:pPr>
            <w:r w:rsidRPr="008608CB">
              <w:rPr>
                <w:b/>
                <w:lang w:eastAsia="bg-BG"/>
              </w:rPr>
              <w:t>Хепатобилиарни нарушения</w:t>
            </w:r>
          </w:p>
        </w:tc>
      </w:tr>
      <w:tr w:rsidR="008608CB" w14:paraId="6690FFDB" w14:textId="77777777" w:rsidTr="008608CB">
        <w:tc>
          <w:tcPr>
            <w:tcW w:w="4788" w:type="dxa"/>
          </w:tcPr>
          <w:p w14:paraId="5780A4F6" w14:textId="52623D47" w:rsidR="008608CB" w:rsidRDefault="008608CB" w:rsidP="008608CB">
            <w:pPr>
              <w:rPr>
                <w:rFonts w:cs="Arial"/>
                <w:sz w:val="24"/>
              </w:rPr>
            </w:pPr>
            <w:r>
              <w:t>Нечести</w:t>
            </w:r>
          </w:p>
        </w:tc>
        <w:tc>
          <w:tcPr>
            <w:tcW w:w="4788" w:type="dxa"/>
          </w:tcPr>
          <w:p w14:paraId="7D454C67" w14:textId="1DD5BDCA" w:rsidR="008608CB" w:rsidRDefault="008608CB" w:rsidP="008608CB">
            <w:pPr>
              <w:rPr>
                <w:rFonts w:cs="Arial"/>
                <w:sz w:val="24"/>
              </w:rPr>
            </w:pPr>
            <w:r>
              <w:t>холецистит</w:t>
            </w:r>
          </w:p>
        </w:tc>
      </w:tr>
      <w:tr w:rsidR="008608CB" w14:paraId="06E351A8" w14:textId="77777777" w:rsidTr="008608CB">
        <w:tc>
          <w:tcPr>
            <w:tcW w:w="9576" w:type="dxa"/>
            <w:gridSpan w:val="2"/>
          </w:tcPr>
          <w:p w14:paraId="18C2DEA0" w14:textId="707FC9C6" w:rsidR="008608CB" w:rsidRPr="008608CB" w:rsidRDefault="008608CB" w:rsidP="008608CB">
            <w:pPr>
              <w:rPr>
                <w:rFonts w:cs="Arial"/>
                <w:b/>
                <w:sz w:val="24"/>
              </w:rPr>
            </w:pPr>
            <w:r w:rsidRPr="008608CB">
              <w:rPr>
                <w:b/>
                <w:lang w:eastAsia="bg-BG"/>
              </w:rPr>
              <w:t>Нарушения на възпроизводителната система и гърдата</w:t>
            </w:r>
          </w:p>
        </w:tc>
      </w:tr>
      <w:tr w:rsidR="008608CB" w14:paraId="5C1C0856" w14:textId="77777777" w:rsidTr="008608CB">
        <w:tc>
          <w:tcPr>
            <w:tcW w:w="4788" w:type="dxa"/>
          </w:tcPr>
          <w:p w14:paraId="59C04FFA" w14:textId="70C79BD5" w:rsidR="008608CB" w:rsidRDefault="008608CB" w:rsidP="008608CB">
            <w:pPr>
              <w:rPr>
                <w:rFonts w:cs="Arial"/>
                <w:sz w:val="24"/>
              </w:rPr>
            </w:pPr>
            <w:r>
              <w:t>Нечести</w:t>
            </w:r>
          </w:p>
        </w:tc>
        <w:tc>
          <w:tcPr>
            <w:tcW w:w="4788" w:type="dxa"/>
          </w:tcPr>
          <w:p w14:paraId="41C921A2" w14:textId="34B21D5C" w:rsidR="008608CB" w:rsidRDefault="008608CB" w:rsidP="008608CB">
            <w:pPr>
              <w:rPr>
                <w:rFonts w:cs="Arial"/>
                <w:sz w:val="24"/>
              </w:rPr>
            </w:pPr>
            <w:r>
              <w:t>гинекомастия</w:t>
            </w:r>
          </w:p>
        </w:tc>
      </w:tr>
      <w:tr w:rsidR="008608CB" w14:paraId="32D9CE45" w14:textId="77777777" w:rsidTr="008608CB">
        <w:tc>
          <w:tcPr>
            <w:tcW w:w="9576" w:type="dxa"/>
            <w:gridSpan w:val="2"/>
          </w:tcPr>
          <w:p w14:paraId="417EA702" w14:textId="1D8B2245" w:rsidR="008608CB" w:rsidRPr="008608CB" w:rsidRDefault="008608CB" w:rsidP="008608CB">
            <w:pPr>
              <w:rPr>
                <w:rFonts w:cs="Arial"/>
                <w:b/>
                <w:sz w:val="24"/>
              </w:rPr>
            </w:pPr>
            <w:r w:rsidRPr="008608CB">
              <w:rPr>
                <w:b/>
                <w:lang w:eastAsia="bg-BG"/>
              </w:rPr>
              <w:t>Общи нарушения и ефекти на мястото на приложение</w:t>
            </w:r>
          </w:p>
        </w:tc>
      </w:tr>
      <w:tr w:rsidR="008608CB" w14:paraId="758CD282" w14:textId="77777777" w:rsidTr="008608CB">
        <w:tc>
          <w:tcPr>
            <w:tcW w:w="4788" w:type="dxa"/>
          </w:tcPr>
          <w:p w14:paraId="68CAFF09" w14:textId="5A9F40C8" w:rsidR="008608CB" w:rsidRDefault="008608CB" w:rsidP="008608CB">
            <w:pPr>
              <w:rPr>
                <w:rFonts w:cs="Arial"/>
                <w:sz w:val="24"/>
              </w:rPr>
            </w:pPr>
            <w:r>
              <w:t>Чести</w:t>
            </w:r>
          </w:p>
        </w:tc>
        <w:tc>
          <w:tcPr>
            <w:tcW w:w="4788" w:type="dxa"/>
          </w:tcPr>
          <w:p w14:paraId="4EA6F188" w14:textId="2A8512A6" w:rsidR="008608CB" w:rsidRDefault="008608CB" w:rsidP="008608CB">
            <w:pPr>
              <w:rPr>
                <w:rFonts w:cs="Arial"/>
                <w:sz w:val="24"/>
              </w:rPr>
            </w:pPr>
            <w:r>
              <w:t>астения</w:t>
            </w:r>
          </w:p>
        </w:tc>
      </w:tr>
      <w:tr w:rsidR="008608CB" w14:paraId="6225287B" w14:textId="77777777" w:rsidTr="008608CB">
        <w:tc>
          <w:tcPr>
            <w:tcW w:w="4788" w:type="dxa"/>
          </w:tcPr>
          <w:p w14:paraId="3674B8D8" w14:textId="4E29238D" w:rsidR="008608CB" w:rsidRDefault="008608CB" w:rsidP="008608CB">
            <w:pPr>
              <w:rPr>
                <w:rFonts w:cs="Arial"/>
                <w:sz w:val="24"/>
              </w:rPr>
            </w:pPr>
            <w:r>
              <w:t>Нечести</w:t>
            </w:r>
          </w:p>
        </w:tc>
        <w:tc>
          <w:tcPr>
            <w:tcW w:w="4788" w:type="dxa"/>
          </w:tcPr>
          <w:p w14:paraId="36E3F46F" w14:textId="1B45A95F" w:rsidR="008608CB" w:rsidRDefault="008608CB" w:rsidP="008608CB">
            <w:pPr>
              <w:rPr>
                <w:rFonts w:cs="Arial"/>
                <w:sz w:val="24"/>
              </w:rPr>
            </w:pPr>
            <w:r>
              <w:t>неразположение</w:t>
            </w:r>
          </w:p>
        </w:tc>
      </w:tr>
      <w:tr w:rsidR="008608CB" w14:paraId="2ABC72EE" w14:textId="77777777" w:rsidTr="008608CB">
        <w:tc>
          <w:tcPr>
            <w:tcW w:w="9576" w:type="dxa"/>
            <w:gridSpan w:val="2"/>
          </w:tcPr>
          <w:p w14:paraId="6F97B9B6" w14:textId="188F6799" w:rsidR="008608CB" w:rsidRPr="008608CB" w:rsidRDefault="008608CB" w:rsidP="008608CB">
            <w:pPr>
              <w:rPr>
                <w:rFonts w:cs="Arial"/>
                <w:b/>
                <w:sz w:val="24"/>
              </w:rPr>
            </w:pPr>
            <w:r w:rsidRPr="008608CB">
              <w:rPr>
                <w:b/>
                <w:lang w:eastAsia="bg-BG"/>
              </w:rPr>
              <w:t>Изследвания</w:t>
            </w:r>
          </w:p>
        </w:tc>
      </w:tr>
      <w:tr w:rsidR="008608CB" w14:paraId="65AD0761" w14:textId="77777777" w:rsidTr="008608CB">
        <w:tc>
          <w:tcPr>
            <w:tcW w:w="4788" w:type="dxa"/>
          </w:tcPr>
          <w:p w14:paraId="1A91D906" w14:textId="7377688C" w:rsidR="008608CB" w:rsidRDefault="008608CB" w:rsidP="008608CB">
            <w:pPr>
              <w:rPr>
                <w:rFonts w:cs="Arial"/>
                <w:sz w:val="24"/>
              </w:rPr>
            </w:pPr>
            <w:r>
              <w:t>Чести</w:t>
            </w:r>
          </w:p>
        </w:tc>
        <w:tc>
          <w:tcPr>
            <w:tcW w:w="4788" w:type="dxa"/>
          </w:tcPr>
          <w:p w14:paraId="683F765F" w14:textId="46F2B619" w:rsidR="008608CB" w:rsidRDefault="008608CB" w:rsidP="008608CB">
            <w:pPr>
              <w:rPr>
                <w:rFonts w:cs="Arial"/>
                <w:sz w:val="24"/>
              </w:rPr>
            </w:pPr>
            <w:r>
              <w:t>повишена урея в кръвта, повишен креатинин в кръвта</w:t>
            </w:r>
          </w:p>
        </w:tc>
      </w:tr>
      <w:tr w:rsidR="008608CB" w14:paraId="5559E4DC" w14:textId="77777777" w:rsidTr="008608CB">
        <w:tc>
          <w:tcPr>
            <w:tcW w:w="4788" w:type="dxa"/>
          </w:tcPr>
          <w:p w14:paraId="3A011185" w14:textId="6840C501" w:rsidR="008608CB" w:rsidRDefault="008608CB" w:rsidP="008608CB">
            <w:pPr>
              <w:rPr>
                <w:rFonts w:cs="Arial"/>
                <w:sz w:val="24"/>
              </w:rPr>
            </w:pPr>
            <w:r>
              <w:t>Нечести</w:t>
            </w:r>
          </w:p>
        </w:tc>
        <w:tc>
          <w:tcPr>
            <w:tcW w:w="4788" w:type="dxa"/>
          </w:tcPr>
          <w:p w14:paraId="5609E9C4" w14:textId="17D2B519" w:rsidR="008608CB" w:rsidRDefault="008608CB" w:rsidP="008608CB">
            <w:pPr>
              <w:rPr>
                <w:rFonts w:cs="Arial"/>
                <w:sz w:val="24"/>
              </w:rPr>
            </w:pPr>
            <w:r>
              <w:t>Понижена активност на рецептора на епидермалния растежен фактор, повишена глюкоза в кръвта</w:t>
            </w:r>
          </w:p>
        </w:tc>
      </w:tr>
    </w:tbl>
    <w:p w14:paraId="784E89C7" w14:textId="097A2B9E" w:rsidR="008608CB" w:rsidRDefault="008608CB" w:rsidP="00AE1D6B">
      <w:pPr>
        <w:rPr>
          <w:rFonts w:cs="Arial"/>
          <w:sz w:val="24"/>
        </w:rPr>
      </w:pPr>
    </w:p>
    <w:p w14:paraId="1384CFE5"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 xml:space="preserve">В проучването </w:t>
      </w:r>
      <w:r w:rsidRPr="008608CB">
        <w:rPr>
          <w:rFonts w:eastAsia="Times New Roman" w:cs="Arial"/>
          <w:color w:val="000000"/>
          <w:lang w:val="en-US"/>
        </w:rPr>
        <w:t>EPHESUS</w:t>
      </w:r>
      <w:r w:rsidRPr="008608CB">
        <w:rPr>
          <w:rFonts w:eastAsia="Times New Roman" w:cs="Arial"/>
          <w:color w:val="000000"/>
          <w:lang w:val="ru-RU"/>
        </w:rPr>
        <w:t xml:space="preserve"> </w:t>
      </w:r>
      <w:r w:rsidRPr="008608CB">
        <w:rPr>
          <w:rFonts w:eastAsia="Times New Roman" w:cs="Arial"/>
          <w:color w:val="000000"/>
          <w:lang w:eastAsia="bg-BG"/>
        </w:rPr>
        <w:t xml:space="preserve">са били наблюдавани числено повече случаи на инсулт в групата пациенти в напреднала старческа възраст (&gt; 75 години). Разликата между честотата на инсулта в групата с еплеренон (30) и тази с плацебо (22) обаче не показва статистическа значимост. В </w:t>
      </w:r>
      <w:r w:rsidRPr="008608CB">
        <w:rPr>
          <w:rFonts w:eastAsia="Times New Roman" w:cs="Arial"/>
          <w:color w:val="000000"/>
          <w:lang w:val="en-US"/>
        </w:rPr>
        <w:t>EMPHAS</w:t>
      </w:r>
      <w:r w:rsidRPr="008608CB">
        <w:rPr>
          <w:rFonts w:eastAsia="Times New Roman" w:cs="Arial"/>
          <w:color w:val="000000"/>
          <w:lang w:val="ru-RU"/>
        </w:rPr>
        <w:t>1</w:t>
      </w:r>
      <w:r w:rsidRPr="008608CB">
        <w:rPr>
          <w:rFonts w:eastAsia="Times New Roman" w:cs="Arial"/>
          <w:color w:val="000000"/>
          <w:lang w:val="en-US"/>
        </w:rPr>
        <w:t>S</w:t>
      </w:r>
      <w:r w:rsidRPr="008608CB">
        <w:rPr>
          <w:rFonts w:eastAsia="Times New Roman" w:cs="Arial"/>
          <w:color w:val="000000"/>
          <w:lang w:val="ru-RU"/>
        </w:rPr>
        <w:t>-</w:t>
      </w:r>
      <w:r w:rsidRPr="008608CB">
        <w:rPr>
          <w:rFonts w:eastAsia="Times New Roman" w:cs="Arial"/>
          <w:color w:val="000000"/>
          <w:lang w:val="en-US"/>
        </w:rPr>
        <w:t>HF</w:t>
      </w:r>
      <w:r w:rsidRPr="008608CB">
        <w:rPr>
          <w:rFonts w:eastAsia="Times New Roman" w:cs="Arial"/>
          <w:color w:val="000000"/>
          <w:lang w:val="ru-RU"/>
        </w:rPr>
        <w:t xml:space="preserve"> </w:t>
      </w:r>
      <w:r w:rsidRPr="008608CB">
        <w:rPr>
          <w:rFonts w:eastAsia="Times New Roman" w:cs="Arial"/>
          <w:color w:val="000000"/>
          <w:lang w:eastAsia="bg-BG"/>
        </w:rPr>
        <w:t>броят на случаите с инсулт при пациентите в напреднала старческа възраст (&gt; 75 години) е бил 9 в групата с еплеренон и 8 в групата с плацебо.</w:t>
      </w:r>
    </w:p>
    <w:p w14:paraId="0AFB70C0" w14:textId="77777777" w:rsidR="008608CB" w:rsidRPr="008608CB" w:rsidRDefault="008608CB" w:rsidP="008608CB">
      <w:pPr>
        <w:spacing w:line="240" w:lineRule="auto"/>
        <w:rPr>
          <w:rFonts w:eastAsia="Times New Roman" w:cs="Arial"/>
          <w:b/>
          <w:bCs/>
          <w:color w:val="000000"/>
          <w:u w:val="single"/>
          <w:lang w:eastAsia="bg-BG"/>
        </w:rPr>
      </w:pPr>
      <w:bookmarkStart w:id="1" w:name="bookmark0"/>
    </w:p>
    <w:p w14:paraId="692837E4" w14:textId="57D7C05C" w:rsidR="008608CB" w:rsidRPr="008608CB" w:rsidRDefault="008608CB" w:rsidP="008608CB">
      <w:pPr>
        <w:spacing w:line="240" w:lineRule="auto"/>
        <w:rPr>
          <w:rFonts w:eastAsia="Times New Roman" w:cs="Arial"/>
        </w:rPr>
      </w:pPr>
      <w:r w:rsidRPr="008608CB">
        <w:rPr>
          <w:rFonts w:eastAsia="Times New Roman" w:cs="Arial"/>
          <w:b/>
          <w:bCs/>
          <w:color w:val="000000"/>
          <w:u w:val="single"/>
          <w:lang w:eastAsia="bg-BG"/>
        </w:rPr>
        <w:t>Съобщаване на подозирани нежелани реакции</w:t>
      </w:r>
      <w:bookmarkEnd w:id="1"/>
    </w:p>
    <w:p w14:paraId="46F50C68"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ул. „Дамян Груев” №</w:t>
      </w:r>
      <w:r w:rsidRPr="008608CB">
        <w:rPr>
          <w:rFonts w:eastAsia="Times New Roman" w:cs="Arial"/>
          <w:color w:val="000000"/>
          <w:lang w:val="en-US"/>
        </w:rPr>
        <w:t xml:space="preserve"> </w:t>
      </w:r>
      <w:r w:rsidRPr="008608CB">
        <w:rPr>
          <w:rFonts w:eastAsia="Times New Roman" w:cs="Arial"/>
          <w:color w:val="000000"/>
          <w:lang w:eastAsia="bg-BG"/>
        </w:rPr>
        <w:t>8 1303 София</w:t>
      </w:r>
    </w:p>
    <w:p w14:paraId="41E9BECF"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Тел.:+359 2 8903417</w:t>
      </w:r>
    </w:p>
    <w:p w14:paraId="70FEFFAE" w14:textId="018B4765" w:rsidR="008608CB" w:rsidRPr="008608CB" w:rsidRDefault="008608CB" w:rsidP="008608CB">
      <w:pPr>
        <w:spacing w:line="240" w:lineRule="auto"/>
        <w:rPr>
          <w:rFonts w:eastAsia="Times New Roman" w:cs="Arial"/>
        </w:rPr>
      </w:pPr>
      <w:r w:rsidRPr="008608CB">
        <w:rPr>
          <w:rFonts w:eastAsia="Times New Roman" w:cs="Arial"/>
          <w:color w:val="000000"/>
          <w:lang w:eastAsia="bg-BG"/>
        </w:rPr>
        <w:t xml:space="preserve">уебсайт: </w:t>
      </w:r>
      <w:hyperlink r:id="rId5" w:history="1">
        <w:r w:rsidRPr="008608CB">
          <w:rPr>
            <w:rFonts w:eastAsia="Times New Roman" w:cs="Arial"/>
            <w:color w:val="000000"/>
            <w:u w:val="single"/>
            <w:lang w:val="en-US"/>
          </w:rPr>
          <w:t>www.bda.bg</w:t>
        </w:r>
      </w:hyperlink>
    </w:p>
    <w:p w14:paraId="65E3EE80" w14:textId="137574CB" w:rsidR="008608CB" w:rsidRPr="008608CB" w:rsidRDefault="008608CB" w:rsidP="008608CB">
      <w:pPr>
        <w:rPr>
          <w:lang w:val="en-US"/>
        </w:rPr>
      </w:pPr>
    </w:p>
    <w:p w14:paraId="02081B24" w14:textId="1F46E296" w:rsidR="00395555" w:rsidRPr="00395555" w:rsidRDefault="002C50EE" w:rsidP="008A6AF2">
      <w:pPr>
        <w:pStyle w:val="Heading1"/>
      </w:pPr>
      <w:r>
        <w:t>5. ФАРМАКОЛОГИЧНИ СВОЙСТВА</w:t>
      </w:r>
    </w:p>
    <w:p w14:paraId="7DE36AC8" w14:textId="1C0E44B9" w:rsidR="00B6672E" w:rsidRDefault="002C50EE" w:rsidP="00936AD0">
      <w:pPr>
        <w:pStyle w:val="Heading2"/>
      </w:pPr>
      <w:r>
        <w:t>5.1. Фармакодинамични свойства</w:t>
      </w:r>
    </w:p>
    <w:p w14:paraId="6A6F30CA" w14:textId="46AFAF71" w:rsidR="008608CB" w:rsidRDefault="008608CB" w:rsidP="008608CB"/>
    <w:p w14:paraId="4847F3A8" w14:textId="7777777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Фармакотерапевтична група: антагонисти на алдостерона, АТС код: </w:t>
      </w:r>
      <w:r w:rsidRPr="00DC5616">
        <w:rPr>
          <w:rFonts w:eastAsia="Times New Roman" w:cs="Arial"/>
          <w:color w:val="000000"/>
          <w:szCs w:val="20"/>
          <w:lang w:val="en-US"/>
        </w:rPr>
        <w:t>C</w:t>
      </w:r>
      <w:r w:rsidRPr="00DC5616">
        <w:rPr>
          <w:rFonts w:eastAsia="Times New Roman" w:cs="Arial"/>
          <w:color w:val="000000"/>
          <w:szCs w:val="20"/>
          <w:lang w:val="ru-RU"/>
        </w:rPr>
        <w:t>03</w:t>
      </w:r>
      <w:r w:rsidRPr="00DC5616">
        <w:rPr>
          <w:rFonts w:eastAsia="Times New Roman" w:cs="Arial"/>
          <w:color w:val="000000"/>
          <w:szCs w:val="20"/>
          <w:lang w:val="en-US"/>
        </w:rPr>
        <w:t>DA</w:t>
      </w:r>
      <w:r w:rsidRPr="00DC5616">
        <w:rPr>
          <w:rFonts w:eastAsia="Times New Roman" w:cs="Arial"/>
          <w:color w:val="000000"/>
          <w:szCs w:val="20"/>
          <w:lang w:val="ru-RU"/>
        </w:rPr>
        <w:t>04</w:t>
      </w:r>
    </w:p>
    <w:p w14:paraId="50BBB0E4" w14:textId="77777777" w:rsidR="008608CB" w:rsidRPr="00DC5616" w:rsidRDefault="008608CB" w:rsidP="008608CB">
      <w:pPr>
        <w:spacing w:line="240" w:lineRule="auto"/>
        <w:rPr>
          <w:rFonts w:eastAsia="Times New Roman" w:cs="Arial"/>
          <w:color w:val="000000"/>
          <w:szCs w:val="20"/>
          <w:u w:val="single"/>
          <w:lang w:eastAsia="bg-BG"/>
        </w:rPr>
      </w:pPr>
    </w:p>
    <w:p w14:paraId="0B5B4183" w14:textId="6FE8CADF"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u w:val="single"/>
          <w:lang w:eastAsia="bg-BG"/>
        </w:rPr>
        <w:t>Механизъм на действие</w:t>
      </w:r>
    </w:p>
    <w:p w14:paraId="3ADDCD42" w14:textId="77777777" w:rsidR="008608CB" w:rsidRPr="00DC5616" w:rsidRDefault="008608CB" w:rsidP="008608CB">
      <w:pPr>
        <w:spacing w:line="240" w:lineRule="auto"/>
        <w:rPr>
          <w:rFonts w:eastAsia="Times New Roman" w:cs="Arial"/>
          <w:color w:val="000000"/>
          <w:szCs w:val="20"/>
          <w:lang w:eastAsia="bg-BG"/>
        </w:rPr>
      </w:pPr>
    </w:p>
    <w:p w14:paraId="46ECEB06" w14:textId="4B7DF99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Еплеренон има относителна селективност за свързване с рекомбинантните човешки минерал кортикоидни рецептори в сравнение с неговото свързване с рекомбинантните човешки глюкокортикоидни, прогестеронови и андрогенни рецептори. Еплеренон предотвратява свързването на алдостерон, ключов хормон от ренин-ангиотензин-алдостероновата система (РААС), която участва в регулацията на кръвното налягане и патофизиологията на сърдечно- съдовите заболявания.</w:t>
      </w:r>
    </w:p>
    <w:p w14:paraId="7C50995B" w14:textId="77777777" w:rsidR="008608CB" w:rsidRPr="00DC5616" w:rsidRDefault="008608CB" w:rsidP="008608CB">
      <w:pPr>
        <w:spacing w:line="240" w:lineRule="auto"/>
        <w:rPr>
          <w:rFonts w:eastAsia="Times New Roman" w:cs="Arial"/>
          <w:color w:val="000000"/>
          <w:szCs w:val="20"/>
          <w:u w:val="single"/>
          <w:lang w:eastAsia="bg-BG"/>
        </w:rPr>
      </w:pPr>
    </w:p>
    <w:p w14:paraId="0A011402" w14:textId="7E1B6723" w:rsidR="008608CB" w:rsidRPr="00DC5616" w:rsidRDefault="008608CB" w:rsidP="008608CB">
      <w:pPr>
        <w:spacing w:line="240" w:lineRule="auto"/>
        <w:rPr>
          <w:rFonts w:eastAsia="Times New Roman" w:cs="Arial"/>
          <w:color w:val="000000"/>
          <w:szCs w:val="20"/>
          <w:u w:val="single"/>
          <w:lang w:eastAsia="bg-BG"/>
        </w:rPr>
      </w:pPr>
      <w:r w:rsidRPr="00DC5616">
        <w:rPr>
          <w:rFonts w:eastAsia="Times New Roman" w:cs="Arial"/>
          <w:color w:val="000000"/>
          <w:szCs w:val="20"/>
          <w:u w:val="single"/>
          <w:lang w:eastAsia="bg-BG"/>
        </w:rPr>
        <w:t>Фармакодинамични ефекти</w:t>
      </w:r>
    </w:p>
    <w:p w14:paraId="292DCB5E" w14:textId="77777777" w:rsidR="008608CB" w:rsidRPr="00DC5616" w:rsidRDefault="008608CB" w:rsidP="008608CB">
      <w:pPr>
        <w:rPr>
          <w:rFonts w:eastAsia="Times New Roman" w:cs="Arial"/>
          <w:color w:val="000000"/>
          <w:szCs w:val="20"/>
          <w:lang w:eastAsia="bg-BG"/>
        </w:rPr>
      </w:pPr>
    </w:p>
    <w:p w14:paraId="0FDD1FFB" w14:textId="77777777" w:rsidR="008608CB" w:rsidRPr="00DC5616" w:rsidRDefault="008608CB" w:rsidP="008608CB">
      <w:pPr>
        <w:rPr>
          <w:rFonts w:eastAsia="Times New Roman" w:cs="Arial"/>
          <w:sz w:val="28"/>
          <w:szCs w:val="24"/>
        </w:rPr>
      </w:pPr>
      <w:r w:rsidRPr="00DC5616">
        <w:rPr>
          <w:rFonts w:eastAsia="Times New Roman" w:cs="Arial"/>
          <w:color w:val="000000"/>
          <w:szCs w:val="20"/>
          <w:lang w:eastAsia="bg-BG"/>
        </w:rPr>
        <w:t>Доказано е, че еплеренон предизвиква трайно покачване на плазмения ренин и серумния алдостерон съответстващо на инхибирането на отрицателната регулаторна обратна връзка,</w:t>
      </w:r>
      <w:r w:rsidRPr="00DC5616">
        <w:rPr>
          <w:rFonts w:eastAsia="Times New Roman" w:cs="Arial"/>
          <w:color w:val="000000"/>
          <w:szCs w:val="20"/>
          <w:lang w:val="ru-RU" w:eastAsia="bg-BG"/>
        </w:rPr>
        <w:t xml:space="preserve"> </w:t>
      </w:r>
      <w:r w:rsidRPr="00DC5616">
        <w:rPr>
          <w:rFonts w:eastAsia="Times New Roman" w:cs="Arial"/>
          <w:color w:val="000000"/>
          <w:szCs w:val="20"/>
          <w:lang w:eastAsia="bg-BG"/>
        </w:rPr>
        <w:t>упражнявана от алдостерона върху рениновата секреция. Повишените по тази причина плазмена ренинова активност и циркулиращи нива на алдостерон не преодоляват ефектите на еплеренон.</w:t>
      </w:r>
    </w:p>
    <w:p w14:paraId="426F0946" w14:textId="77777777" w:rsidR="008608CB" w:rsidRPr="00DC5616" w:rsidRDefault="008608CB" w:rsidP="008608CB">
      <w:pPr>
        <w:spacing w:line="240" w:lineRule="auto"/>
        <w:rPr>
          <w:rFonts w:eastAsia="Times New Roman" w:cs="Arial"/>
          <w:color w:val="000000"/>
          <w:szCs w:val="20"/>
          <w:lang w:eastAsia="bg-BG"/>
        </w:rPr>
      </w:pPr>
    </w:p>
    <w:p w14:paraId="31209E60" w14:textId="135F19D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 проучвания с флексибилни дози при хронична сърдечна недостатъчност </w:t>
      </w:r>
      <w:r w:rsidRPr="00DC5616">
        <w:rPr>
          <w:rFonts w:eastAsia="Times New Roman" w:cs="Arial"/>
          <w:color w:val="000000"/>
          <w:szCs w:val="20"/>
          <w:lang w:val="ru-RU"/>
        </w:rPr>
        <w:t>(</w:t>
      </w:r>
      <w:r w:rsidRPr="00DC5616">
        <w:rPr>
          <w:rFonts w:eastAsia="Times New Roman" w:cs="Arial"/>
          <w:color w:val="000000"/>
          <w:szCs w:val="20"/>
          <w:lang w:val="en-US"/>
        </w:rPr>
        <w:t>II</w:t>
      </w:r>
      <w:r w:rsidRPr="00DC5616">
        <w:rPr>
          <w:rFonts w:eastAsia="Times New Roman" w:cs="Arial"/>
          <w:color w:val="000000"/>
          <w:szCs w:val="20"/>
          <w:lang w:val="ru-RU"/>
        </w:rPr>
        <w:t>-</w:t>
      </w:r>
      <w:r w:rsidRPr="00DC5616">
        <w:rPr>
          <w:rFonts w:eastAsia="Times New Roman" w:cs="Arial"/>
          <w:color w:val="000000"/>
          <w:szCs w:val="20"/>
          <w:lang w:val="en-US"/>
        </w:rPr>
        <w:t>IV</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добавянето на еплеренон към стандартното лечение е довело до очаквани доза- зависими покачвания на алдостерона. По същия начин в кардиореналното подпроучване на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лечението с еплеренон е довело до сигнификантно покачване на алдостерона. Тези резултати потвърждават блокадата на минералкортикоидния рецепторв тези популации.</w:t>
      </w:r>
    </w:p>
    <w:p w14:paraId="427CFE2E" w14:textId="77777777" w:rsidR="008608CB" w:rsidRPr="00DC5616" w:rsidRDefault="008608CB" w:rsidP="008608CB">
      <w:pPr>
        <w:spacing w:line="240" w:lineRule="auto"/>
        <w:rPr>
          <w:rFonts w:eastAsia="Times New Roman" w:cs="Arial"/>
          <w:color w:val="000000"/>
          <w:szCs w:val="20"/>
          <w:lang w:eastAsia="bg-BG"/>
        </w:rPr>
      </w:pPr>
    </w:p>
    <w:p w14:paraId="4B689993" w14:textId="38C396C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Еплеренон е проучен в изпитването за ефикасност и преживяемост при еплеренон при сърдечна недостатъчност след остър миокарден инфаркт </w:t>
      </w:r>
      <w:r w:rsidRPr="00DC5616">
        <w:rPr>
          <w:rFonts w:eastAsia="Times New Roman" w:cs="Arial"/>
          <w:color w:val="000000"/>
          <w:szCs w:val="20"/>
          <w:lang w:val="ru-RU"/>
        </w:rPr>
        <w:t>(</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сляпо, </w:t>
      </w:r>
      <w:r w:rsidRPr="00DC5616">
        <w:rPr>
          <w:rFonts w:eastAsia="Times New Roman" w:cs="Arial"/>
          <w:color w:val="000000"/>
          <w:szCs w:val="20"/>
          <w:lang w:eastAsia="bg-BG"/>
        </w:rPr>
        <w:lastRenderedPageBreak/>
        <w:t xml:space="preserve">плацебо-контролирано проучване с продължителност 3 години при 6 632 пациенти с остър миокарден инфаркт (МИ), левокамерна дисфункция (според измерената левокамерна фракция на изтласкване </w:t>
      </w:r>
      <w:r w:rsidRPr="00DC5616">
        <w:rPr>
          <w:rFonts w:eastAsia="Times New Roman" w:cs="Arial"/>
          <w:color w:val="000000"/>
          <w:szCs w:val="20"/>
          <w:lang w:val="ru-RU"/>
        </w:rPr>
        <w:t>[</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&lt; 40%) и клинични прояви на сърдечна недостатъчност. В рамките на 3</w:t>
      </w:r>
      <w:r w:rsidRPr="00DC5616">
        <w:rPr>
          <w:rFonts w:eastAsia="Times New Roman" w:cs="Arial"/>
          <w:i/>
          <w:iCs/>
          <w:color w:val="000000"/>
          <w:szCs w:val="20"/>
          <w:lang w:eastAsia="bg-BG"/>
        </w:rPr>
        <w:t xml:space="preserve"> </w:t>
      </w:r>
      <w:r w:rsidRPr="00DC5616">
        <w:rPr>
          <w:rFonts w:eastAsia="Times New Roman" w:cs="Arial"/>
          <w:color w:val="000000"/>
          <w:szCs w:val="20"/>
          <w:lang w:eastAsia="bg-BG"/>
        </w:rPr>
        <w:t xml:space="preserve">до 14 дни (средно 7 дни) след остър МИ пациентите са получили еплеренон или плацебо и допълнение към стандартно лечение в начална доза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титрирана до прицелната доза от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след 4 седмици, при условие че серумният калий е бил &lt; 5,0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По време на проучването пациентите са получавали стандартно лечение, включително ацетилсалицилова киселина (92%), АСЕ инхибитори (90%), бета-блокери (83%), нитрати (72%), бримкови диуретици (66%) или инхибитори на </w:t>
      </w:r>
      <w:r w:rsidRPr="00DC5616">
        <w:rPr>
          <w:rFonts w:eastAsia="Times New Roman" w:cs="Arial"/>
          <w:color w:val="000000"/>
          <w:szCs w:val="20"/>
          <w:lang w:val="en-US"/>
        </w:rPr>
        <w:t>HMG</w:t>
      </w:r>
      <w:r w:rsidRPr="00DC5616">
        <w:rPr>
          <w:rFonts w:eastAsia="Times New Roman" w:cs="Arial"/>
          <w:color w:val="000000"/>
          <w:szCs w:val="20"/>
          <w:lang w:val="ru-RU"/>
        </w:rPr>
        <w:t xml:space="preserve"> </w:t>
      </w:r>
      <w:r w:rsidRPr="00DC5616">
        <w:rPr>
          <w:rFonts w:eastAsia="Times New Roman" w:cs="Arial"/>
          <w:color w:val="000000"/>
          <w:szCs w:val="20"/>
          <w:lang w:eastAsia="bg-BG"/>
        </w:rPr>
        <w:t>СоА редуктазата (60%).</w:t>
      </w:r>
    </w:p>
    <w:p w14:paraId="5C315225" w14:textId="77777777" w:rsidR="008608CB" w:rsidRPr="00DC5616" w:rsidRDefault="008608CB" w:rsidP="008608CB">
      <w:pPr>
        <w:spacing w:line="240" w:lineRule="auto"/>
        <w:rPr>
          <w:rFonts w:eastAsia="Times New Roman" w:cs="Arial"/>
          <w:color w:val="000000"/>
          <w:szCs w:val="20"/>
          <w:lang w:eastAsia="bg-BG"/>
        </w:rPr>
      </w:pPr>
    </w:p>
    <w:p w14:paraId="06D867EF" w14:textId="502FFE08"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Първичните крайни точки в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са обща смъртност и комбинирана крайна точка за сърдечно-съдова (СС) смърт или хоспитализация; 14,4% от пациентите, получаващи еплеренон, и 16,7% от пациентите, получаващи плацебо, са починали (обща смъртност), докато 26,7% от пациентите, получаващи еплеренон, и 30,0%, получаващи плацебо са постигнали комбинираната крайна точка за СС смърт или хоспитализация. По този начин, в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еплеренон е понижил общата смъртност спрямо плацебо с 15%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0,85; 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0,75-0,96; 0=0,008), предимно чрез намаляване на СС смъртност. Еплеренон е намалил риска от СС смърт или СС хоспитализация с 13%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0,87; 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0,79-0,95; рЮ,002). Абсолютната редукция на риска за крайните точки обща смъртност и СС смърт/хоспитализация е съответно 2,3% и 3,3%. Клинична ефикасност е демонстрирана предимно при започване на лечение с еплеренон при пациенти &lt; 75-годишна възраст. Ползата от лечението при пациенти на възраст над 75 години е неясна. При сигнификантно по-голям дял пациенти, получаващи еплеренон, в сравнение с плацебо, е настъпило подобрение или запазване на функционалния 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Честотата на хиперкалиемията е била 3,4% в групата с еплеренон спрямо 2.0% в плацебо- групата (р &lt; 0,001). Честотата на хипокалиемията е била 0,5% в групата на еплеренон спрямо 1,5% в групата на плацебо (р &lt; 0,001).</w:t>
      </w:r>
    </w:p>
    <w:p w14:paraId="27F338B7" w14:textId="77777777" w:rsidR="008608CB" w:rsidRPr="00DC5616" w:rsidRDefault="008608CB" w:rsidP="008608CB">
      <w:pPr>
        <w:spacing w:line="240" w:lineRule="auto"/>
        <w:rPr>
          <w:rFonts w:eastAsia="Times New Roman" w:cs="Arial"/>
          <w:color w:val="000000"/>
          <w:szCs w:val="20"/>
          <w:lang w:eastAsia="bg-BG"/>
        </w:rPr>
      </w:pPr>
    </w:p>
    <w:p w14:paraId="3717F2E6" w14:textId="6B293C1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При 147 здрави лица, оценени за електрокардиографски промени по време на фармакокинетични проучвания, не са наблюдавани трайни ефекти На еплеренон върху сърдечната честота и продължителността на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w:t>
      </w:r>
      <w:r w:rsidRPr="00DC5616">
        <w:rPr>
          <w:rFonts w:eastAsia="Times New Roman" w:cs="Arial"/>
          <w:color w:val="000000"/>
          <w:szCs w:val="20"/>
          <w:lang w:val="en-US"/>
        </w:rPr>
        <w:t>PR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w:t>
      </w:r>
      <w:r w:rsidRPr="00DC5616">
        <w:rPr>
          <w:rFonts w:eastAsia="Times New Roman" w:cs="Arial"/>
          <w:color w:val="000000"/>
          <w:szCs w:val="20"/>
          <w:lang w:val="en-US"/>
        </w:rPr>
        <w:t>QT</w:t>
      </w:r>
      <w:r w:rsidRPr="00DC5616">
        <w:rPr>
          <w:rFonts w:eastAsia="Times New Roman" w:cs="Arial"/>
          <w:color w:val="000000"/>
          <w:szCs w:val="20"/>
          <w:lang w:val="ru-RU"/>
        </w:rPr>
        <w:t xml:space="preserve"> </w:t>
      </w:r>
      <w:r w:rsidRPr="00DC5616">
        <w:rPr>
          <w:rFonts w:eastAsia="Times New Roman" w:cs="Arial"/>
          <w:color w:val="000000"/>
          <w:szCs w:val="20"/>
          <w:lang w:eastAsia="bg-BG"/>
        </w:rPr>
        <w:t>интервалите.</w:t>
      </w:r>
    </w:p>
    <w:p w14:paraId="273FDA8D" w14:textId="77777777" w:rsidR="008608CB" w:rsidRPr="00DC5616" w:rsidRDefault="008608CB" w:rsidP="008608CB">
      <w:pPr>
        <w:spacing w:line="240" w:lineRule="auto"/>
        <w:rPr>
          <w:rFonts w:eastAsia="Times New Roman" w:cs="Arial"/>
          <w:color w:val="000000"/>
          <w:szCs w:val="20"/>
          <w:lang w:eastAsia="bg-BG"/>
        </w:rPr>
      </w:pPr>
    </w:p>
    <w:p w14:paraId="2CCE2870" w14:textId="38D38FC9"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 проучването, оценяващо хоспитализирането и преживяемостга при приложение на еплеренон при лека сърдечна недостатъчност </w:t>
      </w:r>
      <w:r w:rsidRPr="00DC5616">
        <w:rPr>
          <w:rFonts w:eastAsia="Times New Roman" w:cs="Arial"/>
          <w:color w:val="000000"/>
          <w:szCs w:val="20"/>
        </w:rPr>
        <w:t>(</w:t>
      </w:r>
      <w:proofErr w:type="spellStart"/>
      <w:r w:rsidRPr="00DC5616">
        <w:rPr>
          <w:rFonts w:eastAsia="Times New Roman" w:cs="Arial"/>
          <w:color w:val="000000"/>
          <w:szCs w:val="20"/>
          <w:lang w:val="en-US"/>
        </w:rPr>
        <w:t>Eplerenone</w:t>
      </w:r>
      <w:proofErr w:type="spellEnd"/>
      <w:r w:rsidRPr="00DC5616">
        <w:rPr>
          <w:rFonts w:eastAsia="Times New Roman" w:cs="Arial"/>
          <w:color w:val="000000"/>
          <w:szCs w:val="20"/>
        </w:rPr>
        <w:t xml:space="preserve"> </w:t>
      </w:r>
      <w:r w:rsidRPr="00DC5616">
        <w:rPr>
          <w:rFonts w:eastAsia="Times New Roman" w:cs="Arial"/>
          <w:color w:val="000000"/>
          <w:szCs w:val="20"/>
          <w:lang w:val="en-US"/>
        </w:rPr>
        <w:t>in</w:t>
      </w:r>
      <w:r w:rsidRPr="00DC5616">
        <w:rPr>
          <w:rFonts w:eastAsia="Times New Roman" w:cs="Arial"/>
          <w:color w:val="000000"/>
          <w:szCs w:val="20"/>
        </w:rPr>
        <w:t xml:space="preserve"> </w:t>
      </w:r>
      <w:r w:rsidRPr="00DC5616">
        <w:rPr>
          <w:rFonts w:eastAsia="Times New Roman" w:cs="Arial"/>
          <w:color w:val="000000"/>
          <w:szCs w:val="20"/>
          <w:lang w:val="en-US"/>
        </w:rPr>
        <w:t>Mild</w:t>
      </w:r>
      <w:r w:rsidRPr="00DC5616">
        <w:rPr>
          <w:rFonts w:eastAsia="Times New Roman" w:cs="Arial"/>
          <w:color w:val="000000"/>
          <w:szCs w:val="20"/>
        </w:rPr>
        <w:t xml:space="preserve"> </w:t>
      </w:r>
      <w:r w:rsidRPr="00DC5616">
        <w:rPr>
          <w:rFonts w:eastAsia="Times New Roman" w:cs="Arial"/>
          <w:color w:val="000000"/>
          <w:szCs w:val="20"/>
          <w:lang w:val="en-US"/>
        </w:rPr>
        <w:t>Patients</w:t>
      </w:r>
      <w:r w:rsidRPr="00DC5616">
        <w:rPr>
          <w:rFonts w:eastAsia="Times New Roman" w:cs="Arial"/>
          <w:color w:val="000000"/>
          <w:szCs w:val="20"/>
        </w:rPr>
        <w:t xml:space="preserve"> </w:t>
      </w:r>
      <w:r w:rsidRPr="00DC5616">
        <w:rPr>
          <w:rFonts w:eastAsia="Times New Roman" w:cs="Arial"/>
          <w:color w:val="000000"/>
          <w:szCs w:val="20"/>
          <w:lang w:val="en-US"/>
        </w:rPr>
        <w:t>Hospitalization</w:t>
      </w:r>
      <w:r w:rsidRPr="00DC5616">
        <w:rPr>
          <w:rFonts w:eastAsia="Times New Roman" w:cs="Arial"/>
          <w:color w:val="000000"/>
          <w:szCs w:val="20"/>
        </w:rPr>
        <w:t xml:space="preserve"> </w:t>
      </w:r>
      <w:r w:rsidRPr="00DC5616">
        <w:rPr>
          <w:rFonts w:eastAsia="Times New Roman" w:cs="Arial"/>
          <w:color w:val="000000"/>
          <w:szCs w:val="20"/>
          <w:lang w:val="en-US"/>
        </w:rPr>
        <w:t>and</w:t>
      </w:r>
      <w:r w:rsidRPr="00DC5616">
        <w:rPr>
          <w:rFonts w:eastAsia="Times New Roman" w:cs="Arial"/>
          <w:color w:val="000000"/>
          <w:szCs w:val="20"/>
        </w:rPr>
        <w:t xml:space="preserve"> </w:t>
      </w:r>
      <w:r w:rsidRPr="00DC5616">
        <w:rPr>
          <w:rFonts w:eastAsia="Times New Roman" w:cs="Arial"/>
          <w:color w:val="000000"/>
          <w:szCs w:val="20"/>
          <w:lang w:val="en-US"/>
        </w:rPr>
        <w:t>Survival</w:t>
      </w:r>
      <w:r w:rsidRPr="00DC5616">
        <w:rPr>
          <w:rFonts w:eastAsia="Times New Roman" w:cs="Arial"/>
          <w:color w:val="000000"/>
          <w:szCs w:val="20"/>
        </w:rPr>
        <w:t xml:space="preserve"> </w:t>
      </w:r>
      <w:r w:rsidRPr="00DC5616">
        <w:rPr>
          <w:rFonts w:eastAsia="Times New Roman" w:cs="Arial"/>
          <w:color w:val="000000"/>
          <w:szCs w:val="20"/>
          <w:lang w:val="en-US"/>
        </w:rPr>
        <w:t>Study</w:t>
      </w:r>
      <w:r w:rsidRPr="00DC5616">
        <w:rPr>
          <w:rFonts w:eastAsia="Times New Roman" w:cs="Arial"/>
          <w:color w:val="000000"/>
          <w:szCs w:val="20"/>
        </w:rPr>
        <w:t xml:space="preserve"> </w:t>
      </w:r>
      <w:r w:rsidRPr="00DC5616">
        <w:rPr>
          <w:rFonts w:eastAsia="Times New Roman" w:cs="Arial"/>
          <w:color w:val="000000"/>
          <w:szCs w:val="20"/>
          <w:lang w:val="en-US"/>
        </w:rPr>
        <w:t>in</w:t>
      </w:r>
      <w:r w:rsidRPr="00DC5616">
        <w:rPr>
          <w:rFonts w:eastAsia="Times New Roman" w:cs="Arial"/>
          <w:color w:val="000000"/>
          <w:szCs w:val="20"/>
        </w:rPr>
        <w:t xml:space="preserve"> </w:t>
      </w:r>
      <w:r w:rsidRPr="00DC5616">
        <w:rPr>
          <w:rFonts w:eastAsia="Times New Roman" w:cs="Arial"/>
          <w:color w:val="000000"/>
          <w:szCs w:val="20"/>
          <w:lang w:val="en-US"/>
        </w:rPr>
        <w:t>Heart</w:t>
      </w:r>
      <w:r w:rsidRPr="00DC5616">
        <w:rPr>
          <w:rFonts w:eastAsia="Times New Roman" w:cs="Arial"/>
          <w:color w:val="000000"/>
          <w:szCs w:val="20"/>
        </w:rPr>
        <w:t xml:space="preserve"> </w:t>
      </w:r>
      <w:r w:rsidRPr="00DC5616">
        <w:rPr>
          <w:rFonts w:eastAsia="Times New Roman" w:cs="Arial"/>
          <w:color w:val="000000"/>
          <w:szCs w:val="20"/>
          <w:lang w:val="en-US"/>
        </w:rPr>
        <w:t>Failure</w:t>
      </w:r>
      <w:r w:rsidRPr="00DC5616">
        <w:rPr>
          <w:rFonts w:eastAsia="Times New Roman" w:cs="Arial"/>
          <w:color w:val="000000"/>
          <w:szCs w:val="20"/>
        </w:rPr>
        <w:t xml:space="preserve">, </w:t>
      </w:r>
      <w:r w:rsidRPr="00DC5616">
        <w:rPr>
          <w:rFonts w:eastAsia="Times New Roman" w:cs="Arial"/>
          <w:color w:val="000000"/>
          <w:szCs w:val="20"/>
          <w:lang w:val="en-US"/>
        </w:rPr>
        <w:t>EMPHASIS</w:t>
      </w:r>
      <w:r w:rsidRPr="00DC5616">
        <w:rPr>
          <w:rFonts w:eastAsia="Times New Roman" w:cs="Arial"/>
          <w:color w:val="000000"/>
          <w:szCs w:val="20"/>
        </w:rPr>
        <w:t>-</w:t>
      </w:r>
      <w:r w:rsidRPr="00DC5616">
        <w:rPr>
          <w:rFonts w:eastAsia="Times New Roman" w:cs="Arial"/>
          <w:color w:val="000000"/>
          <w:szCs w:val="20"/>
          <w:lang w:val="en-US"/>
        </w:rPr>
        <w:t>HF</w:t>
      </w:r>
      <w:r w:rsidRPr="00DC5616">
        <w:rPr>
          <w:rFonts w:eastAsia="Times New Roman" w:cs="Arial"/>
          <w:color w:val="000000"/>
          <w:szCs w:val="20"/>
        </w:rPr>
        <w:t xml:space="preserve">) </w:t>
      </w:r>
      <w:r w:rsidRPr="00DC5616">
        <w:rPr>
          <w:rFonts w:eastAsia="Times New Roman" w:cs="Arial"/>
          <w:color w:val="000000"/>
          <w:szCs w:val="20"/>
          <w:lang w:eastAsia="bg-BG"/>
        </w:rPr>
        <w:t xml:space="preserve">е проучван ефектът на еплеренон, добавен към стандартна терапия, върху клиничните събития при пациенти със систолична сърдечна недостатъчност и леки симптоми (функционален клас П по </w:t>
      </w:r>
      <w:r w:rsidRPr="00DC5616">
        <w:rPr>
          <w:rFonts w:eastAsia="Times New Roman" w:cs="Arial"/>
          <w:color w:val="000000"/>
          <w:szCs w:val="20"/>
          <w:lang w:val="en-US"/>
        </w:rPr>
        <w:t>NYHA</w:t>
      </w:r>
      <w:r w:rsidRPr="00DC5616">
        <w:rPr>
          <w:rFonts w:eastAsia="Times New Roman" w:cs="Arial"/>
          <w:color w:val="000000"/>
          <w:szCs w:val="20"/>
        </w:rPr>
        <w:t>).</w:t>
      </w:r>
    </w:p>
    <w:p w14:paraId="1BC09BDE" w14:textId="77777777" w:rsidR="008608CB" w:rsidRPr="00DC5616" w:rsidRDefault="008608CB" w:rsidP="008608CB">
      <w:pPr>
        <w:rPr>
          <w:rFonts w:eastAsia="Times New Roman" w:cs="Arial"/>
          <w:color w:val="000000"/>
          <w:szCs w:val="20"/>
          <w:lang w:eastAsia="bg-BG"/>
        </w:rPr>
      </w:pPr>
    </w:p>
    <w:p w14:paraId="0AB39D2F" w14:textId="77777777" w:rsidR="008608CB" w:rsidRPr="00DC5616" w:rsidRDefault="008608CB" w:rsidP="008608CB">
      <w:pPr>
        <w:rPr>
          <w:rFonts w:eastAsia="Times New Roman" w:cs="Arial"/>
          <w:sz w:val="28"/>
          <w:szCs w:val="24"/>
        </w:rPr>
      </w:pPr>
      <w:r w:rsidRPr="00DC5616">
        <w:rPr>
          <w:rFonts w:eastAsia="Times New Roman" w:cs="Arial"/>
          <w:color w:val="000000"/>
          <w:szCs w:val="20"/>
          <w:lang w:eastAsia="bg-BG"/>
        </w:rPr>
        <w:t xml:space="preserve">Пациентите са били включвани, ако са били на възраст поне 55 години, имали са левокамерна фракция на изтласкване </w:t>
      </w:r>
      <w:r w:rsidRPr="00DC5616">
        <w:rPr>
          <w:rFonts w:eastAsia="Times New Roman" w:cs="Arial"/>
          <w:color w:val="000000"/>
          <w:szCs w:val="20"/>
          <w:lang w:val="ru-RU"/>
        </w:rPr>
        <w:t>(</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&lt;30% или &lt;35%, в допълнение към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продължителност </w:t>
      </w:r>
      <w:r w:rsidRPr="00DC5616">
        <w:rPr>
          <w:rFonts w:eastAsia="Times New Roman" w:cs="Arial"/>
          <w:color w:val="000000"/>
          <w:szCs w:val="20"/>
          <w:lang w:val="en-US"/>
        </w:rPr>
        <w:t>o</w:t>
      </w:r>
      <w:r w:rsidRPr="00DC5616">
        <w:rPr>
          <w:rFonts w:eastAsia="Times New Roman" w:cs="Arial"/>
          <w:color w:val="000000"/>
          <w:szCs w:val="20"/>
          <w:lang w:eastAsia="bg-BG"/>
        </w:rPr>
        <w:t xml:space="preserve">т над 130 милисекунди и са били или хоспитализирани за сърдечно-съдови събития 6 месеца преди включване към проучването или са имали плазмени нива на натриуретичен пептид В-тип </w:t>
      </w:r>
      <w:r w:rsidRPr="00DC5616">
        <w:rPr>
          <w:rFonts w:eastAsia="Times New Roman" w:cs="Arial"/>
          <w:color w:val="000000"/>
          <w:szCs w:val="20"/>
          <w:lang w:val="ru-RU"/>
        </w:rPr>
        <w:t>(</w:t>
      </w:r>
      <w:r w:rsidRPr="00DC5616">
        <w:rPr>
          <w:rFonts w:eastAsia="Times New Roman" w:cs="Arial"/>
          <w:color w:val="000000"/>
          <w:szCs w:val="20"/>
          <w:lang w:val="en-US"/>
        </w:rPr>
        <w:t>BNP</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поне 250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w:t>
      </w:r>
      <w:r w:rsidRPr="00DC5616">
        <w:rPr>
          <w:rFonts w:eastAsia="Times New Roman" w:cs="Arial"/>
          <w:color w:val="000000"/>
          <w:szCs w:val="20"/>
          <w:lang w:val="en-US"/>
        </w:rPr>
        <w:t>ml</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плазмени нива на </w:t>
      </w:r>
      <w:r w:rsidRPr="00DC5616">
        <w:rPr>
          <w:rFonts w:eastAsia="Times New Roman" w:cs="Arial"/>
          <w:color w:val="000000"/>
          <w:szCs w:val="20"/>
          <w:lang w:val="en-US"/>
        </w:rPr>
        <w:t>N</w:t>
      </w:r>
      <w:r w:rsidRPr="00DC5616">
        <w:rPr>
          <w:rFonts w:eastAsia="Times New Roman" w:cs="Arial"/>
          <w:color w:val="000000"/>
          <w:szCs w:val="20"/>
          <w:lang w:eastAsia="bg-BG"/>
        </w:rPr>
        <w:t xml:space="preserve">-терминален </w:t>
      </w:r>
      <w:proofErr w:type="spellStart"/>
      <w:r w:rsidRPr="00DC5616">
        <w:rPr>
          <w:rFonts w:eastAsia="Times New Roman" w:cs="Arial"/>
          <w:color w:val="000000"/>
          <w:szCs w:val="20"/>
          <w:lang w:val="en-US"/>
        </w:rPr>
        <w:t>npo</w:t>
      </w:r>
      <w:proofErr w:type="spellEnd"/>
      <w:r w:rsidRPr="00DC5616">
        <w:rPr>
          <w:rFonts w:eastAsia="Times New Roman" w:cs="Arial"/>
          <w:color w:val="000000"/>
          <w:szCs w:val="20"/>
          <w:lang w:val="ru-RU"/>
        </w:rPr>
        <w:t>-</w:t>
      </w:r>
      <w:r w:rsidRPr="00DC5616">
        <w:rPr>
          <w:rFonts w:eastAsia="Times New Roman" w:cs="Arial"/>
          <w:color w:val="000000"/>
          <w:szCs w:val="20"/>
          <w:lang w:val="en-US"/>
        </w:rPr>
        <w:t>BNP</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поне 500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 xml:space="preserve">/ </w:t>
      </w:r>
      <w:r w:rsidRPr="00DC5616">
        <w:rPr>
          <w:rFonts w:eastAsia="Times New Roman" w:cs="Arial"/>
          <w:color w:val="000000"/>
          <w:szCs w:val="20"/>
          <w:lang w:val="en-US"/>
        </w:rPr>
        <w:t>ml</w:t>
      </w:r>
      <w:r w:rsidRPr="00DC5616">
        <w:rPr>
          <w:rFonts w:eastAsia="Times New Roman" w:cs="Arial"/>
          <w:color w:val="000000"/>
          <w:szCs w:val="20"/>
          <w:lang w:eastAsia="bg-BG"/>
        </w:rPr>
        <w:t xml:space="preserve"> при мъже (750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w:t>
      </w:r>
      <w:r w:rsidRPr="00DC5616">
        <w:rPr>
          <w:rFonts w:eastAsia="Times New Roman" w:cs="Arial"/>
          <w:color w:val="000000"/>
          <w:szCs w:val="20"/>
          <w:lang w:val="en-US"/>
        </w:rPr>
        <w:t>ml</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при жени). Лечението с еплеренон е било започнато с доза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която е била повишена след 4 седмици до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 ако серумните нива на калий</w:t>
      </w:r>
      <w:r w:rsidRPr="00DC5616">
        <w:rPr>
          <w:rFonts w:eastAsia="Times New Roman" w:cs="Arial"/>
          <w:color w:val="000000"/>
          <w:szCs w:val="20"/>
          <w:lang w:val="ru-RU" w:eastAsia="bg-BG"/>
        </w:rPr>
        <w:t xml:space="preserve"> </w:t>
      </w:r>
      <w:r w:rsidRPr="00DC5616">
        <w:rPr>
          <w:rFonts w:eastAsia="Times New Roman" w:cs="Arial"/>
          <w:color w:val="000000"/>
          <w:szCs w:val="20"/>
          <w:lang w:eastAsia="bg-BG"/>
        </w:rPr>
        <w:t xml:space="preserve">са били &lt;5,0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В случай че изчислената </w:t>
      </w:r>
      <w:r w:rsidRPr="00DC5616">
        <w:rPr>
          <w:rFonts w:eastAsia="Times New Roman" w:cs="Arial"/>
          <w:color w:val="000000"/>
          <w:szCs w:val="20"/>
          <w:lang w:val="en-US"/>
        </w:rPr>
        <w:t>GRF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била 30-49 </w:t>
      </w:r>
      <w:r w:rsidRPr="00DC5616">
        <w:rPr>
          <w:rFonts w:eastAsia="Times New Roman" w:cs="Arial"/>
          <w:color w:val="000000"/>
          <w:szCs w:val="20"/>
          <w:lang w:val="en-US"/>
        </w:rPr>
        <w:t>ml</w:t>
      </w:r>
      <w:r w:rsidRPr="00DC5616">
        <w:rPr>
          <w:rFonts w:eastAsia="Times New Roman" w:cs="Arial"/>
          <w:color w:val="000000"/>
          <w:szCs w:val="20"/>
          <w:lang w:val="ru-RU"/>
        </w:rPr>
        <w:t>/</w:t>
      </w:r>
      <w:r w:rsidRPr="00DC5616">
        <w:rPr>
          <w:rFonts w:eastAsia="Times New Roman" w:cs="Arial"/>
          <w:color w:val="000000"/>
          <w:szCs w:val="20"/>
          <w:lang w:val="en-US"/>
        </w:rPr>
        <w:t>min</w:t>
      </w:r>
      <w:r w:rsidRPr="00DC5616">
        <w:rPr>
          <w:rFonts w:eastAsia="Times New Roman" w:cs="Arial"/>
          <w:color w:val="000000"/>
          <w:szCs w:val="20"/>
          <w:lang w:val="ru-RU"/>
        </w:rPr>
        <w:t>/</w:t>
      </w:r>
      <w:r w:rsidRPr="00DC5616">
        <w:rPr>
          <w:rFonts w:eastAsia="Times New Roman" w:cs="Arial"/>
          <w:color w:val="000000"/>
          <w:szCs w:val="20"/>
          <w:lang w:eastAsia="bg-BG"/>
        </w:rPr>
        <w:t xml:space="preserve">1,73 m2, лечението с еплеренон е започвало е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през ден и повишено до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w:t>
      </w:r>
    </w:p>
    <w:p w14:paraId="315B69A8" w14:textId="77777777" w:rsidR="00DC5616" w:rsidRPr="00DC5616" w:rsidRDefault="00DC5616" w:rsidP="008608CB">
      <w:pPr>
        <w:spacing w:line="240" w:lineRule="auto"/>
        <w:rPr>
          <w:rFonts w:eastAsia="Times New Roman" w:cs="Arial"/>
          <w:color w:val="000000"/>
          <w:szCs w:val="20"/>
          <w:lang w:eastAsia="bg-BG"/>
        </w:rPr>
      </w:pPr>
    </w:p>
    <w:p w14:paraId="27A1C2D5" w14:textId="3FF83D7B"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lastRenderedPageBreak/>
        <w:t xml:space="preserve">Общо 2 737 пациенти са били рандомизирани (двойно сляпо) към лечение с еплеренон илй плацебо, включващо предходна терапия с диуретици (85%), АСЕ инхибитори (78%), ангиотензин рецепторни блокери (19%), бета блокери (87%), антитромботични (88%), липидопонижаващи лекарства (63%) и дигиталисови гликозиди (27%). Средната </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била приблизително 26%, а средната продължителност на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е била приблизително 122 милисекунди. Повечето от пациентите (83,4%) са били хоспитализирани преди това в рамките на 6 месеца от рандомизирането, по сърдечно-съдови причини, като около 50% са се дължали на сърдечна недостатъчност. Около 20% от пациентите са имали имплантируеми дефибрилатори или са били на терапия за сърдечна ресинхронизация.</w:t>
      </w:r>
    </w:p>
    <w:p w14:paraId="2F892E91" w14:textId="77777777" w:rsidR="00DC5616" w:rsidRPr="00DC5616" w:rsidRDefault="00DC5616" w:rsidP="008608CB">
      <w:pPr>
        <w:spacing w:line="240" w:lineRule="auto"/>
        <w:rPr>
          <w:rFonts w:eastAsia="Times New Roman" w:cs="Arial"/>
          <w:color w:val="000000"/>
          <w:szCs w:val="20"/>
          <w:lang w:eastAsia="bg-BG"/>
        </w:rPr>
      </w:pPr>
    </w:p>
    <w:p w14:paraId="03BC260C" w14:textId="1AF120EF"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Първичната крайна точка, дефинирана като смърт от сърдечносъдово събитие илй хоспитализация за сърдечна недостатъчност е възникнала при 249 пациенти (18,3%) в групата с еплеренон и 356 пациенти (25,9%) в групата с плацебо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0,63,95%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0,54-0,74; р&lt;0,001).</w:t>
      </w:r>
    </w:p>
    <w:p w14:paraId="640C4478" w14:textId="7777777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Ефектът на еплеренон върху събитията от първичната крайна точка е бил еднакъв във всички предварително определени подгрупи.</w:t>
      </w:r>
    </w:p>
    <w:p w14:paraId="0270915B" w14:textId="77777777" w:rsidR="00DC5616" w:rsidRPr="00DC5616" w:rsidRDefault="00DC5616" w:rsidP="008608CB">
      <w:pPr>
        <w:spacing w:line="240" w:lineRule="auto"/>
        <w:rPr>
          <w:rFonts w:eastAsia="Times New Roman" w:cs="Arial"/>
          <w:color w:val="000000"/>
          <w:szCs w:val="20"/>
          <w:lang w:eastAsia="bg-BG"/>
        </w:rPr>
      </w:pPr>
    </w:p>
    <w:p w14:paraId="45AB8C94" w14:textId="3CCC3DE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Вторичната крайна точка, дефинирана като обща смъртност е възникнала при 171 пациенти (12,5%) в групата с еплеренон и 213 пациенти (15,5%) в групата с плацебо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eastAsia="bg-BG"/>
        </w:rPr>
        <w:t xml:space="preserve"> 0</w:t>
      </w:r>
      <w:r w:rsidRPr="00DC5616">
        <w:rPr>
          <w:rFonts w:eastAsia="Times New Roman" w:cs="Arial"/>
          <w:color w:val="000000"/>
          <w:szCs w:val="20"/>
          <w:lang w:val="ru-RU"/>
        </w:rPr>
        <w:t xml:space="preserve">,76; </w:t>
      </w:r>
      <w:r w:rsidRPr="00DC5616">
        <w:rPr>
          <w:rFonts w:eastAsia="Times New Roman" w:cs="Arial"/>
          <w:color w:val="000000"/>
          <w:szCs w:val="20"/>
          <w:lang w:eastAsia="bg-BG"/>
        </w:rPr>
        <w:t xml:space="preserve">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0,62-0,93; р=0,008). Сърдечно-съдова смърт е съобщена при 147 (10,8%) пациенти в групата с еплеренон и 185 (13,5%) пациенти в плацебо групата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0,76;95%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0,61 -0,94; р=0,01).</w:t>
      </w:r>
    </w:p>
    <w:p w14:paraId="11192E1E" w14:textId="77777777" w:rsidR="00DC5616" w:rsidRPr="00DC5616" w:rsidRDefault="00DC5616" w:rsidP="008608CB">
      <w:pPr>
        <w:spacing w:line="240" w:lineRule="auto"/>
        <w:rPr>
          <w:rFonts w:eastAsia="Times New Roman" w:cs="Arial"/>
          <w:color w:val="000000"/>
          <w:szCs w:val="20"/>
          <w:lang w:eastAsia="bg-BG"/>
        </w:rPr>
      </w:pPr>
    </w:p>
    <w:p w14:paraId="613CF390" w14:textId="338504E2"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По време на проучването е съобщавана хиперкалиемия (серумни нива на калий &gt; 5,5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при 158 пациенти (11,8%) в групата с еплеренон и 96 пациенти (7,2%) в плацебо групата (р&lt;0,001). Хипокалиемията, дефинирана като серумни нива калий &lt; 4,0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w:t>
      </w:r>
      <w:r w:rsidRPr="00DC5616">
        <w:rPr>
          <w:rFonts w:eastAsia="Times New Roman" w:cs="Arial"/>
          <w:color w:val="000000"/>
          <w:szCs w:val="20"/>
          <w:lang w:val="en-US"/>
        </w:rPr>
        <w:t>L</w:t>
      </w:r>
      <w:r w:rsidRPr="00DC5616">
        <w:rPr>
          <w:rFonts w:eastAsia="Times New Roman" w:cs="Arial"/>
          <w:color w:val="000000"/>
          <w:szCs w:val="20"/>
          <w:lang w:val="ru-RU"/>
        </w:rPr>
        <w:t xml:space="preserve">, </w:t>
      </w:r>
      <w:r w:rsidRPr="00DC5616">
        <w:rPr>
          <w:rFonts w:eastAsia="Times New Roman" w:cs="Arial"/>
          <w:color w:val="000000"/>
          <w:szCs w:val="20"/>
          <w:lang w:eastAsia="bg-BG"/>
        </w:rPr>
        <w:t>е била статистически по-ниска при еплеренон в сравнение с плацебо (38,9% за еплеренон в сравнение с 48,4% за плацебо, р&lt;0,0001).</w:t>
      </w:r>
    </w:p>
    <w:p w14:paraId="57447139" w14:textId="77777777" w:rsidR="00DC5616" w:rsidRPr="00DC5616" w:rsidRDefault="00DC5616" w:rsidP="008608CB">
      <w:pPr>
        <w:spacing w:line="240" w:lineRule="auto"/>
        <w:rPr>
          <w:rFonts w:eastAsia="Times New Roman" w:cs="Arial"/>
          <w:color w:val="000000"/>
          <w:szCs w:val="20"/>
          <w:u w:val="single"/>
          <w:lang w:eastAsia="bg-BG"/>
        </w:rPr>
      </w:pPr>
    </w:p>
    <w:p w14:paraId="7A58C76E" w14:textId="0E0B017B"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u w:val="single"/>
          <w:lang w:eastAsia="bg-BG"/>
        </w:rPr>
        <w:t>Педиатрична популация</w:t>
      </w:r>
    </w:p>
    <w:p w14:paraId="79EBB966" w14:textId="77777777" w:rsidR="00DC5616" w:rsidRPr="00DC5616" w:rsidRDefault="00DC5616" w:rsidP="008608CB">
      <w:pPr>
        <w:spacing w:line="240" w:lineRule="auto"/>
        <w:rPr>
          <w:rFonts w:eastAsia="Times New Roman" w:cs="Arial"/>
          <w:color w:val="000000"/>
          <w:szCs w:val="20"/>
          <w:lang w:eastAsia="bg-BG"/>
        </w:rPr>
      </w:pPr>
    </w:p>
    <w:p w14:paraId="3AE7CB49" w14:textId="77B8719E"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Еплеренон не е проучван при педиатрични пациенти със сърдечна недостатъчност.</w:t>
      </w:r>
    </w:p>
    <w:p w14:paraId="6F30037B" w14:textId="77777777" w:rsidR="00DC5616" w:rsidRPr="00DC5616" w:rsidRDefault="00DC5616" w:rsidP="008608CB">
      <w:pPr>
        <w:spacing w:line="240" w:lineRule="auto"/>
        <w:rPr>
          <w:rFonts w:eastAsia="Times New Roman" w:cs="Arial"/>
          <w:color w:val="000000"/>
          <w:szCs w:val="20"/>
          <w:lang w:eastAsia="bg-BG"/>
        </w:rPr>
      </w:pPr>
    </w:p>
    <w:p w14:paraId="696E80F7" w14:textId="633479C2"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При 10-седмично проучване при педиатрични пациенти с хипертония (възрастов диапазон от 4 до 16 години, </w:t>
      </w:r>
      <w:r w:rsidRPr="00DC5616">
        <w:rPr>
          <w:rFonts w:eastAsia="Times New Roman" w:cs="Arial"/>
          <w:color w:val="000000"/>
          <w:szCs w:val="20"/>
          <w:lang w:val="en-US"/>
        </w:rPr>
        <w:t>n</w:t>
      </w:r>
      <w:r w:rsidRPr="00DC5616">
        <w:rPr>
          <w:rFonts w:eastAsia="Times New Roman" w:cs="Arial"/>
          <w:color w:val="000000"/>
          <w:szCs w:val="20"/>
          <w:lang w:eastAsia="bg-BG"/>
        </w:rPr>
        <w:t xml:space="preserve">=304), еплеренон в дози (от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до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дневно), които дават експозиция, сходна с експозицията при възрастни, не е довел до ефективно намаляване на кръвното налягане. При това проучване и при друго едногодишно педиатрично проучване за безопасност при 149 пациенти (възрастов диапазон от 4 до 17 години), профилът на безопасност е бил подобен на този при възрастните. Еплеренон не е проучван при пациенти с хипертония на възраст под 4 години, тъй като проучване при педиатрични пациенти на по-голяма възраст е установило липса на ефикасност (вж. точка 4.2).</w:t>
      </w:r>
    </w:p>
    <w:p w14:paraId="19A0E0C4" w14:textId="77777777" w:rsidR="00DC5616" w:rsidRPr="00DC5616" w:rsidRDefault="00DC5616" w:rsidP="008608CB">
      <w:pPr>
        <w:rPr>
          <w:rFonts w:eastAsia="Times New Roman" w:cs="Arial"/>
          <w:color w:val="000000"/>
          <w:szCs w:val="20"/>
          <w:lang w:eastAsia="bg-BG"/>
        </w:rPr>
      </w:pPr>
    </w:p>
    <w:p w14:paraId="5CEA57C4" w14:textId="4BDB8662" w:rsidR="008608CB" w:rsidRPr="00DC5616" w:rsidRDefault="008608CB" w:rsidP="008608CB">
      <w:pPr>
        <w:rPr>
          <w:rFonts w:eastAsia="Times New Roman" w:cs="Arial"/>
          <w:color w:val="000000"/>
          <w:szCs w:val="20"/>
          <w:lang w:eastAsia="bg-BG"/>
        </w:rPr>
      </w:pPr>
      <w:r w:rsidRPr="00DC5616">
        <w:rPr>
          <w:rFonts w:eastAsia="Times New Roman" w:cs="Arial"/>
          <w:color w:val="000000"/>
          <w:szCs w:val="20"/>
          <w:lang w:eastAsia="bg-BG"/>
        </w:rPr>
        <w:t>При педиатричната популация не са проучвани (дългосрочни) ефекти върху хормоналния статус.</w:t>
      </w:r>
    </w:p>
    <w:p w14:paraId="3FBF4CDF" w14:textId="77777777" w:rsidR="00DC5616" w:rsidRPr="008608CB" w:rsidRDefault="00DC5616" w:rsidP="008608CB">
      <w:pPr>
        <w:rPr>
          <w:lang w:val="ru-RU"/>
        </w:rPr>
      </w:pPr>
    </w:p>
    <w:p w14:paraId="78DD93AA" w14:textId="102603DD" w:rsidR="00B6672E" w:rsidRDefault="002C50EE" w:rsidP="00936AD0">
      <w:pPr>
        <w:pStyle w:val="Heading2"/>
      </w:pPr>
      <w:r>
        <w:t>5.2. Фармакокинетични свойства</w:t>
      </w:r>
    </w:p>
    <w:p w14:paraId="1D6EEE75" w14:textId="43BEC8AF" w:rsidR="00DC5616" w:rsidRDefault="00DC5616" w:rsidP="00DC5616"/>
    <w:p w14:paraId="5224FC6B" w14:textId="77777777" w:rsidR="00DC5616" w:rsidRPr="00DC5616" w:rsidRDefault="00DC5616" w:rsidP="00DC5616">
      <w:pPr>
        <w:pStyle w:val="Heading3"/>
        <w:rPr>
          <w:rFonts w:eastAsia="Times New Roman"/>
          <w:sz w:val="28"/>
          <w:u w:val="single"/>
        </w:rPr>
      </w:pPr>
      <w:r w:rsidRPr="00DC5616">
        <w:rPr>
          <w:rFonts w:eastAsia="Times New Roman"/>
          <w:u w:val="single"/>
          <w:lang w:eastAsia="bg-BG"/>
        </w:rPr>
        <w:t>Абсорбиия</w:t>
      </w:r>
    </w:p>
    <w:p w14:paraId="56780FCB" w14:textId="77777777" w:rsidR="00DC5616" w:rsidRPr="00DC5616" w:rsidRDefault="00DC5616" w:rsidP="00DC5616">
      <w:pPr>
        <w:rPr>
          <w:rFonts w:eastAsia="Times New Roman" w:cs="Arial"/>
          <w:color w:val="000000"/>
          <w:szCs w:val="20"/>
          <w:lang w:eastAsia="bg-BG"/>
        </w:rPr>
      </w:pPr>
    </w:p>
    <w:p w14:paraId="0925B4AC" w14:textId="5702C64C" w:rsidR="00DC5616" w:rsidRPr="00DC5616" w:rsidRDefault="00DC5616" w:rsidP="00DC5616">
      <w:pPr>
        <w:rPr>
          <w:rFonts w:eastAsia="Times New Roman" w:cs="Arial"/>
          <w:color w:val="000000"/>
          <w:szCs w:val="20"/>
          <w:lang w:eastAsia="bg-BG"/>
        </w:rPr>
      </w:pPr>
      <w:r w:rsidRPr="00DC5616">
        <w:rPr>
          <w:rFonts w:eastAsia="Times New Roman" w:cs="Arial"/>
          <w:color w:val="000000"/>
          <w:szCs w:val="20"/>
          <w:lang w:eastAsia="bg-BG"/>
        </w:rPr>
        <w:lastRenderedPageBreak/>
        <w:t xml:space="preserve">Абсолютната бионаличност на еплеренон е 69% след перорално приложение на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таблетка. Максимални плазмени концентрации се достигат след около 1,5 до 2 часа. Както максималните плазмени концентрации (Сщах), така и площта под кривата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са пропорционални на дозата при дозировки от 10 до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 по-слабо пропорционални при дози над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Равновесни концентрации се достигат в рамките на 2 дни. Абсорбциията не се влияе от храна.</w:t>
      </w:r>
    </w:p>
    <w:p w14:paraId="207E2C80" w14:textId="237DEAA4" w:rsidR="00DC5616" w:rsidRPr="00DC5616" w:rsidRDefault="00DC5616" w:rsidP="00DC5616">
      <w:pPr>
        <w:rPr>
          <w:rFonts w:eastAsia="Times New Roman" w:cs="Arial"/>
          <w:color w:val="000000"/>
          <w:szCs w:val="20"/>
          <w:lang w:eastAsia="bg-BG"/>
        </w:rPr>
      </w:pPr>
    </w:p>
    <w:p w14:paraId="656E25BF" w14:textId="77777777" w:rsidR="00DC5616" w:rsidRPr="00DC5616" w:rsidRDefault="00DC5616" w:rsidP="00DC5616">
      <w:pPr>
        <w:pStyle w:val="Heading3"/>
        <w:rPr>
          <w:rFonts w:eastAsia="Times New Roman"/>
          <w:sz w:val="28"/>
          <w:u w:val="single"/>
        </w:rPr>
      </w:pPr>
      <w:r w:rsidRPr="00DC5616">
        <w:rPr>
          <w:rFonts w:eastAsia="Times New Roman"/>
          <w:u w:val="single"/>
          <w:lang w:eastAsia="bg-BG"/>
        </w:rPr>
        <w:t>Разпределение</w:t>
      </w:r>
    </w:p>
    <w:p w14:paraId="3C9084E7" w14:textId="77777777" w:rsidR="00DC5616" w:rsidRPr="00DC5616" w:rsidRDefault="00DC5616" w:rsidP="00DC5616">
      <w:pPr>
        <w:spacing w:line="240" w:lineRule="auto"/>
        <w:rPr>
          <w:rFonts w:eastAsia="Times New Roman" w:cs="Arial"/>
          <w:color w:val="000000"/>
          <w:szCs w:val="20"/>
          <w:lang w:eastAsia="bg-BG"/>
        </w:rPr>
      </w:pPr>
    </w:p>
    <w:p w14:paraId="4DAB0B32" w14:textId="13F1C14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Свързването на еплеренон с плазмените протеини е около 50% и е предимно с алфа-1-кисели гликопротеини. Привидният обем на разпределение при равновесни концентрации се изчислява на 42-901, Еплеренон не се свързва преференциално с еритроцитите.</w:t>
      </w:r>
    </w:p>
    <w:p w14:paraId="42A19BC7" w14:textId="77777777" w:rsidR="00DC5616" w:rsidRPr="00DC5616" w:rsidRDefault="00DC5616" w:rsidP="00DC5616">
      <w:pPr>
        <w:spacing w:line="240" w:lineRule="auto"/>
        <w:rPr>
          <w:rFonts w:eastAsia="Times New Roman" w:cs="Arial"/>
          <w:i/>
          <w:iCs/>
          <w:color w:val="000000"/>
          <w:szCs w:val="20"/>
          <w:u w:val="single"/>
          <w:lang w:eastAsia="bg-BG"/>
        </w:rPr>
      </w:pPr>
    </w:p>
    <w:p w14:paraId="35D94BD7" w14:textId="0F477008" w:rsidR="00DC5616" w:rsidRPr="00DC5616" w:rsidRDefault="00DC5616" w:rsidP="00DC5616">
      <w:pPr>
        <w:pStyle w:val="Heading3"/>
        <w:rPr>
          <w:rFonts w:eastAsia="Times New Roman"/>
          <w:sz w:val="28"/>
          <w:u w:val="single"/>
        </w:rPr>
      </w:pPr>
      <w:r w:rsidRPr="00DC5616">
        <w:rPr>
          <w:rFonts w:eastAsia="Times New Roman"/>
          <w:u w:val="single"/>
          <w:lang w:eastAsia="bg-BG"/>
        </w:rPr>
        <w:t>Биотрансформация</w:t>
      </w:r>
    </w:p>
    <w:p w14:paraId="13A5C1F3" w14:textId="77777777" w:rsidR="00DC5616" w:rsidRPr="00DC5616" w:rsidRDefault="00DC5616" w:rsidP="00DC5616">
      <w:pPr>
        <w:spacing w:line="240" w:lineRule="auto"/>
        <w:rPr>
          <w:rFonts w:eastAsia="Times New Roman" w:cs="Arial"/>
          <w:color w:val="000000"/>
          <w:szCs w:val="20"/>
          <w:lang w:eastAsia="bg-BG"/>
        </w:rPr>
      </w:pPr>
    </w:p>
    <w:p w14:paraId="6C3F464D" w14:textId="4CE1F5F6"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Метаболизмът на еплеренон се осъществява главно чрез </w:t>
      </w:r>
      <w:r w:rsidRPr="00DC5616">
        <w:rPr>
          <w:rFonts w:eastAsia="Times New Roman" w:cs="Arial"/>
          <w:color w:val="000000"/>
          <w:szCs w:val="20"/>
          <w:lang w:val="en-US"/>
        </w:rPr>
        <w:t>CYP</w:t>
      </w:r>
      <w:r w:rsidRPr="00DC5616">
        <w:rPr>
          <w:rFonts w:eastAsia="Times New Roman" w:cs="Arial"/>
          <w:color w:val="000000"/>
          <w:szCs w:val="20"/>
          <w:lang w:val="ru-RU"/>
        </w:rPr>
        <w:t>3</w:t>
      </w:r>
      <w:r w:rsidRPr="00DC5616">
        <w:rPr>
          <w:rFonts w:eastAsia="Times New Roman" w:cs="Arial"/>
          <w:color w:val="000000"/>
          <w:szCs w:val="20"/>
          <w:lang w:val="en-US"/>
        </w:rPr>
        <w:t>A</w:t>
      </w:r>
      <w:r w:rsidRPr="00DC5616">
        <w:rPr>
          <w:rFonts w:eastAsia="Times New Roman" w:cs="Arial"/>
          <w:color w:val="000000"/>
          <w:szCs w:val="20"/>
          <w:lang w:val="ru-RU"/>
        </w:rPr>
        <w:t xml:space="preserve">4. </w:t>
      </w:r>
      <w:r w:rsidRPr="00DC5616">
        <w:rPr>
          <w:rFonts w:eastAsia="Times New Roman" w:cs="Arial"/>
          <w:color w:val="000000"/>
          <w:szCs w:val="20"/>
          <w:lang w:eastAsia="bg-BG"/>
        </w:rPr>
        <w:t>В човешката плазма не са идентифицирани активни метаболити на еплеренон.</w:t>
      </w:r>
    </w:p>
    <w:p w14:paraId="143E1547" w14:textId="77777777" w:rsidR="00DC5616" w:rsidRPr="00DC5616" w:rsidRDefault="00DC5616" w:rsidP="00DC5616">
      <w:pPr>
        <w:spacing w:line="240" w:lineRule="auto"/>
        <w:rPr>
          <w:rFonts w:eastAsia="Times New Roman" w:cs="Arial"/>
          <w:i/>
          <w:iCs/>
          <w:color w:val="000000"/>
          <w:szCs w:val="20"/>
          <w:u w:val="single"/>
          <w:lang w:eastAsia="bg-BG"/>
        </w:rPr>
      </w:pPr>
    </w:p>
    <w:p w14:paraId="5278F7F3" w14:textId="590E4A1D" w:rsidR="00DC5616" w:rsidRPr="00DC5616" w:rsidRDefault="00DC5616" w:rsidP="00DC5616">
      <w:pPr>
        <w:pStyle w:val="Heading3"/>
        <w:rPr>
          <w:rFonts w:eastAsia="Times New Roman"/>
          <w:sz w:val="28"/>
          <w:u w:val="single"/>
        </w:rPr>
      </w:pPr>
      <w:r w:rsidRPr="00DC5616">
        <w:rPr>
          <w:rFonts w:eastAsia="Times New Roman"/>
          <w:u w:val="single"/>
          <w:lang w:eastAsia="bg-BG"/>
        </w:rPr>
        <w:t>Елиминиране</w:t>
      </w:r>
    </w:p>
    <w:p w14:paraId="4E8A62F0" w14:textId="77777777" w:rsidR="00DC5616" w:rsidRPr="00DC5616" w:rsidRDefault="00DC5616" w:rsidP="00DC5616">
      <w:pPr>
        <w:spacing w:line="240" w:lineRule="auto"/>
        <w:rPr>
          <w:rFonts w:eastAsia="Times New Roman" w:cs="Arial"/>
          <w:color w:val="000000"/>
          <w:szCs w:val="20"/>
          <w:lang w:eastAsia="bg-BG"/>
        </w:rPr>
      </w:pPr>
    </w:p>
    <w:p w14:paraId="05CD0869" w14:textId="2CC2F6FF"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По-малко от 5% от дозата на еплеренон се открива в непроменен вид в урината и изпражненията. След еднократна перорална доза от радиоактивно-белязано лекарство приблизително 32% от дозата се екскретира в изпражненията, а приблизително 67% се екскретира в урината. Времето на полуживот на еплеренон е приблизително 3 до 6 часа.</w:t>
      </w:r>
    </w:p>
    <w:p w14:paraId="25C86389"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Привидният плазмен клирънс е приблизително 10 1/час</w:t>
      </w:r>
    </w:p>
    <w:p w14:paraId="2CBFA981" w14:textId="77777777" w:rsidR="00DC5616" w:rsidRPr="00DC5616" w:rsidRDefault="00DC5616" w:rsidP="00DC5616">
      <w:pPr>
        <w:spacing w:line="240" w:lineRule="auto"/>
        <w:rPr>
          <w:rFonts w:eastAsia="Times New Roman" w:cs="Arial"/>
          <w:color w:val="000000"/>
          <w:szCs w:val="20"/>
          <w:u w:val="single"/>
          <w:lang w:eastAsia="bg-BG"/>
        </w:rPr>
      </w:pPr>
    </w:p>
    <w:p w14:paraId="139F4BE0" w14:textId="2E0263E9" w:rsidR="00DC5616" w:rsidRPr="00DC5616" w:rsidRDefault="00DC5616" w:rsidP="00DC5616">
      <w:pPr>
        <w:pStyle w:val="Heading3"/>
        <w:rPr>
          <w:rFonts w:eastAsia="Times New Roman"/>
          <w:sz w:val="28"/>
          <w:u w:val="single"/>
        </w:rPr>
      </w:pPr>
      <w:r w:rsidRPr="00DC5616">
        <w:rPr>
          <w:rFonts w:eastAsia="Times New Roman"/>
          <w:u w:val="single"/>
          <w:lang w:eastAsia="bg-BG"/>
        </w:rPr>
        <w:t>Специални популации</w:t>
      </w:r>
    </w:p>
    <w:p w14:paraId="714A0779" w14:textId="77777777" w:rsidR="00DC5616" w:rsidRPr="00DC5616" w:rsidRDefault="00DC5616" w:rsidP="00DC5616">
      <w:pPr>
        <w:spacing w:line="240" w:lineRule="auto"/>
        <w:rPr>
          <w:rFonts w:eastAsia="Times New Roman" w:cs="Arial"/>
          <w:i/>
          <w:iCs/>
          <w:color w:val="000000"/>
          <w:szCs w:val="20"/>
          <w:lang w:eastAsia="bg-BG"/>
        </w:rPr>
      </w:pPr>
    </w:p>
    <w:p w14:paraId="612E8054" w14:textId="4FD674C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Възраст, пол и раса:</w:t>
      </w:r>
    </w:p>
    <w:p w14:paraId="4FFDF9F2"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в доза от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е била изследвана в напреднала възраст (&gt; 65 години), при мъже и жени и при черната раса. Фармакокинетиката на еплеренон не се различава значимо при мъже и жени. При равновесни концентрации при лица в напреднала възраст има нарастване на Сщах (22%) и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(45%) в сравнение с лица в млада възраст (18 - 45 години). При равновесни плазмени концентрации Сщах е с 19% по-ниска, а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с 26% по-ниска при чернокожи лица (вж. точка 4.2).</w:t>
      </w:r>
    </w:p>
    <w:p w14:paraId="64015A5F" w14:textId="77777777" w:rsidR="00DC5616" w:rsidRPr="00DC5616" w:rsidRDefault="00DC5616" w:rsidP="00DC5616">
      <w:pPr>
        <w:spacing w:line="240" w:lineRule="auto"/>
        <w:rPr>
          <w:rFonts w:eastAsia="Times New Roman" w:cs="Arial"/>
          <w:i/>
          <w:iCs/>
          <w:color w:val="000000"/>
          <w:szCs w:val="20"/>
          <w:lang w:eastAsia="bg-BG"/>
        </w:rPr>
      </w:pPr>
    </w:p>
    <w:p w14:paraId="5D6A942D" w14:textId="400D945C"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Педиатрична популация:</w:t>
      </w:r>
    </w:p>
    <w:p w14:paraId="5CC36554"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Популационен фармако кин етичен модел на концентрациите на еплеренон от две проучвания върху 51 педиатрични пациенти с хипертония на възраст от 4 до 16 години установява, че телесното тегло на пациента има статистически значим ефект върху обема на разпределение на еплеренон, но не и върху неговия клирънс. Обемът на разпределение на еплеренон и пиковите стойности на експозиция при педиатричен пациент с по-голямо телесно тегло според прогнозата ще са подобни на тези при възрастен със същото телесно тегло; при пациент с по- ниско тегло под 45 </w:t>
      </w:r>
      <w:r w:rsidRPr="00DC5616">
        <w:rPr>
          <w:rFonts w:eastAsia="Times New Roman" w:cs="Arial"/>
          <w:color w:val="000000"/>
          <w:szCs w:val="20"/>
          <w:lang w:val="en-US"/>
        </w:rPr>
        <w:t>kg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обемът на разпределение е около 40% по-малък и според прогнозите, а пиковите стойности на експозицията ще бъдат по-високи от типичните за възрастни. Лечението с еплеренон при педиатричните пациенти е започвало с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и повишено до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два пъти дневно след 2 седмици, -и евентуално до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два пъти дневно, ако е имало </w:t>
      </w:r>
      <w:r w:rsidRPr="00DC5616">
        <w:rPr>
          <w:rFonts w:eastAsia="Times New Roman" w:cs="Arial"/>
          <w:color w:val="000000"/>
          <w:szCs w:val="20"/>
          <w:lang w:eastAsia="bg-BG"/>
        </w:rPr>
        <w:lastRenderedPageBreak/>
        <w:t xml:space="preserve">клинични показания. При посочените дози най-високите установени концентрации на еплеренон при педиатричните участници не са били значително по-високи, отколкото при възрастни, при които лечението е било започнато с начална доза от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w:t>
      </w:r>
    </w:p>
    <w:p w14:paraId="26D8F249" w14:textId="77777777" w:rsidR="00DC5616" w:rsidRPr="00DC5616" w:rsidRDefault="00DC5616" w:rsidP="00DC5616">
      <w:pPr>
        <w:spacing w:line="240" w:lineRule="auto"/>
        <w:rPr>
          <w:rFonts w:eastAsia="Times New Roman" w:cs="Arial"/>
          <w:i/>
          <w:iCs/>
          <w:color w:val="000000"/>
          <w:szCs w:val="20"/>
          <w:lang w:eastAsia="bg-BG"/>
        </w:rPr>
      </w:pPr>
    </w:p>
    <w:p w14:paraId="4F131F55" w14:textId="22F4DD4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Бъбречна недостатъчност:</w:t>
      </w:r>
    </w:p>
    <w:p w14:paraId="2BA5D539" w14:textId="6BD3B508" w:rsidR="00DC5616" w:rsidRPr="00DC5616" w:rsidRDefault="00DC5616" w:rsidP="00DC5616">
      <w:pPr>
        <w:spacing w:line="240" w:lineRule="auto"/>
        <w:rPr>
          <w:rFonts w:eastAsia="Times New Roman" w:cs="Arial"/>
          <w:color w:val="000000"/>
          <w:szCs w:val="20"/>
          <w:lang w:eastAsia="bg-BG"/>
        </w:rPr>
      </w:pPr>
      <w:r w:rsidRPr="00DC5616">
        <w:rPr>
          <w:rFonts w:eastAsia="Times New Roman" w:cs="Arial"/>
          <w:color w:val="000000"/>
          <w:szCs w:val="20"/>
          <w:lang w:eastAsia="bg-BG"/>
        </w:rPr>
        <w:t xml:space="preserve">Фармакокинетиката на еплеренон е оценена при пациенти с различна степен на бъбречна недостатъчност и при пациенти на хемодиализа. В сравнение с контролни лица равновесните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и С</w:t>
      </w:r>
      <w:r w:rsidRPr="00DC5616">
        <w:rPr>
          <w:rFonts w:eastAsia="Times New Roman" w:cs="Arial"/>
          <w:color w:val="000000"/>
          <w:szCs w:val="20"/>
          <w:lang w:val="en-US"/>
        </w:rPr>
        <w:t>m</w:t>
      </w:r>
      <w:r w:rsidRPr="00DC5616">
        <w:rPr>
          <w:rFonts w:eastAsia="Times New Roman" w:cs="Arial"/>
          <w:color w:val="000000"/>
          <w:szCs w:val="20"/>
          <w:lang w:eastAsia="bg-BG"/>
        </w:rPr>
        <w:t>ах са съответно с 38% и 24% по-високи при пациенти с тежко бъбречно увреждане и съответно с 26% и 3% по-ниски при пациенти на хемодиализа. Не е наблюдавана корелация между плазмения клирънс на еплеренон и креатининовия клирънс. Еплеренон не се диализира (вж. точка 4.4).</w:t>
      </w:r>
    </w:p>
    <w:p w14:paraId="33D4DDEE" w14:textId="0852CE34" w:rsidR="00DC5616" w:rsidRPr="00DC5616" w:rsidRDefault="00DC5616" w:rsidP="00DC5616">
      <w:pPr>
        <w:spacing w:line="240" w:lineRule="auto"/>
        <w:rPr>
          <w:rFonts w:eastAsia="Times New Roman" w:cs="Arial"/>
          <w:color w:val="000000"/>
          <w:szCs w:val="20"/>
          <w:lang w:eastAsia="bg-BG"/>
        </w:rPr>
      </w:pPr>
    </w:p>
    <w:p w14:paraId="73EA8499" w14:textId="77777777"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Чернодробна недостатъчност:</w:t>
      </w:r>
    </w:p>
    <w:p w14:paraId="06EDC5AF"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400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изследвана при пациенти с умерено чернодробно увреждане </w:t>
      </w:r>
      <w:r w:rsidRPr="00DC5616">
        <w:rPr>
          <w:rFonts w:eastAsia="Times New Roman" w:cs="Arial"/>
          <w:color w:val="000000"/>
          <w:szCs w:val="20"/>
          <w:lang w:val="ru-RU"/>
        </w:rPr>
        <w:t>(</w:t>
      </w:r>
      <w:r w:rsidRPr="00DC5616">
        <w:rPr>
          <w:rFonts w:eastAsia="Times New Roman" w:cs="Arial"/>
          <w:color w:val="000000"/>
          <w:szCs w:val="20"/>
          <w:lang w:val="en-US"/>
        </w:rPr>
        <w:t>Child</w:t>
      </w:r>
      <w:r w:rsidRPr="00DC5616">
        <w:rPr>
          <w:rFonts w:eastAsia="Times New Roman" w:cs="Arial"/>
          <w:color w:val="000000"/>
          <w:szCs w:val="20"/>
          <w:lang w:val="ru-RU"/>
        </w:rPr>
        <w:t>-</w:t>
      </w:r>
      <w:r w:rsidRPr="00DC5616">
        <w:rPr>
          <w:rFonts w:eastAsia="Times New Roman" w:cs="Arial"/>
          <w:color w:val="000000"/>
          <w:szCs w:val="20"/>
          <w:lang w:val="en-US"/>
        </w:rPr>
        <w:t>Pugh</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В) и сравнена с тази при здрави доброволци. Равновесните Сщах и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на еплеренон са съответно с 3,6% и с 42% по-високи (вж. точка 4.2). Тъй като употребата на еплеренон не е изследвана при пациенти с тежка чернодробна недостатъчност, това лекарство е противопоказано при тази група пациенти (вж.</w:t>
      </w:r>
    </w:p>
    <w:p w14:paraId="6AC59055"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точка 4.3).</w:t>
      </w:r>
    </w:p>
    <w:p w14:paraId="6F418C20" w14:textId="77777777" w:rsidR="00DC5616" w:rsidRPr="00DC5616" w:rsidRDefault="00DC5616" w:rsidP="00DC5616">
      <w:pPr>
        <w:spacing w:line="240" w:lineRule="auto"/>
        <w:rPr>
          <w:rFonts w:eastAsia="Times New Roman" w:cs="Arial"/>
          <w:i/>
          <w:iCs/>
          <w:color w:val="000000"/>
          <w:szCs w:val="20"/>
          <w:lang w:eastAsia="bg-BG"/>
        </w:rPr>
      </w:pPr>
    </w:p>
    <w:p w14:paraId="383EEAD7" w14:textId="5BFC0B1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Сърдечна недостатъчност:</w:t>
      </w:r>
    </w:p>
    <w:p w14:paraId="60C40B8D"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е оценена при пациенти със сърдечна недостатъчност (</w:t>
      </w:r>
      <w:r w:rsidRPr="00DC5616">
        <w:rPr>
          <w:rFonts w:eastAsia="Times New Roman" w:cs="Arial"/>
          <w:color w:val="000000"/>
          <w:szCs w:val="20"/>
          <w:lang w:val="en-US"/>
        </w:rPr>
        <w:t>II</w:t>
      </w:r>
      <w:r w:rsidRPr="00DC5616">
        <w:rPr>
          <w:rFonts w:eastAsia="Times New Roman" w:cs="Arial"/>
          <w:color w:val="000000"/>
          <w:szCs w:val="20"/>
          <w:lang w:val="ru-RU"/>
        </w:rPr>
        <w:t>-</w:t>
      </w:r>
      <w:r w:rsidRPr="00DC5616">
        <w:rPr>
          <w:rFonts w:eastAsia="Times New Roman" w:cs="Arial"/>
          <w:color w:val="000000"/>
          <w:szCs w:val="20"/>
          <w:lang w:val="en-US"/>
        </w:rPr>
        <w:t>IV</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 сравнение със съответни по възраст, телесно тегло и пол здрави лица равновесните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и С</w:t>
      </w:r>
      <w:r w:rsidRPr="00DC5616">
        <w:rPr>
          <w:rFonts w:eastAsia="Times New Roman" w:cs="Arial"/>
          <w:color w:val="000000"/>
          <w:szCs w:val="20"/>
          <w:lang w:val="en-US"/>
        </w:rPr>
        <w:t>max</w:t>
      </w:r>
      <w:r w:rsidRPr="00DC5616">
        <w:rPr>
          <w:rFonts w:eastAsia="Times New Roman" w:cs="Arial"/>
          <w:color w:val="000000"/>
          <w:szCs w:val="20"/>
          <w:lang w:eastAsia="bg-BG"/>
        </w:rPr>
        <w:t xml:space="preserve"> при пациенти със сърдечна недостатъчност са съответно с 38% и с 30% по-високи. В съответствие с тези резултати популационният фармакокинетичен анализ на еплеренон, направен въз основа на данните при подгрупа пациенти от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показва, че клирънсът на еплеренон при пациенти със сърдечна недостатъчност е сходен с този при здрави лица в напреднала възраст.</w:t>
      </w:r>
    </w:p>
    <w:p w14:paraId="309F5BA3" w14:textId="4546DE86" w:rsidR="00DC5616" w:rsidRPr="00DC5616" w:rsidRDefault="00DC5616" w:rsidP="00DC5616"/>
    <w:p w14:paraId="4FB791BE" w14:textId="4AD38994" w:rsidR="00B6672E" w:rsidRDefault="002C50EE" w:rsidP="00936AD0">
      <w:pPr>
        <w:pStyle w:val="Heading2"/>
      </w:pPr>
      <w:r>
        <w:t>5.3. Предклинични данни за безопасност</w:t>
      </w:r>
    </w:p>
    <w:p w14:paraId="3051D6DF" w14:textId="4EACF643" w:rsidR="00DC5616" w:rsidRDefault="00DC5616" w:rsidP="00DC5616"/>
    <w:p w14:paraId="30AC86EA" w14:textId="77777777" w:rsidR="00DC5616" w:rsidRPr="00DC5616" w:rsidRDefault="00DC5616" w:rsidP="00DC5616">
      <w:pPr>
        <w:rPr>
          <w:sz w:val="24"/>
          <w:szCs w:val="24"/>
        </w:rPr>
      </w:pPr>
      <w:r w:rsidRPr="00DC5616">
        <w:rPr>
          <w:lang w:eastAsia="bg-BG"/>
        </w:rPr>
        <w:t>Предклинични фармакологични проучвания за безопасност, генотоксичност, карциногенен потенциал и репродуктивна токсичност не показват специфични рискове при хора.</w:t>
      </w:r>
    </w:p>
    <w:p w14:paraId="4FC87E7E" w14:textId="77777777" w:rsidR="00DC5616" w:rsidRDefault="00DC5616" w:rsidP="00DC5616">
      <w:pPr>
        <w:rPr>
          <w:lang w:eastAsia="bg-BG"/>
        </w:rPr>
      </w:pPr>
    </w:p>
    <w:p w14:paraId="65C086DD" w14:textId="2602AD8B" w:rsidR="00DC5616" w:rsidRPr="00DC5616" w:rsidRDefault="00DC5616" w:rsidP="00DC5616">
      <w:pPr>
        <w:rPr>
          <w:sz w:val="24"/>
          <w:szCs w:val="24"/>
        </w:rPr>
      </w:pPr>
      <w:r w:rsidRPr="00DC5616">
        <w:rPr>
          <w:lang w:eastAsia="bg-BG"/>
        </w:rPr>
        <w:t>При проучвания за токсичност при многократно приложение е била наблюдавана атрофия на простатата при плъхове и кучета при нива на експозиция малко над нивата при клинична експозиция. Простатните промени не са били свързани с неблагоприятни функционални последствия. Клиничното значение на тези данни е неясно.</w:t>
      </w:r>
    </w:p>
    <w:p w14:paraId="5C704C98" w14:textId="77777777" w:rsidR="00DC5616" w:rsidRPr="00DC5616" w:rsidRDefault="00DC5616" w:rsidP="00DC5616"/>
    <w:p w14:paraId="1BA6531D" w14:textId="59A98F2C" w:rsidR="00B6672E" w:rsidRDefault="002C50EE" w:rsidP="00936AD0">
      <w:pPr>
        <w:pStyle w:val="Heading1"/>
      </w:pPr>
      <w:r>
        <w:t>7. ПРИТЕЖАТЕЛ НА РАЗРЕШЕНИЕТО ЗА УПОТРЕБА</w:t>
      </w:r>
    </w:p>
    <w:p w14:paraId="58E67E4C" w14:textId="1D88185B" w:rsidR="00DC5616" w:rsidRDefault="00DC5616" w:rsidP="00DC5616"/>
    <w:p w14:paraId="3C979FC1" w14:textId="77777777" w:rsidR="00DC5616" w:rsidRPr="00DC5616" w:rsidRDefault="00DC5616" w:rsidP="00DC5616">
      <w:pPr>
        <w:rPr>
          <w:sz w:val="24"/>
          <w:szCs w:val="24"/>
          <w:lang w:val="en-US"/>
        </w:rPr>
      </w:pPr>
      <w:r w:rsidRPr="00DC5616">
        <w:rPr>
          <w:lang w:val="en-US"/>
        </w:rPr>
        <w:t xml:space="preserve">Accord Healthcare </w:t>
      </w:r>
      <w:proofErr w:type="spellStart"/>
      <w:r w:rsidRPr="00DC5616">
        <w:rPr>
          <w:lang w:val="en-US"/>
        </w:rPr>
        <w:t>Polska</w:t>
      </w:r>
      <w:proofErr w:type="spellEnd"/>
      <w:r w:rsidRPr="00DC5616">
        <w:rPr>
          <w:lang w:val="en-US"/>
        </w:rPr>
        <w:t xml:space="preserve"> Sp. z </w:t>
      </w:r>
      <w:proofErr w:type="spellStart"/>
      <w:r w:rsidRPr="00DC5616">
        <w:rPr>
          <w:lang w:val="en-US"/>
        </w:rPr>
        <w:t>o.o</w:t>
      </w:r>
      <w:proofErr w:type="spellEnd"/>
      <w:proofErr w:type="gramStart"/>
      <w:r w:rsidRPr="00DC5616">
        <w:rPr>
          <w:lang w:val="en-US"/>
        </w:rPr>
        <w:t>.,</w:t>
      </w:r>
      <w:proofErr w:type="gramEnd"/>
    </w:p>
    <w:p w14:paraId="1FD8777F" w14:textId="77777777" w:rsidR="00DC5616" w:rsidRPr="00DC5616" w:rsidRDefault="00DC5616" w:rsidP="00DC5616">
      <w:pPr>
        <w:rPr>
          <w:sz w:val="24"/>
          <w:szCs w:val="24"/>
          <w:lang w:val="ru-RU"/>
        </w:rPr>
      </w:pPr>
      <w:proofErr w:type="spellStart"/>
      <w:proofErr w:type="gramStart"/>
      <w:r w:rsidRPr="00DC5616">
        <w:rPr>
          <w:lang w:val="en-US"/>
        </w:rPr>
        <w:t>ul</w:t>
      </w:r>
      <w:proofErr w:type="spellEnd"/>
      <w:proofErr w:type="gramEnd"/>
      <w:r w:rsidRPr="00DC5616">
        <w:rPr>
          <w:lang w:val="ru-RU"/>
        </w:rPr>
        <w:t xml:space="preserve">. </w:t>
      </w:r>
      <w:proofErr w:type="spellStart"/>
      <w:r w:rsidRPr="00DC5616">
        <w:rPr>
          <w:lang w:val="en-US"/>
        </w:rPr>
        <w:t>Tasmowa</w:t>
      </w:r>
      <w:proofErr w:type="spellEnd"/>
      <w:r w:rsidRPr="00DC5616">
        <w:rPr>
          <w:lang w:val="ru-RU"/>
        </w:rPr>
        <w:t xml:space="preserve"> 7,</w:t>
      </w:r>
    </w:p>
    <w:p w14:paraId="4E6D0872" w14:textId="77777777" w:rsidR="00DC5616" w:rsidRPr="00DC5616" w:rsidRDefault="00DC5616" w:rsidP="00DC5616">
      <w:pPr>
        <w:rPr>
          <w:sz w:val="24"/>
          <w:szCs w:val="24"/>
          <w:lang w:val="ru-RU"/>
        </w:rPr>
      </w:pPr>
      <w:r w:rsidRPr="00DC5616">
        <w:rPr>
          <w:lang w:val="ru-RU"/>
        </w:rPr>
        <w:t xml:space="preserve">02-677, </w:t>
      </w:r>
      <w:r w:rsidRPr="00DC5616">
        <w:rPr>
          <w:lang w:val="en-US"/>
        </w:rPr>
        <w:t>Warszawa</w:t>
      </w:r>
      <w:r w:rsidRPr="00DC5616">
        <w:rPr>
          <w:lang w:val="ru-RU"/>
        </w:rPr>
        <w:t xml:space="preserve">, </w:t>
      </w:r>
      <w:proofErr w:type="spellStart"/>
      <w:r w:rsidRPr="00DC5616">
        <w:rPr>
          <w:lang w:val="en-US"/>
        </w:rPr>
        <w:t>Mazowieckie</w:t>
      </w:r>
      <w:proofErr w:type="spellEnd"/>
      <w:r w:rsidRPr="00DC5616">
        <w:rPr>
          <w:lang w:val="ru-RU"/>
        </w:rPr>
        <w:t>,</w:t>
      </w:r>
    </w:p>
    <w:p w14:paraId="47E9D7ED" w14:textId="77777777" w:rsidR="00DC5616" w:rsidRPr="00DC5616" w:rsidRDefault="00DC5616" w:rsidP="00DC5616">
      <w:pPr>
        <w:rPr>
          <w:sz w:val="24"/>
          <w:szCs w:val="24"/>
          <w:lang w:val="ru-RU"/>
        </w:rPr>
      </w:pPr>
      <w:r w:rsidRPr="00DC5616">
        <w:rPr>
          <w:lang w:eastAsia="bg-BG"/>
        </w:rPr>
        <w:lastRenderedPageBreak/>
        <w:t>Полша</w:t>
      </w:r>
    </w:p>
    <w:p w14:paraId="091B205F" w14:textId="77777777" w:rsidR="00DC5616" w:rsidRPr="00DC5616" w:rsidRDefault="00DC5616" w:rsidP="00DC5616">
      <w:pPr>
        <w:rPr>
          <w:lang w:val="ru-RU"/>
        </w:rPr>
      </w:pPr>
    </w:p>
    <w:p w14:paraId="508F3A54" w14:textId="710D891E" w:rsidR="00B6672E" w:rsidRDefault="00936AD0" w:rsidP="00936AD0">
      <w:pPr>
        <w:pStyle w:val="Heading1"/>
      </w:pPr>
      <w:r>
        <w:t>8.</w:t>
      </w:r>
      <w:r w:rsidR="002C50EE">
        <w:t>НОМЕР НА РАЗРЕШЕНИЕТО ЗА УПОТРЕБА</w:t>
      </w:r>
    </w:p>
    <w:p w14:paraId="2F5244ED" w14:textId="022B09D9" w:rsidR="00DC5616" w:rsidRDefault="00DC5616" w:rsidP="00DC5616"/>
    <w:p w14:paraId="35857887" w14:textId="77777777" w:rsidR="00DC5616" w:rsidRPr="00DC5616" w:rsidRDefault="00DC5616" w:rsidP="00DC5616">
      <w:pPr>
        <w:rPr>
          <w:sz w:val="24"/>
          <w:szCs w:val="24"/>
        </w:rPr>
      </w:pPr>
      <w:r w:rsidRPr="00DC5616">
        <w:rPr>
          <w:lang w:eastAsia="bg-BG"/>
        </w:rPr>
        <w:t xml:space="preserve">Еплеренон Акорд 25 </w:t>
      </w:r>
      <w:r w:rsidRPr="00DC5616">
        <w:rPr>
          <w:lang w:val="en-US"/>
        </w:rPr>
        <w:t>mg</w:t>
      </w:r>
      <w:r w:rsidRPr="00DC5616">
        <w:rPr>
          <w:lang w:val="ru-RU"/>
        </w:rPr>
        <w:t xml:space="preserve"> </w:t>
      </w:r>
      <w:r w:rsidRPr="00DC5616">
        <w:rPr>
          <w:lang w:eastAsia="bg-BG"/>
        </w:rPr>
        <w:t>филмирани таблетки - Рег.№ 20150425</w:t>
      </w:r>
    </w:p>
    <w:p w14:paraId="5C6DACA8" w14:textId="77777777" w:rsidR="00DC5616" w:rsidRPr="00DC5616" w:rsidRDefault="00DC5616" w:rsidP="00DC5616">
      <w:pPr>
        <w:rPr>
          <w:sz w:val="24"/>
          <w:szCs w:val="24"/>
        </w:rPr>
      </w:pPr>
      <w:r w:rsidRPr="00DC5616">
        <w:rPr>
          <w:lang w:eastAsia="bg-BG"/>
        </w:rPr>
        <w:t xml:space="preserve">Еплеренон Акорд 50 </w:t>
      </w:r>
      <w:r w:rsidRPr="00DC5616">
        <w:rPr>
          <w:lang w:val="en-US"/>
        </w:rPr>
        <w:t>mg</w:t>
      </w:r>
      <w:r w:rsidRPr="00DC5616">
        <w:rPr>
          <w:lang w:val="ru-RU"/>
        </w:rPr>
        <w:t xml:space="preserve"> </w:t>
      </w:r>
      <w:r w:rsidRPr="00DC5616">
        <w:rPr>
          <w:lang w:eastAsia="bg-BG"/>
        </w:rPr>
        <w:t>филмирани таблетки- Рег.№ 20150426</w:t>
      </w:r>
    </w:p>
    <w:p w14:paraId="482583D4" w14:textId="77777777" w:rsidR="00DC5616" w:rsidRPr="00DC5616" w:rsidRDefault="00DC5616" w:rsidP="00DC5616"/>
    <w:p w14:paraId="2CCB5832" w14:textId="76858C29" w:rsidR="007C605B" w:rsidRDefault="002C50EE" w:rsidP="007C605B">
      <w:pPr>
        <w:pStyle w:val="Heading1"/>
      </w:pPr>
      <w:r>
        <w:t>9. ДАТА НА ПЪРВО РАЗРЕШАВАНЕ/ПОДНОВЯВАНЕ НА РАЗРЕШЕНИЕТО ЗА УПОТРЕБА</w:t>
      </w:r>
    </w:p>
    <w:p w14:paraId="7C5EE6A5" w14:textId="5FC33B8E" w:rsidR="00DC5616" w:rsidRDefault="00DC5616" w:rsidP="00DC5616"/>
    <w:p w14:paraId="5FD09AEA" w14:textId="68534316" w:rsidR="00DC5616" w:rsidRDefault="00DC5616" w:rsidP="00DC5616">
      <w:pPr>
        <w:rPr>
          <w:lang w:eastAsia="bg-BG"/>
        </w:rPr>
      </w:pPr>
      <w:r w:rsidRPr="00DC5616">
        <w:rPr>
          <w:lang w:eastAsia="bg-BG"/>
        </w:rPr>
        <w:t>Дата на първо разрешаване: 14.12.2015 г.</w:t>
      </w:r>
    </w:p>
    <w:p w14:paraId="5D41A4B1" w14:textId="77777777" w:rsidR="00DC5616" w:rsidRPr="00DC5616" w:rsidRDefault="00DC5616" w:rsidP="00DC5616">
      <w:pPr>
        <w:rPr>
          <w:sz w:val="24"/>
          <w:szCs w:val="24"/>
        </w:rPr>
      </w:pPr>
    </w:p>
    <w:p w14:paraId="0E9D0119" w14:textId="0245C6D7" w:rsidR="002C50EE" w:rsidRDefault="002C50EE" w:rsidP="002C50EE">
      <w:pPr>
        <w:pStyle w:val="Heading1"/>
      </w:pPr>
      <w:r>
        <w:t>10. ДАТА НА АКТУАЛИЗИРАНЕ НА ТЕКСТА</w:t>
      </w:r>
    </w:p>
    <w:bookmarkEnd w:id="0"/>
    <w:p w14:paraId="43FB38A2" w14:textId="660FDCDE" w:rsidR="007C605B" w:rsidRPr="003E3126" w:rsidRDefault="00DC5616" w:rsidP="00DC5616">
      <w:r>
        <w:t>Декември 2018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7E3B1F"/>
    <w:multiLevelType w:val="hybridMultilevel"/>
    <w:tmpl w:val="C45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C16"/>
    <w:multiLevelType w:val="hybridMultilevel"/>
    <w:tmpl w:val="8DB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2FB5454"/>
    <w:multiLevelType w:val="hybridMultilevel"/>
    <w:tmpl w:val="0D98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7FBE"/>
    <w:multiLevelType w:val="hybridMultilevel"/>
    <w:tmpl w:val="C552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8"/>
  </w:num>
  <w:num w:numId="4">
    <w:abstractNumId w:val="3"/>
  </w:num>
  <w:num w:numId="5">
    <w:abstractNumId w:val="1"/>
  </w:num>
  <w:num w:numId="6">
    <w:abstractNumId w:val="21"/>
  </w:num>
  <w:num w:numId="7">
    <w:abstractNumId w:val="16"/>
  </w:num>
  <w:num w:numId="8">
    <w:abstractNumId w:val="20"/>
  </w:num>
  <w:num w:numId="9">
    <w:abstractNumId w:val="2"/>
  </w:num>
  <w:num w:numId="10">
    <w:abstractNumId w:val="4"/>
  </w:num>
  <w:num w:numId="11">
    <w:abstractNumId w:val="35"/>
  </w:num>
  <w:num w:numId="12">
    <w:abstractNumId w:val="19"/>
  </w:num>
  <w:num w:numId="13">
    <w:abstractNumId w:val="24"/>
  </w:num>
  <w:num w:numId="14">
    <w:abstractNumId w:val="17"/>
  </w:num>
  <w:num w:numId="15">
    <w:abstractNumId w:val="34"/>
  </w:num>
  <w:num w:numId="16">
    <w:abstractNumId w:val="15"/>
  </w:num>
  <w:num w:numId="17">
    <w:abstractNumId w:val="29"/>
  </w:num>
  <w:num w:numId="18">
    <w:abstractNumId w:val="11"/>
  </w:num>
  <w:num w:numId="19">
    <w:abstractNumId w:val="31"/>
  </w:num>
  <w:num w:numId="20">
    <w:abstractNumId w:val="28"/>
  </w:num>
  <w:num w:numId="21">
    <w:abstractNumId w:val="22"/>
  </w:num>
  <w:num w:numId="22">
    <w:abstractNumId w:val="30"/>
  </w:num>
  <w:num w:numId="23">
    <w:abstractNumId w:val="23"/>
  </w:num>
  <w:num w:numId="24">
    <w:abstractNumId w:val="13"/>
  </w:num>
  <w:num w:numId="25">
    <w:abstractNumId w:val="27"/>
  </w:num>
  <w:num w:numId="26">
    <w:abstractNumId w:val="26"/>
  </w:num>
  <w:num w:numId="27">
    <w:abstractNumId w:val="36"/>
  </w:num>
  <w:num w:numId="28">
    <w:abstractNumId w:val="8"/>
  </w:num>
  <w:num w:numId="29">
    <w:abstractNumId w:val="25"/>
  </w:num>
  <w:num w:numId="30">
    <w:abstractNumId w:val="39"/>
  </w:num>
  <w:num w:numId="31">
    <w:abstractNumId w:val="7"/>
  </w:num>
  <w:num w:numId="32">
    <w:abstractNumId w:val="38"/>
  </w:num>
  <w:num w:numId="33">
    <w:abstractNumId w:val="33"/>
  </w:num>
  <w:num w:numId="34">
    <w:abstractNumId w:val="37"/>
  </w:num>
  <w:num w:numId="35">
    <w:abstractNumId w:val="10"/>
  </w:num>
  <w:num w:numId="36">
    <w:abstractNumId w:val="14"/>
  </w:num>
  <w:num w:numId="37">
    <w:abstractNumId w:val="6"/>
  </w:num>
  <w:num w:numId="38">
    <w:abstractNumId w:val="5"/>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608CB"/>
    <w:rsid w:val="00893B92"/>
    <w:rsid w:val="008A6AF2"/>
    <w:rsid w:val="008C70A2"/>
    <w:rsid w:val="00936AD0"/>
    <w:rsid w:val="009773E4"/>
    <w:rsid w:val="009B171C"/>
    <w:rsid w:val="009F1313"/>
    <w:rsid w:val="00A20351"/>
    <w:rsid w:val="00A65A81"/>
    <w:rsid w:val="00AA23EC"/>
    <w:rsid w:val="00AC63CE"/>
    <w:rsid w:val="00AE1D6B"/>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C5616"/>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5002</Words>
  <Characters>28514</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2022-07-26T17:37:00Z</dcterms:created>
  <dcterms:modified xsi:type="dcterms:W3CDTF">2022-07-26T17:37:00Z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