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21CADA96" w:rsidR="007122AD" w:rsidRDefault="00DD466D" w:rsidP="00936AD0">
      <w:pPr>
        <w:pStyle w:val="Heading1"/>
      </w:pPr>
      <w:r>
        <w:t>1.ИМЕ НА ЛЕКАРСТВЕНИЯ ПРОДУКТ</w:t>
      </w:r>
    </w:p>
    <w:p w14:paraId="7E306390" w14:textId="2168788F" w:rsidR="008F6431" w:rsidRDefault="008F6431" w:rsidP="008F6431"/>
    <w:p w14:paraId="7D31C757" w14:textId="77777777" w:rsidR="008F6431" w:rsidRDefault="008F6431" w:rsidP="008F6431">
      <w:pPr>
        <w:rPr>
          <w:lang w:eastAsia="bg-BG"/>
        </w:rPr>
      </w:pPr>
      <w:r w:rsidRPr="008F6431">
        <w:rPr>
          <w:lang w:eastAsia="bg-BG"/>
        </w:rPr>
        <w:t xml:space="preserve">Ерлотиниб Сандоз 100 </w:t>
      </w:r>
      <w:r w:rsidRPr="008F6431">
        <w:rPr>
          <w:lang w:val="en-US"/>
        </w:rPr>
        <w:t>mg</w:t>
      </w:r>
      <w:r w:rsidRPr="008F6431">
        <w:t xml:space="preserve"> </w:t>
      </w:r>
      <w:r w:rsidRPr="008F6431">
        <w:rPr>
          <w:lang w:eastAsia="bg-BG"/>
        </w:rPr>
        <w:t xml:space="preserve">филмирани таблетки </w:t>
      </w:r>
    </w:p>
    <w:p w14:paraId="44888E0E" w14:textId="28B32F7E" w:rsidR="008F6431" w:rsidRPr="008F6431" w:rsidRDefault="008F6431" w:rsidP="008F6431">
      <w:pPr>
        <w:rPr>
          <w:sz w:val="24"/>
          <w:szCs w:val="24"/>
        </w:rPr>
      </w:pPr>
      <w:r w:rsidRPr="008F6431">
        <w:rPr>
          <w:lang w:eastAsia="bg-BG"/>
        </w:rPr>
        <w:t xml:space="preserve">Ерлотиниб Сандоз 150 </w:t>
      </w:r>
      <w:r w:rsidRPr="008F6431">
        <w:rPr>
          <w:lang w:val="en-US"/>
        </w:rPr>
        <w:t>mg</w:t>
      </w:r>
      <w:r w:rsidRPr="008F6431">
        <w:t xml:space="preserve"> </w:t>
      </w:r>
      <w:r w:rsidRPr="008F6431">
        <w:rPr>
          <w:lang w:eastAsia="bg-BG"/>
        </w:rPr>
        <w:t>филмирани таблетки</w:t>
      </w:r>
    </w:p>
    <w:p w14:paraId="56EE8FD3" w14:textId="77777777" w:rsidR="008F6431" w:rsidRDefault="008F6431" w:rsidP="008F6431"/>
    <w:p w14:paraId="45BE9177" w14:textId="79B95B40" w:rsidR="008F6431" w:rsidRPr="008F6431" w:rsidRDefault="008F6431" w:rsidP="008F6431">
      <w:pPr>
        <w:rPr>
          <w:sz w:val="24"/>
          <w:szCs w:val="24"/>
          <w:lang w:val="en-US"/>
        </w:rPr>
      </w:pPr>
      <w:r w:rsidRPr="008F6431">
        <w:rPr>
          <w:lang w:val="en-US"/>
        </w:rPr>
        <w:t xml:space="preserve">Erlotinib Sandoz </w:t>
      </w:r>
      <w:r w:rsidRPr="008F6431">
        <w:rPr>
          <w:lang w:eastAsia="bg-BG"/>
        </w:rPr>
        <w:t xml:space="preserve">100 </w:t>
      </w:r>
      <w:r w:rsidRPr="008F6431">
        <w:rPr>
          <w:lang w:val="en-US"/>
        </w:rPr>
        <w:t>mg film-coated tablets</w:t>
      </w:r>
    </w:p>
    <w:p w14:paraId="3ADF6F07" w14:textId="77777777" w:rsidR="008F6431" w:rsidRPr="008F6431" w:rsidRDefault="008F6431" w:rsidP="008F6431">
      <w:pPr>
        <w:rPr>
          <w:sz w:val="24"/>
          <w:szCs w:val="24"/>
          <w:lang w:val="en-US"/>
        </w:rPr>
      </w:pPr>
      <w:r w:rsidRPr="008F6431">
        <w:rPr>
          <w:lang w:val="en-US"/>
        </w:rPr>
        <w:t>Erlotinib Sandoz 150 mg film-coated tablets</w:t>
      </w:r>
    </w:p>
    <w:p w14:paraId="3FE5D97F" w14:textId="77777777" w:rsidR="008F6431" w:rsidRPr="008F6431" w:rsidRDefault="008F6431" w:rsidP="008F6431">
      <w:pPr>
        <w:rPr>
          <w:lang w:val="en-US"/>
        </w:rPr>
      </w:pPr>
    </w:p>
    <w:p w14:paraId="6920A680" w14:textId="191068F2" w:rsidR="00C40420" w:rsidRDefault="00DD466D" w:rsidP="004A448E">
      <w:pPr>
        <w:pStyle w:val="Heading1"/>
      </w:pPr>
      <w:r>
        <w:t>2. КАЧЕСТВЕН И КОЛИЧЕСТВЕН СЪСТАВ</w:t>
      </w:r>
    </w:p>
    <w:p w14:paraId="2596D6D8" w14:textId="26BCE886" w:rsidR="008F6431" w:rsidRDefault="008F6431" w:rsidP="008F6431"/>
    <w:p w14:paraId="000C2B20"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Всяка филмирана таблетка съдържа 100 </w:t>
      </w:r>
      <w:r w:rsidRPr="008F6431">
        <w:rPr>
          <w:rFonts w:eastAsia="Times New Roman" w:cs="Arial"/>
          <w:color w:val="000000"/>
          <w:lang w:val="en-US"/>
        </w:rPr>
        <w:t>mg</w:t>
      </w:r>
      <w:r w:rsidRPr="008F6431">
        <w:rPr>
          <w:rFonts w:eastAsia="Times New Roman" w:cs="Arial"/>
          <w:color w:val="000000"/>
        </w:rPr>
        <w:t xml:space="preserve"> </w:t>
      </w:r>
      <w:r w:rsidRPr="008F6431">
        <w:rPr>
          <w:rFonts w:eastAsia="Times New Roman" w:cs="Arial"/>
          <w:color w:val="000000"/>
          <w:lang w:eastAsia="bg-BG"/>
        </w:rPr>
        <w:t xml:space="preserve">ерлотиниб </w:t>
      </w:r>
      <w:r w:rsidRPr="008F6431">
        <w:rPr>
          <w:rFonts w:eastAsia="Times New Roman" w:cs="Arial"/>
          <w:color w:val="000000"/>
        </w:rPr>
        <w:t>(</w:t>
      </w:r>
      <w:r w:rsidRPr="008F6431">
        <w:rPr>
          <w:rFonts w:eastAsia="Times New Roman" w:cs="Arial"/>
          <w:color w:val="000000"/>
          <w:lang w:val="en-US"/>
        </w:rPr>
        <w:t>erlotinib</w:t>
      </w:r>
      <w:r w:rsidRPr="008F6431">
        <w:rPr>
          <w:rFonts w:eastAsia="Times New Roman" w:cs="Arial"/>
          <w:color w:val="000000"/>
        </w:rPr>
        <w:t xml:space="preserve">) </w:t>
      </w:r>
      <w:r w:rsidRPr="008F6431">
        <w:rPr>
          <w:rFonts w:eastAsia="Times New Roman" w:cs="Arial"/>
          <w:color w:val="000000"/>
          <w:lang w:eastAsia="bg-BG"/>
        </w:rPr>
        <w:t xml:space="preserve">(като хидрохлорид) </w:t>
      </w:r>
      <w:r w:rsidRPr="008F6431">
        <w:rPr>
          <w:rFonts w:eastAsia="Times New Roman" w:cs="Arial"/>
          <w:color w:val="000000"/>
        </w:rPr>
        <w:t>(</w:t>
      </w:r>
      <w:r w:rsidRPr="008F6431">
        <w:rPr>
          <w:rFonts w:eastAsia="Times New Roman" w:cs="Arial"/>
          <w:color w:val="000000"/>
          <w:lang w:val="en-US"/>
        </w:rPr>
        <w:t>as</w:t>
      </w:r>
      <w:r w:rsidRPr="008F6431">
        <w:rPr>
          <w:rFonts w:eastAsia="Times New Roman" w:cs="Arial"/>
          <w:color w:val="000000"/>
        </w:rPr>
        <w:t xml:space="preserve"> </w:t>
      </w:r>
      <w:r w:rsidRPr="008F6431">
        <w:rPr>
          <w:rFonts w:eastAsia="Times New Roman" w:cs="Arial"/>
          <w:color w:val="000000"/>
          <w:lang w:val="en-US"/>
        </w:rPr>
        <w:t>hydrochloride</w:t>
      </w:r>
      <w:r w:rsidRPr="008F6431">
        <w:rPr>
          <w:rFonts w:eastAsia="Times New Roman" w:cs="Arial"/>
          <w:color w:val="000000"/>
        </w:rPr>
        <w:t>).</w:t>
      </w:r>
    </w:p>
    <w:p w14:paraId="5F9CB875" w14:textId="77777777" w:rsidR="008F6431" w:rsidRPr="008F6431" w:rsidRDefault="008F6431" w:rsidP="008F6431">
      <w:pPr>
        <w:spacing w:line="240" w:lineRule="auto"/>
        <w:rPr>
          <w:rFonts w:eastAsia="Times New Roman" w:cs="Arial"/>
          <w:color w:val="000000"/>
          <w:u w:val="single"/>
          <w:lang w:eastAsia="bg-BG"/>
        </w:rPr>
      </w:pPr>
    </w:p>
    <w:p w14:paraId="6DDF13FC" w14:textId="2C51F7D0"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Помощно(и) вещество(а) с известно действие:</w:t>
      </w:r>
    </w:p>
    <w:p w14:paraId="08A4D057" w14:textId="77777777" w:rsidR="008F6431" w:rsidRPr="008F6431" w:rsidRDefault="008F6431" w:rsidP="008F6431">
      <w:pPr>
        <w:spacing w:line="240" w:lineRule="auto"/>
        <w:rPr>
          <w:rFonts w:eastAsia="Times New Roman" w:cs="Arial"/>
          <w:color w:val="000000"/>
          <w:lang w:eastAsia="bg-BG"/>
        </w:rPr>
      </w:pPr>
    </w:p>
    <w:p w14:paraId="220E8E94" w14:textId="1A5D4EC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Всяка филмирана таблетка съдържа 91, 14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лактоза (като монохидрат)</w:t>
      </w:r>
    </w:p>
    <w:p w14:paraId="7160F1EE" w14:textId="77777777" w:rsidR="008F6431" w:rsidRPr="008F6431" w:rsidRDefault="008F6431" w:rsidP="008F6431">
      <w:pPr>
        <w:spacing w:line="240" w:lineRule="auto"/>
        <w:rPr>
          <w:rFonts w:eastAsia="Times New Roman" w:cs="Arial"/>
          <w:color w:val="000000"/>
          <w:lang w:eastAsia="bg-BG"/>
        </w:rPr>
      </w:pPr>
    </w:p>
    <w:p w14:paraId="238097C3" w14:textId="71700446"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Всяка филмирана таблетка съдържа 150 </w:t>
      </w:r>
      <w:r w:rsidRPr="008F6431">
        <w:rPr>
          <w:rFonts w:eastAsia="Times New Roman" w:cs="Arial"/>
          <w:color w:val="000000"/>
          <w:lang w:val="en-US"/>
        </w:rPr>
        <w:t>mg</w:t>
      </w:r>
      <w:r w:rsidRPr="008F6431">
        <w:rPr>
          <w:rFonts w:eastAsia="Times New Roman" w:cs="Arial"/>
          <w:color w:val="000000"/>
        </w:rPr>
        <w:t xml:space="preserve"> </w:t>
      </w:r>
      <w:r w:rsidRPr="008F6431">
        <w:rPr>
          <w:rFonts w:eastAsia="Times New Roman" w:cs="Arial"/>
          <w:color w:val="000000"/>
          <w:lang w:eastAsia="bg-BG"/>
        </w:rPr>
        <w:t xml:space="preserve">ерлотиниб </w:t>
      </w:r>
      <w:r w:rsidRPr="008F6431">
        <w:rPr>
          <w:rFonts w:eastAsia="Times New Roman" w:cs="Arial"/>
          <w:color w:val="000000"/>
        </w:rPr>
        <w:t>(</w:t>
      </w:r>
      <w:r w:rsidRPr="008F6431">
        <w:rPr>
          <w:rFonts w:eastAsia="Times New Roman" w:cs="Arial"/>
          <w:color w:val="000000"/>
          <w:lang w:val="en-US"/>
        </w:rPr>
        <w:t>erlotinib</w:t>
      </w:r>
      <w:r w:rsidRPr="008F6431">
        <w:rPr>
          <w:rFonts w:eastAsia="Times New Roman" w:cs="Arial"/>
          <w:color w:val="000000"/>
        </w:rPr>
        <w:t xml:space="preserve">) </w:t>
      </w:r>
      <w:r w:rsidRPr="008F6431">
        <w:rPr>
          <w:rFonts w:eastAsia="Times New Roman" w:cs="Arial"/>
          <w:color w:val="000000"/>
          <w:lang w:eastAsia="bg-BG"/>
        </w:rPr>
        <w:t xml:space="preserve">(като хидрохлорид) </w:t>
      </w:r>
      <w:r w:rsidRPr="008F6431">
        <w:rPr>
          <w:rFonts w:eastAsia="Times New Roman" w:cs="Arial"/>
          <w:color w:val="000000"/>
        </w:rPr>
        <w:t>(</w:t>
      </w:r>
      <w:r w:rsidRPr="008F6431">
        <w:rPr>
          <w:rFonts w:eastAsia="Times New Roman" w:cs="Arial"/>
          <w:color w:val="000000"/>
          <w:lang w:val="en-US"/>
        </w:rPr>
        <w:t>as</w:t>
      </w:r>
      <w:r w:rsidRPr="008F6431">
        <w:rPr>
          <w:rFonts w:eastAsia="Times New Roman" w:cs="Arial"/>
          <w:color w:val="000000"/>
        </w:rPr>
        <w:t xml:space="preserve"> </w:t>
      </w:r>
      <w:r w:rsidRPr="008F6431">
        <w:rPr>
          <w:rFonts w:eastAsia="Times New Roman" w:cs="Arial"/>
          <w:color w:val="000000"/>
          <w:lang w:val="en-US"/>
        </w:rPr>
        <w:t>hydrochloride</w:t>
      </w:r>
      <w:r w:rsidRPr="008F6431">
        <w:rPr>
          <w:rFonts w:eastAsia="Times New Roman" w:cs="Arial"/>
          <w:color w:val="000000"/>
        </w:rPr>
        <w:t>).</w:t>
      </w:r>
    </w:p>
    <w:p w14:paraId="6A7DA6AC" w14:textId="77777777" w:rsidR="008F6431" w:rsidRPr="008F6431" w:rsidRDefault="008F6431" w:rsidP="008F6431">
      <w:pPr>
        <w:spacing w:line="240" w:lineRule="auto"/>
        <w:rPr>
          <w:rFonts w:eastAsia="Times New Roman" w:cs="Arial"/>
          <w:color w:val="000000"/>
          <w:u w:val="single"/>
          <w:lang w:eastAsia="bg-BG"/>
        </w:rPr>
      </w:pPr>
    </w:p>
    <w:p w14:paraId="174ADF12" w14:textId="35D9401F"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Помощно(и) вещество(а) с известно действие:</w:t>
      </w:r>
    </w:p>
    <w:p w14:paraId="38311E2B" w14:textId="2E5C771A" w:rsidR="008F6431" w:rsidRPr="008F6431" w:rsidRDefault="008F6431" w:rsidP="008F6431">
      <w:pPr>
        <w:rPr>
          <w:rFonts w:cs="Arial"/>
        </w:rPr>
      </w:pPr>
      <w:r w:rsidRPr="008F6431">
        <w:rPr>
          <w:rFonts w:eastAsia="Times New Roman" w:cs="Arial"/>
          <w:color w:val="000000"/>
          <w:lang w:eastAsia="bg-BG"/>
        </w:rPr>
        <w:t xml:space="preserve">Всяка филмирана таблетка съдържа 136,71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лактоза (като мононхидрат).</w:t>
      </w:r>
    </w:p>
    <w:p w14:paraId="614984C4" w14:textId="05D90E57" w:rsidR="008A6AF2" w:rsidRDefault="00DD466D" w:rsidP="002C50EE">
      <w:pPr>
        <w:pStyle w:val="Heading1"/>
      </w:pPr>
      <w:r>
        <w:t>3. ЛЕКАРСТВЕНА ФОРМА</w:t>
      </w:r>
    </w:p>
    <w:p w14:paraId="7307D986" w14:textId="0F30D32F" w:rsidR="008F6431" w:rsidRDefault="008F6431" w:rsidP="008F6431"/>
    <w:p w14:paraId="3534F600"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Филмирана таблетка.</w:t>
      </w:r>
    </w:p>
    <w:p w14:paraId="2F56CFF6" w14:textId="77777777" w:rsidR="008F6431" w:rsidRPr="008F6431" w:rsidRDefault="008F6431" w:rsidP="008F6431">
      <w:pPr>
        <w:spacing w:line="240" w:lineRule="auto"/>
        <w:rPr>
          <w:rFonts w:eastAsia="Times New Roman" w:cs="Arial"/>
          <w:i/>
          <w:iCs/>
          <w:color w:val="000000"/>
          <w:lang w:eastAsia="bg-BG"/>
        </w:rPr>
      </w:pPr>
    </w:p>
    <w:p w14:paraId="4BCE2183" w14:textId="30E07E37" w:rsidR="008F6431" w:rsidRPr="008F6431" w:rsidRDefault="008F6431" w:rsidP="008F6431">
      <w:pPr>
        <w:spacing w:line="240" w:lineRule="auto"/>
        <w:rPr>
          <w:rFonts w:eastAsia="Times New Roman" w:cs="Arial"/>
          <w:sz w:val="24"/>
          <w:szCs w:val="24"/>
        </w:rPr>
      </w:pPr>
      <w:r w:rsidRPr="008F6431">
        <w:rPr>
          <w:rFonts w:eastAsia="Times New Roman" w:cs="Arial"/>
          <w:i/>
          <w:iCs/>
          <w:color w:val="000000"/>
          <w:lang w:eastAsia="bg-BG"/>
        </w:rPr>
        <w:t xml:space="preserve">100 </w:t>
      </w:r>
      <w:r w:rsidRPr="008F6431">
        <w:rPr>
          <w:rFonts w:eastAsia="Times New Roman" w:cs="Arial"/>
          <w:i/>
          <w:iCs/>
          <w:color w:val="000000"/>
          <w:lang w:val="en-US"/>
        </w:rPr>
        <w:t>mg</w:t>
      </w:r>
      <w:r w:rsidRPr="008F6431">
        <w:rPr>
          <w:rFonts w:eastAsia="Times New Roman" w:cs="Arial"/>
          <w:i/>
          <w:iCs/>
          <w:color w:val="000000"/>
          <w:lang w:val="ru-RU"/>
        </w:rPr>
        <w:t xml:space="preserve"> </w:t>
      </w:r>
      <w:r w:rsidRPr="008F6431">
        <w:rPr>
          <w:rFonts w:eastAsia="Times New Roman" w:cs="Arial"/>
          <w:i/>
          <w:iCs/>
          <w:color w:val="000000"/>
          <w:lang w:eastAsia="bg-BG"/>
        </w:rPr>
        <w:t>филмирани таблетки</w:t>
      </w:r>
    </w:p>
    <w:p w14:paraId="3DE86B51"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Бели до жълтеникави , кръгли, двойноизпъкнали филмирани таблетки, с гравиран надпис „100”от едната страна. Диаметърът на таблетката е 8,9 </w:t>
      </w:r>
      <w:r w:rsidRPr="008F6431">
        <w:rPr>
          <w:rFonts w:eastAsia="Times New Roman" w:cs="Arial"/>
          <w:color w:val="000000"/>
          <w:lang w:val="en-US"/>
        </w:rPr>
        <w:t>mm</w:t>
      </w:r>
      <w:r w:rsidRPr="008F6431">
        <w:rPr>
          <w:rFonts w:eastAsia="Times New Roman" w:cs="Arial"/>
          <w:color w:val="000000"/>
          <w:lang w:val="ru-RU"/>
        </w:rPr>
        <w:t xml:space="preserve"> </w:t>
      </w:r>
      <w:r w:rsidRPr="008F6431">
        <w:rPr>
          <w:rFonts w:eastAsia="Times New Roman" w:cs="Arial"/>
          <w:color w:val="000000"/>
          <w:lang w:eastAsia="bg-BG"/>
        </w:rPr>
        <w:t>± 5 %.</w:t>
      </w:r>
    </w:p>
    <w:p w14:paraId="405FA8EE" w14:textId="77777777" w:rsidR="008F6431" w:rsidRPr="008F6431" w:rsidRDefault="008F6431" w:rsidP="008F6431">
      <w:pPr>
        <w:spacing w:line="240" w:lineRule="auto"/>
        <w:rPr>
          <w:rFonts w:eastAsia="Times New Roman" w:cs="Arial"/>
          <w:i/>
          <w:iCs/>
          <w:color w:val="000000"/>
          <w:lang w:eastAsia="bg-BG"/>
        </w:rPr>
      </w:pPr>
    </w:p>
    <w:p w14:paraId="1869DC44" w14:textId="534CB243" w:rsidR="008F6431" w:rsidRPr="008F6431" w:rsidRDefault="008F6431" w:rsidP="008F6431">
      <w:pPr>
        <w:spacing w:line="240" w:lineRule="auto"/>
        <w:rPr>
          <w:rFonts w:eastAsia="Times New Roman" w:cs="Arial"/>
          <w:sz w:val="24"/>
          <w:szCs w:val="24"/>
        </w:rPr>
      </w:pPr>
      <w:r w:rsidRPr="008F6431">
        <w:rPr>
          <w:rFonts w:eastAsia="Times New Roman" w:cs="Arial"/>
          <w:i/>
          <w:iCs/>
          <w:color w:val="000000"/>
          <w:lang w:eastAsia="bg-BG"/>
        </w:rPr>
        <w:t xml:space="preserve">150 </w:t>
      </w:r>
      <w:r w:rsidRPr="008F6431">
        <w:rPr>
          <w:rFonts w:eastAsia="Times New Roman" w:cs="Arial"/>
          <w:i/>
          <w:iCs/>
          <w:color w:val="000000"/>
          <w:lang w:val="en-US"/>
        </w:rPr>
        <w:t>mg</w:t>
      </w:r>
      <w:r w:rsidRPr="008F6431">
        <w:rPr>
          <w:rFonts w:eastAsia="Times New Roman" w:cs="Arial"/>
          <w:i/>
          <w:iCs/>
          <w:color w:val="000000"/>
          <w:lang w:val="ru-RU"/>
        </w:rPr>
        <w:t xml:space="preserve"> </w:t>
      </w:r>
      <w:r w:rsidRPr="008F6431">
        <w:rPr>
          <w:rFonts w:eastAsia="Times New Roman" w:cs="Arial"/>
          <w:i/>
          <w:iCs/>
          <w:color w:val="000000"/>
          <w:lang w:eastAsia="bg-BG"/>
        </w:rPr>
        <w:t>филмирани таблетки</w:t>
      </w:r>
    </w:p>
    <w:p w14:paraId="3033EE60"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Бели до жълтеникави, кръгли, двойноизпъкнали филмирани таблетки, с гравиран надпис „150” от едната страна. Диаметърът на таблетката е 10,5 </w:t>
      </w:r>
      <w:r w:rsidRPr="008F6431">
        <w:rPr>
          <w:rFonts w:eastAsia="Times New Roman" w:cs="Arial"/>
          <w:color w:val="000000"/>
          <w:lang w:val="en-US"/>
        </w:rPr>
        <w:t xml:space="preserve">mm </w:t>
      </w:r>
      <w:r w:rsidRPr="008F6431">
        <w:rPr>
          <w:rFonts w:eastAsia="Times New Roman" w:cs="Arial"/>
          <w:color w:val="000000"/>
          <w:lang w:eastAsia="bg-BG"/>
        </w:rPr>
        <w:t>± 5 %.</w:t>
      </w:r>
    </w:p>
    <w:p w14:paraId="5F225BF5" w14:textId="77777777" w:rsidR="008F6431" w:rsidRPr="008F6431" w:rsidRDefault="008F6431" w:rsidP="008F6431"/>
    <w:p w14:paraId="490FC2C4" w14:textId="0F4A4A75" w:rsidR="002C50EE" w:rsidRDefault="002C50EE" w:rsidP="002C50EE">
      <w:pPr>
        <w:pStyle w:val="Heading1"/>
      </w:pPr>
      <w:r>
        <w:t>4. КЛИНИЧНИ ДАННИ</w:t>
      </w:r>
    </w:p>
    <w:p w14:paraId="74330405" w14:textId="6A1BAB30" w:rsidR="007122AD" w:rsidRDefault="002C50EE" w:rsidP="00936AD0">
      <w:pPr>
        <w:pStyle w:val="Heading2"/>
      </w:pPr>
      <w:r>
        <w:t>4.1. Терапевтични показания</w:t>
      </w:r>
    </w:p>
    <w:p w14:paraId="428341E1" w14:textId="40832EBA" w:rsidR="008F6431" w:rsidRDefault="008F6431" w:rsidP="008F6431"/>
    <w:p w14:paraId="6F8BBE0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Недребноклетъчен рак на белия дроб (НДКРБД):</w:t>
      </w:r>
    </w:p>
    <w:p w14:paraId="5F073BA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Сандоз е показан за лечение от първа линия на пациенти с локално авансирал или метастазирал недребноклетьчен рак на белите дробове (НДКРБД) с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активиращи мутации.</w:t>
      </w:r>
    </w:p>
    <w:p w14:paraId="5CE100CA" w14:textId="77777777" w:rsidR="008F6431" w:rsidRPr="008F6431" w:rsidRDefault="008F6431" w:rsidP="008F6431">
      <w:pPr>
        <w:spacing w:line="240" w:lineRule="auto"/>
        <w:rPr>
          <w:rFonts w:eastAsia="Times New Roman" w:cs="Arial"/>
          <w:color w:val="000000"/>
          <w:lang w:eastAsia="bg-BG"/>
        </w:rPr>
      </w:pPr>
    </w:p>
    <w:p w14:paraId="33899AB1" w14:textId="67B3195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Сандоз е показан също и за превключване към поддържащо лечение при пациенти локално напреднал или метастазирал НДКРБД с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активиращи мутации и стабилно след химиотерапия от първа линия.</w:t>
      </w:r>
    </w:p>
    <w:p w14:paraId="41004447" w14:textId="77777777" w:rsidR="008F6431" w:rsidRPr="008F6431" w:rsidRDefault="008F6431" w:rsidP="008F6431">
      <w:pPr>
        <w:spacing w:line="240" w:lineRule="auto"/>
        <w:rPr>
          <w:rFonts w:eastAsia="Times New Roman" w:cs="Arial"/>
          <w:sz w:val="24"/>
          <w:szCs w:val="24"/>
        </w:rPr>
      </w:pPr>
    </w:p>
    <w:p w14:paraId="1C223A96"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Ерлотиниб Сандоз е показан също и за лечение на пациенти с локално напреднал или метастазирал НДКРБД след неуспех на поне една схема на химиотерапевтично лечение преди това. Ерлотиниб е показан при пациенти с тумори без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активиращи мутации, когато други опции не се считат за подходящи.</w:t>
      </w:r>
    </w:p>
    <w:p w14:paraId="798DD30D" w14:textId="77777777" w:rsidR="008F6431" w:rsidRPr="008F6431" w:rsidRDefault="008F6431" w:rsidP="008F6431">
      <w:pPr>
        <w:spacing w:line="240" w:lineRule="auto"/>
        <w:rPr>
          <w:rFonts w:eastAsia="Times New Roman" w:cs="Arial"/>
          <w:color w:val="000000"/>
          <w:lang w:eastAsia="bg-BG"/>
        </w:rPr>
      </w:pPr>
    </w:p>
    <w:p w14:paraId="682E3ED8" w14:textId="11F1852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Когато се предписва Ерлотиниб Сандоз, трябва да се вземат предвид факторите, свързани с продължителната преживяемост.</w:t>
      </w:r>
    </w:p>
    <w:p w14:paraId="3702A992" w14:textId="77777777" w:rsidR="008F6431" w:rsidRPr="008F6431" w:rsidRDefault="008F6431" w:rsidP="008F6431">
      <w:pPr>
        <w:spacing w:line="240" w:lineRule="auto"/>
        <w:rPr>
          <w:rFonts w:eastAsia="Times New Roman" w:cs="Arial"/>
          <w:color w:val="000000"/>
          <w:lang w:eastAsia="bg-BG"/>
        </w:rPr>
      </w:pPr>
    </w:p>
    <w:p w14:paraId="512DC0B4" w14:textId="50E6882B"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Не е установена полза по отношение на преживяемостга или други клинично значими ефекти на лечението при пациенти с рецептор на епидермалния растежен фактор </w:t>
      </w:r>
      <w:r w:rsidRPr="008F6431">
        <w:rPr>
          <w:rFonts w:eastAsia="Times New Roman" w:cs="Arial"/>
          <w:color w:val="000000"/>
          <w:lang w:val="ru-RU"/>
        </w:rPr>
        <w:t>(</w:t>
      </w:r>
      <w:r w:rsidRPr="008F6431">
        <w:rPr>
          <w:rFonts w:eastAsia="Times New Roman" w:cs="Arial"/>
          <w:color w:val="000000"/>
          <w:lang w:val="en-US"/>
        </w:rPr>
        <w:t>EGFR</w:t>
      </w:r>
      <w:r w:rsidRPr="008F6431">
        <w:rPr>
          <w:rFonts w:eastAsia="Times New Roman" w:cs="Arial"/>
          <w:color w:val="000000"/>
          <w:lang w:val="ru-RU"/>
        </w:rPr>
        <w:t>)-</w:t>
      </w:r>
      <w:r w:rsidRPr="008F6431">
        <w:rPr>
          <w:rFonts w:eastAsia="Times New Roman" w:cs="Arial"/>
          <w:color w:val="000000"/>
          <w:lang w:val="en-US"/>
        </w:rPr>
        <w:t>IHC</w:t>
      </w:r>
      <w:r w:rsidRPr="008F6431">
        <w:rPr>
          <w:rFonts w:eastAsia="Times New Roman" w:cs="Arial"/>
          <w:color w:val="000000"/>
          <w:lang w:val="ru-RU"/>
        </w:rPr>
        <w:t xml:space="preserve"> </w:t>
      </w:r>
      <w:r w:rsidRPr="008F6431">
        <w:rPr>
          <w:rFonts w:eastAsia="Times New Roman" w:cs="Arial"/>
          <w:color w:val="000000"/>
          <w:lang w:eastAsia="bg-BG"/>
        </w:rPr>
        <w:t>отрицателни тумори (вж. точка 5.1).</w:t>
      </w:r>
    </w:p>
    <w:p w14:paraId="5C2CF8F4" w14:textId="77777777" w:rsidR="008F6431" w:rsidRPr="008F6431" w:rsidRDefault="008F6431" w:rsidP="008F6431">
      <w:pPr>
        <w:spacing w:line="240" w:lineRule="auto"/>
        <w:rPr>
          <w:rFonts w:eastAsia="Times New Roman" w:cs="Arial"/>
          <w:color w:val="000000"/>
          <w:u w:val="single"/>
          <w:lang w:eastAsia="bg-BG"/>
        </w:rPr>
      </w:pPr>
    </w:p>
    <w:p w14:paraId="6346AA3B" w14:textId="7C30189B"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Рак на панкреаса:</w:t>
      </w:r>
    </w:p>
    <w:p w14:paraId="28FD8867"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Ерлотиниб Сандоз в комбинация с гемцитабин е показан за лечение на пациенти с метастазирал рак на панкреаса.</w:t>
      </w:r>
    </w:p>
    <w:p w14:paraId="6E911F32" w14:textId="77777777" w:rsidR="008F6431" w:rsidRPr="008F6431" w:rsidRDefault="008F6431" w:rsidP="008F6431">
      <w:pPr>
        <w:spacing w:line="240" w:lineRule="auto"/>
        <w:rPr>
          <w:rFonts w:eastAsia="Times New Roman" w:cs="Arial"/>
          <w:color w:val="000000"/>
          <w:lang w:eastAsia="bg-BG"/>
        </w:rPr>
      </w:pPr>
    </w:p>
    <w:p w14:paraId="2166B1A2" w14:textId="4457923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Когато се предписва Ерлотиниб Сандоз, трябва да се имат предвид факторите, свързани с продължителната преживяемост (вж. точки 4.2 и 5.1).</w:t>
      </w:r>
    </w:p>
    <w:p w14:paraId="0DCDAAA9" w14:textId="77777777" w:rsidR="008F6431" w:rsidRPr="008F6431" w:rsidRDefault="008F6431" w:rsidP="008F6431">
      <w:pPr>
        <w:spacing w:line="240" w:lineRule="auto"/>
        <w:rPr>
          <w:rFonts w:eastAsia="Times New Roman" w:cs="Arial"/>
          <w:color w:val="000000"/>
          <w:lang w:eastAsia="bg-BG"/>
        </w:rPr>
      </w:pPr>
    </w:p>
    <w:p w14:paraId="7BB96200" w14:textId="5066AB7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Не се доказва предимство по отношение на преживяемостта при пациенти с локално авансирало заболяване.</w:t>
      </w:r>
    </w:p>
    <w:p w14:paraId="424838AD" w14:textId="3EE836D3" w:rsidR="008F6431" w:rsidRPr="008F6431" w:rsidRDefault="008F6431" w:rsidP="008F6431">
      <w:pPr>
        <w:spacing w:line="240" w:lineRule="auto"/>
        <w:rPr>
          <w:rFonts w:ascii="Times New Roman" w:eastAsia="Times New Roman" w:hAnsi="Times New Roman" w:cs="Times New Roman"/>
          <w:sz w:val="24"/>
          <w:szCs w:val="24"/>
        </w:rPr>
      </w:pPr>
    </w:p>
    <w:p w14:paraId="03A4752F" w14:textId="77777777" w:rsidR="008F6431" w:rsidRPr="008F6431" w:rsidRDefault="008F6431" w:rsidP="008F6431"/>
    <w:p w14:paraId="53F5B866" w14:textId="3A9BA6E6" w:rsidR="007122AD" w:rsidRDefault="002C50EE" w:rsidP="00936AD0">
      <w:pPr>
        <w:pStyle w:val="Heading2"/>
      </w:pPr>
      <w:r>
        <w:t>4.2. Дозировка и начин на приложение</w:t>
      </w:r>
    </w:p>
    <w:p w14:paraId="005E87B8" w14:textId="4589603B" w:rsidR="008F6431" w:rsidRDefault="008F6431" w:rsidP="008F6431"/>
    <w:p w14:paraId="4549584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Лечението с Ерлотиниб Сандоз трябва да бъде наблюдавано от лекар с опит в приложението на противоракова терапия.</w:t>
      </w:r>
    </w:p>
    <w:p w14:paraId="01991133" w14:textId="77777777" w:rsidR="008F6431" w:rsidRPr="008F6431" w:rsidRDefault="008F6431" w:rsidP="008F6431">
      <w:pPr>
        <w:spacing w:line="240" w:lineRule="auto"/>
        <w:rPr>
          <w:rFonts w:eastAsia="Times New Roman" w:cs="Arial"/>
          <w:color w:val="000000"/>
          <w:u w:val="single"/>
          <w:lang w:eastAsia="bg-BG"/>
        </w:rPr>
      </w:pPr>
    </w:p>
    <w:p w14:paraId="29CBAB67" w14:textId="429FA566"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Пациенти с недребноклетьчен рак на белия дроб:</w:t>
      </w:r>
    </w:p>
    <w:p w14:paraId="057B569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Трябва да се направи изследване за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мутации в съответствие с одобрените индикации (вж. точка 4.1).</w:t>
      </w:r>
    </w:p>
    <w:p w14:paraId="67B51C2B"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Препоръчителната дневна доза Ерлотиниб Сандоз е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приета най-малко един час преди или два часа след хранене.</w:t>
      </w:r>
    </w:p>
    <w:p w14:paraId="69A9589C" w14:textId="77777777" w:rsidR="008F6431" w:rsidRPr="008F6431" w:rsidRDefault="008F6431" w:rsidP="008F6431">
      <w:pPr>
        <w:spacing w:line="240" w:lineRule="auto"/>
        <w:rPr>
          <w:rFonts w:eastAsia="Times New Roman" w:cs="Arial"/>
          <w:color w:val="000000"/>
          <w:u w:val="single"/>
          <w:lang w:eastAsia="bg-BG"/>
        </w:rPr>
      </w:pPr>
    </w:p>
    <w:p w14:paraId="2A068480" w14:textId="68358E84"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Пациенти с рак на панкреаса:</w:t>
      </w:r>
    </w:p>
    <w:p w14:paraId="5715E509"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Препоръчителната дневна доза Ерлотиниб Сандоз е 100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приемана най-малко един час преди или два часа след хранене, в комбинация с гемцитабин (вж. показанието за рак на панкреаса в Кратката характеристика на продукта на гемцитабин). При пациенти, които не развият обрив до първите 4-8 седмици на терапия, по-нататъшното лечение с Ерлотиниб Сандоз трябва да се преоцени (вж. точка 5.1).</w:t>
      </w:r>
    </w:p>
    <w:p w14:paraId="7F883295" w14:textId="77777777" w:rsidR="008F6431" w:rsidRPr="008F6431" w:rsidRDefault="008F6431" w:rsidP="008F6431">
      <w:pPr>
        <w:spacing w:line="240" w:lineRule="auto"/>
        <w:rPr>
          <w:rFonts w:eastAsia="Times New Roman" w:cs="Arial"/>
          <w:color w:val="000000"/>
          <w:lang w:eastAsia="bg-BG"/>
        </w:rPr>
      </w:pPr>
    </w:p>
    <w:p w14:paraId="7E006F7F" w14:textId="20B94B3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Когато е необходимо коригиране на дозата, дозата трябва да се намалява с по 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(вж. точка 4.4). Ерлотиниб Сандоз се произвежда с количество на активното вещество 100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и 150 </w:t>
      </w:r>
      <w:r w:rsidRPr="008F6431">
        <w:rPr>
          <w:rFonts w:eastAsia="Times New Roman" w:cs="Arial"/>
          <w:color w:val="000000"/>
          <w:lang w:val="en-US"/>
        </w:rPr>
        <w:t>mg</w:t>
      </w:r>
      <w:r w:rsidRPr="008F6431">
        <w:rPr>
          <w:rFonts w:eastAsia="Times New Roman" w:cs="Arial"/>
          <w:color w:val="000000"/>
          <w:lang w:val="ru-RU"/>
        </w:rPr>
        <w:t>.</w:t>
      </w:r>
    </w:p>
    <w:p w14:paraId="71C2442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lastRenderedPageBreak/>
        <w:t xml:space="preserve">Едновременното приложение на субстрати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А4 и модулатори може да наложи коригиране на дозата (вж. точка 4.5).</w:t>
      </w:r>
    </w:p>
    <w:p w14:paraId="3DFCBCEE" w14:textId="77777777" w:rsidR="008F6431" w:rsidRDefault="008F6431" w:rsidP="008F6431">
      <w:pPr>
        <w:spacing w:line="240" w:lineRule="auto"/>
        <w:rPr>
          <w:rFonts w:eastAsia="Times New Roman" w:cs="Arial"/>
          <w:color w:val="000000"/>
          <w:u w:val="single"/>
          <w:lang w:eastAsia="bg-BG"/>
        </w:rPr>
      </w:pPr>
    </w:p>
    <w:p w14:paraId="44BEB264" w14:textId="2EC45BA6"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Чернодробно увреждане:</w:t>
      </w:r>
      <w:r w:rsidRPr="008F6431">
        <w:rPr>
          <w:rFonts w:eastAsia="Times New Roman" w:cs="Arial"/>
          <w:color w:val="000000"/>
          <w:lang w:eastAsia="bg-BG"/>
        </w:rPr>
        <w:t xml:space="preserve"> Ерлотиниб се елиминира чрез чернодробен метаболизъм и билиарна екскреция. Въпреки че експозицията на ерлотиниб е подобна при пациенти със средно увредена чернодробна функция (скор 7-9 по </w:t>
      </w:r>
      <w:r w:rsidRPr="008F6431">
        <w:rPr>
          <w:rFonts w:eastAsia="Times New Roman" w:cs="Arial"/>
          <w:color w:val="000000"/>
          <w:lang w:val="en-US"/>
        </w:rPr>
        <w:t>Child</w:t>
      </w:r>
      <w:r w:rsidRPr="008F6431">
        <w:rPr>
          <w:rFonts w:eastAsia="Times New Roman" w:cs="Arial"/>
          <w:color w:val="000000"/>
          <w:lang w:val="ru-RU"/>
        </w:rPr>
        <w:t>-</w:t>
      </w:r>
      <w:r w:rsidRPr="008F6431">
        <w:rPr>
          <w:rFonts w:eastAsia="Times New Roman" w:cs="Arial"/>
          <w:color w:val="000000"/>
          <w:lang w:val="en-US"/>
        </w:rPr>
        <w:t>Pugh</w:t>
      </w:r>
      <w:r w:rsidRPr="008F6431">
        <w:rPr>
          <w:rFonts w:eastAsia="Times New Roman" w:cs="Arial"/>
          <w:color w:val="000000"/>
          <w:lang w:val="ru-RU"/>
        </w:rPr>
        <w:t xml:space="preserve">) </w:t>
      </w:r>
      <w:r w:rsidRPr="008F6431">
        <w:rPr>
          <w:rFonts w:eastAsia="Times New Roman" w:cs="Arial"/>
          <w:color w:val="000000"/>
          <w:lang w:eastAsia="bg-BG"/>
        </w:rPr>
        <w:t xml:space="preserve">сравнение с пациенти с нормална чернодробна функция, необходимо е повишено внимание когато Ерлотиниб Сандоз се прилага при пациенти с чернодробно увреждане. При поява на тежки нежелани реакции трябва да се обмисли намаляване на дозата или преустановяване приема на Ерлотиниб Сандоз. Безопасността и ефикасността на ерлотиниб не са проучвани при пациенти с тежка чернодробна дисфункция </w:t>
      </w:r>
      <w:r w:rsidRPr="008F6431">
        <w:rPr>
          <w:rFonts w:eastAsia="Times New Roman" w:cs="Arial"/>
          <w:color w:val="000000"/>
          <w:lang w:val="ru-RU"/>
        </w:rPr>
        <w:t>(</w:t>
      </w:r>
      <w:r w:rsidRPr="008F6431">
        <w:rPr>
          <w:rFonts w:eastAsia="Times New Roman" w:cs="Arial"/>
          <w:color w:val="000000"/>
          <w:lang w:val="en-US"/>
        </w:rPr>
        <w:t>AST</w:t>
      </w:r>
      <w:r w:rsidRPr="008F6431">
        <w:rPr>
          <w:rFonts w:eastAsia="Times New Roman" w:cs="Arial"/>
          <w:color w:val="000000"/>
          <w:lang w:val="ru-RU"/>
        </w:rPr>
        <w:t>/</w:t>
      </w:r>
      <w:r w:rsidRPr="008F6431">
        <w:rPr>
          <w:rFonts w:eastAsia="Times New Roman" w:cs="Arial"/>
          <w:color w:val="000000"/>
          <w:lang w:val="en-US"/>
        </w:rPr>
        <w:t>SGOT</w:t>
      </w:r>
      <w:r w:rsidRPr="008F6431">
        <w:rPr>
          <w:rFonts w:eastAsia="Times New Roman" w:cs="Arial"/>
          <w:color w:val="000000"/>
          <w:lang w:val="ru-RU"/>
        </w:rPr>
        <w:t xml:space="preserve"> </w:t>
      </w:r>
      <w:r w:rsidRPr="008F6431">
        <w:rPr>
          <w:rFonts w:eastAsia="Times New Roman" w:cs="Arial"/>
          <w:color w:val="000000"/>
          <w:lang w:eastAsia="bg-BG"/>
        </w:rPr>
        <w:t>и</w:t>
      </w:r>
    </w:p>
    <w:p w14:paraId="62CE6EC8"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val="en-US"/>
        </w:rPr>
        <w:t>ALT</w:t>
      </w:r>
      <w:r w:rsidRPr="008F6431">
        <w:rPr>
          <w:rFonts w:eastAsia="Times New Roman" w:cs="Arial"/>
          <w:color w:val="000000"/>
          <w:lang w:val="ru-RU"/>
        </w:rPr>
        <w:t>/</w:t>
      </w:r>
      <w:r w:rsidRPr="008F6431">
        <w:rPr>
          <w:rFonts w:eastAsia="Times New Roman" w:cs="Arial"/>
          <w:color w:val="000000"/>
          <w:lang w:val="en-US"/>
        </w:rPr>
        <w:t>SGPT</w:t>
      </w:r>
      <w:r w:rsidRPr="008F6431">
        <w:rPr>
          <w:rFonts w:eastAsia="Times New Roman" w:cs="Arial"/>
          <w:color w:val="000000"/>
          <w:lang w:val="ru-RU"/>
        </w:rPr>
        <w:t xml:space="preserve">&gt; </w:t>
      </w:r>
      <w:r w:rsidRPr="008F6431">
        <w:rPr>
          <w:rFonts w:eastAsia="Times New Roman" w:cs="Arial"/>
          <w:color w:val="000000"/>
          <w:lang w:eastAsia="bg-BG"/>
        </w:rPr>
        <w:t xml:space="preserve">5 х </w:t>
      </w:r>
      <w:r w:rsidRPr="008F6431">
        <w:rPr>
          <w:rFonts w:eastAsia="Times New Roman" w:cs="Arial"/>
          <w:color w:val="000000"/>
          <w:lang w:val="en-US"/>
        </w:rPr>
        <w:t>ULN</w:t>
      </w:r>
      <w:r w:rsidRPr="008F6431">
        <w:rPr>
          <w:rFonts w:eastAsia="Times New Roman" w:cs="Arial"/>
          <w:color w:val="000000"/>
          <w:lang w:val="ru-RU"/>
        </w:rPr>
        <w:t xml:space="preserve">). </w:t>
      </w:r>
      <w:r w:rsidRPr="008F6431">
        <w:rPr>
          <w:rFonts w:eastAsia="Times New Roman" w:cs="Arial"/>
          <w:color w:val="000000"/>
          <w:lang w:eastAsia="bg-BG"/>
        </w:rPr>
        <w:t>Употребата на Ерлотиниб Сандоз при пациенти с тежка чернодробна дисфункция не се препоръчва (вж. точка 5.2).</w:t>
      </w:r>
      <w:bookmarkStart w:id="1" w:name="bookmark0"/>
      <w:bookmarkEnd w:id="1"/>
    </w:p>
    <w:p w14:paraId="247CE14C" w14:textId="77777777" w:rsidR="008F6431" w:rsidRPr="008F6431" w:rsidRDefault="008F6431" w:rsidP="008F6431">
      <w:pPr>
        <w:spacing w:line="240" w:lineRule="auto"/>
        <w:rPr>
          <w:rFonts w:eastAsia="Times New Roman" w:cs="Arial"/>
          <w:sz w:val="24"/>
          <w:szCs w:val="24"/>
        </w:rPr>
      </w:pPr>
    </w:p>
    <w:p w14:paraId="3104304A" w14:textId="77777777" w:rsidR="008F6431" w:rsidRPr="008F6431" w:rsidRDefault="008F6431" w:rsidP="008F6431">
      <w:pPr>
        <w:rPr>
          <w:rFonts w:eastAsia="Times New Roman" w:cs="Arial"/>
          <w:sz w:val="24"/>
          <w:szCs w:val="24"/>
        </w:rPr>
      </w:pPr>
      <w:r w:rsidRPr="008F6431">
        <w:rPr>
          <w:rFonts w:eastAsia="Times New Roman" w:cs="Arial"/>
          <w:color w:val="000000"/>
          <w:u w:val="single"/>
          <w:lang w:eastAsia="bg-BG"/>
        </w:rPr>
        <w:t>Бъбречно увреждане:</w:t>
      </w:r>
      <w:r w:rsidRPr="008F6431">
        <w:rPr>
          <w:rFonts w:eastAsia="Times New Roman" w:cs="Arial"/>
          <w:color w:val="000000"/>
          <w:lang w:eastAsia="bg-BG"/>
        </w:rPr>
        <w:t xml:space="preserve"> Безопасността и ефикасността на ерлотиниб не са проучени при пациенти с бъбречно увреждане (концентрация на серумен креатинин &gt;1,5 пъти над горната граница на нормата). Въз основа на фармакокинетичните данни изглежда, че не е необходимо коригиране на дозата при пациенти с леко до умерено бъбречно увреждане (вж. точка 5.2). Употребата на Ерлотиниб Сандоз при пациенти с тежко бъбречно увреждане не се препоръчва.</w:t>
      </w:r>
    </w:p>
    <w:p w14:paraId="287826A6" w14:textId="77777777" w:rsidR="008F6431" w:rsidRPr="008F6431" w:rsidRDefault="008F6431" w:rsidP="008F6431">
      <w:pPr>
        <w:spacing w:line="240" w:lineRule="auto"/>
        <w:rPr>
          <w:rFonts w:eastAsia="Times New Roman" w:cs="Arial"/>
          <w:i/>
          <w:iCs/>
          <w:color w:val="000000"/>
          <w:lang w:eastAsia="bg-BG"/>
        </w:rPr>
      </w:pPr>
    </w:p>
    <w:p w14:paraId="08BD6359" w14:textId="4D5A9E4F" w:rsidR="008F6431" w:rsidRPr="008F6431" w:rsidRDefault="008F6431" w:rsidP="008F6431">
      <w:pPr>
        <w:spacing w:line="240" w:lineRule="auto"/>
        <w:rPr>
          <w:rFonts w:eastAsia="Times New Roman" w:cs="Arial"/>
          <w:sz w:val="24"/>
          <w:szCs w:val="24"/>
        </w:rPr>
      </w:pPr>
      <w:r w:rsidRPr="008F6431">
        <w:rPr>
          <w:rFonts w:eastAsia="Times New Roman" w:cs="Arial"/>
          <w:i/>
          <w:iCs/>
          <w:color w:val="000000"/>
          <w:lang w:eastAsia="bg-BG"/>
        </w:rPr>
        <w:t>Педиатрична популация</w:t>
      </w:r>
    </w:p>
    <w:p w14:paraId="6499065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Безопасността и ефикасността на ерлотиниб в рамките на одобрените индикации не е установена при пациенти под 18 годишна възраст. Употребата на Ерлотиниб Сандоз при педиатрични пациенти не се препоръчва.</w:t>
      </w:r>
    </w:p>
    <w:p w14:paraId="64DB0FB7" w14:textId="77777777" w:rsidR="008F6431" w:rsidRPr="008F6431" w:rsidRDefault="008F6431" w:rsidP="008F6431">
      <w:pPr>
        <w:spacing w:line="240" w:lineRule="auto"/>
        <w:rPr>
          <w:rFonts w:eastAsia="Times New Roman" w:cs="Arial"/>
          <w:color w:val="000000"/>
          <w:u w:val="single"/>
          <w:lang w:eastAsia="bg-BG"/>
        </w:rPr>
      </w:pPr>
    </w:p>
    <w:p w14:paraId="5D958D4D" w14:textId="246F8200"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Пушачи:</w:t>
      </w:r>
      <w:r w:rsidRPr="008F6431">
        <w:rPr>
          <w:rFonts w:eastAsia="Times New Roman" w:cs="Arial"/>
          <w:color w:val="000000"/>
          <w:lang w:eastAsia="bg-BG"/>
        </w:rPr>
        <w:t xml:space="preserve"> Доказано е, че тютюнопушенето намалява експозицията на ерлотиниб с 50-60%. Максималната поносима доза на Ерлотиниб Сандоз при пациенти с НДКРБД които в момента пушат цигари, е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Дозата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не показва подобрена ефикасност при лечение с втора линия след неуспех на химиотерапия в сравнение с препоръчителната доза от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при пациенти, които продължават да пушат цигари. Данните за безопасност са сравними между дозите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и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въпреки това, има числово увеличение на честотата на обрив, интерстициална белодробна болест и диария при пациенти, получаващи по-високата доза ерлотиниб. Настоящите пушачи трябва да бъдат посъветвани да спрат да пушат (вж. точки 4.4, 4.5, 5.1 и 5.2).</w:t>
      </w:r>
    </w:p>
    <w:p w14:paraId="423D8EBA" w14:textId="27096CA6" w:rsidR="008F6431" w:rsidRPr="008F6431" w:rsidRDefault="008F6431" w:rsidP="008F6431"/>
    <w:p w14:paraId="0F253247" w14:textId="23E8D732" w:rsidR="007122AD" w:rsidRDefault="002C50EE" w:rsidP="00936AD0">
      <w:pPr>
        <w:pStyle w:val="Heading2"/>
      </w:pPr>
      <w:r>
        <w:t>4.3. Противопоказания</w:t>
      </w:r>
    </w:p>
    <w:p w14:paraId="36945FBF" w14:textId="752A0045" w:rsidR="008F6431" w:rsidRDefault="008F6431" w:rsidP="008F6431"/>
    <w:p w14:paraId="675947C2" w14:textId="50FE5F74" w:rsidR="008F6431" w:rsidRDefault="008F6431" w:rsidP="008F6431">
      <w:r>
        <w:t>Свръхчувствителност към ерлотиниб или към някое от помощните вещества, изброени в точка 6.1.</w:t>
      </w:r>
    </w:p>
    <w:p w14:paraId="49A0B3AA" w14:textId="77777777" w:rsidR="008F6431" w:rsidRPr="008F6431" w:rsidRDefault="008F6431" w:rsidP="008F6431"/>
    <w:p w14:paraId="0E0BDCC7" w14:textId="7C2E7E54" w:rsidR="007122AD" w:rsidRDefault="002C50EE" w:rsidP="00936AD0">
      <w:pPr>
        <w:pStyle w:val="Heading2"/>
      </w:pPr>
      <w:r>
        <w:t>4.4. Специални предупреждения и предпазни мерки при употреба</w:t>
      </w:r>
    </w:p>
    <w:p w14:paraId="1EB15E4B" w14:textId="157B2DCD" w:rsidR="008F6431" w:rsidRDefault="008F6431" w:rsidP="008F6431"/>
    <w:p w14:paraId="2FFF28D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 xml:space="preserve">Оценка на статуса на </w:t>
      </w:r>
      <w:r w:rsidRPr="008F6431">
        <w:rPr>
          <w:rFonts w:eastAsia="Times New Roman" w:cs="Arial"/>
          <w:color w:val="000000"/>
          <w:u w:val="single"/>
          <w:lang w:val="en-US"/>
        </w:rPr>
        <w:t>EGFR</w:t>
      </w:r>
      <w:r w:rsidRPr="008F6431">
        <w:rPr>
          <w:rFonts w:eastAsia="Times New Roman" w:cs="Arial"/>
          <w:color w:val="000000"/>
          <w:u w:val="single"/>
          <w:lang w:val="ru-RU"/>
        </w:rPr>
        <w:t xml:space="preserve"> </w:t>
      </w:r>
      <w:r w:rsidRPr="008F6431">
        <w:rPr>
          <w:rFonts w:eastAsia="Times New Roman" w:cs="Arial"/>
          <w:color w:val="000000"/>
          <w:u w:val="single"/>
          <w:lang w:eastAsia="bg-BG"/>
        </w:rPr>
        <w:t>мутапии</w:t>
      </w:r>
    </w:p>
    <w:p w14:paraId="6ACE2BD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Когато разглеждате използването на ерлотиниб като първа линия или поддържащо лечение за локално напреднал или метастатичен НДКРБД, важно е да се определи състоянието на мутация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на пациент.</w:t>
      </w:r>
    </w:p>
    <w:p w14:paraId="0276089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Трябва да се извършва валидиран, здрав, надежден и чувствителен тест с предварително определен праг на положителност и доказана полезност за определяне на </w:t>
      </w:r>
      <w:r w:rsidRPr="008F6431">
        <w:rPr>
          <w:rFonts w:eastAsia="Times New Roman" w:cs="Arial"/>
          <w:color w:val="000000"/>
          <w:lang w:eastAsia="bg-BG"/>
        </w:rPr>
        <w:lastRenderedPageBreak/>
        <w:t xml:space="preserve">мутационния статус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 xml:space="preserve">според местната медицинска практика, като се използва или туморна ДНК, получена от тьканна проба, или циркулираща свободна ДНК </w:t>
      </w:r>
      <w:r w:rsidRPr="008F6431">
        <w:rPr>
          <w:rFonts w:eastAsia="Times New Roman" w:cs="Arial"/>
          <w:color w:val="000000"/>
          <w:lang w:val="ru-RU"/>
        </w:rPr>
        <w:t>(</w:t>
      </w:r>
      <w:r w:rsidRPr="008F6431">
        <w:rPr>
          <w:rFonts w:eastAsia="Times New Roman" w:cs="Arial"/>
          <w:color w:val="000000"/>
          <w:lang w:val="en-US"/>
        </w:rPr>
        <w:t>cfDNA</w:t>
      </w:r>
      <w:r w:rsidRPr="008F6431">
        <w:rPr>
          <w:rFonts w:eastAsia="Times New Roman" w:cs="Arial"/>
          <w:color w:val="000000"/>
          <w:lang w:val="ru-RU"/>
        </w:rPr>
        <w:t xml:space="preserve">), </w:t>
      </w:r>
      <w:r w:rsidRPr="008F6431">
        <w:rPr>
          <w:rFonts w:eastAsia="Times New Roman" w:cs="Arial"/>
          <w:color w:val="000000"/>
          <w:lang w:eastAsia="bg-BG"/>
        </w:rPr>
        <w:t>получена от кръвна (плазмена) проба.</w:t>
      </w:r>
    </w:p>
    <w:p w14:paraId="0533749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Ако се използва тестът на </w:t>
      </w:r>
      <w:r w:rsidRPr="008F6431">
        <w:rPr>
          <w:rFonts w:eastAsia="Times New Roman" w:cs="Arial"/>
          <w:color w:val="000000"/>
          <w:lang w:val="en-US"/>
        </w:rPr>
        <w:t>cfDNA</w:t>
      </w:r>
      <w:r w:rsidRPr="008F6431">
        <w:rPr>
          <w:rFonts w:eastAsia="Times New Roman" w:cs="Arial"/>
          <w:color w:val="000000"/>
          <w:lang w:val="ru-RU"/>
        </w:rPr>
        <w:t xml:space="preserve"> </w:t>
      </w:r>
      <w:r w:rsidRPr="008F6431">
        <w:rPr>
          <w:rFonts w:eastAsia="Times New Roman" w:cs="Arial"/>
          <w:color w:val="000000"/>
          <w:lang w:eastAsia="bg-BG"/>
        </w:rPr>
        <w:t>на базата на плазма като резултата е отрицателен за активиране на мутации, извършвайте тьканно изследване, когато това е възможно поради потенциала за фалшиво отрицателни резултати от тест на базата на плазма.</w:t>
      </w:r>
    </w:p>
    <w:p w14:paraId="18566135" w14:textId="77777777" w:rsidR="008F6431" w:rsidRPr="008F6431" w:rsidRDefault="008F6431" w:rsidP="008F6431">
      <w:pPr>
        <w:spacing w:line="240" w:lineRule="auto"/>
        <w:rPr>
          <w:rFonts w:eastAsia="Times New Roman" w:cs="Arial"/>
          <w:color w:val="000000"/>
          <w:u w:val="single"/>
          <w:lang w:eastAsia="bg-BG"/>
        </w:rPr>
      </w:pPr>
    </w:p>
    <w:p w14:paraId="220BF357" w14:textId="5AB978A6"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Пушачи</w:t>
      </w:r>
    </w:p>
    <w:p w14:paraId="3F830319"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Пушачите трябва да бъдат посъветвани да спрат да пушат, тъй като плазмените концентрации на ерлотиниб при пушачи са по-ниски в сравнение с непушачите. Има вероятност степента на намаление да е клинично значима (вж. точки 4.2,4.5, 5.1 и 5.2).</w:t>
      </w:r>
    </w:p>
    <w:p w14:paraId="442480F3" w14:textId="77777777" w:rsidR="008F6431" w:rsidRPr="008F6431" w:rsidRDefault="008F6431" w:rsidP="008F6431">
      <w:pPr>
        <w:spacing w:line="240" w:lineRule="auto"/>
        <w:rPr>
          <w:rFonts w:eastAsia="Times New Roman" w:cs="Arial"/>
          <w:color w:val="000000"/>
          <w:u w:val="single"/>
          <w:lang w:eastAsia="bg-BG"/>
        </w:rPr>
      </w:pPr>
    </w:p>
    <w:p w14:paraId="201AB103" w14:textId="44DBED1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Интерстициално белодробно заболяване</w:t>
      </w:r>
    </w:p>
    <w:p w14:paraId="3F4E5E9B"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Има нечести съобщения за събития от типа на интерстициално белодробно заболяване (ИБЗ), включително с фатален изход, при пациенти, приемали ерлотиниб за лечение на недребноклетьчен рак на белия дроб (НДКРБД), рак на панкреаса или други авансирали солидни тумори. При основното проучване </w:t>
      </w:r>
      <w:r w:rsidRPr="008F6431">
        <w:rPr>
          <w:rFonts w:eastAsia="Times New Roman" w:cs="Arial"/>
          <w:color w:val="000000"/>
          <w:lang w:val="en-US"/>
        </w:rPr>
        <w:t>BR</w:t>
      </w:r>
      <w:r w:rsidRPr="008F6431">
        <w:rPr>
          <w:rFonts w:eastAsia="Times New Roman" w:cs="Arial"/>
          <w:color w:val="000000"/>
          <w:lang w:val="ru-RU"/>
        </w:rPr>
        <w:t xml:space="preserve">.21 </w:t>
      </w:r>
      <w:r w:rsidRPr="008F6431">
        <w:rPr>
          <w:rFonts w:eastAsia="Times New Roman" w:cs="Arial"/>
          <w:color w:val="000000"/>
          <w:lang w:eastAsia="bg-BG"/>
        </w:rPr>
        <w:t xml:space="preserve">на НДКРБД честотата на ИБЗ (0,8%) е същата както в групите с плацебо, така и с ерлотиниб. При мета-анализ на НДКРБД рандомизирани контролирани клинични проучвания (с изключение на фаза I и фаза </w:t>
      </w:r>
      <w:r w:rsidRPr="008F6431">
        <w:rPr>
          <w:rFonts w:eastAsia="Times New Roman" w:cs="Arial"/>
          <w:color w:val="000000"/>
          <w:lang w:val="en-US"/>
        </w:rPr>
        <w:t>II</w:t>
      </w:r>
      <w:r w:rsidRPr="008F6431">
        <w:rPr>
          <w:rFonts w:eastAsia="Times New Roman" w:cs="Arial"/>
          <w:color w:val="000000"/>
          <w:lang w:eastAsia="bg-BG"/>
        </w:rPr>
        <w:t xml:space="preserve"> проучвания с едно рамо поради липса на контролни групи), честота на събития от типа ИБЗ е 0,9% при ерлотиниб, в сравнение с 0,4% при пациентите в контролната група. При проучването за рак на панкреаса в комбинация с гемцитабин, честотата на събития от типа на ИБЗ е 2,5% в групата с ерлотиниб плюс гемцитабин в сравнение с 0,4% в групата, лекувана с плацебо плюс гемцитабин. Съобщените диагнози при пациенти с подозрение за събития от типа на ИБЗ включват пневмонит, радиационен пневмонит, хиперсензитивен пиевмонит, интерстициална пневмония, интерстициално белодробно заболяване, облитериращ бронхиолит, белодробна фиброза, синдром на остър респираторен дистрес </w:t>
      </w:r>
      <w:r w:rsidRPr="008F6431">
        <w:rPr>
          <w:rFonts w:eastAsia="Times New Roman" w:cs="Arial"/>
          <w:color w:val="000000"/>
          <w:lang w:val="ru-RU"/>
        </w:rPr>
        <w:t>(</w:t>
      </w:r>
      <w:r w:rsidRPr="008F6431">
        <w:rPr>
          <w:rFonts w:eastAsia="Times New Roman" w:cs="Arial"/>
          <w:color w:val="000000"/>
          <w:lang w:val="en-US"/>
        </w:rPr>
        <w:t>ARDS</w:t>
      </w:r>
      <w:r w:rsidRPr="008F6431">
        <w:rPr>
          <w:rFonts w:eastAsia="Times New Roman" w:cs="Arial"/>
          <w:color w:val="000000"/>
          <w:lang w:val="ru-RU"/>
        </w:rPr>
        <w:t xml:space="preserve">), </w:t>
      </w:r>
      <w:r w:rsidRPr="008F6431">
        <w:rPr>
          <w:rFonts w:eastAsia="Times New Roman" w:cs="Arial"/>
          <w:color w:val="000000"/>
          <w:lang w:eastAsia="bg-BG"/>
        </w:rPr>
        <w:t>алвеолит и белодробна инфилтрация Симптомите се проявяват от няколко дни до няколко месеца след началото на лечението с ерлотиниб. Чести са объркващите или утежняващите фактори, като едновременна или предшестваща химиотерапия, предшестващо лъчелечение, анамнеза за паренхиматозно белодробно заболяване, метастатично белодробно заболяване или белодробни инфекции. По-висока честота на ИБЗ (приблизително 5% при смъртност от 1,5%) се наблюдава при пациенти от клинични проучвания, проведени в Япония.,</w:t>
      </w:r>
    </w:p>
    <w:p w14:paraId="4926AA8C" w14:textId="77777777" w:rsidR="008F6431" w:rsidRPr="008F6431" w:rsidRDefault="008F6431" w:rsidP="008F6431">
      <w:pPr>
        <w:spacing w:line="240" w:lineRule="auto"/>
        <w:rPr>
          <w:rFonts w:eastAsia="Times New Roman" w:cs="Arial"/>
          <w:color w:val="000000"/>
          <w:lang w:eastAsia="bg-BG"/>
        </w:rPr>
      </w:pPr>
    </w:p>
    <w:p w14:paraId="3C903B6C" w14:textId="5A1DED55"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При пациенти, които развият остри нови и/или прогресиращи необясними белодробни симптоми, като диспнея, кашлица и повишена температура, лечението с Ерлотиниб Сандоз трябва да се преустанови до изясняване на диагнозата. Пациентите, лекувани едновременно с ерлотиниб и гемцитабин, трябва да се наблюдават внимателно за евентуално развитие на токсичност от типа на ИБЗ. Ако се диагностицира ИБЗ, лечението с Ерлотиниб Сандоз трябва да се преустанови и, при необходимост, да се започне подходяща терапия (вж. точка 4.8).</w:t>
      </w:r>
    </w:p>
    <w:p w14:paraId="4E3CD1E3" w14:textId="77777777" w:rsidR="008F6431" w:rsidRPr="008F6431" w:rsidRDefault="008F6431" w:rsidP="008F6431">
      <w:pPr>
        <w:spacing w:line="240" w:lineRule="auto"/>
        <w:rPr>
          <w:rFonts w:eastAsia="Times New Roman" w:cs="Arial"/>
          <w:color w:val="000000"/>
          <w:u w:val="single"/>
          <w:lang w:eastAsia="bg-BG"/>
        </w:rPr>
      </w:pPr>
    </w:p>
    <w:p w14:paraId="04447348" w14:textId="6B69A070"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Диария, дехидратация, електролитни нарушения и бъбречна недостатъчност</w:t>
      </w:r>
    </w:p>
    <w:p w14:paraId="51074AD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Диария (включително много редки случаи с фатален изход) се появява при приблизително 50% от пациентите, лекувани с ерлотиниб, а умерена или тежка диария трябва да се лекува, напр. с лоперамид. В някои случаи може да е необходимо намаляване на дозата. По време на клиничните изпитвания дозите са намалявани с по 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Не е изследвано намаляване на дозата с по 25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В случай на тежка персистираща </w:t>
      </w:r>
      <w:r w:rsidRPr="008F6431">
        <w:rPr>
          <w:rFonts w:eastAsia="Times New Roman" w:cs="Arial"/>
          <w:color w:val="000000"/>
          <w:lang w:eastAsia="bg-BG"/>
        </w:rPr>
        <w:lastRenderedPageBreak/>
        <w:t>диария, гадене, анорексия или повръщане, свързани с дехидратация, лечението с Ерлотиниб Сандоз трябва да се преустанови и да се предприемат подходящи мерки за лечение на дехидратацията (вж. точка 4.8). Има редки съобщения за вторична хипокалиемия и бъбречна недостатъчност (включително и с фатален изход). Някои случаи се развиват вторично, в резултат на тежка дехидратация, дължаща се на диария, повръщане и/или анорексия, докато при други може да се сбърка поради едновременно приложение на химиотерапия. В случаи на по-тежка или персистираща диария или в случаите, водещи до дехидратация, особено при групи пациенти с утежняващи рискови фактори (особено съпътстваща химиотерапия и други лекарства, симптоми или заболявания, или други предразполагащи фактори, включително напреднала възраст), лечението с Ерлотиниб Сандоз трябва да се преустанови и да се предприемат подходящи мерки за интензивно интравенозно рехидратиране на пациентите. Освен това, трябва да се проследяват бъбречната функция и серумните електролити, включително нивата на калий при пациенти, при които съществува риск от дехидратация.</w:t>
      </w:r>
    </w:p>
    <w:p w14:paraId="3342BF75" w14:textId="77777777" w:rsidR="008F6431" w:rsidRPr="008F6431" w:rsidRDefault="008F6431" w:rsidP="008F6431">
      <w:pPr>
        <w:spacing w:line="240" w:lineRule="auto"/>
        <w:rPr>
          <w:rFonts w:eastAsia="Times New Roman" w:cs="Arial"/>
          <w:color w:val="000000"/>
          <w:u w:val="single"/>
          <w:lang w:eastAsia="bg-BG"/>
        </w:rPr>
      </w:pPr>
    </w:p>
    <w:p w14:paraId="1FCF61CB" w14:textId="0E4CCC35"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Хепатит, чернодробна недостатъчност</w:t>
      </w:r>
    </w:p>
    <w:p w14:paraId="71E75EFE"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Съобщава се за редки случаи на чернодробна недостатъчност (включително и с фатален изход) по време на приложение на ерлотиниб. Замъгляващите фактори включват предшестващо чернодробно заболяване или едновременно приложение на хепатотоксични лекарства. Поради това, при такива пациенти трябва да се има предвид периодично изследване на чернодробната функция. Приложението на Ерлотиниб Сандоз трябва да се прекъсне, ако промените на чернодробната функция са тежки (вж. точка 4.8). Ерлотиниб Сандоз не се препоръчва при пациенти с тежка чернодробна дисфункция.</w:t>
      </w:r>
    </w:p>
    <w:p w14:paraId="7D5FE68E" w14:textId="77777777" w:rsidR="008F6431" w:rsidRPr="008F6431" w:rsidRDefault="008F6431" w:rsidP="008F6431">
      <w:pPr>
        <w:spacing w:line="240" w:lineRule="auto"/>
        <w:rPr>
          <w:rFonts w:eastAsia="Times New Roman" w:cs="Arial"/>
          <w:color w:val="000000"/>
          <w:u w:val="single"/>
          <w:lang w:eastAsia="bg-BG"/>
        </w:rPr>
      </w:pPr>
    </w:p>
    <w:p w14:paraId="54342398" w14:textId="22B7B9C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Перфорация на стомашно-чревния тракт</w:t>
      </w:r>
    </w:p>
    <w:p w14:paraId="6F4658A8"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Пациентите, получаващи Ерлотиниб Сандоз, са изложени на повишен риск от развитие на перфорация на стомашно-чревния тракт, което не се наблюдава често (включително много редки случаи с фатален изход). Пациентите, получаващи едновременно антиангиогенни средства, кортикостероиди, НСПВС и/или химиотерапия на основата на таксани, или които са с предишна анамнеза за пептична улцерация или дивертикулит са изложени на повишен риск. Приложението на Ерлотиниб Сандоз трябва да бъде прекратено окончателно при пациенти, които развият перфорация на стомашно-чревния тракт (вж. точка 4.8).</w:t>
      </w:r>
    </w:p>
    <w:p w14:paraId="6190972B" w14:textId="77777777" w:rsidR="008F6431" w:rsidRPr="008F6431" w:rsidRDefault="008F6431" w:rsidP="008F6431">
      <w:pPr>
        <w:spacing w:line="240" w:lineRule="auto"/>
        <w:rPr>
          <w:rFonts w:eastAsia="Times New Roman" w:cs="Arial"/>
          <w:color w:val="000000"/>
          <w:u w:val="single"/>
          <w:lang w:eastAsia="bg-BG"/>
        </w:rPr>
      </w:pPr>
    </w:p>
    <w:p w14:paraId="78C40815" w14:textId="631CC3C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Булозни и ексфолиативни нарушения на кожата</w:t>
      </w:r>
    </w:p>
    <w:p w14:paraId="2C720FB1"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Съобщава се за булозни, протичащи с образуване на мехури и ексфолиативни кожни заболявания, включително много редки случаи, предполагащи синдром на </w:t>
      </w:r>
      <w:r w:rsidRPr="008F6431">
        <w:rPr>
          <w:rFonts w:eastAsia="Times New Roman" w:cs="Arial"/>
          <w:color w:val="000000"/>
          <w:lang w:val="en-US"/>
        </w:rPr>
        <w:t>Stevens</w:t>
      </w:r>
      <w:r w:rsidRPr="008F6431">
        <w:rPr>
          <w:rFonts w:eastAsia="Times New Roman" w:cs="Arial"/>
          <w:color w:val="000000"/>
          <w:lang w:val="ru-RU"/>
        </w:rPr>
        <w:t>-</w:t>
      </w:r>
      <w:r w:rsidRPr="008F6431">
        <w:rPr>
          <w:rFonts w:eastAsia="Times New Roman" w:cs="Arial"/>
          <w:color w:val="000000"/>
          <w:lang w:val="en-US"/>
        </w:rPr>
        <w:t>Johnson</w:t>
      </w:r>
      <w:r w:rsidRPr="008F6431">
        <w:rPr>
          <w:rFonts w:eastAsia="Times New Roman" w:cs="Arial"/>
          <w:color w:val="000000"/>
          <w:lang w:val="ru-RU"/>
        </w:rPr>
        <w:t>/</w:t>
      </w:r>
      <w:r w:rsidRPr="008F6431">
        <w:rPr>
          <w:rFonts w:eastAsia="Times New Roman" w:cs="Arial"/>
          <w:color w:val="000000"/>
          <w:lang w:eastAsia="bg-BG"/>
        </w:rPr>
        <w:t>токсична епидермална некролиза, които в някои случаи са били фатални (вж. точка 4.8). Лечението с Ерлотиниб Сандоз трябва да бъде прекъснато или преустановено, ако пациентът развие тежко булозно, протичащо образуване на мехури или ексфолиативно заболяване. Пациентите с булозни и ексфолиативни кожни нарушения трябва да се изследват за кожна инфекция и да се лекуват според местните ръководства за лечение.</w:t>
      </w:r>
    </w:p>
    <w:p w14:paraId="020357DF" w14:textId="77777777" w:rsidR="008F6431" w:rsidRPr="008F6431" w:rsidRDefault="008F6431" w:rsidP="008F6431">
      <w:pPr>
        <w:spacing w:line="240" w:lineRule="auto"/>
        <w:rPr>
          <w:rFonts w:eastAsia="Times New Roman" w:cs="Arial"/>
          <w:color w:val="000000"/>
          <w:u w:val="single"/>
          <w:lang w:eastAsia="bg-BG"/>
        </w:rPr>
      </w:pPr>
    </w:p>
    <w:p w14:paraId="2ED0CA26" w14:textId="29F6F435"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Нарушения на очите</w:t>
      </w:r>
    </w:p>
    <w:p w14:paraId="1AE7ED46"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Пациенти с признаци и симптоми, предполагащи кератит като остро или влошаващо се: възпаление на окото, сълзене, фоточувствителност, замъглено зрение, очна болка и/или зачервяване на окото своевременно трябва да бъдат насочени към специалист офталмолог. Ако диагнозата улцерозен кератит се потвърди, лечението с Ерлотиниб Сандоз трябва да се прекъсне или преустанови. Ако се диагностицира кератит, ползите и </w:t>
      </w:r>
      <w:r w:rsidRPr="008F6431">
        <w:rPr>
          <w:rFonts w:eastAsia="Times New Roman" w:cs="Arial"/>
          <w:color w:val="000000"/>
          <w:lang w:eastAsia="bg-BG"/>
        </w:rPr>
        <w:lastRenderedPageBreak/>
        <w:t>рисковете от продължаване на лечението трябва внимателно да се преценят. Ерлотиниб Сандоз трябва да се прилага с повишено внимание при пациенти с анамнеза за кератит, улцерозен кератит или тежка форма на сухота на окото. Използването на контактни лещи също е рисков фактор за възникването на кератит и улцерации. Съобщават се много редки случаи на перфорация или улцерация на роговицата по време на употреба на ерлотиниб (вж. точка 4.8).</w:t>
      </w:r>
    </w:p>
    <w:p w14:paraId="452F449D" w14:textId="77777777" w:rsidR="008F6431" w:rsidRPr="008F6431" w:rsidRDefault="008F6431" w:rsidP="008F6431">
      <w:pPr>
        <w:spacing w:line="240" w:lineRule="auto"/>
        <w:rPr>
          <w:rFonts w:eastAsia="Times New Roman" w:cs="Arial"/>
          <w:color w:val="000000"/>
          <w:u w:val="single"/>
          <w:lang w:eastAsia="bg-BG"/>
        </w:rPr>
      </w:pPr>
    </w:p>
    <w:p w14:paraId="4E864542" w14:textId="554EA57B"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Взаимодействие с други лекарствени продукти</w:t>
      </w:r>
    </w:p>
    <w:p w14:paraId="101BE2F9"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Мощните индуктори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 xml:space="preserve">А4 може да намалят ефикасността на ерлотиниб, а мощните инхибитори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А4 може да предизвикат повишена токсичност. Едновременното лечение с този тип лекарствени продукти трябва да се избягва (вж. точка 4.5).</w:t>
      </w:r>
    </w:p>
    <w:p w14:paraId="52825533" w14:textId="77777777" w:rsidR="008F6431" w:rsidRPr="008F6431" w:rsidRDefault="008F6431" w:rsidP="008F6431">
      <w:pPr>
        <w:spacing w:line="240" w:lineRule="auto"/>
        <w:rPr>
          <w:rFonts w:eastAsia="Times New Roman" w:cs="Arial"/>
          <w:color w:val="000000"/>
          <w:u w:val="single"/>
          <w:lang w:eastAsia="bg-BG"/>
        </w:rPr>
      </w:pPr>
    </w:p>
    <w:p w14:paraId="18DF36D0" w14:textId="41681F3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Други форми на взаимодействие</w:t>
      </w:r>
    </w:p>
    <w:p w14:paraId="4646808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се характеризира с намаление на разтворимостта при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над 5. Лекарствените продукти, които променят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 горните отдели на стомашно-чревния тракт (СЧ), като инхибиторите на протонната помпа, </w:t>
      </w:r>
      <w:r w:rsidRPr="008F6431">
        <w:rPr>
          <w:rFonts w:eastAsia="Times New Roman" w:cs="Arial"/>
          <w:color w:val="000000"/>
          <w:lang w:val="en-US"/>
        </w:rPr>
        <w:t>H</w:t>
      </w:r>
      <w:r w:rsidRPr="008F6431">
        <w:rPr>
          <w:rFonts w:eastAsia="Times New Roman" w:cs="Arial"/>
          <w:color w:val="000000"/>
          <w:vertAlign w:val="subscript"/>
          <w:lang w:val="ru-RU"/>
        </w:rPr>
        <w:t>2</w:t>
      </w:r>
      <w:r w:rsidRPr="008F6431">
        <w:rPr>
          <w:rFonts w:eastAsia="Times New Roman" w:cs="Arial"/>
          <w:color w:val="000000"/>
          <w:lang w:eastAsia="bg-BG"/>
        </w:rPr>
        <w:t xml:space="preserve"> антагонистите и антиацидите, може да променят разтворимостта на ерлотиниб, а оттам и бионаличностга му. Малко е вероятно повишаването на дозата на Ерлотиниб Сандоз при едновременно приложение с такива лекарствени средства да компенсира намаляването на експозицията. Комбинирането на Ерлотиниб Сандоз с инхибитори на протонната помпа трябва да се избягва. Ефектите на едновременното приложение на ерлотиниб с </w:t>
      </w:r>
      <w:r w:rsidRPr="008F6431">
        <w:rPr>
          <w:rFonts w:eastAsia="Times New Roman" w:cs="Arial"/>
          <w:color w:val="000000"/>
          <w:lang w:val="en-US"/>
        </w:rPr>
        <w:t>H</w:t>
      </w:r>
      <w:r w:rsidRPr="008F6431">
        <w:rPr>
          <w:rFonts w:eastAsia="Times New Roman" w:cs="Arial"/>
          <w:color w:val="000000"/>
          <w:vertAlign w:val="subscript"/>
          <w:lang w:val="ru-RU"/>
        </w:rPr>
        <w:t>2</w:t>
      </w:r>
      <w:r w:rsidRPr="008F6431">
        <w:rPr>
          <w:rFonts w:eastAsia="Times New Roman" w:cs="Arial"/>
          <w:color w:val="000000"/>
          <w:lang w:val="ru-RU"/>
        </w:rPr>
        <w:t xml:space="preserve"> </w:t>
      </w:r>
      <w:r w:rsidRPr="008F6431">
        <w:rPr>
          <w:rFonts w:eastAsia="Times New Roman" w:cs="Arial"/>
          <w:color w:val="000000"/>
          <w:lang w:eastAsia="bg-BG"/>
        </w:rPr>
        <w:t>антагонисти и антиациди не са известни; има вероятност, обаче за намалена бионаличност. Поради това, едновременното приложение на тези комбинации трябва да се избягва (вж. точка 4.5). Ако по време на лечението с Ерлотиниб Сандоз употребата на антиациди се счита за необходима, те трябва да се приемат най- малко 4 часа преди или 2 часа след дневната доза Ерлотиниб Сандоз.</w:t>
      </w:r>
    </w:p>
    <w:p w14:paraId="6947DFF4" w14:textId="77777777" w:rsidR="008F6431" w:rsidRPr="008F6431" w:rsidRDefault="008F6431" w:rsidP="008F6431">
      <w:pPr>
        <w:spacing w:line="240" w:lineRule="auto"/>
        <w:rPr>
          <w:rFonts w:eastAsia="Times New Roman" w:cs="Arial"/>
          <w:b/>
          <w:bCs/>
          <w:color w:val="000000"/>
          <w:lang w:eastAsia="bg-BG"/>
        </w:rPr>
      </w:pPr>
    </w:p>
    <w:p w14:paraId="19BED43B" w14:textId="6D0B65A8" w:rsidR="008F6431" w:rsidRPr="008F6431" w:rsidRDefault="008F6431" w:rsidP="008F6431">
      <w:pPr>
        <w:spacing w:line="240" w:lineRule="auto"/>
        <w:rPr>
          <w:rFonts w:eastAsia="Times New Roman" w:cs="Arial"/>
          <w:sz w:val="24"/>
          <w:szCs w:val="24"/>
        </w:rPr>
      </w:pPr>
      <w:r w:rsidRPr="008F6431">
        <w:rPr>
          <w:rFonts w:eastAsia="Times New Roman" w:cs="Arial"/>
          <w:b/>
          <w:bCs/>
          <w:color w:val="000000"/>
          <w:lang w:eastAsia="bg-BG"/>
        </w:rPr>
        <w:t>Ерлотиниб Сандоз съдържа лактоза и натрий.</w:t>
      </w:r>
    </w:p>
    <w:p w14:paraId="48E08C96"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Пациенти с редки наследствени проблеми на галактозна непоносимост, общ лактазен дефицит или глюкозо-галакгозна малабсорбция не трябва да приемат това лекарство.</w:t>
      </w:r>
    </w:p>
    <w:p w14:paraId="71719935" w14:textId="77777777" w:rsidR="008F6431" w:rsidRPr="008F6431" w:rsidRDefault="008F6431" w:rsidP="008F6431">
      <w:pPr>
        <w:spacing w:line="240" w:lineRule="auto"/>
        <w:rPr>
          <w:rFonts w:eastAsia="Times New Roman" w:cs="Arial"/>
          <w:color w:val="000000"/>
          <w:lang w:eastAsia="bg-BG"/>
        </w:rPr>
      </w:pPr>
    </w:p>
    <w:p w14:paraId="697E3653" w14:textId="056792A6"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Това лекарство съдържа по-малко от 1 </w:t>
      </w:r>
      <w:r w:rsidRPr="008F6431">
        <w:rPr>
          <w:rFonts w:eastAsia="Times New Roman" w:cs="Arial"/>
          <w:color w:val="000000"/>
          <w:lang w:val="en-US"/>
        </w:rPr>
        <w:t>mmol</w:t>
      </w:r>
      <w:r w:rsidRPr="008F6431">
        <w:rPr>
          <w:rFonts w:eastAsia="Times New Roman" w:cs="Arial"/>
          <w:color w:val="000000"/>
          <w:lang w:val="ru-RU"/>
        </w:rPr>
        <w:t xml:space="preserve"> </w:t>
      </w:r>
      <w:r w:rsidRPr="008F6431">
        <w:rPr>
          <w:rFonts w:eastAsia="Times New Roman" w:cs="Arial"/>
          <w:color w:val="000000"/>
          <w:lang w:eastAsia="bg-BG"/>
        </w:rPr>
        <w:t xml:space="preserve">натрий (23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на филмирана таблетка, т.е. може да се каже, че практически не съдържа натрий.</w:t>
      </w:r>
    </w:p>
    <w:p w14:paraId="1BB7DE99" w14:textId="66660DE5" w:rsidR="008F6431" w:rsidRPr="008F6431" w:rsidRDefault="008F6431" w:rsidP="008F6431"/>
    <w:p w14:paraId="0734264C" w14:textId="73555401"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2B84AF5D" w14:textId="742FEA9F" w:rsidR="008F6431" w:rsidRDefault="008F6431" w:rsidP="008F6431"/>
    <w:p w14:paraId="7F3C873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Проучвания за взаимодействията са провеждани само при възрастни.</w:t>
      </w:r>
    </w:p>
    <w:p w14:paraId="1E80B852" w14:textId="77777777" w:rsidR="008F6431" w:rsidRPr="008F6431" w:rsidRDefault="008F6431" w:rsidP="008F6431">
      <w:pPr>
        <w:spacing w:line="240" w:lineRule="auto"/>
        <w:rPr>
          <w:rFonts w:eastAsia="Times New Roman" w:cs="Arial"/>
          <w:color w:val="000000"/>
          <w:u w:val="single"/>
          <w:lang w:eastAsia="bg-BG"/>
        </w:rPr>
      </w:pPr>
    </w:p>
    <w:p w14:paraId="501CA92A" w14:textId="39196692"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 xml:space="preserve">Ерлотиниб и други субстрати на </w:t>
      </w:r>
      <w:r w:rsidRPr="008F6431">
        <w:rPr>
          <w:rFonts w:eastAsia="Times New Roman" w:cs="Arial"/>
          <w:color w:val="000000"/>
          <w:u w:val="single"/>
          <w:lang w:val="en-US"/>
        </w:rPr>
        <w:t>CYP</w:t>
      </w:r>
    </w:p>
    <w:p w14:paraId="76929C1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е мощен инхибитор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 xml:space="preserve">А1 и умерен инхибитор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и </w:t>
      </w:r>
      <w:r w:rsidRPr="008F6431">
        <w:rPr>
          <w:rFonts w:eastAsia="Times New Roman" w:cs="Arial"/>
          <w:color w:val="000000"/>
          <w:lang w:val="en-US"/>
        </w:rPr>
        <w:t>CYP</w:t>
      </w:r>
      <w:r w:rsidRPr="008F6431">
        <w:rPr>
          <w:rFonts w:eastAsia="Times New Roman" w:cs="Arial"/>
          <w:color w:val="000000"/>
          <w:lang w:val="ru-RU"/>
        </w:rPr>
        <w:t>2</w:t>
      </w:r>
      <w:r w:rsidRPr="008F6431">
        <w:rPr>
          <w:rFonts w:eastAsia="Times New Roman" w:cs="Arial"/>
          <w:color w:val="000000"/>
          <w:lang w:val="en-US"/>
        </w:rPr>
        <w:t>C</w:t>
      </w:r>
      <w:r w:rsidRPr="008F6431">
        <w:rPr>
          <w:rFonts w:eastAsia="Times New Roman" w:cs="Arial"/>
          <w:color w:val="000000"/>
          <w:lang w:val="ru-RU"/>
        </w:rPr>
        <w:t xml:space="preserve">8, </w:t>
      </w:r>
      <w:r w:rsidRPr="008F6431">
        <w:rPr>
          <w:rFonts w:eastAsia="Times New Roman" w:cs="Arial"/>
          <w:color w:val="000000"/>
          <w:lang w:eastAsia="bg-BG"/>
        </w:rPr>
        <w:t xml:space="preserve">както и мощен инхибитор на глюкуронидирането с помощта на </w:t>
      </w:r>
      <w:r w:rsidRPr="008F6431">
        <w:rPr>
          <w:rFonts w:eastAsia="Times New Roman" w:cs="Arial"/>
          <w:color w:val="000000"/>
          <w:lang w:val="en-US"/>
        </w:rPr>
        <w:t>UGT</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i/>
          <w:iCs/>
          <w:color w:val="000000"/>
          <w:lang w:val="en-US"/>
        </w:rPr>
        <w:t>in</w:t>
      </w:r>
      <w:r w:rsidRPr="008F6431">
        <w:rPr>
          <w:rFonts w:eastAsia="Times New Roman" w:cs="Arial"/>
          <w:i/>
          <w:iCs/>
          <w:color w:val="000000"/>
          <w:lang w:val="ru-RU"/>
        </w:rPr>
        <w:t xml:space="preserve"> </w:t>
      </w:r>
      <w:r w:rsidRPr="008F6431">
        <w:rPr>
          <w:rFonts w:eastAsia="Times New Roman" w:cs="Arial"/>
          <w:i/>
          <w:iCs/>
          <w:color w:val="000000"/>
          <w:lang w:val="en-US"/>
        </w:rPr>
        <w:t>vitro</w:t>
      </w:r>
      <w:r w:rsidRPr="008F6431">
        <w:rPr>
          <w:rFonts w:eastAsia="Times New Roman" w:cs="Arial"/>
          <w:i/>
          <w:iCs/>
          <w:color w:val="000000"/>
          <w:lang w:val="ru-RU"/>
        </w:rPr>
        <w:t>.</w:t>
      </w:r>
    </w:p>
    <w:p w14:paraId="717A93B7"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Физиологичното значение на мощното инхибиране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color w:val="000000"/>
          <w:lang w:eastAsia="bg-BG"/>
        </w:rPr>
        <w:t xml:space="preserve">не е известно поради много ограничената експресия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А1 в човешките тъкани.</w:t>
      </w:r>
    </w:p>
    <w:p w14:paraId="6F55F8B2" w14:textId="77777777" w:rsidR="008F6431" w:rsidRPr="008F6431" w:rsidRDefault="008F6431" w:rsidP="008F6431">
      <w:pPr>
        <w:spacing w:line="240" w:lineRule="auto"/>
        <w:rPr>
          <w:rFonts w:eastAsia="Times New Roman" w:cs="Arial"/>
          <w:color w:val="000000"/>
          <w:lang w:eastAsia="bg-BG"/>
        </w:rPr>
      </w:pPr>
    </w:p>
    <w:p w14:paraId="40BA5377"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Когато ерлотиниб се прилага едновременно с ципрофлоксацин, умерен инхибитор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 xml:space="preserve">А2,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се увеличава значително с 39%, като не се открива статистически значима промяна в </w:t>
      </w:r>
      <w:r w:rsidRPr="008F6431">
        <w:rPr>
          <w:rFonts w:eastAsia="Times New Roman" w:cs="Arial"/>
          <w:color w:val="000000"/>
          <w:lang w:val="en-US"/>
        </w:rPr>
        <w:t>C</w:t>
      </w:r>
      <w:r w:rsidRPr="008F6431">
        <w:rPr>
          <w:rFonts w:eastAsia="Times New Roman" w:cs="Arial"/>
          <w:color w:val="000000"/>
          <w:vertAlign w:val="subscript"/>
          <w:lang w:val="en-US"/>
        </w:rPr>
        <w:t>max</w:t>
      </w:r>
      <w:r w:rsidRPr="008F6431">
        <w:rPr>
          <w:rFonts w:eastAsia="Times New Roman" w:cs="Arial"/>
          <w:color w:val="000000"/>
          <w:lang w:val="ru-RU"/>
        </w:rPr>
        <w:t xml:space="preserve">. </w:t>
      </w:r>
      <w:r w:rsidRPr="008F6431">
        <w:rPr>
          <w:rFonts w:eastAsia="Times New Roman" w:cs="Arial"/>
          <w:color w:val="000000"/>
          <w:lang w:eastAsia="bg-BG"/>
        </w:rPr>
        <w:t xml:space="preserve">Аналогично, експозицията на активния метаболит се увеличава с около 60% и 48%, съответно за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и С</w:t>
      </w:r>
      <w:r w:rsidRPr="008F6431">
        <w:rPr>
          <w:rFonts w:eastAsia="Times New Roman" w:cs="Arial"/>
          <w:color w:val="000000"/>
          <w:lang w:val="en-US"/>
        </w:rPr>
        <w:t>max</w:t>
      </w:r>
      <w:r w:rsidRPr="008F6431">
        <w:rPr>
          <w:rFonts w:eastAsia="Times New Roman" w:cs="Arial"/>
          <w:color w:val="000000"/>
          <w:lang w:val="ru-RU"/>
        </w:rPr>
        <w:t>.</w:t>
      </w:r>
      <w:r w:rsidRPr="008F6431">
        <w:rPr>
          <w:rFonts w:eastAsia="Times New Roman" w:cs="Arial"/>
          <w:color w:val="000000"/>
          <w:lang w:eastAsia="bg-BG"/>
        </w:rPr>
        <w:t xml:space="preserve"> Клиничното значение на това увеличение не е установено. Трябва да се внимава, когато </w:t>
      </w:r>
      <w:r w:rsidRPr="008F6431">
        <w:rPr>
          <w:rFonts w:eastAsia="Times New Roman" w:cs="Arial"/>
          <w:color w:val="000000"/>
          <w:lang w:eastAsia="bg-BG"/>
        </w:rPr>
        <w:lastRenderedPageBreak/>
        <w:t xml:space="preserve">ципрофлоксацин или мощни инхибитори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А2 (напр. флувоксамин) се комбинират с ерлотиниб. При проява на нежелани реакции, свързани с ерлотиниб, дозата на ерлотиниб може да се намали.</w:t>
      </w:r>
    </w:p>
    <w:p w14:paraId="27E265F1" w14:textId="77777777" w:rsidR="008F6431" w:rsidRPr="008F6431" w:rsidRDefault="008F6431" w:rsidP="008F6431">
      <w:pPr>
        <w:spacing w:line="240" w:lineRule="auto"/>
        <w:rPr>
          <w:rFonts w:eastAsia="Times New Roman" w:cs="Arial"/>
          <w:color w:val="000000"/>
          <w:lang w:eastAsia="bg-BG"/>
        </w:rPr>
      </w:pPr>
    </w:p>
    <w:p w14:paraId="4720E07C" w14:textId="5AC3E2D8"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Предшестващо лечение или едновременно приложение на ерлотиниб не променя клирънса на прототипните субстрати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мидазолам и еротримицин, но изглежда намалява пероралната бионаличност на мидазолам до 24%. При друго клинично проучване не е доказано повлияване на фармакокинегиката на паклитаксел, субстрат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4/2</w:t>
      </w:r>
      <w:r w:rsidRPr="008F6431">
        <w:rPr>
          <w:rFonts w:eastAsia="Times New Roman" w:cs="Arial"/>
          <w:color w:val="000000"/>
          <w:lang w:val="en-US"/>
        </w:rPr>
        <w:t>C</w:t>
      </w:r>
      <w:r w:rsidRPr="008F6431">
        <w:rPr>
          <w:rFonts w:eastAsia="Times New Roman" w:cs="Arial"/>
          <w:color w:val="000000"/>
          <w:lang w:val="ru-RU"/>
        </w:rPr>
        <w:t xml:space="preserve">8, </w:t>
      </w:r>
      <w:r w:rsidRPr="008F6431">
        <w:rPr>
          <w:rFonts w:eastAsia="Times New Roman" w:cs="Arial"/>
          <w:color w:val="000000"/>
          <w:lang w:eastAsia="bg-BG"/>
        </w:rPr>
        <w:t xml:space="preserve">при едновременно приложение с ерлотиниб. Поради това, значими взаимодействия, които повлияват клирънса на други субстрати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са малко вероятни.</w:t>
      </w:r>
    </w:p>
    <w:p w14:paraId="0D4CDF42" w14:textId="77777777" w:rsidR="008F6431" w:rsidRPr="008F6431" w:rsidRDefault="008F6431" w:rsidP="008F6431">
      <w:pPr>
        <w:spacing w:line="240" w:lineRule="auto"/>
        <w:rPr>
          <w:rFonts w:eastAsia="Times New Roman" w:cs="Arial"/>
          <w:color w:val="000000"/>
          <w:lang w:eastAsia="bg-BG"/>
        </w:rPr>
      </w:pPr>
    </w:p>
    <w:p w14:paraId="5350D03C" w14:textId="336D907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Инхибирането на глюкуронидирането може да доведе до взаимодействия с лекарствени продукти, които са субстрати на </w:t>
      </w:r>
      <w:r w:rsidRPr="008F6431">
        <w:rPr>
          <w:rFonts w:eastAsia="Times New Roman" w:cs="Arial"/>
          <w:color w:val="000000"/>
          <w:lang w:val="en-US"/>
        </w:rPr>
        <w:t>UGT</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color w:val="000000"/>
          <w:lang w:eastAsia="bg-BG"/>
        </w:rPr>
        <w:t xml:space="preserve">и които се елиминират изключително по този път. Пациенти с ниско ниво на експресия на </w:t>
      </w:r>
      <w:r w:rsidRPr="008F6431">
        <w:rPr>
          <w:rFonts w:eastAsia="Times New Roman" w:cs="Arial"/>
          <w:color w:val="000000"/>
          <w:lang w:val="en-US"/>
        </w:rPr>
        <w:t>UGT</w:t>
      </w:r>
      <w:r w:rsidRPr="008F6431">
        <w:rPr>
          <w:rFonts w:eastAsia="Times New Roman" w:cs="Arial"/>
          <w:color w:val="000000"/>
          <w:lang w:val="ru-RU"/>
        </w:rPr>
        <w:t>1</w:t>
      </w:r>
      <w:r w:rsidRPr="008F6431">
        <w:rPr>
          <w:rFonts w:eastAsia="Times New Roman" w:cs="Arial"/>
          <w:color w:val="000000"/>
          <w:lang w:eastAsia="bg-BG"/>
        </w:rPr>
        <w:t xml:space="preserve">А1 или с генетични нарушения на глюкуронидирането (напр. болест на </w:t>
      </w:r>
      <w:r w:rsidRPr="008F6431">
        <w:rPr>
          <w:rFonts w:eastAsia="Times New Roman" w:cs="Arial"/>
          <w:color w:val="000000"/>
          <w:lang w:val="en-US"/>
        </w:rPr>
        <w:t>Gilbert</w:t>
      </w:r>
      <w:r w:rsidRPr="008F6431">
        <w:rPr>
          <w:rFonts w:eastAsia="Times New Roman" w:cs="Arial"/>
          <w:color w:val="000000"/>
          <w:lang w:val="ru-RU"/>
        </w:rPr>
        <w:t xml:space="preserve">) </w:t>
      </w:r>
      <w:r w:rsidRPr="008F6431">
        <w:rPr>
          <w:rFonts w:eastAsia="Times New Roman" w:cs="Arial"/>
          <w:color w:val="000000"/>
          <w:lang w:eastAsia="bg-BG"/>
        </w:rPr>
        <w:t>може да покажат повишени серумни концентрации на билирубин и трябва да се лекува внимателно.</w:t>
      </w:r>
    </w:p>
    <w:p w14:paraId="165D5F24" w14:textId="77777777" w:rsidR="008F6431" w:rsidRPr="008F6431" w:rsidRDefault="008F6431" w:rsidP="008F6431">
      <w:pPr>
        <w:spacing w:line="240" w:lineRule="auto"/>
        <w:rPr>
          <w:rFonts w:eastAsia="Times New Roman" w:cs="Arial"/>
          <w:color w:val="000000"/>
          <w:lang w:eastAsia="bg-BG"/>
        </w:rPr>
      </w:pPr>
    </w:p>
    <w:p w14:paraId="5E5169CF" w14:textId="177248BE"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се метаболизира в черния дроб от чернодробните цитохроми при хора, предимно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и в по-малка степен от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 xml:space="preserve">А2. Екстрахепаталният метаболизъм с помощта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в червата,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color w:val="000000"/>
          <w:lang w:eastAsia="bg-BG"/>
        </w:rPr>
        <w:t xml:space="preserve">в белите дробове, и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val="en-US"/>
        </w:rPr>
        <w:t>B</w:t>
      </w:r>
      <w:r w:rsidRPr="008F6431">
        <w:rPr>
          <w:rFonts w:eastAsia="Times New Roman" w:cs="Arial"/>
          <w:color w:val="000000"/>
          <w:lang w:val="ru-RU"/>
        </w:rPr>
        <w:t xml:space="preserve">1 </w:t>
      </w:r>
      <w:r w:rsidRPr="008F6431">
        <w:rPr>
          <w:rFonts w:eastAsia="Times New Roman" w:cs="Arial"/>
          <w:color w:val="000000"/>
          <w:lang w:eastAsia="bg-BG"/>
        </w:rPr>
        <w:t>в ту морната тъкан също може потенциално да допринесе за метаболитното отстраняване на ерлотиниб. Може да възникнат потенциални взаимодействия с активни вещества, които се метаболизират от тези ензими, или са техни инхибитори или индуктори.</w:t>
      </w:r>
    </w:p>
    <w:p w14:paraId="030D21DA" w14:textId="77777777" w:rsidR="008F6431" w:rsidRPr="008F6431" w:rsidRDefault="008F6431" w:rsidP="008F6431">
      <w:pPr>
        <w:spacing w:line="240" w:lineRule="auto"/>
        <w:rPr>
          <w:rFonts w:eastAsia="Times New Roman" w:cs="Arial"/>
          <w:color w:val="000000"/>
          <w:lang w:eastAsia="bg-BG"/>
        </w:rPr>
      </w:pPr>
    </w:p>
    <w:p w14:paraId="74550622" w14:textId="1717B1CF"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Мощните инхибитори на активността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 xml:space="preserve">А4 намаляват метаболизма на ерлотиниб и увеличават плазмените му концентрации. При едно клинично проучване, едновременното приложение на ерлотиниб с кетоконазол (200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перорално, два пъти дневно в продължение на 5 дни), мощен инхибитор на С</w:t>
      </w:r>
      <w:r w:rsidRPr="008F6431">
        <w:rPr>
          <w:rFonts w:eastAsia="Times New Roman" w:cs="Arial"/>
          <w:color w:val="000000"/>
          <w:lang w:val="en-US"/>
        </w:rPr>
        <w:t>YP</w:t>
      </w:r>
      <w:r w:rsidRPr="008F6431">
        <w:rPr>
          <w:rFonts w:eastAsia="Times New Roman" w:cs="Arial"/>
          <w:color w:val="000000"/>
          <w:lang w:val="ru-RU"/>
        </w:rPr>
        <w:t>3</w:t>
      </w:r>
      <w:r w:rsidRPr="008F6431">
        <w:rPr>
          <w:rFonts w:eastAsia="Times New Roman" w:cs="Arial"/>
          <w:color w:val="000000"/>
          <w:lang w:eastAsia="bg-BG"/>
        </w:rPr>
        <w:t xml:space="preserve">А4, е довело до повишаване на експозицията на ерлотиниб (86% на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и 69% на С</w:t>
      </w:r>
      <w:r w:rsidRPr="008F6431">
        <w:rPr>
          <w:rFonts w:eastAsia="Times New Roman" w:cs="Arial"/>
          <w:color w:val="000000"/>
          <w:vertAlign w:val="subscript"/>
          <w:lang w:val="en-US"/>
        </w:rPr>
        <w:t>max</w:t>
      </w:r>
      <w:r w:rsidRPr="008F6431">
        <w:rPr>
          <w:rFonts w:eastAsia="Times New Roman" w:cs="Arial"/>
          <w:color w:val="000000"/>
          <w:lang w:eastAsia="bg-BG"/>
        </w:rPr>
        <w:t xml:space="preserve">). Поради това трябва да се внимава, когато ерлотиниб се комбинира с мощен инхибитор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напр. азолови антимикотици (напр. кетоконазол, итраконазол, вориконазол), протеазни инхибитори, еритромицин или кларитромицин. Ако е необходимо, дозата на ерлотиниб трябва да се намали, особено при поява на токсичност.</w:t>
      </w:r>
    </w:p>
    <w:p w14:paraId="6CBD4198" w14:textId="77777777" w:rsidR="008F6431" w:rsidRPr="008F6431" w:rsidRDefault="008F6431" w:rsidP="008F6431">
      <w:pPr>
        <w:spacing w:line="240" w:lineRule="auto"/>
        <w:rPr>
          <w:rFonts w:eastAsia="Times New Roman" w:cs="Arial"/>
          <w:color w:val="000000"/>
          <w:lang w:eastAsia="bg-BG"/>
        </w:rPr>
      </w:pPr>
    </w:p>
    <w:p w14:paraId="7CD941AE" w14:textId="29D85EE5"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Мощните индуктори на активността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засилват метаболизма на ерлотиниб и значимо намаляват плазмените му концентрации. При едно клинично проучване, едновременното приложение на ерлотиниб и рифампицин (600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перорално, веднъж дневно в продължение на 7 дни), мощен индуктор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е довело до 69% намаление на медианата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на ерлотиниб. Едновременното приложение на рифампицин с еднократна доза от 450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ерлотиниб довело до средна експозиция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57,5% от тази след еднократна доза от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ерлотиниб без лечение с рифампицин. Поради това, едновременното приложение на Ерлотиниб Сандоз с индуктори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трябва да се избягва. При пациенти, които се нуждаят от едновременно лечение с Ерлотиниб Сандоз мощен индуктор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като рифампицин, трябва да се обмисли увеличение на дозата до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като внимателно се следи за безопасността (включително бъбречната и чернодробната функция и серумните електролити) и ако лечението се понася добре в продължение на повече от 2 седмици, може да се помисли за допълнително увеличаване до 450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при внимателно проследяване на безопасността. Намалена експозиция може да се наблюдава и с други индуктори, напр. фенитоин, карбамазепин, барбитурати или жълт кантарион </w:t>
      </w:r>
      <w:r w:rsidRPr="008F6431">
        <w:rPr>
          <w:rFonts w:eastAsia="Times New Roman" w:cs="Arial"/>
          <w:i/>
          <w:iCs/>
          <w:color w:val="000000"/>
          <w:lang w:val="ru-RU"/>
        </w:rPr>
        <w:t>(</w:t>
      </w:r>
      <w:r w:rsidRPr="008F6431">
        <w:rPr>
          <w:rFonts w:eastAsia="Times New Roman" w:cs="Arial"/>
          <w:i/>
          <w:iCs/>
          <w:color w:val="000000"/>
          <w:lang w:val="en-US"/>
        </w:rPr>
        <w:t>hypericum</w:t>
      </w:r>
      <w:r w:rsidRPr="008F6431">
        <w:rPr>
          <w:rFonts w:eastAsia="Times New Roman" w:cs="Arial"/>
          <w:i/>
          <w:iCs/>
          <w:color w:val="000000"/>
          <w:lang w:val="ru-RU"/>
        </w:rPr>
        <w:t xml:space="preserve"> </w:t>
      </w:r>
      <w:r w:rsidRPr="008F6431">
        <w:rPr>
          <w:rFonts w:eastAsia="Times New Roman" w:cs="Arial"/>
          <w:i/>
          <w:iCs/>
          <w:color w:val="000000"/>
          <w:lang w:val="en-US"/>
        </w:rPr>
        <w:lastRenderedPageBreak/>
        <w:t>perforatum</w:t>
      </w:r>
      <w:r w:rsidRPr="008F6431">
        <w:rPr>
          <w:rFonts w:eastAsia="Times New Roman" w:cs="Arial"/>
          <w:i/>
          <w:iCs/>
          <w:color w:val="000000"/>
          <w:lang w:val="ru-RU"/>
        </w:rPr>
        <w:t>).</w:t>
      </w:r>
      <w:r w:rsidRPr="008F6431">
        <w:rPr>
          <w:rFonts w:eastAsia="Times New Roman" w:cs="Arial"/>
          <w:color w:val="000000"/>
          <w:lang w:val="ru-RU"/>
        </w:rPr>
        <w:t xml:space="preserve"> </w:t>
      </w:r>
      <w:r w:rsidRPr="008F6431">
        <w:rPr>
          <w:rFonts w:eastAsia="Times New Roman" w:cs="Arial"/>
          <w:color w:val="000000"/>
          <w:lang w:eastAsia="bg-BG"/>
        </w:rPr>
        <w:t xml:space="preserve">Комбинирането на тези активни вещества с ерлотиниб трябва да става предпазливо. Когато е възможно, трябва да се има предвид алтернативно лечение без мощна индуцираща активност по отношение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4.</w:t>
      </w:r>
    </w:p>
    <w:p w14:paraId="5F0D570C" w14:textId="77777777" w:rsidR="008F6431" w:rsidRPr="008F6431" w:rsidRDefault="008F6431" w:rsidP="008F6431">
      <w:pPr>
        <w:spacing w:line="240" w:lineRule="auto"/>
        <w:rPr>
          <w:rFonts w:eastAsia="Times New Roman" w:cs="Arial"/>
          <w:color w:val="000000"/>
          <w:u w:val="single"/>
          <w:lang w:eastAsia="bg-BG"/>
        </w:rPr>
      </w:pPr>
    </w:p>
    <w:p w14:paraId="35B9AFD1" w14:textId="338A6339"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кумаринови антикоагуланти</w:t>
      </w:r>
    </w:p>
    <w:p w14:paraId="0681B56A" w14:textId="2F9AA54A" w:rsidR="008F6431" w:rsidRPr="008F6431" w:rsidRDefault="008F6431" w:rsidP="008F6431">
      <w:pPr>
        <w:spacing w:line="240" w:lineRule="auto"/>
        <w:rPr>
          <w:rFonts w:eastAsia="Times New Roman" w:cs="Arial"/>
          <w:sz w:val="24"/>
          <w:szCs w:val="24"/>
          <w:lang w:val="ru-RU"/>
        </w:rPr>
      </w:pPr>
      <w:r w:rsidRPr="008F6431">
        <w:rPr>
          <w:rFonts w:eastAsia="Times New Roman" w:cs="Arial"/>
          <w:color w:val="000000"/>
          <w:lang w:eastAsia="bg-BG"/>
        </w:rPr>
        <w:t xml:space="preserve">При пациенти, лекувани с ерлотиниб, има съобщения за взаимодействие с антикоагуланти, производни на кумарина, включително варфарин, водещо до повишение на Международното нормализирано съотношение </w:t>
      </w:r>
      <w:r w:rsidRPr="008F6431">
        <w:rPr>
          <w:rFonts w:eastAsia="Times New Roman" w:cs="Arial"/>
          <w:color w:val="000000"/>
          <w:lang w:val="ru-RU"/>
        </w:rPr>
        <w:t>(</w:t>
      </w:r>
      <w:r w:rsidRPr="008F6431">
        <w:rPr>
          <w:rFonts w:eastAsia="Times New Roman" w:cs="Arial"/>
          <w:color w:val="000000"/>
          <w:lang w:val="en-US"/>
        </w:rPr>
        <w:t>International</w:t>
      </w:r>
      <w:r w:rsidRPr="008F6431">
        <w:rPr>
          <w:rFonts w:eastAsia="Times New Roman" w:cs="Arial"/>
          <w:color w:val="000000"/>
          <w:lang w:val="ru-RU"/>
        </w:rPr>
        <w:t xml:space="preserve"> </w:t>
      </w:r>
      <w:r w:rsidRPr="008F6431">
        <w:rPr>
          <w:rFonts w:eastAsia="Times New Roman" w:cs="Arial"/>
          <w:color w:val="000000"/>
          <w:lang w:val="en-US"/>
        </w:rPr>
        <w:t>Normalized</w:t>
      </w:r>
      <w:r w:rsidRPr="008F6431">
        <w:rPr>
          <w:rFonts w:eastAsia="Times New Roman" w:cs="Arial"/>
          <w:color w:val="000000"/>
          <w:lang w:val="ru-RU"/>
        </w:rPr>
        <w:t xml:space="preserve"> </w:t>
      </w:r>
      <w:r w:rsidRPr="008F6431">
        <w:rPr>
          <w:rFonts w:eastAsia="Times New Roman" w:cs="Arial"/>
          <w:color w:val="000000"/>
          <w:lang w:val="en-US"/>
        </w:rPr>
        <w:t>Ratio</w:t>
      </w:r>
      <w:r w:rsidRPr="008F6431">
        <w:rPr>
          <w:rFonts w:eastAsia="Times New Roman" w:cs="Arial"/>
          <w:color w:val="000000"/>
          <w:lang w:val="ru-RU"/>
        </w:rPr>
        <w:t>, 1</w:t>
      </w:r>
      <w:r w:rsidRPr="008F6431">
        <w:rPr>
          <w:rFonts w:eastAsia="Times New Roman" w:cs="Arial"/>
          <w:color w:val="000000"/>
          <w:lang w:val="en-US"/>
        </w:rPr>
        <w:t>NR</w:t>
      </w:r>
      <w:r w:rsidRPr="008F6431">
        <w:rPr>
          <w:rFonts w:eastAsia="Times New Roman" w:cs="Arial"/>
          <w:color w:val="000000"/>
          <w:lang w:val="ru-RU"/>
        </w:rPr>
        <w:t xml:space="preserve">) </w:t>
      </w:r>
      <w:r w:rsidRPr="008F6431">
        <w:rPr>
          <w:rFonts w:eastAsia="Times New Roman" w:cs="Arial"/>
          <w:color w:val="000000"/>
          <w:lang w:eastAsia="bg-BG"/>
        </w:rPr>
        <w:t xml:space="preserve">и събития с кървене, които в някои случаи са били фатални. Пациентите, приемащи антикоагуланти, производни на кумарина, трябва да се проследяват редовно за промени в протромбиновото време или </w:t>
      </w:r>
      <w:r w:rsidRPr="008F6431">
        <w:rPr>
          <w:rFonts w:eastAsia="Times New Roman" w:cs="Arial"/>
          <w:color w:val="000000"/>
          <w:lang w:val="en-US"/>
        </w:rPr>
        <w:t>INR</w:t>
      </w:r>
      <w:r w:rsidRPr="008F6431">
        <w:rPr>
          <w:rFonts w:eastAsia="Times New Roman" w:cs="Arial"/>
          <w:color w:val="000000"/>
          <w:lang w:val="ru-RU"/>
        </w:rPr>
        <w:t>.</w:t>
      </w:r>
    </w:p>
    <w:p w14:paraId="6D48CD32" w14:textId="1DD1634B" w:rsidR="008F6431" w:rsidRPr="008F6431" w:rsidRDefault="008F6431" w:rsidP="008F6431">
      <w:pPr>
        <w:rPr>
          <w:rFonts w:cs="Arial"/>
        </w:rPr>
      </w:pPr>
    </w:p>
    <w:p w14:paraId="10F50E1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статини</w:t>
      </w:r>
    </w:p>
    <w:p w14:paraId="24298861"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Комбинацията на Ерлотиниб Сандоз със статин може да увеличи възможността от възникване на миопатия, индуцирана от статина, включително рабдомиолиза, което се наблюдава рядко.</w:t>
      </w:r>
    </w:p>
    <w:p w14:paraId="73C2DEE6" w14:textId="77777777" w:rsidR="008F6431" w:rsidRPr="008F6431" w:rsidRDefault="008F6431" w:rsidP="008F6431">
      <w:pPr>
        <w:spacing w:line="240" w:lineRule="auto"/>
        <w:rPr>
          <w:rFonts w:eastAsia="Times New Roman" w:cs="Arial"/>
          <w:color w:val="000000"/>
          <w:u w:val="single"/>
          <w:lang w:eastAsia="bg-BG"/>
        </w:rPr>
      </w:pPr>
    </w:p>
    <w:p w14:paraId="6861C1C9" w14:textId="66A8C60D"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пушачи</w:t>
      </w:r>
    </w:p>
    <w:p w14:paraId="09541FF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Резултатите от едно проучване на фармакокинетичните взаимодействия показват значимо намаление от 2,8 1,5- и 9- пъти на </w:t>
      </w:r>
      <w:r w:rsidRPr="008F6431">
        <w:rPr>
          <w:rFonts w:eastAsia="Times New Roman" w:cs="Arial"/>
          <w:color w:val="000000"/>
          <w:lang w:val="en-US"/>
        </w:rPr>
        <w:t>AUCinf</w:t>
      </w:r>
      <w:r w:rsidRPr="008F6431">
        <w:rPr>
          <w:rFonts w:eastAsia="Times New Roman" w:cs="Arial"/>
          <w:color w:val="000000"/>
          <w:lang w:val="ru-RU"/>
        </w:rPr>
        <w:t xml:space="preserve">, </w:t>
      </w:r>
      <w:r w:rsidRPr="008F6431">
        <w:rPr>
          <w:rFonts w:eastAsia="Times New Roman" w:cs="Arial"/>
          <w:color w:val="000000"/>
          <w:lang w:val="en-US"/>
        </w:rPr>
        <w:t>C</w:t>
      </w:r>
      <w:r w:rsidRPr="008F6431">
        <w:rPr>
          <w:rFonts w:eastAsia="Times New Roman" w:cs="Arial"/>
          <w:color w:val="000000"/>
          <w:vertAlign w:val="subscript"/>
          <w:lang w:val="en-US"/>
        </w:rPr>
        <w:t>max</w:t>
      </w:r>
      <w:r w:rsidRPr="008F6431">
        <w:rPr>
          <w:rFonts w:eastAsia="Times New Roman" w:cs="Arial"/>
          <w:color w:val="000000"/>
          <w:lang w:val="ru-RU"/>
        </w:rPr>
        <w:t xml:space="preserve"> </w:t>
      </w:r>
      <w:r w:rsidRPr="008F6431">
        <w:rPr>
          <w:rFonts w:eastAsia="Times New Roman" w:cs="Arial"/>
          <w:color w:val="000000"/>
          <w:lang w:eastAsia="bg-BG"/>
        </w:rPr>
        <w:t>и плазмената концентрация след 24 часа, съответно след приложение на ерлотиниб при пушачи, в сравнение с непушачите (вж. точка 5.2). Поради това, пациентите, които продължават да пушат, трябва да бъдат насърчавани да преустановят пушенето във възможно най-кратки срокове преди началото на лечението с Ерлотиниб Сандоз, тъй като в противен случай плазмените концентрации на ерлотиниб намаляват.</w:t>
      </w:r>
    </w:p>
    <w:p w14:paraId="7B5B792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Въз основа на данните от проучването </w:t>
      </w:r>
      <w:r w:rsidRPr="008F6431">
        <w:rPr>
          <w:rFonts w:eastAsia="Times New Roman" w:cs="Arial"/>
          <w:color w:val="000000"/>
          <w:lang w:val="en-US"/>
        </w:rPr>
        <w:t>CURRENTS</w:t>
      </w:r>
      <w:r w:rsidRPr="008F6431">
        <w:rPr>
          <w:rFonts w:eastAsia="Times New Roman" w:cs="Arial"/>
          <w:color w:val="000000"/>
          <w:lang w:val="ru-RU"/>
        </w:rPr>
        <w:t xml:space="preserve"> </w:t>
      </w:r>
      <w:r w:rsidRPr="008F6431">
        <w:rPr>
          <w:rFonts w:eastAsia="Times New Roman" w:cs="Arial"/>
          <w:color w:val="000000"/>
          <w:lang w:eastAsia="bg-BG"/>
        </w:rPr>
        <w:t xml:space="preserve">не са установени доказателства за полза от по- висока доза ерлотиниб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в сравнение с препоръчителната доза от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при активни пушачи. Данните за безопасност са сравними между дозите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и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въпреки това, има числово увеличение на честотата на обрив, интерстициална белодробна болест и диария при пациенти, получаващи по-високата доза ерлотиниб (вж. точки 4.2,4.4,5.1 и 5.2).</w:t>
      </w:r>
    </w:p>
    <w:p w14:paraId="6A4BF4FB" w14:textId="77777777" w:rsidR="008F6431" w:rsidRPr="008F6431" w:rsidRDefault="008F6431" w:rsidP="008F6431">
      <w:pPr>
        <w:spacing w:line="240" w:lineRule="auto"/>
        <w:rPr>
          <w:rFonts w:eastAsia="Times New Roman" w:cs="Arial"/>
          <w:color w:val="000000"/>
          <w:u w:val="single"/>
          <w:lang w:eastAsia="bg-BG"/>
        </w:rPr>
      </w:pPr>
    </w:p>
    <w:p w14:paraId="7F42F9D8" w14:textId="15EE1944"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инхибитори на Р-гликопротеина</w:t>
      </w:r>
    </w:p>
    <w:p w14:paraId="4777D445"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е субстрат на Р-гликопротеина, преносител на активни вещества. Едновременното приложение на инхибитори на </w:t>
      </w:r>
      <w:r w:rsidRPr="008F6431">
        <w:rPr>
          <w:rFonts w:eastAsia="Times New Roman" w:cs="Arial"/>
          <w:color w:val="000000"/>
          <w:lang w:val="en-US"/>
        </w:rPr>
        <w:t>Pgp</w:t>
      </w:r>
      <w:r w:rsidRPr="008F6431">
        <w:rPr>
          <w:rFonts w:eastAsia="Times New Roman" w:cs="Arial"/>
          <w:color w:val="000000"/>
          <w:lang w:val="ru-RU"/>
        </w:rPr>
        <w:t xml:space="preserve">, </w:t>
      </w:r>
      <w:r w:rsidRPr="008F6431">
        <w:rPr>
          <w:rFonts w:eastAsia="Times New Roman" w:cs="Arial"/>
          <w:color w:val="000000"/>
          <w:lang w:eastAsia="bg-BG"/>
        </w:rPr>
        <w:t>напр. циклоспорин и верапамил, може да доведе до промени в разпределението и/или променено елиминиране на ерлотиниб. Последствията на това взаимодействие напр. за токсичността на ЦНС не са установени. Трябва да се внимава в такива ситуации.</w:t>
      </w:r>
    </w:p>
    <w:p w14:paraId="125CFE1E" w14:textId="77777777" w:rsidR="008F6431" w:rsidRPr="008F6431" w:rsidRDefault="008F6431" w:rsidP="008F6431">
      <w:pPr>
        <w:spacing w:line="240" w:lineRule="auto"/>
        <w:rPr>
          <w:rFonts w:eastAsia="Times New Roman" w:cs="Arial"/>
          <w:color w:val="000000"/>
          <w:u w:val="single"/>
          <w:lang w:eastAsia="bg-BG"/>
        </w:rPr>
      </w:pPr>
    </w:p>
    <w:p w14:paraId="5B173E32" w14:textId="7F02329F"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 xml:space="preserve">Ерлотиниб и лекарствени продукти, които променят </w:t>
      </w:r>
      <w:r w:rsidRPr="008F6431">
        <w:rPr>
          <w:rFonts w:eastAsia="Times New Roman" w:cs="Arial"/>
          <w:color w:val="000000"/>
          <w:u w:val="single"/>
          <w:lang w:val="en-US"/>
        </w:rPr>
        <w:t>pH</w:t>
      </w:r>
    </w:p>
    <w:p w14:paraId="25B9E9EB"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се характеризира с намаление на разтворимостта при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над 5. Лекарствените продукти, които променят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 горните отдели на стомашно-чревния тракт (СЧ), може да променят разтворимостта на ерлотиниб, а оттам и неговата бионаличност. Едновременното приложение на ерлотиниб с омепразол, инхибитор на протонната помпа (ИПП), намалява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и максималната концентрация </w:t>
      </w:r>
      <w:r w:rsidRPr="008F6431">
        <w:rPr>
          <w:rFonts w:eastAsia="Times New Roman" w:cs="Arial"/>
          <w:color w:val="000000"/>
          <w:lang w:val="ru-RU"/>
        </w:rPr>
        <w:t>[</w:t>
      </w:r>
      <w:r w:rsidRPr="008F6431">
        <w:rPr>
          <w:rFonts w:eastAsia="Times New Roman" w:cs="Arial"/>
          <w:color w:val="000000"/>
          <w:lang w:val="en-US"/>
        </w:rPr>
        <w:t>Cmax</w:t>
      </w:r>
      <w:r w:rsidRPr="008F6431">
        <w:rPr>
          <w:rFonts w:eastAsia="Times New Roman" w:cs="Arial"/>
          <w:color w:val="000000"/>
          <w:lang w:val="ru-RU"/>
        </w:rPr>
        <w:t xml:space="preserve">] </w:t>
      </w:r>
      <w:r w:rsidRPr="008F6431">
        <w:rPr>
          <w:rFonts w:eastAsia="Times New Roman" w:cs="Arial"/>
          <w:color w:val="000000"/>
          <w:lang w:eastAsia="bg-BG"/>
        </w:rPr>
        <w:t>съответно с 46% и 61%. Няма промяна в Т</w:t>
      </w:r>
      <w:r w:rsidRPr="008F6431">
        <w:rPr>
          <w:rFonts w:eastAsia="Times New Roman" w:cs="Arial"/>
          <w:color w:val="000000"/>
          <w:lang w:val="en-US"/>
        </w:rPr>
        <w:t>max</w:t>
      </w:r>
      <w:r w:rsidRPr="008F6431">
        <w:rPr>
          <w:rFonts w:eastAsia="Times New Roman" w:cs="Arial"/>
          <w:color w:val="000000"/>
          <w:lang w:eastAsia="bg-BG"/>
        </w:rPr>
        <w:t xml:space="preserve"> или полуживота. Едновременното приложение на ерлотиниб с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ранитидин, </w:t>
      </w:r>
      <w:r w:rsidRPr="008F6431">
        <w:rPr>
          <w:rFonts w:eastAsia="Times New Roman" w:cs="Arial"/>
          <w:color w:val="000000"/>
          <w:lang w:val="en-US"/>
        </w:rPr>
        <w:t>H</w:t>
      </w:r>
      <w:r w:rsidRPr="008F6431">
        <w:rPr>
          <w:rFonts w:eastAsia="Times New Roman" w:cs="Arial"/>
          <w:color w:val="000000"/>
          <w:vertAlign w:val="subscript"/>
          <w:lang w:val="ru-RU"/>
        </w:rPr>
        <w:t>2</w:t>
      </w:r>
      <w:r w:rsidRPr="008F6431">
        <w:rPr>
          <w:rFonts w:eastAsia="Times New Roman" w:cs="Arial"/>
          <w:color w:val="000000"/>
          <w:lang w:eastAsia="bg-BG"/>
        </w:rPr>
        <w:t xml:space="preserve">-рецепторен антагонист, понижава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и максималните концентрации </w:t>
      </w:r>
      <w:r w:rsidRPr="008F6431">
        <w:rPr>
          <w:rFonts w:eastAsia="Times New Roman" w:cs="Arial"/>
          <w:color w:val="000000"/>
          <w:lang w:val="ru-RU"/>
        </w:rPr>
        <w:t>[</w:t>
      </w:r>
      <w:r w:rsidRPr="008F6431">
        <w:rPr>
          <w:rFonts w:eastAsia="Times New Roman" w:cs="Arial"/>
          <w:color w:val="000000"/>
          <w:lang w:val="en-US"/>
        </w:rPr>
        <w:t>Cmax</w:t>
      </w:r>
      <w:r w:rsidRPr="008F6431">
        <w:rPr>
          <w:rFonts w:eastAsia="Times New Roman" w:cs="Arial"/>
          <w:color w:val="000000"/>
          <w:lang w:val="ru-RU"/>
        </w:rPr>
        <w:t xml:space="preserve">] </w:t>
      </w:r>
      <w:r w:rsidRPr="008F6431">
        <w:rPr>
          <w:rFonts w:eastAsia="Times New Roman" w:cs="Arial"/>
          <w:color w:val="000000"/>
          <w:lang w:eastAsia="bg-BG"/>
        </w:rPr>
        <w:t xml:space="preserve">съответно с 33% и 54%. Малко е вероятно повишаването на дозата на Ерлотиниб Сандоз при едновременно приложение с такива лекарствени средства да компенсира това намаляване на експозицията. Когато ерлотиниб обаче се дозира, разпределен във </w:t>
      </w:r>
      <w:r w:rsidRPr="008F6431">
        <w:rPr>
          <w:rFonts w:eastAsia="Times New Roman" w:cs="Arial"/>
          <w:color w:val="000000"/>
          <w:lang w:eastAsia="bg-BG"/>
        </w:rPr>
        <w:lastRenderedPageBreak/>
        <w:t xml:space="preserve">времето, 2 часа преди или 10 часа след ранитидин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два пъти дневно,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и максималните концентрации [С</w:t>
      </w:r>
      <w:r w:rsidRPr="008F6431">
        <w:rPr>
          <w:rFonts w:eastAsia="Times New Roman" w:cs="Arial"/>
          <w:color w:val="000000"/>
          <w:lang w:val="en-US"/>
        </w:rPr>
        <w:t>max</w:t>
      </w:r>
      <w:r w:rsidRPr="008F6431">
        <w:rPr>
          <w:rFonts w:eastAsia="Times New Roman" w:cs="Arial"/>
          <w:color w:val="000000"/>
          <w:lang w:eastAsia="bg-BG"/>
        </w:rPr>
        <w:t>] се понижават съответно само с 15% и 17%. Ефектът на антиацидите върху абсорбцията на ерлотиниб не е изследван, но абсорбцията може да е нарушена, което може да доведе до по-ниски плазмени нива. В обобщение, комбинирането на ерлотиниб с инхибитори на протонната помпа трябва да се избягва. Ако по време на лечението с Ерлотиниб Сандоз употребата на антиациди се счита за необходима, те трябва да се приемат най-малко 4 часа преди или 2 часа след дневната доза на Ерлотиниб Сандоз. Ако се обмисля употреба на ранитидин, той трябва да се разпредели във времето, т.е Ерлотиниб Сандоз трябва да се приема най-малко 2 часа преди или 10 часа след приема на ранитидин.</w:t>
      </w:r>
    </w:p>
    <w:p w14:paraId="13300276" w14:textId="77777777" w:rsidR="008F6431" w:rsidRPr="008F6431" w:rsidRDefault="008F6431" w:rsidP="008F6431">
      <w:pPr>
        <w:spacing w:line="240" w:lineRule="auto"/>
        <w:rPr>
          <w:rFonts w:eastAsia="Times New Roman" w:cs="Arial"/>
          <w:color w:val="000000"/>
          <w:u w:val="single"/>
          <w:lang w:eastAsia="bg-BG"/>
        </w:rPr>
      </w:pPr>
    </w:p>
    <w:p w14:paraId="684FA978" w14:textId="148D7E39"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гемцитабин</w:t>
      </w:r>
    </w:p>
    <w:p w14:paraId="53255D46"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 едно проучване фаза </w:t>
      </w:r>
      <w:r w:rsidRPr="008F6431">
        <w:rPr>
          <w:rFonts w:eastAsia="Times New Roman" w:cs="Arial"/>
          <w:color w:val="000000"/>
          <w:lang w:val="en-US"/>
        </w:rPr>
        <w:t>Ib</w:t>
      </w:r>
      <w:r w:rsidRPr="008F6431">
        <w:rPr>
          <w:rFonts w:eastAsia="Times New Roman" w:cs="Arial"/>
          <w:color w:val="000000"/>
          <w:lang w:val="ru-RU"/>
        </w:rPr>
        <w:t xml:space="preserve"> </w:t>
      </w:r>
      <w:r w:rsidRPr="008F6431">
        <w:rPr>
          <w:rFonts w:eastAsia="Times New Roman" w:cs="Arial"/>
          <w:color w:val="000000"/>
          <w:lang w:eastAsia="bg-BG"/>
        </w:rPr>
        <w:t>не са отбелязани значими ефекти на гемцитабин върху фармакокинетиката на ерлотиниб, нито значими ефекти на ерлотиниб върху фармакокинетиката на гемцитабин.</w:t>
      </w:r>
    </w:p>
    <w:p w14:paraId="7B5C054A" w14:textId="77777777" w:rsidR="008F6431" w:rsidRPr="008F6431" w:rsidRDefault="008F6431" w:rsidP="008F6431">
      <w:pPr>
        <w:spacing w:line="240" w:lineRule="auto"/>
        <w:rPr>
          <w:rFonts w:eastAsia="Times New Roman" w:cs="Arial"/>
          <w:color w:val="000000"/>
          <w:u w:val="single"/>
          <w:lang w:eastAsia="bg-BG"/>
        </w:rPr>
      </w:pPr>
    </w:p>
    <w:p w14:paraId="5B7829DC" w14:textId="33DB33B9"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карбоплатин/паклитаксел</w:t>
      </w:r>
    </w:p>
    <w:p w14:paraId="04DAF85C" w14:textId="1443D3DC" w:rsidR="008F6431" w:rsidRPr="008F6431" w:rsidRDefault="008F6431" w:rsidP="008F6431">
      <w:pPr>
        <w:rPr>
          <w:rFonts w:eastAsia="Times New Roman" w:cs="Arial"/>
          <w:color w:val="000000"/>
          <w:lang w:eastAsia="bg-BG"/>
        </w:rPr>
      </w:pPr>
      <w:r w:rsidRPr="008F6431">
        <w:rPr>
          <w:rFonts w:eastAsia="Times New Roman" w:cs="Arial"/>
          <w:color w:val="000000"/>
          <w:lang w:eastAsia="bg-BG"/>
        </w:rPr>
        <w:t xml:space="preserve">Ерлотиниб повишава концентрациите на платината. При едно клинично проучване едновременната употреба на ерлотиниб с карбоплатин и паклитаксел води до повишаване на общата </w:t>
      </w:r>
      <w:r w:rsidRPr="008F6431">
        <w:rPr>
          <w:rFonts w:eastAsia="Times New Roman" w:cs="Arial"/>
          <w:color w:val="000000"/>
          <w:lang w:val="en-US"/>
        </w:rPr>
        <w:t>AUC</w:t>
      </w:r>
      <w:r w:rsidRPr="008F6431">
        <w:rPr>
          <w:rFonts w:eastAsia="Times New Roman" w:cs="Arial"/>
          <w:color w:val="000000"/>
          <w:vertAlign w:val="subscript"/>
          <w:lang w:val="ru-RU"/>
        </w:rPr>
        <w:t>0-48</w:t>
      </w:r>
      <w:r w:rsidRPr="008F6431">
        <w:rPr>
          <w:rFonts w:eastAsia="Times New Roman" w:cs="Arial"/>
          <w:color w:val="000000"/>
          <w:lang w:val="ru-RU"/>
        </w:rPr>
        <w:t xml:space="preserve"> </w:t>
      </w:r>
      <w:r w:rsidRPr="008F6431">
        <w:rPr>
          <w:rFonts w:eastAsia="Times New Roman" w:cs="Arial"/>
          <w:color w:val="000000"/>
          <w:lang w:eastAsia="bg-BG"/>
        </w:rPr>
        <w:t>на платината с 10,6%. Въпреки статистическата значимост, не се счита, че големината на тази разлика е от клинично значение. В клиничната практика може да има други съпътстващи фактори, като бъбречното увреждане, водещи до повишена експозиция на карбоплатин. Няма значими ефекти на карбоплатин или паклитаксел върху фармакокинетиката на ерлотиниб.</w:t>
      </w:r>
    </w:p>
    <w:p w14:paraId="092348A9" w14:textId="29A7358A" w:rsidR="008F6431" w:rsidRPr="008F6431" w:rsidRDefault="008F6431" w:rsidP="008F6431">
      <w:pPr>
        <w:rPr>
          <w:rFonts w:eastAsia="Times New Roman" w:cs="Arial"/>
          <w:color w:val="000000"/>
          <w:lang w:eastAsia="bg-BG"/>
        </w:rPr>
      </w:pPr>
    </w:p>
    <w:p w14:paraId="6806A541"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капецитабин</w:t>
      </w:r>
    </w:p>
    <w:p w14:paraId="61FEA67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Капецитабин може да повиши концентрациите на ерлотиниб. Когато ерлотиниб се прилага в комбинация с капецитабин, е наблюдавано статистически значимо повишение на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на ерлотиниб и гранично увеличение на С</w:t>
      </w:r>
      <w:r w:rsidRPr="008F6431">
        <w:rPr>
          <w:rFonts w:eastAsia="Times New Roman" w:cs="Arial"/>
          <w:color w:val="000000"/>
          <w:lang w:val="en-US"/>
        </w:rPr>
        <w:t>max</w:t>
      </w:r>
      <w:r w:rsidRPr="008F6431">
        <w:rPr>
          <w:rFonts w:eastAsia="Times New Roman" w:cs="Arial"/>
          <w:color w:val="000000"/>
          <w:lang w:eastAsia="bg-BG"/>
        </w:rPr>
        <w:t xml:space="preserve"> в сравнение със стойностите, наблюдавани при друго проучване, където ерлотиниб е прилаган самостоятелно. Няма значими ефекти на ерлотиниб върху фармакокинетиката на капецитабин.</w:t>
      </w:r>
    </w:p>
    <w:p w14:paraId="1479C7DF" w14:textId="77777777" w:rsidR="008F6431" w:rsidRPr="008F6431" w:rsidRDefault="008F6431" w:rsidP="008F6431">
      <w:pPr>
        <w:spacing w:line="240" w:lineRule="auto"/>
        <w:rPr>
          <w:rFonts w:eastAsia="Times New Roman" w:cs="Arial"/>
          <w:color w:val="000000"/>
          <w:u w:val="single"/>
          <w:lang w:eastAsia="bg-BG"/>
        </w:rPr>
      </w:pPr>
    </w:p>
    <w:p w14:paraId="014647F5" w14:textId="2CE6272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протеазомни инхибитори</w:t>
      </w:r>
    </w:p>
    <w:p w14:paraId="0043321D" w14:textId="62E31091"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Поради механизма им на действие, може да се очаква, че протеазомните инхибитори, включително бортезомиб, повлияват ефекта на инхибиторите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 xml:space="preserve">включително ерлотиниб. Това влияние се подкрепя от ограничени клинични данни и предклинични изследвания, показващи разграждане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от протеазомите.</w:t>
      </w:r>
    </w:p>
    <w:p w14:paraId="0EBDC72D" w14:textId="77777777" w:rsidR="008F6431" w:rsidRPr="008F6431" w:rsidRDefault="008F6431" w:rsidP="008F6431"/>
    <w:p w14:paraId="5D9F40EA" w14:textId="672A0722" w:rsidR="007122AD" w:rsidRDefault="002C50EE" w:rsidP="00936AD0">
      <w:pPr>
        <w:pStyle w:val="Heading2"/>
      </w:pPr>
      <w:r>
        <w:t>4.6. Фертилитет, бременност и кърмене</w:t>
      </w:r>
    </w:p>
    <w:p w14:paraId="52609BB0" w14:textId="5F417DD6" w:rsidR="005B087A" w:rsidRDefault="005B087A" w:rsidP="005B087A"/>
    <w:p w14:paraId="2F3DB58C" w14:textId="77777777" w:rsidR="005B087A" w:rsidRPr="005B087A" w:rsidRDefault="005B087A" w:rsidP="005B087A">
      <w:pPr>
        <w:pStyle w:val="Heading3"/>
        <w:rPr>
          <w:rFonts w:eastAsia="Times New Roman"/>
          <w:u w:val="single"/>
        </w:rPr>
      </w:pPr>
      <w:r w:rsidRPr="005B087A">
        <w:rPr>
          <w:rFonts w:eastAsia="Times New Roman"/>
          <w:u w:val="single"/>
          <w:lang w:eastAsia="bg-BG"/>
        </w:rPr>
        <w:t>Бременност</w:t>
      </w:r>
    </w:p>
    <w:p w14:paraId="6D6A8F54"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Няма достатъчно данни за употребата на ерлотиниб при бременни жени. Проучванията при животни не показват данни за тератогенност или отклонения при раждането. Не може обаче да се изключи нежелан ефект върху бременността, тъй като проучванията при плъхове и зайци са показали повишена ембрио/фетална смъртност (вж. точка 5.3). Потенциалният риск за хора не е известен.</w:t>
      </w:r>
    </w:p>
    <w:p w14:paraId="5A73E3C9" w14:textId="77777777" w:rsidR="005B087A" w:rsidRPr="005B087A" w:rsidRDefault="005B087A" w:rsidP="005B087A">
      <w:pPr>
        <w:spacing w:line="240" w:lineRule="auto"/>
        <w:rPr>
          <w:rFonts w:eastAsia="Times New Roman" w:cs="Arial"/>
          <w:color w:val="000000"/>
          <w:u w:val="single"/>
          <w:lang w:eastAsia="bg-BG"/>
        </w:rPr>
      </w:pPr>
    </w:p>
    <w:p w14:paraId="2C0970B2" w14:textId="480DF4C4" w:rsidR="005B087A" w:rsidRPr="005B087A" w:rsidRDefault="005B087A" w:rsidP="005B087A">
      <w:pPr>
        <w:spacing w:line="240" w:lineRule="auto"/>
        <w:rPr>
          <w:rFonts w:eastAsia="Times New Roman" w:cs="Arial"/>
          <w:sz w:val="24"/>
          <w:szCs w:val="24"/>
        </w:rPr>
      </w:pPr>
      <w:r w:rsidRPr="005B087A">
        <w:rPr>
          <w:rFonts w:eastAsia="Times New Roman" w:cs="Arial"/>
          <w:color w:val="000000"/>
          <w:u w:val="single"/>
          <w:lang w:eastAsia="bg-BG"/>
        </w:rPr>
        <w:t>Жени с детероден потенциал</w:t>
      </w:r>
    </w:p>
    <w:p w14:paraId="013514CA"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lastRenderedPageBreak/>
        <w:t>Жените с детероден потенциал трябва да се съветват да избягват забременяване, докато се лекуват с Ерлотиниб Сандоз. Трябва да се използва ефективна контрацепция по време на и най-малко 2 седмици след лечението. Лечението при бременни жени трябва да продължи само ако потенциалната полза за майката надхвърля риска за фетуса.</w:t>
      </w:r>
    </w:p>
    <w:p w14:paraId="1A46E8E4" w14:textId="77777777" w:rsidR="005B087A" w:rsidRPr="005B087A" w:rsidRDefault="005B087A" w:rsidP="005B087A">
      <w:pPr>
        <w:spacing w:line="240" w:lineRule="auto"/>
        <w:rPr>
          <w:rFonts w:eastAsia="Times New Roman" w:cs="Arial"/>
          <w:color w:val="000000"/>
          <w:u w:val="single"/>
          <w:lang w:eastAsia="bg-BG"/>
        </w:rPr>
      </w:pPr>
    </w:p>
    <w:p w14:paraId="6C6B3EBB" w14:textId="7C065710" w:rsidR="005B087A" w:rsidRPr="005B087A" w:rsidRDefault="005B087A" w:rsidP="005B087A">
      <w:pPr>
        <w:pStyle w:val="Heading3"/>
        <w:rPr>
          <w:rFonts w:eastAsia="Times New Roman"/>
          <w:u w:val="single"/>
        </w:rPr>
      </w:pPr>
      <w:r w:rsidRPr="005B087A">
        <w:rPr>
          <w:rFonts w:eastAsia="Times New Roman"/>
          <w:u w:val="single"/>
          <w:lang w:eastAsia="bg-BG"/>
        </w:rPr>
        <w:t>Кърмене</w:t>
      </w:r>
    </w:p>
    <w:p w14:paraId="6952725C"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Не е известно дали ерлотиниб се екскретира с кърмата при човека. Не са провеждани проучвания за оценка на влиянието на ерлотиниб върху производството на мляко или неговото присъствие в кърмата. Тъй като потенциалната вреда за кърмачето е неизвестна, майките трябва да бъдат посъветвани да не кърмят, докато приемат Ерлотиниб Сандоз и поне 2 седмици след последната доза.</w:t>
      </w:r>
    </w:p>
    <w:p w14:paraId="4BF473AB" w14:textId="77777777" w:rsidR="005B087A" w:rsidRPr="005B087A" w:rsidRDefault="005B087A" w:rsidP="005B087A">
      <w:pPr>
        <w:spacing w:line="240" w:lineRule="auto"/>
        <w:rPr>
          <w:rFonts w:eastAsia="Times New Roman" w:cs="Arial"/>
          <w:color w:val="000000"/>
          <w:u w:val="single"/>
          <w:lang w:eastAsia="bg-BG"/>
        </w:rPr>
      </w:pPr>
    </w:p>
    <w:p w14:paraId="1AFA247E" w14:textId="2AF67508" w:rsidR="005B087A" w:rsidRPr="005B087A" w:rsidRDefault="005B087A" w:rsidP="005B087A">
      <w:pPr>
        <w:pStyle w:val="Heading3"/>
        <w:rPr>
          <w:rFonts w:eastAsia="Times New Roman"/>
          <w:u w:val="single"/>
        </w:rPr>
      </w:pPr>
      <w:r w:rsidRPr="005B087A">
        <w:rPr>
          <w:rFonts w:eastAsia="Times New Roman"/>
          <w:u w:val="single"/>
          <w:lang w:eastAsia="bg-BG"/>
        </w:rPr>
        <w:t>Фертилитет</w:t>
      </w:r>
    </w:p>
    <w:p w14:paraId="6E855ED8" w14:textId="20F0E948" w:rsidR="005B087A" w:rsidRDefault="005B087A" w:rsidP="005B087A">
      <w:pPr>
        <w:spacing w:line="240" w:lineRule="auto"/>
        <w:rPr>
          <w:rFonts w:ascii="Times New Roman" w:eastAsia="Times New Roman" w:hAnsi="Times New Roman" w:cs="Times New Roman"/>
          <w:sz w:val="24"/>
          <w:szCs w:val="24"/>
        </w:rPr>
      </w:pPr>
      <w:r w:rsidRPr="005B087A">
        <w:rPr>
          <w:rFonts w:eastAsia="Times New Roman" w:cs="Arial"/>
          <w:color w:val="000000"/>
          <w:lang w:eastAsia="bg-BG"/>
        </w:rPr>
        <w:t>Проучванията при животни не показват данни за увреждане на фертилитета. Не може обаче да се изключи нежелан ефект върху фертилитета, тъй като проучванията при животни са показали ефекти върху репродуктивните параметри (вж. точка 5.3). Потенциалният риск за хора не е известен.</w:t>
      </w:r>
    </w:p>
    <w:p w14:paraId="55322A59" w14:textId="77777777" w:rsidR="005B087A" w:rsidRPr="005B087A" w:rsidRDefault="005B087A" w:rsidP="005B087A">
      <w:pPr>
        <w:spacing w:line="240" w:lineRule="auto"/>
        <w:rPr>
          <w:rFonts w:ascii="Times New Roman" w:eastAsia="Times New Roman" w:hAnsi="Times New Roman" w:cs="Times New Roman"/>
          <w:sz w:val="24"/>
          <w:szCs w:val="24"/>
        </w:rPr>
      </w:pPr>
    </w:p>
    <w:p w14:paraId="5DD7A76D" w14:textId="5D2F247E" w:rsidR="007122AD" w:rsidRDefault="002C50EE" w:rsidP="00936AD0">
      <w:pPr>
        <w:pStyle w:val="Heading2"/>
      </w:pPr>
      <w:r>
        <w:t>4.7. Ефекти върху способността за шофиране и работа с машини</w:t>
      </w:r>
    </w:p>
    <w:p w14:paraId="7497D83A" w14:textId="004F1CD7" w:rsidR="005B087A" w:rsidRDefault="005B087A" w:rsidP="005B087A"/>
    <w:p w14:paraId="3464C1BE" w14:textId="77777777" w:rsidR="005B087A" w:rsidRPr="005B087A" w:rsidRDefault="005B087A" w:rsidP="005B087A">
      <w:pPr>
        <w:rPr>
          <w:sz w:val="24"/>
          <w:szCs w:val="24"/>
        </w:rPr>
      </w:pPr>
      <w:r w:rsidRPr="005B087A">
        <w:rPr>
          <w:lang w:eastAsia="bg-BG"/>
        </w:rPr>
        <w:t>Не са провеждани проучвания за ефектите върху способността за шофиране и работа с машини; приложението на ерлотиниб обаче не се свързва с увреждане на психическите способности.</w:t>
      </w:r>
    </w:p>
    <w:p w14:paraId="761209A4" w14:textId="77777777" w:rsidR="005B087A" w:rsidRPr="005B087A" w:rsidRDefault="005B087A" w:rsidP="005B087A"/>
    <w:p w14:paraId="44CE30A3" w14:textId="18696FCA" w:rsidR="007122AD" w:rsidRDefault="002C50EE" w:rsidP="00936AD0">
      <w:pPr>
        <w:pStyle w:val="Heading2"/>
      </w:pPr>
      <w:r>
        <w:t>4.8. Нежелани лекарствени реакции</w:t>
      </w:r>
    </w:p>
    <w:p w14:paraId="1FF26317" w14:textId="30D02081" w:rsidR="005B087A" w:rsidRDefault="005B087A" w:rsidP="005B087A"/>
    <w:p w14:paraId="4DC40873"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Оценката на безопасността на ерлотиниб се основава на данните на повече от 1500 пациенти, лекувани с поне една доза от 150 </w:t>
      </w:r>
      <w:r w:rsidRPr="005B087A">
        <w:rPr>
          <w:rFonts w:eastAsia="Times New Roman" w:cs="Arial"/>
          <w:color w:val="000000"/>
          <w:lang w:val="en-US"/>
        </w:rPr>
        <w:t>mg</w:t>
      </w:r>
      <w:r w:rsidRPr="005B087A">
        <w:rPr>
          <w:rFonts w:eastAsia="Times New Roman" w:cs="Arial"/>
          <w:color w:val="000000"/>
          <w:lang w:val="ru-RU"/>
        </w:rPr>
        <w:t xml:space="preserve"> </w:t>
      </w:r>
      <w:r w:rsidRPr="005B087A">
        <w:rPr>
          <w:rFonts w:eastAsia="Times New Roman" w:cs="Arial"/>
          <w:color w:val="000000"/>
          <w:lang w:eastAsia="bg-BG"/>
        </w:rPr>
        <w:t xml:space="preserve">монотерапия с ерлотиниб и повече от 300 пациенти, които са получавали ерлотиниб 100 или 150 </w:t>
      </w:r>
      <w:r w:rsidRPr="005B087A">
        <w:rPr>
          <w:rFonts w:eastAsia="Times New Roman" w:cs="Arial"/>
          <w:color w:val="000000"/>
          <w:lang w:val="en-US"/>
        </w:rPr>
        <w:t>mg</w:t>
      </w:r>
      <w:r w:rsidRPr="005B087A">
        <w:rPr>
          <w:rFonts w:eastAsia="Times New Roman" w:cs="Arial"/>
          <w:color w:val="000000"/>
          <w:lang w:val="ru-RU"/>
        </w:rPr>
        <w:t xml:space="preserve"> </w:t>
      </w:r>
      <w:r w:rsidRPr="005B087A">
        <w:rPr>
          <w:rFonts w:eastAsia="Times New Roman" w:cs="Arial"/>
          <w:color w:val="000000"/>
          <w:lang w:eastAsia="bg-BG"/>
        </w:rPr>
        <w:t>в комбинация с гемцитабин.</w:t>
      </w:r>
    </w:p>
    <w:p w14:paraId="326299D7" w14:textId="77777777" w:rsidR="005B087A" w:rsidRPr="005B087A" w:rsidRDefault="005B087A" w:rsidP="005B087A">
      <w:pPr>
        <w:rPr>
          <w:rFonts w:eastAsia="Times New Roman" w:cs="Arial"/>
          <w:color w:val="000000"/>
          <w:lang w:eastAsia="bg-BG"/>
        </w:rPr>
      </w:pPr>
    </w:p>
    <w:p w14:paraId="03A62A1D" w14:textId="77777777" w:rsidR="005B087A" w:rsidRPr="005B087A" w:rsidRDefault="005B087A" w:rsidP="005B087A">
      <w:pPr>
        <w:rPr>
          <w:rFonts w:eastAsia="Times New Roman" w:cs="Arial"/>
          <w:sz w:val="24"/>
          <w:szCs w:val="24"/>
        </w:rPr>
      </w:pPr>
      <w:r w:rsidRPr="005B087A">
        <w:rPr>
          <w:rFonts w:eastAsia="Times New Roman" w:cs="Arial"/>
          <w:color w:val="000000"/>
          <w:lang w:eastAsia="bg-BG"/>
        </w:rPr>
        <w:t>Честотата на нежеланите лекарствени реакции (НЛР) от клинични изпитвания,</w:t>
      </w:r>
      <w:r w:rsidRPr="005B087A">
        <w:rPr>
          <w:rFonts w:eastAsia="Times New Roman" w:cs="Arial"/>
          <w:color w:val="000000"/>
          <w:lang w:val="ru-RU"/>
        </w:rPr>
        <w:t xml:space="preserve"> </w:t>
      </w:r>
      <w:r w:rsidRPr="005B087A">
        <w:rPr>
          <w:rFonts w:eastAsia="Times New Roman" w:cs="Arial"/>
          <w:color w:val="000000"/>
          <w:lang w:eastAsia="bg-BG"/>
        </w:rPr>
        <w:t xml:space="preserve">съобщавани само с ерлотиниб или в комбинация с химиотерапия, са обобщени от Националния раков институт- общи критерии за токсичност </w:t>
      </w:r>
      <w:r w:rsidRPr="005B087A">
        <w:rPr>
          <w:rFonts w:eastAsia="Times New Roman" w:cs="Arial"/>
          <w:color w:val="000000"/>
          <w:lang w:val="ru-RU"/>
        </w:rPr>
        <w:t>(</w:t>
      </w:r>
      <w:r w:rsidRPr="005B087A">
        <w:rPr>
          <w:rFonts w:eastAsia="Times New Roman" w:cs="Arial"/>
          <w:color w:val="000000"/>
          <w:lang w:val="en-US"/>
        </w:rPr>
        <w:t>NCI</w:t>
      </w:r>
      <w:r w:rsidRPr="005B087A">
        <w:rPr>
          <w:rFonts w:eastAsia="Times New Roman" w:cs="Arial"/>
          <w:color w:val="000000"/>
          <w:lang w:val="ru-RU"/>
        </w:rPr>
        <w:t xml:space="preserve"> </w:t>
      </w:r>
      <w:r w:rsidRPr="005B087A">
        <w:rPr>
          <w:rFonts w:eastAsia="Times New Roman" w:cs="Arial"/>
          <w:color w:val="000000"/>
          <w:lang w:eastAsia="bg-BG"/>
        </w:rPr>
        <w:t>- СТС) степен в таблица 1. Изброените НЛР са съобщавани при най- малко 10% (в групата с ерлотиниб) и се срещат по-често (3%) при пациенти, лекувани с ерлотиниб, отколкото в сравнителното рамо. Други НЛР, включително тези от други проучвания, са обобщени в таблица 2.</w:t>
      </w:r>
    </w:p>
    <w:p w14:paraId="0ED47F9B" w14:textId="77777777" w:rsidR="005B087A" w:rsidRPr="005B087A" w:rsidRDefault="005B087A" w:rsidP="005B087A">
      <w:pPr>
        <w:spacing w:line="240" w:lineRule="auto"/>
        <w:rPr>
          <w:rFonts w:eastAsia="Times New Roman" w:cs="Arial"/>
          <w:color w:val="000000"/>
          <w:lang w:eastAsia="bg-BG"/>
        </w:rPr>
      </w:pPr>
    </w:p>
    <w:p w14:paraId="18AA3D88" w14:textId="618D8FDA"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Нежеланите лекарствени реакции от клиничните изпитвания (Таблица 1) са изброени по система- орган клас на </w:t>
      </w:r>
      <w:r w:rsidRPr="005B087A">
        <w:rPr>
          <w:rFonts w:eastAsia="Times New Roman" w:cs="Arial"/>
          <w:color w:val="000000"/>
          <w:lang w:val="en-US"/>
        </w:rPr>
        <w:t>MedDRA</w:t>
      </w:r>
      <w:r w:rsidRPr="005B087A">
        <w:rPr>
          <w:rFonts w:eastAsia="Times New Roman" w:cs="Arial"/>
          <w:color w:val="000000"/>
          <w:lang w:val="ru-RU"/>
        </w:rPr>
        <w:t xml:space="preserve">. </w:t>
      </w:r>
      <w:r w:rsidRPr="005B087A">
        <w:rPr>
          <w:rFonts w:eastAsia="Times New Roman" w:cs="Arial"/>
          <w:color w:val="000000"/>
          <w:lang w:eastAsia="bg-BG"/>
        </w:rPr>
        <w:t>Съответната категория на честотите за всяка нежелана лекарствена реакция се основава на следната конвенция:</w:t>
      </w:r>
    </w:p>
    <w:p w14:paraId="14C437E6" w14:textId="77777777" w:rsidR="005B087A" w:rsidRPr="005B087A" w:rsidRDefault="005B087A" w:rsidP="005B087A">
      <w:pPr>
        <w:spacing w:line="240" w:lineRule="auto"/>
        <w:rPr>
          <w:rFonts w:eastAsia="Times New Roman" w:cs="Arial"/>
          <w:color w:val="000000"/>
          <w:lang w:eastAsia="bg-BG"/>
        </w:rPr>
      </w:pPr>
    </w:p>
    <w:p w14:paraId="56073736" w14:textId="093015E2"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Много чести (≥1/10)</w:t>
      </w:r>
    </w:p>
    <w:p w14:paraId="6DDE0448"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Чести (≥1/100 </w:t>
      </w:r>
      <w:r w:rsidRPr="005B087A">
        <w:rPr>
          <w:rFonts w:eastAsia="Times New Roman" w:cs="Arial"/>
          <w:color w:val="000000"/>
          <w:lang w:val="en-US"/>
        </w:rPr>
        <w:t>to</w:t>
      </w:r>
      <w:r w:rsidRPr="005B087A">
        <w:rPr>
          <w:rFonts w:eastAsia="Times New Roman" w:cs="Arial"/>
          <w:color w:val="000000"/>
          <w:lang w:val="ru-RU"/>
        </w:rPr>
        <w:t xml:space="preserve"> </w:t>
      </w:r>
      <w:r w:rsidRPr="005B087A">
        <w:rPr>
          <w:rFonts w:eastAsia="Times New Roman" w:cs="Arial"/>
          <w:color w:val="000000"/>
          <w:lang w:eastAsia="bg-BG"/>
        </w:rPr>
        <w:t>&lt;1/10)</w:t>
      </w:r>
    </w:p>
    <w:p w14:paraId="79572D0C"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Нечести (≥1/1,000 </w:t>
      </w:r>
      <w:r w:rsidRPr="005B087A">
        <w:rPr>
          <w:rFonts w:eastAsia="Times New Roman" w:cs="Arial"/>
          <w:color w:val="000000"/>
          <w:lang w:val="en-US"/>
        </w:rPr>
        <w:t>to</w:t>
      </w:r>
      <w:r w:rsidRPr="005B087A">
        <w:rPr>
          <w:rFonts w:eastAsia="Times New Roman" w:cs="Arial"/>
          <w:color w:val="000000"/>
          <w:lang w:val="ru-RU"/>
        </w:rPr>
        <w:t xml:space="preserve"> </w:t>
      </w:r>
      <w:r w:rsidRPr="005B087A">
        <w:rPr>
          <w:rFonts w:eastAsia="Times New Roman" w:cs="Arial"/>
          <w:color w:val="000000"/>
          <w:lang w:eastAsia="bg-BG"/>
        </w:rPr>
        <w:t>&lt;1/100)</w:t>
      </w:r>
    </w:p>
    <w:p w14:paraId="20681EF8"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Редки (≥1/10,000 </w:t>
      </w:r>
      <w:r w:rsidRPr="005B087A">
        <w:rPr>
          <w:rFonts w:eastAsia="Times New Roman" w:cs="Arial"/>
          <w:color w:val="000000"/>
          <w:lang w:val="en-US"/>
        </w:rPr>
        <w:t>to</w:t>
      </w:r>
      <w:r w:rsidRPr="005B087A">
        <w:rPr>
          <w:rFonts w:eastAsia="Times New Roman" w:cs="Arial"/>
          <w:color w:val="000000"/>
          <w:lang w:val="ru-RU"/>
        </w:rPr>
        <w:t xml:space="preserve"> </w:t>
      </w:r>
      <w:r w:rsidRPr="005B087A">
        <w:rPr>
          <w:rFonts w:eastAsia="Times New Roman" w:cs="Arial"/>
          <w:color w:val="000000"/>
          <w:lang w:eastAsia="bg-BG"/>
        </w:rPr>
        <w:t>&lt;1/1,000)</w:t>
      </w:r>
    </w:p>
    <w:p w14:paraId="5578E270"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Много редки (&lt;1/10,000)</w:t>
      </w:r>
    </w:p>
    <w:p w14:paraId="1993D46E"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С неизвестна честота (не може да бъде направена оценка от наличните данни)</w:t>
      </w:r>
    </w:p>
    <w:p w14:paraId="57494F75"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lastRenderedPageBreak/>
        <w:t>Във всяка група по честота нежеланите реакции са представени в низходящ ред по отношение на тяхната сериозност.</w:t>
      </w:r>
    </w:p>
    <w:p w14:paraId="332AE551" w14:textId="77777777" w:rsidR="005B087A" w:rsidRPr="005B087A" w:rsidRDefault="005B087A" w:rsidP="005B087A">
      <w:pPr>
        <w:spacing w:line="240" w:lineRule="auto"/>
        <w:rPr>
          <w:rFonts w:eastAsia="Times New Roman" w:cs="Arial"/>
          <w:color w:val="000000"/>
          <w:u w:val="single"/>
          <w:lang w:eastAsia="bg-BG"/>
        </w:rPr>
      </w:pPr>
    </w:p>
    <w:p w14:paraId="327A30FE" w14:textId="46A14041" w:rsidR="005B087A" w:rsidRPr="005B087A" w:rsidRDefault="005B087A" w:rsidP="005B087A">
      <w:pPr>
        <w:spacing w:line="240" w:lineRule="auto"/>
        <w:rPr>
          <w:rFonts w:eastAsia="Times New Roman" w:cs="Arial"/>
          <w:sz w:val="24"/>
          <w:szCs w:val="24"/>
        </w:rPr>
      </w:pPr>
      <w:r w:rsidRPr="005B087A">
        <w:rPr>
          <w:rFonts w:eastAsia="Times New Roman" w:cs="Arial"/>
          <w:color w:val="000000"/>
          <w:u w:val="single"/>
          <w:lang w:eastAsia="bg-BG"/>
        </w:rPr>
        <w:t>Недребноклетьчен рак на белия дроб (приложение на ерлотиниб като монотерапия):</w:t>
      </w:r>
    </w:p>
    <w:p w14:paraId="57F6E0B9" w14:textId="77777777" w:rsidR="005B087A" w:rsidRPr="005B087A" w:rsidRDefault="005B087A" w:rsidP="005B087A">
      <w:pPr>
        <w:spacing w:line="240" w:lineRule="auto"/>
        <w:rPr>
          <w:rFonts w:eastAsia="Times New Roman" w:cs="Arial"/>
          <w:i/>
          <w:iCs/>
          <w:color w:val="000000"/>
          <w:lang w:eastAsia="bg-BG"/>
        </w:rPr>
      </w:pPr>
    </w:p>
    <w:p w14:paraId="14B652EC" w14:textId="0FAC16E4" w:rsidR="005B087A" w:rsidRPr="005B087A" w:rsidRDefault="005B087A" w:rsidP="005B087A">
      <w:pPr>
        <w:spacing w:line="240" w:lineRule="auto"/>
        <w:rPr>
          <w:rFonts w:eastAsia="Times New Roman" w:cs="Arial"/>
          <w:sz w:val="24"/>
          <w:szCs w:val="24"/>
        </w:rPr>
      </w:pPr>
      <w:r w:rsidRPr="005B087A">
        <w:rPr>
          <w:rFonts w:eastAsia="Times New Roman" w:cs="Arial"/>
          <w:i/>
          <w:iCs/>
          <w:color w:val="000000"/>
          <w:lang w:eastAsia="bg-BG"/>
        </w:rPr>
        <w:t xml:space="preserve">Първа линия на лечение на пациенти с </w:t>
      </w:r>
      <w:r w:rsidRPr="005B087A">
        <w:rPr>
          <w:rFonts w:eastAsia="Times New Roman" w:cs="Arial"/>
          <w:i/>
          <w:iCs/>
          <w:color w:val="000000"/>
          <w:lang w:val="en-US"/>
        </w:rPr>
        <w:t>EGFR</w:t>
      </w:r>
      <w:r w:rsidRPr="005B087A">
        <w:rPr>
          <w:rFonts w:eastAsia="Times New Roman" w:cs="Arial"/>
          <w:i/>
          <w:iCs/>
          <w:color w:val="000000"/>
          <w:lang w:val="ru-RU"/>
        </w:rPr>
        <w:t xml:space="preserve"> </w:t>
      </w:r>
      <w:r w:rsidRPr="005B087A">
        <w:rPr>
          <w:rFonts w:eastAsia="Times New Roman" w:cs="Arial"/>
          <w:i/>
          <w:iCs/>
          <w:color w:val="000000"/>
          <w:lang w:eastAsia="bg-BG"/>
        </w:rPr>
        <w:t>мутации</w:t>
      </w:r>
    </w:p>
    <w:p w14:paraId="3197E8A0"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В едно открито, рандомизирано проучване фаза </w:t>
      </w:r>
      <w:r w:rsidRPr="005B087A">
        <w:rPr>
          <w:rFonts w:eastAsia="Times New Roman" w:cs="Arial"/>
          <w:color w:val="000000"/>
          <w:lang w:val="en-US"/>
        </w:rPr>
        <w:t>III</w:t>
      </w:r>
      <w:r w:rsidRPr="005B087A">
        <w:rPr>
          <w:rFonts w:eastAsia="Times New Roman" w:cs="Arial"/>
          <w:color w:val="000000"/>
          <w:lang w:eastAsia="bg-BG"/>
        </w:rPr>
        <w:t xml:space="preserve">, </w:t>
      </w:r>
      <w:r w:rsidRPr="005B087A">
        <w:rPr>
          <w:rFonts w:eastAsia="Times New Roman" w:cs="Arial"/>
          <w:color w:val="000000"/>
          <w:lang w:val="en-US"/>
        </w:rPr>
        <w:t>ML</w:t>
      </w:r>
      <w:r w:rsidRPr="005B087A">
        <w:rPr>
          <w:rFonts w:eastAsia="Times New Roman" w:cs="Arial"/>
          <w:color w:val="000000"/>
          <w:lang w:val="ru-RU"/>
        </w:rPr>
        <w:t xml:space="preserve"> </w:t>
      </w:r>
      <w:r w:rsidRPr="005B087A">
        <w:rPr>
          <w:rFonts w:eastAsia="Times New Roman" w:cs="Arial"/>
          <w:color w:val="000000"/>
          <w:lang w:eastAsia="bg-BG"/>
        </w:rPr>
        <w:t xml:space="preserve">20650, проведено при 154 пациенти, безопасността на ерлотиниб като лечение от първа линия на пациенти с НДКРБД с </w:t>
      </w:r>
      <w:r w:rsidRPr="005B087A">
        <w:rPr>
          <w:rFonts w:eastAsia="Times New Roman" w:cs="Arial"/>
          <w:color w:val="000000"/>
          <w:lang w:val="en-US"/>
        </w:rPr>
        <w:t>EGFR</w:t>
      </w:r>
      <w:r w:rsidRPr="005B087A">
        <w:rPr>
          <w:rFonts w:eastAsia="Times New Roman" w:cs="Arial"/>
          <w:color w:val="000000"/>
          <w:lang w:val="ru-RU"/>
        </w:rPr>
        <w:t xml:space="preserve"> </w:t>
      </w:r>
      <w:r w:rsidRPr="005B087A">
        <w:rPr>
          <w:rFonts w:eastAsia="Times New Roman" w:cs="Arial"/>
          <w:color w:val="000000"/>
          <w:lang w:eastAsia="bg-BG"/>
        </w:rPr>
        <w:t>активиращи мутации, е оценена при 75 пациенти; не са наблюдавани нови сигнали по отношение на безопасността при тези пациенти.</w:t>
      </w:r>
    </w:p>
    <w:p w14:paraId="583BF458" w14:textId="77777777" w:rsidR="005B087A" w:rsidRPr="005B087A" w:rsidRDefault="005B087A" w:rsidP="005B087A">
      <w:pPr>
        <w:spacing w:line="240" w:lineRule="auto"/>
        <w:rPr>
          <w:rFonts w:eastAsia="Times New Roman" w:cs="Arial"/>
          <w:color w:val="000000"/>
          <w:lang w:eastAsia="bg-BG"/>
        </w:rPr>
      </w:pPr>
    </w:p>
    <w:p w14:paraId="2BC40124" w14:textId="505E99B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Най-честите НЛР, наблюдавани при пациентите, лекувани с ерлотиниб в проучването </w:t>
      </w:r>
      <w:r w:rsidRPr="005B087A">
        <w:rPr>
          <w:rFonts w:eastAsia="Times New Roman" w:cs="Arial"/>
          <w:color w:val="000000"/>
          <w:lang w:val="en-US"/>
        </w:rPr>
        <w:t>ML</w:t>
      </w:r>
      <w:r w:rsidRPr="005B087A">
        <w:rPr>
          <w:rFonts w:eastAsia="Times New Roman" w:cs="Arial"/>
          <w:color w:val="000000"/>
          <w:lang w:val="ru-RU"/>
        </w:rPr>
        <w:t xml:space="preserve"> </w:t>
      </w:r>
      <w:r w:rsidRPr="005B087A">
        <w:rPr>
          <w:rFonts w:eastAsia="Times New Roman" w:cs="Arial"/>
          <w:color w:val="000000"/>
          <w:lang w:eastAsia="bg-BG"/>
        </w:rPr>
        <w:t>20650, са обрив и диария (всички степени съответно 80% и 57%), повечето са били степен 1/2 по тежест и са лекувани без интервенция. Обрив и диария степен 3 са наблюдавани съответно при 9% и 4% от пациентите. Не са установени обрив или диария степен 4. И обривът и диарията са довели до преустановяване на лечението с ерлотиниб при 1% от пациентите. Промяна на дозата (прекъсване или намаление) поради обрив и диария, е била необходима съответно при 11% и 7% от пациентите.</w:t>
      </w:r>
    </w:p>
    <w:p w14:paraId="75B983AA" w14:textId="77777777" w:rsidR="005B087A" w:rsidRPr="005B087A" w:rsidRDefault="005B087A" w:rsidP="005B087A">
      <w:pPr>
        <w:spacing w:line="240" w:lineRule="auto"/>
        <w:rPr>
          <w:rFonts w:eastAsia="Times New Roman" w:cs="Arial"/>
          <w:i/>
          <w:iCs/>
          <w:color w:val="000000"/>
          <w:lang w:eastAsia="bg-BG"/>
        </w:rPr>
      </w:pPr>
    </w:p>
    <w:p w14:paraId="196C92B4" w14:textId="35180661" w:rsidR="005B087A" w:rsidRPr="005B087A" w:rsidRDefault="005B087A" w:rsidP="005B087A">
      <w:pPr>
        <w:spacing w:line="240" w:lineRule="auto"/>
        <w:rPr>
          <w:rFonts w:eastAsia="Times New Roman" w:cs="Arial"/>
          <w:sz w:val="24"/>
          <w:szCs w:val="24"/>
        </w:rPr>
      </w:pPr>
      <w:r w:rsidRPr="005B087A">
        <w:rPr>
          <w:rFonts w:eastAsia="Times New Roman" w:cs="Arial"/>
          <w:i/>
          <w:iCs/>
          <w:color w:val="000000"/>
          <w:lang w:eastAsia="bg-BG"/>
        </w:rPr>
        <w:t>Поддържащо лечение</w:t>
      </w:r>
    </w:p>
    <w:p w14:paraId="7544C7F2"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При две други двойно-слепи, рандомизирани, плацебо-контролирани проучвания фаза </w:t>
      </w:r>
      <w:r w:rsidRPr="005B087A">
        <w:rPr>
          <w:rFonts w:eastAsia="Times New Roman" w:cs="Arial"/>
          <w:color w:val="000000"/>
          <w:lang w:val="en-US"/>
        </w:rPr>
        <w:t>III</w:t>
      </w:r>
      <w:r w:rsidRPr="005B087A">
        <w:rPr>
          <w:rFonts w:eastAsia="Times New Roman" w:cs="Arial"/>
          <w:color w:val="000000"/>
          <w:lang w:val="ru-RU"/>
        </w:rPr>
        <w:t xml:space="preserve"> </w:t>
      </w:r>
      <w:r w:rsidRPr="005B087A">
        <w:rPr>
          <w:rFonts w:eastAsia="Times New Roman" w:cs="Arial"/>
          <w:color w:val="000000"/>
          <w:lang w:eastAsia="bg-BG"/>
        </w:rPr>
        <w:t xml:space="preserve">ВО18192 </w:t>
      </w:r>
      <w:r w:rsidRPr="005B087A">
        <w:rPr>
          <w:rFonts w:eastAsia="Times New Roman" w:cs="Arial"/>
          <w:color w:val="000000"/>
          <w:lang w:val="ru-RU"/>
        </w:rPr>
        <w:t>(</w:t>
      </w:r>
      <w:r w:rsidRPr="005B087A">
        <w:rPr>
          <w:rFonts w:eastAsia="Times New Roman" w:cs="Arial"/>
          <w:color w:val="000000"/>
          <w:lang w:val="en-US"/>
        </w:rPr>
        <w:t>SATURN</w:t>
      </w:r>
      <w:r w:rsidRPr="005B087A">
        <w:rPr>
          <w:rFonts w:eastAsia="Times New Roman" w:cs="Arial"/>
          <w:color w:val="000000"/>
          <w:lang w:val="ru-RU"/>
        </w:rPr>
        <w:t xml:space="preserve">) </w:t>
      </w:r>
      <w:r w:rsidRPr="005B087A">
        <w:rPr>
          <w:rFonts w:eastAsia="Times New Roman" w:cs="Arial"/>
          <w:color w:val="000000"/>
          <w:lang w:eastAsia="bg-BG"/>
        </w:rPr>
        <w:t xml:space="preserve">и ВО25460 </w:t>
      </w:r>
      <w:r w:rsidRPr="005B087A">
        <w:rPr>
          <w:rFonts w:eastAsia="Times New Roman" w:cs="Arial"/>
          <w:color w:val="000000"/>
          <w:lang w:val="ru-RU"/>
        </w:rPr>
        <w:t>(</w:t>
      </w:r>
      <w:r w:rsidRPr="005B087A">
        <w:rPr>
          <w:rFonts w:eastAsia="Times New Roman" w:cs="Arial"/>
          <w:color w:val="000000"/>
          <w:lang w:val="en-US"/>
        </w:rPr>
        <w:t>IUNO</w:t>
      </w:r>
      <w:r w:rsidRPr="005B087A">
        <w:rPr>
          <w:rFonts w:eastAsia="Times New Roman" w:cs="Arial"/>
          <w:color w:val="000000"/>
          <w:lang w:val="ru-RU"/>
        </w:rPr>
        <w:t xml:space="preserve">); </w:t>
      </w:r>
      <w:r w:rsidRPr="005B087A">
        <w:rPr>
          <w:rFonts w:eastAsia="Times New Roman" w:cs="Arial"/>
          <w:color w:val="000000"/>
          <w:lang w:eastAsia="bg-BG"/>
        </w:rPr>
        <w:t>ерлотиниб е прилаган като поддържащо лечение след първа линия на химиотерапия. Тези проучвания са проведени при общо 1532 пациенти с напреднал, рецидивиращ или метастазирал НДКРБД след първа линия стандартна химиотерапия на базата на платина; не са идентифицирани нови сигнали, свързани с безопасността.</w:t>
      </w:r>
    </w:p>
    <w:p w14:paraId="69CB71BC" w14:textId="77777777" w:rsidR="005B087A" w:rsidRPr="005B087A" w:rsidRDefault="005B087A" w:rsidP="005B087A">
      <w:pPr>
        <w:spacing w:line="240" w:lineRule="auto"/>
        <w:rPr>
          <w:rFonts w:eastAsia="Times New Roman" w:cs="Arial"/>
          <w:color w:val="000000"/>
          <w:lang w:eastAsia="bg-BG"/>
        </w:rPr>
      </w:pPr>
    </w:p>
    <w:p w14:paraId="6AB796D5" w14:textId="0F19BF45"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Най-честите НЛР, наблюдавани при пациенти, лекувани с ерлотиниб в проучванията ВО18192 и ВО25460, са обрив (ВО18192: всички степени 49.2%, степен 3: 6,0%; ВО25460: всички степени 39,4%, степен 3: 5,0%) и диария (ВО18192: всички степени 20,3%, степен 3: 1,8%; ВО25460: всички степени 24,2%, степен 3</w:t>
      </w:r>
      <w:r w:rsidRPr="005B087A">
        <w:rPr>
          <w:rFonts w:eastAsia="Times New Roman" w:cs="Arial"/>
          <w:i/>
          <w:iCs/>
          <w:color w:val="000000"/>
          <w:lang w:eastAsia="bg-BG"/>
        </w:rPr>
        <w:t>:</w:t>
      </w:r>
      <w:r w:rsidRPr="005B087A">
        <w:rPr>
          <w:rFonts w:eastAsia="Times New Roman" w:cs="Arial"/>
          <w:color w:val="000000"/>
          <w:lang w:eastAsia="bg-BG"/>
        </w:rPr>
        <w:t xml:space="preserve"> 2,5%). И в двете проучвания не са установени обрив или диария степен 4. Обрив и диария са били причина за преустановяване на лечението с ерлотиниб съответно при 1% и &lt;1% от пациентите в проучване ВО18192, докато нито един пациент не е преустановил лечението поради обрив или диария в ВО25460. Изменение на дозата (прекъсване или намаление) поради обрив и диария са били необходими съответно при 8,3% и 3% от пациентите в проучване ВО18192 и съответно при 5,6% и 2,8% от пациентите в проучване ВО25460.</w:t>
      </w:r>
    </w:p>
    <w:p w14:paraId="278957E4" w14:textId="77777777" w:rsidR="005B087A" w:rsidRPr="005B087A" w:rsidRDefault="005B087A" w:rsidP="005B087A">
      <w:pPr>
        <w:spacing w:line="240" w:lineRule="auto"/>
        <w:rPr>
          <w:rFonts w:eastAsia="Times New Roman" w:cs="Arial"/>
          <w:i/>
          <w:iCs/>
          <w:color w:val="000000"/>
          <w:u w:val="single"/>
          <w:lang w:eastAsia="bg-BG"/>
        </w:rPr>
      </w:pPr>
    </w:p>
    <w:p w14:paraId="20225667" w14:textId="3CD737ED" w:rsidR="005B087A" w:rsidRPr="005B087A" w:rsidRDefault="005B087A" w:rsidP="005B087A">
      <w:pPr>
        <w:spacing w:line="240" w:lineRule="auto"/>
        <w:rPr>
          <w:rFonts w:eastAsia="Times New Roman" w:cs="Arial"/>
          <w:sz w:val="24"/>
          <w:szCs w:val="24"/>
        </w:rPr>
      </w:pPr>
      <w:r w:rsidRPr="005B087A">
        <w:rPr>
          <w:rFonts w:eastAsia="Times New Roman" w:cs="Arial"/>
          <w:i/>
          <w:iCs/>
          <w:color w:val="000000"/>
          <w:u w:val="single"/>
          <w:lang w:eastAsia="bg-BG"/>
        </w:rPr>
        <w:t>Лечение от втора линия и последващи</w:t>
      </w:r>
    </w:p>
    <w:p w14:paraId="4FC7AF1F" w14:textId="77777777" w:rsidR="005B087A" w:rsidRPr="005B087A" w:rsidRDefault="005B087A" w:rsidP="005B087A">
      <w:pPr>
        <w:rPr>
          <w:rFonts w:eastAsia="Times New Roman" w:cs="Arial"/>
          <w:sz w:val="24"/>
          <w:szCs w:val="24"/>
        </w:rPr>
      </w:pPr>
      <w:r w:rsidRPr="005B087A">
        <w:rPr>
          <w:rFonts w:eastAsia="Times New Roman" w:cs="Arial"/>
          <w:color w:val="000000"/>
          <w:lang w:eastAsia="bg-BG"/>
        </w:rPr>
        <w:t xml:space="preserve">В едно рандомизирано двойно-сляпо проучване </w:t>
      </w:r>
      <w:r w:rsidRPr="005B087A">
        <w:rPr>
          <w:rFonts w:eastAsia="Times New Roman" w:cs="Arial"/>
          <w:color w:val="000000"/>
          <w:lang w:val="ru-RU"/>
        </w:rPr>
        <w:t>(</w:t>
      </w:r>
      <w:r w:rsidRPr="005B087A">
        <w:rPr>
          <w:rFonts w:eastAsia="Times New Roman" w:cs="Arial"/>
          <w:color w:val="000000"/>
          <w:lang w:val="en-US"/>
        </w:rPr>
        <w:t>BR</w:t>
      </w:r>
      <w:r w:rsidRPr="005B087A">
        <w:rPr>
          <w:rFonts w:eastAsia="Times New Roman" w:cs="Arial"/>
          <w:color w:val="000000"/>
          <w:lang w:val="ru-RU"/>
        </w:rPr>
        <w:t xml:space="preserve">.21; </w:t>
      </w:r>
      <w:r w:rsidRPr="005B087A">
        <w:rPr>
          <w:rFonts w:eastAsia="Times New Roman" w:cs="Arial"/>
          <w:color w:val="000000"/>
          <w:lang w:eastAsia="bg-BG"/>
        </w:rPr>
        <w:t>ерлотиниб е прилаган като втора линия на лечение), най-често съобщаваните нежелани лекарствени реакции (НЛР) са обрив (75%) и диария (54%). Повечето са с тежест от степен 1/2 и са отзвучали без допълнителна намеса. Обриви</w:t>
      </w:r>
      <w:r w:rsidRPr="005B087A">
        <w:rPr>
          <w:rFonts w:eastAsia="Times New Roman" w:cs="Arial"/>
          <w:color w:val="000000"/>
          <w:lang w:val="ru-RU"/>
        </w:rPr>
        <w:t xml:space="preserve"> </w:t>
      </w:r>
      <w:r w:rsidRPr="005B087A">
        <w:rPr>
          <w:rFonts w:eastAsia="Times New Roman" w:cs="Arial"/>
          <w:color w:val="000000"/>
          <w:lang w:eastAsia="bg-BG"/>
        </w:rPr>
        <w:t xml:space="preserve">и диария от степен 3/4 са наблюдавани при съответно 9% и 6% от пациентите, лекувани с ерлотиниб, като са довели до преустановяване на участието в проучването на 1% от пациентите. Намаляване на дозата поради обрив или диария се е наложило при 6% и 1% от пациентите съответно. В проучването </w:t>
      </w:r>
      <w:r w:rsidRPr="005B087A">
        <w:rPr>
          <w:rFonts w:eastAsia="Times New Roman" w:cs="Arial"/>
          <w:color w:val="000000"/>
          <w:lang w:val="en-US"/>
        </w:rPr>
        <w:t>BR</w:t>
      </w:r>
      <w:r w:rsidRPr="005B087A">
        <w:rPr>
          <w:rFonts w:eastAsia="Times New Roman" w:cs="Arial"/>
          <w:color w:val="000000"/>
          <w:lang w:val="ru-RU"/>
        </w:rPr>
        <w:t>.21</w:t>
      </w:r>
      <w:r w:rsidRPr="005B087A">
        <w:rPr>
          <w:rFonts w:eastAsia="Times New Roman" w:cs="Arial"/>
          <w:color w:val="000000"/>
        </w:rPr>
        <w:t xml:space="preserve"> </w:t>
      </w:r>
      <w:r w:rsidRPr="005B087A">
        <w:rPr>
          <w:rFonts w:eastAsia="Times New Roman" w:cs="Arial"/>
          <w:color w:val="000000"/>
          <w:lang w:eastAsia="bg-BG"/>
        </w:rPr>
        <w:t>медианата на времето до началото на обрива е 8 дни, а медианата на времето до началото на диарията -12 дни.</w:t>
      </w:r>
    </w:p>
    <w:p w14:paraId="18536B58" w14:textId="77777777" w:rsidR="005B087A" w:rsidRPr="005B087A" w:rsidRDefault="005B087A" w:rsidP="005B087A">
      <w:pPr>
        <w:spacing w:line="240" w:lineRule="auto"/>
        <w:rPr>
          <w:rFonts w:eastAsia="Times New Roman" w:cs="Arial"/>
          <w:color w:val="000000"/>
          <w:lang w:eastAsia="bg-BG"/>
        </w:rPr>
      </w:pPr>
    </w:p>
    <w:p w14:paraId="3A9625CF" w14:textId="659ECE0B"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lastRenderedPageBreak/>
        <w:t>Обикновено, обривът се проявява като лек или умерен еритематозен и папуло-пустуларен обрив, който може да се появи или да се влоши в участъците, изложени на слънце. При пациентите, които се излагат на слънце, са препоръчителни защитно облекло и/или използване на слънцезащитни средства (например, съдържащи минерали).</w:t>
      </w:r>
    </w:p>
    <w:p w14:paraId="4F3CA684" w14:textId="77777777" w:rsidR="005B087A" w:rsidRPr="005B087A" w:rsidRDefault="005B087A" w:rsidP="005B087A">
      <w:pPr>
        <w:spacing w:line="240" w:lineRule="auto"/>
        <w:rPr>
          <w:rFonts w:eastAsia="Times New Roman" w:cs="Arial"/>
          <w:color w:val="000000"/>
          <w:u w:val="single"/>
          <w:lang w:eastAsia="bg-BG"/>
        </w:rPr>
      </w:pPr>
    </w:p>
    <w:p w14:paraId="2D353F1B" w14:textId="5349BF4C" w:rsidR="005B087A" w:rsidRPr="005B087A" w:rsidRDefault="005B087A" w:rsidP="005B087A">
      <w:pPr>
        <w:spacing w:line="240" w:lineRule="auto"/>
        <w:rPr>
          <w:rFonts w:eastAsia="Times New Roman" w:cs="Arial"/>
          <w:sz w:val="24"/>
          <w:szCs w:val="24"/>
        </w:rPr>
      </w:pPr>
      <w:r w:rsidRPr="005B087A">
        <w:rPr>
          <w:rFonts w:eastAsia="Times New Roman" w:cs="Arial"/>
          <w:color w:val="000000"/>
          <w:u w:val="single"/>
          <w:lang w:eastAsia="bg-BG"/>
        </w:rPr>
        <w:t>Рак на панкреаса (приложение на Ерлотиниб Сандоз едновременно с гемцитабин):</w:t>
      </w:r>
    </w:p>
    <w:p w14:paraId="27F7EF50" w14:textId="77777777" w:rsidR="005B087A" w:rsidRPr="005B087A" w:rsidRDefault="005B087A" w:rsidP="005B087A">
      <w:pPr>
        <w:spacing w:line="240" w:lineRule="auto"/>
        <w:rPr>
          <w:rFonts w:eastAsia="Times New Roman" w:cs="Arial"/>
          <w:color w:val="000000"/>
          <w:lang w:eastAsia="bg-BG"/>
        </w:rPr>
      </w:pPr>
    </w:p>
    <w:p w14:paraId="6EC2BE88" w14:textId="64CD02F9"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Най-честите нежелани лекарствени реакции в основното проучване РА.3 при пациенти с рак на панкреаса, приемали ерлотиниб 100 </w:t>
      </w:r>
      <w:r w:rsidRPr="005B087A">
        <w:rPr>
          <w:rFonts w:eastAsia="Times New Roman" w:cs="Arial"/>
          <w:color w:val="000000"/>
          <w:lang w:val="en-US"/>
        </w:rPr>
        <w:t>mg</w:t>
      </w:r>
      <w:r w:rsidRPr="005B087A">
        <w:rPr>
          <w:rFonts w:eastAsia="Times New Roman" w:cs="Arial"/>
          <w:color w:val="000000"/>
          <w:lang w:val="ru-RU"/>
        </w:rPr>
        <w:t xml:space="preserve"> </w:t>
      </w:r>
      <w:r w:rsidRPr="005B087A">
        <w:rPr>
          <w:rFonts w:eastAsia="Times New Roman" w:cs="Arial"/>
          <w:color w:val="000000"/>
          <w:lang w:eastAsia="bg-BG"/>
        </w:rPr>
        <w:t>плюс гемцитабин, са умора, обрив и диария. В рамото с ерлотиниб плюс гемцитабин обрив и диария (всеки от степен 3/4) се съобщават при 5% от пациентите. Медианата на времето до появата на обрив и диария е съответно 10 дни и 15 дни. И обривът, и диарията са довели до намаление на дозата при 2% от пациентите и оттегляне от проучването при до 1% от пациентите, приемали ерлотиниб плюс гемцитабин.</w:t>
      </w:r>
    </w:p>
    <w:p w14:paraId="5E25B679" w14:textId="77777777" w:rsidR="005B087A" w:rsidRPr="005B087A" w:rsidRDefault="005B087A" w:rsidP="005B087A">
      <w:pPr>
        <w:spacing w:line="240" w:lineRule="auto"/>
        <w:rPr>
          <w:rFonts w:eastAsia="Times New Roman" w:cs="Arial"/>
          <w:color w:val="000000"/>
          <w:lang w:eastAsia="bg-BG"/>
        </w:rPr>
      </w:pPr>
    </w:p>
    <w:p w14:paraId="40144B70" w14:textId="6DA49645"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Таблица 1: НЛР, настъпващи при ≥ 10% при пациенти в проучвания </w:t>
      </w:r>
      <w:r w:rsidRPr="005B087A">
        <w:rPr>
          <w:rFonts w:eastAsia="Times New Roman" w:cs="Arial"/>
          <w:color w:val="000000"/>
          <w:lang w:val="en-US"/>
        </w:rPr>
        <w:t>BR</w:t>
      </w:r>
      <w:r w:rsidRPr="005B087A">
        <w:rPr>
          <w:rFonts w:eastAsia="Times New Roman" w:cs="Arial"/>
          <w:color w:val="000000"/>
        </w:rPr>
        <w:t xml:space="preserve">.21 </w:t>
      </w:r>
      <w:r w:rsidRPr="005B087A">
        <w:rPr>
          <w:rFonts w:eastAsia="Times New Roman" w:cs="Arial"/>
          <w:color w:val="000000"/>
          <w:lang w:eastAsia="bg-BG"/>
        </w:rPr>
        <w:t xml:space="preserve">(лекувани с ерлотиниб) и РА.3 (лекувани с ерлотиниб и гемцитабин) и НЛР, настъпващи по-често (≥ 3%) отколкото плацебо в проучвания </w:t>
      </w:r>
      <w:r w:rsidRPr="005B087A">
        <w:rPr>
          <w:rFonts w:eastAsia="Times New Roman" w:cs="Arial"/>
          <w:color w:val="000000"/>
          <w:lang w:val="en-US"/>
        </w:rPr>
        <w:t>BR</w:t>
      </w:r>
      <w:r w:rsidRPr="005B087A">
        <w:rPr>
          <w:rFonts w:eastAsia="Times New Roman" w:cs="Arial"/>
          <w:color w:val="000000"/>
        </w:rPr>
        <w:t xml:space="preserve">.21 </w:t>
      </w:r>
      <w:r w:rsidRPr="005B087A">
        <w:rPr>
          <w:rFonts w:eastAsia="Times New Roman" w:cs="Arial"/>
          <w:color w:val="000000"/>
          <w:lang w:eastAsia="bg-BG"/>
        </w:rPr>
        <w:t>(лекувани с ерлотиниб) и РА.З (лекувани с ерлотиниб и гемцитабин)</w:t>
      </w:r>
    </w:p>
    <w:p w14:paraId="2908AB08" w14:textId="73E28A9C" w:rsidR="005B087A" w:rsidRDefault="005B087A" w:rsidP="005B087A">
      <w:pPr>
        <w:rPr>
          <w:rFonts w:ascii="Times New Roman" w:eastAsia="Times New Roman" w:hAnsi="Times New Roman" w:cs="Times New Roman"/>
          <w:color w:val="000000"/>
          <w:lang w:eastAsia="bg-BG"/>
        </w:rPr>
      </w:pPr>
    </w:p>
    <w:tbl>
      <w:tblPr>
        <w:tblStyle w:val="TableGrid"/>
        <w:tblW w:w="0" w:type="auto"/>
        <w:tblLook w:val="04A0" w:firstRow="1" w:lastRow="0" w:firstColumn="1" w:lastColumn="0" w:noHBand="0" w:noVBand="1"/>
      </w:tblPr>
      <w:tblGrid>
        <w:gridCol w:w="2190"/>
        <w:gridCol w:w="1144"/>
        <w:gridCol w:w="887"/>
        <w:gridCol w:w="884"/>
        <w:gridCol w:w="1144"/>
        <w:gridCol w:w="887"/>
        <w:gridCol w:w="887"/>
        <w:gridCol w:w="1327"/>
      </w:tblGrid>
      <w:tr w:rsidR="00125BE1" w14:paraId="4B7C5B45" w14:textId="77777777" w:rsidTr="00125BE1">
        <w:tc>
          <w:tcPr>
            <w:tcW w:w="2190" w:type="dxa"/>
          </w:tcPr>
          <w:p w14:paraId="27FEAC8B" w14:textId="77777777" w:rsidR="00125BE1" w:rsidRDefault="00125BE1" w:rsidP="00125BE1">
            <w:pPr>
              <w:rPr>
                <w:rFonts w:ascii="Times New Roman" w:eastAsia="Times New Roman" w:hAnsi="Times New Roman" w:cs="Times New Roman"/>
                <w:color w:val="000000"/>
                <w:lang w:eastAsia="bg-BG"/>
              </w:rPr>
            </w:pPr>
          </w:p>
        </w:tc>
        <w:tc>
          <w:tcPr>
            <w:tcW w:w="3028" w:type="dxa"/>
            <w:gridSpan w:val="3"/>
          </w:tcPr>
          <w:p w14:paraId="4B974D3B" w14:textId="2880C337" w:rsidR="00125BE1" w:rsidRDefault="00125BE1" w:rsidP="00125BE1">
            <w:pPr>
              <w:rPr>
                <w:rFonts w:ascii="Times New Roman" w:eastAsia="Times New Roman" w:hAnsi="Times New Roman" w:cs="Times New Roman"/>
                <w:color w:val="000000"/>
                <w:lang w:eastAsia="bg-BG"/>
              </w:rPr>
            </w:pPr>
            <w:r>
              <w:rPr>
                <w:b/>
                <w:bCs/>
              </w:rPr>
              <w:t xml:space="preserve">Ерлотиниб </w:t>
            </w:r>
            <w:r>
              <w:rPr>
                <w:b/>
                <w:bCs/>
                <w:lang w:val="en-US"/>
              </w:rPr>
              <w:t>(BR.21) N = 485</w:t>
            </w:r>
          </w:p>
        </w:tc>
        <w:tc>
          <w:tcPr>
            <w:tcW w:w="3031" w:type="dxa"/>
            <w:gridSpan w:val="3"/>
          </w:tcPr>
          <w:p w14:paraId="73E69DE1" w14:textId="6ECDCEE6" w:rsidR="00125BE1" w:rsidRDefault="00125BE1" w:rsidP="00125BE1">
            <w:pPr>
              <w:rPr>
                <w:rFonts w:ascii="Times New Roman" w:eastAsia="Times New Roman" w:hAnsi="Times New Roman" w:cs="Times New Roman"/>
                <w:color w:val="000000"/>
                <w:lang w:eastAsia="bg-BG"/>
              </w:rPr>
            </w:pPr>
            <w:r>
              <w:rPr>
                <w:b/>
                <w:bCs/>
              </w:rPr>
              <w:t xml:space="preserve">Ерлотиниб (РА.З) </w:t>
            </w:r>
            <w:r>
              <w:rPr>
                <w:b/>
                <w:bCs/>
                <w:lang w:val="en-US"/>
              </w:rPr>
              <w:t>N = 259</w:t>
            </w:r>
          </w:p>
        </w:tc>
        <w:tc>
          <w:tcPr>
            <w:tcW w:w="1327" w:type="dxa"/>
          </w:tcPr>
          <w:p w14:paraId="7143A776" w14:textId="6887370D" w:rsidR="00125BE1" w:rsidRDefault="00125BE1" w:rsidP="00125BE1">
            <w:pPr>
              <w:rPr>
                <w:rFonts w:ascii="Times New Roman" w:eastAsia="Times New Roman" w:hAnsi="Times New Roman" w:cs="Times New Roman"/>
                <w:color w:val="000000"/>
                <w:lang w:eastAsia="bg-BG"/>
              </w:rPr>
            </w:pPr>
            <w:r>
              <w:rPr>
                <w:b/>
                <w:bCs/>
              </w:rPr>
              <w:t>Категория на честотата с най- висока честота</w:t>
            </w:r>
          </w:p>
        </w:tc>
      </w:tr>
      <w:tr w:rsidR="00125BE1" w14:paraId="19DA2D2E" w14:textId="77777777" w:rsidTr="00125BE1">
        <w:tc>
          <w:tcPr>
            <w:tcW w:w="2190" w:type="dxa"/>
          </w:tcPr>
          <w:p w14:paraId="7CC63437" w14:textId="52E10BEE" w:rsidR="00125BE1" w:rsidRDefault="00125BE1" w:rsidP="00125BE1">
            <w:pPr>
              <w:rPr>
                <w:rFonts w:ascii="Times New Roman" w:eastAsia="Times New Roman" w:hAnsi="Times New Roman" w:cs="Times New Roman"/>
                <w:color w:val="000000"/>
                <w:lang w:eastAsia="bg-BG"/>
              </w:rPr>
            </w:pPr>
            <w:r>
              <w:rPr>
                <w:b/>
                <w:bCs/>
              </w:rPr>
              <w:t xml:space="preserve">Степен по </w:t>
            </w:r>
            <w:r>
              <w:rPr>
                <w:b/>
                <w:bCs/>
                <w:lang w:val="en-US"/>
              </w:rPr>
              <w:t>NCI-CTC</w:t>
            </w:r>
          </w:p>
        </w:tc>
        <w:tc>
          <w:tcPr>
            <w:tcW w:w="1151" w:type="dxa"/>
            <w:vAlign w:val="bottom"/>
          </w:tcPr>
          <w:p w14:paraId="5ACE0D20" w14:textId="1E939822" w:rsidR="00125BE1" w:rsidRDefault="00125BE1" w:rsidP="00125BE1">
            <w:pPr>
              <w:rPr>
                <w:rFonts w:ascii="Times New Roman" w:eastAsia="Times New Roman" w:hAnsi="Times New Roman" w:cs="Times New Roman"/>
                <w:color w:val="000000"/>
                <w:lang w:eastAsia="bg-BG"/>
              </w:rPr>
            </w:pPr>
            <w:r>
              <w:rPr>
                <w:b/>
                <w:bCs/>
              </w:rPr>
              <w:t>Всички степени</w:t>
            </w:r>
          </w:p>
        </w:tc>
        <w:tc>
          <w:tcPr>
            <w:tcW w:w="940" w:type="dxa"/>
            <w:vAlign w:val="bottom"/>
          </w:tcPr>
          <w:p w14:paraId="2DDA7B3D" w14:textId="1F400EB2" w:rsidR="00125BE1" w:rsidRDefault="00125BE1" w:rsidP="00125BE1">
            <w:pPr>
              <w:rPr>
                <w:rFonts w:ascii="Times New Roman" w:eastAsia="Times New Roman" w:hAnsi="Times New Roman" w:cs="Times New Roman"/>
                <w:color w:val="000000"/>
                <w:lang w:eastAsia="bg-BG"/>
              </w:rPr>
            </w:pPr>
            <w:r>
              <w:rPr>
                <w:b/>
                <w:bCs/>
              </w:rPr>
              <w:t>3</w:t>
            </w:r>
          </w:p>
        </w:tc>
        <w:tc>
          <w:tcPr>
            <w:tcW w:w="937" w:type="dxa"/>
            <w:vAlign w:val="bottom"/>
          </w:tcPr>
          <w:p w14:paraId="31B69B3E" w14:textId="77807AEF" w:rsidR="00125BE1" w:rsidRDefault="00125BE1" w:rsidP="00125BE1">
            <w:pPr>
              <w:rPr>
                <w:rFonts w:ascii="Times New Roman" w:eastAsia="Times New Roman" w:hAnsi="Times New Roman" w:cs="Times New Roman"/>
                <w:color w:val="000000"/>
                <w:lang w:eastAsia="bg-BG"/>
              </w:rPr>
            </w:pPr>
            <w:r>
              <w:rPr>
                <w:b/>
                <w:bCs/>
              </w:rPr>
              <w:t>4</w:t>
            </w:r>
          </w:p>
        </w:tc>
        <w:tc>
          <w:tcPr>
            <w:tcW w:w="1151" w:type="dxa"/>
            <w:vAlign w:val="bottom"/>
          </w:tcPr>
          <w:p w14:paraId="456E6952" w14:textId="16F90C7A" w:rsidR="00125BE1" w:rsidRDefault="00125BE1" w:rsidP="00125BE1">
            <w:pPr>
              <w:rPr>
                <w:rFonts w:ascii="Times New Roman" w:eastAsia="Times New Roman" w:hAnsi="Times New Roman" w:cs="Times New Roman"/>
                <w:color w:val="000000"/>
                <w:lang w:eastAsia="bg-BG"/>
              </w:rPr>
            </w:pPr>
            <w:r>
              <w:rPr>
                <w:b/>
                <w:bCs/>
              </w:rPr>
              <w:t>Всички степени</w:t>
            </w:r>
          </w:p>
        </w:tc>
        <w:tc>
          <w:tcPr>
            <w:tcW w:w="940" w:type="dxa"/>
            <w:vAlign w:val="bottom"/>
          </w:tcPr>
          <w:p w14:paraId="37CB59CA" w14:textId="6B605C4A" w:rsidR="00125BE1" w:rsidRDefault="00125BE1" w:rsidP="00125BE1">
            <w:pPr>
              <w:rPr>
                <w:rFonts w:ascii="Times New Roman" w:eastAsia="Times New Roman" w:hAnsi="Times New Roman" w:cs="Times New Roman"/>
                <w:color w:val="000000"/>
                <w:lang w:eastAsia="bg-BG"/>
              </w:rPr>
            </w:pPr>
            <w:r>
              <w:rPr>
                <w:b/>
                <w:bCs/>
              </w:rPr>
              <w:t>3</w:t>
            </w:r>
          </w:p>
        </w:tc>
        <w:tc>
          <w:tcPr>
            <w:tcW w:w="940" w:type="dxa"/>
            <w:vAlign w:val="bottom"/>
          </w:tcPr>
          <w:p w14:paraId="0F405C8C" w14:textId="6AC17705" w:rsidR="00125BE1" w:rsidRDefault="00125BE1" w:rsidP="00125BE1">
            <w:pPr>
              <w:rPr>
                <w:rFonts w:ascii="Times New Roman" w:eastAsia="Times New Roman" w:hAnsi="Times New Roman" w:cs="Times New Roman"/>
                <w:color w:val="000000"/>
                <w:lang w:eastAsia="bg-BG"/>
              </w:rPr>
            </w:pPr>
            <w:r>
              <w:rPr>
                <w:b/>
                <w:bCs/>
              </w:rPr>
              <w:t>4</w:t>
            </w:r>
          </w:p>
        </w:tc>
        <w:tc>
          <w:tcPr>
            <w:tcW w:w="1327" w:type="dxa"/>
          </w:tcPr>
          <w:p w14:paraId="332B293F" w14:textId="77777777" w:rsidR="00125BE1" w:rsidRDefault="00125BE1" w:rsidP="00125BE1">
            <w:pPr>
              <w:rPr>
                <w:rFonts w:ascii="Times New Roman" w:eastAsia="Times New Roman" w:hAnsi="Times New Roman" w:cs="Times New Roman"/>
                <w:color w:val="000000"/>
                <w:lang w:eastAsia="bg-BG"/>
              </w:rPr>
            </w:pPr>
          </w:p>
        </w:tc>
      </w:tr>
      <w:tr w:rsidR="00125BE1" w14:paraId="5FEBC1B3" w14:textId="77777777" w:rsidTr="00125BE1">
        <w:tc>
          <w:tcPr>
            <w:tcW w:w="2190" w:type="dxa"/>
            <w:vAlign w:val="center"/>
          </w:tcPr>
          <w:p w14:paraId="620408A3" w14:textId="1AFFE9A3" w:rsidR="00125BE1" w:rsidRDefault="00125BE1" w:rsidP="00125BE1">
            <w:pPr>
              <w:rPr>
                <w:rFonts w:ascii="Times New Roman" w:eastAsia="Times New Roman" w:hAnsi="Times New Roman" w:cs="Times New Roman"/>
                <w:color w:val="000000"/>
                <w:lang w:eastAsia="bg-BG"/>
              </w:rPr>
            </w:pPr>
            <w:r>
              <w:rPr>
                <w:b/>
                <w:bCs/>
              </w:rPr>
              <w:t xml:space="preserve">Предпочитан термин по </w:t>
            </w:r>
            <w:r>
              <w:rPr>
                <w:b/>
                <w:bCs/>
                <w:lang w:val="en-US"/>
              </w:rPr>
              <w:t>MedBRA</w:t>
            </w:r>
          </w:p>
        </w:tc>
        <w:tc>
          <w:tcPr>
            <w:tcW w:w="1151" w:type="dxa"/>
          </w:tcPr>
          <w:p w14:paraId="4FCC47A1" w14:textId="66B2DE7D" w:rsidR="00125BE1" w:rsidRDefault="00125BE1" w:rsidP="00125BE1">
            <w:pPr>
              <w:rPr>
                <w:rFonts w:ascii="Times New Roman" w:eastAsia="Times New Roman" w:hAnsi="Times New Roman" w:cs="Times New Roman"/>
                <w:color w:val="000000"/>
                <w:lang w:eastAsia="bg-BG"/>
              </w:rPr>
            </w:pPr>
            <w:r>
              <w:t>%</w:t>
            </w:r>
          </w:p>
        </w:tc>
        <w:tc>
          <w:tcPr>
            <w:tcW w:w="940" w:type="dxa"/>
          </w:tcPr>
          <w:p w14:paraId="6AE4D356" w14:textId="770E5E2A" w:rsidR="00125BE1" w:rsidRDefault="00125BE1" w:rsidP="00125BE1">
            <w:pPr>
              <w:rPr>
                <w:rFonts w:ascii="Times New Roman" w:eastAsia="Times New Roman" w:hAnsi="Times New Roman" w:cs="Times New Roman"/>
                <w:color w:val="000000"/>
                <w:lang w:eastAsia="bg-BG"/>
              </w:rPr>
            </w:pPr>
            <w:r>
              <w:rPr>
                <w:b/>
                <w:bCs/>
              </w:rPr>
              <w:t>%</w:t>
            </w:r>
          </w:p>
        </w:tc>
        <w:tc>
          <w:tcPr>
            <w:tcW w:w="937" w:type="dxa"/>
          </w:tcPr>
          <w:p w14:paraId="678C8100" w14:textId="7D3F5BA7" w:rsidR="00125BE1" w:rsidRDefault="00125BE1" w:rsidP="00125BE1">
            <w:pPr>
              <w:rPr>
                <w:rFonts w:ascii="Times New Roman" w:eastAsia="Times New Roman" w:hAnsi="Times New Roman" w:cs="Times New Roman"/>
                <w:color w:val="000000"/>
                <w:lang w:eastAsia="bg-BG"/>
              </w:rPr>
            </w:pPr>
            <w:r>
              <w:t>%</w:t>
            </w:r>
          </w:p>
        </w:tc>
        <w:tc>
          <w:tcPr>
            <w:tcW w:w="1151" w:type="dxa"/>
          </w:tcPr>
          <w:p w14:paraId="143DD975" w14:textId="02AC132D" w:rsidR="00125BE1" w:rsidRDefault="00125BE1" w:rsidP="00125BE1">
            <w:pPr>
              <w:rPr>
                <w:rFonts w:ascii="Times New Roman" w:eastAsia="Times New Roman" w:hAnsi="Times New Roman" w:cs="Times New Roman"/>
                <w:color w:val="000000"/>
                <w:lang w:eastAsia="bg-BG"/>
              </w:rPr>
            </w:pPr>
            <w:r>
              <w:t>%</w:t>
            </w:r>
          </w:p>
        </w:tc>
        <w:tc>
          <w:tcPr>
            <w:tcW w:w="940" w:type="dxa"/>
          </w:tcPr>
          <w:p w14:paraId="23CC2C08" w14:textId="1E68626B" w:rsidR="00125BE1" w:rsidRDefault="00125BE1" w:rsidP="00125BE1">
            <w:pPr>
              <w:rPr>
                <w:rFonts w:ascii="Times New Roman" w:eastAsia="Times New Roman" w:hAnsi="Times New Roman" w:cs="Times New Roman"/>
                <w:color w:val="000000"/>
                <w:lang w:eastAsia="bg-BG"/>
              </w:rPr>
            </w:pPr>
            <w:r>
              <w:t>%</w:t>
            </w:r>
          </w:p>
        </w:tc>
        <w:tc>
          <w:tcPr>
            <w:tcW w:w="940" w:type="dxa"/>
          </w:tcPr>
          <w:p w14:paraId="6AC1F02B" w14:textId="259457C6" w:rsidR="00125BE1" w:rsidRDefault="00125BE1" w:rsidP="00125BE1">
            <w:pPr>
              <w:rPr>
                <w:rFonts w:ascii="Times New Roman" w:eastAsia="Times New Roman" w:hAnsi="Times New Roman" w:cs="Times New Roman"/>
                <w:color w:val="000000"/>
                <w:lang w:eastAsia="bg-BG"/>
              </w:rPr>
            </w:pPr>
            <w:r>
              <w:t>%</w:t>
            </w:r>
          </w:p>
        </w:tc>
        <w:tc>
          <w:tcPr>
            <w:tcW w:w="1327" w:type="dxa"/>
          </w:tcPr>
          <w:p w14:paraId="2D27837B" w14:textId="77777777" w:rsidR="00125BE1" w:rsidRDefault="00125BE1" w:rsidP="00125BE1">
            <w:pPr>
              <w:rPr>
                <w:rFonts w:ascii="Times New Roman" w:eastAsia="Times New Roman" w:hAnsi="Times New Roman" w:cs="Times New Roman"/>
                <w:color w:val="000000"/>
                <w:lang w:eastAsia="bg-BG"/>
              </w:rPr>
            </w:pPr>
          </w:p>
        </w:tc>
      </w:tr>
      <w:tr w:rsidR="00125BE1" w14:paraId="61A0E40B" w14:textId="77777777" w:rsidTr="00125BE1">
        <w:tc>
          <w:tcPr>
            <w:tcW w:w="2190" w:type="dxa"/>
            <w:vAlign w:val="bottom"/>
          </w:tcPr>
          <w:p w14:paraId="7272DCD2" w14:textId="46F81A8D" w:rsidR="00125BE1" w:rsidRDefault="00125BE1" w:rsidP="00125BE1">
            <w:pPr>
              <w:rPr>
                <w:rFonts w:ascii="Times New Roman" w:eastAsia="Times New Roman" w:hAnsi="Times New Roman" w:cs="Times New Roman"/>
                <w:color w:val="000000"/>
                <w:lang w:eastAsia="bg-BG"/>
              </w:rPr>
            </w:pPr>
            <w:r>
              <w:t>Общо пациенти с НС</w:t>
            </w:r>
          </w:p>
        </w:tc>
        <w:tc>
          <w:tcPr>
            <w:tcW w:w="1151" w:type="dxa"/>
            <w:vAlign w:val="bottom"/>
          </w:tcPr>
          <w:p w14:paraId="3B8E5A9A" w14:textId="371F61F9" w:rsidR="00125BE1" w:rsidRDefault="00125BE1" w:rsidP="00125BE1">
            <w:pPr>
              <w:rPr>
                <w:rFonts w:ascii="Times New Roman" w:eastAsia="Times New Roman" w:hAnsi="Times New Roman" w:cs="Times New Roman"/>
                <w:color w:val="000000"/>
                <w:lang w:eastAsia="bg-BG"/>
              </w:rPr>
            </w:pPr>
            <w:r>
              <w:rPr>
                <w:b/>
                <w:bCs/>
              </w:rPr>
              <w:t>99</w:t>
            </w:r>
          </w:p>
        </w:tc>
        <w:tc>
          <w:tcPr>
            <w:tcW w:w="940" w:type="dxa"/>
            <w:vAlign w:val="bottom"/>
          </w:tcPr>
          <w:p w14:paraId="5F369897" w14:textId="49FE63A0" w:rsidR="00125BE1" w:rsidRDefault="00125BE1" w:rsidP="00125BE1">
            <w:pPr>
              <w:rPr>
                <w:rFonts w:ascii="Times New Roman" w:eastAsia="Times New Roman" w:hAnsi="Times New Roman" w:cs="Times New Roman"/>
                <w:color w:val="000000"/>
                <w:lang w:eastAsia="bg-BG"/>
              </w:rPr>
            </w:pPr>
            <w:r>
              <w:t>40</w:t>
            </w:r>
          </w:p>
        </w:tc>
        <w:tc>
          <w:tcPr>
            <w:tcW w:w="937" w:type="dxa"/>
            <w:vAlign w:val="bottom"/>
          </w:tcPr>
          <w:p w14:paraId="4C88C01B" w14:textId="3F40C69E" w:rsidR="00125BE1" w:rsidRDefault="00125BE1" w:rsidP="00125BE1">
            <w:pPr>
              <w:rPr>
                <w:rFonts w:ascii="Times New Roman" w:eastAsia="Times New Roman" w:hAnsi="Times New Roman" w:cs="Times New Roman"/>
                <w:color w:val="000000"/>
                <w:lang w:eastAsia="bg-BG"/>
              </w:rPr>
            </w:pPr>
            <w:r>
              <w:t>22</w:t>
            </w:r>
          </w:p>
        </w:tc>
        <w:tc>
          <w:tcPr>
            <w:tcW w:w="1151" w:type="dxa"/>
            <w:vAlign w:val="bottom"/>
          </w:tcPr>
          <w:p w14:paraId="353EB130" w14:textId="33107EE8" w:rsidR="00125BE1" w:rsidRDefault="00125BE1" w:rsidP="00125BE1">
            <w:pPr>
              <w:rPr>
                <w:rFonts w:ascii="Times New Roman" w:eastAsia="Times New Roman" w:hAnsi="Times New Roman" w:cs="Times New Roman"/>
                <w:color w:val="000000"/>
                <w:lang w:eastAsia="bg-BG"/>
              </w:rPr>
            </w:pPr>
            <w:r>
              <w:rPr>
                <w:b/>
                <w:bCs/>
              </w:rPr>
              <w:t>96</w:t>
            </w:r>
          </w:p>
        </w:tc>
        <w:tc>
          <w:tcPr>
            <w:tcW w:w="940" w:type="dxa"/>
            <w:vAlign w:val="bottom"/>
          </w:tcPr>
          <w:p w14:paraId="41204F10" w14:textId="1AE14627" w:rsidR="00125BE1" w:rsidRDefault="00125BE1" w:rsidP="00125BE1">
            <w:pPr>
              <w:rPr>
                <w:rFonts w:ascii="Times New Roman" w:eastAsia="Times New Roman" w:hAnsi="Times New Roman" w:cs="Times New Roman"/>
                <w:color w:val="000000"/>
                <w:lang w:eastAsia="bg-BG"/>
              </w:rPr>
            </w:pPr>
            <w:r>
              <w:t>36</w:t>
            </w:r>
          </w:p>
        </w:tc>
        <w:tc>
          <w:tcPr>
            <w:tcW w:w="940" w:type="dxa"/>
            <w:vAlign w:val="bottom"/>
          </w:tcPr>
          <w:p w14:paraId="0F85DD60" w14:textId="4F4CFEAA" w:rsidR="00125BE1" w:rsidRDefault="00125BE1" w:rsidP="00125BE1">
            <w:pPr>
              <w:rPr>
                <w:rFonts w:ascii="Times New Roman" w:eastAsia="Times New Roman" w:hAnsi="Times New Roman" w:cs="Times New Roman"/>
                <w:color w:val="000000"/>
                <w:lang w:eastAsia="bg-BG"/>
              </w:rPr>
            </w:pPr>
            <w:r>
              <w:t>22</w:t>
            </w:r>
          </w:p>
        </w:tc>
        <w:tc>
          <w:tcPr>
            <w:tcW w:w="1327" w:type="dxa"/>
          </w:tcPr>
          <w:p w14:paraId="1D8A6712" w14:textId="77777777" w:rsidR="00125BE1" w:rsidRDefault="00125BE1" w:rsidP="00125BE1">
            <w:pPr>
              <w:rPr>
                <w:rFonts w:ascii="Times New Roman" w:eastAsia="Times New Roman" w:hAnsi="Times New Roman" w:cs="Times New Roman"/>
                <w:color w:val="000000"/>
                <w:lang w:eastAsia="bg-BG"/>
              </w:rPr>
            </w:pPr>
          </w:p>
        </w:tc>
      </w:tr>
      <w:tr w:rsidR="00125BE1" w14:paraId="0714648B" w14:textId="77777777" w:rsidTr="000A506C">
        <w:tc>
          <w:tcPr>
            <w:tcW w:w="9576" w:type="dxa"/>
            <w:gridSpan w:val="8"/>
            <w:vAlign w:val="bottom"/>
          </w:tcPr>
          <w:p w14:paraId="1F7FDB7F" w14:textId="64F7CA21" w:rsidR="00125BE1" w:rsidRDefault="00125BE1" w:rsidP="00125BE1">
            <w:pPr>
              <w:rPr>
                <w:rFonts w:ascii="Times New Roman" w:eastAsia="Times New Roman" w:hAnsi="Times New Roman" w:cs="Times New Roman"/>
                <w:color w:val="000000"/>
                <w:lang w:eastAsia="bg-BG"/>
              </w:rPr>
            </w:pPr>
            <w:r>
              <w:rPr>
                <w:i/>
                <w:iCs/>
              </w:rPr>
              <w:t>Инфекции и инфестации</w:t>
            </w:r>
          </w:p>
        </w:tc>
      </w:tr>
      <w:tr w:rsidR="00125BE1" w14:paraId="45E557D4" w14:textId="77777777" w:rsidTr="00125BE1">
        <w:tc>
          <w:tcPr>
            <w:tcW w:w="2190" w:type="dxa"/>
            <w:vAlign w:val="bottom"/>
          </w:tcPr>
          <w:p w14:paraId="3461CDF6" w14:textId="61AF0168" w:rsidR="00125BE1" w:rsidRDefault="00125BE1" w:rsidP="00125BE1">
            <w:pPr>
              <w:rPr>
                <w:rFonts w:ascii="Times New Roman" w:eastAsia="Times New Roman" w:hAnsi="Times New Roman" w:cs="Times New Roman"/>
                <w:color w:val="000000"/>
                <w:lang w:eastAsia="bg-BG"/>
              </w:rPr>
            </w:pPr>
            <w:r>
              <w:t>Инфекция*</w:t>
            </w:r>
          </w:p>
        </w:tc>
        <w:tc>
          <w:tcPr>
            <w:tcW w:w="1151" w:type="dxa"/>
            <w:vAlign w:val="bottom"/>
          </w:tcPr>
          <w:p w14:paraId="27272951" w14:textId="11D5DF21" w:rsidR="00125BE1" w:rsidRDefault="00125BE1" w:rsidP="00125BE1">
            <w:pPr>
              <w:rPr>
                <w:rFonts w:ascii="Times New Roman" w:eastAsia="Times New Roman" w:hAnsi="Times New Roman" w:cs="Times New Roman"/>
                <w:color w:val="000000"/>
                <w:lang w:eastAsia="bg-BG"/>
              </w:rPr>
            </w:pPr>
            <w:r>
              <w:t>24</w:t>
            </w:r>
          </w:p>
        </w:tc>
        <w:tc>
          <w:tcPr>
            <w:tcW w:w="940" w:type="dxa"/>
            <w:vAlign w:val="bottom"/>
          </w:tcPr>
          <w:p w14:paraId="2468BED3" w14:textId="565EA38D" w:rsidR="00125BE1" w:rsidRDefault="00125BE1" w:rsidP="00125BE1">
            <w:pPr>
              <w:rPr>
                <w:rFonts w:ascii="Times New Roman" w:eastAsia="Times New Roman" w:hAnsi="Times New Roman" w:cs="Times New Roman"/>
                <w:color w:val="000000"/>
                <w:lang w:eastAsia="bg-BG"/>
              </w:rPr>
            </w:pPr>
            <w:r>
              <w:t>4</w:t>
            </w:r>
          </w:p>
        </w:tc>
        <w:tc>
          <w:tcPr>
            <w:tcW w:w="937" w:type="dxa"/>
            <w:vAlign w:val="bottom"/>
          </w:tcPr>
          <w:p w14:paraId="616D798B" w14:textId="5A54C3B5" w:rsidR="00125BE1" w:rsidRDefault="00125BE1" w:rsidP="00125BE1">
            <w:pPr>
              <w:rPr>
                <w:rFonts w:ascii="Times New Roman" w:eastAsia="Times New Roman" w:hAnsi="Times New Roman" w:cs="Times New Roman"/>
                <w:color w:val="000000"/>
                <w:lang w:eastAsia="bg-BG"/>
              </w:rPr>
            </w:pPr>
            <w:r>
              <w:t>0</w:t>
            </w:r>
          </w:p>
        </w:tc>
        <w:tc>
          <w:tcPr>
            <w:tcW w:w="1151" w:type="dxa"/>
            <w:vAlign w:val="bottom"/>
          </w:tcPr>
          <w:p w14:paraId="3FDCC1FB" w14:textId="00E4D4CB" w:rsidR="00125BE1" w:rsidRDefault="00125BE1" w:rsidP="00125BE1">
            <w:pPr>
              <w:rPr>
                <w:rFonts w:ascii="Times New Roman" w:eastAsia="Times New Roman" w:hAnsi="Times New Roman" w:cs="Times New Roman"/>
                <w:color w:val="000000"/>
                <w:lang w:eastAsia="bg-BG"/>
              </w:rPr>
            </w:pPr>
            <w:r>
              <w:t>31</w:t>
            </w:r>
          </w:p>
        </w:tc>
        <w:tc>
          <w:tcPr>
            <w:tcW w:w="940" w:type="dxa"/>
            <w:vAlign w:val="bottom"/>
          </w:tcPr>
          <w:p w14:paraId="130A9706" w14:textId="65C421A5" w:rsidR="00125BE1" w:rsidRDefault="00125BE1" w:rsidP="00125BE1">
            <w:pPr>
              <w:rPr>
                <w:rFonts w:ascii="Times New Roman" w:eastAsia="Times New Roman" w:hAnsi="Times New Roman" w:cs="Times New Roman"/>
                <w:color w:val="000000"/>
                <w:lang w:eastAsia="bg-BG"/>
              </w:rPr>
            </w:pPr>
            <w:r>
              <w:t>3</w:t>
            </w:r>
          </w:p>
        </w:tc>
        <w:tc>
          <w:tcPr>
            <w:tcW w:w="940" w:type="dxa"/>
            <w:vAlign w:val="bottom"/>
          </w:tcPr>
          <w:p w14:paraId="185076AE" w14:textId="304BB619" w:rsidR="00125BE1" w:rsidRDefault="00125BE1" w:rsidP="00125BE1">
            <w:pPr>
              <w:rPr>
                <w:rFonts w:ascii="Times New Roman" w:eastAsia="Times New Roman" w:hAnsi="Times New Roman" w:cs="Times New Roman"/>
                <w:color w:val="000000"/>
                <w:lang w:eastAsia="bg-BG"/>
              </w:rPr>
            </w:pPr>
            <w:r>
              <w:t>&lt;1</w:t>
            </w:r>
          </w:p>
        </w:tc>
        <w:tc>
          <w:tcPr>
            <w:tcW w:w="1327" w:type="dxa"/>
          </w:tcPr>
          <w:p w14:paraId="61E5BF36" w14:textId="7EF6ABAA" w:rsidR="00125BE1" w:rsidRDefault="00125BE1" w:rsidP="00125BE1">
            <w:pPr>
              <w:rPr>
                <w:rFonts w:ascii="Times New Roman" w:eastAsia="Times New Roman" w:hAnsi="Times New Roman" w:cs="Times New Roman"/>
                <w:color w:val="000000"/>
                <w:lang w:eastAsia="bg-BG"/>
              </w:rPr>
            </w:pPr>
            <w:r>
              <w:t>Много чести</w:t>
            </w:r>
          </w:p>
        </w:tc>
      </w:tr>
      <w:tr w:rsidR="00125BE1" w14:paraId="4CA7FB33" w14:textId="77777777" w:rsidTr="000A506C">
        <w:tc>
          <w:tcPr>
            <w:tcW w:w="9576" w:type="dxa"/>
            <w:gridSpan w:val="8"/>
            <w:vAlign w:val="bottom"/>
          </w:tcPr>
          <w:p w14:paraId="3288FEE9" w14:textId="6F775FD4" w:rsidR="00125BE1" w:rsidRDefault="00125BE1" w:rsidP="00125BE1">
            <w:pPr>
              <w:rPr>
                <w:rFonts w:ascii="Times New Roman" w:eastAsia="Times New Roman" w:hAnsi="Times New Roman" w:cs="Times New Roman"/>
                <w:color w:val="000000"/>
                <w:lang w:eastAsia="bg-BG"/>
              </w:rPr>
            </w:pPr>
            <w:r>
              <w:rPr>
                <w:i/>
                <w:iCs/>
              </w:rPr>
              <w:t>Нарушения на метаболизма и храненето</w:t>
            </w:r>
          </w:p>
        </w:tc>
      </w:tr>
      <w:tr w:rsidR="00125BE1" w14:paraId="4232F99C" w14:textId="77777777" w:rsidTr="00125BE1">
        <w:tc>
          <w:tcPr>
            <w:tcW w:w="2190" w:type="dxa"/>
            <w:vAlign w:val="bottom"/>
          </w:tcPr>
          <w:p w14:paraId="635CA319" w14:textId="645D9E8D" w:rsidR="00125BE1" w:rsidRDefault="00125BE1" w:rsidP="00125BE1">
            <w:pPr>
              <w:rPr>
                <w:rFonts w:ascii="Times New Roman" w:eastAsia="Times New Roman" w:hAnsi="Times New Roman" w:cs="Times New Roman"/>
                <w:color w:val="000000"/>
                <w:lang w:eastAsia="bg-BG"/>
              </w:rPr>
            </w:pPr>
            <w:r>
              <w:t>Анорексия</w:t>
            </w:r>
          </w:p>
        </w:tc>
        <w:tc>
          <w:tcPr>
            <w:tcW w:w="1151" w:type="dxa"/>
            <w:vAlign w:val="bottom"/>
          </w:tcPr>
          <w:p w14:paraId="73E9F289" w14:textId="769873DE" w:rsidR="00125BE1" w:rsidRDefault="00125BE1" w:rsidP="00125BE1">
            <w:pPr>
              <w:rPr>
                <w:rFonts w:ascii="Times New Roman" w:eastAsia="Times New Roman" w:hAnsi="Times New Roman" w:cs="Times New Roman"/>
                <w:color w:val="000000"/>
                <w:lang w:eastAsia="bg-BG"/>
              </w:rPr>
            </w:pPr>
            <w:r>
              <w:t>52</w:t>
            </w:r>
          </w:p>
        </w:tc>
        <w:tc>
          <w:tcPr>
            <w:tcW w:w="940" w:type="dxa"/>
          </w:tcPr>
          <w:p w14:paraId="710A66A8" w14:textId="2F0123AE"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8</w:t>
            </w:r>
          </w:p>
        </w:tc>
        <w:tc>
          <w:tcPr>
            <w:tcW w:w="937" w:type="dxa"/>
            <w:vAlign w:val="bottom"/>
          </w:tcPr>
          <w:p w14:paraId="371122A8" w14:textId="5D9A0F6E" w:rsidR="00125BE1" w:rsidRDefault="00125BE1" w:rsidP="00125BE1">
            <w:pPr>
              <w:rPr>
                <w:rFonts w:ascii="Times New Roman" w:eastAsia="Times New Roman" w:hAnsi="Times New Roman" w:cs="Times New Roman"/>
                <w:color w:val="000000"/>
                <w:lang w:eastAsia="bg-BG"/>
              </w:rPr>
            </w:pPr>
            <w:r>
              <w:t>1</w:t>
            </w:r>
          </w:p>
        </w:tc>
        <w:tc>
          <w:tcPr>
            <w:tcW w:w="1151" w:type="dxa"/>
          </w:tcPr>
          <w:p w14:paraId="276B68F7" w14:textId="77777777" w:rsidR="00125BE1" w:rsidRDefault="00125BE1" w:rsidP="00125BE1">
            <w:pPr>
              <w:rPr>
                <w:rFonts w:ascii="Times New Roman" w:eastAsia="Times New Roman" w:hAnsi="Times New Roman" w:cs="Times New Roman"/>
                <w:color w:val="000000"/>
                <w:lang w:eastAsia="bg-BG"/>
              </w:rPr>
            </w:pPr>
          </w:p>
        </w:tc>
        <w:tc>
          <w:tcPr>
            <w:tcW w:w="940" w:type="dxa"/>
          </w:tcPr>
          <w:p w14:paraId="5EA68EB7" w14:textId="77777777" w:rsidR="00125BE1" w:rsidRDefault="00125BE1" w:rsidP="00125BE1">
            <w:pPr>
              <w:rPr>
                <w:rFonts w:ascii="Times New Roman" w:eastAsia="Times New Roman" w:hAnsi="Times New Roman" w:cs="Times New Roman"/>
                <w:color w:val="000000"/>
                <w:lang w:eastAsia="bg-BG"/>
              </w:rPr>
            </w:pPr>
          </w:p>
        </w:tc>
        <w:tc>
          <w:tcPr>
            <w:tcW w:w="940" w:type="dxa"/>
          </w:tcPr>
          <w:p w14:paraId="36BDEB28" w14:textId="77777777" w:rsidR="00125BE1" w:rsidRDefault="00125BE1" w:rsidP="00125BE1">
            <w:pPr>
              <w:rPr>
                <w:rFonts w:ascii="Times New Roman" w:eastAsia="Times New Roman" w:hAnsi="Times New Roman" w:cs="Times New Roman"/>
                <w:color w:val="000000"/>
                <w:lang w:eastAsia="bg-BG"/>
              </w:rPr>
            </w:pPr>
          </w:p>
        </w:tc>
        <w:tc>
          <w:tcPr>
            <w:tcW w:w="1327" w:type="dxa"/>
            <w:vAlign w:val="bottom"/>
          </w:tcPr>
          <w:p w14:paraId="2EF32DDB" w14:textId="7A4EC7BF" w:rsidR="00125BE1" w:rsidRDefault="00125BE1" w:rsidP="00125BE1">
            <w:pPr>
              <w:rPr>
                <w:rFonts w:ascii="Times New Roman" w:eastAsia="Times New Roman" w:hAnsi="Times New Roman" w:cs="Times New Roman"/>
                <w:color w:val="000000"/>
                <w:lang w:eastAsia="bg-BG"/>
              </w:rPr>
            </w:pPr>
            <w:r>
              <w:t>Много чести</w:t>
            </w:r>
          </w:p>
        </w:tc>
      </w:tr>
      <w:tr w:rsidR="00125BE1" w14:paraId="52E30605" w14:textId="77777777" w:rsidTr="00125BE1">
        <w:tc>
          <w:tcPr>
            <w:tcW w:w="2190" w:type="dxa"/>
            <w:vAlign w:val="bottom"/>
          </w:tcPr>
          <w:p w14:paraId="389EA15A" w14:textId="51A1F406" w:rsidR="00125BE1" w:rsidRDefault="00125BE1" w:rsidP="00125BE1">
            <w:pPr>
              <w:rPr>
                <w:rFonts w:ascii="Times New Roman" w:eastAsia="Times New Roman" w:hAnsi="Times New Roman" w:cs="Times New Roman"/>
                <w:color w:val="000000"/>
                <w:lang w:eastAsia="bg-BG"/>
              </w:rPr>
            </w:pPr>
            <w:r>
              <w:t>Намалено тегло</w:t>
            </w:r>
          </w:p>
        </w:tc>
        <w:tc>
          <w:tcPr>
            <w:tcW w:w="1151" w:type="dxa"/>
            <w:vAlign w:val="bottom"/>
          </w:tcPr>
          <w:p w14:paraId="38A0BEB4" w14:textId="4D1B6511" w:rsidR="00125BE1" w:rsidRDefault="00125BE1" w:rsidP="00125BE1">
            <w:pPr>
              <w:rPr>
                <w:rFonts w:ascii="Times New Roman" w:eastAsia="Times New Roman" w:hAnsi="Times New Roman" w:cs="Times New Roman"/>
                <w:color w:val="000000"/>
                <w:lang w:eastAsia="bg-BG"/>
              </w:rPr>
            </w:pPr>
            <w:r>
              <w:rPr>
                <w:b/>
                <w:bCs/>
              </w:rPr>
              <w:t>-</w:t>
            </w:r>
          </w:p>
        </w:tc>
        <w:tc>
          <w:tcPr>
            <w:tcW w:w="940" w:type="dxa"/>
          </w:tcPr>
          <w:p w14:paraId="09C0E466" w14:textId="59C29045"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937" w:type="dxa"/>
          </w:tcPr>
          <w:p w14:paraId="4806CAD6" w14:textId="0680BE1A"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1151" w:type="dxa"/>
            <w:vAlign w:val="bottom"/>
          </w:tcPr>
          <w:p w14:paraId="47A04CE8" w14:textId="3B51F3F5" w:rsidR="00125BE1" w:rsidRDefault="00125BE1" w:rsidP="00125BE1">
            <w:pPr>
              <w:rPr>
                <w:rFonts w:ascii="Times New Roman" w:eastAsia="Times New Roman" w:hAnsi="Times New Roman" w:cs="Times New Roman"/>
                <w:color w:val="000000"/>
                <w:lang w:eastAsia="bg-BG"/>
              </w:rPr>
            </w:pPr>
            <w:r>
              <w:t>39</w:t>
            </w:r>
          </w:p>
        </w:tc>
        <w:tc>
          <w:tcPr>
            <w:tcW w:w="940" w:type="dxa"/>
            <w:vAlign w:val="bottom"/>
          </w:tcPr>
          <w:p w14:paraId="6BB33FF6" w14:textId="5208C45C" w:rsidR="00125BE1" w:rsidRDefault="00125BE1" w:rsidP="00125BE1">
            <w:pPr>
              <w:rPr>
                <w:rFonts w:ascii="Times New Roman" w:eastAsia="Times New Roman" w:hAnsi="Times New Roman" w:cs="Times New Roman"/>
                <w:color w:val="000000"/>
                <w:lang w:eastAsia="bg-BG"/>
              </w:rPr>
            </w:pPr>
            <w:r>
              <w:t>2</w:t>
            </w:r>
          </w:p>
        </w:tc>
        <w:tc>
          <w:tcPr>
            <w:tcW w:w="940" w:type="dxa"/>
            <w:vAlign w:val="bottom"/>
          </w:tcPr>
          <w:p w14:paraId="56A9BED8" w14:textId="3561ECC4" w:rsidR="00125BE1" w:rsidRDefault="00125BE1" w:rsidP="00125BE1">
            <w:pPr>
              <w:rPr>
                <w:rFonts w:ascii="Times New Roman" w:eastAsia="Times New Roman" w:hAnsi="Times New Roman" w:cs="Times New Roman"/>
                <w:color w:val="000000"/>
                <w:lang w:eastAsia="bg-BG"/>
              </w:rPr>
            </w:pPr>
            <w:r>
              <w:t>0</w:t>
            </w:r>
          </w:p>
        </w:tc>
        <w:tc>
          <w:tcPr>
            <w:tcW w:w="1327" w:type="dxa"/>
            <w:vAlign w:val="bottom"/>
          </w:tcPr>
          <w:p w14:paraId="490B55AF" w14:textId="08C4F1E6" w:rsidR="00125BE1" w:rsidRDefault="00125BE1" w:rsidP="00125BE1">
            <w:pPr>
              <w:rPr>
                <w:rFonts w:ascii="Times New Roman" w:eastAsia="Times New Roman" w:hAnsi="Times New Roman" w:cs="Times New Roman"/>
                <w:color w:val="000000"/>
                <w:lang w:eastAsia="bg-BG"/>
              </w:rPr>
            </w:pPr>
            <w:r>
              <w:t>Много чести</w:t>
            </w:r>
          </w:p>
        </w:tc>
      </w:tr>
      <w:tr w:rsidR="00125BE1" w14:paraId="3CE15028" w14:textId="77777777" w:rsidTr="000A506C">
        <w:tc>
          <w:tcPr>
            <w:tcW w:w="9576" w:type="dxa"/>
            <w:gridSpan w:val="8"/>
            <w:vAlign w:val="bottom"/>
          </w:tcPr>
          <w:p w14:paraId="3920DD94" w14:textId="0D60B839" w:rsidR="00125BE1" w:rsidRPr="00125BE1" w:rsidRDefault="00125BE1" w:rsidP="00125BE1">
            <w:pPr>
              <w:rPr>
                <w:rFonts w:ascii="Times New Roman" w:eastAsia="Times New Roman" w:hAnsi="Times New Roman" w:cs="Times New Roman"/>
                <w:color w:val="000000"/>
                <w:lang w:eastAsia="bg-BG"/>
              </w:rPr>
            </w:pPr>
            <w:r w:rsidRPr="00125BE1">
              <w:rPr>
                <w:i/>
                <w:iCs/>
              </w:rPr>
              <w:t>Нарушения на очите</w:t>
            </w:r>
          </w:p>
        </w:tc>
      </w:tr>
      <w:tr w:rsidR="00125BE1" w14:paraId="46C0ED82" w14:textId="77777777" w:rsidTr="00125BE1">
        <w:tc>
          <w:tcPr>
            <w:tcW w:w="2190" w:type="dxa"/>
          </w:tcPr>
          <w:p w14:paraId="2ACCDCC2" w14:textId="76810C2B" w:rsidR="00125BE1" w:rsidRPr="00125BE1" w:rsidRDefault="00125BE1" w:rsidP="00125BE1">
            <w:pPr>
              <w:rPr>
                <w:rFonts w:ascii="Times New Roman" w:eastAsia="Times New Roman" w:hAnsi="Times New Roman" w:cs="Times New Roman"/>
                <w:color w:val="000000"/>
                <w:lang w:eastAsia="bg-BG"/>
              </w:rPr>
            </w:pPr>
            <w:r w:rsidRPr="00125BE1">
              <w:t>Сух кератоконюнктивит</w:t>
            </w:r>
          </w:p>
        </w:tc>
        <w:tc>
          <w:tcPr>
            <w:tcW w:w="1151" w:type="dxa"/>
          </w:tcPr>
          <w:p w14:paraId="103DCA3B" w14:textId="4FBCBE03" w:rsidR="00125BE1" w:rsidRPr="00125BE1" w:rsidRDefault="00125BE1" w:rsidP="00125BE1">
            <w:pPr>
              <w:rPr>
                <w:rFonts w:ascii="Times New Roman" w:eastAsia="Times New Roman" w:hAnsi="Times New Roman" w:cs="Times New Roman"/>
                <w:color w:val="000000"/>
                <w:lang w:eastAsia="bg-BG"/>
              </w:rPr>
            </w:pPr>
            <w:r w:rsidRPr="00125BE1">
              <w:t>12</w:t>
            </w:r>
          </w:p>
        </w:tc>
        <w:tc>
          <w:tcPr>
            <w:tcW w:w="940" w:type="dxa"/>
          </w:tcPr>
          <w:p w14:paraId="2D84056A" w14:textId="16D2649D" w:rsidR="00125BE1" w:rsidRPr="00125BE1" w:rsidRDefault="00125BE1" w:rsidP="00125BE1">
            <w:pPr>
              <w:rPr>
                <w:rFonts w:ascii="Times New Roman" w:eastAsia="Times New Roman" w:hAnsi="Times New Roman" w:cs="Times New Roman"/>
                <w:color w:val="000000"/>
                <w:lang w:eastAsia="bg-BG"/>
              </w:rPr>
            </w:pPr>
            <w:r w:rsidRPr="00125BE1">
              <w:t>0</w:t>
            </w:r>
          </w:p>
        </w:tc>
        <w:tc>
          <w:tcPr>
            <w:tcW w:w="937" w:type="dxa"/>
          </w:tcPr>
          <w:p w14:paraId="3CD06E07" w14:textId="206AA79D"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vAlign w:val="bottom"/>
          </w:tcPr>
          <w:p w14:paraId="2319D710" w14:textId="36ACFDF0"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315C5675" w14:textId="2596BA1A"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3E6D9195" w14:textId="226E5016"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327" w:type="dxa"/>
          </w:tcPr>
          <w:p w14:paraId="0C76DB1F" w14:textId="7D033142"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5B0CB506" w14:textId="77777777" w:rsidTr="00125BE1">
        <w:tc>
          <w:tcPr>
            <w:tcW w:w="2190" w:type="dxa"/>
          </w:tcPr>
          <w:p w14:paraId="7264655F" w14:textId="7E85A5F0" w:rsidR="00125BE1" w:rsidRPr="00125BE1" w:rsidRDefault="00125BE1" w:rsidP="00125BE1">
            <w:pPr>
              <w:rPr>
                <w:rFonts w:ascii="Times New Roman" w:eastAsia="Times New Roman" w:hAnsi="Times New Roman" w:cs="Times New Roman"/>
                <w:color w:val="000000"/>
                <w:lang w:eastAsia="bg-BG"/>
              </w:rPr>
            </w:pPr>
            <w:r w:rsidRPr="00125BE1">
              <w:t>Конюнктивит</w:t>
            </w:r>
          </w:p>
        </w:tc>
        <w:tc>
          <w:tcPr>
            <w:tcW w:w="1151" w:type="dxa"/>
          </w:tcPr>
          <w:p w14:paraId="1091E2DA" w14:textId="683BD6DB" w:rsidR="00125BE1" w:rsidRPr="00125BE1" w:rsidRDefault="00125BE1" w:rsidP="00125BE1">
            <w:pPr>
              <w:rPr>
                <w:rFonts w:ascii="Times New Roman" w:eastAsia="Times New Roman" w:hAnsi="Times New Roman" w:cs="Times New Roman"/>
                <w:color w:val="000000"/>
                <w:lang w:eastAsia="bg-BG"/>
              </w:rPr>
            </w:pPr>
            <w:r w:rsidRPr="00125BE1">
              <w:t>12</w:t>
            </w:r>
          </w:p>
        </w:tc>
        <w:tc>
          <w:tcPr>
            <w:tcW w:w="940" w:type="dxa"/>
          </w:tcPr>
          <w:p w14:paraId="47B88A0E" w14:textId="5AAE7456" w:rsidR="00125BE1" w:rsidRPr="00125BE1" w:rsidRDefault="00125BE1" w:rsidP="00125BE1">
            <w:pPr>
              <w:rPr>
                <w:rFonts w:ascii="Times New Roman" w:eastAsia="Times New Roman" w:hAnsi="Times New Roman" w:cs="Times New Roman"/>
                <w:color w:val="000000"/>
                <w:lang w:eastAsia="bg-BG"/>
              </w:rPr>
            </w:pPr>
            <w:r w:rsidRPr="00125BE1">
              <w:t>&lt;1</w:t>
            </w:r>
          </w:p>
        </w:tc>
        <w:tc>
          <w:tcPr>
            <w:tcW w:w="937" w:type="dxa"/>
          </w:tcPr>
          <w:p w14:paraId="0D951228" w14:textId="71B1ECD8"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vAlign w:val="bottom"/>
          </w:tcPr>
          <w:p w14:paraId="2AE63E8E" w14:textId="51D7FFFF"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5DFAA600" w14:textId="6684B845"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tcPr>
          <w:p w14:paraId="73BF34B9" w14:textId="77777777" w:rsidR="00125BE1" w:rsidRPr="00125BE1" w:rsidRDefault="00125BE1" w:rsidP="00125BE1">
            <w:pPr>
              <w:rPr>
                <w:rFonts w:ascii="Times New Roman" w:eastAsia="Times New Roman" w:hAnsi="Times New Roman" w:cs="Times New Roman"/>
                <w:color w:val="000000"/>
                <w:lang w:eastAsia="bg-BG"/>
              </w:rPr>
            </w:pPr>
          </w:p>
        </w:tc>
        <w:tc>
          <w:tcPr>
            <w:tcW w:w="1327" w:type="dxa"/>
          </w:tcPr>
          <w:p w14:paraId="09569E89" w14:textId="0C9E18B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01A655F3" w14:textId="77777777" w:rsidTr="000A506C">
        <w:tc>
          <w:tcPr>
            <w:tcW w:w="9576" w:type="dxa"/>
            <w:gridSpan w:val="8"/>
            <w:vAlign w:val="bottom"/>
          </w:tcPr>
          <w:p w14:paraId="28BD4FAD" w14:textId="6913F338" w:rsidR="00125BE1" w:rsidRPr="00125BE1" w:rsidRDefault="00125BE1" w:rsidP="00125BE1">
            <w:pPr>
              <w:rPr>
                <w:rFonts w:ascii="Times New Roman" w:eastAsia="Times New Roman" w:hAnsi="Times New Roman" w:cs="Times New Roman"/>
                <w:color w:val="000000"/>
                <w:lang w:eastAsia="bg-BG"/>
              </w:rPr>
            </w:pPr>
            <w:r w:rsidRPr="00125BE1">
              <w:rPr>
                <w:i/>
                <w:iCs/>
              </w:rPr>
              <w:t>Психични нарушения</w:t>
            </w:r>
          </w:p>
        </w:tc>
      </w:tr>
      <w:tr w:rsidR="00125BE1" w14:paraId="4213188D" w14:textId="77777777" w:rsidTr="00125BE1">
        <w:tc>
          <w:tcPr>
            <w:tcW w:w="2190" w:type="dxa"/>
            <w:vAlign w:val="bottom"/>
          </w:tcPr>
          <w:p w14:paraId="653C044C" w14:textId="7B9E19F5" w:rsidR="00125BE1" w:rsidRPr="00125BE1" w:rsidRDefault="00125BE1" w:rsidP="00125BE1">
            <w:pPr>
              <w:rPr>
                <w:rFonts w:ascii="Times New Roman" w:eastAsia="Times New Roman" w:hAnsi="Times New Roman" w:cs="Times New Roman"/>
                <w:color w:val="000000"/>
                <w:lang w:eastAsia="bg-BG"/>
              </w:rPr>
            </w:pPr>
            <w:r w:rsidRPr="00125BE1">
              <w:lastRenderedPageBreak/>
              <w:t>Депресия</w:t>
            </w:r>
          </w:p>
        </w:tc>
        <w:tc>
          <w:tcPr>
            <w:tcW w:w="1151" w:type="dxa"/>
            <w:vAlign w:val="bottom"/>
          </w:tcPr>
          <w:p w14:paraId="4A7DBA37" w14:textId="7B56C2E9"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545DB6C8" w14:textId="4A806F09"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37" w:type="dxa"/>
          </w:tcPr>
          <w:p w14:paraId="2A39F897" w14:textId="77777777" w:rsidR="00125BE1" w:rsidRPr="00125BE1" w:rsidRDefault="00125BE1" w:rsidP="00125BE1">
            <w:pPr>
              <w:rPr>
                <w:rFonts w:ascii="Times New Roman" w:eastAsia="Times New Roman" w:hAnsi="Times New Roman" w:cs="Times New Roman"/>
                <w:color w:val="000000"/>
                <w:lang w:eastAsia="bg-BG"/>
              </w:rPr>
            </w:pPr>
          </w:p>
        </w:tc>
        <w:tc>
          <w:tcPr>
            <w:tcW w:w="1151" w:type="dxa"/>
            <w:vAlign w:val="bottom"/>
          </w:tcPr>
          <w:p w14:paraId="0D027BD8" w14:textId="3C3098FE" w:rsidR="00125BE1" w:rsidRPr="00125BE1" w:rsidRDefault="00125BE1" w:rsidP="00125BE1">
            <w:pPr>
              <w:rPr>
                <w:rFonts w:ascii="Times New Roman" w:eastAsia="Times New Roman" w:hAnsi="Times New Roman" w:cs="Times New Roman"/>
                <w:color w:val="000000"/>
                <w:lang w:eastAsia="bg-BG"/>
              </w:rPr>
            </w:pPr>
            <w:r w:rsidRPr="00125BE1">
              <w:t>19</w:t>
            </w:r>
          </w:p>
        </w:tc>
        <w:tc>
          <w:tcPr>
            <w:tcW w:w="940" w:type="dxa"/>
            <w:vAlign w:val="bottom"/>
          </w:tcPr>
          <w:p w14:paraId="3355CFC8" w14:textId="2F6A1141" w:rsidR="00125BE1" w:rsidRPr="00125BE1" w:rsidRDefault="00125BE1" w:rsidP="00125BE1">
            <w:pPr>
              <w:rPr>
                <w:rFonts w:ascii="Times New Roman" w:eastAsia="Times New Roman" w:hAnsi="Times New Roman" w:cs="Times New Roman"/>
                <w:color w:val="000000"/>
                <w:lang w:eastAsia="bg-BG"/>
              </w:rPr>
            </w:pPr>
            <w:r w:rsidRPr="00125BE1">
              <w:t>2</w:t>
            </w:r>
          </w:p>
        </w:tc>
        <w:tc>
          <w:tcPr>
            <w:tcW w:w="940" w:type="dxa"/>
            <w:vAlign w:val="bottom"/>
          </w:tcPr>
          <w:p w14:paraId="7E10FBFA" w14:textId="1324C14F"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vAlign w:val="bottom"/>
          </w:tcPr>
          <w:p w14:paraId="6C9F9B3B" w14:textId="0418AD40"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77C636FE" w14:textId="77777777" w:rsidTr="000A506C">
        <w:tc>
          <w:tcPr>
            <w:tcW w:w="9576" w:type="dxa"/>
            <w:gridSpan w:val="8"/>
            <w:vAlign w:val="bottom"/>
          </w:tcPr>
          <w:p w14:paraId="47FE09AE" w14:textId="26F0F379" w:rsidR="00125BE1" w:rsidRPr="00125BE1" w:rsidRDefault="00125BE1" w:rsidP="00125BE1">
            <w:pPr>
              <w:rPr>
                <w:rFonts w:ascii="Times New Roman" w:eastAsia="Times New Roman" w:hAnsi="Times New Roman" w:cs="Times New Roman"/>
                <w:color w:val="000000"/>
                <w:lang w:eastAsia="bg-BG"/>
              </w:rPr>
            </w:pPr>
            <w:r w:rsidRPr="00125BE1">
              <w:rPr>
                <w:i/>
                <w:iCs/>
              </w:rPr>
              <w:t>Нарушения на нервната система</w:t>
            </w:r>
          </w:p>
        </w:tc>
      </w:tr>
      <w:tr w:rsidR="00125BE1" w14:paraId="2B9BF425" w14:textId="77777777" w:rsidTr="00125BE1">
        <w:tc>
          <w:tcPr>
            <w:tcW w:w="2190" w:type="dxa"/>
            <w:vAlign w:val="bottom"/>
          </w:tcPr>
          <w:p w14:paraId="0A38A5DD" w14:textId="4076895A" w:rsidR="00125BE1" w:rsidRPr="00125BE1" w:rsidRDefault="00125BE1" w:rsidP="00125BE1">
            <w:pPr>
              <w:rPr>
                <w:rFonts w:ascii="Times New Roman" w:eastAsia="Times New Roman" w:hAnsi="Times New Roman" w:cs="Times New Roman"/>
                <w:color w:val="000000"/>
                <w:lang w:eastAsia="bg-BG"/>
              </w:rPr>
            </w:pPr>
            <w:r w:rsidRPr="00125BE1">
              <w:t>Невропатия</w:t>
            </w:r>
          </w:p>
        </w:tc>
        <w:tc>
          <w:tcPr>
            <w:tcW w:w="1151" w:type="dxa"/>
            <w:vAlign w:val="center"/>
          </w:tcPr>
          <w:p w14:paraId="3A3FBEDE" w14:textId="1E8007E8"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3A8A0B3D" w14:textId="30BC0A53"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vAlign w:val="center"/>
          </w:tcPr>
          <w:p w14:paraId="5CDDECAA" w14:textId="38E4F116"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151" w:type="dxa"/>
            <w:vAlign w:val="bottom"/>
          </w:tcPr>
          <w:p w14:paraId="48CD16DD" w14:textId="4201B827" w:rsidR="00125BE1" w:rsidRPr="00125BE1" w:rsidRDefault="00125BE1" w:rsidP="00125BE1">
            <w:pPr>
              <w:rPr>
                <w:rFonts w:ascii="Times New Roman" w:eastAsia="Times New Roman" w:hAnsi="Times New Roman" w:cs="Times New Roman"/>
                <w:color w:val="000000"/>
                <w:lang w:eastAsia="bg-BG"/>
              </w:rPr>
            </w:pPr>
            <w:r w:rsidRPr="00125BE1">
              <w:t>13</w:t>
            </w:r>
          </w:p>
        </w:tc>
        <w:tc>
          <w:tcPr>
            <w:tcW w:w="940" w:type="dxa"/>
            <w:vAlign w:val="center"/>
          </w:tcPr>
          <w:p w14:paraId="7EF305B5" w14:textId="57027DDE" w:rsidR="00125BE1" w:rsidRPr="00125BE1" w:rsidRDefault="00125BE1" w:rsidP="00125BE1">
            <w:pPr>
              <w:rPr>
                <w:rFonts w:ascii="Times New Roman" w:eastAsia="Times New Roman" w:hAnsi="Times New Roman" w:cs="Times New Roman"/>
                <w:color w:val="000000"/>
                <w:lang w:eastAsia="bg-BG"/>
              </w:rPr>
            </w:pPr>
            <w:r w:rsidRPr="00125BE1">
              <w:t>1</w:t>
            </w:r>
          </w:p>
        </w:tc>
        <w:tc>
          <w:tcPr>
            <w:tcW w:w="940" w:type="dxa"/>
            <w:vAlign w:val="center"/>
          </w:tcPr>
          <w:p w14:paraId="4C2EE066" w14:textId="15A3955A" w:rsidR="00125BE1" w:rsidRPr="00125BE1" w:rsidRDefault="00125BE1" w:rsidP="00125BE1">
            <w:pPr>
              <w:rPr>
                <w:rFonts w:ascii="Times New Roman" w:eastAsia="Times New Roman" w:hAnsi="Times New Roman" w:cs="Times New Roman"/>
                <w:color w:val="000000"/>
                <w:lang w:eastAsia="bg-BG"/>
              </w:rPr>
            </w:pPr>
            <w:r w:rsidRPr="00125BE1">
              <w:t>&lt;1</w:t>
            </w:r>
          </w:p>
        </w:tc>
        <w:tc>
          <w:tcPr>
            <w:tcW w:w="1327" w:type="dxa"/>
            <w:vAlign w:val="center"/>
          </w:tcPr>
          <w:p w14:paraId="3D637568" w14:textId="3FA5602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4C265E9F" w14:textId="77777777" w:rsidTr="00125BE1">
        <w:tc>
          <w:tcPr>
            <w:tcW w:w="2190" w:type="dxa"/>
          </w:tcPr>
          <w:p w14:paraId="18F1EF5C" w14:textId="4666BCCA" w:rsidR="00125BE1" w:rsidRPr="00125BE1" w:rsidRDefault="00125BE1" w:rsidP="00125BE1">
            <w:pPr>
              <w:rPr>
                <w:rFonts w:ascii="Times New Roman" w:eastAsia="Times New Roman" w:hAnsi="Times New Roman" w:cs="Times New Roman"/>
                <w:color w:val="000000"/>
                <w:lang w:eastAsia="bg-BG"/>
              </w:rPr>
            </w:pPr>
            <w:r w:rsidRPr="00125BE1">
              <w:t>Главоболие</w:t>
            </w:r>
          </w:p>
        </w:tc>
        <w:tc>
          <w:tcPr>
            <w:tcW w:w="1151" w:type="dxa"/>
            <w:vAlign w:val="center"/>
          </w:tcPr>
          <w:p w14:paraId="14784D94" w14:textId="6E657E8D"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6644E03C" w14:textId="46B4DA03" w:rsidR="00125BE1" w:rsidRPr="00125BE1" w:rsidRDefault="00125BE1" w:rsidP="00125BE1">
            <w:pPr>
              <w:rPr>
                <w:rFonts w:ascii="Times New Roman" w:eastAsia="Times New Roman" w:hAnsi="Times New Roman" w:cs="Times New Roman"/>
                <w:color w:val="000000"/>
                <w:lang w:eastAsia="bg-BG"/>
              </w:rPr>
            </w:pPr>
            <w:r w:rsidRPr="00125BE1">
              <w:rPr>
                <w:rFonts w:cs="Arial"/>
                <w:i/>
                <w:iCs/>
              </w:rPr>
              <w:t>-</w:t>
            </w:r>
          </w:p>
        </w:tc>
        <w:tc>
          <w:tcPr>
            <w:tcW w:w="937" w:type="dxa"/>
            <w:vAlign w:val="center"/>
          </w:tcPr>
          <w:p w14:paraId="7B5B43D9" w14:textId="231C896C"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151" w:type="dxa"/>
          </w:tcPr>
          <w:p w14:paraId="7746C4CE" w14:textId="18D0B008" w:rsidR="00125BE1" w:rsidRPr="00125BE1" w:rsidRDefault="00125BE1" w:rsidP="00125BE1">
            <w:pPr>
              <w:rPr>
                <w:rFonts w:ascii="Times New Roman" w:eastAsia="Times New Roman" w:hAnsi="Times New Roman" w:cs="Times New Roman"/>
                <w:color w:val="000000"/>
                <w:lang w:eastAsia="bg-BG"/>
              </w:rPr>
            </w:pPr>
            <w:r w:rsidRPr="00125BE1">
              <w:t>15</w:t>
            </w:r>
          </w:p>
        </w:tc>
        <w:tc>
          <w:tcPr>
            <w:tcW w:w="940" w:type="dxa"/>
          </w:tcPr>
          <w:p w14:paraId="70F8FF1B" w14:textId="18FDD470" w:rsidR="00125BE1" w:rsidRPr="00125BE1" w:rsidRDefault="00125BE1" w:rsidP="00125BE1">
            <w:pPr>
              <w:rPr>
                <w:rFonts w:ascii="Times New Roman" w:eastAsia="Times New Roman" w:hAnsi="Times New Roman" w:cs="Times New Roman"/>
                <w:color w:val="000000"/>
                <w:lang w:eastAsia="bg-BG"/>
              </w:rPr>
            </w:pPr>
            <w:r w:rsidRPr="00125BE1">
              <w:t>&lt;1</w:t>
            </w:r>
          </w:p>
        </w:tc>
        <w:tc>
          <w:tcPr>
            <w:tcW w:w="940" w:type="dxa"/>
          </w:tcPr>
          <w:p w14:paraId="1B5F9AC8" w14:textId="5CCB82A2"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3DC1BAC1" w14:textId="065F78AA"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211FBD70" w14:textId="77777777" w:rsidTr="000A506C">
        <w:tc>
          <w:tcPr>
            <w:tcW w:w="9576" w:type="dxa"/>
            <w:gridSpan w:val="8"/>
            <w:vAlign w:val="bottom"/>
          </w:tcPr>
          <w:p w14:paraId="554A5EB2" w14:textId="08E1B71E" w:rsidR="00125BE1" w:rsidRPr="00125BE1" w:rsidRDefault="00125BE1" w:rsidP="00125BE1">
            <w:pPr>
              <w:rPr>
                <w:rFonts w:ascii="Times New Roman" w:eastAsia="Times New Roman" w:hAnsi="Times New Roman" w:cs="Times New Roman"/>
                <w:color w:val="000000"/>
                <w:lang w:eastAsia="bg-BG"/>
              </w:rPr>
            </w:pPr>
            <w:r w:rsidRPr="00125BE1">
              <w:rPr>
                <w:i/>
                <w:iCs/>
              </w:rPr>
              <w:t>Респираторни, гръдни и медиастинални нарушения</w:t>
            </w:r>
          </w:p>
        </w:tc>
      </w:tr>
      <w:tr w:rsidR="00125BE1" w14:paraId="5457AB1B" w14:textId="77777777" w:rsidTr="00125BE1">
        <w:tc>
          <w:tcPr>
            <w:tcW w:w="2190" w:type="dxa"/>
          </w:tcPr>
          <w:p w14:paraId="59B3454E" w14:textId="29BBE31D" w:rsidR="00125BE1" w:rsidRPr="00125BE1" w:rsidRDefault="00125BE1" w:rsidP="00125BE1">
            <w:pPr>
              <w:rPr>
                <w:rFonts w:ascii="Times New Roman" w:eastAsia="Times New Roman" w:hAnsi="Times New Roman" w:cs="Times New Roman"/>
                <w:color w:val="000000"/>
                <w:lang w:eastAsia="bg-BG"/>
              </w:rPr>
            </w:pPr>
            <w:r w:rsidRPr="00125BE1">
              <w:t>Диспнея</w:t>
            </w:r>
          </w:p>
        </w:tc>
        <w:tc>
          <w:tcPr>
            <w:tcW w:w="1151" w:type="dxa"/>
          </w:tcPr>
          <w:p w14:paraId="4D76B673" w14:textId="28049A2A" w:rsidR="00125BE1" w:rsidRPr="00125BE1" w:rsidRDefault="00125BE1" w:rsidP="00125BE1">
            <w:pPr>
              <w:rPr>
                <w:rFonts w:ascii="Times New Roman" w:eastAsia="Times New Roman" w:hAnsi="Times New Roman" w:cs="Times New Roman"/>
                <w:color w:val="000000"/>
                <w:lang w:eastAsia="bg-BG"/>
              </w:rPr>
            </w:pPr>
            <w:r w:rsidRPr="00125BE1">
              <w:t>41</w:t>
            </w:r>
          </w:p>
        </w:tc>
        <w:tc>
          <w:tcPr>
            <w:tcW w:w="940" w:type="dxa"/>
          </w:tcPr>
          <w:p w14:paraId="5E422FF1" w14:textId="539B13CD" w:rsidR="00125BE1" w:rsidRPr="00125BE1" w:rsidRDefault="00125BE1" w:rsidP="00125BE1">
            <w:pPr>
              <w:rPr>
                <w:rFonts w:ascii="Times New Roman" w:eastAsia="Times New Roman" w:hAnsi="Times New Roman" w:cs="Times New Roman"/>
                <w:color w:val="000000"/>
                <w:lang w:eastAsia="bg-BG"/>
              </w:rPr>
            </w:pPr>
            <w:r w:rsidRPr="00125BE1">
              <w:t>17</w:t>
            </w:r>
          </w:p>
        </w:tc>
        <w:tc>
          <w:tcPr>
            <w:tcW w:w="937" w:type="dxa"/>
          </w:tcPr>
          <w:p w14:paraId="2C362C69" w14:textId="7F537171" w:rsidR="00125BE1" w:rsidRPr="00125BE1" w:rsidRDefault="00125BE1" w:rsidP="00125BE1">
            <w:pPr>
              <w:rPr>
                <w:rFonts w:ascii="Times New Roman" w:eastAsia="Times New Roman" w:hAnsi="Times New Roman" w:cs="Times New Roman"/>
                <w:color w:val="000000"/>
                <w:lang w:eastAsia="bg-BG"/>
              </w:rPr>
            </w:pPr>
            <w:r w:rsidRPr="00125BE1">
              <w:t>11</w:t>
            </w:r>
          </w:p>
        </w:tc>
        <w:tc>
          <w:tcPr>
            <w:tcW w:w="1151" w:type="dxa"/>
            <w:vAlign w:val="center"/>
          </w:tcPr>
          <w:p w14:paraId="35527549" w14:textId="3F33F150"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376A53C0" w14:textId="46BD6E3E"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051BCB9D" w14:textId="6C3B14BE"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327" w:type="dxa"/>
          </w:tcPr>
          <w:p w14:paraId="165EF7DE" w14:textId="31979D2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537A013A" w14:textId="77777777" w:rsidTr="000A506C">
        <w:tc>
          <w:tcPr>
            <w:tcW w:w="2190" w:type="dxa"/>
            <w:vAlign w:val="bottom"/>
          </w:tcPr>
          <w:p w14:paraId="424C1223" w14:textId="5EB357C6" w:rsidR="00125BE1" w:rsidRDefault="00125BE1" w:rsidP="00125BE1">
            <w:pPr>
              <w:rPr>
                <w:rFonts w:ascii="Times New Roman" w:eastAsia="Times New Roman" w:hAnsi="Times New Roman" w:cs="Times New Roman"/>
                <w:color w:val="000000"/>
                <w:lang w:eastAsia="bg-BG"/>
              </w:rPr>
            </w:pPr>
            <w:r>
              <w:t>Кашлица</w:t>
            </w:r>
          </w:p>
        </w:tc>
        <w:tc>
          <w:tcPr>
            <w:tcW w:w="1151" w:type="dxa"/>
            <w:vAlign w:val="bottom"/>
          </w:tcPr>
          <w:p w14:paraId="7B608EB2" w14:textId="213B4230" w:rsidR="00125BE1" w:rsidRDefault="00125BE1" w:rsidP="00125BE1">
            <w:pPr>
              <w:rPr>
                <w:rFonts w:ascii="Times New Roman" w:eastAsia="Times New Roman" w:hAnsi="Times New Roman" w:cs="Times New Roman"/>
                <w:color w:val="000000"/>
                <w:lang w:eastAsia="bg-BG"/>
              </w:rPr>
            </w:pPr>
            <w:r>
              <w:t>33</w:t>
            </w:r>
          </w:p>
        </w:tc>
        <w:tc>
          <w:tcPr>
            <w:tcW w:w="940" w:type="dxa"/>
            <w:vAlign w:val="bottom"/>
          </w:tcPr>
          <w:p w14:paraId="424F3588" w14:textId="7966FD8E" w:rsidR="00125BE1" w:rsidRDefault="00125BE1" w:rsidP="00125BE1">
            <w:pPr>
              <w:rPr>
                <w:rFonts w:ascii="Times New Roman" w:eastAsia="Times New Roman" w:hAnsi="Times New Roman" w:cs="Times New Roman"/>
                <w:color w:val="000000"/>
                <w:lang w:eastAsia="bg-BG"/>
              </w:rPr>
            </w:pPr>
            <w:r>
              <w:t>4</w:t>
            </w:r>
          </w:p>
        </w:tc>
        <w:tc>
          <w:tcPr>
            <w:tcW w:w="937" w:type="dxa"/>
            <w:vAlign w:val="bottom"/>
          </w:tcPr>
          <w:p w14:paraId="73C5676A" w14:textId="7F1A33C8" w:rsidR="00125BE1" w:rsidRDefault="00125BE1" w:rsidP="00125BE1">
            <w:pPr>
              <w:rPr>
                <w:rFonts w:ascii="Times New Roman" w:eastAsia="Times New Roman" w:hAnsi="Times New Roman" w:cs="Times New Roman"/>
                <w:color w:val="000000"/>
                <w:lang w:eastAsia="bg-BG"/>
              </w:rPr>
            </w:pPr>
            <w:r>
              <w:t>0</w:t>
            </w:r>
          </w:p>
        </w:tc>
        <w:tc>
          <w:tcPr>
            <w:tcW w:w="1151" w:type="dxa"/>
            <w:vAlign w:val="bottom"/>
          </w:tcPr>
          <w:p w14:paraId="771D3282" w14:textId="2B4181F5" w:rsidR="00125BE1" w:rsidRDefault="00125BE1" w:rsidP="00125BE1">
            <w:pPr>
              <w:rPr>
                <w:rFonts w:ascii="Times New Roman" w:eastAsia="Times New Roman" w:hAnsi="Times New Roman" w:cs="Times New Roman"/>
                <w:color w:val="000000"/>
                <w:lang w:eastAsia="bg-BG"/>
              </w:rPr>
            </w:pPr>
            <w:r>
              <w:t>16</w:t>
            </w:r>
          </w:p>
        </w:tc>
        <w:tc>
          <w:tcPr>
            <w:tcW w:w="940" w:type="dxa"/>
            <w:vAlign w:val="bottom"/>
          </w:tcPr>
          <w:p w14:paraId="36279FBC" w14:textId="0B23690D" w:rsidR="00125BE1" w:rsidRDefault="00125BE1" w:rsidP="00125BE1">
            <w:pPr>
              <w:rPr>
                <w:rFonts w:ascii="Times New Roman" w:eastAsia="Times New Roman" w:hAnsi="Times New Roman" w:cs="Times New Roman"/>
                <w:color w:val="000000"/>
                <w:lang w:eastAsia="bg-BG"/>
              </w:rPr>
            </w:pPr>
            <w:r>
              <w:t>0</w:t>
            </w:r>
          </w:p>
        </w:tc>
        <w:tc>
          <w:tcPr>
            <w:tcW w:w="940" w:type="dxa"/>
          </w:tcPr>
          <w:p w14:paraId="2927C88A" w14:textId="77777777" w:rsidR="00125BE1" w:rsidRDefault="00125BE1" w:rsidP="00125BE1">
            <w:pPr>
              <w:rPr>
                <w:rFonts w:ascii="Times New Roman" w:eastAsia="Times New Roman" w:hAnsi="Times New Roman" w:cs="Times New Roman"/>
                <w:color w:val="000000"/>
                <w:lang w:eastAsia="bg-BG"/>
              </w:rPr>
            </w:pPr>
          </w:p>
        </w:tc>
        <w:tc>
          <w:tcPr>
            <w:tcW w:w="1327" w:type="dxa"/>
            <w:vAlign w:val="bottom"/>
          </w:tcPr>
          <w:p w14:paraId="7645166B" w14:textId="6881D16A" w:rsidR="00125BE1" w:rsidRDefault="00125BE1" w:rsidP="00125BE1">
            <w:pPr>
              <w:rPr>
                <w:rFonts w:ascii="Times New Roman" w:eastAsia="Times New Roman" w:hAnsi="Times New Roman" w:cs="Times New Roman"/>
                <w:color w:val="000000"/>
                <w:lang w:eastAsia="bg-BG"/>
              </w:rPr>
            </w:pPr>
            <w:r>
              <w:t>Много чести</w:t>
            </w:r>
          </w:p>
        </w:tc>
      </w:tr>
      <w:tr w:rsidR="00125BE1" w14:paraId="749E5867" w14:textId="77777777" w:rsidTr="000A506C">
        <w:tc>
          <w:tcPr>
            <w:tcW w:w="9576" w:type="dxa"/>
            <w:gridSpan w:val="8"/>
            <w:vAlign w:val="bottom"/>
          </w:tcPr>
          <w:p w14:paraId="0BB6887A" w14:textId="1C1F9B60" w:rsidR="00125BE1" w:rsidRDefault="00125BE1" w:rsidP="00125BE1">
            <w:pPr>
              <w:rPr>
                <w:rFonts w:ascii="Times New Roman" w:eastAsia="Times New Roman" w:hAnsi="Times New Roman" w:cs="Times New Roman"/>
                <w:color w:val="000000"/>
                <w:lang w:eastAsia="bg-BG"/>
              </w:rPr>
            </w:pPr>
            <w:r>
              <w:rPr>
                <w:i/>
                <w:iCs/>
              </w:rPr>
              <w:t>Стомашно-чревни нарушения</w:t>
            </w:r>
          </w:p>
        </w:tc>
      </w:tr>
      <w:tr w:rsidR="00125BE1" w14:paraId="0379313B" w14:textId="77777777" w:rsidTr="000A506C">
        <w:tc>
          <w:tcPr>
            <w:tcW w:w="2190" w:type="dxa"/>
            <w:vAlign w:val="bottom"/>
          </w:tcPr>
          <w:p w14:paraId="79B26E70" w14:textId="11A313D8" w:rsidR="00125BE1" w:rsidRDefault="00125BE1" w:rsidP="00125BE1">
            <w:pPr>
              <w:rPr>
                <w:rFonts w:ascii="Times New Roman" w:eastAsia="Times New Roman" w:hAnsi="Times New Roman" w:cs="Times New Roman"/>
                <w:color w:val="000000"/>
                <w:lang w:eastAsia="bg-BG"/>
              </w:rPr>
            </w:pPr>
            <w:r>
              <w:t>Диария**</w:t>
            </w:r>
          </w:p>
        </w:tc>
        <w:tc>
          <w:tcPr>
            <w:tcW w:w="1151" w:type="dxa"/>
            <w:vAlign w:val="bottom"/>
          </w:tcPr>
          <w:p w14:paraId="4D43A4D0" w14:textId="383D0C6D" w:rsidR="00125BE1" w:rsidRDefault="00125BE1" w:rsidP="00125BE1">
            <w:pPr>
              <w:rPr>
                <w:rFonts w:ascii="Times New Roman" w:eastAsia="Times New Roman" w:hAnsi="Times New Roman" w:cs="Times New Roman"/>
                <w:color w:val="000000"/>
                <w:lang w:eastAsia="bg-BG"/>
              </w:rPr>
            </w:pPr>
            <w:r>
              <w:t>54</w:t>
            </w:r>
          </w:p>
        </w:tc>
        <w:tc>
          <w:tcPr>
            <w:tcW w:w="940" w:type="dxa"/>
            <w:vAlign w:val="bottom"/>
          </w:tcPr>
          <w:p w14:paraId="3716AF95" w14:textId="19128BF7" w:rsidR="00125BE1" w:rsidRDefault="00125BE1" w:rsidP="00125BE1">
            <w:pPr>
              <w:rPr>
                <w:rFonts w:ascii="Times New Roman" w:eastAsia="Times New Roman" w:hAnsi="Times New Roman" w:cs="Times New Roman"/>
                <w:color w:val="000000"/>
                <w:lang w:eastAsia="bg-BG"/>
              </w:rPr>
            </w:pPr>
            <w:r>
              <w:t>6</w:t>
            </w:r>
          </w:p>
        </w:tc>
        <w:tc>
          <w:tcPr>
            <w:tcW w:w="937" w:type="dxa"/>
            <w:vAlign w:val="bottom"/>
          </w:tcPr>
          <w:p w14:paraId="7C5AAFCE" w14:textId="77903873" w:rsidR="00125BE1" w:rsidRDefault="00125BE1" w:rsidP="00125BE1">
            <w:pPr>
              <w:rPr>
                <w:rFonts w:ascii="Times New Roman" w:eastAsia="Times New Roman" w:hAnsi="Times New Roman" w:cs="Times New Roman"/>
                <w:color w:val="000000"/>
                <w:lang w:eastAsia="bg-BG"/>
              </w:rPr>
            </w:pPr>
            <w:r>
              <w:t>&lt;1</w:t>
            </w:r>
          </w:p>
        </w:tc>
        <w:tc>
          <w:tcPr>
            <w:tcW w:w="1151" w:type="dxa"/>
            <w:vAlign w:val="bottom"/>
          </w:tcPr>
          <w:p w14:paraId="3E177962" w14:textId="72D29D0B" w:rsidR="00125BE1" w:rsidRDefault="00125BE1" w:rsidP="00125BE1">
            <w:pPr>
              <w:rPr>
                <w:rFonts w:ascii="Times New Roman" w:eastAsia="Times New Roman" w:hAnsi="Times New Roman" w:cs="Times New Roman"/>
                <w:color w:val="000000"/>
                <w:lang w:eastAsia="bg-BG"/>
              </w:rPr>
            </w:pPr>
            <w:r>
              <w:t>48</w:t>
            </w:r>
          </w:p>
        </w:tc>
        <w:tc>
          <w:tcPr>
            <w:tcW w:w="940" w:type="dxa"/>
            <w:vAlign w:val="bottom"/>
          </w:tcPr>
          <w:p w14:paraId="25986EB5" w14:textId="14DFA636" w:rsidR="00125BE1" w:rsidRDefault="00125BE1" w:rsidP="00125BE1">
            <w:pPr>
              <w:rPr>
                <w:rFonts w:ascii="Times New Roman" w:eastAsia="Times New Roman" w:hAnsi="Times New Roman" w:cs="Times New Roman"/>
                <w:color w:val="000000"/>
                <w:lang w:eastAsia="bg-BG"/>
              </w:rPr>
            </w:pPr>
            <w:r>
              <w:t>5</w:t>
            </w:r>
          </w:p>
        </w:tc>
        <w:tc>
          <w:tcPr>
            <w:tcW w:w="940" w:type="dxa"/>
            <w:vAlign w:val="bottom"/>
          </w:tcPr>
          <w:p w14:paraId="63DBE1E1" w14:textId="62F818CB" w:rsidR="00125BE1" w:rsidRDefault="00125BE1" w:rsidP="00125BE1">
            <w:pPr>
              <w:rPr>
                <w:rFonts w:ascii="Times New Roman" w:eastAsia="Times New Roman" w:hAnsi="Times New Roman" w:cs="Times New Roman"/>
                <w:color w:val="000000"/>
                <w:lang w:eastAsia="bg-BG"/>
              </w:rPr>
            </w:pPr>
            <w:r>
              <w:rPr>
                <w:lang w:val="en-US"/>
              </w:rPr>
              <w:t>&lt;1</w:t>
            </w:r>
          </w:p>
        </w:tc>
        <w:tc>
          <w:tcPr>
            <w:tcW w:w="1327" w:type="dxa"/>
            <w:vAlign w:val="bottom"/>
          </w:tcPr>
          <w:p w14:paraId="05756390" w14:textId="62DBFFE8" w:rsidR="00125BE1" w:rsidRDefault="00125BE1" w:rsidP="00125BE1">
            <w:pPr>
              <w:rPr>
                <w:rFonts w:ascii="Times New Roman" w:eastAsia="Times New Roman" w:hAnsi="Times New Roman" w:cs="Times New Roman"/>
                <w:color w:val="000000"/>
                <w:lang w:eastAsia="bg-BG"/>
              </w:rPr>
            </w:pPr>
            <w:r>
              <w:t>Много чести</w:t>
            </w:r>
          </w:p>
        </w:tc>
      </w:tr>
      <w:tr w:rsidR="00125BE1" w14:paraId="47605B42" w14:textId="77777777" w:rsidTr="000A506C">
        <w:tc>
          <w:tcPr>
            <w:tcW w:w="2190" w:type="dxa"/>
            <w:vAlign w:val="bottom"/>
          </w:tcPr>
          <w:p w14:paraId="5B625476" w14:textId="2CF55128" w:rsidR="00125BE1" w:rsidRDefault="00125BE1" w:rsidP="00125BE1">
            <w:pPr>
              <w:rPr>
                <w:rFonts w:ascii="Times New Roman" w:eastAsia="Times New Roman" w:hAnsi="Times New Roman" w:cs="Times New Roman"/>
                <w:color w:val="000000"/>
                <w:lang w:eastAsia="bg-BG"/>
              </w:rPr>
            </w:pPr>
            <w:r>
              <w:t>Гадене</w:t>
            </w:r>
          </w:p>
        </w:tc>
        <w:tc>
          <w:tcPr>
            <w:tcW w:w="1151" w:type="dxa"/>
            <w:vAlign w:val="bottom"/>
          </w:tcPr>
          <w:p w14:paraId="664F1D43" w14:textId="5A373842" w:rsidR="00125BE1" w:rsidRDefault="00125BE1" w:rsidP="00125BE1">
            <w:pPr>
              <w:rPr>
                <w:rFonts w:ascii="Times New Roman" w:eastAsia="Times New Roman" w:hAnsi="Times New Roman" w:cs="Times New Roman"/>
                <w:color w:val="000000"/>
                <w:lang w:eastAsia="bg-BG"/>
              </w:rPr>
            </w:pPr>
            <w:r>
              <w:t>33</w:t>
            </w:r>
          </w:p>
        </w:tc>
        <w:tc>
          <w:tcPr>
            <w:tcW w:w="940" w:type="dxa"/>
            <w:vAlign w:val="bottom"/>
          </w:tcPr>
          <w:p w14:paraId="042290D9" w14:textId="137615D2" w:rsidR="00125BE1" w:rsidRDefault="00125BE1" w:rsidP="00125BE1">
            <w:pPr>
              <w:rPr>
                <w:rFonts w:ascii="Times New Roman" w:eastAsia="Times New Roman" w:hAnsi="Times New Roman" w:cs="Times New Roman"/>
                <w:color w:val="000000"/>
                <w:lang w:eastAsia="bg-BG"/>
              </w:rPr>
            </w:pPr>
            <w:r>
              <w:t>3</w:t>
            </w:r>
          </w:p>
        </w:tc>
        <w:tc>
          <w:tcPr>
            <w:tcW w:w="937" w:type="dxa"/>
            <w:vAlign w:val="bottom"/>
          </w:tcPr>
          <w:p w14:paraId="3D1B91D3" w14:textId="342FC499" w:rsidR="00125BE1" w:rsidRDefault="00125BE1" w:rsidP="00125BE1">
            <w:pPr>
              <w:rPr>
                <w:rFonts w:ascii="Times New Roman" w:eastAsia="Times New Roman" w:hAnsi="Times New Roman" w:cs="Times New Roman"/>
                <w:color w:val="000000"/>
                <w:lang w:eastAsia="bg-BG"/>
              </w:rPr>
            </w:pPr>
            <w:r>
              <w:t>0</w:t>
            </w:r>
          </w:p>
        </w:tc>
        <w:tc>
          <w:tcPr>
            <w:tcW w:w="1151" w:type="dxa"/>
            <w:vAlign w:val="bottom"/>
          </w:tcPr>
          <w:p w14:paraId="65B61FF2" w14:textId="2795FAF9" w:rsidR="00125BE1" w:rsidRDefault="00125BE1" w:rsidP="00125BE1">
            <w:pPr>
              <w:rPr>
                <w:rFonts w:ascii="Times New Roman" w:eastAsia="Times New Roman" w:hAnsi="Times New Roman" w:cs="Times New Roman"/>
                <w:color w:val="000000"/>
                <w:lang w:eastAsia="bg-BG"/>
              </w:rPr>
            </w:pPr>
            <w:r>
              <w:rPr>
                <w:b/>
                <w:bCs/>
              </w:rPr>
              <w:t>-</w:t>
            </w:r>
          </w:p>
        </w:tc>
        <w:tc>
          <w:tcPr>
            <w:tcW w:w="940" w:type="dxa"/>
            <w:vAlign w:val="bottom"/>
          </w:tcPr>
          <w:p w14:paraId="16F46E05" w14:textId="3FC9F0AF" w:rsidR="00125BE1" w:rsidRDefault="00125BE1" w:rsidP="00125BE1">
            <w:pPr>
              <w:rPr>
                <w:rFonts w:ascii="Times New Roman" w:eastAsia="Times New Roman" w:hAnsi="Times New Roman" w:cs="Times New Roman"/>
                <w:color w:val="000000"/>
                <w:lang w:eastAsia="bg-BG"/>
              </w:rPr>
            </w:pPr>
            <w:r>
              <w:rPr>
                <w:lang w:val="en-US"/>
              </w:rPr>
              <w:t>-</w:t>
            </w:r>
          </w:p>
        </w:tc>
        <w:tc>
          <w:tcPr>
            <w:tcW w:w="940" w:type="dxa"/>
          </w:tcPr>
          <w:p w14:paraId="3A2D66E5" w14:textId="41233554" w:rsidR="00125BE1" w:rsidRDefault="00125BE1" w:rsidP="00125BE1">
            <w:pPr>
              <w:rPr>
                <w:rFonts w:ascii="Times New Roman" w:eastAsia="Times New Roman" w:hAnsi="Times New Roman" w:cs="Times New Roman"/>
                <w:color w:val="000000"/>
                <w:lang w:eastAsia="bg-BG"/>
              </w:rPr>
            </w:pPr>
            <w:r>
              <w:rPr>
                <w:lang w:val="en-US"/>
              </w:rPr>
              <w:t>-</w:t>
            </w:r>
          </w:p>
        </w:tc>
        <w:tc>
          <w:tcPr>
            <w:tcW w:w="1327" w:type="dxa"/>
            <w:vAlign w:val="bottom"/>
          </w:tcPr>
          <w:p w14:paraId="7AD1380E" w14:textId="7EC1A37D" w:rsidR="00125BE1" w:rsidRDefault="00125BE1" w:rsidP="00125BE1">
            <w:pPr>
              <w:rPr>
                <w:rFonts w:ascii="Times New Roman" w:eastAsia="Times New Roman" w:hAnsi="Times New Roman" w:cs="Times New Roman"/>
                <w:color w:val="000000"/>
                <w:lang w:eastAsia="bg-BG"/>
              </w:rPr>
            </w:pPr>
            <w:r>
              <w:t>Много чести</w:t>
            </w:r>
          </w:p>
        </w:tc>
      </w:tr>
      <w:tr w:rsidR="00125BE1" w14:paraId="0517A7D7" w14:textId="77777777" w:rsidTr="00125BE1">
        <w:tc>
          <w:tcPr>
            <w:tcW w:w="2190" w:type="dxa"/>
          </w:tcPr>
          <w:p w14:paraId="5699DBA6" w14:textId="65A9F9A7" w:rsidR="00125BE1" w:rsidRDefault="00125BE1" w:rsidP="00125BE1">
            <w:pPr>
              <w:rPr>
                <w:rFonts w:ascii="Times New Roman" w:eastAsia="Times New Roman" w:hAnsi="Times New Roman" w:cs="Times New Roman"/>
                <w:color w:val="000000"/>
                <w:lang w:eastAsia="bg-BG"/>
              </w:rPr>
            </w:pPr>
            <w:r>
              <w:t>Повръщане</w:t>
            </w:r>
          </w:p>
        </w:tc>
        <w:tc>
          <w:tcPr>
            <w:tcW w:w="1151" w:type="dxa"/>
          </w:tcPr>
          <w:p w14:paraId="678C65FD" w14:textId="44DB76A0" w:rsidR="00125BE1" w:rsidRDefault="00125BE1" w:rsidP="00125BE1">
            <w:pPr>
              <w:rPr>
                <w:rFonts w:ascii="Times New Roman" w:eastAsia="Times New Roman" w:hAnsi="Times New Roman" w:cs="Times New Roman"/>
                <w:color w:val="000000"/>
                <w:lang w:eastAsia="bg-BG"/>
              </w:rPr>
            </w:pPr>
            <w:r>
              <w:t>23</w:t>
            </w:r>
          </w:p>
        </w:tc>
        <w:tc>
          <w:tcPr>
            <w:tcW w:w="940" w:type="dxa"/>
          </w:tcPr>
          <w:p w14:paraId="10319053" w14:textId="3262B4BD" w:rsidR="00125BE1" w:rsidRDefault="00125BE1" w:rsidP="00125BE1">
            <w:pPr>
              <w:rPr>
                <w:rFonts w:ascii="Times New Roman" w:eastAsia="Times New Roman" w:hAnsi="Times New Roman" w:cs="Times New Roman"/>
                <w:color w:val="000000"/>
                <w:lang w:eastAsia="bg-BG"/>
              </w:rPr>
            </w:pPr>
            <w:r>
              <w:t>2</w:t>
            </w:r>
          </w:p>
        </w:tc>
        <w:tc>
          <w:tcPr>
            <w:tcW w:w="937" w:type="dxa"/>
          </w:tcPr>
          <w:p w14:paraId="587A8BD4" w14:textId="0FBC7D9F" w:rsidR="00125BE1" w:rsidRDefault="00125BE1" w:rsidP="00125BE1">
            <w:pPr>
              <w:rPr>
                <w:rFonts w:ascii="Times New Roman" w:eastAsia="Times New Roman" w:hAnsi="Times New Roman" w:cs="Times New Roman"/>
                <w:color w:val="000000"/>
                <w:lang w:eastAsia="bg-BG"/>
              </w:rPr>
            </w:pPr>
            <w:r>
              <w:t>&lt;1</w:t>
            </w:r>
          </w:p>
        </w:tc>
        <w:tc>
          <w:tcPr>
            <w:tcW w:w="1151" w:type="dxa"/>
          </w:tcPr>
          <w:p w14:paraId="70532F63" w14:textId="4D2BF0C3" w:rsidR="00125BE1" w:rsidRDefault="00125BE1" w:rsidP="00125BE1">
            <w:pPr>
              <w:rPr>
                <w:rFonts w:ascii="Times New Roman" w:eastAsia="Times New Roman" w:hAnsi="Times New Roman" w:cs="Times New Roman"/>
                <w:color w:val="000000"/>
                <w:lang w:eastAsia="bg-BG"/>
              </w:rPr>
            </w:pPr>
            <w:r>
              <w:rPr>
                <w:b/>
                <w:bCs/>
              </w:rPr>
              <w:t>-</w:t>
            </w:r>
          </w:p>
        </w:tc>
        <w:tc>
          <w:tcPr>
            <w:tcW w:w="940" w:type="dxa"/>
          </w:tcPr>
          <w:p w14:paraId="424DCDF8" w14:textId="29C044EE" w:rsidR="00125BE1" w:rsidRDefault="00125BE1" w:rsidP="00125BE1">
            <w:pPr>
              <w:rPr>
                <w:rFonts w:ascii="Times New Roman" w:eastAsia="Times New Roman" w:hAnsi="Times New Roman" w:cs="Times New Roman"/>
                <w:color w:val="000000"/>
                <w:lang w:eastAsia="bg-BG"/>
              </w:rPr>
            </w:pPr>
            <w:r>
              <w:rPr>
                <w:lang w:val="en-US"/>
              </w:rPr>
              <w:t>-</w:t>
            </w:r>
          </w:p>
        </w:tc>
        <w:tc>
          <w:tcPr>
            <w:tcW w:w="940" w:type="dxa"/>
          </w:tcPr>
          <w:p w14:paraId="3DE3773D" w14:textId="50211B01" w:rsidR="00125BE1" w:rsidRDefault="00125BE1" w:rsidP="00125BE1">
            <w:pPr>
              <w:rPr>
                <w:rFonts w:ascii="Times New Roman" w:eastAsia="Times New Roman" w:hAnsi="Times New Roman" w:cs="Times New Roman"/>
                <w:color w:val="000000"/>
                <w:lang w:eastAsia="bg-BG"/>
              </w:rPr>
            </w:pPr>
            <w:r>
              <w:rPr>
                <w:lang w:val="en-US"/>
              </w:rPr>
              <w:t>-</w:t>
            </w:r>
          </w:p>
        </w:tc>
        <w:tc>
          <w:tcPr>
            <w:tcW w:w="1327" w:type="dxa"/>
          </w:tcPr>
          <w:p w14:paraId="5A623853" w14:textId="2115C637" w:rsidR="00125BE1" w:rsidRDefault="00125BE1" w:rsidP="00125BE1">
            <w:pPr>
              <w:rPr>
                <w:rFonts w:ascii="Times New Roman" w:eastAsia="Times New Roman" w:hAnsi="Times New Roman" w:cs="Times New Roman"/>
                <w:color w:val="000000"/>
                <w:lang w:eastAsia="bg-BG"/>
              </w:rPr>
            </w:pPr>
            <w:r>
              <w:t>Много чести</w:t>
            </w:r>
          </w:p>
        </w:tc>
      </w:tr>
      <w:tr w:rsidR="00125BE1" w14:paraId="1D512ACF" w14:textId="77777777" w:rsidTr="00125BE1">
        <w:tc>
          <w:tcPr>
            <w:tcW w:w="2190" w:type="dxa"/>
          </w:tcPr>
          <w:p w14:paraId="778E94DB" w14:textId="5349DC13" w:rsidR="00125BE1" w:rsidRDefault="00125BE1" w:rsidP="00125BE1">
            <w:pPr>
              <w:rPr>
                <w:rFonts w:ascii="Times New Roman" w:eastAsia="Times New Roman" w:hAnsi="Times New Roman" w:cs="Times New Roman"/>
                <w:color w:val="000000"/>
                <w:lang w:eastAsia="bg-BG"/>
              </w:rPr>
            </w:pPr>
            <w:r>
              <w:t>Стоматит</w:t>
            </w:r>
          </w:p>
        </w:tc>
        <w:tc>
          <w:tcPr>
            <w:tcW w:w="1151" w:type="dxa"/>
          </w:tcPr>
          <w:p w14:paraId="33F186C7" w14:textId="538CA4A9" w:rsidR="00125BE1" w:rsidRDefault="00125BE1" w:rsidP="00125BE1">
            <w:pPr>
              <w:rPr>
                <w:rFonts w:ascii="Times New Roman" w:eastAsia="Times New Roman" w:hAnsi="Times New Roman" w:cs="Times New Roman"/>
                <w:color w:val="000000"/>
                <w:lang w:eastAsia="bg-BG"/>
              </w:rPr>
            </w:pPr>
            <w:r>
              <w:t>17</w:t>
            </w:r>
          </w:p>
        </w:tc>
        <w:tc>
          <w:tcPr>
            <w:tcW w:w="940" w:type="dxa"/>
          </w:tcPr>
          <w:p w14:paraId="53CC4573" w14:textId="1B15E80A"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&lt;1</w:t>
            </w:r>
          </w:p>
        </w:tc>
        <w:tc>
          <w:tcPr>
            <w:tcW w:w="937" w:type="dxa"/>
          </w:tcPr>
          <w:p w14:paraId="5E913FB7" w14:textId="1AED5462" w:rsidR="00125BE1" w:rsidRDefault="00125BE1" w:rsidP="00125BE1">
            <w:pPr>
              <w:rPr>
                <w:rFonts w:ascii="Times New Roman" w:eastAsia="Times New Roman" w:hAnsi="Times New Roman" w:cs="Times New Roman"/>
                <w:color w:val="000000"/>
                <w:lang w:eastAsia="bg-BG"/>
              </w:rPr>
            </w:pPr>
            <w:r>
              <w:t>0</w:t>
            </w:r>
          </w:p>
        </w:tc>
        <w:tc>
          <w:tcPr>
            <w:tcW w:w="1151" w:type="dxa"/>
          </w:tcPr>
          <w:p w14:paraId="054641C0" w14:textId="1DCAE37C" w:rsidR="00125BE1" w:rsidRDefault="00125BE1" w:rsidP="00125BE1">
            <w:pPr>
              <w:rPr>
                <w:rFonts w:ascii="Times New Roman" w:eastAsia="Times New Roman" w:hAnsi="Times New Roman" w:cs="Times New Roman"/>
                <w:color w:val="000000"/>
                <w:lang w:eastAsia="bg-BG"/>
              </w:rPr>
            </w:pPr>
            <w:r>
              <w:t>22</w:t>
            </w:r>
          </w:p>
        </w:tc>
        <w:tc>
          <w:tcPr>
            <w:tcW w:w="940" w:type="dxa"/>
          </w:tcPr>
          <w:p w14:paraId="7355164C" w14:textId="0B85C226" w:rsidR="00125BE1" w:rsidRDefault="00125BE1" w:rsidP="00125BE1">
            <w:pPr>
              <w:rPr>
                <w:rFonts w:ascii="Times New Roman" w:eastAsia="Times New Roman" w:hAnsi="Times New Roman" w:cs="Times New Roman"/>
                <w:color w:val="000000"/>
                <w:lang w:eastAsia="bg-BG"/>
              </w:rPr>
            </w:pPr>
            <w:r>
              <w:t>&lt;1</w:t>
            </w:r>
          </w:p>
        </w:tc>
        <w:tc>
          <w:tcPr>
            <w:tcW w:w="940" w:type="dxa"/>
          </w:tcPr>
          <w:p w14:paraId="2245609D" w14:textId="2575E4D4" w:rsidR="00125BE1" w:rsidRDefault="00125BE1" w:rsidP="00125BE1">
            <w:pPr>
              <w:rPr>
                <w:rFonts w:ascii="Times New Roman" w:eastAsia="Times New Roman" w:hAnsi="Times New Roman" w:cs="Times New Roman"/>
                <w:color w:val="000000"/>
                <w:lang w:eastAsia="bg-BG"/>
              </w:rPr>
            </w:pPr>
            <w:r>
              <w:t>0</w:t>
            </w:r>
          </w:p>
        </w:tc>
        <w:tc>
          <w:tcPr>
            <w:tcW w:w="1327" w:type="dxa"/>
          </w:tcPr>
          <w:p w14:paraId="5A983C61" w14:textId="36D85542" w:rsidR="00125BE1" w:rsidRDefault="00125BE1" w:rsidP="00125BE1">
            <w:pPr>
              <w:rPr>
                <w:rFonts w:ascii="Times New Roman" w:eastAsia="Times New Roman" w:hAnsi="Times New Roman" w:cs="Times New Roman"/>
                <w:color w:val="000000"/>
                <w:lang w:eastAsia="bg-BG"/>
              </w:rPr>
            </w:pPr>
            <w:r>
              <w:t>Много чести</w:t>
            </w:r>
          </w:p>
        </w:tc>
      </w:tr>
      <w:tr w:rsidR="00125BE1" w14:paraId="7FA48A36" w14:textId="77777777" w:rsidTr="00125BE1">
        <w:tc>
          <w:tcPr>
            <w:tcW w:w="2190" w:type="dxa"/>
          </w:tcPr>
          <w:p w14:paraId="4DE40B4F" w14:textId="5595C67A" w:rsidR="00125BE1" w:rsidRDefault="00125BE1" w:rsidP="00125BE1">
            <w:pPr>
              <w:rPr>
                <w:rFonts w:ascii="Times New Roman" w:eastAsia="Times New Roman" w:hAnsi="Times New Roman" w:cs="Times New Roman"/>
                <w:color w:val="000000"/>
                <w:lang w:eastAsia="bg-BG"/>
              </w:rPr>
            </w:pPr>
            <w:r>
              <w:t>Коремна болка</w:t>
            </w:r>
          </w:p>
        </w:tc>
        <w:tc>
          <w:tcPr>
            <w:tcW w:w="1151" w:type="dxa"/>
          </w:tcPr>
          <w:p w14:paraId="4092B3CF" w14:textId="6DEC236A" w:rsidR="00125BE1" w:rsidRDefault="00125BE1" w:rsidP="00125BE1">
            <w:pPr>
              <w:rPr>
                <w:rFonts w:ascii="Times New Roman" w:eastAsia="Times New Roman" w:hAnsi="Times New Roman" w:cs="Times New Roman"/>
                <w:color w:val="000000"/>
                <w:lang w:eastAsia="bg-BG"/>
              </w:rPr>
            </w:pPr>
            <w:r>
              <w:t>11</w:t>
            </w:r>
          </w:p>
        </w:tc>
        <w:tc>
          <w:tcPr>
            <w:tcW w:w="940" w:type="dxa"/>
          </w:tcPr>
          <w:p w14:paraId="5708EB6F" w14:textId="32738E24"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2</w:t>
            </w:r>
          </w:p>
        </w:tc>
        <w:tc>
          <w:tcPr>
            <w:tcW w:w="937" w:type="dxa"/>
          </w:tcPr>
          <w:p w14:paraId="0C3CD5FF" w14:textId="244BA051" w:rsidR="00125BE1" w:rsidRDefault="00125BE1" w:rsidP="00125BE1">
            <w:pPr>
              <w:rPr>
                <w:rFonts w:ascii="Times New Roman" w:eastAsia="Times New Roman" w:hAnsi="Times New Roman" w:cs="Times New Roman"/>
                <w:color w:val="000000"/>
                <w:lang w:eastAsia="bg-BG"/>
              </w:rPr>
            </w:pPr>
            <w:r>
              <w:t>&lt;1</w:t>
            </w:r>
          </w:p>
        </w:tc>
        <w:tc>
          <w:tcPr>
            <w:tcW w:w="1151" w:type="dxa"/>
          </w:tcPr>
          <w:p w14:paraId="14EA54DB" w14:textId="04520704" w:rsidR="00125BE1" w:rsidRDefault="00125BE1" w:rsidP="00125BE1">
            <w:pPr>
              <w:rPr>
                <w:rFonts w:ascii="Times New Roman" w:eastAsia="Times New Roman" w:hAnsi="Times New Roman" w:cs="Times New Roman"/>
                <w:color w:val="000000"/>
                <w:lang w:eastAsia="bg-BG"/>
              </w:rPr>
            </w:pPr>
            <w:r>
              <w:t>-</w:t>
            </w:r>
          </w:p>
        </w:tc>
        <w:tc>
          <w:tcPr>
            <w:tcW w:w="940" w:type="dxa"/>
          </w:tcPr>
          <w:p w14:paraId="7CC61864" w14:textId="59E3D1C9" w:rsidR="00125BE1" w:rsidRDefault="00125BE1" w:rsidP="00125BE1">
            <w:pPr>
              <w:rPr>
                <w:rFonts w:ascii="Times New Roman" w:eastAsia="Times New Roman" w:hAnsi="Times New Roman" w:cs="Times New Roman"/>
                <w:color w:val="000000"/>
                <w:lang w:eastAsia="bg-BG"/>
              </w:rPr>
            </w:pPr>
            <w:r>
              <w:t>-</w:t>
            </w:r>
          </w:p>
        </w:tc>
        <w:tc>
          <w:tcPr>
            <w:tcW w:w="940" w:type="dxa"/>
          </w:tcPr>
          <w:p w14:paraId="56A2B56E" w14:textId="13F3E1BE" w:rsidR="00125BE1" w:rsidRDefault="00125BE1" w:rsidP="00125BE1">
            <w:pPr>
              <w:rPr>
                <w:rFonts w:ascii="Times New Roman" w:eastAsia="Times New Roman" w:hAnsi="Times New Roman" w:cs="Times New Roman"/>
                <w:color w:val="000000"/>
                <w:lang w:eastAsia="bg-BG"/>
              </w:rPr>
            </w:pPr>
            <w:r>
              <w:t>-</w:t>
            </w:r>
          </w:p>
        </w:tc>
        <w:tc>
          <w:tcPr>
            <w:tcW w:w="1327" w:type="dxa"/>
          </w:tcPr>
          <w:p w14:paraId="3B17159A" w14:textId="0E27E1B6" w:rsidR="00125BE1" w:rsidRDefault="00125BE1" w:rsidP="00125BE1">
            <w:pPr>
              <w:rPr>
                <w:rFonts w:ascii="Times New Roman" w:eastAsia="Times New Roman" w:hAnsi="Times New Roman" w:cs="Times New Roman"/>
                <w:color w:val="000000"/>
                <w:lang w:eastAsia="bg-BG"/>
              </w:rPr>
            </w:pPr>
            <w:r>
              <w:t>Много чести</w:t>
            </w:r>
          </w:p>
        </w:tc>
      </w:tr>
      <w:tr w:rsidR="00125BE1" w14:paraId="76EAF925" w14:textId="77777777" w:rsidTr="00125BE1">
        <w:tc>
          <w:tcPr>
            <w:tcW w:w="2190" w:type="dxa"/>
          </w:tcPr>
          <w:p w14:paraId="66572E94" w14:textId="17178555" w:rsidR="00125BE1" w:rsidRDefault="00125BE1" w:rsidP="00125BE1">
            <w:pPr>
              <w:rPr>
                <w:rFonts w:ascii="Times New Roman" w:eastAsia="Times New Roman" w:hAnsi="Times New Roman" w:cs="Times New Roman"/>
                <w:color w:val="000000"/>
                <w:lang w:eastAsia="bg-BG"/>
              </w:rPr>
            </w:pPr>
            <w:r>
              <w:t>Диспепсия</w:t>
            </w:r>
          </w:p>
        </w:tc>
        <w:tc>
          <w:tcPr>
            <w:tcW w:w="1151" w:type="dxa"/>
          </w:tcPr>
          <w:p w14:paraId="39A2D26F" w14:textId="7C62D00A" w:rsidR="00125BE1" w:rsidRDefault="00125BE1" w:rsidP="00125BE1">
            <w:pPr>
              <w:rPr>
                <w:rFonts w:ascii="Times New Roman" w:eastAsia="Times New Roman" w:hAnsi="Times New Roman" w:cs="Times New Roman"/>
                <w:color w:val="000000"/>
                <w:lang w:eastAsia="bg-BG"/>
              </w:rPr>
            </w:pPr>
            <w:r>
              <w:t>-</w:t>
            </w:r>
          </w:p>
        </w:tc>
        <w:tc>
          <w:tcPr>
            <w:tcW w:w="940" w:type="dxa"/>
          </w:tcPr>
          <w:p w14:paraId="366FD107" w14:textId="1620D1FF"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937" w:type="dxa"/>
          </w:tcPr>
          <w:p w14:paraId="7AB2D82D" w14:textId="00A5589E" w:rsidR="00125BE1" w:rsidRDefault="00125BE1" w:rsidP="00125BE1">
            <w:pPr>
              <w:rPr>
                <w:rFonts w:ascii="Times New Roman" w:eastAsia="Times New Roman" w:hAnsi="Times New Roman" w:cs="Times New Roman"/>
                <w:color w:val="000000"/>
                <w:lang w:eastAsia="bg-BG"/>
              </w:rPr>
            </w:pPr>
            <w:r>
              <w:t>-</w:t>
            </w:r>
          </w:p>
        </w:tc>
        <w:tc>
          <w:tcPr>
            <w:tcW w:w="1151" w:type="dxa"/>
          </w:tcPr>
          <w:p w14:paraId="3A1C1FFF" w14:textId="54735DBE" w:rsidR="00125BE1" w:rsidRDefault="00125BE1" w:rsidP="00125BE1">
            <w:pPr>
              <w:rPr>
                <w:rFonts w:ascii="Times New Roman" w:eastAsia="Times New Roman" w:hAnsi="Times New Roman" w:cs="Times New Roman"/>
                <w:color w:val="000000"/>
                <w:lang w:eastAsia="bg-BG"/>
              </w:rPr>
            </w:pPr>
            <w:r>
              <w:t>17</w:t>
            </w:r>
          </w:p>
        </w:tc>
        <w:tc>
          <w:tcPr>
            <w:tcW w:w="940" w:type="dxa"/>
          </w:tcPr>
          <w:p w14:paraId="640457F8" w14:textId="68E03603" w:rsidR="00125BE1" w:rsidRDefault="00125BE1" w:rsidP="00125BE1">
            <w:pPr>
              <w:rPr>
                <w:rFonts w:ascii="Times New Roman" w:eastAsia="Times New Roman" w:hAnsi="Times New Roman" w:cs="Times New Roman"/>
                <w:color w:val="000000"/>
                <w:lang w:eastAsia="bg-BG"/>
              </w:rPr>
            </w:pPr>
            <w:r>
              <w:t>&lt;1</w:t>
            </w:r>
          </w:p>
        </w:tc>
        <w:tc>
          <w:tcPr>
            <w:tcW w:w="940" w:type="dxa"/>
          </w:tcPr>
          <w:p w14:paraId="15AFB93C" w14:textId="7C84F1D2" w:rsidR="00125BE1" w:rsidRDefault="00125BE1" w:rsidP="00125BE1">
            <w:pPr>
              <w:rPr>
                <w:rFonts w:ascii="Times New Roman" w:eastAsia="Times New Roman" w:hAnsi="Times New Roman" w:cs="Times New Roman"/>
                <w:color w:val="000000"/>
                <w:lang w:eastAsia="bg-BG"/>
              </w:rPr>
            </w:pPr>
            <w:r>
              <w:t>0</w:t>
            </w:r>
          </w:p>
        </w:tc>
        <w:tc>
          <w:tcPr>
            <w:tcW w:w="1327" w:type="dxa"/>
          </w:tcPr>
          <w:p w14:paraId="1161FB1B" w14:textId="133DF23D" w:rsidR="00125BE1" w:rsidRDefault="00125BE1" w:rsidP="00125BE1">
            <w:pPr>
              <w:rPr>
                <w:rFonts w:ascii="Times New Roman" w:eastAsia="Times New Roman" w:hAnsi="Times New Roman" w:cs="Times New Roman"/>
                <w:color w:val="000000"/>
                <w:lang w:eastAsia="bg-BG"/>
              </w:rPr>
            </w:pPr>
            <w:r>
              <w:t>Много чести</w:t>
            </w:r>
          </w:p>
        </w:tc>
      </w:tr>
      <w:tr w:rsidR="00125BE1" w14:paraId="7A07EE11" w14:textId="77777777" w:rsidTr="00125BE1">
        <w:tc>
          <w:tcPr>
            <w:tcW w:w="2190" w:type="dxa"/>
          </w:tcPr>
          <w:p w14:paraId="2F650571" w14:textId="75D3F861" w:rsidR="00125BE1" w:rsidRDefault="00125BE1" w:rsidP="00125BE1">
            <w:pPr>
              <w:rPr>
                <w:rFonts w:ascii="Times New Roman" w:eastAsia="Times New Roman" w:hAnsi="Times New Roman" w:cs="Times New Roman"/>
                <w:color w:val="000000"/>
                <w:lang w:eastAsia="bg-BG"/>
              </w:rPr>
            </w:pPr>
            <w:r>
              <w:t>Флатуленция</w:t>
            </w:r>
          </w:p>
        </w:tc>
        <w:tc>
          <w:tcPr>
            <w:tcW w:w="1151" w:type="dxa"/>
          </w:tcPr>
          <w:p w14:paraId="518E8369" w14:textId="5FEC9F0B" w:rsidR="00125BE1" w:rsidRDefault="00125BE1" w:rsidP="00125BE1">
            <w:pPr>
              <w:rPr>
                <w:rFonts w:ascii="Times New Roman" w:eastAsia="Times New Roman" w:hAnsi="Times New Roman" w:cs="Times New Roman"/>
                <w:color w:val="000000"/>
                <w:lang w:eastAsia="bg-BG"/>
              </w:rPr>
            </w:pPr>
            <w:r>
              <w:t>-</w:t>
            </w:r>
          </w:p>
        </w:tc>
        <w:tc>
          <w:tcPr>
            <w:tcW w:w="940" w:type="dxa"/>
          </w:tcPr>
          <w:p w14:paraId="6354384C" w14:textId="0424F217"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937" w:type="dxa"/>
          </w:tcPr>
          <w:p w14:paraId="31009DB1" w14:textId="4A82C5D5" w:rsidR="00125BE1" w:rsidRDefault="00125BE1" w:rsidP="00125BE1">
            <w:pPr>
              <w:rPr>
                <w:rFonts w:ascii="Times New Roman" w:eastAsia="Times New Roman" w:hAnsi="Times New Roman" w:cs="Times New Roman"/>
                <w:color w:val="000000"/>
                <w:lang w:eastAsia="bg-BG"/>
              </w:rPr>
            </w:pPr>
            <w:r>
              <w:t>-</w:t>
            </w:r>
          </w:p>
        </w:tc>
        <w:tc>
          <w:tcPr>
            <w:tcW w:w="1151" w:type="dxa"/>
          </w:tcPr>
          <w:p w14:paraId="7FAE6038" w14:textId="15EC54A6" w:rsidR="00125BE1" w:rsidRDefault="00125BE1" w:rsidP="00125BE1">
            <w:pPr>
              <w:rPr>
                <w:rFonts w:ascii="Times New Roman" w:eastAsia="Times New Roman" w:hAnsi="Times New Roman" w:cs="Times New Roman"/>
                <w:color w:val="000000"/>
                <w:lang w:eastAsia="bg-BG"/>
              </w:rPr>
            </w:pPr>
            <w:r>
              <w:t>13</w:t>
            </w:r>
          </w:p>
        </w:tc>
        <w:tc>
          <w:tcPr>
            <w:tcW w:w="940" w:type="dxa"/>
          </w:tcPr>
          <w:p w14:paraId="5FAE4B23" w14:textId="267816BC" w:rsidR="00125BE1" w:rsidRDefault="00125BE1" w:rsidP="00125BE1">
            <w:pPr>
              <w:rPr>
                <w:rFonts w:ascii="Times New Roman" w:eastAsia="Times New Roman" w:hAnsi="Times New Roman" w:cs="Times New Roman"/>
                <w:color w:val="000000"/>
                <w:lang w:eastAsia="bg-BG"/>
              </w:rPr>
            </w:pPr>
            <w:r>
              <w:t>0</w:t>
            </w:r>
          </w:p>
        </w:tc>
        <w:tc>
          <w:tcPr>
            <w:tcW w:w="940" w:type="dxa"/>
          </w:tcPr>
          <w:p w14:paraId="3C85753A" w14:textId="680CE723" w:rsidR="00125BE1" w:rsidRDefault="00125BE1" w:rsidP="00125BE1">
            <w:pPr>
              <w:rPr>
                <w:rFonts w:ascii="Times New Roman" w:eastAsia="Times New Roman" w:hAnsi="Times New Roman" w:cs="Times New Roman"/>
                <w:color w:val="000000"/>
                <w:lang w:eastAsia="bg-BG"/>
              </w:rPr>
            </w:pPr>
            <w:r>
              <w:t>0</w:t>
            </w:r>
          </w:p>
        </w:tc>
        <w:tc>
          <w:tcPr>
            <w:tcW w:w="1327" w:type="dxa"/>
          </w:tcPr>
          <w:p w14:paraId="66EF010B" w14:textId="520C166F" w:rsidR="00125BE1" w:rsidRDefault="00125BE1" w:rsidP="00125BE1">
            <w:pPr>
              <w:rPr>
                <w:rFonts w:ascii="Times New Roman" w:eastAsia="Times New Roman" w:hAnsi="Times New Roman" w:cs="Times New Roman"/>
                <w:color w:val="000000"/>
                <w:lang w:eastAsia="bg-BG"/>
              </w:rPr>
            </w:pPr>
            <w:r>
              <w:t>Много чести</w:t>
            </w:r>
          </w:p>
        </w:tc>
      </w:tr>
      <w:tr w:rsidR="00125BE1" w14:paraId="01A514CF" w14:textId="77777777" w:rsidTr="000A506C">
        <w:tc>
          <w:tcPr>
            <w:tcW w:w="9576" w:type="dxa"/>
            <w:gridSpan w:val="8"/>
          </w:tcPr>
          <w:p w14:paraId="4CFC2F08" w14:textId="6B37AE50" w:rsidR="00125BE1" w:rsidRPr="00125BE1" w:rsidRDefault="00125BE1" w:rsidP="00125BE1">
            <w:pPr>
              <w:rPr>
                <w:rFonts w:ascii="Times New Roman" w:eastAsia="Times New Roman" w:hAnsi="Times New Roman" w:cs="Times New Roman"/>
                <w:color w:val="000000"/>
                <w:lang w:eastAsia="bg-BG"/>
              </w:rPr>
            </w:pPr>
            <w:r>
              <w:rPr>
                <w:i/>
                <w:iCs/>
              </w:rPr>
              <w:t>Нарушения на кожата и подкожната тъкан</w:t>
            </w:r>
          </w:p>
        </w:tc>
      </w:tr>
      <w:tr w:rsidR="00125BE1" w14:paraId="51FDAF22" w14:textId="77777777" w:rsidTr="00125BE1">
        <w:tc>
          <w:tcPr>
            <w:tcW w:w="2190" w:type="dxa"/>
          </w:tcPr>
          <w:p w14:paraId="351C06F1" w14:textId="39545EF7" w:rsidR="00125BE1" w:rsidRDefault="00125BE1" w:rsidP="00125BE1">
            <w:pPr>
              <w:rPr>
                <w:rFonts w:ascii="Times New Roman" w:eastAsia="Times New Roman" w:hAnsi="Times New Roman" w:cs="Times New Roman"/>
                <w:color w:val="000000"/>
                <w:lang w:eastAsia="bg-BG"/>
              </w:rPr>
            </w:pPr>
            <w:r>
              <w:t>Обрив***</w:t>
            </w:r>
          </w:p>
        </w:tc>
        <w:tc>
          <w:tcPr>
            <w:tcW w:w="1151" w:type="dxa"/>
          </w:tcPr>
          <w:p w14:paraId="0F4318CE" w14:textId="74CC0E35" w:rsidR="00125BE1" w:rsidRDefault="00125BE1" w:rsidP="00125BE1">
            <w:pPr>
              <w:rPr>
                <w:rFonts w:ascii="Times New Roman" w:eastAsia="Times New Roman" w:hAnsi="Times New Roman" w:cs="Times New Roman"/>
                <w:color w:val="000000"/>
                <w:lang w:eastAsia="bg-BG"/>
              </w:rPr>
            </w:pPr>
            <w:r>
              <w:t>75</w:t>
            </w:r>
          </w:p>
        </w:tc>
        <w:tc>
          <w:tcPr>
            <w:tcW w:w="940" w:type="dxa"/>
          </w:tcPr>
          <w:p w14:paraId="1C1B603B" w14:textId="660BB1BD" w:rsidR="00125BE1" w:rsidRPr="00125BE1" w:rsidRDefault="00125BE1" w:rsidP="00125BE1">
            <w:pPr>
              <w:rPr>
                <w:rFonts w:ascii="Times New Roman" w:eastAsia="Times New Roman" w:hAnsi="Times New Roman" w:cs="Times New Roman"/>
                <w:color w:val="000000"/>
                <w:lang w:eastAsia="bg-BG"/>
              </w:rPr>
            </w:pPr>
            <w:r w:rsidRPr="00125BE1">
              <w:t>8</w:t>
            </w:r>
          </w:p>
        </w:tc>
        <w:tc>
          <w:tcPr>
            <w:tcW w:w="937" w:type="dxa"/>
          </w:tcPr>
          <w:p w14:paraId="61477AE8" w14:textId="69AE7EAB" w:rsidR="00125BE1" w:rsidRPr="00125BE1" w:rsidRDefault="00125BE1" w:rsidP="00125BE1">
            <w:pPr>
              <w:rPr>
                <w:rFonts w:ascii="Times New Roman" w:eastAsia="Times New Roman" w:hAnsi="Times New Roman" w:cs="Times New Roman"/>
                <w:color w:val="000000"/>
                <w:lang w:eastAsia="bg-BG"/>
              </w:rPr>
            </w:pPr>
            <w:r w:rsidRPr="00125BE1">
              <w:t>&lt;1</w:t>
            </w:r>
          </w:p>
        </w:tc>
        <w:tc>
          <w:tcPr>
            <w:tcW w:w="1151" w:type="dxa"/>
          </w:tcPr>
          <w:p w14:paraId="0E42F2B5" w14:textId="663E4C3F" w:rsidR="00125BE1" w:rsidRPr="00125BE1" w:rsidRDefault="00125BE1" w:rsidP="00125BE1">
            <w:pPr>
              <w:rPr>
                <w:rFonts w:ascii="Times New Roman" w:eastAsia="Times New Roman" w:hAnsi="Times New Roman" w:cs="Times New Roman"/>
                <w:color w:val="000000"/>
                <w:lang w:eastAsia="bg-BG"/>
              </w:rPr>
            </w:pPr>
            <w:r w:rsidRPr="00125BE1">
              <w:t>69</w:t>
            </w:r>
          </w:p>
        </w:tc>
        <w:tc>
          <w:tcPr>
            <w:tcW w:w="940" w:type="dxa"/>
          </w:tcPr>
          <w:p w14:paraId="3965D26F" w14:textId="7EFFFCD3" w:rsidR="00125BE1" w:rsidRPr="00125BE1" w:rsidRDefault="00125BE1" w:rsidP="00125BE1">
            <w:pPr>
              <w:rPr>
                <w:rFonts w:ascii="Times New Roman" w:eastAsia="Times New Roman" w:hAnsi="Times New Roman" w:cs="Times New Roman"/>
                <w:color w:val="000000"/>
                <w:lang w:eastAsia="bg-BG"/>
              </w:rPr>
            </w:pPr>
            <w:r w:rsidRPr="00125BE1">
              <w:t>5</w:t>
            </w:r>
          </w:p>
        </w:tc>
        <w:tc>
          <w:tcPr>
            <w:tcW w:w="940" w:type="dxa"/>
          </w:tcPr>
          <w:p w14:paraId="1246CD82" w14:textId="3D933917"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4146BE42" w14:textId="54020CBC"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10ABF6AA" w14:textId="77777777" w:rsidTr="00125BE1">
        <w:tc>
          <w:tcPr>
            <w:tcW w:w="2190" w:type="dxa"/>
          </w:tcPr>
          <w:p w14:paraId="0C349E4C" w14:textId="5349F759" w:rsidR="00125BE1" w:rsidRDefault="00125BE1" w:rsidP="00125BE1">
            <w:pPr>
              <w:rPr>
                <w:rFonts w:ascii="Times New Roman" w:eastAsia="Times New Roman" w:hAnsi="Times New Roman" w:cs="Times New Roman"/>
                <w:color w:val="000000"/>
                <w:lang w:eastAsia="bg-BG"/>
              </w:rPr>
            </w:pPr>
            <w:r>
              <w:t>Сърбеж</w:t>
            </w:r>
          </w:p>
        </w:tc>
        <w:tc>
          <w:tcPr>
            <w:tcW w:w="1151" w:type="dxa"/>
          </w:tcPr>
          <w:p w14:paraId="59A96F26" w14:textId="57A2E0FB" w:rsidR="00125BE1" w:rsidRDefault="00125BE1" w:rsidP="00125BE1">
            <w:pPr>
              <w:rPr>
                <w:rFonts w:ascii="Times New Roman" w:eastAsia="Times New Roman" w:hAnsi="Times New Roman" w:cs="Times New Roman"/>
                <w:color w:val="000000"/>
                <w:lang w:eastAsia="bg-BG"/>
              </w:rPr>
            </w:pPr>
            <w:r>
              <w:t>13</w:t>
            </w:r>
          </w:p>
        </w:tc>
        <w:tc>
          <w:tcPr>
            <w:tcW w:w="940" w:type="dxa"/>
          </w:tcPr>
          <w:p w14:paraId="5419DEB8" w14:textId="6DAF58EB" w:rsidR="00125BE1" w:rsidRPr="00125BE1" w:rsidRDefault="00125BE1" w:rsidP="00125BE1">
            <w:pPr>
              <w:rPr>
                <w:rFonts w:ascii="Times New Roman" w:eastAsia="Times New Roman" w:hAnsi="Times New Roman" w:cs="Times New Roman"/>
                <w:color w:val="000000"/>
                <w:lang w:eastAsia="bg-BG"/>
              </w:rPr>
            </w:pPr>
            <w:r w:rsidRPr="00125BE1">
              <w:t>&lt;1</w:t>
            </w:r>
          </w:p>
        </w:tc>
        <w:tc>
          <w:tcPr>
            <w:tcW w:w="937" w:type="dxa"/>
          </w:tcPr>
          <w:p w14:paraId="7F82117B" w14:textId="7AF31A4A"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tcPr>
          <w:p w14:paraId="3BE59751" w14:textId="5B4490E0"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71EACD2C" w14:textId="7076D549"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57CE0D84" w14:textId="19E151A6" w:rsidR="00125BE1" w:rsidRPr="00125BE1" w:rsidRDefault="00125BE1" w:rsidP="00125BE1">
            <w:pPr>
              <w:rPr>
                <w:rFonts w:ascii="Times New Roman" w:eastAsia="Times New Roman" w:hAnsi="Times New Roman" w:cs="Times New Roman"/>
                <w:color w:val="000000"/>
                <w:lang w:eastAsia="bg-BG"/>
              </w:rPr>
            </w:pPr>
            <w:r w:rsidRPr="00125BE1">
              <w:t>-</w:t>
            </w:r>
          </w:p>
        </w:tc>
        <w:tc>
          <w:tcPr>
            <w:tcW w:w="1327" w:type="dxa"/>
          </w:tcPr>
          <w:p w14:paraId="16E95699" w14:textId="7406182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35D4C0C1" w14:textId="77777777" w:rsidTr="00125BE1">
        <w:tc>
          <w:tcPr>
            <w:tcW w:w="2190" w:type="dxa"/>
          </w:tcPr>
          <w:p w14:paraId="30228B62" w14:textId="1E9DDA3F" w:rsidR="00125BE1" w:rsidRDefault="00125BE1" w:rsidP="00125BE1">
            <w:pPr>
              <w:rPr>
                <w:rFonts w:ascii="Times New Roman" w:eastAsia="Times New Roman" w:hAnsi="Times New Roman" w:cs="Times New Roman"/>
                <w:color w:val="000000"/>
                <w:lang w:eastAsia="bg-BG"/>
              </w:rPr>
            </w:pPr>
            <w:r>
              <w:t>Суха кожа</w:t>
            </w:r>
          </w:p>
        </w:tc>
        <w:tc>
          <w:tcPr>
            <w:tcW w:w="1151" w:type="dxa"/>
          </w:tcPr>
          <w:p w14:paraId="384A0E36" w14:textId="28CA6D4B" w:rsidR="00125BE1" w:rsidRDefault="00125BE1" w:rsidP="00125BE1">
            <w:pPr>
              <w:rPr>
                <w:rFonts w:ascii="Times New Roman" w:eastAsia="Times New Roman" w:hAnsi="Times New Roman" w:cs="Times New Roman"/>
                <w:color w:val="000000"/>
                <w:lang w:eastAsia="bg-BG"/>
              </w:rPr>
            </w:pPr>
            <w:r>
              <w:t>12</w:t>
            </w:r>
          </w:p>
        </w:tc>
        <w:tc>
          <w:tcPr>
            <w:tcW w:w="940" w:type="dxa"/>
          </w:tcPr>
          <w:p w14:paraId="0C0FFEC5" w14:textId="28D9A1FB" w:rsidR="00125BE1" w:rsidRPr="00125BE1" w:rsidRDefault="00125BE1" w:rsidP="00125BE1">
            <w:pPr>
              <w:rPr>
                <w:rFonts w:ascii="Times New Roman" w:eastAsia="Times New Roman" w:hAnsi="Times New Roman" w:cs="Times New Roman"/>
                <w:color w:val="000000"/>
                <w:lang w:eastAsia="bg-BG"/>
              </w:rPr>
            </w:pPr>
            <w:r w:rsidRPr="00125BE1">
              <w:t>0</w:t>
            </w:r>
          </w:p>
        </w:tc>
        <w:tc>
          <w:tcPr>
            <w:tcW w:w="937" w:type="dxa"/>
          </w:tcPr>
          <w:p w14:paraId="5CAD742D" w14:textId="4027DFF1"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tcPr>
          <w:p w14:paraId="054ECD6D" w14:textId="54C6FE83"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3B2B715D" w14:textId="711EB8E2"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0CA8E16B" w14:textId="42A7B960" w:rsidR="00125BE1" w:rsidRPr="00125BE1" w:rsidRDefault="00125BE1" w:rsidP="00125BE1">
            <w:pPr>
              <w:rPr>
                <w:rFonts w:ascii="Times New Roman" w:eastAsia="Times New Roman" w:hAnsi="Times New Roman" w:cs="Times New Roman"/>
                <w:color w:val="000000"/>
                <w:lang w:eastAsia="bg-BG"/>
              </w:rPr>
            </w:pPr>
            <w:r w:rsidRPr="00125BE1">
              <w:t>-</w:t>
            </w:r>
          </w:p>
        </w:tc>
        <w:tc>
          <w:tcPr>
            <w:tcW w:w="1327" w:type="dxa"/>
          </w:tcPr>
          <w:p w14:paraId="45DC772D" w14:textId="377F7AB5"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0647762B" w14:textId="77777777" w:rsidTr="00125BE1">
        <w:tc>
          <w:tcPr>
            <w:tcW w:w="2190" w:type="dxa"/>
          </w:tcPr>
          <w:p w14:paraId="3DF389ED" w14:textId="78CF97E1" w:rsidR="00125BE1" w:rsidRDefault="00125BE1" w:rsidP="00125BE1">
            <w:pPr>
              <w:rPr>
                <w:rFonts w:ascii="Times New Roman" w:eastAsia="Times New Roman" w:hAnsi="Times New Roman" w:cs="Times New Roman"/>
                <w:color w:val="000000"/>
                <w:lang w:eastAsia="bg-BG"/>
              </w:rPr>
            </w:pPr>
            <w:r>
              <w:t>Алопеция</w:t>
            </w:r>
          </w:p>
        </w:tc>
        <w:tc>
          <w:tcPr>
            <w:tcW w:w="1151" w:type="dxa"/>
          </w:tcPr>
          <w:p w14:paraId="42FF0C75" w14:textId="4F029770" w:rsidR="00125BE1" w:rsidRDefault="00125BE1" w:rsidP="00125BE1">
            <w:pPr>
              <w:rPr>
                <w:rFonts w:ascii="Times New Roman" w:eastAsia="Times New Roman" w:hAnsi="Times New Roman" w:cs="Times New Roman"/>
                <w:color w:val="000000"/>
                <w:lang w:eastAsia="bg-BG"/>
              </w:rPr>
            </w:pPr>
            <w:r>
              <w:t>-</w:t>
            </w:r>
          </w:p>
        </w:tc>
        <w:tc>
          <w:tcPr>
            <w:tcW w:w="940" w:type="dxa"/>
          </w:tcPr>
          <w:p w14:paraId="4D8DC9A8" w14:textId="30933BA2"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tcPr>
          <w:p w14:paraId="537E141D" w14:textId="1B639371" w:rsidR="00125BE1" w:rsidRPr="00125BE1" w:rsidRDefault="00125BE1" w:rsidP="00125BE1">
            <w:pPr>
              <w:rPr>
                <w:rFonts w:ascii="Times New Roman" w:eastAsia="Times New Roman" w:hAnsi="Times New Roman" w:cs="Times New Roman"/>
                <w:color w:val="000000"/>
                <w:lang w:eastAsia="bg-BG"/>
              </w:rPr>
            </w:pPr>
            <w:r w:rsidRPr="00125BE1">
              <w:t>-</w:t>
            </w:r>
          </w:p>
        </w:tc>
        <w:tc>
          <w:tcPr>
            <w:tcW w:w="1151" w:type="dxa"/>
          </w:tcPr>
          <w:p w14:paraId="26D66D76" w14:textId="561C0481" w:rsidR="00125BE1" w:rsidRPr="00125BE1" w:rsidRDefault="00125BE1" w:rsidP="00125BE1">
            <w:pPr>
              <w:rPr>
                <w:rFonts w:ascii="Times New Roman" w:eastAsia="Times New Roman" w:hAnsi="Times New Roman" w:cs="Times New Roman"/>
                <w:color w:val="000000"/>
                <w:lang w:eastAsia="bg-BG"/>
              </w:rPr>
            </w:pPr>
            <w:r w:rsidRPr="00125BE1">
              <w:t>14</w:t>
            </w:r>
          </w:p>
        </w:tc>
        <w:tc>
          <w:tcPr>
            <w:tcW w:w="940" w:type="dxa"/>
          </w:tcPr>
          <w:p w14:paraId="0B3201F1" w14:textId="0BE5BA62" w:rsidR="00125BE1" w:rsidRPr="00125BE1" w:rsidRDefault="00125BE1" w:rsidP="00125BE1">
            <w:pPr>
              <w:rPr>
                <w:rFonts w:ascii="Times New Roman" w:eastAsia="Times New Roman" w:hAnsi="Times New Roman" w:cs="Times New Roman"/>
                <w:color w:val="000000"/>
                <w:lang w:eastAsia="bg-BG"/>
              </w:rPr>
            </w:pPr>
            <w:r w:rsidRPr="00125BE1">
              <w:t>0</w:t>
            </w:r>
          </w:p>
        </w:tc>
        <w:tc>
          <w:tcPr>
            <w:tcW w:w="940" w:type="dxa"/>
          </w:tcPr>
          <w:p w14:paraId="18812543" w14:textId="072BFC33"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2D7F4359" w14:textId="3D76E5A7"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56162C66" w14:textId="77777777" w:rsidTr="000A506C">
        <w:tc>
          <w:tcPr>
            <w:tcW w:w="9576" w:type="dxa"/>
            <w:gridSpan w:val="8"/>
          </w:tcPr>
          <w:p w14:paraId="7D08CFBB" w14:textId="522C25C4" w:rsidR="00125BE1" w:rsidRPr="00125BE1" w:rsidRDefault="00125BE1" w:rsidP="00125BE1">
            <w:pPr>
              <w:rPr>
                <w:rFonts w:ascii="Times New Roman" w:eastAsia="Times New Roman" w:hAnsi="Times New Roman" w:cs="Times New Roman"/>
                <w:color w:val="000000"/>
                <w:lang w:eastAsia="bg-BG"/>
              </w:rPr>
            </w:pPr>
            <w:r>
              <w:rPr>
                <w:i/>
                <w:iCs/>
              </w:rPr>
              <w:t>Общи нарушения и ефекти на мястото на приложение</w:t>
            </w:r>
          </w:p>
        </w:tc>
      </w:tr>
      <w:tr w:rsidR="00125BE1" w14:paraId="1A0C030F" w14:textId="77777777" w:rsidTr="00125BE1">
        <w:tc>
          <w:tcPr>
            <w:tcW w:w="2190" w:type="dxa"/>
          </w:tcPr>
          <w:p w14:paraId="2BB21B73" w14:textId="74A88A67" w:rsidR="00125BE1" w:rsidRDefault="00125BE1" w:rsidP="00125BE1">
            <w:pPr>
              <w:rPr>
                <w:rFonts w:ascii="Times New Roman" w:eastAsia="Times New Roman" w:hAnsi="Times New Roman" w:cs="Times New Roman"/>
                <w:color w:val="000000"/>
                <w:lang w:eastAsia="bg-BG"/>
              </w:rPr>
            </w:pPr>
            <w:r>
              <w:t>Умора</w:t>
            </w:r>
          </w:p>
        </w:tc>
        <w:tc>
          <w:tcPr>
            <w:tcW w:w="1151" w:type="dxa"/>
          </w:tcPr>
          <w:p w14:paraId="6AD3CECF" w14:textId="00D2985E" w:rsidR="00125BE1" w:rsidRDefault="00125BE1" w:rsidP="00125BE1">
            <w:pPr>
              <w:rPr>
                <w:rFonts w:ascii="Times New Roman" w:eastAsia="Times New Roman" w:hAnsi="Times New Roman" w:cs="Times New Roman"/>
                <w:color w:val="000000"/>
                <w:lang w:eastAsia="bg-BG"/>
              </w:rPr>
            </w:pPr>
            <w:r>
              <w:t>52</w:t>
            </w:r>
          </w:p>
        </w:tc>
        <w:tc>
          <w:tcPr>
            <w:tcW w:w="940" w:type="dxa"/>
          </w:tcPr>
          <w:p w14:paraId="5AB1D8B4" w14:textId="15550931" w:rsidR="00125BE1" w:rsidRPr="00125BE1" w:rsidRDefault="00125BE1" w:rsidP="00125BE1">
            <w:pPr>
              <w:rPr>
                <w:rFonts w:ascii="Times New Roman" w:eastAsia="Times New Roman" w:hAnsi="Times New Roman" w:cs="Times New Roman"/>
                <w:color w:val="000000"/>
                <w:lang w:eastAsia="bg-BG"/>
              </w:rPr>
            </w:pPr>
            <w:r w:rsidRPr="00125BE1">
              <w:t>14</w:t>
            </w:r>
          </w:p>
        </w:tc>
        <w:tc>
          <w:tcPr>
            <w:tcW w:w="937" w:type="dxa"/>
          </w:tcPr>
          <w:p w14:paraId="73D354D1" w14:textId="7A4E6840" w:rsidR="00125BE1" w:rsidRPr="00125BE1" w:rsidRDefault="00125BE1" w:rsidP="00125BE1">
            <w:pPr>
              <w:rPr>
                <w:rFonts w:ascii="Times New Roman" w:eastAsia="Times New Roman" w:hAnsi="Times New Roman" w:cs="Times New Roman"/>
                <w:color w:val="000000"/>
                <w:lang w:eastAsia="bg-BG"/>
              </w:rPr>
            </w:pPr>
            <w:r w:rsidRPr="00125BE1">
              <w:t>4</w:t>
            </w:r>
          </w:p>
        </w:tc>
        <w:tc>
          <w:tcPr>
            <w:tcW w:w="1151" w:type="dxa"/>
          </w:tcPr>
          <w:p w14:paraId="0D69D78E" w14:textId="2D025C15" w:rsidR="00125BE1" w:rsidRPr="00125BE1" w:rsidRDefault="00125BE1" w:rsidP="00125BE1">
            <w:pPr>
              <w:rPr>
                <w:rFonts w:ascii="Times New Roman" w:eastAsia="Times New Roman" w:hAnsi="Times New Roman" w:cs="Times New Roman"/>
                <w:color w:val="000000"/>
                <w:lang w:eastAsia="bg-BG"/>
              </w:rPr>
            </w:pPr>
            <w:r w:rsidRPr="00125BE1">
              <w:t>73</w:t>
            </w:r>
          </w:p>
        </w:tc>
        <w:tc>
          <w:tcPr>
            <w:tcW w:w="940" w:type="dxa"/>
          </w:tcPr>
          <w:p w14:paraId="307F1F5B" w14:textId="4E935CC8" w:rsidR="00125BE1" w:rsidRPr="00125BE1" w:rsidRDefault="00125BE1" w:rsidP="00125BE1">
            <w:pPr>
              <w:rPr>
                <w:rFonts w:ascii="Times New Roman" w:eastAsia="Times New Roman" w:hAnsi="Times New Roman" w:cs="Times New Roman"/>
                <w:color w:val="000000"/>
                <w:lang w:eastAsia="bg-BG"/>
              </w:rPr>
            </w:pPr>
            <w:r w:rsidRPr="00125BE1">
              <w:t>14</w:t>
            </w:r>
          </w:p>
        </w:tc>
        <w:tc>
          <w:tcPr>
            <w:tcW w:w="940" w:type="dxa"/>
          </w:tcPr>
          <w:p w14:paraId="17E2A573" w14:textId="065B459E" w:rsidR="00125BE1" w:rsidRPr="00125BE1" w:rsidRDefault="00125BE1" w:rsidP="00125BE1">
            <w:pPr>
              <w:rPr>
                <w:rFonts w:ascii="Times New Roman" w:eastAsia="Times New Roman" w:hAnsi="Times New Roman" w:cs="Times New Roman"/>
                <w:color w:val="000000"/>
                <w:lang w:eastAsia="bg-BG"/>
              </w:rPr>
            </w:pPr>
            <w:r w:rsidRPr="00125BE1">
              <w:t>2</w:t>
            </w:r>
          </w:p>
        </w:tc>
        <w:tc>
          <w:tcPr>
            <w:tcW w:w="1327" w:type="dxa"/>
          </w:tcPr>
          <w:p w14:paraId="6CF1F9E0" w14:textId="768A7385"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233330CD" w14:textId="77777777" w:rsidTr="00125BE1">
        <w:tc>
          <w:tcPr>
            <w:tcW w:w="2190" w:type="dxa"/>
          </w:tcPr>
          <w:p w14:paraId="59DE1384" w14:textId="2A2C06DF" w:rsidR="00125BE1" w:rsidRDefault="00125BE1" w:rsidP="00125BE1">
            <w:pPr>
              <w:rPr>
                <w:rFonts w:ascii="Times New Roman" w:eastAsia="Times New Roman" w:hAnsi="Times New Roman" w:cs="Times New Roman"/>
                <w:color w:val="000000"/>
                <w:lang w:eastAsia="bg-BG"/>
              </w:rPr>
            </w:pPr>
            <w:r>
              <w:t>Пирексия</w:t>
            </w:r>
          </w:p>
        </w:tc>
        <w:tc>
          <w:tcPr>
            <w:tcW w:w="1151" w:type="dxa"/>
          </w:tcPr>
          <w:p w14:paraId="379F8A37" w14:textId="76105FBE" w:rsidR="00125BE1" w:rsidRDefault="00125BE1" w:rsidP="00125BE1">
            <w:pPr>
              <w:rPr>
                <w:rFonts w:ascii="Times New Roman" w:eastAsia="Times New Roman" w:hAnsi="Times New Roman" w:cs="Times New Roman"/>
                <w:color w:val="000000"/>
                <w:lang w:eastAsia="bg-BG"/>
              </w:rPr>
            </w:pPr>
            <w:r>
              <w:t>-</w:t>
            </w:r>
          </w:p>
        </w:tc>
        <w:tc>
          <w:tcPr>
            <w:tcW w:w="940" w:type="dxa"/>
          </w:tcPr>
          <w:p w14:paraId="7E8642F5" w14:textId="387EAD34"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tcPr>
          <w:p w14:paraId="7FC3AF2E" w14:textId="6EC76F57" w:rsidR="00125BE1" w:rsidRPr="00125BE1" w:rsidRDefault="00125BE1" w:rsidP="00125BE1">
            <w:pPr>
              <w:rPr>
                <w:rFonts w:ascii="Times New Roman" w:eastAsia="Times New Roman" w:hAnsi="Times New Roman" w:cs="Times New Roman"/>
                <w:color w:val="000000"/>
                <w:lang w:eastAsia="bg-BG"/>
              </w:rPr>
            </w:pPr>
            <w:r w:rsidRPr="00125BE1">
              <w:t>-</w:t>
            </w:r>
          </w:p>
        </w:tc>
        <w:tc>
          <w:tcPr>
            <w:tcW w:w="1151" w:type="dxa"/>
          </w:tcPr>
          <w:p w14:paraId="1124736C" w14:textId="7407596F" w:rsidR="00125BE1" w:rsidRPr="00125BE1" w:rsidRDefault="00125BE1" w:rsidP="00125BE1">
            <w:pPr>
              <w:rPr>
                <w:rFonts w:ascii="Times New Roman" w:eastAsia="Times New Roman" w:hAnsi="Times New Roman" w:cs="Times New Roman"/>
                <w:color w:val="000000"/>
                <w:lang w:eastAsia="bg-BG"/>
              </w:rPr>
            </w:pPr>
            <w:r w:rsidRPr="00125BE1">
              <w:t>36</w:t>
            </w:r>
          </w:p>
        </w:tc>
        <w:tc>
          <w:tcPr>
            <w:tcW w:w="940" w:type="dxa"/>
          </w:tcPr>
          <w:p w14:paraId="3E6CA584" w14:textId="58FEE8D7" w:rsidR="00125BE1" w:rsidRPr="00125BE1" w:rsidRDefault="00125BE1" w:rsidP="00125BE1">
            <w:pPr>
              <w:rPr>
                <w:rFonts w:ascii="Times New Roman" w:eastAsia="Times New Roman" w:hAnsi="Times New Roman" w:cs="Times New Roman"/>
                <w:color w:val="000000"/>
                <w:lang w:eastAsia="bg-BG"/>
              </w:rPr>
            </w:pPr>
            <w:r w:rsidRPr="00125BE1">
              <w:t>3</w:t>
            </w:r>
          </w:p>
        </w:tc>
        <w:tc>
          <w:tcPr>
            <w:tcW w:w="940" w:type="dxa"/>
          </w:tcPr>
          <w:p w14:paraId="69168407" w14:textId="46376123"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1FD400E6" w14:textId="55965E2B"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6647F871" w14:textId="77777777" w:rsidTr="00125BE1">
        <w:tc>
          <w:tcPr>
            <w:tcW w:w="2190" w:type="dxa"/>
          </w:tcPr>
          <w:p w14:paraId="7DE3F99E" w14:textId="6D35F358" w:rsidR="00125BE1" w:rsidRDefault="00125BE1" w:rsidP="00125BE1">
            <w:pPr>
              <w:rPr>
                <w:rFonts w:ascii="Times New Roman" w:eastAsia="Times New Roman" w:hAnsi="Times New Roman" w:cs="Times New Roman"/>
                <w:color w:val="000000"/>
                <w:lang w:eastAsia="bg-BG"/>
              </w:rPr>
            </w:pPr>
            <w:r>
              <w:t>Втрисане</w:t>
            </w:r>
          </w:p>
        </w:tc>
        <w:tc>
          <w:tcPr>
            <w:tcW w:w="1151" w:type="dxa"/>
          </w:tcPr>
          <w:p w14:paraId="2DEC17BD" w14:textId="49C56E2E" w:rsidR="00125BE1" w:rsidRDefault="00125BE1" w:rsidP="00125BE1">
            <w:pPr>
              <w:rPr>
                <w:rFonts w:ascii="Times New Roman" w:eastAsia="Times New Roman" w:hAnsi="Times New Roman" w:cs="Times New Roman"/>
                <w:color w:val="000000"/>
                <w:lang w:eastAsia="bg-BG"/>
              </w:rPr>
            </w:pPr>
            <w:r>
              <w:t>-</w:t>
            </w:r>
          </w:p>
        </w:tc>
        <w:tc>
          <w:tcPr>
            <w:tcW w:w="940" w:type="dxa"/>
          </w:tcPr>
          <w:p w14:paraId="55577285" w14:textId="04A78B64"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tcPr>
          <w:p w14:paraId="16D12F63" w14:textId="2A9B20CB" w:rsidR="00125BE1" w:rsidRPr="00125BE1" w:rsidRDefault="00125BE1" w:rsidP="00125BE1">
            <w:pPr>
              <w:rPr>
                <w:rFonts w:ascii="Times New Roman" w:eastAsia="Times New Roman" w:hAnsi="Times New Roman" w:cs="Times New Roman"/>
                <w:color w:val="000000"/>
                <w:lang w:eastAsia="bg-BG"/>
              </w:rPr>
            </w:pPr>
            <w:r w:rsidRPr="00125BE1">
              <w:t>-</w:t>
            </w:r>
          </w:p>
        </w:tc>
        <w:tc>
          <w:tcPr>
            <w:tcW w:w="1151" w:type="dxa"/>
          </w:tcPr>
          <w:p w14:paraId="72139EFC" w14:textId="1C45DEB2" w:rsidR="00125BE1" w:rsidRPr="00125BE1" w:rsidRDefault="00125BE1" w:rsidP="00125BE1">
            <w:pPr>
              <w:rPr>
                <w:rFonts w:ascii="Times New Roman" w:eastAsia="Times New Roman" w:hAnsi="Times New Roman" w:cs="Times New Roman"/>
                <w:color w:val="000000"/>
                <w:lang w:eastAsia="bg-BG"/>
              </w:rPr>
            </w:pPr>
            <w:r w:rsidRPr="00125BE1">
              <w:t>12</w:t>
            </w:r>
          </w:p>
        </w:tc>
        <w:tc>
          <w:tcPr>
            <w:tcW w:w="940" w:type="dxa"/>
          </w:tcPr>
          <w:p w14:paraId="75C72853" w14:textId="3F7D0910" w:rsidR="00125BE1" w:rsidRPr="00125BE1" w:rsidRDefault="00125BE1" w:rsidP="00125BE1">
            <w:pPr>
              <w:rPr>
                <w:rFonts w:ascii="Times New Roman" w:eastAsia="Times New Roman" w:hAnsi="Times New Roman" w:cs="Times New Roman"/>
                <w:color w:val="000000"/>
                <w:lang w:eastAsia="bg-BG"/>
              </w:rPr>
            </w:pPr>
            <w:r w:rsidRPr="00125BE1">
              <w:t>0</w:t>
            </w:r>
          </w:p>
        </w:tc>
        <w:tc>
          <w:tcPr>
            <w:tcW w:w="940" w:type="dxa"/>
          </w:tcPr>
          <w:p w14:paraId="7462DEE0" w14:textId="3AD17FB5"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100D38C8" w14:textId="121D14E1"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bl>
    <w:p w14:paraId="672EC6F1" w14:textId="052012E5"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*Тежките инфекции, със или без неутропения, включват пневмония, сепсис и целулит.</w:t>
      </w:r>
    </w:p>
    <w:p w14:paraId="0892EFA9" w14:textId="3A8190C4"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 Може да доведе до дехидратация, хипокалиемия и бъбречна недостатъчност.</w:t>
      </w:r>
    </w:p>
    <w:p w14:paraId="0800CD49" w14:textId="70F823A2"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 Обривът включва акнеиформен дерматит</w:t>
      </w:r>
    </w:p>
    <w:p w14:paraId="21D0276A" w14:textId="0FD4501A" w:rsidR="00125BE1" w:rsidRPr="00125BE1" w:rsidRDefault="00125BE1" w:rsidP="00125BE1">
      <w:pPr>
        <w:pStyle w:val="ListParagraph"/>
        <w:numPr>
          <w:ilvl w:val="0"/>
          <w:numId w:val="37"/>
        </w:numPr>
        <w:spacing w:line="240" w:lineRule="auto"/>
        <w:rPr>
          <w:rFonts w:eastAsia="Times New Roman" w:cs="Arial"/>
          <w:sz w:val="24"/>
          <w:szCs w:val="24"/>
        </w:rPr>
      </w:pPr>
      <w:r w:rsidRPr="00125BE1">
        <w:rPr>
          <w:rFonts w:eastAsia="Times New Roman" w:cs="Arial"/>
          <w:color w:val="000000"/>
          <w:lang w:eastAsia="bg-BG"/>
        </w:rPr>
        <w:t>Съответства на процент под прага</w:t>
      </w:r>
    </w:p>
    <w:p w14:paraId="048C5215" w14:textId="77777777" w:rsidR="00125BE1" w:rsidRPr="00125BE1" w:rsidRDefault="00125BE1" w:rsidP="00125BE1">
      <w:pPr>
        <w:spacing w:line="240" w:lineRule="auto"/>
        <w:rPr>
          <w:rFonts w:eastAsia="Times New Roman" w:cs="Arial"/>
          <w:color w:val="000000"/>
          <w:lang w:eastAsia="bg-BG"/>
        </w:rPr>
      </w:pPr>
    </w:p>
    <w:p w14:paraId="4984C255" w14:textId="706F9AA3" w:rsidR="00125BE1" w:rsidRPr="00125BE1" w:rsidRDefault="00125BE1" w:rsidP="00125BE1">
      <w:pPr>
        <w:spacing w:line="240" w:lineRule="auto"/>
        <w:rPr>
          <w:rFonts w:ascii="Times New Roman" w:eastAsia="Times New Roman" w:hAnsi="Times New Roman" w:cs="Times New Roman"/>
          <w:sz w:val="24"/>
          <w:szCs w:val="24"/>
        </w:rPr>
      </w:pPr>
      <w:r w:rsidRPr="00125BE1">
        <w:rPr>
          <w:rFonts w:eastAsia="Times New Roman" w:cs="Arial"/>
          <w:color w:val="000000"/>
          <w:lang w:eastAsia="bg-BG"/>
        </w:rPr>
        <w:t>Таблица 2: Обобщение на НЛР по честота:</w:t>
      </w:r>
    </w:p>
    <w:tbl>
      <w:tblPr>
        <w:tblStyle w:val="TableGrid"/>
        <w:tblW w:w="0" w:type="auto"/>
        <w:tblLook w:val="04A0" w:firstRow="1" w:lastRow="0" w:firstColumn="1" w:lastColumn="0" w:noHBand="0" w:noVBand="1"/>
      </w:tblPr>
      <w:tblGrid>
        <w:gridCol w:w="1557"/>
        <w:gridCol w:w="1534"/>
        <w:gridCol w:w="1655"/>
        <w:gridCol w:w="1816"/>
        <w:gridCol w:w="1373"/>
        <w:gridCol w:w="1415"/>
      </w:tblGrid>
      <w:tr w:rsidR="00125BE1" w14:paraId="2F59C744" w14:textId="77777777" w:rsidTr="00125BE1">
        <w:tc>
          <w:tcPr>
            <w:tcW w:w="1594" w:type="dxa"/>
          </w:tcPr>
          <w:p w14:paraId="218A12F7" w14:textId="46081588" w:rsidR="00125BE1" w:rsidRPr="00125BE1" w:rsidRDefault="00125BE1" w:rsidP="00125BE1">
            <w:pPr>
              <w:rPr>
                <w:rFonts w:eastAsia="Times New Roman" w:cs="Arial"/>
                <w:color w:val="000000"/>
                <w:lang w:eastAsia="bg-BG"/>
              </w:rPr>
            </w:pPr>
            <w:r w:rsidRPr="00125BE1">
              <w:rPr>
                <w:rFonts w:cs="Arial"/>
                <w:b/>
                <w:bCs/>
              </w:rPr>
              <w:t>Телесна система</w:t>
            </w:r>
          </w:p>
        </w:tc>
        <w:tc>
          <w:tcPr>
            <w:tcW w:w="1571" w:type="dxa"/>
          </w:tcPr>
          <w:p w14:paraId="49065044" w14:textId="3F2ECCCF" w:rsidR="00125BE1" w:rsidRPr="00125BE1" w:rsidRDefault="00125BE1" w:rsidP="00125BE1">
            <w:pPr>
              <w:rPr>
                <w:rFonts w:eastAsia="Times New Roman" w:cs="Arial"/>
                <w:color w:val="000000"/>
                <w:lang w:eastAsia="bg-BG"/>
              </w:rPr>
            </w:pPr>
            <w:r w:rsidRPr="00125BE1">
              <w:rPr>
                <w:rFonts w:cs="Arial"/>
                <w:b/>
                <w:bCs/>
              </w:rPr>
              <w:t>Много чести (≥1/10)</w:t>
            </w:r>
          </w:p>
        </w:tc>
        <w:tc>
          <w:tcPr>
            <w:tcW w:w="1695" w:type="dxa"/>
          </w:tcPr>
          <w:p w14:paraId="124225EF" w14:textId="01740934" w:rsidR="00125BE1" w:rsidRPr="00125BE1" w:rsidRDefault="00125BE1" w:rsidP="00125BE1">
            <w:pPr>
              <w:rPr>
                <w:rFonts w:eastAsia="Times New Roman" w:cs="Arial"/>
                <w:color w:val="000000"/>
                <w:lang w:eastAsia="bg-BG"/>
              </w:rPr>
            </w:pPr>
            <w:r w:rsidRPr="00125BE1">
              <w:rPr>
                <w:rFonts w:cs="Arial"/>
                <w:b/>
                <w:bCs/>
              </w:rPr>
              <w:t>Чести (≥1/100 до &lt;1/10)</w:t>
            </w:r>
          </w:p>
        </w:tc>
        <w:tc>
          <w:tcPr>
            <w:tcW w:w="1861" w:type="dxa"/>
          </w:tcPr>
          <w:p w14:paraId="0EB60484" w14:textId="5B91C7DC" w:rsidR="00125BE1" w:rsidRPr="00125BE1" w:rsidRDefault="00125BE1" w:rsidP="00125BE1">
            <w:pPr>
              <w:rPr>
                <w:rFonts w:eastAsia="Times New Roman" w:cs="Arial"/>
                <w:color w:val="000000"/>
                <w:lang w:eastAsia="bg-BG"/>
              </w:rPr>
            </w:pPr>
            <w:r w:rsidRPr="00125BE1">
              <w:rPr>
                <w:rFonts w:cs="Arial"/>
                <w:b/>
                <w:bCs/>
              </w:rPr>
              <w:t>Нечести (≥1/1000 до &lt;1/100)</w:t>
            </w:r>
          </w:p>
        </w:tc>
        <w:tc>
          <w:tcPr>
            <w:tcW w:w="1406" w:type="dxa"/>
          </w:tcPr>
          <w:p w14:paraId="77D7E263" w14:textId="02AD3711" w:rsidR="00125BE1" w:rsidRPr="00125BE1" w:rsidRDefault="00125BE1" w:rsidP="00125BE1">
            <w:pPr>
              <w:rPr>
                <w:rFonts w:eastAsia="Times New Roman" w:cs="Arial"/>
                <w:color w:val="000000"/>
                <w:lang w:eastAsia="bg-BG"/>
              </w:rPr>
            </w:pPr>
            <w:r w:rsidRPr="00125BE1">
              <w:rPr>
                <w:rFonts w:cs="Arial"/>
                <w:b/>
                <w:bCs/>
              </w:rPr>
              <w:t>Редки (≥1/10 000 до &lt;1/1000)</w:t>
            </w:r>
          </w:p>
        </w:tc>
        <w:tc>
          <w:tcPr>
            <w:tcW w:w="1449" w:type="dxa"/>
          </w:tcPr>
          <w:p w14:paraId="3014F723" w14:textId="4A263495" w:rsidR="00125BE1" w:rsidRPr="00125BE1" w:rsidRDefault="00125BE1" w:rsidP="00125BE1">
            <w:pPr>
              <w:rPr>
                <w:rFonts w:eastAsia="Times New Roman" w:cs="Arial"/>
                <w:color w:val="000000"/>
                <w:lang w:eastAsia="bg-BG"/>
              </w:rPr>
            </w:pPr>
            <w:r w:rsidRPr="00125BE1">
              <w:rPr>
                <w:rFonts w:cs="Arial"/>
                <w:b/>
                <w:bCs/>
              </w:rPr>
              <w:t>Много редки (&lt;1/10 000)</w:t>
            </w:r>
          </w:p>
        </w:tc>
      </w:tr>
      <w:tr w:rsidR="00125BE1" w14:paraId="638C92AA" w14:textId="77777777" w:rsidTr="00125BE1">
        <w:tc>
          <w:tcPr>
            <w:tcW w:w="1594" w:type="dxa"/>
          </w:tcPr>
          <w:p w14:paraId="223E5578" w14:textId="36BC14D2" w:rsidR="00125BE1" w:rsidRPr="00125BE1" w:rsidRDefault="00125BE1" w:rsidP="00125BE1">
            <w:pPr>
              <w:rPr>
                <w:rFonts w:eastAsia="Times New Roman" w:cs="Arial"/>
                <w:color w:val="000000"/>
                <w:lang w:eastAsia="bg-BG"/>
              </w:rPr>
            </w:pPr>
            <w:r w:rsidRPr="00125BE1">
              <w:rPr>
                <w:rFonts w:cs="Arial"/>
              </w:rPr>
              <w:t>Нарушения на очите</w:t>
            </w:r>
          </w:p>
        </w:tc>
        <w:tc>
          <w:tcPr>
            <w:tcW w:w="1571" w:type="dxa"/>
          </w:tcPr>
          <w:p w14:paraId="4C61A74C" w14:textId="77777777" w:rsidR="00125BE1" w:rsidRPr="00125BE1" w:rsidRDefault="00125BE1" w:rsidP="00125BE1">
            <w:pPr>
              <w:rPr>
                <w:rFonts w:eastAsia="Times New Roman" w:cs="Arial"/>
                <w:color w:val="000000"/>
                <w:lang w:eastAsia="bg-BG"/>
              </w:rPr>
            </w:pPr>
          </w:p>
        </w:tc>
        <w:tc>
          <w:tcPr>
            <w:tcW w:w="1695" w:type="dxa"/>
          </w:tcPr>
          <w:p w14:paraId="68777ADA" w14:textId="77777777" w:rsidR="00125BE1" w:rsidRPr="00125BE1" w:rsidRDefault="00125BE1" w:rsidP="00125BE1">
            <w:pPr>
              <w:rPr>
                <w:rFonts w:cs="Arial"/>
              </w:rPr>
            </w:pPr>
            <w:r w:rsidRPr="00125BE1">
              <w:rPr>
                <w:rFonts w:cs="Arial"/>
              </w:rPr>
              <w:t>-Кератит</w:t>
            </w:r>
          </w:p>
          <w:p w14:paraId="595BEC1E" w14:textId="4AB0F0BC" w:rsidR="00125BE1" w:rsidRPr="00125BE1" w:rsidRDefault="00125BE1" w:rsidP="00125BE1">
            <w:pPr>
              <w:rPr>
                <w:rFonts w:eastAsia="Times New Roman" w:cs="Arial"/>
                <w:color w:val="000000"/>
                <w:lang w:eastAsia="bg-BG"/>
              </w:rPr>
            </w:pPr>
            <w:r w:rsidRPr="00125BE1">
              <w:rPr>
                <w:rFonts w:cs="Arial"/>
              </w:rPr>
              <w:t>-Конюнктивит</w:t>
            </w:r>
            <w:r w:rsidRPr="00125BE1">
              <w:rPr>
                <w:rFonts w:cs="Arial"/>
                <w:vertAlign w:val="superscript"/>
              </w:rPr>
              <w:t>1</w:t>
            </w:r>
          </w:p>
        </w:tc>
        <w:tc>
          <w:tcPr>
            <w:tcW w:w="1861" w:type="dxa"/>
          </w:tcPr>
          <w:p w14:paraId="367E2F1D" w14:textId="01103996" w:rsidR="00125BE1" w:rsidRPr="00125BE1" w:rsidRDefault="00125BE1" w:rsidP="00125BE1">
            <w:pPr>
              <w:rPr>
                <w:rFonts w:eastAsia="Times New Roman" w:cs="Arial"/>
                <w:color w:val="000000"/>
                <w:lang w:eastAsia="bg-BG"/>
              </w:rPr>
            </w:pPr>
            <w:r w:rsidRPr="00125BE1">
              <w:rPr>
                <w:rFonts w:cs="Arial"/>
              </w:rPr>
              <w:t>-Промени на миглите</w:t>
            </w:r>
            <w:r w:rsidRPr="00125BE1">
              <w:rPr>
                <w:rFonts w:cs="Arial"/>
                <w:vertAlign w:val="superscript"/>
              </w:rPr>
              <w:t>2</w:t>
            </w:r>
          </w:p>
        </w:tc>
        <w:tc>
          <w:tcPr>
            <w:tcW w:w="1406" w:type="dxa"/>
          </w:tcPr>
          <w:p w14:paraId="21E23AD0" w14:textId="77777777" w:rsidR="00125BE1" w:rsidRPr="00125BE1" w:rsidRDefault="00125BE1" w:rsidP="00125BE1">
            <w:pPr>
              <w:rPr>
                <w:rFonts w:eastAsia="Times New Roman" w:cs="Arial"/>
                <w:color w:val="000000"/>
                <w:lang w:eastAsia="bg-BG"/>
              </w:rPr>
            </w:pPr>
          </w:p>
        </w:tc>
        <w:tc>
          <w:tcPr>
            <w:tcW w:w="1449" w:type="dxa"/>
          </w:tcPr>
          <w:p w14:paraId="7EF6F7C7" w14:textId="667DE870" w:rsidR="00125BE1" w:rsidRPr="00125BE1" w:rsidRDefault="00125BE1" w:rsidP="00125BE1">
            <w:pPr>
              <w:rPr>
                <w:rFonts w:eastAsia="Times New Roman" w:cs="Arial"/>
                <w:color w:val="000000"/>
                <w:lang w:eastAsia="bg-BG"/>
              </w:rPr>
            </w:pPr>
            <w:r w:rsidRPr="00125BE1">
              <w:rPr>
                <w:rFonts w:cs="Arial"/>
              </w:rPr>
              <w:t>-Перфорация на роговицата -Разязвявания на роговицата -Увеит</w:t>
            </w:r>
          </w:p>
        </w:tc>
      </w:tr>
      <w:tr w:rsidR="00125BE1" w14:paraId="35DB9585" w14:textId="77777777" w:rsidTr="00125BE1">
        <w:tc>
          <w:tcPr>
            <w:tcW w:w="1594" w:type="dxa"/>
          </w:tcPr>
          <w:p w14:paraId="22E369E3" w14:textId="074AEC54" w:rsidR="00125BE1" w:rsidRPr="00125BE1" w:rsidRDefault="00125BE1" w:rsidP="00125BE1">
            <w:pPr>
              <w:rPr>
                <w:rFonts w:eastAsia="Times New Roman" w:cs="Arial"/>
                <w:color w:val="000000"/>
                <w:lang w:eastAsia="bg-BG"/>
              </w:rPr>
            </w:pPr>
            <w:r w:rsidRPr="00125BE1">
              <w:rPr>
                <w:rFonts w:cs="Arial"/>
              </w:rPr>
              <w:t>Респираторни, гръдни и медиастинални нарушения</w:t>
            </w:r>
          </w:p>
        </w:tc>
        <w:tc>
          <w:tcPr>
            <w:tcW w:w="1571" w:type="dxa"/>
          </w:tcPr>
          <w:p w14:paraId="0961F30C" w14:textId="77777777" w:rsidR="00125BE1" w:rsidRPr="00125BE1" w:rsidRDefault="00125BE1" w:rsidP="00125BE1">
            <w:pPr>
              <w:rPr>
                <w:rFonts w:eastAsia="Times New Roman" w:cs="Arial"/>
                <w:color w:val="000000"/>
                <w:lang w:eastAsia="bg-BG"/>
              </w:rPr>
            </w:pPr>
          </w:p>
        </w:tc>
        <w:tc>
          <w:tcPr>
            <w:tcW w:w="1695" w:type="dxa"/>
          </w:tcPr>
          <w:p w14:paraId="0DB5D513" w14:textId="60591713" w:rsidR="00125BE1" w:rsidRPr="00125BE1" w:rsidRDefault="00125BE1" w:rsidP="00125BE1">
            <w:pPr>
              <w:rPr>
                <w:rFonts w:eastAsia="Times New Roman" w:cs="Arial"/>
                <w:color w:val="000000"/>
                <w:lang w:eastAsia="bg-BG"/>
              </w:rPr>
            </w:pPr>
            <w:r w:rsidRPr="00125BE1">
              <w:rPr>
                <w:rFonts w:cs="Arial"/>
              </w:rPr>
              <w:t>-Епистаксис</w:t>
            </w:r>
          </w:p>
        </w:tc>
        <w:tc>
          <w:tcPr>
            <w:tcW w:w="1861" w:type="dxa"/>
          </w:tcPr>
          <w:p w14:paraId="13BBF8D8" w14:textId="54D71575" w:rsidR="00125BE1" w:rsidRPr="00125BE1" w:rsidRDefault="00125BE1" w:rsidP="00125BE1">
            <w:pPr>
              <w:rPr>
                <w:rFonts w:eastAsia="Times New Roman" w:cs="Arial"/>
                <w:color w:val="000000"/>
                <w:lang w:eastAsia="bg-BG"/>
              </w:rPr>
            </w:pPr>
            <w:r w:rsidRPr="00125BE1">
              <w:rPr>
                <w:rFonts w:cs="Arial"/>
              </w:rPr>
              <w:t>-Интерстициално белодробно заболяване (ИБЗ)</w:t>
            </w:r>
            <w:r w:rsidRPr="00125BE1">
              <w:rPr>
                <w:rFonts w:cs="Arial"/>
                <w:vertAlign w:val="superscript"/>
              </w:rPr>
              <w:t>3</w:t>
            </w:r>
          </w:p>
        </w:tc>
        <w:tc>
          <w:tcPr>
            <w:tcW w:w="1406" w:type="dxa"/>
          </w:tcPr>
          <w:p w14:paraId="2D464020" w14:textId="77777777" w:rsidR="00125BE1" w:rsidRPr="00125BE1" w:rsidRDefault="00125BE1" w:rsidP="00125BE1">
            <w:pPr>
              <w:rPr>
                <w:rFonts w:eastAsia="Times New Roman" w:cs="Arial"/>
                <w:color w:val="000000"/>
                <w:lang w:eastAsia="bg-BG"/>
              </w:rPr>
            </w:pPr>
          </w:p>
        </w:tc>
        <w:tc>
          <w:tcPr>
            <w:tcW w:w="1449" w:type="dxa"/>
          </w:tcPr>
          <w:p w14:paraId="7B16D44D" w14:textId="77777777" w:rsidR="00125BE1" w:rsidRPr="00125BE1" w:rsidRDefault="00125BE1" w:rsidP="00125BE1">
            <w:pPr>
              <w:rPr>
                <w:rFonts w:eastAsia="Times New Roman" w:cs="Arial"/>
                <w:color w:val="000000"/>
                <w:lang w:eastAsia="bg-BG"/>
              </w:rPr>
            </w:pPr>
          </w:p>
        </w:tc>
      </w:tr>
      <w:tr w:rsidR="00125BE1" w14:paraId="0867ACB8" w14:textId="77777777" w:rsidTr="00125BE1">
        <w:tc>
          <w:tcPr>
            <w:tcW w:w="1594" w:type="dxa"/>
          </w:tcPr>
          <w:p w14:paraId="4403D96C" w14:textId="5A5F1660" w:rsidR="00125BE1" w:rsidRPr="00125BE1" w:rsidRDefault="00125BE1" w:rsidP="00125BE1">
            <w:pPr>
              <w:rPr>
                <w:rFonts w:eastAsia="Times New Roman" w:cs="Arial"/>
                <w:color w:val="000000"/>
                <w:lang w:eastAsia="bg-BG"/>
              </w:rPr>
            </w:pPr>
            <w:r w:rsidRPr="00125BE1">
              <w:rPr>
                <w:rFonts w:cs="Arial"/>
              </w:rPr>
              <w:t>Стомашно- чревни нарушения</w:t>
            </w:r>
          </w:p>
        </w:tc>
        <w:tc>
          <w:tcPr>
            <w:tcW w:w="1571" w:type="dxa"/>
          </w:tcPr>
          <w:p w14:paraId="62B8D05C" w14:textId="0CEA37CC" w:rsidR="00125BE1" w:rsidRPr="00125BE1" w:rsidRDefault="00125BE1" w:rsidP="00125BE1">
            <w:pPr>
              <w:rPr>
                <w:rFonts w:eastAsia="Times New Roman" w:cs="Arial"/>
                <w:color w:val="000000"/>
                <w:lang w:eastAsia="bg-BG"/>
              </w:rPr>
            </w:pPr>
            <w:r w:rsidRPr="00125BE1">
              <w:rPr>
                <w:rFonts w:cs="Arial"/>
              </w:rPr>
              <w:t>-Диария</w:t>
            </w:r>
            <w:r w:rsidRPr="00125BE1">
              <w:rPr>
                <w:rFonts w:cs="Arial"/>
                <w:vertAlign w:val="superscript"/>
              </w:rPr>
              <w:t>7</w:t>
            </w:r>
          </w:p>
        </w:tc>
        <w:tc>
          <w:tcPr>
            <w:tcW w:w="1695" w:type="dxa"/>
          </w:tcPr>
          <w:p w14:paraId="671E483D" w14:textId="106B3533" w:rsidR="00125BE1" w:rsidRPr="00125BE1" w:rsidRDefault="00125BE1" w:rsidP="00125BE1">
            <w:pPr>
              <w:rPr>
                <w:rFonts w:eastAsia="Times New Roman" w:cs="Arial"/>
                <w:color w:val="000000"/>
                <w:lang w:eastAsia="bg-BG"/>
              </w:rPr>
            </w:pPr>
            <w:r w:rsidRPr="00125BE1">
              <w:rPr>
                <w:rFonts w:cs="Arial"/>
              </w:rPr>
              <w:t>-Стомашно- чревно кървене</w:t>
            </w:r>
            <w:r w:rsidRPr="00125BE1">
              <w:rPr>
                <w:rFonts w:cs="Arial"/>
                <w:vertAlign w:val="superscript"/>
              </w:rPr>
              <w:t>4,7</w:t>
            </w:r>
          </w:p>
        </w:tc>
        <w:tc>
          <w:tcPr>
            <w:tcW w:w="1861" w:type="dxa"/>
          </w:tcPr>
          <w:p w14:paraId="0FC63ECE" w14:textId="7BE49FD1" w:rsidR="00125BE1" w:rsidRPr="00125BE1" w:rsidRDefault="00125BE1" w:rsidP="00125BE1">
            <w:pPr>
              <w:rPr>
                <w:rFonts w:eastAsia="Times New Roman" w:cs="Arial"/>
                <w:color w:val="000000"/>
                <w:lang w:eastAsia="bg-BG"/>
              </w:rPr>
            </w:pPr>
            <w:r w:rsidRPr="00125BE1">
              <w:rPr>
                <w:rFonts w:cs="Arial"/>
              </w:rPr>
              <w:t>-Стомашно-чревни перфорации</w:t>
            </w:r>
            <w:r w:rsidRPr="00125BE1">
              <w:rPr>
                <w:rFonts w:cs="Arial"/>
                <w:vertAlign w:val="superscript"/>
              </w:rPr>
              <w:t>7</w:t>
            </w:r>
          </w:p>
        </w:tc>
        <w:tc>
          <w:tcPr>
            <w:tcW w:w="1406" w:type="dxa"/>
          </w:tcPr>
          <w:p w14:paraId="436414DD" w14:textId="77777777" w:rsidR="00125BE1" w:rsidRPr="00125BE1" w:rsidRDefault="00125BE1" w:rsidP="00125BE1">
            <w:pPr>
              <w:rPr>
                <w:rFonts w:eastAsia="Times New Roman" w:cs="Arial"/>
                <w:color w:val="000000"/>
                <w:lang w:eastAsia="bg-BG"/>
              </w:rPr>
            </w:pPr>
          </w:p>
        </w:tc>
        <w:tc>
          <w:tcPr>
            <w:tcW w:w="1449" w:type="dxa"/>
          </w:tcPr>
          <w:p w14:paraId="71814CAE" w14:textId="77777777" w:rsidR="00125BE1" w:rsidRPr="00125BE1" w:rsidRDefault="00125BE1" w:rsidP="00125BE1">
            <w:pPr>
              <w:rPr>
                <w:rFonts w:eastAsia="Times New Roman" w:cs="Arial"/>
                <w:color w:val="000000"/>
                <w:lang w:eastAsia="bg-BG"/>
              </w:rPr>
            </w:pPr>
          </w:p>
        </w:tc>
      </w:tr>
      <w:tr w:rsidR="00125BE1" w14:paraId="28C0063A" w14:textId="77777777" w:rsidTr="00125BE1">
        <w:tc>
          <w:tcPr>
            <w:tcW w:w="1594" w:type="dxa"/>
          </w:tcPr>
          <w:p w14:paraId="0C59CBEA" w14:textId="0CD42145" w:rsidR="00125BE1" w:rsidRPr="00125BE1" w:rsidRDefault="00125BE1" w:rsidP="00125BE1">
            <w:pPr>
              <w:rPr>
                <w:rFonts w:eastAsia="Times New Roman" w:cs="Arial"/>
                <w:color w:val="000000"/>
                <w:lang w:eastAsia="bg-BG"/>
              </w:rPr>
            </w:pPr>
            <w:r w:rsidRPr="00125BE1">
              <w:rPr>
                <w:rFonts w:cs="Arial"/>
              </w:rPr>
              <w:t>Хепатобилиар- ни нарушения</w:t>
            </w:r>
          </w:p>
        </w:tc>
        <w:tc>
          <w:tcPr>
            <w:tcW w:w="1571" w:type="dxa"/>
          </w:tcPr>
          <w:p w14:paraId="6BF084E8" w14:textId="410D0FC9" w:rsidR="00125BE1" w:rsidRPr="00125BE1" w:rsidRDefault="00125BE1" w:rsidP="00125BE1">
            <w:pPr>
              <w:rPr>
                <w:rFonts w:eastAsia="Times New Roman" w:cs="Arial"/>
                <w:color w:val="000000"/>
                <w:lang w:eastAsia="bg-BG"/>
              </w:rPr>
            </w:pPr>
            <w:r w:rsidRPr="00125BE1">
              <w:rPr>
                <w:rFonts w:cs="Arial"/>
              </w:rPr>
              <w:t>-Отклонения в чернодробните функционални тестове</w:t>
            </w:r>
            <w:r w:rsidRPr="00125BE1">
              <w:rPr>
                <w:rFonts w:cs="Arial"/>
                <w:vertAlign w:val="superscript"/>
              </w:rPr>
              <w:t>5</w:t>
            </w:r>
          </w:p>
        </w:tc>
        <w:tc>
          <w:tcPr>
            <w:tcW w:w="1695" w:type="dxa"/>
          </w:tcPr>
          <w:p w14:paraId="05279B44" w14:textId="77777777" w:rsidR="00125BE1" w:rsidRPr="00125BE1" w:rsidRDefault="00125BE1" w:rsidP="00125BE1">
            <w:pPr>
              <w:rPr>
                <w:rFonts w:eastAsia="Times New Roman" w:cs="Arial"/>
                <w:color w:val="000000"/>
                <w:lang w:eastAsia="bg-BG"/>
              </w:rPr>
            </w:pPr>
          </w:p>
        </w:tc>
        <w:tc>
          <w:tcPr>
            <w:tcW w:w="1861" w:type="dxa"/>
          </w:tcPr>
          <w:p w14:paraId="5B7C313B" w14:textId="77777777" w:rsidR="00125BE1" w:rsidRPr="00125BE1" w:rsidRDefault="00125BE1" w:rsidP="00125BE1">
            <w:pPr>
              <w:rPr>
                <w:rFonts w:eastAsia="Times New Roman" w:cs="Arial"/>
                <w:color w:val="000000"/>
                <w:lang w:eastAsia="bg-BG"/>
              </w:rPr>
            </w:pPr>
          </w:p>
        </w:tc>
        <w:tc>
          <w:tcPr>
            <w:tcW w:w="1406" w:type="dxa"/>
          </w:tcPr>
          <w:p w14:paraId="467980BF" w14:textId="2D2362F2" w:rsidR="00125BE1" w:rsidRPr="00125BE1" w:rsidRDefault="00125BE1" w:rsidP="00125BE1">
            <w:pPr>
              <w:rPr>
                <w:rFonts w:eastAsia="Times New Roman" w:cs="Arial"/>
                <w:color w:val="000000"/>
                <w:lang w:eastAsia="bg-BG"/>
              </w:rPr>
            </w:pPr>
            <w:r w:rsidRPr="00125BE1">
              <w:rPr>
                <w:rFonts w:cs="Arial"/>
              </w:rPr>
              <w:t>-Чернодробна недостатъч</w:t>
            </w:r>
            <w:r w:rsidRPr="00125BE1">
              <w:rPr>
                <w:rFonts w:cs="Arial"/>
              </w:rPr>
              <w:softHyphen/>
              <w:t>ност</w:t>
            </w:r>
            <w:r w:rsidRPr="00125BE1">
              <w:rPr>
                <w:rFonts w:cs="Arial"/>
                <w:vertAlign w:val="superscript"/>
              </w:rPr>
              <w:t>6</w:t>
            </w:r>
          </w:p>
        </w:tc>
        <w:tc>
          <w:tcPr>
            <w:tcW w:w="1449" w:type="dxa"/>
          </w:tcPr>
          <w:p w14:paraId="3E4CF0D6" w14:textId="77777777" w:rsidR="00125BE1" w:rsidRPr="00125BE1" w:rsidRDefault="00125BE1" w:rsidP="00125BE1">
            <w:pPr>
              <w:rPr>
                <w:rFonts w:eastAsia="Times New Roman" w:cs="Arial"/>
                <w:color w:val="000000"/>
                <w:lang w:eastAsia="bg-BG"/>
              </w:rPr>
            </w:pPr>
          </w:p>
        </w:tc>
      </w:tr>
      <w:tr w:rsidR="00125BE1" w14:paraId="1141E88C" w14:textId="77777777" w:rsidTr="00125BE1">
        <w:tc>
          <w:tcPr>
            <w:tcW w:w="1594" w:type="dxa"/>
          </w:tcPr>
          <w:p w14:paraId="69BBB9A8" w14:textId="419797FC" w:rsidR="00125BE1" w:rsidRPr="00125BE1" w:rsidRDefault="00125BE1" w:rsidP="00125BE1">
            <w:pPr>
              <w:rPr>
                <w:rFonts w:eastAsia="Times New Roman" w:cs="Arial"/>
                <w:color w:val="000000"/>
                <w:lang w:eastAsia="bg-BG"/>
              </w:rPr>
            </w:pPr>
            <w:r w:rsidRPr="00125BE1">
              <w:rPr>
                <w:rFonts w:cs="Arial"/>
              </w:rPr>
              <w:t>Нарушения на кожата и подкожната тъкан</w:t>
            </w:r>
          </w:p>
        </w:tc>
        <w:tc>
          <w:tcPr>
            <w:tcW w:w="1571" w:type="dxa"/>
          </w:tcPr>
          <w:p w14:paraId="61CE5305" w14:textId="6FAE6F9E" w:rsidR="00125BE1" w:rsidRPr="00125BE1" w:rsidRDefault="00125BE1" w:rsidP="00125BE1">
            <w:pPr>
              <w:rPr>
                <w:rFonts w:eastAsia="Times New Roman" w:cs="Arial"/>
                <w:color w:val="000000"/>
                <w:lang w:eastAsia="bg-BG"/>
              </w:rPr>
            </w:pPr>
            <w:r w:rsidRPr="00125BE1">
              <w:rPr>
                <w:rFonts w:cs="Arial"/>
              </w:rPr>
              <w:t>-Обрив</w:t>
            </w:r>
          </w:p>
        </w:tc>
        <w:tc>
          <w:tcPr>
            <w:tcW w:w="1695" w:type="dxa"/>
          </w:tcPr>
          <w:p w14:paraId="11FCEEC5" w14:textId="77777777" w:rsidR="00125BE1" w:rsidRPr="00125BE1" w:rsidRDefault="00125BE1" w:rsidP="00125BE1">
            <w:pPr>
              <w:rPr>
                <w:rFonts w:cs="Arial"/>
              </w:rPr>
            </w:pPr>
            <w:r w:rsidRPr="00125BE1">
              <w:rPr>
                <w:rFonts w:cs="Arial"/>
              </w:rPr>
              <w:t>-Алопеция</w:t>
            </w:r>
          </w:p>
          <w:p w14:paraId="2F60C479" w14:textId="77777777" w:rsidR="00125BE1" w:rsidRPr="00125BE1" w:rsidRDefault="00125BE1" w:rsidP="00125BE1">
            <w:pPr>
              <w:rPr>
                <w:rFonts w:cs="Arial"/>
              </w:rPr>
            </w:pPr>
            <w:r w:rsidRPr="00125BE1">
              <w:rPr>
                <w:rFonts w:cs="Arial"/>
              </w:rPr>
              <w:t>-Сухота на кожата</w:t>
            </w:r>
            <w:r w:rsidRPr="00125BE1">
              <w:rPr>
                <w:rFonts w:cs="Arial"/>
                <w:vertAlign w:val="superscript"/>
              </w:rPr>
              <w:t>1</w:t>
            </w:r>
          </w:p>
          <w:p w14:paraId="2E5E25AF" w14:textId="77777777" w:rsidR="00125BE1" w:rsidRPr="00125BE1" w:rsidRDefault="00125BE1" w:rsidP="00125BE1">
            <w:pPr>
              <w:rPr>
                <w:rFonts w:cs="Arial"/>
              </w:rPr>
            </w:pPr>
            <w:r w:rsidRPr="00125BE1">
              <w:rPr>
                <w:rFonts w:cs="Arial"/>
              </w:rPr>
              <w:t>-Паронихия</w:t>
            </w:r>
          </w:p>
          <w:p w14:paraId="4353E3B9" w14:textId="6CD8683D" w:rsidR="00125BE1" w:rsidRPr="00125BE1" w:rsidRDefault="00125BE1" w:rsidP="00125BE1">
            <w:pPr>
              <w:rPr>
                <w:rFonts w:eastAsia="Times New Roman" w:cs="Arial"/>
                <w:color w:val="000000"/>
                <w:lang w:eastAsia="bg-BG"/>
              </w:rPr>
            </w:pPr>
            <w:r w:rsidRPr="00125BE1">
              <w:rPr>
                <w:rFonts w:cs="Arial"/>
              </w:rPr>
              <w:t>-Фоликулит -Акне/акнефор- мен дерматит -Кожни фисури</w:t>
            </w:r>
          </w:p>
        </w:tc>
        <w:tc>
          <w:tcPr>
            <w:tcW w:w="1861" w:type="dxa"/>
          </w:tcPr>
          <w:p w14:paraId="4523D8CE" w14:textId="77777777" w:rsidR="00125BE1" w:rsidRPr="00125BE1" w:rsidRDefault="00125BE1" w:rsidP="00125BE1">
            <w:pPr>
              <w:rPr>
                <w:rFonts w:cs="Arial"/>
              </w:rPr>
            </w:pPr>
            <w:r w:rsidRPr="00125BE1">
              <w:rPr>
                <w:rFonts w:cs="Arial"/>
              </w:rPr>
              <w:t>-Хирзутизъм</w:t>
            </w:r>
          </w:p>
          <w:p w14:paraId="0B413F5D" w14:textId="77777777" w:rsidR="00125BE1" w:rsidRPr="00125BE1" w:rsidRDefault="00125BE1" w:rsidP="00125BE1">
            <w:pPr>
              <w:rPr>
                <w:rFonts w:cs="Arial"/>
              </w:rPr>
            </w:pPr>
            <w:r w:rsidRPr="00125BE1">
              <w:rPr>
                <w:rFonts w:cs="Arial"/>
              </w:rPr>
              <w:t>-Промени на веждите</w:t>
            </w:r>
          </w:p>
          <w:p w14:paraId="6128952C" w14:textId="77777777" w:rsidR="00125BE1" w:rsidRPr="00125BE1" w:rsidRDefault="00125BE1" w:rsidP="00125BE1">
            <w:pPr>
              <w:rPr>
                <w:rFonts w:cs="Arial"/>
              </w:rPr>
            </w:pPr>
            <w:r w:rsidRPr="00125BE1">
              <w:rPr>
                <w:rFonts w:cs="Arial"/>
              </w:rPr>
              <w:t>-Чупливи и хлабави нокти</w:t>
            </w:r>
          </w:p>
          <w:p w14:paraId="6CEF9046" w14:textId="77777777" w:rsidR="00125BE1" w:rsidRPr="00125BE1" w:rsidRDefault="00125BE1" w:rsidP="00125BE1">
            <w:pPr>
              <w:rPr>
                <w:rFonts w:cs="Arial"/>
              </w:rPr>
            </w:pPr>
            <w:r w:rsidRPr="00125BE1">
              <w:rPr>
                <w:rFonts w:cs="Arial"/>
              </w:rPr>
              <w:t>-Леки кожни</w:t>
            </w:r>
          </w:p>
          <w:p w14:paraId="3D7EBEB9" w14:textId="77777777" w:rsidR="00125BE1" w:rsidRPr="00125BE1" w:rsidRDefault="00125BE1" w:rsidP="00125BE1">
            <w:pPr>
              <w:rPr>
                <w:rFonts w:cs="Arial"/>
              </w:rPr>
            </w:pPr>
            <w:r w:rsidRPr="00125BE1">
              <w:rPr>
                <w:rFonts w:cs="Arial"/>
              </w:rPr>
              <w:t>реакции, напр.</w:t>
            </w:r>
          </w:p>
          <w:p w14:paraId="0454022F" w14:textId="42678B42" w:rsidR="00125BE1" w:rsidRPr="00125BE1" w:rsidRDefault="00125BE1" w:rsidP="00125BE1">
            <w:pPr>
              <w:rPr>
                <w:rFonts w:eastAsia="Times New Roman" w:cs="Arial"/>
                <w:color w:val="000000"/>
                <w:lang w:eastAsia="bg-BG"/>
              </w:rPr>
            </w:pPr>
            <w:r w:rsidRPr="00125BE1">
              <w:rPr>
                <w:rFonts w:cs="Arial"/>
              </w:rPr>
              <w:t>хиперпигментация</w:t>
            </w:r>
          </w:p>
        </w:tc>
        <w:tc>
          <w:tcPr>
            <w:tcW w:w="1406" w:type="dxa"/>
          </w:tcPr>
          <w:p w14:paraId="25E46D9D" w14:textId="19564AD4" w:rsidR="00125BE1" w:rsidRPr="00125BE1" w:rsidRDefault="00125BE1" w:rsidP="00125BE1">
            <w:pPr>
              <w:rPr>
                <w:rFonts w:eastAsia="Times New Roman" w:cs="Arial"/>
                <w:color w:val="000000"/>
                <w:lang w:eastAsia="bg-BG"/>
              </w:rPr>
            </w:pPr>
            <w:r w:rsidRPr="00125BE1">
              <w:rPr>
                <w:rFonts w:cs="Arial"/>
              </w:rPr>
              <w:t>-Синдром на палмарно- плантарна еритродизе- стезия</w:t>
            </w:r>
          </w:p>
        </w:tc>
        <w:tc>
          <w:tcPr>
            <w:tcW w:w="1449" w:type="dxa"/>
          </w:tcPr>
          <w:p w14:paraId="474DDDC7" w14:textId="1E81776B" w:rsidR="00125BE1" w:rsidRPr="00125BE1" w:rsidRDefault="00125BE1" w:rsidP="00125BE1">
            <w:pPr>
              <w:rPr>
                <w:rFonts w:eastAsia="Times New Roman" w:cs="Arial"/>
                <w:color w:val="000000"/>
                <w:lang w:eastAsia="bg-BG"/>
              </w:rPr>
            </w:pPr>
            <w:r w:rsidRPr="00125BE1">
              <w:rPr>
                <w:rFonts w:cs="Arial"/>
              </w:rPr>
              <w:t xml:space="preserve">-Синдром на </w:t>
            </w:r>
            <w:r w:rsidRPr="00125BE1">
              <w:rPr>
                <w:rFonts w:cs="Arial"/>
                <w:lang w:val="en-US"/>
              </w:rPr>
              <w:t>Stevens</w:t>
            </w:r>
            <w:r w:rsidRPr="00125BE1">
              <w:rPr>
                <w:rFonts w:cs="Arial"/>
                <w:lang w:val="ru-RU"/>
              </w:rPr>
              <w:t xml:space="preserve">- </w:t>
            </w:r>
            <w:r w:rsidRPr="00125BE1">
              <w:rPr>
                <w:rFonts w:cs="Arial"/>
                <w:lang w:val="en-US"/>
              </w:rPr>
              <w:t>Johnson</w:t>
            </w:r>
            <w:r w:rsidRPr="00125BE1">
              <w:rPr>
                <w:rFonts w:cs="Arial"/>
                <w:lang w:val="ru-RU"/>
              </w:rPr>
              <w:t xml:space="preserve">/ </w:t>
            </w:r>
            <w:r w:rsidRPr="00125BE1">
              <w:rPr>
                <w:rFonts w:cs="Arial"/>
              </w:rPr>
              <w:t>токсична епидермална некролиза</w:t>
            </w:r>
            <w:r w:rsidRPr="00125BE1">
              <w:rPr>
                <w:rFonts w:cs="Arial"/>
                <w:vertAlign w:val="superscript"/>
              </w:rPr>
              <w:t>7</w:t>
            </w:r>
          </w:p>
        </w:tc>
      </w:tr>
      <w:tr w:rsidR="00125BE1" w14:paraId="5FB54C1D" w14:textId="77777777" w:rsidTr="00125BE1">
        <w:tc>
          <w:tcPr>
            <w:tcW w:w="1594" w:type="dxa"/>
          </w:tcPr>
          <w:p w14:paraId="288300C0" w14:textId="67CEF386" w:rsidR="00125BE1" w:rsidRPr="00125BE1" w:rsidRDefault="00125BE1" w:rsidP="00125BE1">
            <w:pPr>
              <w:rPr>
                <w:rFonts w:eastAsia="Times New Roman" w:cs="Arial"/>
                <w:color w:val="000000"/>
                <w:lang w:eastAsia="bg-BG"/>
              </w:rPr>
            </w:pPr>
            <w:r w:rsidRPr="00125BE1">
              <w:rPr>
                <w:rFonts w:cs="Arial"/>
              </w:rPr>
              <w:t>Нарушения на бъбреците и пикочните пътища</w:t>
            </w:r>
          </w:p>
        </w:tc>
        <w:tc>
          <w:tcPr>
            <w:tcW w:w="1571" w:type="dxa"/>
          </w:tcPr>
          <w:p w14:paraId="44C0A0F0" w14:textId="77777777" w:rsidR="00125BE1" w:rsidRPr="00125BE1" w:rsidRDefault="00125BE1" w:rsidP="00125BE1">
            <w:pPr>
              <w:rPr>
                <w:rFonts w:eastAsia="Times New Roman" w:cs="Arial"/>
                <w:color w:val="000000"/>
                <w:lang w:eastAsia="bg-BG"/>
              </w:rPr>
            </w:pPr>
          </w:p>
        </w:tc>
        <w:tc>
          <w:tcPr>
            <w:tcW w:w="1695" w:type="dxa"/>
          </w:tcPr>
          <w:p w14:paraId="2CEAF333" w14:textId="0961499A" w:rsidR="00125BE1" w:rsidRPr="00125BE1" w:rsidRDefault="00125BE1" w:rsidP="00125BE1">
            <w:pPr>
              <w:rPr>
                <w:rFonts w:eastAsia="Times New Roman" w:cs="Arial"/>
                <w:color w:val="000000"/>
                <w:lang w:eastAsia="bg-BG"/>
              </w:rPr>
            </w:pPr>
            <w:r w:rsidRPr="00125BE1">
              <w:rPr>
                <w:rFonts w:cs="Arial"/>
              </w:rPr>
              <w:t>-Бъбречна недостатъчност</w:t>
            </w:r>
            <w:r w:rsidRPr="00125BE1">
              <w:rPr>
                <w:rFonts w:cs="Arial"/>
                <w:vertAlign w:val="superscript"/>
              </w:rPr>
              <w:t>1</w:t>
            </w:r>
          </w:p>
        </w:tc>
        <w:tc>
          <w:tcPr>
            <w:tcW w:w="1861" w:type="dxa"/>
          </w:tcPr>
          <w:p w14:paraId="74515E53" w14:textId="77777777" w:rsidR="00125BE1" w:rsidRPr="00125BE1" w:rsidRDefault="00125BE1" w:rsidP="00125BE1">
            <w:pPr>
              <w:rPr>
                <w:rFonts w:cs="Arial"/>
              </w:rPr>
            </w:pPr>
            <w:r w:rsidRPr="00125BE1">
              <w:rPr>
                <w:rFonts w:cs="Arial"/>
              </w:rPr>
              <w:t>-Нефрит</w:t>
            </w:r>
            <w:r w:rsidRPr="00125BE1">
              <w:rPr>
                <w:rFonts w:cs="Arial"/>
                <w:vertAlign w:val="superscript"/>
              </w:rPr>
              <w:t>1</w:t>
            </w:r>
          </w:p>
          <w:p w14:paraId="4C80C777" w14:textId="709C9DFF" w:rsidR="00125BE1" w:rsidRPr="00125BE1" w:rsidRDefault="00125BE1" w:rsidP="00125BE1">
            <w:pPr>
              <w:rPr>
                <w:rFonts w:eastAsia="Times New Roman" w:cs="Arial"/>
                <w:color w:val="000000"/>
                <w:lang w:eastAsia="bg-BG"/>
              </w:rPr>
            </w:pPr>
            <w:r w:rsidRPr="00125BE1">
              <w:rPr>
                <w:rFonts w:cs="Arial"/>
              </w:rPr>
              <w:t>-Протеинурия</w:t>
            </w:r>
            <w:r w:rsidRPr="00125BE1">
              <w:rPr>
                <w:rFonts w:cs="Arial"/>
                <w:vertAlign w:val="superscript"/>
              </w:rPr>
              <w:t>1</w:t>
            </w:r>
          </w:p>
        </w:tc>
        <w:tc>
          <w:tcPr>
            <w:tcW w:w="1406" w:type="dxa"/>
          </w:tcPr>
          <w:p w14:paraId="0370F534" w14:textId="77777777" w:rsidR="00125BE1" w:rsidRPr="00125BE1" w:rsidRDefault="00125BE1" w:rsidP="00125BE1">
            <w:pPr>
              <w:rPr>
                <w:rFonts w:eastAsia="Times New Roman" w:cs="Arial"/>
                <w:color w:val="000000"/>
                <w:lang w:eastAsia="bg-BG"/>
              </w:rPr>
            </w:pPr>
          </w:p>
        </w:tc>
        <w:tc>
          <w:tcPr>
            <w:tcW w:w="1449" w:type="dxa"/>
          </w:tcPr>
          <w:p w14:paraId="1F7B7E9F" w14:textId="77777777" w:rsidR="00125BE1" w:rsidRPr="00125BE1" w:rsidRDefault="00125BE1" w:rsidP="00125BE1">
            <w:pPr>
              <w:rPr>
                <w:rFonts w:eastAsia="Times New Roman" w:cs="Arial"/>
                <w:color w:val="000000"/>
                <w:lang w:eastAsia="bg-BG"/>
              </w:rPr>
            </w:pPr>
          </w:p>
        </w:tc>
      </w:tr>
    </w:tbl>
    <w:p w14:paraId="03698295" w14:textId="77777777" w:rsidR="00125BE1" w:rsidRPr="00125BE1" w:rsidRDefault="00125BE1" w:rsidP="00125BE1">
      <w:pPr>
        <w:spacing w:line="240" w:lineRule="auto"/>
        <w:rPr>
          <w:rFonts w:eastAsia="Times New Roman" w:cs="Arial"/>
        </w:rPr>
      </w:pPr>
      <w:r w:rsidRPr="00125BE1">
        <w:rPr>
          <w:rFonts w:eastAsia="Times New Roman" w:cs="Arial"/>
          <w:color w:val="000000"/>
          <w:lang w:eastAsia="bg-BG"/>
        </w:rPr>
        <w:t>1 В клиничното проучване РА.3.</w:t>
      </w:r>
    </w:p>
    <w:p w14:paraId="75B84F73" w14:textId="37DBA9F6" w:rsidR="00125BE1" w:rsidRPr="00125BE1" w:rsidRDefault="00125BE1" w:rsidP="00125BE1">
      <w:pPr>
        <w:rPr>
          <w:rFonts w:eastAsia="Times New Roman" w:cs="Arial"/>
          <w:color w:val="000000"/>
          <w:lang w:eastAsia="bg-BG"/>
        </w:rPr>
      </w:pPr>
      <w:r w:rsidRPr="00125BE1">
        <w:rPr>
          <w:rFonts w:eastAsia="Times New Roman" w:cs="Arial"/>
          <w:color w:val="000000"/>
          <w:lang w:eastAsia="bg-BG"/>
        </w:rPr>
        <w:t>2 Включително растеж на миглите навътре, прекомерен растеж и сгъстяване на миглите.</w:t>
      </w:r>
    </w:p>
    <w:p w14:paraId="03EF0D50" w14:textId="138266EA"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lastRenderedPageBreak/>
        <w:t>3 Включително смъртни случаи при пациенти, получаващи ерлотиниб за лечение на НДКРБД или други напреднали солидни тумори (вж. точка 4.4). По-висока честота е наблюдавана при пациенти в Япония (вж. точка 4.4).</w:t>
      </w:r>
    </w:p>
    <w:p w14:paraId="04DE7947" w14:textId="7C9C4EA7"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4 В клиничните проучвания някои случаи са били свързани с едновременно приложение на варфарин, а някои с едновременна употреба на НСПВС (вж. точка 4.5).</w:t>
      </w:r>
    </w:p>
    <w:p w14:paraId="65DF49A5" w14:textId="05A3EBDE"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 xml:space="preserve">5 Включително повишение на аланин аминотрансферазата </w:t>
      </w:r>
      <w:r w:rsidRPr="00125BE1">
        <w:rPr>
          <w:rFonts w:eastAsia="Times New Roman" w:cs="Arial"/>
          <w:color w:val="000000"/>
          <w:lang w:val="ru-RU"/>
        </w:rPr>
        <w:t>[</w:t>
      </w:r>
      <w:r w:rsidRPr="00125BE1">
        <w:rPr>
          <w:rFonts w:eastAsia="Times New Roman" w:cs="Arial"/>
          <w:color w:val="000000"/>
          <w:lang w:val="en-US"/>
        </w:rPr>
        <w:t>ALT</w:t>
      </w:r>
      <w:r w:rsidRPr="00125BE1">
        <w:rPr>
          <w:rFonts w:eastAsia="Times New Roman" w:cs="Arial"/>
          <w:color w:val="000000"/>
          <w:lang w:val="ru-RU"/>
        </w:rPr>
        <w:t xml:space="preserve">], </w:t>
      </w:r>
      <w:r w:rsidRPr="00125BE1">
        <w:rPr>
          <w:rFonts w:eastAsia="Times New Roman" w:cs="Arial"/>
          <w:color w:val="000000"/>
          <w:lang w:eastAsia="bg-BG"/>
        </w:rPr>
        <w:t xml:space="preserve">аспартат аминотрансферазата </w:t>
      </w:r>
      <w:r w:rsidRPr="00125BE1">
        <w:rPr>
          <w:rFonts w:eastAsia="Times New Roman" w:cs="Arial"/>
          <w:color w:val="000000"/>
          <w:lang w:val="ru-RU"/>
        </w:rPr>
        <w:t>[</w:t>
      </w:r>
      <w:r w:rsidRPr="00125BE1">
        <w:rPr>
          <w:rFonts w:eastAsia="Times New Roman" w:cs="Arial"/>
          <w:color w:val="000000"/>
          <w:lang w:val="en-US"/>
        </w:rPr>
        <w:t>AST</w:t>
      </w:r>
      <w:r w:rsidRPr="00125BE1">
        <w:rPr>
          <w:rFonts w:eastAsia="Times New Roman" w:cs="Arial"/>
          <w:color w:val="000000"/>
          <w:lang w:val="ru-RU"/>
        </w:rPr>
        <w:t xml:space="preserve">] </w:t>
      </w:r>
      <w:r w:rsidRPr="00125BE1">
        <w:rPr>
          <w:rFonts w:eastAsia="Times New Roman" w:cs="Arial"/>
          <w:color w:val="000000"/>
          <w:lang w:eastAsia="bg-BG"/>
        </w:rPr>
        <w:t xml:space="preserve">и билирубина. Тези нежелани реакции са много чести в клиничното проучване РА.3 и чести в клиничното проучване </w:t>
      </w:r>
      <w:r w:rsidRPr="00125BE1">
        <w:rPr>
          <w:rFonts w:eastAsia="Times New Roman" w:cs="Arial"/>
          <w:color w:val="000000"/>
          <w:lang w:val="en-US"/>
        </w:rPr>
        <w:t>BR</w:t>
      </w:r>
      <w:r w:rsidRPr="00125BE1">
        <w:rPr>
          <w:rFonts w:eastAsia="Times New Roman" w:cs="Arial"/>
          <w:color w:val="000000"/>
          <w:lang w:val="ru-RU"/>
        </w:rPr>
        <w:t>.21</w:t>
      </w:r>
      <w:r w:rsidRPr="00125BE1">
        <w:rPr>
          <w:rFonts w:eastAsia="Times New Roman" w:cs="Arial"/>
          <w:color w:val="000000"/>
          <w:lang w:eastAsia="bg-BG"/>
        </w:rPr>
        <w:t>. Случаите са предимно леки до умерени по тежест, с преходен характер или свързани с чернодробни метастази.</w:t>
      </w:r>
    </w:p>
    <w:p w14:paraId="42192944" w14:textId="29C1AA03"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6 Включително смъртни случаи. Смущаващите фактори включват предшестващо чернодробно заболяване или едновременно лечение с хепатотоксични лекарства (вж. точка 4.4).</w:t>
      </w:r>
    </w:p>
    <w:p w14:paraId="5A50E5E0" w14:textId="159C56FB"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7 Включително смъртни случаи (вж. точка 4.4).</w:t>
      </w:r>
    </w:p>
    <w:p w14:paraId="1AC513FB" w14:textId="77777777" w:rsidR="00125BE1" w:rsidRPr="00125BE1" w:rsidRDefault="00125BE1" w:rsidP="00125BE1">
      <w:pPr>
        <w:spacing w:line="240" w:lineRule="auto"/>
        <w:rPr>
          <w:rFonts w:eastAsia="Times New Roman" w:cs="Arial"/>
          <w:color w:val="000000"/>
          <w:u w:val="single"/>
          <w:lang w:eastAsia="bg-BG"/>
        </w:rPr>
      </w:pPr>
    </w:p>
    <w:p w14:paraId="6C8FA9D9" w14:textId="776FE585" w:rsidR="00125BE1" w:rsidRPr="00125BE1" w:rsidRDefault="00125BE1" w:rsidP="00125BE1">
      <w:pPr>
        <w:spacing w:line="240" w:lineRule="auto"/>
        <w:rPr>
          <w:rFonts w:eastAsia="Times New Roman" w:cs="Arial"/>
        </w:rPr>
      </w:pPr>
      <w:r w:rsidRPr="00125BE1">
        <w:rPr>
          <w:rFonts w:eastAsia="Times New Roman" w:cs="Arial"/>
          <w:color w:val="000000"/>
          <w:u w:val="single"/>
          <w:lang w:eastAsia="bg-BG"/>
        </w:rPr>
        <w:t>Съобщаване на подозирани нежелани реакции</w:t>
      </w:r>
    </w:p>
    <w:p w14:paraId="5E73E41D" w14:textId="77777777" w:rsidR="00125BE1" w:rsidRPr="00125BE1" w:rsidRDefault="00125BE1" w:rsidP="00125BE1">
      <w:pPr>
        <w:spacing w:line="240" w:lineRule="auto"/>
        <w:rPr>
          <w:rFonts w:eastAsia="Times New Roman" w:cs="Arial"/>
        </w:rPr>
      </w:pPr>
      <w:r w:rsidRPr="00125BE1">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към Изпълнителната агенция по лекарствата, ул.,Дамян Груев” № 8, 1303 София, тел.: +35928903417, уебсайт: </w:t>
      </w:r>
      <w:hyperlink r:id="rId5" w:history="1">
        <w:r w:rsidRPr="00125BE1">
          <w:rPr>
            <w:rFonts w:eastAsia="Times New Roman" w:cs="Arial"/>
            <w:color w:val="000000"/>
            <w:u w:val="single"/>
            <w:lang w:val="en-US"/>
          </w:rPr>
          <w:t>www</w:t>
        </w:r>
        <w:r w:rsidRPr="00125BE1">
          <w:rPr>
            <w:rFonts w:eastAsia="Times New Roman" w:cs="Arial"/>
            <w:color w:val="000000"/>
            <w:u w:val="single"/>
            <w:lang w:val="ru-RU"/>
          </w:rPr>
          <w:t>.</w:t>
        </w:r>
        <w:r w:rsidRPr="00125BE1">
          <w:rPr>
            <w:rFonts w:eastAsia="Times New Roman" w:cs="Arial"/>
            <w:color w:val="000000"/>
            <w:u w:val="single"/>
            <w:lang w:val="en-US"/>
          </w:rPr>
          <w:t>bda</w:t>
        </w:r>
        <w:r w:rsidRPr="00125BE1">
          <w:rPr>
            <w:rFonts w:eastAsia="Times New Roman" w:cs="Arial"/>
            <w:color w:val="000000"/>
            <w:u w:val="single"/>
            <w:lang w:val="ru-RU"/>
          </w:rPr>
          <w:t>.</w:t>
        </w:r>
        <w:r w:rsidRPr="00125BE1">
          <w:rPr>
            <w:rFonts w:eastAsia="Times New Roman" w:cs="Arial"/>
            <w:color w:val="000000"/>
            <w:u w:val="single"/>
            <w:lang w:val="en-US"/>
          </w:rPr>
          <w:t>bg</w:t>
        </w:r>
      </w:hyperlink>
      <w:r w:rsidRPr="00125BE1">
        <w:rPr>
          <w:rFonts w:eastAsia="Times New Roman" w:cs="Arial"/>
          <w:color w:val="000000"/>
          <w:lang w:val="ru-RU"/>
        </w:rPr>
        <w:t>.</w:t>
      </w:r>
    </w:p>
    <w:p w14:paraId="01140476" w14:textId="77777777" w:rsidR="00125BE1" w:rsidRPr="005B087A" w:rsidRDefault="00125BE1" w:rsidP="00125BE1">
      <w:pPr>
        <w:rPr>
          <w:rFonts w:ascii="Times New Roman" w:eastAsia="Times New Roman" w:hAnsi="Times New Roman" w:cs="Times New Roman"/>
          <w:color w:val="000000"/>
          <w:lang w:eastAsia="bg-BG"/>
        </w:rPr>
      </w:pPr>
    </w:p>
    <w:p w14:paraId="5A87DBA3" w14:textId="58084A1E" w:rsidR="007122AD" w:rsidRDefault="002C50EE" w:rsidP="00936AD0">
      <w:pPr>
        <w:pStyle w:val="Heading2"/>
      </w:pPr>
      <w:r>
        <w:t>4.9. Предозиране</w:t>
      </w:r>
    </w:p>
    <w:p w14:paraId="511048C0" w14:textId="78C3BE25" w:rsidR="00125BE1" w:rsidRDefault="00125BE1" w:rsidP="00125BE1"/>
    <w:p w14:paraId="40FEC16B" w14:textId="77777777" w:rsidR="00125BE1" w:rsidRPr="00125BE1" w:rsidRDefault="00125BE1" w:rsidP="00125BE1">
      <w:pPr>
        <w:pStyle w:val="Heading3"/>
        <w:rPr>
          <w:rFonts w:eastAsia="Times New Roman"/>
          <w:u w:val="single"/>
        </w:rPr>
      </w:pPr>
      <w:r w:rsidRPr="00125BE1">
        <w:rPr>
          <w:rFonts w:eastAsia="Times New Roman"/>
          <w:u w:val="single"/>
          <w:lang w:eastAsia="bg-BG"/>
        </w:rPr>
        <w:t>Симптоми</w:t>
      </w:r>
    </w:p>
    <w:p w14:paraId="084F0A0E"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Единични перорални дози ерлотиниб до 1000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 xml:space="preserve">ерлотиниб при здрави индивиди и до 1600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при пациенти с рак са се понасяли добре. Многократно приложение на дози от</w:t>
      </w:r>
      <w:r w:rsidRPr="00125BE1">
        <w:rPr>
          <w:rFonts w:eastAsia="Times New Roman" w:cs="Arial"/>
          <w:color w:val="000000"/>
          <w:lang w:val="ru-RU"/>
        </w:rPr>
        <w:t xml:space="preserve"> </w:t>
      </w:r>
      <w:r w:rsidRPr="00125BE1">
        <w:rPr>
          <w:rFonts w:eastAsia="Times New Roman" w:cs="Arial"/>
          <w:color w:val="000000"/>
          <w:lang w:eastAsia="bg-BG"/>
        </w:rPr>
        <w:t xml:space="preserve">200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два пъти дневно при здрави индивиди са се понасяли зле само след няколко дни на приложение. Въз основа на данните от тези проучвания, тежки нежелани реакции, като диария, обрив и вероятно повишена активност на чернодробните аминотрансферази може да възникнат при приложение на продукта в дози по-високи от препоръчителната.</w:t>
      </w:r>
    </w:p>
    <w:p w14:paraId="2629655B" w14:textId="77777777" w:rsidR="00125BE1" w:rsidRPr="00125BE1" w:rsidRDefault="00125BE1" w:rsidP="00125BE1">
      <w:pPr>
        <w:spacing w:line="240" w:lineRule="auto"/>
        <w:rPr>
          <w:rFonts w:eastAsia="Times New Roman" w:cs="Arial"/>
          <w:color w:val="000000"/>
          <w:u w:val="single"/>
          <w:lang w:eastAsia="bg-BG"/>
        </w:rPr>
      </w:pPr>
    </w:p>
    <w:p w14:paraId="5B4168F1" w14:textId="49A3A623" w:rsidR="00125BE1" w:rsidRPr="00125BE1" w:rsidRDefault="00125BE1" w:rsidP="00125BE1">
      <w:pPr>
        <w:pStyle w:val="Heading3"/>
        <w:rPr>
          <w:rFonts w:eastAsia="Times New Roman"/>
          <w:u w:val="single"/>
        </w:rPr>
      </w:pPr>
      <w:r w:rsidRPr="00125BE1">
        <w:rPr>
          <w:rFonts w:eastAsia="Times New Roman"/>
          <w:u w:val="single"/>
          <w:lang w:eastAsia="bg-BG"/>
        </w:rPr>
        <w:t>Лечение</w:t>
      </w:r>
    </w:p>
    <w:p w14:paraId="7763C5AE"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При подозрение за предозиране, лечението с Ерлотиниб Сандоз трябва да се преустанови и да се започне симптоматично лечение.</w:t>
      </w:r>
    </w:p>
    <w:p w14:paraId="08628DD3" w14:textId="77777777" w:rsidR="00125BE1" w:rsidRPr="00125BE1" w:rsidRDefault="00125BE1" w:rsidP="00125BE1"/>
    <w:p w14:paraId="02081B24" w14:textId="48755345" w:rsidR="00395555" w:rsidRPr="00395555" w:rsidRDefault="002C50EE" w:rsidP="008A6AF2">
      <w:pPr>
        <w:pStyle w:val="Heading1"/>
      </w:pPr>
      <w:r>
        <w:t>5. ФАРМАКОЛОГИЧНИ СВОЙСТВА</w:t>
      </w:r>
    </w:p>
    <w:p w14:paraId="7DE36AC8" w14:textId="62CC9CF6" w:rsidR="00B6672E" w:rsidRDefault="002C50EE" w:rsidP="00936AD0">
      <w:pPr>
        <w:pStyle w:val="Heading2"/>
      </w:pPr>
      <w:r>
        <w:t>5.1. Фармакодинамични свойства</w:t>
      </w:r>
    </w:p>
    <w:p w14:paraId="5EAE6F31" w14:textId="64ECA53B" w:rsidR="00125BE1" w:rsidRDefault="00125BE1" w:rsidP="00125BE1"/>
    <w:p w14:paraId="078826F6"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Фармакотерапевтична група: антинеопластичен продукт, протеин киназен инхибитор, АТС код: </w:t>
      </w:r>
      <w:r w:rsidRPr="00125BE1">
        <w:rPr>
          <w:rFonts w:eastAsia="Times New Roman" w:cs="Arial"/>
          <w:color w:val="000000"/>
          <w:lang w:val="en-US"/>
        </w:rPr>
        <w:t>L</w:t>
      </w:r>
      <w:r w:rsidRPr="00125BE1">
        <w:rPr>
          <w:rFonts w:eastAsia="Times New Roman" w:cs="Arial"/>
          <w:color w:val="000000"/>
          <w:lang w:val="ru-RU"/>
        </w:rPr>
        <w:t>01</w:t>
      </w:r>
      <w:r w:rsidRPr="00125BE1">
        <w:rPr>
          <w:rFonts w:eastAsia="Times New Roman" w:cs="Arial"/>
          <w:color w:val="000000"/>
          <w:lang w:val="en-US"/>
        </w:rPr>
        <w:t>XE</w:t>
      </w:r>
      <w:r w:rsidRPr="00125BE1">
        <w:rPr>
          <w:rFonts w:eastAsia="Times New Roman" w:cs="Arial"/>
          <w:color w:val="000000"/>
          <w:lang w:val="ru-RU"/>
        </w:rPr>
        <w:t>03</w:t>
      </w:r>
    </w:p>
    <w:p w14:paraId="74385097" w14:textId="77777777" w:rsidR="00125BE1" w:rsidRPr="00125BE1" w:rsidRDefault="00125BE1" w:rsidP="00125BE1">
      <w:pPr>
        <w:spacing w:line="240" w:lineRule="auto"/>
        <w:rPr>
          <w:rFonts w:eastAsia="Times New Roman" w:cs="Arial"/>
          <w:color w:val="000000"/>
          <w:u w:val="single"/>
          <w:lang w:eastAsia="bg-BG"/>
        </w:rPr>
      </w:pPr>
    </w:p>
    <w:p w14:paraId="0D4B6165" w14:textId="722E45CA" w:rsidR="00125BE1" w:rsidRPr="00125BE1" w:rsidRDefault="00125BE1" w:rsidP="00125BE1">
      <w:pPr>
        <w:spacing w:line="240" w:lineRule="auto"/>
        <w:rPr>
          <w:rFonts w:eastAsia="Times New Roman" w:cs="Arial"/>
          <w:sz w:val="24"/>
          <w:szCs w:val="24"/>
        </w:rPr>
      </w:pPr>
      <w:r w:rsidRPr="00125BE1">
        <w:rPr>
          <w:rFonts w:eastAsia="Times New Roman" w:cs="Arial"/>
          <w:color w:val="000000"/>
          <w:u w:val="single"/>
          <w:lang w:eastAsia="bg-BG"/>
        </w:rPr>
        <w:t>Механизъм на действие</w:t>
      </w:r>
    </w:p>
    <w:p w14:paraId="1FE411BF"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Ерлотиниб е инхибитор на тирозин киназата на рецептора на епидермалния растежен фактор/човешкия рецептор на епидермалния растежен фактор тип 1 </w:t>
      </w:r>
      <w:r w:rsidRPr="00125BE1">
        <w:rPr>
          <w:rFonts w:eastAsia="Times New Roman" w:cs="Arial"/>
          <w:color w:val="000000"/>
          <w:lang w:val="ru-RU"/>
        </w:rPr>
        <w:t>(</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известен и като </w:t>
      </w:r>
      <w:r w:rsidRPr="00125BE1">
        <w:rPr>
          <w:rFonts w:eastAsia="Times New Roman" w:cs="Arial"/>
          <w:color w:val="000000"/>
          <w:lang w:val="en-US"/>
        </w:rPr>
        <w:t>HER</w:t>
      </w:r>
      <w:r w:rsidRPr="00125BE1">
        <w:rPr>
          <w:rFonts w:eastAsia="Times New Roman" w:cs="Arial"/>
          <w:color w:val="000000"/>
          <w:lang w:val="ru-RU"/>
        </w:rPr>
        <w:t xml:space="preserve">1). </w:t>
      </w:r>
      <w:r w:rsidRPr="00125BE1">
        <w:rPr>
          <w:rFonts w:eastAsia="Times New Roman" w:cs="Arial"/>
          <w:color w:val="000000"/>
          <w:lang w:eastAsia="bg-BG"/>
        </w:rPr>
        <w:t xml:space="preserve">Ерлотиниб мощно инхибира интрацелуларното фосфорилиране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се експресира върху клетъчната повърхност на нормалните и раковите клетки. В </w:t>
      </w:r>
      <w:r w:rsidRPr="00125BE1">
        <w:rPr>
          <w:rFonts w:eastAsia="Times New Roman" w:cs="Arial"/>
          <w:color w:val="000000"/>
          <w:lang w:eastAsia="bg-BG"/>
        </w:rPr>
        <w:lastRenderedPageBreak/>
        <w:t xml:space="preserve">неклинични модели инхибирането на фосфотирозина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води до клетъчна стаза и/или смърт.</w:t>
      </w:r>
    </w:p>
    <w:p w14:paraId="36623F97" w14:textId="77777777" w:rsidR="00125BE1" w:rsidRPr="00125BE1" w:rsidRDefault="00125BE1" w:rsidP="00125BE1">
      <w:pPr>
        <w:rPr>
          <w:rFonts w:eastAsia="Times New Roman" w:cs="Arial"/>
          <w:color w:val="000000"/>
          <w:lang w:val="en-US"/>
        </w:rPr>
      </w:pPr>
    </w:p>
    <w:p w14:paraId="7695B3BA" w14:textId="77777777" w:rsidR="00125BE1" w:rsidRPr="00125BE1" w:rsidRDefault="00125BE1" w:rsidP="00125BE1">
      <w:pPr>
        <w:rPr>
          <w:rFonts w:eastAsia="Times New Roman" w:cs="Arial"/>
          <w:sz w:val="24"/>
          <w:szCs w:val="24"/>
        </w:rPr>
      </w:pP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мутациите могат да доведат до конститутивно активиране на сигналните пътища на анти- апоптоза и пролиферация. Мощната ефективност на ерлотиниб при блокиране на </w:t>
      </w:r>
      <w:r w:rsidRPr="00125BE1">
        <w:rPr>
          <w:rFonts w:eastAsia="Times New Roman" w:cs="Arial"/>
          <w:color w:val="000000"/>
          <w:lang w:val="en-US"/>
        </w:rPr>
        <w:t>EGFR</w:t>
      </w:r>
      <w:r w:rsidRPr="00125BE1">
        <w:rPr>
          <w:rFonts w:eastAsia="Times New Roman" w:cs="Arial"/>
          <w:color w:val="000000"/>
          <w:lang w:val="ru-RU"/>
        </w:rPr>
        <w:t>-</w:t>
      </w:r>
      <w:r w:rsidRPr="00125BE1">
        <w:rPr>
          <w:rFonts w:eastAsia="Times New Roman" w:cs="Arial"/>
          <w:color w:val="000000"/>
          <w:lang w:eastAsia="bg-BG"/>
        </w:rPr>
        <w:t xml:space="preserve">медираното сигнализиране при тези тумори, положителни за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мутация, се отдава на здравото свързване на ерлотиниб с мястото на свързване на АТФ в мутиралия киназен домейн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Поради блокирането на междинното сигнализиране, пролиферацията на клетките се спира и се индуцира клетъчна смърт посредством вътрешно присъщ апоптозен път. Наблюдавана е туморна регресия при модели на мишки с подсилена експресия на тези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активиращи мутации.</w:t>
      </w:r>
    </w:p>
    <w:p w14:paraId="66F5E833" w14:textId="77777777" w:rsidR="00125BE1" w:rsidRPr="00125BE1" w:rsidRDefault="00125BE1" w:rsidP="00125BE1">
      <w:pPr>
        <w:spacing w:line="240" w:lineRule="auto"/>
        <w:rPr>
          <w:rFonts w:eastAsia="Times New Roman" w:cs="Arial"/>
          <w:color w:val="000000"/>
          <w:u w:val="single"/>
          <w:lang w:eastAsia="bg-BG"/>
        </w:rPr>
      </w:pPr>
    </w:p>
    <w:p w14:paraId="681CCB0C" w14:textId="636CFB69" w:rsidR="00125BE1" w:rsidRPr="00125BE1" w:rsidRDefault="00125BE1" w:rsidP="00125BE1">
      <w:pPr>
        <w:spacing w:line="240" w:lineRule="auto"/>
        <w:rPr>
          <w:rFonts w:eastAsia="Times New Roman" w:cs="Arial"/>
          <w:sz w:val="24"/>
          <w:szCs w:val="24"/>
        </w:rPr>
      </w:pPr>
      <w:r w:rsidRPr="00125BE1">
        <w:rPr>
          <w:rFonts w:eastAsia="Times New Roman" w:cs="Arial"/>
          <w:color w:val="000000"/>
          <w:u w:val="single"/>
          <w:lang w:eastAsia="bg-BG"/>
        </w:rPr>
        <w:t>Клинична ефикасност</w:t>
      </w:r>
    </w:p>
    <w:p w14:paraId="7A08907E" w14:textId="77777777" w:rsidR="00125BE1" w:rsidRPr="00125BE1" w:rsidRDefault="00125BE1" w:rsidP="00125BE1">
      <w:pPr>
        <w:spacing w:line="240" w:lineRule="auto"/>
        <w:rPr>
          <w:rFonts w:eastAsia="Times New Roman" w:cs="Arial"/>
          <w:color w:val="000000"/>
          <w:lang w:eastAsia="bg-BG"/>
        </w:rPr>
      </w:pPr>
    </w:p>
    <w:p w14:paraId="33A67B87" w14:textId="40802969" w:rsidR="00125BE1" w:rsidRPr="00125BE1" w:rsidRDefault="00125BE1" w:rsidP="00125BE1">
      <w:pPr>
        <w:pStyle w:val="ListParagraph"/>
        <w:numPr>
          <w:ilvl w:val="0"/>
          <w:numId w:val="37"/>
        </w:numPr>
        <w:spacing w:line="240" w:lineRule="auto"/>
        <w:rPr>
          <w:rFonts w:eastAsia="Times New Roman" w:cs="Arial"/>
          <w:sz w:val="24"/>
          <w:szCs w:val="24"/>
        </w:rPr>
      </w:pPr>
      <w:r w:rsidRPr="00125BE1">
        <w:rPr>
          <w:rFonts w:eastAsia="Times New Roman" w:cs="Arial"/>
          <w:color w:val="000000"/>
          <w:u w:val="single"/>
          <w:lang w:eastAsia="bg-BG"/>
        </w:rPr>
        <w:t xml:space="preserve">Първа линия на лечение на недребноклетьчен рак на белите дробове (НДКРБД) при пациенти с </w:t>
      </w:r>
      <w:r w:rsidRPr="00125BE1">
        <w:rPr>
          <w:rFonts w:eastAsia="Times New Roman" w:cs="Arial"/>
          <w:color w:val="000000"/>
          <w:u w:val="single"/>
          <w:lang w:val="en-US"/>
        </w:rPr>
        <w:t>EGFR</w:t>
      </w:r>
      <w:r w:rsidRPr="00125BE1">
        <w:rPr>
          <w:rFonts w:eastAsia="Times New Roman" w:cs="Arial"/>
          <w:color w:val="000000"/>
          <w:u w:val="single"/>
          <w:lang w:val="ru-RU"/>
        </w:rPr>
        <w:t xml:space="preserve"> </w:t>
      </w:r>
      <w:r w:rsidRPr="00125BE1">
        <w:rPr>
          <w:rFonts w:eastAsia="Times New Roman" w:cs="Arial"/>
          <w:color w:val="000000"/>
          <w:u w:val="single"/>
          <w:lang w:eastAsia="bg-BG"/>
        </w:rPr>
        <w:t>активиращи мутации (ерлотиниб приложен като монотерапия):</w:t>
      </w:r>
    </w:p>
    <w:p w14:paraId="35D210E3" w14:textId="77777777" w:rsidR="00125BE1" w:rsidRPr="00125BE1" w:rsidRDefault="00125BE1" w:rsidP="00125BE1">
      <w:pPr>
        <w:spacing w:line="240" w:lineRule="auto"/>
        <w:rPr>
          <w:rFonts w:eastAsia="Times New Roman" w:cs="Arial"/>
          <w:color w:val="000000"/>
          <w:lang w:eastAsia="bg-BG"/>
        </w:rPr>
      </w:pPr>
    </w:p>
    <w:p w14:paraId="14DDC0AA" w14:textId="29261A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Ефикасността на ерлотиниб като лечение от първа линия на пациенти с НДКРБД с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активиращи мутации е доказана в едно рандомизирано, открито клинично изпитване фаза Ш </w:t>
      </w:r>
      <w:r w:rsidRPr="00125BE1">
        <w:rPr>
          <w:rFonts w:eastAsia="Times New Roman" w:cs="Arial"/>
          <w:color w:val="000000"/>
          <w:lang w:val="ru-RU"/>
        </w:rPr>
        <w:t>(</w:t>
      </w:r>
      <w:r w:rsidRPr="00125BE1">
        <w:rPr>
          <w:rFonts w:eastAsia="Times New Roman" w:cs="Arial"/>
          <w:color w:val="000000"/>
          <w:lang w:val="en-US"/>
        </w:rPr>
        <w:t>ML</w:t>
      </w:r>
      <w:r w:rsidRPr="00125BE1">
        <w:rPr>
          <w:rFonts w:eastAsia="Times New Roman" w:cs="Arial"/>
          <w:color w:val="000000"/>
          <w:lang w:val="ru-RU"/>
        </w:rPr>
        <w:t xml:space="preserve">20650, </w:t>
      </w:r>
      <w:r w:rsidRPr="00125BE1">
        <w:rPr>
          <w:rFonts w:eastAsia="Times New Roman" w:cs="Arial"/>
          <w:color w:val="000000"/>
          <w:lang w:val="en-US"/>
        </w:rPr>
        <w:t>EURTAC</w:t>
      </w:r>
      <w:r w:rsidRPr="00125BE1">
        <w:rPr>
          <w:rFonts w:eastAsia="Times New Roman" w:cs="Arial"/>
          <w:color w:val="000000"/>
          <w:lang w:val="ru-RU"/>
        </w:rPr>
        <w:t xml:space="preserve">). </w:t>
      </w:r>
      <w:r w:rsidRPr="00125BE1">
        <w:rPr>
          <w:rFonts w:eastAsia="Times New Roman" w:cs="Arial"/>
          <w:color w:val="000000"/>
          <w:lang w:eastAsia="bg-BG"/>
        </w:rPr>
        <w:t xml:space="preserve">Това проучване е проведено при пациенти от бялата раса с метастазирал или локално напреднал НДКРБД (стадий </w:t>
      </w:r>
      <w:r w:rsidRPr="00125BE1">
        <w:rPr>
          <w:rFonts w:eastAsia="Times New Roman" w:cs="Arial"/>
          <w:color w:val="000000"/>
          <w:lang w:val="en-US"/>
        </w:rPr>
        <w:t>III</w:t>
      </w:r>
      <w:r w:rsidRPr="00125BE1">
        <w:rPr>
          <w:rFonts w:eastAsia="Times New Roman" w:cs="Arial"/>
          <w:color w:val="000000"/>
          <w:lang w:eastAsia="bg-BG"/>
        </w:rPr>
        <w:t xml:space="preserve">В и IV), които не са получавали преди това химиотерапия или каквато и да е системна противотуморна терапия за своето напреднало заболяване и които имат мутации в домейна на тирозин киназата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(делеция на ексон 19 или мутация на ексон 21). Пациентите са рандомизирани 1:1 за получаване на ерлотиниб 150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дневно или до 4 цикъла дублетна химиотерапия на базата на платина.</w:t>
      </w:r>
    </w:p>
    <w:p w14:paraId="1A34EC56"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Първичната крайна точка е ПБП, оценена от изследователя. Резултатите от ефикасността са обобщени в Таблица 3.</w:t>
      </w:r>
    </w:p>
    <w:p w14:paraId="353F75A0" w14:textId="77777777" w:rsidR="00125BE1" w:rsidRPr="00125BE1" w:rsidRDefault="00125BE1" w:rsidP="00125BE1">
      <w:pPr>
        <w:spacing w:line="240" w:lineRule="auto"/>
        <w:rPr>
          <w:rFonts w:eastAsia="Times New Roman" w:cs="Arial"/>
          <w:color w:val="000000"/>
          <w:lang w:eastAsia="bg-BG"/>
        </w:rPr>
      </w:pPr>
    </w:p>
    <w:p w14:paraId="7B5B6A04" w14:textId="56DE9D25"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Фшура 1: Крива на </w:t>
      </w:r>
      <w:r w:rsidRPr="00125BE1">
        <w:rPr>
          <w:rFonts w:eastAsia="Times New Roman" w:cs="Arial"/>
          <w:color w:val="000000"/>
          <w:lang w:val="en-US"/>
        </w:rPr>
        <w:t>Kaplan</w:t>
      </w:r>
      <w:r w:rsidRPr="00125BE1">
        <w:rPr>
          <w:rFonts w:eastAsia="Times New Roman" w:cs="Arial"/>
          <w:color w:val="000000"/>
          <w:lang w:val="ru-RU"/>
        </w:rPr>
        <w:t>-</w:t>
      </w:r>
      <w:r w:rsidRPr="00125BE1">
        <w:rPr>
          <w:rFonts w:eastAsia="Times New Roman" w:cs="Arial"/>
          <w:color w:val="000000"/>
          <w:lang w:val="en-US"/>
        </w:rPr>
        <w:t>Meier</w:t>
      </w:r>
      <w:r w:rsidRPr="00125BE1">
        <w:rPr>
          <w:rFonts w:eastAsia="Times New Roman" w:cs="Arial"/>
          <w:color w:val="000000"/>
          <w:lang w:val="ru-RU"/>
        </w:rPr>
        <w:t xml:space="preserve"> </w:t>
      </w:r>
      <w:r w:rsidRPr="00125BE1">
        <w:rPr>
          <w:rFonts w:eastAsia="Times New Roman" w:cs="Arial"/>
          <w:color w:val="000000"/>
          <w:lang w:eastAsia="bg-BG"/>
        </w:rPr>
        <w:t xml:space="preserve">за ПБП, оценена от изследователя в клинично изпитване </w:t>
      </w:r>
      <w:r w:rsidRPr="00125BE1">
        <w:rPr>
          <w:rFonts w:eastAsia="Times New Roman" w:cs="Arial"/>
          <w:color w:val="000000"/>
          <w:lang w:val="en-US"/>
        </w:rPr>
        <w:t>ML</w:t>
      </w:r>
      <w:r w:rsidRPr="00125BE1">
        <w:rPr>
          <w:rFonts w:eastAsia="Times New Roman" w:cs="Arial"/>
          <w:color w:val="000000"/>
          <w:lang w:val="ru-RU"/>
        </w:rPr>
        <w:t>20650 (</w:t>
      </w:r>
      <w:r w:rsidRPr="00125BE1">
        <w:rPr>
          <w:rFonts w:eastAsia="Times New Roman" w:cs="Arial"/>
          <w:color w:val="000000"/>
          <w:lang w:val="en-US"/>
        </w:rPr>
        <w:t>EURTAC</w:t>
      </w:r>
      <w:r w:rsidRPr="00125BE1">
        <w:rPr>
          <w:rFonts w:eastAsia="Times New Roman" w:cs="Arial"/>
          <w:color w:val="000000"/>
          <w:lang w:val="ru-RU"/>
        </w:rPr>
        <w:t xml:space="preserve">) </w:t>
      </w:r>
      <w:r w:rsidRPr="00125BE1">
        <w:rPr>
          <w:rFonts w:eastAsia="Times New Roman" w:cs="Arial"/>
          <w:color w:val="000000"/>
          <w:lang w:eastAsia="bg-BG"/>
        </w:rPr>
        <w:t>(крайна дата: април 2012 г.)</w:t>
      </w:r>
    </w:p>
    <w:p w14:paraId="5FB9D4B0" w14:textId="77777777" w:rsidR="00125BE1" w:rsidRPr="00125BE1" w:rsidRDefault="00125BE1" w:rsidP="00125BE1">
      <w:pPr>
        <w:spacing w:line="240" w:lineRule="auto"/>
        <w:rPr>
          <w:rFonts w:eastAsia="Times New Roman" w:cs="Arial"/>
          <w:color w:val="000000"/>
          <w:lang w:eastAsia="bg-BG"/>
        </w:rPr>
      </w:pPr>
    </w:p>
    <w:p w14:paraId="550EC1A4" w14:textId="77777777" w:rsidR="00125BE1" w:rsidRPr="00125BE1" w:rsidRDefault="00125BE1" w:rsidP="00125BE1">
      <w:pPr>
        <w:spacing w:line="240" w:lineRule="auto"/>
        <w:rPr>
          <w:rFonts w:eastAsia="Times New Roman" w:cs="Arial"/>
          <w:color w:val="000000"/>
          <w:lang w:eastAsia="bg-BG"/>
        </w:rPr>
      </w:pPr>
    </w:p>
    <w:p w14:paraId="7CFF264B" w14:textId="136F0BCB" w:rsid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ПБП</w:t>
      </w:r>
    </w:p>
    <w:p w14:paraId="262433E1" w14:textId="1A6C8CF0" w:rsidR="00125BE1" w:rsidRPr="00125BE1" w:rsidRDefault="00125BE1" w:rsidP="00125BE1">
      <w:pPr>
        <w:spacing w:line="240" w:lineRule="auto"/>
        <w:rPr>
          <w:rFonts w:ascii="Times New Roman" w:eastAsia="Times New Roman" w:hAnsi="Times New Roman" w:cs="Times New Roman"/>
          <w:sz w:val="24"/>
          <w:szCs w:val="24"/>
        </w:rPr>
      </w:pPr>
      <w:r>
        <w:rPr>
          <w:noProof/>
          <w:lang w:val="en-US"/>
        </w:rPr>
        <w:lastRenderedPageBreak/>
        <w:drawing>
          <wp:inline distT="0" distB="0" distL="0" distR="0" wp14:anchorId="5167A203" wp14:editId="4A9AB72C">
            <wp:extent cx="5943600" cy="388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889375"/>
                    </a:xfrm>
                    <a:prstGeom prst="rect">
                      <a:avLst/>
                    </a:prstGeom>
                  </pic:spPr>
                </pic:pic>
              </a:graphicData>
            </a:graphic>
          </wp:inline>
        </w:drawing>
      </w:r>
    </w:p>
    <w:p w14:paraId="658BC0FE" w14:textId="2C71DD3D" w:rsidR="00125BE1" w:rsidRDefault="00125BE1" w:rsidP="00125BE1"/>
    <w:p w14:paraId="48BC3E9D"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Таблица 3: Резултати от ефикасността на ерлотиниб сравнено с химиотерапия при изпитване </w:t>
      </w:r>
      <w:r w:rsidRPr="00125BE1">
        <w:rPr>
          <w:rFonts w:eastAsia="Times New Roman" w:cs="Arial"/>
          <w:color w:val="000000"/>
          <w:lang w:val="en-US"/>
        </w:rPr>
        <w:t>ML</w:t>
      </w:r>
      <w:r w:rsidRPr="00125BE1">
        <w:rPr>
          <w:rFonts w:eastAsia="Times New Roman" w:cs="Arial"/>
          <w:color w:val="000000"/>
          <w:lang w:val="ru-RU"/>
        </w:rPr>
        <w:t>20650 (</w:t>
      </w:r>
      <w:r w:rsidRPr="00125BE1">
        <w:rPr>
          <w:rFonts w:eastAsia="Times New Roman" w:cs="Arial"/>
          <w:color w:val="000000"/>
          <w:lang w:val="en-US"/>
        </w:rPr>
        <w:t>EURTAC</w:t>
      </w:r>
      <w:r w:rsidRPr="00125BE1">
        <w:rPr>
          <w:rFonts w:eastAsia="Times New Roman" w:cs="Arial"/>
          <w:color w:val="000000"/>
          <w:lang w:val="ru-RU"/>
        </w:rPr>
        <w:t>)</w:t>
      </w:r>
    </w:p>
    <w:p w14:paraId="2741473A" w14:textId="00A88CFB" w:rsidR="00125BE1" w:rsidRDefault="00125BE1" w:rsidP="00125BE1"/>
    <w:tbl>
      <w:tblPr>
        <w:tblStyle w:val="TableGrid"/>
        <w:tblW w:w="0" w:type="auto"/>
        <w:tblLook w:val="04A0" w:firstRow="1" w:lastRow="0" w:firstColumn="1" w:lastColumn="0" w:noHBand="0" w:noVBand="1"/>
      </w:tblPr>
      <w:tblGrid>
        <w:gridCol w:w="1495"/>
        <w:gridCol w:w="1847"/>
        <w:gridCol w:w="1535"/>
        <w:gridCol w:w="1106"/>
        <w:gridCol w:w="1904"/>
        <w:gridCol w:w="1463"/>
      </w:tblGrid>
      <w:tr w:rsidR="000A506C" w14:paraId="70B3D520" w14:textId="77777777" w:rsidTr="000A506C">
        <w:tc>
          <w:tcPr>
            <w:tcW w:w="1543" w:type="dxa"/>
          </w:tcPr>
          <w:p w14:paraId="2340D03D" w14:textId="77777777" w:rsidR="000A506C" w:rsidRDefault="000A506C" w:rsidP="000A506C"/>
        </w:tc>
        <w:tc>
          <w:tcPr>
            <w:tcW w:w="1847" w:type="dxa"/>
          </w:tcPr>
          <w:p w14:paraId="08818769" w14:textId="77777777" w:rsidR="000A506C" w:rsidRDefault="000A506C" w:rsidP="000A506C"/>
        </w:tc>
        <w:tc>
          <w:tcPr>
            <w:tcW w:w="1564" w:type="dxa"/>
          </w:tcPr>
          <w:p w14:paraId="6C34730D" w14:textId="08691D8C" w:rsidR="000A506C" w:rsidRDefault="000A506C" w:rsidP="000A506C">
            <w:r>
              <w:rPr>
                <w:b/>
                <w:bCs/>
              </w:rPr>
              <w:t>Ерлотиниб</w:t>
            </w:r>
          </w:p>
        </w:tc>
        <w:tc>
          <w:tcPr>
            <w:tcW w:w="1108" w:type="dxa"/>
          </w:tcPr>
          <w:p w14:paraId="332EA47F" w14:textId="439F39A8" w:rsidR="000A506C" w:rsidRDefault="000A506C" w:rsidP="000A506C">
            <w:r>
              <w:rPr>
                <w:b/>
                <w:bCs/>
              </w:rPr>
              <w:t>Химио</w:t>
            </w:r>
            <w:r>
              <w:rPr>
                <w:b/>
                <w:bCs/>
              </w:rPr>
              <w:softHyphen/>
              <w:t>терапия</w:t>
            </w:r>
          </w:p>
        </w:tc>
        <w:tc>
          <w:tcPr>
            <w:tcW w:w="1988" w:type="dxa"/>
          </w:tcPr>
          <w:p w14:paraId="4E73CBE8" w14:textId="77777777" w:rsidR="000A506C" w:rsidRDefault="000A506C" w:rsidP="000A506C">
            <w:r>
              <w:rPr>
                <w:b/>
                <w:bCs/>
              </w:rPr>
              <w:t>Коефициент на</w:t>
            </w:r>
          </w:p>
          <w:p w14:paraId="1F696FD5" w14:textId="4B625002" w:rsidR="000A506C" w:rsidRDefault="000A506C" w:rsidP="000A506C">
            <w:r>
              <w:rPr>
                <w:b/>
                <w:bCs/>
              </w:rPr>
              <w:t>риск (95% ДИ)</w:t>
            </w:r>
          </w:p>
        </w:tc>
        <w:tc>
          <w:tcPr>
            <w:tcW w:w="1526" w:type="dxa"/>
          </w:tcPr>
          <w:p w14:paraId="2AF41419" w14:textId="15A43692" w:rsidR="000A506C" w:rsidRDefault="000A506C" w:rsidP="000A506C">
            <w:r>
              <w:rPr>
                <w:b/>
                <w:bCs/>
                <w:lang w:val="en-US"/>
              </w:rPr>
              <w:t>p-</w:t>
            </w:r>
            <w:r>
              <w:rPr>
                <w:b/>
                <w:bCs/>
              </w:rPr>
              <w:t>стойност</w:t>
            </w:r>
          </w:p>
        </w:tc>
      </w:tr>
      <w:tr w:rsidR="000A506C" w14:paraId="6E4C66A6" w14:textId="77777777" w:rsidTr="000A506C">
        <w:tc>
          <w:tcPr>
            <w:tcW w:w="1543" w:type="dxa"/>
            <w:vMerge w:val="restart"/>
          </w:tcPr>
          <w:p w14:paraId="5525C8CF" w14:textId="77777777" w:rsidR="000A506C" w:rsidRPr="000A506C" w:rsidRDefault="000A506C" w:rsidP="000A506C">
            <w:pPr>
              <w:rPr>
                <w:rFonts w:ascii="Times New Roman" w:eastAsia="Times New Roman" w:hAnsi="Times New Roman" w:cs="Times New Roman"/>
                <w:sz w:val="24"/>
                <w:szCs w:val="24"/>
              </w:rPr>
            </w:pPr>
            <w:r>
              <w:t xml:space="preserve">Предвари- телен планиран </w:t>
            </w:r>
            <w:r w:rsidRPr="000A506C">
              <w:rPr>
                <w:rFonts w:ascii="Times New Roman" w:eastAsia="Times New Roman" w:hAnsi="Times New Roman" w:cs="Times New Roman"/>
                <w:color w:val="000000"/>
                <w:lang w:eastAsia="bg-BG"/>
              </w:rPr>
              <w:t>междинен анализ</w:t>
            </w:r>
          </w:p>
          <w:p w14:paraId="2595834B" w14:textId="77777777" w:rsidR="000A506C" w:rsidRPr="000A506C" w:rsidRDefault="000A506C" w:rsidP="000A506C">
            <w:pPr>
              <w:spacing w:line="240" w:lineRule="auto"/>
              <w:rPr>
                <w:rFonts w:ascii="Times New Roman" w:eastAsia="Times New Roman" w:hAnsi="Times New Roman" w:cs="Times New Roman"/>
                <w:sz w:val="24"/>
                <w:szCs w:val="24"/>
              </w:rPr>
            </w:pPr>
            <w:r w:rsidRPr="000A506C">
              <w:rPr>
                <w:rFonts w:ascii="Times New Roman" w:eastAsia="Times New Roman" w:hAnsi="Times New Roman" w:cs="Times New Roman"/>
                <w:color w:val="000000"/>
                <w:lang w:eastAsia="bg-BG"/>
              </w:rPr>
              <w:t>(35% ОП зрялост) (п=153)</w:t>
            </w:r>
          </w:p>
          <w:p w14:paraId="3E0428DB" w14:textId="73DAA2C5" w:rsidR="000A506C" w:rsidRDefault="000A506C" w:rsidP="000A506C">
            <w:r w:rsidRPr="000A506C">
              <w:rPr>
                <w:rFonts w:ascii="Times New Roman" w:eastAsia="Times New Roman" w:hAnsi="Times New Roman" w:cs="Times New Roman"/>
                <w:color w:val="000000"/>
                <w:lang w:eastAsia="bg-BG"/>
              </w:rPr>
              <w:t>Крайна дата: август 2010</w:t>
            </w:r>
          </w:p>
        </w:tc>
        <w:tc>
          <w:tcPr>
            <w:tcW w:w="1847" w:type="dxa"/>
          </w:tcPr>
          <w:p w14:paraId="40A039B1" w14:textId="77777777" w:rsidR="000A506C" w:rsidRDefault="000A506C" w:rsidP="000A506C"/>
        </w:tc>
        <w:tc>
          <w:tcPr>
            <w:tcW w:w="1564" w:type="dxa"/>
          </w:tcPr>
          <w:p w14:paraId="5DD216DD" w14:textId="69F6F7DE" w:rsidR="000A506C" w:rsidRDefault="000A506C" w:rsidP="000A506C">
            <w:r>
              <w:rPr>
                <w:lang w:val="en-US"/>
              </w:rPr>
              <w:t>n</w:t>
            </w:r>
            <w:r>
              <w:t>=77</w:t>
            </w:r>
          </w:p>
        </w:tc>
        <w:tc>
          <w:tcPr>
            <w:tcW w:w="1108" w:type="dxa"/>
          </w:tcPr>
          <w:p w14:paraId="5FC3F4C6" w14:textId="428FDD62" w:rsidR="000A506C" w:rsidRDefault="000A506C" w:rsidP="000A506C">
            <w:r>
              <w:rPr>
                <w:lang w:val="en-US"/>
              </w:rPr>
              <w:t>n=</w:t>
            </w:r>
            <w:r>
              <w:t>76</w:t>
            </w:r>
          </w:p>
        </w:tc>
        <w:tc>
          <w:tcPr>
            <w:tcW w:w="1988" w:type="dxa"/>
          </w:tcPr>
          <w:p w14:paraId="7B923D9F" w14:textId="77777777" w:rsidR="000A506C" w:rsidRDefault="000A506C" w:rsidP="000A506C"/>
        </w:tc>
        <w:tc>
          <w:tcPr>
            <w:tcW w:w="1526" w:type="dxa"/>
          </w:tcPr>
          <w:p w14:paraId="3452F9F8" w14:textId="77777777" w:rsidR="000A506C" w:rsidRDefault="000A506C" w:rsidP="000A506C"/>
        </w:tc>
      </w:tr>
      <w:tr w:rsidR="000A506C" w14:paraId="322CD859" w14:textId="77777777" w:rsidTr="000A506C">
        <w:tc>
          <w:tcPr>
            <w:tcW w:w="1543" w:type="dxa"/>
            <w:vMerge/>
          </w:tcPr>
          <w:p w14:paraId="040ADA0E" w14:textId="77777777" w:rsidR="000A506C" w:rsidRDefault="000A506C" w:rsidP="000A506C"/>
        </w:tc>
        <w:tc>
          <w:tcPr>
            <w:tcW w:w="1847" w:type="dxa"/>
          </w:tcPr>
          <w:p w14:paraId="2F5C065B" w14:textId="242CDB5C" w:rsidR="000A506C" w:rsidRDefault="000A506C" w:rsidP="000A506C">
            <w:r>
              <w:t>Първична крайна точка:</w:t>
            </w:r>
          </w:p>
        </w:tc>
        <w:tc>
          <w:tcPr>
            <w:tcW w:w="1564" w:type="dxa"/>
          </w:tcPr>
          <w:p w14:paraId="786C9E88" w14:textId="77777777" w:rsidR="000A506C" w:rsidRDefault="000A506C" w:rsidP="000A506C"/>
        </w:tc>
        <w:tc>
          <w:tcPr>
            <w:tcW w:w="1108" w:type="dxa"/>
          </w:tcPr>
          <w:p w14:paraId="7A0AC090" w14:textId="77777777" w:rsidR="000A506C" w:rsidRDefault="000A506C" w:rsidP="000A506C"/>
        </w:tc>
        <w:tc>
          <w:tcPr>
            <w:tcW w:w="1988" w:type="dxa"/>
          </w:tcPr>
          <w:p w14:paraId="098A4994" w14:textId="77777777" w:rsidR="000A506C" w:rsidRDefault="000A506C" w:rsidP="000A506C"/>
        </w:tc>
        <w:tc>
          <w:tcPr>
            <w:tcW w:w="1526" w:type="dxa"/>
          </w:tcPr>
          <w:p w14:paraId="19357096" w14:textId="77777777" w:rsidR="000A506C" w:rsidRDefault="000A506C" w:rsidP="000A506C"/>
        </w:tc>
      </w:tr>
      <w:tr w:rsidR="000A506C" w14:paraId="48975B43" w14:textId="77777777" w:rsidTr="000A506C">
        <w:tc>
          <w:tcPr>
            <w:tcW w:w="1543" w:type="dxa"/>
            <w:vMerge/>
          </w:tcPr>
          <w:p w14:paraId="7D74AE76" w14:textId="77777777" w:rsidR="000A506C" w:rsidRDefault="000A506C" w:rsidP="000A506C"/>
        </w:tc>
        <w:tc>
          <w:tcPr>
            <w:tcW w:w="1847" w:type="dxa"/>
          </w:tcPr>
          <w:p w14:paraId="0022E65A" w14:textId="77777777" w:rsidR="000A506C" w:rsidRDefault="000A506C" w:rsidP="000A506C">
            <w:r>
              <w:t>Преживяемост без прогресия (ПБП, медиана в месеци)* Оценка от изследователя* *</w:t>
            </w:r>
          </w:p>
          <w:p w14:paraId="0055E6CC" w14:textId="55EBB81A" w:rsidR="000A506C" w:rsidRDefault="000A506C" w:rsidP="000A506C">
            <w:r>
              <w:t>Независим преглед**</w:t>
            </w:r>
          </w:p>
        </w:tc>
        <w:tc>
          <w:tcPr>
            <w:tcW w:w="1564" w:type="dxa"/>
          </w:tcPr>
          <w:p w14:paraId="4F029A22" w14:textId="77777777" w:rsidR="000A506C" w:rsidRDefault="000A506C" w:rsidP="000A506C">
            <w:r>
              <w:t>9,4</w:t>
            </w:r>
          </w:p>
          <w:p w14:paraId="4B113506" w14:textId="77777777" w:rsidR="000A506C" w:rsidRDefault="000A506C" w:rsidP="000A506C"/>
          <w:p w14:paraId="2797C0DB" w14:textId="77777777" w:rsidR="000A506C" w:rsidRDefault="000A506C" w:rsidP="000A506C"/>
          <w:p w14:paraId="1C9FABE8" w14:textId="77777777" w:rsidR="000A506C" w:rsidRDefault="000A506C" w:rsidP="000A506C"/>
          <w:p w14:paraId="7A8575EA" w14:textId="77777777" w:rsidR="000A506C" w:rsidRDefault="000A506C" w:rsidP="000A506C"/>
          <w:p w14:paraId="24AAE2D0" w14:textId="77777777" w:rsidR="000A506C" w:rsidRDefault="000A506C" w:rsidP="000A506C"/>
          <w:p w14:paraId="108AAA60" w14:textId="77777777" w:rsidR="000A506C" w:rsidRDefault="000A506C" w:rsidP="000A506C"/>
          <w:p w14:paraId="7A83D262" w14:textId="4ACC0939" w:rsidR="000A506C" w:rsidRDefault="000A506C" w:rsidP="000A506C">
            <w:r>
              <w:t>10,4</w:t>
            </w:r>
          </w:p>
        </w:tc>
        <w:tc>
          <w:tcPr>
            <w:tcW w:w="1108" w:type="dxa"/>
          </w:tcPr>
          <w:p w14:paraId="75A0D934" w14:textId="77777777" w:rsidR="000A506C" w:rsidRDefault="000A506C" w:rsidP="000A506C">
            <w:r>
              <w:t>5,2</w:t>
            </w:r>
          </w:p>
          <w:p w14:paraId="2A5A9498" w14:textId="77777777" w:rsidR="000A506C" w:rsidRDefault="000A506C" w:rsidP="000A506C"/>
          <w:p w14:paraId="4C294F0E" w14:textId="77777777" w:rsidR="000A506C" w:rsidRDefault="000A506C" w:rsidP="000A506C"/>
          <w:p w14:paraId="62C5585B" w14:textId="77777777" w:rsidR="000A506C" w:rsidRDefault="000A506C" w:rsidP="000A506C"/>
          <w:p w14:paraId="4C9005A7" w14:textId="77777777" w:rsidR="000A506C" w:rsidRDefault="000A506C" w:rsidP="000A506C"/>
          <w:p w14:paraId="43941224" w14:textId="77777777" w:rsidR="000A506C" w:rsidRDefault="000A506C" w:rsidP="000A506C"/>
          <w:p w14:paraId="71F00F4D" w14:textId="77777777" w:rsidR="000A506C" w:rsidRDefault="000A506C" w:rsidP="000A506C"/>
          <w:p w14:paraId="2E2AF53C" w14:textId="2288B763" w:rsidR="000A506C" w:rsidRDefault="000A506C" w:rsidP="000A506C">
            <w:r>
              <w:t>5,4</w:t>
            </w:r>
          </w:p>
        </w:tc>
        <w:tc>
          <w:tcPr>
            <w:tcW w:w="1988" w:type="dxa"/>
          </w:tcPr>
          <w:p w14:paraId="28FA7F12" w14:textId="77777777" w:rsidR="000A506C" w:rsidRDefault="000A506C" w:rsidP="000A506C">
            <w:r>
              <w:t xml:space="preserve">0,42 [0,27-0,64] </w:t>
            </w:r>
          </w:p>
          <w:p w14:paraId="1900302F" w14:textId="77777777" w:rsidR="000A506C" w:rsidRDefault="000A506C" w:rsidP="000A506C"/>
          <w:p w14:paraId="76B56AC2" w14:textId="77777777" w:rsidR="000A506C" w:rsidRDefault="000A506C" w:rsidP="000A506C"/>
          <w:p w14:paraId="71914BBF" w14:textId="77777777" w:rsidR="000A506C" w:rsidRDefault="000A506C" w:rsidP="000A506C"/>
          <w:p w14:paraId="090D52AD" w14:textId="77777777" w:rsidR="000A506C" w:rsidRDefault="000A506C" w:rsidP="000A506C"/>
          <w:p w14:paraId="52904772" w14:textId="77777777" w:rsidR="000A506C" w:rsidRDefault="000A506C" w:rsidP="000A506C"/>
          <w:p w14:paraId="371D618B" w14:textId="77777777" w:rsidR="000A506C" w:rsidRDefault="000A506C" w:rsidP="000A506C"/>
          <w:p w14:paraId="410EDBC8" w14:textId="0411BA1B" w:rsidR="000A506C" w:rsidRDefault="000A506C" w:rsidP="000A506C">
            <w:r>
              <w:t>0,47 [0,27-0,78]</w:t>
            </w:r>
          </w:p>
        </w:tc>
        <w:tc>
          <w:tcPr>
            <w:tcW w:w="1526" w:type="dxa"/>
          </w:tcPr>
          <w:p w14:paraId="7E4ED49E" w14:textId="77777777" w:rsidR="000A506C" w:rsidRDefault="000A506C" w:rsidP="000A506C">
            <w:r>
              <w:t>р&lt;0,0001</w:t>
            </w:r>
          </w:p>
          <w:p w14:paraId="4D030677" w14:textId="77777777" w:rsidR="000A506C" w:rsidRDefault="000A506C" w:rsidP="000A506C"/>
          <w:p w14:paraId="2EF4591C" w14:textId="77777777" w:rsidR="000A506C" w:rsidRDefault="000A506C" w:rsidP="000A506C"/>
          <w:p w14:paraId="21D7CA4D" w14:textId="77777777" w:rsidR="000A506C" w:rsidRDefault="000A506C" w:rsidP="000A506C"/>
          <w:p w14:paraId="24FCCB47" w14:textId="77777777" w:rsidR="000A506C" w:rsidRDefault="000A506C" w:rsidP="000A506C"/>
          <w:p w14:paraId="0ED578B4" w14:textId="77777777" w:rsidR="000A506C" w:rsidRDefault="000A506C" w:rsidP="000A506C"/>
          <w:p w14:paraId="21DD1B23" w14:textId="77777777" w:rsidR="000A506C" w:rsidRDefault="000A506C" w:rsidP="000A506C"/>
          <w:p w14:paraId="72127174" w14:textId="2E843B21" w:rsidR="000A506C" w:rsidRDefault="000A506C" w:rsidP="000A506C">
            <w:r>
              <w:t>р=0,003</w:t>
            </w:r>
          </w:p>
        </w:tc>
      </w:tr>
      <w:tr w:rsidR="000A506C" w14:paraId="33389938" w14:textId="77777777" w:rsidTr="000A506C">
        <w:tc>
          <w:tcPr>
            <w:tcW w:w="1543" w:type="dxa"/>
            <w:vMerge/>
          </w:tcPr>
          <w:p w14:paraId="7194F75F" w14:textId="77777777" w:rsidR="000A506C" w:rsidRDefault="000A506C" w:rsidP="000A506C"/>
        </w:tc>
        <w:tc>
          <w:tcPr>
            <w:tcW w:w="1847" w:type="dxa"/>
          </w:tcPr>
          <w:p w14:paraId="7AE2F623" w14:textId="71D2869B" w:rsidR="000A506C" w:rsidRDefault="000A506C" w:rsidP="000A506C">
            <w:r>
              <w:t xml:space="preserve">Най-добро ниво на отговор </w:t>
            </w:r>
            <w:r w:rsidRPr="000A506C">
              <w:rPr>
                <w:lang w:val="ru-RU"/>
              </w:rPr>
              <w:t>(</w:t>
            </w:r>
            <w:r>
              <w:rPr>
                <w:lang w:val="en-US"/>
              </w:rPr>
              <w:t>CR</w:t>
            </w:r>
            <w:r w:rsidRPr="000A506C">
              <w:rPr>
                <w:lang w:val="ru-RU"/>
              </w:rPr>
              <w:t>/</w:t>
            </w:r>
            <w:r>
              <w:rPr>
                <w:lang w:val="en-US"/>
              </w:rPr>
              <w:t>PR</w:t>
            </w:r>
            <w:r w:rsidRPr="000A506C">
              <w:rPr>
                <w:lang w:val="ru-RU"/>
              </w:rPr>
              <w:t>)</w:t>
            </w:r>
          </w:p>
        </w:tc>
        <w:tc>
          <w:tcPr>
            <w:tcW w:w="1564" w:type="dxa"/>
          </w:tcPr>
          <w:p w14:paraId="70099C04" w14:textId="3482DD7F" w:rsidR="000A506C" w:rsidRDefault="000A506C" w:rsidP="000A506C">
            <w:r>
              <w:t>54,5%</w:t>
            </w:r>
          </w:p>
        </w:tc>
        <w:tc>
          <w:tcPr>
            <w:tcW w:w="1108" w:type="dxa"/>
          </w:tcPr>
          <w:p w14:paraId="3BB336AC" w14:textId="1B782E46" w:rsidR="000A506C" w:rsidRDefault="000A506C" w:rsidP="000A506C">
            <w:r>
              <w:t>10,5%</w:t>
            </w:r>
          </w:p>
        </w:tc>
        <w:tc>
          <w:tcPr>
            <w:tcW w:w="1988" w:type="dxa"/>
          </w:tcPr>
          <w:p w14:paraId="654529A4" w14:textId="77777777" w:rsidR="000A506C" w:rsidRDefault="000A506C" w:rsidP="000A506C"/>
        </w:tc>
        <w:tc>
          <w:tcPr>
            <w:tcW w:w="1526" w:type="dxa"/>
          </w:tcPr>
          <w:p w14:paraId="295B6B85" w14:textId="6C9404CD" w:rsidR="000A506C" w:rsidRDefault="000A506C" w:rsidP="000A506C">
            <w:r>
              <w:t>р&lt;0,0001</w:t>
            </w:r>
          </w:p>
        </w:tc>
      </w:tr>
      <w:tr w:rsidR="000A506C" w14:paraId="7BC797FD" w14:textId="77777777" w:rsidTr="000A506C">
        <w:tc>
          <w:tcPr>
            <w:tcW w:w="1543" w:type="dxa"/>
            <w:vMerge/>
          </w:tcPr>
          <w:p w14:paraId="1D5AD343" w14:textId="77777777" w:rsidR="000A506C" w:rsidRDefault="000A506C" w:rsidP="000A506C"/>
        </w:tc>
        <w:tc>
          <w:tcPr>
            <w:tcW w:w="1847" w:type="dxa"/>
          </w:tcPr>
          <w:p w14:paraId="4067639E" w14:textId="0589105B" w:rsidR="000A506C" w:rsidRDefault="000A506C" w:rsidP="000A506C">
            <w:r>
              <w:t>Обща преживяемост (ОП) (месеци)</w:t>
            </w:r>
          </w:p>
        </w:tc>
        <w:tc>
          <w:tcPr>
            <w:tcW w:w="1564" w:type="dxa"/>
          </w:tcPr>
          <w:p w14:paraId="596579AA" w14:textId="76452B7A" w:rsidR="000A506C" w:rsidRDefault="000A506C" w:rsidP="000A506C">
            <w:r>
              <w:t>22,9</w:t>
            </w:r>
          </w:p>
        </w:tc>
        <w:tc>
          <w:tcPr>
            <w:tcW w:w="1108" w:type="dxa"/>
          </w:tcPr>
          <w:p w14:paraId="24F963B9" w14:textId="56A1DEE8" w:rsidR="000A506C" w:rsidRDefault="000A506C" w:rsidP="000A506C">
            <w:r>
              <w:t>18,8</w:t>
            </w:r>
          </w:p>
        </w:tc>
        <w:tc>
          <w:tcPr>
            <w:tcW w:w="1988" w:type="dxa"/>
          </w:tcPr>
          <w:p w14:paraId="0E737871" w14:textId="1AF1403A" w:rsidR="000A506C" w:rsidRDefault="000A506C" w:rsidP="000A506C">
            <w:r>
              <w:t>0,80 [0,47-1,37]</w:t>
            </w:r>
          </w:p>
        </w:tc>
        <w:tc>
          <w:tcPr>
            <w:tcW w:w="1526" w:type="dxa"/>
          </w:tcPr>
          <w:p w14:paraId="7EE03E6B" w14:textId="3439B1A9" w:rsidR="000A506C" w:rsidRDefault="000A506C" w:rsidP="000A506C">
            <w:r>
              <w:t>р=0,4170</w:t>
            </w:r>
          </w:p>
        </w:tc>
      </w:tr>
      <w:tr w:rsidR="000A506C" w14:paraId="4DCEEC07" w14:textId="77777777" w:rsidTr="000A506C">
        <w:tc>
          <w:tcPr>
            <w:tcW w:w="1543" w:type="dxa"/>
            <w:vMerge w:val="restart"/>
          </w:tcPr>
          <w:p w14:paraId="66BD9C5A" w14:textId="77777777" w:rsidR="000A506C" w:rsidRDefault="000A506C" w:rsidP="000A506C">
            <w:r>
              <w:lastRenderedPageBreak/>
              <w:t>Експлора- тивен анализ (40% ОП зрялост) (</w:t>
            </w:r>
            <w:r>
              <w:rPr>
                <w:lang w:val="en-US"/>
              </w:rPr>
              <w:t>n</w:t>
            </w:r>
            <w:r w:rsidRPr="000A506C">
              <w:rPr>
                <w:lang w:val="ru-RU"/>
              </w:rPr>
              <w:t>=</w:t>
            </w:r>
            <w:r>
              <w:t>173)</w:t>
            </w:r>
          </w:p>
          <w:p w14:paraId="331EAE56" w14:textId="13240888" w:rsidR="000A506C" w:rsidRDefault="000A506C" w:rsidP="000A506C">
            <w:r>
              <w:t>Крайна дата: януари 2011</w:t>
            </w:r>
          </w:p>
        </w:tc>
        <w:tc>
          <w:tcPr>
            <w:tcW w:w="1847" w:type="dxa"/>
          </w:tcPr>
          <w:p w14:paraId="3B12E299" w14:textId="77777777" w:rsidR="000A506C" w:rsidRDefault="000A506C" w:rsidP="000A506C"/>
        </w:tc>
        <w:tc>
          <w:tcPr>
            <w:tcW w:w="1564" w:type="dxa"/>
          </w:tcPr>
          <w:p w14:paraId="5E8BDAC0" w14:textId="68680918" w:rsidR="000A506C" w:rsidRDefault="000A506C" w:rsidP="000A506C">
            <w:r>
              <w:rPr>
                <w:lang w:val="en-US"/>
              </w:rPr>
              <w:t>n</w:t>
            </w:r>
            <w:r>
              <w:t>=86</w:t>
            </w:r>
          </w:p>
        </w:tc>
        <w:tc>
          <w:tcPr>
            <w:tcW w:w="1108" w:type="dxa"/>
          </w:tcPr>
          <w:p w14:paraId="3653E96B" w14:textId="7A31C6B1" w:rsidR="000A506C" w:rsidRDefault="000A506C" w:rsidP="000A506C">
            <w:r>
              <w:rPr>
                <w:lang w:val="en-US"/>
              </w:rPr>
              <w:t>n</w:t>
            </w:r>
            <w:r>
              <w:t>=87</w:t>
            </w:r>
          </w:p>
        </w:tc>
        <w:tc>
          <w:tcPr>
            <w:tcW w:w="1988" w:type="dxa"/>
          </w:tcPr>
          <w:p w14:paraId="4C2E7667" w14:textId="77777777" w:rsidR="000A506C" w:rsidRDefault="000A506C" w:rsidP="000A506C"/>
        </w:tc>
        <w:tc>
          <w:tcPr>
            <w:tcW w:w="1526" w:type="dxa"/>
          </w:tcPr>
          <w:p w14:paraId="2D8120AA" w14:textId="77777777" w:rsidR="000A506C" w:rsidRDefault="000A506C" w:rsidP="000A506C"/>
        </w:tc>
      </w:tr>
      <w:tr w:rsidR="000A506C" w14:paraId="4CB376ED" w14:textId="77777777" w:rsidTr="000A506C">
        <w:tc>
          <w:tcPr>
            <w:tcW w:w="1543" w:type="dxa"/>
            <w:vMerge/>
          </w:tcPr>
          <w:p w14:paraId="1641B352" w14:textId="77777777" w:rsidR="000A506C" w:rsidRDefault="000A506C" w:rsidP="000A506C"/>
        </w:tc>
        <w:tc>
          <w:tcPr>
            <w:tcW w:w="1847" w:type="dxa"/>
          </w:tcPr>
          <w:p w14:paraId="7188FE0B" w14:textId="62A0607F" w:rsidR="000A506C" w:rsidRDefault="000A506C" w:rsidP="000A506C">
            <w:r>
              <w:t>ПБП (медиана в месеци), Оценка на изследователя</w:t>
            </w:r>
          </w:p>
        </w:tc>
        <w:tc>
          <w:tcPr>
            <w:tcW w:w="1564" w:type="dxa"/>
          </w:tcPr>
          <w:p w14:paraId="2F86E11C" w14:textId="3DA2CD11" w:rsidR="000A506C" w:rsidRDefault="000A506C" w:rsidP="000A506C">
            <w:r>
              <w:rPr>
                <w:i/>
                <w:iCs/>
              </w:rPr>
              <w:t>9,7</w:t>
            </w:r>
          </w:p>
        </w:tc>
        <w:tc>
          <w:tcPr>
            <w:tcW w:w="1108" w:type="dxa"/>
          </w:tcPr>
          <w:p w14:paraId="6476C56A" w14:textId="29A1D25B" w:rsidR="000A506C" w:rsidRDefault="000A506C" w:rsidP="000A506C">
            <w:r>
              <w:t>5,2</w:t>
            </w:r>
          </w:p>
        </w:tc>
        <w:tc>
          <w:tcPr>
            <w:tcW w:w="1988" w:type="dxa"/>
          </w:tcPr>
          <w:p w14:paraId="3B804FF8" w14:textId="400FA3FB" w:rsidR="000A506C" w:rsidRDefault="000A506C" w:rsidP="000A506C">
            <w:r>
              <w:t>0,37 [0,27-0,54]</w:t>
            </w:r>
          </w:p>
        </w:tc>
        <w:tc>
          <w:tcPr>
            <w:tcW w:w="1526" w:type="dxa"/>
          </w:tcPr>
          <w:p w14:paraId="4488BC7A" w14:textId="3312B37E" w:rsidR="000A506C" w:rsidRDefault="000A506C" w:rsidP="000A506C">
            <w:r>
              <w:t>р&lt;0,0001</w:t>
            </w:r>
          </w:p>
        </w:tc>
      </w:tr>
      <w:tr w:rsidR="000A506C" w14:paraId="7A9D35F9" w14:textId="77777777" w:rsidTr="000A506C">
        <w:tc>
          <w:tcPr>
            <w:tcW w:w="1543" w:type="dxa"/>
            <w:vMerge/>
          </w:tcPr>
          <w:p w14:paraId="1BE63D70" w14:textId="77777777" w:rsidR="000A506C" w:rsidRDefault="000A506C" w:rsidP="000A506C"/>
        </w:tc>
        <w:tc>
          <w:tcPr>
            <w:tcW w:w="1847" w:type="dxa"/>
          </w:tcPr>
          <w:p w14:paraId="6ACFB545" w14:textId="6F7CC468" w:rsidR="000A506C" w:rsidRDefault="000A506C" w:rsidP="000A506C">
            <w:r>
              <w:t xml:space="preserve">Най-добро ниво на отговор </w:t>
            </w:r>
            <w:r w:rsidRPr="000A506C">
              <w:rPr>
                <w:lang w:val="ru-RU"/>
              </w:rPr>
              <w:t>(</w:t>
            </w:r>
            <w:r>
              <w:rPr>
                <w:lang w:val="en-US"/>
              </w:rPr>
              <w:t>CR</w:t>
            </w:r>
            <w:r w:rsidRPr="000A506C">
              <w:rPr>
                <w:lang w:val="ru-RU"/>
              </w:rPr>
              <w:t>/</w:t>
            </w:r>
            <w:r>
              <w:rPr>
                <w:lang w:val="en-US"/>
              </w:rPr>
              <w:t>PR</w:t>
            </w:r>
            <w:r w:rsidRPr="000A506C">
              <w:rPr>
                <w:lang w:val="ru-RU"/>
              </w:rPr>
              <w:t>)</w:t>
            </w:r>
          </w:p>
        </w:tc>
        <w:tc>
          <w:tcPr>
            <w:tcW w:w="1564" w:type="dxa"/>
          </w:tcPr>
          <w:p w14:paraId="3D6A1220" w14:textId="2087CF9B" w:rsidR="000A506C" w:rsidRDefault="000A506C" w:rsidP="000A506C">
            <w:r>
              <w:t>58,1%</w:t>
            </w:r>
          </w:p>
        </w:tc>
        <w:tc>
          <w:tcPr>
            <w:tcW w:w="1108" w:type="dxa"/>
          </w:tcPr>
          <w:p w14:paraId="29462B6B" w14:textId="153430AC" w:rsidR="000A506C" w:rsidRDefault="000A506C" w:rsidP="000A506C">
            <w:r>
              <w:t>14,9%</w:t>
            </w:r>
          </w:p>
        </w:tc>
        <w:tc>
          <w:tcPr>
            <w:tcW w:w="1988" w:type="dxa"/>
          </w:tcPr>
          <w:p w14:paraId="03FC80E4" w14:textId="77777777" w:rsidR="000A506C" w:rsidRDefault="000A506C" w:rsidP="000A506C"/>
        </w:tc>
        <w:tc>
          <w:tcPr>
            <w:tcW w:w="1526" w:type="dxa"/>
          </w:tcPr>
          <w:p w14:paraId="08E95637" w14:textId="0E3BF547" w:rsidR="000A506C" w:rsidRDefault="000A506C" w:rsidP="000A506C">
            <w:r>
              <w:t>р&lt;0,0001</w:t>
            </w:r>
          </w:p>
        </w:tc>
      </w:tr>
      <w:tr w:rsidR="000A506C" w14:paraId="33550B97" w14:textId="77777777" w:rsidTr="000A506C">
        <w:tc>
          <w:tcPr>
            <w:tcW w:w="1543" w:type="dxa"/>
            <w:vMerge/>
          </w:tcPr>
          <w:p w14:paraId="7C2C81EC" w14:textId="77777777" w:rsidR="000A506C" w:rsidRDefault="000A506C" w:rsidP="000A506C"/>
        </w:tc>
        <w:tc>
          <w:tcPr>
            <w:tcW w:w="1847" w:type="dxa"/>
          </w:tcPr>
          <w:p w14:paraId="52812D4D" w14:textId="2D3D6083" w:rsidR="000A506C" w:rsidRDefault="000A506C" w:rsidP="000A506C">
            <w:r>
              <w:t>ОП (месеци)</w:t>
            </w:r>
          </w:p>
        </w:tc>
        <w:tc>
          <w:tcPr>
            <w:tcW w:w="1564" w:type="dxa"/>
          </w:tcPr>
          <w:p w14:paraId="40B3B279" w14:textId="26AC5284" w:rsidR="000A506C" w:rsidRDefault="000A506C" w:rsidP="000A506C">
            <w:r>
              <w:t>19,3</w:t>
            </w:r>
          </w:p>
        </w:tc>
        <w:tc>
          <w:tcPr>
            <w:tcW w:w="1108" w:type="dxa"/>
          </w:tcPr>
          <w:p w14:paraId="48D29B15" w14:textId="3BE64C06" w:rsidR="000A506C" w:rsidRDefault="000A506C" w:rsidP="000A506C">
            <w:r>
              <w:t>19,5</w:t>
            </w:r>
          </w:p>
        </w:tc>
        <w:tc>
          <w:tcPr>
            <w:tcW w:w="1988" w:type="dxa"/>
          </w:tcPr>
          <w:p w14:paraId="52944746" w14:textId="0CFF5341" w:rsidR="000A506C" w:rsidRDefault="000A506C" w:rsidP="000A506C">
            <w:r>
              <w:t>1,04 [0,65-1,68]</w:t>
            </w:r>
          </w:p>
        </w:tc>
        <w:tc>
          <w:tcPr>
            <w:tcW w:w="1526" w:type="dxa"/>
          </w:tcPr>
          <w:p w14:paraId="1D7F2FAF" w14:textId="3A29AC9F" w:rsidR="000A506C" w:rsidRDefault="000A506C" w:rsidP="000A506C">
            <w:r>
              <w:t>р=0,8702</w:t>
            </w:r>
          </w:p>
        </w:tc>
      </w:tr>
      <w:tr w:rsidR="000A506C" w14:paraId="0DDB37A2" w14:textId="77777777" w:rsidTr="000A506C">
        <w:tc>
          <w:tcPr>
            <w:tcW w:w="1543" w:type="dxa"/>
            <w:vMerge w:val="restart"/>
          </w:tcPr>
          <w:p w14:paraId="2D0EF314" w14:textId="77777777" w:rsidR="000A506C" w:rsidRDefault="000A506C" w:rsidP="000A506C">
            <w:r>
              <w:t>Актуали- зиран анализ (62% ОП зрялост) (</w:t>
            </w:r>
            <w:r>
              <w:rPr>
                <w:lang w:val="en-US"/>
              </w:rPr>
              <w:t>n</w:t>
            </w:r>
            <w:r>
              <w:t>=173)</w:t>
            </w:r>
          </w:p>
          <w:p w14:paraId="60AA707A" w14:textId="319012D8" w:rsidR="000A506C" w:rsidRDefault="000A506C" w:rsidP="000A506C">
            <w:r>
              <w:t>Крайна дата: април 2012</w:t>
            </w:r>
          </w:p>
        </w:tc>
        <w:tc>
          <w:tcPr>
            <w:tcW w:w="1847" w:type="dxa"/>
          </w:tcPr>
          <w:p w14:paraId="05A9E33F" w14:textId="77777777" w:rsidR="000A506C" w:rsidRDefault="000A506C" w:rsidP="000A506C"/>
        </w:tc>
        <w:tc>
          <w:tcPr>
            <w:tcW w:w="1564" w:type="dxa"/>
          </w:tcPr>
          <w:p w14:paraId="617FA314" w14:textId="7F2FB45E" w:rsidR="000A506C" w:rsidRDefault="000A506C" w:rsidP="000A506C">
            <w:r>
              <w:rPr>
                <w:lang w:val="en-US"/>
              </w:rPr>
              <w:t>n</w:t>
            </w:r>
            <w:r>
              <w:t>=86</w:t>
            </w:r>
          </w:p>
        </w:tc>
        <w:tc>
          <w:tcPr>
            <w:tcW w:w="1108" w:type="dxa"/>
          </w:tcPr>
          <w:p w14:paraId="78A02322" w14:textId="64277A6C" w:rsidR="000A506C" w:rsidRDefault="000A506C" w:rsidP="000A506C">
            <w:r>
              <w:rPr>
                <w:lang w:val="en-US"/>
              </w:rPr>
              <w:t>n</w:t>
            </w:r>
            <w:r>
              <w:t>=87</w:t>
            </w:r>
          </w:p>
        </w:tc>
        <w:tc>
          <w:tcPr>
            <w:tcW w:w="1988" w:type="dxa"/>
          </w:tcPr>
          <w:p w14:paraId="3270CCA2" w14:textId="77777777" w:rsidR="000A506C" w:rsidRDefault="000A506C" w:rsidP="000A506C"/>
        </w:tc>
        <w:tc>
          <w:tcPr>
            <w:tcW w:w="1526" w:type="dxa"/>
          </w:tcPr>
          <w:p w14:paraId="2C67314E" w14:textId="77777777" w:rsidR="000A506C" w:rsidRDefault="000A506C" w:rsidP="000A506C"/>
        </w:tc>
      </w:tr>
      <w:tr w:rsidR="000A506C" w14:paraId="094B626E" w14:textId="77777777" w:rsidTr="000A506C">
        <w:tc>
          <w:tcPr>
            <w:tcW w:w="1543" w:type="dxa"/>
            <w:vMerge/>
          </w:tcPr>
          <w:p w14:paraId="2DF20178" w14:textId="77777777" w:rsidR="000A506C" w:rsidRDefault="000A506C" w:rsidP="000A506C"/>
        </w:tc>
        <w:tc>
          <w:tcPr>
            <w:tcW w:w="1847" w:type="dxa"/>
          </w:tcPr>
          <w:p w14:paraId="382F143D" w14:textId="5990803D" w:rsidR="000A506C" w:rsidRDefault="000A506C" w:rsidP="000A506C">
            <w:r>
              <w:t>ПБП (медиана в месеци)</w:t>
            </w:r>
          </w:p>
        </w:tc>
        <w:tc>
          <w:tcPr>
            <w:tcW w:w="1564" w:type="dxa"/>
          </w:tcPr>
          <w:p w14:paraId="0128321E" w14:textId="1794796E" w:rsidR="000A506C" w:rsidRDefault="000A506C" w:rsidP="000A506C">
            <w:r>
              <w:t>10,4</w:t>
            </w:r>
          </w:p>
        </w:tc>
        <w:tc>
          <w:tcPr>
            <w:tcW w:w="1108" w:type="dxa"/>
          </w:tcPr>
          <w:p w14:paraId="7E176716" w14:textId="36033F90" w:rsidR="000A506C" w:rsidRDefault="000A506C" w:rsidP="000A506C">
            <w:r>
              <w:t>5,1</w:t>
            </w:r>
          </w:p>
        </w:tc>
        <w:tc>
          <w:tcPr>
            <w:tcW w:w="1988" w:type="dxa"/>
          </w:tcPr>
          <w:p w14:paraId="62DAAE0D" w14:textId="35AA3F8B" w:rsidR="000A506C" w:rsidRDefault="000A506C" w:rsidP="000A506C">
            <w:r>
              <w:t>0,34 [0,23-0,49]</w:t>
            </w:r>
          </w:p>
        </w:tc>
        <w:tc>
          <w:tcPr>
            <w:tcW w:w="1526" w:type="dxa"/>
          </w:tcPr>
          <w:p w14:paraId="7A542639" w14:textId="5F54953B" w:rsidR="000A506C" w:rsidRDefault="000A506C" w:rsidP="000A506C">
            <w:r>
              <w:t>р&lt;0,0001</w:t>
            </w:r>
          </w:p>
        </w:tc>
      </w:tr>
      <w:tr w:rsidR="000A506C" w14:paraId="55FEA910" w14:textId="77777777" w:rsidTr="000A506C">
        <w:tc>
          <w:tcPr>
            <w:tcW w:w="1543" w:type="dxa"/>
            <w:vMerge/>
          </w:tcPr>
          <w:p w14:paraId="2C0BC40B" w14:textId="77777777" w:rsidR="000A506C" w:rsidRDefault="000A506C" w:rsidP="000A506C"/>
        </w:tc>
        <w:tc>
          <w:tcPr>
            <w:tcW w:w="1847" w:type="dxa"/>
          </w:tcPr>
          <w:p w14:paraId="5A6CA8AB" w14:textId="4AEDDB30" w:rsidR="000A506C" w:rsidRDefault="000A506C" w:rsidP="000A506C">
            <w:r>
              <w:t>ОП*** (месеци)</w:t>
            </w:r>
          </w:p>
        </w:tc>
        <w:tc>
          <w:tcPr>
            <w:tcW w:w="1564" w:type="dxa"/>
          </w:tcPr>
          <w:p w14:paraId="158F9DB0" w14:textId="21FEA9B7" w:rsidR="000A506C" w:rsidRDefault="000A506C" w:rsidP="000A506C">
            <w:r>
              <w:t>22,9</w:t>
            </w:r>
          </w:p>
        </w:tc>
        <w:tc>
          <w:tcPr>
            <w:tcW w:w="1108" w:type="dxa"/>
          </w:tcPr>
          <w:p w14:paraId="41A11C30" w14:textId="41C18CD3" w:rsidR="000A506C" w:rsidRDefault="000A506C" w:rsidP="000A506C">
            <w:r>
              <w:t>20,8</w:t>
            </w:r>
          </w:p>
        </w:tc>
        <w:tc>
          <w:tcPr>
            <w:tcW w:w="1988" w:type="dxa"/>
          </w:tcPr>
          <w:p w14:paraId="5CC34091" w14:textId="39444F19" w:rsidR="000A506C" w:rsidRDefault="000A506C" w:rsidP="000A506C">
            <w:r>
              <w:t>0,93 [0,64-1,36]</w:t>
            </w:r>
          </w:p>
        </w:tc>
        <w:tc>
          <w:tcPr>
            <w:tcW w:w="1526" w:type="dxa"/>
          </w:tcPr>
          <w:p w14:paraId="4990E06E" w14:textId="0C9B40C3" w:rsidR="000A506C" w:rsidRDefault="000A506C" w:rsidP="000A506C">
            <w:r>
              <w:t>р=0,7149</w:t>
            </w:r>
          </w:p>
        </w:tc>
      </w:tr>
    </w:tbl>
    <w:p w14:paraId="0BDD0666" w14:textId="06227C00"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val="en-US"/>
        </w:rPr>
        <w:t>CR</w:t>
      </w:r>
      <w:r w:rsidRPr="000A506C">
        <w:rPr>
          <w:rFonts w:eastAsia="Times New Roman" w:cs="Arial"/>
          <w:color w:val="000000"/>
          <w:lang w:val="ru-RU"/>
        </w:rPr>
        <w:t>=</w:t>
      </w:r>
      <w:r w:rsidRPr="000A506C">
        <w:rPr>
          <w:rFonts w:eastAsia="Times New Roman" w:cs="Arial"/>
          <w:color w:val="000000"/>
          <w:lang w:eastAsia="bg-BG"/>
        </w:rPr>
        <w:t xml:space="preserve">пълен отговор; </w:t>
      </w:r>
      <w:r w:rsidRPr="000A506C">
        <w:rPr>
          <w:rFonts w:eastAsia="Times New Roman" w:cs="Arial"/>
          <w:color w:val="000000"/>
          <w:lang w:val="en-US"/>
        </w:rPr>
        <w:t>PR</w:t>
      </w:r>
      <w:r w:rsidRPr="000A506C">
        <w:rPr>
          <w:rFonts w:eastAsia="Times New Roman" w:cs="Arial"/>
          <w:color w:val="000000"/>
          <w:lang w:val="ru-RU"/>
        </w:rPr>
        <w:t>=</w:t>
      </w:r>
      <w:r w:rsidRPr="000A506C">
        <w:rPr>
          <w:rFonts w:eastAsia="Times New Roman" w:cs="Arial"/>
          <w:color w:val="000000"/>
          <w:lang w:eastAsia="bg-BG"/>
        </w:rPr>
        <w:t>частичен отговор</w:t>
      </w:r>
    </w:p>
    <w:p w14:paraId="394B280F" w14:textId="73FBC04C"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*Наблюдавано е намаление с 58% на риска от заболяване или смърт</w:t>
      </w:r>
    </w:p>
    <w:p w14:paraId="134C9959" w14:textId="1C0D1B92"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 xml:space="preserve">** Обща съгласувана честота между изследователя и </w:t>
      </w:r>
      <w:r w:rsidRPr="000A506C">
        <w:rPr>
          <w:rFonts w:eastAsia="Times New Roman" w:cs="Arial"/>
          <w:color w:val="000000"/>
          <w:lang w:val="en-US"/>
        </w:rPr>
        <w:t>IRC</w:t>
      </w:r>
      <w:r w:rsidRPr="000A506C">
        <w:rPr>
          <w:rFonts w:eastAsia="Times New Roman" w:cs="Arial"/>
          <w:color w:val="000000"/>
          <w:lang w:val="ru-RU"/>
        </w:rPr>
        <w:t xml:space="preserve"> </w:t>
      </w:r>
      <w:r w:rsidRPr="000A506C">
        <w:rPr>
          <w:rFonts w:eastAsia="Times New Roman" w:cs="Arial"/>
          <w:color w:val="000000"/>
          <w:lang w:eastAsia="bg-BG"/>
        </w:rPr>
        <w:t>оценка е била 70%</w:t>
      </w:r>
    </w:p>
    <w:p w14:paraId="7CA3B343" w14:textId="3DE78289"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 xml:space="preserve">*** Наблюдавана е висока степен на кръстосване при 82% от пациентите в рамото с химиотерапия, които получават допълваща терапия с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тирозин-киназен инхибитор </w:t>
      </w:r>
      <w:r w:rsidRPr="000A506C">
        <w:rPr>
          <w:rFonts w:eastAsia="Times New Roman" w:cs="Arial"/>
          <w:i/>
          <w:iCs/>
          <w:color w:val="000000"/>
          <w:lang w:eastAsia="bg-BG"/>
        </w:rPr>
        <w:t>и</w:t>
      </w:r>
      <w:r w:rsidRPr="000A506C">
        <w:rPr>
          <w:rFonts w:eastAsia="Times New Roman" w:cs="Arial"/>
          <w:color w:val="000000"/>
          <w:lang w:eastAsia="bg-BG"/>
        </w:rPr>
        <w:t xml:space="preserve"> всички, с изключение на двама пациенти са приемали в допълнение ерлотиниб.</w:t>
      </w:r>
    </w:p>
    <w:p w14:paraId="4509833C" w14:textId="77777777" w:rsidR="000A506C" w:rsidRPr="000A506C" w:rsidRDefault="000A506C" w:rsidP="000A506C">
      <w:pPr>
        <w:spacing w:line="240" w:lineRule="auto"/>
        <w:rPr>
          <w:rFonts w:eastAsia="Times New Roman" w:cs="Arial"/>
          <w:color w:val="000000"/>
          <w:u w:val="single"/>
          <w:lang w:eastAsia="bg-BG"/>
        </w:rPr>
      </w:pPr>
    </w:p>
    <w:p w14:paraId="2F20F991" w14:textId="62AE7504" w:rsidR="000A506C" w:rsidRPr="000A506C" w:rsidRDefault="000A506C" w:rsidP="000A506C">
      <w:pPr>
        <w:pStyle w:val="ListParagraph"/>
        <w:numPr>
          <w:ilvl w:val="0"/>
          <w:numId w:val="37"/>
        </w:numPr>
        <w:spacing w:line="240" w:lineRule="auto"/>
        <w:rPr>
          <w:rFonts w:eastAsia="Times New Roman" w:cs="Arial"/>
          <w:sz w:val="24"/>
          <w:szCs w:val="24"/>
        </w:rPr>
      </w:pPr>
      <w:r w:rsidRPr="000A506C">
        <w:rPr>
          <w:rFonts w:eastAsia="Times New Roman" w:cs="Arial"/>
          <w:color w:val="000000"/>
          <w:u w:val="single"/>
          <w:lang w:eastAsia="bg-BG"/>
        </w:rPr>
        <w:t>Поддържащо лечение на НДКРБД след първа линия химиотерапия (Ерлотиниб Сандоз приложен като монотерапия):</w:t>
      </w:r>
    </w:p>
    <w:p w14:paraId="73DEB123" w14:textId="77777777" w:rsidR="000A506C" w:rsidRPr="000A506C" w:rsidRDefault="000A506C" w:rsidP="000A506C">
      <w:pPr>
        <w:spacing w:line="240" w:lineRule="auto"/>
        <w:rPr>
          <w:rFonts w:eastAsia="Times New Roman" w:cs="Arial"/>
          <w:color w:val="000000"/>
          <w:lang w:eastAsia="bg-BG"/>
        </w:rPr>
      </w:pPr>
    </w:p>
    <w:p w14:paraId="1F12FCA1" w14:textId="7F6C2BF1"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Ефикасността и безопасността на ерлотиниб като поддържащо лечение след първа линия на химиотерапия при НДКРБД са изследвани при едно рандомизирано, двойно-сляпо, плацебо- контролирано клинично изпитване (ВО18192, </w:t>
      </w:r>
      <w:r w:rsidRPr="000A506C">
        <w:rPr>
          <w:rFonts w:eastAsia="Times New Roman" w:cs="Arial"/>
          <w:color w:val="000000"/>
          <w:lang w:val="en-US"/>
        </w:rPr>
        <w:t>SATURN</w:t>
      </w:r>
      <w:r w:rsidRPr="000A506C">
        <w:rPr>
          <w:rFonts w:eastAsia="Times New Roman" w:cs="Arial"/>
          <w:color w:val="000000"/>
          <w:lang w:val="ru-RU"/>
        </w:rPr>
        <w:t xml:space="preserve">). </w:t>
      </w:r>
      <w:r w:rsidRPr="000A506C">
        <w:rPr>
          <w:rFonts w:eastAsia="Times New Roman" w:cs="Arial"/>
          <w:color w:val="000000"/>
          <w:lang w:eastAsia="bg-BG"/>
        </w:rPr>
        <w:t xml:space="preserve">Това проучване е проведено при 889 пациенти с локално напреднал или метастазирал НДКРБД, който не е прогресирал след 4 цикъла на химиотерапия на базата на платина. Пациентите са рандомизирани 1:1 за получаване на ерлотиниб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или плацебо веднъж дневно перорално до прогресия на заболяването. Първичната крайна точка на проучването е включвала преживяемост без прогресия (ПБП) при всички пациенти. Изходните демографски характеристики и характеристиките на заболяването са добре балансирани в двете рамена на лечение. Пациенти с </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val="en-US"/>
        </w:rPr>
        <w:t>PS</w:t>
      </w:r>
      <w:r w:rsidRPr="000A506C">
        <w:rPr>
          <w:rFonts w:eastAsia="Times New Roman" w:cs="Arial"/>
          <w:color w:val="000000"/>
          <w:lang w:val="ru-RU"/>
        </w:rPr>
        <w:t xml:space="preserve">&gt;1, </w:t>
      </w:r>
      <w:r w:rsidRPr="000A506C">
        <w:rPr>
          <w:rFonts w:eastAsia="Times New Roman" w:cs="Arial"/>
          <w:color w:val="000000"/>
          <w:lang w:eastAsia="bg-BG"/>
        </w:rPr>
        <w:t>значими чернодробни или бъбречни съпътстващи заболявания не са включени в проучването.</w:t>
      </w:r>
    </w:p>
    <w:p w14:paraId="156E206F" w14:textId="77777777" w:rsidR="000A506C" w:rsidRPr="000A506C" w:rsidRDefault="000A506C" w:rsidP="000A506C">
      <w:pPr>
        <w:spacing w:line="240" w:lineRule="auto"/>
        <w:rPr>
          <w:rFonts w:eastAsia="Times New Roman" w:cs="Arial"/>
          <w:color w:val="000000"/>
          <w:lang w:eastAsia="bg-BG"/>
        </w:rPr>
      </w:pPr>
    </w:p>
    <w:p w14:paraId="64917303" w14:textId="77777777" w:rsidR="000A506C" w:rsidRPr="000A506C" w:rsidRDefault="000A506C" w:rsidP="000A506C">
      <w:pPr>
        <w:rPr>
          <w:rFonts w:eastAsia="Times New Roman" w:cs="Arial"/>
          <w:sz w:val="24"/>
          <w:szCs w:val="24"/>
        </w:rPr>
      </w:pPr>
      <w:r w:rsidRPr="000A506C">
        <w:rPr>
          <w:rFonts w:eastAsia="Times New Roman" w:cs="Arial"/>
          <w:color w:val="000000"/>
          <w:lang w:eastAsia="bg-BG"/>
        </w:rPr>
        <w:t xml:space="preserve">В това проучване в общата популация се наблюдава полза по отношение на първичната крайна точка на ПБП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0,71 р&lt; 0,0001) и вторичната крайна точка ОП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0,81 р=0,0088). Най-голяма полза обаче е наблюдавана в предварително определения експлораторен анализ при пациенти</w:t>
      </w:r>
      <w:r w:rsidRPr="000A506C">
        <w:rPr>
          <w:rFonts w:eastAsia="Times New Roman" w:cs="Arial"/>
          <w:color w:val="000000"/>
          <w:lang w:val="ru-RU"/>
        </w:rPr>
        <w:t xml:space="preserve"> </w:t>
      </w:r>
      <w:r w:rsidRPr="000A506C">
        <w:rPr>
          <w:rFonts w:eastAsia="Times New Roman" w:cs="Arial"/>
          <w:color w:val="000000"/>
          <w:lang w:eastAsia="bg-BG"/>
        </w:rPr>
        <w:t xml:space="preserve">с </w:t>
      </w:r>
      <w:r w:rsidRPr="000A506C">
        <w:rPr>
          <w:rFonts w:eastAsia="Times New Roman" w:cs="Arial"/>
          <w:color w:val="000000"/>
          <w:lang w:val="en-US"/>
        </w:rPr>
        <w:t>EGFR</w:t>
      </w:r>
      <w:r w:rsidRPr="000A506C">
        <w:rPr>
          <w:rFonts w:eastAsia="Times New Roman" w:cs="Arial"/>
          <w:color w:val="000000"/>
          <w:lang w:eastAsia="bg-BG"/>
        </w:rPr>
        <w:t xml:space="preserve"> активиращи мутации (</w:t>
      </w:r>
      <w:r w:rsidRPr="000A506C">
        <w:rPr>
          <w:rFonts w:eastAsia="Times New Roman" w:cs="Arial"/>
          <w:color w:val="000000"/>
          <w:lang w:val="en-US"/>
        </w:rPr>
        <w:t>n</w:t>
      </w:r>
      <w:r w:rsidRPr="000A506C">
        <w:rPr>
          <w:rFonts w:eastAsia="Times New Roman" w:cs="Arial"/>
          <w:color w:val="000000"/>
          <w:lang w:eastAsia="bg-BG"/>
        </w:rPr>
        <w:t>=49), като е показана значителна полза по отношение на ПБП</w:t>
      </w:r>
      <w:r w:rsidRPr="000A506C">
        <w:rPr>
          <w:rFonts w:eastAsia="Times New Roman" w:cs="Arial"/>
          <w:color w:val="000000"/>
          <w:lang w:val="ru-RU"/>
        </w:rPr>
        <w:t xml:space="preserve"> (</w:t>
      </w:r>
      <w:r w:rsidRPr="000A506C">
        <w:rPr>
          <w:rFonts w:eastAsia="Times New Roman" w:cs="Arial"/>
          <w:color w:val="000000"/>
          <w:lang w:val="en-US"/>
        </w:rPr>
        <w:t>HR</w:t>
      </w:r>
      <w:r w:rsidRPr="000A506C">
        <w:rPr>
          <w:rFonts w:eastAsia="Times New Roman" w:cs="Arial"/>
          <w:color w:val="000000"/>
          <w:lang w:val="ru-RU"/>
        </w:rPr>
        <w:t xml:space="preserve">=0,10, 95% </w:t>
      </w:r>
      <w:r w:rsidRPr="000A506C">
        <w:rPr>
          <w:rFonts w:eastAsia="Times New Roman" w:cs="Arial"/>
          <w:color w:val="000000"/>
          <w:lang w:eastAsia="bg-BG"/>
        </w:rPr>
        <w:t xml:space="preserve">ДИ, 0,04 до 0,25; р&lt;0,0001) и общата преживяемост </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от 0,83 (95% ДИ, 0,34 до 2,02). 67% от пациентите на плацебо в подгрупата, положителна за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мутации, са получили втора и последващи линии на лечение с </w:t>
      </w:r>
      <w:r w:rsidRPr="000A506C">
        <w:rPr>
          <w:rFonts w:eastAsia="Times New Roman" w:cs="Arial"/>
          <w:color w:val="000000"/>
          <w:lang w:val="en-US"/>
        </w:rPr>
        <w:t>EGFR</w:t>
      </w:r>
      <w:r w:rsidRPr="000A506C">
        <w:rPr>
          <w:rFonts w:eastAsia="Times New Roman" w:cs="Arial"/>
          <w:color w:val="000000"/>
          <w:lang w:eastAsia="bg-BG"/>
        </w:rPr>
        <w:t>-ТКИ.</w:t>
      </w:r>
    </w:p>
    <w:p w14:paraId="03A052CC" w14:textId="77777777" w:rsidR="000A506C" w:rsidRPr="000A506C" w:rsidRDefault="000A506C" w:rsidP="000A506C">
      <w:pPr>
        <w:spacing w:line="240" w:lineRule="auto"/>
        <w:rPr>
          <w:rFonts w:eastAsia="Times New Roman" w:cs="Arial"/>
          <w:color w:val="000000"/>
          <w:lang w:eastAsia="bg-BG"/>
        </w:rPr>
      </w:pPr>
    </w:p>
    <w:p w14:paraId="3AF6319A" w14:textId="5E768384"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Проучването ВО25460 </w:t>
      </w:r>
      <w:r w:rsidRPr="000A506C">
        <w:rPr>
          <w:rFonts w:eastAsia="Times New Roman" w:cs="Arial"/>
          <w:color w:val="000000"/>
          <w:lang w:val="ru-RU"/>
        </w:rPr>
        <w:t>(</w:t>
      </w:r>
      <w:r w:rsidRPr="000A506C">
        <w:rPr>
          <w:rFonts w:eastAsia="Times New Roman" w:cs="Arial"/>
          <w:color w:val="000000"/>
          <w:lang w:val="en-US"/>
        </w:rPr>
        <w:t>IUNO</w:t>
      </w:r>
      <w:r w:rsidRPr="000A506C">
        <w:rPr>
          <w:rFonts w:eastAsia="Times New Roman" w:cs="Arial"/>
          <w:color w:val="000000"/>
          <w:lang w:val="ru-RU"/>
        </w:rPr>
        <w:t xml:space="preserve">) </w:t>
      </w:r>
      <w:r w:rsidRPr="000A506C">
        <w:rPr>
          <w:rFonts w:eastAsia="Times New Roman" w:cs="Arial"/>
          <w:color w:val="000000"/>
          <w:lang w:eastAsia="bg-BG"/>
        </w:rPr>
        <w:t xml:space="preserve">е проведено при 643 пациенти с напреднал НДКРБД, чиито тумори нямат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активираща мутация (делеция в екзон 19 или </w:t>
      </w:r>
      <w:r w:rsidRPr="000A506C">
        <w:rPr>
          <w:rFonts w:eastAsia="Times New Roman" w:cs="Arial"/>
          <w:color w:val="000000"/>
          <w:lang w:val="en-US"/>
        </w:rPr>
        <w:t>L</w:t>
      </w:r>
      <w:r w:rsidRPr="000A506C">
        <w:rPr>
          <w:rFonts w:eastAsia="Times New Roman" w:cs="Arial"/>
          <w:color w:val="000000"/>
          <w:lang w:val="ru-RU"/>
        </w:rPr>
        <w:t>858</w:t>
      </w:r>
      <w:r w:rsidRPr="000A506C">
        <w:rPr>
          <w:rFonts w:eastAsia="Times New Roman" w:cs="Arial"/>
          <w:color w:val="000000"/>
          <w:lang w:val="en-US"/>
        </w:rPr>
        <w:t>R</w:t>
      </w:r>
      <w:r w:rsidRPr="000A506C">
        <w:rPr>
          <w:rFonts w:eastAsia="Times New Roman" w:cs="Arial"/>
          <w:color w:val="000000"/>
          <w:lang w:val="ru-RU"/>
        </w:rPr>
        <w:t xml:space="preserve"> </w:t>
      </w:r>
      <w:r w:rsidRPr="000A506C">
        <w:rPr>
          <w:rFonts w:eastAsia="Times New Roman" w:cs="Arial"/>
          <w:color w:val="000000"/>
          <w:lang w:eastAsia="bg-BG"/>
        </w:rPr>
        <w:t>мутация в екзон 21) и които не са получили прогресия на заболяването след четири цикъла на химиотерапия на базата на платина.</w:t>
      </w:r>
    </w:p>
    <w:p w14:paraId="48758B52" w14:textId="77777777" w:rsidR="000A506C" w:rsidRPr="000A506C" w:rsidRDefault="000A506C" w:rsidP="000A506C">
      <w:pPr>
        <w:spacing w:line="240" w:lineRule="auto"/>
        <w:rPr>
          <w:rFonts w:eastAsia="Times New Roman" w:cs="Arial"/>
          <w:color w:val="000000"/>
          <w:lang w:eastAsia="bg-BG"/>
        </w:rPr>
      </w:pPr>
    </w:p>
    <w:p w14:paraId="11D9AFEC" w14:textId="3895088B"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Целта на проучването е да се сравни общата преживяемост при първа линия на поддържаща терапия с ерлотиниб спрямо ерлотиниб, приложен по време на прогресия на заболяването. Проучването не постига първичната си крайна точка. ОП на ерлотиниб при първа линия на поддържащо лечение не е по-висока от ерлотиниб като втора линия на лечение при пациенти, при които туморите нямат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активираща мутация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1,02, 95% ДИ, 0,85 до 1,22, р=0,82). Вторичната крайна точка ПБП не показва разлика между ерлотиниб и плацебо при поддържащо лечение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=0,94, </w:t>
      </w:r>
      <w:r w:rsidRPr="000A506C">
        <w:rPr>
          <w:rFonts w:eastAsia="Times New Roman" w:cs="Arial"/>
          <w:color w:val="000000"/>
          <w:lang w:eastAsia="bg-BG"/>
        </w:rPr>
        <w:t>95 % ДИ, 0,80 до 1,11; рр=0,48).</w:t>
      </w:r>
    </w:p>
    <w:p w14:paraId="0FE04679" w14:textId="77777777" w:rsidR="000A506C" w:rsidRPr="000A506C" w:rsidRDefault="000A506C" w:rsidP="000A506C">
      <w:pPr>
        <w:spacing w:line="240" w:lineRule="auto"/>
        <w:rPr>
          <w:rFonts w:eastAsia="Times New Roman" w:cs="Arial"/>
          <w:color w:val="000000"/>
          <w:lang w:eastAsia="bg-BG"/>
        </w:rPr>
      </w:pPr>
    </w:p>
    <w:p w14:paraId="673EB571" w14:textId="606EA5EC"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Въз основа на данните от проучването ВО25460 </w:t>
      </w:r>
      <w:r w:rsidRPr="000A506C">
        <w:rPr>
          <w:rFonts w:eastAsia="Times New Roman" w:cs="Arial"/>
          <w:color w:val="000000"/>
          <w:lang w:val="ru-RU"/>
        </w:rPr>
        <w:t>(</w:t>
      </w:r>
      <w:r w:rsidRPr="000A506C">
        <w:rPr>
          <w:rFonts w:eastAsia="Times New Roman" w:cs="Arial"/>
          <w:color w:val="000000"/>
          <w:lang w:val="en-US"/>
        </w:rPr>
        <w:t>IUNO</w:t>
      </w:r>
      <w:r w:rsidRPr="000A506C">
        <w:rPr>
          <w:rFonts w:eastAsia="Times New Roman" w:cs="Arial"/>
          <w:color w:val="000000"/>
          <w:lang w:val="ru-RU"/>
        </w:rPr>
        <w:t xml:space="preserve">) </w:t>
      </w:r>
      <w:r w:rsidRPr="000A506C">
        <w:rPr>
          <w:rFonts w:eastAsia="Times New Roman" w:cs="Arial"/>
          <w:color w:val="000000"/>
          <w:lang w:eastAsia="bg-BG"/>
        </w:rPr>
        <w:t xml:space="preserve">не се препоръчва употребата на ерлотиниб като първа линия на поддържащо лечение при пациенти без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активираща мутация.</w:t>
      </w:r>
    </w:p>
    <w:p w14:paraId="6BF9C0C3" w14:textId="77777777" w:rsidR="000A506C" w:rsidRPr="000A506C" w:rsidRDefault="000A506C" w:rsidP="000A506C">
      <w:pPr>
        <w:spacing w:line="240" w:lineRule="auto"/>
        <w:rPr>
          <w:rFonts w:eastAsia="Times New Roman" w:cs="Arial"/>
          <w:color w:val="000000"/>
          <w:u w:val="single"/>
          <w:lang w:eastAsia="bg-BG"/>
        </w:rPr>
      </w:pPr>
    </w:p>
    <w:p w14:paraId="6BC39F8B" w14:textId="6D257A34" w:rsidR="000A506C" w:rsidRPr="000A506C" w:rsidRDefault="000A506C" w:rsidP="000A506C">
      <w:pPr>
        <w:pStyle w:val="ListParagraph"/>
        <w:numPr>
          <w:ilvl w:val="0"/>
          <w:numId w:val="37"/>
        </w:numPr>
        <w:spacing w:line="240" w:lineRule="auto"/>
        <w:rPr>
          <w:rFonts w:eastAsia="Times New Roman" w:cs="Arial"/>
          <w:sz w:val="24"/>
          <w:szCs w:val="24"/>
        </w:rPr>
      </w:pPr>
      <w:r w:rsidRPr="000A506C">
        <w:rPr>
          <w:rFonts w:eastAsia="Times New Roman" w:cs="Arial"/>
          <w:color w:val="000000"/>
          <w:u w:val="single"/>
          <w:lang w:eastAsia="bg-BG"/>
        </w:rPr>
        <w:t>Лечение на НДКРБД след неуспех на поне една предшестваща схема на химиотерапия (ерлотиниб приложен като монотерапия):</w:t>
      </w:r>
    </w:p>
    <w:p w14:paraId="4FDE8E8C" w14:textId="77777777" w:rsidR="000A506C" w:rsidRPr="000A506C" w:rsidRDefault="000A506C" w:rsidP="000A506C">
      <w:pPr>
        <w:spacing w:line="240" w:lineRule="auto"/>
        <w:rPr>
          <w:rFonts w:eastAsia="Times New Roman" w:cs="Arial"/>
          <w:color w:val="000000"/>
          <w:lang w:eastAsia="bg-BG"/>
        </w:rPr>
      </w:pPr>
    </w:p>
    <w:p w14:paraId="4ACC7C20" w14:textId="5115E42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Ефикасността и безопасността на ерлотиниб като втора/трета линия на лечение са доказани в едно рандомизирано, двойно-сляпо, плацебо-контролирано клинично изпитване </w:t>
      </w:r>
      <w:r w:rsidRPr="000A506C">
        <w:rPr>
          <w:rFonts w:eastAsia="Times New Roman" w:cs="Arial"/>
          <w:color w:val="000000"/>
          <w:lang w:val="ru-RU"/>
        </w:rPr>
        <w:t>(</w:t>
      </w:r>
      <w:r w:rsidRPr="000A506C">
        <w:rPr>
          <w:rFonts w:eastAsia="Times New Roman" w:cs="Arial"/>
          <w:color w:val="000000"/>
          <w:lang w:val="en-US"/>
        </w:rPr>
        <w:t>BR</w:t>
      </w:r>
      <w:r w:rsidRPr="000A506C">
        <w:rPr>
          <w:rFonts w:eastAsia="Times New Roman" w:cs="Arial"/>
          <w:color w:val="000000"/>
          <w:lang w:val="ru-RU"/>
        </w:rPr>
        <w:t xml:space="preserve">.21), </w:t>
      </w:r>
      <w:r w:rsidRPr="000A506C">
        <w:rPr>
          <w:rFonts w:eastAsia="Times New Roman" w:cs="Arial"/>
          <w:color w:val="000000"/>
          <w:lang w:eastAsia="bg-BG"/>
        </w:rPr>
        <w:t xml:space="preserve">при 731 пациенти с локално напреднал или метастазирал НДКРБД след неуспех на поне една схема на химиотерапия. Пациентите са рандомизирани 2:1 да получават перорално ерлотиниб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или плацебо веднъж дневно. Крайните точки на проучването включват обща преживяемост, преживяемост без прогресиране на заболяването (ПБП), степен на отговор, продължителност на отговора, време до влошаване на симптомите, свързани с белодробния рак (кашлица, диспнея и болка), и безопасност. Първичната крайна точка е преживяемостта.</w:t>
      </w:r>
    </w:p>
    <w:p w14:paraId="755465FA" w14:textId="77777777" w:rsidR="000A506C" w:rsidRPr="000A506C" w:rsidRDefault="000A506C" w:rsidP="000A506C">
      <w:pPr>
        <w:spacing w:line="240" w:lineRule="auto"/>
        <w:rPr>
          <w:rFonts w:eastAsia="Times New Roman" w:cs="Arial"/>
          <w:color w:val="000000"/>
          <w:lang w:eastAsia="bg-BG"/>
        </w:rPr>
      </w:pPr>
    </w:p>
    <w:p w14:paraId="21C2AF5E" w14:textId="280F7DA8"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Демографските характеристики са добре балансирани между двете групи на лечение. Около две трети от пациентите са били мъже и приблизително една трета са имали в началото статус на представяне (СП) на </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eastAsia="bg-BG"/>
        </w:rPr>
        <w:t xml:space="preserve">- 2, а 9% са имали на изходно ниво СП на </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eastAsia="bg-BG"/>
        </w:rPr>
        <w:t>- 3. Деветдесет и три процента и 92 % от всички пациенти в групите с ерлотиниб и плацебо съответно, са лекувани преди това със схема на лечение, съдържаща платина, а съответно 36% и 37% от всички пациенти са получили преди това терапия с таксан.</w:t>
      </w:r>
    </w:p>
    <w:p w14:paraId="41CA6C8C" w14:textId="77777777" w:rsidR="000A506C" w:rsidRPr="000A506C" w:rsidRDefault="000A506C" w:rsidP="000A506C">
      <w:pPr>
        <w:spacing w:line="240" w:lineRule="auto"/>
        <w:rPr>
          <w:rFonts w:eastAsia="Times New Roman" w:cs="Arial"/>
          <w:color w:val="000000"/>
          <w:lang w:eastAsia="bg-BG"/>
        </w:rPr>
      </w:pPr>
    </w:p>
    <w:p w14:paraId="44CE7786" w14:textId="41D920C1"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Стандартизираният коефициент на риск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по отношение на смърт в групата с ерлотиниб в сравнение с групата с плацебо е 0,73 (95% ДИ, 0,60 до 0,87) (р = 0,001). Процентът на живите пациенти на 12-ия месец е съответно 31,2% и 21,5%, за групата с ерлотиниб и плацебо. Медианата на обща преживяемост е 6,7 месеца в групата с ерлотиниб (95% ДИ, 5,5 до 7,8 месеца) в сравнение с 4,7 месеца в групата с плацебо (95% ДИ, 4,1 до 6,3 месеца).</w:t>
      </w:r>
    </w:p>
    <w:p w14:paraId="284423D5" w14:textId="77777777" w:rsidR="000A506C" w:rsidRPr="000A506C" w:rsidRDefault="000A506C" w:rsidP="000A506C">
      <w:pPr>
        <w:spacing w:line="240" w:lineRule="auto"/>
        <w:rPr>
          <w:rFonts w:eastAsia="Times New Roman" w:cs="Arial"/>
          <w:color w:val="000000"/>
          <w:lang w:eastAsia="bg-BG"/>
        </w:rPr>
      </w:pPr>
    </w:p>
    <w:p w14:paraId="0B036CA3" w14:textId="77777777" w:rsidR="000A506C" w:rsidRPr="000A506C" w:rsidRDefault="000A506C" w:rsidP="000A506C">
      <w:pPr>
        <w:rPr>
          <w:rFonts w:eastAsia="Times New Roman" w:cs="Arial"/>
          <w:sz w:val="24"/>
          <w:szCs w:val="24"/>
        </w:rPr>
      </w:pPr>
      <w:r w:rsidRPr="000A506C">
        <w:rPr>
          <w:rFonts w:eastAsia="Times New Roman" w:cs="Arial"/>
          <w:color w:val="000000"/>
          <w:lang w:eastAsia="bg-BG"/>
        </w:rPr>
        <w:t xml:space="preserve">Ефектът по отношение на общата преживяемост е изследван при различни субпопулации пациенти. Ефектът на ерлотиниб върху общата преживяемост е подобен при пациентите с изходен СП </w:t>
      </w:r>
      <w:r w:rsidRPr="000A506C">
        <w:rPr>
          <w:rFonts w:eastAsia="Times New Roman" w:cs="Arial"/>
          <w:color w:val="000000"/>
          <w:lang w:val="ru-RU"/>
        </w:rPr>
        <w:t>(</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eastAsia="bg-BG"/>
        </w:rPr>
        <w:t xml:space="preserve">от 2-3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0,77,95% ДИ 0,6-1,0) или 0-1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0,73,95% ДИ 0,6-0,9), мъже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0,76,95% ДИ 0,6- 0,9) или жени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0,80, 95% ДИ 0,6-1,1), пациенти &lt; 65-годишна възраст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0,75, 95% ДИ 0,6- 0,9) или по-възрастни пациенти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w:t>
      </w:r>
      <w:r w:rsidRPr="000A506C">
        <w:rPr>
          <w:rFonts w:eastAsia="Times New Roman" w:cs="Arial"/>
          <w:color w:val="000000"/>
          <w:lang w:eastAsia="bg-BG"/>
        </w:rPr>
        <w:lastRenderedPageBreak/>
        <w:t xml:space="preserve">0,79,95% ДИ 0,6-1,0), пациенти с една предшестваща схема на лечение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0,76,</w:t>
      </w:r>
      <w:r w:rsidRPr="000A506C">
        <w:rPr>
          <w:rFonts w:eastAsia="Times New Roman" w:cs="Arial"/>
          <w:color w:val="000000"/>
          <w:lang w:val="ru-RU"/>
        </w:rPr>
        <w:t xml:space="preserve"> </w:t>
      </w:r>
      <w:r w:rsidRPr="000A506C">
        <w:rPr>
          <w:rFonts w:eastAsia="Times New Roman" w:cs="Arial"/>
          <w:color w:val="000000"/>
          <w:lang w:eastAsia="bg-BG"/>
        </w:rPr>
        <w:t>95% ДИ 0,6-1,0) или с повече от една предшестваща схема на лечение (</w:t>
      </w:r>
      <w:r w:rsidRPr="000A506C">
        <w:rPr>
          <w:rFonts w:eastAsia="Times New Roman" w:cs="Arial"/>
          <w:color w:val="000000"/>
          <w:lang w:val="en-US"/>
        </w:rPr>
        <w:t>HR</w:t>
      </w:r>
      <w:r w:rsidRPr="000A506C">
        <w:rPr>
          <w:rFonts w:eastAsia="Times New Roman" w:cs="Arial"/>
          <w:color w:val="000000"/>
          <w:lang w:val="ru-RU"/>
        </w:rPr>
        <w:t>-0,75,</w:t>
      </w:r>
      <w:r w:rsidRPr="000A506C">
        <w:rPr>
          <w:rFonts w:eastAsia="Times New Roman" w:cs="Arial"/>
          <w:color w:val="000000"/>
          <w:lang w:eastAsia="bg-BG"/>
        </w:rPr>
        <w:t xml:space="preserve"> 95% ДИ 0,6-1,0), пациенти от бялата раса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0,79,95% ДИ 0,6-1,0) или азиатци</w:t>
      </w:r>
      <w:r w:rsidRPr="000A506C">
        <w:rPr>
          <w:rFonts w:eastAsia="Times New Roman" w:cs="Arial"/>
          <w:color w:val="000000"/>
          <w:lang w:val="ru-RU"/>
        </w:rPr>
        <w:t xml:space="preserve"> (</w:t>
      </w:r>
      <w:r w:rsidRPr="000A506C">
        <w:rPr>
          <w:rFonts w:eastAsia="Times New Roman" w:cs="Arial"/>
          <w:color w:val="000000"/>
          <w:lang w:val="en-US"/>
        </w:rPr>
        <w:t>HR</w:t>
      </w:r>
      <w:r w:rsidRPr="000A506C">
        <w:rPr>
          <w:rFonts w:eastAsia="Times New Roman" w:cs="Arial"/>
          <w:color w:val="000000"/>
          <w:lang w:val="ru-RU"/>
        </w:rPr>
        <w:t>=0,61, 95%</w:t>
      </w:r>
      <w:r w:rsidRPr="000A506C">
        <w:rPr>
          <w:rFonts w:eastAsia="Times New Roman" w:cs="Arial"/>
          <w:sz w:val="24"/>
          <w:szCs w:val="24"/>
        </w:rPr>
        <w:t xml:space="preserve"> </w:t>
      </w:r>
      <w:r w:rsidRPr="000A506C">
        <w:rPr>
          <w:rFonts w:eastAsia="Times New Roman" w:cs="Arial"/>
          <w:color w:val="000000"/>
          <w:lang w:eastAsia="bg-BG"/>
        </w:rPr>
        <w:t xml:space="preserve">ДИ 0,4-1,0), пациенти с аденокарцином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0,71,95% ДИ 0,6-0,9) или сквамозноклетъчен карцином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0,67, 95% ДИ 0,5-0,9), но не и при пациенти с други хистологични находки (</w:t>
      </w:r>
      <w:r w:rsidRPr="000A506C">
        <w:rPr>
          <w:rFonts w:eastAsia="Times New Roman" w:cs="Arial"/>
          <w:color w:val="000000"/>
          <w:lang w:val="en-US"/>
        </w:rPr>
        <w:t>HR</w:t>
      </w:r>
      <w:r w:rsidRPr="000A506C">
        <w:rPr>
          <w:rFonts w:eastAsia="Times New Roman" w:cs="Arial"/>
          <w:color w:val="000000"/>
          <w:lang w:val="ru-RU"/>
        </w:rPr>
        <w:t xml:space="preserve"> 1,04,</w:t>
      </w:r>
      <w:r w:rsidRPr="000A506C">
        <w:rPr>
          <w:rFonts w:eastAsia="Times New Roman" w:cs="Arial"/>
          <w:color w:val="000000"/>
          <w:lang w:eastAsia="bg-BG"/>
        </w:rPr>
        <w:t xml:space="preserve"> 95% ДИ 0,7-1,5), пациенти в стадий IV на заболяването в момента на диагностицирането му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0,92, 95% ДИ 0,7-1,2) или заболяване &lt; стадий IV в момента на диагностицирането му (</w:t>
      </w:r>
      <w:r w:rsidRPr="000A506C">
        <w:rPr>
          <w:rFonts w:eastAsia="Times New Roman" w:cs="Arial"/>
          <w:color w:val="000000"/>
          <w:lang w:val="en-US"/>
        </w:rPr>
        <w:t>HR</w:t>
      </w:r>
      <w:r w:rsidRPr="000A506C">
        <w:rPr>
          <w:rFonts w:eastAsia="Times New Roman" w:cs="Arial"/>
          <w:color w:val="000000"/>
          <w:lang w:val="ru-RU"/>
        </w:rPr>
        <w:t xml:space="preserve">= 0,65, </w:t>
      </w:r>
      <w:r w:rsidRPr="000A506C">
        <w:rPr>
          <w:rFonts w:eastAsia="Times New Roman" w:cs="Arial"/>
          <w:color w:val="000000"/>
          <w:lang w:eastAsia="bg-BG"/>
        </w:rPr>
        <w:t xml:space="preserve">95% ДИ 0,5-0,8). Пациентите, които никога не са пушили, са получили много по-голяма полза от лечението с ерлотиниб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на преживяемост = 0,42, 95% ДИ 0,28-0,64) в сравнение с настоящи или бивши пушачи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0,87, 95% ДИ 0,71-1,05).</w:t>
      </w:r>
    </w:p>
    <w:p w14:paraId="1D6B53DA"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При 45% от пациентите с известен статус на експресия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коефициентът на риск е 0,68 (95% ДИ 0,49-0,94) при пациентите с </w:t>
      </w:r>
      <w:r w:rsidRPr="000A506C">
        <w:rPr>
          <w:rFonts w:eastAsia="Times New Roman" w:cs="Arial"/>
          <w:color w:val="000000"/>
          <w:lang w:val="en-US"/>
        </w:rPr>
        <w:t>EGFR</w:t>
      </w:r>
      <w:r w:rsidRPr="000A506C">
        <w:rPr>
          <w:rFonts w:eastAsia="Times New Roman" w:cs="Arial"/>
          <w:color w:val="000000"/>
          <w:lang w:eastAsia="bg-BG"/>
        </w:rPr>
        <w:t xml:space="preserve">-положителни тумори и 0,93 (95% ДИ 0,63-1,36) при пациентите с </w:t>
      </w:r>
      <w:r w:rsidRPr="000A506C">
        <w:rPr>
          <w:rFonts w:eastAsia="Times New Roman" w:cs="Arial"/>
          <w:color w:val="000000"/>
          <w:lang w:val="en-US"/>
        </w:rPr>
        <w:t>EGFR</w:t>
      </w:r>
      <w:r w:rsidRPr="000A506C">
        <w:rPr>
          <w:rFonts w:eastAsia="Times New Roman" w:cs="Arial"/>
          <w:color w:val="000000"/>
          <w:lang w:eastAsia="bg-BG"/>
        </w:rPr>
        <w:t xml:space="preserve">-отрицателни тумори (определени чрез </w:t>
      </w:r>
      <w:r w:rsidRPr="000A506C">
        <w:rPr>
          <w:rFonts w:eastAsia="Times New Roman" w:cs="Arial"/>
          <w:color w:val="000000"/>
          <w:lang w:val="en-US"/>
        </w:rPr>
        <w:t>IHC</w:t>
      </w:r>
      <w:r w:rsidRPr="000A506C">
        <w:rPr>
          <w:rFonts w:eastAsia="Times New Roman" w:cs="Arial"/>
          <w:color w:val="000000"/>
          <w:lang w:val="ru-RU"/>
        </w:rPr>
        <w:t xml:space="preserve"> </w:t>
      </w:r>
      <w:r w:rsidRPr="000A506C">
        <w:rPr>
          <w:rFonts w:eastAsia="Times New Roman" w:cs="Arial"/>
          <w:color w:val="000000"/>
          <w:lang w:eastAsia="bg-BG"/>
        </w:rPr>
        <w:t xml:space="preserve">при използване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val="en-US"/>
        </w:rPr>
        <w:t>pharmDx</w:t>
      </w:r>
      <w:r w:rsidRPr="000A506C">
        <w:rPr>
          <w:rFonts w:eastAsia="Times New Roman" w:cs="Arial"/>
          <w:color w:val="000000"/>
          <w:lang w:val="ru-RU"/>
        </w:rPr>
        <w:t xml:space="preserve"> </w:t>
      </w:r>
      <w:r w:rsidRPr="000A506C">
        <w:rPr>
          <w:rFonts w:eastAsia="Times New Roman" w:cs="Arial"/>
          <w:color w:val="000000"/>
          <w:lang w:val="en-US"/>
        </w:rPr>
        <w:t>kit</w:t>
      </w:r>
      <w:r w:rsidRPr="000A506C">
        <w:rPr>
          <w:rFonts w:eastAsia="Times New Roman" w:cs="Arial"/>
          <w:color w:val="000000"/>
          <w:lang w:val="ru-RU"/>
        </w:rPr>
        <w:t xml:space="preserve">, </w:t>
      </w:r>
      <w:r w:rsidRPr="000A506C">
        <w:rPr>
          <w:rFonts w:eastAsia="Times New Roman" w:cs="Arial"/>
          <w:color w:val="000000"/>
          <w:lang w:eastAsia="bg-BG"/>
        </w:rPr>
        <w:t xml:space="preserve">като за </w:t>
      </w:r>
      <w:r w:rsidRPr="000A506C">
        <w:rPr>
          <w:rFonts w:eastAsia="Times New Roman" w:cs="Arial"/>
          <w:color w:val="000000"/>
          <w:lang w:val="en-US"/>
        </w:rPr>
        <w:t>EGFR</w:t>
      </w:r>
      <w:r w:rsidRPr="000A506C">
        <w:rPr>
          <w:rFonts w:eastAsia="Times New Roman" w:cs="Arial"/>
          <w:color w:val="000000"/>
          <w:lang w:eastAsia="bg-BG"/>
        </w:rPr>
        <w:t xml:space="preserve">-отрицателни се определят тумори с под 10 % оцветени туморни клетки). При останалите 55% от пациентите с неизвестен статус на експресия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коефициентът на риск е 0,77 (95% ДИ 0,61-0,98).</w:t>
      </w:r>
    </w:p>
    <w:p w14:paraId="186ACB6D" w14:textId="77777777" w:rsidR="000A506C" w:rsidRPr="000A506C" w:rsidRDefault="000A506C" w:rsidP="000A506C">
      <w:pPr>
        <w:spacing w:line="240" w:lineRule="auto"/>
        <w:rPr>
          <w:rFonts w:eastAsia="Times New Roman" w:cs="Arial"/>
          <w:color w:val="000000"/>
          <w:lang w:eastAsia="bg-BG"/>
        </w:rPr>
      </w:pPr>
    </w:p>
    <w:p w14:paraId="397C933C" w14:textId="5BA9B3FD"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Медианата на ПБП е 9,7 седмици в групата с ерлотиниб (95% Д И, 8,4 до 12,4 седмици) в сравнение с 8,0 седмици в групата с плацебо (95% ДИ, 7,9 до 8,1 седмици).</w:t>
      </w:r>
    </w:p>
    <w:p w14:paraId="40CF02DA" w14:textId="77777777" w:rsidR="000A506C" w:rsidRPr="000A506C" w:rsidRDefault="000A506C" w:rsidP="000A506C">
      <w:pPr>
        <w:spacing w:line="240" w:lineRule="auto"/>
        <w:rPr>
          <w:rFonts w:eastAsia="Times New Roman" w:cs="Arial"/>
          <w:color w:val="000000"/>
          <w:lang w:eastAsia="bg-BG"/>
        </w:rPr>
      </w:pPr>
    </w:p>
    <w:p w14:paraId="7B2931BF" w14:textId="540AE3B9"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Степента на обективен отговор по </w:t>
      </w:r>
      <w:r w:rsidRPr="000A506C">
        <w:rPr>
          <w:rFonts w:eastAsia="Times New Roman" w:cs="Arial"/>
          <w:color w:val="000000"/>
          <w:lang w:val="en-US"/>
        </w:rPr>
        <w:t>RECIST</w:t>
      </w:r>
      <w:r w:rsidRPr="000A506C">
        <w:rPr>
          <w:rFonts w:eastAsia="Times New Roman" w:cs="Arial"/>
          <w:color w:val="000000"/>
          <w:lang w:val="ru-RU"/>
        </w:rPr>
        <w:t xml:space="preserve"> </w:t>
      </w:r>
      <w:r w:rsidRPr="000A506C">
        <w:rPr>
          <w:rFonts w:eastAsia="Times New Roman" w:cs="Arial"/>
          <w:color w:val="000000"/>
          <w:lang w:eastAsia="bg-BG"/>
        </w:rPr>
        <w:t>в групата с ерлотиниб е 8,9% (95% ДИ, 6,4 до 12,0).</w:t>
      </w:r>
    </w:p>
    <w:p w14:paraId="76665B21"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Първите 330 пациенти са оценявани централно (степен на отговор 6,2 %); 401 пациенти са оценявани от изследователите (степен на отговор 11,2%).</w:t>
      </w:r>
    </w:p>
    <w:p w14:paraId="4FC2ECCF"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Медианата на продължителност на отговора е 34,3 седмици, варираща от 9,7 до 57,6+ седмици. Процентът на пациенти с пълен отговор, частичен отговор или стабилно заболяване е 44,0% и 27,5%, съответно за групите с ерлотиниб и плацебо (р = 0,004).</w:t>
      </w:r>
    </w:p>
    <w:p w14:paraId="735A96CA" w14:textId="77777777" w:rsidR="000A506C" w:rsidRPr="000A506C" w:rsidRDefault="000A506C" w:rsidP="000A506C">
      <w:pPr>
        <w:spacing w:line="240" w:lineRule="auto"/>
        <w:rPr>
          <w:rFonts w:eastAsia="Times New Roman" w:cs="Arial"/>
          <w:color w:val="000000"/>
          <w:lang w:eastAsia="bg-BG"/>
        </w:rPr>
      </w:pPr>
    </w:p>
    <w:p w14:paraId="0403A9BA" w14:textId="60AD4C72"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Полза по отношение на преживяемостта с ерлотиниб е наблюдавана и при пациенти, които не са постигнали обективен туморен отговор (по </w:t>
      </w:r>
      <w:r w:rsidRPr="000A506C">
        <w:rPr>
          <w:rFonts w:eastAsia="Times New Roman" w:cs="Arial"/>
          <w:color w:val="000000"/>
          <w:lang w:val="en-US"/>
        </w:rPr>
        <w:t>RECIST</w:t>
      </w:r>
      <w:r w:rsidRPr="000A506C">
        <w:rPr>
          <w:rFonts w:eastAsia="Times New Roman" w:cs="Arial"/>
          <w:color w:val="000000"/>
          <w:lang w:val="ru-RU"/>
        </w:rPr>
        <w:t xml:space="preserve">). </w:t>
      </w:r>
      <w:r w:rsidRPr="000A506C">
        <w:rPr>
          <w:rFonts w:eastAsia="Times New Roman" w:cs="Arial"/>
          <w:color w:val="000000"/>
          <w:lang w:eastAsia="bg-BG"/>
        </w:rPr>
        <w:t>Това личи от рисковия коефициент за смъртност от 0,82 (95% ДИ, 0,68 до 0,99) при пациентите, чийто най-добър отговор е бил стабилизиране или прогресиране на заболяването.</w:t>
      </w:r>
    </w:p>
    <w:p w14:paraId="41959312" w14:textId="77777777" w:rsidR="000A506C" w:rsidRPr="000A506C" w:rsidRDefault="000A506C" w:rsidP="000A506C">
      <w:pPr>
        <w:spacing w:line="240" w:lineRule="auto"/>
        <w:rPr>
          <w:rFonts w:eastAsia="Times New Roman" w:cs="Arial"/>
          <w:color w:val="000000"/>
          <w:lang w:eastAsia="bg-BG"/>
        </w:rPr>
      </w:pPr>
    </w:p>
    <w:p w14:paraId="1B9306F6" w14:textId="7557BA5E"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Приложението на ерлотиниб е от полза по отношение на симптоматиката, като води до значително удължаване на времето до влошаване на кашлицата, диспнеята и болката в сравнение с плацебо.</w:t>
      </w:r>
    </w:p>
    <w:p w14:paraId="58AB9476" w14:textId="77777777" w:rsidR="000A506C" w:rsidRPr="000A506C" w:rsidRDefault="000A506C" w:rsidP="000A506C">
      <w:pPr>
        <w:spacing w:line="240" w:lineRule="auto"/>
        <w:rPr>
          <w:rFonts w:eastAsia="Times New Roman" w:cs="Arial"/>
          <w:color w:val="000000"/>
          <w:lang w:eastAsia="bg-BG"/>
        </w:rPr>
      </w:pPr>
    </w:p>
    <w:p w14:paraId="727EBC4B" w14:textId="2237FB2C"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В двойно сляпо, рандомизирано проучване фаза </w:t>
      </w:r>
      <w:r w:rsidRPr="000A506C">
        <w:rPr>
          <w:rFonts w:eastAsia="Times New Roman" w:cs="Arial"/>
          <w:color w:val="000000"/>
          <w:lang w:val="en-US"/>
        </w:rPr>
        <w:t>III</w:t>
      </w:r>
      <w:r w:rsidRPr="000A506C">
        <w:rPr>
          <w:rFonts w:eastAsia="Times New Roman" w:cs="Arial"/>
          <w:color w:val="000000"/>
          <w:lang w:val="ru-RU"/>
        </w:rPr>
        <w:t xml:space="preserve"> </w:t>
      </w:r>
      <w:r w:rsidRPr="000A506C">
        <w:rPr>
          <w:rFonts w:eastAsia="Times New Roman" w:cs="Arial"/>
          <w:color w:val="000000"/>
          <w:lang w:eastAsia="bg-BG"/>
        </w:rPr>
        <w:t xml:space="preserve">(МО22162, </w:t>
      </w:r>
      <w:r w:rsidRPr="000A506C">
        <w:rPr>
          <w:rFonts w:eastAsia="Times New Roman" w:cs="Arial"/>
          <w:color w:val="000000"/>
          <w:lang w:val="en-US"/>
        </w:rPr>
        <w:t>CURRENTS</w:t>
      </w:r>
      <w:r w:rsidRPr="000A506C">
        <w:rPr>
          <w:rFonts w:eastAsia="Times New Roman" w:cs="Arial"/>
          <w:color w:val="000000"/>
          <w:lang w:val="ru-RU"/>
        </w:rPr>
        <w:t xml:space="preserve">), </w:t>
      </w:r>
      <w:r w:rsidRPr="000A506C">
        <w:rPr>
          <w:rFonts w:eastAsia="Times New Roman" w:cs="Arial"/>
          <w:color w:val="000000"/>
          <w:lang w:eastAsia="bg-BG"/>
        </w:rPr>
        <w:t xml:space="preserve">сравняващо две дози ерлотиниб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спрямо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при настоящи пушачи (средна стойност от 38 опаковки) с локално напреднал или метастатичен </w:t>
      </w:r>
      <w:r w:rsidRPr="000A506C">
        <w:rPr>
          <w:rFonts w:eastAsia="Times New Roman" w:cs="Arial"/>
          <w:color w:val="000000"/>
          <w:lang w:val="en-US"/>
        </w:rPr>
        <w:t>NSCLC</w:t>
      </w:r>
      <w:r w:rsidRPr="000A506C">
        <w:rPr>
          <w:rFonts w:eastAsia="Times New Roman" w:cs="Arial"/>
          <w:color w:val="000000"/>
          <w:lang w:val="ru-RU"/>
        </w:rPr>
        <w:t xml:space="preserve"> </w:t>
      </w:r>
      <w:r w:rsidRPr="000A506C">
        <w:rPr>
          <w:rFonts w:eastAsia="Times New Roman" w:cs="Arial"/>
          <w:color w:val="000000"/>
          <w:lang w:eastAsia="bg-BG"/>
        </w:rPr>
        <w:t xml:space="preserve">във втората линия след неуспех на химиотерапия, дозата ерлотиниб от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не демонстрира полза от </w:t>
      </w:r>
      <w:r w:rsidRPr="000A506C">
        <w:rPr>
          <w:rFonts w:eastAsia="Times New Roman" w:cs="Arial"/>
          <w:color w:val="000000"/>
          <w:lang w:val="en-US"/>
        </w:rPr>
        <w:t>PFS</w:t>
      </w:r>
      <w:r w:rsidRPr="000A506C">
        <w:rPr>
          <w:rFonts w:eastAsia="Times New Roman" w:cs="Arial"/>
          <w:color w:val="000000"/>
          <w:lang w:val="ru-RU"/>
        </w:rPr>
        <w:t xml:space="preserve"> </w:t>
      </w:r>
      <w:r w:rsidRPr="000A506C">
        <w:rPr>
          <w:rFonts w:eastAsia="Times New Roman" w:cs="Arial"/>
          <w:color w:val="000000"/>
          <w:lang w:eastAsia="bg-BG"/>
        </w:rPr>
        <w:t>спрямо препоръчителната доза (7,00 спрямо 6,86 седмици, съответно).</w:t>
      </w:r>
    </w:p>
    <w:p w14:paraId="030A7A8B"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Вторичните крайни точки за ефикасност са в съответствие с първичната крайна точка и не е установена разлика за </w:t>
      </w:r>
      <w:r w:rsidRPr="000A506C">
        <w:rPr>
          <w:rFonts w:eastAsia="Times New Roman" w:cs="Arial"/>
          <w:color w:val="000000"/>
          <w:lang w:val="en-US"/>
        </w:rPr>
        <w:t>OS</w:t>
      </w:r>
      <w:r w:rsidRPr="000A506C">
        <w:rPr>
          <w:rFonts w:eastAsia="Times New Roman" w:cs="Arial"/>
          <w:color w:val="000000"/>
          <w:lang w:val="ru-RU"/>
        </w:rPr>
        <w:t xml:space="preserve"> </w:t>
      </w:r>
      <w:r w:rsidRPr="000A506C">
        <w:rPr>
          <w:rFonts w:eastAsia="Times New Roman" w:cs="Arial"/>
          <w:color w:val="000000"/>
          <w:lang w:eastAsia="bg-BG"/>
        </w:rPr>
        <w:t xml:space="preserve">между пациенти, лекувани с ерлотиниб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и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дневно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1,03, 95% </w:t>
      </w:r>
      <w:r w:rsidRPr="000A506C">
        <w:rPr>
          <w:rFonts w:eastAsia="Times New Roman" w:cs="Arial"/>
          <w:color w:val="000000"/>
          <w:lang w:val="en-US"/>
        </w:rPr>
        <w:t>CI</w:t>
      </w:r>
      <w:r w:rsidRPr="000A506C">
        <w:rPr>
          <w:rFonts w:eastAsia="Times New Roman" w:cs="Arial"/>
          <w:color w:val="000000"/>
          <w:lang w:val="ru-RU"/>
        </w:rPr>
        <w:t xml:space="preserve"> </w:t>
      </w:r>
      <w:r w:rsidRPr="000A506C">
        <w:rPr>
          <w:rFonts w:eastAsia="Times New Roman" w:cs="Arial"/>
          <w:color w:val="000000"/>
          <w:lang w:eastAsia="bg-BG"/>
        </w:rPr>
        <w:t xml:space="preserve">0,80 до 1,32). Данните за безопасност са сравними между дозите от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и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въпреки това, има числово увеличение на честотата на обрив, интерстициална белодробна болест и диария при пациенти, получаващи по-високата доза ерлотиниб. Въз основа на данните от проучването </w:t>
      </w:r>
      <w:r w:rsidRPr="000A506C">
        <w:rPr>
          <w:rFonts w:eastAsia="Times New Roman" w:cs="Arial"/>
          <w:color w:val="000000"/>
          <w:lang w:val="en-US"/>
        </w:rPr>
        <w:t>CURRENTS</w:t>
      </w:r>
      <w:r w:rsidRPr="000A506C">
        <w:rPr>
          <w:rFonts w:eastAsia="Times New Roman" w:cs="Arial"/>
          <w:color w:val="000000"/>
          <w:lang w:val="ru-RU"/>
        </w:rPr>
        <w:t xml:space="preserve"> </w:t>
      </w:r>
      <w:r w:rsidRPr="000A506C">
        <w:rPr>
          <w:rFonts w:eastAsia="Times New Roman" w:cs="Arial"/>
          <w:color w:val="000000"/>
          <w:lang w:eastAsia="bg-BG"/>
        </w:rPr>
        <w:t xml:space="preserve">не са установени </w:t>
      </w:r>
      <w:r w:rsidRPr="000A506C">
        <w:rPr>
          <w:rFonts w:eastAsia="Times New Roman" w:cs="Arial"/>
          <w:color w:val="000000"/>
          <w:lang w:eastAsia="bg-BG"/>
        </w:rPr>
        <w:lastRenderedPageBreak/>
        <w:t xml:space="preserve">доказателства за полза от по-висока доза ерлотиниб от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в сравнение с препоръчителната доза от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при активни пушачи.</w:t>
      </w:r>
    </w:p>
    <w:p w14:paraId="335C5995" w14:textId="77777777" w:rsidR="000A506C" w:rsidRPr="000A506C" w:rsidRDefault="000A506C" w:rsidP="000A506C">
      <w:pPr>
        <w:spacing w:line="240" w:lineRule="auto"/>
        <w:rPr>
          <w:rFonts w:eastAsia="Times New Roman" w:cs="Arial"/>
          <w:color w:val="000000"/>
          <w:lang w:eastAsia="bg-BG"/>
        </w:rPr>
      </w:pPr>
    </w:p>
    <w:p w14:paraId="4AC074E3"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Пациентите в това проучване не са избрани въз основа на статуса на мутацията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Вижте точки 4.2, 4.4, 4.5 и 5.2.</w:t>
      </w:r>
    </w:p>
    <w:p w14:paraId="43ACB22E" w14:textId="77777777" w:rsidR="000A506C" w:rsidRPr="000A506C" w:rsidRDefault="000A506C" w:rsidP="000A506C">
      <w:pPr>
        <w:spacing w:line="240" w:lineRule="auto"/>
        <w:rPr>
          <w:rFonts w:eastAsia="Times New Roman" w:cs="Arial"/>
          <w:sz w:val="24"/>
          <w:szCs w:val="24"/>
        </w:rPr>
      </w:pPr>
    </w:p>
    <w:p w14:paraId="13A50EEE" w14:textId="46E4826C" w:rsidR="000A506C" w:rsidRPr="000A506C" w:rsidRDefault="000A506C" w:rsidP="000A506C">
      <w:pPr>
        <w:pStyle w:val="ListParagraph"/>
        <w:numPr>
          <w:ilvl w:val="0"/>
          <w:numId w:val="37"/>
        </w:numPr>
        <w:spacing w:line="240" w:lineRule="auto"/>
        <w:rPr>
          <w:rFonts w:eastAsia="Times New Roman" w:cs="Arial"/>
          <w:sz w:val="24"/>
          <w:szCs w:val="24"/>
        </w:rPr>
      </w:pPr>
      <w:r w:rsidRPr="000A506C">
        <w:rPr>
          <w:rFonts w:eastAsia="Times New Roman" w:cs="Arial"/>
          <w:color w:val="000000"/>
          <w:u w:val="single"/>
          <w:lang w:eastAsia="bg-BG"/>
        </w:rPr>
        <w:t>Рак на панкреаса (приложение на ерлотиниб едновременно с гемцитабин в проучването РА.3);</w:t>
      </w:r>
    </w:p>
    <w:p w14:paraId="623A36BC" w14:textId="77777777" w:rsidR="000A506C" w:rsidRPr="000A506C" w:rsidRDefault="000A506C" w:rsidP="000A506C">
      <w:pPr>
        <w:spacing w:line="240" w:lineRule="auto"/>
        <w:rPr>
          <w:rFonts w:eastAsia="Times New Roman" w:cs="Arial"/>
          <w:color w:val="000000"/>
          <w:lang w:eastAsia="bg-BG"/>
        </w:rPr>
      </w:pPr>
    </w:p>
    <w:p w14:paraId="367274DF" w14:textId="70B0A9ED"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 xml:space="preserve">Ефикасността и безопасността на ерлотиниб в комбинация с гемцитабин като първа линия на лечение са оценени в едно рандомизирано, двойно-сляпо, плацебо-контролирано клинично изпитване при пациенти с локално авансирал, неоперабилен или метастазирал рак на панкреаса. Пациентите са рандомизирани да получават ерлотиниб или плацебо веднъж дневно при непрекъсната схема на лечение плюс гемцитабин IV (1000 </w:t>
      </w:r>
      <w:r w:rsidRPr="000A506C">
        <w:rPr>
          <w:rFonts w:eastAsia="Times New Roman" w:cs="Arial"/>
          <w:color w:val="000000"/>
          <w:lang w:val="en-US"/>
        </w:rPr>
        <w:t>mg</w:t>
      </w:r>
      <w:r w:rsidRPr="000A506C">
        <w:rPr>
          <w:rFonts w:eastAsia="Times New Roman" w:cs="Arial"/>
          <w:color w:val="000000"/>
          <w:lang w:val="ru-RU"/>
        </w:rPr>
        <w:t>/</w:t>
      </w:r>
      <w:r w:rsidRPr="000A506C">
        <w:rPr>
          <w:rFonts w:eastAsia="Times New Roman" w:cs="Arial"/>
          <w:color w:val="000000"/>
          <w:lang w:val="en-US"/>
        </w:rPr>
        <w:t>m</w:t>
      </w:r>
      <w:r w:rsidRPr="000A506C">
        <w:rPr>
          <w:rFonts w:eastAsia="Times New Roman" w:cs="Arial"/>
          <w:color w:val="000000"/>
          <w:lang w:val="ru-RU"/>
        </w:rPr>
        <w:t xml:space="preserve">2, </w:t>
      </w:r>
      <w:r w:rsidRPr="000A506C">
        <w:rPr>
          <w:rFonts w:eastAsia="Times New Roman" w:cs="Arial"/>
          <w:color w:val="000000"/>
          <w:lang w:eastAsia="bg-BG"/>
        </w:rPr>
        <w:t>Цикъл 1 - дни 1, 8, 15, 22, 29, 36 и 43 от 8-седмичен цикъл; Цикъл 2 и последващите цикли - дни 1, 8 и 15 от 4-седмичен цикъл [за одобрената доза и схема на дозиране при рак на панкреаса, вж. КХП на гемцитабин]). Ерлотиниб или плацебо са приемани</w:t>
      </w:r>
      <w:r w:rsidRPr="000A506C">
        <w:rPr>
          <w:rFonts w:eastAsia="Times New Roman" w:cs="Arial"/>
          <w:sz w:val="24"/>
          <w:szCs w:val="24"/>
        </w:rPr>
        <w:t xml:space="preserve"> </w:t>
      </w:r>
      <w:r w:rsidRPr="000A506C">
        <w:rPr>
          <w:rFonts w:eastAsia="Times New Roman" w:cs="Arial"/>
          <w:color w:val="000000"/>
          <w:lang w:eastAsia="bg-BG"/>
        </w:rPr>
        <w:t>перорално веднъж дневно до прогресиране на заболяването или до появата на неприемлива</w:t>
      </w:r>
      <w:r w:rsidRPr="000A506C">
        <w:rPr>
          <w:rFonts w:eastAsia="Times New Roman" w:cs="Arial"/>
          <w:sz w:val="24"/>
          <w:szCs w:val="24"/>
        </w:rPr>
        <w:t xml:space="preserve"> </w:t>
      </w:r>
      <w:r w:rsidRPr="000A506C">
        <w:rPr>
          <w:rFonts w:eastAsia="Times New Roman" w:cs="Arial"/>
          <w:color w:val="000000"/>
          <w:lang w:eastAsia="bg-BG"/>
        </w:rPr>
        <w:t>токсичност. Първичната крайна точка е общата преживяемост.</w:t>
      </w:r>
    </w:p>
    <w:p w14:paraId="4473D0CC" w14:textId="2A1E0AF0" w:rsidR="000A506C" w:rsidRPr="000A506C" w:rsidRDefault="000A506C" w:rsidP="000A506C">
      <w:pPr>
        <w:spacing w:line="240" w:lineRule="auto"/>
        <w:rPr>
          <w:rFonts w:eastAsia="Times New Roman" w:cs="Arial"/>
          <w:color w:val="000000"/>
          <w:lang w:eastAsia="bg-BG"/>
        </w:rPr>
      </w:pPr>
    </w:p>
    <w:p w14:paraId="4ADC6EFD"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Изходните демографски данни и характеристики на заболяването на пациентите са били подобни в двете групи на лечение, 100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ерлотиниб плюс гемцитабин или плацебо плюс гемцитабин, с изключение на малко по-големия дял на жените в рамото на ерлотиниб/гемцитабин в сравнение с рамото на плацебо/гемцигабин:</w:t>
      </w:r>
    </w:p>
    <w:p w14:paraId="5D965115" w14:textId="53C52823" w:rsidR="000A506C" w:rsidRDefault="000A506C" w:rsidP="000A506C">
      <w:pPr>
        <w:spacing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5608"/>
        <w:gridCol w:w="2228"/>
        <w:gridCol w:w="1514"/>
      </w:tblGrid>
      <w:tr w:rsidR="000A506C" w14:paraId="63FC0C90" w14:textId="77777777" w:rsidTr="000A506C">
        <w:tc>
          <w:tcPr>
            <w:tcW w:w="5778" w:type="dxa"/>
            <w:vAlign w:val="bottom"/>
          </w:tcPr>
          <w:p w14:paraId="78853AE6" w14:textId="1E4C63DC" w:rsidR="000A506C" w:rsidRDefault="000A506C" w:rsidP="000A506C">
            <w:pPr>
              <w:spacing w:line="240" w:lineRule="auto"/>
              <w:rPr>
                <w:rFonts w:ascii="Times New Roman" w:eastAsia="Times New Roman" w:hAnsi="Times New Roman" w:cs="Times New Roman"/>
                <w:sz w:val="24"/>
                <w:szCs w:val="24"/>
              </w:rPr>
            </w:pPr>
            <w:r>
              <w:rPr>
                <w:b/>
                <w:bCs/>
              </w:rPr>
              <w:t>Изходни резултати</w:t>
            </w:r>
          </w:p>
        </w:tc>
        <w:tc>
          <w:tcPr>
            <w:tcW w:w="2268" w:type="dxa"/>
            <w:vAlign w:val="bottom"/>
          </w:tcPr>
          <w:p w14:paraId="2A318C28" w14:textId="739FBA99" w:rsidR="000A506C" w:rsidRDefault="000A506C" w:rsidP="000A506C">
            <w:pPr>
              <w:spacing w:line="240" w:lineRule="auto"/>
              <w:rPr>
                <w:rFonts w:ascii="Times New Roman" w:eastAsia="Times New Roman" w:hAnsi="Times New Roman" w:cs="Times New Roman"/>
                <w:sz w:val="24"/>
                <w:szCs w:val="24"/>
              </w:rPr>
            </w:pPr>
            <w:r>
              <w:t>Ерлотиниб</w:t>
            </w:r>
          </w:p>
        </w:tc>
        <w:tc>
          <w:tcPr>
            <w:tcW w:w="1530" w:type="dxa"/>
            <w:vAlign w:val="bottom"/>
          </w:tcPr>
          <w:p w14:paraId="49DAA516" w14:textId="51C66AF4" w:rsidR="000A506C" w:rsidRDefault="000A506C" w:rsidP="000A506C">
            <w:pPr>
              <w:spacing w:line="240" w:lineRule="auto"/>
              <w:rPr>
                <w:rFonts w:ascii="Times New Roman" w:eastAsia="Times New Roman" w:hAnsi="Times New Roman" w:cs="Times New Roman"/>
                <w:sz w:val="24"/>
                <w:szCs w:val="24"/>
              </w:rPr>
            </w:pPr>
            <w:r>
              <w:rPr>
                <w:b/>
                <w:bCs/>
              </w:rPr>
              <w:t>Плацебо</w:t>
            </w:r>
          </w:p>
        </w:tc>
      </w:tr>
      <w:tr w:rsidR="000A506C" w14:paraId="5F5F640A" w14:textId="77777777" w:rsidTr="000A506C">
        <w:tc>
          <w:tcPr>
            <w:tcW w:w="5778" w:type="dxa"/>
            <w:vAlign w:val="bottom"/>
          </w:tcPr>
          <w:p w14:paraId="577AECC4" w14:textId="4401F7B8" w:rsidR="000A506C" w:rsidRDefault="000A506C" w:rsidP="000A506C">
            <w:pPr>
              <w:spacing w:line="240" w:lineRule="auto"/>
              <w:rPr>
                <w:rFonts w:ascii="Times New Roman" w:eastAsia="Times New Roman" w:hAnsi="Times New Roman" w:cs="Times New Roman"/>
                <w:sz w:val="24"/>
                <w:szCs w:val="24"/>
              </w:rPr>
            </w:pPr>
            <w:r>
              <w:t>Жени</w:t>
            </w:r>
          </w:p>
        </w:tc>
        <w:tc>
          <w:tcPr>
            <w:tcW w:w="2268" w:type="dxa"/>
            <w:vAlign w:val="bottom"/>
          </w:tcPr>
          <w:p w14:paraId="21DA1018" w14:textId="1A8928F6" w:rsidR="000A506C" w:rsidRDefault="000A506C" w:rsidP="000A506C">
            <w:pPr>
              <w:spacing w:line="240" w:lineRule="auto"/>
              <w:rPr>
                <w:rFonts w:ascii="Times New Roman" w:eastAsia="Times New Roman" w:hAnsi="Times New Roman" w:cs="Times New Roman"/>
                <w:sz w:val="24"/>
                <w:szCs w:val="24"/>
              </w:rPr>
            </w:pPr>
            <w:r>
              <w:t>51%</w:t>
            </w:r>
          </w:p>
        </w:tc>
        <w:tc>
          <w:tcPr>
            <w:tcW w:w="1530" w:type="dxa"/>
            <w:vAlign w:val="bottom"/>
          </w:tcPr>
          <w:p w14:paraId="45A829FB" w14:textId="1AF5140D" w:rsidR="000A506C" w:rsidRDefault="000A506C" w:rsidP="000A506C">
            <w:pPr>
              <w:spacing w:line="240" w:lineRule="auto"/>
              <w:rPr>
                <w:rFonts w:ascii="Times New Roman" w:eastAsia="Times New Roman" w:hAnsi="Times New Roman" w:cs="Times New Roman"/>
                <w:sz w:val="24"/>
                <w:szCs w:val="24"/>
              </w:rPr>
            </w:pPr>
            <w:r>
              <w:t>44%</w:t>
            </w:r>
          </w:p>
        </w:tc>
      </w:tr>
      <w:tr w:rsidR="000A506C" w14:paraId="342EDE28" w14:textId="77777777" w:rsidTr="000A506C">
        <w:tc>
          <w:tcPr>
            <w:tcW w:w="5778" w:type="dxa"/>
            <w:vAlign w:val="bottom"/>
          </w:tcPr>
          <w:p w14:paraId="698DB603" w14:textId="470EF06B" w:rsidR="000A506C" w:rsidRDefault="000A506C" w:rsidP="000A506C">
            <w:pPr>
              <w:spacing w:line="240" w:lineRule="auto"/>
              <w:rPr>
                <w:rFonts w:ascii="Times New Roman" w:eastAsia="Times New Roman" w:hAnsi="Times New Roman" w:cs="Times New Roman"/>
                <w:sz w:val="24"/>
                <w:szCs w:val="24"/>
              </w:rPr>
            </w:pPr>
            <w:r>
              <w:t xml:space="preserve">Изходен статус на представяне на </w:t>
            </w:r>
            <w:r>
              <w:rPr>
                <w:lang w:val="en-US"/>
              </w:rPr>
              <w:t>ECOG</w:t>
            </w:r>
            <w:r w:rsidRPr="000A506C">
              <w:rPr>
                <w:lang w:val="ru-RU"/>
              </w:rPr>
              <w:t xml:space="preserve"> </w:t>
            </w:r>
            <w:r>
              <w:t>(СП) = 0</w:t>
            </w:r>
          </w:p>
        </w:tc>
        <w:tc>
          <w:tcPr>
            <w:tcW w:w="2268" w:type="dxa"/>
            <w:vAlign w:val="bottom"/>
          </w:tcPr>
          <w:p w14:paraId="7C8C7DE2" w14:textId="232A0D78" w:rsidR="000A506C" w:rsidRDefault="000A506C" w:rsidP="000A506C">
            <w:pPr>
              <w:spacing w:line="240" w:lineRule="auto"/>
              <w:rPr>
                <w:rFonts w:ascii="Times New Roman" w:eastAsia="Times New Roman" w:hAnsi="Times New Roman" w:cs="Times New Roman"/>
                <w:sz w:val="24"/>
                <w:szCs w:val="24"/>
              </w:rPr>
            </w:pPr>
            <w:r>
              <w:t>31%</w:t>
            </w:r>
          </w:p>
        </w:tc>
        <w:tc>
          <w:tcPr>
            <w:tcW w:w="1530" w:type="dxa"/>
            <w:vAlign w:val="bottom"/>
          </w:tcPr>
          <w:p w14:paraId="34C63D6A" w14:textId="1F536AD8" w:rsidR="000A506C" w:rsidRDefault="000A506C" w:rsidP="000A506C">
            <w:pPr>
              <w:spacing w:line="240" w:lineRule="auto"/>
              <w:rPr>
                <w:rFonts w:ascii="Times New Roman" w:eastAsia="Times New Roman" w:hAnsi="Times New Roman" w:cs="Times New Roman"/>
                <w:sz w:val="24"/>
                <w:szCs w:val="24"/>
              </w:rPr>
            </w:pPr>
            <w:r>
              <w:t>32%</w:t>
            </w:r>
          </w:p>
        </w:tc>
      </w:tr>
      <w:tr w:rsidR="000A506C" w14:paraId="4C3397EF" w14:textId="77777777" w:rsidTr="000A506C">
        <w:tc>
          <w:tcPr>
            <w:tcW w:w="5778" w:type="dxa"/>
            <w:vAlign w:val="bottom"/>
          </w:tcPr>
          <w:p w14:paraId="050D656C" w14:textId="5E36A76D" w:rsidR="000A506C" w:rsidRDefault="000A506C" w:rsidP="000A506C">
            <w:pPr>
              <w:spacing w:line="240" w:lineRule="auto"/>
              <w:rPr>
                <w:rFonts w:ascii="Times New Roman" w:eastAsia="Times New Roman" w:hAnsi="Times New Roman" w:cs="Times New Roman"/>
                <w:sz w:val="24"/>
                <w:szCs w:val="24"/>
              </w:rPr>
            </w:pPr>
            <w:r>
              <w:t xml:space="preserve">Изходен статус на представяне на </w:t>
            </w:r>
            <w:r>
              <w:rPr>
                <w:lang w:val="en-US"/>
              </w:rPr>
              <w:t>ECOG</w:t>
            </w:r>
            <w:r w:rsidRPr="000A506C">
              <w:rPr>
                <w:lang w:val="ru-RU"/>
              </w:rPr>
              <w:t xml:space="preserve"> </w:t>
            </w:r>
            <w:r>
              <w:t>(СП) = 1</w:t>
            </w:r>
          </w:p>
        </w:tc>
        <w:tc>
          <w:tcPr>
            <w:tcW w:w="2268" w:type="dxa"/>
            <w:vAlign w:val="bottom"/>
          </w:tcPr>
          <w:p w14:paraId="6DF89F3F" w14:textId="71C1DAF5" w:rsidR="000A506C" w:rsidRDefault="000A506C" w:rsidP="000A506C">
            <w:pPr>
              <w:spacing w:line="240" w:lineRule="auto"/>
              <w:rPr>
                <w:rFonts w:ascii="Times New Roman" w:eastAsia="Times New Roman" w:hAnsi="Times New Roman" w:cs="Times New Roman"/>
                <w:sz w:val="24"/>
                <w:szCs w:val="24"/>
              </w:rPr>
            </w:pPr>
            <w:r>
              <w:t>51%</w:t>
            </w:r>
          </w:p>
        </w:tc>
        <w:tc>
          <w:tcPr>
            <w:tcW w:w="1530" w:type="dxa"/>
            <w:vAlign w:val="bottom"/>
          </w:tcPr>
          <w:p w14:paraId="76022ADF" w14:textId="34F9EB74" w:rsidR="000A506C" w:rsidRDefault="000A506C" w:rsidP="000A506C">
            <w:pPr>
              <w:spacing w:line="240" w:lineRule="auto"/>
              <w:rPr>
                <w:rFonts w:ascii="Times New Roman" w:eastAsia="Times New Roman" w:hAnsi="Times New Roman" w:cs="Times New Roman"/>
                <w:sz w:val="24"/>
                <w:szCs w:val="24"/>
              </w:rPr>
            </w:pPr>
            <w:r>
              <w:t>51%</w:t>
            </w:r>
          </w:p>
        </w:tc>
      </w:tr>
      <w:tr w:rsidR="000A506C" w14:paraId="3478FCC0" w14:textId="77777777" w:rsidTr="000A506C">
        <w:tc>
          <w:tcPr>
            <w:tcW w:w="5778" w:type="dxa"/>
            <w:vAlign w:val="bottom"/>
          </w:tcPr>
          <w:p w14:paraId="72588D74" w14:textId="72CAA41E" w:rsidR="000A506C" w:rsidRDefault="000A506C" w:rsidP="000A506C">
            <w:pPr>
              <w:spacing w:line="240" w:lineRule="auto"/>
              <w:rPr>
                <w:rFonts w:ascii="Times New Roman" w:eastAsia="Times New Roman" w:hAnsi="Times New Roman" w:cs="Times New Roman"/>
                <w:sz w:val="24"/>
                <w:szCs w:val="24"/>
              </w:rPr>
            </w:pPr>
            <w:r>
              <w:t xml:space="preserve">Изходен статус на представяне на </w:t>
            </w:r>
            <w:r>
              <w:rPr>
                <w:lang w:val="en-US"/>
              </w:rPr>
              <w:t>ECOG</w:t>
            </w:r>
            <w:r w:rsidRPr="000A506C">
              <w:rPr>
                <w:lang w:val="ru-RU"/>
              </w:rPr>
              <w:t xml:space="preserve"> </w:t>
            </w:r>
            <w:r>
              <w:t>(СП) = 2</w:t>
            </w:r>
          </w:p>
        </w:tc>
        <w:tc>
          <w:tcPr>
            <w:tcW w:w="2268" w:type="dxa"/>
            <w:vAlign w:val="bottom"/>
          </w:tcPr>
          <w:p w14:paraId="4A378EFB" w14:textId="63071113" w:rsidR="000A506C" w:rsidRDefault="000A506C" w:rsidP="000A506C">
            <w:pPr>
              <w:spacing w:line="240" w:lineRule="auto"/>
              <w:rPr>
                <w:rFonts w:ascii="Times New Roman" w:eastAsia="Times New Roman" w:hAnsi="Times New Roman" w:cs="Times New Roman"/>
                <w:sz w:val="24"/>
                <w:szCs w:val="24"/>
              </w:rPr>
            </w:pPr>
            <w:r>
              <w:t>17%</w:t>
            </w:r>
          </w:p>
        </w:tc>
        <w:tc>
          <w:tcPr>
            <w:tcW w:w="1530" w:type="dxa"/>
            <w:vAlign w:val="bottom"/>
          </w:tcPr>
          <w:p w14:paraId="50750621" w14:textId="2127019C" w:rsidR="000A506C" w:rsidRDefault="000A506C" w:rsidP="000A506C">
            <w:pPr>
              <w:spacing w:line="240" w:lineRule="auto"/>
              <w:rPr>
                <w:rFonts w:ascii="Times New Roman" w:eastAsia="Times New Roman" w:hAnsi="Times New Roman" w:cs="Times New Roman"/>
                <w:sz w:val="24"/>
                <w:szCs w:val="24"/>
              </w:rPr>
            </w:pPr>
            <w:r>
              <w:t>17%</w:t>
            </w:r>
          </w:p>
        </w:tc>
      </w:tr>
      <w:tr w:rsidR="000A506C" w14:paraId="2A9D602B" w14:textId="77777777" w:rsidTr="000A506C">
        <w:tc>
          <w:tcPr>
            <w:tcW w:w="5778" w:type="dxa"/>
          </w:tcPr>
          <w:p w14:paraId="208526A5" w14:textId="7075933D" w:rsidR="000A506C" w:rsidRDefault="000A506C" w:rsidP="000A506C">
            <w:pPr>
              <w:spacing w:line="240" w:lineRule="auto"/>
              <w:rPr>
                <w:rFonts w:ascii="Times New Roman" w:eastAsia="Times New Roman" w:hAnsi="Times New Roman" w:cs="Times New Roman"/>
                <w:sz w:val="24"/>
                <w:szCs w:val="24"/>
              </w:rPr>
            </w:pPr>
            <w:r>
              <w:t>Метастазирало заболяване в началото</w:t>
            </w:r>
          </w:p>
        </w:tc>
        <w:tc>
          <w:tcPr>
            <w:tcW w:w="2268" w:type="dxa"/>
          </w:tcPr>
          <w:p w14:paraId="2F285A10" w14:textId="699E75A2" w:rsidR="000A506C" w:rsidRDefault="000A506C" w:rsidP="000A506C">
            <w:pPr>
              <w:spacing w:line="240" w:lineRule="auto"/>
              <w:rPr>
                <w:rFonts w:ascii="Times New Roman" w:eastAsia="Times New Roman" w:hAnsi="Times New Roman" w:cs="Times New Roman"/>
                <w:sz w:val="24"/>
                <w:szCs w:val="24"/>
              </w:rPr>
            </w:pPr>
            <w:r>
              <w:t>77%</w:t>
            </w:r>
          </w:p>
        </w:tc>
        <w:tc>
          <w:tcPr>
            <w:tcW w:w="1530" w:type="dxa"/>
          </w:tcPr>
          <w:p w14:paraId="3A13F4A6" w14:textId="7F13A608" w:rsidR="000A506C" w:rsidRDefault="000A506C" w:rsidP="000A506C">
            <w:pPr>
              <w:spacing w:line="240" w:lineRule="auto"/>
              <w:rPr>
                <w:rFonts w:ascii="Times New Roman" w:eastAsia="Times New Roman" w:hAnsi="Times New Roman" w:cs="Times New Roman"/>
                <w:sz w:val="24"/>
                <w:szCs w:val="24"/>
              </w:rPr>
            </w:pPr>
            <w:r>
              <w:t>76%</w:t>
            </w:r>
          </w:p>
        </w:tc>
      </w:tr>
    </w:tbl>
    <w:p w14:paraId="4DA19AB5" w14:textId="77777777" w:rsidR="000A506C" w:rsidRPr="000A506C" w:rsidRDefault="000A506C" w:rsidP="000A506C">
      <w:pPr>
        <w:spacing w:line="240" w:lineRule="auto"/>
        <w:rPr>
          <w:rFonts w:ascii="Times New Roman" w:eastAsia="Times New Roman" w:hAnsi="Times New Roman" w:cs="Times New Roman"/>
          <w:sz w:val="24"/>
          <w:szCs w:val="24"/>
        </w:rPr>
      </w:pPr>
    </w:p>
    <w:p w14:paraId="708D6DFB"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Преживяемостта е оценявана в рандомизираната </w:t>
      </w:r>
      <w:r w:rsidRPr="000A506C">
        <w:rPr>
          <w:rFonts w:eastAsia="Times New Roman" w:cs="Arial"/>
          <w:i/>
          <w:iCs/>
          <w:color w:val="000000"/>
          <w:lang w:val="ru-RU"/>
        </w:rPr>
        <w:t>(</w:t>
      </w:r>
      <w:r w:rsidRPr="000A506C">
        <w:rPr>
          <w:rFonts w:eastAsia="Times New Roman" w:cs="Arial"/>
          <w:i/>
          <w:iCs/>
          <w:color w:val="000000"/>
          <w:lang w:val="en-US"/>
        </w:rPr>
        <w:t>intent</w:t>
      </w:r>
      <w:r w:rsidRPr="000A506C">
        <w:rPr>
          <w:rFonts w:eastAsia="Times New Roman" w:cs="Arial"/>
          <w:i/>
          <w:iCs/>
          <w:color w:val="000000"/>
          <w:lang w:val="ru-RU"/>
        </w:rPr>
        <w:t>-</w:t>
      </w:r>
      <w:r w:rsidRPr="000A506C">
        <w:rPr>
          <w:rFonts w:eastAsia="Times New Roman" w:cs="Arial"/>
          <w:i/>
          <w:iCs/>
          <w:color w:val="000000"/>
          <w:lang w:val="en-US"/>
        </w:rPr>
        <w:t>to</w:t>
      </w:r>
      <w:r w:rsidRPr="000A506C">
        <w:rPr>
          <w:rFonts w:eastAsia="Times New Roman" w:cs="Arial"/>
          <w:i/>
          <w:iCs/>
          <w:color w:val="000000"/>
          <w:lang w:val="ru-RU"/>
        </w:rPr>
        <w:t>-</w:t>
      </w:r>
      <w:r w:rsidRPr="000A506C">
        <w:rPr>
          <w:rFonts w:eastAsia="Times New Roman" w:cs="Arial"/>
          <w:i/>
          <w:iCs/>
          <w:color w:val="000000"/>
          <w:lang w:val="en-US"/>
        </w:rPr>
        <w:t>treat</w:t>
      </w:r>
      <w:r w:rsidRPr="000A506C">
        <w:rPr>
          <w:rFonts w:eastAsia="Times New Roman" w:cs="Arial"/>
          <w:i/>
          <w:iCs/>
          <w:color w:val="000000"/>
          <w:lang w:val="ru-RU"/>
        </w:rPr>
        <w:t>)</w:t>
      </w:r>
      <w:r w:rsidRPr="000A506C">
        <w:rPr>
          <w:rFonts w:eastAsia="Times New Roman" w:cs="Arial"/>
          <w:color w:val="000000"/>
          <w:lang w:val="ru-RU"/>
        </w:rPr>
        <w:t xml:space="preserve"> </w:t>
      </w:r>
      <w:r w:rsidRPr="000A506C">
        <w:rPr>
          <w:rFonts w:eastAsia="Times New Roman" w:cs="Arial"/>
          <w:color w:val="000000"/>
          <w:lang w:eastAsia="bg-BG"/>
        </w:rPr>
        <w:t>популацията въз основа на данните за преживяемостта при проследяването. Резултатите са показани в таблицата по-долу (резултати от групата на пациентите с метастазирало и локално авансирало заболяване са получени при изследователския анализ на подгрупите).</w:t>
      </w:r>
    </w:p>
    <w:p w14:paraId="182905CB" w14:textId="4AAE7A65" w:rsidR="000A506C" w:rsidRDefault="000A506C" w:rsidP="00125BE1"/>
    <w:tbl>
      <w:tblPr>
        <w:tblStyle w:val="TableGrid"/>
        <w:tblW w:w="0" w:type="auto"/>
        <w:tblLook w:val="04A0" w:firstRow="1" w:lastRow="0" w:firstColumn="1" w:lastColumn="0" w:noHBand="0" w:noVBand="1"/>
      </w:tblPr>
      <w:tblGrid>
        <w:gridCol w:w="1693"/>
        <w:gridCol w:w="1419"/>
        <w:gridCol w:w="1180"/>
        <w:gridCol w:w="1178"/>
        <w:gridCol w:w="918"/>
        <w:gridCol w:w="864"/>
        <w:gridCol w:w="884"/>
        <w:gridCol w:w="1214"/>
      </w:tblGrid>
      <w:tr w:rsidR="000A506C" w14:paraId="02F6607F" w14:textId="77777777" w:rsidTr="000A506C">
        <w:tc>
          <w:tcPr>
            <w:tcW w:w="1693" w:type="dxa"/>
            <w:vAlign w:val="center"/>
          </w:tcPr>
          <w:p w14:paraId="4B29AD16" w14:textId="04C3C828" w:rsidR="000A506C" w:rsidRDefault="000A506C" w:rsidP="000A506C">
            <w:r>
              <w:rPr>
                <w:b/>
                <w:bCs/>
              </w:rPr>
              <w:t>Изход</w:t>
            </w:r>
          </w:p>
        </w:tc>
        <w:tc>
          <w:tcPr>
            <w:tcW w:w="1419" w:type="dxa"/>
          </w:tcPr>
          <w:p w14:paraId="18E1F578" w14:textId="65E25C1A" w:rsidR="000A506C" w:rsidRDefault="000A506C" w:rsidP="000A506C">
            <w:r>
              <w:rPr>
                <w:b/>
                <w:bCs/>
              </w:rPr>
              <w:t>Ерлотиниб (месеци)</w:t>
            </w:r>
          </w:p>
        </w:tc>
        <w:tc>
          <w:tcPr>
            <w:tcW w:w="1185" w:type="dxa"/>
          </w:tcPr>
          <w:p w14:paraId="2F92B338" w14:textId="37F44CC7" w:rsidR="000A506C" w:rsidRDefault="000A506C" w:rsidP="000A506C">
            <w:r>
              <w:rPr>
                <w:b/>
                <w:bCs/>
              </w:rPr>
              <w:t>Плацебо (месеци)</w:t>
            </w:r>
          </w:p>
        </w:tc>
        <w:tc>
          <w:tcPr>
            <w:tcW w:w="1184" w:type="dxa"/>
          </w:tcPr>
          <w:p w14:paraId="29F22EC8" w14:textId="32324762" w:rsidR="000A506C" w:rsidRDefault="000A506C" w:rsidP="000A506C">
            <w:r>
              <w:rPr>
                <w:b/>
                <w:bCs/>
              </w:rPr>
              <w:t>Д (месеци)</w:t>
            </w:r>
          </w:p>
        </w:tc>
        <w:tc>
          <w:tcPr>
            <w:tcW w:w="991" w:type="dxa"/>
            <w:vAlign w:val="bottom"/>
          </w:tcPr>
          <w:p w14:paraId="4AF9746A" w14:textId="4DE95351" w:rsidR="000A506C" w:rsidRDefault="000A506C" w:rsidP="000A506C">
            <w:r>
              <w:rPr>
                <w:b/>
                <w:bCs/>
              </w:rPr>
              <w:t>ДИ на Д</w:t>
            </w:r>
          </w:p>
        </w:tc>
        <w:tc>
          <w:tcPr>
            <w:tcW w:w="945" w:type="dxa"/>
            <w:vAlign w:val="center"/>
          </w:tcPr>
          <w:p w14:paraId="5EF3E477" w14:textId="0B2E26AB" w:rsidR="000A506C" w:rsidRDefault="000A506C" w:rsidP="000A506C">
            <w:r>
              <w:rPr>
                <w:b/>
                <w:bCs/>
                <w:lang w:val="en-US"/>
              </w:rPr>
              <w:t>HR</w:t>
            </w:r>
          </w:p>
        </w:tc>
        <w:tc>
          <w:tcPr>
            <w:tcW w:w="945" w:type="dxa"/>
          </w:tcPr>
          <w:p w14:paraId="4D90A0E4" w14:textId="048E123E" w:rsidR="000A506C" w:rsidRDefault="000A506C" w:rsidP="000A506C">
            <w:r>
              <w:rPr>
                <w:b/>
                <w:bCs/>
              </w:rPr>
              <w:t xml:space="preserve">ДИ на </w:t>
            </w:r>
            <w:r>
              <w:rPr>
                <w:b/>
                <w:bCs/>
                <w:lang w:val="en-US"/>
              </w:rPr>
              <w:t>HR</w:t>
            </w:r>
          </w:p>
        </w:tc>
        <w:tc>
          <w:tcPr>
            <w:tcW w:w="1214" w:type="dxa"/>
          </w:tcPr>
          <w:p w14:paraId="407927BD" w14:textId="595E76C4" w:rsidR="000A506C" w:rsidRDefault="000A506C" w:rsidP="000A506C">
            <w:r>
              <w:rPr>
                <w:b/>
                <w:bCs/>
                <w:i/>
                <w:iCs/>
              </w:rPr>
              <w:t xml:space="preserve">Р- </w:t>
            </w:r>
            <w:r>
              <w:rPr>
                <w:b/>
                <w:bCs/>
              </w:rPr>
              <w:t>стойност</w:t>
            </w:r>
          </w:p>
        </w:tc>
      </w:tr>
      <w:tr w:rsidR="000A506C" w14:paraId="05209598" w14:textId="77777777" w:rsidTr="000A506C">
        <w:tc>
          <w:tcPr>
            <w:tcW w:w="9576" w:type="dxa"/>
            <w:gridSpan w:val="8"/>
          </w:tcPr>
          <w:p w14:paraId="31437D09" w14:textId="70D5E54C" w:rsidR="000A506C" w:rsidRDefault="000A506C" w:rsidP="000A506C">
            <w:pPr>
              <w:jc w:val="center"/>
            </w:pPr>
            <w:r>
              <w:t>Обща популация</w:t>
            </w:r>
          </w:p>
        </w:tc>
      </w:tr>
      <w:tr w:rsidR="000A506C" w14:paraId="2AA2F3E5" w14:textId="77777777" w:rsidTr="000A506C">
        <w:tc>
          <w:tcPr>
            <w:tcW w:w="1693" w:type="dxa"/>
            <w:vAlign w:val="bottom"/>
          </w:tcPr>
          <w:p w14:paraId="4E179B18" w14:textId="12974BEE" w:rsidR="000A506C" w:rsidRDefault="000A506C" w:rsidP="000A506C">
            <w:r>
              <w:t>Медиана на обща преживяемост</w:t>
            </w:r>
          </w:p>
        </w:tc>
        <w:tc>
          <w:tcPr>
            <w:tcW w:w="1419" w:type="dxa"/>
          </w:tcPr>
          <w:p w14:paraId="7AA5CE5E" w14:textId="51489CB6" w:rsidR="000A506C" w:rsidRDefault="000A506C" w:rsidP="000A506C">
            <w:r>
              <w:t>6,4</w:t>
            </w:r>
          </w:p>
        </w:tc>
        <w:tc>
          <w:tcPr>
            <w:tcW w:w="1185" w:type="dxa"/>
          </w:tcPr>
          <w:p w14:paraId="45EAE682" w14:textId="69B0D53F" w:rsidR="000A506C" w:rsidRDefault="000A506C" w:rsidP="000A506C">
            <w:r>
              <w:t>6,0</w:t>
            </w:r>
          </w:p>
        </w:tc>
        <w:tc>
          <w:tcPr>
            <w:tcW w:w="1184" w:type="dxa"/>
          </w:tcPr>
          <w:p w14:paraId="5F99D487" w14:textId="3FF1B7A4" w:rsidR="000A506C" w:rsidRDefault="000A506C" w:rsidP="000A506C">
            <w:r>
              <w:t>0,41</w:t>
            </w:r>
          </w:p>
        </w:tc>
        <w:tc>
          <w:tcPr>
            <w:tcW w:w="991" w:type="dxa"/>
            <w:vAlign w:val="bottom"/>
          </w:tcPr>
          <w:p w14:paraId="371EDBAE" w14:textId="77777777" w:rsidR="000A506C" w:rsidRDefault="000A506C" w:rsidP="000A506C">
            <w:r>
              <w:t>-0,54-</w:t>
            </w:r>
          </w:p>
          <w:p w14:paraId="2B7B2DF0" w14:textId="35DE7887" w:rsidR="000A506C" w:rsidRDefault="000A506C" w:rsidP="000A506C">
            <w:r>
              <w:t>1,64</w:t>
            </w:r>
          </w:p>
        </w:tc>
        <w:tc>
          <w:tcPr>
            <w:tcW w:w="945" w:type="dxa"/>
            <w:vMerge w:val="restart"/>
          </w:tcPr>
          <w:p w14:paraId="2F9E236F" w14:textId="29537A2F" w:rsidR="000A506C" w:rsidRDefault="000A506C" w:rsidP="000A506C">
            <w:r>
              <w:t>0,82</w:t>
            </w:r>
          </w:p>
        </w:tc>
        <w:tc>
          <w:tcPr>
            <w:tcW w:w="945" w:type="dxa"/>
            <w:vMerge w:val="restart"/>
          </w:tcPr>
          <w:p w14:paraId="60C22B98" w14:textId="028317AC" w:rsidR="000A506C" w:rsidRDefault="000A506C" w:rsidP="000A506C">
            <w:r>
              <w:t>0,69- 0,98</w:t>
            </w:r>
          </w:p>
        </w:tc>
        <w:tc>
          <w:tcPr>
            <w:tcW w:w="1214" w:type="dxa"/>
            <w:vMerge w:val="restart"/>
          </w:tcPr>
          <w:p w14:paraId="140F50FF" w14:textId="7A2FD69B" w:rsidR="000A506C" w:rsidRDefault="000A506C" w:rsidP="000A506C">
            <w:r>
              <w:t>0,028</w:t>
            </w:r>
          </w:p>
        </w:tc>
      </w:tr>
      <w:tr w:rsidR="000A506C" w14:paraId="6DEF6160" w14:textId="77777777" w:rsidTr="000A506C">
        <w:tc>
          <w:tcPr>
            <w:tcW w:w="1693" w:type="dxa"/>
            <w:vAlign w:val="bottom"/>
          </w:tcPr>
          <w:p w14:paraId="487366F1" w14:textId="32C2B679" w:rsidR="000A506C" w:rsidRDefault="000A506C" w:rsidP="000A506C">
            <w:r>
              <w:t>Средна обща преживяемост</w:t>
            </w:r>
          </w:p>
        </w:tc>
        <w:tc>
          <w:tcPr>
            <w:tcW w:w="1419" w:type="dxa"/>
          </w:tcPr>
          <w:p w14:paraId="0E4101B9" w14:textId="72DF1B38" w:rsidR="000A506C" w:rsidRDefault="000A506C" w:rsidP="000A506C">
            <w:r>
              <w:t>8,8</w:t>
            </w:r>
          </w:p>
        </w:tc>
        <w:tc>
          <w:tcPr>
            <w:tcW w:w="1185" w:type="dxa"/>
          </w:tcPr>
          <w:p w14:paraId="6EEBC556" w14:textId="74241652" w:rsidR="000A506C" w:rsidRDefault="000A506C" w:rsidP="000A506C">
            <w:r>
              <w:t>7,6</w:t>
            </w:r>
          </w:p>
        </w:tc>
        <w:tc>
          <w:tcPr>
            <w:tcW w:w="1184" w:type="dxa"/>
          </w:tcPr>
          <w:p w14:paraId="65FE57BF" w14:textId="2779460C" w:rsidR="000A506C" w:rsidRDefault="000A506C" w:rsidP="000A506C">
            <w:r>
              <w:t>1,16</w:t>
            </w:r>
          </w:p>
        </w:tc>
        <w:tc>
          <w:tcPr>
            <w:tcW w:w="991" w:type="dxa"/>
            <w:vAlign w:val="bottom"/>
          </w:tcPr>
          <w:p w14:paraId="7280F061" w14:textId="77777777" w:rsidR="000A506C" w:rsidRDefault="000A506C" w:rsidP="000A506C">
            <w:r>
              <w:t>-0,05-</w:t>
            </w:r>
          </w:p>
          <w:p w14:paraId="69791C9E" w14:textId="5792B804" w:rsidR="000A506C" w:rsidRDefault="000A506C" w:rsidP="000A506C">
            <w:r>
              <w:t>2,34</w:t>
            </w:r>
          </w:p>
        </w:tc>
        <w:tc>
          <w:tcPr>
            <w:tcW w:w="945" w:type="dxa"/>
            <w:vMerge/>
          </w:tcPr>
          <w:p w14:paraId="664BB841" w14:textId="77777777" w:rsidR="000A506C" w:rsidRDefault="000A506C" w:rsidP="000A506C"/>
        </w:tc>
        <w:tc>
          <w:tcPr>
            <w:tcW w:w="945" w:type="dxa"/>
            <w:vMerge/>
          </w:tcPr>
          <w:p w14:paraId="01E8942C" w14:textId="77777777" w:rsidR="000A506C" w:rsidRDefault="000A506C" w:rsidP="000A506C"/>
        </w:tc>
        <w:tc>
          <w:tcPr>
            <w:tcW w:w="1214" w:type="dxa"/>
            <w:vMerge/>
          </w:tcPr>
          <w:p w14:paraId="52890771" w14:textId="77777777" w:rsidR="000A506C" w:rsidRDefault="000A506C" w:rsidP="000A506C"/>
        </w:tc>
      </w:tr>
      <w:tr w:rsidR="000A506C" w14:paraId="7898B16E" w14:textId="77777777" w:rsidTr="000A506C">
        <w:tc>
          <w:tcPr>
            <w:tcW w:w="9576" w:type="dxa"/>
            <w:gridSpan w:val="8"/>
          </w:tcPr>
          <w:p w14:paraId="66CD99F8" w14:textId="7BDDBF9C" w:rsidR="000A506C" w:rsidRDefault="000A506C" w:rsidP="000A506C">
            <w:pPr>
              <w:jc w:val="center"/>
            </w:pPr>
            <w:r w:rsidRPr="000A506C">
              <w:rPr>
                <w:lang w:eastAsia="bg-BG"/>
              </w:rPr>
              <w:t>Популация с метастазирало заболяване</w:t>
            </w:r>
          </w:p>
        </w:tc>
      </w:tr>
      <w:tr w:rsidR="000A506C" w14:paraId="40C5C5C2" w14:textId="77777777" w:rsidTr="000A506C">
        <w:tc>
          <w:tcPr>
            <w:tcW w:w="1693" w:type="dxa"/>
            <w:vAlign w:val="bottom"/>
          </w:tcPr>
          <w:p w14:paraId="14DBD036" w14:textId="04CE6909" w:rsidR="000A506C" w:rsidRDefault="000A506C" w:rsidP="000A506C">
            <w:r>
              <w:t>Медиана на обща преживяемост</w:t>
            </w:r>
          </w:p>
        </w:tc>
        <w:tc>
          <w:tcPr>
            <w:tcW w:w="1419" w:type="dxa"/>
          </w:tcPr>
          <w:p w14:paraId="4FCF55D9" w14:textId="7DA033EA" w:rsidR="000A506C" w:rsidRDefault="000A506C" w:rsidP="000A506C">
            <w:r>
              <w:t>5,9</w:t>
            </w:r>
          </w:p>
        </w:tc>
        <w:tc>
          <w:tcPr>
            <w:tcW w:w="1185" w:type="dxa"/>
          </w:tcPr>
          <w:p w14:paraId="601D4271" w14:textId="05F4A5CF" w:rsidR="000A506C" w:rsidRDefault="000A506C" w:rsidP="000A506C">
            <w:r>
              <w:t>5,1</w:t>
            </w:r>
          </w:p>
        </w:tc>
        <w:tc>
          <w:tcPr>
            <w:tcW w:w="1184" w:type="dxa"/>
          </w:tcPr>
          <w:p w14:paraId="5D8AD65F" w14:textId="1589ABED" w:rsidR="000A506C" w:rsidRDefault="000A506C" w:rsidP="000A506C">
            <w:r>
              <w:t>0,87</w:t>
            </w:r>
          </w:p>
        </w:tc>
        <w:tc>
          <w:tcPr>
            <w:tcW w:w="991" w:type="dxa"/>
            <w:vAlign w:val="bottom"/>
          </w:tcPr>
          <w:p w14:paraId="324ED4E0" w14:textId="5D955FA3" w:rsidR="000A506C" w:rsidRDefault="000A506C" w:rsidP="000A506C">
            <w:r>
              <w:t>-0,26- 1,56</w:t>
            </w:r>
          </w:p>
        </w:tc>
        <w:tc>
          <w:tcPr>
            <w:tcW w:w="945" w:type="dxa"/>
            <w:vMerge w:val="restart"/>
          </w:tcPr>
          <w:p w14:paraId="15497177" w14:textId="5AF6A131" w:rsidR="000A506C" w:rsidRDefault="000A506C" w:rsidP="000A506C">
            <w:r>
              <w:t>0,80</w:t>
            </w:r>
          </w:p>
        </w:tc>
        <w:tc>
          <w:tcPr>
            <w:tcW w:w="945" w:type="dxa"/>
            <w:vMerge w:val="restart"/>
            <w:vAlign w:val="center"/>
          </w:tcPr>
          <w:p w14:paraId="4292AEDD" w14:textId="77777777" w:rsidR="000A506C" w:rsidRDefault="000A506C" w:rsidP="000A506C">
            <w:r>
              <w:t>0,66-</w:t>
            </w:r>
          </w:p>
          <w:p w14:paraId="3D929EC6" w14:textId="104B3ADD" w:rsidR="000A506C" w:rsidRDefault="000A506C" w:rsidP="000A506C">
            <w:r>
              <w:t>0,98</w:t>
            </w:r>
          </w:p>
        </w:tc>
        <w:tc>
          <w:tcPr>
            <w:tcW w:w="1214" w:type="dxa"/>
            <w:vMerge w:val="restart"/>
          </w:tcPr>
          <w:p w14:paraId="3CE1E2C7" w14:textId="311DFD50" w:rsidR="000A506C" w:rsidRDefault="000A506C" w:rsidP="000A506C">
            <w:r>
              <w:t>0,029</w:t>
            </w:r>
          </w:p>
        </w:tc>
      </w:tr>
      <w:tr w:rsidR="000A506C" w14:paraId="36D3ADBC" w14:textId="77777777" w:rsidTr="000A506C">
        <w:tc>
          <w:tcPr>
            <w:tcW w:w="1693" w:type="dxa"/>
            <w:vAlign w:val="bottom"/>
          </w:tcPr>
          <w:p w14:paraId="7E4078AB" w14:textId="4682E76D" w:rsidR="000A506C" w:rsidRDefault="000A506C" w:rsidP="000A506C">
            <w:r>
              <w:lastRenderedPageBreak/>
              <w:t>Средна обща преживяемост</w:t>
            </w:r>
          </w:p>
        </w:tc>
        <w:tc>
          <w:tcPr>
            <w:tcW w:w="1419" w:type="dxa"/>
          </w:tcPr>
          <w:p w14:paraId="0A62261F" w14:textId="26F51A10" w:rsidR="000A506C" w:rsidRDefault="000A506C" w:rsidP="000A506C">
            <w:r>
              <w:t>8,1</w:t>
            </w:r>
          </w:p>
        </w:tc>
        <w:tc>
          <w:tcPr>
            <w:tcW w:w="1185" w:type="dxa"/>
          </w:tcPr>
          <w:p w14:paraId="725D193F" w14:textId="23F5AD02" w:rsidR="000A506C" w:rsidRDefault="000A506C" w:rsidP="000A506C">
            <w:r>
              <w:t>6,7</w:t>
            </w:r>
          </w:p>
        </w:tc>
        <w:tc>
          <w:tcPr>
            <w:tcW w:w="1184" w:type="dxa"/>
          </w:tcPr>
          <w:p w14:paraId="789E899C" w14:textId="22FAED5C" w:rsidR="000A506C" w:rsidRDefault="000A506C" w:rsidP="000A506C">
            <w:r>
              <w:t>1,43</w:t>
            </w:r>
          </w:p>
        </w:tc>
        <w:tc>
          <w:tcPr>
            <w:tcW w:w="991" w:type="dxa"/>
            <w:vAlign w:val="bottom"/>
          </w:tcPr>
          <w:p w14:paraId="0F70AEC7" w14:textId="77777777" w:rsidR="000A506C" w:rsidRDefault="000A506C" w:rsidP="000A506C">
            <w:r>
              <w:t>0,17-</w:t>
            </w:r>
          </w:p>
          <w:p w14:paraId="75120C19" w14:textId="70EDBF4A" w:rsidR="000A506C" w:rsidRDefault="000A506C" w:rsidP="000A506C">
            <w:r>
              <w:t>2,66</w:t>
            </w:r>
          </w:p>
        </w:tc>
        <w:tc>
          <w:tcPr>
            <w:tcW w:w="945" w:type="dxa"/>
            <w:vMerge/>
          </w:tcPr>
          <w:p w14:paraId="5067009C" w14:textId="77777777" w:rsidR="000A506C" w:rsidRDefault="000A506C" w:rsidP="000A506C"/>
        </w:tc>
        <w:tc>
          <w:tcPr>
            <w:tcW w:w="945" w:type="dxa"/>
            <w:vMerge/>
          </w:tcPr>
          <w:p w14:paraId="1A8F3F4F" w14:textId="77777777" w:rsidR="000A506C" w:rsidRDefault="000A506C" w:rsidP="000A506C"/>
        </w:tc>
        <w:tc>
          <w:tcPr>
            <w:tcW w:w="1214" w:type="dxa"/>
            <w:vMerge/>
          </w:tcPr>
          <w:p w14:paraId="047C7CFD" w14:textId="77777777" w:rsidR="000A506C" w:rsidRDefault="000A506C" w:rsidP="000A506C"/>
        </w:tc>
      </w:tr>
      <w:tr w:rsidR="008A18BB" w14:paraId="5FD328A6" w14:textId="77777777" w:rsidTr="00A11611">
        <w:tc>
          <w:tcPr>
            <w:tcW w:w="9576" w:type="dxa"/>
            <w:gridSpan w:val="8"/>
          </w:tcPr>
          <w:p w14:paraId="3491FE3D" w14:textId="3F2B5434" w:rsidR="008A18BB" w:rsidRPr="008A18BB" w:rsidRDefault="008A18BB" w:rsidP="008A18BB">
            <w:pPr>
              <w:jc w:val="center"/>
            </w:pPr>
            <w:r w:rsidRPr="008A18BB">
              <w:rPr>
                <w:lang w:eastAsia="bg-BG"/>
              </w:rPr>
              <w:t>Популация с локално авансирало заболяване</w:t>
            </w:r>
          </w:p>
        </w:tc>
      </w:tr>
      <w:tr w:rsidR="008A18BB" w14:paraId="3443FF27" w14:textId="77777777" w:rsidTr="004C0C0C">
        <w:tc>
          <w:tcPr>
            <w:tcW w:w="1693" w:type="dxa"/>
            <w:vAlign w:val="bottom"/>
          </w:tcPr>
          <w:p w14:paraId="42CB54E0" w14:textId="5F688572" w:rsidR="008A18BB" w:rsidRDefault="008A18BB" w:rsidP="008A18BB">
            <w:r>
              <w:t>Медиана на обща преживяемост</w:t>
            </w:r>
          </w:p>
        </w:tc>
        <w:tc>
          <w:tcPr>
            <w:tcW w:w="1419" w:type="dxa"/>
          </w:tcPr>
          <w:p w14:paraId="0D83F6C9" w14:textId="47D46139" w:rsidR="008A18BB" w:rsidRDefault="008A18BB" w:rsidP="008A18BB">
            <w:r>
              <w:t>8,5</w:t>
            </w:r>
          </w:p>
        </w:tc>
        <w:tc>
          <w:tcPr>
            <w:tcW w:w="1185" w:type="dxa"/>
          </w:tcPr>
          <w:p w14:paraId="1A9F3598" w14:textId="39A29662" w:rsidR="008A18BB" w:rsidRDefault="008A18BB" w:rsidP="008A18BB">
            <w:r>
              <w:t>8,2</w:t>
            </w:r>
          </w:p>
        </w:tc>
        <w:tc>
          <w:tcPr>
            <w:tcW w:w="1184" w:type="dxa"/>
          </w:tcPr>
          <w:p w14:paraId="68D7C103" w14:textId="2D6FFCCD" w:rsidR="008A18BB" w:rsidRDefault="008A18BB" w:rsidP="008A18BB">
            <w:r>
              <w:t>0,36</w:t>
            </w:r>
          </w:p>
        </w:tc>
        <w:tc>
          <w:tcPr>
            <w:tcW w:w="991" w:type="dxa"/>
            <w:vAlign w:val="bottom"/>
          </w:tcPr>
          <w:p w14:paraId="38148428" w14:textId="3C421E16" w:rsidR="008A18BB" w:rsidRDefault="008A18BB" w:rsidP="008A18BB">
            <w:r>
              <w:t>-2,43- 2,96</w:t>
            </w:r>
          </w:p>
        </w:tc>
        <w:tc>
          <w:tcPr>
            <w:tcW w:w="945" w:type="dxa"/>
            <w:vMerge w:val="restart"/>
          </w:tcPr>
          <w:p w14:paraId="061EB3DF" w14:textId="10D8B5CE" w:rsidR="008A18BB" w:rsidRDefault="008A18BB" w:rsidP="008A18BB">
            <w:r>
              <w:t>0,93</w:t>
            </w:r>
          </w:p>
        </w:tc>
        <w:tc>
          <w:tcPr>
            <w:tcW w:w="945" w:type="dxa"/>
            <w:vMerge w:val="restart"/>
          </w:tcPr>
          <w:p w14:paraId="64C35A81" w14:textId="77777777" w:rsidR="008A18BB" w:rsidRDefault="008A18BB" w:rsidP="008A18BB">
            <w:r>
              <w:t>0,65-</w:t>
            </w:r>
          </w:p>
          <w:p w14:paraId="62E73479" w14:textId="3573E952" w:rsidR="008A18BB" w:rsidRDefault="008A18BB" w:rsidP="008A18BB">
            <w:r>
              <w:t>1,35</w:t>
            </w:r>
          </w:p>
        </w:tc>
        <w:tc>
          <w:tcPr>
            <w:tcW w:w="1214" w:type="dxa"/>
            <w:vMerge w:val="restart"/>
          </w:tcPr>
          <w:p w14:paraId="5AD4E437" w14:textId="3ACABC31" w:rsidR="008A18BB" w:rsidRDefault="008A18BB" w:rsidP="008A18BB">
            <w:r>
              <w:t>0,713</w:t>
            </w:r>
          </w:p>
        </w:tc>
      </w:tr>
      <w:tr w:rsidR="008A18BB" w14:paraId="72F8143D" w14:textId="77777777" w:rsidTr="004C0C0C">
        <w:tc>
          <w:tcPr>
            <w:tcW w:w="1693" w:type="dxa"/>
            <w:vAlign w:val="bottom"/>
          </w:tcPr>
          <w:p w14:paraId="2FA04799" w14:textId="4F89151F" w:rsidR="008A18BB" w:rsidRDefault="008A18BB" w:rsidP="008A18BB">
            <w:r>
              <w:t>Средна обща преживяемост</w:t>
            </w:r>
          </w:p>
        </w:tc>
        <w:tc>
          <w:tcPr>
            <w:tcW w:w="1419" w:type="dxa"/>
          </w:tcPr>
          <w:p w14:paraId="32E7768D" w14:textId="58FC2C03" w:rsidR="008A18BB" w:rsidRDefault="008A18BB" w:rsidP="008A18BB">
            <w:r>
              <w:t>10,7</w:t>
            </w:r>
          </w:p>
        </w:tc>
        <w:tc>
          <w:tcPr>
            <w:tcW w:w="1185" w:type="dxa"/>
          </w:tcPr>
          <w:p w14:paraId="74BBBB03" w14:textId="5D31628E" w:rsidR="008A18BB" w:rsidRDefault="008A18BB" w:rsidP="008A18BB">
            <w:r>
              <w:t>10,5</w:t>
            </w:r>
          </w:p>
        </w:tc>
        <w:tc>
          <w:tcPr>
            <w:tcW w:w="1184" w:type="dxa"/>
          </w:tcPr>
          <w:p w14:paraId="61026058" w14:textId="4A9EB7E7" w:rsidR="008A18BB" w:rsidRDefault="008A18BB" w:rsidP="008A18BB">
            <w:r>
              <w:t>0,19</w:t>
            </w:r>
          </w:p>
        </w:tc>
        <w:tc>
          <w:tcPr>
            <w:tcW w:w="991" w:type="dxa"/>
            <w:vAlign w:val="bottom"/>
          </w:tcPr>
          <w:p w14:paraId="3336EC5B" w14:textId="4601FC59" w:rsidR="008A18BB" w:rsidRDefault="008A18BB" w:rsidP="008A18BB">
            <w:r>
              <w:t>-2,43- 2,69</w:t>
            </w:r>
          </w:p>
        </w:tc>
        <w:tc>
          <w:tcPr>
            <w:tcW w:w="945" w:type="dxa"/>
            <w:vMerge/>
          </w:tcPr>
          <w:p w14:paraId="5D163779" w14:textId="77777777" w:rsidR="008A18BB" w:rsidRDefault="008A18BB" w:rsidP="008A18BB"/>
        </w:tc>
        <w:tc>
          <w:tcPr>
            <w:tcW w:w="945" w:type="dxa"/>
            <w:vMerge/>
          </w:tcPr>
          <w:p w14:paraId="385B03AF" w14:textId="77777777" w:rsidR="008A18BB" w:rsidRDefault="008A18BB" w:rsidP="008A18BB"/>
        </w:tc>
        <w:tc>
          <w:tcPr>
            <w:tcW w:w="1214" w:type="dxa"/>
            <w:vMerge/>
          </w:tcPr>
          <w:p w14:paraId="16A92B8A" w14:textId="77777777" w:rsidR="008A18BB" w:rsidRDefault="008A18BB" w:rsidP="008A18BB"/>
        </w:tc>
      </w:tr>
    </w:tbl>
    <w:p w14:paraId="229A5174" w14:textId="0EA26FA2" w:rsidR="000A506C" w:rsidRDefault="000A506C" w:rsidP="00125BE1"/>
    <w:p w14:paraId="08A14670" w14:textId="6E6BF842" w:rsidR="008A18BB" w:rsidRDefault="008A18BB" w:rsidP="00125BE1">
      <w:r>
        <w:rPr>
          <w:noProof/>
          <w:lang w:val="en-US"/>
        </w:rPr>
        <w:drawing>
          <wp:inline distT="0" distB="0" distL="0" distR="0" wp14:anchorId="41F08926" wp14:editId="281FFE50">
            <wp:extent cx="5943600" cy="4759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759960"/>
                    </a:xfrm>
                    <a:prstGeom prst="rect">
                      <a:avLst/>
                    </a:prstGeom>
                  </pic:spPr>
                </pic:pic>
              </a:graphicData>
            </a:graphic>
          </wp:inline>
        </w:drawing>
      </w:r>
    </w:p>
    <w:p w14:paraId="3F1FFAD5" w14:textId="7E109A9D" w:rsidR="008A18BB" w:rsidRDefault="008A18BB" w:rsidP="00125BE1">
      <w:r>
        <w:rPr>
          <w:noProof/>
          <w:lang w:val="en-US"/>
        </w:rPr>
        <w:lastRenderedPageBreak/>
        <w:drawing>
          <wp:inline distT="0" distB="0" distL="0" distR="0" wp14:anchorId="164582DE" wp14:editId="7EE0832E">
            <wp:extent cx="5943600" cy="4688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688840"/>
                    </a:xfrm>
                    <a:prstGeom prst="rect">
                      <a:avLst/>
                    </a:prstGeom>
                  </pic:spPr>
                </pic:pic>
              </a:graphicData>
            </a:graphic>
          </wp:inline>
        </w:drawing>
      </w:r>
    </w:p>
    <w:p w14:paraId="5E0876C3" w14:textId="7803B1B9" w:rsidR="008A18BB" w:rsidRDefault="008A18BB" w:rsidP="00125BE1"/>
    <w:p w14:paraId="51BCAF30"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Според </w:t>
      </w:r>
      <w:r w:rsidRPr="008A18BB">
        <w:rPr>
          <w:rFonts w:eastAsia="Times New Roman" w:cs="Arial"/>
          <w:color w:val="000000"/>
          <w:lang w:val="en-US"/>
        </w:rPr>
        <w:t>post</w:t>
      </w:r>
      <w:r w:rsidRPr="008A18BB">
        <w:rPr>
          <w:rFonts w:eastAsia="Times New Roman" w:cs="Arial"/>
          <w:color w:val="000000"/>
          <w:lang w:val="ru-RU"/>
        </w:rPr>
        <w:t>-</w:t>
      </w:r>
      <w:r w:rsidRPr="008A18BB">
        <w:rPr>
          <w:rFonts w:eastAsia="Times New Roman" w:cs="Arial"/>
          <w:color w:val="000000"/>
          <w:lang w:val="en-US"/>
        </w:rPr>
        <w:t>hoc</w:t>
      </w:r>
      <w:r w:rsidRPr="008A18BB">
        <w:rPr>
          <w:rFonts w:eastAsia="Times New Roman" w:cs="Arial"/>
          <w:color w:val="000000"/>
          <w:lang w:val="ru-RU"/>
        </w:rPr>
        <w:t xml:space="preserve"> </w:t>
      </w:r>
      <w:r w:rsidRPr="008A18BB">
        <w:rPr>
          <w:rFonts w:eastAsia="Times New Roman" w:cs="Arial"/>
          <w:color w:val="000000"/>
          <w:lang w:eastAsia="bg-BG"/>
        </w:rPr>
        <w:t>анализа, пациентите с благоприятен клиничен статус в началото (слаба интензивност на болката, добро качество на живот и добро общо състояние) могат да получат повече полза от лечението с ерлотиниб. Ползата се обуславя предимно от наличието на нисък скор на интензивност на болката.</w:t>
      </w:r>
    </w:p>
    <w:p w14:paraId="2AA4781E" w14:textId="77777777" w:rsidR="008A18BB" w:rsidRPr="008A18BB" w:rsidRDefault="008A18BB" w:rsidP="008A18BB">
      <w:pPr>
        <w:spacing w:line="240" w:lineRule="auto"/>
        <w:rPr>
          <w:rFonts w:eastAsia="Times New Roman" w:cs="Arial"/>
          <w:color w:val="000000"/>
          <w:lang w:eastAsia="bg-BG"/>
        </w:rPr>
      </w:pPr>
    </w:p>
    <w:p w14:paraId="4E9993DC" w14:textId="1A182086"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Според </w:t>
      </w:r>
      <w:r w:rsidRPr="008A18BB">
        <w:rPr>
          <w:rFonts w:eastAsia="Times New Roman" w:cs="Arial"/>
          <w:color w:val="000000"/>
          <w:lang w:val="en-US"/>
        </w:rPr>
        <w:t>post</w:t>
      </w:r>
      <w:r w:rsidRPr="008A18BB">
        <w:rPr>
          <w:rFonts w:eastAsia="Times New Roman" w:cs="Arial"/>
          <w:color w:val="000000"/>
          <w:lang w:val="ru-RU"/>
        </w:rPr>
        <w:t>-</w:t>
      </w:r>
      <w:r w:rsidRPr="008A18BB">
        <w:rPr>
          <w:rFonts w:eastAsia="Times New Roman" w:cs="Arial"/>
          <w:color w:val="000000"/>
          <w:lang w:val="en-US"/>
        </w:rPr>
        <w:t>hoc</w:t>
      </w:r>
      <w:r w:rsidRPr="008A18BB">
        <w:rPr>
          <w:rFonts w:eastAsia="Times New Roman" w:cs="Arial"/>
          <w:color w:val="000000"/>
          <w:lang w:val="ru-RU"/>
        </w:rPr>
        <w:t xml:space="preserve"> </w:t>
      </w:r>
      <w:r w:rsidRPr="008A18BB">
        <w:rPr>
          <w:rFonts w:eastAsia="Times New Roman" w:cs="Arial"/>
          <w:color w:val="000000"/>
          <w:lang w:eastAsia="bg-BG"/>
        </w:rPr>
        <w:t xml:space="preserve">анализа, пациентите, лекувани с ерлотиниб, които получават обрив, имат по- продължителна обща преживяемост в сравнение с пациентите, които не получават обрив (медиана на ОП 7,2 месеца в сравнение с 5 месеца, </w:t>
      </w:r>
      <w:r w:rsidRPr="008A18BB">
        <w:rPr>
          <w:rFonts w:eastAsia="Times New Roman" w:cs="Arial"/>
          <w:color w:val="000000"/>
          <w:lang w:val="en-US"/>
        </w:rPr>
        <w:t>HR</w:t>
      </w:r>
      <w:r w:rsidRPr="008A18BB">
        <w:rPr>
          <w:rFonts w:eastAsia="Times New Roman" w:cs="Arial"/>
          <w:color w:val="000000"/>
          <w:lang w:val="ru-RU"/>
        </w:rPr>
        <w:t>:0,61).</w:t>
      </w:r>
    </w:p>
    <w:p w14:paraId="74CA4D70"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90% от пациентите, лекувани с ерлотиниб, развиват обрив до първите 44 дни. Медианата на времето до появата на обрива е 10 дни.</w:t>
      </w:r>
    </w:p>
    <w:p w14:paraId="157DE71E" w14:textId="77777777" w:rsidR="008A18BB" w:rsidRPr="008A18BB" w:rsidRDefault="008A18BB" w:rsidP="008A18BB">
      <w:pPr>
        <w:spacing w:line="240" w:lineRule="auto"/>
        <w:rPr>
          <w:rFonts w:eastAsia="Times New Roman" w:cs="Arial"/>
          <w:color w:val="000000"/>
          <w:u w:val="single"/>
          <w:lang w:eastAsia="bg-BG"/>
        </w:rPr>
      </w:pPr>
    </w:p>
    <w:p w14:paraId="1009BED2" w14:textId="60EA3EF3"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Педиатрична популация</w:t>
      </w:r>
    </w:p>
    <w:p w14:paraId="59913B5F"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ерлотиниб във всички подгрупи на педиатричната популация при показанията недребноклетьчен рак на белите дробове и рак на панкреаса (вж. точка 4.2 за информация относно употреба в педиатрията).</w:t>
      </w:r>
    </w:p>
    <w:p w14:paraId="40C60D4E" w14:textId="77777777" w:rsidR="008A18BB" w:rsidRPr="00125BE1" w:rsidRDefault="008A18BB" w:rsidP="00125BE1"/>
    <w:p w14:paraId="55040F48" w14:textId="2056E804" w:rsidR="008A18BB" w:rsidRDefault="002C50EE" w:rsidP="008A18BB">
      <w:pPr>
        <w:pStyle w:val="Heading2"/>
      </w:pPr>
      <w:r>
        <w:t>5.2. Фармакокинетични свойства</w:t>
      </w:r>
    </w:p>
    <w:p w14:paraId="410FB021" w14:textId="11E4B131" w:rsidR="008A18BB" w:rsidRDefault="008A18BB" w:rsidP="008A18BB"/>
    <w:p w14:paraId="35A27621"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lastRenderedPageBreak/>
        <w:t>Абсорбция:</w:t>
      </w:r>
      <w:r w:rsidRPr="008A18BB">
        <w:rPr>
          <w:rFonts w:eastAsia="Times New Roman" w:cs="Arial"/>
          <w:color w:val="000000"/>
          <w:lang w:eastAsia="bg-BG"/>
        </w:rPr>
        <w:t xml:space="preserve"> След перорално приложение, максимални плазмени нива на ерлотиниб се получават приблизително 4 часа след приема на пероралната доза. Проучване при нормални здрави доброволци показва абсолютна бионаличност от 59%. Експозицията след перорално приложение може да се увеличи от храната.</w:t>
      </w:r>
    </w:p>
    <w:p w14:paraId="54CAFA43" w14:textId="77777777" w:rsidR="008A18BB" w:rsidRPr="008A18BB" w:rsidRDefault="008A18BB" w:rsidP="008A18BB">
      <w:pPr>
        <w:spacing w:line="240" w:lineRule="auto"/>
        <w:rPr>
          <w:rFonts w:eastAsia="Times New Roman" w:cs="Arial"/>
          <w:color w:val="000000"/>
          <w:u w:val="single"/>
          <w:lang w:eastAsia="bg-BG"/>
        </w:rPr>
      </w:pPr>
    </w:p>
    <w:p w14:paraId="349A90CD" w14:textId="7F755F03"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Разпределение:</w:t>
      </w:r>
      <w:r w:rsidRPr="008A18BB">
        <w:rPr>
          <w:rFonts w:eastAsia="Times New Roman" w:cs="Arial"/>
          <w:color w:val="000000"/>
          <w:lang w:eastAsia="bg-BG"/>
        </w:rPr>
        <w:t xml:space="preserve"> Ерлотиниб има среден видим обем на разпределение от 232 1 и се разпределя в туморните тъкани при хората.</w:t>
      </w:r>
    </w:p>
    <w:p w14:paraId="28B1E6E2"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В едно проучване при 4 пациенти (3 с недребноклетьчен рак на белия дроб [НДКРБД] и 1 с рак на ларинкса), приемали перорално 150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дневно ерлотиниб, туморните проби при оперативното отстраняване на ден 9 от лечението са показали средни концентрации на ерлотиниб в тумора 1185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g</w:t>
      </w:r>
      <w:r w:rsidRPr="008A18BB">
        <w:rPr>
          <w:rFonts w:eastAsia="Times New Roman" w:cs="Arial"/>
          <w:color w:val="000000"/>
          <w:lang w:val="ru-RU"/>
        </w:rPr>
        <w:t xml:space="preserve"> </w:t>
      </w:r>
      <w:r w:rsidRPr="008A18BB">
        <w:rPr>
          <w:rFonts w:eastAsia="Times New Roman" w:cs="Arial"/>
          <w:color w:val="000000"/>
          <w:lang w:eastAsia="bg-BG"/>
        </w:rPr>
        <w:t xml:space="preserve">тъкан. Това отговаря на общо средно 63% (граници 5-161%) от наблюдаваните максимални плазмени концентрации в стационарно състояние. Първичните активни метаболиги са присъствали в тумора в средни концентрации 160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g</w:t>
      </w:r>
      <w:r w:rsidRPr="008A18BB">
        <w:rPr>
          <w:rFonts w:eastAsia="Times New Roman" w:cs="Arial"/>
          <w:color w:val="000000"/>
          <w:lang w:val="ru-RU"/>
        </w:rPr>
        <w:t xml:space="preserve"> </w:t>
      </w:r>
      <w:r w:rsidRPr="008A18BB">
        <w:rPr>
          <w:rFonts w:eastAsia="Times New Roman" w:cs="Arial"/>
          <w:color w:val="000000"/>
          <w:lang w:eastAsia="bg-BG"/>
        </w:rPr>
        <w:t>тъкан, което отговаря на общо средно 113% (граници 88- 130%) от наблюдаваните максимални плазмени концентрации в стационарно състояние. Свързването с плазмените протеини е приблизително 95%.</w:t>
      </w:r>
    </w:p>
    <w:p w14:paraId="4BF340D8"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Ерлотиниб се свързва със серумния албумин и с алфа-1 кисел гликопротеин </w:t>
      </w:r>
      <w:r w:rsidRPr="008A18BB">
        <w:rPr>
          <w:rFonts w:eastAsia="Times New Roman" w:cs="Arial"/>
          <w:color w:val="000000"/>
          <w:lang w:val="ru-RU"/>
        </w:rPr>
        <w:t>(</w:t>
      </w:r>
      <w:r w:rsidRPr="008A18BB">
        <w:rPr>
          <w:rFonts w:eastAsia="Times New Roman" w:cs="Arial"/>
          <w:color w:val="000000"/>
          <w:lang w:val="en-US"/>
        </w:rPr>
        <w:t>AAG</w:t>
      </w:r>
      <w:r w:rsidRPr="008A18BB">
        <w:rPr>
          <w:rFonts w:eastAsia="Times New Roman" w:cs="Arial"/>
          <w:color w:val="000000"/>
          <w:lang w:val="ru-RU"/>
        </w:rPr>
        <w:t>).</w:t>
      </w:r>
    </w:p>
    <w:p w14:paraId="4E8E38F7" w14:textId="77777777" w:rsidR="008A18BB" w:rsidRPr="008A18BB" w:rsidRDefault="008A18BB" w:rsidP="008A18BB">
      <w:pPr>
        <w:spacing w:line="240" w:lineRule="auto"/>
        <w:rPr>
          <w:rFonts w:eastAsia="Times New Roman" w:cs="Arial"/>
          <w:color w:val="000000"/>
          <w:u w:val="single"/>
          <w:lang w:eastAsia="bg-BG"/>
        </w:rPr>
      </w:pPr>
    </w:p>
    <w:p w14:paraId="4E0B8904" w14:textId="09EFC611"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Биотрансформация:</w:t>
      </w:r>
      <w:r w:rsidRPr="008A18BB">
        <w:rPr>
          <w:rFonts w:eastAsia="Times New Roman" w:cs="Arial"/>
          <w:color w:val="000000"/>
          <w:lang w:eastAsia="bg-BG"/>
        </w:rPr>
        <w:t xml:space="preserve"> При човека ерлотиниб се метаболизира в черния дроб от чернодробните цитохроми, предимно </w:t>
      </w:r>
      <w:r w:rsidRPr="008A18BB">
        <w:rPr>
          <w:rFonts w:eastAsia="Times New Roman" w:cs="Arial"/>
          <w:color w:val="000000"/>
          <w:lang w:val="en-US"/>
        </w:rPr>
        <w:t>CYP</w:t>
      </w:r>
      <w:r w:rsidRPr="008A18BB">
        <w:rPr>
          <w:rFonts w:eastAsia="Times New Roman" w:cs="Arial"/>
          <w:color w:val="000000"/>
          <w:lang w:val="ru-RU"/>
        </w:rPr>
        <w:t>3</w:t>
      </w:r>
      <w:r w:rsidRPr="008A18BB">
        <w:rPr>
          <w:rFonts w:eastAsia="Times New Roman" w:cs="Arial"/>
          <w:color w:val="000000"/>
          <w:lang w:val="en-US"/>
        </w:rPr>
        <w:t>A</w:t>
      </w:r>
      <w:r w:rsidRPr="008A18BB">
        <w:rPr>
          <w:rFonts w:eastAsia="Times New Roman" w:cs="Arial"/>
          <w:color w:val="000000"/>
          <w:lang w:val="ru-RU"/>
        </w:rPr>
        <w:t xml:space="preserve">4 </w:t>
      </w:r>
      <w:r w:rsidRPr="008A18BB">
        <w:rPr>
          <w:rFonts w:eastAsia="Times New Roman" w:cs="Arial"/>
          <w:color w:val="000000"/>
          <w:lang w:eastAsia="bg-BG"/>
        </w:rPr>
        <w:t xml:space="preserve">и в по-малка степен от </w:t>
      </w:r>
      <w:r w:rsidRPr="008A18BB">
        <w:rPr>
          <w:rFonts w:eastAsia="Times New Roman" w:cs="Arial"/>
          <w:color w:val="000000"/>
          <w:lang w:val="en-US"/>
        </w:rPr>
        <w:t>CYP</w:t>
      </w:r>
      <w:r w:rsidRPr="008A18BB">
        <w:rPr>
          <w:rFonts w:eastAsia="Times New Roman" w:cs="Arial"/>
          <w:color w:val="000000"/>
          <w:lang w:val="ru-RU"/>
        </w:rPr>
        <w:t>1</w:t>
      </w:r>
      <w:r w:rsidRPr="008A18BB">
        <w:rPr>
          <w:rFonts w:eastAsia="Times New Roman" w:cs="Arial"/>
          <w:color w:val="000000"/>
          <w:lang w:val="en-US"/>
        </w:rPr>
        <w:t>A</w:t>
      </w:r>
      <w:r w:rsidRPr="008A18BB">
        <w:rPr>
          <w:rFonts w:eastAsia="Times New Roman" w:cs="Arial"/>
          <w:color w:val="000000"/>
          <w:lang w:val="ru-RU"/>
        </w:rPr>
        <w:t xml:space="preserve">2. </w:t>
      </w:r>
      <w:r w:rsidRPr="008A18BB">
        <w:rPr>
          <w:rFonts w:eastAsia="Times New Roman" w:cs="Arial"/>
          <w:color w:val="000000"/>
          <w:lang w:eastAsia="bg-BG"/>
        </w:rPr>
        <w:t xml:space="preserve">Възможно е екстрахепаталният метаболизъм с помощта на </w:t>
      </w:r>
      <w:r w:rsidRPr="008A18BB">
        <w:rPr>
          <w:rFonts w:eastAsia="Times New Roman" w:cs="Arial"/>
          <w:color w:val="000000"/>
          <w:lang w:val="en-US"/>
        </w:rPr>
        <w:t>CYP</w:t>
      </w:r>
      <w:r w:rsidRPr="008A18BB">
        <w:rPr>
          <w:rFonts w:eastAsia="Times New Roman" w:cs="Arial"/>
          <w:color w:val="000000"/>
          <w:lang w:val="ru-RU"/>
        </w:rPr>
        <w:t>3</w:t>
      </w:r>
      <w:r w:rsidRPr="008A18BB">
        <w:rPr>
          <w:rFonts w:eastAsia="Times New Roman" w:cs="Arial"/>
          <w:color w:val="000000"/>
          <w:lang w:val="en-US"/>
        </w:rPr>
        <w:t>A</w:t>
      </w:r>
      <w:r w:rsidRPr="008A18BB">
        <w:rPr>
          <w:rFonts w:eastAsia="Times New Roman" w:cs="Arial"/>
          <w:color w:val="000000"/>
          <w:lang w:val="ru-RU"/>
        </w:rPr>
        <w:t xml:space="preserve">4 </w:t>
      </w:r>
      <w:r w:rsidRPr="008A18BB">
        <w:rPr>
          <w:rFonts w:eastAsia="Times New Roman" w:cs="Arial"/>
          <w:color w:val="000000"/>
          <w:lang w:eastAsia="bg-BG"/>
        </w:rPr>
        <w:t xml:space="preserve">в червата, </w:t>
      </w:r>
      <w:r w:rsidRPr="008A18BB">
        <w:rPr>
          <w:rFonts w:eastAsia="Times New Roman" w:cs="Arial"/>
          <w:color w:val="000000"/>
          <w:lang w:val="en-US"/>
        </w:rPr>
        <w:t>CYP</w:t>
      </w:r>
      <w:r w:rsidRPr="008A18BB">
        <w:rPr>
          <w:rFonts w:eastAsia="Times New Roman" w:cs="Arial"/>
          <w:color w:val="000000"/>
          <w:lang w:val="ru-RU"/>
        </w:rPr>
        <w:t>1</w:t>
      </w:r>
      <w:r w:rsidRPr="008A18BB">
        <w:rPr>
          <w:rFonts w:eastAsia="Times New Roman" w:cs="Arial"/>
          <w:color w:val="000000"/>
          <w:lang w:eastAsia="bg-BG"/>
        </w:rPr>
        <w:t>А1 в белите дробове, и 1В1 в туморната тъкан да допринася за метаболитното елиминиране на ерлотиниб.</w:t>
      </w:r>
    </w:p>
    <w:p w14:paraId="2B944388"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Идентифицирани са три основни метаболитни пътища: 1) О-деметилиране на всяка странична верига или и на двете, последвано от окисление до карбоксилни киселини; 2) окисление на ацетиленовата група, последвано от хидролиза до арил карбоксилна киселина; и 3) ароматно хидроксилиране на фенил-ацетиленовата група.</w:t>
      </w:r>
    </w:p>
    <w:p w14:paraId="71EF9384"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Първичните метаболити </w:t>
      </w:r>
      <w:r w:rsidRPr="008A18BB">
        <w:rPr>
          <w:rFonts w:eastAsia="Times New Roman" w:cs="Arial"/>
          <w:color w:val="000000"/>
          <w:lang w:val="en-US"/>
        </w:rPr>
        <w:t>OSI</w:t>
      </w:r>
      <w:r w:rsidRPr="008A18BB">
        <w:rPr>
          <w:rFonts w:eastAsia="Times New Roman" w:cs="Arial"/>
          <w:color w:val="000000"/>
          <w:lang w:val="ru-RU"/>
        </w:rPr>
        <w:t xml:space="preserve">-420 </w:t>
      </w:r>
      <w:r w:rsidRPr="008A18BB">
        <w:rPr>
          <w:rFonts w:eastAsia="Times New Roman" w:cs="Arial"/>
          <w:color w:val="000000"/>
          <w:lang w:eastAsia="bg-BG"/>
        </w:rPr>
        <w:t xml:space="preserve">и </w:t>
      </w:r>
      <w:r w:rsidRPr="008A18BB">
        <w:rPr>
          <w:rFonts w:eastAsia="Times New Roman" w:cs="Arial"/>
          <w:color w:val="000000"/>
          <w:lang w:val="en-US"/>
        </w:rPr>
        <w:t>OSI</w:t>
      </w:r>
      <w:r w:rsidRPr="008A18BB">
        <w:rPr>
          <w:rFonts w:eastAsia="Times New Roman" w:cs="Arial"/>
          <w:color w:val="000000"/>
          <w:lang w:val="ru-RU"/>
        </w:rPr>
        <w:t xml:space="preserve">-413 </w:t>
      </w:r>
      <w:r w:rsidRPr="008A18BB">
        <w:rPr>
          <w:rFonts w:eastAsia="Times New Roman" w:cs="Arial"/>
          <w:color w:val="000000"/>
          <w:lang w:eastAsia="bg-BG"/>
        </w:rPr>
        <w:t xml:space="preserve">на ерлотиниб, получени при О-деметилиране на всяка странична верига, са имали активност, сравнима с ерлотиниб при неклиничните тестове </w:t>
      </w:r>
      <w:r w:rsidRPr="008A18BB">
        <w:rPr>
          <w:rFonts w:eastAsia="Times New Roman" w:cs="Arial"/>
          <w:i/>
          <w:iCs/>
          <w:color w:val="000000"/>
          <w:lang w:val="en-US"/>
        </w:rPr>
        <w:t>in</w:t>
      </w:r>
      <w:r w:rsidRPr="008A18BB">
        <w:rPr>
          <w:rFonts w:eastAsia="Times New Roman" w:cs="Arial"/>
          <w:i/>
          <w:iCs/>
          <w:color w:val="000000"/>
          <w:lang w:val="ru-RU"/>
        </w:rPr>
        <w:t xml:space="preserve"> </w:t>
      </w:r>
      <w:r w:rsidRPr="008A18BB">
        <w:rPr>
          <w:rFonts w:eastAsia="Times New Roman" w:cs="Arial"/>
          <w:i/>
          <w:iCs/>
          <w:color w:val="000000"/>
          <w:lang w:val="en-US"/>
        </w:rPr>
        <w:t>vitro</w:t>
      </w:r>
      <w:r w:rsidRPr="008A18BB">
        <w:rPr>
          <w:rFonts w:eastAsia="Times New Roman" w:cs="Arial"/>
          <w:color w:val="000000"/>
          <w:lang w:val="ru-RU"/>
        </w:rPr>
        <w:t xml:space="preserve"> </w:t>
      </w:r>
      <w:r w:rsidRPr="008A18BB">
        <w:rPr>
          <w:rFonts w:eastAsia="Times New Roman" w:cs="Arial"/>
          <w:color w:val="000000"/>
          <w:lang w:eastAsia="bg-BG"/>
        </w:rPr>
        <w:t xml:space="preserve">и при туморни модели </w:t>
      </w:r>
      <w:r w:rsidRPr="008A18BB">
        <w:rPr>
          <w:rFonts w:eastAsia="Times New Roman" w:cs="Arial"/>
          <w:i/>
          <w:iCs/>
          <w:color w:val="000000"/>
          <w:lang w:val="en-US"/>
        </w:rPr>
        <w:t>in</w:t>
      </w:r>
      <w:r w:rsidRPr="008A18BB">
        <w:rPr>
          <w:rFonts w:eastAsia="Times New Roman" w:cs="Arial"/>
          <w:i/>
          <w:iCs/>
          <w:color w:val="000000"/>
          <w:lang w:val="ru-RU"/>
        </w:rPr>
        <w:t xml:space="preserve"> </w:t>
      </w:r>
      <w:r w:rsidRPr="008A18BB">
        <w:rPr>
          <w:rFonts w:eastAsia="Times New Roman" w:cs="Arial"/>
          <w:i/>
          <w:iCs/>
          <w:color w:val="000000"/>
          <w:lang w:val="en-US"/>
        </w:rPr>
        <w:t>vivo</w:t>
      </w:r>
      <w:r w:rsidRPr="008A18BB">
        <w:rPr>
          <w:rFonts w:eastAsia="Times New Roman" w:cs="Arial"/>
          <w:i/>
          <w:iCs/>
          <w:color w:val="000000"/>
          <w:lang w:val="ru-RU"/>
        </w:rPr>
        <w:t>.</w:t>
      </w:r>
      <w:r w:rsidRPr="008A18BB">
        <w:rPr>
          <w:rFonts w:eastAsia="Times New Roman" w:cs="Arial"/>
          <w:color w:val="000000"/>
          <w:lang w:val="ru-RU"/>
        </w:rPr>
        <w:t xml:space="preserve"> </w:t>
      </w:r>
      <w:r w:rsidRPr="008A18BB">
        <w:rPr>
          <w:rFonts w:eastAsia="Times New Roman" w:cs="Arial"/>
          <w:color w:val="000000"/>
          <w:lang w:eastAsia="bg-BG"/>
        </w:rPr>
        <w:t>Те присъстват в плазмата с нива &lt;10% от тези на ерлотиниб и показват подобни фармакокинетични свойства като ерлотиниб.</w:t>
      </w:r>
    </w:p>
    <w:p w14:paraId="594C257C" w14:textId="77777777" w:rsidR="008A18BB" w:rsidRPr="008A18BB" w:rsidRDefault="008A18BB" w:rsidP="008A18BB">
      <w:pPr>
        <w:spacing w:line="240" w:lineRule="auto"/>
        <w:rPr>
          <w:rFonts w:eastAsia="Times New Roman" w:cs="Arial"/>
          <w:color w:val="000000"/>
          <w:u w:val="single"/>
          <w:lang w:eastAsia="bg-BG"/>
        </w:rPr>
      </w:pPr>
    </w:p>
    <w:p w14:paraId="0EFB2A5D" w14:textId="412C3DD0"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Елиминиране:</w:t>
      </w:r>
      <w:r w:rsidRPr="008A18BB">
        <w:rPr>
          <w:rFonts w:eastAsia="Times New Roman" w:cs="Arial"/>
          <w:color w:val="000000"/>
          <w:lang w:eastAsia="bg-BG"/>
        </w:rPr>
        <w:t xml:space="preserve"> Ерлотиниб се екскретира предимно под формата на метаболити чрез фекалиите (&gt;90%) като само малко количество се елиминира през бъбреците (приблизително 9%) от пероралната доза. Под 2% от перорално приложената доза се екскретира в непроменен вид. Популационен фармакокинетичен анализ на 591 пациенти, получаващи само ерлотиниб, показва среден видим клирънс от 4,471/час със средна стойност на полуживот от 36,2 часа. Поради това може да се очаква, че времето за достигане на стационарна плазмена концентрация ще бъде приблизително 7-8 дни.</w:t>
      </w:r>
    </w:p>
    <w:p w14:paraId="1004CDC2" w14:textId="77777777" w:rsidR="008A18BB" w:rsidRPr="008A18BB" w:rsidRDefault="008A18BB" w:rsidP="008A18BB">
      <w:pPr>
        <w:spacing w:line="240" w:lineRule="auto"/>
        <w:rPr>
          <w:rFonts w:eastAsia="Times New Roman" w:cs="Arial"/>
          <w:color w:val="000000"/>
          <w:u w:val="single"/>
          <w:lang w:eastAsia="bg-BG"/>
        </w:rPr>
      </w:pPr>
    </w:p>
    <w:p w14:paraId="5494EB8E" w14:textId="5946E67A"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Фармакокинетика при специални популации:</w:t>
      </w:r>
    </w:p>
    <w:p w14:paraId="41CD84E1" w14:textId="77777777" w:rsidR="008A18BB" w:rsidRPr="008A18BB" w:rsidRDefault="008A18BB" w:rsidP="008A18BB">
      <w:pPr>
        <w:spacing w:line="240" w:lineRule="auto"/>
        <w:rPr>
          <w:rFonts w:eastAsia="Times New Roman" w:cs="Arial"/>
          <w:color w:val="000000"/>
          <w:lang w:eastAsia="bg-BG"/>
        </w:rPr>
      </w:pPr>
    </w:p>
    <w:p w14:paraId="701D8225" w14:textId="2356537C"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Въз основа на популационния фармакокинетичен анализ не е наблюдавана клинично значима връзка между очаквания видим клирънс и възрастта, телесното тегло, пола и етническата принадлежност на пациентите. Факторите от пациента, които корелират с фармакокинетиката на ерлотиниб, са общ серумен билирубин, </w:t>
      </w:r>
      <w:r w:rsidRPr="008A18BB">
        <w:rPr>
          <w:rFonts w:eastAsia="Times New Roman" w:cs="Arial"/>
          <w:color w:val="000000"/>
          <w:lang w:val="en-US"/>
        </w:rPr>
        <w:t>AAG</w:t>
      </w:r>
      <w:r w:rsidRPr="008A18BB">
        <w:rPr>
          <w:rFonts w:eastAsia="Times New Roman" w:cs="Arial"/>
          <w:color w:val="000000"/>
          <w:lang w:val="ru-RU"/>
        </w:rPr>
        <w:t xml:space="preserve"> </w:t>
      </w:r>
      <w:r w:rsidRPr="008A18BB">
        <w:rPr>
          <w:rFonts w:eastAsia="Times New Roman" w:cs="Arial"/>
          <w:color w:val="000000"/>
          <w:lang w:eastAsia="bg-BG"/>
        </w:rPr>
        <w:t xml:space="preserve">и тютюнопушене в момента. Повишените серумни концентрации на общия билирубин и концентрациите на </w:t>
      </w:r>
      <w:r w:rsidRPr="008A18BB">
        <w:rPr>
          <w:rFonts w:eastAsia="Times New Roman" w:cs="Arial"/>
          <w:color w:val="000000"/>
          <w:lang w:val="en-US"/>
        </w:rPr>
        <w:t>AAG</w:t>
      </w:r>
      <w:r w:rsidRPr="008A18BB">
        <w:rPr>
          <w:rFonts w:eastAsia="Times New Roman" w:cs="Arial"/>
          <w:color w:val="000000"/>
          <w:lang w:val="ru-RU"/>
        </w:rPr>
        <w:t xml:space="preserve"> </w:t>
      </w:r>
      <w:r w:rsidRPr="008A18BB">
        <w:rPr>
          <w:rFonts w:eastAsia="Times New Roman" w:cs="Arial"/>
          <w:color w:val="000000"/>
          <w:lang w:eastAsia="bg-BG"/>
        </w:rPr>
        <w:t>са свързани с намален клирънс на ерлотиниб. Клиничното</w:t>
      </w:r>
    </w:p>
    <w:p w14:paraId="617378C0" w14:textId="77777777" w:rsidR="008A18BB" w:rsidRPr="008A18BB" w:rsidRDefault="008A18BB" w:rsidP="008A18BB">
      <w:pPr>
        <w:rPr>
          <w:rFonts w:eastAsia="Times New Roman" w:cs="Arial"/>
          <w:sz w:val="24"/>
          <w:szCs w:val="24"/>
        </w:rPr>
      </w:pPr>
      <w:r w:rsidRPr="008A18BB">
        <w:rPr>
          <w:rFonts w:eastAsia="Times New Roman" w:cs="Arial"/>
          <w:color w:val="000000"/>
          <w:lang w:eastAsia="bg-BG"/>
        </w:rPr>
        <w:t xml:space="preserve">значение на тези разлики е неясно. Пушачите обаче са имали увеличен клирънс на ерлотиниб. Това е потвърдено в едно фармакокинетично проучване при непушачи и пушещи в момента здрави индивиди, приемали еднократна перорална доза от 150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lastRenderedPageBreak/>
        <w:t>ерлотиниб. Геометрична средна</w:t>
      </w:r>
      <w:r w:rsidRPr="008A18BB">
        <w:rPr>
          <w:rFonts w:eastAsia="Times New Roman" w:cs="Arial"/>
          <w:color w:val="000000"/>
          <w:vertAlign w:val="superscript"/>
          <w:lang w:eastAsia="bg-BG"/>
        </w:rPr>
        <w:t xml:space="preserve"> </w:t>
      </w:r>
      <w:r w:rsidRPr="008A18BB">
        <w:rPr>
          <w:rFonts w:eastAsia="Times New Roman" w:cs="Arial"/>
          <w:color w:val="000000"/>
          <w:lang w:eastAsia="bg-BG"/>
        </w:rPr>
        <w:t xml:space="preserve">стойност на </w:t>
      </w:r>
      <w:r w:rsidRPr="008A18BB">
        <w:rPr>
          <w:rFonts w:eastAsia="Times New Roman" w:cs="Arial"/>
          <w:color w:val="000000"/>
          <w:lang w:val="en-US"/>
        </w:rPr>
        <w:t>Cmax</w:t>
      </w:r>
      <w:r w:rsidRPr="008A18BB">
        <w:rPr>
          <w:rFonts w:eastAsia="Times New Roman" w:cs="Arial"/>
          <w:color w:val="000000"/>
          <w:lang w:val="ru-RU"/>
        </w:rPr>
        <w:t xml:space="preserve"> </w:t>
      </w:r>
      <w:r w:rsidRPr="008A18BB">
        <w:rPr>
          <w:rFonts w:eastAsia="Times New Roman" w:cs="Arial"/>
          <w:color w:val="000000"/>
          <w:lang w:eastAsia="bg-BG"/>
        </w:rPr>
        <w:t xml:space="preserve">е 1056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непушачите и 689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пушачите със средно съотношение за пушачи към непушачи от 65,2% (95% ДИ: 44,3 до 95,9, р = 0,031). Геометричната средна стойност на </w:t>
      </w:r>
      <w:r w:rsidRPr="008A18BB">
        <w:rPr>
          <w:rFonts w:eastAsia="Times New Roman" w:cs="Arial"/>
          <w:color w:val="000000"/>
          <w:lang w:val="en-US"/>
        </w:rPr>
        <w:t>AUCO</w:t>
      </w:r>
      <w:r w:rsidRPr="008A18BB">
        <w:rPr>
          <w:rFonts w:eastAsia="Times New Roman" w:cs="Arial"/>
          <w:color w:val="000000"/>
          <w:lang w:val="ru-RU"/>
        </w:rPr>
        <w:t>-</w:t>
      </w:r>
      <w:r w:rsidRPr="008A18BB">
        <w:rPr>
          <w:rFonts w:eastAsia="Times New Roman" w:cs="Arial"/>
          <w:color w:val="000000"/>
          <w:lang w:val="en-US"/>
        </w:rPr>
        <w:t>inf</w:t>
      </w:r>
      <w:r w:rsidRPr="008A18BB">
        <w:rPr>
          <w:rFonts w:eastAsia="Times New Roman" w:cs="Arial"/>
          <w:color w:val="000000"/>
          <w:lang w:val="ru-RU"/>
        </w:rPr>
        <w:t xml:space="preserve"> </w:t>
      </w:r>
      <w:r w:rsidRPr="008A18BB">
        <w:rPr>
          <w:rFonts w:eastAsia="Times New Roman" w:cs="Arial"/>
          <w:color w:val="000000"/>
          <w:lang w:eastAsia="bg-BG"/>
        </w:rPr>
        <w:t xml:space="preserve">е 18726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непушачите и 6718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пушачите със средно съотношение от 35,9% (95% ДИ: 23,7 до 54,3, р &lt; 0,0001). Геометричната средна стойност на </w:t>
      </w:r>
      <w:r w:rsidRPr="008A18BB">
        <w:rPr>
          <w:rFonts w:eastAsia="Times New Roman" w:cs="Arial"/>
          <w:color w:val="000000"/>
          <w:lang w:val="en-US"/>
        </w:rPr>
        <w:t>C</w:t>
      </w:r>
      <w:r w:rsidRPr="008A18BB">
        <w:rPr>
          <w:rFonts w:eastAsia="Times New Roman" w:cs="Arial"/>
          <w:color w:val="000000"/>
          <w:lang w:val="ru-RU"/>
        </w:rPr>
        <w:t>24</w:t>
      </w:r>
      <w:r w:rsidRPr="008A18BB">
        <w:rPr>
          <w:rFonts w:eastAsia="Times New Roman" w:cs="Arial"/>
          <w:color w:val="000000"/>
          <w:lang w:val="en-US"/>
        </w:rPr>
        <w:t>h</w:t>
      </w:r>
      <w:r w:rsidRPr="008A18BB">
        <w:rPr>
          <w:rFonts w:eastAsia="Times New Roman" w:cs="Arial"/>
          <w:color w:val="000000"/>
          <w:lang w:val="ru-RU"/>
        </w:rPr>
        <w:t xml:space="preserve"> </w:t>
      </w:r>
      <w:r w:rsidRPr="008A18BB">
        <w:rPr>
          <w:rFonts w:eastAsia="Times New Roman" w:cs="Arial"/>
          <w:color w:val="000000"/>
          <w:lang w:eastAsia="bg-BG"/>
        </w:rPr>
        <w:t xml:space="preserve">е 288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непушачите и 34,8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при пушачите със средно съотношение от 12,1% (95% ДИ: 4,82 до 30,2, р = 0,0001).</w:t>
      </w:r>
    </w:p>
    <w:p w14:paraId="74EEED10" w14:textId="2BA14ACB"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В основното проучване във фаза Ш при НДКРБД, настоящите пушачи са постигнали най-ниска плазмена концентрация на ерлотиниб в стационарно състояние 0,65 </w:t>
      </w:r>
      <w:r w:rsidRPr="008A18BB">
        <w:rPr>
          <w:rFonts w:eastAsia="Times New Roman" w:cs="Arial"/>
          <w:color w:val="000000"/>
          <w:lang w:val="en-US"/>
        </w:rPr>
        <w:t>pg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w:t>
      </w:r>
      <w:r w:rsidRPr="008A18BB">
        <w:rPr>
          <w:rFonts w:eastAsia="Times New Roman" w:cs="Arial"/>
          <w:color w:val="000000"/>
          <w:lang w:val="en-US"/>
        </w:rPr>
        <w:t>n</w:t>
      </w:r>
      <w:r w:rsidRPr="008A18BB">
        <w:rPr>
          <w:rFonts w:eastAsia="Times New Roman" w:cs="Arial"/>
          <w:color w:val="000000"/>
          <w:lang w:eastAsia="bg-BG"/>
        </w:rPr>
        <w:t>=16), което е приблизително два пъти по-малко от бивши пушачи или пациенти, които никога не са пушили (1,28</w:t>
      </w:r>
      <w:r w:rsidRPr="008A18BB">
        <w:rPr>
          <w:rFonts w:eastAsia="Times New Roman" w:cs="Arial"/>
          <w:sz w:val="24"/>
          <w:szCs w:val="24"/>
        </w:rPr>
        <w:t xml:space="preserve"> </w:t>
      </w:r>
      <w:r w:rsidRPr="008A18BB">
        <w:rPr>
          <w:rFonts w:eastAsia="Times New Roman" w:cs="Arial"/>
          <w:color w:val="000000"/>
          <w:lang w:eastAsia="bg-BG"/>
        </w:rPr>
        <w:t>μ</w:t>
      </w:r>
      <w:r w:rsidRPr="008A18BB">
        <w:rPr>
          <w:rFonts w:eastAsia="Times New Roman" w:cs="Arial"/>
          <w:color w:val="000000"/>
          <w:lang w:val="en-US"/>
        </w:rPr>
        <w:t>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val="en-US"/>
        </w:rPr>
        <w:t>n</w:t>
      </w:r>
      <w:r w:rsidRPr="008A18BB">
        <w:rPr>
          <w:rFonts w:eastAsia="Times New Roman" w:cs="Arial"/>
          <w:color w:val="000000"/>
          <w:lang w:eastAsia="bg-BG"/>
        </w:rPr>
        <w:t xml:space="preserve">=108). Този ефект се придружава от 24-процентно повишение на привидния плазмен клирънс на ерлотиниб. В едно проучване фаза I с покачващи се дози при пациенти с НДКРБД, които са настоящи пушачи, фармакокинетичните анализи в стационарно състояние показват пропорционално на дозата увеличение на експозицията на ерлотиниб, когато дозата на ерлотиниб се е повишила от 150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до максималната поносима доза от 300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Минималните плазмени концентрации в стационарно състояние при доза от 300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при настоящи пушачи в това проучване са били 1,22 </w:t>
      </w:r>
      <w:r w:rsidRPr="008A18BB">
        <w:rPr>
          <w:rFonts w:eastAsia="Times New Roman" w:cs="Arial"/>
          <w:color w:val="000000"/>
          <w:lang w:val="en-US"/>
        </w:rPr>
        <w:t>pg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w:t>
      </w:r>
      <w:r w:rsidRPr="008A18BB">
        <w:rPr>
          <w:rFonts w:eastAsia="Times New Roman" w:cs="Arial"/>
          <w:color w:val="000000"/>
          <w:lang w:val="en-US"/>
        </w:rPr>
        <w:t>n</w:t>
      </w:r>
      <w:r w:rsidRPr="008A18BB">
        <w:rPr>
          <w:rFonts w:eastAsia="Times New Roman" w:cs="Arial"/>
          <w:color w:val="000000"/>
          <w:lang w:val="ru-RU"/>
        </w:rPr>
        <w:t>=17).</w:t>
      </w:r>
    </w:p>
    <w:p w14:paraId="6EE333BE" w14:textId="77777777" w:rsidR="008A18BB" w:rsidRPr="008A18BB" w:rsidRDefault="008A18BB" w:rsidP="008A18BB">
      <w:pPr>
        <w:spacing w:line="240" w:lineRule="auto"/>
        <w:rPr>
          <w:rFonts w:eastAsia="Times New Roman" w:cs="Arial"/>
          <w:color w:val="000000"/>
          <w:lang w:eastAsia="bg-BG"/>
        </w:rPr>
      </w:pPr>
    </w:p>
    <w:p w14:paraId="0D097FFE" w14:textId="65BF1706"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Въз основа на резултатите от фармакокинетичните проучвания настоящите пушачи трябва да се посъветват да преустановят пушенето, докато се лекуват с ерлотиниб, тъй като в противен случай плазмените концентрации може да се намалят.</w:t>
      </w:r>
    </w:p>
    <w:p w14:paraId="0550710F" w14:textId="77777777" w:rsidR="008A18BB" w:rsidRPr="008A18BB" w:rsidRDefault="008A18BB" w:rsidP="008A18BB">
      <w:pPr>
        <w:spacing w:line="240" w:lineRule="auto"/>
        <w:rPr>
          <w:rFonts w:eastAsia="Times New Roman" w:cs="Arial"/>
          <w:color w:val="000000"/>
          <w:lang w:eastAsia="bg-BG"/>
        </w:rPr>
      </w:pPr>
    </w:p>
    <w:p w14:paraId="407FEC72" w14:textId="4FB59CE2"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Въз основа на популационния фармакокинетичен анализ наличието на опиат изглежда увеличава експозицията с около 11%.</w:t>
      </w:r>
    </w:p>
    <w:p w14:paraId="7996F4B7" w14:textId="77777777" w:rsidR="008A18BB" w:rsidRPr="008A18BB" w:rsidRDefault="008A18BB" w:rsidP="008A18BB">
      <w:pPr>
        <w:spacing w:line="240" w:lineRule="auto"/>
        <w:rPr>
          <w:rFonts w:eastAsia="Times New Roman" w:cs="Arial"/>
          <w:color w:val="000000"/>
          <w:lang w:eastAsia="bg-BG"/>
        </w:rPr>
      </w:pPr>
    </w:p>
    <w:p w14:paraId="069E9B99" w14:textId="1D44F5D0"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Проведен е втори популационен фармакокинетичен анализ, който включва данни за ерлотиниб от 204 пациенти с рак на панкреаса, които са приемали ерлотиниб плюс гемцитабин. Този анализ показва, че ковариантите, които имат отношение към клирънса на ерлотиниб при пациентите от панкреатичното проучване, са подобни на тези, наблюдавани в предишния фармакокинетичен анализ при прилагане само на едно лекарство. Не са установени нови ковариантни ефекти. Едновременното приложение на гемцитабин няма ефект върху плазмения клирънс на ерлотиниб.</w:t>
      </w:r>
    </w:p>
    <w:p w14:paraId="6E1200B2" w14:textId="77777777" w:rsidR="008A18BB" w:rsidRPr="008A18BB" w:rsidRDefault="008A18BB" w:rsidP="008A18BB">
      <w:pPr>
        <w:spacing w:line="240" w:lineRule="auto"/>
        <w:rPr>
          <w:rFonts w:eastAsia="Times New Roman" w:cs="Arial"/>
          <w:color w:val="000000"/>
          <w:u w:val="single"/>
          <w:lang w:eastAsia="bg-BG"/>
        </w:rPr>
      </w:pPr>
    </w:p>
    <w:p w14:paraId="0DC3E951" w14:textId="2F370D9D"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Педиатрична популация:</w:t>
      </w:r>
      <w:r w:rsidRPr="008A18BB">
        <w:rPr>
          <w:rFonts w:eastAsia="Times New Roman" w:cs="Arial"/>
          <w:color w:val="000000"/>
          <w:lang w:eastAsia="bg-BG"/>
        </w:rPr>
        <w:t xml:space="preserve"> Не са провеждани специфични проучвания при педиатрични пациенти.</w:t>
      </w:r>
    </w:p>
    <w:p w14:paraId="10DA42A4" w14:textId="77777777" w:rsidR="008A18BB" w:rsidRPr="008A18BB" w:rsidRDefault="008A18BB" w:rsidP="008A18BB">
      <w:pPr>
        <w:spacing w:line="240" w:lineRule="auto"/>
        <w:rPr>
          <w:rFonts w:eastAsia="Times New Roman" w:cs="Arial"/>
          <w:color w:val="000000"/>
          <w:u w:val="single"/>
          <w:lang w:eastAsia="bg-BG"/>
        </w:rPr>
      </w:pPr>
    </w:p>
    <w:p w14:paraId="2FDA8CC3" w14:textId="43B1A380"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Популация в старческа възраст:</w:t>
      </w:r>
      <w:r w:rsidRPr="008A18BB">
        <w:rPr>
          <w:rFonts w:eastAsia="Times New Roman" w:cs="Arial"/>
          <w:color w:val="000000"/>
          <w:lang w:eastAsia="bg-BG"/>
        </w:rPr>
        <w:t xml:space="preserve"> Не са провеждани специфични проучвания при пациенти в старческа възраст.</w:t>
      </w:r>
    </w:p>
    <w:p w14:paraId="1AF6B660" w14:textId="77777777" w:rsidR="008A18BB" w:rsidRPr="008A18BB" w:rsidRDefault="008A18BB" w:rsidP="008A18BB">
      <w:pPr>
        <w:spacing w:line="240" w:lineRule="auto"/>
        <w:rPr>
          <w:rFonts w:eastAsia="Times New Roman" w:cs="Arial"/>
          <w:color w:val="000000"/>
          <w:u w:val="single"/>
          <w:lang w:eastAsia="bg-BG"/>
        </w:rPr>
      </w:pPr>
    </w:p>
    <w:p w14:paraId="6E56E17D" w14:textId="203B3897"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Чернодробно увреждане:</w:t>
      </w:r>
      <w:r w:rsidRPr="008A18BB">
        <w:rPr>
          <w:rFonts w:eastAsia="Times New Roman" w:cs="Arial"/>
          <w:color w:val="000000"/>
          <w:lang w:eastAsia="bg-BG"/>
        </w:rPr>
        <w:t xml:space="preserve"> Ерлотиниб се елиминира предимно чрез черния дроб. При пациенти със солидни тумори и с умерено увредена чернодробна функция (скор 7-9 по </w:t>
      </w:r>
      <w:r w:rsidRPr="008A18BB">
        <w:rPr>
          <w:rFonts w:eastAsia="Times New Roman" w:cs="Arial"/>
          <w:color w:val="000000"/>
          <w:lang w:val="en-US"/>
        </w:rPr>
        <w:t>Child</w:t>
      </w:r>
      <w:r w:rsidRPr="008A18BB">
        <w:rPr>
          <w:rFonts w:eastAsia="Times New Roman" w:cs="Arial"/>
          <w:color w:val="000000"/>
          <w:lang w:val="ru-RU"/>
        </w:rPr>
        <w:t>-</w:t>
      </w:r>
      <w:r w:rsidRPr="008A18BB">
        <w:rPr>
          <w:rFonts w:eastAsia="Times New Roman" w:cs="Arial"/>
          <w:color w:val="000000"/>
          <w:lang w:val="en-US"/>
        </w:rPr>
        <w:t>Pugh</w:t>
      </w:r>
      <w:r w:rsidRPr="008A18BB">
        <w:rPr>
          <w:rFonts w:eastAsia="Times New Roman" w:cs="Arial"/>
          <w:color w:val="000000"/>
          <w:lang w:val="ru-RU"/>
        </w:rPr>
        <w:t xml:space="preserve">), </w:t>
      </w:r>
      <w:r w:rsidRPr="008A18BB">
        <w:rPr>
          <w:rFonts w:eastAsia="Times New Roman" w:cs="Arial"/>
          <w:color w:val="000000"/>
          <w:lang w:eastAsia="bg-BG"/>
        </w:rPr>
        <w:t xml:space="preserve">геометричната средна стойност на </w:t>
      </w:r>
      <w:r w:rsidRPr="008A18BB">
        <w:rPr>
          <w:rFonts w:eastAsia="Times New Roman" w:cs="Arial"/>
          <w:color w:val="000000"/>
          <w:lang w:val="en-US"/>
        </w:rPr>
        <w:t>AUC</w:t>
      </w:r>
      <w:r w:rsidRPr="008A18BB">
        <w:rPr>
          <w:rFonts w:eastAsia="Times New Roman" w:cs="Arial"/>
          <w:color w:val="000000"/>
          <w:vertAlign w:val="subscript"/>
          <w:lang w:val="ru-RU"/>
        </w:rPr>
        <w:t>0-</w:t>
      </w:r>
      <w:r w:rsidRPr="008A18BB">
        <w:rPr>
          <w:rFonts w:eastAsia="Times New Roman" w:cs="Arial"/>
          <w:color w:val="000000"/>
          <w:vertAlign w:val="subscript"/>
          <w:lang w:val="en-US"/>
        </w:rPr>
        <w:t>t</w:t>
      </w:r>
      <w:r w:rsidRPr="008A18BB">
        <w:rPr>
          <w:rFonts w:eastAsia="Times New Roman" w:cs="Arial"/>
          <w:color w:val="000000"/>
          <w:lang w:val="ru-RU"/>
        </w:rPr>
        <w:t xml:space="preserve"> </w:t>
      </w:r>
      <w:r w:rsidRPr="008A18BB">
        <w:rPr>
          <w:rFonts w:eastAsia="Times New Roman" w:cs="Arial"/>
          <w:color w:val="000000"/>
          <w:lang w:eastAsia="bg-BG"/>
        </w:rPr>
        <w:t>и С</w:t>
      </w:r>
      <w:r w:rsidRPr="008A18BB">
        <w:rPr>
          <w:rFonts w:eastAsia="Times New Roman" w:cs="Arial"/>
          <w:color w:val="000000"/>
          <w:vertAlign w:val="subscript"/>
          <w:lang w:val="en-US"/>
        </w:rPr>
        <w:t>max</w:t>
      </w:r>
      <w:r w:rsidRPr="008A18BB">
        <w:rPr>
          <w:rFonts w:eastAsia="Times New Roman" w:cs="Arial"/>
          <w:color w:val="000000"/>
          <w:lang w:eastAsia="bg-BG"/>
        </w:rPr>
        <w:t xml:space="preserve"> на ерлотиниб е съответно 27000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и 805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в сравнение с 29300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и 1090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при пациенти с нормална чернодробна функция, включително и при пациенти с първичен рак на черния дроб или чернодробни метастази. Въпреки че стойността на С</w:t>
      </w:r>
      <w:r w:rsidRPr="008A18BB">
        <w:rPr>
          <w:rFonts w:eastAsia="Times New Roman" w:cs="Arial"/>
          <w:color w:val="000000"/>
          <w:lang w:val="en-US"/>
        </w:rPr>
        <w:t>max</w:t>
      </w:r>
      <w:r w:rsidRPr="008A18BB">
        <w:rPr>
          <w:rFonts w:eastAsia="Times New Roman" w:cs="Arial"/>
          <w:color w:val="000000"/>
          <w:lang w:eastAsia="bg-BG"/>
        </w:rPr>
        <w:t xml:space="preserve"> е статистически значимо по-ниска при пациенти с умерено чернодробно увреждане, тази разлика не се счита клинично значима. Няма данни относно влиянието на тежка чернодробна дисфункция върху фармакокинетиката на ерлотиниб. При популационния </w:t>
      </w:r>
      <w:r w:rsidRPr="008A18BB">
        <w:rPr>
          <w:rFonts w:eastAsia="Times New Roman" w:cs="Arial"/>
          <w:color w:val="000000"/>
          <w:lang w:eastAsia="bg-BG"/>
        </w:rPr>
        <w:lastRenderedPageBreak/>
        <w:t>фармакокинетичен анализ повишените серумни концентрации на общия билирубин са били свързани с по-бавна скорост на клирънс на ерлотиниб.</w:t>
      </w:r>
    </w:p>
    <w:p w14:paraId="140309F7" w14:textId="77777777" w:rsidR="008A18BB" w:rsidRPr="008A18BB" w:rsidRDefault="008A18BB" w:rsidP="008A18BB">
      <w:pPr>
        <w:spacing w:line="240" w:lineRule="auto"/>
        <w:rPr>
          <w:rFonts w:eastAsia="Times New Roman" w:cs="Arial"/>
          <w:color w:val="000000"/>
          <w:u w:val="single"/>
          <w:lang w:eastAsia="bg-BG"/>
        </w:rPr>
      </w:pPr>
    </w:p>
    <w:p w14:paraId="3716C44C" w14:textId="05BF393A"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Бъбречно увреждане:</w:t>
      </w:r>
      <w:r w:rsidRPr="008A18BB">
        <w:rPr>
          <w:rFonts w:eastAsia="Times New Roman" w:cs="Arial"/>
          <w:color w:val="000000"/>
          <w:lang w:eastAsia="bg-BG"/>
        </w:rPr>
        <w:t xml:space="preserve"> Ерлотиниб и неговите метаболити не се екскретират в значително количество през бъбреците, като под 9% от еднократната доза се екскретира с урината. При популационния фармакокинетичен анализ не е наблюдавана клинично значима връзка между клирънса на ерлотиниб и креатининовия клирънс, но няма данни за пациенти с креатининов клирънс &lt;15 </w:t>
      </w:r>
      <w:r w:rsidRPr="008A18BB">
        <w:rPr>
          <w:rFonts w:eastAsia="Times New Roman" w:cs="Arial"/>
          <w:color w:val="000000"/>
          <w:lang w:val="en-US"/>
        </w:rPr>
        <w:t>ml</w:t>
      </w:r>
      <w:r w:rsidRPr="008A18BB">
        <w:rPr>
          <w:rFonts w:eastAsia="Times New Roman" w:cs="Arial"/>
          <w:color w:val="000000"/>
          <w:lang w:val="ru-RU"/>
        </w:rPr>
        <w:t>/</w:t>
      </w:r>
      <w:r w:rsidRPr="008A18BB">
        <w:rPr>
          <w:rFonts w:eastAsia="Times New Roman" w:cs="Arial"/>
          <w:color w:val="000000"/>
          <w:lang w:val="en-US"/>
        </w:rPr>
        <w:t>min</w:t>
      </w:r>
    </w:p>
    <w:p w14:paraId="0D6E580E" w14:textId="77777777" w:rsidR="008A18BB" w:rsidRPr="008A18BB" w:rsidRDefault="008A18BB" w:rsidP="008A18BB"/>
    <w:p w14:paraId="4FB791BE" w14:textId="410F0F13" w:rsidR="00B6672E" w:rsidRDefault="002C50EE" w:rsidP="00936AD0">
      <w:pPr>
        <w:pStyle w:val="Heading2"/>
      </w:pPr>
      <w:r>
        <w:t>5.3. Предклинични данни за безопасност</w:t>
      </w:r>
    </w:p>
    <w:p w14:paraId="79C226F0" w14:textId="285CB9A1" w:rsidR="008A18BB" w:rsidRDefault="008A18BB" w:rsidP="008A18BB"/>
    <w:p w14:paraId="2B0F88DC" w14:textId="77777777" w:rsidR="008A18BB" w:rsidRPr="008A18BB" w:rsidRDefault="008A18BB" w:rsidP="008A18BB">
      <w:pPr>
        <w:rPr>
          <w:rFonts w:eastAsia="Times New Roman" w:cs="Arial"/>
          <w:sz w:val="24"/>
          <w:szCs w:val="24"/>
        </w:rPr>
      </w:pPr>
      <w:r w:rsidRPr="008A18BB">
        <w:rPr>
          <w:rFonts w:cs="Arial"/>
        </w:rPr>
        <w:t>Ефектите при хронично третиране, наблюдавани при най-малко един животински вид или проучване, включват ефекти върху роговицата (атрофия, улцерация), кожата (фоликуларна дегенерация и</w:t>
      </w:r>
      <w:r w:rsidRPr="008A18BB">
        <w:rPr>
          <w:rFonts w:cs="Arial"/>
        </w:rPr>
        <w:t xml:space="preserve"> </w:t>
      </w:r>
      <w:r w:rsidRPr="008A18BB">
        <w:rPr>
          <w:rFonts w:eastAsia="Times New Roman" w:cs="Arial"/>
          <w:color w:val="000000"/>
          <w:lang w:eastAsia="bg-BG"/>
        </w:rPr>
        <w:t xml:space="preserve">възпаление, зачервяване и алопеция), яйчниците (атрофия), черния дроб (чернодробна некроза), бъбреците (бъбречна папиларна некроза и дилатация на тубулите) и на стомашно-чревния тракт (забавено изпразване на стомаха и диария). Броят на червените кръвни клетки е бил намален, а на белите кръвни клетки, предимно неутрофилите — увеличен. Наблюдавано е повишение на </w:t>
      </w:r>
      <w:r w:rsidRPr="008A18BB">
        <w:rPr>
          <w:rFonts w:eastAsia="Times New Roman" w:cs="Arial"/>
          <w:color w:val="000000"/>
          <w:lang w:val="en-US"/>
        </w:rPr>
        <w:t>ALT</w:t>
      </w:r>
      <w:r w:rsidRPr="008A18BB">
        <w:rPr>
          <w:rFonts w:eastAsia="Times New Roman" w:cs="Arial"/>
          <w:color w:val="000000"/>
          <w:lang w:val="ru-RU"/>
        </w:rPr>
        <w:t xml:space="preserve">, </w:t>
      </w:r>
      <w:r w:rsidRPr="008A18BB">
        <w:rPr>
          <w:rFonts w:eastAsia="Times New Roman" w:cs="Arial"/>
          <w:color w:val="000000"/>
          <w:lang w:val="en-US"/>
        </w:rPr>
        <w:t>AST</w:t>
      </w:r>
      <w:r w:rsidRPr="008A18BB">
        <w:rPr>
          <w:rFonts w:eastAsia="Times New Roman" w:cs="Arial"/>
          <w:color w:val="000000"/>
          <w:lang w:val="ru-RU"/>
        </w:rPr>
        <w:t xml:space="preserve"> </w:t>
      </w:r>
      <w:r w:rsidRPr="008A18BB">
        <w:rPr>
          <w:rFonts w:eastAsia="Times New Roman" w:cs="Arial"/>
          <w:color w:val="000000"/>
          <w:lang w:eastAsia="bg-BG"/>
        </w:rPr>
        <w:t>и билирубин, свързано с третирането. Тези находки са наблюдавани при експозиция доста под клинично значимата.</w:t>
      </w:r>
    </w:p>
    <w:p w14:paraId="4D8C9BB8" w14:textId="77777777" w:rsidR="008A18BB" w:rsidRPr="008A18BB" w:rsidRDefault="008A18BB" w:rsidP="008A18BB">
      <w:pPr>
        <w:spacing w:line="240" w:lineRule="auto"/>
        <w:rPr>
          <w:rFonts w:eastAsia="Times New Roman" w:cs="Arial"/>
          <w:color w:val="000000"/>
          <w:lang w:eastAsia="bg-BG"/>
        </w:rPr>
      </w:pPr>
    </w:p>
    <w:p w14:paraId="0E021B45" w14:textId="5ABE31E2"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От начина на действие на ерлотиниб може да се заключи, че той може да бъде потенциален тератоген. Данни от тестовете за репродуктивна токсичност върху плъхове и зайци в дози, близки до максимално поносимите и/или дози, токсични за майката, са показали репродуктивна токсичност (ембриотоксичност при плъхове, ембрионална резорбция и фетотоксичност при зайци) и увреждане на развитието (намаление на растежа на малките и на преживяемостта при плъхове), но продуктът няма тератогенен ефект и не уврежда фертилитета. Тези находки са наблюдавани при клинично значима експозиция.</w:t>
      </w:r>
    </w:p>
    <w:p w14:paraId="4FBB99DC" w14:textId="77777777" w:rsidR="008A18BB" w:rsidRPr="008A18BB" w:rsidRDefault="008A18BB" w:rsidP="008A18BB">
      <w:pPr>
        <w:spacing w:line="240" w:lineRule="auto"/>
        <w:rPr>
          <w:rFonts w:eastAsia="Times New Roman" w:cs="Arial"/>
          <w:color w:val="000000"/>
          <w:lang w:eastAsia="bg-BG"/>
        </w:rPr>
      </w:pPr>
    </w:p>
    <w:p w14:paraId="01DCD427" w14:textId="263EBBE9"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Ерлотиниб не е показал генотоксичен ефект при конвенционалните проучвания за генотоксичност. Двугодишните проучвания за карциногенност с ерлотиниб, проведени върху плъхове и мишки са отрицателни до експозиции, надхвърлящи терапевтичната експозиция при човека (съответно до 2 и 10 пъти по-висока, въз основа на С</w:t>
      </w:r>
      <w:r w:rsidRPr="008A18BB">
        <w:rPr>
          <w:rFonts w:eastAsia="Times New Roman" w:cs="Arial"/>
          <w:color w:val="000000"/>
          <w:vertAlign w:val="subscript"/>
          <w:lang w:val="en-US"/>
        </w:rPr>
        <w:t>max</w:t>
      </w:r>
      <w:r w:rsidRPr="008A18BB">
        <w:rPr>
          <w:rFonts w:eastAsia="Times New Roman" w:cs="Arial"/>
          <w:color w:val="000000"/>
          <w:lang w:eastAsia="bg-BG"/>
        </w:rPr>
        <w:t xml:space="preserve"> и/или </w:t>
      </w:r>
      <w:r w:rsidRPr="008A18BB">
        <w:rPr>
          <w:rFonts w:eastAsia="Times New Roman" w:cs="Arial"/>
          <w:color w:val="000000"/>
          <w:lang w:val="en-US"/>
        </w:rPr>
        <w:t>AUC</w:t>
      </w:r>
      <w:r w:rsidRPr="008A18BB">
        <w:rPr>
          <w:rFonts w:eastAsia="Times New Roman" w:cs="Arial"/>
          <w:color w:val="000000"/>
          <w:lang w:val="ru-RU"/>
        </w:rPr>
        <w:t>).</w:t>
      </w:r>
    </w:p>
    <w:p w14:paraId="07298EA1" w14:textId="77777777" w:rsidR="008A18BB" w:rsidRPr="008A18BB" w:rsidRDefault="008A18BB" w:rsidP="008A18BB">
      <w:pPr>
        <w:rPr>
          <w:rFonts w:eastAsia="Times New Roman" w:cs="Arial"/>
          <w:color w:val="000000"/>
          <w:lang w:eastAsia="bg-BG"/>
        </w:rPr>
      </w:pPr>
    </w:p>
    <w:p w14:paraId="084A1375" w14:textId="6B0A59F2" w:rsidR="008A18BB" w:rsidRPr="008A18BB" w:rsidRDefault="008A18BB" w:rsidP="008A18BB">
      <w:pPr>
        <w:rPr>
          <w:rFonts w:cs="Arial"/>
        </w:rPr>
      </w:pPr>
      <w:r w:rsidRPr="008A18BB">
        <w:rPr>
          <w:rFonts w:eastAsia="Times New Roman" w:cs="Arial"/>
          <w:color w:val="000000"/>
          <w:lang w:eastAsia="bg-BG"/>
        </w:rPr>
        <w:t xml:space="preserve">При плъхове е наблюдавана лека фототоксична кожна реакция след облъчване с </w:t>
      </w:r>
      <w:r w:rsidRPr="008A18BB">
        <w:rPr>
          <w:rFonts w:eastAsia="Times New Roman" w:cs="Arial"/>
          <w:color w:val="000000"/>
          <w:lang w:val="en-US"/>
        </w:rPr>
        <w:t>U</w:t>
      </w:r>
      <w:r w:rsidRPr="008A18BB">
        <w:rPr>
          <w:rFonts w:eastAsia="Times New Roman" w:cs="Arial"/>
          <w:color w:val="000000"/>
          <w:lang w:eastAsia="bg-BG"/>
        </w:rPr>
        <w:t>V лъчи.</w:t>
      </w:r>
    </w:p>
    <w:p w14:paraId="1BA6531D" w14:textId="2A68FE3F" w:rsidR="00B6672E" w:rsidRDefault="002C50EE" w:rsidP="00936AD0">
      <w:pPr>
        <w:pStyle w:val="Heading1"/>
      </w:pPr>
      <w:r>
        <w:t>7. ПРИТЕЖАТЕЛ НА РАЗРЕШЕНИЕТО ЗА УПОТРЕБА</w:t>
      </w:r>
    </w:p>
    <w:p w14:paraId="18EE8976" w14:textId="121C2DCA" w:rsidR="008A18BB" w:rsidRDefault="008A18BB" w:rsidP="008A18BB"/>
    <w:p w14:paraId="18E4CC49" w14:textId="77777777" w:rsidR="008A18BB" w:rsidRPr="008A18BB" w:rsidRDefault="008A18BB" w:rsidP="008A18BB">
      <w:pPr>
        <w:rPr>
          <w:sz w:val="24"/>
          <w:szCs w:val="24"/>
          <w:lang w:val="en-US"/>
        </w:rPr>
      </w:pPr>
      <w:r w:rsidRPr="008A18BB">
        <w:rPr>
          <w:lang w:val="en-US"/>
        </w:rPr>
        <w:t>Sandoz d.d.</w:t>
      </w:r>
    </w:p>
    <w:p w14:paraId="1C7DC9AA" w14:textId="77777777" w:rsidR="008A18BB" w:rsidRPr="008A18BB" w:rsidRDefault="008A18BB" w:rsidP="008A18BB">
      <w:pPr>
        <w:rPr>
          <w:sz w:val="24"/>
          <w:szCs w:val="24"/>
          <w:lang w:val="en-US"/>
        </w:rPr>
      </w:pPr>
      <w:r w:rsidRPr="008A18BB">
        <w:rPr>
          <w:lang w:val="en-US"/>
        </w:rPr>
        <w:t xml:space="preserve">Verovskova </w:t>
      </w:r>
      <w:r w:rsidRPr="008A18BB">
        <w:rPr>
          <w:lang w:eastAsia="bg-BG"/>
        </w:rPr>
        <w:t>57,</w:t>
      </w:r>
    </w:p>
    <w:p w14:paraId="20AE3AA1" w14:textId="77777777" w:rsidR="008A18BB" w:rsidRPr="008A18BB" w:rsidRDefault="008A18BB" w:rsidP="008A18BB">
      <w:pPr>
        <w:rPr>
          <w:sz w:val="24"/>
          <w:szCs w:val="24"/>
          <w:lang w:val="en-US"/>
        </w:rPr>
      </w:pPr>
      <w:r w:rsidRPr="008A18BB">
        <w:rPr>
          <w:lang w:val="en-US"/>
        </w:rPr>
        <w:t>SI-1000 Ljubljana,</w:t>
      </w:r>
    </w:p>
    <w:p w14:paraId="570BEAFC" w14:textId="77777777" w:rsidR="008A18BB" w:rsidRPr="008A18BB" w:rsidRDefault="008A18BB" w:rsidP="008A18BB">
      <w:pPr>
        <w:rPr>
          <w:sz w:val="24"/>
          <w:szCs w:val="24"/>
          <w:lang w:val="ru-RU"/>
        </w:rPr>
      </w:pPr>
      <w:r w:rsidRPr="008A18BB">
        <w:rPr>
          <w:lang w:eastAsia="bg-BG"/>
        </w:rPr>
        <w:t>Словения</w:t>
      </w:r>
    </w:p>
    <w:p w14:paraId="5E156184" w14:textId="77777777" w:rsidR="008A18BB" w:rsidRPr="008A18BB" w:rsidRDefault="008A18BB" w:rsidP="008A18BB">
      <w:pPr>
        <w:rPr>
          <w:lang w:val="ru-RU"/>
        </w:rPr>
      </w:pPr>
    </w:p>
    <w:p w14:paraId="508F3A54" w14:textId="7F429DBC" w:rsidR="00B6672E" w:rsidRDefault="00936AD0" w:rsidP="00936AD0">
      <w:pPr>
        <w:pStyle w:val="Heading1"/>
      </w:pPr>
      <w:r>
        <w:lastRenderedPageBreak/>
        <w:t>8.</w:t>
      </w:r>
      <w:r w:rsidR="002C50EE">
        <w:t>НОМЕР НА РАЗРЕШЕНИЕТО ЗА УПОТРЕБА</w:t>
      </w:r>
    </w:p>
    <w:p w14:paraId="39AA2D7C" w14:textId="509FAF02" w:rsidR="008A18BB" w:rsidRDefault="008A18BB" w:rsidP="008A18BB"/>
    <w:p w14:paraId="0E57BEF5" w14:textId="77777777" w:rsidR="008A18BB" w:rsidRPr="008A18BB" w:rsidRDefault="008A18BB" w:rsidP="008A18BB">
      <w:pPr>
        <w:rPr>
          <w:sz w:val="24"/>
          <w:szCs w:val="24"/>
        </w:rPr>
      </w:pPr>
      <w:r w:rsidRPr="008A18BB">
        <w:rPr>
          <w:lang w:eastAsia="bg-BG"/>
        </w:rPr>
        <w:t xml:space="preserve">Ерлотиниб Сандоз 100 </w:t>
      </w:r>
      <w:r w:rsidRPr="008A18BB">
        <w:rPr>
          <w:lang w:val="en-US"/>
        </w:rPr>
        <w:t>mg</w:t>
      </w:r>
      <w:r w:rsidRPr="008A18BB">
        <w:t xml:space="preserve"> </w:t>
      </w:r>
      <w:r w:rsidRPr="008A18BB">
        <w:rPr>
          <w:lang w:eastAsia="bg-BG"/>
        </w:rPr>
        <w:t>Рег.№ 20170253</w:t>
      </w:r>
    </w:p>
    <w:p w14:paraId="574564F1" w14:textId="77777777" w:rsidR="008A18BB" w:rsidRPr="008A18BB" w:rsidRDefault="008A18BB" w:rsidP="008A18BB">
      <w:pPr>
        <w:rPr>
          <w:sz w:val="24"/>
          <w:szCs w:val="24"/>
        </w:rPr>
      </w:pPr>
      <w:r w:rsidRPr="008A18BB">
        <w:rPr>
          <w:lang w:eastAsia="bg-BG"/>
        </w:rPr>
        <w:t xml:space="preserve">Ерлотиниб Сандоз 150 </w:t>
      </w:r>
      <w:r w:rsidRPr="008A18BB">
        <w:rPr>
          <w:lang w:val="en-US"/>
        </w:rPr>
        <w:t>mg</w:t>
      </w:r>
      <w:r w:rsidRPr="008A18BB">
        <w:t xml:space="preserve"> </w:t>
      </w:r>
      <w:r w:rsidRPr="008A18BB">
        <w:rPr>
          <w:lang w:eastAsia="bg-BG"/>
        </w:rPr>
        <w:t>Рег.№ 20170254</w:t>
      </w:r>
    </w:p>
    <w:p w14:paraId="1909CC13" w14:textId="77777777" w:rsidR="008A18BB" w:rsidRPr="008A18BB" w:rsidRDefault="008A18BB" w:rsidP="008A18BB"/>
    <w:p w14:paraId="2CCB5832" w14:textId="1C3E4446" w:rsidR="007C605B" w:rsidRDefault="002C50EE" w:rsidP="007C605B">
      <w:pPr>
        <w:pStyle w:val="Heading1"/>
      </w:pPr>
      <w:r>
        <w:t>9. ДАТА НА ПЪРВО РАЗРЕШАВАНЕ/ПОДНОВЯВАНЕ НА РАЗРЕШЕНИЕТО ЗА УПОТРЕБА</w:t>
      </w:r>
    </w:p>
    <w:p w14:paraId="1BCDF94A" w14:textId="47E146C7" w:rsidR="008A18BB" w:rsidRDefault="008A18BB" w:rsidP="008A18BB"/>
    <w:p w14:paraId="7F025D1A" w14:textId="77777777" w:rsidR="008A18BB" w:rsidRPr="008A18BB" w:rsidRDefault="008A18BB" w:rsidP="008A18BB">
      <w:pPr>
        <w:rPr>
          <w:sz w:val="24"/>
          <w:szCs w:val="24"/>
        </w:rPr>
      </w:pPr>
      <w:r w:rsidRPr="008A18BB">
        <w:rPr>
          <w:lang w:eastAsia="bg-BG"/>
        </w:rPr>
        <w:t>Дата на първо разрешаване: 04.08.2017</w:t>
      </w:r>
    </w:p>
    <w:p w14:paraId="18BA9998" w14:textId="77777777" w:rsidR="008A18BB" w:rsidRPr="008A18BB" w:rsidRDefault="008A18BB" w:rsidP="008A18BB">
      <w:pPr>
        <w:rPr>
          <w:sz w:val="24"/>
          <w:szCs w:val="24"/>
        </w:rPr>
      </w:pPr>
      <w:r w:rsidRPr="008A18BB">
        <w:rPr>
          <w:lang w:eastAsia="bg-BG"/>
        </w:rPr>
        <w:t>Дата на последно подновяване:</w:t>
      </w:r>
    </w:p>
    <w:p w14:paraId="2865114B" w14:textId="77777777" w:rsidR="008A18BB" w:rsidRPr="008A18BB" w:rsidRDefault="008A18BB" w:rsidP="008A18BB"/>
    <w:p w14:paraId="0E9D0119" w14:textId="0245C6D7" w:rsidR="002C50EE" w:rsidRDefault="002C50EE" w:rsidP="002C50EE">
      <w:pPr>
        <w:pStyle w:val="Heading1"/>
      </w:pPr>
      <w:r>
        <w:t>10. ДАТА НА АКТУАЛИЗИРАНЕ НА ТЕКСТА</w:t>
      </w:r>
    </w:p>
    <w:bookmarkEnd w:id="0"/>
    <w:p w14:paraId="43FB38A2" w14:textId="2122CC63" w:rsidR="007C605B" w:rsidRPr="008A18BB" w:rsidRDefault="008A18BB" w:rsidP="008A18BB">
      <w:pPr>
        <w:rPr>
          <w:sz w:val="24"/>
          <w:szCs w:val="24"/>
        </w:rPr>
      </w:pPr>
      <w:r w:rsidRPr="008A18BB">
        <w:rPr>
          <w:lang w:eastAsia="bg-BG"/>
        </w:rPr>
        <w:t>03/2020</w:t>
      </w:r>
      <w:bookmarkStart w:id="2" w:name="_GoBack"/>
      <w:bookmarkEnd w:id="2"/>
    </w:p>
    <w:sectPr w:rsidR="007C605B" w:rsidRPr="008A1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10419B"/>
    <w:multiLevelType w:val="hybridMultilevel"/>
    <w:tmpl w:val="DCECD9F4"/>
    <w:lvl w:ilvl="0" w:tplc="304AE0E8">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2"/>
  </w:num>
  <w:num w:numId="12">
    <w:abstractNumId w:val="15"/>
  </w:num>
  <w:num w:numId="13">
    <w:abstractNumId w:val="20"/>
  </w:num>
  <w:num w:numId="14">
    <w:abstractNumId w:val="13"/>
  </w:num>
  <w:num w:numId="15">
    <w:abstractNumId w:val="31"/>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3"/>
  </w:num>
  <w:num w:numId="28">
    <w:abstractNumId w:val="6"/>
  </w:num>
  <w:num w:numId="29">
    <w:abstractNumId w:val="21"/>
  </w:num>
  <w:num w:numId="30">
    <w:abstractNumId w:val="36"/>
  </w:num>
  <w:num w:numId="31">
    <w:abstractNumId w:val="5"/>
  </w:num>
  <w:num w:numId="32">
    <w:abstractNumId w:val="35"/>
  </w:num>
  <w:num w:numId="33">
    <w:abstractNumId w:val="29"/>
  </w:num>
  <w:num w:numId="34">
    <w:abstractNumId w:val="34"/>
  </w:num>
  <w:num w:numId="35">
    <w:abstractNumId w:val="7"/>
  </w:num>
  <w:num w:numId="36">
    <w:abstractNumId w:val="10"/>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A506C"/>
    <w:rsid w:val="00125BE1"/>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5B087A"/>
    <w:rsid w:val="00605BCA"/>
    <w:rsid w:val="006158A1"/>
    <w:rsid w:val="00617B1F"/>
    <w:rsid w:val="00672487"/>
    <w:rsid w:val="00672600"/>
    <w:rsid w:val="00681D4A"/>
    <w:rsid w:val="00685882"/>
    <w:rsid w:val="007122AD"/>
    <w:rsid w:val="0075649D"/>
    <w:rsid w:val="007C605B"/>
    <w:rsid w:val="008134C8"/>
    <w:rsid w:val="00814073"/>
    <w:rsid w:val="00826F0D"/>
    <w:rsid w:val="00893B92"/>
    <w:rsid w:val="008A18BB"/>
    <w:rsid w:val="008A6AF2"/>
    <w:rsid w:val="008C70A2"/>
    <w:rsid w:val="008F6431"/>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bda.b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9217</Words>
  <Characters>52537</Characters>
  <Application>Microsoft Office Word</Application>
  <DocSecurity>0</DocSecurity>
  <Lines>437</Lines>
  <Paragraphs>123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2022-07-25T18:59:00Z</dcterms:created>
  <dcterms:modified xsi:type="dcterms:W3CDTF">2022-07-25T18:59:00Z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