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79F476E" w:rsidR="009F77A4" w:rsidRDefault="00DD466D" w:rsidP="00387A66">
      <w:pPr>
        <w:pStyle w:val="Heading1"/>
      </w:pPr>
      <w:r>
        <w:t>1.ИМЕ НА ЛЕКАРСТВЕНИЯ ПРОДУКТ</w:t>
      </w:r>
    </w:p>
    <w:p w14:paraId="0483EB61" w14:textId="53E9A65A" w:rsidR="000251EB" w:rsidRDefault="000251EB" w:rsidP="000251EB"/>
    <w:p w14:paraId="43964AF0" w14:textId="77777777" w:rsidR="000251EB" w:rsidRPr="000251EB" w:rsidRDefault="000251EB" w:rsidP="000251EB">
      <w:pPr>
        <w:rPr>
          <w:sz w:val="24"/>
          <w:szCs w:val="24"/>
          <w:lang w:val="en-US" w:eastAsia="bg-BG"/>
        </w:rPr>
      </w:pPr>
      <w:r w:rsidRPr="000251EB">
        <w:rPr>
          <w:lang w:eastAsia="bg-BG"/>
        </w:rPr>
        <w:t xml:space="preserve">Еротон 25 </w:t>
      </w:r>
      <w:r w:rsidRPr="000251EB">
        <w:rPr>
          <w:lang w:val="en-US"/>
        </w:rPr>
        <w:t xml:space="preserve">mg </w:t>
      </w:r>
      <w:r w:rsidRPr="000251EB">
        <w:rPr>
          <w:lang w:eastAsia="bg-BG"/>
        </w:rPr>
        <w:t>филмирани таблетки</w:t>
      </w:r>
    </w:p>
    <w:p w14:paraId="77C5B9C4" w14:textId="77777777" w:rsidR="000251EB" w:rsidRPr="000251EB" w:rsidRDefault="000251EB" w:rsidP="000251EB">
      <w:pPr>
        <w:rPr>
          <w:sz w:val="24"/>
          <w:szCs w:val="24"/>
          <w:lang w:val="en-US" w:eastAsia="bg-BG"/>
        </w:rPr>
      </w:pPr>
      <w:proofErr w:type="spellStart"/>
      <w:r w:rsidRPr="000251EB">
        <w:rPr>
          <w:lang w:val="en-US"/>
        </w:rPr>
        <w:t>Eroton</w:t>
      </w:r>
      <w:proofErr w:type="spellEnd"/>
      <w:r w:rsidRPr="000251EB">
        <w:rPr>
          <w:lang w:val="en-US"/>
        </w:rPr>
        <w:t xml:space="preserve"> </w:t>
      </w:r>
      <w:r w:rsidRPr="000251EB">
        <w:rPr>
          <w:lang w:eastAsia="bg-BG"/>
        </w:rPr>
        <w:t xml:space="preserve">25 </w:t>
      </w:r>
      <w:r w:rsidRPr="000251EB">
        <w:rPr>
          <w:lang w:val="en-US"/>
        </w:rPr>
        <w:t>mg film-coated tablets</w:t>
      </w:r>
    </w:p>
    <w:p w14:paraId="77749993" w14:textId="77777777" w:rsidR="000251EB" w:rsidRPr="000251EB" w:rsidRDefault="000251EB" w:rsidP="000251EB">
      <w:pPr>
        <w:rPr>
          <w:sz w:val="24"/>
          <w:szCs w:val="24"/>
          <w:lang w:val="en-US" w:eastAsia="bg-BG"/>
        </w:rPr>
      </w:pPr>
      <w:r w:rsidRPr="000251EB">
        <w:rPr>
          <w:lang w:eastAsia="bg-BG"/>
        </w:rPr>
        <w:t xml:space="preserve">Еротон </w:t>
      </w:r>
      <w:r w:rsidRPr="000251EB">
        <w:rPr>
          <w:lang w:val="en-US"/>
        </w:rPr>
        <w:t xml:space="preserve">50 mg </w:t>
      </w:r>
      <w:r w:rsidRPr="000251EB">
        <w:rPr>
          <w:lang w:eastAsia="bg-BG"/>
        </w:rPr>
        <w:t>филмирани таблетки</w:t>
      </w:r>
    </w:p>
    <w:p w14:paraId="10E74991" w14:textId="77777777" w:rsidR="000251EB" w:rsidRDefault="000251EB" w:rsidP="000251EB">
      <w:pPr>
        <w:rPr>
          <w:lang w:val="en-US"/>
        </w:rPr>
      </w:pPr>
    </w:p>
    <w:p w14:paraId="4F348287" w14:textId="2D86368B" w:rsidR="000251EB" w:rsidRPr="000251EB" w:rsidRDefault="000251EB" w:rsidP="000251EB">
      <w:pPr>
        <w:rPr>
          <w:sz w:val="24"/>
          <w:szCs w:val="24"/>
          <w:lang w:val="en-US" w:eastAsia="bg-BG"/>
        </w:rPr>
      </w:pPr>
      <w:proofErr w:type="spellStart"/>
      <w:r w:rsidRPr="000251EB">
        <w:rPr>
          <w:lang w:val="en-US"/>
        </w:rPr>
        <w:t>Eroton</w:t>
      </w:r>
      <w:proofErr w:type="spellEnd"/>
      <w:r w:rsidRPr="000251EB">
        <w:rPr>
          <w:lang w:val="en-US"/>
        </w:rPr>
        <w:t xml:space="preserve"> </w:t>
      </w:r>
      <w:r w:rsidRPr="000251EB">
        <w:rPr>
          <w:lang w:eastAsia="bg-BG"/>
        </w:rPr>
        <w:t xml:space="preserve">50 </w:t>
      </w:r>
      <w:r w:rsidRPr="000251EB">
        <w:rPr>
          <w:lang w:val="en-US"/>
        </w:rPr>
        <w:t>mg film-coated tablets</w:t>
      </w:r>
    </w:p>
    <w:p w14:paraId="2C806510" w14:textId="77777777" w:rsidR="000251EB" w:rsidRPr="000251EB" w:rsidRDefault="000251EB" w:rsidP="000251EB">
      <w:pPr>
        <w:rPr>
          <w:sz w:val="24"/>
          <w:szCs w:val="24"/>
          <w:lang w:val="en-US" w:eastAsia="bg-BG"/>
        </w:rPr>
      </w:pPr>
      <w:r w:rsidRPr="000251EB">
        <w:rPr>
          <w:lang w:eastAsia="bg-BG"/>
        </w:rPr>
        <w:t xml:space="preserve">Еротон </w:t>
      </w:r>
      <w:r w:rsidRPr="000251EB">
        <w:rPr>
          <w:lang w:val="en-US"/>
        </w:rPr>
        <w:t xml:space="preserve">100 mg </w:t>
      </w:r>
      <w:r w:rsidRPr="000251EB">
        <w:rPr>
          <w:lang w:eastAsia="bg-BG"/>
        </w:rPr>
        <w:t>филмирани таблетки</w:t>
      </w:r>
    </w:p>
    <w:p w14:paraId="459FBACA" w14:textId="54B1DF7E" w:rsidR="000251EB" w:rsidRPr="000251EB" w:rsidRDefault="000251EB" w:rsidP="000251EB">
      <w:proofErr w:type="spellStart"/>
      <w:r w:rsidRPr="000251EB">
        <w:rPr>
          <w:lang w:val="en-US"/>
        </w:rPr>
        <w:t>Eroton</w:t>
      </w:r>
      <w:proofErr w:type="spellEnd"/>
      <w:r w:rsidRPr="000251EB">
        <w:rPr>
          <w:lang w:val="en-US"/>
        </w:rPr>
        <w:t xml:space="preserve"> 100 mg film-coated tablets</w:t>
      </w:r>
    </w:p>
    <w:p w14:paraId="0DF202EC" w14:textId="65E45936" w:rsidR="00F53FB7" w:rsidRDefault="00DD466D" w:rsidP="00A93499">
      <w:pPr>
        <w:pStyle w:val="Heading1"/>
      </w:pPr>
      <w:r>
        <w:t>2. КАЧЕСТВЕН И КОЛИЧЕСТВЕН СЪСТАВ</w:t>
      </w:r>
    </w:p>
    <w:p w14:paraId="043F5EE3" w14:textId="0E27DE05" w:rsidR="000251EB" w:rsidRDefault="000251EB" w:rsidP="000251EB"/>
    <w:p w14:paraId="168E4A4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 xml:space="preserve">Еротон 25 </w:t>
      </w:r>
      <w:r w:rsidRPr="000251EB">
        <w:rPr>
          <w:rFonts w:eastAsia="Times New Roman" w:cs="Arial"/>
          <w:color w:val="000000"/>
          <w:u w:val="single"/>
          <w:lang w:val="en-US"/>
        </w:rPr>
        <w:t xml:space="preserve">mg </w:t>
      </w:r>
      <w:r w:rsidRPr="000251EB">
        <w:rPr>
          <w:rFonts w:eastAsia="Times New Roman" w:cs="Arial"/>
          <w:color w:val="000000"/>
          <w:u w:val="single"/>
          <w:lang w:eastAsia="bg-BG"/>
        </w:rPr>
        <w:t>филмирани таблетки</w:t>
      </w:r>
    </w:p>
    <w:p w14:paraId="6BC4AE28"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съдържа 35,12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цитрат, еквивалентен на 25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w:t>
      </w:r>
      <w:r w:rsidRPr="000251EB">
        <w:rPr>
          <w:rFonts w:eastAsia="Times New Roman" w:cs="Arial"/>
          <w:color w:val="000000"/>
          <w:lang w:val="en-US"/>
        </w:rPr>
        <w:t>(sildenafil).</w:t>
      </w:r>
    </w:p>
    <w:p w14:paraId="67CB8A3A" w14:textId="77777777" w:rsidR="000251EB" w:rsidRPr="000251EB" w:rsidRDefault="000251EB" w:rsidP="000251EB">
      <w:pPr>
        <w:spacing w:line="240" w:lineRule="auto"/>
        <w:rPr>
          <w:rFonts w:eastAsia="Times New Roman" w:cs="Arial"/>
          <w:color w:val="000000"/>
          <w:u w:val="single"/>
          <w:lang w:eastAsia="bg-BG"/>
        </w:rPr>
      </w:pPr>
    </w:p>
    <w:p w14:paraId="735A13FD" w14:textId="24EE5F52"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 xml:space="preserve">Еротон 50 </w:t>
      </w:r>
      <w:r w:rsidRPr="000251EB">
        <w:rPr>
          <w:rFonts w:eastAsia="Times New Roman" w:cs="Arial"/>
          <w:color w:val="000000"/>
          <w:u w:val="single"/>
          <w:lang w:val="en-US"/>
        </w:rPr>
        <w:t xml:space="preserve">mg </w:t>
      </w:r>
      <w:r w:rsidRPr="000251EB">
        <w:rPr>
          <w:rFonts w:eastAsia="Times New Roman" w:cs="Arial"/>
          <w:color w:val="000000"/>
          <w:u w:val="single"/>
          <w:lang w:eastAsia="bg-BG"/>
        </w:rPr>
        <w:t>филмирани таблетки</w:t>
      </w:r>
    </w:p>
    <w:p w14:paraId="61BDBAA2"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съдържа 70,24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цитрат, еквивалентен на 50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w:t>
      </w:r>
      <w:r w:rsidRPr="000251EB">
        <w:rPr>
          <w:rFonts w:eastAsia="Times New Roman" w:cs="Arial"/>
          <w:color w:val="000000"/>
          <w:lang w:val="en-US"/>
        </w:rPr>
        <w:t>(sildenafil).</w:t>
      </w:r>
    </w:p>
    <w:p w14:paraId="40EED1AB" w14:textId="77777777" w:rsidR="000251EB" w:rsidRPr="000251EB" w:rsidRDefault="000251EB" w:rsidP="000251EB">
      <w:pPr>
        <w:spacing w:line="240" w:lineRule="auto"/>
        <w:rPr>
          <w:rFonts w:eastAsia="Times New Roman" w:cs="Arial"/>
          <w:color w:val="000000"/>
          <w:u w:val="single"/>
          <w:lang w:eastAsia="bg-BG"/>
        </w:rPr>
      </w:pPr>
    </w:p>
    <w:p w14:paraId="46ADBE14" w14:textId="57ADC86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 xml:space="preserve">Еротон 100 </w:t>
      </w:r>
      <w:r w:rsidRPr="000251EB">
        <w:rPr>
          <w:rFonts w:eastAsia="Times New Roman" w:cs="Arial"/>
          <w:color w:val="000000"/>
          <w:u w:val="single"/>
          <w:lang w:val="en-US"/>
        </w:rPr>
        <w:t xml:space="preserve">mg </w:t>
      </w:r>
      <w:r w:rsidRPr="000251EB">
        <w:rPr>
          <w:rFonts w:eastAsia="Times New Roman" w:cs="Arial"/>
          <w:color w:val="000000"/>
          <w:u w:val="single"/>
          <w:lang w:eastAsia="bg-BG"/>
        </w:rPr>
        <w:t>филмирани таблетки:</w:t>
      </w:r>
    </w:p>
    <w:p w14:paraId="1261EE5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съдържа 140,48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цитрат, еквивалентен на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w:t>
      </w:r>
      <w:r w:rsidRPr="000251EB">
        <w:rPr>
          <w:rFonts w:eastAsia="Times New Roman" w:cs="Arial"/>
          <w:color w:val="000000"/>
          <w:lang w:val="en-US"/>
        </w:rPr>
        <w:t>(sildenafil).</w:t>
      </w:r>
    </w:p>
    <w:p w14:paraId="2D0FF16E" w14:textId="77777777" w:rsidR="000251EB" w:rsidRPr="000251EB" w:rsidRDefault="000251EB" w:rsidP="000251EB">
      <w:pPr>
        <w:spacing w:line="240" w:lineRule="auto"/>
        <w:rPr>
          <w:rFonts w:eastAsia="Times New Roman" w:cs="Arial"/>
          <w:color w:val="000000"/>
          <w:u w:val="single"/>
          <w:lang w:eastAsia="bg-BG"/>
        </w:rPr>
      </w:pPr>
    </w:p>
    <w:p w14:paraId="5200663A" w14:textId="71E659C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Помощно вещество с известно действие:</w:t>
      </w:r>
    </w:p>
    <w:p w14:paraId="745E9FE0"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Еротон 25 </w:t>
      </w:r>
      <w:r w:rsidRPr="000251EB">
        <w:rPr>
          <w:rFonts w:eastAsia="Times New Roman" w:cs="Arial"/>
          <w:color w:val="000000"/>
          <w:lang w:val="en-US"/>
        </w:rPr>
        <w:t xml:space="preserve">mg </w:t>
      </w:r>
      <w:r w:rsidRPr="000251EB">
        <w:rPr>
          <w:rFonts w:eastAsia="Times New Roman" w:cs="Arial"/>
          <w:color w:val="000000"/>
          <w:lang w:eastAsia="bg-BG"/>
        </w:rPr>
        <w:t xml:space="preserve">съдържа 62,38 </w:t>
      </w:r>
      <w:r w:rsidRPr="000251EB">
        <w:rPr>
          <w:rFonts w:eastAsia="Times New Roman" w:cs="Arial"/>
          <w:color w:val="000000"/>
          <w:lang w:val="en-US"/>
        </w:rPr>
        <w:t xml:space="preserve">mg </w:t>
      </w:r>
      <w:r w:rsidRPr="000251EB">
        <w:rPr>
          <w:rFonts w:eastAsia="Times New Roman" w:cs="Arial"/>
          <w:color w:val="000000"/>
          <w:lang w:eastAsia="bg-BG"/>
        </w:rPr>
        <w:t>лактоза монохидрат.</w:t>
      </w:r>
    </w:p>
    <w:p w14:paraId="6D284849"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Всяка филмирана таблетка Еротон 50 </w:t>
      </w:r>
      <w:r w:rsidRPr="000251EB">
        <w:rPr>
          <w:rFonts w:eastAsia="Times New Roman" w:cs="Arial"/>
          <w:color w:val="000000"/>
          <w:lang w:val="en-US"/>
        </w:rPr>
        <w:t xml:space="preserve">mg </w:t>
      </w:r>
      <w:r w:rsidRPr="000251EB">
        <w:rPr>
          <w:rFonts w:eastAsia="Times New Roman" w:cs="Arial"/>
          <w:color w:val="000000"/>
          <w:lang w:eastAsia="bg-BG"/>
        </w:rPr>
        <w:t xml:space="preserve">съдържа 124,76 </w:t>
      </w:r>
      <w:r w:rsidRPr="000251EB">
        <w:rPr>
          <w:rFonts w:eastAsia="Times New Roman" w:cs="Arial"/>
          <w:color w:val="000000"/>
          <w:lang w:val="en-US"/>
        </w:rPr>
        <w:t xml:space="preserve">mg </w:t>
      </w:r>
      <w:r w:rsidRPr="000251EB">
        <w:rPr>
          <w:rFonts w:eastAsia="Times New Roman" w:cs="Arial"/>
          <w:color w:val="000000"/>
          <w:lang w:eastAsia="bg-BG"/>
        </w:rPr>
        <w:t>лактоза монохидрат.</w:t>
      </w:r>
    </w:p>
    <w:p w14:paraId="3D6A18B9" w14:textId="77777777" w:rsidR="000251EB" w:rsidRPr="000251EB" w:rsidRDefault="000251EB" w:rsidP="000251EB">
      <w:pPr>
        <w:spacing w:line="240" w:lineRule="auto"/>
        <w:rPr>
          <w:rFonts w:ascii="Times New Roman" w:eastAsia="Times New Roman" w:hAnsi="Times New Roman" w:cs="Times New Roman"/>
          <w:sz w:val="24"/>
          <w:szCs w:val="24"/>
          <w:lang w:eastAsia="bg-BG"/>
        </w:rPr>
      </w:pPr>
      <w:r w:rsidRPr="000251EB">
        <w:rPr>
          <w:rFonts w:eastAsia="Times New Roman" w:cs="Arial"/>
          <w:color w:val="000000"/>
          <w:lang w:eastAsia="bg-BG"/>
        </w:rPr>
        <w:t xml:space="preserve">Всяка филмирана таблетка Еротон 100 </w:t>
      </w:r>
      <w:r w:rsidRPr="000251EB">
        <w:rPr>
          <w:rFonts w:eastAsia="Times New Roman" w:cs="Arial"/>
          <w:color w:val="000000"/>
          <w:lang w:val="en-US"/>
        </w:rPr>
        <w:t xml:space="preserve">mg </w:t>
      </w:r>
      <w:r w:rsidRPr="000251EB">
        <w:rPr>
          <w:rFonts w:eastAsia="Times New Roman" w:cs="Arial"/>
          <w:color w:val="000000"/>
          <w:lang w:eastAsia="bg-BG"/>
        </w:rPr>
        <w:t xml:space="preserve">съдържа 249,52 </w:t>
      </w:r>
      <w:r w:rsidRPr="000251EB">
        <w:rPr>
          <w:rFonts w:eastAsia="Times New Roman" w:cs="Arial"/>
          <w:color w:val="000000"/>
          <w:lang w:val="en-US"/>
        </w:rPr>
        <w:t xml:space="preserve">mg </w:t>
      </w:r>
      <w:r w:rsidRPr="000251EB">
        <w:rPr>
          <w:rFonts w:eastAsia="Times New Roman" w:cs="Arial"/>
          <w:color w:val="000000"/>
          <w:lang w:eastAsia="bg-BG"/>
        </w:rPr>
        <w:t>лактоза монохидрат</w:t>
      </w:r>
    </w:p>
    <w:p w14:paraId="2A7D1818" w14:textId="77777777" w:rsidR="000251EB" w:rsidRPr="000251EB" w:rsidRDefault="000251EB" w:rsidP="000251EB"/>
    <w:p w14:paraId="4CABB9ED" w14:textId="107A8064" w:rsidR="00F53FB7" w:rsidRDefault="00DD466D" w:rsidP="00A93499">
      <w:pPr>
        <w:pStyle w:val="Heading1"/>
      </w:pPr>
      <w:r>
        <w:t>3. ЛЕКАРСТВЕНА ФОРМА</w:t>
      </w:r>
    </w:p>
    <w:p w14:paraId="469C3F04" w14:textId="732A4940" w:rsidR="000251EB" w:rsidRDefault="000251EB" w:rsidP="000251EB"/>
    <w:p w14:paraId="2D437CF3" w14:textId="77777777" w:rsidR="000251EB" w:rsidRPr="000251EB" w:rsidRDefault="000251EB" w:rsidP="000251EB">
      <w:pPr>
        <w:rPr>
          <w:sz w:val="24"/>
          <w:szCs w:val="24"/>
          <w:lang w:eastAsia="bg-BG"/>
        </w:rPr>
      </w:pPr>
      <w:r w:rsidRPr="000251EB">
        <w:rPr>
          <w:lang w:eastAsia="bg-BG"/>
        </w:rPr>
        <w:t>Филмирана таблетка</w:t>
      </w:r>
    </w:p>
    <w:p w14:paraId="111D366B" w14:textId="77777777" w:rsidR="000251EB" w:rsidRPr="000251EB" w:rsidRDefault="000251EB" w:rsidP="000251EB">
      <w:pPr>
        <w:rPr>
          <w:sz w:val="24"/>
          <w:szCs w:val="24"/>
          <w:lang w:eastAsia="bg-BG"/>
        </w:rPr>
      </w:pPr>
      <w:r w:rsidRPr="000251EB">
        <w:rPr>
          <w:lang w:eastAsia="bg-BG"/>
        </w:rPr>
        <w:t xml:space="preserve">Филмираните таблетки от 25 </w:t>
      </w:r>
      <w:r w:rsidRPr="000251EB">
        <w:rPr>
          <w:lang w:val="en-US"/>
        </w:rPr>
        <w:t xml:space="preserve">mg </w:t>
      </w:r>
      <w:r w:rsidRPr="000251EB">
        <w:rPr>
          <w:lang w:eastAsia="bg-BG"/>
        </w:rPr>
        <w:t xml:space="preserve">са сини, елипсовидни, двойноизпъкнали, с маркировка </w:t>
      </w:r>
      <w:r w:rsidRPr="000251EB">
        <w:rPr>
          <w:lang w:val="en-US"/>
        </w:rPr>
        <w:t xml:space="preserve">“SL25” </w:t>
      </w:r>
      <w:r w:rsidRPr="000251EB">
        <w:rPr>
          <w:lang w:eastAsia="bg-BG"/>
        </w:rPr>
        <w:t>от едната страна.</w:t>
      </w:r>
    </w:p>
    <w:p w14:paraId="28BD6CEE" w14:textId="77777777" w:rsidR="000251EB" w:rsidRPr="000251EB" w:rsidRDefault="000251EB" w:rsidP="000251EB">
      <w:pPr>
        <w:rPr>
          <w:sz w:val="24"/>
          <w:szCs w:val="24"/>
          <w:lang w:eastAsia="bg-BG"/>
        </w:rPr>
      </w:pPr>
      <w:r w:rsidRPr="000251EB">
        <w:rPr>
          <w:lang w:eastAsia="bg-BG"/>
        </w:rPr>
        <w:t xml:space="preserve">Филмираните таблетки от 50 </w:t>
      </w:r>
      <w:r w:rsidRPr="000251EB">
        <w:rPr>
          <w:lang w:val="en-US"/>
        </w:rPr>
        <w:t xml:space="preserve">mg </w:t>
      </w:r>
      <w:r w:rsidRPr="000251EB">
        <w:rPr>
          <w:lang w:eastAsia="bg-BG"/>
        </w:rPr>
        <w:t xml:space="preserve">са сини, елипсовидни, двойноизпъкнали, с маркировка </w:t>
      </w:r>
      <w:r w:rsidRPr="000251EB">
        <w:rPr>
          <w:lang w:val="en-US"/>
        </w:rPr>
        <w:t xml:space="preserve">“SL50” </w:t>
      </w:r>
      <w:r w:rsidRPr="000251EB">
        <w:rPr>
          <w:lang w:eastAsia="bg-BG"/>
        </w:rPr>
        <w:t>от едната страна.</w:t>
      </w:r>
    </w:p>
    <w:p w14:paraId="0608B9EF" w14:textId="77777777" w:rsidR="000251EB" w:rsidRPr="000251EB" w:rsidRDefault="000251EB" w:rsidP="000251EB">
      <w:pPr>
        <w:rPr>
          <w:sz w:val="24"/>
          <w:szCs w:val="24"/>
          <w:lang w:eastAsia="bg-BG"/>
        </w:rPr>
      </w:pPr>
      <w:r w:rsidRPr="000251EB">
        <w:rPr>
          <w:lang w:eastAsia="bg-BG"/>
        </w:rPr>
        <w:t xml:space="preserve">Филмираните таблетки от 100 </w:t>
      </w:r>
      <w:r w:rsidRPr="000251EB">
        <w:rPr>
          <w:lang w:val="en-US"/>
        </w:rPr>
        <w:t xml:space="preserve">mg </w:t>
      </w:r>
      <w:r w:rsidRPr="000251EB">
        <w:rPr>
          <w:lang w:eastAsia="bg-BG"/>
        </w:rPr>
        <w:t xml:space="preserve">са сини, елипсовидни, двойноизпъкнали, с маркировка </w:t>
      </w:r>
      <w:r w:rsidRPr="000251EB">
        <w:rPr>
          <w:lang w:val="en-US"/>
        </w:rPr>
        <w:t xml:space="preserve">“SL100” </w:t>
      </w:r>
      <w:r w:rsidRPr="000251EB">
        <w:rPr>
          <w:lang w:eastAsia="bg-BG"/>
        </w:rPr>
        <w:t>от едната страна.</w:t>
      </w:r>
    </w:p>
    <w:p w14:paraId="3849236C" w14:textId="77777777" w:rsidR="000251EB" w:rsidRPr="000251EB" w:rsidRDefault="000251EB" w:rsidP="000251EB"/>
    <w:p w14:paraId="490FC2C4" w14:textId="6899DE43" w:rsidR="002C50EE" w:rsidRDefault="002C50EE" w:rsidP="002C50EE">
      <w:pPr>
        <w:pStyle w:val="Heading1"/>
      </w:pPr>
      <w:r>
        <w:lastRenderedPageBreak/>
        <w:t>4. КЛИНИЧНИ ДАННИ</w:t>
      </w:r>
    </w:p>
    <w:p w14:paraId="461901E4" w14:textId="0FDA11D3" w:rsidR="009F77A4" w:rsidRDefault="002C50EE" w:rsidP="00387A66">
      <w:pPr>
        <w:pStyle w:val="Heading2"/>
      </w:pPr>
      <w:r>
        <w:t>4.1. Терапевтични показания</w:t>
      </w:r>
    </w:p>
    <w:p w14:paraId="3BEA7889" w14:textId="2D1EF20B" w:rsidR="000251EB" w:rsidRDefault="000251EB" w:rsidP="000251EB"/>
    <w:p w14:paraId="5EC887FC" w14:textId="77777777" w:rsidR="000251EB" w:rsidRPr="000251EB" w:rsidRDefault="000251EB" w:rsidP="000251EB">
      <w:pPr>
        <w:rPr>
          <w:sz w:val="24"/>
          <w:szCs w:val="24"/>
          <w:lang w:eastAsia="bg-BG"/>
        </w:rPr>
      </w:pPr>
      <w:r w:rsidRPr="000251EB">
        <w:rPr>
          <w:lang w:eastAsia="bg-BG"/>
        </w:rPr>
        <w:t>Еротон е показан за приложение при възрастни мъже с еректилна дисфункция, която представлява неспособност за постигане или задържане на ерекция на пениса, достатъчна за задоволителен сексуален акт.</w:t>
      </w:r>
    </w:p>
    <w:p w14:paraId="2C056D90" w14:textId="77777777" w:rsidR="000251EB" w:rsidRDefault="000251EB" w:rsidP="000251EB">
      <w:pPr>
        <w:rPr>
          <w:lang w:eastAsia="bg-BG"/>
        </w:rPr>
      </w:pPr>
    </w:p>
    <w:p w14:paraId="4E15BAE5" w14:textId="2748B99C" w:rsidR="000251EB" w:rsidRPr="000251EB" w:rsidRDefault="000251EB" w:rsidP="000251EB">
      <w:pPr>
        <w:rPr>
          <w:sz w:val="24"/>
          <w:szCs w:val="24"/>
          <w:lang w:eastAsia="bg-BG"/>
        </w:rPr>
      </w:pPr>
      <w:r w:rsidRPr="000251EB">
        <w:rPr>
          <w:lang w:eastAsia="bg-BG"/>
        </w:rPr>
        <w:t>За да бъде ефективен Еротон е необходима сексуална стимулация.</w:t>
      </w:r>
    </w:p>
    <w:p w14:paraId="17385469" w14:textId="77777777" w:rsidR="000251EB" w:rsidRPr="000251EB" w:rsidRDefault="000251EB" w:rsidP="000251EB"/>
    <w:p w14:paraId="31744E5A" w14:textId="652FD2E8" w:rsidR="009F77A4" w:rsidRDefault="002C50EE" w:rsidP="00387A66">
      <w:pPr>
        <w:pStyle w:val="Heading2"/>
      </w:pPr>
      <w:r>
        <w:t>4.2. Дозировка и начин на приложение</w:t>
      </w:r>
    </w:p>
    <w:p w14:paraId="76BAF95A" w14:textId="7DFCE12F" w:rsidR="000251EB" w:rsidRDefault="000251EB" w:rsidP="000251EB"/>
    <w:p w14:paraId="5323D07B" w14:textId="77777777" w:rsidR="000251EB" w:rsidRPr="000251EB" w:rsidRDefault="000251EB" w:rsidP="000251EB">
      <w:pPr>
        <w:pStyle w:val="Heading3"/>
        <w:rPr>
          <w:rFonts w:eastAsia="Times New Roman"/>
          <w:u w:val="single"/>
          <w:lang w:eastAsia="bg-BG"/>
        </w:rPr>
      </w:pPr>
      <w:r w:rsidRPr="000251EB">
        <w:rPr>
          <w:rFonts w:eastAsia="Times New Roman"/>
          <w:u w:val="single"/>
          <w:lang w:eastAsia="bg-BG"/>
        </w:rPr>
        <w:t>Дозировка</w:t>
      </w:r>
    </w:p>
    <w:p w14:paraId="3060890B" w14:textId="77777777" w:rsidR="000251EB" w:rsidRPr="000251EB" w:rsidRDefault="000251EB" w:rsidP="000251EB">
      <w:pPr>
        <w:spacing w:line="240" w:lineRule="auto"/>
        <w:rPr>
          <w:rFonts w:eastAsia="Times New Roman" w:cs="Arial"/>
          <w:i/>
          <w:iCs/>
          <w:color w:val="000000"/>
          <w:lang w:eastAsia="bg-BG"/>
        </w:rPr>
      </w:pPr>
    </w:p>
    <w:p w14:paraId="2001EF01" w14:textId="3DC7ADBA"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Употреба при възрастни:</w:t>
      </w:r>
    </w:p>
    <w:p w14:paraId="053AB78F"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Препоръчителната доза е 50 </w:t>
      </w:r>
      <w:r w:rsidRPr="000251EB">
        <w:rPr>
          <w:rFonts w:eastAsia="Times New Roman" w:cs="Arial"/>
          <w:color w:val="000000"/>
          <w:lang w:val="en-US"/>
        </w:rPr>
        <w:t xml:space="preserve">mg, </w:t>
      </w:r>
      <w:r w:rsidRPr="000251EB">
        <w:rPr>
          <w:rFonts w:eastAsia="Times New Roman" w:cs="Arial"/>
          <w:color w:val="000000"/>
          <w:lang w:eastAsia="bg-BG"/>
        </w:rPr>
        <w:t xml:space="preserve">които се вземат при необходимост приблизително един час преди сексуалния акт. В зависимост от ефекта и поносимостта дозата може да бъде увеличена до 100 </w:t>
      </w:r>
      <w:r w:rsidRPr="000251EB">
        <w:rPr>
          <w:rFonts w:eastAsia="Times New Roman" w:cs="Arial"/>
          <w:color w:val="000000"/>
          <w:lang w:val="en-US"/>
        </w:rPr>
        <w:t xml:space="preserve">mg </w:t>
      </w:r>
      <w:r w:rsidRPr="000251EB">
        <w:rPr>
          <w:rFonts w:eastAsia="Times New Roman" w:cs="Arial"/>
          <w:color w:val="000000"/>
          <w:lang w:eastAsia="bg-BG"/>
        </w:rPr>
        <w:t xml:space="preserve">или намалена до 25 </w:t>
      </w:r>
      <w:r w:rsidRPr="000251EB">
        <w:rPr>
          <w:rFonts w:eastAsia="Times New Roman" w:cs="Arial"/>
          <w:color w:val="000000"/>
          <w:lang w:val="en-US"/>
        </w:rPr>
        <w:t xml:space="preserve">mg. </w:t>
      </w:r>
      <w:r w:rsidRPr="000251EB">
        <w:rPr>
          <w:rFonts w:eastAsia="Times New Roman" w:cs="Arial"/>
          <w:color w:val="000000"/>
          <w:lang w:eastAsia="bg-BG"/>
        </w:rPr>
        <w:t xml:space="preserve">Максималната препоръчителна доза е 100 </w:t>
      </w:r>
      <w:r w:rsidRPr="000251EB">
        <w:rPr>
          <w:rFonts w:eastAsia="Times New Roman" w:cs="Arial"/>
          <w:color w:val="000000"/>
          <w:lang w:val="en-US"/>
        </w:rPr>
        <w:t xml:space="preserve">mg. </w:t>
      </w:r>
      <w:r w:rsidRPr="000251EB">
        <w:rPr>
          <w:rFonts w:eastAsia="Times New Roman" w:cs="Arial"/>
          <w:color w:val="000000"/>
          <w:lang w:eastAsia="bg-BG"/>
        </w:rPr>
        <w:t>Максималната препоръчителна честота на приемане е веднъж дневно. При прием на Еротон по време на хранене началото на действието може да бъде забавено в сравнение с приема на гладно (вж. точка 5.2).</w:t>
      </w:r>
    </w:p>
    <w:p w14:paraId="0EB451FC" w14:textId="77777777" w:rsidR="000251EB" w:rsidRPr="000251EB" w:rsidRDefault="000251EB" w:rsidP="000251EB">
      <w:pPr>
        <w:spacing w:line="240" w:lineRule="auto"/>
        <w:rPr>
          <w:rFonts w:eastAsia="Times New Roman" w:cs="Arial"/>
          <w:color w:val="000000"/>
          <w:u w:val="single"/>
          <w:lang w:eastAsia="bg-BG"/>
        </w:rPr>
      </w:pPr>
    </w:p>
    <w:p w14:paraId="38A09349" w14:textId="027647FC"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Специални популации</w:t>
      </w:r>
    </w:p>
    <w:p w14:paraId="172B034D" w14:textId="77777777" w:rsidR="000251EB" w:rsidRPr="000251EB" w:rsidRDefault="000251EB" w:rsidP="000251EB">
      <w:pPr>
        <w:spacing w:line="240" w:lineRule="auto"/>
        <w:rPr>
          <w:rFonts w:eastAsia="Times New Roman" w:cs="Arial"/>
          <w:i/>
          <w:iCs/>
          <w:color w:val="000000"/>
          <w:u w:val="single"/>
          <w:lang w:eastAsia="bg-BG"/>
        </w:rPr>
      </w:pPr>
    </w:p>
    <w:p w14:paraId="033F230D" w14:textId="36B9F64F"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Старческа възраст</w:t>
      </w:r>
    </w:p>
    <w:p w14:paraId="283060C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Корекции на дозата не са необходими при пациенти в старческа възраст (≥65 години).</w:t>
      </w:r>
    </w:p>
    <w:p w14:paraId="3E12CDA0" w14:textId="77777777" w:rsidR="000251EB" w:rsidRPr="000251EB" w:rsidRDefault="000251EB" w:rsidP="000251EB">
      <w:pPr>
        <w:spacing w:line="240" w:lineRule="auto"/>
        <w:rPr>
          <w:rFonts w:eastAsia="Times New Roman" w:cs="Arial"/>
          <w:i/>
          <w:iCs/>
          <w:color w:val="000000"/>
          <w:u w:val="single"/>
          <w:lang w:eastAsia="bg-BG"/>
        </w:rPr>
      </w:pPr>
    </w:p>
    <w:p w14:paraId="62FE38FE" w14:textId="682A6934"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Бъбречно увреждане</w:t>
      </w:r>
    </w:p>
    <w:p w14:paraId="4DDD52A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Препоръките за дозиране, дадени в ‘‘Употреба при възрастни”, са валидни при пациенти с леко до умерено бъбречно увреждане (креатининов клирънс = 30 - 80 </w:t>
      </w:r>
      <w:r w:rsidRPr="000251EB">
        <w:rPr>
          <w:rFonts w:eastAsia="Times New Roman" w:cs="Arial"/>
          <w:color w:val="000000"/>
          <w:lang w:val="en-US"/>
        </w:rPr>
        <w:t>ml/min).</w:t>
      </w:r>
    </w:p>
    <w:p w14:paraId="6ADE8A5E" w14:textId="77777777" w:rsidR="000251EB" w:rsidRPr="000251EB" w:rsidRDefault="000251EB" w:rsidP="000251EB">
      <w:pPr>
        <w:spacing w:line="240" w:lineRule="auto"/>
        <w:rPr>
          <w:rFonts w:eastAsia="Times New Roman" w:cs="Arial"/>
          <w:color w:val="000000"/>
          <w:lang w:eastAsia="bg-BG"/>
        </w:rPr>
      </w:pPr>
    </w:p>
    <w:p w14:paraId="3EB967A0" w14:textId="7FD6B4A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Тъй като при пациенти с тежко бъбречно увреждане (креатининов клирънс &lt;30 </w:t>
      </w:r>
      <w:r w:rsidRPr="000251EB">
        <w:rPr>
          <w:rFonts w:eastAsia="Times New Roman" w:cs="Arial"/>
          <w:color w:val="000000"/>
          <w:lang w:val="en-US"/>
        </w:rPr>
        <w:t xml:space="preserve">ml/min) </w:t>
      </w:r>
      <w:r w:rsidRPr="000251EB">
        <w:rPr>
          <w:rFonts w:eastAsia="Times New Roman" w:cs="Arial"/>
          <w:color w:val="000000"/>
          <w:lang w:eastAsia="bg-BG"/>
        </w:rPr>
        <w:t xml:space="preserve">клирънсът на силденафил е намален, трябва да се има предвид доза от 25 </w:t>
      </w:r>
      <w:r w:rsidRPr="000251EB">
        <w:rPr>
          <w:rFonts w:eastAsia="Times New Roman" w:cs="Arial"/>
          <w:color w:val="000000"/>
          <w:lang w:val="en-US"/>
        </w:rPr>
        <w:t xml:space="preserve">mg. </w:t>
      </w:r>
      <w:r w:rsidRPr="000251EB">
        <w:rPr>
          <w:rFonts w:eastAsia="Times New Roman" w:cs="Arial"/>
          <w:color w:val="000000"/>
          <w:lang w:eastAsia="bg-BG"/>
        </w:rPr>
        <w:t xml:space="preserve">В зависимост от ефекта и поносимостта дозата може да бъде увеличена постепенно до 50 </w:t>
      </w:r>
      <w:r w:rsidRPr="000251EB">
        <w:rPr>
          <w:rFonts w:eastAsia="Times New Roman" w:cs="Arial"/>
          <w:color w:val="000000"/>
          <w:lang w:val="en-US"/>
        </w:rPr>
        <w:t xml:space="preserve">mg </w:t>
      </w:r>
      <w:r w:rsidRPr="000251EB">
        <w:rPr>
          <w:rFonts w:eastAsia="Times New Roman" w:cs="Arial"/>
          <w:color w:val="000000"/>
          <w:lang w:eastAsia="bg-BG"/>
        </w:rPr>
        <w:t xml:space="preserve">или 100 </w:t>
      </w:r>
      <w:r w:rsidRPr="000251EB">
        <w:rPr>
          <w:rFonts w:eastAsia="Times New Roman" w:cs="Arial"/>
          <w:color w:val="000000"/>
          <w:lang w:val="en-US"/>
        </w:rPr>
        <w:t xml:space="preserve">mg </w:t>
      </w:r>
      <w:r w:rsidRPr="000251EB">
        <w:rPr>
          <w:rFonts w:eastAsia="Times New Roman" w:cs="Arial"/>
          <w:color w:val="000000"/>
          <w:lang w:eastAsia="bg-BG"/>
        </w:rPr>
        <w:t>според нуждите.</w:t>
      </w:r>
    </w:p>
    <w:p w14:paraId="01568204" w14:textId="77777777" w:rsidR="000251EB" w:rsidRPr="000251EB" w:rsidRDefault="000251EB" w:rsidP="000251EB">
      <w:pPr>
        <w:spacing w:line="240" w:lineRule="auto"/>
        <w:rPr>
          <w:rFonts w:eastAsia="Times New Roman" w:cs="Arial"/>
          <w:i/>
          <w:iCs/>
          <w:color w:val="000000"/>
          <w:u w:val="single"/>
          <w:lang w:eastAsia="bg-BG"/>
        </w:rPr>
      </w:pPr>
    </w:p>
    <w:p w14:paraId="69C9487A" w14:textId="726755E1"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Чернодробно увреждане</w:t>
      </w:r>
    </w:p>
    <w:p w14:paraId="69EE6AF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Тъй като при пациенти с чернодробно увреждане (напр. цироза), клирънсът на силденафил е намален, трябва да се има предвид доза от 25 </w:t>
      </w:r>
      <w:r w:rsidRPr="000251EB">
        <w:rPr>
          <w:rFonts w:eastAsia="Times New Roman" w:cs="Arial"/>
          <w:color w:val="000000"/>
          <w:lang w:val="en-US"/>
        </w:rPr>
        <w:t xml:space="preserve">mg. </w:t>
      </w:r>
      <w:r w:rsidRPr="000251EB">
        <w:rPr>
          <w:rFonts w:eastAsia="Times New Roman" w:cs="Arial"/>
          <w:color w:val="000000"/>
          <w:lang w:eastAsia="bg-BG"/>
        </w:rPr>
        <w:t xml:space="preserve">В зависимост от ефекта и поносимостта дозата може да бъде увеличена постепенно до 50 </w:t>
      </w:r>
      <w:r w:rsidRPr="000251EB">
        <w:rPr>
          <w:rFonts w:eastAsia="Times New Roman" w:cs="Arial"/>
          <w:color w:val="000000"/>
          <w:lang w:val="en-US"/>
        </w:rPr>
        <w:t xml:space="preserve">mg </w:t>
      </w:r>
      <w:r w:rsidRPr="000251EB">
        <w:rPr>
          <w:rFonts w:eastAsia="Times New Roman" w:cs="Arial"/>
          <w:color w:val="000000"/>
          <w:lang w:eastAsia="bg-BG"/>
        </w:rPr>
        <w:t xml:space="preserve">или 100 </w:t>
      </w:r>
      <w:r w:rsidRPr="000251EB">
        <w:rPr>
          <w:rFonts w:eastAsia="Times New Roman" w:cs="Arial"/>
          <w:color w:val="000000"/>
          <w:lang w:val="en-US"/>
        </w:rPr>
        <w:t xml:space="preserve">mg </w:t>
      </w:r>
      <w:r w:rsidRPr="000251EB">
        <w:rPr>
          <w:rFonts w:eastAsia="Times New Roman" w:cs="Arial"/>
          <w:color w:val="000000"/>
          <w:lang w:eastAsia="bg-BG"/>
        </w:rPr>
        <w:t>според нуждите.</w:t>
      </w:r>
    </w:p>
    <w:p w14:paraId="5263DC6D" w14:textId="77777777" w:rsidR="000251EB" w:rsidRPr="000251EB" w:rsidRDefault="000251EB" w:rsidP="000251EB">
      <w:pPr>
        <w:spacing w:line="240" w:lineRule="auto"/>
        <w:rPr>
          <w:rFonts w:eastAsia="Times New Roman" w:cs="Arial"/>
          <w:i/>
          <w:iCs/>
          <w:color w:val="000000"/>
          <w:u w:val="single"/>
          <w:lang w:eastAsia="bg-BG"/>
        </w:rPr>
      </w:pPr>
    </w:p>
    <w:p w14:paraId="7A8ADFEB" w14:textId="6EC68EDE"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Педиатрична популация</w:t>
      </w:r>
    </w:p>
    <w:p w14:paraId="3CBD382D"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Еротон не е показан при лица под 18-годишна възраст.</w:t>
      </w:r>
    </w:p>
    <w:p w14:paraId="56F5AFD3" w14:textId="77777777" w:rsidR="000251EB" w:rsidRPr="000251EB" w:rsidRDefault="000251EB" w:rsidP="000251EB">
      <w:pPr>
        <w:spacing w:line="240" w:lineRule="auto"/>
        <w:rPr>
          <w:rFonts w:eastAsia="Times New Roman" w:cs="Arial"/>
          <w:i/>
          <w:iCs/>
          <w:color w:val="000000"/>
          <w:u w:val="single"/>
          <w:lang w:eastAsia="bg-BG"/>
        </w:rPr>
      </w:pPr>
    </w:p>
    <w:p w14:paraId="4220EF4A" w14:textId="5C0C17B0"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u w:val="single"/>
          <w:lang w:eastAsia="bg-BG"/>
        </w:rPr>
        <w:t>Употреба при пациенти, приемащи други лекарствени продукти</w:t>
      </w:r>
    </w:p>
    <w:p w14:paraId="0488B4A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 изключение на ритонавир, за който не се препоръчва едновременна употреба със силденафил (вж. точка 4.4), при пациенти, получаващи едновременно лечение с </w:t>
      </w:r>
      <w:r w:rsidRPr="000251EB">
        <w:rPr>
          <w:rFonts w:eastAsia="Times New Roman" w:cs="Arial"/>
          <w:color w:val="000000"/>
          <w:lang w:val="en-US"/>
        </w:rPr>
        <w:t xml:space="preserve">CYP3A4 </w:t>
      </w:r>
      <w:r w:rsidRPr="000251EB">
        <w:rPr>
          <w:rFonts w:eastAsia="Times New Roman" w:cs="Arial"/>
          <w:color w:val="000000"/>
          <w:lang w:eastAsia="bg-BG"/>
        </w:rPr>
        <w:t xml:space="preserve">инхибитори (вж. точка 4.5), трябва да се има предвид начална доза от 25 </w:t>
      </w:r>
      <w:r w:rsidRPr="000251EB">
        <w:rPr>
          <w:rFonts w:eastAsia="Times New Roman" w:cs="Arial"/>
          <w:color w:val="000000"/>
          <w:lang w:val="en-US"/>
        </w:rPr>
        <w:t>mg.</w:t>
      </w:r>
    </w:p>
    <w:p w14:paraId="50419AA6" w14:textId="77777777" w:rsidR="000251EB" w:rsidRPr="000251EB" w:rsidRDefault="000251EB" w:rsidP="000251EB">
      <w:pPr>
        <w:spacing w:line="240" w:lineRule="auto"/>
        <w:rPr>
          <w:rFonts w:eastAsia="Times New Roman" w:cs="Arial"/>
          <w:color w:val="000000"/>
          <w:lang w:eastAsia="bg-BG"/>
        </w:rPr>
      </w:pPr>
    </w:p>
    <w:p w14:paraId="0B879BE0" w14:textId="766F2E75"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Пациентите, провеждащи лечение с алфа-блокери, трябва да бъдат стабилизирани по отношение на терапията с алфа-блокери преди започване на лечение със силденафил, за да се намали възможността за развитие на ортостатична хипотония. Освен това трябва да се обмисли започване на лечението със силденафил с доза от 25 </w:t>
      </w:r>
      <w:r w:rsidRPr="000251EB">
        <w:rPr>
          <w:rFonts w:eastAsia="Times New Roman" w:cs="Arial"/>
          <w:color w:val="000000"/>
          <w:lang w:val="en-US"/>
        </w:rPr>
        <w:t xml:space="preserve">mg </w:t>
      </w:r>
      <w:r w:rsidRPr="000251EB">
        <w:rPr>
          <w:rFonts w:eastAsia="Times New Roman" w:cs="Arial"/>
          <w:color w:val="000000"/>
          <w:lang w:eastAsia="bg-BG"/>
        </w:rPr>
        <w:t>(вж. точки 4.4 и 4.5).</w:t>
      </w:r>
    </w:p>
    <w:p w14:paraId="22563784" w14:textId="609C83EA" w:rsidR="000251EB" w:rsidRPr="000251EB" w:rsidRDefault="000251EB" w:rsidP="000251EB">
      <w:pPr>
        <w:spacing w:line="240" w:lineRule="auto"/>
        <w:rPr>
          <w:rFonts w:eastAsia="Times New Roman" w:cs="Arial"/>
          <w:color w:val="000000"/>
          <w:lang w:eastAsia="bg-BG"/>
        </w:rPr>
      </w:pPr>
    </w:p>
    <w:p w14:paraId="4E7E879B" w14:textId="77777777" w:rsidR="000251EB" w:rsidRPr="000251EB" w:rsidRDefault="000251EB" w:rsidP="000251EB">
      <w:pPr>
        <w:pStyle w:val="Heading3"/>
        <w:rPr>
          <w:u w:val="single"/>
        </w:rPr>
      </w:pPr>
      <w:r w:rsidRPr="000251EB">
        <w:rPr>
          <w:u w:val="single"/>
        </w:rPr>
        <w:t xml:space="preserve">Начин на приложение </w:t>
      </w:r>
    </w:p>
    <w:p w14:paraId="6F7D945A" w14:textId="3FE8512A" w:rsidR="000251EB" w:rsidRPr="000251EB" w:rsidRDefault="000251EB" w:rsidP="000251EB">
      <w:pPr>
        <w:spacing w:line="240" w:lineRule="auto"/>
        <w:rPr>
          <w:rFonts w:eastAsia="Times New Roman" w:cs="Arial"/>
          <w:sz w:val="24"/>
          <w:szCs w:val="24"/>
          <w:lang w:eastAsia="bg-BG"/>
        </w:rPr>
      </w:pPr>
      <w:r w:rsidRPr="000251EB">
        <w:rPr>
          <w:rFonts w:cs="Arial"/>
        </w:rPr>
        <w:t>За перорална употреба.</w:t>
      </w:r>
    </w:p>
    <w:p w14:paraId="6957D310" w14:textId="77777777" w:rsidR="000251EB" w:rsidRPr="000251EB" w:rsidRDefault="000251EB" w:rsidP="000251EB"/>
    <w:p w14:paraId="5D9E65DA" w14:textId="453665F0" w:rsidR="009F77A4" w:rsidRDefault="002C50EE" w:rsidP="00387A66">
      <w:pPr>
        <w:pStyle w:val="Heading2"/>
      </w:pPr>
      <w:r>
        <w:t>4.3. Противопоказания</w:t>
      </w:r>
    </w:p>
    <w:p w14:paraId="52F17703" w14:textId="146F8B3B" w:rsidR="000251EB" w:rsidRDefault="000251EB" w:rsidP="000251EB"/>
    <w:p w14:paraId="03A69792" w14:textId="3231E0C8"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A42AEE3" w14:textId="77777777" w:rsidR="000251EB" w:rsidRPr="000251EB" w:rsidRDefault="000251EB" w:rsidP="000251EB">
      <w:pPr>
        <w:spacing w:line="240" w:lineRule="auto"/>
        <w:rPr>
          <w:rFonts w:eastAsia="Times New Roman" w:cs="Arial"/>
          <w:color w:val="000000"/>
          <w:lang w:eastAsia="bg-BG"/>
        </w:rPr>
      </w:pPr>
    </w:p>
    <w:p w14:paraId="29117BCE" w14:textId="261B8ED1"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 xml:space="preserve">В съответствие с неговите известни ефекти върху пътя азотен окис/цикличен гуанозин монофосфат </w:t>
      </w:r>
      <w:r w:rsidRPr="000251EB">
        <w:rPr>
          <w:rFonts w:eastAsia="Times New Roman" w:cs="Arial"/>
          <w:color w:val="000000"/>
          <w:lang w:val="en-US"/>
        </w:rPr>
        <w:t xml:space="preserve">(cGMP) </w:t>
      </w:r>
      <w:r w:rsidRPr="000251EB">
        <w:rPr>
          <w:rFonts w:eastAsia="Times New Roman" w:cs="Arial"/>
          <w:color w:val="000000"/>
          <w:lang w:eastAsia="bg-BG"/>
        </w:rPr>
        <w:t>(вж. точка 5.1) силденафил е показал потенциране на хипотензивните ефекти на нитратите и следователно едновременното му приложение с донори на азотен окис (като амил нитрат) или нитрати под всякаква форма е противопоказано.</w:t>
      </w:r>
    </w:p>
    <w:p w14:paraId="0876732A" w14:textId="77777777" w:rsidR="000251EB" w:rsidRPr="000251EB" w:rsidRDefault="000251EB" w:rsidP="000251EB">
      <w:pPr>
        <w:spacing w:line="240" w:lineRule="auto"/>
        <w:rPr>
          <w:rFonts w:eastAsia="Times New Roman" w:cs="Arial"/>
          <w:color w:val="000000"/>
          <w:lang w:eastAsia="bg-BG"/>
        </w:rPr>
      </w:pPr>
    </w:p>
    <w:p w14:paraId="1EC7576B" w14:textId="72B0ECB9"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Едновременното прилагане на ФДЕ5 инхибитори, включително силденафил, с гуанилат- циклазни стимулатори, като риоцигуат, е противопоказано, тъй като това може да причини симптоматична хипотония (вж. точка 4.5).</w:t>
      </w:r>
    </w:p>
    <w:p w14:paraId="3E0B62CC" w14:textId="77777777" w:rsidR="000251EB" w:rsidRPr="000251EB" w:rsidRDefault="000251EB" w:rsidP="000251EB">
      <w:pPr>
        <w:spacing w:line="240" w:lineRule="auto"/>
        <w:rPr>
          <w:rFonts w:eastAsia="Times New Roman" w:cs="Arial"/>
          <w:color w:val="000000"/>
          <w:lang w:eastAsia="bg-BG"/>
        </w:rPr>
      </w:pPr>
    </w:p>
    <w:p w14:paraId="60716595" w14:textId="20357662"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Средствата за лечение на еректилната дисфункция, включително силденафил, не трябва да бъдат прилагани при мъже, на които не се препоръчва сексуална активност (например, пациенти с тежки сърдечно-съдови нарушения, като нестабилна стенокардия или тежка сърдечна недостатъчност).</w:t>
      </w:r>
    </w:p>
    <w:p w14:paraId="4B2C9A4E" w14:textId="77777777" w:rsidR="000251EB" w:rsidRPr="000251EB" w:rsidRDefault="000251EB" w:rsidP="000251EB">
      <w:pPr>
        <w:spacing w:line="240" w:lineRule="auto"/>
        <w:rPr>
          <w:rFonts w:eastAsia="Times New Roman" w:cs="Arial"/>
          <w:color w:val="000000"/>
          <w:lang w:eastAsia="bg-BG"/>
        </w:rPr>
      </w:pPr>
    </w:p>
    <w:p w14:paraId="7952EA6E" w14:textId="0B0147D0"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Еротон е противопоказан при пациенти, които имат загуба на зрението при едното око поради неартериитна предна исхемична оптична невропатия (НАИОН), независимо дали тези епизоди са били свързани или не с предходна експозиция на ФДЕ5 инхибитор (вж. точка 4.4).</w:t>
      </w:r>
    </w:p>
    <w:p w14:paraId="174C6707" w14:textId="77777777" w:rsidR="000251EB" w:rsidRPr="000251EB" w:rsidRDefault="000251EB" w:rsidP="000251EB">
      <w:pPr>
        <w:spacing w:line="240" w:lineRule="auto"/>
        <w:rPr>
          <w:rFonts w:eastAsia="Times New Roman" w:cs="Arial"/>
          <w:color w:val="000000"/>
          <w:lang w:eastAsia="bg-BG"/>
        </w:rPr>
      </w:pPr>
    </w:p>
    <w:p w14:paraId="7CF86DFA" w14:textId="7B44BE7B" w:rsidR="000251EB" w:rsidRPr="000251EB" w:rsidRDefault="000251EB" w:rsidP="000251EB">
      <w:pPr>
        <w:pStyle w:val="ListParagraph"/>
        <w:numPr>
          <w:ilvl w:val="0"/>
          <w:numId w:val="40"/>
        </w:numPr>
        <w:spacing w:line="240" w:lineRule="auto"/>
        <w:rPr>
          <w:rFonts w:eastAsia="Times New Roman" w:cs="Arial"/>
          <w:sz w:val="24"/>
          <w:szCs w:val="24"/>
          <w:lang w:eastAsia="bg-BG"/>
        </w:rPr>
      </w:pPr>
      <w:r w:rsidRPr="000251EB">
        <w:rPr>
          <w:rFonts w:eastAsia="Times New Roman" w:cs="Arial"/>
          <w:color w:val="000000"/>
          <w:lang w:eastAsia="bg-BG"/>
        </w:rPr>
        <w:t>Безопасността на силденафил не е проучена при следните подгрупи пациенти и следователно употребата му е противопоказана: тежко чернодробно увреждане, хипотония (кръвно налягане</w:t>
      </w:r>
      <w:r w:rsidRPr="000251EB">
        <w:rPr>
          <w:rFonts w:eastAsia="Times New Roman" w:cs="Arial"/>
          <w:color w:val="000000"/>
          <w:lang w:val="en-US"/>
        </w:rPr>
        <w:t xml:space="preserve"> </w:t>
      </w:r>
      <w:r w:rsidRPr="000251EB">
        <w:rPr>
          <w:rFonts w:eastAsia="Times New Roman" w:cs="Arial"/>
          <w:color w:val="000000"/>
          <w:lang w:eastAsia="bg-BG"/>
        </w:rPr>
        <w:t xml:space="preserve">&lt;90/50 </w:t>
      </w:r>
      <w:r w:rsidRPr="000251EB">
        <w:rPr>
          <w:rFonts w:eastAsia="Times New Roman" w:cs="Arial"/>
          <w:color w:val="000000"/>
          <w:lang w:val="en-US"/>
        </w:rPr>
        <w:t xml:space="preserve">mm Hg), </w:t>
      </w:r>
      <w:r w:rsidRPr="000251EB">
        <w:rPr>
          <w:rFonts w:eastAsia="Times New Roman" w:cs="Arial"/>
          <w:color w:val="000000"/>
          <w:lang w:eastAsia="bg-BG"/>
        </w:rPr>
        <w:t xml:space="preserve">анамнеза за скорошен инсулт или миокарден инфаркт и известни наследствени дегенеративни заболявания на ретината като </w:t>
      </w:r>
      <w:r w:rsidRPr="000251EB">
        <w:rPr>
          <w:rFonts w:eastAsia="Times New Roman" w:cs="Arial"/>
          <w:i/>
          <w:iCs/>
          <w:color w:val="000000"/>
          <w:lang w:val="en-US"/>
        </w:rPr>
        <w:t>retinitis pigmentosa</w:t>
      </w:r>
      <w:r w:rsidRPr="000251EB">
        <w:rPr>
          <w:rFonts w:eastAsia="Times New Roman" w:cs="Arial"/>
          <w:color w:val="000000"/>
          <w:lang w:val="en-US"/>
        </w:rPr>
        <w:t xml:space="preserve"> </w:t>
      </w:r>
      <w:r w:rsidRPr="000251EB">
        <w:rPr>
          <w:rFonts w:eastAsia="Times New Roman" w:cs="Arial"/>
          <w:color w:val="000000"/>
          <w:lang w:eastAsia="bg-BG"/>
        </w:rPr>
        <w:t>(малка част от тези пациенти имат генетични аномалии, засягащи фосфодиестеразите на ретината).</w:t>
      </w:r>
    </w:p>
    <w:p w14:paraId="163D0172" w14:textId="77777777" w:rsidR="000251EB" w:rsidRPr="000251EB" w:rsidRDefault="000251EB" w:rsidP="000251EB"/>
    <w:p w14:paraId="1C27CE53" w14:textId="78C39BCE" w:rsidR="009F77A4" w:rsidRDefault="002C50EE" w:rsidP="00387A66">
      <w:pPr>
        <w:pStyle w:val="Heading2"/>
      </w:pPr>
      <w:r>
        <w:t>4.4. Специални предупреждения и предпазни мерки при употреба</w:t>
      </w:r>
    </w:p>
    <w:p w14:paraId="033D17DD" w14:textId="59C92DA9" w:rsidR="000251EB" w:rsidRDefault="000251EB" w:rsidP="000251EB"/>
    <w:p w14:paraId="1ACDEAAE"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Преди да бъде назначено фармакологично лечение е необходимо снемане на медицинска анамнеза и физикален статус за диагностициране на еректилната дисфункция и определяне на възможните причини.</w:t>
      </w:r>
    </w:p>
    <w:p w14:paraId="4B9955E9" w14:textId="77777777" w:rsidR="000251EB" w:rsidRPr="000251EB" w:rsidRDefault="000251EB" w:rsidP="000251EB">
      <w:pPr>
        <w:spacing w:line="240" w:lineRule="auto"/>
        <w:rPr>
          <w:rFonts w:eastAsia="Times New Roman" w:cs="Arial"/>
          <w:color w:val="000000"/>
          <w:u w:val="single"/>
          <w:lang w:eastAsia="bg-BG"/>
        </w:rPr>
      </w:pPr>
    </w:p>
    <w:p w14:paraId="68B0D366" w14:textId="6C7B2723"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lastRenderedPageBreak/>
        <w:t>Сърдечносъдови рискови фактори</w:t>
      </w:r>
    </w:p>
    <w:p w14:paraId="62AAE71D"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Преди започване на каквото и да е лечение за еректилна дисфункция лекарите трябва да преценят сърдечно-съдовия статус на пациентите си, тъй като съществува степен на сърдечен риск, свързан със сексуалната активност. Силденафил има съдоразширяващи свойства, водещи до леко и преходно понижение на артериалното налягане (вж. точка 5.1). Преди предписването на силденафил лекарите трябва внимателно да преценят дали техните пациенти с определени съпътстващи заболявания биха могли да се повлияят неблагоприятно от тези вазодилатативни ефекти, особено в комбинация със сексуална активност. Пациенти с повишена чувствителност към вазодилататори са тези с обструкция на левокамерния изходен тракт (например аоргна стеноза, хипертрофична обструктивна кардиомиопатия) и тези с редкия синдром на множествена системна атрофия, манифестиращ се с тежко нарушен автономен контрол на кръвното налягане.</w:t>
      </w:r>
    </w:p>
    <w:p w14:paraId="0E5FC495" w14:textId="77777777" w:rsidR="000251EB" w:rsidRPr="000251EB" w:rsidRDefault="000251EB" w:rsidP="000251EB">
      <w:pPr>
        <w:spacing w:line="240" w:lineRule="auto"/>
        <w:rPr>
          <w:rFonts w:eastAsia="Times New Roman" w:cs="Arial"/>
          <w:color w:val="000000"/>
          <w:lang w:eastAsia="bg-BG"/>
        </w:rPr>
      </w:pPr>
    </w:p>
    <w:p w14:paraId="5171356D" w14:textId="2A3DCF8C"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Еротон потенцира хипотензивния ефект на нитратите (вж. точка 4.3).</w:t>
      </w:r>
    </w:p>
    <w:p w14:paraId="204FE6F5" w14:textId="345C0837" w:rsidR="000251EB" w:rsidRPr="000251EB" w:rsidRDefault="000251EB" w:rsidP="000251EB">
      <w:pPr>
        <w:spacing w:line="240" w:lineRule="auto"/>
        <w:rPr>
          <w:rFonts w:eastAsia="Times New Roman" w:cs="Arial"/>
          <w:color w:val="000000"/>
          <w:lang w:eastAsia="bg-BG"/>
        </w:rPr>
      </w:pPr>
    </w:p>
    <w:p w14:paraId="70DB0C4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Има постмаркетингови съобщения за сериозни сърдечно-съдови инциденти, като миокарден инфаркт, нестабилна стенокардия, внезапна сърдечна смърт, камерни аритмии, хеморагичен инсулт, преходно нарушение на мозъчното кръвообращение, хипертония и хипотония, съвпадащи по време с употребата на силденафил. Повечето, но не всички, от тези пациенти са имали предшестващи сърдечно-съдови рискови фактори. Повечето инциденти, за които се съобщава, са настъпили по време на или скоро след сексуална активност, а някои са възникнали скоро след приема на силденафил без сексуална активност. Не е възможно да бъде определено дали тези инциденти са свързани пряко с горните или други фактори.</w:t>
      </w:r>
    </w:p>
    <w:p w14:paraId="20AE8577" w14:textId="77777777" w:rsidR="000251EB" w:rsidRPr="000251EB" w:rsidRDefault="000251EB" w:rsidP="000251EB">
      <w:pPr>
        <w:spacing w:line="240" w:lineRule="auto"/>
        <w:rPr>
          <w:rFonts w:eastAsia="Times New Roman" w:cs="Arial"/>
          <w:color w:val="000000"/>
          <w:u w:val="single"/>
          <w:lang w:eastAsia="bg-BG"/>
        </w:rPr>
      </w:pPr>
    </w:p>
    <w:p w14:paraId="1E720D28" w14:textId="2B6D71AB"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Приапизъм</w:t>
      </w:r>
    </w:p>
    <w:p w14:paraId="186F6E9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Средствата за лечение на еректилната дисфункция, включително силденафил, трябва да бъдат използвани внимателно при пациенти с анатомична деформация на пениса (като ангулация, кавернозна фиброза или болест на </w:t>
      </w:r>
      <w:proofErr w:type="spellStart"/>
      <w:r w:rsidRPr="000251EB">
        <w:rPr>
          <w:rFonts w:eastAsia="Times New Roman" w:cs="Arial"/>
          <w:color w:val="000000"/>
          <w:lang w:val="en-US"/>
        </w:rPr>
        <w:t>Peyronie</w:t>
      </w:r>
      <w:proofErr w:type="spellEnd"/>
      <w:r w:rsidRPr="000251EB">
        <w:rPr>
          <w:rFonts w:eastAsia="Times New Roman" w:cs="Arial"/>
          <w:color w:val="000000"/>
          <w:lang w:val="en-US"/>
        </w:rPr>
        <w:t xml:space="preserve">) </w:t>
      </w:r>
      <w:r w:rsidRPr="000251EB">
        <w:rPr>
          <w:rFonts w:eastAsia="Times New Roman" w:cs="Arial"/>
          <w:color w:val="000000"/>
          <w:lang w:eastAsia="bg-BG"/>
        </w:rPr>
        <w:t>или при пациенти със състояния, които може да предразполагат към приапизъм (като сърповидно-клетъчна анемия, мултиплен миелом или левкемия).</w:t>
      </w:r>
    </w:p>
    <w:p w14:paraId="3A89DC36" w14:textId="77777777" w:rsidR="000251EB" w:rsidRPr="000251EB" w:rsidRDefault="000251EB" w:rsidP="000251EB">
      <w:pPr>
        <w:spacing w:line="240" w:lineRule="auto"/>
        <w:rPr>
          <w:rFonts w:eastAsia="Times New Roman" w:cs="Arial"/>
          <w:color w:val="000000"/>
          <w:lang w:eastAsia="bg-BG"/>
        </w:rPr>
      </w:pPr>
    </w:p>
    <w:p w14:paraId="05F2F732" w14:textId="6242DFA0"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Има съобщения за продължителна ерекция и приапизъм при прием на силденафил в постмаркетинговия период. В случай на ерекция, която продължава повече от 4 часа, пациентът трябва незабавно да потърси медицинска помощ. Ако приапизмът не се лекува незабавно, би могло да се стигне до увреждане на тъканите на пениса и постоянна загуба на потентност.</w:t>
      </w:r>
    </w:p>
    <w:p w14:paraId="6C4CA427" w14:textId="77777777" w:rsidR="000251EB" w:rsidRPr="000251EB" w:rsidRDefault="000251EB" w:rsidP="000251EB">
      <w:pPr>
        <w:spacing w:line="240" w:lineRule="auto"/>
        <w:rPr>
          <w:rFonts w:eastAsia="Times New Roman" w:cs="Arial"/>
          <w:color w:val="000000"/>
          <w:u w:val="single"/>
          <w:lang w:eastAsia="bg-BG"/>
        </w:rPr>
      </w:pPr>
    </w:p>
    <w:p w14:paraId="5501E632" w14:textId="55D1CA59"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 xml:space="preserve">Едновременно приложение с други ФЛЕ5 инхибитори или други лечения на еректилна дисфункция </w:t>
      </w:r>
      <w:r w:rsidRPr="000251EB">
        <w:rPr>
          <w:rFonts w:eastAsia="Times New Roman" w:cs="Arial"/>
          <w:color w:val="000000"/>
          <w:lang w:eastAsia="bg-BG"/>
        </w:rPr>
        <w:t xml:space="preserve">Безопасността и ефикасността на комбинациите на силденафил с други ФДЕ5 инхибитори, други лечения на белодробна артериална хипертония (БАХ), съдържащи силденафил </w:t>
      </w:r>
      <w:r w:rsidRPr="000251EB">
        <w:rPr>
          <w:rFonts w:eastAsia="Times New Roman" w:cs="Arial"/>
          <w:color w:val="000000"/>
          <w:lang w:val="en-US"/>
        </w:rPr>
        <w:t xml:space="preserve">(REVATIO), </w:t>
      </w:r>
      <w:r w:rsidRPr="000251EB">
        <w:rPr>
          <w:rFonts w:eastAsia="Times New Roman" w:cs="Arial"/>
          <w:color w:val="000000"/>
          <w:lang w:eastAsia="bg-BG"/>
        </w:rPr>
        <w:t>или други лечения на еректилна дисфункция не са проучени. Поради това прилагането на такива комбинации не се препоръчва.</w:t>
      </w:r>
    </w:p>
    <w:p w14:paraId="32B51355" w14:textId="77777777" w:rsidR="000251EB" w:rsidRPr="000251EB" w:rsidRDefault="000251EB" w:rsidP="000251EB">
      <w:pPr>
        <w:spacing w:line="240" w:lineRule="auto"/>
        <w:rPr>
          <w:rFonts w:eastAsia="Times New Roman" w:cs="Arial"/>
          <w:color w:val="000000"/>
          <w:u w:val="single"/>
          <w:lang w:eastAsia="bg-BG"/>
        </w:rPr>
      </w:pPr>
    </w:p>
    <w:p w14:paraId="44E8EC5F" w14:textId="5342549E"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Ефекти върху зрението</w:t>
      </w:r>
    </w:p>
    <w:p w14:paraId="36C0DB0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Има спонтанни съобщения за случаи на зрителни увреждания във връзка с прием на силденафил и други ФДЕ5 инхибитори (вж. точка 4.8). За случаи на неартериитна предна исхемична оптична невропатия, рядко състояние, има спонтанни съобщения и съобщения в обсервационно проучване във връзка с прием на силденафил и други ФДЕ5 инхибитори (вж. точка 4.8). Пациентите трябва да бъдат посъветвани, че в случай на каквото и да е </w:t>
      </w:r>
      <w:r w:rsidRPr="000251EB">
        <w:rPr>
          <w:rFonts w:eastAsia="Times New Roman" w:cs="Arial"/>
          <w:color w:val="000000"/>
          <w:lang w:eastAsia="bg-BG"/>
        </w:rPr>
        <w:lastRenderedPageBreak/>
        <w:t xml:space="preserve">внезапно зрително увреждане, трябва да спрат приема на Еротон </w:t>
      </w:r>
      <w:r w:rsidRPr="000251EB">
        <w:rPr>
          <w:rFonts w:eastAsia="Times New Roman" w:cs="Arial"/>
          <w:i/>
          <w:iCs/>
          <w:color w:val="000000"/>
          <w:lang w:eastAsia="bg-BG"/>
        </w:rPr>
        <w:t>и</w:t>
      </w:r>
      <w:r w:rsidRPr="000251EB">
        <w:rPr>
          <w:rFonts w:eastAsia="Times New Roman" w:cs="Arial"/>
          <w:color w:val="000000"/>
          <w:lang w:eastAsia="bg-BG"/>
        </w:rPr>
        <w:t xml:space="preserve"> незабавно да се консултират с лекар (вж. точка 4.3).</w:t>
      </w:r>
    </w:p>
    <w:p w14:paraId="1814C1E3" w14:textId="77777777" w:rsidR="000251EB" w:rsidRPr="000251EB" w:rsidRDefault="000251EB" w:rsidP="000251EB">
      <w:pPr>
        <w:spacing w:line="240" w:lineRule="auto"/>
        <w:rPr>
          <w:rFonts w:eastAsia="Times New Roman" w:cs="Arial"/>
          <w:color w:val="000000"/>
          <w:u w:val="single"/>
          <w:lang w:eastAsia="bg-BG"/>
        </w:rPr>
      </w:pPr>
    </w:p>
    <w:p w14:paraId="1FA0095E" w14:textId="6ED2625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Едновременната употреба с ритонавир</w:t>
      </w:r>
    </w:p>
    <w:p w14:paraId="599422D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Едновременната употреба на силденафил с ритонавир не се препоръчва (вж. точка 4.5).</w:t>
      </w:r>
    </w:p>
    <w:p w14:paraId="25CB1FD3" w14:textId="77777777" w:rsidR="000251EB" w:rsidRPr="000251EB" w:rsidRDefault="000251EB" w:rsidP="000251EB">
      <w:pPr>
        <w:spacing w:line="240" w:lineRule="auto"/>
        <w:rPr>
          <w:rFonts w:eastAsia="Times New Roman" w:cs="Arial"/>
          <w:color w:val="000000"/>
          <w:u w:val="single"/>
          <w:lang w:eastAsia="bg-BG"/>
        </w:rPr>
      </w:pPr>
    </w:p>
    <w:p w14:paraId="2309FEE2" w14:textId="6F5EE02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Едновременната употреба с алфа-блокери</w:t>
      </w:r>
    </w:p>
    <w:p w14:paraId="5183D6F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Препоръчва се внимание, когато силденафил се прилага на пациенти, които приемат алфа-блокери, тъй като едновременното приложение може да доведе до симптоматична хипотония при малкото чувствителни индивиди (вж. точка 4.5). Това е най-вероятно да се прояви през първите 4 часа след приема на силденафил. Пациентите трябва да бъдат хемодинамично стабилни по отношение на терапията с алфа-блокери преди започване на лечение със силденафил, за да се намали възможността за развитие на ортостатична хипотония. Трябва да се има предвид започване на лечението със силденафил трябва да започне с доза от 25 </w:t>
      </w:r>
      <w:r w:rsidRPr="000251EB">
        <w:rPr>
          <w:rFonts w:eastAsia="Times New Roman" w:cs="Arial"/>
          <w:color w:val="000000"/>
          <w:lang w:val="en-US"/>
        </w:rPr>
        <w:t xml:space="preserve">mg </w:t>
      </w:r>
      <w:r w:rsidRPr="000251EB">
        <w:rPr>
          <w:rFonts w:eastAsia="Times New Roman" w:cs="Arial"/>
          <w:color w:val="000000"/>
          <w:lang w:eastAsia="bg-BG"/>
        </w:rPr>
        <w:t>(вж. точка 4.2). В допълнение, лекарите трябва да посъветват пациентите какво да правят в случай на поява на симптоми на ортостатична хипотония.</w:t>
      </w:r>
    </w:p>
    <w:p w14:paraId="56BDAAB9" w14:textId="77777777" w:rsidR="000251EB" w:rsidRPr="000251EB" w:rsidRDefault="000251EB" w:rsidP="000251EB">
      <w:pPr>
        <w:spacing w:line="240" w:lineRule="auto"/>
        <w:rPr>
          <w:rFonts w:eastAsia="Times New Roman" w:cs="Arial"/>
          <w:color w:val="000000"/>
          <w:u w:val="single"/>
          <w:lang w:eastAsia="bg-BG"/>
        </w:rPr>
      </w:pPr>
    </w:p>
    <w:p w14:paraId="49DB1B79" w14:textId="7C90B6B1"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Ефект върху кървенето</w:t>
      </w:r>
    </w:p>
    <w:p w14:paraId="130C7648" w14:textId="77777777" w:rsidR="000251EB" w:rsidRPr="000251EB" w:rsidRDefault="000251EB" w:rsidP="000251EB">
      <w:pPr>
        <w:rPr>
          <w:rFonts w:eastAsia="Times New Roman" w:cs="Arial"/>
          <w:sz w:val="24"/>
          <w:szCs w:val="24"/>
          <w:lang w:eastAsia="bg-BG"/>
        </w:rPr>
      </w:pPr>
      <w:r w:rsidRPr="000251EB">
        <w:rPr>
          <w:rFonts w:eastAsia="Times New Roman" w:cs="Arial"/>
          <w:color w:val="000000"/>
          <w:lang w:eastAsia="bg-BG"/>
        </w:rPr>
        <w:t xml:space="preserve">Проучвания върху човешки тромбоцити показват, че силденафил потенцира </w:t>
      </w:r>
      <w:r w:rsidRPr="000251EB">
        <w:rPr>
          <w:rFonts w:eastAsia="Times New Roman" w:cs="Arial"/>
          <w:i/>
          <w:iCs/>
          <w:color w:val="000000"/>
          <w:lang w:val="en-US"/>
        </w:rPr>
        <w:t xml:space="preserve">in vitro </w:t>
      </w:r>
      <w:r w:rsidRPr="000251EB">
        <w:rPr>
          <w:rFonts w:eastAsia="Times New Roman" w:cs="Arial"/>
          <w:color w:val="000000"/>
          <w:lang w:eastAsia="bg-BG"/>
        </w:rPr>
        <w:t>антиагрегантните свойства на натриевия нитропрусид. Липсва информация за безопасната употреба на силденафил при пациенти с нарушения на кръвосъсирването или активна пептична</w:t>
      </w:r>
      <w:r w:rsidRPr="000251EB">
        <w:rPr>
          <w:rFonts w:eastAsia="Times New Roman" w:cs="Arial"/>
          <w:color w:val="000000"/>
          <w:lang w:val="en-US" w:eastAsia="bg-BG"/>
        </w:rPr>
        <w:t xml:space="preserve"> </w:t>
      </w:r>
      <w:r w:rsidRPr="000251EB">
        <w:rPr>
          <w:rFonts w:eastAsia="Times New Roman" w:cs="Arial"/>
          <w:color w:val="000000"/>
          <w:lang w:eastAsia="bg-BG"/>
        </w:rPr>
        <w:t>язва. Следователно, силденафил трябва да бъде прилаган при такива пациенти само след внимателна оценка полза-риск.</w:t>
      </w:r>
    </w:p>
    <w:p w14:paraId="2E6549C8" w14:textId="77777777" w:rsidR="000251EB" w:rsidRPr="000251EB" w:rsidRDefault="000251EB" w:rsidP="000251EB">
      <w:pPr>
        <w:spacing w:line="240" w:lineRule="auto"/>
        <w:rPr>
          <w:rFonts w:eastAsia="Times New Roman" w:cs="Arial"/>
          <w:color w:val="000000"/>
          <w:u w:val="single"/>
          <w:lang w:eastAsia="bg-BG"/>
        </w:rPr>
      </w:pPr>
    </w:p>
    <w:p w14:paraId="602274E2" w14:textId="4FD4B65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Помощни вещества</w:t>
      </w:r>
    </w:p>
    <w:p w14:paraId="24EADBF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48F7BDA7" w14:textId="77777777" w:rsidR="000251EB" w:rsidRPr="000251EB" w:rsidRDefault="000251EB" w:rsidP="000251EB">
      <w:pPr>
        <w:spacing w:line="240" w:lineRule="auto"/>
        <w:rPr>
          <w:rFonts w:eastAsia="Times New Roman" w:cs="Arial"/>
          <w:color w:val="000000"/>
          <w:lang w:eastAsia="bg-BG"/>
        </w:rPr>
      </w:pPr>
    </w:p>
    <w:p w14:paraId="61047E39" w14:textId="5C7D2B6C"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Това лекарство съдържа по-малко от 1 </w:t>
      </w:r>
      <w:r w:rsidRPr="000251EB">
        <w:rPr>
          <w:rFonts w:eastAsia="Times New Roman" w:cs="Arial"/>
          <w:color w:val="000000"/>
          <w:lang w:val="en-US"/>
        </w:rPr>
        <w:t xml:space="preserve">mmol </w:t>
      </w:r>
      <w:r w:rsidRPr="000251EB">
        <w:rPr>
          <w:rFonts w:eastAsia="Times New Roman" w:cs="Arial"/>
          <w:color w:val="000000"/>
          <w:lang w:eastAsia="bg-BG"/>
        </w:rPr>
        <w:t xml:space="preserve">натрий (23 </w:t>
      </w:r>
      <w:r w:rsidRPr="000251EB">
        <w:rPr>
          <w:rFonts w:eastAsia="Times New Roman" w:cs="Arial"/>
          <w:color w:val="000000"/>
          <w:lang w:val="en-US"/>
        </w:rPr>
        <w:t xml:space="preserve">mg) </w:t>
      </w:r>
      <w:r w:rsidRPr="000251EB">
        <w:rPr>
          <w:rFonts w:eastAsia="Times New Roman" w:cs="Arial"/>
          <w:color w:val="000000"/>
          <w:lang w:eastAsia="bg-BG"/>
        </w:rPr>
        <w:t>на филмирана таблетка, т.е. може да се каже, че практически не съдържа натрий.</w:t>
      </w:r>
    </w:p>
    <w:p w14:paraId="7EC16644" w14:textId="77777777" w:rsidR="000251EB" w:rsidRPr="000251EB" w:rsidRDefault="000251EB" w:rsidP="000251EB">
      <w:pPr>
        <w:spacing w:line="240" w:lineRule="auto"/>
        <w:rPr>
          <w:rFonts w:eastAsia="Times New Roman" w:cs="Arial"/>
          <w:color w:val="000000"/>
          <w:u w:val="single"/>
          <w:lang w:eastAsia="bg-BG"/>
        </w:rPr>
      </w:pPr>
    </w:p>
    <w:p w14:paraId="046B2A1A" w14:textId="7ECC4D60"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Жени</w:t>
      </w:r>
    </w:p>
    <w:p w14:paraId="1E3ACF4F"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Еротон не е показан за употреба при жени.</w:t>
      </w:r>
    </w:p>
    <w:p w14:paraId="15E984F7" w14:textId="77777777" w:rsidR="000251EB" w:rsidRPr="000251EB" w:rsidRDefault="000251EB" w:rsidP="000251EB"/>
    <w:p w14:paraId="1DA47448" w14:textId="3AE92E94"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EACC879" w14:textId="6593823A" w:rsidR="000251EB" w:rsidRDefault="000251EB" w:rsidP="000251EB"/>
    <w:p w14:paraId="7109CF0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Ефекти на други лекарствени продукти върху силденафил</w:t>
      </w:r>
    </w:p>
    <w:p w14:paraId="27BA2DF7" w14:textId="77777777" w:rsidR="000251EB" w:rsidRPr="000251EB" w:rsidRDefault="000251EB" w:rsidP="000251EB">
      <w:pPr>
        <w:spacing w:line="240" w:lineRule="auto"/>
        <w:rPr>
          <w:rFonts w:eastAsia="Times New Roman" w:cs="Arial"/>
          <w:i/>
          <w:iCs/>
          <w:color w:val="000000"/>
          <w:lang w:eastAsia="bg-BG"/>
        </w:rPr>
      </w:pPr>
    </w:p>
    <w:p w14:paraId="2058DA53" w14:textId="19247C1D"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 xml:space="preserve">Проучвания </w:t>
      </w:r>
      <w:r w:rsidRPr="000251EB">
        <w:rPr>
          <w:rFonts w:eastAsia="Times New Roman" w:cs="Arial"/>
          <w:i/>
          <w:iCs/>
          <w:color w:val="000000"/>
          <w:lang w:val="en-US"/>
        </w:rPr>
        <w:t>in vitro:</w:t>
      </w:r>
    </w:p>
    <w:p w14:paraId="0BBC696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Метаболизмът на силденафил по принцип се осъществява с помощта на изоензими 3А4 (основен път) и 2С9 (второстепенен път) на цитохром Р450 </w:t>
      </w:r>
      <w:r w:rsidRPr="000251EB">
        <w:rPr>
          <w:rFonts w:eastAsia="Times New Roman" w:cs="Arial"/>
          <w:color w:val="000000"/>
          <w:lang w:val="en-US"/>
        </w:rPr>
        <w:t xml:space="preserve">(CYP). </w:t>
      </w:r>
      <w:r w:rsidRPr="000251EB">
        <w:rPr>
          <w:rFonts w:eastAsia="Times New Roman" w:cs="Arial"/>
          <w:color w:val="000000"/>
          <w:lang w:eastAsia="bg-BG"/>
        </w:rPr>
        <w:t>Поради това инхибиторите на тези изоензими могат да намалят, а индукторите им - да повишат клирънса на силденафил.</w:t>
      </w:r>
    </w:p>
    <w:p w14:paraId="1A7FD032" w14:textId="77777777" w:rsidR="000251EB" w:rsidRPr="000251EB" w:rsidRDefault="000251EB" w:rsidP="000251EB">
      <w:pPr>
        <w:spacing w:line="240" w:lineRule="auto"/>
        <w:rPr>
          <w:rFonts w:eastAsia="Times New Roman" w:cs="Arial"/>
          <w:i/>
          <w:iCs/>
          <w:color w:val="000000"/>
          <w:lang w:eastAsia="bg-BG"/>
        </w:rPr>
      </w:pPr>
    </w:p>
    <w:p w14:paraId="5624B104" w14:textId="2C8236DF"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 xml:space="preserve">Проучвания </w:t>
      </w:r>
      <w:r w:rsidRPr="000251EB">
        <w:rPr>
          <w:rFonts w:eastAsia="Times New Roman" w:cs="Arial"/>
          <w:i/>
          <w:iCs/>
          <w:color w:val="000000"/>
          <w:lang w:val="en-US"/>
        </w:rPr>
        <w:t>in vivo:</w:t>
      </w:r>
    </w:p>
    <w:p w14:paraId="58A7D86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Популационният фармакокинетичен анализ на данните от клинични проучвания показва намаление на клирънса на силденафил при едновременно приложение с инхибитори на </w:t>
      </w:r>
      <w:r w:rsidRPr="000251EB">
        <w:rPr>
          <w:rFonts w:eastAsia="Times New Roman" w:cs="Arial"/>
          <w:color w:val="000000"/>
          <w:lang w:val="en-US"/>
        </w:rPr>
        <w:t xml:space="preserve">CYP3A4 </w:t>
      </w:r>
      <w:r w:rsidRPr="000251EB">
        <w:rPr>
          <w:rFonts w:eastAsia="Times New Roman" w:cs="Arial"/>
          <w:color w:val="000000"/>
          <w:lang w:eastAsia="bg-BG"/>
        </w:rPr>
        <w:t xml:space="preserve">(като кетоконазол, еритромицин, циметидин). Въпреки че не е било наблюдавано </w:t>
      </w:r>
      <w:r w:rsidRPr="000251EB">
        <w:rPr>
          <w:rFonts w:eastAsia="Times New Roman" w:cs="Arial"/>
          <w:color w:val="000000"/>
          <w:lang w:eastAsia="bg-BG"/>
        </w:rPr>
        <w:lastRenderedPageBreak/>
        <w:t xml:space="preserve">повишаване на честотата на нежеланите реакции при тези пациенти, когато силденафил се прилага едновременно с инхибитори на </w:t>
      </w:r>
      <w:r w:rsidRPr="000251EB">
        <w:rPr>
          <w:rFonts w:eastAsia="Times New Roman" w:cs="Arial"/>
          <w:color w:val="000000"/>
          <w:lang w:val="en-US"/>
        </w:rPr>
        <w:t xml:space="preserve">CYP3A4, </w:t>
      </w:r>
      <w:r w:rsidRPr="000251EB">
        <w:rPr>
          <w:rFonts w:eastAsia="Times New Roman" w:cs="Arial"/>
          <w:color w:val="000000"/>
          <w:lang w:eastAsia="bg-BG"/>
        </w:rPr>
        <w:t xml:space="preserve">трябва да се има предвид начална доза от 25 </w:t>
      </w:r>
      <w:r w:rsidRPr="000251EB">
        <w:rPr>
          <w:rFonts w:eastAsia="Times New Roman" w:cs="Arial"/>
          <w:color w:val="000000"/>
          <w:lang w:val="en-US"/>
        </w:rPr>
        <w:t>mg.</w:t>
      </w:r>
    </w:p>
    <w:p w14:paraId="7F9825A0" w14:textId="77777777" w:rsidR="000251EB" w:rsidRPr="000251EB" w:rsidRDefault="000251EB" w:rsidP="000251EB">
      <w:pPr>
        <w:spacing w:line="240" w:lineRule="auto"/>
        <w:rPr>
          <w:rFonts w:eastAsia="Times New Roman" w:cs="Arial"/>
          <w:color w:val="000000"/>
          <w:lang w:eastAsia="bg-BG"/>
        </w:rPr>
      </w:pPr>
    </w:p>
    <w:p w14:paraId="3A266547" w14:textId="5232BD61"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Едновременно приемане на </w:t>
      </w:r>
      <w:r w:rsidRPr="000251EB">
        <w:rPr>
          <w:rFonts w:eastAsia="Times New Roman" w:cs="Arial"/>
          <w:color w:val="000000"/>
          <w:lang w:val="en-US"/>
        </w:rPr>
        <w:t>HIV</w:t>
      </w:r>
      <w:r w:rsidRPr="000251EB">
        <w:rPr>
          <w:rFonts w:eastAsia="Times New Roman" w:cs="Arial"/>
          <w:color w:val="000000"/>
          <w:lang w:eastAsia="bg-BG"/>
        </w:rPr>
        <w:t xml:space="preserve">-протеазния инхибитор ритонавир, който е много мощен инхибитор на Р450 (500 </w:t>
      </w:r>
      <w:r w:rsidRPr="000251EB">
        <w:rPr>
          <w:rFonts w:eastAsia="Times New Roman" w:cs="Arial"/>
          <w:color w:val="000000"/>
          <w:lang w:val="en-US"/>
        </w:rPr>
        <w:t xml:space="preserve">mg </w:t>
      </w:r>
      <w:r w:rsidRPr="000251EB">
        <w:rPr>
          <w:rFonts w:eastAsia="Times New Roman" w:cs="Arial"/>
          <w:color w:val="000000"/>
          <w:lang w:eastAsia="bg-BG"/>
        </w:rPr>
        <w:t xml:space="preserve">двукратно дневно) и 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еднократна доза) е довел до нарастване с 300% (4-кратно) на Стах на силденафил, и с 1 000% (11-кратно) на плазмената </w:t>
      </w:r>
      <w:r w:rsidRPr="000251EB">
        <w:rPr>
          <w:rFonts w:eastAsia="Times New Roman" w:cs="Arial"/>
          <w:color w:val="000000"/>
          <w:lang w:val="en-US"/>
        </w:rPr>
        <w:t xml:space="preserve">AUC </w:t>
      </w:r>
      <w:r w:rsidRPr="000251EB">
        <w:rPr>
          <w:rFonts w:eastAsia="Times New Roman" w:cs="Arial"/>
          <w:color w:val="000000"/>
          <w:lang w:eastAsia="bg-BG"/>
        </w:rPr>
        <w:t xml:space="preserve">на силденафил. На 24-ия час плазмените нива на силденафил все още са били около 200 </w:t>
      </w:r>
      <w:r w:rsidRPr="000251EB">
        <w:rPr>
          <w:rFonts w:eastAsia="Times New Roman" w:cs="Arial"/>
          <w:color w:val="000000"/>
          <w:lang w:val="en-US"/>
        </w:rPr>
        <w:t xml:space="preserve">ng/ml </w:t>
      </w:r>
      <w:r w:rsidRPr="000251EB">
        <w:rPr>
          <w:rFonts w:eastAsia="Times New Roman" w:cs="Arial"/>
          <w:color w:val="000000"/>
          <w:lang w:eastAsia="bg-BG"/>
        </w:rPr>
        <w:t xml:space="preserve">в сравнение с нивата от 5 </w:t>
      </w:r>
      <w:r w:rsidRPr="000251EB">
        <w:rPr>
          <w:rFonts w:eastAsia="Times New Roman" w:cs="Arial"/>
          <w:color w:val="000000"/>
          <w:lang w:val="en-US"/>
        </w:rPr>
        <w:t xml:space="preserve">ng/ml </w:t>
      </w:r>
      <w:r w:rsidRPr="000251EB">
        <w:rPr>
          <w:rFonts w:eastAsia="Times New Roman" w:cs="Arial"/>
          <w:color w:val="000000"/>
          <w:lang w:eastAsia="bg-BG"/>
        </w:rPr>
        <w:t xml:space="preserve">при самостоятелен прием на силденафил. Това съответства на изразените ефекти на ритонавир върху широк кръг субстрати на Р450. Силденафил не е оказал влияние върху фармакокинетиката на ритонавир. Въз основа на тези фармакокинетични резултати едновременното приложение на силденафил и ритонавир не се препоръчва (вж. точка 4.4) и при никакви обстоятелства максималната доза на силденафил не трябва да надхвърля 25 </w:t>
      </w:r>
      <w:r w:rsidRPr="000251EB">
        <w:rPr>
          <w:rFonts w:eastAsia="Times New Roman" w:cs="Arial"/>
          <w:color w:val="000000"/>
          <w:lang w:val="en-US"/>
        </w:rPr>
        <w:t xml:space="preserve">mg </w:t>
      </w:r>
      <w:r w:rsidRPr="000251EB">
        <w:rPr>
          <w:rFonts w:eastAsia="Times New Roman" w:cs="Arial"/>
          <w:color w:val="000000"/>
          <w:lang w:eastAsia="bg-BG"/>
        </w:rPr>
        <w:t>в рамките на 48 часа.</w:t>
      </w:r>
    </w:p>
    <w:p w14:paraId="0FD7D95F" w14:textId="77777777" w:rsidR="000251EB" w:rsidRPr="000251EB" w:rsidRDefault="000251EB" w:rsidP="000251EB">
      <w:pPr>
        <w:spacing w:line="240" w:lineRule="auto"/>
        <w:rPr>
          <w:rFonts w:eastAsia="Times New Roman" w:cs="Arial"/>
          <w:color w:val="000000"/>
          <w:lang w:eastAsia="bg-BG"/>
        </w:rPr>
      </w:pPr>
    </w:p>
    <w:p w14:paraId="6E08178D" w14:textId="0AE860D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Едновременният прием на </w:t>
      </w:r>
      <w:r w:rsidRPr="000251EB">
        <w:rPr>
          <w:rFonts w:eastAsia="Times New Roman" w:cs="Arial"/>
          <w:color w:val="000000"/>
          <w:lang w:val="en-US"/>
        </w:rPr>
        <w:t>HIV</w:t>
      </w:r>
      <w:r w:rsidRPr="000251EB">
        <w:rPr>
          <w:rFonts w:eastAsia="Times New Roman" w:cs="Arial"/>
          <w:color w:val="000000"/>
          <w:lang w:eastAsia="bg-BG"/>
        </w:rPr>
        <w:t xml:space="preserve">-протеазния инхибитор саквинавир, който е инхибитор на </w:t>
      </w:r>
      <w:r w:rsidRPr="000251EB">
        <w:rPr>
          <w:rFonts w:eastAsia="Times New Roman" w:cs="Arial"/>
          <w:color w:val="000000"/>
          <w:lang w:val="en-US"/>
        </w:rPr>
        <w:t xml:space="preserve">CYP3A4, </w:t>
      </w:r>
      <w:r w:rsidRPr="000251EB">
        <w:rPr>
          <w:rFonts w:eastAsia="Times New Roman" w:cs="Arial"/>
          <w:color w:val="000000"/>
          <w:lang w:eastAsia="bg-BG"/>
        </w:rPr>
        <w:t xml:space="preserve">след достигане на равновесни концентрации (1 200 </w:t>
      </w:r>
      <w:r w:rsidRPr="000251EB">
        <w:rPr>
          <w:rFonts w:eastAsia="Times New Roman" w:cs="Arial"/>
          <w:color w:val="000000"/>
          <w:lang w:val="en-US"/>
        </w:rPr>
        <w:t xml:space="preserve">mg </w:t>
      </w:r>
      <w:r w:rsidRPr="000251EB">
        <w:rPr>
          <w:rFonts w:eastAsia="Times New Roman" w:cs="Arial"/>
          <w:color w:val="000000"/>
          <w:lang w:eastAsia="bg-BG"/>
        </w:rPr>
        <w:t xml:space="preserve">три пъти дневно) със 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еднократна доза) е довел до нарастване със 140% на Стах на силденафил и с 210% на </w:t>
      </w:r>
      <w:r w:rsidRPr="000251EB">
        <w:rPr>
          <w:rFonts w:eastAsia="Times New Roman" w:cs="Arial"/>
          <w:color w:val="000000"/>
          <w:lang w:val="en-US"/>
        </w:rPr>
        <w:t xml:space="preserve">AUC </w:t>
      </w:r>
      <w:r w:rsidRPr="000251EB">
        <w:rPr>
          <w:rFonts w:eastAsia="Times New Roman" w:cs="Arial"/>
          <w:color w:val="000000"/>
          <w:lang w:eastAsia="bg-BG"/>
        </w:rPr>
        <w:t xml:space="preserve">на силденафил. Силденафил не е оказал влияние върху фармакокинетиката на саквинавир (вж. точка 4.2). Предполага се, че по-мощни инхибитори на </w:t>
      </w:r>
      <w:r w:rsidRPr="000251EB">
        <w:rPr>
          <w:rFonts w:eastAsia="Times New Roman" w:cs="Arial"/>
          <w:color w:val="000000"/>
          <w:lang w:val="en-US"/>
        </w:rPr>
        <w:t xml:space="preserve">CYP3A4 </w:t>
      </w:r>
      <w:r w:rsidRPr="000251EB">
        <w:rPr>
          <w:rFonts w:eastAsia="Times New Roman" w:cs="Arial"/>
          <w:color w:val="000000"/>
          <w:lang w:eastAsia="bg-BG"/>
        </w:rPr>
        <w:t>като кетоконазол и итраконазол биха имали още по-силен ефект.</w:t>
      </w:r>
    </w:p>
    <w:p w14:paraId="275781BF" w14:textId="77777777" w:rsidR="000251EB" w:rsidRPr="000251EB" w:rsidRDefault="000251EB" w:rsidP="000251EB">
      <w:pPr>
        <w:rPr>
          <w:rFonts w:eastAsia="Times New Roman" w:cs="Arial"/>
          <w:color w:val="000000"/>
          <w:lang w:eastAsia="bg-BG"/>
        </w:rPr>
      </w:pPr>
    </w:p>
    <w:p w14:paraId="5B25423C" w14:textId="77777777" w:rsidR="000251EB" w:rsidRPr="000251EB" w:rsidRDefault="000251EB" w:rsidP="000251EB">
      <w:pPr>
        <w:rPr>
          <w:rFonts w:eastAsia="Times New Roman" w:cs="Arial"/>
          <w:color w:val="000000"/>
          <w:lang w:eastAsia="bg-BG"/>
        </w:rPr>
      </w:pPr>
      <w:r w:rsidRPr="000251EB">
        <w:rPr>
          <w:rFonts w:eastAsia="Times New Roman" w:cs="Arial"/>
          <w:color w:val="000000"/>
          <w:lang w:eastAsia="bg-BG"/>
        </w:rPr>
        <w:t xml:space="preserve">При едновременно приложение на силденафил в еднократна доза от 100 </w:t>
      </w:r>
      <w:r w:rsidRPr="000251EB">
        <w:rPr>
          <w:rFonts w:eastAsia="Times New Roman" w:cs="Arial"/>
          <w:color w:val="000000"/>
          <w:lang w:val="en-US"/>
        </w:rPr>
        <w:t xml:space="preserve">mg </w:t>
      </w:r>
      <w:r w:rsidRPr="000251EB">
        <w:rPr>
          <w:rFonts w:eastAsia="Times New Roman" w:cs="Arial"/>
          <w:color w:val="000000"/>
          <w:lang w:eastAsia="bg-BG"/>
        </w:rPr>
        <w:t xml:space="preserve">и умерения </w:t>
      </w:r>
      <w:r w:rsidRPr="000251EB">
        <w:rPr>
          <w:rFonts w:eastAsia="Times New Roman" w:cs="Arial"/>
          <w:color w:val="000000"/>
          <w:lang w:val="en-US"/>
        </w:rPr>
        <w:t xml:space="preserve">CYP3A4 </w:t>
      </w:r>
      <w:r w:rsidRPr="000251EB">
        <w:rPr>
          <w:rFonts w:eastAsia="Times New Roman" w:cs="Arial"/>
          <w:color w:val="000000"/>
          <w:lang w:eastAsia="bg-BG"/>
        </w:rPr>
        <w:t xml:space="preserve">инхибитор еритромицин, след достигане на равновесни концентрации (500 </w:t>
      </w:r>
      <w:r w:rsidRPr="000251EB">
        <w:rPr>
          <w:rFonts w:eastAsia="Times New Roman" w:cs="Arial"/>
          <w:color w:val="000000"/>
          <w:lang w:val="en-US"/>
        </w:rPr>
        <w:t xml:space="preserve">mg </w:t>
      </w:r>
      <w:r w:rsidRPr="000251EB">
        <w:rPr>
          <w:rFonts w:eastAsia="Times New Roman" w:cs="Arial"/>
          <w:color w:val="000000"/>
          <w:lang w:eastAsia="bg-BG"/>
        </w:rPr>
        <w:t xml:space="preserve">двукратно дневно за 5 дни) е наблюдавано увеличение със 182% на системната експозиция </w:t>
      </w:r>
      <w:r w:rsidRPr="000251EB">
        <w:rPr>
          <w:rFonts w:eastAsia="Times New Roman" w:cs="Arial"/>
          <w:color w:val="000000"/>
          <w:lang w:val="en-US"/>
        </w:rPr>
        <w:t xml:space="preserve">(AUC) </w:t>
      </w:r>
      <w:r w:rsidRPr="000251EB">
        <w:rPr>
          <w:rFonts w:eastAsia="Times New Roman" w:cs="Arial"/>
          <w:color w:val="000000"/>
          <w:lang w:eastAsia="bg-BG"/>
        </w:rPr>
        <w:t xml:space="preserve">на силденафил. </w:t>
      </w:r>
    </w:p>
    <w:p w14:paraId="5633FD96" w14:textId="77777777" w:rsidR="000251EB" w:rsidRPr="000251EB" w:rsidRDefault="000251EB" w:rsidP="000251EB">
      <w:pPr>
        <w:rPr>
          <w:rFonts w:eastAsia="Times New Roman" w:cs="Arial"/>
          <w:sz w:val="24"/>
          <w:szCs w:val="24"/>
          <w:lang w:eastAsia="bg-BG"/>
        </w:rPr>
      </w:pPr>
      <w:r w:rsidRPr="000251EB">
        <w:rPr>
          <w:rFonts w:eastAsia="Times New Roman" w:cs="Arial"/>
          <w:color w:val="000000"/>
          <w:lang w:eastAsia="bg-BG"/>
        </w:rPr>
        <w:t xml:space="preserve">При здрави мъже доброволци не е бил наблюдаван ефект на азитромицин (500 </w:t>
      </w:r>
      <w:r w:rsidRPr="000251EB">
        <w:rPr>
          <w:rFonts w:eastAsia="Times New Roman" w:cs="Arial"/>
          <w:color w:val="000000"/>
          <w:lang w:val="en-US"/>
        </w:rPr>
        <w:t xml:space="preserve">mg </w:t>
      </w:r>
      <w:r w:rsidRPr="000251EB">
        <w:rPr>
          <w:rFonts w:eastAsia="Times New Roman" w:cs="Arial"/>
          <w:color w:val="000000"/>
          <w:lang w:eastAsia="bg-BG"/>
        </w:rPr>
        <w:t xml:space="preserve">дневно за 3 дни) върху </w:t>
      </w:r>
      <w:r w:rsidRPr="000251EB">
        <w:rPr>
          <w:rFonts w:eastAsia="Times New Roman" w:cs="Arial"/>
          <w:color w:val="000000"/>
          <w:lang w:val="en-US"/>
        </w:rPr>
        <w:t xml:space="preserve">AUC, </w:t>
      </w:r>
      <w:r w:rsidRPr="000251EB">
        <w:rPr>
          <w:rFonts w:eastAsia="Times New Roman" w:cs="Arial"/>
          <w:color w:val="000000"/>
          <w:lang w:eastAsia="bg-BG"/>
        </w:rPr>
        <w:t xml:space="preserve">Стах, </w:t>
      </w:r>
      <w:proofErr w:type="spellStart"/>
      <w:r w:rsidRPr="000251EB">
        <w:rPr>
          <w:rFonts w:eastAsia="Times New Roman" w:cs="Arial"/>
          <w:color w:val="000000"/>
          <w:lang w:val="en-US"/>
        </w:rPr>
        <w:t>tmax</w:t>
      </w:r>
      <w:proofErr w:type="spellEnd"/>
      <w:r w:rsidRPr="000251EB">
        <w:rPr>
          <w:rFonts w:eastAsia="Times New Roman" w:cs="Arial"/>
          <w:color w:val="000000"/>
          <w:lang w:val="en-US"/>
        </w:rPr>
        <w:t xml:space="preserve">, </w:t>
      </w:r>
      <w:r w:rsidRPr="000251EB">
        <w:rPr>
          <w:rFonts w:eastAsia="Times New Roman" w:cs="Arial"/>
          <w:color w:val="000000"/>
          <w:lang w:eastAsia="bg-BG"/>
        </w:rPr>
        <w:t>елиминационната константа или полуживота на силденафит или неговите</w:t>
      </w:r>
      <w:r w:rsidRPr="000251EB">
        <w:rPr>
          <w:rFonts w:eastAsia="Times New Roman" w:cs="Arial"/>
          <w:color w:val="000000"/>
          <w:lang w:val="en-US" w:eastAsia="bg-BG"/>
        </w:rPr>
        <w:t xml:space="preserve"> </w:t>
      </w:r>
      <w:r w:rsidRPr="000251EB">
        <w:rPr>
          <w:rFonts w:eastAsia="Times New Roman" w:cs="Arial"/>
          <w:color w:val="000000"/>
          <w:lang w:eastAsia="bg-BG"/>
        </w:rPr>
        <w:t xml:space="preserve">основни метаболити в циркулацията. Циметидин (800 </w:t>
      </w:r>
      <w:r w:rsidRPr="000251EB">
        <w:rPr>
          <w:rFonts w:eastAsia="Times New Roman" w:cs="Arial"/>
          <w:color w:val="000000"/>
          <w:lang w:val="en-US"/>
        </w:rPr>
        <w:t xml:space="preserve">mg), </w:t>
      </w:r>
      <w:r w:rsidRPr="000251EB">
        <w:rPr>
          <w:rFonts w:eastAsia="Times New Roman" w:cs="Arial"/>
          <w:color w:val="000000"/>
          <w:lang w:eastAsia="bg-BG"/>
        </w:rPr>
        <w:t xml:space="preserve">който е цитохром Р450 инхибитор и неспецифичен </w:t>
      </w:r>
      <w:r w:rsidRPr="000251EB">
        <w:rPr>
          <w:rFonts w:eastAsia="Times New Roman" w:cs="Arial"/>
          <w:color w:val="000000"/>
          <w:lang w:val="en-US"/>
        </w:rPr>
        <w:t xml:space="preserve">CYP3A4 </w:t>
      </w:r>
      <w:r w:rsidRPr="000251EB">
        <w:rPr>
          <w:rFonts w:eastAsia="Times New Roman" w:cs="Arial"/>
          <w:color w:val="000000"/>
          <w:lang w:eastAsia="bg-BG"/>
        </w:rPr>
        <w:t xml:space="preserve">инхибитор, е предизвикал нарастване с 56% на плазмената концентрация на силденафил при едновременно приложение със силденафил (50 </w:t>
      </w:r>
      <w:r w:rsidRPr="000251EB">
        <w:rPr>
          <w:rFonts w:eastAsia="Times New Roman" w:cs="Arial"/>
          <w:color w:val="000000"/>
          <w:lang w:val="en-US"/>
        </w:rPr>
        <w:t xml:space="preserve">mg) </w:t>
      </w:r>
      <w:r w:rsidRPr="000251EB">
        <w:rPr>
          <w:rFonts w:eastAsia="Times New Roman" w:cs="Arial"/>
          <w:color w:val="000000"/>
          <w:lang w:eastAsia="bg-BG"/>
        </w:rPr>
        <w:t>при здрави доброволци.</w:t>
      </w:r>
    </w:p>
    <w:p w14:paraId="42F48178" w14:textId="77777777" w:rsidR="000251EB" w:rsidRPr="000251EB" w:rsidRDefault="000251EB" w:rsidP="000251EB">
      <w:pPr>
        <w:spacing w:line="240" w:lineRule="auto"/>
        <w:rPr>
          <w:rFonts w:eastAsia="Times New Roman" w:cs="Arial"/>
          <w:color w:val="000000"/>
          <w:lang w:eastAsia="bg-BG"/>
        </w:rPr>
      </w:pPr>
    </w:p>
    <w:p w14:paraId="239440A1" w14:textId="28B50102"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Сокът от грейпфрут е слаб инхибитор на СУРЗА4-медиирания метаболизъм в чревната стена и може да доведе до умерено нарастване на плазмените нива на силденафил.</w:t>
      </w:r>
    </w:p>
    <w:p w14:paraId="5B6D51C8" w14:textId="77777777" w:rsidR="000251EB" w:rsidRPr="000251EB" w:rsidRDefault="000251EB" w:rsidP="000251EB">
      <w:pPr>
        <w:spacing w:line="240" w:lineRule="auto"/>
        <w:rPr>
          <w:rFonts w:eastAsia="Times New Roman" w:cs="Arial"/>
          <w:color w:val="000000"/>
          <w:lang w:eastAsia="bg-BG"/>
        </w:rPr>
      </w:pPr>
    </w:p>
    <w:p w14:paraId="098031DD" w14:textId="3917A6F8"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Еднократни дози антиацид (магнезиев хидроксид/алуминиев хидроксид) не са повлияли бионаличността на силденафил.</w:t>
      </w:r>
    </w:p>
    <w:p w14:paraId="43EB80BF" w14:textId="77777777" w:rsidR="000251EB" w:rsidRPr="000251EB" w:rsidRDefault="000251EB" w:rsidP="000251EB">
      <w:pPr>
        <w:spacing w:line="240" w:lineRule="auto"/>
        <w:rPr>
          <w:rFonts w:eastAsia="Times New Roman" w:cs="Arial"/>
          <w:color w:val="000000"/>
          <w:lang w:eastAsia="bg-BG"/>
        </w:rPr>
      </w:pPr>
    </w:p>
    <w:p w14:paraId="1605A8CE" w14:textId="0BE74FC2"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Въпреки че не са провеждани специфични проучвания за лекарствени взаимодействия с всички лекарствени продукти, популационният фармакокинетичен анализ не е показал ефект върху фармакокинетиката на силденафил при едновременно приложение на лекарства, принадлежащи към групата на инхибиторите на </w:t>
      </w:r>
      <w:r w:rsidRPr="000251EB">
        <w:rPr>
          <w:rFonts w:eastAsia="Times New Roman" w:cs="Arial"/>
          <w:color w:val="000000"/>
          <w:lang w:val="en-US"/>
        </w:rPr>
        <w:t xml:space="preserve">CYP2C9 </w:t>
      </w:r>
      <w:r w:rsidRPr="000251EB">
        <w:rPr>
          <w:rFonts w:eastAsia="Times New Roman" w:cs="Arial"/>
          <w:color w:val="000000"/>
          <w:lang w:eastAsia="bg-BG"/>
        </w:rPr>
        <w:t xml:space="preserve">(като толбутамид, варфарин, фенитоин), инхибиторите на </w:t>
      </w:r>
      <w:r w:rsidRPr="000251EB">
        <w:rPr>
          <w:rFonts w:eastAsia="Times New Roman" w:cs="Arial"/>
          <w:color w:val="000000"/>
          <w:lang w:val="en-US"/>
        </w:rPr>
        <w:t xml:space="preserve">CYP2D6 </w:t>
      </w:r>
      <w:r w:rsidRPr="000251EB">
        <w:rPr>
          <w:rFonts w:eastAsia="Times New Roman" w:cs="Arial"/>
          <w:color w:val="000000"/>
          <w:lang w:eastAsia="bg-BG"/>
        </w:rPr>
        <w:t>(като селективните инхибитори на обратния захват на серотонина, трицикличните антидепресанти), тиазидите и сродни диуретици, бримковите и калий-съхраняващите диуретици, инхибиторите на ангиотензин-конвертиращия ензим, калциевите антагонисти, бета- адренорецепторните антагонисти или индукторите на С</w:t>
      </w:r>
      <w:r w:rsidRPr="000251EB">
        <w:rPr>
          <w:rFonts w:eastAsia="Times New Roman" w:cs="Arial"/>
          <w:color w:val="000000"/>
          <w:lang w:val="en-US"/>
        </w:rPr>
        <w:t>Y</w:t>
      </w:r>
      <w:r w:rsidRPr="000251EB">
        <w:rPr>
          <w:rFonts w:eastAsia="Times New Roman" w:cs="Arial"/>
          <w:color w:val="000000"/>
          <w:lang w:eastAsia="bg-BG"/>
        </w:rPr>
        <w:t>Р450-медиирания метаболизъм (като рифампицин, барбитурати). В проучване при здрави мъже доброволци едновременното приложение на ендотелин-</w:t>
      </w:r>
      <w:r w:rsidRPr="000251EB">
        <w:rPr>
          <w:rFonts w:eastAsia="Times New Roman" w:cs="Arial"/>
          <w:color w:val="000000"/>
          <w:lang w:eastAsia="bg-BG"/>
        </w:rPr>
        <w:lastRenderedPageBreak/>
        <w:t xml:space="preserve">рецепторния антагонист- босентан (индуктор на </w:t>
      </w:r>
      <w:r w:rsidRPr="000251EB">
        <w:rPr>
          <w:rFonts w:eastAsia="Times New Roman" w:cs="Arial"/>
          <w:color w:val="000000"/>
          <w:lang w:val="en-US"/>
        </w:rPr>
        <w:t xml:space="preserve">CYP3A4 </w:t>
      </w:r>
      <w:r w:rsidRPr="000251EB">
        <w:rPr>
          <w:rFonts w:eastAsia="Times New Roman" w:cs="Arial"/>
          <w:color w:val="000000"/>
          <w:lang w:eastAsia="bg-BG"/>
        </w:rPr>
        <w:t xml:space="preserve">[умерен], </w:t>
      </w:r>
      <w:r w:rsidRPr="000251EB">
        <w:rPr>
          <w:rFonts w:eastAsia="Times New Roman" w:cs="Arial"/>
          <w:color w:val="000000"/>
          <w:lang w:val="en-US"/>
        </w:rPr>
        <w:t xml:space="preserve">CYP2C9 </w:t>
      </w:r>
      <w:r w:rsidRPr="000251EB">
        <w:rPr>
          <w:rFonts w:eastAsia="Times New Roman" w:cs="Arial"/>
          <w:color w:val="000000"/>
          <w:lang w:eastAsia="bg-BG"/>
        </w:rPr>
        <w:t xml:space="preserve">и вероятно на </w:t>
      </w:r>
      <w:r w:rsidRPr="000251EB">
        <w:rPr>
          <w:rFonts w:eastAsia="Times New Roman" w:cs="Arial"/>
          <w:color w:val="000000"/>
          <w:lang w:val="en-US"/>
        </w:rPr>
        <w:t xml:space="preserve">CYP2C19) </w:t>
      </w:r>
      <w:r w:rsidRPr="000251EB">
        <w:rPr>
          <w:rFonts w:eastAsia="Times New Roman" w:cs="Arial"/>
          <w:color w:val="000000"/>
          <w:lang w:eastAsia="bg-BG"/>
        </w:rPr>
        <w:t xml:space="preserve">в стационарно състояние (125 </w:t>
      </w:r>
      <w:r w:rsidRPr="000251EB">
        <w:rPr>
          <w:rFonts w:eastAsia="Times New Roman" w:cs="Arial"/>
          <w:color w:val="000000"/>
          <w:lang w:val="en-US"/>
        </w:rPr>
        <w:t xml:space="preserve">mg </w:t>
      </w:r>
      <w:r w:rsidRPr="000251EB">
        <w:rPr>
          <w:rFonts w:eastAsia="Times New Roman" w:cs="Arial"/>
          <w:color w:val="000000"/>
          <w:lang w:eastAsia="bg-BG"/>
        </w:rPr>
        <w:t xml:space="preserve">два пъти дневно) със силденафил в стационарно състояние </w:t>
      </w:r>
      <w:r w:rsidRPr="000251EB">
        <w:rPr>
          <w:rFonts w:eastAsia="Times New Roman" w:cs="Arial"/>
          <w:i/>
          <w:iCs/>
          <w:color w:val="000000"/>
          <w:lang w:eastAsia="bg-BG"/>
        </w:rPr>
        <w:t>(80</w:t>
      </w:r>
      <w:r w:rsidRPr="000251EB">
        <w:rPr>
          <w:rFonts w:eastAsia="Times New Roman" w:cs="Arial"/>
          <w:color w:val="000000"/>
          <w:lang w:eastAsia="bg-BG"/>
        </w:rPr>
        <w:t xml:space="preserve"> </w:t>
      </w:r>
      <w:r w:rsidRPr="000251EB">
        <w:rPr>
          <w:rFonts w:eastAsia="Times New Roman" w:cs="Arial"/>
          <w:color w:val="000000"/>
          <w:lang w:val="en-US"/>
        </w:rPr>
        <w:t xml:space="preserve">mg </w:t>
      </w:r>
      <w:r w:rsidRPr="000251EB">
        <w:rPr>
          <w:rFonts w:eastAsia="Times New Roman" w:cs="Arial"/>
          <w:color w:val="000000"/>
          <w:lang w:eastAsia="bg-BG"/>
        </w:rPr>
        <w:t xml:space="preserve">три пъти дневно) е довело до съответно 62,6% и 55,4% намаление на </w:t>
      </w:r>
      <w:r w:rsidRPr="000251EB">
        <w:rPr>
          <w:rFonts w:eastAsia="Times New Roman" w:cs="Arial"/>
          <w:color w:val="000000"/>
          <w:lang w:val="en-US"/>
        </w:rPr>
        <w:t xml:space="preserve">AUC </w:t>
      </w:r>
      <w:r w:rsidRPr="000251EB">
        <w:rPr>
          <w:rFonts w:eastAsia="Times New Roman" w:cs="Arial"/>
          <w:color w:val="000000"/>
          <w:lang w:eastAsia="bg-BG"/>
        </w:rPr>
        <w:t>и С</w:t>
      </w:r>
      <w:r w:rsidRPr="000251EB">
        <w:rPr>
          <w:rFonts w:eastAsia="Times New Roman" w:cs="Arial"/>
          <w:color w:val="000000"/>
          <w:lang w:val="en-US"/>
        </w:rPr>
        <w:t>max</w:t>
      </w:r>
      <w:r w:rsidRPr="000251EB">
        <w:rPr>
          <w:rFonts w:eastAsia="Times New Roman" w:cs="Arial"/>
          <w:color w:val="000000"/>
          <w:lang w:eastAsia="bg-BG"/>
        </w:rPr>
        <w:t xml:space="preserve"> на силденафил. По тази причина едновременното приложение на мощни </w:t>
      </w:r>
      <w:r w:rsidRPr="000251EB">
        <w:rPr>
          <w:rFonts w:eastAsia="Times New Roman" w:cs="Arial"/>
          <w:color w:val="000000"/>
          <w:lang w:val="en-US"/>
        </w:rPr>
        <w:t xml:space="preserve">CYP3A4 </w:t>
      </w:r>
      <w:r w:rsidRPr="000251EB">
        <w:rPr>
          <w:rFonts w:eastAsia="Times New Roman" w:cs="Arial"/>
          <w:color w:val="000000"/>
          <w:lang w:eastAsia="bg-BG"/>
        </w:rPr>
        <w:t>индуктори, като рифампицин, се очаква да доведе до по-значими намаления на плазмените концентрации на силденафил.</w:t>
      </w:r>
    </w:p>
    <w:p w14:paraId="50A9AD15" w14:textId="77777777" w:rsidR="000251EB" w:rsidRPr="000251EB" w:rsidRDefault="000251EB" w:rsidP="000251EB">
      <w:pPr>
        <w:spacing w:line="240" w:lineRule="auto"/>
        <w:rPr>
          <w:rFonts w:eastAsia="Times New Roman" w:cs="Arial"/>
          <w:color w:val="000000"/>
          <w:lang w:eastAsia="bg-BG"/>
        </w:rPr>
      </w:pPr>
    </w:p>
    <w:p w14:paraId="72299F2E" w14:textId="3CB6ECD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Никорандил е хибрид между активатор на калиевите канали и нитрат. Поради нитратната компонента съществува възможност да доведе до сериозно взаимодействие със силденафил.</w:t>
      </w:r>
    </w:p>
    <w:p w14:paraId="7B13B846" w14:textId="77777777" w:rsidR="000251EB" w:rsidRPr="000251EB" w:rsidRDefault="000251EB" w:rsidP="000251EB">
      <w:pPr>
        <w:spacing w:line="240" w:lineRule="auto"/>
        <w:rPr>
          <w:rFonts w:eastAsia="Times New Roman" w:cs="Arial"/>
          <w:color w:val="000000"/>
          <w:u w:val="single"/>
          <w:lang w:eastAsia="bg-BG"/>
        </w:rPr>
      </w:pPr>
    </w:p>
    <w:p w14:paraId="41CC9854" w14:textId="1861CD75"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Ефекти на силденафил върху други лекарствени продукти</w:t>
      </w:r>
    </w:p>
    <w:p w14:paraId="674A2849" w14:textId="77777777" w:rsidR="000251EB" w:rsidRPr="000251EB" w:rsidRDefault="000251EB" w:rsidP="000251EB">
      <w:pPr>
        <w:spacing w:line="240" w:lineRule="auto"/>
        <w:rPr>
          <w:rFonts w:eastAsia="Times New Roman" w:cs="Arial"/>
          <w:i/>
          <w:iCs/>
          <w:color w:val="000000"/>
          <w:lang w:eastAsia="bg-BG"/>
        </w:rPr>
      </w:pPr>
    </w:p>
    <w:p w14:paraId="60FCA8A7" w14:textId="3E914D2A"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 xml:space="preserve">Проучвания </w:t>
      </w:r>
      <w:r w:rsidRPr="000251EB">
        <w:rPr>
          <w:rFonts w:eastAsia="Times New Roman" w:cs="Arial"/>
          <w:i/>
          <w:iCs/>
          <w:color w:val="000000"/>
          <w:lang w:val="en-US"/>
        </w:rPr>
        <w:t>in vitro:</w:t>
      </w:r>
    </w:p>
    <w:p w14:paraId="57DEFC36"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е слаб инхибитор на цитохром Р450 изоензимите 1А2, 2С9, 2С19, </w:t>
      </w:r>
      <w:r w:rsidRPr="000251EB">
        <w:rPr>
          <w:rFonts w:eastAsia="Times New Roman" w:cs="Arial"/>
          <w:color w:val="000000"/>
          <w:lang w:val="en-US"/>
        </w:rPr>
        <w:t xml:space="preserve">2D6, </w:t>
      </w:r>
      <w:r w:rsidRPr="000251EB">
        <w:rPr>
          <w:rFonts w:eastAsia="Times New Roman" w:cs="Arial"/>
          <w:color w:val="000000"/>
          <w:lang w:eastAsia="bg-BG"/>
        </w:rPr>
        <w:t xml:space="preserve">2Е1 и ЗА4 </w:t>
      </w:r>
      <w:r w:rsidRPr="000251EB">
        <w:rPr>
          <w:rFonts w:eastAsia="Times New Roman" w:cs="Arial"/>
          <w:color w:val="000000"/>
          <w:lang w:val="en-US"/>
        </w:rPr>
        <w:t xml:space="preserve">(IC50 </w:t>
      </w:r>
      <w:r w:rsidRPr="000251EB">
        <w:rPr>
          <w:rFonts w:eastAsia="Times New Roman" w:cs="Arial"/>
          <w:color w:val="000000"/>
          <w:lang w:eastAsia="bg-BG"/>
        </w:rPr>
        <w:t>&gt;150 μМ). Като се има предвид, че пиковата плазмена концентрация след прием на силденафил в препоръчителните дози е приблизително 1 μ</w:t>
      </w:r>
      <w:r w:rsidRPr="000251EB">
        <w:rPr>
          <w:rFonts w:eastAsia="Times New Roman" w:cs="Arial"/>
          <w:color w:val="000000"/>
          <w:lang w:val="en-US"/>
        </w:rPr>
        <w:t>M</w:t>
      </w:r>
      <w:r w:rsidRPr="000251EB">
        <w:rPr>
          <w:rFonts w:eastAsia="Times New Roman" w:cs="Arial"/>
          <w:color w:val="000000"/>
          <w:lang w:eastAsia="bg-BG"/>
        </w:rPr>
        <w:t>, не би могло да се очаква силденафил да окаже влияние върху клирънса на субстратите на тези изоензими.</w:t>
      </w:r>
    </w:p>
    <w:p w14:paraId="73055A4A" w14:textId="77777777" w:rsidR="000251EB" w:rsidRPr="000251EB" w:rsidRDefault="000251EB" w:rsidP="000251EB">
      <w:pPr>
        <w:spacing w:line="240" w:lineRule="auto"/>
        <w:rPr>
          <w:rFonts w:eastAsia="Times New Roman" w:cs="Arial"/>
          <w:color w:val="000000"/>
          <w:lang w:eastAsia="bg-BG"/>
        </w:rPr>
      </w:pPr>
    </w:p>
    <w:p w14:paraId="207E92E3" w14:textId="7D48F5A9"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Липсват данни за взаимодействието между силденафил и неспецифичните фосфодиестеразни инхибитори, като теофилин или дипиридамол.</w:t>
      </w:r>
    </w:p>
    <w:p w14:paraId="2E4DE4A2" w14:textId="77777777" w:rsidR="000251EB" w:rsidRPr="000251EB" w:rsidRDefault="000251EB" w:rsidP="000251EB">
      <w:pPr>
        <w:spacing w:line="240" w:lineRule="auto"/>
        <w:rPr>
          <w:rFonts w:eastAsia="Times New Roman" w:cs="Arial"/>
          <w:i/>
          <w:iCs/>
          <w:color w:val="000000"/>
          <w:lang w:eastAsia="bg-BG"/>
        </w:rPr>
      </w:pPr>
    </w:p>
    <w:p w14:paraId="32D5DE31" w14:textId="22F8652B"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 xml:space="preserve">Проучвания </w:t>
      </w:r>
      <w:r w:rsidRPr="000251EB">
        <w:rPr>
          <w:rFonts w:eastAsia="Times New Roman" w:cs="Arial"/>
          <w:i/>
          <w:iCs/>
          <w:color w:val="000000"/>
          <w:lang w:val="en-US"/>
        </w:rPr>
        <w:t>in vivo:</w:t>
      </w:r>
    </w:p>
    <w:p w14:paraId="51B9BB77"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съответствие с познатите си действия върху пътя азотен оксид/цГМФ (вж. точка 5.1) силденафил оказва потенциране на хипотензивните ефекти на нитратите и следователно, едновременното му приложение с донори на азотен оксид или нитрати под каквато и да е форма е противопоказано (вж. точка 4.3).</w:t>
      </w:r>
    </w:p>
    <w:p w14:paraId="6C8A3DA3" w14:textId="77777777" w:rsidR="000251EB" w:rsidRPr="000251EB" w:rsidRDefault="000251EB" w:rsidP="000251EB">
      <w:pPr>
        <w:rPr>
          <w:rFonts w:eastAsia="Times New Roman" w:cs="Arial"/>
          <w:color w:val="000000"/>
          <w:lang w:eastAsia="bg-BG"/>
        </w:rPr>
      </w:pPr>
    </w:p>
    <w:p w14:paraId="759E73BE" w14:textId="0E6B83C3" w:rsidR="000251EB" w:rsidRPr="000251EB" w:rsidRDefault="000251EB" w:rsidP="000251EB">
      <w:pPr>
        <w:rPr>
          <w:rFonts w:eastAsia="Times New Roman" w:cs="Arial"/>
          <w:color w:val="000000"/>
          <w:lang w:eastAsia="bg-BG"/>
        </w:rPr>
      </w:pPr>
      <w:r w:rsidRPr="000251EB">
        <w:rPr>
          <w:rFonts w:eastAsia="Times New Roman" w:cs="Arial"/>
          <w:color w:val="000000"/>
          <w:lang w:eastAsia="bg-BG"/>
        </w:rPr>
        <w:t>Риоцигуат: Предклинични проучвания показват допълнителен ефект на понижаване на системното кръвно налягане, когато ФДЕ5 инхибитори се комбинират с риоцигуат. В клинични проучвания е доказано, че риоцигуат потенцира хипотензивните ефекти на ФДЕ5 инхибиторите. Няма данни за благоприятен клиничен ефект на комбинацията в проучваната популация. Едновременната употреба на риоцигуат с ФДЕ5 инхибитори, включително силденафил, е противопоказана (вж. точка 4.3).</w:t>
      </w:r>
    </w:p>
    <w:p w14:paraId="4DAA98E5" w14:textId="24B866DB" w:rsidR="000251EB" w:rsidRPr="000251EB" w:rsidRDefault="000251EB" w:rsidP="000251EB">
      <w:pPr>
        <w:rPr>
          <w:rFonts w:eastAsia="Times New Roman" w:cs="Arial"/>
          <w:color w:val="000000"/>
          <w:lang w:eastAsia="bg-BG"/>
        </w:rPr>
      </w:pPr>
    </w:p>
    <w:p w14:paraId="226E049D"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Едновременното приложение на силденафил на пациенти, които приемат алфа-блокери, може да доведе до симптоматична хипотония при малкото чувствителни индивиди. Това е най-вероятно да се прояви през първите 4 часа след приема на силденафил (вж. точки 4.2 и 4.4). В три специфични проучвания за лекарствени взаимодействия алфа-блокерът доксазозин (4 </w:t>
      </w:r>
      <w:r w:rsidRPr="000251EB">
        <w:rPr>
          <w:rFonts w:eastAsia="Times New Roman" w:cs="Arial"/>
          <w:color w:val="000000"/>
          <w:lang w:val="en-US"/>
        </w:rPr>
        <w:t xml:space="preserve">mg </w:t>
      </w:r>
      <w:r w:rsidRPr="000251EB">
        <w:rPr>
          <w:rFonts w:eastAsia="Times New Roman" w:cs="Arial"/>
          <w:color w:val="000000"/>
          <w:lang w:eastAsia="bg-BG"/>
        </w:rPr>
        <w:t xml:space="preserve">и 8 </w:t>
      </w:r>
      <w:r w:rsidRPr="000251EB">
        <w:rPr>
          <w:rFonts w:eastAsia="Times New Roman" w:cs="Arial"/>
          <w:color w:val="000000"/>
          <w:lang w:val="en-US"/>
        </w:rPr>
        <w:t xml:space="preserve">mg) </w:t>
      </w:r>
      <w:r w:rsidRPr="000251EB">
        <w:rPr>
          <w:rFonts w:eastAsia="Times New Roman" w:cs="Arial"/>
          <w:color w:val="000000"/>
          <w:lang w:eastAsia="bg-BG"/>
        </w:rPr>
        <w:t xml:space="preserve">и силденафил (25 </w:t>
      </w:r>
      <w:r w:rsidRPr="000251EB">
        <w:rPr>
          <w:rFonts w:eastAsia="Times New Roman" w:cs="Arial"/>
          <w:color w:val="000000"/>
          <w:lang w:val="en-US"/>
        </w:rPr>
        <w:t xml:space="preserve">mg, </w:t>
      </w:r>
      <w:r w:rsidRPr="000251EB">
        <w:rPr>
          <w:rFonts w:eastAsia="Times New Roman" w:cs="Arial"/>
          <w:color w:val="000000"/>
          <w:lang w:eastAsia="bg-BG"/>
        </w:rPr>
        <w:t xml:space="preserve">50 </w:t>
      </w:r>
      <w:r w:rsidRPr="000251EB">
        <w:rPr>
          <w:rFonts w:eastAsia="Times New Roman" w:cs="Arial"/>
          <w:color w:val="000000"/>
          <w:lang w:val="en-US"/>
        </w:rPr>
        <w:t xml:space="preserve">mg </w:t>
      </w:r>
      <w:r w:rsidRPr="000251EB">
        <w:rPr>
          <w:rFonts w:eastAsia="Times New Roman" w:cs="Arial"/>
          <w:color w:val="000000"/>
          <w:lang w:eastAsia="bg-BG"/>
        </w:rPr>
        <w:t xml:space="preserve">или 100 </w:t>
      </w:r>
      <w:r w:rsidRPr="000251EB">
        <w:rPr>
          <w:rFonts w:eastAsia="Times New Roman" w:cs="Arial"/>
          <w:color w:val="000000"/>
          <w:lang w:val="en-US"/>
        </w:rPr>
        <w:t xml:space="preserve">mg) </w:t>
      </w:r>
      <w:r w:rsidRPr="000251EB">
        <w:rPr>
          <w:rFonts w:eastAsia="Times New Roman" w:cs="Arial"/>
          <w:color w:val="000000"/>
          <w:lang w:eastAsia="bg-BG"/>
        </w:rPr>
        <w:t xml:space="preserve">са били приложени едновременно на пациенти с доброкачествена хиперплазия на простата (ДХП), стабилизирани на терапия с доксазозин. В тези изпитвани популации е наблюдавано средно допълнително намаление на кръвното налягане в легнало положение съответно 7/7 </w:t>
      </w:r>
      <w:r w:rsidRPr="000251EB">
        <w:rPr>
          <w:rFonts w:eastAsia="Times New Roman" w:cs="Arial"/>
          <w:color w:val="000000"/>
          <w:lang w:val="en-US"/>
        </w:rPr>
        <w:t xml:space="preserve">mmHg, </w:t>
      </w:r>
      <w:r w:rsidRPr="000251EB">
        <w:rPr>
          <w:rFonts w:eastAsia="Times New Roman" w:cs="Arial"/>
          <w:color w:val="000000"/>
          <w:lang w:eastAsia="bg-BG"/>
        </w:rPr>
        <w:t xml:space="preserve">9/5 </w:t>
      </w:r>
      <w:r w:rsidRPr="000251EB">
        <w:rPr>
          <w:rFonts w:eastAsia="Times New Roman" w:cs="Arial"/>
          <w:color w:val="000000"/>
          <w:lang w:val="en-US"/>
        </w:rPr>
        <w:t xml:space="preserve">mmHg </w:t>
      </w:r>
      <w:r w:rsidRPr="000251EB">
        <w:rPr>
          <w:rFonts w:eastAsia="Times New Roman" w:cs="Arial"/>
          <w:color w:val="000000"/>
          <w:lang w:eastAsia="bg-BG"/>
        </w:rPr>
        <w:t xml:space="preserve">и 8/4 </w:t>
      </w:r>
      <w:r w:rsidRPr="000251EB">
        <w:rPr>
          <w:rFonts w:eastAsia="Times New Roman" w:cs="Arial"/>
          <w:color w:val="000000"/>
          <w:lang w:val="en-US"/>
        </w:rPr>
        <w:t xml:space="preserve">mmHg, </w:t>
      </w:r>
      <w:r w:rsidRPr="000251EB">
        <w:rPr>
          <w:rFonts w:eastAsia="Times New Roman" w:cs="Arial"/>
          <w:color w:val="000000"/>
          <w:lang w:eastAsia="bg-BG"/>
        </w:rPr>
        <w:t xml:space="preserve">и средно допълнително намаление на кръвното налягане в изправено положение съответно 6/6 </w:t>
      </w:r>
      <w:r w:rsidRPr="000251EB">
        <w:rPr>
          <w:rFonts w:eastAsia="Times New Roman" w:cs="Arial"/>
          <w:color w:val="000000"/>
          <w:lang w:val="en-US"/>
        </w:rPr>
        <w:t xml:space="preserve">mmHg, </w:t>
      </w:r>
      <w:r w:rsidRPr="000251EB">
        <w:rPr>
          <w:rFonts w:eastAsia="Times New Roman" w:cs="Arial"/>
          <w:color w:val="000000"/>
          <w:lang w:eastAsia="bg-BG"/>
        </w:rPr>
        <w:t xml:space="preserve">11/4 </w:t>
      </w:r>
      <w:r w:rsidRPr="000251EB">
        <w:rPr>
          <w:rFonts w:eastAsia="Times New Roman" w:cs="Arial"/>
          <w:color w:val="000000"/>
          <w:lang w:val="en-US"/>
        </w:rPr>
        <w:t xml:space="preserve">mmHg </w:t>
      </w:r>
      <w:r w:rsidRPr="000251EB">
        <w:rPr>
          <w:rFonts w:eastAsia="Times New Roman" w:cs="Arial"/>
          <w:color w:val="000000"/>
          <w:lang w:eastAsia="bg-BG"/>
        </w:rPr>
        <w:t xml:space="preserve">и 4/5 </w:t>
      </w:r>
      <w:r w:rsidRPr="000251EB">
        <w:rPr>
          <w:rFonts w:eastAsia="Times New Roman" w:cs="Arial"/>
          <w:color w:val="000000"/>
          <w:lang w:val="en-US"/>
        </w:rPr>
        <w:t xml:space="preserve">mmHg. </w:t>
      </w:r>
      <w:r w:rsidRPr="000251EB">
        <w:rPr>
          <w:rFonts w:eastAsia="Times New Roman" w:cs="Arial"/>
          <w:color w:val="000000"/>
          <w:lang w:eastAsia="bg-BG"/>
        </w:rPr>
        <w:t>Когато силденафил и доксазозин са били приложени едновременно при пациенти, стабилизирани на терапия с доксазозин, са получени редки съобщения за пациенти, които са получили симптоматична ортостатична хипотония са редки. Тези съобщения включват виене на свят и замаяност, но не и синкоп.</w:t>
      </w:r>
    </w:p>
    <w:p w14:paraId="56AAE5DB" w14:textId="77777777" w:rsidR="000251EB" w:rsidRPr="000251EB" w:rsidRDefault="000251EB" w:rsidP="000251EB">
      <w:pPr>
        <w:spacing w:line="240" w:lineRule="auto"/>
        <w:rPr>
          <w:rFonts w:eastAsia="Times New Roman" w:cs="Arial"/>
          <w:color w:val="000000"/>
          <w:lang w:eastAsia="bg-BG"/>
        </w:rPr>
      </w:pPr>
    </w:p>
    <w:p w14:paraId="71B3AFB5" w14:textId="462A0FB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lastRenderedPageBreak/>
        <w:t xml:space="preserve">При едновременното прилагане на силденафил (50 </w:t>
      </w:r>
      <w:r w:rsidRPr="000251EB">
        <w:rPr>
          <w:rFonts w:eastAsia="Times New Roman" w:cs="Arial"/>
          <w:color w:val="000000"/>
          <w:lang w:val="en-US"/>
        </w:rPr>
        <w:t xml:space="preserve">mg) </w:t>
      </w:r>
      <w:r w:rsidRPr="000251EB">
        <w:rPr>
          <w:rFonts w:eastAsia="Times New Roman" w:cs="Arial"/>
          <w:color w:val="000000"/>
          <w:lang w:eastAsia="bg-BG"/>
        </w:rPr>
        <w:t xml:space="preserve">и толбутамид (250 </w:t>
      </w:r>
      <w:r w:rsidRPr="000251EB">
        <w:rPr>
          <w:rFonts w:eastAsia="Times New Roman" w:cs="Arial"/>
          <w:color w:val="000000"/>
          <w:lang w:val="en-US"/>
        </w:rPr>
        <w:t xml:space="preserve">mg) </w:t>
      </w:r>
      <w:r w:rsidRPr="000251EB">
        <w:rPr>
          <w:rFonts w:eastAsia="Times New Roman" w:cs="Arial"/>
          <w:color w:val="000000"/>
          <w:lang w:eastAsia="bg-BG"/>
        </w:rPr>
        <w:t xml:space="preserve">или варфарин (40 </w:t>
      </w:r>
      <w:r w:rsidRPr="000251EB">
        <w:rPr>
          <w:rFonts w:eastAsia="Times New Roman" w:cs="Arial"/>
          <w:color w:val="000000"/>
          <w:lang w:val="en-US"/>
        </w:rPr>
        <w:t xml:space="preserve">mg), </w:t>
      </w:r>
      <w:r w:rsidRPr="000251EB">
        <w:rPr>
          <w:rFonts w:eastAsia="Times New Roman" w:cs="Arial"/>
          <w:color w:val="000000"/>
          <w:lang w:eastAsia="bg-BG"/>
        </w:rPr>
        <w:t xml:space="preserve">които се метаболизират от </w:t>
      </w:r>
      <w:r w:rsidRPr="000251EB">
        <w:rPr>
          <w:rFonts w:eastAsia="Times New Roman" w:cs="Arial"/>
          <w:color w:val="000000"/>
          <w:lang w:val="en-US"/>
        </w:rPr>
        <w:t xml:space="preserve">CYP2C9, </w:t>
      </w:r>
      <w:r w:rsidRPr="000251EB">
        <w:rPr>
          <w:rFonts w:eastAsia="Times New Roman" w:cs="Arial"/>
          <w:color w:val="000000"/>
          <w:lang w:eastAsia="bg-BG"/>
        </w:rPr>
        <w:t>не е забелязано сигнификантно взаимодействие.</w:t>
      </w:r>
    </w:p>
    <w:p w14:paraId="5653AFB5" w14:textId="77777777" w:rsidR="000251EB" w:rsidRPr="000251EB" w:rsidRDefault="000251EB" w:rsidP="000251EB">
      <w:pPr>
        <w:spacing w:line="240" w:lineRule="auto"/>
        <w:rPr>
          <w:rFonts w:eastAsia="Times New Roman" w:cs="Arial"/>
          <w:color w:val="000000"/>
          <w:lang w:eastAsia="bg-BG"/>
        </w:rPr>
      </w:pPr>
    </w:p>
    <w:p w14:paraId="1568A732" w14:textId="7540E9BB"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(50 </w:t>
      </w:r>
      <w:r w:rsidRPr="000251EB">
        <w:rPr>
          <w:rFonts w:eastAsia="Times New Roman" w:cs="Arial"/>
          <w:color w:val="000000"/>
          <w:lang w:val="en-US"/>
        </w:rPr>
        <w:t xml:space="preserve">mg) </w:t>
      </w:r>
      <w:r w:rsidRPr="000251EB">
        <w:rPr>
          <w:rFonts w:eastAsia="Times New Roman" w:cs="Arial"/>
          <w:color w:val="000000"/>
          <w:lang w:eastAsia="bg-BG"/>
        </w:rPr>
        <w:t xml:space="preserve">не е потенцирал допълнително удължаването на времето на кървене, предизвикано от ацетилсалициловата киселина (150 </w:t>
      </w:r>
      <w:r w:rsidRPr="000251EB">
        <w:rPr>
          <w:rFonts w:eastAsia="Times New Roman" w:cs="Arial"/>
          <w:color w:val="000000"/>
          <w:lang w:val="en-US"/>
        </w:rPr>
        <w:t>mg).</w:t>
      </w:r>
    </w:p>
    <w:p w14:paraId="07C2FDB0" w14:textId="77777777" w:rsidR="000251EB" w:rsidRPr="000251EB" w:rsidRDefault="000251EB" w:rsidP="000251EB">
      <w:pPr>
        <w:spacing w:line="240" w:lineRule="auto"/>
        <w:rPr>
          <w:rFonts w:eastAsia="Times New Roman" w:cs="Arial"/>
          <w:color w:val="000000"/>
          <w:lang w:eastAsia="bg-BG"/>
        </w:rPr>
      </w:pPr>
    </w:p>
    <w:p w14:paraId="6AE2E721" w14:textId="6388877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(50 </w:t>
      </w:r>
      <w:r w:rsidRPr="000251EB">
        <w:rPr>
          <w:rFonts w:eastAsia="Times New Roman" w:cs="Arial"/>
          <w:color w:val="000000"/>
          <w:lang w:val="en-US"/>
        </w:rPr>
        <w:t xml:space="preserve">mg) </w:t>
      </w:r>
      <w:r w:rsidRPr="000251EB">
        <w:rPr>
          <w:rFonts w:eastAsia="Times New Roman" w:cs="Arial"/>
          <w:color w:val="000000"/>
          <w:lang w:eastAsia="bg-BG"/>
        </w:rPr>
        <w:t xml:space="preserve">не е потенцирал допълнително хипотензивните ефекти на алкохола при здрави доброволци със средни максимални концентрации на алкохол в кръвта 80 </w:t>
      </w:r>
      <w:r w:rsidRPr="000251EB">
        <w:rPr>
          <w:rFonts w:eastAsia="Times New Roman" w:cs="Arial"/>
          <w:color w:val="000000"/>
          <w:lang w:val="en-US"/>
        </w:rPr>
        <w:t>mg/dl.</w:t>
      </w:r>
    </w:p>
    <w:p w14:paraId="16B16CC9" w14:textId="77777777" w:rsidR="000251EB" w:rsidRPr="000251EB" w:rsidRDefault="000251EB" w:rsidP="000251EB">
      <w:pPr>
        <w:spacing w:line="240" w:lineRule="auto"/>
        <w:rPr>
          <w:rFonts w:eastAsia="Times New Roman" w:cs="Arial"/>
          <w:color w:val="000000"/>
          <w:lang w:eastAsia="bg-BG"/>
        </w:rPr>
      </w:pPr>
    </w:p>
    <w:p w14:paraId="1DC9BF26" w14:textId="5E8B07A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Като цяло антихипертензивните лекарства, принадлежащи към следните класове: диуретици, бета- блокери, АСЕ инхибитори, ангиотензин II антагонисти, антихипертензивни средства (вазодилататори и централно действащи), адренергични блокери, калциеви антагонисти и алфа- адренорецепторни блокери не са показали различен профил на нежелани лекарствени реакции при пациенти, получаващи силденафил спрямо плацебо. В специфично проучване за лекарствено взаимодействие, при което на хипертоници е бил приложен 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едновременно с амлодипин е настъпило допълнително понижение на систолното кръвно налягане в легнало положение с 8 </w:t>
      </w:r>
      <w:r w:rsidRPr="000251EB">
        <w:rPr>
          <w:rFonts w:eastAsia="Times New Roman" w:cs="Arial"/>
          <w:color w:val="000000"/>
          <w:lang w:val="en-US"/>
        </w:rPr>
        <w:t xml:space="preserve">mmHg. </w:t>
      </w:r>
      <w:r w:rsidRPr="000251EB">
        <w:rPr>
          <w:rFonts w:eastAsia="Times New Roman" w:cs="Arial"/>
          <w:color w:val="000000"/>
          <w:lang w:eastAsia="bg-BG"/>
        </w:rPr>
        <w:t xml:space="preserve">Съответното допълнително понижение на диастолното кръвно налягане в легнало положение е било 7 </w:t>
      </w:r>
      <w:r w:rsidRPr="000251EB">
        <w:rPr>
          <w:rFonts w:eastAsia="Times New Roman" w:cs="Arial"/>
          <w:color w:val="000000"/>
          <w:lang w:val="en-US"/>
        </w:rPr>
        <w:t xml:space="preserve">mmHg. </w:t>
      </w:r>
      <w:r w:rsidRPr="000251EB">
        <w:rPr>
          <w:rFonts w:eastAsia="Times New Roman" w:cs="Arial"/>
          <w:color w:val="000000"/>
          <w:lang w:eastAsia="bg-BG"/>
        </w:rPr>
        <w:t>Тези допълнителни понижения на кръвното налягане са били от сходна величина с тези, наблюдавани при здрави доброволци, получаващи само силденафил (вж. точка 5.1).</w:t>
      </w:r>
    </w:p>
    <w:p w14:paraId="362BF816" w14:textId="77777777" w:rsidR="000251EB" w:rsidRPr="000251EB" w:rsidRDefault="000251EB" w:rsidP="000251EB">
      <w:pPr>
        <w:spacing w:line="240" w:lineRule="auto"/>
        <w:rPr>
          <w:rFonts w:eastAsia="Times New Roman" w:cs="Arial"/>
          <w:color w:val="000000"/>
          <w:lang w:eastAsia="bg-BG"/>
        </w:rPr>
      </w:pPr>
    </w:p>
    <w:p w14:paraId="5FB6C67B" w14:textId="2FA709B4"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не е повлиял фармакокинетиката в стационарно състояние на </w:t>
      </w:r>
      <w:r w:rsidRPr="000251EB">
        <w:rPr>
          <w:rFonts w:eastAsia="Times New Roman" w:cs="Arial"/>
          <w:color w:val="000000"/>
          <w:lang w:val="en-US"/>
        </w:rPr>
        <w:t>HIV</w:t>
      </w:r>
      <w:r w:rsidRPr="000251EB">
        <w:rPr>
          <w:rFonts w:eastAsia="Times New Roman" w:cs="Arial"/>
          <w:color w:val="000000"/>
          <w:lang w:eastAsia="bg-BG"/>
        </w:rPr>
        <w:t xml:space="preserve">-протеазните инхибитори саквинавир и ритонавир, които са субстрати на </w:t>
      </w:r>
      <w:r w:rsidRPr="000251EB">
        <w:rPr>
          <w:rFonts w:eastAsia="Times New Roman" w:cs="Arial"/>
          <w:color w:val="000000"/>
          <w:lang w:val="en-US"/>
        </w:rPr>
        <w:t>CYP3A4.</w:t>
      </w:r>
    </w:p>
    <w:p w14:paraId="5B5CAF1A" w14:textId="77777777" w:rsidR="000251EB" w:rsidRPr="000251EB" w:rsidRDefault="000251EB" w:rsidP="000251EB">
      <w:pPr>
        <w:spacing w:line="240" w:lineRule="auto"/>
        <w:rPr>
          <w:rFonts w:eastAsia="Times New Roman" w:cs="Arial"/>
          <w:color w:val="000000"/>
          <w:lang w:eastAsia="bg-BG"/>
        </w:rPr>
      </w:pPr>
    </w:p>
    <w:p w14:paraId="01E946F0" w14:textId="4FD93896"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При здрави доброволци от мъжки пол силденафил в стационарно състояние (80 </w:t>
      </w:r>
      <w:r w:rsidRPr="000251EB">
        <w:rPr>
          <w:rFonts w:eastAsia="Times New Roman" w:cs="Arial"/>
          <w:color w:val="000000"/>
          <w:lang w:val="en-US"/>
        </w:rPr>
        <w:t xml:space="preserve">mg </w:t>
      </w:r>
      <w:r w:rsidRPr="000251EB">
        <w:rPr>
          <w:rFonts w:eastAsia="Times New Roman" w:cs="Arial"/>
          <w:color w:val="000000"/>
          <w:lang w:eastAsia="bg-BG"/>
        </w:rPr>
        <w:t xml:space="preserve">три пъти дневно) е довел до повишение с 49,8% на </w:t>
      </w:r>
      <w:r w:rsidRPr="000251EB">
        <w:rPr>
          <w:rFonts w:eastAsia="Times New Roman" w:cs="Arial"/>
          <w:color w:val="000000"/>
          <w:lang w:val="en-US"/>
        </w:rPr>
        <w:t xml:space="preserve">AUC </w:t>
      </w:r>
      <w:r w:rsidRPr="000251EB">
        <w:rPr>
          <w:rFonts w:eastAsia="Times New Roman" w:cs="Arial"/>
          <w:color w:val="000000"/>
          <w:lang w:eastAsia="bg-BG"/>
        </w:rPr>
        <w:t xml:space="preserve">на босентан и повишение с 42% на Стах на босентан (125 </w:t>
      </w:r>
      <w:r w:rsidRPr="000251EB">
        <w:rPr>
          <w:rFonts w:eastAsia="Times New Roman" w:cs="Arial"/>
          <w:color w:val="000000"/>
          <w:lang w:val="en-US"/>
        </w:rPr>
        <w:t xml:space="preserve">mg </w:t>
      </w:r>
      <w:r w:rsidRPr="000251EB">
        <w:rPr>
          <w:rFonts w:eastAsia="Times New Roman" w:cs="Arial"/>
          <w:color w:val="000000"/>
          <w:lang w:eastAsia="bg-BG"/>
        </w:rPr>
        <w:t>два пъти дневно).</w:t>
      </w:r>
    </w:p>
    <w:p w14:paraId="296AEA91" w14:textId="77777777" w:rsidR="000251EB" w:rsidRPr="000251EB" w:rsidRDefault="000251EB" w:rsidP="000251EB">
      <w:pPr>
        <w:spacing w:line="240" w:lineRule="auto"/>
        <w:rPr>
          <w:rFonts w:eastAsia="Times New Roman" w:cs="Arial"/>
          <w:color w:val="000000"/>
          <w:lang w:eastAsia="bg-BG"/>
        </w:rPr>
      </w:pPr>
    </w:p>
    <w:p w14:paraId="6D530807" w14:textId="0DB665C5"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Добавянето на единична доза силденафил към сакубитрил/валсартан в стационарно състояние при пациенти с хипертония се свързва със значително по-голямо понижаване на кръвното налягане в сравнение с приложението на сакубитрил/валсартан самостоятелно. Поради това трябва да се обръща особено внимание, когато силденафил се започва при пациенти, лекувани със сакубитрил/валсартан.</w:t>
      </w:r>
    </w:p>
    <w:p w14:paraId="514E94FB" w14:textId="77777777" w:rsidR="000251EB" w:rsidRPr="000251EB" w:rsidRDefault="000251EB" w:rsidP="000251EB">
      <w:pPr>
        <w:rPr>
          <w:lang w:val="en-US"/>
        </w:rPr>
      </w:pPr>
    </w:p>
    <w:p w14:paraId="48846BBA" w14:textId="76A9281B" w:rsidR="009F77A4" w:rsidRDefault="002C50EE" w:rsidP="00387A66">
      <w:pPr>
        <w:pStyle w:val="Heading2"/>
      </w:pPr>
      <w:r>
        <w:t>4.6. Фертилитет, бременност и кърмене</w:t>
      </w:r>
    </w:p>
    <w:p w14:paraId="52748A7F" w14:textId="5BF1F92F" w:rsidR="000251EB" w:rsidRDefault="000251EB" w:rsidP="000251EB"/>
    <w:p w14:paraId="67516AB8" w14:textId="77777777" w:rsidR="000251EB" w:rsidRPr="000251EB" w:rsidRDefault="000251EB" w:rsidP="000251EB">
      <w:pPr>
        <w:pStyle w:val="Heading3"/>
        <w:rPr>
          <w:rFonts w:eastAsia="Times New Roman"/>
          <w:u w:val="single"/>
          <w:lang w:eastAsia="bg-BG"/>
        </w:rPr>
      </w:pPr>
      <w:r w:rsidRPr="000251EB">
        <w:rPr>
          <w:rFonts w:eastAsia="Times New Roman"/>
          <w:u w:val="single"/>
          <w:lang w:eastAsia="bg-BG"/>
        </w:rPr>
        <w:t>Бременност и кърмене</w:t>
      </w:r>
    </w:p>
    <w:p w14:paraId="3977F966"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Еротон не е показан за употреба при жени.</w:t>
      </w:r>
    </w:p>
    <w:p w14:paraId="6CF1721D" w14:textId="2D91AF8A" w:rsidR="000251EB" w:rsidRPr="000251EB" w:rsidRDefault="000251EB" w:rsidP="000251EB">
      <w:pPr>
        <w:rPr>
          <w:rFonts w:cs="Arial"/>
        </w:rPr>
      </w:pPr>
    </w:p>
    <w:p w14:paraId="36BC5435"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Не са провеждани съответни и добре контролирани проучвания при бременни или кърмещи жени.</w:t>
      </w:r>
    </w:p>
    <w:p w14:paraId="6F26B236" w14:textId="77777777" w:rsidR="000251EB" w:rsidRPr="000251EB" w:rsidRDefault="000251EB" w:rsidP="000251EB">
      <w:pPr>
        <w:spacing w:line="240" w:lineRule="auto"/>
        <w:rPr>
          <w:rFonts w:eastAsia="Times New Roman" w:cs="Arial"/>
          <w:color w:val="000000"/>
          <w:lang w:eastAsia="bg-BG"/>
        </w:rPr>
      </w:pPr>
    </w:p>
    <w:p w14:paraId="71F753F6" w14:textId="67E8F5B3"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репродуктивни проучвания при плъхове и зайци не са наблюдавани релевантни нежелани реакции след перорално приложение на силденафил.</w:t>
      </w:r>
    </w:p>
    <w:p w14:paraId="536BC171" w14:textId="77777777" w:rsidR="000251EB" w:rsidRPr="000251EB" w:rsidRDefault="000251EB" w:rsidP="000251EB">
      <w:pPr>
        <w:spacing w:line="240" w:lineRule="auto"/>
        <w:rPr>
          <w:rFonts w:eastAsia="Times New Roman" w:cs="Arial"/>
          <w:color w:val="000000"/>
          <w:lang w:eastAsia="bg-BG"/>
        </w:rPr>
      </w:pPr>
    </w:p>
    <w:p w14:paraId="385CF4FC" w14:textId="518AC31B"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lastRenderedPageBreak/>
        <w:t xml:space="preserve">Липсва ефект върху подвижността или морфологията на сперматозоидите след еднократни перорални дози от 100 </w:t>
      </w:r>
      <w:r w:rsidRPr="000251EB">
        <w:rPr>
          <w:rFonts w:eastAsia="Times New Roman" w:cs="Arial"/>
          <w:color w:val="000000"/>
          <w:lang w:val="en-US"/>
        </w:rPr>
        <w:t xml:space="preserve">mg </w:t>
      </w:r>
      <w:r w:rsidRPr="000251EB">
        <w:rPr>
          <w:rFonts w:eastAsia="Times New Roman" w:cs="Arial"/>
          <w:color w:val="000000"/>
          <w:lang w:eastAsia="bg-BG"/>
        </w:rPr>
        <w:t>силденафил при здрави доброволци (вж. точка 5.1).</w:t>
      </w:r>
    </w:p>
    <w:p w14:paraId="49080E3C" w14:textId="77777777" w:rsidR="000251EB" w:rsidRPr="000251EB" w:rsidRDefault="000251EB" w:rsidP="000251EB"/>
    <w:p w14:paraId="321AAB00" w14:textId="687AE57D" w:rsidR="009F77A4" w:rsidRDefault="002C50EE" w:rsidP="00387A66">
      <w:pPr>
        <w:pStyle w:val="Heading2"/>
      </w:pPr>
      <w:r>
        <w:t>4.7. Ефекти върху способността за шофиране и работа с машини</w:t>
      </w:r>
    </w:p>
    <w:p w14:paraId="4DC2D695" w14:textId="46AEFABB" w:rsidR="000251EB" w:rsidRDefault="000251EB" w:rsidP="000251EB"/>
    <w:p w14:paraId="4B7E1000" w14:textId="77777777" w:rsidR="000251EB" w:rsidRPr="000251EB" w:rsidRDefault="000251EB" w:rsidP="000251EB">
      <w:pPr>
        <w:rPr>
          <w:sz w:val="24"/>
          <w:szCs w:val="24"/>
          <w:lang w:eastAsia="bg-BG"/>
        </w:rPr>
      </w:pPr>
      <w:r w:rsidRPr="000251EB">
        <w:rPr>
          <w:lang w:eastAsia="bg-BG"/>
        </w:rPr>
        <w:t>Еротон може да повлиява в малка степен способността за шофиране и работа с машини.</w:t>
      </w:r>
    </w:p>
    <w:p w14:paraId="128D15DF" w14:textId="77777777" w:rsidR="000251EB" w:rsidRDefault="000251EB" w:rsidP="000251EB">
      <w:pPr>
        <w:rPr>
          <w:lang w:eastAsia="bg-BG"/>
        </w:rPr>
      </w:pPr>
    </w:p>
    <w:p w14:paraId="3E38AB57" w14:textId="459F7D0C" w:rsidR="000251EB" w:rsidRPr="000251EB" w:rsidRDefault="000251EB" w:rsidP="000251EB">
      <w:pPr>
        <w:rPr>
          <w:sz w:val="24"/>
          <w:szCs w:val="24"/>
          <w:lang w:eastAsia="bg-BG"/>
        </w:rPr>
      </w:pPr>
      <w:r w:rsidRPr="000251EB">
        <w:rPr>
          <w:lang w:eastAsia="bg-BG"/>
        </w:rPr>
        <w:t>Тъй като в клинични проучвания със силденафил се съобщава за поява на замайване и промени в зрението, пациентите трябва да имат представа за реакциите си към Еротон преди шофиране или работа с машини.</w:t>
      </w:r>
    </w:p>
    <w:p w14:paraId="5770628D" w14:textId="77777777" w:rsidR="000251EB" w:rsidRPr="000251EB" w:rsidRDefault="000251EB" w:rsidP="000251EB"/>
    <w:p w14:paraId="136C86B8" w14:textId="0D819344" w:rsidR="009F77A4" w:rsidRDefault="002C50EE" w:rsidP="00387A66">
      <w:pPr>
        <w:pStyle w:val="Heading2"/>
      </w:pPr>
      <w:r>
        <w:t>4.8. Нежелани лекарствени реакции</w:t>
      </w:r>
    </w:p>
    <w:p w14:paraId="3EFB5B97" w14:textId="4BF5790F" w:rsidR="000251EB" w:rsidRDefault="000251EB" w:rsidP="000251EB"/>
    <w:p w14:paraId="7618E5C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Кратко описание на профила за безопасност</w:t>
      </w:r>
    </w:p>
    <w:p w14:paraId="3434BD3E"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Профилът на безопасност на силденафил е базиран на 9 570 пациенти в 74 двойно-слепи, плацебо- контролирани клинични проучвания.</w:t>
      </w:r>
    </w:p>
    <w:p w14:paraId="664CD05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Най-често съобщаваните нежелани реакции в клиничните проучвания сред пациентите, на които е прилаган силденафил, са били главоболие, зачервяване, диспепсия, назална конгестия, замайване, гадене, горещи вълни, зрителни нарушения, цианопсия и замъглено зрение.</w:t>
      </w:r>
    </w:p>
    <w:p w14:paraId="1B835481" w14:textId="77777777" w:rsidR="000251EB" w:rsidRPr="000251EB" w:rsidRDefault="000251EB" w:rsidP="000251EB">
      <w:pPr>
        <w:spacing w:line="240" w:lineRule="auto"/>
        <w:rPr>
          <w:rFonts w:eastAsia="Times New Roman" w:cs="Arial"/>
          <w:color w:val="000000"/>
          <w:lang w:eastAsia="bg-BG"/>
        </w:rPr>
      </w:pPr>
    </w:p>
    <w:p w14:paraId="2BE23549" w14:textId="21462843"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Нежелани реакции по време на постмаркетинговото наблюдение са събирани и покриват приблизителен период от &gt; 10 години. Честотата на тези нежелани реакции не може да се определи с достоверност, тъй като не всички нежелани реакции са съобщавани на притежателя на разрешението за употреба и включени в базата данни за безопасност.</w:t>
      </w:r>
    </w:p>
    <w:p w14:paraId="7449BD8A" w14:textId="77777777" w:rsidR="000251EB" w:rsidRPr="000251EB" w:rsidRDefault="000251EB" w:rsidP="000251EB">
      <w:pPr>
        <w:spacing w:line="240" w:lineRule="auto"/>
        <w:rPr>
          <w:rFonts w:eastAsia="Times New Roman" w:cs="Arial"/>
          <w:color w:val="000000"/>
          <w:u w:val="single"/>
          <w:lang w:eastAsia="bg-BG"/>
        </w:rPr>
      </w:pPr>
    </w:p>
    <w:p w14:paraId="2022FF86" w14:textId="184D9B41"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Табличен списък на нежеланите лекарствени реакции</w:t>
      </w:r>
    </w:p>
    <w:p w14:paraId="79B16E86"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таблицата по-долу всички клинично важни нежелани реакции, които са наблюдавани в клинични проучвания с честота по-висока от плацебо, са описани по системо-органен клас и честота (много чести (≥1/10), чести (≥1/100 до &lt;1/10), нечести (≥1/1 000 до &lt;1/100), редки (≥1/10 000 до &lt;1/1 000).</w:t>
      </w:r>
    </w:p>
    <w:p w14:paraId="355C49A7" w14:textId="77777777" w:rsidR="000251EB" w:rsidRPr="000251EB" w:rsidRDefault="000251EB" w:rsidP="000251EB">
      <w:pPr>
        <w:spacing w:line="240" w:lineRule="auto"/>
        <w:rPr>
          <w:rFonts w:eastAsia="Times New Roman" w:cs="Arial"/>
          <w:color w:val="000000"/>
          <w:lang w:eastAsia="bg-BG"/>
        </w:rPr>
      </w:pPr>
    </w:p>
    <w:p w14:paraId="26EA0963" w14:textId="4BF9486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11D6C7EF" w14:textId="77777777" w:rsidR="000251EB" w:rsidRPr="000251EB" w:rsidRDefault="000251EB" w:rsidP="000251EB">
      <w:pPr>
        <w:spacing w:line="240" w:lineRule="auto"/>
        <w:rPr>
          <w:rFonts w:eastAsia="Times New Roman" w:cs="Arial"/>
          <w:b/>
          <w:bCs/>
          <w:color w:val="000000"/>
          <w:lang w:eastAsia="bg-BG"/>
        </w:rPr>
      </w:pPr>
    </w:p>
    <w:p w14:paraId="7B76D46E" w14:textId="30824D28" w:rsidR="000251EB" w:rsidRPr="000251EB" w:rsidRDefault="000251EB" w:rsidP="000251EB">
      <w:pPr>
        <w:spacing w:line="240" w:lineRule="auto"/>
        <w:rPr>
          <w:rFonts w:eastAsia="Times New Roman" w:cs="Arial"/>
          <w:sz w:val="24"/>
          <w:szCs w:val="24"/>
          <w:lang w:eastAsia="bg-BG"/>
        </w:rPr>
      </w:pPr>
      <w:r w:rsidRPr="000251EB">
        <w:rPr>
          <w:rFonts w:eastAsia="Times New Roman" w:cs="Arial"/>
          <w:b/>
          <w:bCs/>
          <w:color w:val="000000"/>
          <w:lang w:eastAsia="bg-BG"/>
        </w:rPr>
        <w:t>Таблица 1: Клинично важни нежелани реакции, съобщени с честота, по-голяма от тази на плацебо в контролирани клинични проучвания, и клинично важни нежелани реакции, съобщени по време иа постмаркетинговия период</w:t>
      </w:r>
    </w:p>
    <w:tbl>
      <w:tblPr>
        <w:tblStyle w:val="TableGrid"/>
        <w:tblW w:w="0" w:type="auto"/>
        <w:tblLook w:val="04A0" w:firstRow="1" w:lastRow="0" w:firstColumn="1" w:lastColumn="0" w:noHBand="0" w:noVBand="1"/>
      </w:tblPr>
      <w:tblGrid>
        <w:gridCol w:w="1794"/>
        <w:gridCol w:w="1434"/>
        <w:gridCol w:w="1599"/>
        <w:gridCol w:w="2434"/>
        <w:gridCol w:w="2089"/>
      </w:tblGrid>
      <w:tr w:rsidR="000251EB" w14:paraId="4B7A044E" w14:textId="77777777" w:rsidTr="000251EB">
        <w:tc>
          <w:tcPr>
            <w:tcW w:w="1828" w:type="dxa"/>
          </w:tcPr>
          <w:p w14:paraId="0AC0F027" w14:textId="0A8DCD2E" w:rsidR="000251EB" w:rsidRPr="000251EB" w:rsidRDefault="000251EB" w:rsidP="000251EB">
            <w:r w:rsidRPr="000251EB">
              <w:rPr>
                <w:b/>
                <w:bCs/>
              </w:rPr>
              <w:t>Системо- органна класификация</w:t>
            </w:r>
          </w:p>
        </w:tc>
        <w:tc>
          <w:tcPr>
            <w:tcW w:w="1526" w:type="dxa"/>
          </w:tcPr>
          <w:p w14:paraId="26C9C323" w14:textId="7D0521BE" w:rsidR="000251EB" w:rsidRPr="000251EB" w:rsidRDefault="000251EB" w:rsidP="000251EB">
            <w:r w:rsidRPr="000251EB">
              <w:rPr>
                <w:b/>
                <w:bCs/>
              </w:rPr>
              <w:t xml:space="preserve">Много чести </w:t>
            </w:r>
            <w:r w:rsidRPr="000251EB">
              <w:rPr>
                <w:b/>
                <w:bCs/>
                <w:i/>
                <w:iCs/>
              </w:rPr>
              <w:t>(21/10)</w:t>
            </w:r>
          </w:p>
        </w:tc>
        <w:tc>
          <w:tcPr>
            <w:tcW w:w="1651" w:type="dxa"/>
          </w:tcPr>
          <w:p w14:paraId="48EC7387" w14:textId="77777777" w:rsidR="000251EB" w:rsidRPr="000251EB" w:rsidRDefault="000251EB" w:rsidP="000251EB">
            <w:r w:rsidRPr="000251EB">
              <w:rPr>
                <w:b/>
                <w:bCs/>
              </w:rPr>
              <w:t>Чести</w:t>
            </w:r>
          </w:p>
          <w:p w14:paraId="254FEDAF" w14:textId="3218E579" w:rsidR="000251EB" w:rsidRPr="000251EB" w:rsidRDefault="000251EB" w:rsidP="000251EB">
            <w:r w:rsidRPr="000251EB">
              <w:rPr>
                <w:b/>
                <w:bCs/>
                <w:i/>
                <w:iCs/>
              </w:rPr>
              <w:t>(≥1/100 до &lt;1/10)</w:t>
            </w:r>
          </w:p>
        </w:tc>
        <w:tc>
          <w:tcPr>
            <w:tcW w:w="2460" w:type="dxa"/>
          </w:tcPr>
          <w:p w14:paraId="00282E39" w14:textId="77777777" w:rsidR="000251EB" w:rsidRPr="000251EB" w:rsidRDefault="000251EB" w:rsidP="000251EB">
            <w:r w:rsidRPr="000251EB">
              <w:rPr>
                <w:b/>
                <w:bCs/>
              </w:rPr>
              <w:t>Нечести</w:t>
            </w:r>
          </w:p>
          <w:p w14:paraId="065E0F7F" w14:textId="2081FD54" w:rsidR="000251EB" w:rsidRPr="000251EB" w:rsidRDefault="000251EB" w:rsidP="000251EB">
            <w:r w:rsidRPr="000251EB">
              <w:rPr>
                <w:b/>
                <w:bCs/>
                <w:i/>
                <w:iCs/>
              </w:rPr>
              <w:t>(≥1/1 000 до &lt;1/100)</w:t>
            </w:r>
          </w:p>
        </w:tc>
        <w:tc>
          <w:tcPr>
            <w:tcW w:w="2111" w:type="dxa"/>
          </w:tcPr>
          <w:p w14:paraId="61852219" w14:textId="35E030F9" w:rsidR="000251EB" w:rsidRPr="000251EB" w:rsidRDefault="000251EB" w:rsidP="000251EB">
            <w:r w:rsidRPr="000251EB">
              <w:rPr>
                <w:b/>
                <w:bCs/>
              </w:rPr>
              <w:t xml:space="preserve">Редки </w:t>
            </w:r>
            <w:r w:rsidRPr="000251EB">
              <w:rPr>
                <w:b/>
                <w:bCs/>
                <w:i/>
                <w:iCs/>
              </w:rPr>
              <w:t>(≥1/10 000 до &lt;1/1 000)</w:t>
            </w:r>
          </w:p>
        </w:tc>
      </w:tr>
      <w:tr w:rsidR="000251EB" w14:paraId="6F85A520" w14:textId="77777777" w:rsidTr="000251EB">
        <w:tc>
          <w:tcPr>
            <w:tcW w:w="1828" w:type="dxa"/>
          </w:tcPr>
          <w:p w14:paraId="2303FB68" w14:textId="74C37DD2" w:rsidR="000251EB" w:rsidRPr="000251EB" w:rsidRDefault="000251EB" w:rsidP="000251EB">
            <w:r w:rsidRPr="000251EB">
              <w:t>Инфекции и инфестации</w:t>
            </w:r>
          </w:p>
        </w:tc>
        <w:tc>
          <w:tcPr>
            <w:tcW w:w="1526" w:type="dxa"/>
          </w:tcPr>
          <w:p w14:paraId="6AD07ACD" w14:textId="77777777" w:rsidR="000251EB" w:rsidRPr="000251EB" w:rsidRDefault="000251EB" w:rsidP="000251EB"/>
        </w:tc>
        <w:tc>
          <w:tcPr>
            <w:tcW w:w="1651" w:type="dxa"/>
          </w:tcPr>
          <w:p w14:paraId="5B040940" w14:textId="77777777" w:rsidR="000251EB" w:rsidRPr="000251EB" w:rsidRDefault="000251EB" w:rsidP="000251EB"/>
        </w:tc>
        <w:tc>
          <w:tcPr>
            <w:tcW w:w="2460" w:type="dxa"/>
          </w:tcPr>
          <w:p w14:paraId="44E3C2FA" w14:textId="0ABED86E" w:rsidR="000251EB" w:rsidRPr="000251EB" w:rsidRDefault="000251EB" w:rsidP="000251EB">
            <w:r w:rsidRPr="000251EB">
              <w:t>Ринит</w:t>
            </w:r>
          </w:p>
        </w:tc>
        <w:tc>
          <w:tcPr>
            <w:tcW w:w="2111" w:type="dxa"/>
          </w:tcPr>
          <w:p w14:paraId="70BBCBC8" w14:textId="77777777" w:rsidR="000251EB" w:rsidRPr="000251EB" w:rsidRDefault="000251EB" w:rsidP="000251EB"/>
        </w:tc>
      </w:tr>
      <w:tr w:rsidR="000251EB" w14:paraId="2AA080AC" w14:textId="77777777" w:rsidTr="000251EB">
        <w:tc>
          <w:tcPr>
            <w:tcW w:w="1828" w:type="dxa"/>
          </w:tcPr>
          <w:p w14:paraId="751CA4FF" w14:textId="5681A03E" w:rsidR="000251EB" w:rsidRPr="000251EB" w:rsidRDefault="000251EB" w:rsidP="000251EB">
            <w:r w:rsidRPr="000251EB">
              <w:t>Нарушения на имунната система</w:t>
            </w:r>
          </w:p>
        </w:tc>
        <w:tc>
          <w:tcPr>
            <w:tcW w:w="1526" w:type="dxa"/>
          </w:tcPr>
          <w:p w14:paraId="66F2CBE3" w14:textId="77777777" w:rsidR="000251EB" w:rsidRPr="000251EB" w:rsidRDefault="000251EB" w:rsidP="000251EB"/>
        </w:tc>
        <w:tc>
          <w:tcPr>
            <w:tcW w:w="1651" w:type="dxa"/>
          </w:tcPr>
          <w:p w14:paraId="0B84AA0C" w14:textId="77777777" w:rsidR="000251EB" w:rsidRPr="000251EB" w:rsidRDefault="000251EB" w:rsidP="000251EB"/>
        </w:tc>
        <w:tc>
          <w:tcPr>
            <w:tcW w:w="2460" w:type="dxa"/>
          </w:tcPr>
          <w:p w14:paraId="7B7C3505" w14:textId="45ED51C6" w:rsidR="000251EB" w:rsidRPr="000251EB" w:rsidRDefault="000251EB" w:rsidP="000251EB">
            <w:r w:rsidRPr="000251EB">
              <w:t>Свръхчувствителност</w:t>
            </w:r>
          </w:p>
        </w:tc>
        <w:tc>
          <w:tcPr>
            <w:tcW w:w="2111" w:type="dxa"/>
          </w:tcPr>
          <w:p w14:paraId="670AF687" w14:textId="77777777" w:rsidR="000251EB" w:rsidRPr="000251EB" w:rsidRDefault="000251EB" w:rsidP="000251EB"/>
        </w:tc>
      </w:tr>
      <w:tr w:rsidR="000251EB" w14:paraId="7129FCBC" w14:textId="77777777" w:rsidTr="000251EB">
        <w:tc>
          <w:tcPr>
            <w:tcW w:w="1828" w:type="dxa"/>
          </w:tcPr>
          <w:p w14:paraId="6A7501FA" w14:textId="0BB5627F" w:rsidR="000251EB" w:rsidRPr="000251EB" w:rsidRDefault="000251EB" w:rsidP="000251EB">
            <w:r w:rsidRPr="000251EB">
              <w:lastRenderedPageBreak/>
              <w:t>Нарушения на нервната система</w:t>
            </w:r>
          </w:p>
        </w:tc>
        <w:tc>
          <w:tcPr>
            <w:tcW w:w="1526" w:type="dxa"/>
          </w:tcPr>
          <w:p w14:paraId="25D9B634" w14:textId="48906054" w:rsidR="000251EB" w:rsidRPr="000251EB" w:rsidRDefault="000251EB" w:rsidP="000251EB">
            <w:r w:rsidRPr="000251EB">
              <w:t>Главоболие</w:t>
            </w:r>
          </w:p>
        </w:tc>
        <w:tc>
          <w:tcPr>
            <w:tcW w:w="1651" w:type="dxa"/>
          </w:tcPr>
          <w:p w14:paraId="2C2FAF53" w14:textId="65CC4736" w:rsidR="000251EB" w:rsidRPr="000251EB" w:rsidRDefault="000251EB" w:rsidP="000251EB">
            <w:r w:rsidRPr="000251EB">
              <w:t>Замайване</w:t>
            </w:r>
          </w:p>
        </w:tc>
        <w:tc>
          <w:tcPr>
            <w:tcW w:w="2460" w:type="dxa"/>
          </w:tcPr>
          <w:p w14:paraId="3C65D31A" w14:textId="68D4D482" w:rsidR="000251EB" w:rsidRPr="000251EB" w:rsidRDefault="000251EB" w:rsidP="000251EB">
            <w:r w:rsidRPr="000251EB">
              <w:t>Сънливост, хипоестезия</w:t>
            </w:r>
          </w:p>
        </w:tc>
        <w:tc>
          <w:tcPr>
            <w:tcW w:w="2111" w:type="dxa"/>
            <w:vAlign w:val="bottom"/>
          </w:tcPr>
          <w:p w14:paraId="29605F05" w14:textId="47E95CA9" w:rsidR="000251EB" w:rsidRPr="000251EB" w:rsidRDefault="000251EB" w:rsidP="000251EB">
            <w:r w:rsidRPr="000251EB">
              <w:t>Мозъчносьдов инцидент, транзиторна исхемична атака, гърч*, рецидивиращи гърчове* синкоп</w:t>
            </w:r>
          </w:p>
        </w:tc>
      </w:tr>
      <w:tr w:rsidR="000251EB" w14:paraId="548E2CD1" w14:textId="77777777" w:rsidTr="000251EB">
        <w:tc>
          <w:tcPr>
            <w:tcW w:w="1828" w:type="dxa"/>
          </w:tcPr>
          <w:p w14:paraId="72D1A1CB" w14:textId="5E94ACA3" w:rsidR="000251EB" w:rsidRPr="000251EB" w:rsidRDefault="000251EB" w:rsidP="000251EB">
            <w:r w:rsidRPr="000251EB">
              <w:t>Нарушения на очите</w:t>
            </w:r>
          </w:p>
        </w:tc>
        <w:tc>
          <w:tcPr>
            <w:tcW w:w="1526" w:type="dxa"/>
          </w:tcPr>
          <w:p w14:paraId="6F38DF5B" w14:textId="77777777" w:rsidR="000251EB" w:rsidRPr="000251EB" w:rsidRDefault="000251EB" w:rsidP="000251EB"/>
        </w:tc>
        <w:tc>
          <w:tcPr>
            <w:tcW w:w="1651" w:type="dxa"/>
          </w:tcPr>
          <w:p w14:paraId="73DD9493" w14:textId="08AFE2FA" w:rsidR="000251EB" w:rsidRPr="000251EB" w:rsidRDefault="000251EB" w:rsidP="000251EB">
            <w:r w:rsidRPr="000251EB">
              <w:t>Разстройства в цветното зрение**, зрителни нарушения, замъглено зрение</w:t>
            </w:r>
          </w:p>
        </w:tc>
        <w:tc>
          <w:tcPr>
            <w:tcW w:w="2460" w:type="dxa"/>
          </w:tcPr>
          <w:p w14:paraId="1699C89C" w14:textId="5EA34AAA" w:rsidR="000251EB" w:rsidRPr="000251EB" w:rsidRDefault="000251EB" w:rsidP="000251EB">
            <w:r w:rsidRPr="000251EB">
              <w:t>Нарушения на сълзоотделянето ***, болка в очите, фотофобия, фотопсия, очна хиперемия, засилено възприемане на светлината, конюнктивит</w:t>
            </w:r>
          </w:p>
        </w:tc>
        <w:tc>
          <w:tcPr>
            <w:tcW w:w="2111" w:type="dxa"/>
            <w:vAlign w:val="bottom"/>
          </w:tcPr>
          <w:p w14:paraId="24B1D03B" w14:textId="39743E4A" w:rsidR="000251EB" w:rsidRPr="000251EB" w:rsidRDefault="000251EB" w:rsidP="000251EB">
            <w:r w:rsidRPr="000251EB">
              <w:t xml:space="preserve">Неартериитна предна исхемична оптична невропатия (НАИОН)* ретинална съдова оклузия*, ретинален кръвоизлив, атеросклеротична ретинопатия, нарушения на ретината, глаукома, нарушения на зрителното поле, диплопия, намалена зрителна острота, миопия, астенопия, мъглявини в стъкловидното тяло, нарушения на ириса, мидриаза, виждане на ореоли около светлинни източници, едем на окото, подуване на окото, нарушение на окото, хиперемия на конюнктивата, очно дразнене, абнормни усещания в </w:t>
            </w:r>
            <w:r w:rsidRPr="000251EB">
              <w:lastRenderedPageBreak/>
              <w:t>очите, едем на клепача, промяна на цвета на склерата</w:t>
            </w:r>
          </w:p>
        </w:tc>
      </w:tr>
      <w:tr w:rsidR="000251EB" w14:paraId="72FD5DE9" w14:textId="77777777" w:rsidTr="000251EB">
        <w:tc>
          <w:tcPr>
            <w:tcW w:w="1828" w:type="dxa"/>
            <w:vAlign w:val="bottom"/>
          </w:tcPr>
          <w:p w14:paraId="6D5A2F68" w14:textId="3B867141" w:rsidR="000251EB" w:rsidRPr="000251EB" w:rsidRDefault="000251EB" w:rsidP="000251EB">
            <w:r w:rsidRPr="000251EB">
              <w:lastRenderedPageBreak/>
              <w:t>Нарушения на ухото и лабиринта</w:t>
            </w:r>
          </w:p>
        </w:tc>
        <w:tc>
          <w:tcPr>
            <w:tcW w:w="1526" w:type="dxa"/>
          </w:tcPr>
          <w:p w14:paraId="37D98EAF" w14:textId="77777777" w:rsidR="000251EB" w:rsidRPr="000251EB" w:rsidRDefault="000251EB" w:rsidP="000251EB"/>
        </w:tc>
        <w:tc>
          <w:tcPr>
            <w:tcW w:w="1651" w:type="dxa"/>
          </w:tcPr>
          <w:p w14:paraId="3043AA9D" w14:textId="77777777" w:rsidR="000251EB" w:rsidRPr="000251EB" w:rsidRDefault="000251EB" w:rsidP="000251EB"/>
        </w:tc>
        <w:tc>
          <w:tcPr>
            <w:tcW w:w="2460" w:type="dxa"/>
          </w:tcPr>
          <w:p w14:paraId="2EF5171D" w14:textId="2FB39252" w:rsidR="000251EB" w:rsidRPr="000251EB" w:rsidRDefault="000251EB" w:rsidP="000251EB">
            <w:r w:rsidRPr="000251EB">
              <w:t>Вертиго, тинитус</w:t>
            </w:r>
          </w:p>
        </w:tc>
        <w:tc>
          <w:tcPr>
            <w:tcW w:w="2111" w:type="dxa"/>
          </w:tcPr>
          <w:p w14:paraId="0B84715B" w14:textId="1701271D" w:rsidR="000251EB" w:rsidRPr="000251EB" w:rsidRDefault="000251EB" w:rsidP="000251EB">
            <w:r w:rsidRPr="000251EB">
              <w:t>Глухота</w:t>
            </w:r>
          </w:p>
        </w:tc>
      </w:tr>
      <w:tr w:rsidR="000251EB" w14:paraId="2476ECB0" w14:textId="77777777" w:rsidTr="000251EB">
        <w:tc>
          <w:tcPr>
            <w:tcW w:w="1828" w:type="dxa"/>
          </w:tcPr>
          <w:p w14:paraId="7D08BA23" w14:textId="6CBCEE04" w:rsidR="000251EB" w:rsidRPr="000251EB" w:rsidRDefault="000251EB" w:rsidP="000251EB">
            <w:r w:rsidRPr="000251EB">
              <w:t>Сърдечни нарушения</w:t>
            </w:r>
          </w:p>
        </w:tc>
        <w:tc>
          <w:tcPr>
            <w:tcW w:w="1526" w:type="dxa"/>
          </w:tcPr>
          <w:p w14:paraId="52D9D2B7" w14:textId="77777777" w:rsidR="000251EB" w:rsidRPr="000251EB" w:rsidRDefault="000251EB" w:rsidP="000251EB"/>
        </w:tc>
        <w:tc>
          <w:tcPr>
            <w:tcW w:w="1651" w:type="dxa"/>
          </w:tcPr>
          <w:p w14:paraId="09759605" w14:textId="77777777" w:rsidR="000251EB" w:rsidRPr="000251EB" w:rsidRDefault="000251EB" w:rsidP="000251EB"/>
        </w:tc>
        <w:tc>
          <w:tcPr>
            <w:tcW w:w="2460" w:type="dxa"/>
          </w:tcPr>
          <w:p w14:paraId="7F08E1A1" w14:textId="2703F92E" w:rsidR="000251EB" w:rsidRPr="000251EB" w:rsidRDefault="000251EB" w:rsidP="000251EB">
            <w:r w:rsidRPr="000251EB">
              <w:t>Тахикардия, палпитации</w:t>
            </w:r>
          </w:p>
        </w:tc>
        <w:tc>
          <w:tcPr>
            <w:tcW w:w="2111" w:type="dxa"/>
          </w:tcPr>
          <w:p w14:paraId="12C4D6F3" w14:textId="5E7B1893" w:rsidR="000251EB" w:rsidRPr="000251EB" w:rsidRDefault="000251EB" w:rsidP="000251EB">
            <w:r w:rsidRPr="000251EB">
              <w:t>Внезапна сърдечна смърт/ миокарден инфаркт, камерна аритмия/ предсърдно мъждене, нестабилна стенокардия</w:t>
            </w:r>
          </w:p>
        </w:tc>
      </w:tr>
      <w:tr w:rsidR="000251EB" w14:paraId="55ACFA04" w14:textId="77777777" w:rsidTr="000251EB">
        <w:tc>
          <w:tcPr>
            <w:tcW w:w="1828" w:type="dxa"/>
          </w:tcPr>
          <w:p w14:paraId="0162EF90" w14:textId="336AA874" w:rsidR="000251EB" w:rsidRPr="000251EB" w:rsidRDefault="000251EB" w:rsidP="000251EB">
            <w:r w:rsidRPr="000251EB">
              <w:t>Съдови нарушения</w:t>
            </w:r>
          </w:p>
        </w:tc>
        <w:tc>
          <w:tcPr>
            <w:tcW w:w="1526" w:type="dxa"/>
          </w:tcPr>
          <w:p w14:paraId="4B8D0FB3" w14:textId="77777777" w:rsidR="000251EB" w:rsidRPr="000251EB" w:rsidRDefault="000251EB" w:rsidP="000251EB"/>
        </w:tc>
        <w:tc>
          <w:tcPr>
            <w:tcW w:w="1651" w:type="dxa"/>
          </w:tcPr>
          <w:p w14:paraId="7DA01C31" w14:textId="1DCD36F2" w:rsidR="000251EB" w:rsidRPr="000251EB" w:rsidRDefault="000251EB" w:rsidP="000251EB">
            <w:r w:rsidRPr="000251EB">
              <w:t>Зачервяване, горещи вълни</w:t>
            </w:r>
          </w:p>
        </w:tc>
        <w:tc>
          <w:tcPr>
            <w:tcW w:w="2460" w:type="dxa"/>
          </w:tcPr>
          <w:p w14:paraId="02668B20" w14:textId="64C19C5B" w:rsidR="000251EB" w:rsidRPr="000251EB" w:rsidRDefault="000251EB" w:rsidP="000251EB">
            <w:r w:rsidRPr="000251EB">
              <w:t>Хипертония, хипотония</w:t>
            </w:r>
          </w:p>
        </w:tc>
        <w:tc>
          <w:tcPr>
            <w:tcW w:w="2111" w:type="dxa"/>
          </w:tcPr>
          <w:p w14:paraId="32F3FFE6" w14:textId="77777777" w:rsidR="000251EB" w:rsidRPr="000251EB" w:rsidRDefault="000251EB" w:rsidP="000251EB"/>
        </w:tc>
      </w:tr>
      <w:tr w:rsidR="000251EB" w14:paraId="430568C1" w14:textId="77777777" w:rsidTr="000251EB">
        <w:tc>
          <w:tcPr>
            <w:tcW w:w="1828" w:type="dxa"/>
          </w:tcPr>
          <w:p w14:paraId="680045AA" w14:textId="729842F8" w:rsidR="000251EB" w:rsidRPr="000251EB" w:rsidRDefault="000251EB" w:rsidP="000251EB">
            <w:r w:rsidRPr="000251EB">
              <w:t>Респираторни, гръдни и медиастинални нарушения</w:t>
            </w:r>
          </w:p>
        </w:tc>
        <w:tc>
          <w:tcPr>
            <w:tcW w:w="1526" w:type="dxa"/>
          </w:tcPr>
          <w:p w14:paraId="6D7D7F45" w14:textId="77777777" w:rsidR="000251EB" w:rsidRPr="000251EB" w:rsidRDefault="000251EB" w:rsidP="000251EB"/>
        </w:tc>
        <w:tc>
          <w:tcPr>
            <w:tcW w:w="1651" w:type="dxa"/>
          </w:tcPr>
          <w:p w14:paraId="02886538" w14:textId="564E2438" w:rsidR="000251EB" w:rsidRPr="000251EB" w:rsidRDefault="000251EB" w:rsidP="000251EB">
            <w:r w:rsidRPr="000251EB">
              <w:t>Назална конгестия</w:t>
            </w:r>
          </w:p>
        </w:tc>
        <w:tc>
          <w:tcPr>
            <w:tcW w:w="2460" w:type="dxa"/>
          </w:tcPr>
          <w:p w14:paraId="459FBF3B" w14:textId="0ED06990" w:rsidR="000251EB" w:rsidRPr="000251EB" w:rsidRDefault="000251EB" w:rsidP="000251EB">
            <w:r w:rsidRPr="000251EB">
              <w:t>Епистаксис, конгестия на синусите</w:t>
            </w:r>
          </w:p>
        </w:tc>
        <w:tc>
          <w:tcPr>
            <w:tcW w:w="2111" w:type="dxa"/>
          </w:tcPr>
          <w:p w14:paraId="1C780285" w14:textId="6C6E7E65" w:rsidR="000251EB" w:rsidRPr="000251EB" w:rsidRDefault="000251EB" w:rsidP="000251EB">
            <w:r w:rsidRPr="000251EB">
              <w:t>Стягане в гърлото, назален едем, сухота в носа</w:t>
            </w:r>
          </w:p>
        </w:tc>
      </w:tr>
      <w:tr w:rsidR="000251EB" w14:paraId="336AC9CB" w14:textId="77777777" w:rsidTr="000251EB">
        <w:tc>
          <w:tcPr>
            <w:tcW w:w="1828" w:type="dxa"/>
          </w:tcPr>
          <w:p w14:paraId="4190960B" w14:textId="65F3D4A9" w:rsidR="000251EB" w:rsidRPr="000251EB" w:rsidRDefault="000251EB" w:rsidP="000251EB">
            <w:r w:rsidRPr="000251EB">
              <w:t>Стомашно- чревни нарушения</w:t>
            </w:r>
          </w:p>
        </w:tc>
        <w:tc>
          <w:tcPr>
            <w:tcW w:w="1526" w:type="dxa"/>
          </w:tcPr>
          <w:p w14:paraId="62D90D58" w14:textId="77777777" w:rsidR="000251EB" w:rsidRPr="000251EB" w:rsidRDefault="000251EB" w:rsidP="000251EB"/>
        </w:tc>
        <w:tc>
          <w:tcPr>
            <w:tcW w:w="1651" w:type="dxa"/>
          </w:tcPr>
          <w:p w14:paraId="3BE1D1A5" w14:textId="56324DDB" w:rsidR="000251EB" w:rsidRPr="000251EB" w:rsidRDefault="000251EB" w:rsidP="000251EB">
            <w:r w:rsidRPr="000251EB">
              <w:t>Гадене, диспепсия</w:t>
            </w:r>
          </w:p>
        </w:tc>
        <w:tc>
          <w:tcPr>
            <w:tcW w:w="2460" w:type="dxa"/>
          </w:tcPr>
          <w:p w14:paraId="61347743" w14:textId="62E1AB10" w:rsidR="000251EB" w:rsidRPr="000251EB" w:rsidRDefault="000251EB" w:rsidP="000251EB">
            <w:r w:rsidRPr="000251EB">
              <w:t>Гастроезофагеална рефлуксна болест, повръщане, болки в горната част на корема, сухота в устата</w:t>
            </w:r>
          </w:p>
        </w:tc>
        <w:tc>
          <w:tcPr>
            <w:tcW w:w="2111" w:type="dxa"/>
          </w:tcPr>
          <w:p w14:paraId="34D03AC1" w14:textId="066C8338" w:rsidR="000251EB" w:rsidRPr="000251EB" w:rsidRDefault="000251EB" w:rsidP="000251EB">
            <w:r w:rsidRPr="000251EB">
              <w:t>Орална хипоестезия</w:t>
            </w:r>
          </w:p>
        </w:tc>
      </w:tr>
      <w:tr w:rsidR="000251EB" w14:paraId="442A81E2" w14:textId="77777777" w:rsidTr="000251EB">
        <w:tc>
          <w:tcPr>
            <w:tcW w:w="1828" w:type="dxa"/>
          </w:tcPr>
          <w:p w14:paraId="22CC35C2" w14:textId="0BF2BF3B" w:rsidR="000251EB" w:rsidRPr="000251EB" w:rsidRDefault="000251EB" w:rsidP="000251EB">
            <w:r w:rsidRPr="000251EB">
              <w:t>Нарушения на кожата и подкожната тъкан</w:t>
            </w:r>
          </w:p>
        </w:tc>
        <w:tc>
          <w:tcPr>
            <w:tcW w:w="1526" w:type="dxa"/>
          </w:tcPr>
          <w:p w14:paraId="0F37121F" w14:textId="77777777" w:rsidR="000251EB" w:rsidRPr="000251EB" w:rsidRDefault="000251EB" w:rsidP="000251EB"/>
        </w:tc>
        <w:tc>
          <w:tcPr>
            <w:tcW w:w="1651" w:type="dxa"/>
          </w:tcPr>
          <w:p w14:paraId="4EBEDD0B" w14:textId="77777777" w:rsidR="000251EB" w:rsidRPr="000251EB" w:rsidRDefault="000251EB" w:rsidP="000251EB"/>
        </w:tc>
        <w:tc>
          <w:tcPr>
            <w:tcW w:w="2460" w:type="dxa"/>
          </w:tcPr>
          <w:p w14:paraId="0B32C82A" w14:textId="7A9F03A3" w:rsidR="000251EB" w:rsidRPr="000251EB" w:rsidRDefault="000251EB" w:rsidP="000251EB">
            <w:r w:rsidRPr="000251EB">
              <w:t>Обрив</w:t>
            </w:r>
          </w:p>
        </w:tc>
        <w:tc>
          <w:tcPr>
            <w:tcW w:w="2111" w:type="dxa"/>
          </w:tcPr>
          <w:p w14:paraId="3635AC94" w14:textId="415B6FD0" w:rsidR="000251EB" w:rsidRPr="000251EB" w:rsidRDefault="000251EB" w:rsidP="000251EB">
            <w:r w:rsidRPr="000251EB">
              <w:t xml:space="preserve">Синдром на </w:t>
            </w:r>
            <w:r w:rsidRPr="000251EB">
              <w:rPr>
                <w:lang w:val="en-US"/>
              </w:rPr>
              <w:t xml:space="preserve">Stevens- Johnson (SJS)/ </w:t>
            </w:r>
            <w:r w:rsidRPr="000251EB">
              <w:t xml:space="preserve">токсична епидермална некролиза </w:t>
            </w:r>
            <w:r w:rsidRPr="000251EB">
              <w:rPr>
                <w:lang w:val="en-US"/>
              </w:rPr>
              <w:t>(TEN)*</w:t>
            </w:r>
          </w:p>
        </w:tc>
      </w:tr>
      <w:tr w:rsidR="000251EB" w14:paraId="33918ED5" w14:textId="77777777" w:rsidTr="000251EB">
        <w:tc>
          <w:tcPr>
            <w:tcW w:w="1828" w:type="dxa"/>
          </w:tcPr>
          <w:p w14:paraId="2DC585F5" w14:textId="6BDD521B" w:rsidR="000251EB" w:rsidRPr="000251EB" w:rsidRDefault="000251EB" w:rsidP="000251EB">
            <w:r w:rsidRPr="000251EB">
              <w:t>Нарушения на мускулно- скелетната система и съединителна</w:t>
            </w:r>
            <w:r w:rsidRPr="000251EB">
              <w:softHyphen/>
              <w:t>та тъкан</w:t>
            </w:r>
          </w:p>
        </w:tc>
        <w:tc>
          <w:tcPr>
            <w:tcW w:w="1526" w:type="dxa"/>
          </w:tcPr>
          <w:p w14:paraId="0DB0CD17" w14:textId="77777777" w:rsidR="000251EB" w:rsidRPr="000251EB" w:rsidRDefault="000251EB" w:rsidP="000251EB"/>
        </w:tc>
        <w:tc>
          <w:tcPr>
            <w:tcW w:w="1651" w:type="dxa"/>
          </w:tcPr>
          <w:p w14:paraId="52B8B0F7" w14:textId="77777777" w:rsidR="000251EB" w:rsidRPr="000251EB" w:rsidRDefault="000251EB" w:rsidP="000251EB"/>
        </w:tc>
        <w:tc>
          <w:tcPr>
            <w:tcW w:w="2460" w:type="dxa"/>
          </w:tcPr>
          <w:p w14:paraId="1269C3C2" w14:textId="24A3C3F5" w:rsidR="000251EB" w:rsidRPr="000251EB" w:rsidRDefault="000251EB" w:rsidP="000251EB">
            <w:r w:rsidRPr="000251EB">
              <w:t>Миалгия, болки в крайниците</w:t>
            </w:r>
          </w:p>
        </w:tc>
        <w:tc>
          <w:tcPr>
            <w:tcW w:w="2111" w:type="dxa"/>
          </w:tcPr>
          <w:p w14:paraId="7E879CA6" w14:textId="77777777" w:rsidR="000251EB" w:rsidRPr="000251EB" w:rsidRDefault="000251EB" w:rsidP="000251EB"/>
        </w:tc>
      </w:tr>
      <w:tr w:rsidR="000251EB" w14:paraId="0F5D982A" w14:textId="77777777" w:rsidTr="000251EB">
        <w:tc>
          <w:tcPr>
            <w:tcW w:w="1828" w:type="dxa"/>
          </w:tcPr>
          <w:p w14:paraId="72214509" w14:textId="39A14214" w:rsidR="000251EB" w:rsidRPr="000251EB" w:rsidRDefault="000251EB" w:rsidP="000251EB">
            <w:r w:rsidRPr="000251EB">
              <w:t>Нарушения на бъбреците и пикочните пътища</w:t>
            </w:r>
          </w:p>
        </w:tc>
        <w:tc>
          <w:tcPr>
            <w:tcW w:w="1526" w:type="dxa"/>
          </w:tcPr>
          <w:p w14:paraId="01626B4D" w14:textId="77777777" w:rsidR="000251EB" w:rsidRPr="000251EB" w:rsidRDefault="000251EB" w:rsidP="000251EB"/>
        </w:tc>
        <w:tc>
          <w:tcPr>
            <w:tcW w:w="1651" w:type="dxa"/>
          </w:tcPr>
          <w:p w14:paraId="37BB145B" w14:textId="77777777" w:rsidR="000251EB" w:rsidRPr="000251EB" w:rsidRDefault="000251EB" w:rsidP="000251EB"/>
        </w:tc>
        <w:tc>
          <w:tcPr>
            <w:tcW w:w="2460" w:type="dxa"/>
          </w:tcPr>
          <w:p w14:paraId="1F08C76B" w14:textId="7A70DC51" w:rsidR="000251EB" w:rsidRPr="000251EB" w:rsidRDefault="000251EB" w:rsidP="000251EB">
            <w:r w:rsidRPr="000251EB">
              <w:t>Хематурия</w:t>
            </w:r>
          </w:p>
        </w:tc>
        <w:tc>
          <w:tcPr>
            <w:tcW w:w="2111" w:type="dxa"/>
          </w:tcPr>
          <w:p w14:paraId="2ED72971" w14:textId="77777777" w:rsidR="000251EB" w:rsidRPr="000251EB" w:rsidRDefault="000251EB" w:rsidP="000251EB"/>
        </w:tc>
      </w:tr>
      <w:tr w:rsidR="000251EB" w14:paraId="633496B8" w14:textId="77777777" w:rsidTr="000251EB">
        <w:tc>
          <w:tcPr>
            <w:tcW w:w="1828" w:type="dxa"/>
          </w:tcPr>
          <w:p w14:paraId="14A33B02" w14:textId="56C11493" w:rsidR="000251EB" w:rsidRPr="000251EB" w:rsidRDefault="000251EB" w:rsidP="000251EB">
            <w:r w:rsidRPr="000251EB">
              <w:t>Нарушения на възпроизводи</w:t>
            </w:r>
            <w:r w:rsidRPr="000251EB">
              <w:softHyphen/>
              <w:t xml:space="preserve">телната </w:t>
            </w:r>
            <w:r w:rsidRPr="000251EB">
              <w:lastRenderedPageBreak/>
              <w:t>система и гърдата</w:t>
            </w:r>
          </w:p>
        </w:tc>
        <w:tc>
          <w:tcPr>
            <w:tcW w:w="1526" w:type="dxa"/>
          </w:tcPr>
          <w:p w14:paraId="551B7499" w14:textId="77777777" w:rsidR="000251EB" w:rsidRPr="000251EB" w:rsidRDefault="000251EB" w:rsidP="000251EB"/>
        </w:tc>
        <w:tc>
          <w:tcPr>
            <w:tcW w:w="1651" w:type="dxa"/>
          </w:tcPr>
          <w:p w14:paraId="1954E641" w14:textId="77777777" w:rsidR="000251EB" w:rsidRPr="000251EB" w:rsidRDefault="000251EB" w:rsidP="000251EB"/>
        </w:tc>
        <w:tc>
          <w:tcPr>
            <w:tcW w:w="2460" w:type="dxa"/>
          </w:tcPr>
          <w:p w14:paraId="691208D4" w14:textId="77777777" w:rsidR="000251EB" w:rsidRPr="000251EB" w:rsidRDefault="000251EB" w:rsidP="000251EB"/>
        </w:tc>
        <w:tc>
          <w:tcPr>
            <w:tcW w:w="2111" w:type="dxa"/>
          </w:tcPr>
          <w:p w14:paraId="73E99636" w14:textId="483F1CB3" w:rsidR="000251EB" w:rsidRPr="000251EB" w:rsidRDefault="000251EB" w:rsidP="000251EB">
            <w:r w:rsidRPr="000251EB">
              <w:t xml:space="preserve">Пенилен кръвоизлив, приапизъм* </w:t>
            </w:r>
            <w:r w:rsidRPr="000251EB">
              <w:lastRenderedPageBreak/>
              <w:t>хематоспермия, удължена ерекция</w:t>
            </w:r>
          </w:p>
        </w:tc>
      </w:tr>
      <w:tr w:rsidR="000251EB" w14:paraId="57C22EFE" w14:textId="77777777" w:rsidTr="000251EB">
        <w:tc>
          <w:tcPr>
            <w:tcW w:w="1828" w:type="dxa"/>
          </w:tcPr>
          <w:p w14:paraId="7386E97B" w14:textId="383CDBF0" w:rsidR="000251EB" w:rsidRPr="000251EB" w:rsidRDefault="000251EB" w:rsidP="000251EB">
            <w:r w:rsidRPr="000251EB">
              <w:lastRenderedPageBreak/>
              <w:t>Общи нарушения и ефекти на мястото на приложение</w:t>
            </w:r>
          </w:p>
        </w:tc>
        <w:tc>
          <w:tcPr>
            <w:tcW w:w="1526" w:type="dxa"/>
          </w:tcPr>
          <w:p w14:paraId="19B80F51" w14:textId="77777777" w:rsidR="000251EB" w:rsidRPr="000251EB" w:rsidRDefault="000251EB" w:rsidP="000251EB"/>
        </w:tc>
        <w:tc>
          <w:tcPr>
            <w:tcW w:w="1651" w:type="dxa"/>
          </w:tcPr>
          <w:p w14:paraId="4530652D" w14:textId="77777777" w:rsidR="000251EB" w:rsidRPr="000251EB" w:rsidRDefault="000251EB" w:rsidP="000251EB"/>
        </w:tc>
        <w:tc>
          <w:tcPr>
            <w:tcW w:w="2460" w:type="dxa"/>
          </w:tcPr>
          <w:p w14:paraId="6CA64583" w14:textId="11CE6905" w:rsidR="000251EB" w:rsidRPr="000251EB" w:rsidRDefault="000251EB" w:rsidP="000251EB">
            <w:r w:rsidRPr="000251EB">
              <w:t>Гръдна болка, умора, усещане за горещина</w:t>
            </w:r>
          </w:p>
        </w:tc>
        <w:tc>
          <w:tcPr>
            <w:tcW w:w="2111" w:type="dxa"/>
          </w:tcPr>
          <w:p w14:paraId="41C5AE72" w14:textId="369FAEB2" w:rsidR="000251EB" w:rsidRPr="000251EB" w:rsidRDefault="000251EB" w:rsidP="000251EB">
            <w:r w:rsidRPr="000251EB">
              <w:t>Раздразнителност</w:t>
            </w:r>
          </w:p>
        </w:tc>
      </w:tr>
      <w:tr w:rsidR="000251EB" w14:paraId="235C0FAD" w14:textId="77777777" w:rsidTr="000251EB">
        <w:tc>
          <w:tcPr>
            <w:tcW w:w="1828" w:type="dxa"/>
          </w:tcPr>
          <w:p w14:paraId="4F91AF79" w14:textId="26FDC040" w:rsidR="000251EB" w:rsidRPr="000251EB" w:rsidRDefault="000251EB" w:rsidP="000251EB">
            <w:r w:rsidRPr="000251EB">
              <w:t>Изследвания</w:t>
            </w:r>
          </w:p>
        </w:tc>
        <w:tc>
          <w:tcPr>
            <w:tcW w:w="1526" w:type="dxa"/>
          </w:tcPr>
          <w:p w14:paraId="23058FB3" w14:textId="77777777" w:rsidR="000251EB" w:rsidRPr="000251EB" w:rsidRDefault="000251EB" w:rsidP="000251EB"/>
        </w:tc>
        <w:tc>
          <w:tcPr>
            <w:tcW w:w="1651" w:type="dxa"/>
          </w:tcPr>
          <w:p w14:paraId="2766783B" w14:textId="77777777" w:rsidR="000251EB" w:rsidRPr="000251EB" w:rsidRDefault="000251EB" w:rsidP="000251EB"/>
        </w:tc>
        <w:tc>
          <w:tcPr>
            <w:tcW w:w="2460" w:type="dxa"/>
          </w:tcPr>
          <w:p w14:paraId="211F3DBC" w14:textId="6FC52C11" w:rsidR="000251EB" w:rsidRPr="000251EB" w:rsidRDefault="000251EB" w:rsidP="000251EB">
            <w:r w:rsidRPr="000251EB">
              <w:t>Увеличена сърдечна честота</w:t>
            </w:r>
          </w:p>
        </w:tc>
        <w:tc>
          <w:tcPr>
            <w:tcW w:w="2111" w:type="dxa"/>
          </w:tcPr>
          <w:p w14:paraId="46902805" w14:textId="77777777" w:rsidR="000251EB" w:rsidRPr="000251EB" w:rsidRDefault="000251EB" w:rsidP="000251EB"/>
        </w:tc>
      </w:tr>
    </w:tbl>
    <w:p w14:paraId="1C2787C8" w14:textId="77777777" w:rsidR="000251EB" w:rsidRDefault="000251EB" w:rsidP="000251EB">
      <w:pPr>
        <w:spacing w:line="240" w:lineRule="auto"/>
        <w:rPr>
          <w:rFonts w:ascii="Times New Roman" w:eastAsia="Times New Roman" w:hAnsi="Times New Roman" w:cs="Times New Roman"/>
          <w:color w:val="000000"/>
          <w:lang w:eastAsia="bg-BG"/>
        </w:rPr>
      </w:pPr>
    </w:p>
    <w:p w14:paraId="7566C9EF" w14:textId="465A9589" w:rsidR="000251EB" w:rsidRPr="000251EB" w:rsidRDefault="000251EB" w:rsidP="000251EB">
      <w:pPr>
        <w:spacing w:line="240" w:lineRule="auto"/>
        <w:rPr>
          <w:rFonts w:eastAsia="Times New Roman" w:cs="Arial"/>
          <w:lang w:eastAsia="bg-BG"/>
        </w:rPr>
      </w:pPr>
      <w:r w:rsidRPr="000251EB">
        <w:rPr>
          <w:rFonts w:eastAsia="Times New Roman" w:cs="Arial"/>
          <w:color w:val="000000"/>
          <w:lang w:eastAsia="bg-BG"/>
        </w:rPr>
        <w:t>* Съобщени само при постмаркетинговото наблюдение</w:t>
      </w:r>
    </w:p>
    <w:p w14:paraId="10C4DA1F" w14:textId="77777777"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 Разстройства на цветното зрение: хлоропсия, хроматопсия, цианопсия, еритропсия и ксантопсия </w:t>
      </w:r>
    </w:p>
    <w:p w14:paraId="4A1961B1" w14:textId="64EA6F83" w:rsidR="000251EB" w:rsidRPr="000251EB" w:rsidRDefault="000251EB" w:rsidP="000251EB">
      <w:pPr>
        <w:spacing w:line="240" w:lineRule="auto"/>
        <w:rPr>
          <w:rFonts w:eastAsia="Times New Roman" w:cs="Arial"/>
          <w:lang w:eastAsia="bg-BG"/>
        </w:rPr>
      </w:pPr>
      <w:r w:rsidRPr="000251EB">
        <w:rPr>
          <w:rFonts w:eastAsia="Times New Roman" w:cs="Arial"/>
          <w:color w:val="000000"/>
          <w:lang w:eastAsia="bg-BG"/>
        </w:rPr>
        <w:t>*** Нарушения на сълзоотделянето: сухота в очите, лакримално нарушение и повишено сълзоотделяне</w:t>
      </w:r>
    </w:p>
    <w:p w14:paraId="31DC20FE" w14:textId="77777777" w:rsidR="000251EB" w:rsidRPr="000251EB" w:rsidRDefault="000251EB" w:rsidP="000251EB">
      <w:pPr>
        <w:spacing w:line="240" w:lineRule="auto"/>
        <w:rPr>
          <w:rFonts w:eastAsia="Times New Roman" w:cs="Arial"/>
          <w:color w:val="000000"/>
          <w:u w:val="single"/>
          <w:lang w:eastAsia="bg-BG"/>
        </w:rPr>
      </w:pPr>
    </w:p>
    <w:p w14:paraId="4AC5A130" w14:textId="28C53DAF" w:rsidR="000251EB" w:rsidRPr="000251EB" w:rsidRDefault="000251EB" w:rsidP="000251EB">
      <w:pPr>
        <w:spacing w:line="240" w:lineRule="auto"/>
        <w:rPr>
          <w:rFonts w:eastAsia="Times New Roman" w:cs="Arial"/>
          <w:lang w:eastAsia="bg-BG"/>
        </w:rPr>
      </w:pPr>
      <w:r w:rsidRPr="000251EB">
        <w:rPr>
          <w:rFonts w:eastAsia="Times New Roman" w:cs="Arial"/>
          <w:color w:val="000000"/>
          <w:u w:val="single"/>
          <w:lang w:eastAsia="bg-BG"/>
        </w:rPr>
        <w:t>Съобщаване на подозирани нежелани реакции</w:t>
      </w:r>
    </w:p>
    <w:p w14:paraId="1AC578C5" w14:textId="77777777" w:rsidR="000251EB" w:rsidRPr="000251EB" w:rsidRDefault="000251EB" w:rsidP="000251EB">
      <w:pPr>
        <w:spacing w:line="240" w:lineRule="auto"/>
        <w:rPr>
          <w:rFonts w:eastAsia="Times New Roman" w:cs="Arial"/>
          <w:lang w:eastAsia="bg-BG"/>
        </w:rPr>
      </w:pPr>
      <w:r w:rsidRPr="000251E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0251EB">
        <w:rPr>
          <w:rFonts w:eastAsia="Times New Roman" w:cs="Arial"/>
          <w:lang w:eastAsia="bg-BG"/>
        </w:rPr>
        <w:fldChar w:fldCharType="begin"/>
      </w:r>
      <w:r w:rsidRPr="000251EB">
        <w:rPr>
          <w:rFonts w:eastAsia="Times New Roman" w:cs="Arial"/>
          <w:lang w:eastAsia="bg-BG"/>
        </w:rPr>
        <w:instrText xml:space="preserve"> HYPERLINK "http://www.bda.bg" </w:instrText>
      </w:r>
      <w:r w:rsidRPr="000251EB">
        <w:rPr>
          <w:rFonts w:eastAsia="Times New Roman" w:cs="Arial"/>
          <w:lang w:eastAsia="bg-BG"/>
        </w:rPr>
      </w:r>
      <w:r w:rsidRPr="000251EB">
        <w:rPr>
          <w:rFonts w:eastAsia="Times New Roman" w:cs="Arial"/>
          <w:lang w:eastAsia="bg-BG"/>
        </w:rPr>
        <w:fldChar w:fldCharType="separate"/>
      </w:r>
      <w:r w:rsidRPr="000251EB">
        <w:rPr>
          <w:rFonts w:eastAsia="Times New Roman" w:cs="Arial"/>
          <w:color w:val="000000"/>
          <w:lang w:val="en-US"/>
        </w:rPr>
        <w:t>www.bda.bg</w:t>
      </w:r>
      <w:r w:rsidRPr="000251EB">
        <w:rPr>
          <w:rFonts w:eastAsia="Times New Roman" w:cs="Arial"/>
          <w:lang w:eastAsia="bg-BG"/>
        </w:rPr>
        <w:fldChar w:fldCharType="end"/>
      </w:r>
      <w:r w:rsidRPr="000251EB">
        <w:rPr>
          <w:rFonts w:eastAsia="Times New Roman" w:cs="Arial"/>
          <w:color w:val="000000"/>
          <w:lang w:val="en-US"/>
        </w:rPr>
        <w:t>.</w:t>
      </w:r>
    </w:p>
    <w:p w14:paraId="2332200C" w14:textId="77777777" w:rsidR="000251EB" w:rsidRPr="000251EB" w:rsidRDefault="000251EB" w:rsidP="000251EB"/>
    <w:p w14:paraId="378A0F20" w14:textId="2E1E1A4D" w:rsidR="001D095A" w:rsidRDefault="002C50EE" w:rsidP="00340E8D">
      <w:pPr>
        <w:pStyle w:val="Heading2"/>
      </w:pPr>
      <w:r>
        <w:t>4.9. Предозиране</w:t>
      </w:r>
    </w:p>
    <w:p w14:paraId="53E3CDB8" w14:textId="6557EC33" w:rsidR="000251EB" w:rsidRDefault="000251EB" w:rsidP="000251EB"/>
    <w:p w14:paraId="30965B62" w14:textId="77777777" w:rsidR="000251EB" w:rsidRPr="000251EB" w:rsidRDefault="000251EB" w:rsidP="000251EB">
      <w:pPr>
        <w:rPr>
          <w:sz w:val="24"/>
          <w:szCs w:val="24"/>
          <w:lang w:eastAsia="bg-BG"/>
        </w:rPr>
      </w:pPr>
      <w:r w:rsidRPr="000251EB">
        <w:rPr>
          <w:lang w:eastAsia="bg-BG"/>
        </w:rPr>
        <w:t xml:space="preserve">В проучвания върху доброволци с еднократни дози до 800 </w:t>
      </w:r>
      <w:r w:rsidRPr="000251EB">
        <w:rPr>
          <w:lang w:val="en-US"/>
        </w:rPr>
        <w:t xml:space="preserve">mg </w:t>
      </w:r>
      <w:r w:rsidRPr="000251EB">
        <w:rPr>
          <w:lang w:eastAsia="bg-BG"/>
        </w:rPr>
        <w:t xml:space="preserve">нежеланите реакции са били подобни на тези, които се наблюдават при по-ниски дози, но тяхната честота и тежест са били по- големи. Дози от 200 </w:t>
      </w:r>
      <w:r w:rsidRPr="000251EB">
        <w:rPr>
          <w:lang w:val="en-US"/>
        </w:rPr>
        <w:t xml:space="preserve">mg </w:t>
      </w:r>
      <w:r w:rsidRPr="000251EB">
        <w:rPr>
          <w:lang w:eastAsia="bg-BG"/>
        </w:rPr>
        <w:t>не са довели до повишаване на ефективността, но честотата на нежеланите реакции (главоболие, зачервяване, замайване, диспепсия, назална конгестия, нарушено зрение) е нараствала.</w:t>
      </w:r>
    </w:p>
    <w:p w14:paraId="41448A39" w14:textId="77777777" w:rsidR="000251EB" w:rsidRDefault="000251EB" w:rsidP="000251EB">
      <w:pPr>
        <w:rPr>
          <w:lang w:eastAsia="bg-BG"/>
        </w:rPr>
      </w:pPr>
    </w:p>
    <w:p w14:paraId="133C8244" w14:textId="757FC20E" w:rsidR="000251EB" w:rsidRPr="000251EB" w:rsidRDefault="000251EB" w:rsidP="000251EB">
      <w:pPr>
        <w:rPr>
          <w:sz w:val="24"/>
          <w:szCs w:val="24"/>
          <w:lang w:eastAsia="bg-BG"/>
        </w:rPr>
      </w:pPr>
      <w:r w:rsidRPr="000251EB">
        <w:rPr>
          <w:lang w:eastAsia="bg-BG"/>
        </w:rPr>
        <w:t>В случай на предозиране стандартните медицински мерки трябва да бъдат съобразени с конкретните нужди. Хемодиализата не ускорява клирънса на силденафил, тъй като той се свързва във висок процент с плазмените протеини и не се елиминира с урината.</w:t>
      </w:r>
    </w:p>
    <w:p w14:paraId="790D50FE" w14:textId="77777777" w:rsidR="000251EB" w:rsidRPr="000251EB" w:rsidRDefault="000251EB" w:rsidP="000251EB"/>
    <w:p w14:paraId="02081B24" w14:textId="36FE76F4" w:rsidR="00395555" w:rsidRPr="00395555" w:rsidRDefault="002C50EE" w:rsidP="008A6AF2">
      <w:pPr>
        <w:pStyle w:val="Heading1"/>
      </w:pPr>
      <w:r>
        <w:t>5. ФАРМАКОЛОГИЧНИ СВОЙСТВА</w:t>
      </w:r>
    </w:p>
    <w:p w14:paraId="7F6CC5E1" w14:textId="535EC5B4" w:rsidR="00F62E44" w:rsidRDefault="002C50EE" w:rsidP="00387A66">
      <w:pPr>
        <w:pStyle w:val="Heading2"/>
      </w:pPr>
      <w:r>
        <w:t>5.1. Фармакодинамични свойства</w:t>
      </w:r>
    </w:p>
    <w:p w14:paraId="75D36D85" w14:textId="4B1D6D12" w:rsidR="000251EB" w:rsidRDefault="000251EB" w:rsidP="000251EB"/>
    <w:p w14:paraId="0F1E1D86" w14:textId="77777777"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Фармакотерапевтична група: Урологични средства. Лекарства, които се използват при еректилна </w:t>
      </w:r>
    </w:p>
    <w:p w14:paraId="7841B3E9" w14:textId="64AE55CA"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дисфункция. АТС код: </w:t>
      </w:r>
      <w:r w:rsidRPr="000251EB">
        <w:rPr>
          <w:rFonts w:eastAsia="Times New Roman" w:cs="Arial"/>
          <w:color w:val="000000"/>
          <w:lang w:val="en-US"/>
        </w:rPr>
        <w:t xml:space="preserve">G04B </w:t>
      </w:r>
      <w:r w:rsidRPr="000251EB">
        <w:rPr>
          <w:rFonts w:eastAsia="Times New Roman" w:cs="Arial"/>
          <w:color w:val="000000"/>
          <w:lang w:eastAsia="bg-BG"/>
        </w:rPr>
        <w:t>Е0З.</w:t>
      </w:r>
    </w:p>
    <w:p w14:paraId="0F9F89E1" w14:textId="77777777" w:rsidR="000251EB" w:rsidRPr="000251EB" w:rsidRDefault="000251EB" w:rsidP="000251EB">
      <w:pPr>
        <w:spacing w:line="240" w:lineRule="auto"/>
        <w:rPr>
          <w:rFonts w:eastAsia="Times New Roman" w:cs="Arial"/>
          <w:color w:val="000000"/>
          <w:u w:val="single"/>
          <w:lang w:eastAsia="bg-BG"/>
        </w:rPr>
      </w:pPr>
    </w:p>
    <w:p w14:paraId="0B9FF872" w14:textId="115F49D1"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Механизъм на действие</w:t>
      </w:r>
    </w:p>
    <w:p w14:paraId="130AD834"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lastRenderedPageBreak/>
        <w:t>Силденафил служи за перорално лечение на еректилната дисфункция. В естествени условия, т.е. при сексуална стимулация, той възстановява нарушената еректилна функция чрез увеличаване на кръвотока към пениса.</w:t>
      </w:r>
    </w:p>
    <w:p w14:paraId="25325D83" w14:textId="77777777" w:rsidR="000251EB" w:rsidRPr="000251EB" w:rsidRDefault="000251EB" w:rsidP="000251EB">
      <w:pPr>
        <w:spacing w:line="240" w:lineRule="auto"/>
        <w:rPr>
          <w:rFonts w:eastAsia="Times New Roman" w:cs="Arial"/>
          <w:color w:val="000000"/>
          <w:lang w:eastAsia="bg-BG"/>
        </w:rPr>
      </w:pPr>
    </w:p>
    <w:p w14:paraId="2214EB81" w14:textId="767943FE"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Физиологичният механизъм, отговорен за ерекцията на пениса, включва освобождаване на азотен оксид </w:t>
      </w:r>
      <w:r w:rsidRPr="000251EB">
        <w:rPr>
          <w:rFonts w:eastAsia="Times New Roman" w:cs="Arial"/>
          <w:color w:val="000000"/>
          <w:lang w:val="en-US"/>
        </w:rPr>
        <w:t xml:space="preserve">(NO) </w:t>
      </w:r>
      <w:r w:rsidRPr="000251EB">
        <w:rPr>
          <w:rFonts w:eastAsia="Times New Roman" w:cs="Arial"/>
          <w:color w:val="000000"/>
          <w:lang w:eastAsia="bg-BG"/>
        </w:rPr>
        <w:t xml:space="preserve">в кавернозното тяло по време на сексуална стимулация. След това </w:t>
      </w:r>
      <w:r w:rsidRPr="000251EB">
        <w:rPr>
          <w:rFonts w:eastAsia="Times New Roman" w:cs="Arial"/>
          <w:color w:val="000000"/>
          <w:lang w:val="en-US"/>
        </w:rPr>
        <w:t xml:space="preserve">NO </w:t>
      </w:r>
      <w:r w:rsidRPr="000251EB">
        <w:rPr>
          <w:rFonts w:eastAsia="Times New Roman" w:cs="Arial"/>
          <w:color w:val="000000"/>
          <w:lang w:eastAsia="bg-BG"/>
        </w:rPr>
        <w:t>активира ензима гуанилат циклаза, което повишава нивата на цикличен гуанозин монофосфат (цГМФ), а това води до отпускане на гладката мускулатура в кавернозното тяло и приток на кръв към него.</w:t>
      </w:r>
    </w:p>
    <w:p w14:paraId="0C4399F3" w14:textId="77777777" w:rsidR="000251EB" w:rsidRPr="000251EB" w:rsidRDefault="000251EB" w:rsidP="000251EB">
      <w:pPr>
        <w:spacing w:line="240" w:lineRule="auto"/>
        <w:rPr>
          <w:rFonts w:eastAsia="Times New Roman" w:cs="Arial"/>
          <w:color w:val="000000"/>
          <w:lang w:eastAsia="bg-BG"/>
        </w:rPr>
      </w:pPr>
    </w:p>
    <w:p w14:paraId="179B7893" w14:textId="183A3658"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Силденафил е мощен и селективен инхибитор на цГМФ-специфичната фосфодиестераза тип 5 (ФДЕ5) в корпус кавернозум, където ФДЕ5 е отговорна за разграждането на цГМФ.</w:t>
      </w:r>
    </w:p>
    <w:p w14:paraId="426D6888"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има периферно място на действие върху ерекцията. Силденафил няма пряк релаксиращ ефект върху изолиран човешки корпус кавернозум, но мощно усилва релаксиращия ефект на </w:t>
      </w:r>
      <w:r w:rsidRPr="000251EB">
        <w:rPr>
          <w:rFonts w:eastAsia="Times New Roman" w:cs="Arial"/>
          <w:color w:val="000000"/>
          <w:lang w:val="en-US"/>
        </w:rPr>
        <w:t xml:space="preserve">NO </w:t>
      </w:r>
      <w:r w:rsidRPr="000251EB">
        <w:rPr>
          <w:rFonts w:eastAsia="Times New Roman" w:cs="Arial"/>
          <w:color w:val="000000"/>
          <w:lang w:eastAsia="bg-BG"/>
        </w:rPr>
        <w:t xml:space="preserve">върху тази тъкан. При активиране на метаболитната верига </w:t>
      </w:r>
      <w:r w:rsidRPr="000251EB">
        <w:rPr>
          <w:rFonts w:eastAsia="Times New Roman" w:cs="Arial"/>
          <w:color w:val="000000"/>
          <w:lang w:val="en-US"/>
        </w:rPr>
        <w:t>NO</w:t>
      </w:r>
      <w:r w:rsidRPr="000251EB">
        <w:rPr>
          <w:rFonts w:eastAsia="Times New Roman" w:cs="Arial"/>
          <w:color w:val="000000"/>
          <w:lang w:eastAsia="bg-BG"/>
        </w:rPr>
        <w:t>/цГМФ, както става при сексуална стимулация, инхибирането на ФДЕ5 от силденафил води до повишени стойности на цГМФ в кавернозното тяло. Следователно, за да може силденафил да осъществи своите желани благоприятни фармакологични ефекти, е необходима сексуална стимулация.</w:t>
      </w:r>
    </w:p>
    <w:p w14:paraId="77659BA0" w14:textId="77777777" w:rsidR="000251EB" w:rsidRPr="000251EB" w:rsidRDefault="000251EB" w:rsidP="000251EB">
      <w:pPr>
        <w:spacing w:line="240" w:lineRule="auto"/>
        <w:rPr>
          <w:rFonts w:eastAsia="Times New Roman" w:cs="Arial"/>
          <w:color w:val="000000"/>
          <w:u w:val="single"/>
          <w:lang w:eastAsia="bg-BG"/>
        </w:rPr>
      </w:pPr>
    </w:p>
    <w:p w14:paraId="7A500E08" w14:textId="1875B9CD"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Фармакодинамични ефекти</w:t>
      </w:r>
    </w:p>
    <w:p w14:paraId="6DED37DF" w14:textId="77777777" w:rsidR="000251EB" w:rsidRPr="000251EB" w:rsidRDefault="000251EB" w:rsidP="000251EB">
      <w:pPr>
        <w:rPr>
          <w:rFonts w:eastAsia="Times New Roman" w:cs="Arial"/>
          <w:sz w:val="24"/>
          <w:szCs w:val="24"/>
          <w:lang w:eastAsia="bg-BG"/>
        </w:rPr>
      </w:pPr>
      <w:r w:rsidRPr="000251EB">
        <w:rPr>
          <w:rFonts w:eastAsia="Times New Roman" w:cs="Arial"/>
          <w:color w:val="000000"/>
          <w:lang w:eastAsia="bg-BG"/>
        </w:rPr>
        <w:t xml:space="preserve">Проучванията </w:t>
      </w:r>
      <w:r w:rsidRPr="000251EB">
        <w:rPr>
          <w:rFonts w:eastAsia="Times New Roman" w:cs="Arial"/>
          <w:i/>
          <w:iCs/>
          <w:color w:val="000000"/>
          <w:lang w:val="en-US"/>
        </w:rPr>
        <w:t>in vitro</w:t>
      </w:r>
      <w:r w:rsidRPr="000251EB">
        <w:rPr>
          <w:rFonts w:eastAsia="Times New Roman" w:cs="Arial"/>
          <w:color w:val="000000"/>
          <w:lang w:val="en-US"/>
        </w:rPr>
        <w:t xml:space="preserve"> </w:t>
      </w:r>
      <w:r w:rsidRPr="000251EB">
        <w:rPr>
          <w:rFonts w:eastAsia="Times New Roman" w:cs="Arial"/>
          <w:color w:val="000000"/>
          <w:lang w:eastAsia="bg-BG"/>
        </w:rPr>
        <w:t>са показали, че силденафил е селективен за ФДЕ5, която участва в процеса на ерекция. Неговият ефект върху ФДЕ5 е по-мощен, отколкото върху другите известни</w:t>
      </w:r>
      <w:r w:rsidRPr="000251EB">
        <w:rPr>
          <w:rFonts w:eastAsia="Times New Roman" w:cs="Arial"/>
          <w:color w:val="000000"/>
          <w:lang w:val="en-US" w:eastAsia="bg-BG"/>
        </w:rPr>
        <w:t xml:space="preserve"> </w:t>
      </w:r>
      <w:r w:rsidRPr="000251EB">
        <w:rPr>
          <w:rFonts w:eastAsia="Times New Roman" w:cs="Arial"/>
          <w:color w:val="000000"/>
          <w:lang w:eastAsia="bg-BG"/>
        </w:rPr>
        <w:t>фосфодиестерази. Той е 10-кратно по-селективен за ФДЕ5, отколкото за ФДЕ6, която участва в процеса на фототрансдукция в ретината. В максимални препоръчителни дози селективността му е 80-кратно по-висока за ФДЕ5, отколкото за ФДЕ1 и над 700-кратно по-висока, отколкото за ФДЕ2, 3, 4, 7, 8,9, 10 и 11. По конкретно, силденафил има 4 000 пъти по- голяма селективност за ФДЕ5, отколкото за ФДЕЗ - изоформата на цАМФ-специфичната фосфодиестераза, участваща в контрола на сърдечния контрактилитет.</w:t>
      </w:r>
    </w:p>
    <w:p w14:paraId="05DC7352" w14:textId="77777777" w:rsidR="000251EB" w:rsidRPr="000251EB" w:rsidRDefault="000251EB" w:rsidP="000251EB">
      <w:pPr>
        <w:spacing w:line="240" w:lineRule="auto"/>
        <w:rPr>
          <w:rFonts w:eastAsia="Times New Roman" w:cs="Arial"/>
          <w:color w:val="000000"/>
          <w:u w:val="single"/>
          <w:lang w:eastAsia="bg-BG"/>
        </w:rPr>
      </w:pPr>
    </w:p>
    <w:p w14:paraId="40855940" w14:textId="1ACEAD56"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Клинична ефикасност и безопасност</w:t>
      </w:r>
    </w:p>
    <w:p w14:paraId="4DDEF718" w14:textId="77777777"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Две клинични проучвания са специално проведени, за да се оцени времето, което е необходимо, за да се получи ерекция в отговор на сексуална стимулация след прием на лекарството. В проучване с използване на плетизмография на пениса </w:t>
      </w:r>
      <w:r w:rsidRPr="000251EB">
        <w:rPr>
          <w:rFonts w:eastAsia="Times New Roman" w:cs="Arial"/>
          <w:color w:val="000000"/>
          <w:lang w:val="en-US"/>
        </w:rPr>
        <w:t>(</w:t>
      </w:r>
      <w:proofErr w:type="spellStart"/>
      <w:r w:rsidRPr="000251EB">
        <w:rPr>
          <w:rFonts w:eastAsia="Times New Roman" w:cs="Arial"/>
          <w:color w:val="000000"/>
          <w:lang w:val="en-US"/>
        </w:rPr>
        <w:t>RigiScan</w:t>
      </w:r>
      <w:proofErr w:type="spellEnd"/>
      <w:r w:rsidRPr="000251EB">
        <w:rPr>
          <w:rFonts w:eastAsia="Times New Roman" w:cs="Arial"/>
          <w:color w:val="000000"/>
          <w:lang w:val="en-US"/>
        </w:rPr>
        <w:t xml:space="preserve">) </w:t>
      </w:r>
      <w:r w:rsidRPr="000251EB">
        <w:rPr>
          <w:rFonts w:eastAsia="Times New Roman" w:cs="Arial"/>
          <w:color w:val="000000"/>
          <w:lang w:eastAsia="bg-BG"/>
        </w:rPr>
        <w:t xml:space="preserve">при пациенти, които са приели силденафил на гладно, средният период до началото на ефекта при тези от тях, които са получили ерекция, характеризираща се с 60% ригидност (достатъчна за осъществяване на полов акт) е бил 25 минути (от 12 до 37 минути). В друго проучване с </w:t>
      </w:r>
      <w:proofErr w:type="spellStart"/>
      <w:r w:rsidRPr="000251EB">
        <w:rPr>
          <w:rFonts w:eastAsia="Times New Roman" w:cs="Arial"/>
          <w:color w:val="000000"/>
          <w:lang w:val="en-US"/>
        </w:rPr>
        <w:t>RigiScan</w:t>
      </w:r>
      <w:proofErr w:type="spellEnd"/>
      <w:r w:rsidRPr="000251EB">
        <w:rPr>
          <w:rFonts w:eastAsia="Times New Roman" w:cs="Arial"/>
          <w:color w:val="000000"/>
          <w:lang w:val="en-US"/>
        </w:rPr>
        <w:t xml:space="preserve"> </w:t>
      </w:r>
      <w:r w:rsidRPr="000251EB">
        <w:rPr>
          <w:rFonts w:eastAsia="Times New Roman" w:cs="Arial"/>
          <w:color w:val="000000"/>
          <w:lang w:eastAsia="bg-BG"/>
        </w:rPr>
        <w:t xml:space="preserve">се установява, че дори и 4-5 часа след приема </w:t>
      </w:r>
    </w:p>
    <w:p w14:paraId="56BDD42D" w14:textId="7540B14E"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на силденафил е давал възможност за получаване на ерекция в отговор на сексуална стимулация.</w:t>
      </w:r>
    </w:p>
    <w:p w14:paraId="6B69CD7F" w14:textId="77777777" w:rsidR="000251EB" w:rsidRPr="000251EB" w:rsidRDefault="000251EB" w:rsidP="000251EB">
      <w:pPr>
        <w:spacing w:line="240" w:lineRule="auto"/>
        <w:rPr>
          <w:rFonts w:eastAsia="Times New Roman" w:cs="Arial"/>
          <w:color w:val="000000"/>
          <w:lang w:eastAsia="bg-BG"/>
        </w:rPr>
      </w:pPr>
    </w:p>
    <w:p w14:paraId="4B8199B7" w14:textId="7DBA3400"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предизвиква леки и преходни понижения на кръвното налягане, които в мнозинството от случаите протичат без клинична симптоматика. Средната стойност на максималното понижение на систолното кръвно налягане в легнало положение след перорален прием на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е 8,4 </w:t>
      </w:r>
      <w:r w:rsidRPr="000251EB">
        <w:rPr>
          <w:rFonts w:eastAsia="Times New Roman" w:cs="Arial"/>
          <w:color w:val="000000"/>
          <w:lang w:val="en-US"/>
        </w:rPr>
        <w:t xml:space="preserve">mmHg. </w:t>
      </w:r>
      <w:r w:rsidRPr="000251EB">
        <w:rPr>
          <w:rFonts w:eastAsia="Times New Roman" w:cs="Arial"/>
          <w:color w:val="000000"/>
          <w:lang w:eastAsia="bg-BG"/>
        </w:rPr>
        <w:t xml:space="preserve">Съответната промяна в диастолното кръвно налягане в легнало положение е 5,5 </w:t>
      </w:r>
      <w:r w:rsidRPr="000251EB">
        <w:rPr>
          <w:rFonts w:eastAsia="Times New Roman" w:cs="Arial"/>
          <w:color w:val="000000"/>
          <w:lang w:val="en-US"/>
        </w:rPr>
        <w:t xml:space="preserve">mmHg, </w:t>
      </w:r>
      <w:r w:rsidRPr="000251EB">
        <w:rPr>
          <w:rFonts w:eastAsia="Times New Roman" w:cs="Arial"/>
          <w:color w:val="000000"/>
          <w:lang w:eastAsia="bg-BG"/>
        </w:rPr>
        <w:t xml:space="preserve">Тези понижения на кръвното налягане съответстват на вазодилатативния ефект на силденафил, който вероятно се дължи на повишението на нивата на цГМФ в гладката мускулатура на кръвоносните съдове. При здрави доброволци еднократна перорална доза до 100 </w:t>
      </w:r>
      <w:r w:rsidRPr="000251EB">
        <w:rPr>
          <w:rFonts w:eastAsia="Times New Roman" w:cs="Arial"/>
          <w:color w:val="000000"/>
          <w:lang w:val="en-US"/>
        </w:rPr>
        <w:t xml:space="preserve">mg </w:t>
      </w:r>
      <w:r w:rsidRPr="000251EB">
        <w:rPr>
          <w:rFonts w:eastAsia="Times New Roman" w:cs="Arial"/>
          <w:color w:val="000000"/>
          <w:lang w:eastAsia="bg-BG"/>
        </w:rPr>
        <w:t>силденафил не води до клинично значими промени в ЕКГ.</w:t>
      </w:r>
    </w:p>
    <w:p w14:paraId="1AE7C8E9" w14:textId="77777777" w:rsidR="000251EB" w:rsidRPr="000251EB" w:rsidRDefault="000251EB" w:rsidP="000251EB">
      <w:pPr>
        <w:spacing w:line="240" w:lineRule="auto"/>
        <w:rPr>
          <w:rFonts w:eastAsia="Times New Roman" w:cs="Arial"/>
          <w:color w:val="000000"/>
          <w:lang w:eastAsia="bg-BG"/>
        </w:rPr>
      </w:pPr>
    </w:p>
    <w:p w14:paraId="45F2D361" w14:textId="54FD77B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 проучване върху хемодинамичните ефекти на еднократна перорална доза от 100 </w:t>
      </w:r>
      <w:r w:rsidRPr="000251EB">
        <w:rPr>
          <w:rFonts w:eastAsia="Times New Roman" w:cs="Arial"/>
          <w:color w:val="000000"/>
          <w:lang w:val="en-US"/>
        </w:rPr>
        <w:t xml:space="preserve">mg </w:t>
      </w:r>
      <w:r w:rsidRPr="000251EB">
        <w:rPr>
          <w:rFonts w:eastAsia="Times New Roman" w:cs="Arial"/>
          <w:color w:val="000000"/>
          <w:lang w:eastAsia="bg-BG"/>
        </w:rPr>
        <w:t>силденафил при 14 пациента с тежка ИБС (&gt;70% стеноза на поне една коронарна артерия), средните стойности на систолното и диастолно налягане в покой се понижават съответно със 7% и 6% спрямо изходните. Средното систолно белодробно налягане се понижава с 9%. Силденафил не е предизвикал промяна в сърдечния дебит и не е нарушил кръвотока през стеснените коронарни артерии.</w:t>
      </w:r>
    </w:p>
    <w:p w14:paraId="03000A3D" w14:textId="77777777" w:rsidR="000251EB" w:rsidRPr="000251EB" w:rsidRDefault="000251EB" w:rsidP="000251EB">
      <w:pPr>
        <w:spacing w:line="240" w:lineRule="auto"/>
        <w:rPr>
          <w:rFonts w:eastAsia="Times New Roman" w:cs="Arial"/>
          <w:color w:val="000000"/>
          <w:lang w:eastAsia="bg-BG"/>
        </w:rPr>
      </w:pPr>
    </w:p>
    <w:p w14:paraId="0FA3F82C" w14:textId="4913430C"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двойносляпо, плацебо-контролирано проучване, включващо стрес-тест с натоварване, е направена оценка на 144 пациента с еректилна дисфункция и хронична стабилна стенокардия, които приемат редовно антистенокардни лекарствени продукти (с изключение на нитрати). Резултатите са показали, че няма клинично значими разлики между силденафил и плацебо във времето до поява на лимитираща стенокардия.</w:t>
      </w:r>
    </w:p>
    <w:p w14:paraId="0AA9F9E6" w14:textId="77777777" w:rsidR="000251EB" w:rsidRPr="000251EB" w:rsidRDefault="000251EB" w:rsidP="000251EB">
      <w:pPr>
        <w:spacing w:line="240" w:lineRule="auto"/>
        <w:rPr>
          <w:rFonts w:eastAsia="Times New Roman" w:cs="Arial"/>
          <w:color w:val="000000"/>
          <w:lang w:eastAsia="bg-BG"/>
        </w:rPr>
      </w:pPr>
    </w:p>
    <w:p w14:paraId="207471D9" w14:textId="339588B3"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Един час след прием на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при малък брой пациенти се появяват леки и преходни промени в способността за различаване на цветовете (синьо/зелено), изследвана с помощта на теста на </w:t>
      </w:r>
      <w:r w:rsidRPr="000251EB">
        <w:rPr>
          <w:rFonts w:eastAsia="Times New Roman" w:cs="Arial"/>
          <w:color w:val="000000"/>
          <w:lang w:val="en-US"/>
        </w:rPr>
        <w:t xml:space="preserve">Farnsworth-Munsell </w:t>
      </w:r>
      <w:r w:rsidRPr="000251EB">
        <w:rPr>
          <w:rFonts w:eastAsia="Times New Roman" w:cs="Arial"/>
          <w:color w:val="000000"/>
          <w:lang w:eastAsia="bg-BG"/>
        </w:rPr>
        <w:t>за разграничаване на 100 цветови оттенъка, като 2 часа след приема на лекарството ефектът отзвучава напълно. Вероятният механизъм на тази промяна в цветовата дискриминация е свързан с инхибирането на ФДЕ6, която участва във фототрансдукционната каскада на ретината. Силденафил няма никакъв ефект върху зрителната острота или усещането за контраст. В малко плацебо-контролирано проучване при пациенти с доказана ранна възрастово- обусловена дегенерация на макулата (</w:t>
      </w:r>
      <w:r w:rsidRPr="000251EB">
        <w:rPr>
          <w:rFonts w:eastAsia="Times New Roman" w:cs="Arial"/>
          <w:color w:val="000000"/>
          <w:lang w:val="en-US"/>
        </w:rPr>
        <w:t>n</w:t>
      </w:r>
      <w:r w:rsidRPr="000251EB">
        <w:rPr>
          <w:rFonts w:eastAsia="Times New Roman" w:cs="Arial"/>
          <w:color w:val="000000"/>
          <w:lang w:eastAsia="bg-BG"/>
        </w:rPr>
        <w:t xml:space="preserve">=9) силденафил (100 </w:t>
      </w:r>
      <w:r w:rsidRPr="000251EB">
        <w:rPr>
          <w:rFonts w:eastAsia="Times New Roman" w:cs="Arial"/>
          <w:color w:val="000000"/>
          <w:lang w:val="en-US"/>
        </w:rPr>
        <w:t xml:space="preserve">mg </w:t>
      </w:r>
      <w:r w:rsidRPr="000251EB">
        <w:rPr>
          <w:rFonts w:eastAsia="Times New Roman" w:cs="Arial"/>
          <w:color w:val="000000"/>
          <w:lang w:eastAsia="bg-BG"/>
        </w:rPr>
        <w:t xml:space="preserve">еднократна доза) не променя сигнификантно проведените зрителни тестове (зрителна острота, решетка на </w:t>
      </w:r>
      <w:proofErr w:type="spellStart"/>
      <w:r w:rsidRPr="000251EB">
        <w:rPr>
          <w:rFonts w:eastAsia="Times New Roman" w:cs="Arial"/>
          <w:color w:val="000000"/>
          <w:lang w:val="en-US"/>
        </w:rPr>
        <w:t>Amsler</w:t>
      </w:r>
      <w:proofErr w:type="spellEnd"/>
      <w:r w:rsidRPr="000251EB">
        <w:rPr>
          <w:rFonts w:eastAsia="Times New Roman" w:cs="Arial"/>
          <w:color w:val="000000"/>
          <w:lang w:val="en-US"/>
        </w:rPr>
        <w:t xml:space="preserve">, </w:t>
      </w:r>
      <w:r w:rsidRPr="000251EB">
        <w:rPr>
          <w:rFonts w:eastAsia="Times New Roman" w:cs="Arial"/>
          <w:color w:val="000000"/>
          <w:lang w:eastAsia="bg-BG"/>
        </w:rPr>
        <w:t xml:space="preserve">цветова дискриминация на симулирана пътна светлинна сигнализация, периметри на </w:t>
      </w:r>
      <w:r w:rsidRPr="000251EB">
        <w:rPr>
          <w:rFonts w:eastAsia="Times New Roman" w:cs="Arial"/>
          <w:color w:val="000000"/>
          <w:lang w:val="en-US"/>
        </w:rPr>
        <w:t xml:space="preserve">Humphrey </w:t>
      </w:r>
      <w:r w:rsidRPr="000251EB">
        <w:rPr>
          <w:rFonts w:eastAsia="Times New Roman" w:cs="Arial"/>
          <w:color w:val="000000"/>
          <w:lang w:eastAsia="bg-BG"/>
        </w:rPr>
        <w:t>и фотострес).</w:t>
      </w:r>
    </w:p>
    <w:p w14:paraId="1ED664D7" w14:textId="77777777" w:rsidR="000251EB" w:rsidRPr="000251EB" w:rsidRDefault="000251EB" w:rsidP="000251EB">
      <w:pPr>
        <w:spacing w:line="240" w:lineRule="auto"/>
        <w:rPr>
          <w:rFonts w:eastAsia="Times New Roman" w:cs="Arial"/>
          <w:color w:val="000000"/>
          <w:lang w:eastAsia="bg-BG"/>
        </w:rPr>
      </w:pPr>
    </w:p>
    <w:p w14:paraId="2E405EB6" w14:textId="21E74760"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Не е установен ефект върху подвижността или морфологията на сперматозоидите след единична перорална доза от 100 </w:t>
      </w:r>
      <w:r w:rsidRPr="000251EB">
        <w:rPr>
          <w:rFonts w:eastAsia="Times New Roman" w:cs="Arial"/>
          <w:color w:val="000000"/>
          <w:lang w:val="en-US"/>
        </w:rPr>
        <w:t xml:space="preserve">mg </w:t>
      </w:r>
      <w:r w:rsidRPr="000251EB">
        <w:rPr>
          <w:rFonts w:eastAsia="Times New Roman" w:cs="Arial"/>
          <w:color w:val="000000"/>
          <w:lang w:eastAsia="bg-BG"/>
        </w:rPr>
        <w:t>силденафил при здрави доброволци (вж. точка 4.6).</w:t>
      </w:r>
    </w:p>
    <w:p w14:paraId="40A9FB5A" w14:textId="541C7E7D" w:rsidR="000251EB" w:rsidRPr="000251EB" w:rsidRDefault="000251EB" w:rsidP="000251EB">
      <w:pPr>
        <w:spacing w:line="240" w:lineRule="auto"/>
        <w:rPr>
          <w:rFonts w:eastAsia="Times New Roman" w:cs="Arial"/>
          <w:color w:val="000000"/>
          <w:lang w:eastAsia="bg-BG"/>
        </w:rPr>
      </w:pPr>
    </w:p>
    <w:p w14:paraId="319D5E83"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Допълнителна информация за клинични проучвания</w:t>
      </w:r>
    </w:p>
    <w:p w14:paraId="7D3FA65F"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В клинични проучвания силденафил е бил приложен при повече от 8 000 пациенти на възраст 19- 87 години. Били са представени следните групи: пациенти в старческа възраст (19,9%), пациенти с хипертония (30,9%), захарен диабет (20,3%), исхемична болест на сърцето (5,8%), хиперлипидемия (19,8%), травми на гръбначния мозък (0,6%), депресия (5,2%), трансуретрална резекция на простатата (ТУРП) (3,7%), радикална простатектомия (3,3%).</w:t>
      </w:r>
    </w:p>
    <w:p w14:paraId="0DDE821A"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Следните групи не са били достатъчно представени или са били изключени от клиничните проучвания следните групи: пациенти с операция в малкия таз, пациенти след лъчетерапия, пациенти с тежко бъбречно или чернодробно увреждане и пациенти с някои сърдечно-съдови проблеми (вж. точка 4.3).</w:t>
      </w:r>
    </w:p>
    <w:p w14:paraId="220AFD2D" w14:textId="77777777" w:rsidR="000251EB" w:rsidRPr="000251EB" w:rsidRDefault="000251EB" w:rsidP="000251EB">
      <w:pPr>
        <w:spacing w:line="240" w:lineRule="auto"/>
        <w:rPr>
          <w:rFonts w:eastAsia="Times New Roman" w:cs="Arial"/>
          <w:color w:val="000000"/>
          <w:lang w:eastAsia="bg-BG"/>
        </w:rPr>
      </w:pPr>
    </w:p>
    <w:p w14:paraId="2C31CF07" w14:textId="0111C6F9"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В проучванията с фиксирани дози, процентът на пациентите, съобщаващи, че лечението е подобрило тяхната ерекция е бил 62% (25 </w:t>
      </w:r>
      <w:r w:rsidRPr="000251EB">
        <w:rPr>
          <w:rFonts w:eastAsia="Times New Roman" w:cs="Arial"/>
          <w:color w:val="000000"/>
          <w:lang w:val="en-US"/>
        </w:rPr>
        <w:t xml:space="preserve">mg), </w:t>
      </w:r>
      <w:r w:rsidRPr="000251EB">
        <w:rPr>
          <w:rFonts w:eastAsia="Times New Roman" w:cs="Arial"/>
          <w:color w:val="000000"/>
          <w:lang w:eastAsia="bg-BG"/>
        </w:rPr>
        <w:t xml:space="preserve">74% (50 </w:t>
      </w:r>
      <w:r w:rsidRPr="000251EB">
        <w:rPr>
          <w:rFonts w:eastAsia="Times New Roman" w:cs="Arial"/>
          <w:color w:val="000000"/>
          <w:lang w:val="en-US"/>
        </w:rPr>
        <w:t xml:space="preserve">mg) </w:t>
      </w:r>
      <w:r w:rsidRPr="000251EB">
        <w:rPr>
          <w:rFonts w:eastAsia="Times New Roman" w:cs="Arial"/>
          <w:color w:val="000000"/>
          <w:lang w:eastAsia="bg-BG"/>
        </w:rPr>
        <w:t xml:space="preserve">и 82% (100 </w:t>
      </w:r>
      <w:r w:rsidRPr="000251EB">
        <w:rPr>
          <w:rFonts w:eastAsia="Times New Roman" w:cs="Arial"/>
          <w:color w:val="000000"/>
          <w:lang w:val="en-US"/>
        </w:rPr>
        <w:t xml:space="preserve">mg) </w:t>
      </w:r>
      <w:r w:rsidRPr="000251EB">
        <w:rPr>
          <w:rFonts w:eastAsia="Times New Roman" w:cs="Arial"/>
          <w:color w:val="000000"/>
          <w:lang w:eastAsia="bg-BG"/>
        </w:rPr>
        <w:t xml:space="preserve">спрямо 25% при плацебо. В контролирани клинични проучвания честотата на прекъсване на лечението със силденафил е била ниска и подобна на тази при плацебо. За всички проучвания процентът на пациентите, съобщаващи за подобрение със силденафил, е била, както следва: психогенна еректилна дисфункция (84%), смесена еректилна дисфункция (77%), органична еректилна дисфункция (68%), пациенти в старческа възраст (67%), захарен диабет (59%), ИБС (69%), хипертония (68%), ТУРП (61%), радикална </w:t>
      </w:r>
      <w:r w:rsidRPr="000251EB">
        <w:rPr>
          <w:rFonts w:eastAsia="Times New Roman" w:cs="Arial"/>
          <w:color w:val="000000"/>
          <w:lang w:eastAsia="bg-BG"/>
        </w:rPr>
        <w:lastRenderedPageBreak/>
        <w:t>простатектомия (43%), травма на гръбначния мозък (83%), депресия (75%). В дългосрочни проучвания безопасността и ефективността на силденафил са се запазили.</w:t>
      </w:r>
    </w:p>
    <w:p w14:paraId="6E9D0BA0" w14:textId="77777777" w:rsidR="000251EB" w:rsidRPr="000251EB" w:rsidRDefault="000251EB" w:rsidP="000251EB">
      <w:pPr>
        <w:spacing w:line="240" w:lineRule="auto"/>
        <w:rPr>
          <w:rFonts w:eastAsia="Times New Roman" w:cs="Arial"/>
          <w:color w:val="000000"/>
          <w:u w:val="single"/>
          <w:lang w:eastAsia="bg-BG"/>
        </w:rPr>
      </w:pPr>
    </w:p>
    <w:p w14:paraId="0DE00022" w14:textId="1A9F5C1A"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Педиатрична популация</w:t>
      </w:r>
    </w:p>
    <w:p w14:paraId="6571E1DB"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със силденафил във всички подгрупи на педиатричната популация за лечение на еректилна дисфункция (вж. точка 4.2 за информация относно употреба в педиатрията).</w:t>
      </w:r>
    </w:p>
    <w:p w14:paraId="42EE18CA" w14:textId="767E2D87" w:rsidR="000251EB" w:rsidRPr="000251EB" w:rsidRDefault="000251EB" w:rsidP="000251EB">
      <w:pPr>
        <w:rPr>
          <w:lang w:val="en-US"/>
        </w:rPr>
      </w:pPr>
    </w:p>
    <w:p w14:paraId="544FFDAF" w14:textId="5FADC3F8" w:rsidR="00F62E44" w:rsidRDefault="002C50EE" w:rsidP="00387A66">
      <w:pPr>
        <w:pStyle w:val="Heading2"/>
      </w:pPr>
      <w:r>
        <w:t>5.2. Фармакокинетични свойства</w:t>
      </w:r>
    </w:p>
    <w:p w14:paraId="2843F53C" w14:textId="5223C71A" w:rsidR="000251EB" w:rsidRDefault="000251EB" w:rsidP="000251EB"/>
    <w:p w14:paraId="45DD68FE"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Абсорбция:</w:t>
      </w:r>
    </w:p>
    <w:p w14:paraId="5A11A1B4"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се абсорбира бързо. Наблюдаваните максимални плазмени концентрации се достигат в рамките на 30 до 120 минути (средна стойност 60 минути) след перорален прием на гладно. Средната абсолютна перорална бионаличност е 41% (диапазон 25-63%). След перорален прием на силденафил, </w:t>
      </w:r>
      <w:r w:rsidRPr="000251EB">
        <w:rPr>
          <w:rFonts w:eastAsia="Times New Roman" w:cs="Arial"/>
          <w:color w:val="000000"/>
          <w:lang w:val="en-US"/>
        </w:rPr>
        <w:t xml:space="preserve">AUC </w:t>
      </w:r>
      <w:r w:rsidRPr="000251EB">
        <w:rPr>
          <w:rFonts w:eastAsia="Times New Roman" w:cs="Arial"/>
          <w:color w:val="000000"/>
          <w:lang w:eastAsia="bg-BG"/>
        </w:rPr>
        <w:t>и С</w:t>
      </w:r>
      <w:r w:rsidRPr="000251EB">
        <w:rPr>
          <w:rFonts w:eastAsia="Times New Roman" w:cs="Arial"/>
          <w:color w:val="000000"/>
          <w:lang w:val="en-US"/>
        </w:rPr>
        <w:t>max</w:t>
      </w:r>
      <w:r w:rsidRPr="000251EB">
        <w:rPr>
          <w:rFonts w:eastAsia="Times New Roman" w:cs="Arial"/>
          <w:color w:val="000000"/>
          <w:lang w:eastAsia="bg-BG"/>
        </w:rPr>
        <w:t xml:space="preserve"> нарастват пропорционално на дозата в препоръчаните дозови граници (25-100 </w:t>
      </w:r>
      <w:r w:rsidRPr="000251EB">
        <w:rPr>
          <w:rFonts w:eastAsia="Times New Roman" w:cs="Arial"/>
          <w:color w:val="000000"/>
          <w:lang w:val="en-US"/>
        </w:rPr>
        <w:t>mg).</w:t>
      </w:r>
    </w:p>
    <w:p w14:paraId="65A53430" w14:textId="77777777" w:rsidR="000251EB" w:rsidRPr="000251EB" w:rsidRDefault="000251EB" w:rsidP="000251EB">
      <w:pPr>
        <w:spacing w:line="240" w:lineRule="auto"/>
        <w:rPr>
          <w:rFonts w:eastAsia="Times New Roman" w:cs="Arial"/>
          <w:color w:val="000000"/>
          <w:lang w:eastAsia="bg-BG"/>
        </w:rPr>
      </w:pPr>
    </w:p>
    <w:p w14:paraId="71755087" w14:textId="5F1938CF"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Когато силденафил се приема по време на хранене, скоростта на абсорбция намалява, като средното забавяне на </w:t>
      </w:r>
      <w:proofErr w:type="spellStart"/>
      <w:r w:rsidRPr="000251EB">
        <w:rPr>
          <w:rFonts w:eastAsia="Times New Roman" w:cs="Arial"/>
          <w:color w:val="000000"/>
          <w:lang w:val="en-US"/>
        </w:rPr>
        <w:t>tmax</w:t>
      </w:r>
      <w:proofErr w:type="spellEnd"/>
      <w:r w:rsidRPr="000251EB">
        <w:rPr>
          <w:rFonts w:eastAsia="Times New Roman" w:cs="Arial"/>
          <w:color w:val="000000"/>
          <w:lang w:val="en-US"/>
        </w:rPr>
        <w:t xml:space="preserve"> </w:t>
      </w:r>
      <w:r w:rsidRPr="000251EB">
        <w:rPr>
          <w:rFonts w:eastAsia="Times New Roman" w:cs="Arial"/>
          <w:color w:val="000000"/>
          <w:lang w:eastAsia="bg-BG"/>
        </w:rPr>
        <w:t>е 60 минути, а средното понижение на Стах е с 29%.</w:t>
      </w:r>
    </w:p>
    <w:p w14:paraId="2F80F4CA" w14:textId="77777777" w:rsidR="000251EB" w:rsidRPr="000251EB" w:rsidRDefault="000251EB" w:rsidP="000251EB">
      <w:pPr>
        <w:spacing w:line="240" w:lineRule="auto"/>
        <w:rPr>
          <w:rFonts w:eastAsia="Times New Roman" w:cs="Arial"/>
          <w:color w:val="000000"/>
          <w:u w:val="single"/>
          <w:lang w:eastAsia="bg-BG"/>
        </w:rPr>
      </w:pPr>
    </w:p>
    <w:p w14:paraId="3C9F3897" w14:textId="7DEAB078"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Разпределение:</w:t>
      </w:r>
    </w:p>
    <w:p w14:paraId="434AC1E9"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Средният обем на разпределение в равновесно състояние </w:t>
      </w:r>
      <w:r w:rsidRPr="000251EB">
        <w:rPr>
          <w:rFonts w:eastAsia="Times New Roman" w:cs="Arial"/>
          <w:color w:val="000000"/>
          <w:lang w:val="en-US"/>
        </w:rPr>
        <w:t>(</w:t>
      </w:r>
      <w:proofErr w:type="spellStart"/>
      <w:r w:rsidRPr="000251EB">
        <w:rPr>
          <w:rFonts w:eastAsia="Times New Roman" w:cs="Arial"/>
          <w:color w:val="000000"/>
          <w:lang w:val="en-US"/>
        </w:rPr>
        <w:t>Vd</w:t>
      </w:r>
      <w:proofErr w:type="spellEnd"/>
      <w:r w:rsidRPr="000251EB">
        <w:rPr>
          <w:rFonts w:eastAsia="Times New Roman" w:cs="Arial"/>
          <w:color w:val="000000"/>
          <w:lang w:val="en-US"/>
        </w:rPr>
        <w:t xml:space="preserve">) </w:t>
      </w:r>
      <w:r w:rsidRPr="000251EB">
        <w:rPr>
          <w:rFonts w:eastAsia="Times New Roman" w:cs="Arial"/>
          <w:color w:val="000000"/>
          <w:lang w:eastAsia="bg-BG"/>
        </w:rPr>
        <w:t xml:space="preserve">на силденафил е 105 1, което говори за разпределение в тъканите. След еднократна перорална доза от 100 </w:t>
      </w:r>
      <w:r w:rsidRPr="000251EB">
        <w:rPr>
          <w:rFonts w:eastAsia="Times New Roman" w:cs="Arial"/>
          <w:color w:val="000000"/>
          <w:lang w:val="en-US"/>
        </w:rPr>
        <w:t xml:space="preserve">mg </w:t>
      </w:r>
      <w:r w:rsidRPr="000251EB">
        <w:rPr>
          <w:rFonts w:eastAsia="Times New Roman" w:cs="Arial"/>
          <w:color w:val="000000"/>
          <w:lang w:eastAsia="bg-BG"/>
        </w:rPr>
        <w:t xml:space="preserve">средната максимална плазмена концентрация на силденафил е приблизително 440 </w:t>
      </w:r>
      <w:r w:rsidRPr="000251EB">
        <w:rPr>
          <w:rFonts w:eastAsia="Times New Roman" w:cs="Arial"/>
          <w:color w:val="000000"/>
          <w:lang w:val="en-US"/>
        </w:rPr>
        <w:t xml:space="preserve">ng/ml (CV </w:t>
      </w:r>
      <w:r w:rsidRPr="000251EB">
        <w:rPr>
          <w:rFonts w:eastAsia="Times New Roman" w:cs="Arial"/>
          <w:color w:val="000000"/>
          <w:lang w:eastAsia="bg-BG"/>
        </w:rPr>
        <w:t xml:space="preserve">40%). Тъй като силденафил (и неговият основен циркулиращ </w:t>
      </w:r>
      <w:r w:rsidRPr="000251EB">
        <w:rPr>
          <w:rFonts w:eastAsia="Times New Roman" w:cs="Arial"/>
          <w:color w:val="000000"/>
          <w:lang w:val="en-US"/>
        </w:rPr>
        <w:t>N</w:t>
      </w:r>
      <w:r w:rsidRPr="000251EB">
        <w:rPr>
          <w:rFonts w:eastAsia="Times New Roman" w:cs="Arial"/>
          <w:color w:val="000000"/>
          <w:lang w:eastAsia="bg-BG"/>
        </w:rPr>
        <w:t xml:space="preserve">-дезметил метаболит) са свързани с плазмените протеини в 96%, това води до средна максимална концентрация на свободната форма на силденафил в плазмата от 18 </w:t>
      </w:r>
      <w:r w:rsidRPr="000251EB">
        <w:rPr>
          <w:rFonts w:eastAsia="Times New Roman" w:cs="Arial"/>
          <w:color w:val="000000"/>
          <w:lang w:val="en-US"/>
        </w:rPr>
        <w:t xml:space="preserve">ng/ml </w:t>
      </w:r>
      <w:r w:rsidRPr="000251EB">
        <w:rPr>
          <w:rFonts w:eastAsia="Times New Roman" w:cs="Arial"/>
          <w:color w:val="000000"/>
          <w:lang w:eastAsia="bg-BG"/>
        </w:rPr>
        <w:t xml:space="preserve">(38 </w:t>
      </w:r>
      <w:r w:rsidRPr="000251EB">
        <w:rPr>
          <w:rFonts w:eastAsia="Times New Roman" w:cs="Arial"/>
          <w:color w:val="000000"/>
          <w:lang w:val="en-US"/>
        </w:rPr>
        <w:t>n</w:t>
      </w:r>
      <w:r w:rsidRPr="000251EB">
        <w:rPr>
          <w:rFonts w:eastAsia="Times New Roman" w:cs="Arial"/>
          <w:color w:val="000000"/>
          <w:lang w:eastAsia="bg-BG"/>
        </w:rPr>
        <w:t>М). Свързването с протеините е независимо от общата лекарствена концентрация.</w:t>
      </w:r>
    </w:p>
    <w:p w14:paraId="6A5BCECB" w14:textId="77777777" w:rsidR="000251EB" w:rsidRPr="000251EB" w:rsidRDefault="000251EB" w:rsidP="000251EB">
      <w:pPr>
        <w:spacing w:line="240" w:lineRule="auto"/>
        <w:rPr>
          <w:rFonts w:eastAsia="Times New Roman" w:cs="Arial"/>
          <w:color w:val="000000"/>
          <w:lang w:eastAsia="bg-BG"/>
        </w:rPr>
      </w:pPr>
    </w:p>
    <w:p w14:paraId="25FDE54F" w14:textId="0DD01139" w:rsidR="000251EB" w:rsidRPr="000251EB" w:rsidRDefault="000251EB" w:rsidP="000251EB">
      <w:pPr>
        <w:spacing w:line="240" w:lineRule="auto"/>
        <w:rPr>
          <w:rFonts w:eastAsia="Times New Roman" w:cs="Arial"/>
          <w:color w:val="000000"/>
          <w:lang w:eastAsia="bg-BG"/>
        </w:rPr>
      </w:pPr>
      <w:r w:rsidRPr="000251EB">
        <w:rPr>
          <w:rFonts w:eastAsia="Times New Roman" w:cs="Arial"/>
          <w:color w:val="000000"/>
          <w:lang w:eastAsia="bg-BG"/>
        </w:rPr>
        <w:t xml:space="preserve">При здрави доброволци, 90 минути след приема на 100 </w:t>
      </w:r>
      <w:r w:rsidRPr="000251EB">
        <w:rPr>
          <w:rFonts w:eastAsia="Times New Roman" w:cs="Arial"/>
          <w:color w:val="000000"/>
          <w:lang w:val="en-US"/>
        </w:rPr>
        <w:t xml:space="preserve">mg </w:t>
      </w:r>
      <w:r w:rsidRPr="000251EB">
        <w:rPr>
          <w:rFonts w:eastAsia="Times New Roman" w:cs="Arial"/>
          <w:color w:val="000000"/>
          <w:lang w:eastAsia="bg-BG"/>
        </w:rPr>
        <w:t xml:space="preserve">силденафил еднократно, под 0,0002% (средно 188 </w:t>
      </w:r>
      <w:r w:rsidRPr="000251EB">
        <w:rPr>
          <w:rFonts w:eastAsia="Times New Roman" w:cs="Arial"/>
          <w:color w:val="000000"/>
          <w:lang w:val="en-US"/>
        </w:rPr>
        <w:t xml:space="preserve">ng) </w:t>
      </w:r>
      <w:r w:rsidRPr="000251EB">
        <w:rPr>
          <w:rFonts w:eastAsia="Times New Roman" w:cs="Arial"/>
          <w:color w:val="000000"/>
          <w:lang w:eastAsia="bg-BG"/>
        </w:rPr>
        <w:t>от приложената доза се установява в еякулата.</w:t>
      </w:r>
    </w:p>
    <w:p w14:paraId="02316DE2" w14:textId="3D513717" w:rsidR="000251EB" w:rsidRPr="000251EB" w:rsidRDefault="000251EB" w:rsidP="000251EB">
      <w:pPr>
        <w:spacing w:line="240" w:lineRule="auto"/>
        <w:rPr>
          <w:rFonts w:eastAsia="Times New Roman" w:cs="Arial"/>
          <w:color w:val="000000"/>
          <w:lang w:eastAsia="bg-BG"/>
        </w:rPr>
      </w:pPr>
    </w:p>
    <w:p w14:paraId="0A0372B0"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Биотрансформация:</w:t>
      </w:r>
    </w:p>
    <w:p w14:paraId="41536D6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Силденафил се метаболизира основно от изоензимите на чернодробните микрозоми </w:t>
      </w:r>
      <w:r w:rsidRPr="000251EB">
        <w:rPr>
          <w:rFonts w:eastAsia="Times New Roman" w:cs="Arial"/>
          <w:color w:val="000000"/>
          <w:lang w:val="en-US"/>
        </w:rPr>
        <w:t>CYP3</w:t>
      </w:r>
      <w:r w:rsidRPr="000251EB">
        <w:rPr>
          <w:rFonts w:eastAsia="Times New Roman" w:cs="Arial"/>
          <w:color w:val="000000"/>
          <w:lang w:eastAsia="bg-BG"/>
        </w:rPr>
        <w:t xml:space="preserve">А4 (основен път) и </w:t>
      </w:r>
      <w:r w:rsidRPr="000251EB">
        <w:rPr>
          <w:rFonts w:eastAsia="Times New Roman" w:cs="Arial"/>
          <w:color w:val="000000"/>
          <w:lang w:val="en-US"/>
        </w:rPr>
        <w:t xml:space="preserve">CYP2C9 </w:t>
      </w:r>
      <w:r w:rsidRPr="000251EB">
        <w:rPr>
          <w:rFonts w:eastAsia="Times New Roman" w:cs="Arial"/>
          <w:color w:val="000000"/>
          <w:lang w:eastAsia="bg-BG"/>
        </w:rPr>
        <w:t xml:space="preserve">(второстепенен път). Основният циркулиращ метаболит се получава в резултат на </w:t>
      </w:r>
      <w:r w:rsidRPr="000251EB">
        <w:rPr>
          <w:rFonts w:eastAsia="Times New Roman" w:cs="Arial"/>
          <w:color w:val="000000"/>
          <w:lang w:val="en-US"/>
        </w:rPr>
        <w:t>N</w:t>
      </w:r>
      <w:r w:rsidRPr="000251EB">
        <w:rPr>
          <w:rFonts w:eastAsia="Times New Roman" w:cs="Arial"/>
          <w:color w:val="000000"/>
          <w:lang w:eastAsia="bg-BG"/>
        </w:rPr>
        <w:t xml:space="preserve">-дезметилирането на силденафил. Този метаболит притежава фосфодиестеразна селективност, подобна на силденафил, и </w:t>
      </w:r>
      <w:r w:rsidRPr="000251EB">
        <w:rPr>
          <w:rFonts w:eastAsia="Times New Roman" w:cs="Arial"/>
          <w:i/>
          <w:iCs/>
          <w:color w:val="000000"/>
          <w:lang w:val="en-US"/>
        </w:rPr>
        <w:t>in vitro</w:t>
      </w:r>
      <w:r w:rsidRPr="000251EB">
        <w:rPr>
          <w:rFonts w:eastAsia="Times New Roman" w:cs="Arial"/>
          <w:color w:val="000000"/>
          <w:lang w:val="en-US"/>
        </w:rPr>
        <w:t xml:space="preserve"> </w:t>
      </w:r>
      <w:r w:rsidRPr="000251EB">
        <w:rPr>
          <w:rFonts w:eastAsia="Times New Roman" w:cs="Arial"/>
          <w:color w:val="000000"/>
          <w:lang w:eastAsia="bg-BG"/>
        </w:rPr>
        <w:t xml:space="preserve">неговата активност спрямо ФДЕ5 приблизително 50% от тази на изходното активно вещество. Плазмените концентрации на метаболита са приблизително 40% от тези на силденафил. </w:t>
      </w:r>
      <w:r w:rsidRPr="000251EB">
        <w:rPr>
          <w:rFonts w:eastAsia="Times New Roman" w:cs="Arial"/>
          <w:color w:val="000000"/>
          <w:lang w:val="en-US"/>
        </w:rPr>
        <w:t>N</w:t>
      </w:r>
      <w:r w:rsidRPr="000251EB">
        <w:rPr>
          <w:rFonts w:eastAsia="Times New Roman" w:cs="Arial"/>
          <w:color w:val="000000"/>
          <w:lang w:eastAsia="bg-BG"/>
        </w:rPr>
        <w:t>-дезметил метаболитът се метаболизира допълнително и има терминален полуживот от около 4 часа.</w:t>
      </w:r>
    </w:p>
    <w:p w14:paraId="1996F646" w14:textId="77777777" w:rsidR="000251EB" w:rsidRPr="000251EB" w:rsidRDefault="000251EB" w:rsidP="000251EB">
      <w:pPr>
        <w:spacing w:line="240" w:lineRule="auto"/>
        <w:rPr>
          <w:rFonts w:eastAsia="Times New Roman" w:cs="Arial"/>
          <w:color w:val="000000"/>
          <w:u w:val="single"/>
          <w:lang w:eastAsia="bg-BG"/>
        </w:rPr>
      </w:pPr>
    </w:p>
    <w:p w14:paraId="3897F8DB" w14:textId="10013690"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Елиминиране:</w:t>
      </w:r>
    </w:p>
    <w:p w14:paraId="3932C280"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Тоталният телесен клирънс на силденафил е 41 </w:t>
      </w:r>
      <w:r w:rsidRPr="000251EB">
        <w:rPr>
          <w:rFonts w:eastAsia="Times New Roman" w:cs="Arial"/>
          <w:color w:val="000000"/>
          <w:lang w:val="en-US"/>
        </w:rPr>
        <w:t xml:space="preserve">l/h </w:t>
      </w:r>
      <w:r w:rsidRPr="000251EB">
        <w:rPr>
          <w:rFonts w:eastAsia="Times New Roman" w:cs="Arial"/>
          <w:color w:val="000000"/>
          <w:lang w:eastAsia="bg-BG"/>
        </w:rPr>
        <w:t>с полуживот в крайна фаза 3 - 5 часа. След перорално или интравенозно приложение силденафил се екскретира под формата на метаболити предимно с фецеса (приблизително 80% от приложената перорална доза) и в по-малка степен с урината (приблизително 13% от приложената перорална доза).</w:t>
      </w:r>
    </w:p>
    <w:p w14:paraId="7D2E1A6B" w14:textId="77777777" w:rsidR="000251EB" w:rsidRPr="000251EB" w:rsidRDefault="000251EB" w:rsidP="000251EB">
      <w:pPr>
        <w:spacing w:line="240" w:lineRule="auto"/>
        <w:rPr>
          <w:rFonts w:eastAsia="Times New Roman" w:cs="Arial"/>
          <w:color w:val="000000"/>
          <w:u w:val="single"/>
          <w:lang w:eastAsia="bg-BG"/>
        </w:rPr>
      </w:pPr>
    </w:p>
    <w:p w14:paraId="6B5C7347" w14:textId="4F72AB9A"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u w:val="single"/>
          <w:lang w:eastAsia="bg-BG"/>
        </w:rPr>
        <w:t>Фармакокинетика при специални групи пациенти</w:t>
      </w:r>
    </w:p>
    <w:p w14:paraId="7B7343CA" w14:textId="77777777" w:rsidR="000251EB" w:rsidRPr="000251EB" w:rsidRDefault="000251EB" w:rsidP="000251EB">
      <w:pPr>
        <w:spacing w:line="240" w:lineRule="auto"/>
        <w:rPr>
          <w:rFonts w:eastAsia="Times New Roman" w:cs="Arial"/>
          <w:i/>
          <w:iCs/>
          <w:color w:val="000000"/>
          <w:lang w:eastAsia="bg-BG"/>
        </w:rPr>
      </w:pPr>
    </w:p>
    <w:p w14:paraId="54BF4F45" w14:textId="6CB87527"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Старческа възраст:</w:t>
      </w:r>
    </w:p>
    <w:p w14:paraId="4A50FA3C"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Здрави доброволци в старческа възраст (на 65 или повече години) са имали намален клирънс на силденафил, в резултата на което плазмените концентрации на силденафил и на активния </w:t>
      </w:r>
      <w:r w:rsidRPr="000251EB">
        <w:rPr>
          <w:rFonts w:eastAsia="Times New Roman" w:cs="Arial"/>
          <w:color w:val="000000"/>
          <w:lang w:val="en-US"/>
        </w:rPr>
        <w:t xml:space="preserve">N- </w:t>
      </w:r>
      <w:r w:rsidRPr="000251EB">
        <w:rPr>
          <w:rFonts w:eastAsia="Times New Roman" w:cs="Arial"/>
          <w:color w:val="000000"/>
          <w:lang w:eastAsia="bg-BG"/>
        </w:rPr>
        <w:t>дезметилиран метаболит са по-високи с около 90% в сравнение с установените при здрави по- млади доброволци на възраст от 18 до 45 години. Поради възрастови разлики в свързването с плазмените протеини съответното увеличение на концентрациите на свободен силденафил в плазмата е с около 40%.</w:t>
      </w:r>
    </w:p>
    <w:p w14:paraId="660D9AE5" w14:textId="77777777" w:rsidR="000251EB" w:rsidRPr="000251EB" w:rsidRDefault="000251EB" w:rsidP="000251EB">
      <w:pPr>
        <w:spacing w:line="240" w:lineRule="auto"/>
        <w:rPr>
          <w:rFonts w:eastAsia="Times New Roman" w:cs="Arial"/>
          <w:i/>
          <w:iCs/>
          <w:color w:val="000000"/>
          <w:lang w:eastAsia="bg-BG"/>
        </w:rPr>
      </w:pPr>
    </w:p>
    <w:p w14:paraId="1F9CA66B" w14:textId="0FFC8882"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Бъбречна недостатъчност:</w:t>
      </w:r>
    </w:p>
    <w:p w14:paraId="57A90972"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При доброволци с леко до умерено бъбречно увреждане (креатининов клирънс = 30-80 </w:t>
      </w:r>
      <w:r w:rsidRPr="000251EB">
        <w:rPr>
          <w:rFonts w:eastAsia="Times New Roman" w:cs="Arial"/>
          <w:color w:val="000000"/>
          <w:lang w:val="en-US"/>
        </w:rPr>
        <w:t xml:space="preserve">ml/min) </w:t>
      </w:r>
      <w:r w:rsidRPr="000251EB">
        <w:rPr>
          <w:rFonts w:eastAsia="Times New Roman" w:cs="Arial"/>
          <w:color w:val="000000"/>
          <w:lang w:eastAsia="bg-BG"/>
        </w:rPr>
        <w:t xml:space="preserve">фармакокинетиката на силденафил не се променя след прием на еднократна перорална доза от 50 </w:t>
      </w:r>
      <w:r w:rsidRPr="000251EB">
        <w:rPr>
          <w:rFonts w:eastAsia="Times New Roman" w:cs="Arial"/>
          <w:color w:val="000000"/>
          <w:lang w:val="en-US"/>
        </w:rPr>
        <w:t xml:space="preserve">mg. </w:t>
      </w:r>
      <w:r w:rsidRPr="000251EB">
        <w:rPr>
          <w:rFonts w:eastAsia="Times New Roman" w:cs="Arial"/>
          <w:color w:val="000000"/>
          <w:lang w:eastAsia="bg-BG"/>
        </w:rPr>
        <w:t xml:space="preserve">Средните стойности на </w:t>
      </w:r>
      <w:r w:rsidRPr="000251EB">
        <w:rPr>
          <w:rFonts w:eastAsia="Times New Roman" w:cs="Arial"/>
          <w:color w:val="000000"/>
          <w:lang w:val="en-US"/>
        </w:rPr>
        <w:t xml:space="preserve">AUC </w:t>
      </w:r>
      <w:r w:rsidRPr="000251EB">
        <w:rPr>
          <w:rFonts w:eastAsia="Times New Roman" w:cs="Arial"/>
          <w:color w:val="000000"/>
          <w:lang w:eastAsia="bg-BG"/>
        </w:rPr>
        <w:t>и С</w:t>
      </w:r>
      <w:r w:rsidRPr="000251EB">
        <w:rPr>
          <w:rFonts w:eastAsia="Times New Roman" w:cs="Arial"/>
          <w:color w:val="000000"/>
          <w:lang w:val="en-US"/>
        </w:rPr>
        <w:t>max</w:t>
      </w:r>
      <w:r w:rsidRPr="000251EB">
        <w:rPr>
          <w:rFonts w:eastAsia="Times New Roman" w:cs="Arial"/>
          <w:color w:val="000000"/>
          <w:lang w:eastAsia="bg-BG"/>
        </w:rPr>
        <w:t xml:space="preserve"> на </w:t>
      </w:r>
      <w:r w:rsidRPr="000251EB">
        <w:rPr>
          <w:rFonts w:eastAsia="Times New Roman" w:cs="Arial"/>
          <w:color w:val="000000"/>
          <w:lang w:val="en-US"/>
        </w:rPr>
        <w:t>N</w:t>
      </w:r>
      <w:r w:rsidRPr="000251EB">
        <w:rPr>
          <w:rFonts w:eastAsia="Times New Roman" w:cs="Arial"/>
          <w:color w:val="000000"/>
          <w:lang w:eastAsia="bg-BG"/>
        </w:rPr>
        <w:t xml:space="preserve">-дезметилирания метаболит нарастват съответно с до 126% и до 73% в сравнение с тези, установени при доброволци без бъбречно увреждане. Поради високите индивидуални вариации, обаче, тези разлики не са статистически значими. При доброволци с тежко увреждане на бъбречната функция (креатининов клирънс &lt;30 </w:t>
      </w:r>
      <w:r w:rsidRPr="000251EB">
        <w:rPr>
          <w:rFonts w:eastAsia="Times New Roman" w:cs="Arial"/>
          <w:color w:val="000000"/>
          <w:lang w:val="en-US"/>
        </w:rPr>
        <w:t xml:space="preserve">ml/min) </w:t>
      </w:r>
      <w:r w:rsidRPr="000251EB">
        <w:rPr>
          <w:rFonts w:eastAsia="Times New Roman" w:cs="Arial"/>
          <w:color w:val="000000"/>
          <w:lang w:eastAsia="bg-BG"/>
        </w:rPr>
        <w:t xml:space="preserve">клирънсът на силденафил е намален, което води до средно нарастване на </w:t>
      </w:r>
      <w:r w:rsidRPr="000251EB">
        <w:rPr>
          <w:rFonts w:eastAsia="Times New Roman" w:cs="Arial"/>
          <w:color w:val="000000"/>
          <w:lang w:val="en-US"/>
        </w:rPr>
        <w:t xml:space="preserve">AUC </w:t>
      </w:r>
      <w:r w:rsidRPr="000251EB">
        <w:rPr>
          <w:rFonts w:eastAsia="Times New Roman" w:cs="Arial"/>
          <w:color w:val="000000"/>
          <w:lang w:eastAsia="bg-BG"/>
        </w:rPr>
        <w:t xml:space="preserve">и Стах със съответно 100% и 88% в сравнение със съответни по възраст доброволци без бъбречно увреждане. Освен това стойностите на </w:t>
      </w:r>
      <w:r w:rsidRPr="000251EB">
        <w:rPr>
          <w:rFonts w:eastAsia="Times New Roman" w:cs="Arial"/>
          <w:color w:val="000000"/>
          <w:lang w:val="en-US"/>
        </w:rPr>
        <w:t xml:space="preserve">AUC </w:t>
      </w:r>
      <w:r w:rsidRPr="000251EB">
        <w:rPr>
          <w:rFonts w:eastAsia="Times New Roman" w:cs="Arial"/>
          <w:color w:val="000000"/>
          <w:lang w:eastAsia="bg-BG"/>
        </w:rPr>
        <w:t>и С</w:t>
      </w:r>
      <w:r w:rsidRPr="000251EB">
        <w:rPr>
          <w:rFonts w:eastAsia="Times New Roman" w:cs="Arial"/>
          <w:color w:val="000000"/>
          <w:lang w:val="en-US"/>
        </w:rPr>
        <w:t>max</w:t>
      </w:r>
      <w:r w:rsidRPr="000251EB">
        <w:rPr>
          <w:rFonts w:eastAsia="Times New Roman" w:cs="Arial"/>
          <w:color w:val="000000"/>
          <w:lang w:eastAsia="bg-BG"/>
        </w:rPr>
        <w:t xml:space="preserve"> на </w:t>
      </w:r>
      <w:r w:rsidRPr="000251EB">
        <w:rPr>
          <w:rFonts w:eastAsia="Times New Roman" w:cs="Arial"/>
          <w:color w:val="000000"/>
          <w:lang w:val="en-US"/>
        </w:rPr>
        <w:t xml:space="preserve">N- </w:t>
      </w:r>
      <w:r w:rsidRPr="000251EB">
        <w:rPr>
          <w:rFonts w:eastAsia="Times New Roman" w:cs="Arial"/>
          <w:color w:val="000000"/>
          <w:lang w:eastAsia="bg-BG"/>
        </w:rPr>
        <w:t>дезметилирания метаболит нарастват сигнификантно, съответно с 200% и 79% .</w:t>
      </w:r>
    </w:p>
    <w:p w14:paraId="1275EE15" w14:textId="77777777" w:rsidR="000251EB" w:rsidRPr="000251EB" w:rsidRDefault="000251EB" w:rsidP="000251EB">
      <w:pPr>
        <w:spacing w:line="240" w:lineRule="auto"/>
        <w:rPr>
          <w:rFonts w:eastAsia="Times New Roman" w:cs="Arial"/>
          <w:i/>
          <w:iCs/>
          <w:color w:val="000000"/>
          <w:lang w:eastAsia="bg-BG"/>
        </w:rPr>
      </w:pPr>
    </w:p>
    <w:p w14:paraId="0ADC4B8F" w14:textId="32FC41D2" w:rsidR="000251EB" w:rsidRPr="000251EB" w:rsidRDefault="000251EB" w:rsidP="000251EB">
      <w:pPr>
        <w:spacing w:line="240" w:lineRule="auto"/>
        <w:rPr>
          <w:rFonts w:eastAsia="Times New Roman" w:cs="Arial"/>
          <w:sz w:val="24"/>
          <w:szCs w:val="24"/>
          <w:lang w:eastAsia="bg-BG"/>
        </w:rPr>
      </w:pPr>
      <w:r w:rsidRPr="000251EB">
        <w:rPr>
          <w:rFonts w:eastAsia="Times New Roman" w:cs="Arial"/>
          <w:i/>
          <w:iCs/>
          <w:color w:val="000000"/>
          <w:lang w:eastAsia="bg-BG"/>
        </w:rPr>
        <w:t>Чернодробна недостатъчност:</w:t>
      </w:r>
    </w:p>
    <w:p w14:paraId="404B6B11"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 xml:space="preserve">При доброволци с лека до умерена степен на чернодробна цироза (А и В по </w:t>
      </w:r>
      <w:r w:rsidRPr="000251EB">
        <w:rPr>
          <w:rFonts w:eastAsia="Times New Roman" w:cs="Arial"/>
          <w:color w:val="000000"/>
          <w:lang w:val="en-US"/>
        </w:rPr>
        <w:t xml:space="preserve">Child-Pugh) </w:t>
      </w:r>
      <w:r w:rsidRPr="000251EB">
        <w:rPr>
          <w:rFonts w:eastAsia="Times New Roman" w:cs="Arial"/>
          <w:color w:val="000000"/>
          <w:lang w:eastAsia="bg-BG"/>
        </w:rPr>
        <w:t xml:space="preserve">клирънсът на силденафил е намален, което води до нарастване на </w:t>
      </w:r>
      <w:r w:rsidRPr="000251EB">
        <w:rPr>
          <w:rFonts w:eastAsia="Times New Roman" w:cs="Arial"/>
          <w:color w:val="000000"/>
          <w:lang w:val="en-US"/>
        </w:rPr>
        <w:t xml:space="preserve">AUC </w:t>
      </w:r>
      <w:r w:rsidRPr="000251EB">
        <w:rPr>
          <w:rFonts w:eastAsia="Times New Roman" w:cs="Arial"/>
          <w:color w:val="000000"/>
          <w:lang w:eastAsia="bg-BG"/>
        </w:rPr>
        <w:t>(с 84%) и на С</w:t>
      </w:r>
      <w:r w:rsidRPr="000251EB">
        <w:rPr>
          <w:rFonts w:eastAsia="Times New Roman" w:cs="Arial"/>
          <w:color w:val="000000"/>
          <w:lang w:val="en-US"/>
        </w:rPr>
        <w:t>max</w:t>
      </w:r>
      <w:r w:rsidRPr="000251EB">
        <w:rPr>
          <w:rFonts w:eastAsia="Times New Roman" w:cs="Arial"/>
          <w:color w:val="000000"/>
          <w:lang w:eastAsia="bg-BG"/>
        </w:rPr>
        <w:t xml:space="preserve"> (с 47%) в сравнение със съответни по възраст доброволци без чернодробно увреждане.</w:t>
      </w:r>
    </w:p>
    <w:p w14:paraId="285734E8" w14:textId="77777777" w:rsidR="000251EB" w:rsidRPr="000251EB" w:rsidRDefault="000251EB" w:rsidP="000251EB">
      <w:pPr>
        <w:spacing w:line="240" w:lineRule="auto"/>
        <w:rPr>
          <w:rFonts w:eastAsia="Times New Roman" w:cs="Arial"/>
          <w:sz w:val="24"/>
          <w:szCs w:val="24"/>
          <w:lang w:eastAsia="bg-BG"/>
        </w:rPr>
      </w:pPr>
      <w:r w:rsidRPr="000251EB">
        <w:rPr>
          <w:rFonts w:eastAsia="Times New Roman" w:cs="Arial"/>
          <w:color w:val="000000"/>
          <w:lang w:eastAsia="bg-BG"/>
        </w:rPr>
        <w:t>Фармакокинетиката на силденафил при пациенти с тежко нарушена чернодробна функция не е проучена.</w:t>
      </w:r>
    </w:p>
    <w:p w14:paraId="419A1526" w14:textId="77777777" w:rsidR="000251EB" w:rsidRPr="000251EB" w:rsidRDefault="000251EB" w:rsidP="000251EB"/>
    <w:p w14:paraId="6925FEB0" w14:textId="52BD4B7E" w:rsidR="00F62E44" w:rsidRDefault="002C50EE" w:rsidP="00387A66">
      <w:pPr>
        <w:pStyle w:val="Heading2"/>
      </w:pPr>
      <w:r>
        <w:t>5.3. Предклинични данни за безопасност</w:t>
      </w:r>
    </w:p>
    <w:p w14:paraId="4305FCDC" w14:textId="57C266D3" w:rsidR="000251EB" w:rsidRDefault="000251EB" w:rsidP="000251EB"/>
    <w:p w14:paraId="57EFA3DD" w14:textId="58613E1D" w:rsidR="000251EB" w:rsidRPr="000251EB" w:rsidRDefault="000251EB" w:rsidP="000251EB">
      <w:pPr>
        <w:rPr>
          <w:sz w:val="24"/>
          <w:szCs w:val="24"/>
          <w:lang w:eastAsia="bg-BG"/>
        </w:rPr>
      </w:pPr>
      <w:r w:rsidRPr="000251EB">
        <w:rPr>
          <w:lang w:eastAsia="bg-BG"/>
        </w:rPr>
        <w:t>Неклиничните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приложение, генотоксичност, карциногенен потенциал, репродуктивна токсичност и токсичност за развитието.</w:t>
      </w:r>
    </w:p>
    <w:p w14:paraId="357049A8" w14:textId="4506D16C" w:rsidR="00BB22B4" w:rsidRDefault="002C50EE" w:rsidP="00471F10">
      <w:pPr>
        <w:pStyle w:val="Heading1"/>
      </w:pPr>
      <w:r>
        <w:t>7. ПРИТЕЖАТЕЛ НА РАЗРЕШЕНИЕТО ЗА УПОТРЕБА</w:t>
      </w:r>
    </w:p>
    <w:p w14:paraId="319D0596" w14:textId="6FEC0DCD" w:rsidR="000251EB" w:rsidRDefault="000251EB" w:rsidP="000251EB"/>
    <w:p w14:paraId="5A7356ED" w14:textId="77777777" w:rsidR="000251EB" w:rsidRPr="000251EB" w:rsidRDefault="000251EB" w:rsidP="000251EB">
      <w:pPr>
        <w:rPr>
          <w:sz w:val="24"/>
          <w:szCs w:val="24"/>
          <w:lang w:eastAsia="bg-BG"/>
        </w:rPr>
      </w:pPr>
      <w:r w:rsidRPr="000251EB">
        <w:rPr>
          <w:lang w:eastAsia="bg-BG"/>
        </w:rPr>
        <w:t>Тева Фарма ЕАД</w:t>
      </w:r>
    </w:p>
    <w:p w14:paraId="3B54F4E1" w14:textId="77777777" w:rsidR="000251EB" w:rsidRDefault="000251EB" w:rsidP="000251EB">
      <w:pPr>
        <w:rPr>
          <w:lang w:eastAsia="bg-BG"/>
        </w:rPr>
      </w:pPr>
      <w:r w:rsidRPr="000251EB">
        <w:rPr>
          <w:lang w:eastAsia="bg-BG"/>
        </w:rPr>
        <w:t xml:space="preserve">ул. „Люба Величкова“ № 9,1407 София </w:t>
      </w:r>
    </w:p>
    <w:p w14:paraId="4DDA6829" w14:textId="549A37A1" w:rsidR="000251EB" w:rsidRPr="000251EB" w:rsidRDefault="000251EB" w:rsidP="000251EB">
      <w:r w:rsidRPr="000251EB">
        <w:rPr>
          <w:lang w:eastAsia="bg-BG"/>
        </w:rPr>
        <w:t>България</w:t>
      </w:r>
    </w:p>
    <w:p w14:paraId="0A53321D" w14:textId="06942C9D" w:rsidR="00EE6C97" w:rsidRDefault="00936AD0" w:rsidP="00A93499">
      <w:pPr>
        <w:pStyle w:val="Heading1"/>
      </w:pPr>
      <w:r>
        <w:t>8.</w:t>
      </w:r>
      <w:r w:rsidR="002C50EE">
        <w:t>НОМЕР НА РАЗРЕШЕНИЕТО ЗА УПОТРЕБА</w:t>
      </w:r>
    </w:p>
    <w:p w14:paraId="7D803456" w14:textId="3A64B503" w:rsidR="000251EB" w:rsidRDefault="000251EB" w:rsidP="000251EB"/>
    <w:p w14:paraId="135DB470" w14:textId="77777777" w:rsidR="000251EB" w:rsidRPr="000251EB" w:rsidRDefault="000251EB" w:rsidP="000251EB">
      <w:pPr>
        <w:rPr>
          <w:sz w:val="24"/>
          <w:szCs w:val="24"/>
          <w:lang w:eastAsia="bg-BG"/>
        </w:rPr>
      </w:pPr>
      <w:r w:rsidRPr="000251EB">
        <w:rPr>
          <w:lang w:eastAsia="bg-BG"/>
        </w:rPr>
        <w:t xml:space="preserve">Еротон 25 </w:t>
      </w:r>
      <w:r w:rsidRPr="000251EB">
        <w:rPr>
          <w:lang w:val="en-US"/>
        </w:rPr>
        <w:t xml:space="preserve">mg </w:t>
      </w:r>
      <w:r w:rsidRPr="000251EB">
        <w:rPr>
          <w:lang w:eastAsia="bg-BG"/>
        </w:rPr>
        <w:t xml:space="preserve">филмирани таблетки - </w:t>
      </w:r>
      <w:r w:rsidRPr="000251EB">
        <w:rPr>
          <w:lang w:val="en-US"/>
        </w:rPr>
        <w:t xml:space="preserve">per. </w:t>
      </w:r>
      <w:r w:rsidRPr="000251EB">
        <w:rPr>
          <w:lang w:eastAsia="bg-BG"/>
        </w:rPr>
        <w:t>№ 20090162</w:t>
      </w:r>
    </w:p>
    <w:p w14:paraId="0CDFEDBB" w14:textId="77777777" w:rsidR="000251EB" w:rsidRPr="000251EB" w:rsidRDefault="000251EB" w:rsidP="000251EB">
      <w:pPr>
        <w:rPr>
          <w:sz w:val="24"/>
          <w:szCs w:val="24"/>
          <w:lang w:eastAsia="bg-BG"/>
        </w:rPr>
      </w:pPr>
      <w:r w:rsidRPr="000251EB">
        <w:rPr>
          <w:lang w:eastAsia="bg-BG"/>
        </w:rPr>
        <w:t xml:space="preserve">Еротон 50 </w:t>
      </w:r>
      <w:r w:rsidRPr="000251EB">
        <w:rPr>
          <w:lang w:val="en-US"/>
        </w:rPr>
        <w:t xml:space="preserve">mg </w:t>
      </w:r>
      <w:r w:rsidRPr="000251EB">
        <w:rPr>
          <w:lang w:eastAsia="bg-BG"/>
        </w:rPr>
        <w:t xml:space="preserve">филмирани таблетки - </w:t>
      </w:r>
      <w:r w:rsidRPr="000251EB">
        <w:rPr>
          <w:lang w:val="en-US"/>
        </w:rPr>
        <w:t xml:space="preserve">per. </w:t>
      </w:r>
      <w:r w:rsidRPr="000251EB">
        <w:rPr>
          <w:lang w:eastAsia="bg-BG"/>
        </w:rPr>
        <w:t>№ 20090164</w:t>
      </w:r>
    </w:p>
    <w:p w14:paraId="05AFC587" w14:textId="77777777" w:rsidR="000251EB" w:rsidRPr="000251EB" w:rsidRDefault="000251EB" w:rsidP="000251EB">
      <w:pPr>
        <w:rPr>
          <w:sz w:val="24"/>
          <w:szCs w:val="24"/>
          <w:lang w:eastAsia="bg-BG"/>
        </w:rPr>
      </w:pPr>
      <w:r w:rsidRPr="000251EB">
        <w:rPr>
          <w:lang w:eastAsia="bg-BG"/>
        </w:rPr>
        <w:t xml:space="preserve">Еротон 100 </w:t>
      </w:r>
      <w:r w:rsidRPr="000251EB">
        <w:rPr>
          <w:lang w:val="en-US"/>
        </w:rPr>
        <w:t xml:space="preserve">mg </w:t>
      </w:r>
      <w:r w:rsidRPr="000251EB">
        <w:rPr>
          <w:lang w:eastAsia="bg-BG"/>
        </w:rPr>
        <w:t xml:space="preserve">филмирани таблетки - </w:t>
      </w:r>
      <w:r w:rsidRPr="000251EB">
        <w:rPr>
          <w:lang w:val="en-US"/>
        </w:rPr>
        <w:t xml:space="preserve">per. </w:t>
      </w:r>
      <w:r w:rsidRPr="000251EB">
        <w:rPr>
          <w:lang w:eastAsia="bg-BG"/>
        </w:rPr>
        <w:t>№ 20090163</w:t>
      </w:r>
    </w:p>
    <w:p w14:paraId="448111FA" w14:textId="77777777" w:rsidR="000251EB" w:rsidRPr="000251EB" w:rsidRDefault="000251EB" w:rsidP="000251EB"/>
    <w:p w14:paraId="7C2688F5" w14:textId="6D610EDF" w:rsidR="00F62E44" w:rsidRDefault="00F62E44" w:rsidP="00F62E44"/>
    <w:p w14:paraId="00481C21" w14:textId="5C2C4496" w:rsidR="00F62E44" w:rsidRDefault="002C50EE" w:rsidP="00387A66">
      <w:pPr>
        <w:pStyle w:val="Heading1"/>
      </w:pPr>
      <w:r>
        <w:t>9. ДАТА НА ПЪРВО РАЗРЕШАВАНЕ/ПОДНОВЯВАНЕ НА РАЗРЕШЕНИЕТО ЗА УПОТРЕБА</w:t>
      </w:r>
    </w:p>
    <w:p w14:paraId="29501718" w14:textId="0092BD14" w:rsidR="000251EB" w:rsidRDefault="000251EB" w:rsidP="000251EB"/>
    <w:p w14:paraId="7520637A" w14:textId="77777777" w:rsidR="000251EB" w:rsidRPr="000251EB" w:rsidRDefault="000251EB" w:rsidP="000251EB">
      <w:pPr>
        <w:rPr>
          <w:sz w:val="24"/>
          <w:szCs w:val="24"/>
          <w:lang w:eastAsia="bg-BG"/>
        </w:rPr>
      </w:pPr>
      <w:r w:rsidRPr="000251EB">
        <w:rPr>
          <w:lang w:eastAsia="bg-BG"/>
        </w:rPr>
        <w:t>Дата на първо разрешаване: 29.04.2009 г.</w:t>
      </w:r>
    </w:p>
    <w:p w14:paraId="186C5513" w14:textId="76954537" w:rsidR="000251EB" w:rsidRPr="000251EB" w:rsidRDefault="000251EB" w:rsidP="000251EB">
      <w:r w:rsidRPr="000251EB">
        <w:rPr>
          <w:lang w:eastAsia="bg-BG"/>
        </w:rPr>
        <w:t>Дата на последно подновяване: 27.03.2014 г.</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C33D9"/>
    <w:multiLevelType w:val="hybridMultilevel"/>
    <w:tmpl w:val="47D064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1"/>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4575352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251EB"/>
    <w:rsid w:val="000B7E02"/>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5655</Words>
  <Characters>32234</Characters>
  <Application>Microsoft Office Word</Application>
  <DocSecurity>0</DocSecurity>
  <Lines>268</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2023-02-26T22:24:00Z</dcterms:created>
  <dcterms:modified xsi:type="dcterms:W3CDTF">2023-02-26T22:24:00Z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