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328C" w14:textId="16329281" w:rsidR="002C50EE" w:rsidRDefault="002C50EE" w:rsidP="002C50EE">
      <w:pPr>
        <w:pStyle w:val="1"/>
        <w:jc w:val="center"/>
      </w:pPr>
      <w:bookmarkStart w:id="0" w:name="_Hlk63124480"/>
      <w:r>
        <w:t>КРАТКА ХАРАКТЕРИСТИКА НА ПРОДУКТА</w:t>
      </w:r>
    </w:p>
    <w:p w14:paraId="3B239815" w14:textId="59613479" w:rsidR="00AA23EC" w:rsidRDefault="00DD466D" w:rsidP="00DD466D">
      <w:pPr>
        <w:pStyle w:val="1"/>
      </w:pPr>
      <w:r>
        <w:t>1.ИМЕ НА ЛЕКАРСТВЕНИЯ ПРОДУКТ</w:t>
      </w:r>
    </w:p>
    <w:p w14:paraId="0126FA40" w14:textId="20783FDA" w:rsidR="00EB1DB7" w:rsidRDefault="00EB1DB7" w:rsidP="00EB1DB7"/>
    <w:p w14:paraId="665AAD9C" w14:textId="77777777" w:rsidR="00EB1DB7" w:rsidRPr="00EB1DB7" w:rsidRDefault="00EB1DB7" w:rsidP="00EB1DB7">
      <w:pPr>
        <w:rPr>
          <w:sz w:val="24"/>
          <w:szCs w:val="24"/>
        </w:rPr>
      </w:pPr>
      <w:proofErr w:type="spellStart"/>
      <w:r w:rsidRPr="00EB1DB7">
        <w:rPr>
          <w:lang w:eastAsia="bg-BG"/>
        </w:rPr>
        <w:t>Ескапеле</w:t>
      </w:r>
      <w:proofErr w:type="spellEnd"/>
      <w:r w:rsidRPr="00EB1DB7">
        <w:rPr>
          <w:lang w:eastAsia="bg-BG"/>
        </w:rPr>
        <w:t xml:space="preserve"> 1,5 </w:t>
      </w:r>
      <w:r w:rsidRPr="00EB1DB7">
        <w:rPr>
          <w:lang w:val="en-US"/>
        </w:rPr>
        <w:t xml:space="preserve">mg </w:t>
      </w:r>
      <w:r w:rsidRPr="00EB1DB7">
        <w:rPr>
          <w:lang w:eastAsia="bg-BG"/>
        </w:rPr>
        <w:t>таблетка</w:t>
      </w:r>
    </w:p>
    <w:p w14:paraId="40365C7F" w14:textId="3FC32F62" w:rsidR="00EB1DB7" w:rsidRPr="00EB1DB7" w:rsidRDefault="00EB1DB7" w:rsidP="00EB1DB7">
      <w:proofErr w:type="spellStart"/>
      <w:r w:rsidRPr="00EB1DB7">
        <w:rPr>
          <w:lang w:val="en-US"/>
        </w:rPr>
        <w:t>Escapelle</w:t>
      </w:r>
      <w:proofErr w:type="spellEnd"/>
      <w:r w:rsidRPr="00EB1DB7">
        <w:rPr>
          <w:lang w:val="en-US"/>
        </w:rPr>
        <w:t xml:space="preserve"> </w:t>
      </w:r>
      <w:r w:rsidRPr="00EB1DB7">
        <w:rPr>
          <w:lang w:eastAsia="bg-BG"/>
        </w:rPr>
        <w:t xml:space="preserve">1.5 </w:t>
      </w:r>
      <w:r w:rsidRPr="00EB1DB7">
        <w:rPr>
          <w:lang w:val="en-US"/>
        </w:rPr>
        <w:t>mg tablet</w:t>
      </w:r>
    </w:p>
    <w:p w14:paraId="4D88B710" w14:textId="3DFDAA27" w:rsidR="00D86297" w:rsidRDefault="00DD466D" w:rsidP="00AA23EC">
      <w:pPr>
        <w:pStyle w:val="1"/>
      </w:pPr>
      <w:r>
        <w:t>2. КАЧЕСТВЕН И КОЛИЧЕСТВЕН СЪСТАВ</w:t>
      </w:r>
    </w:p>
    <w:p w14:paraId="4775750E" w14:textId="00188098" w:rsidR="00EB1DB7" w:rsidRDefault="00EB1DB7" w:rsidP="00EB1DB7"/>
    <w:p w14:paraId="7474175B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Всяка таблетка съдържа 1,50 </w:t>
      </w:r>
      <w:r w:rsidRPr="00EB1DB7">
        <w:rPr>
          <w:rFonts w:eastAsia="Times New Roman" w:cs="Arial"/>
          <w:color w:val="000000"/>
          <w:lang w:val="en-US"/>
        </w:rPr>
        <w:t xml:space="preserve">mg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</w:t>
      </w:r>
      <w:r w:rsidRPr="00EB1DB7">
        <w:rPr>
          <w:rFonts w:eastAsia="Times New Roman" w:cs="Arial"/>
          <w:i/>
          <w:iCs/>
          <w:color w:val="000000"/>
          <w:lang w:val="en-US"/>
        </w:rPr>
        <w:t>(levonorgestrel).</w:t>
      </w:r>
    </w:p>
    <w:p w14:paraId="0637A56E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u w:val="single"/>
          <w:lang w:eastAsia="bg-BG"/>
        </w:rPr>
      </w:pPr>
    </w:p>
    <w:p w14:paraId="24B10468" w14:textId="26117163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u w:val="single"/>
          <w:lang w:eastAsia="bg-BG"/>
        </w:rPr>
        <w:t>Помощно вещество с известно действие</w:t>
      </w:r>
      <w:r w:rsidRPr="00EB1DB7">
        <w:rPr>
          <w:rFonts w:eastAsia="Times New Roman" w:cs="Arial"/>
          <w:color w:val="000000"/>
          <w:lang w:eastAsia="bg-BG"/>
        </w:rPr>
        <w:t>:</w:t>
      </w:r>
    </w:p>
    <w:p w14:paraId="4709E6EA" w14:textId="3602D77C" w:rsidR="00EB1DB7" w:rsidRPr="00EB1DB7" w:rsidRDefault="00EB1DB7" w:rsidP="00EB1DB7">
      <w:pPr>
        <w:rPr>
          <w:rFonts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142,5 </w:t>
      </w:r>
      <w:r w:rsidRPr="00EB1DB7">
        <w:rPr>
          <w:rFonts w:eastAsia="Times New Roman" w:cs="Arial"/>
          <w:color w:val="000000"/>
          <w:lang w:val="en-US"/>
        </w:rPr>
        <w:t xml:space="preserve">mg </w:t>
      </w:r>
      <w:r w:rsidRPr="00EB1DB7">
        <w:rPr>
          <w:rFonts w:eastAsia="Times New Roman" w:cs="Arial"/>
          <w:color w:val="000000"/>
          <w:lang w:eastAsia="bg-BG"/>
        </w:rPr>
        <w:t xml:space="preserve">лактоза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монохидрат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във всяка таблетка.</w:t>
      </w:r>
    </w:p>
    <w:p w14:paraId="5E332777" w14:textId="72FF7CE7" w:rsidR="005A66D9" w:rsidRDefault="00DD466D" w:rsidP="00CA1B57">
      <w:pPr>
        <w:pStyle w:val="1"/>
      </w:pPr>
      <w:r>
        <w:t>3. ЛЕКАРСТВЕНА ФОРМА</w:t>
      </w:r>
    </w:p>
    <w:p w14:paraId="4E67A82C" w14:textId="79AB7C5E" w:rsidR="00EB1DB7" w:rsidRDefault="00EB1DB7" w:rsidP="00EB1DB7"/>
    <w:p w14:paraId="476D2396" w14:textId="77777777" w:rsidR="00EB1DB7" w:rsidRPr="00EB1DB7" w:rsidRDefault="00EB1DB7" w:rsidP="00EB1DB7">
      <w:pPr>
        <w:rPr>
          <w:sz w:val="24"/>
          <w:szCs w:val="24"/>
        </w:rPr>
      </w:pPr>
      <w:r w:rsidRPr="00EB1DB7">
        <w:rPr>
          <w:lang w:eastAsia="bg-BG"/>
        </w:rPr>
        <w:t>Таблетка.</w:t>
      </w:r>
    </w:p>
    <w:p w14:paraId="42CF20ED" w14:textId="40FB196B" w:rsidR="00EB1DB7" w:rsidRPr="00EB1DB7" w:rsidRDefault="00EB1DB7" w:rsidP="00EB1DB7">
      <w:r w:rsidRPr="00EB1DB7">
        <w:rPr>
          <w:lang w:eastAsia="bg-BG"/>
        </w:rPr>
        <w:t xml:space="preserve">Почти бяла, плоска таблетка с ръб и щампован знак </w:t>
      </w:r>
      <w:r w:rsidRPr="00EB1DB7">
        <w:rPr>
          <w:lang w:val="en-US"/>
        </w:rPr>
        <w:t xml:space="preserve">“GOO” </w:t>
      </w:r>
      <w:r w:rsidRPr="00EB1DB7">
        <w:rPr>
          <w:lang w:eastAsia="bg-BG"/>
        </w:rPr>
        <w:t>от едната страна.</w:t>
      </w:r>
    </w:p>
    <w:p w14:paraId="490FC2C4" w14:textId="77777777" w:rsidR="002C50EE" w:rsidRDefault="002C50EE" w:rsidP="002C50EE">
      <w:pPr>
        <w:pStyle w:val="1"/>
      </w:pPr>
      <w:r>
        <w:t>4. КЛИНИЧНИ ДАННИ</w:t>
      </w:r>
    </w:p>
    <w:p w14:paraId="1512A286" w14:textId="2888A462" w:rsidR="00FD69E8" w:rsidRDefault="002C50EE" w:rsidP="00AA23EC">
      <w:pPr>
        <w:pStyle w:val="2"/>
      </w:pPr>
      <w:r>
        <w:t>4.1. Терапевтични показания</w:t>
      </w:r>
    </w:p>
    <w:p w14:paraId="1D171A12" w14:textId="7C0AF53C" w:rsidR="003765DC" w:rsidRDefault="003765DC" w:rsidP="003765DC"/>
    <w:p w14:paraId="4B6EF70E" w14:textId="5F23543F" w:rsidR="00EB1DB7" w:rsidRDefault="00EB1DB7" w:rsidP="00EB1DB7">
      <w:r>
        <w:t xml:space="preserve">Спешна контрацепция до 72 часа след </w:t>
      </w:r>
      <w:proofErr w:type="spellStart"/>
      <w:r>
        <w:t>непротектиран</w:t>
      </w:r>
      <w:proofErr w:type="spellEnd"/>
      <w:r>
        <w:t xml:space="preserve"> полов акт или при неуспешно приложен метод на контрацепция.</w:t>
      </w:r>
    </w:p>
    <w:p w14:paraId="6963E9D9" w14:textId="77777777" w:rsidR="00EB1DB7" w:rsidRPr="003765DC" w:rsidRDefault="00EB1DB7" w:rsidP="00EB1DB7"/>
    <w:p w14:paraId="66024DB0" w14:textId="4756F239" w:rsidR="003765DC" w:rsidRDefault="002C50EE" w:rsidP="002B3C38">
      <w:pPr>
        <w:pStyle w:val="2"/>
      </w:pPr>
      <w:r>
        <w:t>4.2. Дозировка и начин на приложение</w:t>
      </w:r>
    </w:p>
    <w:p w14:paraId="6D974447" w14:textId="390F186D" w:rsidR="00EB1DB7" w:rsidRDefault="00EB1DB7" w:rsidP="00EB1DB7"/>
    <w:p w14:paraId="675AA01D" w14:textId="77777777" w:rsidR="00EB1DB7" w:rsidRPr="00EB1DB7" w:rsidRDefault="00EB1DB7" w:rsidP="00EB1DB7">
      <w:pPr>
        <w:pStyle w:val="3"/>
        <w:rPr>
          <w:rFonts w:eastAsia="Times New Roman"/>
          <w:u w:val="single"/>
        </w:rPr>
      </w:pPr>
      <w:r w:rsidRPr="00EB1DB7">
        <w:rPr>
          <w:rFonts w:eastAsia="Times New Roman"/>
          <w:u w:val="single"/>
          <w:lang w:eastAsia="bg-BG"/>
        </w:rPr>
        <w:t>Дозировка</w:t>
      </w:r>
    </w:p>
    <w:p w14:paraId="2A0F1BEB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1ABD682E" w14:textId="185FB0D2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Една таблетка трябва да се приеме, колкото е възможно по-скоро, за предпочитане до 12 часа и не по-късно от 72 часа след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непротектиран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полов акт (вж. точка 5.1).</w:t>
      </w:r>
    </w:p>
    <w:p w14:paraId="32C706E1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6F5278E9" w14:textId="2B6DEA6C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При поява на повръщане до три часа след приемане на таблетката, незабавно трябва да се вземе друга таблетка.</w:t>
      </w:r>
    </w:p>
    <w:p w14:paraId="21D96113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49F5786E" w14:textId="1A71FBE6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Препоръчва се жените, които през последните 4 седмици са приемали ензим-индуциращи лекарства и се нуждаят от спешна контрацепция, да използват нехормонален метод за спешна контрацепция, напр. медна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вътрематочна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спирала </w:t>
      </w:r>
      <w:r w:rsidRPr="00EB1DB7">
        <w:rPr>
          <w:rFonts w:eastAsia="Times New Roman" w:cs="Arial"/>
          <w:color w:val="000000"/>
          <w:lang w:val="en-US"/>
        </w:rPr>
        <w:t xml:space="preserve">(Cu-IUD) </w:t>
      </w:r>
      <w:r w:rsidRPr="00EB1DB7">
        <w:rPr>
          <w:rFonts w:eastAsia="Times New Roman" w:cs="Arial"/>
          <w:color w:val="000000"/>
          <w:lang w:eastAsia="bg-BG"/>
        </w:rPr>
        <w:t xml:space="preserve">или да приемат двойна доза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(т.е. 2 таблетки наведнъж), за тези от тях, които не могат или не желаят да използват </w:t>
      </w:r>
      <w:r w:rsidRPr="00EB1DB7">
        <w:rPr>
          <w:rFonts w:eastAsia="Times New Roman" w:cs="Arial"/>
          <w:color w:val="000000"/>
          <w:lang w:val="en-US"/>
        </w:rPr>
        <w:t xml:space="preserve">Cu-IUD </w:t>
      </w:r>
      <w:r w:rsidRPr="00EB1DB7">
        <w:rPr>
          <w:rFonts w:eastAsia="Times New Roman" w:cs="Arial"/>
          <w:color w:val="000000"/>
          <w:lang w:eastAsia="bg-BG"/>
        </w:rPr>
        <w:t>(вж. точка 4.5).</w:t>
      </w:r>
    </w:p>
    <w:p w14:paraId="7195C9F7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691A027A" w14:textId="5AB51FE7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може да се използва по всяко време на менструалния цикъл, освен когато менструалното кръвотечение е просрочено.</w:t>
      </w:r>
    </w:p>
    <w:p w14:paraId="4FB48091" w14:textId="77777777" w:rsidR="00EB1DB7" w:rsidRPr="00EB1DB7" w:rsidRDefault="00EB1DB7" w:rsidP="00EB1DB7">
      <w:pPr>
        <w:rPr>
          <w:rFonts w:eastAsia="Times New Roman" w:cs="Arial"/>
          <w:color w:val="000000"/>
          <w:lang w:eastAsia="bg-BG"/>
        </w:rPr>
      </w:pPr>
    </w:p>
    <w:p w14:paraId="372E1DB8" w14:textId="77777777" w:rsidR="00EB1DB7" w:rsidRPr="00EB1DB7" w:rsidRDefault="00EB1DB7" w:rsidP="00EB1DB7">
      <w:pPr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lastRenderedPageBreak/>
        <w:t xml:space="preserve">След използване на спешна контрацепция се препоръчва да се прилага локален бариерен противозачатъчен метод (напр. кондом, диафрагма,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спермицид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цервикална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шапчица) до настъпването на следващата менструация. Използването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е</w:t>
      </w:r>
      <w:r>
        <w:rPr>
          <w:rFonts w:eastAsia="Times New Roman" w:cs="Arial"/>
          <w:color w:val="000000"/>
          <w:lang w:val="en-US" w:eastAsia="bg-BG"/>
        </w:rPr>
        <w:t xml:space="preserve"> </w:t>
      </w:r>
      <w:r w:rsidRPr="00EB1DB7">
        <w:rPr>
          <w:rFonts w:eastAsia="Times New Roman" w:cs="Arial"/>
          <w:color w:val="000000"/>
          <w:lang w:eastAsia="bg-BG"/>
        </w:rPr>
        <w:t>противопоказание за продължаване редовния прием на хормонални противозачатъчни таблетки.</w:t>
      </w:r>
    </w:p>
    <w:p w14:paraId="17BAEC6D" w14:textId="77777777" w:rsidR="00EB1DB7" w:rsidRPr="00EB1DB7" w:rsidRDefault="00EB1DB7" w:rsidP="00EB1DB7">
      <w:pPr>
        <w:spacing w:line="240" w:lineRule="auto"/>
        <w:rPr>
          <w:rFonts w:eastAsia="Times New Roman" w:cs="Arial"/>
          <w:i/>
          <w:iCs/>
          <w:color w:val="000000"/>
          <w:lang w:eastAsia="bg-BG"/>
        </w:rPr>
      </w:pPr>
    </w:p>
    <w:p w14:paraId="7F36DE9A" w14:textId="33E949A4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i/>
          <w:iCs/>
          <w:color w:val="000000"/>
          <w:lang w:eastAsia="bg-BG"/>
        </w:rPr>
        <w:t>Педиатрична популация</w:t>
      </w:r>
    </w:p>
    <w:p w14:paraId="7706B413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Няма съответно приложение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при деца в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предпубертетна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възраст за показанието спешна контрацепция.</w:t>
      </w:r>
    </w:p>
    <w:p w14:paraId="5356C585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u w:val="single"/>
          <w:lang w:eastAsia="bg-BG"/>
        </w:rPr>
      </w:pPr>
    </w:p>
    <w:p w14:paraId="5737401A" w14:textId="45727747" w:rsidR="00EB1DB7" w:rsidRPr="00EB1DB7" w:rsidRDefault="00EB1DB7" w:rsidP="00EB1DB7">
      <w:pPr>
        <w:pStyle w:val="3"/>
        <w:rPr>
          <w:rFonts w:eastAsia="Times New Roman"/>
          <w:u w:val="single"/>
        </w:rPr>
      </w:pPr>
      <w:r w:rsidRPr="00EB1DB7">
        <w:rPr>
          <w:rFonts w:eastAsia="Times New Roman"/>
          <w:u w:val="single"/>
          <w:lang w:eastAsia="bg-BG"/>
        </w:rPr>
        <w:t>Начин на приложение</w:t>
      </w:r>
    </w:p>
    <w:p w14:paraId="4D684343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7DA30161" w14:textId="42E45A48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За перорално приложение.</w:t>
      </w:r>
    </w:p>
    <w:p w14:paraId="42181506" w14:textId="7178E191" w:rsidR="00EB1DB7" w:rsidRPr="00EB1DB7" w:rsidRDefault="00EB1DB7" w:rsidP="00EB1DB7">
      <w:pPr>
        <w:rPr>
          <w:rFonts w:eastAsia="Times New Roman" w:cs="Arial"/>
          <w:color w:val="000000"/>
          <w:lang w:val="en-US" w:eastAsia="bg-BG"/>
        </w:rPr>
      </w:pPr>
    </w:p>
    <w:p w14:paraId="7D665279" w14:textId="77777777" w:rsidR="00EB1DB7" w:rsidRPr="00EB1DB7" w:rsidRDefault="00EB1DB7" w:rsidP="00EB1DB7">
      <w:pPr>
        <w:rPr>
          <w:rFonts w:cs="Arial"/>
        </w:rPr>
      </w:pPr>
    </w:p>
    <w:p w14:paraId="1A261012" w14:textId="6A9C32E8" w:rsidR="003765DC" w:rsidRDefault="002C50EE" w:rsidP="002B3C38">
      <w:pPr>
        <w:pStyle w:val="2"/>
      </w:pPr>
      <w:r>
        <w:t>4.3. Противопоказания</w:t>
      </w:r>
    </w:p>
    <w:p w14:paraId="0559CC2C" w14:textId="60FA57F3" w:rsidR="00EB1DB7" w:rsidRDefault="00EB1DB7" w:rsidP="00EB1DB7"/>
    <w:p w14:paraId="7F0CE64E" w14:textId="369C162A" w:rsidR="00EB1DB7" w:rsidRDefault="00EB1DB7" w:rsidP="00EB1DB7">
      <w:pPr>
        <w:rPr>
          <w:lang w:eastAsia="bg-BG"/>
        </w:rPr>
      </w:pPr>
      <w:r w:rsidRPr="00EB1DB7">
        <w:rPr>
          <w:lang w:eastAsia="bg-BG"/>
        </w:rPr>
        <w:t>Свръхчувствителност към активното вещество или към някое от помощните вещества, изброени в точка 6.1.</w:t>
      </w:r>
    </w:p>
    <w:p w14:paraId="1D0B0E7E" w14:textId="77777777" w:rsidR="00EB1DB7" w:rsidRPr="00EB1DB7" w:rsidRDefault="00EB1DB7" w:rsidP="00EB1DB7">
      <w:pPr>
        <w:rPr>
          <w:sz w:val="24"/>
          <w:szCs w:val="24"/>
        </w:rPr>
      </w:pPr>
    </w:p>
    <w:p w14:paraId="5EF6E7D6" w14:textId="4C37CB51" w:rsidR="003765DC" w:rsidRDefault="002C50EE" w:rsidP="002B3C38">
      <w:pPr>
        <w:pStyle w:val="2"/>
      </w:pPr>
      <w:r>
        <w:t>4.4. Специални предупреждения и предпазни мерки при употреба</w:t>
      </w:r>
    </w:p>
    <w:p w14:paraId="137FD093" w14:textId="29714B54" w:rsidR="00EB1DB7" w:rsidRDefault="00EB1DB7" w:rsidP="00EB1DB7"/>
    <w:p w14:paraId="5708A9A9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Спешната контрацепция е метод, който се прилага само в “извънредна ситуация”. Той не трябва в никакъв случай да замества редовния контрацептивен метод.</w:t>
      </w:r>
    </w:p>
    <w:p w14:paraId="0261AD23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Спешната контрацепция не предотвратява бременност във всеки случай. Ако е несигурно установяването на времето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непротектирания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полов акт или жената е имала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непротектиран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сексуален контакт преди повече от 72 часа в настоящия менструален цикъл, е възможно да настъпи бременност. По тази причина използването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след втория полов акт може да бъде неефикасно за предотвратяване на бременност. Ако менструалното кръвотечение е закъсняло повече от 5 дни или се е появило навреме, но е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абнормно</w:t>
      </w:r>
      <w:proofErr w:type="spellEnd"/>
      <w:r w:rsidRPr="00EB1DB7">
        <w:rPr>
          <w:rFonts w:eastAsia="Times New Roman" w:cs="Arial"/>
          <w:color w:val="000000"/>
          <w:lang w:eastAsia="bg-BG"/>
        </w:rPr>
        <w:t>, или съществува съмнение за бременност по някаква друга причина, трябва да се изключи наличието на бременност.</w:t>
      </w:r>
    </w:p>
    <w:p w14:paraId="783BCB0A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Ако след приложение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настъпи бременност, трябва да се има предвид възможността 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ектопична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бременност. Абсолютният риск 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ектопична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бременност по всяка вероятност е малък, тъй като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предотвратява овулацията 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фертилизацията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.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Ектопичната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бременност може да продължи, въпреки появата на маточно кръвотечение.</w:t>
      </w:r>
    </w:p>
    <w:p w14:paraId="28E928BC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Следователно,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се препоръчва при пациенти, при които има риск от възникване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ектопична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бременност (предшестваща анамнеза 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салпингит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или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ектопична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бременност).</w:t>
      </w:r>
    </w:p>
    <w:p w14:paraId="20F51CC4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13CC86A5" w14:textId="1E904D60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се препоръчва при пациентки с тежко нарушение на чернодробната функция. Тежки синдроми на малабсорбция, като болестта на </w:t>
      </w:r>
      <w:r w:rsidRPr="00EB1DB7">
        <w:rPr>
          <w:rFonts w:eastAsia="Times New Roman" w:cs="Arial"/>
          <w:color w:val="000000"/>
          <w:lang w:val="en-US"/>
        </w:rPr>
        <w:t xml:space="preserve">Crohn, </w:t>
      </w:r>
      <w:r w:rsidRPr="00EB1DB7">
        <w:rPr>
          <w:rFonts w:eastAsia="Times New Roman" w:cs="Arial"/>
          <w:color w:val="000000"/>
          <w:lang w:eastAsia="bg-BG"/>
        </w:rPr>
        <w:t xml:space="preserve">може да намалят ефикасността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>.</w:t>
      </w:r>
    </w:p>
    <w:p w14:paraId="09410603" w14:textId="77777777" w:rsidR="00EB1DB7" w:rsidRPr="00EB1DB7" w:rsidRDefault="00EB1DB7" w:rsidP="00EB1DB7">
      <w:pPr>
        <w:rPr>
          <w:rFonts w:eastAsia="Times New Roman" w:cs="Arial"/>
          <w:color w:val="000000"/>
          <w:lang w:eastAsia="bg-BG"/>
        </w:rPr>
      </w:pPr>
    </w:p>
    <w:p w14:paraId="7A63AAA2" w14:textId="64A46212" w:rsidR="00EB1DB7" w:rsidRDefault="00EB1DB7" w:rsidP="00EB1DB7">
      <w:pPr>
        <w:rPr>
          <w:rFonts w:eastAsia="Times New Roman" w:cs="Arial"/>
          <w:color w:val="000000"/>
          <w:lang w:eastAsia="bg-BG"/>
        </w:rPr>
      </w:pPr>
      <w:r w:rsidRPr="00EB1DB7">
        <w:rPr>
          <w:rFonts w:eastAsia="Times New Roman" w:cs="Arial"/>
          <w:color w:val="000000"/>
          <w:lang w:eastAsia="bg-BG"/>
        </w:rPr>
        <w:t xml:space="preserve">След прием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менструалните кръвотечения обикновено са нормални, с поява на очакваната дата. Понякога може да подранят или да закъснеят с няколко дни. Жените трябва да бъдат съветвани да се направи консултация с лекар за започване или </w:t>
      </w:r>
      <w:r w:rsidRPr="00EB1DB7">
        <w:rPr>
          <w:rFonts w:eastAsia="Times New Roman" w:cs="Arial"/>
          <w:color w:val="000000"/>
          <w:lang w:eastAsia="bg-BG"/>
        </w:rPr>
        <w:lastRenderedPageBreak/>
        <w:t xml:space="preserve">адаптация на метод за редовна контрацепция. Ако липсва отпадно кървене в последващия период без прием на таблетки, след използване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след редовна хормонална контрацепция, е необходимо да се изключи наличието на бременност.</w:t>
      </w:r>
    </w:p>
    <w:p w14:paraId="11533D29" w14:textId="415E0198" w:rsidR="00EB1DB7" w:rsidRDefault="00EB1DB7" w:rsidP="00EB1DB7">
      <w:pPr>
        <w:rPr>
          <w:rFonts w:eastAsia="Times New Roman" w:cs="Arial"/>
          <w:color w:val="000000"/>
          <w:lang w:eastAsia="bg-BG"/>
        </w:rPr>
      </w:pPr>
    </w:p>
    <w:p w14:paraId="4C15653A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Не се препоръчва повторно приложение в рамките на менструалния цикъл поради възможност от смущение на цикъла.</w:t>
      </w:r>
    </w:p>
    <w:p w14:paraId="20E8BCBA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622EBBE3" w14:textId="3BC21D3F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  <w:r w:rsidRPr="00EB1DB7">
        <w:rPr>
          <w:rFonts w:eastAsia="Times New Roman" w:cs="Arial"/>
          <w:color w:val="000000"/>
          <w:lang w:eastAsia="bg-BG"/>
        </w:rPr>
        <w:t xml:space="preserve">Въз основа на ограничените и неубедителни данни се предполага, че ефикасността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може да бъде намалена с увеличаване на телесното тегло или индекса на телесна маса (ИТМ) (вж. точки 5.1 и 5.2). </w:t>
      </w:r>
    </w:p>
    <w:p w14:paraId="6BD94CC4" w14:textId="35EAD2B3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При всички жени трябва да се прилага спешна контрацепция възможно най-скоро след полов акт без предпазни средства, независимо от тяхното телесно тегло или ИТМ.</w:t>
      </w:r>
    </w:p>
    <w:p w14:paraId="04C45157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0A62EE39" w14:textId="7BF1C29F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е така ефективен, както традиционния метод за редовна употреба на контрацептивни таблетки и е подходящ само като спешна мярка. Жена, която разчита на повторни курсове на спешна контрацепция, трябва да бъде посъветвана да обмисли използването на контрацептивни таблетки за продължителна употреба.</w:t>
      </w:r>
    </w:p>
    <w:p w14:paraId="42EC3D20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1059AD4B" w14:textId="34A1EC1F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Използването на спешна контрацепция не отменя необходимостта от предпазни мерки срещу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половопреносими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заболявалия.</w:t>
      </w:r>
    </w:p>
    <w:p w14:paraId="4402A5DD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5B59CCA5" w14:textId="1F0CAAD6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Този лекарствен продукт съдържа лактоза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монохидрат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. Пациентки с редки наследствени проблеми на непоносимост към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галактоза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пълен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лактазен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дефицит или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глюкозо-галактозна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малабсорбция не трябва да приемат този лекарствен продукт.</w:t>
      </w:r>
    </w:p>
    <w:p w14:paraId="4E700ACC" w14:textId="77777777" w:rsidR="00EB1DB7" w:rsidRDefault="00EB1DB7" w:rsidP="00EB1DB7">
      <w:pPr>
        <w:rPr>
          <w:rFonts w:eastAsia="Times New Roman" w:cs="Arial"/>
          <w:color w:val="000000"/>
          <w:lang w:eastAsia="bg-BG"/>
        </w:rPr>
      </w:pPr>
    </w:p>
    <w:p w14:paraId="2FC56D93" w14:textId="77777777" w:rsidR="00EB1DB7" w:rsidRPr="00EB1DB7" w:rsidRDefault="00EB1DB7" w:rsidP="00EB1DB7">
      <w:pPr>
        <w:rPr>
          <w:rFonts w:cs="Arial"/>
        </w:rPr>
      </w:pPr>
    </w:p>
    <w:p w14:paraId="297352C8" w14:textId="44096F3A" w:rsidR="003765DC" w:rsidRDefault="002C50EE" w:rsidP="002B3C38">
      <w:pPr>
        <w:pStyle w:val="2"/>
      </w:pPr>
      <w:r>
        <w:t>4.5. Взаимодействие с други лекарствени продукти и други форми на взаимодействие</w:t>
      </w:r>
    </w:p>
    <w:p w14:paraId="1A9CCFE2" w14:textId="0CDFE27A" w:rsidR="00EB1DB7" w:rsidRDefault="00EB1DB7" w:rsidP="00EB1DB7"/>
    <w:p w14:paraId="1AB1E0D1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Метаболизмът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 ускорява при съпътстваща употреба на индуктори на чернодробните ензими, най-вече индуктори на </w:t>
      </w:r>
      <w:r w:rsidRPr="00EB1DB7">
        <w:rPr>
          <w:rFonts w:eastAsia="Times New Roman" w:cs="Arial"/>
          <w:color w:val="000000"/>
          <w:lang w:val="en-US"/>
        </w:rPr>
        <w:t xml:space="preserve">CYP3A4 </w:t>
      </w:r>
      <w:r w:rsidRPr="00EB1DB7">
        <w:rPr>
          <w:rFonts w:eastAsia="Times New Roman" w:cs="Arial"/>
          <w:color w:val="000000"/>
          <w:lang w:eastAsia="bg-BG"/>
        </w:rPr>
        <w:t xml:space="preserve">ензимите. Установено е, че съпътстващото приложение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ефавиренц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понижава плазмените нива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</w:t>
      </w:r>
      <w:r w:rsidRPr="00EB1DB7">
        <w:rPr>
          <w:rFonts w:eastAsia="Times New Roman" w:cs="Arial"/>
          <w:color w:val="000000"/>
          <w:lang w:val="en-US"/>
        </w:rPr>
        <w:t xml:space="preserve">(AUC) </w:t>
      </w:r>
      <w:r w:rsidRPr="00EB1DB7">
        <w:rPr>
          <w:rFonts w:eastAsia="Times New Roman" w:cs="Arial"/>
          <w:color w:val="000000"/>
          <w:lang w:eastAsia="bg-BG"/>
        </w:rPr>
        <w:t>с около 50%.</w:t>
      </w:r>
    </w:p>
    <w:p w14:paraId="479CD661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350A8120" w14:textId="1EDE0CC6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Лекарствените продукти, за които се предполага, че имат сходна способност да намаляват плазмените нива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включват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барбитурати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(включително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примидон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),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фенитоин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карбамазепин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билкови продукти с </w:t>
      </w:r>
      <w:r w:rsidRPr="00EB1DB7">
        <w:rPr>
          <w:rFonts w:eastAsia="Times New Roman" w:cs="Arial"/>
          <w:i/>
          <w:iCs/>
          <w:color w:val="000000"/>
          <w:lang w:val="en-US"/>
        </w:rPr>
        <w:t xml:space="preserve">Hypericum </w:t>
      </w:r>
      <w:proofErr w:type="spellStart"/>
      <w:r w:rsidRPr="00EB1DB7">
        <w:rPr>
          <w:rFonts w:eastAsia="Times New Roman" w:cs="Arial"/>
          <w:i/>
          <w:iCs/>
          <w:color w:val="000000"/>
          <w:lang w:val="en-US"/>
        </w:rPr>
        <w:t>perforatum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(St John's Wort) - </w:t>
      </w:r>
      <w:r w:rsidRPr="00EB1DB7">
        <w:rPr>
          <w:rFonts w:eastAsia="Times New Roman" w:cs="Arial"/>
          <w:color w:val="000000"/>
          <w:lang w:eastAsia="bg-BG"/>
        </w:rPr>
        <w:t xml:space="preserve">жълт кантарион,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рифампицин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ритонавир,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рифабутин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гризеофулвин</w:t>
      </w:r>
      <w:proofErr w:type="spellEnd"/>
      <w:r w:rsidRPr="00EB1DB7">
        <w:rPr>
          <w:rFonts w:eastAsia="Times New Roman" w:cs="Arial"/>
          <w:color w:val="000000"/>
          <w:lang w:eastAsia="bg-BG"/>
        </w:rPr>
        <w:t>.</w:t>
      </w:r>
    </w:p>
    <w:p w14:paraId="7607A8A7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6F08823D" w14:textId="3F8896A2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При жените, които през последните 4 седмици са приемали ензим-индуциращи лекарства и се нуждаят от спешна контрацепция, следва да се има предвид употреба на нехормонален метод за спешна контрацепция (напр. </w:t>
      </w:r>
      <w:r w:rsidRPr="00EB1DB7">
        <w:rPr>
          <w:rFonts w:eastAsia="Times New Roman" w:cs="Arial"/>
          <w:color w:val="000000"/>
          <w:lang w:val="en-US"/>
        </w:rPr>
        <w:t xml:space="preserve">Cu-IUD). </w:t>
      </w:r>
      <w:r w:rsidRPr="00EB1DB7">
        <w:rPr>
          <w:rFonts w:eastAsia="Times New Roman" w:cs="Arial"/>
          <w:color w:val="000000"/>
          <w:lang w:eastAsia="bg-BG"/>
        </w:rPr>
        <w:t xml:space="preserve">Прием на двойна доза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(т.е. 3000 </w:t>
      </w:r>
      <w:proofErr w:type="spellStart"/>
      <w:r w:rsidRPr="00EB1DB7">
        <w:rPr>
          <w:rFonts w:eastAsia="Times New Roman" w:cs="Arial"/>
          <w:color w:val="000000"/>
          <w:lang w:val="en-US"/>
        </w:rPr>
        <w:t>pg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</w:t>
      </w:r>
      <w:r w:rsidRPr="00EB1DB7">
        <w:rPr>
          <w:rFonts w:eastAsia="Times New Roman" w:cs="Arial"/>
          <w:color w:val="000000"/>
          <w:lang w:eastAsia="bg-BG"/>
        </w:rPr>
        <w:t xml:space="preserve">в рамките на 72 часа след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непротектиран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полов акт) е възможен вариант при жените, които не могат или не желаят да използват </w:t>
      </w:r>
      <w:r w:rsidRPr="00EB1DB7">
        <w:rPr>
          <w:rFonts w:eastAsia="Times New Roman" w:cs="Arial"/>
          <w:color w:val="000000"/>
          <w:lang w:val="en-US"/>
        </w:rPr>
        <w:t xml:space="preserve">Cu-IUD, </w:t>
      </w:r>
      <w:r w:rsidRPr="00EB1DB7">
        <w:rPr>
          <w:rFonts w:eastAsia="Times New Roman" w:cs="Arial"/>
          <w:color w:val="000000"/>
          <w:lang w:eastAsia="bg-BG"/>
        </w:rPr>
        <w:t xml:space="preserve">въпреки че тази конкретна комбинация (двойна доза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 време на съпътстваща употреба на ензимен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индукгор</w:t>
      </w:r>
      <w:proofErr w:type="spellEnd"/>
      <w:r w:rsidRPr="00EB1DB7">
        <w:rPr>
          <w:rFonts w:eastAsia="Times New Roman" w:cs="Arial"/>
          <w:color w:val="000000"/>
          <w:lang w:eastAsia="bg-BG"/>
        </w:rPr>
        <w:t>) не е проучена.</w:t>
      </w:r>
    </w:p>
    <w:p w14:paraId="3977AF30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3FC521B5" w14:textId="215B7B8C" w:rsidR="00EB1DB7" w:rsidRDefault="00EB1DB7" w:rsidP="00EB1D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DB7">
        <w:rPr>
          <w:rFonts w:eastAsia="Times New Roman" w:cs="Arial"/>
          <w:color w:val="000000"/>
          <w:lang w:eastAsia="bg-BG"/>
        </w:rPr>
        <w:t xml:space="preserve">Лекарствените продукти, съдържащи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>, могат да засилят риска от токсичност на циклоспорин поради възможно инхибиране на метаболизма на циклоспорина.</w:t>
      </w:r>
    </w:p>
    <w:p w14:paraId="4D9F7E27" w14:textId="77777777" w:rsidR="00EB1DB7" w:rsidRPr="00EB1DB7" w:rsidRDefault="00EB1DB7" w:rsidP="00EB1D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09708" w14:textId="7AB78544" w:rsidR="003765DC" w:rsidRDefault="002C50EE" w:rsidP="002B3C38">
      <w:pPr>
        <w:pStyle w:val="2"/>
      </w:pPr>
      <w:r>
        <w:t xml:space="preserve">4.6. </w:t>
      </w:r>
      <w:proofErr w:type="spellStart"/>
      <w:r>
        <w:t>Фертилитет</w:t>
      </w:r>
      <w:proofErr w:type="spellEnd"/>
      <w:r>
        <w:t>, бременност и кърмене</w:t>
      </w:r>
    </w:p>
    <w:p w14:paraId="6D807F81" w14:textId="75A8772A" w:rsidR="00EB1DB7" w:rsidRDefault="00EB1DB7" w:rsidP="00EB1DB7"/>
    <w:p w14:paraId="5AF07779" w14:textId="00D19779" w:rsidR="00EB1DB7" w:rsidRPr="00EB1DB7" w:rsidRDefault="00EB1DB7" w:rsidP="00EB1DB7">
      <w:pPr>
        <w:pStyle w:val="3"/>
        <w:rPr>
          <w:u w:val="single"/>
        </w:rPr>
      </w:pPr>
      <w:r w:rsidRPr="00EB1DB7">
        <w:rPr>
          <w:u w:val="single"/>
        </w:rPr>
        <w:t>Бременност</w:t>
      </w:r>
    </w:p>
    <w:p w14:paraId="65AD4454" w14:textId="77777777" w:rsidR="00EB1DB7" w:rsidRPr="00EB1DB7" w:rsidRDefault="00EB1DB7" w:rsidP="00EB1DB7">
      <w:pPr>
        <w:rPr>
          <w:rFonts w:eastAsia="Times New Roman" w:cs="Arial"/>
          <w:sz w:val="24"/>
          <w:szCs w:val="24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трябва да се дава на бременни жени. Той няма да прекъсне бременността. В случай на настъпила вече бременност, ограничени епидемиологични проучвания не показват нежелани ефекти върху плода, но няма клинични данни за потенциални последствия, ако са приемани дози, по-високи от 1,5 </w:t>
      </w:r>
      <w:r w:rsidRPr="00EB1DB7">
        <w:rPr>
          <w:rFonts w:eastAsia="Times New Roman" w:cs="Arial"/>
          <w:color w:val="000000"/>
          <w:lang w:val="en-US"/>
        </w:rPr>
        <w:t xml:space="preserve">mg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(вж. точка 5.3).</w:t>
      </w:r>
    </w:p>
    <w:p w14:paraId="599F8C1F" w14:textId="77777777" w:rsidR="00EB1DB7" w:rsidRPr="00EB1DB7" w:rsidRDefault="00EB1DB7" w:rsidP="00EB1DB7">
      <w:pPr>
        <w:rPr>
          <w:rFonts w:eastAsia="Times New Roman" w:cs="Arial"/>
          <w:color w:val="000000"/>
          <w:lang w:eastAsia="bg-BG"/>
        </w:rPr>
      </w:pPr>
    </w:p>
    <w:p w14:paraId="43233C42" w14:textId="0DF3B626" w:rsidR="00EB1DB7" w:rsidRPr="00EB1DB7" w:rsidRDefault="00EB1DB7" w:rsidP="00EB1DB7">
      <w:pPr>
        <w:pStyle w:val="3"/>
        <w:rPr>
          <w:rFonts w:eastAsia="Times New Roman"/>
          <w:u w:val="single"/>
        </w:rPr>
      </w:pPr>
      <w:r w:rsidRPr="00EB1DB7">
        <w:rPr>
          <w:rFonts w:eastAsia="Times New Roman"/>
          <w:u w:val="single"/>
          <w:lang w:eastAsia="bg-BG"/>
        </w:rPr>
        <w:t>Кърмене</w:t>
      </w:r>
    </w:p>
    <w:p w14:paraId="39CB7F7A" w14:textId="77777777" w:rsidR="00EB1DB7" w:rsidRPr="00EB1DB7" w:rsidRDefault="00EB1DB7" w:rsidP="00EB1DB7">
      <w:pPr>
        <w:rPr>
          <w:rFonts w:eastAsia="Times New Roman" w:cs="Arial"/>
          <w:sz w:val="24"/>
          <w:szCs w:val="24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 отделя в майчината кърма. Потенциалното излагане на кърмачето под действието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може да бъде намалено, ако кърмещата майка използва таблетката веднага след кърмене и избягва да кърми най-малко 8 часа след приложението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>.</w:t>
      </w:r>
    </w:p>
    <w:p w14:paraId="5BDED08E" w14:textId="77777777" w:rsidR="00EB1DB7" w:rsidRPr="00EB1DB7" w:rsidRDefault="00EB1DB7" w:rsidP="00EB1DB7">
      <w:pPr>
        <w:rPr>
          <w:rFonts w:eastAsia="Times New Roman" w:cs="Arial"/>
          <w:color w:val="000000"/>
          <w:lang w:eastAsia="bg-BG"/>
        </w:rPr>
      </w:pPr>
    </w:p>
    <w:p w14:paraId="4EE63A72" w14:textId="16F1F8B4" w:rsidR="00EB1DB7" w:rsidRPr="00EB1DB7" w:rsidRDefault="00EB1DB7" w:rsidP="00EB1DB7">
      <w:pPr>
        <w:pStyle w:val="3"/>
        <w:rPr>
          <w:rFonts w:eastAsia="Times New Roman"/>
          <w:u w:val="single"/>
        </w:rPr>
      </w:pPr>
      <w:proofErr w:type="spellStart"/>
      <w:r w:rsidRPr="00EB1DB7">
        <w:rPr>
          <w:rFonts w:eastAsia="Times New Roman"/>
          <w:u w:val="single"/>
          <w:lang w:eastAsia="bg-BG"/>
        </w:rPr>
        <w:t>Фертилитет</w:t>
      </w:r>
      <w:proofErr w:type="spellEnd"/>
    </w:p>
    <w:p w14:paraId="03ACC0C5" w14:textId="58CF6391" w:rsidR="00EB1DB7" w:rsidRPr="00EB1DB7" w:rsidRDefault="00EB1DB7" w:rsidP="00EB1DB7">
      <w:pPr>
        <w:rPr>
          <w:rFonts w:eastAsia="Times New Roman" w:cs="Arial"/>
          <w:color w:val="000000"/>
          <w:lang w:eastAsia="bg-BG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увеличава възможността за нарушения на цикъла, което понякога може да доведе до по-ранна или по-късна дата на овулация. Тези промени може да доведат до изменения във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фертилитета</w:t>
      </w:r>
      <w:proofErr w:type="spellEnd"/>
      <w:r w:rsidRPr="00EB1DB7">
        <w:rPr>
          <w:rFonts w:eastAsia="Times New Roman" w:cs="Arial"/>
          <w:color w:val="000000"/>
          <w:lang w:eastAsia="bg-BG"/>
        </w:rPr>
        <w:t>, въпреки че няма данни в дългосрочен план.</w:t>
      </w:r>
    </w:p>
    <w:p w14:paraId="272B9781" w14:textId="77777777" w:rsidR="00EB1DB7" w:rsidRPr="00EB1DB7" w:rsidRDefault="00EB1DB7" w:rsidP="00EB1DB7"/>
    <w:p w14:paraId="13465597" w14:textId="32C2DF3D" w:rsidR="003765DC" w:rsidRDefault="002C50EE" w:rsidP="002B3C38">
      <w:pPr>
        <w:pStyle w:val="2"/>
      </w:pPr>
      <w:r>
        <w:t>4.7. Ефекти върху способността за шофиране и работа с машини</w:t>
      </w:r>
    </w:p>
    <w:p w14:paraId="78FB00D9" w14:textId="505C6EEE" w:rsidR="00EB1DB7" w:rsidRDefault="00EB1DB7" w:rsidP="00EB1DB7"/>
    <w:p w14:paraId="05188219" w14:textId="3493D6D6" w:rsidR="00EB1DB7" w:rsidRDefault="00EB1DB7" w:rsidP="00EB1DB7">
      <w:r>
        <w:t>Не са правени проучвания на ефекта върху способността за шофиране и работа с машини.</w:t>
      </w:r>
    </w:p>
    <w:p w14:paraId="26A5A131" w14:textId="77777777" w:rsidR="00EB1DB7" w:rsidRPr="00EB1DB7" w:rsidRDefault="00EB1DB7" w:rsidP="00EB1DB7"/>
    <w:p w14:paraId="5D66F04B" w14:textId="3B259949" w:rsidR="003765DC" w:rsidRDefault="002C50EE" w:rsidP="002B3C38">
      <w:pPr>
        <w:pStyle w:val="2"/>
      </w:pPr>
      <w:r>
        <w:t>4.8. Нежелани лекарствени реакции</w:t>
      </w:r>
    </w:p>
    <w:p w14:paraId="2C76601C" w14:textId="5451DCCD" w:rsidR="00EB1DB7" w:rsidRDefault="00EB1DB7" w:rsidP="00EB1DB7"/>
    <w:p w14:paraId="63907B03" w14:textId="2FCB1466" w:rsidR="00EB1DB7" w:rsidRDefault="00EB1DB7" w:rsidP="00EB1DB7">
      <w:pPr>
        <w:rPr>
          <w:lang w:eastAsia="bg-BG"/>
        </w:rPr>
      </w:pPr>
      <w:r w:rsidRPr="00EB1DB7">
        <w:rPr>
          <w:lang w:eastAsia="bg-BG"/>
        </w:rPr>
        <w:t>Най-често съобщаваната нежелана реакция е гадене.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6"/>
        <w:gridCol w:w="3097"/>
        <w:gridCol w:w="3097"/>
      </w:tblGrid>
      <w:tr w:rsidR="00EB1DB7" w14:paraId="610B19D5" w14:textId="77777777" w:rsidTr="00BC1A88">
        <w:tc>
          <w:tcPr>
            <w:tcW w:w="3192" w:type="dxa"/>
          </w:tcPr>
          <w:p w14:paraId="6D3319C9" w14:textId="4F393E2A" w:rsidR="00EB1DB7" w:rsidRPr="00EB1DB7" w:rsidRDefault="00EB1DB7" w:rsidP="00EB1DB7">
            <w:proofErr w:type="spellStart"/>
            <w:r w:rsidRPr="00EB1DB7">
              <w:rPr>
                <w:b/>
                <w:bCs/>
              </w:rPr>
              <w:t>Системо</w:t>
            </w:r>
            <w:proofErr w:type="spellEnd"/>
            <w:r w:rsidRPr="00EB1DB7">
              <w:rPr>
                <w:b/>
                <w:bCs/>
              </w:rPr>
              <w:t xml:space="preserve">-органен клас </w:t>
            </w:r>
            <w:r w:rsidRPr="00EB1DB7">
              <w:rPr>
                <w:b/>
                <w:bCs/>
                <w:lang w:val="en-US"/>
              </w:rPr>
              <w:t xml:space="preserve">MedDRA </w:t>
            </w:r>
            <w:r w:rsidRPr="00EB1DB7">
              <w:rPr>
                <w:b/>
                <w:bCs/>
              </w:rPr>
              <w:t>16.0</w:t>
            </w:r>
          </w:p>
        </w:tc>
        <w:tc>
          <w:tcPr>
            <w:tcW w:w="6384" w:type="dxa"/>
            <w:gridSpan w:val="2"/>
          </w:tcPr>
          <w:p w14:paraId="7B1EA0C8" w14:textId="6212A9F9" w:rsidR="00EB1DB7" w:rsidRPr="00EB1DB7" w:rsidRDefault="00EB1DB7" w:rsidP="00EB1DB7">
            <w:r w:rsidRPr="00EB1DB7">
              <w:rPr>
                <w:b/>
                <w:bCs/>
              </w:rPr>
              <w:t>Честота на нежелани реакции</w:t>
            </w:r>
          </w:p>
        </w:tc>
      </w:tr>
      <w:tr w:rsidR="00EB1DB7" w14:paraId="510F251B" w14:textId="77777777" w:rsidTr="00EB1DB7">
        <w:tc>
          <w:tcPr>
            <w:tcW w:w="3192" w:type="dxa"/>
          </w:tcPr>
          <w:p w14:paraId="01EADFEB" w14:textId="77777777" w:rsidR="00EB1DB7" w:rsidRPr="00EB1DB7" w:rsidRDefault="00EB1DB7" w:rsidP="00EB1DB7"/>
        </w:tc>
        <w:tc>
          <w:tcPr>
            <w:tcW w:w="3192" w:type="dxa"/>
          </w:tcPr>
          <w:p w14:paraId="6D17136A" w14:textId="77777777" w:rsidR="00EB1DB7" w:rsidRPr="00EB1DB7" w:rsidRDefault="00EB1DB7" w:rsidP="00EB1DB7">
            <w:r w:rsidRPr="00EB1DB7">
              <w:rPr>
                <w:b/>
                <w:bCs/>
              </w:rPr>
              <w:t>Много чести</w:t>
            </w:r>
          </w:p>
          <w:p w14:paraId="2A9CDE30" w14:textId="2950B1A9" w:rsidR="00EB1DB7" w:rsidRPr="00EB1DB7" w:rsidRDefault="00EB1DB7" w:rsidP="00EB1DB7">
            <w:r w:rsidRPr="00EB1DB7">
              <w:t>(</w:t>
            </w:r>
            <w:r w:rsidRPr="00EB1DB7">
              <w:rPr>
                <w:lang w:val="en-US"/>
              </w:rPr>
              <w:t>≥</w:t>
            </w:r>
            <w:r w:rsidRPr="00EB1DB7">
              <w:t>1/10)</w:t>
            </w:r>
          </w:p>
        </w:tc>
        <w:tc>
          <w:tcPr>
            <w:tcW w:w="3192" w:type="dxa"/>
          </w:tcPr>
          <w:p w14:paraId="5F04AA89" w14:textId="17BC6675" w:rsidR="00EB1DB7" w:rsidRPr="00EB1DB7" w:rsidRDefault="00EB1DB7" w:rsidP="00EB1DB7">
            <w:proofErr w:type="spellStart"/>
            <w:r w:rsidRPr="00EB1DB7">
              <w:rPr>
                <w:b/>
                <w:bCs/>
              </w:rPr>
              <w:t>Честн</w:t>
            </w:r>
            <w:proofErr w:type="spellEnd"/>
            <w:r w:rsidRPr="00EB1DB7">
              <w:rPr>
                <w:b/>
                <w:bCs/>
              </w:rPr>
              <w:t xml:space="preserve"> (</w:t>
            </w:r>
            <w:r w:rsidRPr="00EB1DB7">
              <w:rPr>
                <w:b/>
                <w:bCs/>
                <w:lang w:val="en-US"/>
              </w:rPr>
              <w:t>≥</w:t>
            </w:r>
            <w:r w:rsidRPr="00EB1DB7">
              <w:rPr>
                <w:b/>
                <w:bCs/>
              </w:rPr>
              <w:t>1/100 до &lt;1/10)</w:t>
            </w:r>
          </w:p>
        </w:tc>
      </w:tr>
      <w:tr w:rsidR="00EB1DB7" w14:paraId="4B14F870" w14:textId="77777777" w:rsidTr="00EB1DB7">
        <w:tc>
          <w:tcPr>
            <w:tcW w:w="3192" w:type="dxa"/>
          </w:tcPr>
          <w:p w14:paraId="4D0F66C2" w14:textId="31B3439D" w:rsidR="00EB1DB7" w:rsidRPr="00EB1DB7" w:rsidRDefault="00EB1DB7" w:rsidP="00EB1DB7">
            <w:r w:rsidRPr="00EB1DB7">
              <w:rPr>
                <w:b/>
                <w:bCs/>
              </w:rPr>
              <w:t>Нарушения на нервната система</w:t>
            </w:r>
          </w:p>
        </w:tc>
        <w:tc>
          <w:tcPr>
            <w:tcW w:w="3192" w:type="dxa"/>
          </w:tcPr>
          <w:p w14:paraId="62E5F42B" w14:textId="45359ED9" w:rsidR="00EB1DB7" w:rsidRPr="00EB1DB7" w:rsidRDefault="00EB1DB7" w:rsidP="00EB1DB7">
            <w:r w:rsidRPr="00EB1DB7">
              <w:t>Главоболие</w:t>
            </w:r>
          </w:p>
        </w:tc>
        <w:tc>
          <w:tcPr>
            <w:tcW w:w="3192" w:type="dxa"/>
          </w:tcPr>
          <w:p w14:paraId="2AD511B4" w14:textId="351BC93E" w:rsidR="00EB1DB7" w:rsidRPr="00EB1DB7" w:rsidRDefault="00EB1DB7" w:rsidP="00EB1DB7">
            <w:r w:rsidRPr="00EB1DB7">
              <w:t>Замайване</w:t>
            </w:r>
          </w:p>
        </w:tc>
      </w:tr>
      <w:tr w:rsidR="00EB1DB7" w14:paraId="5B1C9D5C" w14:textId="77777777" w:rsidTr="00EB1DB7">
        <w:tc>
          <w:tcPr>
            <w:tcW w:w="3192" w:type="dxa"/>
          </w:tcPr>
          <w:p w14:paraId="7E8BB68D" w14:textId="06042445" w:rsidR="00EB1DB7" w:rsidRPr="00EB1DB7" w:rsidRDefault="00EB1DB7" w:rsidP="00EB1DB7">
            <w:r w:rsidRPr="00EB1DB7">
              <w:rPr>
                <w:b/>
                <w:bCs/>
              </w:rPr>
              <w:t>Стомашно-чревни нарушения</w:t>
            </w:r>
          </w:p>
        </w:tc>
        <w:tc>
          <w:tcPr>
            <w:tcW w:w="3192" w:type="dxa"/>
          </w:tcPr>
          <w:p w14:paraId="67F02F40" w14:textId="77777777" w:rsidR="00EB1DB7" w:rsidRPr="00EB1DB7" w:rsidRDefault="00EB1DB7" w:rsidP="00EB1DB7">
            <w:r w:rsidRPr="00EB1DB7">
              <w:t>Гадене</w:t>
            </w:r>
          </w:p>
          <w:p w14:paraId="50E74592" w14:textId="04518F55" w:rsidR="00EB1DB7" w:rsidRPr="00EB1DB7" w:rsidRDefault="00EB1DB7" w:rsidP="00EB1DB7">
            <w:r w:rsidRPr="00EB1DB7">
              <w:t>Болка в долната част на корема</w:t>
            </w:r>
          </w:p>
        </w:tc>
        <w:tc>
          <w:tcPr>
            <w:tcW w:w="3192" w:type="dxa"/>
          </w:tcPr>
          <w:p w14:paraId="47F464A1" w14:textId="77777777" w:rsidR="00EB1DB7" w:rsidRPr="00EB1DB7" w:rsidRDefault="00EB1DB7" w:rsidP="00EB1DB7">
            <w:r w:rsidRPr="00EB1DB7">
              <w:t>Диария</w:t>
            </w:r>
          </w:p>
          <w:p w14:paraId="5364BFBD" w14:textId="05C54989" w:rsidR="00EB1DB7" w:rsidRPr="00EB1DB7" w:rsidRDefault="00EB1DB7" w:rsidP="00EB1DB7">
            <w:r w:rsidRPr="00EB1DB7">
              <w:t>Повръщане</w:t>
            </w:r>
          </w:p>
        </w:tc>
      </w:tr>
      <w:tr w:rsidR="00EB1DB7" w14:paraId="7AA35933" w14:textId="77777777" w:rsidTr="00EB1DB7">
        <w:tc>
          <w:tcPr>
            <w:tcW w:w="3192" w:type="dxa"/>
          </w:tcPr>
          <w:p w14:paraId="73CDBB3E" w14:textId="7CA2C676" w:rsidR="00EB1DB7" w:rsidRPr="00EB1DB7" w:rsidRDefault="00EB1DB7" w:rsidP="00EB1DB7">
            <w:r w:rsidRPr="00EB1DB7">
              <w:rPr>
                <w:b/>
                <w:bCs/>
              </w:rPr>
              <w:t>Нарушения на възпроизводителната система и гърдата</w:t>
            </w:r>
          </w:p>
        </w:tc>
        <w:tc>
          <w:tcPr>
            <w:tcW w:w="3192" w:type="dxa"/>
          </w:tcPr>
          <w:p w14:paraId="36953E26" w14:textId="0BA497D4" w:rsidR="00EB1DB7" w:rsidRPr="00EB1DB7" w:rsidRDefault="00EB1DB7" w:rsidP="00EB1DB7">
            <w:r w:rsidRPr="00EB1DB7">
              <w:t>Кървене, несвързано с менструацията</w:t>
            </w:r>
          </w:p>
        </w:tc>
        <w:tc>
          <w:tcPr>
            <w:tcW w:w="3192" w:type="dxa"/>
          </w:tcPr>
          <w:p w14:paraId="44615657" w14:textId="77777777" w:rsidR="00EB1DB7" w:rsidRPr="00EB1DB7" w:rsidRDefault="00EB1DB7" w:rsidP="00EB1DB7">
            <w:r w:rsidRPr="00EB1DB7">
              <w:t>Закъснение на</w:t>
            </w:r>
          </w:p>
          <w:p w14:paraId="653A1587" w14:textId="77777777" w:rsidR="00EB1DB7" w:rsidRPr="00EB1DB7" w:rsidRDefault="00EB1DB7" w:rsidP="00EB1DB7">
            <w:r w:rsidRPr="00EB1DB7">
              <w:t>менструацията повече от 7 дни</w:t>
            </w:r>
          </w:p>
          <w:p w14:paraId="0058D8A7" w14:textId="77777777" w:rsidR="00EB1DB7" w:rsidRPr="00EB1DB7" w:rsidRDefault="00EB1DB7" w:rsidP="00EB1DB7">
            <w:r w:rsidRPr="00EB1DB7">
              <w:t>Нередовна менструация</w:t>
            </w:r>
          </w:p>
          <w:p w14:paraId="167DFEC4" w14:textId="6B7C34C4" w:rsidR="00EB1DB7" w:rsidRPr="00EB1DB7" w:rsidRDefault="00EB1DB7" w:rsidP="00EB1DB7">
            <w:r w:rsidRPr="00EB1DB7">
              <w:t>Напрежение в гърдите</w:t>
            </w:r>
          </w:p>
        </w:tc>
      </w:tr>
      <w:tr w:rsidR="00EB1DB7" w14:paraId="51CA043A" w14:textId="77777777" w:rsidTr="00EB1DB7">
        <w:tc>
          <w:tcPr>
            <w:tcW w:w="3192" w:type="dxa"/>
          </w:tcPr>
          <w:p w14:paraId="67A1FBFA" w14:textId="17012297" w:rsidR="00EB1DB7" w:rsidRPr="00EB1DB7" w:rsidRDefault="00EB1DB7" w:rsidP="00EB1DB7">
            <w:r w:rsidRPr="00EB1DB7">
              <w:rPr>
                <w:b/>
                <w:bCs/>
              </w:rPr>
              <w:t>Общи нарушения н ефекти на мястото на приложение</w:t>
            </w:r>
          </w:p>
        </w:tc>
        <w:tc>
          <w:tcPr>
            <w:tcW w:w="3192" w:type="dxa"/>
          </w:tcPr>
          <w:p w14:paraId="4C4C88CD" w14:textId="2198C590" w:rsidR="00EB1DB7" w:rsidRPr="00EB1DB7" w:rsidRDefault="00EB1DB7" w:rsidP="00EB1DB7">
            <w:r w:rsidRPr="00EB1DB7">
              <w:t>Умора</w:t>
            </w:r>
          </w:p>
        </w:tc>
        <w:tc>
          <w:tcPr>
            <w:tcW w:w="3192" w:type="dxa"/>
          </w:tcPr>
          <w:p w14:paraId="2F28F84A" w14:textId="77777777" w:rsidR="00EB1DB7" w:rsidRPr="00EB1DB7" w:rsidRDefault="00EB1DB7" w:rsidP="00EB1DB7"/>
        </w:tc>
      </w:tr>
    </w:tbl>
    <w:p w14:paraId="0BB7C624" w14:textId="77777777" w:rsidR="00EB1DB7" w:rsidRDefault="00EB1DB7" w:rsidP="00EB1DB7">
      <w:pPr>
        <w:rPr>
          <w:lang w:eastAsia="bg-BG"/>
        </w:rPr>
      </w:pPr>
    </w:p>
    <w:p w14:paraId="35160C14" w14:textId="169FCE3D" w:rsidR="00EB1DB7" w:rsidRPr="00EB1DB7" w:rsidRDefault="00EB1DB7" w:rsidP="00EB1DB7">
      <w:pPr>
        <w:rPr>
          <w:sz w:val="24"/>
          <w:szCs w:val="24"/>
        </w:rPr>
      </w:pPr>
      <w:r w:rsidRPr="00EB1DB7">
        <w:rPr>
          <w:lang w:eastAsia="bg-BG"/>
        </w:rPr>
        <w:lastRenderedPageBreak/>
        <w:t>Възможно е временно да има смущения в характера на кръвотечението, но при повечето жени следващата менструация се появява до 5-7 дни от очакваното време.</w:t>
      </w:r>
    </w:p>
    <w:p w14:paraId="29DA376E" w14:textId="77777777" w:rsidR="00EB1DB7" w:rsidRPr="00EB1DB7" w:rsidRDefault="00EB1DB7" w:rsidP="00EB1DB7">
      <w:pPr>
        <w:rPr>
          <w:sz w:val="24"/>
          <w:szCs w:val="24"/>
        </w:rPr>
      </w:pPr>
      <w:r w:rsidRPr="00EB1DB7">
        <w:rPr>
          <w:lang w:eastAsia="bg-BG"/>
        </w:rPr>
        <w:t>Ако следващата менструация е просрочена с повече от 5 дни, трябва да бъде изключена бременност.</w:t>
      </w:r>
    </w:p>
    <w:p w14:paraId="0FD26CAC" w14:textId="77777777" w:rsidR="00EB1DB7" w:rsidRDefault="00EB1DB7" w:rsidP="00EB1DB7">
      <w:pPr>
        <w:rPr>
          <w:i/>
          <w:iCs/>
          <w:lang w:eastAsia="bg-BG"/>
        </w:rPr>
      </w:pPr>
    </w:p>
    <w:p w14:paraId="338D3A79" w14:textId="131B0D1A" w:rsidR="00EB1DB7" w:rsidRPr="00EB1DB7" w:rsidRDefault="00EB1DB7" w:rsidP="00EB1DB7">
      <w:pPr>
        <w:rPr>
          <w:sz w:val="24"/>
          <w:szCs w:val="24"/>
        </w:rPr>
      </w:pPr>
      <w:r w:rsidRPr="00EB1DB7">
        <w:rPr>
          <w:i/>
          <w:iCs/>
          <w:lang w:eastAsia="bg-BG"/>
        </w:rPr>
        <w:t>От пост-маркетинговото наблюдение в допълнение са съобщавани следните нежелани събития:</w:t>
      </w:r>
    </w:p>
    <w:p w14:paraId="1D319B2F" w14:textId="77777777" w:rsidR="00EB1DB7" w:rsidRDefault="00EB1DB7" w:rsidP="00EB1DB7">
      <w:pPr>
        <w:rPr>
          <w:i/>
          <w:iCs/>
          <w:lang w:eastAsia="bg-BG"/>
        </w:rPr>
      </w:pPr>
    </w:p>
    <w:p w14:paraId="1CDA6AF1" w14:textId="24390D99" w:rsidR="00EB1DB7" w:rsidRDefault="00EB1DB7" w:rsidP="00EB1DB7">
      <w:pPr>
        <w:rPr>
          <w:i/>
          <w:iCs/>
          <w:lang w:eastAsia="bg-BG"/>
        </w:rPr>
      </w:pPr>
      <w:r w:rsidRPr="00EB1DB7">
        <w:rPr>
          <w:i/>
          <w:iCs/>
          <w:lang w:eastAsia="bg-BG"/>
        </w:rPr>
        <w:t>Нарушения на кожата и подкожната тъкан:</w:t>
      </w:r>
    </w:p>
    <w:p w14:paraId="4F9EFC4F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Много редки (&lt; 1/10 000): обрив» уртикария,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пруритус</w:t>
      </w:r>
      <w:proofErr w:type="spellEnd"/>
    </w:p>
    <w:p w14:paraId="2B482951" w14:textId="77777777" w:rsidR="00EB1DB7" w:rsidRPr="00EB1DB7" w:rsidRDefault="00EB1DB7" w:rsidP="00EB1DB7">
      <w:pPr>
        <w:spacing w:line="240" w:lineRule="auto"/>
        <w:rPr>
          <w:rFonts w:eastAsia="Times New Roman" w:cs="Arial"/>
          <w:i/>
          <w:iCs/>
          <w:color w:val="000000"/>
          <w:lang w:eastAsia="bg-BG"/>
        </w:rPr>
      </w:pPr>
    </w:p>
    <w:p w14:paraId="21423A11" w14:textId="5623823C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i/>
          <w:iCs/>
          <w:color w:val="000000"/>
          <w:lang w:eastAsia="bg-BG"/>
        </w:rPr>
        <w:t>Нарушения на възпроизводителната система и гърдата</w:t>
      </w:r>
    </w:p>
    <w:p w14:paraId="04BA7014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Много редки (&lt;1/10 000): болка в таза,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дисменорея</w:t>
      </w:r>
      <w:proofErr w:type="spellEnd"/>
    </w:p>
    <w:p w14:paraId="76207488" w14:textId="77777777" w:rsidR="00EB1DB7" w:rsidRPr="00EB1DB7" w:rsidRDefault="00EB1DB7" w:rsidP="00EB1DB7">
      <w:pPr>
        <w:spacing w:line="240" w:lineRule="auto"/>
        <w:rPr>
          <w:rFonts w:eastAsia="Times New Roman" w:cs="Arial"/>
          <w:i/>
          <w:iCs/>
          <w:color w:val="000000"/>
          <w:lang w:eastAsia="bg-BG"/>
        </w:rPr>
      </w:pPr>
    </w:p>
    <w:p w14:paraId="7F6A50D4" w14:textId="0D3CF21A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i/>
          <w:iCs/>
          <w:color w:val="000000"/>
          <w:lang w:eastAsia="bg-BG"/>
        </w:rPr>
        <w:t>Стомашно-чревни нарушения</w:t>
      </w:r>
    </w:p>
    <w:p w14:paraId="2CABE39B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Много редки (&lt;1/10 000): болка в корема</w:t>
      </w:r>
    </w:p>
    <w:p w14:paraId="7B3722BF" w14:textId="77777777" w:rsidR="00EB1DB7" w:rsidRPr="00EB1DB7" w:rsidRDefault="00EB1DB7" w:rsidP="00EB1DB7">
      <w:pPr>
        <w:spacing w:line="240" w:lineRule="auto"/>
        <w:rPr>
          <w:rFonts w:eastAsia="Times New Roman" w:cs="Arial"/>
          <w:i/>
          <w:iCs/>
          <w:color w:val="000000"/>
          <w:lang w:eastAsia="bg-BG"/>
        </w:rPr>
      </w:pPr>
    </w:p>
    <w:p w14:paraId="59477E42" w14:textId="65AB6463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i/>
          <w:iCs/>
          <w:color w:val="000000"/>
          <w:lang w:eastAsia="bg-BG"/>
        </w:rPr>
        <w:t>Общи нарушения и ефекти на мястото на приложение</w:t>
      </w:r>
    </w:p>
    <w:p w14:paraId="26C398B9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Много редки (&lt;1/10 000): оток на лицето</w:t>
      </w:r>
    </w:p>
    <w:p w14:paraId="23E6BB47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u w:val="single"/>
          <w:lang w:eastAsia="bg-BG"/>
        </w:rPr>
      </w:pPr>
    </w:p>
    <w:p w14:paraId="38C6B684" w14:textId="60687F41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u w:val="single"/>
          <w:lang w:eastAsia="bg-BG"/>
        </w:rPr>
        <w:t>Съобщаване на подозирани нежелани реакции</w:t>
      </w:r>
    </w:p>
    <w:p w14:paraId="3A54C078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Съобщаването на подозирани нежелани реакции след разрешаване за употреба на лекарствения продукт е важно. Това позволява да продължи наблюдението на съотношението полза/риск за лекарствени продукт. От медицинските специалисти се изисква да съобщават всяка подозирана нежелана реакция чрез Изпълнителна агенция по лекарствата ул. „Дамян Груев” № 8,1303 София , Тел.: +35 928903417, уебсайт: </w:t>
      </w:r>
      <w:hyperlink r:id="rId5" w:history="1">
        <w:r w:rsidRPr="00EB1DB7">
          <w:rPr>
            <w:rFonts w:eastAsia="Times New Roman" w:cs="Arial"/>
            <w:color w:val="000000"/>
            <w:u w:val="single"/>
            <w:lang w:val="en-US"/>
          </w:rPr>
          <w:t>www.bda.bg</w:t>
        </w:r>
      </w:hyperlink>
      <w:r w:rsidRPr="00EB1DB7">
        <w:rPr>
          <w:rFonts w:eastAsia="Times New Roman" w:cs="Arial"/>
          <w:color w:val="000000"/>
          <w:lang w:val="en-US"/>
        </w:rPr>
        <w:t>.</w:t>
      </w:r>
    </w:p>
    <w:p w14:paraId="3BCB7B1A" w14:textId="77777777" w:rsidR="00EB1DB7" w:rsidRPr="00EB1DB7" w:rsidRDefault="00EB1DB7" w:rsidP="00EB1DB7">
      <w:pPr>
        <w:rPr>
          <w:sz w:val="24"/>
          <w:szCs w:val="24"/>
        </w:rPr>
      </w:pPr>
    </w:p>
    <w:p w14:paraId="42DF9851" w14:textId="3BE8EBDC" w:rsidR="003765DC" w:rsidRDefault="002C50EE" w:rsidP="002B3C38">
      <w:pPr>
        <w:pStyle w:val="2"/>
      </w:pPr>
      <w:r>
        <w:t>4.9. Предозиране</w:t>
      </w:r>
    </w:p>
    <w:p w14:paraId="4EDE16A9" w14:textId="77777777" w:rsidR="00EB1DB7" w:rsidRDefault="00EB1DB7" w:rsidP="00EB1DB7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630A6BBD" w14:textId="609BAA38" w:rsidR="00EB1DB7" w:rsidRPr="00EB1DB7" w:rsidRDefault="00EB1DB7" w:rsidP="00EB1DB7">
      <w:pPr>
        <w:rPr>
          <w:sz w:val="24"/>
          <w:szCs w:val="24"/>
        </w:rPr>
      </w:pPr>
      <w:r w:rsidRPr="00EB1DB7">
        <w:rPr>
          <w:lang w:eastAsia="bg-BG"/>
        </w:rPr>
        <w:t>Няма съобщения за сериозни нежелани реакции след остра интоксикация с големи дози от орални контрацептиви.</w:t>
      </w:r>
    </w:p>
    <w:p w14:paraId="21D417A4" w14:textId="77777777" w:rsidR="00EB1DB7" w:rsidRPr="00EB1DB7" w:rsidRDefault="00EB1DB7" w:rsidP="00EB1DB7">
      <w:pPr>
        <w:rPr>
          <w:sz w:val="24"/>
          <w:szCs w:val="24"/>
        </w:rPr>
      </w:pPr>
      <w:r w:rsidRPr="00EB1DB7">
        <w:rPr>
          <w:lang w:eastAsia="bg-BG"/>
        </w:rPr>
        <w:t>Предозирането може да предизвика гадене и е възможна появата на отпадно кървене. Няма специфични антидоти и лечението трябва да бъде симптоматично.</w:t>
      </w:r>
    </w:p>
    <w:p w14:paraId="71AD225F" w14:textId="77777777" w:rsidR="00EB1DB7" w:rsidRPr="00EB1DB7" w:rsidRDefault="00EB1DB7" w:rsidP="00EB1DB7"/>
    <w:p w14:paraId="18EF4AFE" w14:textId="77777777" w:rsidR="002C50EE" w:rsidRDefault="002C50EE" w:rsidP="002C50EE">
      <w:pPr>
        <w:pStyle w:val="1"/>
      </w:pPr>
      <w:r>
        <w:t>5. ФАРМАКОЛОГИЧНИ СВОЙСТВА</w:t>
      </w:r>
    </w:p>
    <w:p w14:paraId="7635AD51" w14:textId="391835F3" w:rsidR="003765DC" w:rsidRDefault="002C50EE" w:rsidP="002B3C38">
      <w:pPr>
        <w:pStyle w:val="2"/>
      </w:pPr>
      <w:r>
        <w:t xml:space="preserve">5.1. </w:t>
      </w:r>
      <w:proofErr w:type="spellStart"/>
      <w:r>
        <w:t>Фармакодинамични</w:t>
      </w:r>
      <w:proofErr w:type="spellEnd"/>
      <w:r>
        <w:t xml:space="preserve"> свойства</w:t>
      </w:r>
    </w:p>
    <w:p w14:paraId="70DA7BF9" w14:textId="08D2F15A" w:rsidR="00EB1DB7" w:rsidRDefault="00EB1DB7" w:rsidP="00EB1DB7"/>
    <w:p w14:paraId="72469B95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Фармакотерапевтична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група: Полови хормони и модулатори на половата система, спешни контрацептиви, АТС код: </w:t>
      </w:r>
      <w:r w:rsidRPr="00EB1DB7">
        <w:rPr>
          <w:rFonts w:eastAsia="Times New Roman" w:cs="Arial"/>
          <w:color w:val="000000"/>
          <w:lang w:val="en-US"/>
        </w:rPr>
        <w:t>G03A D01</w:t>
      </w:r>
    </w:p>
    <w:p w14:paraId="54CBAE27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u w:val="single"/>
          <w:lang w:eastAsia="bg-BG"/>
        </w:rPr>
      </w:pPr>
    </w:p>
    <w:p w14:paraId="19CB977F" w14:textId="1A80A8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u w:val="single"/>
          <w:lang w:eastAsia="bg-BG"/>
        </w:rPr>
        <w:t>Механизъм на действие</w:t>
      </w:r>
    </w:p>
    <w:p w14:paraId="327F9A0F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Точният механизъм на действие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Ескапеле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е неизвестен.</w:t>
      </w:r>
    </w:p>
    <w:p w14:paraId="644610C2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При препоръчвания режим на дозиране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действа главно чрез потискане на овулацията 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фертилизацията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ако половият акт е бил в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преовулаторната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фаза, когато вероятността от оплождане е най-висока.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е ефективен, ако процесът на им плантация вече е започнал.</w:t>
      </w:r>
    </w:p>
    <w:p w14:paraId="0E3175CB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u w:val="single"/>
          <w:lang w:eastAsia="bg-BG"/>
        </w:rPr>
      </w:pPr>
    </w:p>
    <w:p w14:paraId="6EFDBE1C" w14:textId="3B1E22FF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u w:val="single"/>
          <w:lang w:eastAsia="bg-BG"/>
        </w:rPr>
        <w:t xml:space="preserve">Клинична </w:t>
      </w:r>
      <w:proofErr w:type="spellStart"/>
      <w:r w:rsidRPr="00EB1DB7">
        <w:rPr>
          <w:rFonts w:eastAsia="Times New Roman" w:cs="Arial"/>
          <w:color w:val="000000"/>
          <w:u w:val="single"/>
          <w:lang w:eastAsia="bg-BG"/>
        </w:rPr>
        <w:t>ефктивност</w:t>
      </w:r>
      <w:proofErr w:type="spellEnd"/>
      <w:r w:rsidRPr="00EB1DB7">
        <w:rPr>
          <w:rFonts w:eastAsia="Times New Roman" w:cs="Arial"/>
          <w:color w:val="000000"/>
          <w:u w:val="single"/>
          <w:lang w:eastAsia="bg-BG"/>
        </w:rPr>
        <w:t xml:space="preserve"> и безопасност</w:t>
      </w:r>
    </w:p>
    <w:p w14:paraId="17733DFF" w14:textId="511B6EAC" w:rsid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  <w:r w:rsidRPr="00EB1DB7">
        <w:rPr>
          <w:rFonts w:eastAsia="Times New Roman" w:cs="Arial"/>
          <w:color w:val="000000"/>
          <w:lang w:eastAsia="bg-BG"/>
        </w:rPr>
        <w:t xml:space="preserve">В по-ранно клинично проучване </w:t>
      </w:r>
      <w:r w:rsidRPr="00EB1DB7">
        <w:rPr>
          <w:rFonts w:eastAsia="Times New Roman" w:cs="Arial"/>
          <w:color w:val="000000"/>
          <w:lang w:val="en-US"/>
        </w:rPr>
        <w:t xml:space="preserve">(Lancet </w:t>
      </w:r>
      <w:r w:rsidRPr="00EB1DB7">
        <w:rPr>
          <w:rFonts w:eastAsia="Times New Roman" w:cs="Arial"/>
          <w:color w:val="000000"/>
          <w:lang w:eastAsia="bg-BG"/>
        </w:rPr>
        <w:t xml:space="preserve">1998; 352: 428-433), където 750 микрограма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>, приет като две дози по 750 микрограма с 12-часов интервал, честотата на бременността е била 1,1% (11/976). Процентът на бременност изглежда се увеличава с времето на започване на лечението след полов акт (0,4% [2/450] в рамките на 24 часа, 1,2% [4/338] - 25-48 часа, 2,7% [5/187], ако е започнало между 49 и 72 часа).</w:t>
      </w:r>
    </w:p>
    <w:p w14:paraId="2471A084" w14:textId="3627AE3D" w:rsid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122A7AC7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Резултатите от рандомизирано, двойно-сляпо клинично проучване, проведено през 2001 г. </w:t>
      </w:r>
      <w:r w:rsidRPr="00EB1DB7">
        <w:rPr>
          <w:rFonts w:eastAsia="Times New Roman" w:cs="Arial"/>
          <w:color w:val="000000"/>
          <w:lang w:val="en-US"/>
        </w:rPr>
        <w:t xml:space="preserve">(Lancet </w:t>
      </w:r>
      <w:r w:rsidRPr="00EB1DB7">
        <w:rPr>
          <w:rFonts w:eastAsia="Times New Roman" w:cs="Arial"/>
          <w:color w:val="000000"/>
          <w:lang w:eastAsia="bg-BG"/>
        </w:rPr>
        <w:t xml:space="preserve">2002; 360: 1803-1810), показват, че с 1500 микрограма еднократна доза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/две таблетки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от 750 микрограма, приети едновременно (в рамките на 72 часа след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непротектиран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полов акт) честота на бременност е 1,34% (16/1 198), в сравнение с 1,69% [20/11 832], когато са взети две таблетки по 750 микрограма с интервал от 12 часа. Няма разлика в процента на бременности при жени, които са били лекувани на третия или четвъртия ден след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непротектиран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полов акт (р&gt;0.2).</w:t>
      </w:r>
    </w:p>
    <w:p w14:paraId="53BD56D8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02B4E3E9" w14:textId="43A95F64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Мета-анализ на три проучвания на СЗО </w:t>
      </w:r>
      <w:r w:rsidRPr="00EB1DB7">
        <w:rPr>
          <w:rFonts w:eastAsia="Times New Roman" w:cs="Arial"/>
          <w:color w:val="000000"/>
          <w:lang w:val="en-US"/>
        </w:rPr>
        <w:t xml:space="preserve">(Von </w:t>
      </w:r>
      <w:proofErr w:type="spellStart"/>
      <w:r w:rsidRPr="00EB1DB7">
        <w:rPr>
          <w:rFonts w:eastAsia="Times New Roman" w:cs="Arial"/>
          <w:color w:val="000000"/>
          <w:lang w:val="en-US"/>
        </w:rPr>
        <w:t>Hertzen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et al., 1998 </w:t>
      </w:r>
      <w:r w:rsidRPr="00EB1DB7">
        <w:rPr>
          <w:rFonts w:eastAsia="Times New Roman" w:cs="Arial"/>
          <w:color w:val="000000"/>
          <w:lang w:eastAsia="bg-BG"/>
        </w:rPr>
        <w:t xml:space="preserve">и </w:t>
      </w:r>
      <w:r w:rsidRPr="00EB1DB7">
        <w:rPr>
          <w:rFonts w:eastAsia="Times New Roman" w:cs="Arial"/>
          <w:color w:val="000000"/>
          <w:lang w:val="en-US"/>
        </w:rPr>
        <w:t xml:space="preserve">2002; Dada et al., 2010) </w:t>
      </w:r>
      <w:r w:rsidRPr="00EB1DB7">
        <w:rPr>
          <w:rFonts w:eastAsia="Times New Roman" w:cs="Arial"/>
          <w:color w:val="000000"/>
          <w:lang w:eastAsia="bg-BG"/>
        </w:rPr>
        <w:t xml:space="preserve">показа, че процентът на бременност с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е 1,01% (59/5 863), което означава, че предотвратява бременността в 99% от случаите (в сравнение с очаквана честота на бременност от около 8% при липса на спешна контрацепция).</w:t>
      </w:r>
    </w:p>
    <w:p w14:paraId="4BCAF1C1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70981D49" w14:textId="6949B5A9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Има ограничени н неубедителни данни за ефекта на повишеното телесно тегло/високия ИТМ върху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ефикасностна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на контрацепцията. В три проучвания на СЗО не е наблюдавана тенденция за понижаване на ефикасността с увеличаване на телесната маса/ИТМ (Таблица 1), докато в две други проучвания </w:t>
      </w:r>
      <w:r w:rsidRPr="00EB1DB7">
        <w:rPr>
          <w:rFonts w:eastAsia="Times New Roman" w:cs="Arial"/>
          <w:color w:val="000000"/>
          <w:lang w:val="en-US"/>
        </w:rPr>
        <w:t>(</w:t>
      </w:r>
      <w:proofErr w:type="spellStart"/>
      <w:r w:rsidRPr="00EB1DB7">
        <w:rPr>
          <w:rFonts w:eastAsia="Times New Roman" w:cs="Arial"/>
          <w:color w:val="000000"/>
          <w:lang w:val="en-US"/>
        </w:rPr>
        <w:t>Creinin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et al., </w:t>
      </w:r>
      <w:r w:rsidRPr="00EB1DB7">
        <w:rPr>
          <w:rFonts w:eastAsia="Times New Roman" w:cs="Arial"/>
          <w:color w:val="000000"/>
          <w:lang w:eastAsia="bg-BG"/>
        </w:rPr>
        <w:t xml:space="preserve">2006 и </w:t>
      </w:r>
      <w:proofErr w:type="spellStart"/>
      <w:r w:rsidRPr="00EB1DB7">
        <w:rPr>
          <w:rFonts w:eastAsia="Times New Roman" w:cs="Arial"/>
          <w:color w:val="000000"/>
          <w:lang w:val="en-US"/>
        </w:rPr>
        <w:t>Glasier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et al., 2010) </w:t>
      </w:r>
      <w:r w:rsidRPr="00EB1DB7">
        <w:rPr>
          <w:rFonts w:eastAsia="Times New Roman" w:cs="Arial"/>
          <w:color w:val="000000"/>
          <w:lang w:eastAsia="bg-BG"/>
        </w:rPr>
        <w:t xml:space="preserve">е наблюдавана понижена ефикасност на контрацепцията с увеличаване на телесната маса или ИТМ (Таблица 2). И двата мета-анализа изключват прием 72 часа след полов акт без предпазни средства (т.е. извън одобрената употреба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) и жени, които са имали допълнителни полови актове без предпазни средства. (За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фармакокинетични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проучвания при жени със затлъстяване вижте точка 5.2).</w:t>
      </w:r>
    </w:p>
    <w:p w14:paraId="21237B9B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16A869D8" w14:textId="67B9B291" w:rsidR="00EB1DB7" w:rsidRDefault="00EB1DB7" w:rsidP="00EB1DB7">
      <w:pPr>
        <w:spacing w:line="240" w:lineRule="auto"/>
        <w:rPr>
          <w:rFonts w:eastAsia="Times New Roman" w:cs="Arial"/>
          <w:color w:val="000000"/>
          <w:lang w:val="en-US"/>
        </w:rPr>
      </w:pPr>
      <w:r w:rsidRPr="00EB1DB7">
        <w:rPr>
          <w:rFonts w:eastAsia="Times New Roman" w:cs="Arial"/>
          <w:color w:val="000000"/>
          <w:lang w:eastAsia="bg-BG"/>
        </w:rPr>
        <w:t xml:space="preserve">Таблица 1: Мета-анализ на три проучвания на СЗО </w:t>
      </w:r>
      <w:r w:rsidRPr="00EB1DB7">
        <w:rPr>
          <w:rFonts w:eastAsia="Times New Roman" w:cs="Arial"/>
          <w:color w:val="000000"/>
          <w:lang w:val="en-US"/>
        </w:rPr>
        <w:t xml:space="preserve">(Von </w:t>
      </w:r>
      <w:proofErr w:type="spellStart"/>
      <w:r w:rsidRPr="00EB1DB7">
        <w:rPr>
          <w:rFonts w:eastAsia="Times New Roman" w:cs="Arial"/>
          <w:color w:val="000000"/>
          <w:lang w:val="en-US"/>
        </w:rPr>
        <w:t>Hertzen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et al., 1998 </w:t>
      </w:r>
      <w:r w:rsidRPr="00EB1DB7">
        <w:rPr>
          <w:rFonts w:eastAsia="Times New Roman" w:cs="Arial"/>
          <w:color w:val="000000"/>
          <w:lang w:eastAsia="bg-BG"/>
        </w:rPr>
        <w:t xml:space="preserve">и </w:t>
      </w:r>
      <w:r w:rsidRPr="00EB1DB7">
        <w:rPr>
          <w:rFonts w:eastAsia="Times New Roman" w:cs="Arial"/>
          <w:color w:val="000000"/>
          <w:lang w:val="en-US"/>
        </w:rPr>
        <w:t>2002; Dada et al., 2010)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7"/>
        <w:gridCol w:w="1831"/>
        <w:gridCol w:w="1853"/>
        <w:gridCol w:w="1880"/>
        <w:gridCol w:w="1899"/>
      </w:tblGrid>
      <w:tr w:rsidR="00EB1DB7" w14:paraId="21D1015A" w14:textId="77777777" w:rsidTr="00EB1DB7">
        <w:tc>
          <w:tcPr>
            <w:tcW w:w="1915" w:type="dxa"/>
          </w:tcPr>
          <w:p w14:paraId="64361032" w14:textId="17DC4D6D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 xml:space="preserve">ИТМ </w:t>
            </w:r>
            <w:r w:rsidRPr="00EB1DB7">
              <w:rPr>
                <w:b/>
                <w:bCs/>
                <w:lang w:val="en-US"/>
              </w:rPr>
              <w:t>(kg/m2)</w:t>
            </w:r>
          </w:p>
        </w:tc>
        <w:tc>
          <w:tcPr>
            <w:tcW w:w="1915" w:type="dxa"/>
          </w:tcPr>
          <w:p w14:paraId="09183A24" w14:textId="79931C98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Тегло под нормата 0-18,5</w:t>
            </w:r>
          </w:p>
        </w:tc>
        <w:tc>
          <w:tcPr>
            <w:tcW w:w="1915" w:type="dxa"/>
          </w:tcPr>
          <w:p w14:paraId="017B20BE" w14:textId="1BBCF6CC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Нормално тегло 18,5-25</w:t>
            </w:r>
          </w:p>
        </w:tc>
        <w:tc>
          <w:tcPr>
            <w:tcW w:w="1915" w:type="dxa"/>
          </w:tcPr>
          <w:p w14:paraId="6BA3CC32" w14:textId="3B54A216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Наднормено тегло 25-30</w:t>
            </w:r>
          </w:p>
        </w:tc>
        <w:tc>
          <w:tcPr>
            <w:tcW w:w="1916" w:type="dxa"/>
          </w:tcPr>
          <w:p w14:paraId="38DB05C0" w14:textId="77777777" w:rsidR="00EB1DB7" w:rsidRPr="00EB1DB7" w:rsidRDefault="00EB1DB7" w:rsidP="00EB1DB7">
            <w:r w:rsidRPr="00EB1DB7">
              <w:rPr>
                <w:b/>
                <w:bCs/>
              </w:rPr>
              <w:t>Затлъстяване</w:t>
            </w:r>
          </w:p>
          <w:p w14:paraId="05DD9CB2" w14:textId="457875D6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lang w:val="en-US"/>
              </w:rPr>
              <w:t>≥30</w:t>
            </w:r>
          </w:p>
        </w:tc>
      </w:tr>
      <w:tr w:rsidR="00EB1DB7" w14:paraId="16226186" w14:textId="77777777" w:rsidTr="00EB1DB7">
        <w:tc>
          <w:tcPr>
            <w:tcW w:w="1915" w:type="dxa"/>
          </w:tcPr>
          <w:p w14:paraId="6A2DA55F" w14:textId="394D597A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Общ брой</w:t>
            </w:r>
          </w:p>
        </w:tc>
        <w:tc>
          <w:tcPr>
            <w:tcW w:w="1915" w:type="dxa"/>
          </w:tcPr>
          <w:p w14:paraId="742E18E2" w14:textId="676E62C7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600</w:t>
            </w:r>
          </w:p>
        </w:tc>
        <w:tc>
          <w:tcPr>
            <w:tcW w:w="1915" w:type="dxa"/>
          </w:tcPr>
          <w:p w14:paraId="277D7B1B" w14:textId="10D054BF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3 952</w:t>
            </w:r>
          </w:p>
        </w:tc>
        <w:tc>
          <w:tcPr>
            <w:tcW w:w="1915" w:type="dxa"/>
          </w:tcPr>
          <w:p w14:paraId="13E88EF5" w14:textId="234FDECF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1 051</w:t>
            </w:r>
          </w:p>
        </w:tc>
        <w:tc>
          <w:tcPr>
            <w:tcW w:w="1916" w:type="dxa"/>
          </w:tcPr>
          <w:p w14:paraId="5BC0FFCE" w14:textId="4A236040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256</w:t>
            </w:r>
          </w:p>
        </w:tc>
      </w:tr>
      <w:tr w:rsidR="00EB1DB7" w14:paraId="196AEBF9" w14:textId="77777777" w:rsidTr="00EB1DB7">
        <w:tc>
          <w:tcPr>
            <w:tcW w:w="1915" w:type="dxa"/>
          </w:tcPr>
          <w:p w14:paraId="4004036F" w14:textId="4A3041CE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Брой бременности</w:t>
            </w:r>
          </w:p>
        </w:tc>
        <w:tc>
          <w:tcPr>
            <w:tcW w:w="1915" w:type="dxa"/>
          </w:tcPr>
          <w:p w14:paraId="7504842D" w14:textId="38594B69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11</w:t>
            </w:r>
          </w:p>
        </w:tc>
        <w:tc>
          <w:tcPr>
            <w:tcW w:w="1915" w:type="dxa"/>
          </w:tcPr>
          <w:p w14:paraId="494F9DCB" w14:textId="54AED13C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39</w:t>
            </w:r>
          </w:p>
        </w:tc>
        <w:tc>
          <w:tcPr>
            <w:tcW w:w="1915" w:type="dxa"/>
          </w:tcPr>
          <w:p w14:paraId="0E6560DF" w14:textId="519DDFAF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6</w:t>
            </w:r>
          </w:p>
        </w:tc>
        <w:tc>
          <w:tcPr>
            <w:tcW w:w="1916" w:type="dxa"/>
          </w:tcPr>
          <w:p w14:paraId="6242029B" w14:textId="309B2434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3</w:t>
            </w:r>
          </w:p>
        </w:tc>
      </w:tr>
      <w:tr w:rsidR="00EB1DB7" w14:paraId="2AC0C76F" w14:textId="77777777" w:rsidTr="00EB1DB7">
        <w:tc>
          <w:tcPr>
            <w:tcW w:w="1915" w:type="dxa"/>
          </w:tcPr>
          <w:p w14:paraId="35EB6601" w14:textId="4AC89A62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Процент бременности</w:t>
            </w:r>
          </w:p>
        </w:tc>
        <w:tc>
          <w:tcPr>
            <w:tcW w:w="1915" w:type="dxa"/>
          </w:tcPr>
          <w:p w14:paraId="22B51732" w14:textId="0CD783FC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1,83%</w:t>
            </w:r>
          </w:p>
        </w:tc>
        <w:tc>
          <w:tcPr>
            <w:tcW w:w="1915" w:type="dxa"/>
          </w:tcPr>
          <w:p w14:paraId="1847A30C" w14:textId="42EF20FB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0,99%</w:t>
            </w:r>
          </w:p>
        </w:tc>
        <w:tc>
          <w:tcPr>
            <w:tcW w:w="1915" w:type="dxa"/>
          </w:tcPr>
          <w:p w14:paraId="0F46BA96" w14:textId="6AD10D21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0,57%</w:t>
            </w:r>
          </w:p>
        </w:tc>
        <w:tc>
          <w:tcPr>
            <w:tcW w:w="1916" w:type="dxa"/>
          </w:tcPr>
          <w:p w14:paraId="2770BAF3" w14:textId="70F1A3EB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1,17%</w:t>
            </w:r>
          </w:p>
        </w:tc>
      </w:tr>
      <w:tr w:rsidR="00EB1DB7" w14:paraId="705332E6" w14:textId="77777777" w:rsidTr="00EB1DB7">
        <w:tc>
          <w:tcPr>
            <w:tcW w:w="1915" w:type="dxa"/>
          </w:tcPr>
          <w:p w14:paraId="40AFA7EB" w14:textId="012A752C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rPr>
                <w:b/>
                <w:bCs/>
              </w:rPr>
              <w:t>Доверителен интервал</w:t>
            </w:r>
          </w:p>
        </w:tc>
        <w:tc>
          <w:tcPr>
            <w:tcW w:w="1915" w:type="dxa"/>
          </w:tcPr>
          <w:p w14:paraId="2DC9BDDC" w14:textId="54DDC3C4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0,92-3,26</w:t>
            </w:r>
          </w:p>
        </w:tc>
        <w:tc>
          <w:tcPr>
            <w:tcW w:w="1915" w:type="dxa"/>
          </w:tcPr>
          <w:p w14:paraId="2F857272" w14:textId="5AAC2B8A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0,70 1,35</w:t>
            </w:r>
          </w:p>
        </w:tc>
        <w:tc>
          <w:tcPr>
            <w:tcW w:w="1915" w:type="dxa"/>
          </w:tcPr>
          <w:p w14:paraId="2D844ADE" w14:textId="1A0F43AC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0,21 - 1,24</w:t>
            </w:r>
          </w:p>
        </w:tc>
        <w:tc>
          <w:tcPr>
            <w:tcW w:w="1916" w:type="dxa"/>
          </w:tcPr>
          <w:p w14:paraId="4738FD1E" w14:textId="56A3DE99" w:rsidR="00EB1DB7" w:rsidRPr="00EB1DB7" w:rsidRDefault="00EB1DB7" w:rsidP="00EB1DB7">
            <w:pPr>
              <w:spacing w:line="240" w:lineRule="auto"/>
              <w:rPr>
                <w:rFonts w:eastAsia="Times New Roman" w:cs="Arial"/>
                <w:lang w:val="en-US"/>
              </w:rPr>
            </w:pPr>
            <w:r w:rsidRPr="00EB1DB7">
              <w:t>0,24-3,39</w:t>
            </w:r>
          </w:p>
        </w:tc>
      </w:tr>
    </w:tbl>
    <w:p w14:paraId="5A045285" w14:textId="77777777" w:rsidR="00EB1DB7" w:rsidRPr="00EB1DB7" w:rsidRDefault="00EB1DB7" w:rsidP="00EB1DB7">
      <w:pPr>
        <w:spacing w:line="240" w:lineRule="auto"/>
        <w:rPr>
          <w:rFonts w:eastAsia="Times New Roman" w:cs="Arial"/>
          <w:lang w:val="en-US"/>
        </w:rPr>
      </w:pPr>
    </w:p>
    <w:p w14:paraId="2B541C2C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</w:p>
    <w:p w14:paraId="1073593A" w14:textId="64571C85" w:rsidR="00EB1DB7" w:rsidRDefault="00EB1DB7" w:rsidP="00EB1DB7">
      <w:r>
        <w:rPr>
          <w:lang w:eastAsia="bg-BG"/>
        </w:rPr>
        <w:t xml:space="preserve">Таблица </w:t>
      </w:r>
      <w:r>
        <w:t xml:space="preserve">2: </w:t>
      </w:r>
      <w:r>
        <w:rPr>
          <w:lang w:eastAsia="bg-BG"/>
        </w:rPr>
        <w:t xml:space="preserve">Мета-анализ на проучванията на </w:t>
      </w:r>
      <w:proofErr w:type="spellStart"/>
      <w:r>
        <w:t>Creinin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., 2006 </w:t>
      </w:r>
      <w:r>
        <w:rPr>
          <w:lang w:eastAsia="bg-BG"/>
        </w:rPr>
        <w:t xml:space="preserve">и </w:t>
      </w:r>
      <w:proofErr w:type="spellStart"/>
      <w:r>
        <w:t>Glasier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., 2010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7"/>
        <w:gridCol w:w="1831"/>
        <w:gridCol w:w="1853"/>
        <w:gridCol w:w="1880"/>
        <w:gridCol w:w="1899"/>
      </w:tblGrid>
      <w:tr w:rsidR="00EB1DB7" w14:paraId="330E9A72" w14:textId="77777777" w:rsidTr="00EB1DB7">
        <w:tc>
          <w:tcPr>
            <w:tcW w:w="1915" w:type="dxa"/>
          </w:tcPr>
          <w:p w14:paraId="6517DB8B" w14:textId="6E3611FD" w:rsidR="00EB1DB7" w:rsidRPr="00EB1DB7" w:rsidRDefault="00EB1DB7" w:rsidP="00EB1DB7">
            <w:r w:rsidRPr="00EB1DB7">
              <w:rPr>
                <w:b/>
                <w:bCs/>
              </w:rPr>
              <w:t xml:space="preserve">ИТМ </w:t>
            </w:r>
            <w:r w:rsidRPr="00EB1DB7">
              <w:rPr>
                <w:b/>
                <w:bCs/>
                <w:lang w:val="en-US"/>
              </w:rPr>
              <w:t>(kg/m2)</w:t>
            </w:r>
          </w:p>
        </w:tc>
        <w:tc>
          <w:tcPr>
            <w:tcW w:w="1915" w:type="dxa"/>
          </w:tcPr>
          <w:p w14:paraId="5F4E3E75" w14:textId="2B5CFC97" w:rsidR="00EB1DB7" w:rsidRPr="00EB1DB7" w:rsidRDefault="00EB1DB7" w:rsidP="00EB1DB7">
            <w:r w:rsidRPr="00EB1DB7">
              <w:rPr>
                <w:b/>
                <w:bCs/>
              </w:rPr>
              <w:t>Тегло под нормата 0-18,5</w:t>
            </w:r>
          </w:p>
        </w:tc>
        <w:tc>
          <w:tcPr>
            <w:tcW w:w="1915" w:type="dxa"/>
          </w:tcPr>
          <w:p w14:paraId="57BEFBF9" w14:textId="2952F311" w:rsidR="00EB1DB7" w:rsidRPr="00EB1DB7" w:rsidRDefault="00EB1DB7" w:rsidP="00EB1DB7">
            <w:r w:rsidRPr="00EB1DB7">
              <w:rPr>
                <w:b/>
                <w:bCs/>
              </w:rPr>
              <w:t>Нормално тегло 18,5-25</w:t>
            </w:r>
          </w:p>
        </w:tc>
        <w:tc>
          <w:tcPr>
            <w:tcW w:w="1915" w:type="dxa"/>
          </w:tcPr>
          <w:p w14:paraId="54D567C2" w14:textId="6E438E37" w:rsidR="00EB1DB7" w:rsidRPr="00EB1DB7" w:rsidRDefault="00EB1DB7" w:rsidP="00EB1DB7">
            <w:r w:rsidRPr="00EB1DB7">
              <w:rPr>
                <w:b/>
                <w:bCs/>
              </w:rPr>
              <w:t>Наднормено тегло 25-30</w:t>
            </w:r>
          </w:p>
        </w:tc>
        <w:tc>
          <w:tcPr>
            <w:tcW w:w="1916" w:type="dxa"/>
          </w:tcPr>
          <w:p w14:paraId="30B3D947" w14:textId="77777777" w:rsidR="00EB1DB7" w:rsidRPr="00EB1DB7" w:rsidRDefault="00EB1DB7" w:rsidP="00EB1DB7">
            <w:r w:rsidRPr="00EB1DB7">
              <w:rPr>
                <w:b/>
                <w:bCs/>
              </w:rPr>
              <w:t>Затлъстяване</w:t>
            </w:r>
          </w:p>
          <w:p w14:paraId="19FA5153" w14:textId="7EA35806" w:rsidR="00EB1DB7" w:rsidRPr="00EB1DB7" w:rsidRDefault="00EB1DB7" w:rsidP="00EB1DB7">
            <w:r w:rsidRPr="00EB1DB7">
              <w:rPr>
                <w:b/>
                <w:bCs/>
                <w:lang w:val="en-US"/>
              </w:rPr>
              <w:t>≥</w:t>
            </w:r>
            <w:r w:rsidRPr="00EB1DB7">
              <w:rPr>
                <w:b/>
                <w:bCs/>
              </w:rPr>
              <w:t>30</w:t>
            </w:r>
          </w:p>
        </w:tc>
      </w:tr>
      <w:tr w:rsidR="00EB1DB7" w14:paraId="69054C33" w14:textId="77777777" w:rsidTr="00EB1DB7">
        <w:tc>
          <w:tcPr>
            <w:tcW w:w="1915" w:type="dxa"/>
          </w:tcPr>
          <w:p w14:paraId="5247D138" w14:textId="5B74D936" w:rsidR="00EB1DB7" w:rsidRPr="00EB1DB7" w:rsidRDefault="00EB1DB7" w:rsidP="00EB1DB7">
            <w:r w:rsidRPr="00EB1DB7">
              <w:rPr>
                <w:b/>
                <w:bCs/>
              </w:rPr>
              <w:t>Общ брой</w:t>
            </w:r>
          </w:p>
        </w:tc>
        <w:tc>
          <w:tcPr>
            <w:tcW w:w="1915" w:type="dxa"/>
          </w:tcPr>
          <w:p w14:paraId="283227F6" w14:textId="2CBDD059" w:rsidR="00EB1DB7" w:rsidRPr="00EB1DB7" w:rsidRDefault="00EB1DB7" w:rsidP="00EB1DB7">
            <w:r w:rsidRPr="00EB1DB7">
              <w:t>64</w:t>
            </w:r>
          </w:p>
        </w:tc>
        <w:tc>
          <w:tcPr>
            <w:tcW w:w="1915" w:type="dxa"/>
          </w:tcPr>
          <w:p w14:paraId="2733E14F" w14:textId="08EEB71C" w:rsidR="00EB1DB7" w:rsidRPr="00EB1DB7" w:rsidRDefault="00EB1DB7" w:rsidP="00EB1DB7">
            <w:r w:rsidRPr="00EB1DB7">
              <w:t>933</w:t>
            </w:r>
          </w:p>
        </w:tc>
        <w:tc>
          <w:tcPr>
            <w:tcW w:w="1915" w:type="dxa"/>
          </w:tcPr>
          <w:p w14:paraId="0C575E7B" w14:textId="48F3594E" w:rsidR="00EB1DB7" w:rsidRPr="00EB1DB7" w:rsidRDefault="00EB1DB7" w:rsidP="00EB1DB7">
            <w:r w:rsidRPr="00EB1DB7">
              <w:t>339</w:t>
            </w:r>
          </w:p>
        </w:tc>
        <w:tc>
          <w:tcPr>
            <w:tcW w:w="1916" w:type="dxa"/>
          </w:tcPr>
          <w:p w14:paraId="0ED052CD" w14:textId="3AB5DEA7" w:rsidR="00EB1DB7" w:rsidRPr="00EB1DB7" w:rsidRDefault="00EB1DB7" w:rsidP="00EB1DB7">
            <w:r w:rsidRPr="00EB1DB7">
              <w:t>212</w:t>
            </w:r>
          </w:p>
        </w:tc>
      </w:tr>
      <w:tr w:rsidR="00EB1DB7" w14:paraId="1F7CAADA" w14:textId="77777777" w:rsidTr="00EB1DB7">
        <w:tc>
          <w:tcPr>
            <w:tcW w:w="1915" w:type="dxa"/>
          </w:tcPr>
          <w:p w14:paraId="0B49368B" w14:textId="6E2B73EC" w:rsidR="00EB1DB7" w:rsidRPr="00EB1DB7" w:rsidRDefault="00EB1DB7" w:rsidP="00EB1DB7">
            <w:r w:rsidRPr="00EB1DB7">
              <w:rPr>
                <w:b/>
                <w:bCs/>
              </w:rPr>
              <w:t>Брой бременности</w:t>
            </w:r>
          </w:p>
        </w:tc>
        <w:tc>
          <w:tcPr>
            <w:tcW w:w="1915" w:type="dxa"/>
          </w:tcPr>
          <w:p w14:paraId="12BE2932" w14:textId="140B1AF9" w:rsidR="00EB1DB7" w:rsidRPr="00EB1DB7" w:rsidRDefault="00EB1DB7" w:rsidP="00EB1DB7">
            <w:r w:rsidRPr="00EB1DB7">
              <w:t>1</w:t>
            </w:r>
          </w:p>
        </w:tc>
        <w:tc>
          <w:tcPr>
            <w:tcW w:w="1915" w:type="dxa"/>
          </w:tcPr>
          <w:p w14:paraId="243F2D92" w14:textId="09168E37" w:rsidR="00EB1DB7" w:rsidRPr="00EB1DB7" w:rsidRDefault="00EB1DB7" w:rsidP="00EB1DB7">
            <w:r w:rsidRPr="00EB1DB7">
              <w:t>9</w:t>
            </w:r>
          </w:p>
        </w:tc>
        <w:tc>
          <w:tcPr>
            <w:tcW w:w="1915" w:type="dxa"/>
          </w:tcPr>
          <w:p w14:paraId="26C3FBAE" w14:textId="415A7998" w:rsidR="00EB1DB7" w:rsidRPr="00EB1DB7" w:rsidRDefault="00EB1DB7" w:rsidP="00EB1DB7">
            <w:r w:rsidRPr="00EB1DB7">
              <w:t>8</w:t>
            </w:r>
          </w:p>
        </w:tc>
        <w:tc>
          <w:tcPr>
            <w:tcW w:w="1916" w:type="dxa"/>
          </w:tcPr>
          <w:p w14:paraId="479AFA2F" w14:textId="46F79D1A" w:rsidR="00EB1DB7" w:rsidRPr="00EB1DB7" w:rsidRDefault="00EB1DB7" w:rsidP="00EB1DB7">
            <w:r w:rsidRPr="00EB1DB7">
              <w:t>11</w:t>
            </w:r>
          </w:p>
        </w:tc>
      </w:tr>
      <w:tr w:rsidR="00EB1DB7" w14:paraId="2B242C3B" w14:textId="77777777" w:rsidTr="00EB1DB7">
        <w:tc>
          <w:tcPr>
            <w:tcW w:w="1915" w:type="dxa"/>
          </w:tcPr>
          <w:p w14:paraId="0CB33581" w14:textId="2452C2F7" w:rsidR="00EB1DB7" w:rsidRPr="00EB1DB7" w:rsidRDefault="00EB1DB7" w:rsidP="00EB1DB7">
            <w:r w:rsidRPr="00EB1DB7">
              <w:rPr>
                <w:b/>
                <w:bCs/>
              </w:rPr>
              <w:lastRenderedPageBreak/>
              <w:t>Процент бременности</w:t>
            </w:r>
          </w:p>
        </w:tc>
        <w:tc>
          <w:tcPr>
            <w:tcW w:w="1915" w:type="dxa"/>
          </w:tcPr>
          <w:p w14:paraId="52185434" w14:textId="160E5360" w:rsidR="00EB1DB7" w:rsidRPr="00EB1DB7" w:rsidRDefault="00EB1DB7" w:rsidP="00EB1DB7">
            <w:r w:rsidRPr="00EB1DB7">
              <w:t>1,56%</w:t>
            </w:r>
          </w:p>
        </w:tc>
        <w:tc>
          <w:tcPr>
            <w:tcW w:w="1915" w:type="dxa"/>
          </w:tcPr>
          <w:p w14:paraId="0A632D87" w14:textId="3EA154F4" w:rsidR="00EB1DB7" w:rsidRPr="00EB1DB7" w:rsidRDefault="00EB1DB7" w:rsidP="00EB1DB7">
            <w:r w:rsidRPr="00EB1DB7">
              <w:t>0,96%</w:t>
            </w:r>
          </w:p>
        </w:tc>
        <w:tc>
          <w:tcPr>
            <w:tcW w:w="1915" w:type="dxa"/>
          </w:tcPr>
          <w:p w14:paraId="19D65755" w14:textId="4E44EEA1" w:rsidR="00EB1DB7" w:rsidRPr="00EB1DB7" w:rsidRDefault="00EB1DB7" w:rsidP="00EB1DB7">
            <w:r w:rsidRPr="00EB1DB7">
              <w:t>2,36%</w:t>
            </w:r>
          </w:p>
        </w:tc>
        <w:tc>
          <w:tcPr>
            <w:tcW w:w="1916" w:type="dxa"/>
          </w:tcPr>
          <w:p w14:paraId="4EE10FB3" w14:textId="45837619" w:rsidR="00EB1DB7" w:rsidRPr="00EB1DB7" w:rsidRDefault="00EB1DB7" w:rsidP="00EB1DB7">
            <w:r w:rsidRPr="00EB1DB7">
              <w:t>5,19%</w:t>
            </w:r>
          </w:p>
        </w:tc>
      </w:tr>
      <w:tr w:rsidR="00EB1DB7" w14:paraId="06F45E6A" w14:textId="77777777" w:rsidTr="00EB1DB7">
        <w:tc>
          <w:tcPr>
            <w:tcW w:w="1915" w:type="dxa"/>
          </w:tcPr>
          <w:p w14:paraId="25C1A3FC" w14:textId="5F566E3A" w:rsidR="00EB1DB7" w:rsidRPr="00EB1DB7" w:rsidRDefault="00EB1DB7" w:rsidP="00EB1DB7">
            <w:r w:rsidRPr="00EB1DB7">
              <w:rPr>
                <w:b/>
                <w:bCs/>
              </w:rPr>
              <w:t>Доверителен интервал</w:t>
            </w:r>
          </w:p>
        </w:tc>
        <w:tc>
          <w:tcPr>
            <w:tcW w:w="1915" w:type="dxa"/>
          </w:tcPr>
          <w:p w14:paraId="10BCB824" w14:textId="11CF9C69" w:rsidR="00EB1DB7" w:rsidRPr="00EB1DB7" w:rsidRDefault="00EB1DB7" w:rsidP="00EB1DB7">
            <w:r w:rsidRPr="00EB1DB7">
              <w:t>0,04-8,40</w:t>
            </w:r>
          </w:p>
        </w:tc>
        <w:tc>
          <w:tcPr>
            <w:tcW w:w="1915" w:type="dxa"/>
          </w:tcPr>
          <w:p w14:paraId="32F0FC65" w14:textId="64B02CDA" w:rsidR="00EB1DB7" w:rsidRPr="00EB1DB7" w:rsidRDefault="00EB1DB7" w:rsidP="00EB1DB7">
            <w:r w:rsidRPr="00EB1DB7">
              <w:t>0,44-1,82</w:t>
            </w:r>
          </w:p>
        </w:tc>
        <w:tc>
          <w:tcPr>
            <w:tcW w:w="1915" w:type="dxa"/>
          </w:tcPr>
          <w:p w14:paraId="620F74D3" w14:textId="55B596B0" w:rsidR="00EB1DB7" w:rsidRPr="00EB1DB7" w:rsidRDefault="00EB1DB7" w:rsidP="00EB1DB7">
            <w:r w:rsidRPr="00EB1DB7">
              <w:t>1,02-4,60</w:t>
            </w:r>
          </w:p>
        </w:tc>
        <w:tc>
          <w:tcPr>
            <w:tcW w:w="1916" w:type="dxa"/>
          </w:tcPr>
          <w:p w14:paraId="06019D18" w14:textId="3262C291" w:rsidR="00EB1DB7" w:rsidRPr="00EB1DB7" w:rsidRDefault="00EB1DB7" w:rsidP="00EB1DB7">
            <w:r w:rsidRPr="00EB1DB7">
              <w:t>2,62 - 9,09</w:t>
            </w:r>
          </w:p>
        </w:tc>
      </w:tr>
    </w:tbl>
    <w:p w14:paraId="7CEE1652" w14:textId="7A8EC981" w:rsidR="00EB1DB7" w:rsidRDefault="00EB1DB7" w:rsidP="00EB1DB7"/>
    <w:p w14:paraId="52D55126" w14:textId="7AB6D5FC" w:rsidR="00EB1DB7" w:rsidRPr="00EB1DB7" w:rsidRDefault="00EB1DB7" w:rsidP="00EB1DB7">
      <w:pPr>
        <w:rPr>
          <w:rFonts w:cs="Arial"/>
        </w:rPr>
      </w:pPr>
      <w:r w:rsidRPr="00EB1DB7">
        <w:rPr>
          <w:rFonts w:cs="Arial"/>
        </w:rPr>
        <w:t xml:space="preserve">При препоръчвания режим не се очаква </w:t>
      </w:r>
      <w:proofErr w:type="spellStart"/>
      <w:r w:rsidRPr="00EB1DB7">
        <w:rPr>
          <w:rFonts w:cs="Arial"/>
        </w:rPr>
        <w:t>левоноргестрел</w:t>
      </w:r>
      <w:proofErr w:type="spellEnd"/>
      <w:r w:rsidRPr="00EB1DB7">
        <w:rPr>
          <w:rFonts w:cs="Arial"/>
        </w:rPr>
        <w:t xml:space="preserve"> да предизвика значителна промяна на факторите на кръвосъсирване, както и на липидния и въглехидратния метаболизъм.</w:t>
      </w:r>
    </w:p>
    <w:p w14:paraId="533C2ABE" w14:textId="4640A127" w:rsidR="00EB1DB7" w:rsidRPr="00EB1DB7" w:rsidRDefault="00EB1DB7" w:rsidP="00EB1DB7">
      <w:pPr>
        <w:rPr>
          <w:rFonts w:cs="Arial"/>
        </w:rPr>
      </w:pPr>
    </w:p>
    <w:p w14:paraId="77CD1D61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u w:val="single"/>
          <w:lang w:eastAsia="bg-BG"/>
        </w:rPr>
        <w:t>Педиатрична популация</w:t>
      </w:r>
    </w:p>
    <w:p w14:paraId="12ED0C60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Проспективно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обсервационно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проучване е показало, че при 305 лечения с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таблетки за спешна контрацепция, е настъпила бременност при седем жени в резултат, на което общият процент на неуспех е 2,3%. Процентът на неуспех при жени под 18-годишна възраст (2,6% или 4/153) е сравним с този при жени на 18-годишна възраст и повече (2,0% или 3/152).</w:t>
      </w:r>
    </w:p>
    <w:p w14:paraId="38731EC0" w14:textId="77777777" w:rsidR="00EB1DB7" w:rsidRPr="00EB1DB7" w:rsidRDefault="00EB1DB7" w:rsidP="00EB1DB7"/>
    <w:p w14:paraId="4D7DA0E3" w14:textId="5B1586EF" w:rsidR="004D4D6B" w:rsidRDefault="002C50EE" w:rsidP="002B3C38">
      <w:pPr>
        <w:pStyle w:val="2"/>
      </w:pPr>
      <w:r>
        <w:t xml:space="preserve">5.2. </w:t>
      </w:r>
      <w:proofErr w:type="spellStart"/>
      <w:r>
        <w:t>Фармакокинетични</w:t>
      </w:r>
      <w:proofErr w:type="spellEnd"/>
      <w:r>
        <w:t xml:space="preserve"> свойства</w:t>
      </w:r>
    </w:p>
    <w:p w14:paraId="63E65E95" w14:textId="17C77038" w:rsidR="00EB1DB7" w:rsidRDefault="00EB1DB7" w:rsidP="00EB1DB7"/>
    <w:p w14:paraId="5523FC5C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Перорално приложеният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 абсорбира бързо и почти напълно.</w:t>
      </w:r>
    </w:p>
    <w:p w14:paraId="356A0626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60952EE2" w14:textId="619F4013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Резултатите от проведено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фармакокинетично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изследване при 16 здрави жени са показали, че след прием на единична доза от 1,5 </w:t>
      </w:r>
      <w:r w:rsidRPr="00EB1DB7">
        <w:rPr>
          <w:rFonts w:eastAsia="Times New Roman" w:cs="Arial"/>
          <w:color w:val="000000"/>
          <w:lang w:val="en-US"/>
        </w:rPr>
        <w:t xml:space="preserve">mg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, максималните серумни концентрации на лекарствения продукт от 18,5 </w:t>
      </w:r>
      <w:r w:rsidRPr="00EB1DB7">
        <w:rPr>
          <w:rFonts w:eastAsia="Times New Roman" w:cs="Arial"/>
          <w:color w:val="000000"/>
          <w:lang w:val="en-US"/>
        </w:rPr>
        <w:t xml:space="preserve">ng/ml </w:t>
      </w:r>
      <w:r w:rsidRPr="00EB1DB7">
        <w:rPr>
          <w:rFonts w:eastAsia="Times New Roman" w:cs="Arial"/>
          <w:color w:val="000000"/>
          <w:lang w:eastAsia="bg-BG"/>
        </w:rPr>
        <w:t>са открити на 2-ия час.</w:t>
      </w:r>
    </w:p>
    <w:p w14:paraId="56348FA8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След достигане на максималните серумни нива, концентрацията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намалява със средно време на полуживот от около 26 часа.</w:t>
      </w:r>
    </w:p>
    <w:p w14:paraId="39780E07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не се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екскретира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в непроменен вид, а под формата на метаболити. Метаболитите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екскретират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в приблизително еднакви пропорции в урината и фекалиите. Биотрансформацията се извършва по познатите пътища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стероидния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метаболизъм, като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хидроксилира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в черния дроб и метаболитите се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екскретират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като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глюкуронидни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съединения.</w:t>
      </w:r>
    </w:p>
    <w:p w14:paraId="4DBEEEE5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Не са известни фармакологично активни метаболити.</w:t>
      </w:r>
    </w:p>
    <w:p w14:paraId="30DFA48E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се свързва със серумния албумин и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сексхормон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-свързващия глобулин </w:t>
      </w:r>
      <w:r w:rsidRPr="00EB1DB7">
        <w:rPr>
          <w:rFonts w:eastAsia="Times New Roman" w:cs="Arial"/>
          <w:color w:val="000000"/>
          <w:lang w:val="en-US"/>
        </w:rPr>
        <w:t xml:space="preserve">(SHBG). </w:t>
      </w:r>
      <w:r w:rsidRPr="00EB1DB7">
        <w:rPr>
          <w:rFonts w:eastAsia="Times New Roman" w:cs="Arial"/>
          <w:color w:val="000000"/>
          <w:lang w:eastAsia="bg-BG"/>
        </w:rPr>
        <w:t xml:space="preserve">Само около 1,5% от общите серумни концентрации съществуват като свободен стероид, а 65% са специфично свързани с </w:t>
      </w:r>
      <w:r w:rsidRPr="00EB1DB7">
        <w:rPr>
          <w:rFonts w:eastAsia="Times New Roman" w:cs="Arial"/>
          <w:color w:val="000000"/>
          <w:lang w:val="en-US"/>
        </w:rPr>
        <w:t>SHBG.</w:t>
      </w:r>
    </w:p>
    <w:p w14:paraId="0EB89B81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Абсолютната бионаличност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е определена на почти 100% от приложената доза.</w:t>
      </w:r>
    </w:p>
    <w:p w14:paraId="4763FAF4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lang w:eastAsia="bg-BG"/>
        </w:rPr>
      </w:pPr>
    </w:p>
    <w:p w14:paraId="5B325504" w14:textId="72DA9A72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>Приблизително 0,1% от дозата, приета от майката, може да достигне до кърмачето чрез майчиното мляко.</w:t>
      </w:r>
    </w:p>
    <w:p w14:paraId="46778949" w14:textId="77777777" w:rsidR="00EB1DB7" w:rsidRPr="00EB1DB7" w:rsidRDefault="00EB1DB7" w:rsidP="00EB1DB7">
      <w:pPr>
        <w:spacing w:line="240" w:lineRule="auto"/>
        <w:rPr>
          <w:rFonts w:eastAsia="Times New Roman" w:cs="Arial"/>
          <w:color w:val="000000"/>
          <w:u w:val="single"/>
          <w:lang w:eastAsia="bg-BG"/>
        </w:rPr>
      </w:pPr>
    </w:p>
    <w:p w14:paraId="34F45A4A" w14:textId="1CDC3204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u w:val="single"/>
          <w:lang w:eastAsia="bg-BG"/>
        </w:rPr>
        <w:t>Фармакокинетика при жени със затлъстяване</w:t>
      </w:r>
    </w:p>
    <w:p w14:paraId="1D388893" w14:textId="77777777" w:rsidR="00EB1DB7" w:rsidRPr="00EB1DB7" w:rsidRDefault="00EB1DB7" w:rsidP="00EB1DB7">
      <w:pPr>
        <w:spacing w:line="240" w:lineRule="auto"/>
        <w:rPr>
          <w:rFonts w:eastAsia="Times New Roman" w:cs="Arial"/>
        </w:rPr>
      </w:pPr>
      <w:r w:rsidRPr="00EB1DB7">
        <w:rPr>
          <w:rFonts w:eastAsia="Times New Roman" w:cs="Arial"/>
          <w:color w:val="000000"/>
          <w:lang w:eastAsia="bg-BG"/>
        </w:rPr>
        <w:t xml:space="preserve">Във </w:t>
      </w:r>
      <w:proofErr w:type="spellStart"/>
      <w:r w:rsidRPr="00EB1DB7">
        <w:rPr>
          <w:rFonts w:eastAsia="Times New Roman" w:cs="Arial"/>
          <w:color w:val="000000"/>
          <w:lang w:eastAsia="bg-BG"/>
        </w:rPr>
        <w:t>фармакокинетично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проучване е наблюдавано, че концентрациите 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са по-ниски при жени със затлъстяване (ИТМ </w:t>
      </w:r>
      <w:r w:rsidRPr="00EB1DB7">
        <w:rPr>
          <w:rFonts w:eastAsia="Times New Roman" w:cs="Arial"/>
          <w:color w:val="000000"/>
          <w:lang w:val="en-US"/>
        </w:rPr>
        <w:t>≥</w:t>
      </w:r>
      <w:r w:rsidRPr="00EB1DB7">
        <w:rPr>
          <w:rFonts w:eastAsia="Times New Roman" w:cs="Arial"/>
          <w:color w:val="000000"/>
          <w:lang w:eastAsia="bg-BG"/>
        </w:rPr>
        <w:t xml:space="preserve">30 </w:t>
      </w:r>
      <w:r w:rsidRPr="00EB1DB7">
        <w:rPr>
          <w:rFonts w:eastAsia="Times New Roman" w:cs="Arial"/>
          <w:color w:val="000000"/>
          <w:lang w:val="en-US"/>
        </w:rPr>
        <w:t>kg/m</w:t>
      </w:r>
      <w:r w:rsidRPr="00EB1DB7">
        <w:rPr>
          <w:rFonts w:eastAsia="Times New Roman" w:cs="Arial"/>
          <w:color w:val="000000"/>
          <w:vertAlign w:val="superscript"/>
          <w:lang w:val="en-US"/>
        </w:rPr>
        <w:t>2</w:t>
      </w:r>
      <w:r w:rsidRPr="00EB1DB7">
        <w:rPr>
          <w:rFonts w:eastAsia="Times New Roman" w:cs="Arial"/>
          <w:color w:val="000000"/>
          <w:lang w:val="en-US"/>
        </w:rPr>
        <w:t xml:space="preserve">) </w:t>
      </w:r>
      <w:r w:rsidRPr="00EB1DB7">
        <w:rPr>
          <w:rFonts w:eastAsia="Times New Roman" w:cs="Arial"/>
          <w:color w:val="000000"/>
          <w:lang w:eastAsia="bg-BG"/>
        </w:rPr>
        <w:t>(приблизително 50% понижение на С</w:t>
      </w:r>
      <w:r w:rsidRPr="00EB1DB7">
        <w:rPr>
          <w:rFonts w:eastAsia="Times New Roman" w:cs="Arial"/>
          <w:color w:val="000000"/>
          <w:vertAlign w:val="subscript"/>
          <w:lang w:val="en-US"/>
        </w:rPr>
        <w:t>max</w:t>
      </w:r>
      <w:r w:rsidRPr="00EB1DB7">
        <w:rPr>
          <w:rFonts w:eastAsia="Times New Roman" w:cs="Arial"/>
          <w:color w:val="000000"/>
          <w:lang w:eastAsia="bg-BG"/>
        </w:rPr>
        <w:t xml:space="preserve"> и </w:t>
      </w:r>
      <w:r w:rsidRPr="00EB1DB7">
        <w:rPr>
          <w:rFonts w:eastAsia="Times New Roman" w:cs="Arial"/>
          <w:color w:val="000000"/>
          <w:lang w:val="en-US"/>
        </w:rPr>
        <w:t xml:space="preserve">AUC0-24), </w:t>
      </w:r>
      <w:r w:rsidRPr="00EB1DB7">
        <w:rPr>
          <w:rFonts w:eastAsia="Times New Roman" w:cs="Arial"/>
          <w:color w:val="000000"/>
          <w:lang w:eastAsia="bg-BG"/>
        </w:rPr>
        <w:t xml:space="preserve">в сравнение с жени с нормален ИТМ (&lt;25 </w:t>
      </w:r>
      <w:r w:rsidRPr="00EB1DB7">
        <w:rPr>
          <w:rFonts w:eastAsia="Times New Roman" w:cs="Arial"/>
          <w:color w:val="000000"/>
          <w:lang w:val="en-US"/>
        </w:rPr>
        <w:t>kg/m</w:t>
      </w:r>
      <w:r w:rsidRPr="00EB1DB7">
        <w:rPr>
          <w:rFonts w:eastAsia="Times New Roman" w:cs="Arial"/>
          <w:color w:val="000000"/>
          <w:vertAlign w:val="superscript"/>
          <w:lang w:val="en-US"/>
        </w:rPr>
        <w:t>2</w:t>
      </w:r>
      <w:r w:rsidRPr="00EB1DB7">
        <w:rPr>
          <w:rFonts w:eastAsia="Times New Roman" w:cs="Arial"/>
          <w:color w:val="000000"/>
          <w:lang w:val="en-US"/>
        </w:rPr>
        <w:t>) (</w:t>
      </w:r>
      <w:proofErr w:type="spellStart"/>
      <w:r w:rsidRPr="00EB1DB7">
        <w:rPr>
          <w:rFonts w:eastAsia="Times New Roman" w:cs="Arial"/>
          <w:color w:val="000000"/>
          <w:lang w:val="en-US"/>
        </w:rPr>
        <w:t>Praditpan</w:t>
      </w:r>
      <w:proofErr w:type="spellEnd"/>
      <w:r w:rsidRPr="00EB1DB7">
        <w:rPr>
          <w:rFonts w:eastAsia="Times New Roman" w:cs="Arial"/>
          <w:color w:val="000000"/>
          <w:lang w:val="en-US"/>
        </w:rPr>
        <w:t xml:space="preserve"> et al., 2017). </w:t>
      </w:r>
      <w:r w:rsidRPr="00EB1DB7">
        <w:rPr>
          <w:rFonts w:eastAsia="Times New Roman" w:cs="Arial"/>
          <w:color w:val="000000"/>
          <w:lang w:eastAsia="bg-BG"/>
        </w:rPr>
        <w:t>В друго проучване е съобщено за понижаване на С</w:t>
      </w:r>
      <w:r w:rsidRPr="00EB1DB7">
        <w:rPr>
          <w:rFonts w:eastAsia="Times New Roman" w:cs="Arial"/>
          <w:color w:val="000000"/>
          <w:vertAlign w:val="subscript"/>
          <w:lang w:val="en-US"/>
        </w:rPr>
        <w:t>max</w:t>
      </w:r>
      <w:r w:rsidRPr="00EB1DB7">
        <w:rPr>
          <w:rFonts w:eastAsia="Times New Roman" w:cs="Arial"/>
          <w:color w:val="000000"/>
          <w:lang w:eastAsia="bg-BG"/>
        </w:rPr>
        <w:t xml:space="preserve">на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с приблизително 50% при жени със затлъстяване спрямо жени с нормален ИТМ, докато удвояването на дозата (3 </w:t>
      </w:r>
      <w:r w:rsidRPr="00EB1DB7">
        <w:rPr>
          <w:rFonts w:eastAsia="Times New Roman" w:cs="Arial"/>
          <w:color w:val="000000"/>
          <w:lang w:val="en-US"/>
        </w:rPr>
        <w:t xml:space="preserve">mg) </w:t>
      </w:r>
      <w:r w:rsidRPr="00EB1DB7">
        <w:rPr>
          <w:rFonts w:eastAsia="Times New Roman" w:cs="Arial"/>
          <w:color w:val="000000"/>
          <w:lang w:eastAsia="bg-BG"/>
        </w:rPr>
        <w:t xml:space="preserve">при жени със затлъстяване изглежда е довело до сходни нива на плазмена концентрация с тези при жени без затлъстяване, които са приемали 1,5 </w:t>
      </w:r>
      <w:r w:rsidRPr="00EB1DB7">
        <w:rPr>
          <w:rFonts w:eastAsia="Times New Roman" w:cs="Arial"/>
          <w:color w:val="000000"/>
          <w:lang w:val="en-US"/>
        </w:rPr>
        <w:t xml:space="preserve">mg </w:t>
      </w:r>
      <w:proofErr w:type="spellStart"/>
      <w:r w:rsidRPr="00EB1DB7">
        <w:rPr>
          <w:rFonts w:eastAsia="Times New Roman" w:cs="Arial"/>
          <w:color w:val="000000"/>
          <w:lang w:eastAsia="bg-BG"/>
        </w:rPr>
        <w:t>левоноргестрел</w:t>
      </w:r>
      <w:proofErr w:type="spellEnd"/>
      <w:r w:rsidRPr="00EB1DB7">
        <w:rPr>
          <w:rFonts w:eastAsia="Times New Roman" w:cs="Arial"/>
          <w:color w:val="000000"/>
          <w:lang w:eastAsia="bg-BG"/>
        </w:rPr>
        <w:t xml:space="preserve"> </w:t>
      </w:r>
      <w:r w:rsidRPr="00EB1DB7">
        <w:rPr>
          <w:rFonts w:eastAsia="Times New Roman" w:cs="Arial"/>
          <w:color w:val="000000"/>
          <w:lang w:val="en-US"/>
        </w:rPr>
        <w:t xml:space="preserve">(Edelman et al., </w:t>
      </w:r>
      <w:r w:rsidRPr="00EB1DB7">
        <w:rPr>
          <w:rFonts w:eastAsia="Times New Roman" w:cs="Arial"/>
          <w:color w:val="000000"/>
          <w:lang w:eastAsia="bg-BG"/>
        </w:rPr>
        <w:t>2016). Не е ясно клиничното значение на тези данни.</w:t>
      </w:r>
    </w:p>
    <w:p w14:paraId="5928D202" w14:textId="77777777" w:rsidR="00EB1DB7" w:rsidRPr="00EB1DB7" w:rsidRDefault="00EB1DB7" w:rsidP="00EB1DB7"/>
    <w:p w14:paraId="1BDBE06B" w14:textId="194EE7D3" w:rsidR="004D4D6B" w:rsidRDefault="002C50EE" w:rsidP="002B3C38">
      <w:pPr>
        <w:pStyle w:val="2"/>
      </w:pPr>
      <w:r>
        <w:t>5.3. Предклинични данни за безопасност</w:t>
      </w:r>
    </w:p>
    <w:p w14:paraId="0320448D" w14:textId="07F27FDC" w:rsidR="00EB1DB7" w:rsidRDefault="00EB1DB7" w:rsidP="00EB1DB7"/>
    <w:p w14:paraId="13F8557E" w14:textId="18AAE16C" w:rsidR="00EB1DB7" w:rsidRPr="00EB1DB7" w:rsidRDefault="00EB1DB7" w:rsidP="00EB1DB7">
      <w:pPr>
        <w:rPr>
          <w:sz w:val="24"/>
          <w:szCs w:val="24"/>
          <w:lang w:val="en-US"/>
        </w:rPr>
      </w:pPr>
      <w:r w:rsidRPr="00EB1DB7">
        <w:rPr>
          <w:lang w:eastAsia="bg-BG"/>
        </w:rPr>
        <w:t xml:space="preserve">Експерименти върху животни с прием на високи дози </w:t>
      </w:r>
      <w:proofErr w:type="spellStart"/>
      <w:r w:rsidRPr="00EB1DB7">
        <w:rPr>
          <w:lang w:eastAsia="bg-BG"/>
        </w:rPr>
        <w:t>левоноргестрел</w:t>
      </w:r>
      <w:proofErr w:type="spellEnd"/>
      <w:r w:rsidRPr="00EB1DB7">
        <w:rPr>
          <w:lang w:eastAsia="bg-BG"/>
        </w:rPr>
        <w:t xml:space="preserve"> не са показали </w:t>
      </w:r>
      <w:proofErr w:type="spellStart"/>
      <w:r w:rsidRPr="00EB1DB7">
        <w:rPr>
          <w:lang w:eastAsia="bg-BG"/>
        </w:rPr>
        <w:t>вирилизация</w:t>
      </w:r>
      <w:proofErr w:type="spellEnd"/>
      <w:r w:rsidRPr="00EB1DB7">
        <w:rPr>
          <w:lang w:eastAsia="bg-BG"/>
        </w:rPr>
        <w:t xml:space="preserve"> на женските </w:t>
      </w:r>
      <w:proofErr w:type="spellStart"/>
      <w:r w:rsidRPr="00EB1DB7">
        <w:rPr>
          <w:lang w:eastAsia="bg-BG"/>
        </w:rPr>
        <w:t>фетуси</w:t>
      </w:r>
      <w:proofErr w:type="spellEnd"/>
      <w:r>
        <w:rPr>
          <w:lang w:val="en-US" w:eastAsia="bg-BG"/>
        </w:rPr>
        <w:t>.</w:t>
      </w:r>
    </w:p>
    <w:p w14:paraId="7D1FDBF5" w14:textId="77777777" w:rsidR="00EB1DB7" w:rsidRPr="00EB1DB7" w:rsidRDefault="00EB1DB7" w:rsidP="00EB1DB7"/>
    <w:p w14:paraId="6940F72E" w14:textId="6E96996A" w:rsidR="009B171C" w:rsidRDefault="002C50EE" w:rsidP="00CA1B57">
      <w:pPr>
        <w:pStyle w:val="1"/>
      </w:pPr>
      <w:r>
        <w:t>7. ПРИТЕЖАТЕЛ НА РАЗРЕШЕНИЕТО ЗА УПОТРЕБА</w:t>
      </w:r>
    </w:p>
    <w:p w14:paraId="228865A8" w14:textId="65B0921B" w:rsidR="00EB1DB7" w:rsidRDefault="00EB1DB7" w:rsidP="00EB1DB7"/>
    <w:p w14:paraId="4ABA6B53" w14:textId="77777777" w:rsidR="00EB1DB7" w:rsidRPr="00EB1DB7" w:rsidRDefault="00EB1DB7" w:rsidP="00EB1DB7">
      <w:pPr>
        <w:rPr>
          <w:sz w:val="24"/>
          <w:szCs w:val="24"/>
          <w:lang w:val="en-US"/>
        </w:rPr>
      </w:pPr>
      <w:r w:rsidRPr="00EB1DB7">
        <w:rPr>
          <w:lang w:val="en-US"/>
        </w:rPr>
        <w:t>Gedeon Richter Plc.</w:t>
      </w:r>
    </w:p>
    <w:p w14:paraId="6CB41F53" w14:textId="77777777" w:rsidR="00EB1DB7" w:rsidRPr="00EB1DB7" w:rsidRDefault="00EB1DB7" w:rsidP="00EB1DB7">
      <w:pPr>
        <w:rPr>
          <w:sz w:val="24"/>
          <w:szCs w:val="24"/>
          <w:lang w:val="en-US"/>
        </w:rPr>
      </w:pPr>
      <w:r w:rsidRPr="00EB1DB7">
        <w:rPr>
          <w:lang w:eastAsia="bg-BG"/>
        </w:rPr>
        <w:t xml:space="preserve">1103 </w:t>
      </w:r>
      <w:r w:rsidRPr="00EB1DB7">
        <w:rPr>
          <w:lang w:val="en-US"/>
        </w:rPr>
        <w:t>Budapest, Gy6mr6i tit 19-21.</w:t>
      </w:r>
    </w:p>
    <w:p w14:paraId="41E1F8DD" w14:textId="2B92E67C" w:rsidR="00EB1DB7" w:rsidRPr="00EB1DB7" w:rsidRDefault="00EB1DB7" w:rsidP="00EB1DB7">
      <w:pPr>
        <w:rPr>
          <w:sz w:val="24"/>
          <w:szCs w:val="24"/>
          <w:lang w:val="en-US"/>
        </w:rPr>
      </w:pPr>
      <w:r w:rsidRPr="00EB1DB7">
        <w:rPr>
          <w:lang w:eastAsia="bg-BG"/>
        </w:rPr>
        <w:t>Унгария</w:t>
      </w:r>
    </w:p>
    <w:p w14:paraId="04840D59" w14:textId="3DA0EE46" w:rsidR="002C50EE" w:rsidRDefault="002C50EE" w:rsidP="002C50EE">
      <w:pPr>
        <w:pStyle w:val="1"/>
      </w:pPr>
      <w:r>
        <w:t>8. НОМЕР НА РАЗРЕШЕНИЕТО ЗА УПОТРЕБА</w:t>
      </w:r>
    </w:p>
    <w:p w14:paraId="61E1DB5A" w14:textId="30A9096D" w:rsidR="00EB1DB7" w:rsidRDefault="00EB1DB7" w:rsidP="00EB1DB7"/>
    <w:p w14:paraId="5FDB6C7E" w14:textId="0D1107B4" w:rsidR="00EB1DB7" w:rsidRPr="00EB1DB7" w:rsidRDefault="00EB1DB7" w:rsidP="00EB1DB7">
      <w:r>
        <w:rPr>
          <w:lang w:val="en-US"/>
        </w:rPr>
        <w:t xml:space="preserve">Per. </w:t>
      </w:r>
      <w:r>
        <w:t>№20060032</w:t>
      </w:r>
    </w:p>
    <w:p w14:paraId="5900CBF3" w14:textId="61614CD8" w:rsidR="002C50EE" w:rsidRDefault="002C50EE" w:rsidP="002C50EE">
      <w:pPr>
        <w:pStyle w:val="1"/>
      </w:pPr>
      <w:r>
        <w:t>9. ДАТА НА ПЪРВО РАЗРЕШАВАНЕ/ПОДНОВЯВАНЕ НА РАЗРЕШЕНИЕТО ЗА УПОТРЕБА</w:t>
      </w:r>
    </w:p>
    <w:p w14:paraId="59D8BFA9" w14:textId="77777777" w:rsidR="00EB1DB7" w:rsidRDefault="00EB1DB7" w:rsidP="00EB1DB7"/>
    <w:p w14:paraId="6CCDED1B" w14:textId="4C970CF4" w:rsidR="00EB1DB7" w:rsidRPr="00EB1DB7" w:rsidRDefault="00EB1DB7" w:rsidP="00EB1DB7">
      <w:r>
        <w:t>30.01.2006 (в България)</w:t>
      </w:r>
    </w:p>
    <w:p w14:paraId="0E9D0119" w14:textId="0245C6D7" w:rsidR="002C50EE" w:rsidRDefault="002C50EE" w:rsidP="002C50EE">
      <w:pPr>
        <w:pStyle w:val="1"/>
      </w:pPr>
      <w:r>
        <w:t>10. ДАТА НА АКТУАЛИЗИРАНЕ НА ТЕКСТА</w:t>
      </w:r>
    </w:p>
    <w:bookmarkEnd w:id="0"/>
    <w:p w14:paraId="423F4C2A" w14:textId="6016D10B" w:rsidR="00C87E90" w:rsidRPr="003E3126" w:rsidRDefault="00C87E90" w:rsidP="004D4D6B"/>
    <w:sectPr w:rsidR="00C87E90" w:rsidRPr="003E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894126"/>
    <w:multiLevelType w:val="multilevel"/>
    <w:tmpl w:val="588ED0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0AE4925"/>
    <w:multiLevelType w:val="multilevel"/>
    <w:tmpl w:val="4CC8E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834C69"/>
    <w:multiLevelType w:val="multilevel"/>
    <w:tmpl w:val="DC0A1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9016EEE"/>
    <w:multiLevelType w:val="hybridMultilevel"/>
    <w:tmpl w:val="52F6376E"/>
    <w:lvl w:ilvl="0" w:tplc="4F7A93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3B0"/>
    <w:multiLevelType w:val="hybridMultilevel"/>
    <w:tmpl w:val="DD4E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58ED"/>
    <w:multiLevelType w:val="hybridMultilevel"/>
    <w:tmpl w:val="AA423BD4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6177103"/>
    <w:multiLevelType w:val="multilevel"/>
    <w:tmpl w:val="E82C6D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C0F0359"/>
    <w:multiLevelType w:val="hybridMultilevel"/>
    <w:tmpl w:val="44CA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60FB9"/>
    <w:multiLevelType w:val="hybridMultilevel"/>
    <w:tmpl w:val="BA3E8EEE"/>
    <w:lvl w:ilvl="0" w:tplc="D63C33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002FE"/>
    <w:multiLevelType w:val="hybridMultilevel"/>
    <w:tmpl w:val="60D4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87B88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403D3417"/>
    <w:multiLevelType w:val="multilevel"/>
    <w:tmpl w:val="B5725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823E3C"/>
    <w:multiLevelType w:val="hybridMultilevel"/>
    <w:tmpl w:val="80B0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E33D8"/>
    <w:multiLevelType w:val="hybridMultilevel"/>
    <w:tmpl w:val="7130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D0C31"/>
    <w:multiLevelType w:val="hybridMultilevel"/>
    <w:tmpl w:val="2946DD8C"/>
    <w:lvl w:ilvl="0" w:tplc="83C233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1061F"/>
    <w:multiLevelType w:val="hybridMultilevel"/>
    <w:tmpl w:val="7BE0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E48DA"/>
    <w:multiLevelType w:val="hybridMultilevel"/>
    <w:tmpl w:val="8D98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88CA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B1ABA"/>
    <w:multiLevelType w:val="hybridMultilevel"/>
    <w:tmpl w:val="EEEC7F7E"/>
    <w:lvl w:ilvl="0" w:tplc="E38E44D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8116B"/>
    <w:multiLevelType w:val="hybridMultilevel"/>
    <w:tmpl w:val="F18C2434"/>
    <w:lvl w:ilvl="0" w:tplc="04B87F8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2302E"/>
    <w:multiLevelType w:val="hybridMultilevel"/>
    <w:tmpl w:val="FF0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F677A"/>
    <w:multiLevelType w:val="hybridMultilevel"/>
    <w:tmpl w:val="96EC7004"/>
    <w:lvl w:ilvl="0" w:tplc="D63C33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539E2"/>
    <w:multiLevelType w:val="hybridMultilevel"/>
    <w:tmpl w:val="E3BC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C7DEC"/>
    <w:multiLevelType w:val="hybridMultilevel"/>
    <w:tmpl w:val="EE04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24"/>
  </w:num>
  <w:num w:numId="12">
    <w:abstractNumId w:val="11"/>
  </w:num>
  <w:num w:numId="13">
    <w:abstractNumId w:val="16"/>
  </w:num>
  <w:num w:numId="14">
    <w:abstractNumId w:val="9"/>
  </w:num>
  <w:num w:numId="15">
    <w:abstractNumId w:val="23"/>
  </w:num>
  <w:num w:numId="16">
    <w:abstractNumId w:val="7"/>
  </w:num>
  <w:num w:numId="17">
    <w:abstractNumId w:val="19"/>
  </w:num>
  <w:num w:numId="18">
    <w:abstractNumId w:val="5"/>
  </w:num>
  <w:num w:numId="19">
    <w:abstractNumId w:val="21"/>
  </w:num>
  <w:num w:numId="20">
    <w:abstractNumId w:val="18"/>
  </w:num>
  <w:num w:numId="21">
    <w:abstractNumId w:val="14"/>
  </w:num>
  <w:num w:numId="22">
    <w:abstractNumId w:val="20"/>
  </w:num>
  <w:num w:numId="23">
    <w:abstractNumId w:val="15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00"/>
    <w:rsid w:val="00185A46"/>
    <w:rsid w:val="001915B6"/>
    <w:rsid w:val="001D1B23"/>
    <w:rsid w:val="002B3C38"/>
    <w:rsid w:val="002B4DBB"/>
    <w:rsid w:val="002C50EE"/>
    <w:rsid w:val="00340A0A"/>
    <w:rsid w:val="003765DC"/>
    <w:rsid w:val="003E3126"/>
    <w:rsid w:val="004D4D6B"/>
    <w:rsid w:val="00517A5B"/>
    <w:rsid w:val="00593A00"/>
    <w:rsid w:val="005A66D9"/>
    <w:rsid w:val="00605BCA"/>
    <w:rsid w:val="006158A1"/>
    <w:rsid w:val="00617B1F"/>
    <w:rsid w:val="00672487"/>
    <w:rsid w:val="00672600"/>
    <w:rsid w:val="00681D4A"/>
    <w:rsid w:val="00685882"/>
    <w:rsid w:val="0075649D"/>
    <w:rsid w:val="00814073"/>
    <w:rsid w:val="00826F0D"/>
    <w:rsid w:val="00893B92"/>
    <w:rsid w:val="008C70A2"/>
    <w:rsid w:val="009773E4"/>
    <w:rsid w:val="009B171C"/>
    <w:rsid w:val="00A20351"/>
    <w:rsid w:val="00AA23EC"/>
    <w:rsid w:val="00AC63CE"/>
    <w:rsid w:val="00AE2107"/>
    <w:rsid w:val="00B275A8"/>
    <w:rsid w:val="00BF2600"/>
    <w:rsid w:val="00C07B84"/>
    <w:rsid w:val="00C33464"/>
    <w:rsid w:val="00C809A7"/>
    <w:rsid w:val="00C83063"/>
    <w:rsid w:val="00C87E90"/>
    <w:rsid w:val="00CA1B57"/>
    <w:rsid w:val="00D86297"/>
    <w:rsid w:val="00DD466D"/>
    <w:rsid w:val="00EB1DB7"/>
    <w:rsid w:val="00EB6364"/>
    <w:rsid w:val="00F37B64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4BA7"/>
  <w15:docId w15:val="{3DA60348-CCDC-4D6D-877F-EA9575E0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64"/>
    <w:pPr>
      <w:spacing w:after="0" w:line="256" w:lineRule="auto"/>
    </w:pPr>
    <w:rPr>
      <w:rFonts w:ascii="Arial" w:hAnsi="Arial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81D4A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1D4A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D4A"/>
    <w:pPr>
      <w:keepNext/>
      <w:keepLines/>
      <w:spacing w:before="40" w:line="259" w:lineRule="auto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1D4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1"/>
    <w:basedOn w:val="3"/>
    <w:next w:val="a"/>
    <w:link w:val="12"/>
    <w:qFormat/>
    <w:rsid w:val="00C87E90"/>
    <w:pPr>
      <w:widowControl w:val="0"/>
      <w:spacing w:after="1080" w:line="240" w:lineRule="auto"/>
      <w:ind w:left="4400"/>
      <w:jc w:val="center"/>
    </w:pPr>
    <w:rPr>
      <w:b/>
      <w:sz w:val="22"/>
      <w:szCs w:val="22"/>
    </w:rPr>
  </w:style>
  <w:style w:type="character" w:customStyle="1" w:styleId="12">
    <w:name w:val="Стил1 Знак"/>
    <w:basedOn w:val="30"/>
    <w:link w:val="11"/>
    <w:rsid w:val="00C87E90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30">
    <w:name w:val="Заглавие 3 Знак"/>
    <w:basedOn w:val="a0"/>
    <w:link w:val="3"/>
    <w:uiPriority w:val="9"/>
    <w:rsid w:val="00681D4A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a3">
    <w:name w:val="List Paragraph"/>
    <w:basedOn w:val="a"/>
    <w:uiPriority w:val="34"/>
    <w:qFormat/>
    <w:rsid w:val="00685882"/>
    <w:pPr>
      <w:spacing w:line="259" w:lineRule="auto"/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681D4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681D4A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681D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39"/>
    <w:rsid w:val="0075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d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vasilev</dc:creator>
  <cp:keywords/>
  <dc:description/>
  <cp:lastModifiedBy>ВАСИЛЕВ</cp:lastModifiedBy>
  <cp:revision>2</cp:revision>
  <dcterms:created xsi:type="dcterms:W3CDTF">2021-10-25T16:32:00Z</dcterms:created>
  <dcterms:modified xsi:type="dcterms:W3CDTF">2021-10-25T16:32:00Z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080e56-8894-418a-9b19-f357e77b996f_Enabled">
    <vt:lpwstr>true</vt:lpwstr>
  </property>
  <property fmtid="{D5CDD505-2E9C-101B-9397-08002B2CF9AE}" pid="3" name="MSIP_Label_78080e56-8894-418a-9b19-f357e77b996f_SetDate">
    <vt:lpwstr>2021-02-06T20:50:59Z</vt:lpwstr>
  </property>
  <property fmtid="{D5CDD505-2E9C-101B-9397-08002B2CF9AE}" pid="4" name="MSIP_Label_78080e56-8894-418a-9b19-f357e77b996f_Method">
    <vt:lpwstr>Standard</vt:lpwstr>
  </property>
  <property fmtid="{D5CDD505-2E9C-101B-9397-08002B2CF9AE}" pid="5" name="MSIP_Label_78080e56-8894-418a-9b19-f357e77b996f_Name">
    <vt:lpwstr>Internal Use Unencrypted</vt:lpwstr>
  </property>
  <property fmtid="{D5CDD505-2E9C-101B-9397-08002B2CF9AE}" pid="6" name="MSIP_Label_78080e56-8894-418a-9b19-f357e77b996f_SiteId">
    <vt:lpwstr>6c7fadf5-6b9d-485a-85cb-f8112e9720ec</vt:lpwstr>
  </property>
  <property fmtid="{D5CDD505-2E9C-101B-9397-08002B2CF9AE}" pid="7" name="MSIP_Label_78080e56-8894-418a-9b19-f357e77b996f_ActionId">
    <vt:lpwstr>0a32757c-47c4-4949-90c3-637a5e65fde2</vt:lpwstr>
  </property>
  <property fmtid="{D5CDD505-2E9C-101B-9397-08002B2CF9AE}" pid="8" name="MSIP_Label_78080e56-8894-418a-9b19-f357e77b996f_ContentBits">
    <vt:lpwstr>2</vt:lpwstr>
  </property>
</Properties>
</file>