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32A68231" w:rsidR="007122AD" w:rsidRDefault="00DD466D" w:rsidP="00936AD0">
      <w:pPr>
        <w:pStyle w:val="Heading1"/>
      </w:pPr>
      <w:r>
        <w:t>1.ИМЕ НА ЛЕКАРСТВЕНИЯ ПРОДУКТ</w:t>
      </w:r>
    </w:p>
    <w:p w14:paraId="38DD56CF" w14:textId="1E582834" w:rsidR="00D151C7" w:rsidRDefault="00D151C7" w:rsidP="00D151C7"/>
    <w:p w14:paraId="1D459C5D" w14:textId="77777777" w:rsidR="00D151C7" w:rsidRPr="00D151C7" w:rsidRDefault="00D151C7" w:rsidP="00D151C7">
      <w:pPr>
        <w:rPr>
          <w:sz w:val="24"/>
          <w:szCs w:val="24"/>
        </w:rPr>
      </w:pPr>
      <w:r w:rsidRPr="00D151C7">
        <w:rPr>
          <w:lang w:eastAsia="bg-BG"/>
        </w:rPr>
        <w:t xml:space="preserve">Еслибон 200 </w:t>
      </w:r>
      <w:r w:rsidRPr="00D151C7">
        <w:rPr>
          <w:lang w:val="en-US"/>
        </w:rPr>
        <w:t>mg</w:t>
      </w:r>
      <w:r w:rsidRPr="00D151C7">
        <w:t xml:space="preserve"> </w:t>
      </w:r>
      <w:r w:rsidRPr="00D151C7">
        <w:rPr>
          <w:lang w:eastAsia="bg-BG"/>
        </w:rPr>
        <w:t>таблетки</w:t>
      </w:r>
    </w:p>
    <w:p w14:paraId="128C551C" w14:textId="77777777" w:rsidR="00D151C7" w:rsidRPr="00D151C7" w:rsidRDefault="00D151C7" w:rsidP="00D151C7">
      <w:pPr>
        <w:rPr>
          <w:sz w:val="24"/>
          <w:szCs w:val="24"/>
        </w:rPr>
      </w:pPr>
      <w:proofErr w:type="spellStart"/>
      <w:r w:rsidRPr="00D151C7">
        <w:rPr>
          <w:lang w:val="en-US"/>
        </w:rPr>
        <w:t>Eslibon</w:t>
      </w:r>
      <w:proofErr w:type="spellEnd"/>
      <w:r w:rsidRPr="00D151C7">
        <w:t xml:space="preserve"> </w:t>
      </w:r>
      <w:r w:rsidRPr="00D151C7">
        <w:rPr>
          <w:lang w:eastAsia="bg-BG"/>
        </w:rPr>
        <w:t xml:space="preserve">200 </w:t>
      </w:r>
      <w:r w:rsidRPr="00D151C7">
        <w:rPr>
          <w:lang w:val="en-US"/>
        </w:rPr>
        <w:t>mg</w:t>
      </w:r>
      <w:r w:rsidRPr="00D151C7">
        <w:t xml:space="preserve"> </w:t>
      </w:r>
      <w:r w:rsidRPr="00D151C7">
        <w:rPr>
          <w:lang w:val="en-US"/>
        </w:rPr>
        <w:t>tablets</w:t>
      </w:r>
    </w:p>
    <w:p w14:paraId="5CDC6D0B" w14:textId="77777777" w:rsidR="00D151C7" w:rsidRDefault="00D151C7" w:rsidP="00D151C7">
      <w:pPr>
        <w:rPr>
          <w:sz w:val="20"/>
          <w:szCs w:val="20"/>
          <w:lang w:eastAsia="bg-BG"/>
        </w:rPr>
      </w:pPr>
    </w:p>
    <w:p w14:paraId="2CA9C4ED" w14:textId="6CC857C7" w:rsidR="00D151C7" w:rsidRPr="00D151C7" w:rsidRDefault="00D151C7" w:rsidP="00D151C7">
      <w:pPr>
        <w:rPr>
          <w:sz w:val="24"/>
          <w:szCs w:val="24"/>
        </w:rPr>
      </w:pPr>
      <w:r w:rsidRPr="00D151C7">
        <w:rPr>
          <w:sz w:val="20"/>
          <w:szCs w:val="20"/>
          <w:lang w:eastAsia="bg-BG"/>
        </w:rPr>
        <w:t xml:space="preserve">Еслибон </w:t>
      </w:r>
      <w:r w:rsidRPr="00D151C7">
        <w:rPr>
          <w:sz w:val="20"/>
          <w:szCs w:val="20"/>
        </w:rPr>
        <w:t xml:space="preserve">400 </w:t>
      </w:r>
      <w:r w:rsidRPr="00D151C7">
        <w:rPr>
          <w:sz w:val="20"/>
          <w:szCs w:val="20"/>
          <w:lang w:val="en-US"/>
        </w:rPr>
        <w:t>mg</w:t>
      </w:r>
      <w:r w:rsidRPr="00D151C7">
        <w:rPr>
          <w:sz w:val="20"/>
          <w:szCs w:val="20"/>
        </w:rPr>
        <w:t xml:space="preserve"> </w:t>
      </w:r>
      <w:r w:rsidRPr="00D151C7">
        <w:rPr>
          <w:sz w:val="20"/>
          <w:szCs w:val="20"/>
          <w:lang w:eastAsia="bg-BG"/>
        </w:rPr>
        <w:t>таблетки</w:t>
      </w:r>
    </w:p>
    <w:p w14:paraId="07F482F4" w14:textId="77777777" w:rsidR="00D151C7" w:rsidRPr="00D151C7" w:rsidRDefault="00D151C7" w:rsidP="00D151C7">
      <w:pPr>
        <w:rPr>
          <w:sz w:val="24"/>
          <w:szCs w:val="24"/>
        </w:rPr>
      </w:pPr>
      <w:proofErr w:type="spellStart"/>
      <w:r w:rsidRPr="00D151C7">
        <w:rPr>
          <w:sz w:val="20"/>
          <w:szCs w:val="20"/>
          <w:lang w:val="en-US"/>
        </w:rPr>
        <w:t>Eslibon</w:t>
      </w:r>
      <w:proofErr w:type="spellEnd"/>
      <w:r w:rsidRPr="00D151C7">
        <w:rPr>
          <w:sz w:val="20"/>
          <w:szCs w:val="20"/>
        </w:rPr>
        <w:t xml:space="preserve"> 400 </w:t>
      </w:r>
      <w:r w:rsidRPr="00D151C7">
        <w:rPr>
          <w:sz w:val="20"/>
          <w:szCs w:val="20"/>
          <w:lang w:val="en-US"/>
        </w:rPr>
        <w:t>mg</w:t>
      </w:r>
      <w:r w:rsidRPr="00D151C7">
        <w:rPr>
          <w:sz w:val="20"/>
          <w:szCs w:val="20"/>
        </w:rPr>
        <w:t xml:space="preserve"> </w:t>
      </w:r>
      <w:r w:rsidRPr="00D151C7">
        <w:rPr>
          <w:sz w:val="20"/>
          <w:szCs w:val="20"/>
          <w:lang w:val="en-US"/>
        </w:rPr>
        <w:t>tablets</w:t>
      </w:r>
    </w:p>
    <w:p w14:paraId="0DD984CD" w14:textId="77777777" w:rsidR="00D151C7" w:rsidRDefault="00D151C7" w:rsidP="00D151C7">
      <w:pPr>
        <w:rPr>
          <w:sz w:val="20"/>
          <w:szCs w:val="20"/>
          <w:lang w:eastAsia="bg-BG"/>
        </w:rPr>
      </w:pPr>
    </w:p>
    <w:p w14:paraId="4A508FB9" w14:textId="3DCA1D79" w:rsidR="00D151C7" w:rsidRPr="00D151C7" w:rsidRDefault="00D151C7" w:rsidP="00D151C7">
      <w:pPr>
        <w:rPr>
          <w:sz w:val="24"/>
          <w:szCs w:val="24"/>
        </w:rPr>
      </w:pPr>
      <w:r w:rsidRPr="00D151C7">
        <w:rPr>
          <w:sz w:val="20"/>
          <w:szCs w:val="20"/>
          <w:lang w:eastAsia="bg-BG"/>
        </w:rPr>
        <w:t xml:space="preserve">Еслибон </w:t>
      </w:r>
      <w:r w:rsidRPr="00D151C7">
        <w:rPr>
          <w:sz w:val="20"/>
          <w:szCs w:val="20"/>
        </w:rPr>
        <w:t xml:space="preserve">600 </w:t>
      </w:r>
      <w:r w:rsidRPr="00D151C7">
        <w:rPr>
          <w:sz w:val="20"/>
          <w:szCs w:val="20"/>
          <w:lang w:val="en-US"/>
        </w:rPr>
        <w:t>mg</w:t>
      </w:r>
      <w:r w:rsidRPr="00D151C7">
        <w:rPr>
          <w:sz w:val="20"/>
          <w:szCs w:val="20"/>
        </w:rPr>
        <w:t xml:space="preserve"> </w:t>
      </w:r>
      <w:r w:rsidRPr="00D151C7">
        <w:rPr>
          <w:sz w:val="20"/>
          <w:szCs w:val="20"/>
          <w:lang w:eastAsia="bg-BG"/>
        </w:rPr>
        <w:t>таблетки</w:t>
      </w:r>
    </w:p>
    <w:p w14:paraId="0FA6982F" w14:textId="77777777" w:rsidR="00D151C7" w:rsidRPr="00D151C7" w:rsidRDefault="00D151C7" w:rsidP="00D151C7">
      <w:pPr>
        <w:rPr>
          <w:sz w:val="24"/>
          <w:szCs w:val="24"/>
        </w:rPr>
      </w:pPr>
      <w:proofErr w:type="spellStart"/>
      <w:r w:rsidRPr="00D151C7">
        <w:rPr>
          <w:sz w:val="20"/>
          <w:szCs w:val="20"/>
          <w:lang w:val="en-US"/>
        </w:rPr>
        <w:t>Eslibon</w:t>
      </w:r>
      <w:proofErr w:type="spellEnd"/>
      <w:r w:rsidRPr="00D151C7">
        <w:rPr>
          <w:sz w:val="20"/>
          <w:szCs w:val="20"/>
        </w:rPr>
        <w:t xml:space="preserve"> 600 </w:t>
      </w:r>
      <w:r w:rsidRPr="00D151C7">
        <w:rPr>
          <w:sz w:val="20"/>
          <w:szCs w:val="20"/>
          <w:lang w:val="en-US"/>
        </w:rPr>
        <w:t>mg</w:t>
      </w:r>
      <w:r w:rsidRPr="00D151C7">
        <w:rPr>
          <w:sz w:val="20"/>
          <w:szCs w:val="20"/>
        </w:rPr>
        <w:t xml:space="preserve"> </w:t>
      </w:r>
      <w:r w:rsidRPr="00D151C7">
        <w:rPr>
          <w:sz w:val="20"/>
          <w:szCs w:val="20"/>
          <w:lang w:val="en-US"/>
        </w:rPr>
        <w:t>tablets</w:t>
      </w:r>
    </w:p>
    <w:p w14:paraId="12C229CB" w14:textId="77777777" w:rsidR="00D151C7" w:rsidRDefault="00D151C7" w:rsidP="00D151C7">
      <w:pPr>
        <w:rPr>
          <w:sz w:val="20"/>
          <w:szCs w:val="20"/>
          <w:lang w:eastAsia="bg-BG"/>
        </w:rPr>
      </w:pPr>
    </w:p>
    <w:p w14:paraId="0528ECBD" w14:textId="672F0AE7" w:rsidR="00D151C7" w:rsidRPr="00D151C7" w:rsidRDefault="00D151C7" w:rsidP="00D151C7">
      <w:pPr>
        <w:rPr>
          <w:sz w:val="24"/>
          <w:szCs w:val="24"/>
        </w:rPr>
      </w:pPr>
      <w:r w:rsidRPr="00D151C7">
        <w:rPr>
          <w:sz w:val="20"/>
          <w:szCs w:val="20"/>
          <w:lang w:eastAsia="bg-BG"/>
        </w:rPr>
        <w:t xml:space="preserve">Еслибон </w:t>
      </w:r>
      <w:r w:rsidRPr="00D151C7">
        <w:rPr>
          <w:sz w:val="20"/>
          <w:szCs w:val="20"/>
        </w:rPr>
        <w:t xml:space="preserve">800 </w:t>
      </w:r>
      <w:r w:rsidRPr="00D151C7">
        <w:rPr>
          <w:sz w:val="20"/>
          <w:szCs w:val="20"/>
          <w:lang w:val="en-US"/>
        </w:rPr>
        <w:t>mg</w:t>
      </w:r>
      <w:r w:rsidRPr="00D151C7">
        <w:rPr>
          <w:sz w:val="20"/>
          <w:szCs w:val="20"/>
        </w:rPr>
        <w:t xml:space="preserve"> </w:t>
      </w:r>
      <w:r w:rsidRPr="00D151C7">
        <w:rPr>
          <w:sz w:val="20"/>
          <w:szCs w:val="20"/>
          <w:lang w:eastAsia="bg-BG"/>
        </w:rPr>
        <w:t>таблетки</w:t>
      </w:r>
    </w:p>
    <w:p w14:paraId="0E0EC1D7" w14:textId="77777777" w:rsidR="00D151C7" w:rsidRPr="00D151C7" w:rsidRDefault="00D151C7" w:rsidP="00D151C7">
      <w:pPr>
        <w:rPr>
          <w:sz w:val="24"/>
          <w:szCs w:val="24"/>
        </w:rPr>
      </w:pPr>
      <w:proofErr w:type="spellStart"/>
      <w:r w:rsidRPr="00D151C7">
        <w:rPr>
          <w:sz w:val="20"/>
          <w:szCs w:val="20"/>
          <w:lang w:val="en-US"/>
        </w:rPr>
        <w:t>Eslibon</w:t>
      </w:r>
      <w:proofErr w:type="spellEnd"/>
      <w:r w:rsidRPr="00D151C7">
        <w:rPr>
          <w:sz w:val="20"/>
          <w:szCs w:val="20"/>
        </w:rPr>
        <w:t xml:space="preserve"> 800 </w:t>
      </w:r>
      <w:r w:rsidRPr="00D151C7">
        <w:rPr>
          <w:sz w:val="20"/>
          <w:szCs w:val="20"/>
          <w:lang w:val="en-US"/>
        </w:rPr>
        <w:t>mg</w:t>
      </w:r>
      <w:r w:rsidRPr="00D151C7">
        <w:rPr>
          <w:sz w:val="20"/>
          <w:szCs w:val="20"/>
        </w:rPr>
        <w:t xml:space="preserve"> </w:t>
      </w:r>
      <w:r w:rsidRPr="00D151C7">
        <w:rPr>
          <w:sz w:val="20"/>
          <w:szCs w:val="20"/>
          <w:lang w:val="en-US"/>
        </w:rPr>
        <w:t>tablets</w:t>
      </w:r>
    </w:p>
    <w:p w14:paraId="370B2709" w14:textId="77777777" w:rsidR="00D151C7" w:rsidRPr="00D151C7" w:rsidRDefault="00D151C7" w:rsidP="00D151C7"/>
    <w:p w14:paraId="6920A680" w14:textId="0F5033AA" w:rsidR="00C40420" w:rsidRDefault="00DD466D" w:rsidP="004A448E">
      <w:pPr>
        <w:pStyle w:val="Heading1"/>
      </w:pPr>
      <w:r>
        <w:t>2. КАЧЕСТВЕН И КОЛИЧЕСТВЕН СЪСТАВ</w:t>
      </w:r>
    </w:p>
    <w:p w14:paraId="12DAAD1E" w14:textId="6A301FC1" w:rsidR="00D151C7" w:rsidRDefault="00D151C7" w:rsidP="00D151C7"/>
    <w:p w14:paraId="4B80E469" w14:textId="77777777" w:rsidR="00D151C7" w:rsidRPr="00D151C7" w:rsidRDefault="00D151C7" w:rsidP="00D151C7">
      <w:pPr>
        <w:spacing w:line="240" w:lineRule="auto"/>
        <w:rPr>
          <w:rFonts w:eastAsia="Times New Roman" w:cs="Arial"/>
          <w:color w:val="000000"/>
          <w:u w:val="single"/>
        </w:rPr>
      </w:pPr>
      <w:r w:rsidRPr="00D151C7">
        <w:rPr>
          <w:rFonts w:eastAsia="Times New Roman" w:cs="Arial"/>
          <w:color w:val="000000"/>
          <w:lang w:eastAsia="bg-BG"/>
        </w:rPr>
        <w:t xml:space="preserve">Всяка </w:t>
      </w:r>
      <w:r w:rsidRPr="00D151C7">
        <w:rPr>
          <w:rFonts w:eastAsia="Times New Roman" w:cs="Arial"/>
          <w:color w:val="000000"/>
          <w:u w:val="single"/>
          <w:lang w:eastAsia="bg-BG"/>
        </w:rPr>
        <w:t xml:space="preserve">таблетка съдържа 200 </w:t>
      </w:r>
      <w:r w:rsidRPr="00D151C7">
        <w:rPr>
          <w:rFonts w:eastAsia="Times New Roman" w:cs="Arial"/>
          <w:color w:val="000000"/>
          <w:u w:val="single"/>
          <w:lang w:val="en-US"/>
        </w:rPr>
        <w:t>mg</w:t>
      </w:r>
      <w:r w:rsidRPr="00D151C7">
        <w:rPr>
          <w:rFonts w:eastAsia="Times New Roman" w:cs="Arial"/>
          <w:color w:val="000000"/>
          <w:u w:val="single"/>
        </w:rPr>
        <w:t xml:space="preserve"> </w:t>
      </w:r>
      <w:r w:rsidRPr="00D151C7">
        <w:rPr>
          <w:rFonts w:eastAsia="Times New Roman" w:cs="Arial"/>
          <w:color w:val="000000"/>
          <w:u w:val="single"/>
          <w:lang w:eastAsia="bg-BG"/>
        </w:rPr>
        <w:t>есликарбазепино</w:t>
      </w:r>
      <w:r w:rsidRPr="00D151C7">
        <w:rPr>
          <w:rFonts w:eastAsia="Times New Roman" w:cs="Arial"/>
          <w:color w:val="000000"/>
          <w:lang w:eastAsia="bg-BG"/>
        </w:rPr>
        <w:t xml:space="preserve">в ацетат </w:t>
      </w:r>
      <w:r w:rsidRPr="00D151C7">
        <w:rPr>
          <w:rFonts w:eastAsia="Times New Roman" w:cs="Arial"/>
          <w:color w:val="000000"/>
        </w:rPr>
        <w:t>(</w:t>
      </w:r>
      <w:proofErr w:type="spellStart"/>
      <w:r w:rsidRPr="00D151C7">
        <w:rPr>
          <w:rFonts w:eastAsia="Times New Roman" w:cs="Arial"/>
          <w:color w:val="000000"/>
          <w:lang w:val="en-US"/>
        </w:rPr>
        <w:t>esli</w:t>
      </w:r>
      <w:r w:rsidRPr="00D151C7">
        <w:rPr>
          <w:rFonts w:eastAsia="Times New Roman" w:cs="Arial"/>
          <w:color w:val="000000"/>
          <w:u w:val="single"/>
          <w:lang w:val="en-US"/>
        </w:rPr>
        <w:t>carbazepine</w:t>
      </w:r>
      <w:proofErr w:type="spellEnd"/>
      <w:r w:rsidRPr="00D151C7">
        <w:rPr>
          <w:rFonts w:eastAsia="Times New Roman" w:cs="Arial"/>
          <w:color w:val="000000"/>
          <w:u w:val="single"/>
        </w:rPr>
        <w:t xml:space="preserve"> </w:t>
      </w:r>
      <w:r w:rsidRPr="00D151C7">
        <w:rPr>
          <w:rFonts w:eastAsia="Times New Roman" w:cs="Arial"/>
          <w:color w:val="000000"/>
          <w:u w:val="single"/>
          <w:lang w:val="en-US"/>
        </w:rPr>
        <w:t>acetate</w:t>
      </w:r>
      <w:r w:rsidRPr="00D151C7">
        <w:rPr>
          <w:rFonts w:eastAsia="Times New Roman" w:cs="Arial"/>
          <w:color w:val="000000"/>
          <w:u w:val="single"/>
        </w:rPr>
        <w:t xml:space="preserve">). </w:t>
      </w:r>
    </w:p>
    <w:p w14:paraId="3DA18C95" w14:textId="77777777" w:rsidR="00D151C7" w:rsidRPr="00D151C7" w:rsidRDefault="00D151C7" w:rsidP="00D151C7">
      <w:pPr>
        <w:spacing w:line="240" w:lineRule="auto"/>
        <w:rPr>
          <w:rFonts w:eastAsia="Times New Roman" w:cs="Arial"/>
          <w:color w:val="000000"/>
        </w:rPr>
      </w:pPr>
      <w:r w:rsidRPr="00D151C7">
        <w:rPr>
          <w:rFonts w:eastAsia="Times New Roman" w:cs="Arial"/>
          <w:color w:val="000000"/>
          <w:lang w:eastAsia="bg-BG"/>
        </w:rPr>
        <w:t xml:space="preserve">Всяка таблетка съдържа 400 </w:t>
      </w:r>
      <w:r w:rsidRPr="00D151C7">
        <w:rPr>
          <w:rFonts w:eastAsia="Times New Roman" w:cs="Arial"/>
          <w:color w:val="000000"/>
          <w:lang w:val="en-US"/>
        </w:rPr>
        <w:t>mg</w:t>
      </w:r>
      <w:r w:rsidRPr="00D151C7">
        <w:rPr>
          <w:rFonts w:eastAsia="Times New Roman" w:cs="Arial"/>
          <w:color w:val="000000"/>
        </w:rPr>
        <w:t xml:space="preserve"> </w:t>
      </w:r>
      <w:r w:rsidRPr="00D151C7">
        <w:rPr>
          <w:rFonts w:eastAsia="Times New Roman" w:cs="Arial"/>
          <w:color w:val="000000"/>
          <w:lang w:eastAsia="bg-BG"/>
        </w:rPr>
        <w:t xml:space="preserve">есликарбазепинов ацетат </w:t>
      </w:r>
      <w:r w:rsidRPr="00D151C7">
        <w:rPr>
          <w:rFonts w:eastAsia="Times New Roman" w:cs="Arial"/>
          <w:color w:val="000000"/>
        </w:rPr>
        <w:t>(</w:t>
      </w:r>
      <w:proofErr w:type="spellStart"/>
      <w:r w:rsidRPr="00D151C7">
        <w:rPr>
          <w:rFonts w:eastAsia="Times New Roman" w:cs="Arial"/>
          <w:color w:val="000000"/>
          <w:lang w:val="en-US"/>
        </w:rPr>
        <w:t>eslicarbazepine</w:t>
      </w:r>
      <w:proofErr w:type="spellEnd"/>
      <w:r w:rsidRPr="00D151C7">
        <w:rPr>
          <w:rFonts w:eastAsia="Times New Roman" w:cs="Arial"/>
          <w:color w:val="000000"/>
        </w:rPr>
        <w:t xml:space="preserve"> </w:t>
      </w:r>
      <w:r w:rsidRPr="00D151C7">
        <w:rPr>
          <w:rFonts w:eastAsia="Times New Roman" w:cs="Arial"/>
          <w:color w:val="000000"/>
          <w:lang w:val="en-US"/>
        </w:rPr>
        <w:t>acetate</w:t>
      </w:r>
      <w:r w:rsidRPr="00D151C7">
        <w:rPr>
          <w:rFonts w:eastAsia="Times New Roman" w:cs="Arial"/>
          <w:color w:val="000000"/>
        </w:rPr>
        <w:t xml:space="preserve">). </w:t>
      </w:r>
    </w:p>
    <w:p w14:paraId="4D3EB0BB" w14:textId="77777777" w:rsidR="00D151C7" w:rsidRPr="00D151C7" w:rsidRDefault="00D151C7" w:rsidP="00D151C7">
      <w:pPr>
        <w:spacing w:line="240" w:lineRule="auto"/>
        <w:rPr>
          <w:rFonts w:eastAsia="Times New Roman" w:cs="Arial"/>
          <w:color w:val="000000"/>
        </w:rPr>
      </w:pPr>
      <w:r w:rsidRPr="00D151C7">
        <w:rPr>
          <w:rFonts w:eastAsia="Times New Roman" w:cs="Arial"/>
          <w:color w:val="000000"/>
          <w:lang w:eastAsia="bg-BG"/>
        </w:rPr>
        <w:t xml:space="preserve">Всяка таблетка съдържа 600 </w:t>
      </w:r>
      <w:r w:rsidRPr="00D151C7">
        <w:rPr>
          <w:rFonts w:eastAsia="Times New Roman" w:cs="Arial"/>
          <w:color w:val="000000"/>
          <w:lang w:val="en-US"/>
        </w:rPr>
        <w:t>mg</w:t>
      </w:r>
      <w:r w:rsidRPr="00D151C7">
        <w:rPr>
          <w:rFonts w:eastAsia="Times New Roman" w:cs="Arial"/>
          <w:color w:val="000000"/>
        </w:rPr>
        <w:t xml:space="preserve"> </w:t>
      </w:r>
      <w:r w:rsidRPr="00D151C7">
        <w:rPr>
          <w:rFonts w:eastAsia="Times New Roman" w:cs="Arial"/>
          <w:color w:val="000000"/>
          <w:lang w:eastAsia="bg-BG"/>
        </w:rPr>
        <w:t xml:space="preserve">есликарбазепинов ацетат </w:t>
      </w:r>
      <w:r w:rsidRPr="00D151C7">
        <w:rPr>
          <w:rFonts w:eastAsia="Times New Roman" w:cs="Arial"/>
          <w:color w:val="000000"/>
        </w:rPr>
        <w:t>(</w:t>
      </w:r>
      <w:proofErr w:type="spellStart"/>
      <w:r w:rsidRPr="00D151C7">
        <w:rPr>
          <w:rFonts w:eastAsia="Times New Roman" w:cs="Arial"/>
          <w:color w:val="000000"/>
          <w:lang w:val="en-US"/>
        </w:rPr>
        <w:t>eslicarbazepine</w:t>
      </w:r>
      <w:proofErr w:type="spellEnd"/>
      <w:r w:rsidRPr="00D151C7">
        <w:rPr>
          <w:rFonts w:eastAsia="Times New Roman" w:cs="Arial"/>
          <w:color w:val="000000"/>
        </w:rPr>
        <w:t xml:space="preserve"> </w:t>
      </w:r>
      <w:r w:rsidRPr="00D151C7">
        <w:rPr>
          <w:rFonts w:eastAsia="Times New Roman" w:cs="Arial"/>
          <w:color w:val="000000"/>
          <w:lang w:val="en-US"/>
        </w:rPr>
        <w:t>acetate</w:t>
      </w:r>
      <w:r w:rsidRPr="00D151C7">
        <w:rPr>
          <w:rFonts w:eastAsia="Times New Roman" w:cs="Arial"/>
          <w:color w:val="000000"/>
        </w:rPr>
        <w:t xml:space="preserve">). </w:t>
      </w:r>
    </w:p>
    <w:p w14:paraId="40A9A8B5" w14:textId="799B1341"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Всяка таблетка съдържа 800 </w:t>
      </w:r>
      <w:r w:rsidRPr="00D151C7">
        <w:rPr>
          <w:rFonts w:eastAsia="Times New Roman" w:cs="Arial"/>
          <w:color w:val="000000"/>
          <w:lang w:val="en-US"/>
        </w:rPr>
        <w:t>mg</w:t>
      </w:r>
      <w:r w:rsidRPr="00D151C7">
        <w:rPr>
          <w:rFonts w:eastAsia="Times New Roman" w:cs="Arial"/>
          <w:color w:val="000000"/>
        </w:rPr>
        <w:t xml:space="preserve"> </w:t>
      </w:r>
      <w:r w:rsidRPr="00D151C7">
        <w:rPr>
          <w:rFonts w:eastAsia="Times New Roman" w:cs="Arial"/>
          <w:color w:val="000000"/>
          <w:lang w:eastAsia="bg-BG"/>
        </w:rPr>
        <w:t xml:space="preserve">есликарбазепинов ацетат </w:t>
      </w:r>
      <w:r w:rsidRPr="00D151C7">
        <w:rPr>
          <w:rFonts w:eastAsia="Times New Roman" w:cs="Arial"/>
          <w:color w:val="000000"/>
        </w:rPr>
        <w:t>(</w:t>
      </w:r>
      <w:proofErr w:type="spellStart"/>
      <w:r w:rsidRPr="00D151C7">
        <w:rPr>
          <w:rFonts w:eastAsia="Times New Roman" w:cs="Arial"/>
          <w:color w:val="000000"/>
          <w:lang w:val="en-US"/>
        </w:rPr>
        <w:t>eslicarbazepine</w:t>
      </w:r>
      <w:proofErr w:type="spellEnd"/>
      <w:r w:rsidRPr="00D151C7">
        <w:rPr>
          <w:rFonts w:eastAsia="Times New Roman" w:cs="Arial"/>
          <w:color w:val="000000"/>
        </w:rPr>
        <w:t xml:space="preserve"> </w:t>
      </w:r>
      <w:r w:rsidRPr="00D151C7">
        <w:rPr>
          <w:rFonts w:eastAsia="Times New Roman" w:cs="Arial"/>
          <w:color w:val="000000"/>
          <w:lang w:val="en-US"/>
        </w:rPr>
        <w:t>acetate</w:t>
      </w:r>
      <w:r w:rsidRPr="00D151C7">
        <w:rPr>
          <w:rFonts w:eastAsia="Times New Roman" w:cs="Arial"/>
          <w:color w:val="000000"/>
        </w:rPr>
        <w:t>).</w:t>
      </w:r>
    </w:p>
    <w:p w14:paraId="1F1FDAC2" w14:textId="77777777" w:rsidR="00D151C7" w:rsidRPr="00D151C7" w:rsidRDefault="00D151C7" w:rsidP="00D151C7">
      <w:pPr>
        <w:spacing w:line="240" w:lineRule="auto"/>
        <w:rPr>
          <w:rFonts w:eastAsia="Times New Roman" w:cs="Arial"/>
          <w:color w:val="000000"/>
          <w:u w:val="single"/>
          <w:lang w:eastAsia="bg-BG"/>
        </w:rPr>
      </w:pPr>
    </w:p>
    <w:p w14:paraId="47B9F65B" w14:textId="62959271" w:rsidR="00D151C7" w:rsidRPr="00D151C7" w:rsidRDefault="00D151C7" w:rsidP="00D151C7">
      <w:pPr>
        <w:spacing w:line="240" w:lineRule="auto"/>
        <w:rPr>
          <w:rFonts w:eastAsia="Times New Roman" w:cs="Arial"/>
        </w:rPr>
      </w:pPr>
      <w:r w:rsidRPr="00D151C7">
        <w:rPr>
          <w:rFonts w:eastAsia="Times New Roman" w:cs="Arial"/>
          <w:color w:val="000000"/>
          <w:u w:val="single"/>
          <w:lang w:eastAsia="bg-BG"/>
        </w:rPr>
        <w:t xml:space="preserve">[200 </w:t>
      </w:r>
      <w:r w:rsidRPr="00D151C7">
        <w:rPr>
          <w:rFonts w:eastAsia="Times New Roman" w:cs="Arial"/>
          <w:color w:val="000000"/>
          <w:u w:val="single"/>
          <w:lang w:val="en-US"/>
        </w:rPr>
        <w:t>mg</w:t>
      </w:r>
      <w:r w:rsidRPr="00D151C7">
        <w:rPr>
          <w:rFonts w:eastAsia="Times New Roman" w:cs="Arial"/>
          <w:color w:val="000000"/>
          <w:u w:val="single"/>
        </w:rPr>
        <w:t xml:space="preserve">] </w:t>
      </w:r>
      <w:r w:rsidRPr="00D151C7">
        <w:rPr>
          <w:rFonts w:eastAsia="Times New Roman" w:cs="Arial"/>
          <w:color w:val="000000"/>
          <w:u w:val="single"/>
          <w:lang w:eastAsia="bg-BG"/>
        </w:rPr>
        <w:t xml:space="preserve">Помощно вещество с известен ефект: 0,52 </w:t>
      </w:r>
      <w:r w:rsidRPr="00D151C7">
        <w:rPr>
          <w:rFonts w:eastAsia="Times New Roman" w:cs="Arial"/>
          <w:color w:val="000000"/>
          <w:u w:val="single"/>
          <w:lang w:val="en-US"/>
        </w:rPr>
        <w:t>mg</w:t>
      </w:r>
      <w:r w:rsidRPr="00D151C7">
        <w:rPr>
          <w:rFonts w:eastAsia="Times New Roman" w:cs="Arial"/>
          <w:color w:val="000000"/>
          <w:u w:val="single"/>
        </w:rPr>
        <w:t xml:space="preserve"> </w:t>
      </w:r>
      <w:r w:rsidRPr="00D151C7">
        <w:rPr>
          <w:rFonts w:eastAsia="Times New Roman" w:cs="Arial"/>
          <w:color w:val="000000"/>
          <w:u w:val="single"/>
          <w:lang w:eastAsia="bg-BG"/>
        </w:rPr>
        <w:t>натрий.</w:t>
      </w:r>
    </w:p>
    <w:p w14:paraId="442CC94A"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[400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Помощно вещество с известен ефект: 1,03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натрий.</w:t>
      </w:r>
    </w:p>
    <w:p w14:paraId="0532F99F"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[600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Помощно вещество с известен ефект: 1,55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натрий.</w:t>
      </w:r>
    </w:p>
    <w:p w14:paraId="0F9F0528"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[800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Помощно вещество с известен ефект: 2,06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натрий.</w:t>
      </w:r>
    </w:p>
    <w:p w14:paraId="533F105F" w14:textId="77777777" w:rsidR="00D151C7" w:rsidRPr="00D151C7" w:rsidRDefault="00D151C7" w:rsidP="00D151C7"/>
    <w:p w14:paraId="614984C4" w14:textId="3EB33239" w:rsidR="008A6AF2" w:rsidRDefault="00DD466D" w:rsidP="002C50EE">
      <w:pPr>
        <w:pStyle w:val="Heading1"/>
      </w:pPr>
      <w:r>
        <w:t>3. ЛЕКАРСТВЕНА ФОРМА</w:t>
      </w:r>
    </w:p>
    <w:p w14:paraId="7B9A8254" w14:textId="7186D79C" w:rsidR="00D151C7" w:rsidRDefault="00D151C7" w:rsidP="00D151C7"/>
    <w:p w14:paraId="01311A6E"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Таблетка.</w:t>
      </w:r>
    </w:p>
    <w:p w14:paraId="19F60BFC" w14:textId="77777777" w:rsidR="00D151C7" w:rsidRPr="00D151C7" w:rsidRDefault="00D151C7" w:rsidP="00D151C7">
      <w:pPr>
        <w:spacing w:line="240" w:lineRule="auto"/>
        <w:rPr>
          <w:rFonts w:eastAsia="Times New Roman" w:cs="Arial"/>
          <w:color w:val="000000"/>
          <w:lang w:eastAsia="bg-BG"/>
        </w:rPr>
      </w:pPr>
    </w:p>
    <w:p w14:paraId="53CFA57B" w14:textId="5770B5A9"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Еслибон 200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таблетки</w:t>
      </w:r>
    </w:p>
    <w:p w14:paraId="600C5060"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Бели до мръсно бели, елипсовидни и двойно изпъкнали таблетки, с делителна черта от двете страни, с дължина около 11,8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 xml:space="preserve">и дебелина около 3,9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Таблетката може да се раздели на равни дози.</w:t>
      </w:r>
    </w:p>
    <w:p w14:paraId="36C51C94" w14:textId="77777777" w:rsidR="00D151C7" w:rsidRPr="00D151C7" w:rsidRDefault="00D151C7" w:rsidP="00D151C7">
      <w:pPr>
        <w:spacing w:line="240" w:lineRule="auto"/>
        <w:rPr>
          <w:rFonts w:eastAsia="Times New Roman" w:cs="Arial"/>
          <w:color w:val="000000"/>
          <w:lang w:eastAsia="bg-BG"/>
        </w:rPr>
      </w:pPr>
    </w:p>
    <w:p w14:paraId="53745F5F" w14:textId="0F367221"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Еслибон 400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таблетки</w:t>
      </w:r>
    </w:p>
    <w:p w14:paraId="327B99F4"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Бели до мръсно бели, елипсовидни и двойно изпъкнали таблетки, с делителна черта от двете страни, с дължина около 15,0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 xml:space="preserve">и дебелина около 4,9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Таблетката може да се раздели на</w:t>
      </w:r>
    </w:p>
    <w:p w14:paraId="5D0A68B1" w14:textId="42E62345" w:rsidR="00D151C7" w:rsidRPr="00D151C7" w:rsidRDefault="00D151C7" w:rsidP="00D151C7">
      <w:pPr>
        <w:rPr>
          <w:rFonts w:eastAsia="Times New Roman" w:cs="Arial"/>
          <w:color w:val="000000"/>
          <w:lang w:eastAsia="bg-BG"/>
        </w:rPr>
      </w:pPr>
      <w:r w:rsidRPr="00D151C7">
        <w:rPr>
          <w:rFonts w:eastAsia="Times New Roman" w:cs="Arial"/>
          <w:color w:val="000000"/>
          <w:lang w:eastAsia="bg-BG"/>
        </w:rPr>
        <w:t>равни дози.</w:t>
      </w:r>
    </w:p>
    <w:p w14:paraId="11E3EF2D" w14:textId="705B5468" w:rsidR="00D151C7" w:rsidRPr="00D151C7" w:rsidRDefault="00D151C7" w:rsidP="00D151C7">
      <w:pPr>
        <w:rPr>
          <w:rFonts w:eastAsia="Times New Roman" w:cs="Arial"/>
          <w:color w:val="000000"/>
          <w:lang w:eastAsia="bg-BG"/>
        </w:rPr>
      </w:pPr>
    </w:p>
    <w:p w14:paraId="7976C799"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Еслибон 600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таблетки</w:t>
      </w:r>
    </w:p>
    <w:p w14:paraId="5CD42CDF"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lastRenderedPageBreak/>
        <w:t xml:space="preserve">Бели до мръсно бели, елипсовидни и двойно изпъкнали таблетки, с делителна черта от двете страни, с дължина около 17,0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 xml:space="preserve">и дебелина около 5,7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Таблетката може да се раздели на</w:t>
      </w:r>
    </w:p>
    <w:p w14:paraId="0429C621" w14:textId="77777777" w:rsidR="00D151C7" w:rsidRPr="00D151C7" w:rsidRDefault="00D151C7" w:rsidP="00D151C7">
      <w:pPr>
        <w:spacing w:line="240" w:lineRule="auto"/>
        <w:rPr>
          <w:rFonts w:eastAsia="Times New Roman" w:cs="Arial"/>
          <w:color w:val="000000"/>
          <w:lang w:eastAsia="bg-BG"/>
        </w:rPr>
      </w:pPr>
    </w:p>
    <w:p w14:paraId="52CA3D41" w14:textId="1FF48F4A"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Еслибон 800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таблетки</w:t>
      </w:r>
    </w:p>
    <w:p w14:paraId="7AC2096C" w14:textId="3BDE612E"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Бели до мръсно бели, елипсовидни и двойно изпъкнали таблетки, с делителна черта от двете страни, с дължина около 18,9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 xml:space="preserve">и дебелина около 6,1 </w:t>
      </w:r>
      <w:r w:rsidRPr="00D151C7">
        <w:rPr>
          <w:rFonts w:eastAsia="Times New Roman" w:cs="Arial"/>
          <w:color w:val="000000"/>
          <w:lang w:val="en-US"/>
        </w:rPr>
        <w:t>mm</w:t>
      </w:r>
      <w:r w:rsidRPr="00D151C7">
        <w:rPr>
          <w:rFonts w:eastAsia="Times New Roman" w:cs="Arial"/>
          <w:color w:val="000000"/>
          <w:lang w:val="ru-RU"/>
        </w:rPr>
        <w:t xml:space="preserve">. </w:t>
      </w:r>
      <w:r w:rsidRPr="00D151C7">
        <w:rPr>
          <w:rFonts w:eastAsia="Times New Roman" w:cs="Arial"/>
          <w:color w:val="000000"/>
          <w:lang w:eastAsia="bg-BG"/>
        </w:rPr>
        <w:t>Таблетката може да се раздели на равни дози.</w:t>
      </w:r>
    </w:p>
    <w:p w14:paraId="490FC2C4" w14:textId="0F4A4A75" w:rsidR="002C50EE" w:rsidRDefault="002C50EE" w:rsidP="002C50EE">
      <w:pPr>
        <w:pStyle w:val="Heading1"/>
      </w:pPr>
      <w:r>
        <w:t>4. КЛИНИЧНИ ДАННИ</w:t>
      </w:r>
    </w:p>
    <w:p w14:paraId="74330405" w14:textId="5D42FFF8" w:rsidR="007122AD" w:rsidRDefault="002C50EE" w:rsidP="00936AD0">
      <w:pPr>
        <w:pStyle w:val="Heading2"/>
      </w:pPr>
      <w:r>
        <w:t>4.1. Терапевтични показания</w:t>
      </w:r>
    </w:p>
    <w:p w14:paraId="6E62BA43" w14:textId="5C908F21" w:rsidR="00D151C7" w:rsidRDefault="00D151C7" w:rsidP="00D151C7"/>
    <w:p w14:paraId="768FBD3A" w14:textId="77777777" w:rsidR="00D151C7" w:rsidRPr="00D151C7" w:rsidRDefault="00D151C7" w:rsidP="00D151C7">
      <w:pPr>
        <w:rPr>
          <w:sz w:val="24"/>
          <w:szCs w:val="24"/>
        </w:rPr>
      </w:pPr>
      <w:r w:rsidRPr="00D151C7">
        <w:rPr>
          <w:lang w:eastAsia="bg-BG"/>
        </w:rPr>
        <w:t>Еслибон е показан за:</w:t>
      </w:r>
    </w:p>
    <w:p w14:paraId="44830200" w14:textId="77777777" w:rsidR="00D151C7" w:rsidRDefault="00D151C7" w:rsidP="00D151C7">
      <w:pPr>
        <w:pStyle w:val="ListParagraph"/>
        <w:numPr>
          <w:ilvl w:val="0"/>
          <w:numId w:val="37"/>
        </w:numPr>
        <w:rPr>
          <w:lang w:eastAsia="bg-BG"/>
        </w:rPr>
      </w:pPr>
      <w:r w:rsidRPr="00D151C7">
        <w:rPr>
          <w:lang w:eastAsia="bg-BG"/>
        </w:rPr>
        <w:t>монотерапия при лечението на парциални пристъпи със или без вторична генерализация при възрастни пациенти с новодиагностицирана епилепсия;</w:t>
      </w:r>
    </w:p>
    <w:p w14:paraId="61D12AB1" w14:textId="7F2EE137" w:rsidR="00D151C7" w:rsidRPr="00D151C7" w:rsidRDefault="00D151C7" w:rsidP="00D151C7">
      <w:pPr>
        <w:pStyle w:val="ListParagraph"/>
        <w:numPr>
          <w:ilvl w:val="0"/>
          <w:numId w:val="37"/>
        </w:numPr>
        <w:rPr>
          <w:lang w:eastAsia="bg-BG"/>
        </w:rPr>
      </w:pPr>
      <w:r w:rsidRPr="00D151C7">
        <w:rPr>
          <w:lang w:eastAsia="bg-BG"/>
        </w:rPr>
        <w:t>допълваща терапия при възрастни пациенти, юноши и деца над 6 години, с парциални пристъпи, със или без вторична генерализация.</w:t>
      </w:r>
    </w:p>
    <w:p w14:paraId="30CFC952" w14:textId="77777777" w:rsidR="00D151C7" w:rsidRPr="00D151C7" w:rsidRDefault="00D151C7" w:rsidP="00D151C7"/>
    <w:p w14:paraId="53F5B866" w14:textId="70F0A020" w:rsidR="007122AD" w:rsidRDefault="002C50EE" w:rsidP="00936AD0">
      <w:pPr>
        <w:pStyle w:val="Heading2"/>
      </w:pPr>
      <w:r>
        <w:t>4.2. Дозировка и начин на приложение</w:t>
      </w:r>
    </w:p>
    <w:p w14:paraId="5A3BDB91" w14:textId="456331E7" w:rsidR="00D151C7" w:rsidRDefault="00D151C7" w:rsidP="00D151C7"/>
    <w:p w14:paraId="52015106" w14:textId="77777777" w:rsidR="00D151C7" w:rsidRPr="00D151C7" w:rsidRDefault="00D151C7" w:rsidP="00D151C7">
      <w:pPr>
        <w:pStyle w:val="Heading3"/>
        <w:rPr>
          <w:rFonts w:eastAsia="Times New Roman"/>
          <w:u w:val="single"/>
        </w:rPr>
      </w:pPr>
      <w:r w:rsidRPr="00D151C7">
        <w:rPr>
          <w:rFonts w:eastAsia="Times New Roman"/>
          <w:u w:val="single"/>
          <w:lang w:eastAsia="bg-BG"/>
        </w:rPr>
        <w:t>Дозировка</w:t>
      </w:r>
    </w:p>
    <w:p w14:paraId="786F6A79" w14:textId="77777777" w:rsidR="00D151C7" w:rsidRPr="00D151C7" w:rsidRDefault="00D151C7" w:rsidP="00D151C7">
      <w:pPr>
        <w:spacing w:line="240" w:lineRule="auto"/>
        <w:rPr>
          <w:rFonts w:eastAsia="Times New Roman" w:cs="Arial"/>
          <w:i/>
          <w:iCs/>
          <w:color w:val="000000"/>
          <w:lang w:eastAsia="bg-BG"/>
        </w:rPr>
      </w:pPr>
    </w:p>
    <w:p w14:paraId="178E315E" w14:textId="68D96E75"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Възрастни</w:t>
      </w:r>
    </w:p>
    <w:p w14:paraId="4508A2FD"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Еслибон може да се приема като монотерапия или като допълваща вече налична антиепилептична терапия. Препоръчителната начална доза е 400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веднъж дневно, която след една или две седмици трябва да бъде увеличена до 800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веднъж дневно. Въз основа на индивидуалното повлияване дозата може да бъде увеличена на 1 200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веднъж дневно. Някои пациенти, които са на монотерапия, може да се повлияят добре с 1 600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веднъж дневно (вж. точка 5.1).</w:t>
      </w:r>
    </w:p>
    <w:p w14:paraId="79B1FB81" w14:textId="77777777" w:rsidR="00D151C7" w:rsidRPr="00D151C7" w:rsidRDefault="00D151C7" w:rsidP="00D151C7">
      <w:pPr>
        <w:spacing w:line="240" w:lineRule="auto"/>
        <w:rPr>
          <w:rFonts w:eastAsia="Times New Roman" w:cs="Arial"/>
          <w:i/>
          <w:iCs/>
          <w:color w:val="000000"/>
          <w:lang w:eastAsia="bg-BG"/>
        </w:rPr>
      </w:pPr>
    </w:p>
    <w:p w14:paraId="77619474" w14:textId="65549A57"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Специални популации</w:t>
      </w:r>
    </w:p>
    <w:p w14:paraId="7AD26DFC" w14:textId="77777777" w:rsidR="00D151C7" w:rsidRPr="00D151C7" w:rsidRDefault="00D151C7" w:rsidP="00D151C7">
      <w:pPr>
        <w:spacing w:line="240" w:lineRule="auto"/>
        <w:rPr>
          <w:rFonts w:eastAsia="Times New Roman" w:cs="Arial"/>
          <w:i/>
          <w:iCs/>
          <w:color w:val="000000"/>
          <w:lang w:eastAsia="bg-BG"/>
        </w:rPr>
      </w:pPr>
    </w:p>
    <w:p w14:paraId="75893075" w14:textId="3C0A8664"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Старческа възраст (над 65-годишна възраст)</w:t>
      </w:r>
    </w:p>
    <w:p w14:paraId="2B14DE55"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При популацията в старческа възраст не се налага коригиране на дозата, ако няма нарушение в бъбречната функция.</w:t>
      </w:r>
    </w:p>
    <w:p w14:paraId="5AA23706"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Поради много ограничените данни за прилагане на доза 1600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при монотерапия в старческа възраст, не се препоръчва прилагането на такава доза за тази популация.</w:t>
      </w:r>
    </w:p>
    <w:p w14:paraId="225CA227" w14:textId="77777777" w:rsidR="00D151C7" w:rsidRPr="00D151C7" w:rsidRDefault="00D151C7" w:rsidP="00D151C7">
      <w:pPr>
        <w:spacing w:line="240" w:lineRule="auto"/>
        <w:rPr>
          <w:rFonts w:eastAsia="Times New Roman" w:cs="Arial"/>
          <w:i/>
          <w:iCs/>
          <w:color w:val="000000"/>
          <w:lang w:eastAsia="bg-BG"/>
        </w:rPr>
      </w:pPr>
    </w:p>
    <w:p w14:paraId="1C25BA59" w14:textId="75D25D92"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Бъбречно увреждане</w:t>
      </w:r>
    </w:p>
    <w:p w14:paraId="64ABB1BD"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Към лечението на пациенти, възрастни и деца на възраст над 6 години, с бъбречно увреждане трябва да се подхожда с повишено внимание и дозата трябва да се коригира, в съответствие креатининовия клирънс </w:t>
      </w:r>
      <w:r w:rsidRPr="00D151C7">
        <w:rPr>
          <w:rFonts w:eastAsia="Times New Roman" w:cs="Arial"/>
          <w:color w:val="000000"/>
          <w:lang w:val="ru-RU"/>
        </w:rPr>
        <w:t>(</w:t>
      </w:r>
      <w:r w:rsidRPr="00D151C7">
        <w:rPr>
          <w:rFonts w:eastAsia="Times New Roman" w:cs="Arial"/>
          <w:color w:val="000000"/>
          <w:lang w:val="en-US"/>
        </w:rPr>
        <w:t>CLCR</w:t>
      </w:r>
      <w:r w:rsidRPr="00D151C7">
        <w:rPr>
          <w:rFonts w:eastAsia="Times New Roman" w:cs="Arial"/>
          <w:color w:val="000000"/>
          <w:lang w:val="ru-RU"/>
        </w:rPr>
        <w:t xml:space="preserve">) </w:t>
      </w:r>
      <w:r w:rsidRPr="00D151C7">
        <w:rPr>
          <w:rFonts w:eastAsia="Times New Roman" w:cs="Arial"/>
          <w:color w:val="000000"/>
          <w:lang w:eastAsia="bg-BG"/>
        </w:rPr>
        <w:t>както следва:</w:t>
      </w:r>
    </w:p>
    <w:p w14:paraId="5D080756" w14:textId="77777777" w:rsidR="00D151C7" w:rsidRPr="00D151C7" w:rsidRDefault="00D151C7" w:rsidP="00D151C7">
      <w:pPr>
        <w:pStyle w:val="ListParagraph"/>
        <w:numPr>
          <w:ilvl w:val="0"/>
          <w:numId w:val="37"/>
        </w:numPr>
        <w:spacing w:line="240" w:lineRule="auto"/>
        <w:rPr>
          <w:rFonts w:eastAsia="Times New Roman" w:cs="Arial"/>
        </w:rPr>
      </w:pPr>
      <w:r w:rsidRPr="00D151C7">
        <w:rPr>
          <w:rFonts w:eastAsia="Times New Roman" w:cs="Arial"/>
          <w:color w:val="000000"/>
          <w:lang w:val="en-US"/>
        </w:rPr>
        <w:t>CLCR</w:t>
      </w:r>
      <w:r w:rsidRPr="00D151C7">
        <w:rPr>
          <w:rFonts w:eastAsia="Times New Roman" w:cs="Arial"/>
          <w:color w:val="000000"/>
          <w:lang w:val="ru-RU"/>
        </w:rPr>
        <w:t xml:space="preserve"> </w:t>
      </w:r>
      <w:r w:rsidRPr="00D151C7">
        <w:rPr>
          <w:rFonts w:eastAsia="Times New Roman" w:cs="Arial"/>
          <w:color w:val="000000"/>
          <w:lang w:eastAsia="bg-BG"/>
        </w:rPr>
        <w:t xml:space="preserve">&gt;60 </w:t>
      </w:r>
      <w:r w:rsidRPr="00D151C7">
        <w:rPr>
          <w:rFonts w:eastAsia="Times New Roman" w:cs="Arial"/>
          <w:color w:val="000000"/>
          <w:lang w:val="en-US"/>
        </w:rPr>
        <w:t>ml</w:t>
      </w:r>
      <w:r w:rsidRPr="00D151C7">
        <w:rPr>
          <w:rFonts w:eastAsia="Times New Roman" w:cs="Arial"/>
          <w:color w:val="000000"/>
          <w:lang w:val="ru-RU"/>
        </w:rPr>
        <w:t>/</w:t>
      </w:r>
      <w:r w:rsidRPr="00D151C7">
        <w:rPr>
          <w:rFonts w:eastAsia="Times New Roman" w:cs="Arial"/>
          <w:color w:val="000000"/>
          <w:lang w:val="en-US"/>
        </w:rPr>
        <w:t>min</w:t>
      </w:r>
      <w:r w:rsidRPr="00D151C7">
        <w:rPr>
          <w:rFonts w:eastAsia="Times New Roman" w:cs="Arial"/>
          <w:color w:val="000000"/>
          <w:lang w:val="ru-RU"/>
        </w:rPr>
        <w:t xml:space="preserve">: </w:t>
      </w:r>
      <w:r w:rsidRPr="00D151C7">
        <w:rPr>
          <w:rFonts w:eastAsia="Times New Roman" w:cs="Arial"/>
          <w:color w:val="000000"/>
          <w:lang w:eastAsia="bg-BG"/>
        </w:rPr>
        <w:t>не се изисква коригиране на дозата.</w:t>
      </w:r>
    </w:p>
    <w:p w14:paraId="3D9AE8F2" w14:textId="77777777" w:rsidR="00D151C7" w:rsidRPr="00D151C7" w:rsidRDefault="00D151C7" w:rsidP="00D151C7">
      <w:pPr>
        <w:pStyle w:val="ListParagraph"/>
        <w:numPr>
          <w:ilvl w:val="0"/>
          <w:numId w:val="37"/>
        </w:numPr>
        <w:spacing w:line="240" w:lineRule="auto"/>
        <w:rPr>
          <w:rFonts w:eastAsia="Times New Roman" w:cs="Arial"/>
        </w:rPr>
      </w:pPr>
      <w:proofErr w:type="gramStart"/>
      <w:r w:rsidRPr="00D151C7">
        <w:rPr>
          <w:rFonts w:eastAsia="Times New Roman" w:cs="Arial"/>
          <w:color w:val="000000"/>
          <w:lang w:val="en-US"/>
        </w:rPr>
        <w:t>CLCR</w:t>
      </w:r>
      <w:r w:rsidRPr="00D151C7">
        <w:rPr>
          <w:rFonts w:eastAsia="Times New Roman" w:cs="Arial"/>
          <w:color w:val="000000"/>
          <w:lang w:val="ru-RU"/>
        </w:rPr>
        <w:t xml:space="preserve"> </w:t>
      </w:r>
      <w:r w:rsidRPr="00D151C7">
        <w:rPr>
          <w:rFonts w:eastAsia="Times New Roman" w:cs="Arial"/>
          <w:color w:val="000000"/>
          <w:lang w:eastAsia="bg-BG"/>
        </w:rPr>
        <w:t xml:space="preserve">30-60 </w:t>
      </w:r>
      <w:r w:rsidRPr="00D151C7">
        <w:rPr>
          <w:rFonts w:eastAsia="Times New Roman" w:cs="Arial"/>
          <w:color w:val="000000"/>
          <w:lang w:val="en-US"/>
        </w:rPr>
        <w:t>ml</w:t>
      </w:r>
      <w:r w:rsidRPr="00D151C7">
        <w:rPr>
          <w:rFonts w:eastAsia="Times New Roman" w:cs="Arial"/>
          <w:color w:val="000000"/>
          <w:lang w:val="ru-RU"/>
        </w:rPr>
        <w:t>/</w:t>
      </w:r>
      <w:r w:rsidRPr="00D151C7">
        <w:rPr>
          <w:rFonts w:eastAsia="Times New Roman" w:cs="Arial"/>
          <w:color w:val="000000"/>
          <w:lang w:val="en-US"/>
        </w:rPr>
        <w:t>min</w:t>
      </w:r>
      <w:r w:rsidRPr="00D151C7">
        <w:rPr>
          <w:rFonts w:eastAsia="Times New Roman" w:cs="Arial"/>
          <w:color w:val="000000"/>
          <w:lang w:val="ru-RU"/>
        </w:rPr>
        <w:t xml:space="preserve">: </w:t>
      </w:r>
      <w:r w:rsidRPr="00D151C7">
        <w:rPr>
          <w:rFonts w:eastAsia="Times New Roman" w:cs="Arial"/>
          <w:color w:val="000000"/>
          <w:lang w:eastAsia="bg-BG"/>
        </w:rPr>
        <w:t xml:space="preserve">първоначална доза от 200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(или 5 </w:t>
      </w:r>
      <w:r w:rsidRPr="00D151C7">
        <w:rPr>
          <w:rFonts w:eastAsia="Times New Roman" w:cs="Arial"/>
          <w:color w:val="000000"/>
          <w:lang w:val="en-US"/>
        </w:rPr>
        <w:t>mg</w:t>
      </w:r>
      <w:r w:rsidRPr="00D151C7">
        <w:rPr>
          <w:rFonts w:eastAsia="Times New Roman" w:cs="Arial"/>
          <w:color w:val="000000"/>
          <w:lang w:val="ru-RU"/>
        </w:rPr>
        <w:t>/</w:t>
      </w:r>
      <w:r w:rsidRPr="00D151C7">
        <w:rPr>
          <w:rFonts w:eastAsia="Times New Roman" w:cs="Arial"/>
          <w:color w:val="000000"/>
          <w:lang w:val="en-US"/>
        </w:rPr>
        <w:t>kg</w:t>
      </w:r>
      <w:r w:rsidRPr="00D151C7">
        <w:rPr>
          <w:rFonts w:eastAsia="Times New Roman" w:cs="Arial"/>
          <w:color w:val="000000"/>
          <w:lang w:val="ru-RU"/>
        </w:rPr>
        <w:t xml:space="preserve"> </w:t>
      </w:r>
      <w:r w:rsidRPr="00D151C7">
        <w:rPr>
          <w:rFonts w:eastAsia="Times New Roman" w:cs="Arial"/>
          <w:color w:val="000000"/>
          <w:lang w:eastAsia="bg-BG"/>
        </w:rPr>
        <w:t xml:space="preserve">при деца на възраст над 6 години) веднъж дневно или 400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(или 10 </w:t>
      </w:r>
      <w:r w:rsidRPr="00D151C7">
        <w:rPr>
          <w:rFonts w:eastAsia="Times New Roman" w:cs="Arial"/>
          <w:color w:val="000000"/>
          <w:lang w:val="en-US"/>
        </w:rPr>
        <w:t>mg</w:t>
      </w:r>
      <w:r w:rsidRPr="00D151C7">
        <w:rPr>
          <w:rFonts w:eastAsia="Times New Roman" w:cs="Arial"/>
          <w:color w:val="000000"/>
          <w:lang w:val="ru-RU"/>
        </w:rPr>
        <w:t>/</w:t>
      </w:r>
      <w:r w:rsidRPr="00D151C7">
        <w:rPr>
          <w:rFonts w:eastAsia="Times New Roman" w:cs="Arial"/>
          <w:color w:val="000000"/>
          <w:lang w:val="en-US"/>
        </w:rPr>
        <w:t>kg</w:t>
      </w:r>
      <w:r w:rsidRPr="00D151C7">
        <w:rPr>
          <w:rFonts w:eastAsia="Times New Roman" w:cs="Arial"/>
          <w:color w:val="000000"/>
          <w:lang w:val="ru-RU"/>
        </w:rPr>
        <w:t xml:space="preserve"> </w:t>
      </w:r>
      <w:r w:rsidRPr="00D151C7">
        <w:rPr>
          <w:rFonts w:eastAsia="Times New Roman" w:cs="Arial"/>
          <w:color w:val="000000"/>
          <w:lang w:eastAsia="bg-BG"/>
        </w:rPr>
        <w:t xml:space="preserve">при деца на възраст над 6 години) през ден в продължение на 2 седмици, последвана от доза от 400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 xml:space="preserve">(или 10 </w:t>
      </w:r>
      <w:r w:rsidRPr="00D151C7">
        <w:rPr>
          <w:rFonts w:eastAsia="Times New Roman" w:cs="Arial"/>
          <w:color w:val="000000"/>
          <w:lang w:val="en-US"/>
        </w:rPr>
        <w:t>mg</w:t>
      </w:r>
      <w:r w:rsidRPr="00D151C7">
        <w:rPr>
          <w:rFonts w:eastAsia="Times New Roman" w:cs="Arial"/>
          <w:color w:val="000000"/>
          <w:lang w:val="ru-RU"/>
        </w:rPr>
        <w:t>/</w:t>
      </w:r>
      <w:r w:rsidRPr="00D151C7">
        <w:rPr>
          <w:rFonts w:eastAsia="Times New Roman" w:cs="Arial"/>
          <w:color w:val="000000"/>
          <w:lang w:val="en-US"/>
        </w:rPr>
        <w:t>kg</w:t>
      </w:r>
      <w:r w:rsidRPr="00D151C7">
        <w:rPr>
          <w:rFonts w:eastAsia="Times New Roman" w:cs="Arial"/>
          <w:color w:val="000000"/>
          <w:lang w:val="ru-RU"/>
        </w:rPr>
        <w:t xml:space="preserve"> </w:t>
      </w:r>
      <w:r w:rsidRPr="00D151C7">
        <w:rPr>
          <w:rFonts w:eastAsia="Times New Roman" w:cs="Arial"/>
          <w:color w:val="000000"/>
          <w:lang w:eastAsia="bg-BG"/>
        </w:rPr>
        <w:t>при</w:t>
      </w:r>
      <w:r w:rsidRPr="00D151C7">
        <w:rPr>
          <w:rFonts w:eastAsia="Times New Roman" w:cs="Arial"/>
          <w:color w:val="000000"/>
          <w:lang w:val="ru-RU" w:eastAsia="bg-BG"/>
        </w:rPr>
        <w:t xml:space="preserve"> </w:t>
      </w:r>
      <w:r w:rsidRPr="00D151C7">
        <w:rPr>
          <w:rFonts w:eastAsia="Times New Roman" w:cs="Arial"/>
          <w:color w:val="000000"/>
          <w:lang w:eastAsia="bg-BG"/>
        </w:rPr>
        <w:t>деца на възраст над 6 години) веднъж дневно.</w:t>
      </w:r>
      <w:proofErr w:type="gramEnd"/>
      <w:r w:rsidRPr="00D151C7">
        <w:rPr>
          <w:rFonts w:eastAsia="Times New Roman" w:cs="Arial"/>
          <w:color w:val="000000"/>
          <w:lang w:eastAsia="bg-BG"/>
        </w:rPr>
        <w:t xml:space="preserve"> Въз основа на индивидуалното повлияване обаче, дозата може да бъде повишена.</w:t>
      </w:r>
    </w:p>
    <w:p w14:paraId="06DFA541" w14:textId="5B7549BE" w:rsidR="00D151C7" w:rsidRPr="00D151C7" w:rsidRDefault="00D151C7" w:rsidP="00D151C7">
      <w:pPr>
        <w:pStyle w:val="ListParagraph"/>
        <w:numPr>
          <w:ilvl w:val="0"/>
          <w:numId w:val="37"/>
        </w:numPr>
        <w:spacing w:line="240" w:lineRule="auto"/>
        <w:rPr>
          <w:rFonts w:eastAsia="Times New Roman" w:cs="Arial"/>
        </w:rPr>
      </w:pPr>
      <w:r w:rsidRPr="00D151C7">
        <w:rPr>
          <w:rFonts w:eastAsia="Times New Roman" w:cs="Arial"/>
          <w:color w:val="000000"/>
          <w:lang w:val="en-US"/>
        </w:rPr>
        <w:lastRenderedPageBreak/>
        <w:t>CLCR</w:t>
      </w:r>
      <w:r w:rsidRPr="00D151C7">
        <w:rPr>
          <w:rFonts w:eastAsia="Times New Roman" w:cs="Arial"/>
          <w:color w:val="000000"/>
          <w:lang w:val="ru-RU"/>
        </w:rPr>
        <w:t xml:space="preserve"> </w:t>
      </w:r>
      <w:r w:rsidRPr="00D151C7">
        <w:rPr>
          <w:rFonts w:eastAsia="Times New Roman" w:cs="Arial"/>
          <w:color w:val="000000"/>
          <w:lang w:eastAsia="bg-BG"/>
        </w:rPr>
        <w:t xml:space="preserve">&lt;30 </w:t>
      </w:r>
      <w:r w:rsidRPr="00D151C7">
        <w:rPr>
          <w:rFonts w:eastAsia="Times New Roman" w:cs="Arial"/>
          <w:color w:val="000000"/>
          <w:lang w:val="en-US"/>
        </w:rPr>
        <w:t>ml</w:t>
      </w:r>
      <w:r w:rsidRPr="00D151C7">
        <w:rPr>
          <w:rFonts w:eastAsia="Times New Roman" w:cs="Arial"/>
          <w:color w:val="000000"/>
          <w:lang w:val="ru-RU"/>
        </w:rPr>
        <w:t>/</w:t>
      </w:r>
      <w:r w:rsidRPr="00D151C7">
        <w:rPr>
          <w:rFonts w:eastAsia="Times New Roman" w:cs="Arial"/>
          <w:color w:val="000000"/>
          <w:lang w:val="en-US"/>
        </w:rPr>
        <w:t>min</w:t>
      </w:r>
      <w:r w:rsidRPr="00D151C7">
        <w:rPr>
          <w:rFonts w:eastAsia="Times New Roman" w:cs="Arial"/>
          <w:color w:val="000000"/>
          <w:lang w:val="ru-RU"/>
        </w:rPr>
        <w:t xml:space="preserve">: </w:t>
      </w:r>
      <w:r w:rsidRPr="00D151C7">
        <w:rPr>
          <w:rFonts w:eastAsia="Times New Roman" w:cs="Arial"/>
          <w:color w:val="000000"/>
          <w:lang w:eastAsia="bg-BG"/>
        </w:rPr>
        <w:t>употребата при пациенти с тежко бъбречно увреждане не се препоръчва поради недостатъчни данни.</w:t>
      </w:r>
    </w:p>
    <w:p w14:paraId="1B5F8178" w14:textId="77777777" w:rsidR="00D151C7" w:rsidRPr="00D151C7" w:rsidRDefault="00D151C7" w:rsidP="00D151C7">
      <w:pPr>
        <w:spacing w:line="240" w:lineRule="auto"/>
        <w:rPr>
          <w:rFonts w:eastAsia="Times New Roman" w:cs="Arial"/>
          <w:i/>
          <w:iCs/>
          <w:color w:val="000000"/>
          <w:lang w:eastAsia="bg-BG"/>
        </w:rPr>
      </w:pPr>
    </w:p>
    <w:p w14:paraId="4CD3525B" w14:textId="7AE76D78"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Чернодробно увреждане</w:t>
      </w:r>
    </w:p>
    <w:p w14:paraId="41FB2520" w14:textId="77777777" w:rsidR="00D151C7" w:rsidRPr="00D151C7" w:rsidRDefault="00D151C7" w:rsidP="00D151C7">
      <w:pPr>
        <w:spacing w:line="240" w:lineRule="auto"/>
        <w:rPr>
          <w:rFonts w:eastAsia="Times New Roman" w:cs="Arial"/>
          <w:color w:val="000000"/>
          <w:lang w:eastAsia="bg-BG"/>
        </w:rPr>
      </w:pPr>
      <w:r w:rsidRPr="00D151C7">
        <w:rPr>
          <w:rFonts w:eastAsia="Times New Roman" w:cs="Arial"/>
          <w:color w:val="000000"/>
          <w:lang w:eastAsia="bg-BG"/>
        </w:rPr>
        <w:t xml:space="preserve">Не се налага коригиране на дозата при пациенти с леко до умерено чернодробно увреждане. Фармакокинетиката на есликарбазепинов ацетат при пациенти с тежко чернодробно увреждане не е </w:t>
      </w:r>
    </w:p>
    <w:p w14:paraId="620B392F" w14:textId="39F68939" w:rsidR="00D151C7" w:rsidRPr="00D151C7" w:rsidRDefault="00D151C7" w:rsidP="00D151C7">
      <w:pPr>
        <w:spacing w:line="240" w:lineRule="auto"/>
        <w:rPr>
          <w:rFonts w:eastAsia="Times New Roman" w:cs="Arial"/>
        </w:rPr>
      </w:pPr>
      <w:r w:rsidRPr="00D151C7">
        <w:rPr>
          <w:rFonts w:eastAsia="Times New Roman" w:cs="Arial"/>
          <w:color w:val="000000"/>
          <w:lang w:eastAsia="bg-BG"/>
        </w:rPr>
        <w:t>оценявана (вж. точки 4.4 и 5.2) и затова употребата при такива пациенти не се препоръчва.</w:t>
      </w:r>
    </w:p>
    <w:p w14:paraId="62EE203F" w14:textId="77777777" w:rsidR="00D151C7" w:rsidRPr="00D151C7" w:rsidRDefault="00D151C7" w:rsidP="00D151C7">
      <w:pPr>
        <w:spacing w:line="240" w:lineRule="auto"/>
        <w:rPr>
          <w:rFonts w:eastAsia="Times New Roman" w:cs="Arial"/>
          <w:i/>
          <w:iCs/>
          <w:color w:val="000000"/>
          <w:lang w:eastAsia="bg-BG"/>
        </w:rPr>
      </w:pPr>
    </w:p>
    <w:p w14:paraId="639DAEE4" w14:textId="5ACC1929"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Педиатрична популация</w:t>
      </w:r>
    </w:p>
    <w:p w14:paraId="1C86EB3A" w14:textId="77777777" w:rsidR="00D151C7" w:rsidRPr="00D151C7" w:rsidRDefault="00D151C7" w:rsidP="00D151C7">
      <w:pPr>
        <w:spacing w:line="240" w:lineRule="auto"/>
        <w:rPr>
          <w:rFonts w:eastAsia="Times New Roman" w:cs="Arial"/>
          <w:i/>
          <w:iCs/>
          <w:color w:val="000000"/>
          <w:lang w:eastAsia="bg-BG"/>
        </w:rPr>
      </w:pPr>
    </w:p>
    <w:p w14:paraId="334B5378" w14:textId="6457EF5F"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Деца над 6-годишна възраст</w:t>
      </w:r>
    </w:p>
    <w:p w14:paraId="6BCDF8FC"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Препоръчителната начална доза е 10 </w:t>
      </w:r>
      <w:r w:rsidRPr="00D151C7">
        <w:rPr>
          <w:rFonts w:eastAsia="Times New Roman" w:cs="Arial"/>
          <w:color w:val="000000"/>
          <w:lang w:val="en-US"/>
        </w:rPr>
        <w:t>mg</w:t>
      </w:r>
      <w:r w:rsidRPr="00D151C7">
        <w:rPr>
          <w:rFonts w:eastAsia="Times New Roman" w:cs="Arial"/>
          <w:color w:val="000000"/>
          <w:lang w:val="ru-RU"/>
        </w:rPr>
        <w:t>/</w:t>
      </w:r>
      <w:r w:rsidRPr="00D151C7">
        <w:rPr>
          <w:rFonts w:eastAsia="Times New Roman" w:cs="Arial"/>
          <w:color w:val="000000"/>
          <w:lang w:val="en-US"/>
        </w:rPr>
        <w:t>kg</w:t>
      </w:r>
      <w:r w:rsidRPr="00D151C7">
        <w:rPr>
          <w:rFonts w:eastAsia="Times New Roman" w:cs="Arial"/>
          <w:color w:val="000000"/>
          <w:lang w:eastAsia="bg-BG"/>
        </w:rPr>
        <w:t xml:space="preserve">/ден, веднъж дневно. Дозата трябва да се увеличи на седмични или двуседмични стъпки от 10 </w:t>
      </w:r>
      <w:r w:rsidRPr="00D151C7">
        <w:rPr>
          <w:rFonts w:eastAsia="Times New Roman" w:cs="Arial"/>
          <w:color w:val="000000"/>
          <w:lang w:val="en-US"/>
        </w:rPr>
        <w:t>mg</w:t>
      </w:r>
      <w:r w:rsidRPr="00D151C7">
        <w:rPr>
          <w:rFonts w:eastAsia="Times New Roman" w:cs="Arial"/>
          <w:color w:val="000000"/>
          <w:lang w:val="ru-RU"/>
        </w:rPr>
        <w:t>/</w:t>
      </w:r>
      <w:r w:rsidRPr="00D151C7">
        <w:rPr>
          <w:rFonts w:eastAsia="Times New Roman" w:cs="Arial"/>
          <w:color w:val="000000"/>
          <w:lang w:val="en-US"/>
        </w:rPr>
        <w:t>kg</w:t>
      </w:r>
      <w:r w:rsidRPr="00D151C7">
        <w:rPr>
          <w:rFonts w:eastAsia="Times New Roman" w:cs="Arial"/>
          <w:color w:val="000000"/>
          <w:lang w:eastAsia="bg-BG"/>
        </w:rPr>
        <w:t xml:space="preserve">/ден до 30 </w:t>
      </w:r>
      <w:r w:rsidRPr="00D151C7">
        <w:rPr>
          <w:rFonts w:eastAsia="Times New Roman" w:cs="Arial"/>
          <w:color w:val="000000"/>
          <w:lang w:val="en-US"/>
        </w:rPr>
        <w:t>mg</w:t>
      </w:r>
      <w:r w:rsidRPr="00D151C7">
        <w:rPr>
          <w:rFonts w:eastAsia="Times New Roman" w:cs="Arial"/>
          <w:color w:val="000000"/>
          <w:lang w:val="ru-RU"/>
        </w:rPr>
        <w:t>/</w:t>
      </w:r>
      <w:r w:rsidRPr="00D151C7">
        <w:rPr>
          <w:rFonts w:eastAsia="Times New Roman" w:cs="Arial"/>
          <w:color w:val="000000"/>
          <w:lang w:val="en-US"/>
        </w:rPr>
        <w:t>kg</w:t>
      </w:r>
      <w:r w:rsidRPr="00D151C7">
        <w:rPr>
          <w:rFonts w:eastAsia="Times New Roman" w:cs="Arial"/>
          <w:color w:val="000000"/>
          <w:lang w:eastAsia="bg-BG"/>
        </w:rPr>
        <w:t xml:space="preserve">/ден въз основа на индивидуалния отговор. Максималната доза е 1 200 </w:t>
      </w:r>
      <w:r w:rsidRPr="00D151C7">
        <w:rPr>
          <w:rFonts w:eastAsia="Times New Roman" w:cs="Arial"/>
          <w:color w:val="000000"/>
          <w:lang w:val="en-US"/>
        </w:rPr>
        <w:t>mg</w:t>
      </w:r>
      <w:r w:rsidRPr="00D151C7">
        <w:rPr>
          <w:rFonts w:eastAsia="Times New Roman" w:cs="Arial"/>
          <w:color w:val="000000"/>
          <w:lang w:val="ru-RU"/>
        </w:rPr>
        <w:t xml:space="preserve"> </w:t>
      </w:r>
      <w:r w:rsidRPr="00D151C7">
        <w:rPr>
          <w:rFonts w:eastAsia="Times New Roman" w:cs="Arial"/>
          <w:color w:val="000000"/>
          <w:lang w:eastAsia="bg-BG"/>
        </w:rPr>
        <w:t>веднъж дневно (вж. точка 5.1).</w:t>
      </w:r>
    </w:p>
    <w:p w14:paraId="770F8DCD" w14:textId="77777777" w:rsidR="00D151C7" w:rsidRPr="00D151C7" w:rsidRDefault="00D151C7" w:rsidP="00D151C7">
      <w:pPr>
        <w:spacing w:line="240" w:lineRule="auto"/>
        <w:rPr>
          <w:rFonts w:eastAsia="Times New Roman" w:cs="Arial"/>
          <w:i/>
          <w:iCs/>
          <w:color w:val="000000"/>
          <w:lang w:eastAsia="bg-BG"/>
        </w:rPr>
      </w:pPr>
    </w:p>
    <w:p w14:paraId="57D5C5F2" w14:textId="7EFAD021"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 xml:space="preserve">Деца с телесно тегло ≥60 </w:t>
      </w:r>
      <w:r w:rsidRPr="00D151C7">
        <w:rPr>
          <w:rFonts w:eastAsia="Times New Roman" w:cs="Arial"/>
          <w:i/>
          <w:iCs/>
          <w:color w:val="000000"/>
          <w:lang w:val="en-US"/>
        </w:rPr>
        <w:t>kg</w:t>
      </w:r>
    </w:p>
    <w:p w14:paraId="3F17AC0E"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На деца с телесно тегло 60 </w:t>
      </w:r>
      <w:r w:rsidRPr="00D151C7">
        <w:rPr>
          <w:rFonts w:eastAsia="Times New Roman" w:cs="Arial"/>
          <w:color w:val="000000"/>
          <w:lang w:val="en-US"/>
        </w:rPr>
        <w:t>kg</w:t>
      </w:r>
      <w:r w:rsidRPr="00D151C7">
        <w:rPr>
          <w:rFonts w:eastAsia="Times New Roman" w:cs="Arial"/>
          <w:color w:val="000000"/>
          <w:lang w:val="ru-RU"/>
        </w:rPr>
        <w:t xml:space="preserve"> </w:t>
      </w:r>
      <w:r w:rsidRPr="00D151C7">
        <w:rPr>
          <w:rFonts w:eastAsia="Times New Roman" w:cs="Arial"/>
          <w:color w:val="000000"/>
          <w:lang w:eastAsia="bg-BG"/>
        </w:rPr>
        <w:t>или повече трябва да се дава същата доза, както при възрастните. Безопасността и ефикасността на есликарбазепинов ацетат при деца на възраст 6 и по-малко години все още не е установена. Наличните понастоящем данни са описани в точки 4.8, 5.1 и 5.2, но препоръки за дозировка не може да бъдат дадени.</w:t>
      </w:r>
    </w:p>
    <w:p w14:paraId="2056CF38" w14:textId="77777777" w:rsidR="00D151C7" w:rsidRPr="00D151C7" w:rsidRDefault="00D151C7" w:rsidP="00D151C7">
      <w:pPr>
        <w:spacing w:line="240" w:lineRule="auto"/>
        <w:rPr>
          <w:rFonts w:eastAsia="Times New Roman" w:cs="Arial"/>
          <w:color w:val="000000"/>
          <w:u w:val="single"/>
          <w:lang w:eastAsia="bg-BG"/>
        </w:rPr>
      </w:pPr>
    </w:p>
    <w:p w14:paraId="0A307872" w14:textId="2ABFEF94" w:rsidR="00D151C7" w:rsidRPr="00D151C7" w:rsidRDefault="00D151C7" w:rsidP="00D151C7">
      <w:pPr>
        <w:pStyle w:val="Heading3"/>
        <w:rPr>
          <w:rFonts w:eastAsia="Times New Roman"/>
          <w:u w:val="single"/>
        </w:rPr>
      </w:pPr>
      <w:r w:rsidRPr="00D151C7">
        <w:rPr>
          <w:rFonts w:eastAsia="Times New Roman"/>
          <w:u w:val="single"/>
          <w:lang w:eastAsia="bg-BG"/>
        </w:rPr>
        <w:t>Начин на приложение</w:t>
      </w:r>
    </w:p>
    <w:p w14:paraId="32914428" w14:textId="77777777" w:rsidR="00D151C7" w:rsidRPr="00D151C7" w:rsidRDefault="00D151C7" w:rsidP="00D151C7">
      <w:pPr>
        <w:spacing w:line="240" w:lineRule="auto"/>
        <w:rPr>
          <w:rFonts w:eastAsia="Times New Roman" w:cs="Arial"/>
          <w:color w:val="000000"/>
          <w:lang w:eastAsia="bg-BG"/>
        </w:rPr>
      </w:pPr>
    </w:p>
    <w:p w14:paraId="00895B59" w14:textId="4F19F9CE" w:rsidR="00D151C7" w:rsidRPr="00D151C7" w:rsidRDefault="00D151C7" w:rsidP="00D151C7">
      <w:pPr>
        <w:spacing w:line="240" w:lineRule="auto"/>
        <w:rPr>
          <w:rFonts w:eastAsia="Times New Roman" w:cs="Arial"/>
        </w:rPr>
      </w:pPr>
      <w:r w:rsidRPr="00D151C7">
        <w:rPr>
          <w:rFonts w:eastAsia="Times New Roman" w:cs="Arial"/>
          <w:color w:val="000000"/>
          <w:lang w:eastAsia="bg-BG"/>
        </w:rPr>
        <w:t>Перорално приложение.</w:t>
      </w:r>
    </w:p>
    <w:p w14:paraId="30822612"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Еслибон може да се приема със или без храна.</w:t>
      </w:r>
    </w:p>
    <w:p w14:paraId="0040C032" w14:textId="77777777" w:rsidR="00D151C7" w:rsidRPr="00D151C7" w:rsidRDefault="00D151C7" w:rsidP="00D151C7">
      <w:pPr>
        <w:spacing w:line="240" w:lineRule="auto"/>
        <w:rPr>
          <w:rFonts w:eastAsia="Times New Roman" w:cs="Arial"/>
          <w:i/>
          <w:iCs/>
          <w:color w:val="000000"/>
          <w:lang w:eastAsia="bg-BG"/>
        </w:rPr>
      </w:pPr>
    </w:p>
    <w:p w14:paraId="0BFB57FC" w14:textId="3D5851A3"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Преминаване от една лекарствена форма на друга</w:t>
      </w:r>
    </w:p>
    <w:p w14:paraId="446B1C8D"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Тъй като липсват сравнителни данни за бионаличността на таблетката и суспензията, преминаването на пациентите от една лекарствена форма на друга трябва да се извършва с повишено внимание.</w:t>
      </w:r>
    </w:p>
    <w:p w14:paraId="22CAC979" w14:textId="77777777" w:rsidR="00D151C7" w:rsidRPr="00D151C7" w:rsidRDefault="00D151C7" w:rsidP="00D151C7">
      <w:pPr>
        <w:spacing w:line="240" w:lineRule="auto"/>
        <w:rPr>
          <w:rFonts w:ascii="Times New Roman" w:eastAsia="Times New Roman" w:hAnsi="Times New Roman" w:cs="Times New Roman"/>
          <w:sz w:val="24"/>
          <w:szCs w:val="24"/>
        </w:rPr>
      </w:pPr>
    </w:p>
    <w:p w14:paraId="0F253247" w14:textId="1286AFD2" w:rsidR="007122AD" w:rsidRDefault="002C50EE" w:rsidP="00936AD0">
      <w:pPr>
        <w:pStyle w:val="Heading2"/>
      </w:pPr>
      <w:r>
        <w:t>4.3. Противопоказания</w:t>
      </w:r>
    </w:p>
    <w:p w14:paraId="5413BD91" w14:textId="145C38F2" w:rsidR="00D151C7" w:rsidRDefault="00D151C7" w:rsidP="00D151C7"/>
    <w:p w14:paraId="4172DA14" w14:textId="77777777" w:rsidR="00D151C7" w:rsidRPr="00D151C7" w:rsidRDefault="00D151C7" w:rsidP="00D151C7">
      <w:pPr>
        <w:rPr>
          <w:sz w:val="24"/>
          <w:szCs w:val="24"/>
        </w:rPr>
      </w:pPr>
      <w:r w:rsidRPr="00D151C7">
        <w:rPr>
          <w:lang w:eastAsia="bg-BG"/>
        </w:rPr>
        <w:t>Свръхчувствителност към активното вещество, към други карбоксамидни производни (напр. карбамазепин, окскарбазепин) или към някое от помощните вещества, изброени в точка 6.1.</w:t>
      </w:r>
    </w:p>
    <w:p w14:paraId="3CDE501B" w14:textId="77777777" w:rsidR="00D151C7" w:rsidRDefault="00D151C7" w:rsidP="00D151C7">
      <w:pPr>
        <w:rPr>
          <w:lang w:eastAsia="bg-BG"/>
        </w:rPr>
      </w:pPr>
    </w:p>
    <w:p w14:paraId="6E2518E4" w14:textId="2038C4B0" w:rsidR="00D151C7" w:rsidRPr="00D151C7" w:rsidRDefault="00D151C7" w:rsidP="00D151C7">
      <w:pPr>
        <w:rPr>
          <w:sz w:val="24"/>
          <w:szCs w:val="24"/>
        </w:rPr>
      </w:pPr>
      <w:r w:rsidRPr="00D151C7">
        <w:rPr>
          <w:lang w:eastAsia="bg-BG"/>
        </w:rPr>
        <w:t xml:space="preserve">Атриовентрикуларен </w:t>
      </w:r>
      <w:r w:rsidRPr="00D151C7">
        <w:rPr>
          <w:lang w:val="ru-RU"/>
        </w:rPr>
        <w:t>(</w:t>
      </w:r>
      <w:r w:rsidRPr="00D151C7">
        <w:rPr>
          <w:lang w:val="en-US"/>
        </w:rPr>
        <w:t>AV</w:t>
      </w:r>
      <w:r w:rsidRPr="00D151C7">
        <w:rPr>
          <w:lang w:val="ru-RU"/>
        </w:rPr>
        <w:t xml:space="preserve">) </w:t>
      </w:r>
      <w:r w:rsidRPr="00D151C7">
        <w:rPr>
          <w:lang w:eastAsia="bg-BG"/>
        </w:rPr>
        <w:t>блок втора или трета степен.</w:t>
      </w:r>
    </w:p>
    <w:p w14:paraId="31016A84" w14:textId="77777777" w:rsidR="00D151C7" w:rsidRPr="00D151C7" w:rsidRDefault="00D151C7" w:rsidP="00D151C7"/>
    <w:p w14:paraId="0E0BDCC7" w14:textId="37B3F02E" w:rsidR="007122AD" w:rsidRDefault="002C50EE" w:rsidP="00936AD0">
      <w:pPr>
        <w:pStyle w:val="Heading2"/>
      </w:pPr>
      <w:r>
        <w:t>4.4. Специални предупреждения и предпазни мерки при употреба</w:t>
      </w:r>
    </w:p>
    <w:p w14:paraId="0D11DC6C" w14:textId="0141C832" w:rsidR="00D151C7" w:rsidRDefault="00D151C7" w:rsidP="00D151C7"/>
    <w:p w14:paraId="6C6A3E98"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Суицидна идеация</w:t>
      </w:r>
    </w:p>
    <w:p w14:paraId="41BB3877" w14:textId="77777777" w:rsidR="00D151C7" w:rsidRPr="00D151C7" w:rsidRDefault="00D151C7" w:rsidP="00D151C7">
      <w:pPr>
        <w:rPr>
          <w:rFonts w:eastAsia="Times New Roman" w:cs="Arial"/>
          <w:color w:val="000000"/>
          <w:szCs w:val="20"/>
          <w:lang w:eastAsia="bg-BG"/>
        </w:rPr>
      </w:pPr>
    </w:p>
    <w:p w14:paraId="5C09FCA0" w14:textId="77777777" w:rsidR="00D151C7" w:rsidRPr="00D151C7" w:rsidRDefault="00D151C7" w:rsidP="00D151C7">
      <w:pPr>
        <w:rPr>
          <w:rFonts w:eastAsia="Times New Roman" w:cs="Arial"/>
          <w:sz w:val="28"/>
          <w:szCs w:val="24"/>
        </w:rPr>
      </w:pPr>
      <w:r w:rsidRPr="00D151C7">
        <w:rPr>
          <w:rFonts w:eastAsia="Times New Roman" w:cs="Arial"/>
          <w:color w:val="000000"/>
          <w:szCs w:val="20"/>
          <w:lang w:eastAsia="bg-BG"/>
        </w:rPr>
        <w:t xml:space="preserve">Съобщават се суицидна идеация и поведение при пациенти, лекувани с антиепилептични активни вещества при няколко показания. Метаанализът на рандомизирани, плацебоконтролирани изпитвания на антиепилетични лекарствени продукти също показва </w:t>
      </w:r>
      <w:r w:rsidRPr="00D151C7">
        <w:rPr>
          <w:rFonts w:eastAsia="Times New Roman" w:cs="Arial"/>
          <w:color w:val="000000"/>
          <w:szCs w:val="20"/>
          <w:lang w:eastAsia="bg-BG"/>
        </w:rPr>
        <w:lastRenderedPageBreak/>
        <w:t>леко повишен риск от суицидна идеация и поведение. Механизмът на този риск не е известен а наличните данни не изключват възможността от повишен риск при употребата на есликарбазепинов ацетат. Затова пациентите трябва да бъдат проследявани за признаци на</w:t>
      </w:r>
      <w:r w:rsidRPr="00D151C7">
        <w:rPr>
          <w:rFonts w:eastAsia="Times New Roman" w:cs="Arial"/>
          <w:color w:val="000000"/>
          <w:szCs w:val="20"/>
          <w:lang w:val="ru-RU" w:eastAsia="bg-BG"/>
        </w:rPr>
        <w:t xml:space="preserve"> </w:t>
      </w:r>
      <w:r w:rsidRPr="00D151C7">
        <w:rPr>
          <w:rFonts w:eastAsia="Times New Roman" w:cs="Arial"/>
          <w:color w:val="000000"/>
          <w:szCs w:val="20"/>
          <w:lang w:eastAsia="bg-BG"/>
        </w:rPr>
        <w:t>суицидна идеация и поведение и трябва да се обмисли съответно лечение. Пациентите (и хората, които се грижат за тях) трябва да бъдат посъветвани да потърсят консултация с лекар, в случай, че се появят признаци на суицидна идеация или поведение.</w:t>
      </w:r>
    </w:p>
    <w:p w14:paraId="3E76114E" w14:textId="77777777" w:rsidR="00D151C7" w:rsidRPr="00D151C7" w:rsidRDefault="00D151C7" w:rsidP="00D151C7">
      <w:pPr>
        <w:spacing w:line="240" w:lineRule="auto"/>
        <w:rPr>
          <w:rFonts w:eastAsia="Times New Roman" w:cs="Arial"/>
          <w:color w:val="000000"/>
          <w:szCs w:val="20"/>
          <w:u w:val="single"/>
          <w:lang w:eastAsia="bg-BG"/>
        </w:rPr>
      </w:pPr>
    </w:p>
    <w:p w14:paraId="062D66DC" w14:textId="0054560E"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Нарушения на нервната система</w:t>
      </w:r>
    </w:p>
    <w:p w14:paraId="7C80707B" w14:textId="77777777" w:rsidR="00D151C7" w:rsidRPr="00D151C7" w:rsidRDefault="00D151C7" w:rsidP="00D151C7">
      <w:pPr>
        <w:spacing w:line="240" w:lineRule="auto"/>
        <w:rPr>
          <w:rFonts w:eastAsia="Times New Roman" w:cs="Arial"/>
          <w:color w:val="000000"/>
          <w:szCs w:val="20"/>
          <w:lang w:eastAsia="bg-BG"/>
        </w:rPr>
      </w:pPr>
    </w:p>
    <w:p w14:paraId="16CFCC82" w14:textId="5282BC58"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Есликарбазепинов ацетат се свързва с някои нежелани реакции от страна на централната нервна система, като замайване и сомнолентност, които могат да повишат честотата на случайни наранявания.</w:t>
      </w:r>
    </w:p>
    <w:p w14:paraId="404E00A1" w14:textId="77777777" w:rsidR="00D151C7" w:rsidRPr="00D151C7" w:rsidRDefault="00D151C7" w:rsidP="00D151C7">
      <w:pPr>
        <w:spacing w:line="240" w:lineRule="auto"/>
        <w:rPr>
          <w:rFonts w:eastAsia="Times New Roman" w:cs="Arial"/>
          <w:color w:val="000000"/>
          <w:szCs w:val="20"/>
          <w:u w:val="single"/>
          <w:lang w:eastAsia="bg-BG"/>
        </w:rPr>
      </w:pPr>
    </w:p>
    <w:p w14:paraId="3CE54EC0" w14:textId="666809D4" w:rsidR="00D151C7" w:rsidRPr="00D151C7" w:rsidRDefault="00D151C7" w:rsidP="00D151C7">
      <w:pPr>
        <w:pStyle w:val="Heading3"/>
        <w:rPr>
          <w:rFonts w:eastAsia="Times New Roman"/>
          <w:sz w:val="28"/>
          <w:u w:val="single"/>
        </w:rPr>
      </w:pPr>
      <w:r w:rsidRPr="00D151C7">
        <w:rPr>
          <w:rFonts w:eastAsia="Times New Roman"/>
          <w:u w:val="single"/>
          <w:lang w:eastAsia="bg-BG"/>
        </w:rPr>
        <w:t>Други предупреждения и предпазни мерки</w:t>
      </w:r>
    </w:p>
    <w:p w14:paraId="0538F8D7" w14:textId="77777777" w:rsidR="00D151C7" w:rsidRPr="00D151C7" w:rsidRDefault="00D151C7" w:rsidP="00D151C7">
      <w:pPr>
        <w:spacing w:line="240" w:lineRule="auto"/>
        <w:rPr>
          <w:rFonts w:eastAsia="Times New Roman" w:cs="Arial"/>
          <w:color w:val="000000"/>
          <w:szCs w:val="20"/>
          <w:lang w:eastAsia="bg-BG"/>
        </w:rPr>
      </w:pPr>
    </w:p>
    <w:p w14:paraId="440AE614" w14:textId="0B7AE893"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Ако приемът на Еслибон трябва да бъде прекратен, препоръчва се това да се направи постепенно, за да се минимизира възможността от повишаване честота на припадъците.</w:t>
      </w:r>
    </w:p>
    <w:p w14:paraId="58BB7F2F" w14:textId="77777777" w:rsidR="00D151C7" w:rsidRPr="00D151C7" w:rsidRDefault="00D151C7" w:rsidP="00D151C7">
      <w:pPr>
        <w:spacing w:line="240" w:lineRule="auto"/>
        <w:rPr>
          <w:rFonts w:eastAsia="Times New Roman" w:cs="Arial"/>
          <w:color w:val="000000"/>
          <w:szCs w:val="20"/>
          <w:u w:val="single"/>
          <w:lang w:eastAsia="bg-BG"/>
        </w:rPr>
      </w:pPr>
    </w:p>
    <w:p w14:paraId="71296E4C" w14:textId="75AF14BD"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Кожни реакции</w:t>
      </w:r>
    </w:p>
    <w:p w14:paraId="407A53D1" w14:textId="77777777" w:rsidR="00D151C7" w:rsidRPr="00D151C7" w:rsidRDefault="00D151C7" w:rsidP="00D151C7">
      <w:pPr>
        <w:spacing w:line="240" w:lineRule="auto"/>
        <w:rPr>
          <w:rFonts w:eastAsia="Times New Roman" w:cs="Arial"/>
          <w:color w:val="000000"/>
          <w:szCs w:val="20"/>
          <w:lang w:eastAsia="bg-BG"/>
        </w:rPr>
      </w:pPr>
    </w:p>
    <w:p w14:paraId="5D793C10" w14:textId="2C0B16E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Обрив се развива като нежелана реакция при 1,2% от общата популация на лекуваните с Еслибон при клинични изпитвания пациенти с епилепсия. Ако се развият признаци или симптоми на свръхчувствителност, приложението на есликарбазепинов ацетат трябва да бъде прекратено.</w:t>
      </w:r>
    </w:p>
    <w:p w14:paraId="620FDBB9" w14:textId="77777777" w:rsidR="00D151C7" w:rsidRPr="00D151C7" w:rsidRDefault="00D151C7" w:rsidP="00D151C7">
      <w:pPr>
        <w:spacing w:line="240" w:lineRule="auto"/>
        <w:rPr>
          <w:rFonts w:eastAsia="Times New Roman" w:cs="Arial"/>
          <w:color w:val="000000"/>
          <w:szCs w:val="20"/>
          <w:u w:val="single"/>
          <w:lang w:eastAsia="bg-BG"/>
        </w:rPr>
      </w:pPr>
    </w:p>
    <w:p w14:paraId="0F0225BB" w14:textId="2FEE3FBC"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 xml:space="preserve">Алел </w:t>
      </w:r>
      <w:r w:rsidRPr="00D151C7">
        <w:rPr>
          <w:rFonts w:eastAsia="Times New Roman" w:cs="Arial"/>
          <w:color w:val="000000"/>
          <w:szCs w:val="20"/>
          <w:u w:val="single"/>
          <w:lang w:val="en-US"/>
        </w:rPr>
        <w:t>HLA</w:t>
      </w:r>
      <w:r w:rsidRPr="00D151C7">
        <w:rPr>
          <w:rFonts w:eastAsia="Times New Roman" w:cs="Arial"/>
          <w:color w:val="000000"/>
          <w:szCs w:val="20"/>
          <w:u w:val="single"/>
          <w:lang w:val="ru-RU"/>
        </w:rPr>
        <w:t>-</w:t>
      </w:r>
      <w:r w:rsidRPr="00D151C7">
        <w:rPr>
          <w:rFonts w:eastAsia="Times New Roman" w:cs="Arial"/>
          <w:color w:val="000000"/>
          <w:szCs w:val="20"/>
          <w:u w:val="single"/>
          <w:lang w:val="en-US"/>
        </w:rPr>
        <w:t>B</w:t>
      </w:r>
      <w:r w:rsidRPr="00D151C7">
        <w:rPr>
          <w:rFonts w:eastAsia="Times New Roman" w:cs="Arial"/>
          <w:color w:val="000000"/>
          <w:szCs w:val="20"/>
          <w:u w:val="single"/>
          <w:lang w:val="ru-RU"/>
        </w:rPr>
        <w:t>*</w:t>
      </w:r>
      <w:r w:rsidRPr="00D151C7">
        <w:rPr>
          <w:rFonts w:eastAsia="Times New Roman" w:cs="Arial"/>
          <w:color w:val="000000"/>
          <w:szCs w:val="20"/>
          <w:u w:val="single"/>
          <w:lang w:eastAsia="bg-BG"/>
        </w:rPr>
        <w:t>1502 - в индивиди от китайската етническа група Хан, в тайландски и други азиатски популации</w:t>
      </w:r>
    </w:p>
    <w:p w14:paraId="185265EE" w14:textId="77777777" w:rsidR="00D151C7" w:rsidRPr="00D151C7" w:rsidRDefault="00D151C7" w:rsidP="00D151C7">
      <w:pPr>
        <w:spacing w:line="240" w:lineRule="auto"/>
        <w:rPr>
          <w:rFonts w:eastAsia="Times New Roman" w:cs="Arial"/>
          <w:color w:val="000000"/>
          <w:szCs w:val="20"/>
          <w:lang w:eastAsia="bg-BG"/>
        </w:rPr>
      </w:pPr>
    </w:p>
    <w:p w14:paraId="606E2A55" w14:textId="156D2C8A"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Доказано е ,че наличието на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B</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1502 в индивиди от китайската етническа група Хан и в популации от тайландски произход силно се асоциира с риск от развитие на тежки кожни реакции, познати като синдром на </w:t>
      </w:r>
      <w:r w:rsidRPr="00D151C7">
        <w:rPr>
          <w:rFonts w:eastAsia="Times New Roman" w:cs="Arial"/>
          <w:color w:val="000000"/>
          <w:szCs w:val="20"/>
          <w:lang w:val="en-US"/>
        </w:rPr>
        <w:t>Stevens</w:t>
      </w:r>
      <w:r w:rsidRPr="00D151C7">
        <w:rPr>
          <w:rFonts w:eastAsia="Times New Roman" w:cs="Arial"/>
          <w:color w:val="000000"/>
          <w:szCs w:val="20"/>
          <w:lang w:val="ru-RU"/>
        </w:rPr>
        <w:t>-</w:t>
      </w:r>
      <w:r w:rsidRPr="00D151C7">
        <w:rPr>
          <w:rFonts w:eastAsia="Times New Roman" w:cs="Arial"/>
          <w:color w:val="000000"/>
          <w:szCs w:val="20"/>
          <w:lang w:val="en-US"/>
        </w:rPr>
        <w:t>Johnson</w:t>
      </w:r>
      <w:r w:rsidRPr="00D151C7">
        <w:rPr>
          <w:rFonts w:eastAsia="Times New Roman" w:cs="Arial"/>
          <w:color w:val="000000"/>
          <w:szCs w:val="20"/>
          <w:lang w:val="ru-RU"/>
        </w:rPr>
        <w:t xml:space="preserve"> (</w:t>
      </w:r>
      <w:r w:rsidRPr="00D151C7">
        <w:rPr>
          <w:rFonts w:eastAsia="Times New Roman" w:cs="Arial"/>
          <w:color w:val="000000"/>
          <w:szCs w:val="20"/>
          <w:lang w:val="en-US"/>
        </w:rPr>
        <w:t>SJS</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при лечение с карбамазепин. Химичната структура на есликарбазепинов ацетат е подобна на тази на карбамазепин и е възможно пациенти, които са положителни за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B</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1502, също да бъдат изложени на риск от развитие на </w:t>
      </w:r>
      <w:r w:rsidRPr="00D151C7">
        <w:rPr>
          <w:rFonts w:eastAsia="Times New Roman" w:cs="Arial"/>
          <w:color w:val="000000"/>
          <w:szCs w:val="20"/>
          <w:lang w:val="en-US"/>
        </w:rPr>
        <w:t>SJS</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след лечение с есликарбазепинов ацетат. Разпространението на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B</w:t>
      </w:r>
      <w:r w:rsidRPr="00D151C7">
        <w:rPr>
          <w:rFonts w:eastAsia="Times New Roman" w:cs="Arial"/>
          <w:color w:val="000000"/>
          <w:szCs w:val="20"/>
          <w:lang w:val="ru-RU"/>
        </w:rPr>
        <w:t xml:space="preserve">*1502 </w:t>
      </w:r>
      <w:r w:rsidRPr="00D151C7">
        <w:rPr>
          <w:rFonts w:eastAsia="Times New Roman" w:cs="Arial"/>
          <w:color w:val="000000"/>
          <w:szCs w:val="20"/>
          <w:lang w:eastAsia="bg-BG"/>
        </w:rPr>
        <w:t xml:space="preserve">носителсвото е около 10% в китайската етническа група Хан и тайландското население. Когато е възможно, тези индивиди трябва да се подложат на скрининг за този алел преди започване на лечение с карбамазепин или активни вещества със сходна химична структура. Ако пациенти с този етнически произход са положителни за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B</w:t>
      </w:r>
      <w:r w:rsidRPr="00D151C7">
        <w:rPr>
          <w:rFonts w:eastAsia="Times New Roman" w:cs="Arial"/>
          <w:color w:val="000000"/>
          <w:szCs w:val="20"/>
          <w:lang w:val="ru-RU"/>
        </w:rPr>
        <w:t xml:space="preserve">*1502 </w:t>
      </w:r>
      <w:r w:rsidRPr="00D151C7">
        <w:rPr>
          <w:rFonts w:eastAsia="Times New Roman" w:cs="Arial"/>
          <w:color w:val="000000"/>
          <w:szCs w:val="20"/>
          <w:lang w:eastAsia="bg-BG"/>
        </w:rPr>
        <w:t xml:space="preserve">алела, може да се обмисли употребата на есликарбазепинов ацетат, ако се смята, че ползите надвишават рисковете. Поради широкото разпространение на този алел в други азиатски популации (например, над 15% във Филипините и Малайзия), може да се обмисли генетично тестване за наличие на </w:t>
      </w:r>
      <w:r w:rsidRPr="00D151C7">
        <w:rPr>
          <w:rFonts w:eastAsia="Times New Roman" w:cs="Arial"/>
          <w:color w:val="000000"/>
          <w:szCs w:val="20"/>
          <w:lang w:val="en-US"/>
        </w:rPr>
        <w:t>HLA</w:t>
      </w:r>
      <w:r w:rsidRPr="00D151C7">
        <w:rPr>
          <w:rFonts w:eastAsia="Times New Roman" w:cs="Arial"/>
          <w:color w:val="000000"/>
          <w:szCs w:val="20"/>
          <w:lang w:val="ru-RU"/>
        </w:rPr>
        <w:t xml:space="preserve"> </w:t>
      </w:r>
      <w:r w:rsidRPr="00D151C7">
        <w:rPr>
          <w:rFonts w:eastAsia="Times New Roman" w:cs="Arial"/>
          <w:color w:val="000000"/>
          <w:szCs w:val="20"/>
          <w:lang w:eastAsia="bg-BG"/>
        </w:rPr>
        <w:t>В*1502 при рисковите групи от населението.</w:t>
      </w:r>
    </w:p>
    <w:p w14:paraId="71882238" w14:textId="77777777" w:rsidR="00D151C7" w:rsidRPr="00D151C7" w:rsidRDefault="00D151C7" w:rsidP="00D151C7">
      <w:pPr>
        <w:spacing w:line="240" w:lineRule="auto"/>
        <w:rPr>
          <w:rFonts w:eastAsia="Times New Roman" w:cs="Arial"/>
          <w:color w:val="000000"/>
          <w:szCs w:val="20"/>
          <w:u w:val="single"/>
          <w:lang w:eastAsia="bg-BG"/>
        </w:rPr>
      </w:pPr>
    </w:p>
    <w:p w14:paraId="7D5AEFF1" w14:textId="2C1D0CFD"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 xml:space="preserve">Алел </w:t>
      </w:r>
      <w:r w:rsidRPr="00D151C7">
        <w:rPr>
          <w:rFonts w:eastAsia="Times New Roman" w:cs="Arial"/>
          <w:color w:val="000000"/>
          <w:szCs w:val="20"/>
          <w:u w:val="single"/>
          <w:lang w:val="en-US"/>
        </w:rPr>
        <w:t>HLA</w:t>
      </w:r>
      <w:r w:rsidRPr="00D151C7">
        <w:rPr>
          <w:rFonts w:eastAsia="Times New Roman" w:cs="Arial"/>
          <w:color w:val="000000"/>
          <w:szCs w:val="20"/>
          <w:u w:val="single"/>
          <w:lang w:val="ru-RU"/>
        </w:rPr>
        <w:t>-</w:t>
      </w:r>
      <w:r w:rsidRPr="00D151C7">
        <w:rPr>
          <w:rFonts w:eastAsia="Times New Roman" w:cs="Arial"/>
          <w:color w:val="000000"/>
          <w:szCs w:val="20"/>
          <w:u w:val="single"/>
          <w:lang w:val="en-US"/>
        </w:rPr>
        <w:t>A</w:t>
      </w:r>
      <w:r w:rsidRPr="00D151C7">
        <w:rPr>
          <w:rFonts w:eastAsia="Times New Roman" w:cs="Arial"/>
          <w:color w:val="000000"/>
          <w:szCs w:val="20"/>
          <w:u w:val="single"/>
          <w:lang w:val="ru-RU"/>
        </w:rPr>
        <w:t xml:space="preserve">*3101 </w:t>
      </w:r>
      <w:r w:rsidRPr="00D151C7">
        <w:rPr>
          <w:rFonts w:eastAsia="Times New Roman" w:cs="Arial"/>
          <w:color w:val="000000"/>
          <w:szCs w:val="20"/>
          <w:u w:val="single"/>
          <w:lang w:eastAsia="bg-BG"/>
        </w:rPr>
        <w:t>- популации с европейски произход и японска популация</w:t>
      </w:r>
    </w:p>
    <w:p w14:paraId="2079E118" w14:textId="77777777" w:rsidR="00D151C7" w:rsidRPr="00D151C7" w:rsidRDefault="00D151C7" w:rsidP="00D151C7">
      <w:pPr>
        <w:spacing w:line="240" w:lineRule="auto"/>
        <w:rPr>
          <w:rFonts w:eastAsia="Times New Roman" w:cs="Arial"/>
          <w:color w:val="000000"/>
          <w:szCs w:val="20"/>
          <w:lang w:eastAsia="bg-BG"/>
        </w:rPr>
      </w:pPr>
    </w:p>
    <w:p w14:paraId="24B3F46D" w14:textId="0E95B628"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Има данни, които предполагат, че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A</w:t>
      </w:r>
      <w:r w:rsidRPr="00D151C7">
        <w:rPr>
          <w:rFonts w:eastAsia="Times New Roman" w:cs="Arial"/>
          <w:color w:val="000000"/>
          <w:szCs w:val="20"/>
          <w:lang w:val="ru-RU"/>
        </w:rPr>
        <w:t xml:space="preserve">*3101 </w:t>
      </w:r>
      <w:r w:rsidRPr="00D151C7">
        <w:rPr>
          <w:rFonts w:eastAsia="Times New Roman" w:cs="Arial"/>
          <w:color w:val="000000"/>
          <w:szCs w:val="20"/>
          <w:lang w:eastAsia="bg-BG"/>
        </w:rPr>
        <w:t xml:space="preserve">е свързан с повишен риск от индуцирани от карбамазепин кожни нежелани лекарствени реакции, включително синдром на </w:t>
      </w:r>
      <w:r w:rsidRPr="00D151C7">
        <w:rPr>
          <w:rFonts w:eastAsia="Times New Roman" w:cs="Arial"/>
          <w:color w:val="000000"/>
          <w:szCs w:val="20"/>
          <w:lang w:val="en-US"/>
        </w:rPr>
        <w:t>Stevens</w:t>
      </w:r>
      <w:r w:rsidRPr="00D151C7">
        <w:rPr>
          <w:rFonts w:eastAsia="Times New Roman" w:cs="Arial"/>
          <w:color w:val="000000"/>
          <w:szCs w:val="20"/>
          <w:lang w:val="ru-RU"/>
        </w:rPr>
        <w:t>-</w:t>
      </w:r>
      <w:r w:rsidRPr="00D151C7">
        <w:rPr>
          <w:rFonts w:eastAsia="Times New Roman" w:cs="Arial"/>
          <w:color w:val="000000"/>
          <w:szCs w:val="20"/>
          <w:lang w:val="en-US"/>
        </w:rPr>
        <w:t>Johnson</w:t>
      </w:r>
      <w:r w:rsidRPr="00D151C7">
        <w:rPr>
          <w:rFonts w:eastAsia="Times New Roman" w:cs="Arial"/>
          <w:color w:val="000000"/>
          <w:szCs w:val="20"/>
          <w:lang w:val="ru-RU"/>
        </w:rPr>
        <w:t xml:space="preserve"> (</w:t>
      </w:r>
      <w:r w:rsidRPr="00D151C7">
        <w:rPr>
          <w:rFonts w:eastAsia="Times New Roman" w:cs="Arial"/>
          <w:color w:val="000000"/>
          <w:szCs w:val="20"/>
          <w:lang w:val="en-US"/>
        </w:rPr>
        <w:t>SJS</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токсична епидермална некролиза </w:t>
      </w:r>
      <w:r w:rsidRPr="00D151C7">
        <w:rPr>
          <w:rFonts w:eastAsia="Times New Roman" w:cs="Arial"/>
          <w:color w:val="000000"/>
          <w:szCs w:val="20"/>
          <w:lang w:val="ru-RU"/>
        </w:rPr>
        <w:t>(</w:t>
      </w:r>
      <w:r w:rsidRPr="00D151C7">
        <w:rPr>
          <w:rFonts w:eastAsia="Times New Roman" w:cs="Arial"/>
          <w:color w:val="000000"/>
          <w:szCs w:val="20"/>
          <w:lang w:val="en-US"/>
        </w:rPr>
        <w:t>TEN</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лекарствен обрив с еозинофилия </w:t>
      </w:r>
      <w:r w:rsidRPr="00D151C7">
        <w:rPr>
          <w:rFonts w:eastAsia="Times New Roman" w:cs="Arial"/>
          <w:color w:val="000000"/>
          <w:szCs w:val="20"/>
          <w:lang w:val="ru-RU"/>
        </w:rPr>
        <w:lastRenderedPageBreak/>
        <w:t>(</w:t>
      </w:r>
      <w:r w:rsidRPr="00D151C7">
        <w:rPr>
          <w:rFonts w:eastAsia="Times New Roman" w:cs="Arial"/>
          <w:color w:val="000000"/>
          <w:szCs w:val="20"/>
          <w:lang w:val="en-US"/>
        </w:rPr>
        <w:t>DRESS</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или не толкова тежки остра генерализирана екзантематозна пустулоза </w:t>
      </w:r>
      <w:r w:rsidRPr="00D151C7">
        <w:rPr>
          <w:rFonts w:eastAsia="Times New Roman" w:cs="Arial"/>
          <w:color w:val="000000"/>
          <w:szCs w:val="20"/>
          <w:lang w:val="ru-RU"/>
        </w:rPr>
        <w:t>(</w:t>
      </w:r>
      <w:r w:rsidRPr="00D151C7">
        <w:rPr>
          <w:rFonts w:eastAsia="Times New Roman" w:cs="Arial"/>
          <w:color w:val="000000"/>
          <w:szCs w:val="20"/>
          <w:lang w:val="en-US"/>
        </w:rPr>
        <w:t>AGEP</w:t>
      </w:r>
      <w:r w:rsidRPr="00D151C7">
        <w:rPr>
          <w:rFonts w:eastAsia="Times New Roman" w:cs="Arial"/>
          <w:color w:val="000000"/>
          <w:szCs w:val="20"/>
          <w:lang w:val="ru-RU"/>
        </w:rPr>
        <w:t xml:space="preserve">) </w:t>
      </w:r>
      <w:r w:rsidRPr="00D151C7">
        <w:rPr>
          <w:rFonts w:eastAsia="Times New Roman" w:cs="Arial"/>
          <w:color w:val="000000"/>
          <w:szCs w:val="20"/>
          <w:lang w:eastAsia="bg-BG"/>
        </w:rPr>
        <w:t>и макулопапулозен обрив при хора от европейски произход и японското население.</w:t>
      </w:r>
    </w:p>
    <w:p w14:paraId="02A35E0B" w14:textId="77777777" w:rsidR="00D151C7" w:rsidRPr="00D151C7" w:rsidRDefault="00D151C7" w:rsidP="00D151C7">
      <w:pPr>
        <w:rPr>
          <w:rFonts w:eastAsia="Times New Roman" w:cs="Arial"/>
          <w:sz w:val="28"/>
          <w:szCs w:val="24"/>
        </w:rPr>
      </w:pPr>
      <w:r w:rsidRPr="00D151C7">
        <w:rPr>
          <w:rFonts w:eastAsia="Times New Roman" w:cs="Arial"/>
          <w:color w:val="000000"/>
          <w:szCs w:val="20"/>
          <w:lang w:eastAsia="bg-BG"/>
        </w:rPr>
        <w:t xml:space="preserve">Честотата на алела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A</w:t>
      </w:r>
      <w:r w:rsidRPr="00D151C7">
        <w:rPr>
          <w:rFonts w:eastAsia="Times New Roman" w:cs="Arial"/>
          <w:color w:val="000000"/>
          <w:szCs w:val="20"/>
          <w:lang w:val="ru-RU"/>
        </w:rPr>
        <w:t>*3</w:t>
      </w:r>
      <w:r w:rsidRPr="00D151C7">
        <w:rPr>
          <w:rFonts w:eastAsia="Times New Roman" w:cs="Arial"/>
          <w:color w:val="000000"/>
          <w:szCs w:val="20"/>
          <w:lang w:eastAsia="bg-BG"/>
        </w:rPr>
        <w:t xml:space="preserve">101 варира в широки граници между етническите грипи. Алелът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A</w:t>
      </w:r>
      <w:r w:rsidRPr="00D151C7">
        <w:rPr>
          <w:rFonts w:eastAsia="Times New Roman" w:cs="Arial"/>
          <w:color w:val="000000"/>
          <w:szCs w:val="20"/>
          <w:lang w:val="ru-RU"/>
        </w:rPr>
        <w:t xml:space="preserve">*3101 </w:t>
      </w:r>
      <w:r w:rsidRPr="00D151C7">
        <w:rPr>
          <w:rFonts w:eastAsia="Times New Roman" w:cs="Arial"/>
          <w:color w:val="000000"/>
          <w:szCs w:val="20"/>
          <w:lang w:eastAsia="bg-BG"/>
        </w:rPr>
        <w:t>присъства при 2 до 5% в европейските популации и около 10% в японската</w:t>
      </w:r>
      <w:r w:rsidRPr="00D151C7">
        <w:rPr>
          <w:rFonts w:eastAsia="Times New Roman" w:cs="Arial"/>
          <w:color w:val="000000"/>
          <w:szCs w:val="20"/>
          <w:lang w:val="ru-RU" w:eastAsia="bg-BG"/>
        </w:rPr>
        <w:t xml:space="preserve"> </w:t>
      </w:r>
      <w:r w:rsidRPr="00D151C7">
        <w:rPr>
          <w:rFonts w:eastAsia="Times New Roman" w:cs="Arial"/>
          <w:color w:val="000000"/>
          <w:szCs w:val="20"/>
          <w:lang w:eastAsia="bg-BG"/>
        </w:rPr>
        <w:t xml:space="preserve">популация. Наличието на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A</w:t>
      </w:r>
      <w:r w:rsidRPr="00D151C7">
        <w:rPr>
          <w:rFonts w:eastAsia="Times New Roman" w:cs="Arial"/>
          <w:color w:val="000000"/>
          <w:szCs w:val="20"/>
          <w:lang w:val="ru-RU"/>
        </w:rPr>
        <w:t>*3</w:t>
      </w:r>
      <w:r w:rsidRPr="00D151C7">
        <w:rPr>
          <w:rFonts w:eastAsia="Times New Roman" w:cs="Arial"/>
          <w:color w:val="000000"/>
          <w:szCs w:val="20"/>
          <w:lang w:eastAsia="bg-BG"/>
        </w:rPr>
        <w:t>101 алела може да увеличи риска от индуцирани от карбамазепин кожни реакции (предимно не толкова тежки) от 5,0% в общата популация до 26,0% сред тези от европейски произход, докато липсата му може да намали риска от 5,0% до 3,8%.</w:t>
      </w:r>
    </w:p>
    <w:p w14:paraId="505B6BFD"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Няма достатъчно данни, подкрепящи препоръката за </w:t>
      </w:r>
      <w:r w:rsidRPr="00D151C7">
        <w:rPr>
          <w:rFonts w:eastAsia="Times New Roman" w:cs="Arial"/>
          <w:color w:val="000000"/>
          <w:szCs w:val="20"/>
          <w:lang w:val="en-US"/>
        </w:rPr>
        <w:t>HLA</w:t>
      </w:r>
      <w:r w:rsidRPr="00D151C7">
        <w:rPr>
          <w:rFonts w:eastAsia="Times New Roman" w:cs="Arial"/>
          <w:color w:val="000000"/>
          <w:szCs w:val="20"/>
          <w:lang w:val="ru-RU"/>
        </w:rPr>
        <w:t>-</w:t>
      </w:r>
      <w:r w:rsidRPr="00D151C7">
        <w:rPr>
          <w:rFonts w:eastAsia="Times New Roman" w:cs="Arial"/>
          <w:color w:val="000000"/>
          <w:szCs w:val="20"/>
          <w:lang w:val="en-US"/>
        </w:rPr>
        <w:t>A</w:t>
      </w:r>
      <w:r w:rsidRPr="00D151C7">
        <w:rPr>
          <w:rFonts w:eastAsia="Times New Roman" w:cs="Arial"/>
          <w:color w:val="000000"/>
          <w:szCs w:val="20"/>
          <w:lang w:val="ru-RU"/>
        </w:rPr>
        <w:t xml:space="preserve">*3101 </w:t>
      </w:r>
      <w:r w:rsidRPr="00D151C7">
        <w:rPr>
          <w:rFonts w:eastAsia="Times New Roman" w:cs="Arial"/>
          <w:color w:val="000000"/>
          <w:szCs w:val="20"/>
          <w:lang w:eastAsia="bg-BG"/>
        </w:rPr>
        <w:t>скрининг преди започване на лечение с карбамазепин или съединения със сходна химичнахимична структура.</w:t>
      </w:r>
    </w:p>
    <w:p w14:paraId="5E4AB841"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Ако за пациенти с европейски или японски произход е известно, че са положителни за </w:t>
      </w:r>
      <w:r w:rsidRPr="00D151C7">
        <w:rPr>
          <w:rFonts w:eastAsia="Times New Roman" w:cs="Arial"/>
          <w:color w:val="000000"/>
          <w:szCs w:val="20"/>
          <w:lang w:val="en-US"/>
        </w:rPr>
        <w:t>HLA</w:t>
      </w:r>
      <w:r w:rsidRPr="00D151C7">
        <w:rPr>
          <w:rFonts w:eastAsia="Times New Roman" w:cs="Arial"/>
          <w:color w:val="000000"/>
          <w:szCs w:val="20"/>
          <w:lang w:val="ru-RU"/>
        </w:rPr>
        <w:t xml:space="preserve">- </w:t>
      </w:r>
      <w:r w:rsidRPr="00D151C7">
        <w:rPr>
          <w:rFonts w:eastAsia="Times New Roman" w:cs="Arial"/>
          <w:color w:val="000000"/>
          <w:szCs w:val="20"/>
          <w:lang w:eastAsia="bg-BG"/>
        </w:rPr>
        <w:t>А*3101 алела, може да се обмисли употребата на карбамазепин или съединения със сходна химична структура, ако се смята, че ползите надвишават рисковете.</w:t>
      </w:r>
    </w:p>
    <w:p w14:paraId="50CF84AB" w14:textId="77777777" w:rsidR="00D151C7" w:rsidRPr="00D151C7" w:rsidRDefault="00D151C7" w:rsidP="00D151C7">
      <w:pPr>
        <w:spacing w:line="240" w:lineRule="auto"/>
        <w:rPr>
          <w:rFonts w:eastAsia="Times New Roman" w:cs="Arial"/>
          <w:color w:val="000000"/>
          <w:szCs w:val="20"/>
          <w:u w:val="single"/>
          <w:lang w:eastAsia="bg-BG"/>
        </w:rPr>
      </w:pPr>
    </w:p>
    <w:p w14:paraId="738B834E" w14:textId="610325D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Хипонатриемия</w:t>
      </w:r>
    </w:p>
    <w:p w14:paraId="54C302AA" w14:textId="77777777" w:rsidR="00D151C7" w:rsidRPr="00D151C7" w:rsidRDefault="00D151C7" w:rsidP="00D151C7">
      <w:pPr>
        <w:spacing w:line="240" w:lineRule="auto"/>
        <w:rPr>
          <w:rFonts w:eastAsia="Times New Roman" w:cs="Arial"/>
          <w:color w:val="000000"/>
          <w:szCs w:val="20"/>
          <w:lang w:eastAsia="bg-BG"/>
        </w:rPr>
      </w:pPr>
    </w:p>
    <w:p w14:paraId="4A39448A" w14:textId="4421839D"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Хипонатриемия се съобщава като нежелана реакция при 1,5% от пациентите, лекувани с есликарбазепинов ацетат. В повечето случаи хипонатриемията е асимитоматична, но може и да е придружена от клинични симптоми като влошаване на припадъците, обърканост, понижено ниво на съзнание. Честотата на хипонатриемия се повишава при увеличаване на дозата есликарбазепинов ацетат. При пациенти с предшестващо бъбречно заболяване, което води до хипонатриемия, или при пациенти, лекувани едновременно с лекарствени продукти, които могат да доведат до хипонатриемия (напр. диуретици, дезмопресин, карбамазепин), серумните нива на натрий трябва да бъдат изследвани преди и по време на лечението с есликарбазепинов ацетат. Освен това серумните нива на натрия трябва да бъдат определяни, ако се проявят клинични признаци на хипонатриемия. Освен в тези случаи, нивата на натрий трябва да бъдат определяни при рутинните лабораторни изследвания. Ако се развие клинично значима хипонатриемия, употребата на есликарбазепинов ацетат трябва да бъде прекратена.</w:t>
      </w:r>
    </w:p>
    <w:p w14:paraId="2BA51C02" w14:textId="77777777" w:rsidR="00D151C7" w:rsidRPr="00D151C7" w:rsidRDefault="00D151C7" w:rsidP="00D151C7">
      <w:pPr>
        <w:spacing w:line="240" w:lineRule="auto"/>
        <w:rPr>
          <w:rFonts w:eastAsia="Times New Roman" w:cs="Arial"/>
          <w:color w:val="000000"/>
          <w:szCs w:val="20"/>
          <w:u w:val="single"/>
          <w:lang w:val="en-US"/>
        </w:rPr>
      </w:pPr>
    </w:p>
    <w:p w14:paraId="1207500E" w14:textId="584A0B6C"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val="en-US"/>
        </w:rPr>
        <w:t>PR</w:t>
      </w:r>
      <w:r w:rsidRPr="00D151C7">
        <w:rPr>
          <w:rFonts w:eastAsia="Times New Roman" w:cs="Arial"/>
          <w:color w:val="000000"/>
          <w:szCs w:val="20"/>
          <w:u w:val="single"/>
          <w:lang w:eastAsia="bg-BG"/>
        </w:rPr>
        <w:t>-интервал</w:t>
      </w:r>
    </w:p>
    <w:p w14:paraId="5F52334E" w14:textId="77777777" w:rsidR="00D151C7" w:rsidRPr="00D151C7" w:rsidRDefault="00D151C7" w:rsidP="00D151C7">
      <w:pPr>
        <w:spacing w:line="240" w:lineRule="auto"/>
        <w:rPr>
          <w:rFonts w:eastAsia="Times New Roman" w:cs="Arial"/>
          <w:color w:val="000000"/>
          <w:szCs w:val="20"/>
          <w:lang w:eastAsia="bg-BG"/>
        </w:rPr>
      </w:pPr>
    </w:p>
    <w:p w14:paraId="6BB4F1B5" w14:textId="17A991FC" w:rsidR="00D151C7" w:rsidRPr="00D151C7" w:rsidRDefault="00D151C7" w:rsidP="00D151C7">
      <w:pPr>
        <w:spacing w:line="240" w:lineRule="auto"/>
        <w:rPr>
          <w:rFonts w:eastAsia="Times New Roman" w:cs="Arial"/>
          <w:color w:val="000000"/>
          <w:szCs w:val="20"/>
          <w:lang w:eastAsia="bg-BG"/>
        </w:rPr>
      </w:pPr>
      <w:r w:rsidRPr="00D151C7">
        <w:rPr>
          <w:rFonts w:eastAsia="Times New Roman" w:cs="Arial"/>
          <w:color w:val="000000"/>
          <w:szCs w:val="20"/>
          <w:lang w:eastAsia="bg-BG"/>
        </w:rPr>
        <w:t xml:space="preserve">При клинични проучвания с есликарбазепинов ацетат се наблюдава удължаване на </w:t>
      </w:r>
      <w:r w:rsidRPr="00D151C7">
        <w:rPr>
          <w:rFonts w:eastAsia="Times New Roman" w:cs="Arial"/>
          <w:color w:val="000000"/>
          <w:szCs w:val="20"/>
          <w:lang w:val="en-US"/>
        </w:rPr>
        <w:t>PR</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интервала. Трябва да </w:t>
      </w:r>
    </w:p>
    <w:p w14:paraId="3081A548" w14:textId="77777777" w:rsidR="00D151C7" w:rsidRPr="00D151C7" w:rsidRDefault="00D151C7" w:rsidP="00D151C7">
      <w:pPr>
        <w:spacing w:line="240" w:lineRule="auto"/>
        <w:rPr>
          <w:rFonts w:eastAsia="Times New Roman" w:cs="Arial"/>
          <w:color w:val="000000"/>
          <w:szCs w:val="20"/>
          <w:lang w:eastAsia="bg-BG"/>
        </w:rPr>
      </w:pPr>
      <w:r w:rsidRPr="00D151C7">
        <w:rPr>
          <w:rFonts w:eastAsia="Times New Roman" w:cs="Arial"/>
          <w:color w:val="000000"/>
          <w:szCs w:val="20"/>
          <w:lang w:eastAsia="bg-BG"/>
        </w:rPr>
        <w:t xml:space="preserve">се подхожда с повишено внимание при пациента със заболявания (напр. ниски нива на тироксин, нарушения на сърдечната проводимост) или които приемат едновременно лекарствени продукти, за които е известно, че </w:t>
      </w:r>
    </w:p>
    <w:p w14:paraId="3D96EE78" w14:textId="6F8731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са свързани с удължаване на </w:t>
      </w:r>
      <w:r w:rsidRPr="00D151C7">
        <w:rPr>
          <w:rFonts w:eastAsia="Times New Roman" w:cs="Arial"/>
          <w:color w:val="000000"/>
          <w:szCs w:val="20"/>
          <w:lang w:val="en-US"/>
        </w:rPr>
        <w:t>PR</w:t>
      </w:r>
      <w:r w:rsidRPr="00D151C7">
        <w:rPr>
          <w:rFonts w:eastAsia="Times New Roman" w:cs="Arial"/>
          <w:color w:val="000000"/>
          <w:szCs w:val="20"/>
          <w:lang w:val="ru-RU"/>
        </w:rPr>
        <w:t xml:space="preserve"> </w:t>
      </w:r>
      <w:r w:rsidRPr="00D151C7">
        <w:rPr>
          <w:rFonts w:eastAsia="Times New Roman" w:cs="Arial"/>
          <w:color w:val="000000"/>
          <w:szCs w:val="20"/>
          <w:lang w:eastAsia="bg-BG"/>
        </w:rPr>
        <w:t>интервала.</w:t>
      </w:r>
    </w:p>
    <w:p w14:paraId="5AD0A0BE" w14:textId="77777777" w:rsidR="00D151C7" w:rsidRPr="00D151C7" w:rsidRDefault="00D151C7" w:rsidP="00D151C7">
      <w:pPr>
        <w:spacing w:line="240" w:lineRule="auto"/>
        <w:rPr>
          <w:rFonts w:eastAsia="Times New Roman" w:cs="Arial"/>
          <w:color w:val="000000"/>
          <w:szCs w:val="20"/>
          <w:u w:val="single"/>
          <w:lang w:eastAsia="bg-BG"/>
        </w:rPr>
      </w:pPr>
    </w:p>
    <w:p w14:paraId="62475313" w14:textId="78AE892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Бъбречно увреждане</w:t>
      </w:r>
    </w:p>
    <w:p w14:paraId="4F10DC8B" w14:textId="77777777" w:rsidR="00D151C7" w:rsidRPr="00D151C7" w:rsidRDefault="00D151C7" w:rsidP="00D151C7">
      <w:pPr>
        <w:spacing w:line="240" w:lineRule="auto"/>
        <w:rPr>
          <w:rFonts w:eastAsia="Times New Roman" w:cs="Arial"/>
          <w:color w:val="000000"/>
          <w:szCs w:val="20"/>
          <w:lang w:eastAsia="bg-BG"/>
        </w:rPr>
      </w:pPr>
    </w:p>
    <w:p w14:paraId="654AE5CE" w14:textId="10B3715E"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Трябва да се подхожда с повишено внимание при лечението на пациенти с бъбречно увреждане и дозата трябва да бъде коригирана в съответствие с креатининовия клирънс (вж. точка 4.2). Приложението при пациенти с </w:t>
      </w:r>
      <w:r w:rsidRPr="00D151C7">
        <w:rPr>
          <w:rFonts w:eastAsia="Times New Roman" w:cs="Arial"/>
          <w:color w:val="000000"/>
          <w:szCs w:val="20"/>
          <w:lang w:val="en-US"/>
        </w:rPr>
        <w:t>CLCR</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&lt;30 </w:t>
      </w:r>
      <w:r w:rsidRPr="00D151C7">
        <w:rPr>
          <w:rFonts w:eastAsia="Times New Roman" w:cs="Arial"/>
          <w:color w:val="000000"/>
          <w:szCs w:val="20"/>
          <w:lang w:val="en-US"/>
        </w:rPr>
        <w:t>ml</w:t>
      </w:r>
      <w:r w:rsidRPr="00D151C7">
        <w:rPr>
          <w:rFonts w:eastAsia="Times New Roman" w:cs="Arial"/>
          <w:color w:val="000000"/>
          <w:szCs w:val="20"/>
          <w:lang w:val="ru-RU"/>
        </w:rPr>
        <w:t>/</w:t>
      </w:r>
      <w:r w:rsidRPr="00D151C7">
        <w:rPr>
          <w:rFonts w:eastAsia="Times New Roman" w:cs="Arial"/>
          <w:color w:val="000000"/>
          <w:szCs w:val="20"/>
          <w:lang w:val="en-US"/>
        </w:rPr>
        <w:t>min</w:t>
      </w:r>
      <w:r w:rsidRPr="00D151C7">
        <w:rPr>
          <w:rFonts w:eastAsia="Times New Roman" w:cs="Arial"/>
          <w:color w:val="000000"/>
          <w:szCs w:val="20"/>
          <w:lang w:val="ru-RU"/>
        </w:rPr>
        <w:t xml:space="preserve"> </w:t>
      </w:r>
      <w:r w:rsidRPr="00D151C7">
        <w:rPr>
          <w:rFonts w:eastAsia="Times New Roman" w:cs="Arial"/>
          <w:color w:val="000000"/>
          <w:szCs w:val="20"/>
          <w:lang w:eastAsia="bg-BG"/>
        </w:rPr>
        <w:t>не се препоръчва поради липсата на достатъчно данни.</w:t>
      </w:r>
    </w:p>
    <w:p w14:paraId="219BDDDD" w14:textId="77777777" w:rsidR="00D151C7" w:rsidRPr="00D151C7" w:rsidRDefault="00D151C7" w:rsidP="00D151C7">
      <w:pPr>
        <w:spacing w:line="240" w:lineRule="auto"/>
        <w:rPr>
          <w:rFonts w:eastAsia="Times New Roman" w:cs="Arial"/>
          <w:color w:val="000000"/>
          <w:szCs w:val="20"/>
          <w:u w:val="single"/>
          <w:lang w:eastAsia="bg-BG"/>
        </w:rPr>
      </w:pPr>
    </w:p>
    <w:p w14:paraId="055EEAE1" w14:textId="54E99F94"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Чернодробно увреждане</w:t>
      </w:r>
    </w:p>
    <w:p w14:paraId="23105D7A" w14:textId="77777777" w:rsidR="00D151C7" w:rsidRPr="00D151C7" w:rsidRDefault="00D151C7" w:rsidP="00D151C7">
      <w:pPr>
        <w:spacing w:line="240" w:lineRule="auto"/>
        <w:rPr>
          <w:rFonts w:eastAsia="Times New Roman" w:cs="Arial"/>
          <w:color w:val="000000"/>
          <w:szCs w:val="20"/>
          <w:lang w:eastAsia="bg-BG"/>
        </w:rPr>
      </w:pPr>
    </w:p>
    <w:p w14:paraId="25656174" w14:textId="739B2CBE"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lastRenderedPageBreak/>
        <w:t>Тъй като клиничните данни при пациентите с леко до умерено чернодробно увреждане са ограничени и няма фармакокинетични и клинични данни при пациентите с тежко чернодробно увреждане, есликарбазепинов ацетат трябва да се използва с повишено внимание при пациенти с леко до умерено чернодробно увреждане и не се препоръчва при пациенти с тежко чернодробно увреждане.</w:t>
      </w:r>
    </w:p>
    <w:p w14:paraId="0F6709D1" w14:textId="77777777" w:rsidR="00D151C7" w:rsidRPr="00D151C7" w:rsidRDefault="00D151C7" w:rsidP="00D151C7">
      <w:pPr>
        <w:spacing w:line="240" w:lineRule="auto"/>
        <w:rPr>
          <w:rFonts w:eastAsia="Times New Roman" w:cs="Arial"/>
          <w:color w:val="000000"/>
          <w:szCs w:val="20"/>
          <w:u w:val="single"/>
          <w:lang w:eastAsia="bg-BG"/>
        </w:rPr>
      </w:pPr>
    </w:p>
    <w:p w14:paraId="3D585CF5" w14:textId="45DECCE3"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Есликарбазепинов ацетат съдържа натрий:</w:t>
      </w:r>
    </w:p>
    <w:p w14:paraId="53A9D90A" w14:textId="393710D9" w:rsidR="00D151C7" w:rsidRDefault="00D151C7" w:rsidP="00D151C7">
      <w:pPr>
        <w:rPr>
          <w:rFonts w:eastAsia="Times New Roman" w:cs="Arial"/>
          <w:color w:val="000000"/>
          <w:szCs w:val="20"/>
          <w:lang w:eastAsia="bg-BG"/>
        </w:rPr>
      </w:pPr>
      <w:r w:rsidRPr="00D151C7">
        <w:rPr>
          <w:rFonts w:eastAsia="Times New Roman" w:cs="Arial"/>
          <w:color w:val="000000"/>
          <w:szCs w:val="20"/>
          <w:lang w:eastAsia="bg-BG"/>
        </w:rPr>
        <w:t xml:space="preserve">Този лекарствен продукт съдържа по-малко от 1 </w:t>
      </w:r>
      <w:proofErr w:type="spellStart"/>
      <w:r w:rsidRPr="00D151C7">
        <w:rPr>
          <w:rFonts w:eastAsia="Times New Roman" w:cs="Arial"/>
          <w:color w:val="000000"/>
          <w:szCs w:val="20"/>
          <w:lang w:val="en-US"/>
        </w:rPr>
        <w:t>mmol</w:t>
      </w:r>
      <w:proofErr w:type="spellEnd"/>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(23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натрий в дозова единица, което може да може да го определи като "свободен от натрий”.</w:t>
      </w:r>
    </w:p>
    <w:p w14:paraId="108E39D7" w14:textId="77777777" w:rsidR="00D151C7" w:rsidRPr="00D151C7" w:rsidRDefault="00D151C7" w:rsidP="00D151C7">
      <w:pPr>
        <w:rPr>
          <w:rFonts w:cs="Arial"/>
          <w:sz w:val="24"/>
          <w:lang w:val="ru-RU"/>
        </w:rPr>
      </w:pPr>
    </w:p>
    <w:p w14:paraId="0734264C" w14:textId="3B4D9AE3"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B3BCFA2" w14:textId="3099332C" w:rsidR="00D151C7" w:rsidRDefault="00D151C7" w:rsidP="00D151C7"/>
    <w:p w14:paraId="57B556E1"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Проучвания за взаимодействията са провеждани само при възрастни.</w:t>
      </w:r>
    </w:p>
    <w:p w14:paraId="67A9E0F6" w14:textId="77777777" w:rsidR="00D151C7" w:rsidRPr="00D151C7" w:rsidRDefault="00D151C7" w:rsidP="00D151C7">
      <w:pPr>
        <w:spacing w:line="240" w:lineRule="auto"/>
        <w:rPr>
          <w:rFonts w:eastAsia="Times New Roman" w:cs="Arial"/>
          <w:color w:val="000000"/>
          <w:szCs w:val="20"/>
          <w:lang w:eastAsia="bg-BG"/>
        </w:rPr>
      </w:pPr>
    </w:p>
    <w:p w14:paraId="62D2E48E" w14:textId="0C605BAE"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Есликарбазепинов ацетат се превръща в голяма степен в есликарбазепин, който се елиминира предимно чрез глюкурониране. </w:t>
      </w:r>
      <w:r w:rsidRPr="00D151C7">
        <w:rPr>
          <w:rFonts w:eastAsia="Times New Roman" w:cs="Arial"/>
          <w:color w:val="000000"/>
          <w:szCs w:val="20"/>
          <w:lang w:val="en-US"/>
        </w:rPr>
        <w:t>In</w:t>
      </w:r>
      <w:r w:rsidRPr="00D151C7">
        <w:rPr>
          <w:rFonts w:eastAsia="Times New Roman" w:cs="Arial"/>
          <w:color w:val="000000"/>
          <w:szCs w:val="20"/>
        </w:rPr>
        <w:t xml:space="preserve"> </w:t>
      </w:r>
      <w:r w:rsidRPr="00D151C7">
        <w:rPr>
          <w:rFonts w:eastAsia="Times New Roman" w:cs="Arial"/>
          <w:color w:val="000000"/>
          <w:szCs w:val="20"/>
          <w:lang w:val="en-US"/>
        </w:rPr>
        <w:t>vitro</w:t>
      </w:r>
      <w:r w:rsidRPr="00D151C7">
        <w:rPr>
          <w:rFonts w:eastAsia="Times New Roman" w:cs="Arial"/>
          <w:color w:val="000000"/>
          <w:szCs w:val="20"/>
        </w:rPr>
        <w:t xml:space="preserve"> </w:t>
      </w:r>
      <w:r w:rsidRPr="00D151C7">
        <w:rPr>
          <w:rFonts w:eastAsia="Times New Roman" w:cs="Arial"/>
          <w:color w:val="000000"/>
          <w:szCs w:val="20"/>
          <w:lang w:eastAsia="bg-BG"/>
        </w:rPr>
        <w:t xml:space="preserve">есликарбазепин е слаб индуктор на </w:t>
      </w:r>
      <w:r w:rsidRPr="00D151C7">
        <w:rPr>
          <w:rFonts w:eastAsia="Times New Roman" w:cs="Arial"/>
          <w:color w:val="000000"/>
          <w:szCs w:val="20"/>
          <w:lang w:val="en-US"/>
        </w:rPr>
        <w:t>CYP</w:t>
      </w:r>
      <w:r w:rsidRPr="00D151C7">
        <w:rPr>
          <w:rFonts w:eastAsia="Times New Roman" w:cs="Arial"/>
          <w:color w:val="000000"/>
          <w:szCs w:val="20"/>
        </w:rPr>
        <w:t>3</w:t>
      </w:r>
      <w:r w:rsidRPr="00D151C7">
        <w:rPr>
          <w:rFonts w:eastAsia="Times New Roman" w:cs="Arial"/>
          <w:color w:val="000000"/>
          <w:szCs w:val="20"/>
          <w:lang w:val="en-US"/>
        </w:rPr>
        <w:t>A</w:t>
      </w:r>
      <w:r w:rsidRPr="00D151C7">
        <w:rPr>
          <w:rFonts w:eastAsia="Times New Roman" w:cs="Arial"/>
          <w:color w:val="000000"/>
          <w:szCs w:val="20"/>
        </w:rPr>
        <w:t xml:space="preserve">4 </w:t>
      </w:r>
      <w:r w:rsidRPr="00D151C7">
        <w:rPr>
          <w:rFonts w:eastAsia="Times New Roman" w:cs="Arial"/>
          <w:color w:val="000000"/>
          <w:szCs w:val="20"/>
          <w:lang w:eastAsia="bg-BG"/>
        </w:rPr>
        <w:t xml:space="preserve">и </w:t>
      </w:r>
      <w:r w:rsidRPr="00D151C7">
        <w:rPr>
          <w:rFonts w:eastAsia="Times New Roman" w:cs="Arial"/>
          <w:color w:val="000000"/>
          <w:szCs w:val="20"/>
          <w:lang w:val="en-US"/>
        </w:rPr>
        <w:t>UDP</w:t>
      </w:r>
      <w:r w:rsidRPr="00D151C7">
        <w:rPr>
          <w:rFonts w:eastAsia="Times New Roman" w:cs="Arial"/>
          <w:color w:val="000000"/>
          <w:szCs w:val="20"/>
        </w:rPr>
        <w:t xml:space="preserve">- </w:t>
      </w:r>
      <w:r w:rsidRPr="00D151C7">
        <w:rPr>
          <w:rFonts w:eastAsia="Times New Roman" w:cs="Arial"/>
          <w:color w:val="000000"/>
          <w:szCs w:val="20"/>
          <w:lang w:eastAsia="bg-BG"/>
        </w:rPr>
        <w:t xml:space="preserve">глюкуронил трансферазата. </w:t>
      </w:r>
      <w:r w:rsidRPr="00D151C7">
        <w:rPr>
          <w:rFonts w:eastAsia="Times New Roman" w:cs="Arial"/>
          <w:color w:val="000000"/>
          <w:szCs w:val="20"/>
          <w:lang w:val="en-US"/>
        </w:rPr>
        <w:t>In</w:t>
      </w:r>
      <w:r w:rsidRPr="00D151C7">
        <w:rPr>
          <w:rFonts w:eastAsia="Times New Roman" w:cs="Arial"/>
          <w:color w:val="000000"/>
          <w:szCs w:val="20"/>
          <w:lang w:val="ru-RU"/>
        </w:rPr>
        <w:t xml:space="preserve"> </w:t>
      </w:r>
      <w:r w:rsidRPr="00D151C7">
        <w:rPr>
          <w:rFonts w:eastAsia="Times New Roman" w:cs="Arial"/>
          <w:color w:val="000000"/>
          <w:szCs w:val="20"/>
          <w:lang w:val="en-US"/>
        </w:rPr>
        <w:t>vivo</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есликарбазепин показва индуциращ ефект върху метаболизма на лекарствени продукти, които основно се елиминират по пътя на метаболизма чрез </w:t>
      </w:r>
      <w:r w:rsidRPr="00D151C7">
        <w:rPr>
          <w:rFonts w:eastAsia="Times New Roman" w:cs="Arial"/>
          <w:color w:val="000000"/>
          <w:szCs w:val="20"/>
          <w:lang w:val="en-US"/>
        </w:rPr>
        <w:t>CYP</w:t>
      </w:r>
      <w:r w:rsidRPr="00D151C7">
        <w:rPr>
          <w:rFonts w:eastAsia="Times New Roman" w:cs="Arial"/>
          <w:color w:val="000000"/>
          <w:szCs w:val="20"/>
          <w:lang w:val="ru-RU"/>
        </w:rPr>
        <w:t>3</w:t>
      </w:r>
      <w:r w:rsidRPr="00D151C7">
        <w:rPr>
          <w:rFonts w:eastAsia="Times New Roman" w:cs="Arial"/>
          <w:color w:val="000000"/>
          <w:szCs w:val="20"/>
          <w:lang w:val="en-US"/>
        </w:rPr>
        <w:t>A</w:t>
      </w:r>
      <w:r w:rsidRPr="00D151C7">
        <w:rPr>
          <w:rFonts w:eastAsia="Times New Roman" w:cs="Arial"/>
          <w:color w:val="000000"/>
          <w:szCs w:val="20"/>
          <w:lang w:val="ru-RU"/>
        </w:rPr>
        <w:t xml:space="preserve">4 </w:t>
      </w:r>
      <w:r w:rsidRPr="00D151C7">
        <w:rPr>
          <w:rFonts w:eastAsia="Times New Roman" w:cs="Arial"/>
          <w:color w:val="000000"/>
          <w:szCs w:val="20"/>
          <w:lang w:eastAsia="bg-BG"/>
        </w:rPr>
        <w:t xml:space="preserve">(напр. симвастатин). Следователно, при едновременно приложение с есликарбазепинов ацетат, може да се наложи увеличаване на дозата на лекарствените продукти, които се метаболизират основно чрез </w:t>
      </w:r>
      <w:r w:rsidRPr="00D151C7">
        <w:rPr>
          <w:rFonts w:eastAsia="Times New Roman" w:cs="Arial"/>
          <w:color w:val="000000"/>
          <w:szCs w:val="20"/>
          <w:lang w:val="en-US"/>
        </w:rPr>
        <w:t>CYP</w:t>
      </w:r>
      <w:r w:rsidRPr="00D151C7">
        <w:rPr>
          <w:rFonts w:eastAsia="Times New Roman" w:cs="Arial"/>
          <w:color w:val="000000"/>
          <w:szCs w:val="20"/>
          <w:lang w:val="ru-RU"/>
        </w:rPr>
        <w:t>3</w:t>
      </w:r>
      <w:r w:rsidRPr="00D151C7">
        <w:rPr>
          <w:rFonts w:eastAsia="Times New Roman" w:cs="Arial"/>
          <w:color w:val="000000"/>
          <w:szCs w:val="20"/>
          <w:lang w:val="en-US"/>
        </w:rPr>
        <w:t>A</w:t>
      </w:r>
      <w:r w:rsidRPr="00D151C7">
        <w:rPr>
          <w:rFonts w:eastAsia="Times New Roman" w:cs="Arial"/>
          <w:color w:val="000000"/>
          <w:szCs w:val="20"/>
          <w:lang w:val="ru-RU"/>
        </w:rPr>
        <w:t xml:space="preserve">4. </w:t>
      </w:r>
      <w:r w:rsidRPr="00D151C7">
        <w:rPr>
          <w:rFonts w:eastAsia="Times New Roman" w:cs="Arial"/>
          <w:color w:val="000000"/>
          <w:szCs w:val="20"/>
          <w:lang w:val="en-US"/>
        </w:rPr>
        <w:t>In</w:t>
      </w:r>
      <w:r w:rsidRPr="00D151C7">
        <w:rPr>
          <w:rFonts w:eastAsia="Times New Roman" w:cs="Arial"/>
          <w:color w:val="000000"/>
          <w:szCs w:val="20"/>
          <w:lang w:val="ru-RU"/>
        </w:rPr>
        <w:t xml:space="preserve"> </w:t>
      </w:r>
      <w:r w:rsidRPr="00D151C7">
        <w:rPr>
          <w:rFonts w:eastAsia="Times New Roman" w:cs="Arial"/>
          <w:color w:val="000000"/>
          <w:szCs w:val="20"/>
          <w:lang w:val="en-US"/>
        </w:rPr>
        <w:t>vivo</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есликарбазепин може да има индуциращ ефект върху метаболизма на лекарствените продукти, които основно се елиминират по пътя на конюгация чрез </w:t>
      </w:r>
      <w:r w:rsidRPr="00D151C7">
        <w:rPr>
          <w:rFonts w:eastAsia="Times New Roman" w:cs="Arial"/>
          <w:color w:val="000000"/>
          <w:szCs w:val="20"/>
          <w:lang w:val="en-US"/>
        </w:rPr>
        <w:t>UDP</w:t>
      </w:r>
      <w:r w:rsidRPr="00D151C7">
        <w:rPr>
          <w:rFonts w:eastAsia="Times New Roman" w:cs="Arial"/>
          <w:color w:val="000000"/>
          <w:szCs w:val="20"/>
          <w:lang w:eastAsia="bg-BG"/>
        </w:rPr>
        <w:t xml:space="preserve">-глюкоронил трансферази. Когато се започва или прекратява лечение с Еслибон или се променя дозата, може да са необходими 2 до 3 седмици за достигане на новото ниво на ензимна активност. Това забавяне във времето трябва да се взема предвид когато Еслибон се използва точно преди или в комбинация с други лекарства, които изискват корекция на дозата при едновременно приложение с Еслибон. Есликарбазепин има инхибиращи свойства по отношение на </w:t>
      </w:r>
      <w:r w:rsidRPr="00D151C7">
        <w:rPr>
          <w:rFonts w:eastAsia="Times New Roman" w:cs="Arial"/>
          <w:color w:val="000000"/>
          <w:szCs w:val="20"/>
          <w:lang w:val="en-US"/>
        </w:rPr>
        <w:t>CYP</w:t>
      </w:r>
      <w:r w:rsidRPr="00D151C7">
        <w:rPr>
          <w:rFonts w:eastAsia="Times New Roman" w:cs="Arial"/>
          <w:color w:val="000000"/>
          <w:szCs w:val="20"/>
          <w:lang w:val="ru-RU"/>
        </w:rPr>
        <w:t>2</w:t>
      </w:r>
      <w:r w:rsidRPr="00D151C7">
        <w:rPr>
          <w:rFonts w:eastAsia="Times New Roman" w:cs="Arial"/>
          <w:color w:val="000000"/>
          <w:szCs w:val="20"/>
          <w:lang w:val="en-US"/>
        </w:rPr>
        <w:t>C</w:t>
      </w:r>
      <w:r w:rsidRPr="00D151C7">
        <w:rPr>
          <w:rFonts w:eastAsia="Times New Roman" w:cs="Arial"/>
          <w:color w:val="000000"/>
          <w:szCs w:val="20"/>
          <w:lang w:val="ru-RU"/>
        </w:rPr>
        <w:t xml:space="preserve">19. </w:t>
      </w:r>
      <w:r w:rsidRPr="00D151C7">
        <w:rPr>
          <w:rFonts w:eastAsia="Times New Roman" w:cs="Arial"/>
          <w:color w:val="000000"/>
          <w:szCs w:val="20"/>
          <w:lang w:eastAsia="bg-BG"/>
        </w:rPr>
        <w:t xml:space="preserve">Следователно при приложение на високи дози есликарбазепинов ацетат едновременно с лекарствени продукти, които се метаболизират предимно от </w:t>
      </w:r>
      <w:r w:rsidRPr="00D151C7">
        <w:rPr>
          <w:rFonts w:eastAsia="Times New Roman" w:cs="Arial"/>
          <w:color w:val="000000"/>
          <w:szCs w:val="20"/>
          <w:lang w:val="en-US"/>
        </w:rPr>
        <w:t>CYP</w:t>
      </w:r>
      <w:r w:rsidRPr="00D151C7">
        <w:rPr>
          <w:rFonts w:eastAsia="Times New Roman" w:cs="Arial"/>
          <w:color w:val="000000"/>
          <w:szCs w:val="20"/>
          <w:lang w:val="ru-RU"/>
        </w:rPr>
        <w:t>2</w:t>
      </w:r>
      <w:r w:rsidRPr="00D151C7">
        <w:rPr>
          <w:rFonts w:eastAsia="Times New Roman" w:cs="Arial"/>
          <w:color w:val="000000"/>
          <w:szCs w:val="20"/>
          <w:lang w:val="en-US"/>
        </w:rPr>
        <w:t>C</w:t>
      </w:r>
      <w:r w:rsidRPr="00D151C7">
        <w:rPr>
          <w:rFonts w:eastAsia="Times New Roman" w:cs="Arial"/>
          <w:color w:val="000000"/>
          <w:szCs w:val="20"/>
          <w:lang w:val="ru-RU"/>
        </w:rPr>
        <w:t xml:space="preserve">19 </w:t>
      </w:r>
      <w:r w:rsidRPr="00D151C7">
        <w:rPr>
          <w:rFonts w:eastAsia="Times New Roman" w:cs="Arial"/>
          <w:color w:val="000000"/>
          <w:szCs w:val="20"/>
          <w:lang w:eastAsia="bg-BG"/>
        </w:rPr>
        <w:t>(напр.фенитоин), могат да възникнат взаимодействия.</w:t>
      </w:r>
    </w:p>
    <w:p w14:paraId="4FA584A5" w14:textId="77777777" w:rsidR="00D151C7" w:rsidRPr="00D151C7" w:rsidRDefault="00D151C7" w:rsidP="00D151C7">
      <w:pPr>
        <w:spacing w:line="240" w:lineRule="auto"/>
        <w:rPr>
          <w:rFonts w:eastAsia="Times New Roman" w:cs="Arial"/>
          <w:color w:val="000000"/>
          <w:szCs w:val="20"/>
          <w:u w:val="single"/>
          <w:lang w:eastAsia="bg-BG"/>
        </w:rPr>
      </w:pPr>
    </w:p>
    <w:p w14:paraId="4F970E3A" w14:textId="7B282F24"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Взаимодействия с други антиепилептични лекарствени продукти</w:t>
      </w:r>
    </w:p>
    <w:p w14:paraId="41A7655D" w14:textId="77777777" w:rsidR="00D151C7" w:rsidRPr="00D151C7" w:rsidRDefault="00D151C7" w:rsidP="00D151C7">
      <w:pPr>
        <w:spacing w:line="240" w:lineRule="auto"/>
        <w:rPr>
          <w:rFonts w:eastAsia="Times New Roman" w:cs="Arial"/>
          <w:i/>
          <w:iCs/>
          <w:color w:val="000000"/>
          <w:szCs w:val="20"/>
          <w:lang w:eastAsia="bg-BG"/>
        </w:rPr>
      </w:pPr>
    </w:p>
    <w:p w14:paraId="71099D76" w14:textId="1BDE7E7E"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Карбамазепин</w:t>
      </w:r>
    </w:p>
    <w:p w14:paraId="18EAA245"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При проучване при здрави доброволци, едновременното приложение на есликарбазепинов ацетат 800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веднъж дневно и карбамазепин 400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два пъти дневно води до средно намаление от 32% на експозицията на активния метаболит есликарбазепин, което най-вероятно се дължи на индукция на глюкуронирането. Не е отбелязана промяна в експозицията на карбамазепин или неговия метаболит карбамазепин-епоксид. На базата на индивидуалния отговор, може да се наложи увеличаване на дозата на есликарбазепинов ацетат, ако се използва едновременно с карбамазепин. Резултати от проучвания при пациенти показват, че едновременното лечение повишава риска от следните нежелани реакции: диплопия, нарушена координация и замаяност. Не може да се изключи рискът от повишаване на честотата на други специфични нежелани реакции, причинени от едновременното приложение на карбамазепин и есликарбазепинов ацетат.</w:t>
      </w:r>
    </w:p>
    <w:p w14:paraId="6C7B495C" w14:textId="77777777" w:rsidR="00D151C7" w:rsidRPr="00D151C7" w:rsidRDefault="00D151C7" w:rsidP="00D151C7">
      <w:pPr>
        <w:spacing w:line="240" w:lineRule="auto"/>
        <w:rPr>
          <w:rFonts w:eastAsia="Times New Roman" w:cs="Arial"/>
          <w:i/>
          <w:iCs/>
          <w:color w:val="000000"/>
          <w:szCs w:val="20"/>
          <w:lang w:eastAsia="bg-BG"/>
        </w:rPr>
      </w:pPr>
    </w:p>
    <w:p w14:paraId="7C5FE1D7" w14:textId="4DE88676"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Фенитоин</w:t>
      </w:r>
    </w:p>
    <w:p w14:paraId="0567FED4"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lastRenderedPageBreak/>
        <w:t xml:space="preserve">При проучване при здрави индивиди, едновременното приложение на есликарбазепинов ацетат в доза 1 200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веднъж дневно с фенитоин води до средно намаляване на експозицията на активния метаболит есликарбазепинов от 31-33%, което най-вероятно се дължи на индукция на глюкуронирането, и средно увеличаване на експозицията на фенитоин от 31-35%, което най- вероятно се дължи на инхибиране на </w:t>
      </w:r>
      <w:r w:rsidRPr="00D151C7">
        <w:rPr>
          <w:rFonts w:eastAsia="Times New Roman" w:cs="Arial"/>
          <w:color w:val="000000"/>
          <w:szCs w:val="20"/>
          <w:lang w:val="en-US"/>
        </w:rPr>
        <w:t>CYP</w:t>
      </w:r>
      <w:r w:rsidRPr="00D151C7">
        <w:rPr>
          <w:rFonts w:eastAsia="Times New Roman" w:cs="Arial"/>
          <w:color w:val="000000"/>
          <w:szCs w:val="20"/>
          <w:lang w:val="ru-RU"/>
        </w:rPr>
        <w:t>2</w:t>
      </w:r>
      <w:r w:rsidRPr="00D151C7">
        <w:rPr>
          <w:rFonts w:eastAsia="Times New Roman" w:cs="Arial"/>
          <w:color w:val="000000"/>
          <w:szCs w:val="20"/>
          <w:lang w:val="en-US"/>
        </w:rPr>
        <w:t>C</w:t>
      </w:r>
      <w:r w:rsidRPr="00D151C7">
        <w:rPr>
          <w:rFonts w:eastAsia="Times New Roman" w:cs="Arial"/>
          <w:color w:val="000000"/>
          <w:szCs w:val="20"/>
          <w:lang w:val="ru-RU"/>
        </w:rPr>
        <w:t xml:space="preserve">19. </w:t>
      </w:r>
      <w:r w:rsidRPr="00D151C7">
        <w:rPr>
          <w:rFonts w:eastAsia="Times New Roman" w:cs="Arial"/>
          <w:color w:val="000000"/>
          <w:szCs w:val="20"/>
          <w:lang w:eastAsia="bg-BG"/>
        </w:rPr>
        <w:t>Въз основа на индивидуалното повлияване може да се наложи дозата на есликарбазепинов ацетат да бъде увеличена, а тази на фенитоин - намалена.</w:t>
      </w:r>
    </w:p>
    <w:p w14:paraId="167E20D7" w14:textId="77777777" w:rsidR="00D151C7" w:rsidRPr="00D151C7" w:rsidRDefault="00D151C7" w:rsidP="00D151C7">
      <w:pPr>
        <w:spacing w:line="240" w:lineRule="auto"/>
        <w:rPr>
          <w:rFonts w:eastAsia="Times New Roman" w:cs="Arial"/>
          <w:i/>
          <w:iCs/>
          <w:color w:val="000000"/>
          <w:szCs w:val="20"/>
          <w:lang w:eastAsia="bg-BG"/>
        </w:rPr>
      </w:pPr>
    </w:p>
    <w:p w14:paraId="01A7B91A" w14:textId="50BA4F39"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Ламотрижин</w:t>
      </w:r>
    </w:p>
    <w:p w14:paraId="6B6613F4" w14:textId="77777777" w:rsidR="00D151C7" w:rsidRPr="00D151C7" w:rsidRDefault="00D151C7" w:rsidP="00D151C7">
      <w:pPr>
        <w:rPr>
          <w:rFonts w:eastAsia="Times New Roman" w:cs="Arial"/>
          <w:sz w:val="28"/>
          <w:szCs w:val="24"/>
        </w:rPr>
      </w:pPr>
      <w:r w:rsidRPr="00D151C7">
        <w:rPr>
          <w:rFonts w:eastAsia="Times New Roman" w:cs="Arial"/>
          <w:color w:val="000000"/>
          <w:szCs w:val="20"/>
          <w:lang w:eastAsia="bg-BG"/>
        </w:rPr>
        <w:t xml:space="preserve">Глюкуронирането е основният метаболитен път както за есликарбазепиа, така и за ламотрижин, и следователно може да се очаква взаимодействие. Проучване при здрави индивиди с есликарбазепинов ацетат в доза 1 200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веднъж дневно показва слабо средно</w:t>
      </w:r>
      <w:r w:rsidRPr="00D151C7">
        <w:rPr>
          <w:rFonts w:eastAsia="Times New Roman" w:cs="Arial"/>
          <w:color w:val="000000"/>
          <w:szCs w:val="20"/>
          <w:lang w:val="ru-RU" w:eastAsia="bg-BG"/>
        </w:rPr>
        <w:t xml:space="preserve"> </w:t>
      </w:r>
      <w:r w:rsidRPr="00D151C7">
        <w:rPr>
          <w:rFonts w:eastAsia="Times New Roman" w:cs="Arial"/>
          <w:color w:val="000000"/>
          <w:szCs w:val="20"/>
          <w:lang w:eastAsia="bg-BG"/>
        </w:rPr>
        <w:t>фармакокинетично взаимодействие (експозицията на ламотрижин намалява с 15%) между есликарбазепинов ацетат и ламотрижин и следователно корекции на дозата не се налагат. Поради интериндивидуална вариабилност обаче, при някои ефектът може да е клинично значим.</w:t>
      </w:r>
    </w:p>
    <w:p w14:paraId="478648C8" w14:textId="77777777" w:rsidR="00D151C7" w:rsidRPr="00D151C7" w:rsidRDefault="00D151C7" w:rsidP="00D151C7">
      <w:pPr>
        <w:spacing w:line="240" w:lineRule="auto"/>
        <w:rPr>
          <w:rFonts w:eastAsia="Times New Roman" w:cs="Arial"/>
          <w:i/>
          <w:iCs/>
          <w:color w:val="000000"/>
          <w:szCs w:val="20"/>
          <w:lang w:eastAsia="bg-BG"/>
        </w:rPr>
      </w:pPr>
    </w:p>
    <w:p w14:paraId="46185F0B" w14:textId="52A964A1"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Топирамат</w:t>
      </w:r>
    </w:p>
    <w:p w14:paraId="3002F5F3"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При проучване при здрави индивиди, едновременното приложение на есликарбазепинов ацетат в доза 1 200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веднъж дневно с топирамат не показва значима промяна в експозицията на есликарбазепинов, но експозицията на топирамат намалява с 18%, което най-вероятно се дължи на намалена бионаличност на топирамат. Коригиране на дозата не се изисква.</w:t>
      </w:r>
    </w:p>
    <w:p w14:paraId="5A6D74EB" w14:textId="77777777" w:rsidR="00D151C7" w:rsidRPr="00D151C7" w:rsidRDefault="00D151C7" w:rsidP="00D151C7">
      <w:pPr>
        <w:spacing w:line="240" w:lineRule="auto"/>
        <w:rPr>
          <w:rFonts w:eastAsia="Times New Roman" w:cs="Arial"/>
          <w:i/>
          <w:iCs/>
          <w:color w:val="000000"/>
          <w:szCs w:val="20"/>
          <w:lang w:eastAsia="bg-BG"/>
        </w:rPr>
      </w:pPr>
    </w:p>
    <w:p w14:paraId="7CA233A8" w14:textId="05A307C3"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Валпроат и леветирацетам</w:t>
      </w:r>
    </w:p>
    <w:p w14:paraId="75A49FB3"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Популационен фармакокинетичен анализ на фаза III проучвания при възрастни пациенти с епилепсия показва, че едновременното приложение с валпроат или леветирацетам не оказва влияние върху експозицията на есликарбазепинов, но това не е потвърдено от конвенционални проучвания за взаимодействията.</w:t>
      </w:r>
    </w:p>
    <w:p w14:paraId="787FCBF8" w14:textId="77777777" w:rsidR="00D151C7" w:rsidRPr="00D151C7" w:rsidRDefault="00D151C7" w:rsidP="00D151C7">
      <w:pPr>
        <w:spacing w:line="240" w:lineRule="auto"/>
        <w:rPr>
          <w:rFonts w:eastAsia="Times New Roman" w:cs="Arial"/>
          <w:i/>
          <w:iCs/>
          <w:color w:val="000000"/>
          <w:szCs w:val="20"/>
          <w:lang w:eastAsia="bg-BG"/>
        </w:rPr>
      </w:pPr>
    </w:p>
    <w:p w14:paraId="478F96FB" w14:textId="342B343D"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Окскарбазепин</w:t>
      </w:r>
    </w:p>
    <w:p w14:paraId="6A9FE5E3"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Едновременната употреба на есликарбазепинов ацетат с окскарбазепин не се препоръчва, защото това може да доведе до свръхекспозиция на активните метаболити.</w:t>
      </w:r>
    </w:p>
    <w:p w14:paraId="55396305" w14:textId="77777777" w:rsidR="00D151C7" w:rsidRPr="00D151C7" w:rsidRDefault="00D151C7" w:rsidP="00D151C7">
      <w:pPr>
        <w:spacing w:line="240" w:lineRule="auto"/>
        <w:rPr>
          <w:rFonts w:eastAsia="Times New Roman" w:cs="Arial"/>
          <w:color w:val="000000"/>
          <w:szCs w:val="20"/>
          <w:u w:val="single"/>
          <w:lang w:eastAsia="bg-BG"/>
        </w:rPr>
      </w:pPr>
    </w:p>
    <w:p w14:paraId="134312FA" w14:textId="59C0D1B1"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Други лекарствени продукти</w:t>
      </w:r>
    </w:p>
    <w:p w14:paraId="7F2B2003" w14:textId="77777777" w:rsidR="00D151C7" w:rsidRPr="00D151C7" w:rsidRDefault="00D151C7" w:rsidP="00D151C7">
      <w:pPr>
        <w:spacing w:line="240" w:lineRule="auto"/>
        <w:rPr>
          <w:rFonts w:eastAsia="Times New Roman" w:cs="Arial"/>
          <w:i/>
          <w:iCs/>
          <w:color w:val="000000"/>
          <w:szCs w:val="20"/>
          <w:lang w:eastAsia="bg-BG"/>
        </w:rPr>
      </w:pPr>
    </w:p>
    <w:p w14:paraId="0F3BCEAD" w14:textId="681B6CD5"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Перорални контрацептиви</w:t>
      </w:r>
    </w:p>
    <w:p w14:paraId="04746BC3" w14:textId="4C475883"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Приложението на есликарбазепинов ацетат в доза 1 200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веднъж дневно при жени, използващи комбиниран перорален контрацептив, показва средно намаление на системната експозиция на левоноргестрел и етинилестрадиол със съответно 37% и 42%, което най- вероятно се дължи на индукция на </w:t>
      </w:r>
      <w:r w:rsidRPr="00D151C7">
        <w:rPr>
          <w:rFonts w:eastAsia="Times New Roman" w:cs="Arial"/>
          <w:color w:val="000000"/>
          <w:szCs w:val="20"/>
          <w:lang w:val="en-US"/>
        </w:rPr>
        <w:t>CYP</w:t>
      </w:r>
      <w:r w:rsidRPr="00D151C7">
        <w:rPr>
          <w:rFonts w:eastAsia="Times New Roman" w:cs="Arial"/>
          <w:color w:val="000000"/>
          <w:szCs w:val="20"/>
          <w:lang w:val="ru-RU"/>
        </w:rPr>
        <w:t>3</w:t>
      </w:r>
      <w:r w:rsidRPr="00D151C7">
        <w:rPr>
          <w:rFonts w:eastAsia="Times New Roman" w:cs="Arial"/>
          <w:color w:val="000000"/>
          <w:szCs w:val="20"/>
          <w:lang w:eastAsia="bg-BG"/>
        </w:rPr>
        <w:t>А4. Затова жените с детероден потенциал трябва да използват подходяща контрацепция по време на лечение с Еслибон и до края на текущия менструален цикъл след прекратяване на лечението (вж. точка 4.6).</w:t>
      </w:r>
    </w:p>
    <w:p w14:paraId="7A52DAFA" w14:textId="77777777" w:rsidR="00D151C7" w:rsidRPr="00D151C7" w:rsidRDefault="00D151C7" w:rsidP="00D151C7">
      <w:pPr>
        <w:spacing w:line="240" w:lineRule="auto"/>
        <w:rPr>
          <w:rFonts w:eastAsia="Times New Roman" w:cs="Arial"/>
          <w:i/>
          <w:iCs/>
          <w:color w:val="000000"/>
          <w:szCs w:val="20"/>
          <w:lang w:eastAsia="bg-BG"/>
        </w:rPr>
      </w:pPr>
    </w:p>
    <w:p w14:paraId="0156D210" w14:textId="3477FDDD"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Симвастатин</w:t>
      </w:r>
    </w:p>
    <w:p w14:paraId="7AC56874"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Проучване при здрави доброволци показва средно намаление от 50% на системната експозиция на симвастатин при едновременно приложение с есликарбазепинов ацетат 800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веднъж дневно, което най-вероятно се дължи на индукция на </w:t>
      </w:r>
      <w:r w:rsidRPr="00D151C7">
        <w:rPr>
          <w:rFonts w:eastAsia="Times New Roman" w:cs="Arial"/>
          <w:color w:val="000000"/>
          <w:szCs w:val="20"/>
          <w:lang w:val="en-US"/>
        </w:rPr>
        <w:t>CYP</w:t>
      </w:r>
      <w:r w:rsidRPr="00D151C7">
        <w:rPr>
          <w:rFonts w:eastAsia="Times New Roman" w:cs="Arial"/>
          <w:color w:val="000000"/>
          <w:szCs w:val="20"/>
          <w:lang w:val="ru-RU"/>
        </w:rPr>
        <w:t>3</w:t>
      </w:r>
      <w:r w:rsidRPr="00D151C7">
        <w:rPr>
          <w:rFonts w:eastAsia="Times New Roman" w:cs="Arial"/>
          <w:color w:val="000000"/>
          <w:szCs w:val="20"/>
          <w:lang w:eastAsia="bg-BG"/>
        </w:rPr>
        <w:t>А4. Може да се наложи увеличаване на дозата на симвастатин, когато се прилага едновременно с есликарбазепинов ацетат.</w:t>
      </w:r>
    </w:p>
    <w:p w14:paraId="556E03F7" w14:textId="77777777" w:rsidR="00D151C7" w:rsidRPr="00D151C7" w:rsidRDefault="00D151C7" w:rsidP="00D151C7">
      <w:pPr>
        <w:spacing w:line="240" w:lineRule="auto"/>
        <w:rPr>
          <w:rFonts w:eastAsia="Times New Roman" w:cs="Arial"/>
          <w:i/>
          <w:iCs/>
          <w:color w:val="000000"/>
          <w:szCs w:val="20"/>
          <w:lang w:eastAsia="bg-BG"/>
        </w:rPr>
      </w:pPr>
    </w:p>
    <w:p w14:paraId="024536A3" w14:textId="57A7A4E7"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Розувастатин</w:t>
      </w:r>
    </w:p>
    <w:p w14:paraId="344DBA0C"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Наблюдава се средно намаление от 36 - 39% на системната експозиция при здрави индивиди при едновременно приложение с есликарбазепинов ацетат 1 200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веднъж дневно.</w:t>
      </w:r>
    </w:p>
    <w:p w14:paraId="1A74C2C2" w14:textId="24E725FF" w:rsidR="00D151C7" w:rsidRPr="00D151C7" w:rsidRDefault="00D151C7" w:rsidP="00D151C7">
      <w:pPr>
        <w:spacing w:line="240" w:lineRule="auto"/>
        <w:rPr>
          <w:rFonts w:eastAsia="Times New Roman" w:cs="Arial"/>
          <w:sz w:val="28"/>
          <w:szCs w:val="24"/>
          <w:lang w:val="ru-RU"/>
        </w:rPr>
      </w:pPr>
      <w:r w:rsidRPr="00D151C7">
        <w:rPr>
          <w:rFonts w:eastAsia="Times New Roman" w:cs="Arial"/>
          <w:color w:val="000000"/>
          <w:szCs w:val="20"/>
          <w:lang w:eastAsia="bg-BG"/>
        </w:rPr>
        <w:t>Механизмът за това намаление е неизвестен, но може да се дължи на влиянието на действието на транспортера на розувастатин самостоятелно или в комбинация с индукция на неговия метаболизъм. Тъй като връзката между експозицията и действието на лекарството е неясна, се препоръчва мониторинг на отговора към лечението (напр. ниво на холестерола).</w:t>
      </w:r>
    </w:p>
    <w:p w14:paraId="004CF71B" w14:textId="789AF098" w:rsidR="00D151C7" w:rsidRPr="00D151C7" w:rsidRDefault="00D151C7" w:rsidP="00D151C7">
      <w:pPr>
        <w:rPr>
          <w:rFonts w:cs="Arial"/>
          <w:sz w:val="24"/>
        </w:rPr>
      </w:pPr>
    </w:p>
    <w:p w14:paraId="6D0EAFE6" w14:textId="77777777"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Варфарин</w:t>
      </w:r>
    </w:p>
    <w:p w14:paraId="677EFED7"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Едновременното приложение на есликарбазепинов ацетат в доза 1 200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веднъж дневно с варфарин показва малко (23%), но статистически значимо увеличаване на експозицията на </w:t>
      </w:r>
      <w:r w:rsidRPr="00D151C7">
        <w:rPr>
          <w:rFonts w:eastAsia="Times New Roman" w:cs="Arial"/>
          <w:color w:val="000000"/>
          <w:szCs w:val="20"/>
          <w:lang w:val="en-US"/>
        </w:rPr>
        <w:t>S</w:t>
      </w:r>
      <w:r w:rsidRPr="00D151C7">
        <w:rPr>
          <w:rFonts w:eastAsia="Times New Roman" w:cs="Arial"/>
          <w:color w:val="000000"/>
          <w:szCs w:val="20"/>
          <w:lang w:val="ru-RU"/>
        </w:rPr>
        <w:t xml:space="preserve">- </w:t>
      </w:r>
      <w:r w:rsidRPr="00D151C7">
        <w:rPr>
          <w:rFonts w:eastAsia="Times New Roman" w:cs="Arial"/>
          <w:color w:val="000000"/>
          <w:szCs w:val="20"/>
          <w:lang w:eastAsia="bg-BG"/>
        </w:rPr>
        <w:t xml:space="preserve">варфарин. Няма ефект върху фармакокинетиката на </w:t>
      </w:r>
      <w:r w:rsidRPr="00D151C7">
        <w:rPr>
          <w:rFonts w:eastAsia="Times New Roman" w:cs="Arial"/>
          <w:color w:val="000000"/>
          <w:szCs w:val="20"/>
          <w:lang w:val="en-US"/>
        </w:rPr>
        <w:t>R</w:t>
      </w:r>
      <w:r w:rsidRPr="00D151C7">
        <w:rPr>
          <w:rFonts w:eastAsia="Times New Roman" w:cs="Arial"/>
          <w:color w:val="000000"/>
          <w:szCs w:val="20"/>
          <w:lang w:eastAsia="bg-BG"/>
        </w:rPr>
        <w:t xml:space="preserve">-варфарин или върху коагулацията. Поради интериндивидуална вариабилност на взаимодействието обаче, през първите седмици от започване или прекратяване на едновременното лечение с варфарин и есликарбазепинов ацетат трябва да се обърне специално внимание на проследяването на </w:t>
      </w:r>
      <w:r w:rsidRPr="00D151C7">
        <w:rPr>
          <w:rFonts w:eastAsia="Times New Roman" w:cs="Arial"/>
          <w:color w:val="000000"/>
          <w:szCs w:val="20"/>
          <w:lang w:val="en-US"/>
        </w:rPr>
        <w:t>INR</w:t>
      </w:r>
      <w:r w:rsidRPr="00D151C7">
        <w:rPr>
          <w:rFonts w:eastAsia="Times New Roman" w:cs="Arial"/>
          <w:color w:val="000000"/>
          <w:szCs w:val="20"/>
          <w:lang w:val="ru-RU"/>
        </w:rPr>
        <w:t>.</w:t>
      </w:r>
    </w:p>
    <w:p w14:paraId="3CDF5CA2" w14:textId="77777777" w:rsidR="00D151C7" w:rsidRPr="00D151C7" w:rsidRDefault="00D151C7" w:rsidP="00D151C7">
      <w:pPr>
        <w:spacing w:line="240" w:lineRule="auto"/>
        <w:rPr>
          <w:rFonts w:eastAsia="Times New Roman" w:cs="Arial"/>
          <w:i/>
          <w:iCs/>
          <w:color w:val="000000"/>
          <w:szCs w:val="20"/>
          <w:lang w:eastAsia="bg-BG"/>
        </w:rPr>
      </w:pPr>
    </w:p>
    <w:p w14:paraId="0E037AB7" w14:textId="1437D47C"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Дигоксин</w:t>
      </w:r>
    </w:p>
    <w:p w14:paraId="36877494"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 xml:space="preserve">Проучване при здрави индивиди не показва ефект на есликарбазепинов ацетат в доза 1 200 </w:t>
      </w:r>
      <w:r w:rsidRPr="00D151C7">
        <w:rPr>
          <w:rFonts w:eastAsia="Times New Roman" w:cs="Arial"/>
          <w:color w:val="000000"/>
          <w:szCs w:val="20"/>
          <w:lang w:val="en-US"/>
        </w:rPr>
        <w:t>mg</w:t>
      </w:r>
      <w:r w:rsidRPr="00D151C7">
        <w:rPr>
          <w:rFonts w:eastAsia="Times New Roman" w:cs="Arial"/>
          <w:color w:val="000000"/>
          <w:szCs w:val="20"/>
          <w:lang w:val="ru-RU"/>
        </w:rPr>
        <w:t xml:space="preserve"> </w:t>
      </w:r>
      <w:r w:rsidRPr="00D151C7">
        <w:rPr>
          <w:rFonts w:eastAsia="Times New Roman" w:cs="Arial"/>
          <w:color w:val="000000"/>
          <w:szCs w:val="20"/>
          <w:lang w:eastAsia="bg-BG"/>
        </w:rPr>
        <w:t>веднъж дневно върху фармакокинетиката на дигоксин, което предполага, че есликарбазепинов ацетат няма ефект върху транспортера Р-гликопротеин.</w:t>
      </w:r>
    </w:p>
    <w:p w14:paraId="4FC37E94" w14:textId="77777777" w:rsidR="00D151C7" w:rsidRPr="00D151C7" w:rsidRDefault="00D151C7" w:rsidP="00D151C7">
      <w:pPr>
        <w:spacing w:line="240" w:lineRule="auto"/>
        <w:rPr>
          <w:rFonts w:eastAsia="Times New Roman" w:cs="Arial"/>
          <w:i/>
          <w:iCs/>
          <w:color w:val="000000"/>
          <w:szCs w:val="20"/>
          <w:lang w:eastAsia="bg-BG"/>
        </w:rPr>
      </w:pPr>
    </w:p>
    <w:p w14:paraId="05903127" w14:textId="5FF1868B"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Инхибитори на моноаминооксидазата (МАО-инхибитори)</w:t>
      </w:r>
    </w:p>
    <w:p w14:paraId="07BA616A"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Въз основа на структурното сходство на есликарбазепинов ацетат с трицикличните антидепресанти, взаимодействие между есликарбазепинов ацетат и МАО-инхибиторите е теоретично възможно.</w:t>
      </w:r>
    </w:p>
    <w:p w14:paraId="69A5F34E" w14:textId="1E73DC31" w:rsidR="00D151C7" w:rsidRPr="00D151C7" w:rsidRDefault="00D151C7" w:rsidP="00D151C7"/>
    <w:p w14:paraId="5D9F40EA" w14:textId="0B3E65F3" w:rsidR="007122AD" w:rsidRDefault="002C50EE" w:rsidP="00936AD0">
      <w:pPr>
        <w:pStyle w:val="Heading2"/>
      </w:pPr>
      <w:r>
        <w:t>4.6. Фертилитет, бременност и кърмене</w:t>
      </w:r>
    </w:p>
    <w:p w14:paraId="73D9C289" w14:textId="5DD30A02" w:rsidR="00D151C7" w:rsidRDefault="00D151C7" w:rsidP="00D151C7"/>
    <w:p w14:paraId="6434CEFB"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Риск, свързан с епилепсията и антиепилетичните лекарствени продукти като цяло</w:t>
      </w:r>
    </w:p>
    <w:p w14:paraId="32B02F28" w14:textId="77777777" w:rsidR="00D151C7" w:rsidRPr="00D151C7" w:rsidRDefault="00D151C7" w:rsidP="00D151C7">
      <w:pPr>
        <w:spacing w:line="240" w:lineRule="auto"/>
        <w:rPr>
          <w:rFonts w:eastAsia="Times New Roman" w:cs="Arial"/>
          <w:color w:val="000000"/>
          <w:szCs w:val="20"/>
          <w:lang w:eastAsia="bg-BG"/>
        </w:rPr>
      </w:pPr>
    </w:p>
    <w:p w14:paraId="58F5618D" w14:textId="3A8C47ED"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Доказано е, че при поколението на жени с епилепсия, разпространението на малформации е два до три пъти по-голямо, в сравнение с честотата от приблизително 3% при общата популация. Най-често се съобщават цепка на небцето, сърдечно-съдови малформации и дефекти на невралната тръба. Лечението с няколко антиепилетични лекарствени продукти може да се свързано с по-висок риск от вродени малформации, в сравнение с монотерапията, затова е важно да се прилага монотерапия, когато е възможно. На жените, които може да забременеят или които са с детероден потенциал, трябва да се осигури консултация със специалист. Необходимостта от антиепилептично лечение трябва да бъде преразгледана, когато пациентка планира бременност. Не трябва да се предприема внезапно прекратвяване на антиепилептичното лечение, тъй като това може да доведе до нова поява на припадъци, които могат да имат сериозни последици както за майката, така и за детето.</w:t>
      </w:r>
    </w:p>
    <w:p w14:paraId="2C42363D" w14:textId="77777777" w:rsidR="00D151C7" w:rsidRPr="00D151C7" w:rsidRDefault="00D151C7" w:rsidP="00D151C7">
      <w:pPr>
        <w:spacing w:line="240" w:lineRule="auto"/>
        <w:rPr>
          <w:rFonts w:eastAsia="Times New Roman" w:cs="Arial"/>
          <w:color w:val="000000"/>
          <w:szCs w:val="20"/>
          <w:u w:val="single"/>
          <w:lang w:eastAsia="bg-BG"/>
        </w:rPr>
      </w:pPr>
    </w:p>
    <w:p w14:paraId="58AC4D6A" w14:textId="2C0DE620"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Жени с детероден потенциал/контрацепция</w:t>
      </w:r>
    </w:p>
    <w:p w14:paraId="1EC41E44" w14:textId="77777777" w:rsidR="00D151C7" w:rsidRPr="00D151C7" w:rsidRDefault="00D151C7" w:rsidP="00D151C7">
      <w:pPr>
        <w:spacing w:line="240" w:lineRule="auto"/>
        <w:rPr>
          <w:rFonts w:eastAsia="Times New Roman" w:cs="Arial"/>
          <w:color w:val="000000"/>
          <w:szCs w:val="20"/>
          <w:lang w:eastAsia="bg-BG"/>
        </w:rPr>
      </w:pPr>
    </w:p>
    <w:p w14:paraId="6522CAA0" w14:textId="0327891F"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lastRenderedPageBreak/>
        <w:t>Есликарбазепинов ацетат взаимодейства неблагоприятно с пероралните контрацептиви. Следователно по време на и до края на текущия менструален цикъл след лечението трябва да се използва алтернативен, ефективен и безопасен метод за контрацепция.</w:t>
      </w:r>
    </w:p>
    <w:p w14:paraId="2CB46B82" w14:textId="77777777" w:rsidR="00D151C7" w:rsidRPr="00D151C7" w:rsidRDefault="00D151C7" w:rsidP="00D151C7">
      <w:pPr>
        <w:spacing w:line="240" w:lineRule="auto"/>
        <w:rPr>
          <w:rFonts w:eastAsia="Times New Roman" w:cs="Arial"/>
          <w:color w:val="000000"/>
          <w:szCs w:val="20"/>
          <w:u w:val="single"/>
          <w:lang w:eastAsia="bg-BG"/>
        </w:rPr>
      </w:pPr>
    </w:p>
    <w:p w14:paraId="02C44448" w14:textId="64C9CC6D" w:rsidR="00D151C7" w:rsidRPr="00D151C7" w:rsidRDefault="00D151C7" w:rsidP="00D151C7">
      <w:pPr>
        <w:pStyle w:val="Heading3"/>
        <w:rPr>
          <w:rFonts w:eastAsia="Times New Roman"/>
          <w:sz w:val="28"/>
          <w:u w:val="single"/>
        </w:rPr>
      </w:pPr>
      <w:r w:rsidRPr="00D151C7">
        <w:rPr>
          <w:rFonts w:eastAsia="Times New Roman"/>
          <w:u w:val="single"/>
          <w:lang w:eastAsia="bg-BG"/>
        </w:rPr>
        <w:t>Бременност</w:t>
      </w:r>
    </w:p>
    <w:p w14:paraId="1B7F8D1F" w14:textId="081839BF" w:rsidR="00D151C7" w:rsidRPr="00D151C7" w:rsidRDefault="00D151C7" w:rsidP="00D151C7">
      <w:pPr>
        <w:rPr>
          <w:rFonts w:eastAsia="Times New Roman" w:cs="Arial"/>
          <w:sz w:val="28"/>
          <w:szCs w:val="24"/>
        </w:rPr>
      </w:pPr>
      <w:r w:rsidRPr="00D151C7">
        <w:rPr>
          <w:rFonts w:eastAsia="Times New Roman" w:cs="Arial"/>
          <w:color w:val="000000"/>
          <w:szCs w:val="20"/>
          <w:lang w:eastAsia="bg-BG"/>
        </w:rPr>
        <w:t>Няма данни за употребата на есликарбазепинов ацетат при бременни жени. Проучванията при животни показват репродуктивна токсичност (вж. Фертилитет). Ако приемащи есликарбазепинов ацетат жени забременеят или планират бременност, употребата на Еслибон трябва да бъде внимателно преоценена. Трябва да се прилагат минималните ефективни дози и когато е възможно, трябва да се предпочита монотерапията, поне през първите три месеца от</w:t>
      </w:r>
      <w:r w:rsidRPr="00D151C7">
        <w:rPr>
          <w:rFonts w:eastAsia="Times New Roman" w:cs="Arial"/>
          <w:color w:val="000000"/>
          <w:szCs w:val="20"/>
          <w:lang w:val="ru-RU" w:eastAsia="bg-BG"/>
        </w:rPr>
        <w:t xml:space="preserve"> </w:t>
      </w:r>
      <w:r w:rsidRPr="00D151C7">
        <w:rPr>
          <w:rFonts w:eastAsia="Times New Roman" w:cs="Arial"/>
          <w:color w:val="000000"/>
          <w:szCs w:val="20"/>
          <w:lang w:eastAsia="bg-BG"/>
        </w:rPr>
        <w:t>бременността. Пациентките трябва да бъдат консултирани относно възможността за повишен риск от малформации и да им бъде дадена възможност да се подложат на пренатален скрининг.</w:t>
      </w:r>
    </w:p>
    <w:p w14:paraId="617DF3D7" w14:textId="77777777" w:rsidR="00D151C7" w:rsidRPr="00D151C7" w:rsidRDefault="00D151C7" w:rsidP="00D151C7">
      <w:pPr>
        <w:spacing w:line="240" w:lineRule="auto"/>
        <w:rPr>
          <w:rFonts w:eastAsia="Times New Roman" w:cs="Arial"/>
          <w:i/>
          <w:iCs/>
          <w:color w:val="000000"/>
          <w:szCs w:val="20"/>
          <w:lang w:eastAsia="bg-BG"/>
        </w:rPr>
      </w:pPr>
    </w:p>
    <w:p w14:paraId="0755A79F" w14:textId="64851B87"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Проследяване и профилактика</w:t>
      </w:r>
    </w:p>
    <w:p w14:paraId="7C0C2B91"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Антиепилептичните лекарствени продукти могат да доведат до дефицит на фолиева киселина- вероятна причина за фетални аномалии. Преди и по време на бременността се препоръчва прием на добавки, съдържащи фолиева киселина. Тъй като ефикасността на такива добавки не е доказана, специфична пренатална диагностика може да бъде предложена дори и жените да приемат фолиева киселина.</w:t>
      </w:r>
    </w:p>
    <w:p w14:paraId="031E6E09" w14:textId="77777777" w:rsidR="00D151C7" w:rsidRPr="00D151C7" w:rsidRDefault="00D151C7" w:rsidP="00D151C7">
      <w:pPr>
        <w:spacing w:line="240" w:lineRule="auto"/>
        <w:rPr>
          <w:rFonts w:eastAsia="Times New Roman" w:cs="Arial"/>
          <w:i/>
          <w:iCs/>
          <w:color w:val="000000"/>
          <w:szCs w:val="20"/>
          <w:lang w:eastAsia="bg-BG"/>
        </w:rPr>
      </w:pPr>
    </w:p>
    <w:p w14:paraId="79F04B57" w14:textId="38006B3A" w:rsidR="00D151C7" w:rsidRPr="00D151C7" w:rsidRDefault="00D151C7" w:rsidP="00D151C7">
      <w:pPr>
        <w:spacing w:line="240" w:lineRule="auto"/>
        <w:rPr>
          <w:rFonts w:eastAsia="Times New Roman" w:cs="Arial"/>
          <w:sz w:val="28"/>
          <w:szCs w:val="24"/>
        </w:rPr>
      </w:pPr>
      <w:r w:rsidRPr="00D151C7">
        <w:rPr>
          <w:rFonts w:eastAsia="Times New Roman" w:cs="Arial"/>
          <w:i/>
          <w:iCs/>
          <w:color w:val="000000"/>
          <w:szCs w:val="20"/>
          <w:lang w:eastAsia="bg-BG"/>
        </w:rPr>
        <w:t>При новороденото дете</w:t>
      </w:r>
    </w:p>
    <w:p w14:paraId="12873794"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При новородените се съобщава се за нарушения на кръвосъсирването, причинени от антиепилептичните лекарствени средства. Като предпазна мярка в последните седмици от бременността и на новороденото трябва да се приложи витамин К1.</w:t>
      </w:r>
    </w:p>
    <w:p w14:paraId="7FDE79CD" w14:textId="77777777" w:rsidR="00D151C7" w:rsidRPr="00D151C7" w:rsidRDefault="00D151C7" w:rsidP="00D151C7">
      <w:pPr>
        <w:spacing w:line="240" w:lineRule="auto"/>
        <w:rPr>
          <w:rFonts w:eastAsia="Times New Roman" w:cs="Arial"/>
          <w:color w:val="000000"/>
          <w:szCs w:val="20"/>
          <w:u w:val="single"/>
          <w:lang w:eastAsia="bg-BG"/>
        </w:rPr>
      </w:pPr>
    </w:p>
    <w:p w14:paraId="686BDCB0" w14:textId="416FFA34" w:rsidR="00D151C7" w:rsidRPr="00D151C7" w:rsidRDefault="00D151C7" w:rsidP="00D151C7">
      <w:pPr>
        <w:pStyle w:val="Heading3"/>
        <w:rPr>
          <w:rFonts w:eastAsia="Times New Roman"/>
          <w:sz w:val="28"/>
          <w:u w:val="single"/>
        </w:rPr>
      </w:pPr>
      <w:r w:rsidRPr="00D151C7">
        <w:rPr>
          <w:rFonts w:eastAsia="Times New Roman"/>
          <w:u w:val="single"/>
          <w:lang w:eastAsia="bg-BG"/>
        </w:rPr>
        <w:t>Кърмене</w:t>
      </w:r>
    </w:p>
    <w:p w14:paraId="0CFE476C"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Не е известно дали есликарбазепинов ацетат се екскретира в кърмата. Проучванията при животни показват екскреция на есликарбазепинов с млякото. Тъй като не може да бъде изключен риск за кърмачето, кърменето трябва бъде преустановено за периода на лечението с есликарбазепинов ацетат.</w:t>
      </w:r>
    </w:p>
    <w:p w14:paraId="626642A9" w14:textId="77777777" w:rsidR="00D151C7" w:rsidRPr="00D151C7" w:rsidRDefault="00D151C7" w:rsidP="00D151C7">
      <w:pPr>
        <w:spacing w:line="240" w:lineRule="auto"/>
        <w:rPr>
          <w:rFonts w:eastAsia="Times New Roman" w:cs="Arial"/>
          <w:color w:val="000000"/>
          <w:szCs w:val="20"/>
          <w:u w:val="single"/>
          <w:lang w:eastAsia="bg-BG"/>
        </w:rPr>
      </w:pPr>
    </w:p>
    <w:p w14:paraId="1206BAE7" w14:textId="14F3A74F" w:rsidR="00D151C7" w:rsidRPr="00D151C7" w:rsidRDefault="00D151C7" w:rsidP="00D151C7">
      <w:pPr>
        <w:pStyle w:val="Heading3"/>
        <w:rPr>
          <w:rFonts w:eastAsia="Times New Roman"/>
          <w:sz w:val="28"/>
          <w:u w:val="single"/>
        </w:rPr>
      </w:pPr>
      <w:r w:rsidRPr="00D151C7">
        <w:rPr>
          <w:rFonts w:eastAsia="Times New Roman"/>
          <w:u w:val="single"/>
          <w:lang w:eastAsia="bg-BG"/>
        </w:rPr>
        <w:t>Фертилитет</w:t>
      </w:r>
    </w:p>
    <w:p w14:paraId="273CDA08"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Няма данни за ефектите на есликарбазепинов ацетат върху фертилигета при хора. Проучвания при животни показват увреждане на фертилитета след лечение с есликарбазепинов ацетат (вж. точка 5.3).</w:t>
      </w:r>
    </w:p>
    <w:p w14:paraId="64C80710" w14:textId="4FEED4E5" w:rsidR="00D151C7" w:rsidRPr="00D151C7" w:rsidRDefault="00D151C7" w:rsidP="00D151C7">
      <w:pPr>
        <w:rPr>
          <w:rFonts w:ascii="Times New Roman" w:eastAsia="Times New Roman" w:hAnsi="Times New Roman" w:cs="Times New Roman"/>
          <w:color w:val="000000"/>
          <w:sz w:val="20"/>
          <w:szCs w:val="20"/>
          <w:lang w:eastAsia="bg-BG"/>
        </w:rPr>
      </w:pPr>
    </w:p>
    <w:p w14:paraId="5DD7A76D" w14:textId="59FAE571" w:rsidR="007122AD" w:rsidRDefault="002C50EE" w:rsidP="00936AD0">
      <w:pPr>
        <w:pStyle w:val="Heading2"/>
      </w:pPr>
      <w:r>
        <w:t>4.7. Ефекти върху способността за шофиране и работа с машини</w:t>
      </w:r>
    </w:p>
    <w:p w14:paraId="09410356" w14:textId="1E29A135" w:rsidR="00D151C7" w:rsidRDefault="00D151C7" w:rsidP="00D151C7"/>
    <w:p w14:paraId="3399669E" w14:textId="77777777" w:rsidR="00D151C7" w:rsidRPr="00D151C7" w:rsidRDefault="00D151C7" w:rsidP="00D151C7">
      <w:pPr>
        <w:rPr>
          <w:sz w:val="24"/>
          <w:szCs w:val="24"/>
        </w:rPr>
      </w:pPr>
      <w:r w:rsidRPr="00D151C7">
        <w:rPr>
          <w:lang w:eastAsia="bg-BG"/>
        </w:rPr>
        <w:t>Еслибон повлиява в малка до умерена степен способността за шофиране и работа с машини. Някои пациенти могат да изпитат замайване, сомнолентност или нарушения на зрението, особено в началото на лечението. Следователно пациентите трябва да бъдат посъветвани, че техните физически и/или умствени способности, необходими за работа с машини или шофиране, могат да бъдат нарушени и не се препоръчва да ги извършват, докато не бъде установено, че способността им да извършват такива дейности не е засегната.</w:t>
      </w:r>
    </w:p>
    <w:p w14:paraId="2D1BEC81" w14:textId="234CCBD5" w:rsidR="00D151C7" w:rsidRPr="00D151C7" w:rsidRDefault="00D151C7" w:rsidP="00D151C7"/>
    <w:p w14:paraId="44CE30A3" w14:textId="1F027D1D" w:rsidR="007122AD" w:rsidRDefault="002C50EE" w:rsidP="00936AD0">
      <w:pPr>
        <w:pStyle w:val="Heading2"/>
      </w:pPr>
      <w:r>
        <w:lastRenderedPageBreak/>
        <w:t>4.8. Нежелани лекарствени реакции</w:t>
      </w:r>
    </w:p>
    <w:p w14:paraId="3D86807A" w14:textId="54348258" w:rsidR="00D151C7" w:rsidRDefault="00D151C7" w:rsidP="00D151C7"/>
    <w:p w14:paraId="1B10DC7F"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Обобщение на профила на безопасност</w:t>
      </w:r>
    </w:p>
    <w:p w14:paraId="70E7A4EA"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При клиничните изпитвания (допълваща терапия и монотерапия), 2 434 пациенти с парциални пристъпи са лекувани с есликарбазепинов ацетат (1 983 възрастни и 451 педиатрични пациенти) и 51% от лекуваните пациенти са получили нежелани лекарствени реакции.</w:t>
      </w:r>
    </w:p>
    <w:p w14:paraId="1157A21D" w14:textId="77777777" w:rsidR="00D151C7" w:rsidRPr="00D151C7" w:rsidRDefault="00D151C7" w:rsidP="00D151C7">
      <w:pPr>
        <w:spacing w:line="240" w:lineRule="auto"/>
        <w:rPr>
          <w:rFonts w:eastAsia="Times New Roman" w:cs="Arial"/>
          <w:color w:val="000000"/>
          <w:szCs w:val="20"/>
          <w:lang w:eastAsia="bg-BG"/>
        </w:rPr>
      </w:pPr>
    </w:p>
    <w:p w14:paraId="01AE885E" w14:textId="1FB22C3B"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Нежеланите лекарствени реакции обикновено са леки до умерени по интенцитет и се проявяват предимно през първите седмици от лечението с есликарбазепинов ацетат.</w:t>
      </w:r>
    </w:p>
    <w:p w14:paraId="7D794D3F" w14:textId="69F2F25F" w:rsidR="00D151C7" w:rsidRPr="00D151C7" w:rsidRDefault="00D151C7" w:rsidP="00D151C7">
      <w:pPr>
        <w:rPr>
          <w:rFonts w:cs="Arial"/>
          <w:sz w:val="24"/>
        </w:rPr>
      </w:pPr>
    </w:p>
    <w:p w14:paraId="230AE854"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Рисковете, които са идентифицирани за есликарбазепинов ацетат, са предимно базирани на класа, дозо-зависими нежелани лекарствени реакции. Най-честите нежелани реакции, съобщени при клинични проучвания при възрастни пациенти с епилепсия, както при групите, на плацебо така и при групите на есликарбазепинов ацетат, са замаяност, сънливост, главоболие и гадене. По-голямата част от нежеланите реакции са били докладвани при &lt;3% от пациентите във всяка група.</w:t>
      </w:r>
    </w:p>
    <w:p w14:paraId="001D5EF8" w14:textId="77777777" w:rsidR="00D151C7" w:rsidRPr="00D151C7" w:rsidRDefault="00D151C7" w:rsidP="00D151C7">
      <w:pPr>
        <w:spacing w:line="240" w:lineRule="auto"/>
        <w:rPr>
          <w:rFonts w:eastAsia="Times New Roman" w:cs="Arial"/>
          <w:color w:val="000000"/>
          <w:szCs w:val="20"/>
          <w:u w:val="single"/>
          <w:lang w:eastAsia="bg-BG"/>
        </w:rPr>
      </w:pPr>
    </w:p>
    <w:p w14:paraId="747F9523" w14:textId="355B06B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u w:val="single"/>
          <w:lang w:eastAsia="bg-BG"/>
        </w:rPr>
        <w:t>Табличен списък на нежеланите лекарствени реакции</w:t>
      </w:r>
    </w:p>
    <w:p w14:paraId="5D894983" w14:textId="77777777"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Нежеланите реакции, свързани с еслекарбазепинов ацетет, са получени от клиничните проучвания и постмаркетинговото наблюдение, и са представени по-долу.</w:t>
      </w:r>
    </w:p>
    <w:p w14:paraId="4A9F886B" w14:textId="77777777" w:rsidR="00D151C7" w:rsidRPr="00D151C7" w:rsidRDefault="00D151C7" w:rsidP="00D151C7">
      <w:pPr>
        <w:spacing w:line="240" w:lineRule="auto"/>
        <w:rPr>
          <w:rFonts w:eastAsia="Times New Roman" w:cs="Arial"/>
          <w:color w:val="000000"/>
          <w:szCs w:val="20"/>
          <w:lang w:eastAsia="bg-BG"/>
        </w:rPr>
      </w:pPr>
    </w:p>
    <w:p w14:paraId="76D612B5" w14:textId="01D10453"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Следната конвенция е използвана за класификацията на нежеланите реакции: много чести (≥1/10), чести (≥1/100 до &lt;1/10), нечести (≥1/1 000 до &lt;1/100) и с неизвестна честота (от наличните данни не може да бъде направена оценка). При всяко групиране по честота, нежеланите лекарствени реакции се изброяват в низходящ ред по отношение на тяхната сериозност.</w:t>
      </w:r>
    </w:p>
    <w:p w14:paraId="1684F3A3" w14:textId="77777777" w:rsidR="00D151C7" w:rsidRPr="00D151C7" w:rsidRDefault="00D151C7" w:rsidP="00D151C7">
      <w:pPr>
        <w:spacing w:line="240" w:lineRule="auto"/>
        <w:rPr>
          <w:rFonts w:eastAsia="Times New Roman" w:cs="Arial"/>
          <w:color w:val="000000"/>
          <w:szCs w:val="20"/>
          <w:lang w:eastAsia="bg-BG"/>
        </w:rPr>
      </w:pPr>
    </w:p>
    <w:p w14:paraId="0D98AE15" w14:textId="654155C9" w:rsidR="00D151C7" w:rsidRPr="00D151C7" w:rsidRDefault="00D151C7" w:rsidP="00D151C7">
      <w:pPr>
        <w:spacing w:line="240" w:lineRule="auto"/>
        <w:rPr>
          <w:rFonts w:eastAsia="Times New Roman" w:cs="Arial"/>
          <w:sz w:val="28"/>
          <w:szCs w:val="24"/>
        </w:rPr>
      </w:pPr>
      <w:r w:rsidRPr="00D151C7">
        <w:rPr>
          <w:rFonts w:eastAsia="Times New Roman" w:cs="Arial"/>
          <w:color w:val="000000"/>
          <w:szCs w:val="20"/>
          <w:lang w:eastAsia="bg-BG"/>
        </w:rPr>
        <w:t>Таблица 1: Нежелани реакции при лечение с есликарбазепинов ацетат, получени от клиничните проучвания и постмаркетинговото наблюдение</w:t>
      </w:r>
    </w:p>
    <w:tbl>
      <w:tblPr>
        <w:tblStyle w:val="TableGrid"/>
        <w:tblW w:w="0" w:type="auto"/>
        <w:tblLook w:val="04A0" w:firstRow="1" w:lastRow="0" w:firstColumn="1" w:lastColumn="0" w:noHBand="0" w:noVBand="1"/>
      </w:tblPr>
      <w:tblGrid>
        <w:gridCol w:w="2341"/>
        <w:gridCol w:w="1343"/>
        <w:gridCol w:w="1797"/>
        <w:gridCol w:w="2346"/>
        <w:gridCol w:w="1523"/>
      </w:tblGrid>
      <w:tr w:rsidR="00D151C7" w14:paraId="752325B4" w14:textId="77777777" w:rsidTr="00D151C7">
        <w:tc>
          <w:tcPr>
            <w:tcW w:w="2401" w:type="dxa"/>
          </w:tcPr>
          <w:p w14:paraId="4BCF28C0" w14:textId="41C85BB7" w:rsidR="00D151C7" w:rsidRPr="00D151C7" w:rsidRDefault="00D151C7" w:rsidP="00D151C7">
            <w:r w:rsidRPr="00D151C7">
              <w:rPr>
                <w:b/>
                <w:bCs/>
                <w:szCs w:val="20"/>
              </w:rPr>
              <w:t>Системо-органен клас</w:t>
            </w:r>
          </w:p>
        </w:tc>
        <w:tc>
          <w:tcPr>
            <w:tcW w:w="1373" w:type="dxa"/>
          </w:tcPr>
          <w:p w14:paraId="655B262A" w14:textId="3E736607" w:rsidR="00D151C7" w:rsidRPr="00D151C7" w:rsidRDefault="00D151C7" w:rsidP="00D151C7">
            <w:r w:rsidRPr="00D151C7">
              <w:rPr>
                <w:b/>
                <w:bCs/>
                <w:szCs w:val="20"/>
              </w:rPr>
              <w:t>Много чести</w:t>
            </w:r>
          </w:p>
        </w:tc>
        <w:tc>
          <w:tcPr>
            <w:tcW w:w="1840" w:type="dxa"/>
          </w:tcPr>
          <w:p w14:paraId="74D3FFFB" w14:textId="6C1DFF9E" w:rsidR="00D151C7" w:rsidRPr="00D151C7" w:rsidRDefault="00D151C7" w:rsidP="00D151C7">
            <w:r w:rsidRPr="00D151C7">
              <w:rPr>
                <w:b/>
                <w:bCs/>
                <w:szCs w:val="20"/>
              </w:rPr>
              <w:t>Чести</w:t>
            </w:r>
          </w:p>
        </w:tc>
        <w:tc>
          <w:tcPr>
            <w:tcW w:w="2404" w:type="dxa"/>
          </w:tcPr>
          <w:p w14:paraId="04104184" w14:textId="55E451E0" w:rsidR="00D151C7" w:rsidRPr="00D151C7" w:rsidRDefault="00D151C7" w:rsidP="00D151C7">
            <w:r w:rsidRPr="00D151C7">
              <w:rPr>
                <w:b/>
                <w:bCs/>
                <w:szCs w:val="20"/>
              </w:rPr>
              <w:t>Нечести</w:t>
            </w:r>
          </w:p>
        </w:tc>
        <w:tc>
          <w:tcPr>
            <w:tcW w:w="1558" w:type="dxa"/>
          </w:tcPr>
          <w:p w14:paraId="7EAE05D8" w14:textId="3325D36B" w:rsidR="00D151C7" w:rsidRPr="00D151C7" w:rsidRDefault="00D151C7" w:rsidP="00D151C7">
            <w:r w:rsidRPr="00D151C7">
              <w:rPr>
                <w:b/>
                <w:bCs/>
                <w:szCs w:val="20"/>
              </w:rPr>
              <w:t>С неизвестна честота</w:t>
            </w:r>
          </w:p>
        </w:tc>
      </w:tr>
      <w:tr w:rsidR="00D151C7" w14:paraId="098CCC77" w14:textId="77777777" w:rsidTr="00D151C7">
        <w:tc>
          <w:tcPr>
            <w:tcW w:w="2401" w:type="dxa"/>
          </w:tcPr>
          <w:p w14:paraId="606A5C81" w14:textId="4D2C8FEE" w:rsidR="00D151C7" w:rsidRPr="00D151C7" w:rsidRDefault="00D151C7" w:rsidP="00D151C7">
            <w:r w:rsidRPr="00D151C7">
              <w:rPr>
                <w:b/>
                <w:bCs/>
                <w:szCs w:val="20"/>
              </w:rPr>
              <w:t>Нарушения на кръвта и лимфната система</w:t>
            </w:r>
          </w:p>
        </w:tc>
        <w:tc>
          <w:tcPr>
            <w:tcW w:w="1373" w:type="dxa"/>
          </w:tcPr>
          <w:p w14:paraId="6B6BB347" w14:textId="77777777" w:rsidR="00D151C7" w:rsidRPr="00D151C7" w:rsidRDefault="00D151C7" w:rsidP="00D151C7"/>
        </w:tc>
        <w:tc>
          <w:tcPr>
            <w:tcW w:w="1840" w:type="dxa"/>
          </w:tcPr>
          <w:p w14:paraId="1DC992A5" w14:textId="77777777" w:rsidR="00D151C7" w:rsidRPr="00D151C7" w:rsidRDefault="00D151C7" w:rsidP="00D151C7"/>
        </w:tc>
        <w:tc>
          <w:tcPr>
            <w:tcW w:w="2404" w:type="dxa"/>
          </w:tcPr>
          <w:p w14:paraId="590B947D" w14:textId="419A720E" w:rsidR="00D151C7" w:rsidRPr="00D151C7" w:rsidRDefault="00D151C7" w:rsidP="00D151C7">
            <w:r w:rsidRPr="00D151C7">
              <w:rPr>
                <w:szCs w:val="20"/>
              </w:rPr>
              <w:t>Анемия</w:t>
            </w:r>
          </w:p>
        </w:tc>
        <w:tc>
          <w:tcPr>
            <w:tcW w:w="1558" w:type="dxa"/>
          </w:tcPr>
          <w:p w14:paraId="2C4C635E" w14:textId="5D165FB2" w:rsidR="00D151C7" w:rsidRPr="00D151C7" w:rsidRDefault="00D151C7" w:rsidP="00D151C7">
            <w:r w:rsidRPr="00D151C7">
              <w:rPr>
                <w:szCs w:val="20"/>
              </w:rPr>
              <w:t>Тромбоцито пения, левкопения</w:t>
            </w:r>
          </w:p>
        </w:tc>
      </w:tr>
      <w:tr w:rsidR="00D151C7" w14:paraId="044EC07B" w14:textId="77777777" w:rsidTr="00D151C7">
        <w:tc>
          <w:tcPr>
            <w:tcW w:w="2401" w:type="dxa"/>
          </w:tcPr>
          <w:p w14:paraId="798CB75C" w14:textId="3E621CFC" w:rsidR="00D151C7" w:rsidRPr="00D151C7" w:rsidRDefault="00D151C7" w:rsidP="00D151C7">
            <w:r w:rsidRPr="00D151C7">
              <w:rPr>
                <w:b/>
                <w:bCs/>
                <w:szCs w:val="20"/>
              </w:rPr>
              <w:t>Нарушения на имунната система</w:t>
            </w:r>
          </w:p>
        </w:tc>
        <w:tc>
          <w:tcPr>
            <w:tcW w:w="1373" w:type="dxa"/>
          </w:tcPr>
          <w:p w14:paraId="2663453A" w14:textId="77777777" w:rsidR="00D151C7" w:rsidRPr="00D151C7" w:rsidRDefault="00D151C7" w:rsidP="00D151C7"/>
        </w:tc>
        <w:tc>
          <w:tcPr>
            <w:tcW w:w="1840" w:type="dxa"/>
          </w:tcPr>
          <w:p w14:paraId="49637ED6" w14:textId="77777777" w:rsidR="00D151C7" w:rsidRPr="00D151C7" w:rsidRDefault="00D151C7" w:rsidP="00D151C7"/>
        </w:tc>
        <w:tc>
          <w:tcPr>
            <w:tcW w:w="2404" w:type="dxa"/>
          </w:tcPr>
          <w:p w14:paraId="0905BD80" w14:textId="54FEC9E9" w:rsidR="00D151C7" w:rsidRPr="00D151C7" w:rsidRDefault="00D151C7" w:rsidP="00D151C7">
            <w:r w:rsidRPr="00D151C7">
              <w:rPr>
                <w:szCs w:val="20"/>
              </w:rPr>
              <w:t>Свръхчувствителност</w:t>
            </w:r>
          </w:p>
        </w:tc>
        <w:tc>
          <w:tcPr>
            <w:tcW w:w="1558" w:type="dxa"/>
          </w:tcPr>
          <w:p w14:paraId="3C437E3D" w14:textId="77777777" w:rsidR="00D151C7" w:rsidRPr="00D151C7" w:rsidRDefault="00D151C7" w:rsidP="00D151C7"/>
        </w:tc>
      </w:tr>
      <w:tr w:rsidR="00D151C7" w14:paraId="51F4E4FC" w14:textId="77777777" w:rsidTr="00D151C7">
        <w:tc>
          <w:tcPr>
            <w:tcW w:w="2401" w:type="dxa"/>
          </w:tcPr>
          <w:p w14:paraId="5C3AEBC0" w14:textId="4D94CBBB" w:rsidR="00D151C7" w:rsidRPr="00D151C7" w:rsidRDefault="00D151C7" w:rsidP="00D151C7">
            <w:r w:rsidRPr="00D151C7">
              <w:rPr>
                <w:b/>
                <w:bCs/>
                <w:szCs w:val="20"/>
              </w:rPr>
              <w:t>Нарушения на ендокринната система</w:t>
            </w:r>
          </w:p>
        </w:tc>
        <w:tc>
          <w:tcPr>
            <w:tcW w:w="1373" w:type="dxa"/>
          </w:tcPr>
          <w:p w14:paraId="5B730003" w14:textId="77777777" w:rsidR="00D151C7" w:rsidRPr="00D151C7" w:rsidRDefault="00D151C7" w:rsidP="00D151C7"/>
        </w:tc>
        <w:tc>
          <w:tcPr>
            <w:tcW w:w="1840" w:type="dxa"/>
          </w:tcPr>
          <w:p w14:paraId="65D45611" w14:textId="77777777" w:rsidR="00D151C7" w:rsidRPr="00D151C7" w:rsidRDefault="00D151C7" w:rsidP="00D151C7"/>
        </w:tc>
        <w:tc>
          <w:tcPr>
            <w:tcW w:w="2404" w:type="dxa"/>
          </w:tcPr>
          <w:p w14:paraId="1DF6C85C" w14:textId="6058A7D6" w:rsidR="00D151C7" w:rsidRPr="00D151C7" w:rsidRDefault="00D151C7" w:rsidP="00D151C7">
            <w:r w:rsidRPr="00D151C7">
              <w:rPr>
                <w:szCs w:val="20"/>
              </w:rPr>
              <w:t>Хипотиреоидизъм</w:t>
            </w:r>
          </w:p>
        </w:tc>
        <w:tc>
          <w:tcPr>
            <w:tcW w:w="1558" w:type="dxa"/>
          </w:tcPr>
          <w:p w14:paraId="1F712067" w14:textId="77777777" w:rsidR="00D151C7" w:rsidRPr="00D151C7" w:rsidRDefault="00D151C7" w:rsidP="00D151C7"/>
        </w:tc>
      </w:tr>
      <w:tr w:rsidR="00D151C7" w14:paraId="09EEA6E4" w14:textId="77777777" w:rsidTr="00D151C7">
        <w:tc>
          <w:tcPr>
            <w:tcW w:w="2401" w:type="dxa"/>
          </w:tcPr>
          <w:p w14:paraId="3B018205" w14:textId="442BB3F4" w:rsidR="00D151C7" w:rsidRPr="00D151C7" w:rsidRDefault="00D151C7" w:rsidP="00D151C7">
            <w:r w:rsidRPr="00D151C7">
              <w:rPr>
                <w:b/>
                <w:bCs/>
                <w:szCs w:val="20"/>
              </w:rPr>
              <w:t>Нарушения на метаболизма и храненето</w:t>
            </w:r>
          </w:p>
        </w:tc>
        <w:tc>
          <w:tcPr>
            <w:tcW w:w="1373" w:type="dxa"/>
          </w:tcPr>
          <w:p w14:paraId="43E5D7ED" w14:textId="77777777" w:rsidR="00D151C7" w:rsidRPr="00D151C7" w:rsidRDefault="00D151C7" w:rsidP="00D151C7"/>
        </w:tc>
        <w:tc>
          <w:tcPr>
            <w:tcW w:w="1840" w:type="dxa"/>
          </w:tcPr>
          <w:p w14:paraId="63997E54" w14:textId="5BA3711B" w:rsidR="00D151C7" w:rsidRPr="00D151C7" w:rsidRDefault="00D151C7" w:rsidP="00D151C7">
            <w:r w:rsidRPr="00D151C7">
              <w:rPr>
                <w:szCs w:val="20"/>
              </w:rPr>
              <w:t>Хипонатриемия, понижен апетит</w:t>
            </w:r>
          </w:p>
        </w:tc>
        <w:tc>
          <w:tcPr>
            <w:tcW w:w="2404" w:type="dxa"/>
            <w:vAlign w:val="bottom"/>
          </w:tcPr>
          <w:p w14:paraId="1290578D" w14:textId="2836EE01" w:rsidR="00D151C7" w:rsidRPr="00D151C7" w:rsidRDefault="00D151C7" w:rsidP="00D151C7">
            <w:r w:rsidRPr="00D151C7">
              <w:rPr>
                <w:szCs w:val="20"/>
              </w:rPr>
              <w:t>Електролитен дисбаланс, обезводняване, хипохлоремия</w:t>
            </w:r>
          </w:p>
        </w:tc>
        <w:tc>
          <w:tcPr>
            <w:tcW w:w="1558" w:type="dxa"/>
          </w:tcPr>
          <w:p w14:paraId="467B7970" w14:textId="77777777" w:rsidR="00D151C7" w:rsidRPr="00D151C7" w:rsidRDefault="00D151C7" w:rsidP="00D151C7"/>
        </w:tc>
      </w:tr>
      <w:tr w:rsidR="00D151C7" w14:paraId="5BFE6417" w14:textId="77777777" w:rsidTr="00D151C7">
        <w:tc>
          <w:tcPr>
            <w:tcW w:w="2401" w:type="dxa"/>
          </w:tcPr>
          <w:p w14:paraId="23852D34" w14:textId="63D44803" w:rsidR="00D151C7" w:rsidRPr="00D151C7" w:rsidRDefault="00D151C7" w:rsidP="00D151C7">
            <w:r w:rsidRPr="00D151C7">
              <w:rPr>
                <w:b/>
                <w:bCs/>
                <w:szCs w:val="20"/>
              </w:rPr>
              <w:t>Психични нарушения</w:t>
            </w:r>
          </w:p>
        </w:tc>
        <w:tc>
          <w:tcPr>
            <w:tcW w:w="1373" w:type="dxa"/>
          </w:tcPr>
          <w:p w14:paraId="4723FC75" w14:textId="77777777" w:rsidR="00D151C7" w:rsidRPr="00D151C7" w:rsidRDefault="00D151C7" w:rsidP="00D151C7"/>
        </w:tc>
        <w:tc>
          <w:tcPr>
            <w:tcW w:w="1840" w:type="dxa"/>
          </w:tcPr>
          <w:p w14:paraId="4A98E2CE" w14:textId="61DB955F" w:rsidR="00D151C7" w:rsidRPr="00D151C7" w:rsidRDefault="00D151C7" w:rsidP="00D151C7">
            <w:r w:rsidRPr="00D151C7">
              <w:rPr>
                <w:szCs w:val="20"/>
              </w:rPr>
              <w:t>Инсомния</w:t>
            </w:r>
          </w:p>
        </w:tc>
        <w:tc>
          <w:tcPr>
            <w:tcW w:w="2404" w:type="dxa"/>
            <w:vAlign w:val="bottom"/>
          </w:tcPr>
          <w:p w14:paraId="6641CB8E" w14:textId="3FFE4823" w:rsidR="00D151C7" w:rsidRPr="00D151C7" w:rsidRDefault="00D151C7" w:rsidP="00D151C7">
            <w:r w:rsidRPr="00D151C7">
              <w:rPr>
                <w:szCs w:val="20"/>
              </w:rPr>
              <w:t xml:space="preserve">Психотично разстройство, апатия, депресия, нервност, възбуда, </w:t>
            </w:r>
            <w:r w:rsidRPr="00D151C7">
              <w:rPr>
                <w:szCs w:val="20"/>
              </w:rPr>
              <w:lastRenderedPageBreak/>
              <w:t>раздразнителност, разстройство с дефицит на вниманието/ хиперактивност, състояние на обърканост, смяна на настроението, плач, психомоторно забавяне</w:t>
            </w:r>
          </w:p>
        </w:tc>
        <w:tc>
          <w:tcPr>
            <w:tcW w:w="1558" w:type="dxa"/>
          </w:tcPr>
          <w:p w14:paraId="052AF4CF" w14:textId="77777777" w:rsidR="00D151C7" w:rsidRPr="00D151C7" w:rsidRDefault="00D151C7" w:rsidP="00D151C7"/>
        </w:tc>
      </w:tr>
      <w:tr w:rsidR="00D151C7" w14:paraId="6DDDF46E" w14:textId="77777777" w:rsidTr="00D151C7">
        <w:tc>
          <w:tcPr>
            <w:tcW w:w="2401" w:type="dxa"/>
          </w:tcPr>
          <w:p w14:paraId="4952BDB7" w14:textId="19222C67" w:rsidR="00D151C7" w:rsidRPr="00D151C7" w:rsidRDefault="00D151C7" w:rsidP="00D151C7">
            <w:r w:rsidRPr="00D151C7">
              <w:rPr>
                <w:b/>
                <w:bCs/>
                <w:szCs w:val="20"/>
              </w:rPr>
              <w:t>Нарушения на нервната система</w:t>
            </w:r>
          </w:p>
        </w:tc>
        <w:tc>
          <w:tcPr>
            <w:tcW w:w="1373" w:type="dxa"/>
          </w:tcPr>
          <w:p w14:paraId="0644FCE3" w14:textId="4F0E1C0C" w:rsidR="00D151C7" w:rsidRPr="00D151C7" w:rsidRDefault="00D151C7" w:rsidP="00D151C7">
            <w:r w:rsidRPr="00D151C7">
              <w:rPr>
                <w:szCs w:val="20"/>
              </w:rPr>
              <w:t>Замайване, сомнолент ност</w:t>
            </w:r>
          </w:p>
        </w:tc>
        <w:tc>
          <w:tcPr>
            <w:tcW w:w="1840" w:type="dxa"/>
          </w:tcPr>
          <w:p w14:paraId="1FA6370E" w14:textId="6B56CDC6" w:rsidR="00D151C7" w:rsidRPr="00D151C7" w:rsidRDefault="00D151C7" w:rsidP="00D151C7">
            <w:r w:rsidRPr="00D151C7">
              <w:rPr>
                <w:szCs w:val="20"/>
              </w:rPr>
              <w:t>Главоболие, разстройство на вниманието, тремор, атаксия, нарушение на равновесието</w:t>
            </w:r>
          </w:p>
        </w:tc>
        <w:tc>
          <w:tcPr>
            <w:tcW w:w="2404" w:type="dxa"/>
            <w:vAlign w:val="bottom"/>
          </w:tcPr>
          <w:p w14:paraId="469ADC77" w14:textId="7C2127D3" w:rsidR="00D151C7" w:rsidRPr="00D151C7" w:rsidRDefault="00D151C7" w:rsidP="00D151C7">
            <w:r w:rsidRPr="00D151C7">
              <w:rPr>
                <w:szCs w:val="20"/>
              </w:rPr>
              <w:t>Нарушена координация, нарушение на паметта, амнезия, хиперсомния, седиране, афазия, дизестезия, дистония, летаргия,паросмия, церебеларен синдром, припадък, периферна невропатия, нистагъм, разстройство на речта, дизартрия, усещане за парене, парестезия, мигрена</w:t>
            </w:r>
          </w:p>
        </w:tc>
        <w:tc>
          <w:tcPr>
            <w:tcW w:w="1558" w:type="dxa"/>
          </w:tcPr>
          <w:p w14:paraId="3E08ACE7" w14:textId="77777777" w:rsidR="00D151C7" w:rsidRPr="00D151C7" w:rsidRDefault="00D151C7" w:rsidP="00D151C7"/>
        </w:tc>
      </w:tr>
      <w:tr w:rsidR="00D151C7" w14:paraId="4445D482" w14:textId="77777777" w:rsidTr="00D151C7">
        <w:tc>
          <w:tcPr>
            <w:tcW w:w="2401" w:type="dxa"/>
          </w:tcPr>
          <w:p w14:paraId="76F709FB" w14:textId="1F01D672" w:rsidR="00D151C7" w:rsidRPr="00D151C7" w:rsidRDefault="00D151C7" w:rsidP="00D151C7">
            <w:r w:rsidRPr="00D151C7">
              <w:rPr>
                <w:b/>
                <w:bCs/>
                <w:szCs w:val="20"/>
              </w:rPr>
              <w:t>Нарушения на очите</w:t>
            </w:r>
          </w:p>
        </w:tc>
        <w:tc>
          <w:tcPr>
            <w:tcW w:w="1373" w:type="dxa"/>
          </w:tcPr>
          <w:p w14:paraId="7E46E348" w14:textId="77777777" w:rsidR="00D151C7" w:rsidRPr="00D151C7" w:rsidRDefault="00D151C7" w:rsidP="00D151C7"/>
        </w:tc>
        <w:tc>
          <w:tcPr>
            <w:tcW w:w="1840" w:type="dxa"/>
          </w:tcPr>
          <w:p w14:paraId="008A402A" w14:textId="248C9295" w:rsidR="00D151C7" w:rsidRPr="00D151C7" w:rsidRDefault="00D151C7" w:rsidP="00D151C7">
            <w:r w:rsidRPr="00D151C7">
              <w:rPr>
                <w:szCs w:val="20"/>
              </w:rPr>
              <w:t>Диплопия, замъглено зрение</w:t>
            </w:r>
          </w:p>
        </w:tc>
        <w:tc>
          <w:tcPr>
            <w:tcW w:w="2404" w:type="dxa"/>
            <w:vAlign w:val="bottom"/>
          </w:tcPr>
          <w:p w14:paraId="52CC3A3D" w14:textId="3FE01653" w:rsidR="00D151C7" w:rsidRPr="00D151C7" w:rsidRDefault="00D151C7" w:rsidP="00D151C7">
            <w:r w:rsidRPr="00D151C7">
              <w:rPr>
                <w:szCs w:val="20"/>
              </w:rPr>
              <w:t>Увреждане на зрението,осцилопсия, биокулярно нарушение на движението на очите, хиперемия на окото</w:t>
            </w:r>
          </w:p>
        </w:tc>
        <w:tc>
          <w:tcPr>
            <w:tcW w:w="1558" w:type="dxa"/>
          </w:tcPr>
          <w:p w14:paraId="7FE30BBA" w14:textId="77777777" w:rsidR="00D151C7" w:rsidRPr="00D151C7" w:rsidRDefault="00D151C7" w:rsidP="00D151C7"/>
        </w:tc>
      </w:tr>
      <w:tr w:rsidR="00D151C7" w14:paraId="53365A3C" w14:textId="77777777" w:rsidTr="00D151C7">
        <w:tc>
          <w:tcPr>
            <w:tcW w:w="2401" w:type="dxa"/>
          </w:tcPr>
          <w:p w14:paraId="45F65578" w14:textId="12C550D6" w:rsidR="00D151C7" w:rsidRPr="00D151C7" w:rsidRDefault="00D151C7" w:rsidP="00D151C7">
            <w:r w:rsidRPr="00D151C7">
              <w:rPr>
                <w:b/>
                <w:bCs/>
                <w:szCs w:val="20"/>
              </w:rPr>
              <w:t>Нарушения на ухото и лабиринта</w:t>
            </w:r>
          </w:p>
        </w:tc>
        <w:tc>
          <w:tcPr>
            <w:tcW w:w="1373" w:type="dxa"/>
          </w:tcPr>
          <w:p w14:paraId="1639B90F" w14:textId="77777777" w:rsidR="00D151C7" w:rsidRPr="00D151C7" w:rsidRDefault="00D151C7" w:rsidP="00D151C7"/>
        </w:tc>
        <w:tc>
          <w:tcPr>
            <w:tcW w:w="1840" w:type="dxa"/>
          </w:tcPr>
          <w:p w14:paraId="3F7D2D78" w14:textId="36BADDB0" w:rsidR="00D151C7" w:rsidRPr="00D151C7" w:rsidRDefault="00D151C7" w:rsidP="00D151C7">
            <w:r w:rsidRPr="00D151C7">
              <w:rPr>
                <w:szCs w:val="20"/>
              </w:rPr>
              <w:t>Вертиго</w:t>
            </w:r>
          </w:p>
        </w:tc>
        <w:tc>
          <w:tcPr>
            <w:tcW w:w="2404" w:type="dxa"/>
          </w:tcPr>
          <w:p w14:paraId="40463733" w14:textId="39D76867" w:rsidR="00D151C7" w:rsidRPr="00D151C7" w:rsidRDefault="00D151C7" w:rsidP="00D151C7">
            <w:r w:rsidRPr="00D151C7">
              <w:rPr>
                <w:szCs w:val="20"/>
              </w:rPr>
              <w:t>Хипоакузис, тинитус</w:t>
            </w:r>
          </w:p>
        </w:tc>
        <w:tc>
          <w:tcPr>
            <w:tcW w:w="1558" w:type="dxa"/>
          </w:tcPr>
          <w:p w14:paraId="60C07ADD" w14:textId="77777777" w:rsidR="00D151C7" w:rsidRPr="00D151C7" w:rsidRDefault="00D151C7" w:rsidP="00D151C7"/>
        </w:tc>
      </w:tr>
      <w:tr w:rsidR="00D151C7" w14:paraId="4967A694" w14:textId="77777777" w:rsidTr="00D151C7">
        <w:tc>
          <w:tcPr>
            <w:tcW w:w="2401" w:type="dxa"/>
            <w:vAlign w:val="bottom"/>
          </w:tcPr>
          <w:p w14:paraId="6730837D" w14:textId="17CD0B7E" w:rsidR="00D151C7" w:rsidRPr="00D151C7" w:rsidRDefault="00D151C7" w:rsidP="00D151C7">
            <w:r w:rsidRPr="00D151C7">
              <w:rPr>
                <w:b/>
                <w:bCs/>
                <w:szCs w:val="20"/>
              </w:rPr>
              <w:t>Сърдечни нарушения</w:t>
            </w:r>
          </w:p>
        </w:tc>
        <w:tc>
          <w:tcPr>
            <w:tcW w:w="1373" w:type="dxa"/>
          </w:tcPr>
          <w:p w14:paraId="4B314E7E" w14:textId="77777777" w:rsidR="00D151C7" w:rsidRPr="00D151C7" w:rsidRDefault="00D151C7" w:rsidP="00D151C7"/>
        </w:tc>
        <w:tc>
          <w:tcPr>
            <w:tcW w:w="1840" w:type="dxa"/>
          </w:tcPr>
          <w:p w14:paraId="3D9D09D2" w14:textId="77777777" w:rsidR="00D151C7" w:rsidRPr="00D151C7" w:rsidRDefault="00D151C7" w:rsidP="00D151C7"/>
        </w:tc>
        <w:tc>
          <w:tcPr>
            <w:tcW w:w="2404" w:type="dxa"/>
            <w:vAlign w:val="bottom"/>
          </w:tcPr>
          <w:p w14:paraId="4C8E9328" w14:textId="303E8C9C" w:rsidR="00D151C7" w:rsidRPr="00D151C7" w:rsidRDefault="00D151C7" w:rsidP="00D151C7">
            <w:r w:rsidRPr="00D151C7">
              <w:rPr>
                <w:szCs w:val="20"/>
              </w:rPr>
              <w:t>Палпитации, брадикардия</w:t>
            </w:r>
          </w:p>
        </w:tc>
        <w:tc>
          <w:tcPr>
            <w:tcW w:w="1558" w:type="dxa"/>
          </w:tcPr>
          <w:p w14:paraId="14B04584" w14:textId="77777777" w:rsidR="00D151C7" w:rsidRPr="00D151C7" w:rsidRDefault="00D151C7" w:rsidP="00D151C7"/>
        </w:tc>
      </w:tr>
      <w:tr w:rsidR="00D151C7" w14:paraId="617914E4" w14:textId="77777777" w:rsidTr="00D151C7">
        <w:tc>
          <w:tcPr>
            <w:tcW w:w="2401" w:type="dxa"/>
          </w:tcPr>
          <w:p w14:paraId="286E5C80" w14:textId="5264D475" w:rsidR="00D151C7" w:rsidRPr="00D151C7" w:rsidRDefault="00D151C7" w:rsidP="00D151C7">
            <w:r w:rsidRPr="00D151C7">
              <w:rPr>
                <w:b/>
                <w:bCs/>
                <w:szCs w:val="20"/>
              </w:rPr>
              <w:t>Съдови нарушения</w:t>
            </w:r>
          </w:p>
        </w:tc>
        <w:tc>
          <w:tcPr>
            <w:tcW w:w="1373" w:type="dxa"/>
          </w:tcPr>
          <w:p w14:paraId="2CDF6115" w14:textId="77777777" w:rsidR="00D151C7" w:rsidRPr="00D151C7" w:rsidRDefault="00D151C7" w:rsidP="00D151C7"/>
        </w:tc>
        <w:tc>
          <w:tcPr>
            <w:tcW w:w="1840" w:type="dxa"/>
          </w:tcPr>
          <w:p w14:paraId="109C4084" w14:textId="77777777" w:rsidR="00D151C7" w:rsidRPr="00D151C7" w:rsidRDefault="00D151C7" w:rsidP="00D151C7"/>
        </w:tc>
        <w:tc>
          <w:tcPr>
            <w:tcW w:w="2404" w:type="dxa"/>
            <w:vAlign w:val="bottom"/>
          </w:tcPr>
          <w:p w14:paraId="5563D248" w14:textId="01377DE0" w:rsidR="00D151C7" w:rsidRPr="00D151C7" w:rsidRDefault="00D151C7" w:rsidP="00D151C7">
            <w:r w:rsidRPr="00D151C7">
              <w:rPr>
                <w:szCs w:val="20"/>
              </w:rPr>
              <w:t>Хипертония (включително хипертонични кризи), хипотония, ортостатична хипотония, зачервяване, студени крайници</w:t>
            </w:r>
          </w:p>
        </w:tc>
        <w:tc>
          <w:tcPr>
            <w:tcW w:w="1558" w:type="dxa"/>
          </w:tcPr>
          <w:p w14:paraId="7186F530" w14:textId="77777777" w:rsidR="00D151C7" w:rsidRPr="00D151C7" w:rsidRDefault="00D151C7" w:rsidP="00D151C7"/>
        </w:tc>
      </w:tr>
      <w:tr w:rsidR="00D151C7" w14:paraId="61396329" w14:textId="77777777" w:rsidTr="00D151C7">
        <w:tc>
          <w:tcPr>
            <w:tcW w:w="2401" w:type="dxa"/>
            <w:vAlign w:val="bottom"/>
          </w:tcPr>
          <w:p w14:paraId="7D2362BD" w14:textId="48E4A708" w:rsidR="00D151C7" w:rsidRPr="00D151C7" w:rsidRDefault="00D151C7" w:rsidP="00D151C7">
            <w:r w:rsidRPr="00D151C7">
              <w:rPr>
                <w:b/>
                <w:bCs/>
                <w:szCs w:val="20"/>
              </w:rPr>
              <w:lastRenderedPageBreak/>
              <w:t>Респираторни, гръдни и медиастинални нарушения</w:t>
            </w:r>
          </w:p>
        </w:tc>
        <w:tc>
          <w:tcPr>
            <w:tcW w:w="1373" w:type="dxa"/>
          </w:tcPr>
          <w:p w14:paraId="518FECC9" w14:textId="77777777" w:rsidR="00D151C7" w:rsidRPr="00D151C7" w:rsidRDefault="00D151C7" w:rsidP="00D151C7"/>
        </w:tc>
        <w:tc>
          <w:tcPr>
            <w:tcW w:w="1840" w:type="dxa"/>
          </w:tcPr>
          <w:p w14:paraId="197BCC3D" w14:textId="77777777" w:rsidR="00D151C7" w:rsidRPr="00D151C7" w:rsidRDefault="00D151C7" w:rsidP="00D151C7"/>
        </w:tc>
        <w:tc>
          <w:tcPr>
            <w:tcW w:w="2404" w:type="dxa"/>
          </w:tcPr>
          <w:p w14:paraId="3D57053F" w14:textId="06E8C1A4" w:rsidR="00D151C7" w:rsidRPr="00D151C7" w:rsidRDefault="00D151C7" w:rsidP="00D151C7">
            <w:r w:rsidRPr="00D151C7">
              <w:rPr>
                <w:szCs w:val="20"/>
              </w:rPr>
              <w:t>Епистаксис, болка в гърдите</w:t>
            </w:r>
          </w:p>
        </w:tc>
        <w:tc>
          <w:tcPr>
            <w:tcW w:w="1558" w:type="dxa"/>
          </w:tcPr>
          <w:p w14:paraId="4E71077F" w14:textId="77777777" w:rsidR="00D151C7" w:rsidRPr="00D151C7" w:rsidRDefault="00D151C7" w:rsidP="00D151C7"/>
        </w:tc>
      </w:tr>
      <w:tr w:rsidR="00D151C7" w14:paraId="33DBD893" w14:textId="77777777" w:rsidTr="00D151C7">
        <w:tc>
          <w:tcPr>
            <w:tcW w:w="2401" w:type="dxa"/>
          </w:tcPr>
          <w:p w14:paraId="719DF56E" w14:textId="2A596674" w:rsidR="00D151C7" w:rsidRPr="00D151C7" w:rsidRDefault="00D151C7" w:rsidP="00D151C7">
            <w:r w:rsidRPr="00D151C7">
              <w:rPr>
                <w:b/>
                <w:bCs/>
                <w:szCs w:val="20"/>
              </w:rPr>
              <w:t>Стомашночревни нарушения</w:t>
            </w:r>
          </w:p>
        </w:tc>
        <w:tc>
          <w:tcPr>
            <w:tcW w:w="1373" w:type="dxa"/>
          </w:tcPr>
          <w:p w14:paraId="53DD7F7C" w14:textId="77777777" w:rsidR="00D151C7" w:rsidRPr="00D151C7" w:rsidRDefault="00D151C7" w:rsidP="00D151C7"/>
        </w:tc>
        <w:tc>
          <w:tcPr>
            <w:tcW w:w="1840" w:type="dxa"/>
          </w:tcPr>
          <w:p w14:paraId="7370A211" w14:textId="42BC3A9F" w:rsidR="00D151C7" w:rsidRPr="00D151C7" w:rsidRDefault="00D151C7" w:rsidP="00D151C7">
            <w:r w:rsidRPr="00D151C7">
              <w:rPr>
                <w:szCs w:val="20"/>
              </w:rPr>
              <w:t>Гадене, повръщане, диария</w:t>
            </w:r>
          </w:p>
        </w:tc>
        <w:tc>
          <w:tcPr>
            <w:tcW w:w="2404" w:type="dxa"/>
            <w:vAlign w:val="bottom"/>
          </w:tcPr>
          <w:p w14:paraId="43066734" w14:textId="4A21AE5E" w:rsidR="00D151C7" w:rsidRPr="00D151C7" w:rsidRDefault="00D151C7" w:rsidP="00D151C7">
            <w:r w:rsidRPr="00D151C7">
              <w:rPr>
                <w:szCs w:val="20"/>
              </w:rPr>
              <w:t>Запек, диспепсия, гастрит, коремна болка, сухота в устата, дискомфорт в коремната област, подуване на корема, гингивит, мелена, зъбобол</w:t>
            </w:r>
          </w:p>
        </w:tc>
        <w:tc>
          <w:tcPr>
            <w:tcW w:w="1558" w:type="dxa"/>
          </w:tcPr>
          <w:p w14:paraId="67B207A3" w14:textId="092B265E" w:rsidR="00D151C7" w:rsidRPr="00D151C7" w:rsidRDefault="00D151C7" w:rsidP="00D151C7">
            <w:r w:rsidRPr="00D151C7">
              <w:rPr>
                <w:szCs w:val="20"/>
              </w:rPr>
              <w:t>Панкреатит</w:t>
            </w:r>
          </w:p>
        </w:tc>
      </w:tr>
      <w:tr w:rsidR="00D151C7" w14:paraId="744EF8CA" w14:textId="77777777" w:rsidTr="00D151C7">
        <w:tc>
          <w:tcPr>
            <w:tcW w:w="2401" w:type="dxa"/>
            <w:vAlign w:val="bottom"/>
          </w:tcPr>
          <w:p w14:paraId="14104982" w14:textId="576B8BEF" w:rsidR="00D151C7" w:rsidRPr="00D151C7" w:rsidRDefault="00D151C7" w:rsidP="00D151C7">
            <w:r w:rsidRPr="00D151C7">
              <w:rPr>
                <w:b/>
                <w:bCs/>
                <w:szCs w:val="20"/>
              </w:rPr>
              <w:t>Хенатобилнарни нарушения</w:t>
            </w:r>
          </w:p>
        </w:tc>
        <w:tc>
          <w:tcPr>
            <w:tcW w:w="1373" w:type="dxa"/>
          </w:tcPr>
          <w:p w14:paraId="4FE0CC5A" w14:textId="77777777" w:rsidR="00D151C7" w:rsidRPr="00D151C7" w:rsidRDefault="00D151C7" w:rsidP="00D151C7"/>
        </w:tc>
        <w:tc>
          <w:tcPr>
            <w:tcW w:w="1840" w:type="dxa"/>
          </w:tcPr>
          <w:p w14:paraId="7E0C8783" w14:textId="77777777" w:rsidR="00D151C7" w:rsidRPr="00D151C7" w:rsidRDefault="00D151C7" w:rsidP="00D151C7"/>
        </w:tc>
        <w:tc>
          <w:tcPr>
            <w:tcW w:w="2404" w:type="dxa"/>
            <w:vAlign w:val="bottom"/>
          </w:tcPr>
          <w:p w14:paraId="41B79F3B" w14:textId="53E43AF9" w:rsidR="00D151C7" w:rsidRPr="00D151C7" w:rsidRDefault="00D151C7" w:rsidP="00D151C7">
            <w:r w:rsidRPr="00D151C7">
              <w:rPr>
                <w:szCs w:val="20"/>
              </w:rPr>
              <w:t>Чернодробно увреждане</w:t>
            </w:r>
          </w:p>
        </w:tc>
        <w:tc>
          <w:tcPr>
            <w:tcW w:w="1558" w:type="dxa"/>
          </w:tcPr>
          <w:p w14:paraId="3C6470FA" w14:textId="77777777" w:rsidR="00D151C7" w:rsidRPr="00D151C7" w:rsidRDefault="00D151C7" w:rsidP="00D151C7"/>
        </w:tc>
      </w:tr>
      <w:tr w:rsidR="00D151C7" w14:paraId="47014FC5" w14:textId="77777777" w:rsidTr="00D151C7">
        <w:tc>
          <w:tcPr>
            <w:tcW w:w="2401" w:type="dxa"/>
          </w:tcPr>
          <w:p w14:paraId="14AB52A6" w14:textId="75B7328D" w:rsidR="00D151C7" w:rsidRPr="00D151C7" w:rsidRDefault="00D151C7" w:rsidP="00D151C7">
            <w:r w:rsidRPr="00D151C7">
              <w:rPr>
                <w:b/>
                <w:bCs/>
                <w:szCs w:val="20"/>
              </w:rPr>
              <w:t>Нарушения на кожата и подкожната тъкан</w:t>
            </w:r>
          </w:p>
        </w:tc>
        <w:tc>
          <w:tcPr>
            <w:tcW w:w="1373" w:type="dxa"/>
          </w:tcPr>
          <w:p w14:paraId="0B8E6820" w14:textId="77777777" w:rsidR="00D151C7" w:rsidRPr="00D151C7" w:rsidRDefault="00D151C7" w:rsidP="00D151C7"/>
        </w:tc>
        <w:tc>
          <w:tcPr>
            <w:tcW w:w="1840" w:type="dxa"/>
          </w:tcPr>
          <w:p w14:paraId="713D417A" w14:textId="101B5219" w:rsidR="00D151C7" w:rsidRPr="00D151C7" w:rsidRDefault="00D151C7" w:rsidP="00D151C7">
            <w:r w:rsidRPr="00D151C7">
              <w:rPr>
                <w:szCs w:val="20"/>
              </w:rPr>
              <w:t>Обрив</w:t>
            </w:r>
          </w:p>
        </w:tc>
        <w:tc>
          <w:tcPr>
            <w:tcW w:w="2404" w:type="dxa"/>
          </w:tcPr>
          <w:p w14:paraId="5605EBD1" w14:textId="03293AC3" w:rsidR="00D151C7" w:rsidRPr="00D151C7" w:rsidRDefault="00D151C7" w:rsidP="00D151C7">
            <w:r w:rsidRPr="00D151C7">
              <w:rPr>
                <w:szCs w:val="20"/>
              </w:rPr>
              <w:t>Алопеция, суха кожа, хиперхидроза, еритема, нарушения на кожата, пруритус, алергичен дерматит</w:t>
            </w:r>
          </w:p>
        </w:tc>
        <w:tc>
          <w:tcPr>
            <w:tcW w:w="1558" w:type="dxa"/>
            <w:vAlign w:val="bottom"/>
          </w:tcPr>
          <w:p w14:paraId="3C348C90" w14:textId="5FC00EB9" w:rsidR="00D151C7" w:rsidRPr="00D151C7" w:rsidRDefault="00D151C7" w:rsidP="00D151C7">
            <w:r w:rsidRPr="00D151C7">
              <w:rPr>
                <w:szCs w:val="20"/>
              </w:rPr>
              <w:t>Лекарствена реакция с еозинофилия и системни симптоми (</w:t>
            </w:r>
            <w:r w:rsidRPr="00D151C7">
              <w:rPr>
                <w:szCs w:val="20"/>
                <w:lang w:val="en-US"/>
              </w:rPr>
              <w:t>Drug</w:t>
            </w:r>
            <w:r w:rsidRPr="00D151C7">
              <w:rPr>
                <w:szCs w:val="20"/>
              </w:rPr>
              <w:t xml:space="preserve"> </w:t>
            </w:r>
            <w:r w:rsidRPr="00D151C7">
              <w:rPr>
                <w:szCs w:val="20"/>
                <w:lang w:val="en-US"/>
              </w:rPr>
              <w:t>reaction</w:t>
            </w:r>
            <w:r w:rsidRPr="00D151C7">
              <w:rPr>
                <w:szCs w:val="20"/>
              </w:rPr>
              <w:t xml:space="preserve"> </w:t>
            </w:r>
            <w:r w:rsidRPr="00D151C7">
              <w:rPr>
                <w:szCs w:val="20"/>
                <w:lang w:val="en-US"/>
              </w:rPr>
              <w:t>with</w:t>
            </w:r>
            <w:r w:rsidRPr="00D151C7">
              <w:rPr>
                <w:szCs w:val="20"/>
              </w:rPr>
              <w:t xml:space="preserve"> </w:t>
            </w:r>
            <w:r w:rsidRPr="00D151C7">
              <w:rPr>
                <w:szCs w:val="20"/>
                <w:lang w:val="en-US"/>
              </w:rPr>
              <w:t>eosinophilia</w:t>
            </w:r>
            <w:r w:rsidRPr="00D151C7">
              <w:rPr>
                <w:szCs w:val="20"/>
              </w:rPr>
              <w:t xml:space="preserve"> </w:t>
            </w:r>
            <w:r w:rsidRPr="00D151C7">
              <w:rPr>
                <w:szCs w:val="20"/>
                <w:lang w:val="en-US"/>
              </w:rPr>
              <w:t>and</w:t>
            </w:r>
            <w:r w:rsidRPr="00D151C7">
              <w:rPr>
                <w:szCs w:val="20"/>
              </w:rPr>
              <w:t xml:space="preserve"> </w:t>
            </w:r>
            <w:r w:rsidRPr="00D151C7">
              <w:rPr>
                <w:szCs w:val="20"/>
                <w:lang w:val="en-US"/>
              </w:rPr>
              <w:t>systemic</w:t>
            </w:r>
            <w:r w:rsidRPr="00D151C7">
              <w:rPr>
                <w:szCs w:val="20"/>
              </w:rPr>
              <w:t xml:space="preserve"> </w:t>
            </w:r>
            <w:r w:rsidRPr="00D151C7">
              <w:rPr>
                <w:szCs w:val="20"/>
                <w:lang w:val="en-US"/>
              </w:rPr>
              <w:t>symptoms</w:t>
            </w:r>
            <w:r w:rsidRPr="00D151C7">
              <w:rPr>
                <w:szCs w:val="20"/>
              </w:rPr>
              <w:t xml:space="preserve">, </w:t>
            </w:r>
            <w:r w:rsidRPr="00D151C7">
              <w:rPr>
                <w:szCs w:val="20"/>
                <w:lang w:val="en-US"/>
              </w:rPr>
              <w:t>DRESS</w:t>
            </w:r>
            <w:r w:rsidRPr="00D151C7">
              <w:rPr>
                <w:szCs w:val="20"/>
              </w:rPr>
              <w:t>)</w:t>
            </w:r>
          </w:p>
        </w:tc>
      </w:tr>
      <w:tr w:rsidR="00D151C7" w14:paraId="3ED0AB88" w14:textId="77777777" w:rsidTr="00D151C7">
        <w:tc>
          <w:tcPr>
            <w:tcW w:w="2401" w:type="dxa"/>
          </w:tcPr>
          <w:p w14:paraId="185E2225" w14:textId="6601BEC7" w:rsidR="00D151C7" w:rsidRPr="00D151C7" w:rsidRDefault="00D151C7" w:rsidP="00D151C7">
            <w:r w:rsidRPr="00D151C7">
              <w:rPr>
                <w:b/>
                <w:bCs/>
                <w:szCs w:val="20"/>
              </w:rPr>
              <w:t>Нарушения на мускулноскелетната система и съединителната тъкан</w:t>
            </w:r>
          </w:p>
        </w:tc>
        <w:tc>
          <w:tcPr>
            <w:tcW w:w="1373" w:type="dxa"/>
          </w:tcPr>
          <w:p w14:paraId="6E50964B" w14:textId="77777777" w:rsidR="00D151C7" w:rsidRPr="00D151C7" w:rsidRDefault="00D151C7" w:rsidP="00D151C7"/>
        </w:tc>
        <w:tc>
          <w:tcPr>
            <w:tcW w:w="1840" w:type="dxa"/>
          </w:tcPr>
          <w:p w14:paraId="24A2A592" w14:textId="77777777" w:rsidR="00D151C7" w:rsidRPr="00D151C7" w:rsidRDefault="00D151C7" w:rsidP="00D151C7"/>
        </w:tc>
        <w:tc>
          <w:tcPr>
            <w:tcW w:w="2404" w:type="dxa"/>
          </w:tcPr>
          <w:p w14:paraId="0EB6A24A" w14:textId="6C00B487" w:rsidR="00D151C7" w:rsidRPr="00D151C7" w:rsidRDefault="00D151C7" w:rsidP="00D151C7">
            <w:r w:rsidRPr="00D151C7">
              <w:rPr>
                <w:szCs w:val="20"/>
              </w:rPr>
              <w:t>Миалгия, нарушение на костния метаболизъм, мускулна слабост, болки в крайниците</w:t>
            </w:r>
          </w:p>
        </w:tc>
        <w:tc>
          <w:tcPr>
            <w:tcW w:w="1558" w:type="dxa"/>
          </w:tcPr>
          <w:p w14:paraId="0F7CB8F8" w14:textId="77777777" w:rsidR="00D151C7" w:rsidRPr="00D151C7" w:rsidRDefault="00D151C7" w:rsidP="00D151C7"/>
        </w:tc>
      </w:tr>
      <w:tr w:rsidR="00D151C7" w14:paraId="21B8CECF" w14:textId="77777777" w:rsidTr="00D151C7">
        <w:tc>
          <w:tcPr>
            <w:tcW w:w="2401" w:type="dxa"/>
          </w:tcPr>
          <w:p w14:paraId="6651450A" w14:textId="721A8FE2" w:rsidR="00D151C7" w:rsidRPr="00D151C7" w:rsidRDefault="00D151C7" w:rsidP="00D151C7">
            <w:r w:rsidRPr="00D151C7">
              <w:rPr>
                <w:b/>
                <w:bCs/>
                <w:szCs w:val="20"/>
              </w:rPr>
              <w:t>Нарушения на бъбреците и пикочните пътища</w:t>
            </w:r>
          </w:p>
        </w:tc>
        <w:tc>
          <w:tcPr>
            <w:tcW w:w="1373" w:type="dxa"/>
          </w:tcPr>
          <w:p w14:paraId="56D27928" w14:textId="77777777" w:rsidR="00D151C7" w:rsidRPr="00D151C7" w:rsidRDefault="00D151C7" w:rsidP="00D151C7"/>
        </w:tc>
        <w:tc>
          <w:tcPr>
            <w:tcW w:w="1840" w:type="dxa"/>
          </w:tcPr>
          <w:p w14:paraId="637EDC47" w14:textId="77777777" w:rsidR="00D151C7" w:rsidRPr="00D151C7" w:rsidRDefault="00D151C7" w:rsidP="00D151C7"/>
        </w:tc>
        <w:tc>
          <w:tcPr>
            <w:tcW w:w="2404" w:type="dxa"/>
          </w:tcPr>
          <w:p w14:paraId="14D58D73" w14:textId="000EC039" w:rsidR="00D151C7" w:rsidRPr="00D151C7" w:rsidRDefault="00D151C7" w:rsidP="00D151C7">
            <w:r w:rsidRPr="00D151C7">
              <w:rPr>
                <w:szCs w:val="20"/>
              </w:rPr>
              <w:t>Инфекция на пикочните пътища</w:t>
            </w:r>
          </w:p>
        </w:tc>
        <w:tc>
          <w:tcPr>
            <w:tcW w:w="1558" w:type="dxa"/>
          </w:tcPr>
          <w:p w14:paraId="5FA03FB4" w14:textId="77777777" w:rsidR="00D151C7" w:rsidRPr="00D151C7" w:rsidRDefault="00D151C7" w:rsidP="00D151C7"/>
        </w:tc>
      </w:tr>
      <w:tr w:rsidR="00D151C7" w14:paraId="6E2CD68A" w14:textId="77777777" w:rsidTr="00D151C7">
        <w:tc>
          <w:tcPr>
            <w:tcW w:w="2401" w:type="dxa"/>
          </w:tcPr>
          <w:p w14:paraId="49E29CB0" w14:textId="50F10C91" w:rsidR="00D151C7" w:rsidRPr="00D151C7" w:rsidRDefault="00D151C7" w:rsidP="00D151C7">
            <w:r w:rsidRPr="00D151C7">
              <w:rPr>
                <w:b/>
                <w:bCs/>
                <w:szCs w:val="20"/>
              </w:rPr>
              <w:t>Общи нарушения и ефекти на мястото на приложение</w:t>
            </w:r>
          </w:p>
        </w:tc>
        <w:tc>
          <w:tcPr>
            <w:tcW w:w="1373" w:type="dxa"/>
          </w:tcPr>
          <w:p w14:paraId="15A1DC57" w14:textId="77777777" w:rsidR="00D151C7" w:rsidRPr="00D151C7" w:rsidRDefault="00D151C7" w:rsidP="00D151C7"/>
        </w:tc>
        <w:tc>
          <w:tcPr>
            <w:tcW w:w="1840" w:type="dxa"/>
          </w:tcPr>
          <w:p w14:paraId="7D8EA542" w14:textId="4A7C09EB" w:rsidR="00D151C7" w:rsidRPr="00D151C7" w:rsidRDefault="00D151C7" w:rsidP="00D151C7">
            <w:r w:rsidRPr="00D151C7">
              <w:rPr>
                <w:szCs w:val="20"/>
              </w:rPr>
              <w:t>Умора, нарушена походка, астения</w:t>
            </w:r>
          </w:p>
        </w:tc>
        <w:tc>
          <w:tcPr>
            <w:tcW w:w="2404" w:type="dxa"/>
            <w:vAlign w:val="bottom"/>
          </w:tcPr>
          <w:p w14:paraId="6466C2E5" w14:textId="13954B6C" w:rsidR="00D151C7" w:rsidRPr="00D151C7" w:rsidRDefault="00D151C7" w:rsidP="00D151C7">
            <w:r w:rsidRPr="00D151C7">
              <w:rPr>
                <w:szCs w:val="20"/>
              </w:rPr>
              <w:t>Неразположение, студени тръпки, периферен едем</w:t>
            </w:r>
          </w:p>
        </w:tc>
        <w:tc>
          <w:tcPr>
            <w:tcW w:w="1558" w:type="dxa"/>
          </w:tcPr>
          <w:p w14:paraId="554FB703" w14:textId="77777777" w:rsidR="00D151C7" w:rsidRPr="00D151C7" w:rsidRDefault="00D151C7" w:rsidP="00D151C7"/>
        </w:tc>
      </w:tr>
      <w:tr w:rsidR="00D151C7" w14:paraId="1EBC03D9" w14:textId="77777777" w:rsidTr="00D151C7">
        <w:tc>
          <w:tcPr>
            <w:tcW w:w="2401" w:type="dxa"/>
          </w:tcPr>
          <w:p w14:paraId="492F4DEA" w14:textId="75135A78" w:rsidR="00D151C7" w:rsidRPr="00D151C7" w:rsidRDefault="00D151C7" w:rsidP="00D151C7">
            <w:r w:rsidRPr="00D151C7">
              <w:rPr>
                <w:b/>
                <w:bCs/>
                <w:szCs w:val="20"/>
              </w:rPr>
              <w:t>Изследвания</w:t>
            </w:r>
          </w:p>
        </w:tc>
        <w:tc>
          <w:tcPr>
            <w:tcW w:w="1373" w:type="dxa"/>
          </w:tcPr>
          <w:p w14:paraId="36CCE57F" w14:textId="77777777" w:rsidR="00D151C7" w:rsidRPr="00D151C7" w:rsidRDefault="00D151C7" w:rsidP="00D151C7"/>
        </w:tc>
        <w:tc>
          <w:tcPr>
            <w:tcW w:w="1840" w:type="dxa"/>
          </w:tcPr>
          <w:p w14:paraId="6D8D0AA8" w14:textId="0282A0D6" w:rsidR="00D151C7" w:rsidRPr="00D151C7" w:rsidRDefault="00D151C7" w:rsidP="00D151C7">
            <w:r w:rsidRPr="00D151C7">
              <w:rPr>
                <w:szCs w:val="20"/>
              </w:rPr>
              <w:t>Увеличено телесно тегло</w:t>
            </w:r>
          </w:p>
        </w:tc>
        <w:tc>
          <w:tcPr>
            <w:tcW w:w="2404" w:type="dxa"/>
          </w:tcPr>
          <w:p w14:paraId="56DEC0D9" w14:textId="6860F34D" w:rsidR="00D151C7" w:rsidRPr="00D151C7" w:rsidRDefault="00D151C7" w:rsidP="00D151C7">
            <w:r w:rsidRPr="00D151C7">
              <w:rPr>
                <w:szCs w:val="20"/>
              </w:rPr>
              <w:t xml:space="preserve">Понижено кръвно налягане, понижено тегло, повишено кръвно налягане, понижено ниво на натрий в кръвта, понижено ниво на хлориди в кръвта, </w:t>
            </w:r>
            <w:r w:rsidRPr="00D151C7">
              <w:rPr>
                <w:szCs w:val="20"/>
              </w:rPr>
              <w:lastRenderedPageBreak/>
              <w:t>понижено ниво на остеокалцин, понижен хематокрит, понижен хемоглобин, повишени трансаминази</w:t>
            </w:r>
          </w:p>
        </w:tc>
        <w:tc>
          <w:tcPr>
            <w:tcW w:w="1558" w:type="dxa"/>
          </w:tcPr>
          <w:p w14:paraId="3A991B60" w14:textId="77777777" w:rsidR="00D151C7" w:rsidRPr="00D151C7" w:rsidRDefault="00D151C7" w:rsidP="00D151C7"/>
        </w:tc>
      </w:tr>
      <w:tr w:rsidR="00D151C7" w14:paraId="64450CE6" w14:textId="77777777" w:rsidTr="00D151C7">
        <w:tc>
          <w:tcPr>
            <w:tcW w:w="2401" w:type="dxa"/>
          </w:tcPr>
          <w:p w14:paraId="2DEC6ABC" w14:textId="6A62CEB4" w:rsidR="00D151C7" w:rsidRPr="00D151C7" w:rsidRDefault="00D151C7" w:rsidP="00D151C7">
            <w:r w:rsidRPr="00D151C7">
              <w:rPr>
                <w:b/>
                <w:bCs/>
                <w:szCs w:val="20"/>
              </w:rPr>
              <w:t>Наранявания, отравяния и усложнения, възникнали в резултат на процедурата</w:t>
            </w:r>
          </w:p>
        </w:tc>
        <w:tc>
          <w:tcPr>
            <w:tcW w:w="1373" w:type="dxa"/>
          </w:tcPr>
          <w:p w14:paraId="61C76C09" w14:textId="77777777" w:rsidR="00D151C7" w:rsidRPr="00D151C7" w:rsidRDefault="00D151C7" w:rsidP="00D151C7"/>
        </w:tc>
        <w:tc>
          <w:tcPr>
            <w:tcW w:w="1840" w:type="dxa"/>
          </w:tcPr>
          <w:p w14:paraId="3A8888E2" w14:textId="77777777" w:rsidR="00D151C7" w:rsidRPr="00D151C7" w:rsidRDefault="00D151C7" w:rsidP="00D151C7"/>
        </w:tc>
        <w:tc>
          <w:tcPr>
            <w:tcW w:w="2404" w:type="dxa"/>
          </w:tcPr>
          <w:p w14:paraId="22F82A5C" w14:textId="6BA0B84A" w:rsidR="00D151C7" w:rsidRPr="00D151C7" w:rsidRDefault="00D151C7" w:rsidP="00D151C7">
            <w:r w:rsidRPr="00D151C7">
              <w:rPr>
                <w:szCs w:val="20"/>
              </w:rPr>
              <w:t>Лекарствена токсичност, падане, термично изгаряне</w:t>
            </w:r>
          </w:p>
        </w:tc>
        <w:tc>
          <w:tcPr>
            <w:tcW w:w="1558" w:type="dxa"/>
          </w:tcPr>
          <w:p w14:paraId="257DC040" w14:textId="77777777" w:rsidR="00D151C7" w:rsidRPr="00D151C7" w:rsidRDefault="00D151C7" w:rsidP="00D151C7"/>
        </w:tc>
      </w:tr>
    </w:tbl>
    <w:p w14:paraId="28491D6D" w14:textId="0FCAD41D" w:rsidR="00D151C7" w:rsidRPr="00D151C7" w:rsidRDefault="00D151C7" w:rsidP="00D151C7">
      <w:pPr>
        <w:rPr>
          <w:rFonts w:cs="Arial"/>
        </w:rPr>
      </w:pPr>
    </w:p>
    <w:p w14:paraId="6964C304" w14:textId="77777777" w:rsidR="00D151C7" w:rsidRPr="00D151C7" w:rsidRDefault="00D151C7" w:rsidP="00D151C7">
      <w:pPr>
        <w:spacing w:line="240" w:lineRule="auto"/>
        <w:rPr>
          <w:rFonts w:eastAsia="Times New Roman" w:cs="Arial"/>
        </w:rPr>
      </w:pPr>
      <w:r w:rsidRPr="00D151C7">
        <w:rPr>
          <w:rFonts w:eastAsia="Times New Roman" w:cs="Arial"/>
          <w:color w:val="000000"/>
          <w:u w:val="single"/>
          <w:lang w:eastAsia="bg-BG"/>
        </w:rPr>
        <w:t>Описание на избрани нежелани реакции</w:t>
      </w:r>
    </w:p>
    <w:p w14:paraId="248C3293" w14:textId="77777777" w:rsidR="00D151C7" w:rsidRPr="00D151C7" w:rsidRDefault="00D151C7" w:rsidP="00D151C7">
      <w:pPr>
        <w:spacing w:line="240" w:lineRule="auto"/>
        <w:rPr>
          <w:rFonts w:eastAsia="Times New Roman" w:cs="Arial"/>
          <w:i/>
          <w:iCs/>
          <w:color w:val="000000"/>
          <w:lang w:eastAsia="bg-BG"/>
        </w:rPr>
      </w:pPr>
    </w:p>
    <w:p w14:paraId="599A62F1" w14:textId="2BF6579F"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Нарушения на очите и нервната система</w:t>
      </w:r>
    </w:p>
    <w:p w14:paraId="12D2A65F" w14:textId="3C83EBB5" w:rsidR="00D151C7" w:rsidRPr="00D151C7" w:rsidRDefault="00D151C7" w:rsidP="00D151C7">
      <w:pPr>
        <w:spacing w:line="240" w:lineRule="auto"/>
        <w:rPr>
          <w:rFonts w:eastAsia="Times New Roman" w:cs="Arial"/>
        </w:rPr>
      </w:pPr>
      <w:r w:rsidRPr="00D151C7">
        <w:rPr>
          <w:rFonts w:eastAsia="Times New Roman" w:cs="Arial"/>
          <w:color w:val="000000"/>
          <w:lang w:eastAsia="bg-BG"/>
        </w:rPr>
        <w:t>При пациентите, лекувани едновременно с карбамазепин и есликарбазепинов ацетат при плацебо контролирани проучвания, са наблюдавани следните нежелани реакции: диплопия (11,4% от участниците при едновременно приложение на карбамазепин, 2,4% от участниците без едновременно приложение на карбамазепин), нарушена координация (6,7% при едновременно приложение на карбамазепин, 2,7% без едновременно приложение на карбамазепин) и замаяност (30,0% при едновременно приложение на карбамазепин, 11,5% без едновременно приложение на карбамазепин), вижте точка 4.5.</w:t>
      </w:r>
    </w:p>
    <w:p w14:paraId="219BA3EF" w14:textId="77777777" w:rsidR="00D151C7" w:rsidRPr="00D151C7" w:rsidRDefault="00D151C7" w:rsidP="00D151C7">
      <w:pPr>
        <w:spacing w:line="240" w:lineRule="auto"/>
        <w:rPr>
          <w:rFonts w:eastAsia="Times New Roman" w:cs="Arial"/>
          <w:i/>
          <w:iCs/>
          <w:color w:val="000000"/>
          <w:lang w:val="en-US"/>
        </w:rPr>
      </w:pPr>
    </w:p>
    <w:p w14:paraId="364556CA" w14:textId="317CF3A4" w:rsidR="00D151C7" w:rsidRPr="00D151C7" w:rsidRDefault="00D151C7" w:rsidP="00D151C7">
      <w:pPr>
        <w:spacing w:line="240" w:lineRule="auto"/>
        <w:rPr>
          <w:rFonts w:eastAsia="Times New Roman" w:cs="Arial"/>
        </w:rPr>
      </w:pPr>
      <w:r w:rsidRPr="00D151C7">
        <w:rPr>
          <w:rFonts w:eastAsia="Times New Roman" w:cs="Arial"/>
          <w:i/>
          <w:iCs/>
          <w:color w:val="000000"/>
          <w:lang w:val="en-US"/>
        </w:rPr>
        <w:t>PR</w:t>
      </w:r>
      <w:r w:rsidRPr="00D151C7">
        <w:rPr>
          <w:rFonts w:eastAsia="Times New Roman" w:cs="Arial"/>
          <w:i/>
          <w:iCs/>
          <w:color w:val="000000"/>
          <w:lang w:eastAsia="bg-BG"/>
        </w:rPr>
        <w:t>-интервал</w:t>
      </w:r>
    </w:p>
    <w:p w14:paraId="1D1F59C7"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Употребата на есликарбазепинов ацетат е свързана с удължаване на </w:t>
      </w:r>
      <w:r w:rsidRPr="00D151C7">
        <w:rPr>
          <w:rFonts w:eastAsia="Times New Roman" w:cs="Arial"/>
          <w:color w:val="000000"/>
          <w:lang w:val="en-US"/>
        </w:rPr>
        <w:t>PR</w:t>
      </w:r>
      <w:r w:rsidRPr="00D151C7">
        <w:rPr>
          <w:rFonts w:eastAsia="Times New Roman" w:cs="Arial"/>
          <w:color w:val="000000"/>
          <w:lang w:eastAsia="bg-BG"/>
        </w:rPr>
        <w:t xml:space="preserve">-интервала. Могат да се проявят нежелани реакции, свързани с удължаването на </w:t>
      </w:r>
      <w:r w:rsidRPr="00D151C7">
        <w:rPr>
          <w:rFonts w:eastAsia="Times New Roman" w:cs="Arial"/>
          <w:color w:val="000000"/>
          <w:lang w:val="en-US"/>
        </w:rPr>
        <w:t>PR</w:t>
      </w:r>
      <w:r w:rsidRPr="00D151C7">
        <w:rPr>
          <w:rFonts w:eastAsia="Times New Roman" w:cs="Arial"/>
          <w:color w:val="000000"/>
          <w:lang w:eastAsia="bg-BG"/>
        </w:rPr>
        <w:t xml:space="preserve">-интервала (напр. </w:t>
      </w:r>
      <w:r w:rsidRPr="00D151C7">
        <w:rPr>
          <w:rFonts w:eastAsia="Times New Roman" w:cs="Arial"/>
          <w:color w:val="000000"/>
          <w:lang w:val="en-US"/>
        </w:rPr>
        <w:t>AV</w:t>
      </w:r>
      <w:r w:rsidRPr="00D151C7">
        <w:rPr>
          <w:rFonts w:eastAsia="Times New Roman" w:cs="Arial"/>
          <w:color w:val="000000"/>
          <w:lang w:val="ru-RU"/>
        </w:rPr>
        <w:t xml:space="preserve"> </w:t>
      </w:r>
      <w:r w:rsidRPr="00D151C7">
        <w:rPr>
          <w:rFonts w:eastAsia="Times New Roman" w:cs="Arial"/>
          <w:color w:val="000000"/>
          <w:lang w:eastAsia="bg-BG"/>
        </w:rPr>
        <w:t>блок, синкоп, брадикардия).</w:t>
      </w:r>
    </w:p>
    <w:p w14:paraId="1B9A33F1" w14:textId="77777777" w:rsidR="00D151C7" w:rsidRPr="00D151C7" w:rsidRDefault="00D151C7" w:rsidP="00D151C7">
      <w:pPr>
        <w:spacing w:line="240" w:lineRule="auto"/>
        <w:rPr>
          <w:rFonts w:eastAsia="Times New Roman" w:cs="Arial"/>
          <w:i/>
          <w:iCs/>
          <w:color w:val="000000"/>
          <w:lang w:eastAsia="bg-BG"/>
        </w:rPr>
      </w:pPr>
    </w:p>
    <w:p w14:paraId="56C3EB54" w14:textId="6AECDAFE" w:rsidR="00D151C7" w:rsidRPr="00D151C7" w:rsidRDefault="00D151C7" w:rsidP="00D151C7">
      <w:pPr>
        <w:spacing w:line="240" w:lineRule="auto"/>
        <w:rPr>
          <w:rFonts w:eastAsia="Times New Roman" w:cs="Arial"/>
        </w:rPr>
      </w:pPr>
      <w:r w:rsidRPr="00D151C7">
        <w:rPr>
          <w:rFonts w:eastAsia="Times New Roman" w:cs="Arial"/>
          <w:i/>
          <w:iCs/>
          <w:color w:val="000000"/>
          <w:lang w:eastAsia="bg-BG"/>
        </w:rPr>
        <w:t>Свързани с класа нежелани реакции</w:t>
      </w:r>
    </w:p>
    <w:p w14:paraId="3527CCA9"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По време на плацебо-контролирани проучвания по програмата за лечение на епилепсия с есликарбазепинов ацетат не се появяват редки нежелани реакции, като например подтискане на костния мозък, анафилактични реакции, тежки кожни реакции (напр. синдром на </w:t>
      </w:r>
      <w:r w:rsidRPr="00D151C7">
        <w:rPr>
          <w:rFonts w:eastAsia="Times New Roman" w:cs="Arial"/>
          <w:color w:val="000000"/>
          <w:lang w:val="en-US"/>
        </w:rPr>
        <w:t>Stevens</w:t>
      </w:r>
      <w:r w:rsidRPr="00D151C7">
        <w:rPr>
          <w:rFonts w:eastAsia="Times New Roman" w:cs="Arial"/>
          <w:color w:val="000000"/>
          <w:lang w:val="ru-RU"/>
        </w:rPr>
        <w:t xml:space="preserve">- </w:t>
      </w:r>
      <w:r w:rsidRPr="00D151C7">
        <w:rPr>
          <w:rFonts w:eastAsia="Times New Roman" w:cs="Arial"/>
          <w:color w:val="000000"/>
          <w:lang w:val="en-US"/>
        </w:rPr>
        <w:t>Johnson</w:t>
      </w:r>
      <w:r w:rsidRPr="00D151C7">
        <w:rPr>
          <w:rFonts w:eastAsia="Times New Roman" w:cs="Arial"/>
          <w:color w:val="000000"/>
          <w:lang w:val="ru-RU"/>
        </w:rPr>
        <w:t xml:space="preserve">), </w:t>
      </w:r>
      <w:r w:rsidRPr="00D151C7">
        <w:rPr>
          <w:rFonts w:eastAsia="Times New Roman" w:cs="Arial"/>
          <w:color w:val="000000"/>
          <w:lang w:eastAsia="bg-BG"/>
        </w:rPr>
        <w:t>системен еритематозен лупус или сериозни сърдечни аритмии. Такива обаче се съобщават при лечение с окскарбазепин. Следователно, тяхната поява след лечението със есликарбазепин ацетат не може да бъде изключена.</w:t>
      </w:r>
    </w:p>
    <w:p w14:paraId="4EB371BF" w14:textId="77777777" w:rsidR="00D151C7" w:rsidRPr="00D151C7" w:rsidRDefault="00D151C7" w:rsidP="00D151C7">
      <w:pPr>
        <w:spacing w:line="240" w:lineRule="auto"/>
        <w:rPr>
          <w:rFonts w:eastAsia="Times New Roman" w:cs="Arial"/>
          <w:color w:val="000000"/>
          <w:lang w:eastAsia="bg-BG"/>
        </w:rPr>
      </w:pPr>
    </w:p>
    <w:p w14:paraId="0B13C348" w14:textId="77777777" w:rsidR="00D151C7" w:rsidRPr="00D151C7" w:rsidRDefault="00D151C7" w:rsidP="00D151C7">
      <w:pPr>
        <w:rPr>
          <w:rFonts w:eastAsia="Times New Roman" w:cs="Arial"/>
        </w:rPr>
      </w:pPr>
      <w:r w:rsidRPr="00D151C7">
        <w:rPr>
          <w:rFonts w:eastAsia="Times New Roman" w:cs="Arial"/>
          <w:color w:val="000000"/>
          <w:lang w:eastAsia="bg-BG"/>
        </w:rPr>
        <w:t>Има съобщения за понижена минерална плътност на костите, остеопения, остеопороза и фрактури при пациенти на дългосрочна терапия със структурно свързаните антипилептични</w:t>
      </w:r>
      <w:r w:rsidRPr="00D151C7">
        <w:rPr>
          <w:rFonts w:eastAsia="Times New Roman" w:cs="Arial"/>
          <w:color w:val="000000"/>
          <w:lang w:val="ru-RU" w:eastAsia="bg-BG"/>
        </w:rPr>
        <w:t xml:space="preserve"> </w:t>
      </w:r>
      <w:r w:rsidRPr="00D151C7">
        <w:rPr>
          <w:rFonts w:eastAsia="Times New Roman" w:cs="Arial"/>
          <w:color w:val="000000"/>
          <w:lang w:eastAsia="bg-BG"/>
        </w:rPr>
        <w:t>лекарства карбамазепин и окскарбазепин. Механизмът, по който се засяга костният метаболизъм, не е установен.</w:t>
      </w:r>
    </w:p>
    <w:p w14:paraId="2314150E" w14:textId="77777777" w:rsidR="00D151C7" w:rsidRPr="00D151C7" w:rsidRDefault="00D151C7" w:rsidP="00D151C7">
      <w:pPr>
        <w:spacing w:line="240" w:lineRule="auto"/>
        <w:rPr>
          <w:rFonts w:eastAsia="Times New Roman" w:cs="Arial"/>
          <w:color w:val="000000"/>
          <w:u w:val="single"/>
          <w:lang w:eastAsia="bg-BG"/>
        </w:rPr>
      </w:pPr>
    </w:p>
    <w:p w14:paraId="10374979" w14:textId="075355ED" w:rsidR="00D151C7" w:rsidRPr="00D151C7" w:rsidRDefault="00D151C7" w:rsidP="00D151C7">
      <w:pPr>
        <w:spacing w:line="240" w:lineRule="auto"/>
        <w:rPr>
          <w:rFonts w:eastAsia="Times New Roman" w:cs="Arial"/>
        </w:rPr>
      </w:pPr>
      <w:r w:rsidRPr="00D151C7">
        <w:rPr>
          <w:rFonts w:eastAsia="Times New Roman" w:cs="Arial"/>
          <w:color w:val="000000"/>
          <w:u w:val="single"/>
          <w:lang w:eastAsia="bg-BG"/>
        </w:rPr>
        <w:t>Педиатрична популация</w:t>
      </w:r>
    </w:p>
    <w:p w14:paraId="340A4FCB" w14:textId="77777777" w:rsidR="00D151C7" w:rsidRPr="00D151C7" w:rsidRDefault="00D151C7" w:rsidP="00D151C7">
      <w:pPr>
        <w:spacing w:line="240" w:lineRule="auto"/>
        <w:rPr>
          <w:rFonts w:eastAsia="Times New Roman" w:cs="Arial"/>
        </w:rPr>
      </w:pPr>
      <w:r w:rsidRPr="00D151C7">
        <w:rPr>
          <w:rFonts w:eastAsia="Times New Roman" w:cs="Arial"/>
          <w:color w:val="000000"/>
          <w:lang w:eastAsia="bg-BG"/>
        </w:rPr>
        <w:t xml:space="preserve">В плацебо контролирани проучвания, включващи пациенти на възраст от 2 до 18 години с парциални припадъци (238 пациенти, лекувани с есликарбазепинов ацетат, и 189 с плацебо) 35,7% от пациентите, лекувани с есликарбазепинов ацетат, и 19% от пациентите, лекувани с плацебо, са получили нежелани реакции. Най-честите нежелани </w:t>
      </w:r>
      <w:r w:rsidRPr="00D151C7">
        <w:rPr>
          <w:rFonts w:eastAsia="Times New Roman" w:cs="Arial"/>
          <w:color w:val="000000"/>
          <w:lang w:eastAsia="bg-BG"/>
        </w:rPr>
        <w:lastRenderedPageBreak/>
        <w:t>реакции в групата, лекувана с есликарбазепинов ацетат, са диплопия (5,0%), сънливост (8,0%) и повръщане (4,6%). Профилът на нежеланите реакции на есликарбазепинов ацетат е като цяло сходен във възрастовите групи. Във възрастовата група от 6 до 11 години най-честите нежелани реакции, наблюдавани при повече от двама пациенти, лекувани с есликарбазепинов ацетат, са диплопия (9,5%), сънливост (7,4%), замайване (6,3%), конвулсии (6,3%) и гадене (3,2%); във възрастовата група от 12 до 18 години са сънливост (7,4%), повръщане (4,2%), диплопия (3,2%) и умора (3,2%). Безопасността на Еслибон при деца на възраст 6 години и по-малко все още не е установена.</w:t>
      </w:r>
    </w:p>
    <w:p w14:paraId="2C7FEE6F" w14:textId="77777777" w:rsidR="00D151C7" w:rsidRPr="00D151C7" w:rsidRDefault="00D151C7" w:rsidP="00D151C7">
      <w:pPr>
        <w:spacing w:line="240" w:lineRule="auto"/>
        <w:rPr>
          <w:rFonts w:eastAsia="Times New Roman" w:cs="Arial"/>
          <w:color w:val="000000"/>
          <w:lang w:eastAsia="bg-BG"/>
        </w:rPr>
      </w:pPr>
    </w:p>
    <w:p w14:paraId="0AA3F85D" w14:textId="54787727" w:rsidR="00D151C7" w:rsidRPr="00D151C7" w:rsidRDefault="00D151C7" w:rsidP="00D151C7">
      <w:pPr>
        <w:spacing w:line="240" w:lineRule="auto"/>
        <w:rPr>
          <w:rFonts w:eastAsia="Times New Roman" w:cs="Arial"/>
        </w:rPr>
      </w:pPr>
      <w:r w:rsidRPr="00D151C7">
        <w:rPr>
          <w:rFonts w:eastAsia="Times New Roman" w:cs="Arial"/>
          <w:color w:val="000000"/>
          <w:lang w:eastAsia="bg-BG"/>
        </w:rPr>
        <w:t>Профилът на безопасност на есликарбазепинов ацетат е като цяло сходен между възрастни и педиатрични пациенти, с изключение на възбуда (честа, 1,3%) и коремна болка (честа, 2,1%), които са по-често срещани при децата, отколкото при възрастните. Замаяност, сънливост, световъртеж, астения, нарушения в походката, тремор, атаксия, нарушение в равновесието, замъглено зрение, диария и обрив са по-често срещани при децата, отколкото при възрастните. Хипонатриемия се съобщава само при възрастната популация. Алергичен дерматит (нечеста, 0,8%) се съобщава само в педиатричната популация.</w:t>
      </w:r>
    </w:p>
    <w:p w14:paraId="45F7F95E" w14:textId="77777777" w:rsidR="00D151C7" w:rsidRPr="00D151C7" w:rsidRDefault="00D151C7" w:rsidP="00D151C7">
      <w:pPr>
        <w:spacing w:line="240" w:lineRule="auto"/>
        <w:rPr>
          <w:rFonts w:eastAsia="Times New Roman" w:cs="Arial"/>
          <w:color w:val="000000"/>
          <w:u w:val="single"/>
          <w:lang w:eastAsia="bg-BG"/>
        </w:rPr>
      </w:pPr>
    </w:p>
    <w:p w14:paraId="4F7BC48D" w14:textId="42EAD4F1" w:rsidR="00D151C7" w:rsidRPr="00D151C7" w:rsidRDefault="00D151C7" w:rsidP="00D151C7">
      <w:pPr>
        <w:spacing w:line="240" w:lineRule="auto"/>
        <w:rPr>
          <w:rFonts w:eastAsia="Times New Roman" w:cs="Arial"/>
        </w:rPr>
      </w:pPr>
      <w:r w:rsidRPr="00D151C7">
        <w:rPr>
          <w:rFonts w:eastAsia="Times New Roman" w:cs="Arial"/>
          <w:color w:val="000000"/>
          <w:u w:val="single"/>
          <w:lang w:eastAsia="bg-BG"/>
        </w:rPr>
        <w:t>Съобщаване на подозирани нежелани реакции</w:t>
      </w:r>
    </w:p>
    <w:p w14:paraId="52E32C63" w14:textId="5A303AF9" w:rsidR="00D151C7" w:rsidRPr="00D151C7" w:rsidRDefault="00D151C7" w:rsidP="00D151C7">
      <w:pPr>
        <w:spacing w:line="240" w:lineRule="auto"/>
        <w:rPr>
          <w:rFonts w:eastAsia="Times New Roman" w:cs="Arial"/>
          <w:lang w:val="ru-RU"/>
        </w:rPr>
      </w:pPr>
      <w:r w:rsidRPr="00D151C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се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8,1303 София, тел.: +359 2 8903417, уебсайт: </w:t>
      </w:r>
      <w:r w:rsidRPr="00D151C7">
        <w:rPr>
          <w:rFonts w:eastAsia="Times New Roman" w:cs="Arial"/>
        </w:rPr>
        <w:fldChar w:fldCharType="begin"/>
      </w:r>
      <w:r w:rsidRPr="00D151C7">
        <w:rPr>
          <w:rFonts w:eastAsia="Times New Roman" w:cs="Arial"/>
        </w:rPr>
        <w:instrText xml:space="preserve"> HYPERLINK "http://www.bda.bg" </w:instrText>
      </w:r>
      <w:r w:rsidRPr="00D151C7">
        <w:rPr>
          <w:rFonts w:eastAsia="Times New Roman" w:cs="Arial"/>
        </w:rPr>
      </w:r>
      <w:r w:rsidRPr="00D151C7">
        <w:rPr>
          <w:rFonts w:eastAsia="Times New Roman" w:cs="Arial"/>
        </w:rPr>
        <w:fldChar w:fldCharType="separate"/>
      </w:r>
      <w:r w:rsidRPr="00D151C7">
        <w:rPr>
          <w:rFonts w:eastAsia="Times New Roman" w:cs="Arial"/>
          <w:color w:val="000000"/>
          <w:u w:val="single"/>
          <w:lang w:val="en-US"/>
        </w:rPr>
        <w:t>www.bda.bg</w:t>
      </w:r>
      <w:r w:rsidRPr="00D151C7">
        <w:rPr>
          <w:rFonts w:eastAsia="Times New Roman" w:cs="Arial"/>
        </w:rPr>
        <w:fldChar w:fldCharType="end"/>
      </w:r>
      <w:r w:rsidRPr="00D151C7">
        <w:rPr>
          <w:rFonts w:eastAsia="Times New Roman" w:cs="Arial"/>
          <w:color w:val="000000"/>
          <w:u w:val="single"/>
          <w:lang w:val="en-US"/>
        </w:rPr>
        <w:t>.</w:t>
      </w:r>
    </w:p>
    <w:p w14:paraId="73381F4B" w14:textId="77777777" w:rsidR="00D151C7" w:rsidRPr="00D151C7" w:rsidRDefault="00D151C7" w:rsidP="00D151C7"/>
    <w:p w14:paraId="5A87DBA3" w14:textId="5C6E013C" w:rsidR="007122AD" w:rsidRDefault="002C50EE" w:rsidP="00936AD0">
      <w:pPr>
        <w:pStyle w:val="Heading2"/>
      </w:pPr>
      <w:r>
        <w:t>4.9. Предозиране</w:t>
      </w:r>
    </w:p>
    <w:p w14:paraId="033253E3" w14:textId="3CC8CCF5" w:rsidR="00D151C7" w:rsidRDefault="00D151C7" w:rsidP="00D151C7"/>
    <w:p w14:paraId="5CE6552B" w14:textId="77777777" w:rsidR="00D151C7" w:rsidRPr="00D151C7" w:rsidRDefault="00D151C7" w:rsidP="00D151C7">
      <w:pPr>
        <w:rPr>
          <w:sz w:val="24"/>
          <w:szCs w:val="24"/>
        </w:rPr>
      </w:pPr>
      <w:r w:rsidRPr="00D151C7">
        <w:rPr>
          <w:lang w:eastAsia="bg-BG"/>
        </w:rPr>
        <w:t>Симптомите, наблюдавани след предозиране на есликарбазепин ацетат, се свързват предимно със симптоми от страна на централната нервна система (напр. всички видове гърчове, статус епилептикус) и сърдечни нарушения (напр. сърдечна аритмия). Не е известен специфичен антидот. Ако се налага, трябва да се приложи симптоматично и поддържащо лечение. Метаболитите на есликарбазепинов ацетат могат да бъдат ефективно очистени посредством хемодиализа, ако се налага (вж. точка 5.2).</w:t>
      </w:r>
    </w:p>
    <w:p w14:paraId="7E6BB442" w14:textId="77777777" w:rsidR="00D151C7" w:rsidRPr="00D151C7" w:rsidRDefault="00D151C7" w:rsidP="00D151C7"/>
    <w:p w14:paraId="02081B24" w14:textId="1F46E296" w:rsidR="00395555" w:rsidRPr="00395555" w:rsidRDefault="002C50EE" w:rsidP="008A6AF2">
      <w:pPr>
        <w:pStyle w:val="Heading1"/>
      </w:pPr>
      <w:r>
        <w:t>5. ФАРМАКОЛОГИЧНИ СВОЙСТВА</w:t>
      </w:r>
    </w:p>
    <w:p w14:paraId="7DE36AC8" w14:textId="73542978" w:rsidR="00B6672E" w:rsidRDefault="002C50EE" w:rsidP="00936AD0">
      <w:pPr>
        <w:pStyle w:val="Heading2"/>
      </w:pPr>
      <w:r>
        <w:t>5.1. Фармакодинамични свойства</w:t>
      </w:r>
    </w:p>
    <w:p w14:paraId="7EC7E058" w14:textId="54F684A2" w:rsidR="00D151C7" w:rsidRDefault="00D151C7" w:rsidP="00D151C7"/>
    <w:p w14:paraId="7B6D5664" w14:textId="77777777"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lang w:eastAsia="bg-BG"/>
        </w:rPr>
        <w:t xml:space="preserve">Фармакотерапевтична група: Антиепилептични средства, карбоксамидни производни, АТС код: </w:t>
      </w:r>
      <w:r w:rsidRPr="008519BE">
        <w:rPr>
          <w:rFonts w:eastAsia="Times New Roman" w:cs="Arial"/>
          <w:color w:val="000000"/>
          <w:szCs w:val="20"/>
          <w:lang w:val="en-US"/>
        </w:rPr>
        <w:t>N</w:t>
      </w:r>
      <w:r w:rsidRPr="008519BE">
        <w:rPr>
          <w:rFonts w:eastAsia="Times New Roman" w:cs="Arial"/>
          <w:color w:val="000000"/>
          <w:szCs w:val="20"/>
          <w:lang w:val="ru-RU"/>
        </w:rPr>
        <w:t>03</w:t>
      </w:r>
      <w:r w:rsidRPr="008519BE">
        <w:rPr>
          <w:rFonts w:eastAsia="Times New Roman" w:cs="Arial"/>
          <w:color w:val="000000"/>
          <w:szCs w:val="20"/>
          <w:lang w:val="en-US"/>
        </w:rPr>
        <w:t>AF</w:t>
      </w:r>
      <w:r w:rsidRPr="008519BE">
        <w:rPr>
          <w:rFonts w:eastAsia="Times New Roman" w:cs="Arial"/>
          <w:color w:val="000000"/>
          <w:szCs w:val="20"/>
          <w:lang w:val="ru-RU"/>
        </w:rPr>
        <w:t>04</w:t>
      </w:r>
    </w:p>
    <w:p w14:paraId="21F23300" w14:textId="77777777" w:rsidR="00D151C7" w:rsidRPr="008519BE" w:rsidRDefault="00D151C7" w:rsidP="00D151C7">
      <w:pPr>
        <w:spacing w:line="240" w:lineRule="auto"/>
        <w:rPr>
          <w:rFonts w:eastAsia="Times New Roman" w:cs="Arial"/>
          <w:color w:val="000000"/>
          <w:szCs w:val="20"/>
          <w:u w:val="single"/>
          <w:lang w:eastAsia="bg-BG"/>
        </w:rPr>
      </w:pPr>
    </w:p>
    <w:p w14:paraId="2C983E5A" w14:textId="3CF8701F"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u w:val="single"/>
          <w:lang w:eastAsia="bg-BG"/>
        </w:rPr>
        <w:t>Механизъм на действие</w:t>
      </w:r>
    </w:p>
    <w:p w14:paraId="56753C9A" w14:textId="77777777" w:rsidR="00D151C7" w:rsidRPr="008519BE" w:rsidRDefault="00D151C7" w:rsidP="00D151C7">
      <w:pPr>
        <w:spacing w:line="240" w:lineRule="auto"/>
        <w:rPr>
          <w:rFonts w:eastAsia="Times New Roman" w:cs="Arial"/>
          <w:color w:val="000000"/>
          <w:szCs w:val="20"/>
          <w:lang w:eastAsia="bg-BG"/>
        </w:rPr>
      </w:pPr>
    </w:p>
    <w:p w14:paraId="679CDEA1" w14:textId="639B4364"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lang w:eastAsia="bg-BG"/>
        </w:rPr>
        <w:t xml:space="preserve">Точните механизми на действие на есликарбазепинов ацетат не са известни. Електрофизиологичните проучвания </w:t>
      </w:r>
      <w:r w:rsidRPr="008519BE">
        <w:rPr>
          <w:rFonts w:eastAsia="Times New Roman" w:cs="Arial"/>
          <w:color w:val="000000"/>
          <w:szCs w:val="20"/>
          <w:lang w:val="en-US"/>
        </w:rPr>
        <w:t>in</w:t>
      </w:r>
      <w:r w:rsidRPr="008519BE">
        <w:rPr>
          <w:rFonts w:eastAsia="Times New Roman" w:cs="Arial"/>
          <w:color w:val="000000"/>
          <w:szCs w:val="20"/>
          <w:lang w:val="ru-RU"/>
        </w:rPr>
        <w:t xml:space="preserve"> </w:t>
      </w:r>
      <w:r w:rsidRPr="008519BE">
        <w:rPr>
          <w:rFonts w:eastAsia="Times New Roman" w:cs="Arial"/>
          <w:color w:val="000000"/>
          <w:szCs w:val="20"/>
          <w:lang w:val="en-US"/>
        </w:rPr>
        <w:t>vitro</w:t>
      </w:r>
      <w:r w:rsidRPr="008519BE">
        <w:rPr>
          <w:rFonts w:eastAsia="Times New Roman" w:cs="Arial"/>
          <w:color w:val="000000"/>
          <w:szCs w:val="20"/>
          <w:lang w:val="ru-RU"/>
        </w:rPr>
        <w:t xml:space="preserve"> </w:t>
      </w:r>
      <w:r w:rsidRPr="008519BE">
        <w:rPr>
          <w:rFonts w:eastAsia="Times New Roman" w:cs="Arial"/>
          <w:color w:val="000000"/>
          <w:szCs w:val="20"/>
          <w:lang w:eastAsia="bg-BG"/>
        </w:rPr>
        <w:t>обаче показват, че есликарбазепинов ацетат и неговите метаболити стабилизират неактивираното състояние на волтаж-зависимите натриеви канали, предотвратявайки връщането им към активирано състояние и така задържат повтарящото се задействане на невроните.</w:t>
      </w:r>
    </w:p>
    <w:p w14:paraId="00EBF81E" w14:textId="77777777" w:rsidR="00D151C7" w:rsidRPr="008519BE" w:rsidRDefault="00D151C7" w:rsidP="00D151C7">
      <w:pPr>
        <w:spacing w:line="240" w:lineRule="auto"/>
        <w:rPr>
          <w:rFonts w:eastAsia="Times New Roman" w:cs="Arial"/>
          <w:color w:val="000000"/>
          <w:szCs w:val="20"/>
          <w:u w:val="single"/>
          <w:lang w:eastAsia="bg-BG"/>
        </w:rPr>
      </w:pPr>
    </w:p>
    <w:p w14:paraId="0815C1D3" w14:textId="6AA2C1A6"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u w:val="single"/>
          <w:lang w:eastAsia="bg-BG"/>
        </w:rPr>
        <w:t>Фармакодинамични ефекти</w:t>
      </w:r>
    </w:p>
    <w:p w14:paraId="7377C9D1" w14:textId="77777777" w:rsidR="00D151C7" w:rsidRPr="008519BE" w:rsidRDefault="00D151C7" w:rsidP="00D151C7">
      <w:pPr>
        <w:spacing w:line="240" w:lineRule="auto"/>
        <w:rPr>
          <w:rFonts w:eastAsia="Times New Roman" w:cs="Arial"/>
          <w:color w:val="000000"/>
          <w:szCs w:val="20"/>
          <w:lang w:eastAsia="bg-BG"/>
        </w:rPr>
      </w:pPr>
    </w:p>
    <w:p w14:paraId="45B96E61" w14:textId="779A3F35"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lang w:eastAsia="bg-BG"/>
        </w:rPr>
        <w:t>Есликарбазепинов ацетат и неговите активни метаболити предотвратяват развитието на припадъци при неклинични модели, което предполага антиконвулсивна ефикасност при човека. При хора, фармакологичното действие на есликарбазепинов ацетат се осъществява предимно чрез активния метаболит есликарбазепин.</w:t>
      </w:r>
    </w:p>
    <w:p w14:paraId="1D075824" w14:textId="77777777" w:rsidR="008519BE" w:rsidRPr="008519BE" w:rsidRDefault="008519BE" w:rsidP="00D151C7">
      <w:pPr>
        <w:spacing w:line="240" w:lineRule="auto"/>
        <w:rPr>
          <w:rFonts w:eastAsia="Times New Roman" w:cs="Arial"/>
          <w:color w:val="000000"/>
          <w:szCs w:val="20"/>
          <w:u w:val="single"/>
          <w:lang w:eastAsia="bg-BG"/>
        </w:rPr>
      </w:pPr>
    </w:p>
    <w:p w14:paraId="75CC57F3" w14:textId="3E3F4A04"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u w:val="single"/>
          <w:lang w:eastAsia="bg-BG"/>
        </w:rPr>
        <w:t>Клинична ефикасност</w:t>
      </w:r>
    </w:p>
    <w:p w14:paraId="02F79B9C" w14:textId="77777777" w:rsidR="008519BE" w:rsidRPr="008519BE" w:rsidRDefault="008519BE" w:rsidP="00D151C7">
      <w:pPr>
        <w:spacing w:line="240" w:lineRule="auto"/>
        <w:rPr>
          <w:rFonts w:eastAsia="Times New Roman" w:cs="Arial"/>
          <w:i/>
          <w:iCs/>
          <w:color w:val="000000"/>
          <w:szCs w:val="20"/>
          <w:lang w:eastAsia="bg-BG"/>
        </w:rPr>
      </w:pPr>
    </w:p>
    <w:p w14:paraId="3B5707E1" w14:textId="3DCD2B01" w:rsidR="00D151C7" w:rsidRPr="008519BE" w:rsidRDefault="00D151C7" w:rsidP="00D151C7">
      <w:pPr>
        <w:spacing w:line="240" w:lineRule="auto"/>
        <w:rPr>
          <w:rFonts w:eastAsia="Times New Roman" w:cs="Arial"/>
          <w:sz w:val="28"/>
          <w:szCs w:val="24"/>
        </w:rPr>
      </w:pPr>
      <w:r w:rsidRPr="008519BE">
        <w:rPr>
          <w:rFonts w:eastAsia="Times New Roman" w:cs="Arial"/>
          <w:i/>
          <w:iCs/>
          <w:color w:val="000000"/>
          <w:szCs w:val="20"/>
          <w:lang w:eastAsia="bg-BG"/>
        </w:rPr>
        <w:t>Възрастна популация</w:t>
      </w:r>
    </w:p>
    <w:p w14:paraId="14D60D4B" w14:textId="77777777"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lang w:eastAsia="bg-BG"/>
        </w:rPr>
        <w:t xml:space="preserve">Ефикасността и безопасността на есликарбазепинов ацетат е доказана при четири двойнослепи, плацебо-контролирани проучвания фаза </w:t>
      </w:r>
      <w:r w:rsidRPr="008519BE">
        <w:rPr>
          <w:rFonts w:eastAsia="Times New Roman" w:cs="Arial"/>
          <w:color w:val="000000"/>
          <w:szCs w:val="20"/>
          <w:lang w:val="en-US"/>
        </w:rPr>
        <w:t>III</w:t>
      </w:r>
      <w:r w:rsidRPr="008519BE">
        <w:rPr>
          <w:rFonts w:eastAsia="Times New Roman" w:cs="Arial"/>
          <w:color w:val="000000"/>
          <w:szCs w:val="20"/>
          <w:lang w:eastAsia="bg-BG"/>
        </w:rPr>
        <w:t xml:space="preserve"> при 1 703 рандомизирани възрастни пациенти с парциална епилепсия, рефрактерна на лечение с един до три едновременно прилагани антиепилептични лекарствени продукта. При тези проучвания не се допуска едновременно приложение на лекарствени продукти, съдържащи окскарбазепин и фелбамат.</w:t>
      </w:r>
    </w:p>
    <w:p w14:paraId="72C8C5D1" w14:textId="77777777" w:rsidR="00D151C7" w:rsidRPr="008519BE" w:rsidRDefault="00D151C7" w:rsidP="00D151C7">
      <w:pPr>
        <w:spacing w:line="240" w:lineRule="auto"/>
        <w:rPr>
          <w:rFonts w:eastAsia="Times New Roman" w:cs="Arial"/>
          <w:sz w:val="28"/>
          <w:szCs w:val="24"/>
        </w:rPr>
      </w:pPr>
      <w:r w:rsidRPr="008519BE">
        <w:rPr>
          <w:rFonts w:eastAsia="Times New Roman" w:cs="Arial"/>
          <w:color w:val="000000"/>
          <w:szCs w:val="20"/>
          <w:lang w:eastAsia="bg-BG"/>
        </w:rPr>
        <w:t xml:space="preserve">Есликарбазепинов ацетат е изпитан в дози 400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(само в -301 и -302 проучвания), 800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и 1 200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веднъж дневно. Есликарбазепинов ацетат в дози 800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веднъж дневно и 1 200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веднъж дневно е значимо по-ефективен от плацебо при понижаване честотата на припадъците за 12-седмичен период на поддържащо лечение. Делът на индивидите с понижение ≥ 50% (1 581 анализирани) в честотата на гърчовете в проучвания фаза III е 19,3% за плацебо, 20,8% за есликарбазепинов ацетат в доза 400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30,5% за есликарбазепинов ацетат в доза 800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и 35,3% за есликарбазепинов ацетат в доза 1 200 </w:t>
      </w:r>
      <w:r w:rsidRPr="008519BE">
        <w:rPr>
          <w:rFonts w:eastAsia="Times New Roman" w:cs="Arial"/>
          <w:color w:val="000000"/>
          <w:szCs w:val="20"/>
          <w:lang w:val="en-US"/>
        </w:rPr>
        <w:t>mg</w:t>
      </w:r>
      <w:r w:rsidRPr="008519BE">
        <w:rPr>
          <w:rFonts w:eastAsia="Times New Roman" w:cs="Arial"/>
          <w:color w:val="000000"/>
          <w:szCs w:val="20"/>
          <w:lang w:val="ru-RU"/>
        </w:rPr>
        <w:t xml:space="preserve"> </w:t>
      </w:r>
      <w:r w:rsidRPr="008519BE">
        <w:rPr>
          <w:rFonts w:eastAsia="Times New Roman" w:cs="Arial"/>
          <w:color w:val="000000"/>
          <w:szCs w:val="20"/>
          <w:lang w:eastAsia="bg-BG"/>
        </w:rPr>
        <w:t>дневно.</w:t>
      </w:r>
    </w:p>
    <w:p w14:paraId="196215F5" w14:textId="77777777" w:rsidR="008519BE" w:rsidRPr="008519BE" w:rsidRDefault="008519BE" w:rsidP="00D151C7">
      <w:pPr>
        <w:spacing w:line="240" w:lineRule="auto"/>
        <w:rPr>
          <w:rFonts w:eastAsia="Times New Roman" w:cs="Arial"/>
          <w:i/>
          <w:iCs/>
          <w:color w:val="000000"/>
          <w:szCs w:val="20"/>
          <w:lang w:eastAsia="bg-BG"/>
        </w:rPr>
      </w:pPr>
    </w:p>
    <w:p w14:paraId="1B59DF62" w14:textId="701965C4" w:rsidR="00D151C7" w:rsidRPr="008519BE" w:rsidRDefault="00D151C7" w:rsidP="00D151C7">
      <w:pPr>
        <w:spacing w:line="240" w:lineRule="auto"/>
        <w:rPr>
          <w:rFonts w:eastAsia="Times New Roman" w:cs="Arial"/>
          <w:sz w:val="28"/>
          <w:szCs w:val="24"/>
        </w:rPr>
      </w:pPr>
      <w:r w:rsidRPr="008519BE">
        <w:rPr>
          <w:rFonts w:eastAsia="Times New Roman" w:cs="Arial"/>
          <w:i/>
          <w:iCs/>
          <w:color w:val="000000"/>
          <w:szCs w:val="20"/>
          <w:lang w:eastAsia="bg-BG"/>
        </w:rPr>
        <w:t>Популация в старческа възраст</w:t>
      </w:r>
    </w:p>
    <w:p w14:paraId="35B4F19F" w14:textId="77777777" w:rsidR="008519BE" w:rsidRPr="008519BE" w:rsidRDefault="00D151C7" w:rsidP="008519BE">
      <w:pPr>
        <w:rPr>
          <w:rFonts w:eastAsia="Times New Roman" w:cs="Arial"/>
          <w:sz w:val="28"/>
          <w:szCs w:val="24"/>
        </w:rPr>
      </w:pPr>
      <w:r w:rsidRPr="008519BE">
        <w:rPr>
          <w:rFonts w:eastAsia="Times New Roman" w:cs="Arial"/>
          <w:color w:val="000000"/>
          <w:szCs w:val="20"/>
          <w:lang w:eastAsia="bg-BG"/>
        </w:rPr>
        <w:t>Безопасността и ефикасността на есликарбазепинов ацетат, като допълнителна терапия, при пациенти в старческа възраст с парциални припадъциприпадъци, са оценени в едно неконтролирано проучване с продължителност от 26 седмици при 72 души в старческа възраст (≥ 65 години). Данните показват, че честотата на възникналите нежелани реакции при тази популация (65,3%) е подобна на честотата при общата популация, включена в двойнослепите проучвания на епилепсия (66,8%). Най-честите индивидуално съобщавани нежелани реакции са замайване (12,5% от участниците), сомнолентност (9,7%), умора, конвулсии и хипонатриемия (8,3 % всеки един), назофарингит (6,9%) и инфекция на горните дихателни пътища (5,6%). Общо 50 от 72-та започнали проучването участници са завършили 26седмичния период на</w:t>
      </w:r>
      <w:r w:rsidR="008519BE" w:rsidRPr="008519BE">
        <w:rPr>
          <w:rFonts w:eastAsia="Times New Roman" w:cs="Arial"/>
          <w:color w:val="000000"/>
          <w:szCs w:val="20"/>
          <w:lang w:val="ru-RU" w:eastAsia="bg-BG"/>
        </w:rPr>
        <w:t xml:space="preserve"> </w:t>
      </w:r>
      <w:r w:rsidR="008519BE" w:rsidRPr="008519BE">
        <w:rPr>
          <w:rFonts w:eastAsia="Times New Roman" w:cs="Arial"/>
          <w:color w:val="000000"/>
          <w:szCs w:val="20"/>
          <w:lang w:eastAsia="bg-BG"/>
        </w:rPr>
        <w:t>лечение, което съответства на процент на задържане от 69,4% (вж. точка 4.2 за информация относно употреба в старческа възраст).</w:t>
      </w:r>
    </w:p>
    <w:p w14:paraId="6FEE7C1E" w14:textId="77777777" w:rsidR="008519BE" w:rsidRPr="008519BE" w:rsidRDefault="008519BE" w:rsidP="008519BE">
      <w:pPr>
        <w:spacing w:line="240" w:lineRule="auto"/>
        <w:rPr>
          <w:rFonts w:eastAsia="Times New Roman" w:cs="Arial"/>
          <w:i/>
          <w:iCs/>
          <w:color w:val="000000"/>
          <w:szCs w:val="20"/>
          <w:lang w:eastAsia="bg-BG"/>
        </w:rPr>
      </w:pPr>
    </w:p>
    <w:p w14:paraId="79A620AC" w14:textId="120549D7" w:rsidR="008519BE" w:rsidRPr="008519BE" w:rsidRDefault="008519BE" w:rsidP="008519BE">
      <w:pPr>
        <w:spacing w:line="240" w:lineRule="auto"/>
        <w:rPr>
          <w:rFonts w:eastAsia="Times New Roman" w:cs="Arial"/>
          <w:sz w:val="28"/>
          <w:szCs w:val="24"/>
        </w:rPr>
      </w:pPr>
      <w:r w:rsidRPr="008519BE">
        <w:rPr>
          <w:rFonts w:eastAsia="Times New Roman" w:cs="Arial"/>
          <w:i/>
          <w:iCs/>
          <w:color w:val="000000"/>
          <w:szCs w:val="20"/>
          <w:lang w:eastAsia="bg-BG"/>
        </w:rPr>
        <w:t>Педиатрична популация</w:t>
      </w:r>
    </w:p>
    <w:p w14:paraId="7540645C" w14:textId="77777777"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 xml:space="preserve">Ефикасността и безопасността на есликарбазепинов ацетат като допълнителна терапия за парциални припадъци при деца са оценени в едно проучване фаза II при деца на възраст от 6 до 16 години </w:t>
      </w:r>
      <w:r w:rsidRPr="008519BE">
        <w:rPr>
          <w:rFonts w:eastAsia="Times New Roman" w:cs="Arial"/>
          <w:color w:val="000000"/>
          <w:szCs w:val="20"/>
          <w:lang w:val="ru-RU"/>
        </w:rPr>
        <w:t>(</w:t>
      </w:r>
      <w:r w:rsidRPr="008519BE">
        <w:rPr>
          <w:rFonts w:eastAsia="Times New Roman" w:cs="Arial"/>
          <w:color w:val="000000"/>
          <w:szCs w:val="20"/>
          <w:lang w:val="en-US"/>
        </w:rPr>
        <w:t>N</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 123) и едно проучване фаза III при деца на възраст от 2 до 18 години </w:t>
      </w:r>
      <w:r w:rsidRPr="008519BE">
        <w:rPr>
          <w:rFonts w:eastAsia="Times New Roman" w:cs="Arial"/>
          <w:color w:val="000000"/>
          <w:szCs w:val="20"/>
          <w:lang w:val="ru-RU"/>
        </w:rPr>
        <w:t>(</w:t>
      </w:r>
      <w:r w:rsidRPr="008519BE">
        <w:rPr>
          <w:rFonts w:eastAsia="Times New Roman" w:cs="Arial"/>
          <w:color w:val="000000"/>
          <w:szCs w:val="20"/>
          <w:lang w:val="en-US"/>
        </w:rPr>
        <w:t>N</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 304). И двете проучвания са двойнослепи и плацебо контролирани с продължителност на поддържащата терапия съответно 8 седмици (проучване 208) и 12 седмици (проучване 305). Есликарбазепинов ацетат е тестван при дози 20 и 30 </w:t>
      </w:r>
      <w:r w:rsidRPr="008519BE">
        <w:rPr>
          <w:rFonts w:eastAsia="Times New Roman" w:cs="Arial"/>
          <w:color w:val="000000"/>
          <w:szCs w:val="20"/>
          <w:lang w:val="en-US"/>
        </w:rPr>
        <w:t>mg</w:t>
      </w:r>
      <w:r w:rsidRPr="008519BE">
        <w:rPr>
          <w:rFonts w:eastAsia="Times New Roman" w:cs="Arial"/>
          <w:color w:val="000000"/>
          <w:szCs w:val="20"/>
          <w:lang w:val="ru-RU"/>
        </w:rPr>
        <w:t>/</w:t>
      </w:r>
      <w:r w:rsidRPr="008519BE">
        <w:rPr>
          <w:rFonts w:eastAsia="Times New Roman" w:cs="Arial"/>
          <w:color w:val="000000"/>
          <w:szCs w:val="20"/>
          <w:lang w:val="en-US"/>
        </w:rPr>
        <w:t>kg</w:t>
      </w:r>
      <w:r w:rsidRPr="008519BE">
        <w:rPr>
          <w:rFonts w:eastAsia="Times New Roman" w:cs="Arial"/>
          <w:color w:val="000000"/>
          <w:szCs w:val="20"/>
          <w:lang w:eastAsia="bg-BG"/>
        </w:rPr>
        <w:t xml:space="preserve">/ден, до максимум 1 200 </w:t>
      </w:r>
      <w:r w:rsidRPr="008519BE">
        <w:rPr>
          <w:rFonts w:eastAsia="Times New Roman" w:cs="Arial"/>
          <w:color w:val="000000"/>
          <w:szCs w:val="20"/>
          <w:lang w:val="en-US"/>
        </w:rPr>
        <w:t>mg</w:t>
      </w:r>
      <w:r w:rsidRPr="008519BE">
        <w:rPr>
          <w:rFonts w:eastAsia="Times New Roman" w:cs="Arial"/>
          <w:color w:val="000000"/>
          <w:szCs w:val="20"/>
          <w:lang w:eastAsia="bg-BG"/>
        </w:rPr>
        <w:t xml:space="preserve">/ден. Целевата доза е 30 </w:t>
      </w:r>
      <w:r w:rsidRPr="008519BE">
        <w:rPr>
          <w:rFonts w:eastAsia="Times New Roman" w:cs="Arial"/>
          <w:color w:val="000000"/>
          <w:szCs w:val="20"/>
          <w:lang w:val="en-US"/>
        </w:rPr>
        <w:t>mg</w:t>
      </w:r>
      <w:r w:rsidRPr="008519BE">
        <w:rPr>
          <w:rFonts w:eastAsia="Times New Roman" w:cs="Arial"/>
          <w:color w:val="000000"/>
          <w:szCs w:val="20"/>
          <w:lang w:val="ru-RU"/>
        </w:rPr>
        <w:t>/</w:t>
      </w:r>
      <w:r w:rsidRPr="008519BE">
        <w:rPr>
          <w:rFonts w:eastAsia="Times New Roman" w:cs="Arial"/>
          <w:color w:val="000000"/>
          <w:szCs w:val="20"/>
          <w:lang w:val="en-US"/>
        </w:rPr>
        <w:t>kg</w:t>
      </w:r>
      <w:r w:rsidRPr="008519BE">
        <w:rPr>
          <w:rFonts w:eastAsia="Times New Roman" w:cs="Arial"/>
          <w:color w:val="000000"/>
          <w:szCs w:val="20"/>
          <w:lang w:eastAsia="bg-BG"/>
        </w:rPr>
        <w:t xml:space="preserve">/ден в проучване 208 и 20 </w:t>
      </w:r>
      <w:r w:rsidRPr="008519BE">
        <w:rPr>
          <w:rFonts w:eastAsia="Times New Roman" w:cs="Arial"/>
          <w:color w:val="000000"/>
          <w:szCs w:val="20"/>
          <w:lang w:val="en-US"/>
        </w:rPr>
        <w:t>mg</w:t>
      </w:r>
      <w:r w:rsidRPr="008519BE">
        <w:rPr>
          <w:rFonts w:eastAsia="Times New Roman" w:cs="Arial"/>
          <w:color w:val="000000"/>
          <w:szCs w:val="20"/>
          <w:lang w:val="ru-RU"/>
        </w:rPr>
        <w:t>/</w:t>
      </w:r>
      <w:r w:rsidRPr="008519BE">
        <w:rPr>
          <w:rFonts w:eastAsia="Times New Roman" w:cs="Arial"/>
          <w:color w:val="000000"/>
          <w:szCs w:val="20"/>
          <w:lang w:val="en-US"/>
        </w:rPr>
        <w:t>kg</w:t>
      </w:r>
      <w:r w:rsidRPr="008519BE">
        <w:rPr>
          <w:rFonts w:eastAsia="Times New Roman" w:cs="Arial"/>
          <w:color w:val="000000"/>
          <w:szCs w:val="20"/>
          <w:lang w:eastAsia="bg-BG"/>
        </w:rPr>
        <w:t>/ден в проучване 305. Дозите могат да бъдат коригирани въз основа на поносимостта и отговора към лечението.</w:t>
      </w:r>
    </w:p>
    <w:p w14:paraId="7FAFA605" w14:textId="77777777" w:rsidR="008519BE" w:rsidRPr="008519BE" w:rsidRDefault="008519BE" w:rsidP="008519BE">
      <w:pPr>
        <w:spacing w:line="240" w:lineRule="auto"/>
        <w:rPr>
          <w:rFonts w:eastAsia="Times New Roman" w:cs="Arial"/>
          <w:color w:val="000000"/>
          <w:szCs w:val="20"/>
          <w:lang w:eastAsia="bg-BG"/>
        </w:rPr>
      </w:pPr>
    </w:p>
    <w:p w14:paraId="4257239E" w14:textId="2B1C81E3"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В проучването фаза II оценката на ефективността е вторична цел. Средното намаление на стандартизираната честота на припадъците, определено по метода най-малките квадрати от изходното ниво до периода на поддръжка е значително (р &lt; 0,001), по-високо при есликарбазепинов ацетат (-34,8%) в сравнение с плацебо (-13,8%). Четиридесет и двама пациенти (50,6%) в групата на есликарбазепинов ацетат, в сравнение с 10 пациенти (25,0%) в групата на плацебо са респондери (≥ 50% намаление в стандартизираната честота на припадъците), което води до значителна разлика (р = 0,009).</w:t>
      </w:r>
    </w:p>
    <w:p w14:paraId="432BBA51" w14:textId="77777777" w:rsidR="008519BE" w:rsidRPr="008519BE" w:rsidRDefault="008519BE" w:rsidP="008519BE">
      <w:pPr>
        <w:spacing w:line="240" w:lineRule="auto"/>
        <w:rPr>
          <w:rFonts w:eastAsia="Times New Roman" w:cs="Arial"/>
          <w:color w:val="000000"/>
          <w:szCs w:val="20"/>
          <w:lang w:eastAsia="bg-BG"/>
        </w:rPr>
      </w:pPr>
    </w:p>
    <w:p w14:paraId="23FE4A87" w14:textId="108115BD"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 xml:space="preserve">В проучването фаза III средното намаляване на най-малките квадрати при стандартизираната честота на припадъците при есликарбазепинов ацетат (-18,1% спрямо изходното ниво) е различно от плацебо (-8,6% спрямо изходното ниво), но не е статистически значимо (р = 0,2490). Четиридесет и един пациенти (30,6%) в групата на есликарбазепинов ацетат в сравнение с 40 пациента (31,0%) в групата на плацебо са респондери (≥ 50% намаление в стандартизираната честота на припадъците), което води до незначителна разлика (р = 0,9017). Проведени са </w:t>
      </w:r>
      <w:r w:rsidRPr="008519BE">
        <w:rPr>
          <w:rFonts w:eastAsia="Times New Roman" w:cs="Arial"/>
          <w:color w:val="000000"/>
          <w:szCs w:val="20"/>
          <w:lang w:val="en-US"/>
        </w:rPr>
        <w:t>post</w:t>
      </w:r>
      <w:r w:rsidRPr="008519BE">
        <w:rPr>
          <w:rFonts w:eastAsia="Times New Roman" w:cs="Arial"/>
          <w:color w:val="000000"/>
          <w:szCs w:val="20"/>
          <w:lang w:val="ru-RU"/>
        </w:rPr>
        <w:t>-</w:t>
      </w:r>
      <w:r w:rsidRPr="008519BE">
        <w:rPr>
          <w:rFonts w:eastAsia="Times New Roman" w:cs="Arial"/>
          <w:color w:val="000000"/>
          <w:szCs w:val="20"/>
          <w:lang w:val="en-US"/>
        </w:rPr>
        <w:t>hoc</w:t>
      </w:r>
      <w:r w:rsidRPr="008519BE">
        <w:rPr>
          <w:rFonts w:eastAsia="Times New Roman" w:cs="Arial"/>
          <w:color w:val="000000"/>
          <w:szCs w:val="20"/>
          <w:lang w:val="ru-RU"/>
        </w:rPr>
        <w:t xml:space="preserve"> </w:t>
      </w:r>
      <w:r w:rsidRPr="008519BE">
        <w:rPr>
          <w:rFonts w:eastAsia="Times New Roman" w:cs="Arial"/>
          <w:color w:val="000000"/>
          <w:szCs w:val="20"/>
          <w:lang w:eastAsia="bg-BG"/>
        </w:rPr>
        <w:t xml:space="preserve">подгрупови анализи на проучването фаза III според възрастова група и над 6 години, както и според доза. При деца на възраст над 6 години, 36 пациенти (35,0%) в групата на есликарбазепинов ацетат в сравнение с 29 пациенти (30,2%) в групата на плацебо са респондери (р = 0,4759) и средното намаляване на най-малките квадрати при стандартизираната честота на припадъците е по-високо в групата на есликарбазепинов ацетат в сравнение с плацебо (-24,4% спрямо -10,5%); въпреки това разликата от 13,9% не е статистически значима (р = 0,1040). Общо 39% от пациентите в проучване 305 са титрирани до максималната възможна доза (30 </w:t>
      </w:r>
      <w:r w:rsidRPr="008519BE">
        <w:rPr>
          <w:rFonts w:eastAsia="Times New Roman" w:cs="Arial"/>
          <w:color w:val="000000"/>
          <w:szCs w:val="20"/>
          <w:lang w:val="en-US"/>
        </w:rPr>
        <w:t>mg</w:t>
      </w:r>
      <w:r w:rsidRPr="008519BE">
        <w:rPr>
          <w:rFonts w:eastAsia="Times New Roman" w:cs="Arial"/>
          <w:color w:val="000000"/>
          <w:szCs w:val="20"/>
          <w:lang w:val="ru-RU"/>
        </w:rPr>
        <w:t>/</w:t>
      </w:r>
      <w:r w:rsidRPr="008519BE">
        <w:rPr>
          <w:rFonts w:eastAsia="Times New Roman" w:cs="Arial"/>
          <w:color w:val="000000"/>
          <w:szCs w:val="20"/>
          <w:lang w:val="en-US"/>
        </w:rPr>
        <w:t>kg</w:t>
      </w:r>
      <w:r w:rsidRPr="008519BE">
        <w:rPr>
          <w:rFonts w:eastAsia="Times New Roman" w:cs="Arial"/>
          <w:color w:val="000000"/>
          <w:szCs w:val="20"/>
          <w:lang w:eastAsia="bg-BG"/>
        </w:rPr>
        <w:t xml:space="preserve">/ден). От тях, когато се изключат пациентите на възраст на и под 6 години, 14 (48,3%) и 11 (30,6%) от пациентите в групата на есликарбазепинов ацетат и плацебо съответно са респондери (р = 0,1514). Въпреки че надеждността на тези </w:t>
      </w:r>
      <w:r w:rsidRPr="008519BE">
        <w:rPr>
          <w:rFonts w:eastAsia="Times New Roman" w:cs="Arial"/>
          <w:color w:val="000000"/>
          <w:szCs w:val="20"/>
          <w:lang w:val="en-US"/>
        </w:rPr>
        <w:t>post</w:t>
      </w:r>
      <w:r w:rsidRPr="008519BE">
        <w:rPr>
          <w:rFonts w:eastAsia="Times New Roman" w:cs="Arial"/>
          <w:color w:val="000000"/>
          <w:szCs w:val="20"/>
          <w:lang w:val="ru-RU"/>
        </w:rPr>
        <w:t>-</w:t>
      </w:r>
      <w:r w:rsidRPr="008519BE">
        <w:rPr>
          <w:rFonts w:eastAsia="Times New Roman" w:cs="Arial"/>
          <w:color w:val="000000"/>
          <w:szCs w:val="20"/>
          <w:lang w:val="en-US"/>
        </w:rPr>
        <w:t>hoc</w:t>
      </w:r>
      <w:r w:rsidRPr="008519BE">
        <w:rPr>
          <w:rFonts w:eastAsia="Times New Roman" w:cs="Arial"/>
          <w:color w:val="000000"/>
          <w:szCs w:val="20"/>
          <w:lang w:val="ru-RU"/>
        </w:rPr>
        <w:t xml:space="preserve"> </w:t>
      </w:r>
      <w:r w:rsidRPr="008519BE">
        <w:rPr>
          <w:rFonts w:eastAsia="Times New Roman" w:cs="Arial"/>
          <w:color w:val="000000"/>
          <w:szCs w:val="20"/>
          <w:lang w:eastAsia="bg-BG"/>
        </w:rPr>
        <w:t>подгрупови анализи е ограничена, данните предполагат зависимо от възрастта и дозата увеличаване на ефекта.</w:t>
      </w:r>
    </w:p>
    <w:p w14:paraId="6D7DE69F" w14:textId="77777777"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Европейската агенция по лекарствата отлага задължението за предоставяне на резултатите от проучванията с есликабазепинов ацетат в една или повече подгрупи на педиатричната популация при лечението на епилепсия с парциални припадъци (вж. точка 4.2 за информация относно употреба в педиатрията).</w:t>
      </w:r>
    </w:p>
    <w:p w14:paraId="104B0DA7" w14:textId="62F104E2" w:rsidR="00D151C7" w:rsidRPr="008519BE" w:rsidRDefault="00D151C7" w:rsidP="00D151C7"/>
    <w:p w14:paraId="78DD93AA" w14:textId="6CD9964A" w:rsidR="00B6672E" w:rsidRDefault="002C50EE" w:rsidP="00936AD0">
      <w:pPr>
        <w:pStyle w:val="Heading2"/>
      </w:pPr>
      <w:r>
        <w:t>5.2. Фармакокинетични свойства</w:t>
      </w:r>
    </w:p>
    <w:p w14:paraId="72678C2A" w14:textId="09792E0F" w:rsidR="008519BE" w:rsidRDefault="008519BE" w:rsidP="008519BE"/>
    <w:p w14:paraId="7F43C115" w14:textId="77777777" w:rsidR="008519BE" w:rsidRPr="008519BE" w:rsidRDefault="008519BE" w:rsidP="008519BE">
      <w:pPr>
        <w:pStyle w:val="Heading3"/>
        <w:rPr>
          <w:rFonts w:eastAsia="Times New Roman"/>
          <w:u w:val="single"/>
        </w:rPr>
      </w:pPr>
      <w:r w:rsidRPr="008519BE">
        <w:rPr>
          <w:rFonts w:eastAsia="Times New Roman"/>
          <w:u w:val="single"/>
          <w:lang w:eastAsia="bg-BG"/>
        </w:rPr>
        <w:t>Абсорбция</w:t>
      </w:r>
    </w:p>
    <w:p w14:paraId="3FD06F84" w14:textId="77777777" w:rsidR="008519BE" w:rsidRPr="008519BE" w:rsidRDefault="008519BE" w:rsidP="008519BE">
      <w:pPr>
        <w:spacing w:line="240" w:lineRule="auto"/>
        <w:rPr>
          <w:rFonts w:eastAsia="Times New Roman" w:cs="Arial"/>
          <w:color w:val="000000"/>
          <w:lang w:eastAsia="bg-BG"/>
        </w:rPr>
      </w:pPr>
    </w:p>
    <w:p w14:paraId="65534394" w14:textId="1D116806" w:rsidR="008519BE" w:rsidRPr="008519BE" w:rsidRDefault="008519BE" w:rsidP="008519BE">
      <w:pPr>
        <w:spacing w:line="240" w:lineRule="auto"/>
        <w:rPr>
          <w:rFonts w:eastAsia="Times New Roman" w:cs="Arial"/>
        </w:rPr>
      </w:pPr>
      <w:r w:rsidRPr="008519BE">
        <w:rPr>
          <w:rFonts w:eastAsia="Times New Roman" w:cs="Arial"/>
          <w:color w:val="000000"/>
          <w:lang w:eastAsia="bg-BG"/>
        </w:rPr>
        <w:t>Есликарбазепинов ацетат се превръща в голяма степен в есликарбазепинов. След перорално приложение, плазмените нива иа есликарбазепинов ацетат обикновено остават под границата на количествено определяне. С</w:t>
      </w:r>
      <w:r w:rsidRPr="008519BE">
        <w:rPr>
          <w:rFonts w:eastAsia="Times New Roman" w:cs="Arial"/>
          <w:color w:val="000000"/>
          <w:lang w:val="en-US"/>
        </w:rPr>
        <w:t>max</w:t>
      </w:r>
      <w:r w:rsidRPr="008519BE">
        <w:rPr>
          <w:rFonts w:eastAsia="Times New Roman" w:cs="Arial"/>
          <w:color w:val="000000"/>
          <w:lang w:eastAsia="bg-BG"/>
        </w:rPr>
        <w:t xml:space="preserve"> на есликарбазепинов се достига 2 до 3 </w:t>
      </w:r>
      <w:r w:rsidRPr="008519BE">
        <w:rPr>
          <w:rFonts w:eastAsia="Times New Roman" w:cs="Arial"/>
          <w:color w:val="000000"/>
          <w:lang w:val="en-US"/>
        </w:rPr>
        <w:t>h</w:t>
      </w:r>
      <w:r w:rsidRPr="008519BE">
        <w:rPr>
          <w:rFonts w:eastAsia="Times New Roman" w:cs="Arial"/>
          <w:color w:val="000000"/>
          <w:lang w:val="ru-RU"/>
        </w:rPr>
        <w:t xml:space="preserve"> </w:t>
      </w:r>
      <w:r w:rsidRPr="008519BE">
        <w:rPr>
          <w:rFonts w:eastAsia="Times New Roman" w:cs="Arial"/>
          <w:color w:val="000000"/>
          <w:lang w:eastAsia="bg-BG"/>
        </w:rPr>
        <w:t xml:space="preserve">след приложение на дозата </w:t>
      </w:r>
      <w:r w:rsidRPr="008519BE">
        <w:rPr>
          <w:rFonts w:eastAsia="Times New Roman" w:cs="Arial"/>
          <w:color w:val="000000"/>
          <w:lang w:val="ru-RU"/>
        </w:rPr>
        <w:t>(</w:t>
      </w:r>
      <w:proofErr w:type="spellStart"/>
      <w:r w:rsidRPr="008519BE">
        <w:rPr>
          <w:rFonts w:eastAsia="Times New Roman" w:cs="Arial"/>
          <w:color w:val="000000"/>
          <w:lang w:val="en-US"/>
        </w:rPr>
        <w:t>tmax</w:t>
      </w:r>
      <w:proofErr w:type="spellEnd"/>
      <w:r w:rsidRPr="008519BE">
        <w:rPr>
          <w:rFonts w:eastAsia="Times New Roman" w:cs="Arial"/>
          <w:color w:val="000000"/>
          <w:lang w:val="ru-RU"/>
        </w:rPr>
        <w:t xml:space="preserve">). </w:t>
      </w:r>
      <w:r w:rsidRPr="008519BE">
        <w:rPr>
          <w:rFonts w:eastAsia="Times New Roman" w:cs="Arial"/>
          <w:color w:val="000000"/>
          <w:lang w:eastAsia="bg-BG"/>
        </w:rPr>
        <w:t>Бионаличностга може да се приеме за висока, тъй като количеството на откритите в урината метаболити съответства на повече от 90% от дозата на есликарбазепинов ацетат.</w:t>
      </w:r>
    </w:p>
    <w:p w14:paraId="1DC4C78E" w14:textId="77777777" w:rsidR="008519BE" w:rsidRPr="008519BE" w:rsidRDefault="008519BE" w:rsidP="008519BE">
      <w:pPr>
        <w:spacing w:line="240" w:lineRule="auto"/>
        <w:rPr>
          <w:rFonts w:eastAsia="Times New Roman" w:cs="Arial"/>
          <w:color w:val="000000"/>
          <w:u w:val="single"/>
          <w:lang w:eastAsia="bg-BG"/>
        </w:rPr>
      </w:pPr>
    </w:p>
    <w:p w14:paraId="465475D5" w14:textId="3A5303C7" w:rsidR="008519BE" w:rsidRPr="008519BE" w:rsidRDefault="008519BE" w:rsidP="008519BE">
      <w:pPr>
        <w:pStyle w:val="Heading3"/>
        <w:rPr>
          <w:rFonts w:eastAsia="Times New Roman"/>
          <w:u w:val="single"/>
        </w:rPr>
      </w:pPr>
      <w:r w:rsidRPr="008519BE">
        <w:rPr>
          <w:rFonts w:eastAsia="Times New Roman"/>
          <w:u w:val="single"/>
          <w:lang w:eastAsia="bg-BG"/>
        </w:rPr>
        <w:t>Разпределение</w:t>
      </w:r>
    </w:p>
    <w:p w14:paraId="23FA441F" w14:textId="77777777" w:rsidR="008519BE" w:rsidRPr="008519BE" w:rsidRDefault="008519BE" w:rsidP="008519BE">
      <w:pPr>
        <w:pStyle w:val="Heading3"/>
        <w:rPr>
          <w:rFonts w:eastAsia="Times New Roman"/>
          <w:u w:val="single"/>
          <w:lang w:eastAsia="bg-BG"/>
        </w:rPr>
      </w:pPr>
    </w:p>
    <w:p w14:paraId="313949E4" w14:textId="21285965"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Свързването на есликарбазепинов с плазмените протеини е сравнително слабо (&lt;40%) и не зависи от концентрацията. Проучванията </w:t>
      </w:r>
      <w:r w:rsidRPr="008519BE">
        <w:rPr>
          <w:rFonts w:eastAsia="Times New Roman" w:cs="Arial"/>
          <w:color w:val="000000"/>
          <w:lang w:val="en-US"/>
        </w:rPr>
        <w:t>in</w:t>
      </w:r>
      <w:r w:rsidRPr="008519BE">
        <w:rPr>
          <w:rFonts w:eastAsia="Times New Roman" w:cs="Arial"/>
          <w:color w:val="000000"/>
          <w:lang w:val="ru-RU"/>
        </w:rPr>
        <w:t xml:space="preserve"> </w:t>
      </w:r>
      <w:r w:rsidRPr="008519BE">
        <w:rPr>
          <w:rFonts w:eastAsia="Times New Roman" w:cs="Arial"/>
          <w:color w:val="000000"/>
          <w:lang w:val="en-US"/>
        </w:rPr>
        <w:t>vitro</w:t>
      </w:r>
      <w:r w:rsidRPr="008519BE">
        <w:rPr>
          <w:rFonts w:eastAsia="Times New Roman" w:cs="Arial"/>
          <w:color w:val="000000"/>
          <w:lang w:val="ru-RU"/>
        </w:rPr>
        <w:t xml:space="preserve"> </w:t>
      </w:r>
      <w:r w:rsidRPr="008519BE">
        <w:rPr>
          <w:rFonts w:eastAsia="Times New Roman" w:cs="Arial"/>
          <w:color w:val="000000"/>
          <w:lang w:eastAsia="bg-BG"/>
        </w:rPr>
        <w:t xml:space="preserve">показват, че свързването с </w:t>
      </w:r>
      <w:r w:rsidRPr="008519BE">
        <w:rPr>
          <w:rFonts w:eastAsia="Times New Roman" w:cs="Arial"/>
          <w:color w:val="000000"/>
          <w:lang w:eastAsia="bg-BG"/>
        </w:rPr>
        <w:lastRenderedPageBreak/>
        <w:t>плазмените протеини не се повлиява значимо от наличието на варфарин, диазепам, дигоксин, фенитоин и толбутамид. Свързването на варфарин, диазепам, дигоксин, фенитоин и толбутамид не се повлиява значимо от наличието на есликарбазепин.</w:t>
      </w:r>
    </w:p>
    <w:p w14:paraId="44CBEE3A" w14:textId="77777777" w:rsidR="008519BE" w:rsidRPr="008519BE" w:rsidRDefault="008519BE" w:rsidP="008519BE">
      <w:pPr>
        <w:spacing w:line="240" w:lineRule="auto"/>
        <w:rPr>
          <w:rFonts w:eastAsia="Times New Roman" w:cs="Arial"/>
          <w:color w:val="000000"/>
          <w:u w:val="single"/>
          <w:lang w:eastAsia="bg-BG"/>
        </w:rPr>
      </w:pPr>
    </w:p>
    <w:p w14:paraId="7DD47DAD" w14:textId="5314173A" w:rsidR="008519BE" w:rsidRPr="008519BE" w:rsidRDefault="008519BE" w:rsidP="008519BE">
      <w:pPr>
        <w:pStyle w:val="Heading3"/>
        <w:rPr>
          <w:rFonts w:eastAsia="Times New Roman"/>
          <w:u w:val="single"/>
        </w:rPr>
      </w:pPr>
      <w:r w:rsidRPr="008519BE">
        <w:rPr>
          <w:rFonts w:eastAsia="Times New Roman"/>
          <w:u w:val="single"/>
          <w:lang w:eastAsia="bg-BG"/>
        </w:rPr>
        <w:t>Биотрансформация</w:t>
      </w:r>
    </w:p>
    <w:p w14:paraId="4907FFAE" w14:textId="77777777" w:rsidR="008519BE" w:rsidRPr="008519BE" w:rsidRDefault="008519BE" w:rsidP="008519BE">
      <w:pPr>
        <w:spacing w:line="240" w:lineRule="auto"/>
        <w:rPr>
          <w:rFonts w:eastAsia="Times New Roman" w:cs="Arial"/>
          <w:color w:val="000000"/>
          <w:lang w:eastAsia="bg-BG"/>
        </w:rPr>
      </w:pPr>
    </w:p>
    <w:p w14:paraId="5BE64B7C" w14:textId="5E7EFEF6" w:rsidR="008519BE" w:rsidRPr="008519BE" w:rsidRDefault="008519BE" w:rsidP="008519BE">
      <w:pPr>
        <w:spacing w:line="240" w:lineRule="auto"/>
        <w:rPr>
          <w:rFonts w:eastAsia="Times New Roman" w:cs="Arial"/>
        </w:rPr>
      </w:pPr>
      <w:r w:rsidRPr="008519BE">
        <w:rPr>
          <w:rFonts w:eastAsia="Times New Roman" w:cs="Arial"/>
          <w:color w:val="000000"/>
          <w:lang w:eastAsia="bg-BG"/>
        </w:rPr>
        <w:t>Есликарбазепинов ацетат се биотрансформира бързо и в голяма степен до основния си активен метаболит есликарбазепин чрез хидролиза при първо преминаване през черния дроб.</w:t>
      </w:r>
    </w:p>
    <w:p w14:paraId="2CEAB4C8" w14:textId="77777777"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Стационарните плазмени концентрации се достигат след 4 до 5 дни след приложение веднъж дневно, което съответства на ефективен полуживот от порядъка на 20-24 </w:t>
      </w:r>
      <w:r w:rsidRPr="008519BE">
        <w:rPr>
          <w:rFonts w:eastAsia="Times New Roman" w:cs="Arial"/>
          <w:color w:val="000000"/>
          <w:lang w:val="en-US"/>
        </w:rPr>
        <w:t>h</w:t>
      </w:r>
      <w:r w:rsidRPr="008519BE">
        <w:rPr>
          <w:rFonts w:eastAsia="Times New Roman" w:cs="Arial"/>
          <w:color w:val="000000"/>
          <w:lang w:val="ru-RU"/>
        </w:rPr>
        <w:t xml:space="preserve">. </w:t>
      </w:r>
      <w:r w:rsidRPr="008519BE">
        <w:rPr>
          <w:rFonts w:eastAsia="Times New Roman" w:cs="Arial"/>
          <w:color w:val="000000"/>
          <w:lang w:eastAsia="bg-BG"/>
        </w:rPr>
        <w:t xml:space="preserve">При проучванията при здрави доброволци и възрастни пациенти с епилепсия, привидният полуживот на есликарбазепинов е съответно 10-20 </w:t>
      </w:r>
      <w:r w:rsidRPr="008519BE">
        <w:rPr>
          <w:rFonts w:eastAsia="Times New Roman" w:cs="Arial"/>
          <w:color w:val="000000"/>
          <w:lang w:val="en-US"/>
        </w:rPr>
        <w:t>h</w:t>
      </w:r>
      <w:r w:rsidRPr="008519BE">
        <w:rPr>
          <w:rFonts w:eastAsia="Times New Roman" w:cs="Arial"/>
          <w:color w:val="000000"/>
          <w:lang w:val="ru-RU"/>
        </w:rPr>
        <w:t xml:space="preserve"> </w:t>
      </w:r>
      <w:r w:rsidRPr="008519BE">
        <w:rPr>
          <w:rFonts w:eastAsia="Times New Roman" w:cs="Arial"/>
          <w:color w:val="000000"/>
          <w:lang w:eastAsia="bg-BG"/>
        </w:rPr>
        <w:t xml:space="preserve">и 13-20 </w:t>
      </w:r>
      <w:r w:rsidRPr="008519BE">
        <w:rPr>
          <w:rFonts w:eastAsia="Times New Roman" w:cs="Arial"/>
          <w:color w:val="000000"/>
          <w:lang w:val="en-US"/>
        </w:rPr>
        <w:t>h</w:t>
      </w:r>
      <w:r w:rsidRPr="008519BE">
        <w:rPr>
          <w:rFonts w:eastAsia="Times New Roman" w:cs="Arial"/>
          <w:color w:val="000000"/>
          <w:lang w:val="ru-RU"/>
        </w:rPr>
        <w:t xml:space="preserve">. </w:t>
      </w:r>
      <w:r w:rsidRPr="008519BE">
        <w:rPr>
          <w:rFonts w:eastAsia="Times New Roman" w:cs="Arial"/>
          <w:color w:val="000000"/>
          <w:lang w:eastAsia="bg-BG"/>
        </w:rPr>
        <w:t xml:space="preserve">Второстепенните метаболити в плазмата са </w:t>
      </w:r>
      <w:r w:rsidRPr="008519BE">
        <w:rPr>
          <w:rFonts w:eastAsia="Times New Roman" w:cs="Arial"/>
          <w:color w:val="000000"/>
          <w:lang w:val="en-US"/>
        </w:rPr>
        <w:t>R</w:t>
      </w:r>
      <w:r w:rsidRPr="008519BE">
        <w:rPr>
          <w:rFonts w:eastAsia="Times New Roman" w:cs="Arial"/>
          <w:color w:val="000000"/>
          <w:lang w:val="ru-RU"/>
        </w:rPr>
        <w:t xml:space="preserve">- </w:t>
      </w:r>
      <w:r w:rsidRPr="008519BE">
        <w:rPr>
          <w:rFonts w:eastAsia="Times New Roman" w:cs="Arial"/>
          <w:color w:val="000000"/>
          <w:lang w:eastAsia="bg-BG"/>
        </w:rPr>
        <w:t xml:space="preserve">ликарбазепин и окскарбазепин, за които е доказано, че са активни, и конюгатите на есликарбазепинов ацетат, есликарбазепинов, </w:t>
      </w:r>
      <w:r w:rsidRPr="008519BE">
        <w:rPr>
          <w:rFonts w:eastAsia="Times New Roman" w:cs="Arial"/>
          <w:color w:val="000000"/>
          <w:lang w:val="en-US"/>
        </w:rPr>
        <w:t>R</w:t>
      </w:r>
      <w:r w:rsidRPr="008519BE">
        <w:rPr>
          <w:rFonts w:eastAsia="Times New Roman" w:cs="Arial"/>
          <w:color w:val="000000"/>
          <w:lang w:eastAsia="bg-BG"/>
        </w:rPr>
        <w:t>-ликарбазепин и окскарбазепин с глюкуронова киселина.</w:t>
      </w:r>
    </w:p>
    <w:p w14:paraId="718B9784" w14:textId="77777777" w:rsidR="008519BE" w:rsidRPr="008519BE" w:rsidRDefault="008519BE" w:rsidP="008519BE">
      <w:pPr>
        <w:spacing w:line="240" w:lineRule="auto"/>
        <w:rPr>
          <w:rFonts w:eastAsia="Times New Roman" w:cs="Arial"/>
          <w:color w:val="000000"/>
          <w:lang w:eastAsia="bg-BG"/>
        </w:rPr>
      </w:pPr>
    </w:p>
    <w:p w14:paraId="4326233D" w14:textId="3BE8EAFC" w:rsidR="008519BE" w:rsidRPr="008519BE" w:rsidRDefault="008519BE" w:rsidP="008519BE">
      <w:pPr>
        <w:spacing w:line="240" w:lineRule="auto"/>
        <w:rPr>
          <w:rFonts w:eastAsia="Times New Roman" w:cs="Arial"/>
        </w:rPr>
      </w:pPr>
      <w:r w:rsidRPr="008519BE">
        <w:rPr>
          <w:rFonts w:eastAsia="Times New Roman" w:cs="Arial"/>
          <w:color w:val="000000"/>
          <w:lang w:eastAsia="bg-BG"/>
        </w:rPr>
        <w:t>Есликарбазепинов ацетат не повлиява собствения си метаболизъм или клирънс.</w:t>
      </w:r>
    </w:p>
    <w:p w14:paraId="0A961D26" w14:textId="77777777" w:rsidR="008519BE" w:rsidRPr="008519BE" w:rsidRDefault="008519BE" w:rsidP="008519BE">
      <w:pPr>
        <w:spacing w:line="240" w:lineRule="auto"/>
        <w:rPr>
          <w:rFonts w:eastAsia="Times New Roman" w:cs="Arial"/>
          <w:color w:val="000000"/>
          <w:lang w:eastAsia="bg-BG"/>
        </w:rPr>
      </w:pPr>
    </w:p>
    <w:p w14:paraId="2922B90C" w14:textId="1CABEC54"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Есликарбазепин е слаб индуктор на </w:t>
      </w:r>
      <w:r w:rsidRPr="008519BE">
        <w:rPr>
          <w:rFonts w:eastAsia="Times New Roman" w:cs="Arial"/>
          <w:color w:val="000000"/>
          <w:lang w:val="en-US"/>
        </w:rPr>
        <w:t>CYP</w:t>
      </w:r>
      <w:r w:rsidRPr="008519BE">
        <w:rPr>
          <w:rFonts w:eastAsia="Times New Roman" w:cs="Arial"/>
          <w:color w:val="000000"/>
          <w:lang w:val="ru-RU"/>
        </w:rPr>
        <w:t>3</w:t>
      </w:r>
      <w:r w:rsidRPr="008519BE">
        <w:rPr>
          <w:rFonts w:eastAsia="Times New Roman" w:cs="Arial"/>
          <w:color w:val="000000"/>
          <w:lang w:eastAsia="bg-BG"/>
        </w:rPr>
        <w:t xml:space="preserve">А4 и има инхибиращи свойства по отношение на </w:t>
      </w:r>
      <w:r w:rsidRPr="008519BE">
        <w:rPr>
          <w:rFonts w:eastAsia="Times New Roman" w:cs="Arial"/>
          <w:color w:val="000000"/>
          <w:lang w:val="en-US"/>
        </w:rPr>
        <w:t>CYP</w:t>
      </w:r>
      <w:r w:rsidRPr="008519BE">
        <w:rPr>
          <w:rFonts w:eastAsia="Times New Roman" w:cs="Arial"/>
          <w:color w:val="000000"/>
          <w:lang w:val="ru-RU"/>
        </w:rPr>
        <w:t>2</w:t>
      </w:r>
      <w:r w:rsidRPr="008519BE">
        <w:rPr>
          <w:rFonts w:eastAsia="Times New Roman" w:cs="Arial"/>
          <w:color w:val="000000"/>
          <w:lang w:val="en-US"/>
        </w:rPr>
        <w:t>C</w:t>
      </w:r>
      <w:r w:rsidRPr="008519BE">
        <w:rPr>
          <w:rFonts w:eastAsia="Times New Roman" w:cs="Arial"/>
          <w:color w:val="000000"/>
          <w:lang w:val="ru-RU"/>
        </w:rPr>
        <w:t xml:space="preserve">19 </w:t>
      </w:r>
      <w:r w:rsidRPr="008519BE">
        <w:rPr>
          <w:rFonts w:eastAsia="Times New Roman" w:cs="Arial"/>
          <w:color w:val="000000"/>
          <w:lang w:eastAsia="bg-BG"/>
        </w:rPr>
        <w:t>(както е посочено в точка 4.5).</w:t>
      </w:r>
    </w:p>
    <w:p w14:paraId="301C5A29" w14:textId="77777777" w:rsidR="008519BE" w:rsidRPr="008519BE" w:rsidRDefault="008519BE" w:rsidP="008519BE">
      <w:pPr>
        <w:spacing w:line="240" w:lineRule="auto"/>
        <w:rPr>
          <w:rFonts w:eastAsia="Times New Roman" w:cs="Arial"/>
          <w:color w:val="000000"/>
          <w:lang w:eastAsia="bg-BG"/>
        </w:rPr>
      </w:pPr>
    </w:p>
    <w:p w14:paraId="3421CBB0" w14:textId="13409838" w:rsidR="008519BE" w:rsidRPr="008519BE" w:rsidRDefault="008519BE" w:rsidP="008519BE">
      <w:pPr>
        <w:spacing w:line="240" w:lineRule="auto"/>
        <w:rPr>
          <w:rFonts w:eastAsia="Times New Roman" w:cs="Arial"/>
        </w:rPr>
      </w:pPr>
      <w:r w:rsidRPr="008519BE">
        <w:rPr>
          <w:rFonts w:eastAsia="Times New Roman" w:cs="Arial"/>
          <w:color w:val="000000"/>
          <w:lang w:eastAsia="bg-BG"/>
        </w:rPr>
        <w:t>При проучвания с есликарбазепин върху свежи човешки хепатоцити се наблюдава слаба индукция</w:t>
      </w:r>
      <w:r w:rsidRPr="008519BE">
        <w:rPr>
          <w:rFonts w:eastAsia="Times New Roman" w:cs="Arial"/>
          <w:color w:val="000000"/>
          <w:lang w:val="ru-RU"/>
        </w:rPr>
        <w:t xml:space="preserve"> </w:t>
      </w:r>
      <w:r w:rsidRPr="008519BE">
        <w:rPr>
          <w:rFonts w:eastAsia="Times New Roman" w:cs="Arial"/>
          <w:color w:val="000000"/>
          <w:lang w:eastAsia="bg-BG"/>
        </w:rPr>
        <w:t>на</w:t>
      </w:r>
      <w:r w:rsidRPr="008519BE">
        <w:rPr>
          <w:rFonts w:eastAsia="Times New Roman" w:cs="Arial"/>
          <w:color w:val="000000"/>
          <w:lang w:val="ru-RU"/>
        </w:rPr>
        <w:t xml:space="preserve"> </w:t>
      </w:r>
      <w:r w:rsidRPr="008519BE">
        <w:rPr>
          <w:rFonts w:eastAsia="Times New Roman" w:cs="Arial"/>
          <w:color w:val="000000"/>
          <w:lang w:val="en-US"/>
        </w:rPr>
        <w:t>UGT</w:t>
      </w:r>
      <w:r w:rsidRPr="008519BE">
        <w:rPr>
          <w:rFonts w:eastAsia="Times New Roman" w:cs="Arial"/>
          <w:color w:val="000000"/>
          <w:lang w:val="ru-RU"/>
        </w:rPr>
        <w:t>1</w:t>
      </w:r>
      <w:r w:rsidRPr="008519BE">
        <w:rPr>
          <w:rFonts w:eastAsia="Times New Roman" w:cs="Arial"/>
          <w:color w:val="000000"/>
          <w:lang w:val="en-US"/>
        </w:rPr>
        <w:t>A</w:t>
      </w:r>
      <w:r w:rsidRPr="008519BE">
        <w:rPr>
          <w:rFonts w:eastAsia="Times New Roman" w:cs="Arial"/>
          <w:color w:val="000000"/>
          <w:lang w:val="ru-RU"/>
        </w:rPr>
        <w:t xml:space="preserve">1 </w:t>
      </w:r>
      <w:r w:rsidRPr="008519BE">
        <w:rPr>
          <w:rFonts w:eastAsia="Times New Roman" w:cs="Arial"/>
          <w:color w:val="000000"/>
          <w:lang w:eastAsia="bg-BG"/>
        </w:rPr>
        <w:t>медиираното глюкурониране.</w:t>
      </w:r>
    </w:p>
    <w:p w14:paraId="3DA922E1" w14:textId="77777777" w:rsidR="008519BE" w:rsidRPr="008519BE" w:rsidRDefault="008519BE" w:rsidP="008519BE">
      <w:pPr>
        <w:spacing w:line="240" w:lineRule="auto"/>
        <w:rPr>
          <w:rFonts w:eastAsia="Times New Roman" w:cs="Arial"/>
          <w:color w:val="000000"/>
          <w:u w:val="single"/>
          <w:lang w:eastAsia="bg-BG"/>
        </w:rPr>
      </w:pPr>
    </w:p>
    <w:p w14:paraId="0F8FFFF9" w14:textId="52E887A8" w:rsidR="008519BE" w:rsidRPr="008519BE" w:rsidRDefault="008519BE" w:rsidP="008519BE">
      <w:pPr>
        <w:pStyle w:val="Heading3"/>
        <w:rPr>
          <w:rFonts w:eastAsia="Times New Roman"/>
          <w:u w:val="single"/>
        </w:rPr>
      </w:pPr>
      <w:r w:rsidRPr="008519BE">
        <w:rPr>
          <w:rFonts w:eastAsia="Times New Roman"/>
          <w:u w:val="single"/>
          <w:lang w:eastAsia="bg-BG"/>
        </w:rPr>
        <w:t>Елиминиране</w:t>
      </w:r>
    </w:p>
    <w:p w14:paraId="1CA057AC" w14:textId="77777777" w:rsidR="008519BE" w:rsidRPr="008519BE" w:rsidRDefault="008519BE" w:rsidP="008519BE">
      <w:pPr>
        <w:rPr>
          <w:rFonts w:eastAsia="Times New Roman" w:cs="Arial"/>
          <w:color w:val="000000"/>
          <w:lang w:eastAsia="bg-BG"/>
        </w:rPr>
      </w:pPr>
    </w:p>
    <w:p w14:paraId="71831010" w14:textId="0A57BF06" w:rsidR="008519BE" w:rsidRPr="008519BE" w:rsidRDefault="008519BE" w:rsidP="008519BE">
      <w:pPr>
        <w:rPr>
          <w:rFonts w:cs="Arial"/>
          <w:u w:val="single"/>
        </w:rPr>
      </w:pPr>
      <w:r w:rsidRPr="008519BE">
        <w:rPr>
          <w:rFonts w:eastAsia="Times New Roman" w:cs="Arial"/>
          <w:color w:val="000000"/>
          <w:lang w:eastAsia="bg-BG"/>
        </w:rPr>
        <w:t>Метаболитите на есликарбазепинов ацетат се елиминират от системното кръвообращение предимно чрез бъбречна екскреция в непроменен вид и под формата на глюкуронидни конюгати. Общо на есликарбазепинов и неговият глюкуронид се падат повече от 90% от общото количество екскретирани с урината метаболити, като приблизително две трети са в непроменена форма и една трета - под формата на глюкурониден конюгат.</w:t>
      </w:r>
      <w:r w:rsidRPr="008519BE">
        <w:rPr>
          <w:rFonts w:cs="Arial"/>
          <w:u w:val="single"/>
        </w:rPr>
        <w:t xml:space="preserve"> </w:t>
      </w:r>
    </w:p>
    <w:p w14:paraId="63480798" w14:textId="5D5837D2" w:rsidR="008519BE" w:rsidRPr="008519BE" w:rsidRDefault="008519BE" w:rsidP="008519BE">
      <w:pPr>
        <w:rPr>
          <w:rFonts w:cs="Arial"/>
          <w:u w:val="single"/>
        </w:rPr>
      </w:pPr>
    </w:p>
    <w:p w14:paraId="5991B626" w14:textId="77777777" w:rsidR="008519BE" w:rsidRPr="008519BE" w:rsidRDefault="008519BE" w:rsidP="008519BE">
      <w:pPr>
        <w:spacing w:line="240" w:lineRule="auto"/>
        <w:rPr>
          <w:rFonts w:eastAsia="Times New Roman" w:cs="Arial"/>
        </w:rPr>
      </w:pPr>
      <w:r w:rsidRPr="008519BE">
        <w:rPr>
          <w:rFonts w:eastAsia="Times New Roman" w:cs="Arial"/>
          <w:color w:val="000000"/>
          <w:u w:val="single"/>
          <w:lang w:eastAsia="bg-BG"/>
        </w:rPr>
        <w:t>Линейност/нелинейност</w:t>
      </w:r>
    </w:p>
    <w:p w14:paraId="7329A52B" w14:textId="77777777" w:rsidR="008519BE" w:rsidRPr="008519BE" w:rsidRDefault="008519BE" w:rsidP="008519BE">
      <w:pPr>
        <w:spacing w:line="240" w:lineRule="auto"/>
        <w:rPr>
          <w:rFonts w:eastAsia="Times New Roman" w:cs="Arial"/>
          <w:color w:val="000000"/>
          <w:lang w:eastAsia="bg-BG"/>
        </w:rPr>
      </w:pPr>
    </w:p>
    <w:p w14:paraId="4605A453" w14:textId="69F18FE1"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Фармакокинетиката на есликарбазепинов ацетат е линейна и пропорционална на дозата, в диапазона от 400-1 200 </w:t>
      </w:r>
      <w:r w:rsidRPr="008519BE">
        <w:rPr>
          <w:rFonts w:eastAsia="Times New Roman" w:cs="Arial"/>
          <w:color w:val="000000"/>
          <w:lang w:val="en-US"/>
        </w:rPr>
        <w:t>mg</w:t>
      </w:r>
      <w:r w:rsidRPr="008519BE">
        <w:rPr>
          <w:rFonts w:eastAsia="Times New Roman" w:cs="Arial"/>
          <w:color w:val="000000"/>
          <w:lang w:val="ru-RU"/>
        </w:rPr>
        <w:t xml:space="preserve">, </w:t>
      </w:r>
      <w:r w:rsidRPr="008519BE">
        <w:rPr>
          <w:rFonts w:eastAsia="Times New Roman" w:cs="Arial"/>
          <w:color w:val="000000"/>
          <w:lang w:eastAsia="bg-BG"/>
        </w:rPr>
        <w:t>както при здрави доброволци, така и при пациенти.</w:t>
      </w:r>
    </w:p>
    <w:p w14:paraId="5E3E2778" w14:textId="77777777" w:rsidR="008519BE" w:rsidRPr="008519BE" w:rsidRDefault="008519BE" w:rsidP="008519BE">
      <w:pPr>
        <w:spacing w:line="240" w:lineRule="auto"/>
        <w:rPr>
          <w:rFonts w:eastAsia="Times New Roman" w:cs="Arial"/>
          <w:color w:val="000000"/>
          <w:u w:val="single"/>
          <w:lang w:eastAsia="bg-BG"/>
        </w:rPr>
      </w:pPr>
    </w:p>
    <w:p w14:paraId="617DD9CB" w14:textId="321EAF77" w:rsidR="008519BE" w:rsidRPr="008519BE" w:rsidRDefault="008519BE" w:rsidP="008519BE">
      <w:pPr>
        <w:spacing w:line="240" w:lineRule="auto"/>
        <w:rPr>
          <w:rFonts w:eastAsia="Times New Roman" w:cs="Arial"/>
        </w:rPr>
      </w:pPr>
      <w:r w:rsidRPr="008519BE">
        <w:rPr>
          <w:rFonts w:eastAsia="Times New Roman" w:cs="Arial"/>
          <w:color w:val="000000"/>
          <w:u w:val="single"/>
          <w:lang w:eastAsia="bg-BG"/>
        </w:rPr>
        <w:t>Старческа възраст (над 65-годишна възраст)</w:t>
      </w:r>
    </w:p>
    <w:p w14:paraId="67F2D566" w14:textId="77777777" w:rsidR="008519BE" w:rsidRPr="008519BE" w:rsidRDefault="008519BE" w:rsidP="008519BE">
      <w:pPr>
        <w:spacing w:line="240" w:lineRule="auto"/>
        <w:rPr>
          <w:rFonts w:eastAsia="Times New Roman" w:cs="Arial"/>
          <w:color w:val="000000"/>
          <w:lang w:eastAsia="bg-BG"/>
        </w:rPr>
      </w:pPr>
    </w:p>
    <w:p w14:paraId="34193230" w14:textId="0B055DF9"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Фармакокинетичният профил на есликарбазепинов ацетат не се променя при пациентите в старческа възраст с креатининов клирънс &gt;60 </w:t>
      </w:r>
      <w:r w:rsidRPr="008519BE">
        <w:rPr>
          <w:rFonts w:eastAsia="Times New Roman" w:cs="Arial"/>
          <w:color w:val="000000"/>
          <w:lang w:val="en-US"/>
        </w:rPr>
        <w:t>ml</w:t>
      </w:r>
      <w:r w:rsidRPr="008519BE">
        <w:rPr>
          <w:rFonts w:eastAsia="Times New Roman" w:cs="Arial"/>
          <w:color w:val="000000"/>
          <w:lang w:val="ru-RU"/>
        </w:rPr>
        <w:t>/</w:t>
      </w:r>
      <w:r w:rsidRPr="008519BE">
        <w:rPr>
          <w:rFonts w:eastAsia="Times New Roman" w:cs="Arial"/>
          <w:color w:val="000000"/>
          <w:lang w:val="en-US"/>
        </w:rPr>
        <w:t>min</w:t>
      </w:r>
      <w:r w:rsidRPr="008519BE">
        <w:rPr>
          <w:rFonts w:eastAsia="Times New Roman" w:cs="Arial"/>
          <w:color w:val="000000"/>
          <w:lang w:val="ru-RU"/>
        </w:rPr>
        <w:t xml:space="preserve"> </w:t>
      </w:r>
      <w:r w:rsidRPr="008519BE">
        <w:rPr>
          <w:rFonts w:eastAsia="Times New Roman" w:cs="Arial"/>
          <w:color w:val="000000"/>
          <w:lang w:eastAsia="bg-BG"/>
        </w:rPr>
        <w:t>(вж. точка 4.2).</w:t>
      </w:r>
    </w:p>
    <w:p w14:paraId="0546DFD3" w14:textId="77777777" w:rsidR="008519BE" w:rsidRPr="008519BE" w:rsidRDefault="008519BE" w:rsidP="008519BE">
      <w:pPr>
        <w:spacing w:line="240" w:lineRule="auto"/>
        <w:rPr>
          <w:rFonts w:eastAsia="Times New Roman" w:cs="Arial"/>
          <w:color w:val="000000"/>
          <w:u w:val="single"/>
          <w:lang w:eastAsia="bg-BG"/>
        </w:rPr>
      </w:pPr>
    </w:p>
    <w:p w14:paraId="45A7356D" w14:textId="117D0C20" w:rsidR="008519BE" w:rsidRPr="008519BE" w:rsidRDefault="008519BE" w:rsidP="008519BE">
      <w:pPr>
        <w:spacing w:line="240" w:lineRule="auto"/>
        <w:rPr>
          <w:rFonts w:eastAsia="Times New Roman" w:cs="Arial"/>
        </w:rPr>
      </w:pPr>
      <w:r w:rsidRPr="008519BE">
        <w:rPr>
          <w:rFonts w:eastAsia="Times New Roman" w:cs="Arial"/>
          <w:color w:val="000000"/>
          <w:u w:val="single"/>
          <w:lang w:eastAsia="bg-BG"/>
        </w:rPr>
        <w:t>Бъбречно увреждане</w:t>
      </w:r>
    </w:p>
    <w:p w14:paraId="1860D798" w14:textId="77777777" w:rsidR="008519BE" w:rsidRPr="008519BE" w:rsidRDefault="008519BE" w:rsidP="008519BE">
      <w:pPr>
        <w:spacing w:line="240" w:lineRule="auto"/>
        <w:rPr>
          <w:rFonts w:eastAsia="Times New Roman" w:cs="Arial"/>
          <w:color w:val="000000"/>
          <w:lang w:eastAsia="bg-BG"/>
        </w:rPr>
      </w:pPr>
    </w:p>
    <w:p w14:paraId="3AB97635" w14:textId="1FB25B2F"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Метаболитите на есликарбазепинов ацетат се елиминират от системното кръвообращение предимно чрез бъбречна екскреция. Проучване при възрастни пациенти с леко до тежко бъбречно увреждане показва, че клирънсът зависи от бъбречната функция. По време на лечението със Еслибон се препоръчва коригиране на дозата при </w:t>
      </w:r>
      <w:r w:rsidRPr="008519BE">
        <w:rPr>
          <w:rFonts w:eastAsia="Times New Roman" w:cs="Arial"/>
          <w:color w:val="000000"/>
          <w:lang w:eastAsia="bg-BG"/>
        </w:rPr>
        <w:lastRenderedPageBreak/>
        <w:t xml:space="preserve">пациенти, възрастни и деца над 6-годишна възраст, с креатининов клирънс &lt;60 </w:t>
      </w:r>
      <w:r w:rsidRPr="008519BE">
        <w:rPr>
          <w:rFonts w:eastAsia="Times New Roman" w:cs="Arial"/>
          <w:color w:val="000000"/>
          <w:lang w:val="en-US"/>
        </w:rPr>
        <w:t>ml</w:t>
      </w:r>
      <w:r w:rsidRPr="008519BE">
        <w:rPr>
          <w:rFonts w:eastAsia="Times New Roman" w:cs="Arial"/>
          <w:color w:val="000000"/>
          <w:lang w:val="ru-RU"/>
        </w:rPr>
        <w:t>/</w:t>
      </w:r>
      <w:r w:rsidRPr="008519BE">
        <w:rPr>
          <w:rFonts w:eastAsia="Times New Roman" w:cs="Arial"/>
          <w:color w:val="000000"/>
          <w:lang w:val="en-US"/>
        </w:rPr>
        <w:t>min</w:t>
      </w:r>
      <w:r w:rsidRPr="008519BE">
        <w:rPr>
          <w:rFonts w:eastAsia="Times New Roman" w:cs="Arial"/>
          <w:color w:val="000000"/>
          <w:lang w:val="ru-RU"/>
        </w:rPr>
        <w:t xml:space="preserve"> </w:t>
      </w:r>
      <w:r w:rsidRPr="008519BE">
        <w:rPr>
          <w:rFonts w:eastAsia="Times New Roman" w:cs="Arial"/>
          <w:color w:val="000000"/>
          <w:lang w:eastAsia="bg-BG"/>
        </w:rPr>
        <w:t>(вж. точка 4.2).</w:t>
      </w:r>
    </w:p>
    <w:p w14:paraId="77F8A066" w14:textId="77777777" w:rsidR="008519BE" w:rsidRPr="008519BE" w:rsidRDefault="008519BE" w:rsidP="008519BE">
      <w:pPr>
        <w:spacing w:line="240" w:lineRule="auto"/>
        <w:rPr>
          <w:rFonts w:eastAsia="Times New Roman" w:cs="Arial"/>
        </w:rPr>
      </w:pPr>
      <w:r w:rsidRPr="008519BE">
        <w:rPr>
          <w:rFonts w:eastAsia="Times New Roman" w:cs="Arial"/>
          <w:color w:val="000000"/>
          <w:lang w:eastAsia="bg-BG"/>
        </w:rPr>
        <w:t>При деца от 2- до 6-годишна възраст не се препоръчва използването на есликарбазепинов ацетат. На тази възраст присъщата активност на процеса на елиминиране още не е достигнала тази при зрелия организъм.</w:t>
      </w:r>
    </w:p>
    <w:p w14:paraId="47A576EE" w14:textId="77777777" w:rsidR="008519BE" w:rsidRPr="008519BE" w:rsidRDefault="008519BE" w:rsidP="008519BE">
      <w:pPr>
        <w:spacing w:line="240" w:lineRule="auto"/>
        <w:rPr>
          <w:rFonts w:eastAsia="Times New Roman" w:cs="Arial"/>
          <w:color w:val="000000"/>
          <w:lang w:eastAsia="bg-BG"/>
        </w:rPr>
      </w:pPr>
    </w:p>
    <w:p w14:paraId="182E5E65" w14:textId="563B9A90" w:rsidR="008519BE" w:rsidRPr="008519BE" w:rsidRDefault="008519BE" w:rsidP="008519BE">
      <w:pPr>
        <w:spacing w:line="240" w:lineRule="auto"/>
        <w:rPr>
          <w:rFonts w:eastAsia="Times New Roman" w:cs="Arial"/>
        </w:rPr>
      </w:pPr>
      <w:r w:rsidRPr="008519BE">
        <w:rPr>
          <w:rFonts w:eastAsia="Times New Roman" w:cs="Arial"/>
          <w:color w:val="000000"/>
          <w:lang w:eastAsia="bg-BG"/>
        </w:rPr>
        <w:t>Хемодиализата отстранява метаболитите на есликарбазепинов ацетат от плазмата.</w:t>
      </w:r>
    </w:p>
    <w:p w14:paraId="22609542" w14:textId="77777777" w:rsidR="008519BE" w:rsidRPr="008519BE" w:rsidRDefault="008519BE" w:rsidP="008519BE">
      <w:pPr>
        <w:spacing w:line="240" w:lineRule="auto"/>
        <w:rPr>
          <w:rFonts w:eastAsia="Times New Roman" w:cs="Arial"/>
          <w:color w:val="000000"/>
          <w:u w:val="single"/>
          <w:lang w:eastAsia="bg-BG"/>
        </w:rPr>
      </w:pPr>
    </w:p>
    <w:p w14:paraId="45E80D8D" w14:textId="31D06287" w:rsidR="008519BE" w:rsidRPr="008519BE" w:rsidRDefault="008519BE" w:rsidP="008519BE">
      <w:pPr>
        <w:spacing w:line="240" w:lineRule="auto"/>
        <w:rPr>
          <w:rFonts w:eastAsia="Times New Roman" w:cs="Arial"/>
        </w:rPr>
      </w:pPr>
      <w:r w:rsidRPr="008519BE">
        <w:rPr>
          <w:rFonts w:eastAsia="Times New Roman" w:cs="Arial"/>
          <w:color w:val="000000"/>
          <w:u w:val="single"/>
          <w:lang w:eastAsia="bg-BG"/>
        </w:rPr>
        <w:t>Чернодробно увреждане</w:t>
      </w:r>
    </w:p>
    <w:p w14:paraId="725CB149" w14:textId="77777777" w:rsidR="008519BE" w:rsidRPr="008519BE" w:rsidRDefault="008519BE" w:rsidP="008519BE">
      <w:pPr>
        <w:spacing w:line="240" w:lineRule="auto"/>
        <w:rPr>
          <w:rFonts w:eastAsia="Times New Roman" w:cs="Arial"/>
        </w:rPr>
      </w:pPr>
      <w:r w:rsidRPr="008519BE">
        <w:rPr>
          <w:rFonts w:eastAsia="Times New Roman" w:cs="Arial"/>
          <w:color w:val="000000"/>
          <w:lang w:eastAsia="bg-BG"/>
        </w:rPr>
        <w:t>Фармакокинетиката и метаболизмът на есликарбазепинов ацетат са оценени при здрави доброволци и пациенти с умерено чернодробно увреждане при многократно перорално приложение. Умереното чернодробно увреждане не повлиява фармакокинетиката на есликарбазепинов ацетат. Не се препоръчва коригиране на дозата при пациенти с леко до умерено чернодробно увреждане (вж. точка 4.2).</w:t>
      </w:r>
    </w:p>
    <w:p w14:paraId="690A4044" w14:textId="77777777" w:rsidR="008519BE" w:rsidRPr="008519BE" w:rsidRDefault="008519BE" w:rsidP="008519BE">
      <w:pPr>
        <w:spacing w:line="240" w:lineRule="auto"/>
        <w:rPr>
          <w:rFonts w:eastAsia="Times New Roman" w:cs="Arial"/>
        </w:rPr>
      </w:pPr>
      <w:r w:rsidRPr="008519BE">
        <w:rPr>
          <w:rFonts w:eastAsia="Times New Roman" w:cs="Arial"/>
          <w:color w:val="000000"/>
          <w:lang w:eastAsia="bg-BG"/>
        </w:rPr>
        <w:t>Фармакокинетиката на есликарбазепинов ацетат при пациенти с тежко чернодробно увреждане не е оценявана.</w:t>
      </w:r>
    </w:p>
    <w:p w14:paraId="47673FB6" w14:textId="77777777" w:rsidR="008519BE" w:rsidRPr="008519BE" w:rsidRDefault="008519BE" w:rsidP="008519BE">
      <w:pPr>
        <w:spacing w:line="240" w:lineRule="auto"/>
        <w:rPr>
          <w:rFonts w:eastAsia="Times New Roman" w:cs="Arial"/>
          <w:color w:val="000000"/>
          <w:u w:val="single"/>
          <w:lang w:eastAsia="bg-BG"/>
        </w:rPr>
      </w:pPr>
    </w:p>
    <w:p w14:paraId="49506F8E" w14:textId="6E4AD200" w:rsidR="008519BE" w:rsidRPr="008519BE" w:rsidRDefault="008519BE" w:rsidP="008519BE">
      <w:pPr>
        <w:spacing w:line="240" w:lineRule="auto"/>
        <w:rPr>
          <w:rFonts w:eastAsia="Times New Roman" w:cs="Arial"/>
        </w:rPr>
      </w:pPr>
      <w:r w:rsidRPr="008519BE">
        <w:rPr>
          <w:rFonts w:eastAsia="Times New Roman" w:cs="Arial"/>
          <w:color w:val="000000"/>
          <w:u w:val="single"/>
          <w:lang w:eastAsia="bg-BG"/>
        </w:rPr>
        <w:t>Пол</w:t>
      </w:r>
    </w:p>
    <w:p w14:paraId="3A032AE1" w14:textId="77777777" w:rsidR="008519BE" w:rsidRPr="008519BE" w:rsidRDefault="008519BE" w:rsidP="008519BE">
      <w:pPr>
        <w:spacing w:line="240" w:lineRule="auto"/>
        <w:rPr>
          <w:rFonts w:eastAsia="Times New Roman" w:cs="Arial"/>
          <w:color w:val="000000"/>
          <w:lang w:eastAsia="bg-BG"/>
        </w:rPr>
      </w:pPr>
    </w:p>
    <w:p w14:paraId="2DD48848" w14:textId="5F0410BE" w:rsidR="008519BE" w:rsidRPr="008519BE" w:rsidRDefault="008519BE" w:rsidP="008519BE">
      <w:pPr>
        <w:spacing w:line="240" w:lineRule="auto"/>
        <w:rPr>
          <w:rFonts w:eastAsia="Times New Roman" w:cs="Arial"/>
        </w:rPr>
      </w:pPr>
      <w:r w:rsidRPr="008519BE">
        <w:rPr>
          <w:rFonts w:eastAsia="Times New Roman" w:cs="Arial"/>
          <w:color w:val="000000"/>
          <w:lang w:eastAsia="bg-BG"/>
        </w:rPr>
        <w:t>Проучванията при здрави доброволци и пациенти показват, че фармакокинетиката на есликарбазепинов ацетат не се влияе от пола.</w:t>
      </w:r>
    </w:p>
    <w:p w14:paraId="71D17E97" w14:textId="77777777" w:rsidR="008519BE" w:rsidRPr="008519BE" w:rsidRDefault="008519BE" w:rsidP="008519BE">
      <w:pPr>
        <w:spacing w:line="240" w:lineRule="auto"/>
        <w:rPr>
          <w:rFonts w:eastAsia="Times New Roman" w:cs="Arial"/>
          <w:i/>
          <w:iCs/>
          <w:color w:val="000000"/>
          <w:lang w:eastAsia="bg-BG"/>
        </w:rPr>
      </w:pPr>
    </w:p>
    <w:p w14:paraId="4D7D08FF" w14:textId="0744B49C" w:rsidR="008519BE" w:rsidRPr="008519BE" w:rsidRDefault="008519BE" w:rsidP="008519BE">
      <w:pPr>
        <w:spacing w:line="240" w:lineRule="auto"/>
        <w:rPr>
          <w:rFonts w:eastAsia="Times New Roman" w:cs="Arial"/>
        </w:rPr>
      </w:pPr>
      <w:r w:rsidRPr="008519BE">
        <w:rPr>
          <w:rFonts w:eastAsia="Times New Roman" w:cs="Arial"/>
          <w:i/>
          <w:iCs/>
          <w:color w:val="000000"/>
          <w:lang w:eastAsia="bg-BG"/>
        </w:rPr>
        <w:t>Педиатрична популация</w:t>
      </w:r>
    </w:p>
    <w:p w14:paraId="4701834F" w14:textId="77777777" w:rsidR="008519BE" w:rsidRPr="008519BE" w:rsidRDefault="008519BE" w:rsidP="008519BE">
      <w:pPr>
        <w:spacing w:line="240" w:lineRule="auto"/>
        <w:rPr>
          <w:rFonts w:eastAsia="Times New Roman" w:cs="Arial"/>
          <w:color w:val="000000"/>
          <w:lang w:eastAsia="bg-BG"/>
        </w:rPr>
      </w:pPr>
    </w:p>
    <w:p w14:paraId="50CF0C7B" w14:textId="0CF2505C"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Както при възрастните, есликарбазепинов ацетат в голяма степен се превръща в есликарбазепин. След перорално приложение плазмените нива на есликарбазепинов ацетат обикновено остават под границата на количествено определяне. Стах на есликарбазепин се достига 2 до 3 часа след приемане на дозата </w:t>
      </w:r>
      <w:r w:rsidRPr="008519BE">
        <w:rPr>
          <w:rFonts w:eastAsia="Times New Roman" w:cs="Arial"/>
          <w:color w:val="000000"/>
          <w:lang w:val="ru-RU"/>
        </w:rPr>
        <w:t>(</w:t>
      </w:r>
      <w:proofErr w:type="spellStart"/>
      <w:r w:rsidRPr="008519BE">
        <w:rPr>
          <w:rFonts w:eastAsia="Times New Roman" w:cs="Arial"/>
          <w:color w:val="000000"/>
          <w:lang w:val="en-US"/>
        </w:rPr>
        <w:t>tmax</w:t>
      </w:r>
      <w:proofErr w:type="spellEnd"/>
      <w:r w:rsidRPr="008519BE">
        <w:rPr>
          <w:rFonts w:eastAsia="Times New Roman" w:cs="Arial"/>
          <w:color w:val="000000"/>
          <w:lang w:val="ru-RU"/>
        </w:rPr>
        <w:t xml:space="preserve">). </w:t>
      </w:r>
      <w:r w:rsidRPr="008519BE">
        <w:rPr>
          <w:rFonts w:eastAsia="Times New Roman" w:cs="Arial"/>
          <w:color w:val="000000"/>
          <w:lang w:eastAsia="bg-BG"/>
        </w:rPr>
        <w:t>Телесното тегло оказва ефект върху обема на разпределение и клирънса. Освен това ролята на възрастта независимо от теглото по отношение на клирънса на есликарбазепинов ацетат не може да се изключи, по-специално при най-младата възрастова група (2-6 години).</w:t>
      </w:r>
    </w:p>
    <w:p w14:paraId="1C6258D2" w14:textId="77777777" w:rsidR="008519BE" w:rsidRPr="008519BE" w:rsidRDefault="008519BE" w:rsidP="008519BE">
      <w:pPr>
        <w:rPr>
          <w:rFonts w:cs="Arial"/>
          <w:u w:val="single"/>
        </w:rPr>
      </w:pPr>
    </w:p>
    <w:p w14:paraId="04AF717D" w14:textId="77777777" w:rsidR="008519BE" w:rsidRPr="008519BE" w:rsidRDefault="008519BE" w:rsidP="008519BE">
      <w:pPr>
        <w:spacing w:line="240" w:lineRule="auto"/>
        <w:rPr>
          <w:rFonts w:eastAsia="Times New Roman" w:cs="Arial"/>
        </w:rPr>
      </w:pPr>
      <w:r w:rsidRPr="008519BE">
        <w:rPr>
          <w:rFonts w:eastAsia="Times New Roman" w:cs="Arial"/>
          <w:color w:val="000000"/>
          <w:u w:val="single"/>
          <w:lang w:eastAsia="bg-BG"/>
        </w:rPr>
        <w:t>Деца на възраст на и под 6 години</w:t>
      </w:r>
    </w:p>
    <w:p w14:paraId="6FCF8678" w14:textId="77777777" w:rsidR="008519BE" w:rsidRPr="008519BE" w:rsidRDefault="008519BE" w:rsidP="008519BE">
      <w:pPr>
        <w:spacing w:line="240" w:lineRule="auto"/>
        <w:rPr>
          <w:rFonts w:eastAsia="Times New Roman" w:cs="Arial"/>
          <w:color w:val="000000"/>
          <w:lang w:eastAsia="bg-BG"/>
        </w:rPr>
      </w:pPr>
    </w:p>
    <w:p w14:paraId="59A1719F" w14:textId="3B601341"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Популационната фармакокинетика показва, че в подгрупата на деца на възраст от 2 до 6 години, дози 27,5 </w:t>
      </w:r>
      <w:r w:rsidRPr="008519BE">
        <w:rPr>
          <w:rFonts w:eastAsia="Times New Roman" w:cs="Arial"/>
          <w:color w:val="000000"/>
          <w:lang w:val="en-US"/>
        </w:rPr>
        <w:t>mg</w:t>
      </w:r>
      <w:r w:rsidRPr="008519BE">
        <w:rPr>
          <w:rFonts w:eastAsia="Times New Roman" w:cs="Arial"/>
          <w:color w:val="000000"/>
          <w:lang w:val="ru-RU"/>
        </w:rPr>
        <w:t>/</w:t>
      </w:r>
      <w:r w:rsidRPr="008519BE">
        <w:rPr>
          <w:rFonts w:eastAsia="Times New Roman" w:cs="Arial"/>
          <w:color w:val="000000"/>
          <w:lang w:val="en-US"/>
        </w:rPr>
        <w:t>kg</w:t>
      </w:r>
      <w:r w:rsidRPr="008519BE">
        <w:rPr>
          <w:rFonts w:eastAsia="Times New Roman" w:cs="Arial"/>
          <w:color w:val="000000"/>
          <w:lang w:eastAsia="bg-BG"/>
        </w:rPr>
        <w:t xml:space="preserve">/ден и 40 </w:t>
      </w:r>
      <w:r w:rsidRPr="008519BE">
        <w:rPr>
          <w:rFonts w:eastAsia="Times New Roman" w:cs="Arial"/>
          <w:color w:val="000000"/>
          <w:lang w:val="en-US"/>
        </w:rPr>
        <w:t>mg</w:t>
      </w:r>
      <w:r w:rsidRPr="008519BE">
        <w:rPr>
          <w:rFonts w:eastAsia="Times New Roman" w:cs="Arial"/>
          <w:color w:val="000000"/>
          <w:lang w:val="ru-RU"/>
        </w:rPr>
        <w:t>/</w:t>
      </w:r>
      <w:r w:rsidRPr="008519BE">
        <w:rPr>
          <w:rFonts w:eastAsia="Times New Roman" w:cs="Arial"/>
          <w:color w:val="000000"/>
          <w:lang w:val="en-US"/>
        </w:rPr>
        <w:t>kg</w:t>
      </w:r>
      <w:r w:rsidRPr="008519BE">
        <w:rPr>
          <w:rFonts w:eastAsia="Times New Roman" w:cs="Arial"/>
          <w:color w:val="000000"/>
          <w:lang w:eastAsia="bg-BG"/>
        </w:rPr>
        <w:t xml:space="preserve">/ден са необходими за постигането на експозиции, които са еквивалентни на терапевтични дози 20 и 30 </w:t>
      </w:r>
      <w:r w:rsidRPr="008519BE">
        <w:rPr>
          <w:rFonts w:eastAsia="Times New Roman" w:cs="Arial"/>
          <w:color w:val="000000"/>
          <w:lang w:val="en-US"/>
        </w:rPr>
        <w:t>mg</w:t>
      </w:r>
      <w:r w:rsidRPr="008519BE">
        <w:rPr>
          <w:rFonts w:eastAsia="Times New Roman" w:cs="Arial"/>
          <w:color w:val="000000"/>
          <w:lang w:val="ru-RU"/>
        </w:rPr>
        <w:t>/</w:t>
      </w:r>
      <w:r w:rsidRPr="008519BE">
        <w:rPr>
          <w:rFonts w:eastAsia="Times New Roman" w:cs="Arial"/>
          <w:color w:val="000000"/>
          <w:lang w:val="en-US"/>
        </w:rPr>
        <w:t>kg</w:t>
      </w:r>
      <w:r w:rsidRPr="008519BE">
        <w:rPr>
          <w:rFonts w:eastAsia="Times New Roman" w:cs="Arial"/>
          <w:color w:val="000000"/>
          <w:lang w:eastAsia="bg-BG"/>
        </w:rPr>
        <w:t>/ден при деца на възраст над 6 години.</w:t>
      </w:r>
    </w:p>
    <w:p w14:paraId="0414BC55" w14:textId="77777777" w:rsidR="008519BE" w:rsidRPr="008519BE" w:rsidRDefault="008519BE" w:rsidP="008519BE">
      <w:pPr>
        <w:spacing w:line="240" w:lineRule="auto"/>
        <w:rPr>
          <w:rFonts w:eastAsia="Times New Roman" w:cs="Arial"/>
          <w:color w:val="000000"/>
          <w:u w:val="single"/>
          <w:lang w:eastAsia="bg-BG"/>
        </w:rPr>
      </w:pPr>
    </w:p>
    <w:p w14:paraId="2190B6DB" w14:textId="07668BFA" w:rsidR="008519BE" w:rsidRPr="008519BE" w:rsidRDefault="008519BE" w:rsidP="008519BE">
      <w:pPr>
        <w:spacing w:line="240" w:lineRule="auto"/>
        <w:rPr>
          <w:rFonts w:eastAsia="Times New Roman" w:cs="Arial"/>
        </w:rPr>
      </w:pPr>
      <w:r w:rsidRPr="008519BE">
        <w:rPr>
          <w:rFonts w:eastAsia="Times New Roman" w:cs="Arial"/>
          <w:color w:val="000000"/>
          <w:u w:val="single"/>
          <w:lang w:eastAsia="bg-BG"/>
        </w:rPr>
        <w:t>Деца на възраст над 6 години</w:t>
      </w:r>
    </w:p>
    <w:p w14:paraId="009BA5C7" w14:textId="77777777" w:rsidR="008519BE" w:rsidRPr="008519BE" w:rsidRDefault="008519BE" w:rsidP="008519BE">
      <w:pPr>
        <w:spacing w:line="240" w:lineRule="auto"/>
        <w:rPr>
          <w:rFonts w:eastAsia="Times New Roman" w:cs="Arial"/>
          <w:color w:val="000000"/>
          <w:lang w:eastAsia="bg-BG"/>
        </w:rPr>
      </w:pPr>
    </w:p>
    <w:p w14:paraId="47C3BE15" w14:textId="2A89B96F" w:rsidR="008519BE" w:rsidRPr="008519BE" w:rsidRDefault="008519BE" w:rsidP="008519BE">
      <w:pPr>
        <w:spacing w:line="240" w:lineRule="auto"/>
        <w:rPr>
          <w:rFonts w:eastAsia="Times New Roman" w:cs="Arial"/>
        </w:rPr>
      </w:pPr>
      <w:r w:rsidRPr="008519BE">
        <w:rPr>
          <w:rFonts w:eastAsia="Times New Roman" w:cs="Arial"/>
          <w:color w:val="000000"/>
          <w:lang w:eastAsia="bg-BG"/>
        </w:rPr>
        <w:t xml:space="preserve">Популационната фармакокинетика показва, че сравнима експозиция на есликарбазепин се наблюдава между 20 и 30 </w:t>
      </w:r>
      <w:r w:rsidRPr="008519BE">
        <w:rPr>
          <w:rFonts w:eastAsia="Times New Roman" w:cs="Arial"/>
          <w:color w:val="000000"/>
          <w:lang w:val="en-US"/>
        </w:rPr>
        <w:t>mg</w:t>
      </w:r>
      <w:r w:rsidRPr="008519BE">
        <w:rPr>
          <w:rFonts w:eastAsia="Times New Roman" w:cs="Arial"/>
          <w:color w:val="000000"/>
          <w:lang w:val="ru-RU"/>
        </w:rPr>
        <w:t>/</w:t>
      </w:r>
      <w:r w:rsidRPr="008519BE">
        <w:rPr>
          <w:rFonts w:eastAsia="Times New Roman" w:cs="Arial"/>
          <w:color w:val="000000"/>
          <w:lang w:val="en-US"/>
        </w:rPr>
        <w:t>kg</w:t>
      </w:r>
      <w:r w:rsidRPr="008519BE">
        <w:rPr>
          <w:rFonts w:eastAsia="Times New Roman" w:cs="Arial"/>
          <w:color w:val="000000"/>
          <w:lang w:eastAsia="bg-BG"/>
        </w:rPr>
        <w:t xml:space="preserve">/ден при деца над 6 години и съответно при възрастни при 800 и 1200 </w:t>
      </w:r>
      <w:r w:rsidRPr="008519BE">
        <w:rPr>
          <w:rFonts w:eastAsia="Times New Roman" w:cs="Arial"/>
          <w:color w:val="000000"/>
          <w:lang w:val="en-US"/>
        </w:rPr>
        <w:t>mg</w:t>
      </w:r>
      <w:r w:rsidRPr="008519BE">
        <w:rPr>
          <w:rFonts w:eastAsia="Times New Roman" w:cs="Arial"/>
          <w:color w:val="000000"/>
          <w:lang w:val="ru-RU"/>
        </w:rPr>
        <w:t xml:space="preserve"> </w:t>
      </w:r>
      <w:r w:rsidRPr="008519BE">
        <w:rPr>
          <w:rFonts w:eastAsia="Times New Roman" w:cs="Arial"/>
          <w:color w:val="000000"/>
          <w:lang w:eastAsia="bg-BG"/>
        </w:rPr>
        <w:t>есликарбазепинов ацетат веднъж дневно (вж. точка 4.2).</w:t>
      </w:r>
    </w:p>
    <w:p w14:paraId="08BB0912" w14:textId="77777777" w:rsidR="008519BE" w:rsidRDefault="008519BE" w:rsidP="008519BE">
      <w:pPr>
        <w:rPr>
          <w:sz w:val="20"/>
          <w:szCs w:val="20"/>
          <w:u w:val="single"/>
        </w:rPr>
      </w:pPr>
    </w:p>
    <w:p w14:paraId="4FB791BE" w14:textId="2010342A" w:rsidR="00B6672E" w:rsidRDefault="002C50EE" w:rsidP="00936AD0">
      <w:pPr>
        <w:pStyle w:val="Heading2"/>
      </w:pPr>
      <w:r>
        <w:t>5.3. Предклинични данни за безопасност</w:t>
      </w:r>
    </w:p>
    <w:p w14:paraId="28ADED4D" w14:textId="3375741F" w:rsidR="008519BE" w:rsidRDefault="008519BE" w:rsidP="008519BE"/>
    <w:p w14:paraId="6DEEBF6D" w14:textId="77777777"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 xml:space="preserve">Нежеланите реакции, които се наблюдават при проучвания върху животни, се появяват при нива на експозиция, които са значително по-ниски от нивата на клинична експозиция на есликарбазепин (основният и фармакологично активен метаболит на </w:t>
      </w:r>
      <w:r w:rsidRPr="008519BE">
        <w:rPr>
          <w:rFonts w:eastAsia="Times New Roman" w:cs="Arial"/>
          <w:color w:val="000000"/>
          <w:szCs w:val="20"/>
          <w:lang w:eastAsia="bg-BG"/>
        </w:rPr>
        <w:lastRenderedPageBreak/>
        <w:t>есликарбазепинов ацетат). Затова граници на безопасност, основаващи се на сравнителна експозиция, не са установени.</w:t>
      </w:r>
    </w:p>
    <w:p w14:paraId="7B32A637" w14:textId="77777777"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При проучвания за токсичност при многократно приложение при плъхове се установяват данни за нефротоксичност, каквито не се наблюдават при мишки или кучета, която се състои в обостряне на спонтанна хронична прогресираща нефропатия при този биологичен вид.</w:t>
      </w:r>
    </w:p>
    <w:p w14:paraId="63EC175A" w14:textId="77777777" w:rsidR="008519BE" w:rsidRPr="008519BE" w:rsidRDefault="008519BE" w:rsidP="008519BE">
      <w:pPr>
        <w:spacing w:line="240" w:lineRule="auto"/>
        <w:rPr>
          <w:rFonts w:eastAsia="Times New Roman" w:cs="Arial"/>
          <w:color w:val="000000"/>
          <w:szCs w:val="20"/>
          <w:lang w:eastAsia="bg-BG"/>
        </w:rPr>
      </w:pPr>
    </w:p>
    <w:p w14:paraId="611F824A" w14:textId="5B5B983C"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При проучвания за токсичност при многократно приложение при мишки и плъхове се наблюдава чернодробна центрилобуларна хипертрофия, а при проучвания за карциногенен потенциал при мишки се наблюдава повишена честота на чернодробни тумори. Тези находки съответстват на индукция на чернодробните микрозомални ензими - ефект, който не се наблюдава при пациенти, приемащи есликарбазепинов ацетат.</w:t>
      </w:r>
    </w:p>
    <w:p w14:paraId="49A9C598" w14:textId="77777777" w:rsidR="008519BE" w:rsidRPr="008519BE" w:rsidRDefault="008519BE" w:rsidP="008519BE">
      <w:pPr>
        <w:spacing w:line="240" w:lineRule="auto"/>
        <w:rPr>
          <w:rFonts w:eastAsia="Times New Roman" w:cs="Arial"/>
          <w:color w:val="000000"/>
          <w:szCs w:val="20"/>
          <w:u w:val="single"/>
          <w:lang w:eastAsia="bg-BG"/>
        </w:rPr>
      </w:pPr>
    </w:p>
    <w:p w14:paraId="10D649E5" w14:textId="7348C490"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u w:val="single"/>
          <w:lang w:eastAsia="bg-BG"/>
        </w:rPr>
        <w:t>Проучвания при млади животни</w:t>
      </w:r>
    </w:p>
    <w:p w14:paraId="66EE4EC7" w14:textId="77777777" w:rsidR="008519BE" w:rsidRPr="008519BE" w:rsidRDefault="008519BE" w:rsidP="008519BE">
      <w:pPr>
        <w:spacing w:line="240" w:lineRule="auto"/>
        <w:rPr>
          <w:rFonts w:eastAsia="Times New Roman" w:cs="Arial"/>
          <w:color w:val="000000"/>
          <w:szCs w:val="20"/>
          <w:lang w:eastAsia="bg-BG"/>
        </w:rPr>
      </w:pPr>
    </w:p>
    <w:p w14:paraId="07DD9715" w14:textId="110E26AC"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В проучвания при многократно приложение при млади кучета профилът на токсичност е сравним с този, наблюдаван при възрастни животни. В 10-месечното проучване с високи дози, при женски животни при нива на експозиция, по-ниски от нивата на клинична експозиция на есликарбазепин при деца, е наблюдавано намаляване на минералното съдържание на костите, костната повърхност и/или костната минерална плътност на лумбалните прешлени и бедрената кост.</w:t>
      </w:r>
    </w:p>
    <w:p w14:paraId="6CBD971C" w14:textId="77777777" w:rsidR="008519BE" w:rsidRPr="008519BE" w:rsidRDefault="008519BE" w:rsidP="008519BE">
      <w:pPr>
        <w:spacing w:line="240" w:lineRule="auto"/>
        <w:rPr>
          <w:rFonts w:eastAsia="Times New Roman" w:cs="Arial"/>
          <w:color w:val="000000"/>
          <w:szCs w:val="20"/>
          <w:lang w:eastAsia="bg-BG"/>
        </w:rPr>
      </w:pPr>
    </w:p>
    <w:p w14:paraId="5AF9BFA4" w14:textId="04EF55DC" w:rsidR="008519BE" w:rsidRPr="008519BE" w:rsidRDefault="008519BE" w:rsidP="008519BE">
      <w:pPr>
        <w:spacing w:line="240" w:lineRule="auto"/>
        <w:rPr>
          <w:rFonts w:eastAsia="Times New Roman" w:cs="Arial"/>
          <w:sz w:val="28"/>
          <w:szCs w:val="24"/>
        </w:rPr>
      </w:pPr>
      <w:r w:rsidRPr="008519BE">
        <w:rPr>
          <w:rFonts w:eastAsia="Times New Roman" w:cs="Arial"/>
          <w:color w:val="000000"/>
          <w:szCs w:val="20"/>
          <w:lang w:eastAsia="bg-BG"/>
        </w:rPr>
        <w:t>Проучванията за генотоксичност с есликарбазепинов ацетат не показват особен риск за хората.</w:t>
      </w:r>
    </w:p>
    <w:p w14:paraId="439D4F13" w14:textId="77777777" w:rsidR="008519BE" w:rsidRPr="008519BE" w:rsidRDefault="008519BE" w:rsidP="008519BE">
      <w:pPr>
        <w:rPr>
          <w:rFonts w:eastAsia="Times New Roman" w:cs="Arial"/>
          <w:color w:val="000000"/>
          <w:szCs w:val="20"/>
          <w:lang w:eastAsia="bg-BG"/>
        </w:rPr>
      </w:pPr>
    </w:p>
    <w:p w14:paraId="3BF4983D" w14:textId="40FAF42C" w:rsidR="008519BE" w:rsidRPr="008519BE" w:rsidRDefault="008519BE" w:rsidP="008519BE">
      <w:pPr>
        <w:rPr>
          <w:rFonts w:cs="Arial"/>
          <w:sz w:val="24"/>
          <w:lang w:val="ru-RU"/>
        </w:rPr>
      </w:pPr>
      <w:r w:rsidRPr="008519BE">
        <w:rPr>
          <w:rFonts w:eastAsia="Times New Roman" w:cs="Arial"/>
          <w:color w:val="000000"/>
          <w:szCs w:val="20"/>
          <w:lang w:eastAsia="bg-BG"/>
        </w:rPr>
        <w:t xml:space="preserve">Увреждане на фертилитета се наблюдава при женски плъхове; намаления в имплантирането и живите ембриони, наблюдавани в проучването на фертилитета при мишки, може също да свидетелстват за въздействие върху женския фертилитет, но броят на </w:t>
      </w:r>
      <w:r w:rsidRPr="008519BE">
        <w:rPr>
          <w:rFonts w:eastAsia="Times New Roman" w:cs="Arial"/>
          <w:color w:val="000000"/>
          <w:szCs w:val="20"/>
          <w:lang w:val="en-US"/>
        </w:rPr>
        <w:t>corpora</w:t>
      </w:r>
      <w:r w:rsidRPr="008519BE">
        <w:rPr>
          <w:rFonts w:eastAsia="Times New Roman" w:cs="Arial"/>
          <w:color w:val="000000"/>
          <w:szCs w:val="20"/>
          <w:lang w:val="ru-RU"/>
        </w:rPr>
        <w:t xml:space="preserve"> </w:t>
      </w:r>
      <w:proofErr w:type="spellStart"/>
      <w:r w:rsidRPr="008519BE">
        <w:rPr>
          <w:rFonts w:eastAsia="Times New Roman" w:cs="Arial"/>
          <w:color w:val="000000"/>
          <w:szCs w:val="20"/>
          <w:lang w:val="en-US"/>
        </w:rPr>
        <w:t>lutea</w:t>
      </w:r>
      <w:proofErr w:type="spellEnd"/>
      <w:r w:rsidRPr="008519BE">
        <w:rPr>
          <w:rFonts w:eastAsia="Times New Roman" w:cs="Arial"/>
          <w:color w:val="000000"/>
          <w:szCs w:val="20"/>
          <w:lang w:val="ru-RU"/>
        </w:rPr>
        <w:t xml:space="preserve"> </w:t>
      </w:r>
      <w:r w:rsidRPr="008519BE">
        <w:rPr>
          <w:rFonts w:eastAsia="Times New Roman" w:cs="Arial"/>
          <w:color w:val="000000"/>
          <w:szCs w:val="20"/>
          <w:lang w:eastAsia="bg-BG"/>
        </w:rPr>
        <w:t>не е определян. Есликарбазепинов ацетат не е тератогенен при плъхове или зайци, но предизвиква скелетни аномалии при мишки. Наблюдавани са забавяне на осификацията, намалено фетално тегло, увеличаване на незначителни скелетни и висцерални аномалии при токсични за майката дози в проучвания за ембриотоксичност при мишки, плъхове и зайци. Забавяне в сексуалното</w:t>
      </w:r>
      <w:r w:rsidRPr="008519BE">
        <w:rPr>
          <w:rFonts w:eastAsia="Times New Roman" w:cs="Arial"/>
          <w:color w:val="000000"/>
          <w:szCs w:val="20"/>
          <w:lang w:val="ru-RU" w:eastAsia="bg-BG"/>
        </w:rPr>
        <w:t xml:space="preserve"> </w:t>
      </w:r>
      <w:r w:rsidRPr="008519BE">
        <w:rPr>
          <w:rFonts w:cs="Arial"/>
          <w:szCs w:val="20"/>
        </w:rPr>
        <w:t xml:space="preserve">развитие на поколението </w:t>
      </w:r>
      <w:r w:rsidRPr="008519BE">
        <w:rPr>
          <w:rFonts w:cs="Arial"/>
          <w:szCs w:val="20"/>
          <w:lang w:val="en-US"/>
        </w:rPr>
        <w:t>F</w:t>
      </w:r>
      <w:r w:rsidRPr="008519BE">
        <w:rPr>
          <w:rFonts w:cs="Arial"/>
          <w:szCs w:val="20"/>
          <w:lang w:val="ru-RU"/>
        </w:rPr>
        <w:t xml:space="preserve">1 </w:t>
      </w:r>
      <w:r w:rsidRPr="008519BE">
        <w:rPr>
          <w:rFonts w:cs="Arial"/>
          <w:szCs w:val="20"/>
        </w:rPr>
        <w:t>се наблюдава в пери/постнаталните проучвания при мишки и плъхове.</w:t>
      </w:r>
    </w:p>
    <w:p w14:paraId="1BA6531D" w14:textId="3554B073" w:rsidR="00B6672E" w:rsidRDefault="002C50EE" w:rsidP="00936AD0">
      <w:pPr>
        <w:pStyle w:val="Heading1"/>
      </w:pPr>
      <w:r>
        <w:t>7. ПРИТЕЖАТЕЛ НА РАЗРЕШЕНИЕТО ЗА УПОТРЕБА</w:t>
      </w:r>
    </w:p>
    <w:p w14:paraId="0D01FFC7" w14:textId="20BE1A29" w:rsidR="008519BE" w:rsidRDefault="008519BE" w:rsidP="008519BE"/>
    <w:p w14:paraId="2067A3F0" w14:textId="77777777" w:rsidR="008519BE" w:rsidRPr="008519BE" w:rsidRDefault="008519BE" w:rsidP="008519BE">
      <w:pPr>
        <w:rPr>
          <w:sz w:val="24"/>
          <w:szCs w:val="24"/>
          <w:lang w:val="en-US"/>
        </w:rPr>
      </w:pPr>
      <w:r w:rsidRPr="008519BE">
        <w:rPr>
          <w:lang w:val="en-US"/>
        </w:rPr>
        <w:t>G. L. Pharma GmbH</w:t>
      </w:r>
    </w:p>
    <w:p w14:paraId="4308E543" w14:textId="77777777" w:rsidR="008519BE" w:rsidRPr="008519BE" w:rsidRDefault="008519BE" w:rsidP="008519BE">
      <w:pPr>
        <w:rPr>
          <w:sz w:val="24"/>
          <w:szCs w:val="24"/>
          <w:lang w:val="en-US"/>
        </w:rPr>
      </w:pPr>
      <w:proofErr w:type="spellStart"/>
      <w:r w:rsidRPr="008519BE">
        <w:rPr>
          <w:lang w:val="en-US"/>
        </w:rPr>
        <w:t>Schlossplatz</w:t>
      </w:r>
      <w:proofErr w:type="spellEnd"/>
      <w:r w:rsidRPr="008519BE">
        <w:rPr>
          <w:lang w:val="en-US"/>
        </w:rPr>
        <w:t xml:space="preserve"> </w:t>
      </w:r>
      <w:r w:rsidRPr="008519BE">
        <w:rPr>
          <w:lang w:eastAsia="bg-BG"/>
        </w:rPr>
        <w:t>1</w:t>
      </w:r>
    </w:p>
    <w:p w14:paraId="47500239" w14:textId="77777777" w:rsidR="008519BE" w:rsidRPr="008519BE" w:rsidRDefault="008519BE" w:rsidP="008519BE">
      <w:pPr>
        <w:rPr>
          <w:sz w:val="24"/>
          <w:szCs w:val="24"/>
          <w:lang w:val="ru-RU"/>
        </w:rPr>
      </w:pPr>
      <w:r w:rsidRPr="008519BE">
        <w:rPr>
          <w:lang w:eastAsia="bg-BG"/>
        </w:rPr>
        <w:t xml:space="preserve">8502 </w:t>
      </w:r>
      <w:proofErr w:type="spellStart"/>
      <w:r w:rsidRPr="008519BE">
        <w:rPr>
          <w:lang w:val="en-US"/>
        </w:rPr>
        <w:t>Lannach</w:t>
      </w:r>
      <w:proofErr w:type="spellEnd"/>
    </w:p>
    <w:p w14:paraId="37FE5875" w14:textId="6372181A" w:rsidR="008519BE" w:rsidRPr="008519BE" w:rsidRDefault="008519BE" w:rsidP="008519BE">
      <w:r w:rsidRPr="008519BE">
        <w:rPr>
          <w:lang w:eastAsia="bg-BG"/>
        </w:rPr>
        <w:t>Австрия</w:t>
      </w:r>
    </w:p>
    <w:p w14:paraId="508F3A54" w14:textId="2B137DA8" w:rsidR="00B6672E" w:rsidRDefault="00936AD0" w:rsidP="00936AD0">
      <w:pPr>
        <w:pStyle w:val="Heading1"/>
      </w:pPr>
      <w:r>
        <w:t>8.</w:t>
      </w:r>
      <w:r w:rsidR="002C50EE">
        <w:t>НОМЕР НА РАЗРЕШЕНИЕТО ЗА УПОТРЕБА</w:t>
      </w:r>
    </w:p>
    <w:p w14:paraId="25C85233" w14:textId="110642E6" w:rsidR="008519BE" w:rsidRDefault="008519BE" w:rsidP="008519BE"/>
    <w:p w14:paraId="371742B5" w14:textId="77777777" w:rsidR="008519BE" w:rsidRPr="008519BE" w:rsidRDefault="008519BE" w:rsidP="008519BE">
      <w:pPr>
        <w:rPr>
          <w:sz w:val="24"/>
          <w:szCs w:val="24"/>
        </w:rPr>
      </w:pPr>
      <w:r w:rsidRPr="008519BE">
        <w:rPr>
          <w:lang w:eastAsia="bg-BG"/>
        </w:rPr>
        <w:t xml:space="preserve">Еслибон 200 </w:t>
      </w:r>
      <w:r w:rsidRPr="008519BE">
        <w:rPr>
          <w:lang w:val="en-US"/>
        </w:rPr>
        <w:t>mg</w:t>
      </w:r>
      <w:r w:rsidRPr="008519BE">
        <w:rPr>
          <w:lang w:val="ru-RU"/>
        </w:rPr>
        <w:t xml:space="preserve"> </w:t>
      </w:r>
      <w:r w:rsidRPr="008519BE">
        <w:rPr>
          <w:lang w:eastAsia="bg-BG"/>
        </w:rPr>
        <w:t>таблетки</w:t>
      </w:r>
      <w:r w:rsidRPr="008519BE">
        <w:rPr>
          <w:lang w:eastAsia="bg-BG"/>
        </w:rPr>
        <w:tab/>
        <w:t>Регистрационен № 20180297</w:t>
      </w:r>
    </w:p>
    <w:p w14:paraId="1266E97B" w14:textId="77777777" w:rsidR="008519BE" w:rsidRPr="008519BE" w:rsidRDefault="008519BE" w:rsidP="008519BE">
      <w:pPr>
        <w:rPr>
          <w:sz w:val="24"/>
          <w:szCs w:val="24"/>
        </w:rPr>
      </w:pPr>
      <w:r w:rsidRPr="008519BE">
        <w:rPr>
          <w:lang w:eastAsia="bg-BG"/>
        </w:rPr>
        <w:t xml:space="preserve">Еслибон 400 </w:t>
      </w:r>
      <w:r w:rsidRPr="008519BE">
        <w:rPr>
          <w:lang w:val="en-US"/>
        </w:rPr>
        <w:t>mg</w:t>
      </w:r>
      <w:r w:rsidRPr="008519BE">
        <w:rPr>
          <w:lang w:val="ru-RU"/>
        </w:rPr>
        <w:t xml:space="preserve"> </w:t>
      </w:r>
      <w:r w:rsidRPr="008519BE">
        <w:rPr>
          <w:lang w:eastAsia="bg-BG"/>
        </w:rPr>
        <w:t>таблетки</w:t>
      </w:r>
      <w:r w:rsidRPr="008519BE">
        <w:rPr>
          <w:lang w:eastAsia="bg-BG"/>
        </w:rPr>
        <w:tab/>
        <w:t>Регистрационен № 20180298</w:t>
      </w:r>
    </w:p>
    <w:p w14:paraId="1117D15A" w14:textId="77777777" w:rsidR="008519BE" w:rsidRPr="008519BE" w:rsidRDefault="008519BE" w:rsidP="008519BE">
      <w:pPr>
        <w:rPr>
          <w:sz w:val="24"/>
          <w:szCs w:val="24"/>
        </w:rPr>
      </w:pPr>
      <w:r w:rsidRPr="008519BE">
        <w:rPr>
          <w:lang w:eastAsia="bg-BG"/>
        </w:rPr>
        <w:t xml:space="preserve">Еслибон 600 </w:t>
      </w:r>
      <w:r w:rsidRPr="008519BE">
        <w:rPr>
          <w:lang w:val="en-US"/>
        </w:rPr>
        <w:t>mg</w:t>
      </w:r>
      <w:r w:rsidRPr="008519BE">
        <w:rPr>
          <w:lang w:val="ru-RU"/>
        </w:rPr>
        <w:t xml:space="preserve"> </w:t>
      </w:r>
      <w:r w:rsidRPr="008519BE">
        <w:rPr>
          <w:lang w:eastAsia="bg-BG"/>
        </w:rPr>
        <w:t>таблетки</w:t>
      </w:r>
      <w:r w:rsidRPr="008519BE">
        <w:rPr>
          <w:lang w:eastAsia="bg-BG"/>
        </w:rPr>
        <w:tab/>
        <w:t>Регистрационен № 20180299</w:t>
      </w:r>
    </w:p>
    <w:p w14:paraId="38413943" w14:textId="59C72FFA" w:rsidR="008519BE" w:rsidRPr="008519BE" w:rsidRDefault="008519BE" w:rsidP="008519BE">
      <w:r w:rsidRPr="008519BE">
        <w:rPr>
          <w:lang w:eastAsia="bg-BG"/>
        </w:rPr>
        <w:t xml:space="preserve">Еслибон 800 </w:t>
      </w:r>
      <w:r w:rsidRPr="008519BE">
        <w:rPr>
          <w:lang w:val="en-US"/>
        </w:rPr>
        <w:t>mg</w:t>
      </w:r>
      <w:r w:rsidRPr="008519BE">
        <w:rPr>
          <w:lang w:val="ru-RU"/>
        </w:rPr>
        <w:t xml:space="preserve"> </w:t>
      </w:r>
      <w:r w:rsidRPr="008519BE">
        <w:rPr>
          <w:lang w:eastAsia="bg-BG"/>
        </w:rPr>
        <w:t>таблетки</w:t>
      </w:r>
      <w:r w:rsidRPr="008519BE">
        <w:rPr>
          <w:lang w:eastAsia="bg-BG"/>
        </w:rPr>
        <w:tab/>
        <w:t>Регистрационен № 20180300</w:t>
      </w:r>
    </w:p>
    <w:p w14:paraId="2CCB5832" w14:textId="49887232" w:rsidR="007C605B" w:rsidRDefault="002C50EE" w:rsidP="007C605B">
      <w:pPr>
        <w:pStyle w:val="Heading1"/>
      </w:pPr>
      <w:r>
        <w:lastRenderedPageBreak/>
        <w:t>9. ДАТА НА ПЪРВО РАЗРЕШАВАНЕ/ПОДНОВЯВАНЕ НА РАЗРЕШЕНИЕТО ЗА УПОТРЕБА</w:t>
      </w:r>
    </w:p>
    <w:p w14:paraId="1291C2FB" w14:textId="7CF1D05A" w:rsidR="008519BE" w:rsidRDefault="008519BE" w:rsidP="008519BE"/>
    <w:p w14:paraId="63D2FD3C" w14:textId="58BF2BA6" w:rsidR="008519BE" w:rsidRPr="008519BE" w:rsidRDefault="008519BE" w:rsidP="008519BE">
      <w:r>
        <w:t>25.10.2018</w:t>
      </w:r>
    </w:p>
    <w:p w14:paraId="0E9D0119" w14:textId="0245C6D7" w:rsidR="002C50EE" w:rsidRDefault="002C50EE" w:rsidP="002C50EE">
      <w:pPr>
        <w:pStyle w:val="Heading1"/>
      </w:pPr>
      <w:r>
        <w:t>10. ДАТА НА АКТУАЛИЗИРАНЕ НА ТЕКСТА</w:t>
      </w:r>
    </w:p>
    <w:bookmarkEnd w:id="0"/>
    <w:p w14:paraId="43FB38A2" w14:textId="1C7F96DC" w:rsidR="007C605B" w:rsidRPr="003E3126" w:rsidRDefault="008519BE" w:rsidP="008519BE">
      <w:r>
        <w:t>12/2020</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65F56"/>
    <w:multiLevelType w:val="hybridMultilevel"/>
    <w:tmpl w:val="13424A00"/>
    <w:lvl w:ilvl="0" w:tplc="63C262D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519BE"/>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151C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6661</Words>
  <Characters>37972</Characters>
  <Application>Microsoft Office Word</Application>
  <DocSecurity>0</DocSecurity>
  <Lines>316</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2022-07-22T16:21:00Z</dcterms:created>
  <dcterms:modified xsi:type="dcterms:W3CDTF">2022-07-22T16:21:00Z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