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rPr>
          <w:lang w:val="bg-BG"/>
        </w:rPr>
      </w:pPr>
      <w:bookmarkStart w:id="0" w:name="_Hlk63124480"/>
      <w:r>
        <w:rPr>
          <w:lang w:val="bg-BG"/>
        </w:rPr>
        <w:t>КРАТКА ХАРАКТЕРИСТИКА НА ПРОДУКТА</w:t>
      </w:r>
    </w:p>
    <w:p w14:paraId="1BBB3756" w14:textId="3B48C98A" w:rsidR="00C07B84" w:rsidRDefault="00DD466D" w:rsidP="00DD466D">
      <w:pPr>
        <w:pStyle w:val="Heading1"/>
        <w:rPr>
          <w:lang w:val="bg-BG"/>
        </w:rPr>
      </w:pPr>
      <w:r>
        <w:rPr>
          <w:lang w:val="bg-BG"/>
        </w:rPr>
        <w:t>1.ИМЕ НА ЛЕКАРСТВЕНИЯ ПРОДУКТ</w:t>
      </w:r>
    </w:p>
    <w:p w14:paraId="18435962" w14:textId="77777777" w:rsidR="006F0EAE" w:rsidRPr="006F0EAE" w:rsidRDefault="006F0EAE" w:rsidP="006F0EAE">
      <w:pPr>
        <w:rPr>
          <w:sz w:val="24"/>
          <w:szCs w:val="24"/>
        </w:rPr>
      </w:pPr>
      <w:proofErr w:type="spellStart"/>
      <w:r w:rsidRPr="006F0EAE">
        <w:rPr>
          <w:lang w:val="bg-BG" w:eastAsia="bg-BG"/>
        </w:rPr>
        <w:t>Есмерон</w:t>
      </w:r>
      <w:proofErr w:type="spellEnd"/>
      <w:r w:rsidRPr="006F0EAE">
        <w:rPr>
          <w:lang w:val="bg-BG" w:eastAsia="bg-BG"/>
        </w:rPr>
        <w:t xml:space="preserve"> </w:t>
      </w:r>
      <w:r w:rsidRPr="006F0EAE">
        <w:t xml:space="preserve">10 mg/ml </w:t>
      </w:r>
      <w:r w:rsidRPr="006F0EAE">
        <w:rPr>
          <w:lang w:val="bg-BG" w:eastAsia="bg-BG"/>
        </w:rPr>
        <w:t>инжекционен разтвор</w:t>
      </w:r>
    </w:p>
    <w:p w14:paraId="72687F1B" w14:textId="5695DB24" w:rsidR="006F0EAE" w:rsidRPr="006F0EAE" w:rsidRDefault="006F0EAE" w:rsidP="006F0EAE">
      <w:pPr>
        <w:rPr>
          <w:sz w:val="24"/>
          <w:szCs w:val="24"/>
        </w:rPr>
      </w:pPr>
      <w:proofErr w:type="spellStart"/>
      <w:r w:rsidRPr="006F0EAE">
        <w:t>Esmeron</w:t>
      </w:r>
      <w:proofErr w:type="spellEnd"/>
      <w:r w:rsidRPr="006F0EAE">
        <w:t xml:space="preserve"> 10 mg/ml solution for injection</w:t>
      </w:r>
    </w:p>
    <w:p w14:paraId="3A916BC0" w14:textId="4E04E00D" w:rsidR="00DD466D" w:rsidRDefault="00DD466D" w:rsidP="00DD466D">
      <w:pPr>
        <w:pStyle w:val="Heading1"/>
        <w:rPr>
          <w:lang w:val="bg-BG"/>
        </w:rPr>
      </w:pPr>
      <w:r>
        <w:rPr>
          <w:lang w:val="bg-BG"/>
        </w:rPr>
        <w:t>2. КАЧЕСТВЕН И КОЛИЧЕСТВЕН СЪСТАВ</w:t>
      </w:r>
    </w:p>
    <w:p w14:paraId="2C1422BF" w14:textId="74257CF0" w:rsidR="006F0EAE" w:rsidRPr="006F0EAE" w:rsidRDefault="006F0EAE" w:rsidP="006F0EAE">
      <w:pPr>
        <w:rPr>
          <w:lang w:val="bg-BG"/>
        </w:rPr>
      </w:pPr>
      <w:r>
        <w:t xml:space="preserve">В </w:t>
      </w:r>
      <w:proofErr w:type="spellStart"/>
      <w:r>
        <w:t>един</w:t>
      </w:r>
      <w:proofErr w:type="spellEnd"/>
      <w:r>
        <w:t xml:space="preserve"> ml </w:t>
      </w:r>
      <w:proofErr w:type="spellStart"/>
      <w:r>
        <w:t>Есмерон</w:t>
      </w:r>
      <w:proofErr w:type="spellEnd"/>
      <w:r>
        <w:t xml:space="preserve"> </w:t>
      </w:r>
      <w:proofErr w:type="spellStart"/>
      <w:r>
        <w:t>се</w:t>
      </w:r>
      <w:proofErr w:type="spellEnd"/>
      <w:r>
        <w:t xml:space="preserve"> </w:t>
      </w:r>
      <w:proofErr w:type="spellStart"/>
      <w:r>
        <w:t>съдържат</w:t>
      </w:r>
      <w:proofErr w:type="spellEnd"/>
      <w:r>
        <w:t xml:space="preserve"> 10 mg </w:t>
      </w:r>
      <w:proofErr w:type="spellStart"/>
      <w:r>
        <w:t>рокурониев</w:t>
      </w:r>
      <w:proofErr w:type="spellEnd"/>
      <w:r>
        <w:t xml:space="preserve"> </w:t>
      </w:r>
      <w:proofErr w:type="spellStart"/>
      <w:r>
        <w:t>бромид</w:t>
      </w:r>
      <w:proofErr w:type="spellEnd"/>
      <w:r>
        <w:t xml:space="preserve"> </w:t>
      </w:r>
      <w:r>
        <w:rPr>
          <w:i/>
          <w:iCs/>
        </w:rPr>
        <w:t>(rocuronium bromide).</w:t>
      </w:r>
    </w:p>
    <w:p w14:paraId="74A1D0A0" w14:textId="5D36F633" w:rsidR="002B4DBB" w:rsidRDefault="00DD466D" w:rsidP="00C07B84">
      <w:pPr>
        <w:pStyle w:val="Heading1"/>
        <w:rPr>
          <w:lang w:val="bg-BG"/>
        </w:rPr>
      </w:pPr>
      <w:r>
        <w:rPr>
          <w:lang w:val="bg-BG"/>
        </w:rPr>
        <w:t>3. ЛЕКАРСТВЕНА ФОРМА</w:t>
      </w:r>
    </w:p>
    <w:p w14:paraId="542CE114" w14:textId="77777777" w:rsidR="006F0EAE" w:rsidRDefault="006F0EAE" w:rsidP="006F0EAE">
      <w:pPr>
        <w:rPr>
          <w:lang w:val="bg-BG" w:eastAsia="bg-BG"/>
        </w:rPr>
      </w:pPr>
    </w:p>
    <w:p w14:paraId="208FFBD7" w14:textId="24F7DED9" w:rsidR="006F0EAE" w:rsidRPr="006F0EAE" w:rsidRDefault="006F0EAE" w:rsidP="006F0EAE">
      <w:pPr>
        <w:rPr>
          <w:sz w:val="24"/>
          <w:szCs w:val="24"/>
          <w:lang w:val="bg-BG"/>
        </w:rPr>
      </w:pPr>
      <w:r w:rsidRPr="006F0EAE">
        <w:rPr>
          <w:lang w:val="bg-BG" w:eastAsia="bg-BG"/>
        </w:rPr>
        <w:t xml:space="preserve">Инжекционен разтвор </w:t>
      </w:r>
      <w:r w:rsidRPr="006F0EAE">
        <w:t xml:space="preserve">pH: </w:t>
      </w:r>
      <w:r w:rsidRPr="006F0EAE">
        <w:rPr>
          <w:lang w:val="bg-BG" w:eastAsia="bg-BG"/>
        </w:rPr>
        <w:t>3,8-4,2</w:t>
      </w:r>
    </w:p>
    <w:p w14:paraId="490FC2C4" w14:textId="77777777" w:rsidR="002C50EE" w:rsidRDefault="002C50EE" w:rsidP="002C50EE">
      <w:pPr>
        <w:pStyle w:val="Heading1"/>
      </w:pPr>
      <w:r>
        <w:t>4. КЛИНИЧНИ ДАННИ</w:t>
      </w:r>
    </w:p>
    <w:p w14:paraId="103298BB" w14:textId="264917A2" w:rsidR="002B4DBB" w:rsidRDefault="002C50EE" w:rsidP="00C07B84">
      <w:pPr>
        <w:pStyle w:val="Heading2"/>
      </w:pPr>
      <w:r>
        <w:t xml:space="preserve">4.1. </w:t>
      </w:r>
      <w:proofErr w:type="spellStart"/>
      <w:r>
        <w:t>Терапевтични</w:t>
      </w:r>
      <w:proofErr w:type="spellEnd"/>
      <w:r>
        <w:t xml:space="preserve"> </w:t>
      </w:r>
      <w:proofErr w:type="spellStart"/>
      <w:r>
        <w:t>показания</w:t>
      </w:r>
      <w:proofErr w:type="spellEnd"/>
    </w:p>
    <w:p w14:paraId="6C405E42" w14:textId="77777777" w:rsidR="006F0EAE" w:rsidRDefault="006F0EAE" w:rsidP="006F0EAE">
      <w:pPr>
        <w:rPr>
          <w:lang w:val="bg-BG" w:eastAsia="bg-BG"/>
        </w:rPr>
      </w:pPr>
    </w:p>
    <w:p w14:paraId="4A602CC2" w14:textId="66A1E7A4" w:rsidR="006F0EAE" w:rsidRPr="006F0EAE" w:rsidRDefault="006F0EAE" w:rsidP="006F0EAE">
      <w:pPr>
        <w:rPr>
          <w:sz w:val="24"/>
          <w:szCs w:val="24"/>
          <w:lang w:val="bg-BG"/>
        </w:rPr>
      </w:pPr>
      <w:proofErr w:type="spellStart"/>
      <w:r w:rsidRPr="006F0EAE">
        <w:rPr>
          <w:lang w:val="bg-BG" w:eastAsia="bg-BG"/>
        </w:rPr>
        <w:t>Есмерон</w:t>
      </w:r>
      <w:proofErr w:type="spellEnd"/>
      <w:r w:rsidRPr="006F0EAE">
        <w:rPr>
          <w:lang w:val="bg-BG" w:eastAsia="bg-BG"/>
        </w:rPr>
        <w:t xml:space="preserve"> е показан при възрастни и педиатрични пациенти (от доносени новородени до юноши [0 до &lt; 18 години]) като допълващо средство при обща анестезия, за да улесни </w:t>
      </w:r>
      <w:proofErr w:type="spellStart"/>
      <w:r w:rsidRPr="006F0EAE">
        <w:rPr>
          <w:lang w:val="bg-BG" w:eastAsia="bg-BG"/>
        </w:rPr>
        <w:t>ендотрахеалната</w:t>
      </w:r>
      <w:proofErr w:type="spellEnd"/>
      <w:r w:rsidRPr="006F0EAE">
        <w:rPr>
          <w:lang w:val="bg-BG" w:eastAsia="bg-BG"/>
        </w:rPr>
        <w:t xml:space="preserve"> </w:t>
      </w:r>
      <w:proofErr w:type="spellStart"/>
      <w:r w:rsidRPr="006F0EAE">
        <w:rPr>
          <w:lang w:val="bg-BG" w:eastAsia="bg-BG"/>
        </w:rPr>
        <w:t>интубация</w:t>
      </w:r>
      <w:proofErr w:type="spellEnd"/>
      <w:r w:rsidRPr="006F0EAE">
        <w:rPr>
          <w:lang w:val="bg-BG" w:eastAsia="bg-BG"/>
        </w:rPr>
        <w:t xml:space="preserve"> по време на рутинно въвеждане и да осигури релаксация на скелетната мускулатура по време на оперативни интервенции. При възрастни </w:t>
      </w:r>
      <w:proofErr w:type="spellStart"/>
      <w:r w:rsidRPr="006F0EAE">
        <w:rPr>
          <w:lang w:val="bg-BG" w:eastAsia="bg-BG"/>
        </w:rPr>
        <w:t>Есмерон</w:t>
      </w:r>
      <w:proofErr w:type="spellEnd"/>
      <w:r w:rsidRPr="006F0EAE">
        <w:rPr>
          <w:lang w:val="bg-BG" w:eastAsia="bg-BG"/>
        </w:rPr>
        <w:t xml:space="preserve"> е показан също за улесняване на </w:t>
      </w:r>
      <w:proofErr w:type="spellStart"/>
      <w:r w:rsidRPr="006F0EAE">
        <w:rPr>
          <w:lang w:val="bg-BG" w:eastAsia="bg-BG"/>
        </w:rPr>
        <w:t>ендотрахеалната</w:t>
      </w:r>
      <w:proofErr w:type="spellEnd"/>
      <w:r w:rsidRPr="006F0EAE">
        <w:rPr>
          <w:lang w:val="bg-BG" w:eastAsia="bg-BG"/>
        </w:rPr>
        <w:t xml:space="preserve"> </w:t>
      </w:r>
      <w:proofErr w:type="spellStart"/>
      <w:r w:rsidRPr="006F0EAE">
        <w:rPr>
          <w:lang w:val="bg-BG" w:eastAsia="bg-BG"/>
        </w:rPr>
        <w:t>интубация</w:t>
      </w:r>
      <w:proofErr w:type="spellEnd"/>
      <w:r w:rsidRPr="006F0EAE">
        <w:rPr>
          <w:lang w:val="bg-BG" w:eastAsia="bg-BG"/>
        </w:rPr>
        <w:t xml:space="preserve"> по време на бързо въвеждане и като допълващо средство за употреба в интензивните отделения за улесняване на </w:t>
      </w:r>
      <w:proofErr w:type="spellStart"/>
      <w:r w:rsidRPr="006F0EAE">
        <w:rPr>
          <w:lang w:val="bg-BG" w:eastAsia="bg-BG"/>
        </w:rPr>
        <w:t>интубацията</w:t>
      </w:r>
      <w:proofErr w:type="spellEnd"/>
      <w:r w:rsidRPr="006F0EAE">
        <w:rPr>
          <w:lang w:val="bg-BG" w:eastAsia="bg-BG"/>
        </w:rPr>
        <w:t xml:space="preserve"> и механичната вентилация.</w:t>
      </w:r>
    </w:p>
    <w:p w14:paraId="5D1C76E5" w14:textId="77777777" w:rsidR="006F0EAE" w:rsidRPr="006F0EAE" w:rsidRDefault="006F0EAE" w:rsidP="006F0EAE"/>
    <w:p w14:paraId="71891A7D" w14:textId="7C6D0874" w:rsidR="001915B6" w:rsidRDefault="002C50EE" w:rsidP="00C07B84">
      <w:pPr>
        <w:pStyle w:val="Heading2"/>
      </w:pPr>
      <w:r>
        <w:t xml:space="preserve">4.2. </w:t>
      </w:r>
      <w:proofErr w:type="spellStart"/>
      <w:r>
        <w:t>Дозировка</w:t>
      </w:r>
      <w:proofErr w:type="spellEnd"/>
      <w:r>
        <w:t xml:space="preserve"> и </w:t>
      </w:r>
      <w:proofErr w:type="spellStart"/>
      <w:r>
        <w:t>начин</w:t>
      </w:r>
      <w:proofErr w:type="spellEnd"/>
      <w:r>
        <w:t xml:space="preserve"> </w:t>
      </w:r>
      <w:proofErr w:type="spellStart"/>
      <w:r>
        <w:t>на</w:t>
      </w:r>
      <w:proofErr w:type="spellEnd"/>
      <w:r>
        <w:t xml:space="preserve"> </w:t>
      </w:r>
      <w:proofErr w:type="spellStart"/>
      <w:r>
        <w:t>приложение</w:t>
      </w:r>
      <w:proofErr w:type="spellEnd"/>
    </w:p>
    <w:p w14:paraId="2D8D89E4" w14:textId="77777777" w:rsidR="006F0EAE" w:rsidRDefault="006F0EAE" w:rsidP="006F0EAE">
      <w:pPr>
        <w:spacing w:line="240" w:lineRule="auto"/>
        <w:rPr>
          <w:rFonts w:ascii="Times New Roman" w:eastAsia="Times New Roman" w:hAnsi="Times New Roman" w:cs="Times New Roman"/>
          <w:color w:val="000000"/>
          <w:u w:val="single"/>
          <w:lang w:val="bg-BG" w:eastAsia="bg-BG"/>
        </w:rPr>
      </w:pPr>
    </w:p>
    <w:p w14:paraId="4F40BA37" w14:textId="19B0C54B" w:rsidR="006F0EAE" w:rsidRPr="006F0EAE" w:rsidRDefault="006F0EAE" w:rsidP="006F0EAE">
      <w:pPr>
        <w:pStyle w:val="Heading3"/>
        <w:rPr>
          <w:u w:val="single"/>
        </w:rPr>
      </w:pPr>
      <w:proofErr w:type="spellStart"/>
      <w:r w:rsidRPr="006F0EAE">
        <w:rPr>
          <w:u w:val="single"/>
        </w:rPr>
        <w:t>Дозировка</w:t>
      </w:r>
      <w:proofErr w:type="spellEnd"/>
    </w:p>
    <w:p w14:paraId="01349CF0" w14:textId="77777777" w:rsidR="006F0EAE" w:rsidRPr="006F0EAE" w:rsidRDefault="006F0EAE" w:rsidP="006F0EAE">
      <w:pPr>
        <w:rPr>
          <w:sz w:val="24"/>
          <w:szCs w:val="24"/>
          <w:lang w:val="bg-BG"/>
        </w:rPr>
      </w:pPr>
      <w:r w:rsidRPr="006F0EAE">
        <w:rPr>
          <w:lang w:val="bg-BG" w:eastAsia="bg-BG"/>
        </w:rPr>
        <w:t xml:space="preserve">Както другите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w:t>
      </w:r>
      <w:proofErr w:type="spellStart"/>
      <w:r w:rsidRPr="006F0EAE">
        <w:rPr>
          <w:lang w:val="bg-BG" w:eastAsia="bg-BG"/>
        </w:rPr>
        <w:t>Есмерон</w:t>
      </w:r>
      <w:proofErr w:type="spellEnd"/>
      <w:r w:rsidRPr="006F0EAE">
        <w:rPr>
          <w:lang w:val="bg-BG" w:eastAsia="bg-BG"/>
        </w:rPr>
        <w:t xml:space="preserve"> трябва да се прилага само от или под наблюдението на опитни </w:t>
      </w:r>
      <w:proofErr w:type="spellStart"/>
      <w:r w:rsidRPr="006F0EAE">
        <w:rPr>
          <w:lang w:val="bg-BG" w:eastAsia="bg-BG"/>
        </w:rPr>
        <w:t>клиницисти</w:t>
      </w:r>
      <w:proofErr w:type="spellEnd"/>
      <w:r w:rsidRPr="006F0EAE">
        <w:rPr>
          <w:lang w:val="bg-BG" w:eastAsia="bg-BG"/>
        </w:rPr>
        <w:t>, които са запознати с действието и употребата на тези лекарствени продукти.</w:t>
      </w:r>
    </w:p>
    <w:p w14:paraId="6CB71235" w14:textId="77777777" w:rsidR="006F0EAE" w:rsidRDefault="006F0EAE" w:rsidP="006F0EAE">
      <w:pPr>
        <w:rPr>
          <w:lang w:val="bg-BG" w:eastAsia="bg-BG"/>
        </w:rPr>
      </w:pPr>
    </w:p>
    <w:p w14:paraId="5A754534" w14:textId="29EFB9C9" w:rsidR="006F0EAE" w:rsidRPr="006F0EAE" w:rsidRDefault="006F0EAE" w:rsidP="006F0EAE">
      <w:pPr>
        <w:rPr>
          <w:sz w:val="24"/>
          <w:szCs w:val="24"/>
          <w:lang w:val="bg-BG"/>
        </w:rPr>
      </w:pPr>
      <w:r w:rsidRPr="006F0EAE">
        <w:rPr>
          <w:lang w:val="bg-BG" w:eastAsia="bg-BG"/>
        </w:rPr>
        <w:t xml:space="preserve">Както и при другите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дозата на </w:t>
      </w:r>
      <w:proofErr w:type="spellStart"/>
      <w:r w:rsidRPr="006F0EAE">
        <w:rPr>
          <w:lang w:val="bg-BG" w:eastAsia="bg-BG"/>
        </w:rPr>
        <w:t>Есмерон</w:t>
      </w:r>
      <w:proofErr w:type="spellEnd"/>
      <w:r w:rsidRPr="006F0EAE">
        <w:rPr>
          <w:lang w:val="bg-BG" w:eastAsia="bg-BG"/>
        </w:rPr>
        <w:t xml:space="preserve"> трябва да бъде определяна индивидуално за всеки пациент. При определяне на дозата трябва да се вземе предвид метода на анестезия и предполагаемата продължителност на операцията, метода на </w:t>
      </w:r>
      <w:proofErr w:type="spellStart"/>
      <w:r w:rsidRPr="006F0EAE">
        <w:rPr>
          <w:lang w:val="bg-BG" w:eastAsia="bg-BG"/>
        </w:rPr>
        <w:t>седиране</w:t>
      </w:r>
      <w:proofErr w:type="spellEnd"/>
      <w:r w:rsidRPr="006F0EAE">
        <w:rPr>
          <w:lang w:val="bg-BG" w:eastAsia="bg-BG"/>
        </w:rPr>
        <w:t xml:space="preserve"> и очакваната продължителност на механичната вентилация, възможните лекарствени взаимодействия с други лекарства, които са прилагани едновременно и състоянието на пациента. За адекватна оценка на нервно-мускулното блокиране и излизането от него е препоръчително прилагането на подходящо </w:t>
      </w:r>
      <w:proofErr w:type="spellStart"/>
      <w:r w:rsidRPr="006F0EAE">
        <w:rPr>
          <w:lang w:val="bg-BG" w:eastAsia="bg-BG"/>
        </w:rPr>
        <w:t>невромускулно</w:t>
      </w:r>
      <w:proofErr w:type="spellEnd"/>
      <w:r w:rsidRPr="006F0EAE">
        <w:rPr>
          <w:lang w:val="bg-BG" w:eastAsia="bg-BG"/>
        </w:rPr>
        <w:t xml:space="preserve"> мониториране.</w:t>
      </w:r>
    </w:p>
    <w:p w14:paraId="7E285906" w14:textId="77777777" w:rsidR="006F0EAE" w:rsidRDefault="006F0EAE" w:rsidP="006F0EAE">
      <w:pPr>
        <w:rPr>
          <w:lang w:val="bg-BG" w:eastAsia="bg-BG"/>
        </w:rPr>
      </w:pPr>
    </w:p>
    <w:p w14:paraId="5157B3F2" w14:textId="77777777" w:rsidR="006F0EAE" w:rsidRPr="006F0EAE" w:rsidRDefault="006F0EAE" w:rsidP="006F0EAE">
      <w:pPr>
        <w:rPr>
          <w:sz w:val="24"/>
          <w:szCs w:val="24"/>
          <w:lang w:val="bg-BG"/>
        </w:rPr>
      </w:pPr>
      <w:proofErr w:type="spellStart"/>
      <w:r w:rsidRPr="006F0EAE">
        <w:rPr>
          <w:lang w:val="bg-BG" w:eastAsia="bg-BG"/>
        </w:rPr>
        <w:t>Инхалаторните</w:t>
      </w:r>
      <w:proofErr w:type="spellEnd"/>
      <w:r w:rsidRPr="006F0EAE">
        <w:rPr>
          <w:lang w:val="bg-BG" w:eastAsia="bg-BG"/>
        </w:rPr>
        <w:t xml:space="preserve"> </w:t>
      </w:r>
      <w:proofErr w:type="spellStart"/>
      <w:r w:rsidRPr="006F0EAE">
        <w:rPr>
          <w:lang w:val="bg-BG" w:eastAsia="bg-BG"/>
        </w:rPr>
        <w:t>анестетици</w:t>
      </w:r>
      <w:proofErr w:type="spellEnd"/>
      <w:r w:rsidRPr="006F0EAE">
        <w:rPr>
          <w:lang w:val="bg-BG" w:eastAsia="bg-BG"/>
        </w:rPr>
        <w:t xml:space="preserve"> </w:t>
      </w:r>
      <w:proofErr w:type="spellStart"/>
      <w:r w:rsidRPr="006F0EAE">
        <w:rPr>
          <w:lang w:val="bg-BG" w:eastAsia="bg-BG"/>
        </w:rPr>
        <w:t>потенцират</w:t>
      </w:r>
      <w:proofErr w:type="spellEnd"/>
      <w:r w:rsidRPr="006F0EAE">
        <w:rPr>
          <w:lang w:val="bg-BG" w:eastAsia="bg-BG"/>
        </w:rPr>
        <w:t xml:space="preserve"> ефекта на нервно-мускулно блокиране на </w:t>
      </w:r>
      <w:proofErr w:type="spellStart"/>
      <w:r w:rsidRPr="006F0EAE">
        <w:rPr>
          <w:lang w:val="bg-BG" w:eastAsia="bg-BG"/>
        </w:rPr>
        <w:t>Есмерон</w:t>
      </w:r>
      <w:proofErr w:type="spellEnd"/>
      <w:r w:rsidRPr="006F0EAE">
        <w:rPr>
          <w:lang w:val="bg-BG" w:eastAsia="bg-BG"/>
        </w:rPr>
        <w:t xml:space="preserve">. Това </w:t>
      </w:r>
      <w:proofErr w:type="spellStart"/>
      <w:r w:rsidRPr="006F0EAE">
        <w:rPr>
          <w:lang w:val="bg-BG" w:eastAsia="bg-BG"/>
        </w:rPr>
        <w:t>потенциране</w:t>
      </w:r>
      <w:proofErr w:type="spellEnd"/>
      <w:r w:rsidRPr="006F0EAE">
        <w:rPr>
          <w:lang w:val="bg-BG" w:eastAsia="bg-BG"/>
        </w:rPr>
        <w:t xml:space="preserve"> придобива клинично значение едва тогава, когато в хода на анестезията тъканната концентрация на летливите агенти достигне необходимото за подобно взаимодействие ниво. Следователно корекциите на дозата на </w:t>
      </w:r>
      <w:proofErr w:type="spellStart"/>
      <w:r w:rsidRPr="006F0EAE">
        <w:rPr>
          <w:lang w:val="bg-BG" w:eastAsia="bg-BG"/>
        </w:rPr>
        <w:t>Есмерон</w:t>
      </w:r>
      <w:proofErr w:type="spellEnd"/>
      <w:r w:rsidRPr="006F0EAE">
        <w:rPr>
          <w:lang w:val="bg-BG" w:eastAsia="bg-BG"/>
        </w:rPr>
        <w:t xml:space="preserve"> трябва </w:t>
      </w:r>
      <w:r w:rsidRPr="006F0EAE">
        <w:rPr>
          <w:lang w:val="bg-BG" w:eastAsia="bg-BG"/>
        </w:rPr>
        <w:lastRenderedPageBreak/>
        <w:t xml:space="preserve">да стават на фона на прилагането на по-малки поддържащи дози на по-дълъг интервал или използване на по-ниски </w:t>
      </w:r>
      <w:proofErr w:type="spellStart"/>
      <w:r w:rsidRPr="006F0EAE">
        <w:rPr>
          <w:lang w:val="bg-BG" w:eastAsia="bg-BG"/>
        </w:rPr>
        <w:t>инфузионни</w:t>
      </w:r>
      <w:proofErr w:type="spellEnd"/>
      <w:r w:rsidRPr="006F0EAE">
        <w:rPr>
          <w:lang w:val="bg-BG" w:eastAsia="bg-BG"/>
        </w:rPr>
        <w:t xml:space="preserve"> нива на</w:t>
      </w:r>
      <w:r>
        <w:rPr>
          <w:lang w:eastAsia="bg-BG"/>
        </w:rPr>
        <w:t xml:space="preserve"> </w:t>
      </w:r>
      <w:proofErr w:type="spellStart"/>
      <w:r w:rsidRPr="006F0EAE">
        <w:rPr>
          <w:lang w:val="bg-BG" w:eastAsia="bg-BG"/>
        </w:rPr>
        <w:t>Есмерон</w:t>
      </w:r>
      <w:proofErr w:type="spellEnd"/>
      <w:r w:rsidRPr="006F0EAE">
        <w:rPr>
          <w:lang w:val="bg-BG" w:eastAsia="bg-BG"/>
        </w:rPr>
        <w:t xml:space="preserve"> по време на дълготрайни операции (продължаващи повече от 1 час) под </w:t>
      </w:r>
      <w:proofErr w:type="spellStart"/>
      <w:r w:rsidRPr="006F0EAE">
        <w:rPr>
          <w:lang w:val="bg-BG" w:eastAsia="bg-BG"/>
        </w:rPr>
        <w:t>инхалационна</w:t>
      </w:r>
      <w:proofErr w:type="spellEnd"/>
      <w:r w:rsidRPr="006F0EAE">
        <w:rPr>
          <w:lang w:val="bg-BG" w:eastAsia="bg-BG"/>
        </w:rPr>
        <w:t xml:space="preserve"> анестезия (вж. точка 4.5).</w:t>
      </w:r>
    </w:p>
    <w:p w14:paraId="76F95C3D" w14:textId="77777777" w:rsidR="006F0EAE" w:rsidRDefault="006F0EAE" w:rsidP="006F0EAE">
      <w:pPr>
        <w:rPr>
          <w:lang w:val="bg-BG" w:eastAsia="bg-BG"/>
        </w:rPr>
      </w:pPr>
    </w:p>
    <w:p w14:paraId="2C9F2AD3" w14:textId="3546C4D1" w:rsidR="006F0EAE" w:rsidRPr="006F0EAE" w:rsidRDefault="006F0EAE" w:rsidP="006F0EAE">
      <w:pPr>
        <w:rPr>
          <w:sz w:val="24"/>
          <w:szCs w:val="24"/>
          <w:lang w:val="bg-BG"/>
        </w:rPr>
      </w:pPr>
      <w:r w:rsidRPr="006F0EAE">
        <w:rPr>
          <w:lang w:val="bg-BG" w:eastAsia="bg-BG"/>
        </w:rPr>
        <w:t xml:space="preserve">При възрастни пациенти следните дози могат да се приемат като препоръчителни в общия случай на </w:t>
      </w:r>
      <w:proofErr w:type="spellStart"/>
      <w:r w:rsidRPr="006F0EAE">
        <w:rPr>
          <w:lang w:val="bg-BG" w:eastAsia="bg-BG"/>
        </w:rPr>
        <w:t>трахеална</w:t>
      </w:r>
      <w:proofErr w:type="spellEnd"/>
      <w:r w:rsidRPr="006F0EAE">
        <w:rPr>
          <w:lang w:val="bg-BG" w:eastAsia="bg-BG"/>
        </w:rPr>
        <w:t xml:space="preserve"> </w:t>
      </w:r>
      <w:proofErr w:type="spellStart"/>
      <w:r w:rsidRPr="006F0EAE">
        <w:rPr>
          <w:lang w:val="bg-BG" w:eastAsia="bg-BG"/>
        </w:rPr>
        <w:t>интубация</w:t>
      </w:r>
      <w:proofErr w:type="spellEnd"/>
      <w:r w:rsidRPr="006F0EAE">
        <w:rPr>
          <w:lang w:val="bg-BG" w:eastAsia="bg-BG"/>
        </w:rPr>
        <w:t xml:space="preserve"> и мускулна релаксация за кратко- или дълготрайни операции или за употреба в интензивното отделение.</w:t>
      </w:r>
    </w:p>
    <w:p w14:paraId="312A0D23" w14:textId="77777777" w:rsidR="006F0EAE" w:rsidRDefault="006F0EAE" w:rsidP="006F0EAE">
      <w:pPr>
        <w:rPr>
          <w:b/>
          <w:bCs/>
          <w:lang w:val="bg-BG" w:eastAsia="bg-BG"/>
        </w:rPr>
      </w:pPr>
      <w:bookmarkStart w:id="1" w:name="bookmark0"/>
    </w:p>
    <w:p w14:paraId="713AA74F" w14:textId="38084ACB" w:rsidR="006F0EAE" w:rsidRPr="006F0EAE" w:rsidRDefault="006F0EAE" w:rsidP="006F0EAE">
      <w:pPr>
        <w:rPr>
          <w:sz w:val="24"/>
          <w:szCs w:val="24"/>
          <w:lang w:val="bg-BG"/>
        </w:rPr>
      </w:pPr>
      <w:r w:rsidRPr="006F0EAE">
        <w:rPr>
          <w:b/>
          <w:bCs/>
          <w:lang w:val="bg-BG" w:eastAsia="bg-BG"/>
        </w:rPr>
        <w:t>Хирургически процедури</w:t>
      </w:r>
      <w:bookmarkEnd w:id="1"/>
    </w:p>
    <w:p w14:paraId="08B23944" w14:textId="77777777" w:rsidR="006F0EAE" w:rsidRDefault="006F0EAE" w:rsidP="006F0EAE">
      <w:pPr>
        <w:rPr>
          <w:lang w:val="bg-BG" w:eastAsia="bg-BG"/>
        </w:rPr>
      </w:pPr>
    </w:p>
    <w:p w14:paraId="7231668D" w14:textId="7F6960C4" w:rsidR="006F0EAE" w:rsidRPr="006F0EAE" w:rsidRDefault="006F0EAE" w:rsidP="006F0EAE">
      <w:pPr>
        <w:rPr>
          <w:sz w:val="24"/>
          <w:szCs w:val="24"/>
          <w:u w:val="single"/>
          <w:lang w:val="bg-BG"/>
        </w:rPr>
      </w:pPr>
      <w:proofErr w:type="spellStart"/>
      <w:r w:rsidRPr="006F0EAE">
        <w:rPr>
          <w:u w:val="single"/>
          <w:lang w:val="bg-BG" w:eastAsia="bg-BG"/>
        </w:rPr>
        <w:t>Трахеална</w:t>
      </w:r>
      <w:proofErr w:type="spellEnd"/>
      <w:r w:rsidRPr="006F0EAE">
        <w:rPr>
          <w:u w:val="single"/>
          <w:lang w:val="bg-BG" w:eastAsia="bg-BG"/>
        </w:rPr>
        <w:t xml:space="preserve"> </w:t>
      </w:r>
      <w:proofErr w:type="spellStart"/>
      <w:r w:rsidRPr="006F0EAE">
        <w:rPr>
          <w:u w:val="single"/>
          <w:lang w:val="bg-BG" w:eastAsia="bg-BG"/>
        </w:rPr>
        <w:t>интубация</w:t>
      </w:r>
      <w:proofErr w:type="spellEnd"/>
    </w:p>
    <w:p w14:paraId="6C381BF1" w14:textId="77777777" w:rsidR="006F0EAE" w:rsidRPr="006F0EAE" w:rsidRDefault="006F0EAE" w:rsidP="006F0EAE">
      <w:pPr>
        <w:rPr>
          <w:sz w:val="24"/>
          <w:szCs w:val="24"/>
          <w:lang w:val="bg-BG"/>
        </w:rPr>
      </w:pPr>
      <w:r w:rsidRPr="006F0EAE">
        <w:rPr>
          <w:lang w:val="bg-BG" w:eastAsia="bg-BG"/>
        </w:rPr>
        <w:t xml:space="preserve">Стандартната доза при </w:t>
      </w:r>
      <w:proofErr w:type="spellStart"/>
      <w:r w:rsidRPr="006F0EAE">
        <w:rPr>
          <w:lang w:val="bg-BG" w:eastAsia="bg-BG"/>
        </w:rPr>
        <w:t>интубиране</w:t>
      </w:r>
      <w:proofErr w:type="spellEnd"/>
      <w:r w:rsidRPr="006F0EAE">
        <w:rPr>
          <w:lang w:val="bg-BG" w:eastAsia="bg-BG"/>
        </w:rPr>
        <w:t xml:space="preserve"> по време на рутинна анестезия е 0,6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след което се установяват адекватни условия за </w:t>
      </w:r>
      <w:proofErr w:type="spellStart"/>
      <w:r w:rsidRPr="006F0EAE">
        <w:rPr>
          <w:lang w:val="bg-BG" w:eastAsia="bg-BG"/>
        </w:rPr>
        <w:t>интубация</w:t>
      </w:r>
      <w:proofErr w:type="spellEnd"/>
      <w:r w:rsidRPr="006F0EAE">
        <w:rPr>
          <w:lang w:val="bg-BG" w:eastAsia="bg-BG"/>
        </w:rPr>
        <w:t xml:space="preserve"> за 60 секунди при почти всички пациенти. Препоръчва се доза от 1,0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за улесняване условията на </w:t>
      </w:r>
      <w:proofErr w:type="spellStart"/>
      <w:r w:rsidRPr="006F0EAE">
        <w:rPr>
          <w:lang w:val="bg-BG" w:eastAsia="bg-BG"/>
        </w:rPr>
        <w:t>трахеална</w:t>
      </w:r>
      <w:proofErr w:type="spellEnd"/>
      <w:r w:rsidRPr="006F0EAE">
        <w:rPr>
          <w:lang w:val="bg-BG" w:eastAsia="bg-BG"/>
        </w:rPr>
        <w:t xml:space="preserve"> </w:t>
      </w:r>
      <w:proofErr w:type="spellStart"/>
      <w:r w:rsidRPr="006F0EAE">
        <w:rPr>
          <w:lang w:val="bg-BG" w:eastAsia="bg-BG"/>
        </w:rPr>
        <w:t>интубация</w:t>
      </w:r>
      <w:proofErr w:type="spellEnd"/>
      <w:r w:rsidRPr="006F0EAE">
        <w:rPr>
          <w:lang w:val="bg-BG" w:eastAsia="bg-BG"/>
        </w:rPr>
        <w:t xml:space="preserve"> по време на бързото въвеждане в анестезия, след което се установяват адекватни условия за </w:t>
      </w:r>
      <w:proofErr w:type="spellStart"/>
      <w:r w:rsidRPr="006F0EAE">
        <w:rPr>
          <w:lang w:val="bg-BG" w:eastAsia="bg-BG"/>
        </w:rPr>
        <w:t>интубация</w:t>
      </w:r>
      <w:proofErr w:type="spellEnd"/>
      <w:r w:rsidRPr="006F0EAE">
        <w:rPr>
          <w:lang w:val="bg-BG" w:eastAsia="bg-BG"/>
        </w:rPr>
        <w:t xml:space="preserve"> за 60 секунди при почти всички пациенти. Ако доза от 0,6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е използвана за бързо въвеждане в анестезия е препоръчително пациента да се </w:t>
      </w:r>
      <w:proofErr w:type="spellStart"/>
      <w:r w:rsidRPr="006F0EAE">
        <w:rPr>
          <w:lang w:val="bg-BG" w:eastAsia="bg-BG"/>
        </w:rPr>
        <w:t>интубира</w:t>
      </w:r>
      <w:proofErr w:type="spellEnd"/>
      <w:r w:rsidRPr="006F0EAE">
        <w:rPr>
          <w:lang w:val="bg-BG" w:eastAsia="bg-BG"/>
        </w:rPr>
        <w:t xml:space="preserve"> 90 секунди след приложението на </w:t>
      </w:r>
      <w:proofErr w:type="spellStart"/>
      <w:r w:rsidRPr="006F0EAE">
        <w:rPr>
          <w:lang w:val="bg-BG" w:eastAsia="bg-BG"/>
        </w:rPr>
        <w:t>рокурониев</w:t>
      </w:r>
      <w:proofErr w:type="spellEnd"/>
      <w:r w:rsidRPr="006F0EAE">
        <w:rPr>
          <w:lang w:val="bg-BG" w:eastAsia="bg-BG"/>
        </w:rPr>
        <w:t xml:space="preserve"> бромид.</w:t>
      </w:r>
    </w:p>
    <w:p w14:paraId="3F94DBF8" w14:textId="77777777" w:rsidR="006F0EAE" w:rsidRPr="006F0EAE" w:rsidRDefault="006F0EAE" w:rsidP="006F0EAE">
      <w:pPr>
        <w:rPr>
          <w:sz w:val="24"/>
          <w:szCs w:val="24"/>
          <w:lang w:val="bg-BG"/>
        </w:rPr>
      </w:pPr>
      <w:r w:rsidRPr="006F0EAE">
        <w:rPr>
          <w:lang w:val="bg-BG" w:eastAsia="bg-BG"/>
        </w:rPr>
        <w:t xml:space="preserve">За употреба на </w:t>
      </w:r>
      <w:proofErr w:type="spellStart"/>
      <w:r w:rsidRPr="006F0EAE">
        <w:rPr>
          <w:lang w:val="bg-BG" w:eastAsia="bg-BG"/>
        </w:rPr>
        <w:t>рокурониев</w:t>
      </w:r>
      <w:proofErr w:type="spellEnd"/>
      <w:r w:rsidRPr="006F0EAE">
        <w:rPr>
          <w:lang w:val="bg-BG" w:eastAsia="bg-BG"/>
        </w:rPr>
        <w:t xml:space="preserve"> бромид по време на бърз увод в анестезия при пациенти с Цезарово сечение е споменато в точка 4.6.</w:t>
      </w:r>
    </w:p>
    <w:p w14:paraId="63A300FA" w14:textId="77777777" w:rsidR="006F0EAE" w:rsidRDefault="006F0EAE" w:rsidP="006F0EAE">
      <w:pPr>
        <w:rPr>
          <w:lang w:val="bg-BG" w:eastAsia="bg-BG"/>
        </w:rPr>
      </w:pPr>
    </w:p>
    <w:p w14:paraId="4CC796D4" w14:textId="575499F4" w:rsidR="006F0EAE" w:rsidRPr="006F0EAE" w:rsidRDefault="006F0EAE" w:rsidP="006F0EAE">
      <w:pPr>
        <w:rPr>
          <w:sz w:val="24"/>
          <w:szCs w:val="24"/>
          <w:u w:val="single"/>
          <w:lang w:val="bg-BG"/>
        </w:rPr>
      </w:pPr>
      <w:r w:rsidRPr="006F0EAE">
        <w:rPr>
          <w:u w:val="single"/>
          <w:lang w:val="bg-BG" w:eastAsia="bg-BG"/>
        </w:rPr>
        <w:t>По-високи дози</w:t>
      </w:r>
    </w:p>
    <w:p w14:paraId="1FF225C6" w14:textId="77777777" w:rsidR="006F0EAE" w:rsidRPr="006F0EAE" w:rsidRDefault="006F0EAE" w:rsidP="006F0EAE">
      <w:pPr>
        <w:rPr>
          <w:sz w:val="24"/>
          <w:szCs w:val="24"/>
          <w:lang w:val="bg-BG"/>
        </w:rPr>
      </w:pPr>
      <w:r w:rsidRPr="006F0EAE">
        <w:rPr>
          <w:lang w:val="bg-BG" w:eastAsia="bg-BG"/>
        </w:rPr>
        <w:t xml:space="preserve">Когато има причина за избор на по-големи дози при </w:t>
      </w:r>
      <w:proofErr w:type="spellStart"/>
      <w:r w:rsidRPr="006F0EAE">
        <w:rPr>
          <w:lang w:val="bg-BG" w:eastAsia="bg-BG"/>
        </w:rPr>
        <w:t>идивидуални</w:t>
      </w:r>
      <w:proofErr w:type="spellEnd"/>
      <w:r w:rsidRPr="006F0EAE">
        <w:rPr>
          <w:lang w:val="bg-BG" w:eastAsia="bg-BG"/>
        </w:rPr>
        <w:t xml:space="preserve"> пациенти, начални дози до 2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са били прилагани по време на хирургия, без да са регистрирани нежелани сърдечно-съдови реакции. Употребата на тези високи дози на </w:t>
      </w:r>
      <w:proofErr w:type="spellStart"/>
      <w:r w:rsidRPr="006F0EAE">
        <w:rPr>
          <w:lang w:val="bg-BG" w:eastAsia="bg-BG"/>
        </w:rPr>
        <w:t>рокурониев</w:t>
      </w:r>
      <w:proofErr w:type="spellEnd"/>
      <w:r w:rsidRPr="006F0EAE">
        <w:rPr>
          <w:lang w:val="bg-BG" w:eastAsia="bg-BG"/>
        </w:rPr>
        <w:t xml:space="preserve"> бромид намалява началното време и увеличава продължителността на действието (вж. точка 5.1).</w:t>
      </w:r>
    </w:p>
    <w:p w14:paraId="46A5125E" w14:textId="77777777" w:rsidR="006F0EAE" w:rsidRDefault="006F0EAE" w:rsidP="006F0EAE">
      <w:pPr>
        <w:rPr>
          <w:lang w:val="bg-BG" w:eastAsia="bg-BG"/>
        </w:rPr>
      </w:pPr>
    </w:p>
    <w:p w14:paraId="279FDFD8" w14:textId="384B9522" w:rsidR="006F0EAE" w:rsidRPr="006F0EAE" w:rsidRDefault="006F0EAE" w:rsidP="006F0EAE">
      <w:pPr>
        <w:rPr>
          <w:sz w:val="24"/>
          <w:szCs w:val="24"/>
          <w:u w:val="single"/>
          <w:lang w:val="bg-BG"/>
        </w:rPr>
      </w:pPr>
      <w:r w:rsidRPr="006F0EAE">
        <w:rPr>
          <w:u w:val="single"/>
          <w:lang w:val="bg-BG" w:eastAsia="bg-BG"/>
        </w:rPr>
        <w:t>Поддържаща доза</w:t>
      </w:r>
    </w:p>
    <w:p w14:paraId="3B5B1CD0" w14:textId="77777777" w:rsidR="006F0EAE" w:rsidRPr="006F0EAE" w:rsidRDefault="006F0EAE" w:rsidP="006F0EAE">
      <w:pPr>
        <w:rPr>
          <w:sz w:val="24"/>
          <w:szCs w:val="24"/>
          <w:lang w:val="bg-BG"/>
        </w:rPr>
      </w:pPr>
      <w:r w:rsidRPr="006F0EAE">
        <w:rPr>
          <w:lang w:val="bg-BG" w:eastAsia="bg-BG"/>
        </w:rPr>
        <w:t xml:space="preserve">Препоръчителната поддържаща доза е 0,15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в случаите на продължителна </w:t>
      </w:r>
      <w:proofErr w:type="spellStart"/>
      <w:r w:rsidRPr="006F0EAE">
        <w:rPr>
          <w:lang w:val="bg-BG" w:eastAsia="bg-BG"/>
        </w:rPr>
        <w:t>инхалационна</w:t>
      </w:r>
      <w:proofErr w:type="spellEnd"/>
      <w:r w:rsidRPr="006F0EAE">
        <w:rPr>
          <w:lang w:val="bg-BG" w:eastAsia="bg-BG"/>
        </w:rPr>
        <w:t xml:space="preserve"> анестезия, тя трябва да се намали до 0,075-0,1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Поддържаща доза се прилага, когато се постигне възстановяване на 25 % от контролната амплитуда на мускулно съкращение или когато присъстват 2 до 3 отговора на четири стимулации.</w:t>
      </w:r>
    </w:p>
    <w:p w14:paraId="36243E8D" w14:textId="77777777" w:rsidR="006F0EAE" w:rsidRDefault="006F0EAE" w:rsidP="006F0EAE">
      <w:pPr>
        <w:rPr>
          <w:lang w:val="bg-BG" w:eastAsia="bg-BG"/>
        </w:rPr>
      </w:pPr>
    </w:p>
    <w:p w14:paraId="316D2C02" w14:textId="45BE71E5" w:rsidR="006F0EAE" w:rsidRPr="006F0EAE" w:rsidRDefault="006F0EAE" w:rsidP="006F0EAE">
      <w:pPr>
        <w:rPr>
          <w:sz w:val="24"/>
          <w:szCs w:val="24"/>
          <w:u w:val="single"/>
          <w:lang w:val="bg-BG"/>
        </w:rPr>
      </w:pPr>
      <w:r w:rsidRPr="006F0EAE">
        <w:rPr>
          <w:u w:val="single"/>
          <w:lang w:val="bg-BG" w:eastAsia="bg-BG"/>
        </w:rPr>
        <w:t>Продължителна инфузия</w:t>
      </w:r>
    </w:p>
    <w:p w14:paraId="443E1767" w14:textId="77777777" w:rsidR="006F0EAE" w:rsidRPr="006F0EAE" w:rsidRDefault="006F0EAE" w:rsidP="006F0EAE">
      <w:pPr>
        <w:rPr>
          <w:sz w:val="24"/>
          <w:szCs w:val="24"/>
          <w:lang w:val="bg-BG"/>
        </w:rPr>
      </w:pPr>
      <w:r w:rsidRPr="006F0EAE">
        <w:rPr>
          <w:lang w:val="bg-BG" w:eastAsia="bg-BG"/>
        </w:rPr>
        <w:t xml:space="preserve">Ако </w:t>
      </w:r>
      <w:proofErr w:type="spellStart"/>
      <w:r w:rsidRPr="006F0EAE">
        <w:rPr>
          <w:lang w:val="bg-BG" w:eastAsia="bg-BG"/>
        </w:rPr>
        <w:t>рокурониев</w:t>
      </w:r>
      <w:proofErr w:type="spellEnd"/>
      <w:r w:rsidRPr="006F0EAE">
        <w:rPr>
          <w:lang w:val="bg-BG" w:eastAsia="bg-BG"/>
        </w:rPr>
        <w:t xml:space="preserve"> бромид се прилага чрез продължителна инфузия, препоръчително е да се приложи начална доза от 0,6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а когато нервно-мускулното блокиране започне да се възстановява, да започне приложението чрез инфузия. </w:t>
      </w:r>
      <w:proofErr w:type="spellStart"/>
      <w:r w:rsidRPr="006F0EAE">
        <w:rPr>
          <w:lang w:val="bg-BG" w:eastAsia="bg-BG"/>
        </w:rPr>
        <w:t>Инфузионната</w:t>
      </w:r>
      <w:proofErr w:type="spellEnd"/>
      <w:r w:rsidRPr="006F0EAE">
        <w:rPr>
          <w:lang w:val="bg-BG" w:eastAsia="bg-BG"/>
        </w:rPr>
        <w:t xml:space="preserve"> скорост трябва да се настрои така, че да </w:t>
      </w:r>
      <w:r w:rsidRPr="006F0EAE">
        <w:rPr>
          <w:i/>
          <w:iCs/>
          <w:lang w:val="bg-BG" w:eastAsia="bg-BG"/>
        </w:rPr>
        <w:t>поддържа</w:t>
      </w:r>
      <w:r w:rsidRPr="006F0EAE">
        <w:rPr>
          <w:lang w:val="bg-BG" w:eastAsia="bg-BG"/>
        </w:rPr>
        <w:t xml:space="preserve"> 10 % от контролната амплитуда на мускулно съкращение или да поддържа 1-2 отговора на четири стимулации. При възрастни пациенти на венозна анестезия, скоростта на инфузията, необходима за поддържане на </w:t>
      </w:r>
      <w:proofErr w:type="spellStart"/>
      <w:r w:rsidRPr="006F0EAE">
        <w:rPr>
          <w:lang w:val="bg-BG" w:eastAsia="bg-BG"/>
        </w:rPr>
        <w:t>невромускулния</w:t>
      </w:r>
      <w:proofErr w:type="spellEnd"/>
      <w:r w:rsidRPr="006F0EAE">
        <w:rPr>
          <w:lang w:val="bg-BG" w:eastAsia="bg-BG"/>
        </w:rPr>
        <w:t xml:space="preserve"> блок на посоченото ниво, варира от 0,3-0,6 </w:t>
      </w:r>
      <w:r w:rsidRPr="006F0EAE">
        <w:t xml:space="preserve">mg/kg/h, </w:t>
      </w:r>
      <w:r w:rsidRPr="006F0EAE">
        <w:rPr>
          <w:lang w:val="bg-BG" w:eastAsia="bg-BG"/>
        </w:rPr>
        <w:t xml:space="preserve">а при </w:t>
      </w:r>
      <w:proofErr w:type="spellStart"/>
      <w:r w:rsidRPr="006F0EAE">
        <w:rPr>
          <w:lang w:val="bg-BG" w:eastAsia="bg-BG"/>
        </w:rPr>
        <w:t>инхлационна</w:t>
      </w:r>
      <w:proofErr w:type="spellEnd"/>
      <w:r w:rsidRPr="006F0EAE">
        <w:rPr>
          <w:lang w:val="bg-BG" w:eastAsia="bg-BG"/>
        </w:rPr>
        <w:t xml:space="preserve"> анестезия границите са 0,3-0,4 </w:t>
      </w:r>
      <w:r w:rsidRPr="006F0EAE">
        <w:t xml:space="preserve">mg/kg/h. </w:t>
      </w:r>
      <w:r w:rsidRPr="006F0EAE">
        <w:rPr>
          <w:lang w:val="bg-BG" w:eastAsia="bg-BG"/>
        </w:rPr>
        <w:t xml:space="preserve">Препоръчва се постоянно мониториране на </w:t>
      </w:r>
      <w:proofErr w:type="spellStart"/>
      <w:r w:rsidRPr="006F0EAE">
        <w:rPr>
          <w:lang w:val="bg-BG" w:eastAsia="bg-BG"/>
        </w:rPr>
        <w:t>невромускулния</w:t>
      </w:r>
      <w:proofErr w:type="spellEnd"/>
      <w:r w:rsidRPr="006F0EAE">
        <w:rPr>
          <w:lang w:val="bg-BG" w:eastAsia="bg-BG"/>
        </w:rPr>
        <w:t xml:space="preserve"> блок, тъй като изискванията към скоростта на инфузията варират при различните пациенти и при различните методи на анестезия.</w:t>
      </w:r>
    </w:p>
    <w:p w14:paraId="05886FA6" w14:textId="77777777" w:rsidR="006F0EAE" w:rsidRDefault="006F0EAE" w:rsidP="006F0EAE">
      <w:pPr>
        <w:rPr>
          <w:lang w:val="bg-BG" w:eastAsia="bg-BG"/>
        </w:rPr>
      </w:pPr>
    </w:p>
    <w:p w14:paraId="1D14999F" w14:textId="27807154" w:rsidR="006F0EAE" w:rsidRPr="006F0EAE" w:rsidRDefault="006F0EAE" w:rsidP="006F0EAE">
      <w:pPr>
        <w:rPr>
          <w:sz w:val="24"/>
          <w:szCs w:val="24"/>
          <w:u w:val="single"/>
          <w:lang w:val="bg-BG"/>
        </w:rPr>
      </w:pPr>
      <w:r w:rsidRPr="006F0EAE">
        <w:rPr>
          <w:u w:val="single"/>
          <w:lang w:val="bg-BG" w:eastAsia="bg-BG"/>
        </w:rPr>
        <w:lastRenderedPageBreak/>
        <w:t xml:space="preserve">Педиатрична </w:t>
      </w:r>
      <w:proofErr w:type="spellStart"/>
      <w:r w:rsidRPr="006F0EAE">
        <w:rPr>
          <w:u w:val="single"/>
          <w:lang w:val="bg-BG" w:eastAsia="bg-BG"/>
        </w:rPr>
        <w:t>популапия</w:t>
      </w:r>
      <w:proofErr w:type="spellEnd"/>
    </w:p>
    <w:p w14:paraId="3A561C03" w14:textId="77777777" w:rsidR="006F0EAE" w:rsidRPr="006F0EAE" w:rsidRDefault="006F0EAE" w:rsidP="006F0EAE">
      <w:pPr>
        <w:rPr>
          <w:sz w:val="24"/>
          <w:szCs w:val="24"/>
          <w:lang w:val="bg-BG"/>
        </w:rPr>
      </w:pPr>
      <w:r w:rsidRPr="006F0EAE">
        <w:rPr>
          <w:lang w:val="bg-BG" w:eastAsia="bg-BG"/>
        </w:rPr>
        <w:t xml:space="preserve">За новородени (0-27 дни), бебета (28 дни-2 месеца), малки деца (3-23 месеца), деца (2-11 години) и юноши (12-17 години) препоръчителната </w:t>
      </w:r>
      <w:proofErr w:type="spellStart"/>
      <w:r w:rsidRPr="006F0EAE">
        <w:rPr>
          <w:lang w:val="bg-BG" w:eastAsia="bg-BG"/>
        </w:rPr>
        <w:t>интубационна</w:t>
      </w:r>
      <w:proofErr w:type="spellEnd"/>
      <w:r w:rsidRPr="006F0EAE">
        <w:rPr>
          <w:lang w:val="bg-BG" w:eastAsia="bg-BG"/>
        </w:rPr>
        <w:t xml:space="preserve"> доза по време на рутинна анестезия и поддържаща доза са подобни на тези при възрастни.</w:t>
      </w:r>
    </w:p>
    <w:p w14:paraId="147D8239" w14:textId="77777777" w:rsidR="006F0EAE" w:rsidRPr="006F0EAE" w:rsidRDefault="006F0EAE" w:rsidP="006F0EAE">
      <w:pPr>
        <w:rPr>
          <w:sz w:val="24"/>
          <w:szCs w:val="24"/>
          <w:lang w:val="bg-BG"/>
        </w:rPr>
      </w:pPr>
      <w:r w:rsidRPr="006F0EAE">
        <w:rPr>
          <w:lang w:val="bg-BG" w:eastAsia="bg-BG"/>
        </w:rPr>
        <w:t xml:space="preserve">Въпреки това продължителността на действие на единична </w:t>
      </w:r>
      <w:proofErr w:type="spellStart"/>
      <w:r w:rsidRPr="006F0EAE">
        <w:rPr>
          <w:lang w:val="bg-BG" w:eastAsia="bg-BG"/>
        </w:rPr>
        <w:t>интубационна</w:t>
      </w:r>
      <w:proofErr w:type="spellEnd"/>
      <w:r w:rsidRPr="006F0EAE">
        <w:rPr>
          <w:lang w:val="bg-BG" w:eastAsia="bg-BG"/>
        </w:rPr>
        <w:t xml:space="preserve"> доза ще бъде по-голяма при новородени и бебета, отколкото при деца (</w:t>
      </w:r>
      <w:proofErr w:type="spellStart"/>
      <w:r w:rsidRPr="006F0EAE">
        <w:rPr>
          <w:lang w:val="bg-BG" w:eastAsia="bg-BG"/>
        </w:rPr>
        <w:t>вжлочка</w:t>
      </w:r>
      <w:proofErr w:type="spellEnd"/>
      <w:r w:rsidRPr="006F0EAE">
        <w:rPr>
          <w:lang w:val="bg-BG" w:eastAsia="bg-BG"/>
        </w:rPr>
        <w:t xml:space="preserve"> 5.1).</w:t>
      </w:r>
    </w:p>
    <w:p w14:paraId="6C1A7654" w14:textId="77777777" w:rsidR="006F0EAE" w:rsidRDefault="006F0EAE" w:rsidP="006F0EAE">
      <w:pPr>
        <w:rPr>
          <w:lang w:val="bg-BG" w:eastAsia="bg-BG"/>
        </w:rPr>
      </w:pPr>
    </w:p>
    <w:p w14:paraId="3C020A49" w14:textId="77777777" w:rsidR="006F0EAE" w:rsidRPr="006F0EAE" w:rsidRDefault="006F0EAE" w:rsidP="006F0EAE">
      <w:pPr>
        <w:rPr>
          <w:sz w:val="24"/>
          <w:szCs w:val="24"/>
          <w:lang w:val="bg-BG"/>
        </w:rPr>
      </w:pPr>
      <w:r w:rsidRPr="006F0EAE">
        <w:rPr>
          <w:lang w:val="bg-BG" w:eastAsia="bg-BG"/>
        </w:rPr>
        <w:t xml:space="preserve">За продължителна инфузия в педиатрията, </w:t>
      </w:r>
      <w:proofErr w:type="spellStart"/>
      <w:r w:rsidRPr="006F0EAE">
        <w:rPr>
          <w:lang w:val="bg-BG" w:eastAsia="bg-BG"/>
        </w:rPr>
        <w:t>инфузионните</w:t>
      </w:r>
      <w:proofErr w:type="spellEnd"/>
      <w:r w:rsidRPr="006F0EAE">
        <w:rPr>
          <w:lang w:val="bg-BG" w:eastAsia="bg-BG"/>
        </w:rPr>
        <w:t xml:space="preserve"> скорости, с изключение на децата (2-11 години), са същите както за възрастни. За деца на възраст 2-11 години може да са необходими по-високи </w:t>
      </w:r>
      <w:proofErr w:type="spellStart"/>
      <w:r w:rsidRPr="006F0EAE">
        <w:rPr>
          <w:lang w:val="bg-BG" w:eastAsia="bg-BG"/>
        </w:rPr>
        <w:t>инфузионни</w:t>
      </w:r>
      <w:proofErr w:type="spellEnd"/>
      <w:r w:rsidRPr="006F0EAE">
        <w:rPr>
          <w:lang w:val="bg-BG" w:eastAsia="bg-BG"/>
        </w:rPr>
        <w:t xml:space="preserve"> скорости. Така че за деца (2-11 години) са препоръчителни</w:t>
      </w:r>
      <w:r>
        <w:rPr>
          <w:lang w:eastAsia="bg-BG"/>
        </w:rPr>
        <w:t xml:space="preserve"> </w:t>
      </w:r>
      <w:r w:rsidRPr="006F0EAE">
        <w:rPr>
          <w:lang w:val="bg-BG" w:eastAsia="bg-BG"/>
        </w:rPr>
        <w:t xml:space="preserve">същите начални </w:t>
      </w:r>
      <w:proofErr w:type="spellStart"/>
      <w:r w:rsidRPr="006F0EAE">
        <w:rPr>
          <w:lang w:val="bg-BG" w:eastAsia="bg-BG"/>
        </w:rPr>
        <w:t>инфузионни</w:t>
      </w:r>
      <w:proofErr w:type="spellEnd"/>
      <w:r w:rsidRPr="006F0EAE">
        <w:rPr>
          <w:lang w:val="bg-BG" w:eastAsia="bg-BG"/>
        </w:rPr>
        <w:t xml:space="preserve"> скорости както за възрастни, но след това трябва да се настрои така, че да поддържа 10 % контролната амплитуда на мускулно съкращение или да поддържа 1-2 отговора на четири стимулации по време на процедурата.</w:t>
      </w:r>
    </w:p>
    <w:p w14:paraId="355179B2" w14:textId="77777777" w:rsidR="006F0EAE" w:rsidRPr="006F0EAE" w:rsidRDefault="006F0EAE" w:rsidP="006F0EAE">
      <w:pPr>
        <w:rPr>
          <w:sz w:val="24"/>
          <w:szCs w:val="24"/>
          <w:lang w:val="bg-BG"/>
        </w:rPr>
      </w:pPr>
      <w:r w:rsidRPr="006F0EAE">
        <w:rPr>
          <w:lang w:val="bg-BG" w:eastAsia="bg-BG"/>
        </w:rPr>
        <w:t xml:space="preserve">Опитът с </w:t>
      </w:r>
      <w:proofErr w:type="spellStart"/>
      <w:r w:rsidRPr="006F0EAE">
        <w:rPr>
          <w:lang w:val="bg-BG" w:eastAsia="bg-BG"/>
        </w:rPr>
        <w:t>рокурониев</w:t>
      </w:r>
      <w:proofErr w:type="spellEnd"/>
      <w:r w:rsidRPr="006F0EAE">
        <w:rPr>
          <w:lang w:val="bg-BG" w:eastAsia="bg-BG"/>
        </w:rPr>
        <w:t xml:space="preserve"> бромид при бърз увод в анестезия при деца е ограничен. Следователно </w:t>
      </w:r>
      <w:proofErr w:type="spellStart"/>
      <w:r w:rsidRPr="006F0EAE">
        <w:rPr>
          <w:lang w:val="bg-BG" w:eastAsia="bg-BG"/>
        </w:rPr>
        <w:t>рокурониев</w:t>
      </w:r>
      <w:proofErr w:type="spellEnd"/>
      <w:r w:rsidRPr="006F0EAE">
        <w:rPr>
          <w:lang w:val="bg-BG" w:eastAsia="bg-BG"/>
        </w:rPr>
        <w:t xml:space="preserve"> бромид не се препоръчва за улесняване условията на </w:t>
      </w:r>
      <w:proofErr w:type="spellStart"/>
      <w:r w:rsidRPr="006F0EAE">
        <w:rPr>
          <w:lang w:val="bg-BG" w:eastAsia="bg-BG"/>
        </w:rPr>
        <w:t>трахеална</w:t>
      </w:r>
      <w:proofErr w:type="spellEnd"/>
      <w:r w:rsidRPr="006F0EAE">
        <w:rPr>
          <w:lang w:val="bg-BG" w:eastAsia="bg-BG"/>
        </w:rPr>
        <w:t xml:space="preserve"> </w:t>
      </w:r>
      <w:proofErr w:type="spellStart"/>
      <w:r w:rsidRPr="006F0EAE">
        <w:rPr>
          <w:lang w:val="bg-BG" w:eastAsia="bg-BG"/>
        </w:rPr>
        <w:t>интубация</w:t>
      </w:r>
      <w:proofErr w:type="spellEnd"/>
      <w:r w:rsidRPr="006F0EAE">
        <w:rPr>
          <w:lang w:val="bg-BG" w:eastAsia="bg-BG"/>
        </w:rPr>
        <w:t xml:space="preserve"> по време на бърз увод в анестезия при педиатрични пациенти.</w:t>
      </w:r>
    </w:p>
    <w:p w14:paraId="32D67CCF" w14:textId="77777777" w:rsidR="006F0EAE" w:rsidRDefault="006F0EAE" w:rsidP="006F0EAE">
      <w:pPr>
        <w:rPr>
          <w:u w:val="single"/>
          <w:lang w:val="bg-BG" w:eastAsia="bg-BG"/>
        </w:rPr>
      </w:pPr>
    </w:p>
    <w:p w14:paraId="11B68014" w14:textId="1CCB0048" w:rsidR="006F0EAE" w:rsidRPr="006F0EAE" w:rsidRDefault="006F0EAE" w:rsidP="006F0EAE">
      <w:pPr>
        <w:rPr>
          <w:sz w:val="24"/>
          <w:szCs w:val="24"/>
          <w:lang w:val="bg-BG"/>
        </w:rPr>
      </w:pPr>
      <w:r w:rsidRPr="006F0EAE">
        <w:rPr>
          <w:u w:val="single"/>
          <w:lang w:val="bg-BG" w:eastAsia="bg-BG"/>
        </w:rPr>
        <w:t>Пациенти в старческа възраст и пациенти със заболявания на черния дроб и/или жлъчните пътища и/или бъбречна недостатъчност</w:t>
      </w:r>
    </w:p>
    <w:p w14:paraId="215C2DA6" w14:textId="77777777" w:rsidR="006F0EAE" w:rsidRPr="006F0EAE" w:rsidRDefault="006F0EAE" w:rsidP="006F0EAE">
      <w:pPr>
        <w:rPr>
          <w:sz w:val="24"/>
          <w:szCs w:val="24"/>
          <w:lang w:val="bg-BG"/>
        </w:rPr>
      </w:pPr>
      <w:r w:rsidRPr="006F0EAE">
        <w:rPr>
          <w:lang w:val="bg-BG" w:eastAsia="bg-BG"/>
        </w:rPr>
        <w:t xml:space="preserve">Стандартната доза за </w:t>
      </w:r>
      <w:proofErr w:type="spellStart"/>
      <w:r w:rsidRPr="006F0EAE">
        <w:rPr>
          <w:lang w:val="bg-BG" w:eastAsia="bg-BG"/>
        </w:rPr>
        <w:t>интубиране</w:t>
      </w:r>
      <w:proofErr w:type="spellEnd"/>
      <w:r w:rsidRPr="006F0EAE">
        <w:rPr>
          <w:lang w:val="bg-BG" w:eastAsia="bg-BG"/>
        </w:rPr>
        <w:t xml:space="preserve"> на гореописаните пациенти при рутинна анестезия е 0,6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Същата доза от 0,6 </w:t>
      </w:r>
      <w:r w:rsidRPr="006F0EAE">
        <w:t xml:space="preserve">mg/kg </w:t>
      </w:r>
      <w:r w:rsidRPr="006F0EAE">
        <w:rPr>
          <w:lang w:val="bg-BG" w:eastAsia="bg-BG"/>
        </w:rPr>
        <w:t xml:space="preserve">да се има предвид при бързо въвеждане в анестезия при пациенти, при които се очаква продължителността на действието да е удължена. Независимо от техниката на анестезия, препоръчителната </w:t>
      </w:r>
      <w:proofErr w:type="spellStart"/>
      <w:r w:rsidRPr="006F0EAE">
        <w:rPr>
          <w:lang w:val="bg-BG" w:eastAsia="bg-BG"/>
        </w:rPr>
        <w:t>подържаща</w:t>
      </w:r>
      <w:proofErr w:type="spellEnd"/>
      <w:r w:rsidRPr="006F0EAE">
        <w:rPr>
          <w:lang w:val="bg-BG" w:eastAsia="bg-BG"/>
        </w:rPr>
        <w:t xml:space="preserve"> доза за тези пациенти е 0,075-0,1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а препоръчителната скорост на инфузия е 0,3-0,4 </w:t>
      </w:r>
      <w:r w:rsidRPr="006F0EAE">
        <w:t xml:space="preserve">mg/kg/h </w:t>
      </w:r>
      <w:r w:rsidRPr="006F0EAE">
        <w:rPr>
          <w:lang w:val="bg-BG" w:eastAsia="bg-BG"/>
        </w:rPr>
        <w:t>(вж.</w:t>
      </w:r>
    </w:p>
    <w:p w14:paraId="684FFD7D" w14:textId="77777777" w:rsidR="006F0EAE" w:rsidRPr="006F0EAE" w:rsidRDefault="006F0EAE" w:rsidP="006F0EAE">
      <w:pPr>
        <w:rPr>
          <w:sz w:val="24"/>
          <w:szCs w:val="24"/>
          <w:lang w:val="bg-BG"/>
        </w:rPr>
      </w:pPr>
      <w:r w:rsidRPr="006F0EAE">
        <w:rPr>
          <w:lang w:val="bg-BG" w:eastAsia="bg-BG"/>
        </w:rPr>
        <w:t>Продължителна инфузия). (Вижте също и точка 4.4)</w:t>
      </w:r>
    </w:p>
    <w:p w14:paraId="60A7B4AB" w14:textId="77777777" w:rsidR="006F0EAE" w:rsidRDefault="006F0EAE" w:rsidP="006F0EAE">
      <w:pPr>
        <w:rPr>
          <w:u w:val="single"/>
          <w:lang w:val="bg-BG" w:eastAsia="bg-BG"/>
        </w:rPr>
      </w:pPr>
    </w:p>
    <w:p w14:paraId="5FBC897D" w14:textId="3E551231" w:rsidR="006F0EAE" w:rsidRPr="006F0EAE" w:rsidRDefault="006F0EAE" w:rsidP="006F0EAE">
      <w:pPr>
        <w:rPr>
          <w:sz w:val="24"/>
          <w:szCs w:val="24"/>
          <w:lang w:val="bg-BG"/>
        </w:rPr>
      </w:pPr>
      <w:r w:rsidRPr="006F0EAE">
        <w:rPr>
          <w:u w:val="single"/>
          <w:lang w:val="bg-BG" w:eastAsia="bg-BG"/>
        </w:rPr>
        <w:t>Пациенти с наднормено тегло и затлъстяване</w:t>
      </w:r>
    </w:p>
    <w:p w14:paraId="5EF35B85" w14:textId="77777777" w:rsidR="006F0EAE" w:rsidRPr="006F0EAE" w:rsidRDefault="006F0EAE" w:rsidP="006F0EAE">
      <w:pPr>
        <w:rPr>
          <w:sz w:val="24"/>
          <w:szCs w:val="24"/>
          <w:lang w:val="bg-BG"/>
        </w:rPr>
      </w:pPr>
      <w:r w:rsidRPr="006F0EAE">
        <w:rPr>
          <w:lang w:val="bg-BG" w:eastAsia="bg-BG"/>
        </w:rPr>
        <w:t>При пациенти с наднормено тегло или пациенти със затлъстяване (определени като такива, когато теглото надвишава с 30 % идеалното), дозите трябва да бъдат понижени, като се има предвид идеалното тегло.</w:t>
      </w:r>
    </w:p>
    <w:p w14:paraId="047CAF13" w14:textId="77777777" w:rsidR="006F0EAE" w:rsidRDefault="006F0EAE" w:rsidP="006F0EAE">
      <w:pPr>
        <w:rPr>
          <w:b/>
          <w:bCs/>
          <w:lang w:val="bg-BG" w:eastAsia="bg-BG"/>
        </w:rPr>
      </w:pPr>
    </w:p>
    <w:p w14:paraId="390AF8B9" w14:textId="48FBF1EB" w:rsidR="006F0EAE" w:rsidRPr="006F0EAE" w:rsidRDefault="006F0EAE" w:rsidP="006F0EAE">
      <w:pPr>
        <w:rPr>
          <w:sz w:val="24"/>
          <w:szCs w:val="24"/>
          <w:lang w:val="bg-BG"/>
        </w:rPr>
      </w:pPr>
      <w:r w:rsidRPr="006F0EAE">
        <w:rPr>
          <w:b/>
          <w:bCs/>
          <w:lang w:val="bg-BG" w:eastAsia="bg-BG"/>
        </w:rPr>
        <w:t>Процедури в интензивното отделение</w:t>
      </w:r>
    </w:p>
    <w:p w14:paraId="43D53E46" w14:textId="77777777" w:rsidR="006F0EAE" w:rsidRDefault="006F0EAE" w:rsidP="006F0EAE">
      <w:pPr>
        <w:rPr>
          <w:u w:val="single"/>
          <w:lang w:val="bg-BG" w:eastAsia="bg-BG"/>
        </w:rPr>
      </w:pPr>
    </w:p>
    <w:p w14:paraId="74F4B143" w14:textId="697EE2F2" w:rsidR="006F0EAE" w:rsidRPr="006F0EAE" w:rsidRDefault="006F0EAE" w:rsidP="006F0EAE">
      <w:pPr>
        <w:rPr>
          <w:sz w:val="24"/>
          <w:szCs w:val="24"/>
          <w:lang w:val="bg-BG"/>
        </w:rPr>
      </w:pPr>
      <w:proofErr w:type="spellStart"/>
      <w:r w:rsidRPr="006F0EAE">
        <w:rPr>
          <w:u w:val="single"/>
          <w:lang w:val="bg-BG" w:eastAsia="bg-BG"/>
        </w:rPr>
        <w:t>Трахеална</w:t>
      </w:r>
      <w:proofErr w:type="spellEnd"/>
      <w:r w:rsidRPr="006F0EAE">
        <w:rPr>
          <w:u w:val="single"/>
          <w:lang w:val="bg-BG" w:eastAsia="bg-BG"/>
        </w:rPr>
        <w:t xml:space="preserve"> </w:t>
      </w:r>
      <w:proofErr w:type="spellStart"/>
      <w:r w:rsidRPr="006F0EAE">
        <w:rPr>
          <w:u w:val="single"/>
          <w:lang w:val="bg-BG" w:eastAsia="bg-BG"/>
        </w:rPr>
        <w:t>интубация</w:t>
      </w:r>
      <w:proofErr w:type="spellEnd"/>
    </w:p>
    <w:p w14:paraId="6A41524B" w14:textId="77777777" w:rsidR="006F0EAE" w:rsidRPr="006F0EAE" w:rsidRDefault="006F0EAE" w:rsidP="006F0EAE">
      <w:pPr>
        <w:rPr>
          <w:sz w:val="24"/>
          <w:szCs w:val="24"/>
          <w:lang w:val="bg-BG"/>
        </w:rPr>
      </w:pPr>
      <w:r w:rsidRPr="006F0EAE">
        <w:rPr>
          <w:lang w:val="bg-BG" w:eastAsia="bg-BG"/>
        </w:rPr>
        <w:t xml:space="preserve">За </w:t>
      </w:r>
      <w:proofErr w:type="spellStart"/>
      <w:r w:rsidRPr="006F0EAE">
        <w:rPr>
          <w:lang w:val="bg-BG" w:eastAsia="bg-BG"/>
        </w:rPr>
        <w:t>трахеалната</w:t>
      </w:r>
      <w:proofErr w:type="spellEnd"/>
      <w:r w:rsidRPr="006F0EAE">
        <w:rPr>
          <w:lang w:val="bg-BG" w:eastAsia="bg-BG"/>
        </w:rPr>
        <w:t xml:space="preserve"> </w:t>
      </w:r>
      <w:proofErr w:type="spellStart"/>
      <w:r w:rsidRPr="006F0EAE">
        <w:rPr>
          <w:lang w:val="bg-BG" w:eastAsia="bg-BG"/>
        </w:rPr>
        <w:t>интубация</w:t>
      </w:r>
      <w:proofErr w:type="spellEnd"/>
      <w:r w:rsidRPr="006F0EAE">
        <w:rPr>
          <w:lang w:val="bg-BG" w:eastAsia="bg-BG"/>
        </w:rPr>
        <w:t xml:space="preserve"> трябва да се употребяват същите дози както са описани по-горе за хирургическите процедури.</w:t>
      </w:r>
    </w:p>
    <w:p w14:paraId="5A53CCE5" w14:textId="77777777" w:rsidR="006F0EAE" w:rsidRDefault="006F0EAE" w:rsidP="006F0EAE">
      <w:pPr>
        <w:rPr>
          <w:u w:val="single"/>
          <w:lang w:val="bg-BG" w:eastAsia="bg-BG"/>
        </w:rPr>
      </w:pPr>
    </w:p>
    <w:p w14:paraId="66FF0A4B" w14:textId="66C2CD88" w:rsidR="006F0EAE" w:rsidRPr="006F0EAE" w:rsidRDefault="006F0EAE" w:rsidP="006F0EAE">
      <w:pPr>
        <w:rPr>
          <w:sz w:val="24"/>
          <w:szCs w:val="24"/>
          <w:lang w:val="bg-BG"/>
        </w:rPr>
      </w:pPr>
      <w:r w:rsidRPr="006F0EAE">
        <w:rPr>
          <w:u w:val="single"/>
          <w:lang w:val="bg-BG" w:eastAsia="bg-BG"/>
        </w:rPr>
        <w:t>Поддържащо дозиране</w:t>
      </w:r>
    </w:p>
    <w:p w14:paraId="613AD388" w14:textId="77777777" w:rsidR="006F0EAE" w:rsidRPr="006F0EAE" w:rsidRDefault="006F0EAE" w:rsidP="006F0EAE">
      <w:pPr>
        <w:rPr>
          <w:sz w:val="24"/>
          <w:szCs w:val="24"/>
          <w:lang w:val="bg-BG"/>
        </w:rPr>
      </w:pPr>
      <w:r w:rsidRPr="006F0EAE">
        <w:rPr>
          <w:lang w:val="bg-BG" w:eastAsia="bg-BG"/>
        </w:rPr>
        <w:t xml:space="preserve">Употребата на начална натоварваща доза от 0,6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 е препоръчителна, последвана от продължителна инфузия, докато амплитудата на съкращение се възстанови до 10 % или до повторно появяване на 1 до 2 потрепвалия на четири стимулации. Дозата винаги трябва да се </w:t>
      </w:r>
      <w:proofErr w:type="spellStart"/>
      <w:r w:rsidRPr="006F0EAE">
        <w:rPr>
          <w:lang w:val="bg-BG" w:eastAsia="bg-BG"/>
        </w:rPr>
        <w:t>титрира</w:t>
      </w:r>
      <w:proofErr w:type="spellEnd"/>
      <w:r w:rsidRPr="006F0EAE">
        <w:rPr>
          <w:lang w:val="bg-BG" w:eastAsia="bg-BG"/>
        </w:rPr>
        <w:t xml:space="preserve"> до получаване на ефект при всеки отделен пациент. Препоръчителното начално ниво на инфузия за поддържането на </w:t>
      </w:r>
      <w:proofErr w:type="spellStart"/>
      <w:r w:rsidRPr="006F0EAE">
        <w:rPr>
          <w:lang w:val="bg-BG" w:eastAsia="bg-BG"/>
        </w:rPr>
        <w:t>невромускулен</w:t>
      </w:r>
      <w:proofErr w:type="spellEnd"/>
      <w:r w:rsidRPr="006F0EAE">
        <w:rPr>
          <w:lang w:val="bg-BG" w:eastAsia="bg-BG"/>
        </w:rPr>
        <w:t xml:space="preserve"> блок от 80-90 % (1 до 2 потрепвалия на четири стимулации) при възрастни пациенти е 0,3-0,6 </w:t>
      </w:r>
      <w:r w:rsidRPr="006F0EAE">
        <w:t xml:space="preserve">mg/kg/h </w:t>
      </w:r>
      <w:r w:rsidRPr="006F0EAE">
        <w:rPr>
          <w:lang w:val="bg-BG" w:eastAsia="bg-BG"/>
        </w:rPr>
        <w:t xml:space="preserve">по време на първия час от прилагането, което трябва да се </w:t>
      </w:r>
      <w:r w:rsidRPr="006F0EAE">
        <w:rPr>
          <w:lang w:val="bg-BG" w:eastAsia="bg-BG"/>
        </w:rPr>
        <w:lastRenderedPageBreak/>
        <w:t>намали през следващите 6-12 часа в зависимост от индивидуалния отговор. След това изискванията за индивидуалната доза остават относително константни.</w:t>
      </w:r>
    </w:p>
    <w:p w14:paraId="7C1EAB5D" w14:textId="77777777" w:rsidR="006F0EAE" w:rsidRDefault="006F0EAE" w:rsidP="006F0EAE">
      <w:pPr>
        <w:rPr>
          <w:lang w:val="bg-BG" w:eastAsia="bg-BG"/>
        </w:rPr>
      </w:pPr>
    </w:p>
    <w:p w14:paraId="28D20504" w14:textId="5BE85C02" w:rsidR="006F0EAE" w:rsidRPr="006F0EAE" w:rsidRDefault="006F0EAE" w:rsidP="006F0EAE">
      <w:pPr>
        <w:rPr>
          <w:sz w:val="24"/>
          <w:szCs w:val="24"/>
          <w:lang w:val="bg-BG"/>
        </w:rPr>
      </w:pPr>
      <w:r w:rsidRPr="006F0EAE">
        <w:rPr>
          <w:lang w:val="bg-BG" w:eastAsia="bg-BG"/>
        </w:rPr>
        <w:t xml:space="preserve">Голяма разлика между отделните пациенти в часовите нива на инфузия е забелязана в контролираните клинични изследвания, със средно ниво на инфузия на час, вариращо от 0,2-0,5 </w:t>
      </w:r>
      <w:r w:rsidRPr="006F0EAE">
        <w:t xml:space="preserve">mg/kg/h </w:t>
      </w:r>
      <w:r w:rsidRPr="006F0EAE">
        <w:rPr>
          <w:lang w:val="bg-BG" w:eastAsia="bg-BG"/>
        </w:rPr>
        <w:t>в зависимост от характера и напредналостта на органната недостатъчност, съпътстващата употреба на медикаменти и индивидуалните характеристики на пациента. За осигуряване на оптимален индивидуален контрол върху пациента е силно препоръчително мониторирането на нервно-мускулното предаване. Прилагането до 7 дни е проучвано.</w:t>
      </w:r>
    </w:p>
    <w:p w14:paraId="2044979C" w14:textId="77777777" w:rsidR="006F0EAE" w:rsidRDefault="006F0EAE" w:rsidP="006F0EAE">
      <w:pPr>
        <w:rPr>
          <w:u w:val="single"/>
          <w:lang w:val="bg-BG" w:eastAsia="bg-BG"/>
        </w:rPr>
      </w:pPr>
    </w:p>
    <w:p w14:paraId="1C17208E" w14:textId="3FA10B8B" w:rsidR="006F0EAE" w:rsidRPr="006F0EAE" w:rsidRDefault="006F0EAE" w:rsidP="006F0EAE">
      <w:pPr>
        <w:rPr>
          <w:sz w:val="24"/>
          <w:szCs w:val="24"/>
          <w:lang w:val="bg-BG"/>
        </w:rPr>
      </w:pPr>
      <w:r w:rsidRPr="006F0EAE">
        <w:rPr>
          <w:u w:val="single"/>
          <w:lang w:val="bg-BG" w:eastAsia="bg-BG"/>
        </w:rPr>
        <w:t>Специални популации</w:t>
      </w:r>
    </w:p>
    <w:p w14:paraId="3E48A09B" w14:textId="77777777" w:rsidR="006F0EAE" w:rsidRPr="006F0EAE" w:rsidRDefault="006F0EAE" w:rsidP="006F0EAE">
      <w:pPr>
        <w:rPr>
          <w:sz w:val="24"/>
          <w:szCs w:val="24"/>
          <w:lang w:val="bg-BG"/>
        </w:rPr>
      </w:pPr>
      <w:proofErr w:type="spellStart"/>
      <w:r w:rsidRPr="006F0EAE">
        <w:rPr>
          <w:lang w:val="bg-BG" w:eastAsia="bg-BG"/>
        </w:rPr>
        <w:t>Есмерон</w:t>
      </w:r>
      <w:proofErr w:type="spellEnd"/>
      <w:r w:rsidRPr="006F0EAE">
        <w:rPr>
          <w:lang w:val="bg-BG" w:eastAsia="bg-BG"/>
        </w:rPr>
        <w:t xml:space="preserve"> не се препоръчва за улесняване на механичната вентилация в интензивното отделение при педиатрични пациенти и пациенти в старческа възраст, което се дължи на липсата на данни за безопасност и ефикасност.</w:t>
      </w:r>
    </w:p>
    <w:p w14:paraId="751F2F1A" w14:textId="77777777" w:rsidR="006F0EAE" w:rsidRDefault="006F0EAE" w:rsidP="006F0EAE">
      <w:pPr>
        <w:rPr>
          <w:u w:val="single"/>
          <w:lang w:val="bg-BG" w:eastAsia="bg-BG"/>
        </w:rPr>
      </w:pPr>
    </w:p>
    <w:p w14:paraId="03463CEB" w14:textId="0278F36C" w:rsidR="006F0EAE" w:rsidRPr="006F0EAE" w:rsidRDefault="006F0EAE" w:rsidP="006F0EAE">
      <w:pPr>
        <w:rPr>
          <w:sz w:val="24"/>
          <w:szCs w:val="24"/>
          <w:lang w:val="bg-BG"/>
        </w:rPr>
      </w:pPr>
      <w:r w:rsidRPr="006F0EAE">
        <w:rPr>
          <w:u w:val="single"/>
          <w:lang w:val="bg-BG" w:eastAsia="bg-BG"/>
        </w:rPr>
        <w:t>Начин на приложение</w:t>
      </w:r>
    </w:p>
    <w:p w14:paraId="5FECC790" w14:textId="389BB859" w:rsidR="006F0EAE" w:rsidRPr="006F0EAE" w:rsidRDefault="006F0EAE" w:rsidP="006F0EAE">
      <w:pPr>
        <w:rPr>
          <w:sz w:val="24"/>
          <w:szCs w:val="24"/>
        </w:rPr>
      </w:pPr>
      <w:proofErr w:type="spellStart"/>
      <w:r w:rsidRPr="006F0EAE">
        <w:rPr>
          <w:lang w:val="bg-BG" w:eastAsia="bg-BG"/>
        </w:rPr>
        <w:t>Есмерон</w:t>
      </w:r>
      <w:proofErr w:type="spellEnd"/>
      <w:r w:rsidRPr="006F0EAE">
        <w:rPr>
          <w:lang w:val="bg-BG" w:eastAsia="bg-BG"/>
        </w:rPr>
        <w:t xml:space="preserve"> се прилага венозно като </w:t>
      </w:r>
      <w:proofErr w:type="spellStart"/>
      <w:r w:rsidRPr="006F0EAE">
        <w:rPr>
          <w:lang w:val="bg-BG" w:eastAsia="bg-BG"/>
        </w:rPr>
        <w:t>болус</w:t>
      </w:r>
      <w:proofErr w:type="spellEnd"/>
      <w:r w:rsidRPr="006F0EAE">
        <w:rPr>
          <w:lang w:val="bg-BG" w:eastAsia="bg-BG"/>
        </w:rPr>
        <w:t xml:space="preserve"> инжекция или чрез продължителна инфузия (</w:t>
      </w:r>
      <w:proofErr w:type="spellStart"/>
      <w:r w:rsidRPr="006F0EAE">
        <w:rPr>
          <w:lang w:val="bg-BG" w:eastAsia="bg-BG"/>
        </w:rPr>
        <w:t>вж.точка</w:t>
      </w:r>
      <w:proofErr w:type="spellEnd"/>
      <w:r w:rsidRPr="006F0EAE">
        <w:rPr>
          <w:lang w:val="bg-BG" w:eastAsia="bg-BG"/>
        </w:rPr>
        <w:t xml:space="preserve"> 6.6).</w:t>
      </w:r>
    </w:p>
    <w:p w14:paraId="7DEA3B5B" w14:textId="77777777" w:rsidR="006F0EAE" w:rsidRPr="006F0EAE" w:rsidRDefault="006F0EAE" w:rsidP="006F0EAE"/>
    <w:p w14:paraId="3194B1C9" w14:textId="485EF37B" w:rsidR="001915B6" w:rsidRDefault="002C50EE" w:rsidP="00C07B84">
      <w:pPr>
        <w:pStyle w:val="Heading2"/>
      </w:pPr>
      <w:r>
        <w:t xml:space="preserve">4.3. </w:t>
      </w:r>
      <w:proofErr w:type="spellStart"/>
      <w:r>
        <w:t>Противопоказания</w:t>
      </w:r>
      <w:proofErr w:type="spellEnd"/>
    </w:p>
    <w:p w14:paraId="25A84539" w14:textId="77777777" w:rsidR="006F0EAE" w:rsidRDefault="006F0EAE" w:rsidP="006F0EAE">
      <w:pPr>
        <w:rPr>
          <w:lang w:val="bg-BG" w:eastAsia="bg-BG"/>
        </w:rPr>
      </w:pPr>
    </w:p>
    <w:p w14:paraId="002B3E01" w14:textId="15F651AE" w:rsidR="006F0EAE" w:rsidRPr="006F0EAE" w:rsidRDefault="006F0EAE" w:rsidP="006F0EAE">
      <w:pPr>
        <w:rPr>
          <w:sz w:val="24"/>
          <w:szCs w:val="24"/>
          <w:lang w:val="bg-BG"/>
        </w:rPr>
      </w:pPr>
      <w:r w:rsidRPr="006F0EAE">
        <w:rPr>
          <w:lang w:val="bg-BG" w:eastAsia="bg-BG"/>
        </w:rPr>
        <w:t xml:space="preserve">Свръхчувствителност към </w:t>
      </w:r>
      <w:proofErr w:type="spellStart"/>
      <w:r w:rsidRPr="006F0EAE">
        <w:rPr>
          <w:lang w:val="bg-BG" w:eastAsia="bg-BG"/>
        </w:rPr>
        <w:t>рокуроний</w:t>
      </w:r>
      <w:proofErr w:type="spellEnd"/>
      <w:r w:rsidRPr="006F0EAE">
        <w:rPr>
          <w:lang w:val="bg-BG" w:eastAsia="bg-BG"/>
        </w:rPr>
        <w:t xml:space="preserve"> или </w:t>
      </w:r>
      <w:proofErr w:type="spellStart"/>
      <w:r w:rsidRPr="006F0EAE">
        <w:rPr>
          <w:lang w:val="bg-BG" w:eastAsia="bg-BG"/>
        </w:rPr>
        <w:t>бромидни</w:t>
      </w:r>
      <w:proofErr w:type="spellEnd"/>
      <w:r w:rsidRPr="006F0EAE">
        <w:rPr>
          <w:lang w:val="bg-BG" w:eastAsia="bg-BG"/>
        </w:rPr>
        <w:t xml:space="preserve"> йони или към някое от помощните вещества.</w:t>
      </w:r>
    </w:p>
    <w:p w14:paraId="7DAF89F9" w14:textId="77777777" w:rsidR="006F0EAE" w:rsidRPr="006F0EAE" w:rsidRDefault="006F0EAE" w:rsidP="006F0EAE"/>
    <w:p w14:paraId="4B2B2AB1" w14:textId="437468B7" w:rsidR="00605BCA" w:rsidRDefault="002C50EE" w:rsidP="00C07B84">
      <w:pPr>
        <w:pStyle w:val="Heading2"/>
      </w:pPr>
      <w:r>
        <w:t xml:space="preserve">4.4. </w:t>
      </w:r>
      <w:proofErr w:type="spellStart"/>
      <w:r>
        <w:t>Специални</w:t>
      </w:r>
      <w:proofErr w:type="spellEnd"/>
      <w:r>
        <w:t xml:space="preserve"> </w:t>
      </w:r>
      <w:proofErr w:type="spellStart"/>
      <w:r>
        <w:t>предупреждения</w:t>
      </w:r>
      <w:proofErr w:type="spellEnd"/>
      <w:r>
        <w:t xml:space="preserve"> и </w:t>
      </w:r>
      <w:proofErr w:type="spellStart"/>
      <w:r>
        <w:t>предпазни</w:t>
      </w:r>
      <w:proofErr w:type="spellEnd"/>
      <w:r>
        <w:t xml:space="preserve"> </w:t>
      </w:r>
      <w:proofErr w:type="spellStart"/>
      <w:r>
        <w:t>мерки</w:t>
      </w:r>
      <w:proofErr w:type="spellEnd"/>
      <w:r>
        <w:t xml:space="preserve"> </w:t>
      </w:r>
      <w:proofErr w:type="spellStart"/>
      <w:r>
        <w:t>при</w:t>
      </w:r>
      <w:proofErr w:type="spellEnd"/>
      <w:r>
        <w:t xml:space="preserve"> </w:t>
      </w:r>
      <w:proofErr w:type="spellStart"/>
      <w:r>
        <w:t>употреба</w:t>
      </w:r>
      <w:proofErr w:type="spellEnd"/>
    </w:p>
    <w:p w14:paraId="35D85401" w14:textId="77777777" w:rsidR="006F0EAE" w:rsidRDefault="006F0EAE" w:rsidP="006F0EAE">
      <w:pPr>
        <w:spacing w:line="240" w:lineRule="auto"/>
        <w:rPr>
          <w:rFonts w:ascii="Times New Roman" w:eastAsia="Times New Roman" w:hAnsi="Times New Roman" w:cs="Times New Roman"/>
          <w:color w:val="000000"/>
          <w:lang w:val="bg-BG" w:eastAsia="bg-BG"/>
        </w:rPr>
      </w:pPr>
    </w:p>
    <w:p w14:paraId="5E009E74" w14:textId="37D9B3ED" w:rsidR="006F0EAE" w:rsidRPr="006F0EAE" w:rsidRDefault="006F0EAE" w:rsidP="006F0EAE">
      <w:pPr>
        <w:rPr>
          <w:sz w:val="24"/>
          <w:szCs w:val="24"/>
          <w:lang w:val="bg-BG"/>
        </w:rPr>
      </w:pPr>
      <w:r w:rsidRPr="006F0EAE">
        <w:rPr>
          <w:lang w:val="bg-BG" w:eastAsia="bg-BG"/>
        </w:rPr>
        <w:t xml:space="preserve">Тъй като приложението на </w:t>
      </w:r>
      <w:proofErr w:type="spellStart"/>
      <w:r w:rsidRPr="006F0EAE">
        <w:rPr>
          <w:lang w:val="bg-BG" w:eastAsia="bg-BG"/>
        </w:rPr>
        <w:t>Есмерон</w:t>
      </w:r>
      <w:proofErr w:type="spellEnd"/>
      <w:r w:rsidRPr="006F0EAE">
        <w:rPr>
          <w:lang w:val="bg-BG" w:eastAsia="bg-BG"/>
        </w:rPr>
        <w:t xml:space="preserve"> предизвиква парализа на респираторните мускули, прилагането на изкуствена вентилация е задължително за пациенти, които са (били) лекувани с този продукт, докато не се установи напълно възстановяване на спонтанното дишане. Както при всички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е важно да се очакват трудности при </w:t>
      </w:r>
      <w:proofErr w:type="spellStart"/>
      <w:r w:rsidRPr="006F0EAE">
        <w:rPr>
          <w:lang w:val="bg-BG" w:eastAsia="bg-BG"/>
        </w:rPr>
        <w:t>интубирането</w:t>
      </w:r>
      <w:proofErr w:type="spellEnd"/>
      <w:r w:rsidRPr="006F0EAE">
        <w:rPr>
          <w:lang w:val="bg-BG" w:eastAsia="bg-BG"/>
        </w:rPr>
        <w:t xml:space="preserve">, особено когато това е част от техника за бърза </w:t>
      </w:r>
      <w:proofErr w:type="spellStart"/>
      <w:r w:rsidRPr="006F0EAE">
        <w:rPr>
          <w:lang w:val="bg-BG" w:eastAsia="bg-BG"/>
        </w:rPr>
        <w:t>интубация</w:t>
      </w:r>
      <w:proofErr w:type="spellEnd"/>
      <w:r w:rsidRPr="006F0EAE">
        <w:rPr>
          <w:lang w:val="bg-BG" w:eastAsia="bg-BG"/>
        </w:rPr>
        <w:t xml:space="preserve">. В случай на трудности при </w:t>
      </w:r>
      <w:proofErr w:type="spellStart"/>
      <w:r w:rsidRPr="006F0EAE">
        <w:rPr>
          <w:lang w:val="bg-BG" w:eastAsia="bg-BG"/>
        </w:rPr>
        <w:t>интубирането</w:t>
      </w:r>
      <w:proofErr w:type="spellEnd"/>
      <w:r w:rsidRPr="006F0EAE">
        <w:rPr>
          <w:lang w:val="bg-BG" w:eastAsia="bg-BG"/>
        </w:rPr>
        <w:t xml:space="preserve">, водещи до клинична необходимост от незабавна отмяна на </w:t>
      </w:r>
      <w:proofErr w:type="spellStart"/>
      <w:r w:rsidRPr="006F0EAE">
        <w:rPr>
          <w:lang w:val="bg-BG" w:eastAsia="bg-BG"/>
        </w:rPr>
        <w:t>невромускулния</w:t>
      </w:r>
      <w:proofErr w:type="spellEnd"/>
      <w:r w:rsidRPr="006F0EAE">
        <w:rPr>
          <w:lang w:val="bg-BG" w:eastAsia="bg-BG"/>
        </w:rPr>
        <w:t xml:space="preserve"> блок, индуциран чрез </w:t>
      </w:r>
      <w:proofErr w:type="spellStart"/>
      <w:r w:rsidRPr="006F0EAE">
        <w:rPr>
          <w:lang w:val="bg-BG" w:eastAsia="bg-BG"/>
        </w:rPr>
        <w:t>рокуроний</w:t>
      </w:r>
      <w:proofErr w:type="spellEnd"/>
      <w:r w:rsidRPr="006F0EAE">
        <w:rPr>
          <w:lang w:val="bg-BG" w:eastAsia="bg-BG"/>
        </w:rPr>
        <w:t xml:space="preserve">, може да се обмисли възможността за употреба на </w:t>
      </w:r>
      <w:proofErr w:type="spellStart"/>
      <w:r w:rsidRPr="006F0EAE">
        <w:rPr>
          <w:lang w:val="bg-BG" w:eastAsia="bg-BG"/>
        </w:rPr>
        <w:t>сугамадекс</w:t>
      </w:r>
      <w:proofErr w:type="spellEnd"/>
      <w:r w:rsidRPr="006F0EAE">
        <w:rPr>
          <w:lang w:val="bg-BG" w:eastAsia="bg-BG"/>
        </w:rPr>
        <w:t>.</w:t>
      </w:r>
    </w:p>
    <w:p w14:paraId="04278207" w14:textId="77777777" w:rsidR="006F0EAE" w:rsidRDefault="006F0EAE" w:rsidP="006F0EAE">
      <w:pPr>
        <w:rPr>
          <w:lang w:val="bg-BG" w:eastAsia="bg-BG"/>
        </w:rPr>
      </w:pPr>
    </w:p>
    <w:p w14:paraId="58CBB66F" w14:textId="471B7A16" w:rsidR="006F0EAE" w:rsidRPr="006F0EAE" w:rsidRDefault="006F0EAE" w:rsidP="006F0EAE">
      <w:pPr>
        <w:rPr>
          <w:sz w:val="24"/>
          <w:szCs w:val="24"/>
          <w:lang w:val="bg-BG"/>
        </w:rPr>
      </w:pPr>
      <w:r w:rsidRPr="006F0EAE">
        <w:rPr>
          <w:lang w:val="bg-BG" w:eastAsia="bg-BG"/>
        </w:rPr>
        <w:t xml:space="preserve">Както и при другите </w:t>
      </w:r>
      <w:proofErr w:type="spellStart"/>
      <w:r w:rsidRPr="006F0EAE">
        <w:rPr>
          <w:lang w:val="bg-BG" w:eastAsia="bg-BG"/>
        </w:rPr>
        <w:t>невромускулни</w:t>
      </w:r>
      <w:proofErr w:type="spellEnd"/>
      <w:r w:rsidRPr="006F0EAE">
        <w:rPr>
          <w:lang w:val="bg-BG" w:eastAsia="bg-BG"/>
        </w:rPr>
        <w:t xml:space="preserve"> блокиращи агенти, за </w:t>
      </w:r>
      <w:proofErr w:type="spellStart"/>
      <w:r w:rsidRPr="006F0EAE">
        <w:rPr>
          <w:lang w:val="bg-BG" w:eastAsia="bg-BG"/>
        </w:rPr>
        <w:t>Есмерон</w:t>
      </w:r>
      <w:proofErr w:type="spellEnd"/>
      <w:r w:rsidRPr="006F0EAE">
        <w:rPr>
          <w:lang w:val="bg-BG" w:eastAsia="bg-BG"/>
        </w:rPr>
        <w:t xml:space="preserve"> е съобщен остатъчен кураре подобен ефект. С </w:t>
      </w:r>
      <w:r w:rsidRPr="006F0EAE">
        <w:rPr>
          <w:i/>
          <w:iCs/>
          <w:lang w:val="bg-BG" w:eastAsia="bg-BG"/>
        </w:rPr>
        <w:t>цел</w:t>
      </w:r>
      <w:r w:rsidRPr="006F0EAE">
        <w:rPr>
          <w:lang w:val="bg-BG" w:eastAsia="bg-BG"/>
        </w:rPr>
        <w:t xml:space="preserve"> да се предотвратят усложнения, резултат от остатъчен кураре подобен ефект, се препоръчва да се </w:t>
      </w:r>
      <w:proofErr w:type="spellStart"/>
      <w:r w:rsidRPr="006F0EAE">
        <w:rPr>
          <w:lang w:val="bg-BG" w:eastAsia="bg-BG"/>
        </w:rPr>
        <w:t>екстубира</w:t>
      </w:r>
      <w:proofErr w:type="spellEnd"/>
      <w:r w:rsidRPr="006F0EAE">
        <w:rPr>
          <w:lang w:val="bg-BG" w:eastAsia="bg-BG"/>
        </w:rPr>
        <w:t xml:space="preserve"> само след като пациента се е възстановил достатъчно от </w:t>
      </w:r>
      <w:proofErr w:type="spellStart"/>
      <w:r w:rsidRPr="006F0EAE">
        <w:rPr>
          <w:lang w:val="bg-BG" w:eastAsia="bg-BG"/>
        </w:rPr>
        <w:t>невромускулния</w:t>
      </w:r>
      <w:proofErr w:type="spellEnd"/>
      <w:r w:rsidRPr="006F0EAE">
        <w:rPr>
          <w:lang w:val="bg-BG" w:eastAsia="bg-BG"/>
        </w:rPr>
        <w:t xml:space="preserve"> блок. При гериатричните пациенти (на възраст 65 години и повече) може да има повишен риск от остатъчен </w:t>
      </w:r>
      <w:proofErr w:type="spellStart"/>
      <w:r w:rsidRPr="006F0EAE">
        <w:rPr>
          <w:lang w:val="bg-BG" w:eastAsia="bg-BG"/>
        </w:rPr>
        <w:t>невромускулен</w:t>
      </w:r>
      <w:proofErr w:type="spellEnd"/>
      <w:r w:rsidRPr="006F0EAE">
        <w:rPr>
          <w:lang w:val="bg-BG" w:eastAsia="bg-BG"/>
        </w:rPr>
        <w:t xml:space="preserve"> блок. Други фактори, които могат да причинят остатъчен кураре подобен ефект след </w:t>
      </w:r>
      <w:proofErr w:type="spellStart"/>
      <w:r w:rsidRPr="006F0EAE">
        <w:rPr>
          <w:lang w:val="bg-BG" w:eastAsia="bg-BG"/>
        </w:rPr>
        <w:t>екстубация</w:t>
      </w:r>
      <w:proofErr w:type="spellEnd"/>
      <w:r w:rsidRPr="006F0EAE">
        <w:rPr>
          <w:lang w:val="bg-BG" w:eastAsia="bg-BG"/>
        </w:rPr>
        <w:t xml:space="preserve"> в следоперативен етап (такива като лекарствени взаимодействия или състояние на пациента) също трябва да се имат предвид. Ако не се използва като част от стандартната клинична практика, употребата на средство за възстановяване от </w:t>
      </w:r>
      <w:proofErr w:type="spellStart"/>
      <w:r w:rsidRPr="006F0EAE">
        <w:rPr>
          <w:lang w:val="bg-BG" w:eastAsia="bg-BG"/>
        </w:rPr>
        <w:t>невромускулна</w:t>
      </w:r>
      <w:proofErr w:type="spellEnd"/>
      <w:r w:rsidRPr="006F0EAE">
        <w:rPr>
          <w:lang w:val="bg-BG" w:eastAsia="bg-BG"/>
        </w:rPr>
        <w:t xml:space="preserve"> блокада (като </w:t>
      </w:r>
      <w:proofErr w:type="spellStart"/>
      <w:r w:rsidRPr="006F0EAE">
        <w:rPr>
          <w:lang w:val="bg-BG" w:eastAsia="bg-BG"/>
        </w:rPr>
        <w:t>сугамадекс</w:t>
      </w:r>
      <w:proofErr w:type="spellEnd"/>
      <w:r w:rsidRPr="006F0EAE">
        <w:rPr>
          <w:lang w:val="bg-BG" w:eastAsia="bg-BG"/>
        </w:rPr>
        <w:t xml:space="preserve"> или </w:t>
      </w:r>
      <w:proofErr w:type="spellStart"/>
      <w:r w:rsidRPr="006F0EAE">
        <w:rPr>
          <w:lang w:val="bg-BG" w:eastAsia="bg-BG"/>
        </w:rPr>
        <w:t>ацетилхолинестеразен</w:t>
      </w:r>
      <w:proofErr w:type="spellEnd"/>
      <w:r w:rsidRPr="006F0EAE">
        <w:rPr>
          <w:lang w:val="bg-BG" w:eastAsia="bg-BG"/>
        </w:rPr>
        <w:t xml:space="preserve"> инхибитор) трябва </w:t>
      </w:r>
      <w:r w:rsidRPr="006F0EAE">
        <w:rPr>
          <w:lang w:val="bg-BG" w:eastAsia="bg-BG"/>
        </w:rPr>
        <w:lastRenderedPageBreak/>
        <w:t>да се има предвид, особено в тези случаи, при които остатъчен кураре подобен ефект е по-вероятно да се появи.</w:t>
      </w:r>
    </w:p>
    <w:p w14:paraId="629D253E" w14:textId="77777777" w:rsidR="006F0EAE" w:rsidRDefault="006F0EAE" w:rsidP="006F0EAE">
      <w:pPr>
        <w:rPr>
          <w:lang w:val="bg-BG" w:eastAsia="bg-BG"/>
        </w:rPr>
      </w:pPr>
    </w:p>
    <w:p w14:paraId="1A22A88D" w14:textId="7AB3E676" w:rsidR="006F0EAE" w:rsidRPr="006F0EAE" w:rsidRDefault="006F0EAE" w:rsidP="006F0EAE">
      <w:pPr>
        <w:rPr>
          <w:sz w:val="24"/>
          <w:szCs w:val="24"/>
          <w:lang w:val="bg-BG"/>
        </w:rPr>
      </w:pPr>
      <w:r w:rsidRPr="006F0EAE">
        <w:rPr>
          <w:lang w:val="bg-BG" w:eastAsia="bg-BG"/>
        </w:rPr>
        <w:t xml:space="preserve">Могат да се появят </w:t>
      </w:r>
      <w:proofErr w:type="spellStart"/>
      <w:r w:rsidRPr="006F0EAE">
        <w:rPr>
          <w:lang w:val="bg-BG" w:eastAsia="bg-BG"/>
        </w:rPr>
        <w:t>анафилактични</w:t>
      </w:r>
      <w:proofErr w:type="spellEnd"/>
      <w:r w:rsidRPr="006F0EAE">
        <w:rPr>
          <w:lang w:val="bg-BG" w:eastAsia="bg-BG"/>
        </w:rPr>
        <w:t xml:space="preserve"> реакции, следващи прилагането на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Винаги трябва да се вземат предпазни мерки за третиране на такива реакции. Особено при случаи на предишни </w:t>
      </w:r>
      <w:proofErr w:type="spellStart"/>
      <w:r w:rsidRPr="006F0EAE">
        <w:rPr>
          <w:lang w:val="bg-BG" w:eastAsia="bg-BG"/>
        </w:rPr>
        <w:t>анафилактични</w:t>
      </w:r>
      <w:proofErr w:type="spellEnd"/>
      <w:r w:rsidRPr="006F0EAE">
        <w:rPr>
          <w:lang w:val="bg-BG" w:eastAsia="bg-BG"/>
        </w:rPr>
        <w:t xml:space="preserve"> реакции към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трябва да се вземат специални предпазни мерки, тъй като е съобщена алергична кръстосана реактивност към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w:t>
      </w:r>
    </w:p>
    <w:p w14:paraId="485920A5" w14:textId="77777777" w:rsidR="006F0EAE" w:rsidRDefault="006F0EAE" w:rsidP="006F0EAE">
      <w:pPr>
        <w:rPr>
          <w:lang w:val="bg-BG" w:eastAsia="bg-BG"/>
        </w:rPr>
      </w:pPr>
    </w:p>
    <w:p w14:paraId="3EA8F619" w14:textId="41AA9669" w:rsidR="006F0EAE" w:rsidRPr="006F0EAE" w:rsidRDefault="006F0EAE" w:rsidP="006F0EAE">
      <w:pPr>
        <w:rPr>
          <w:sz w:val="24"/>
          <w:szCs w:val="24"/>
          <w:lang w:val="bg-BG"/>
        </w:rPr>
      </w:pPr>
      <w:r w:rsidRPr="006F0EAE">
        <w:rPr>
          <w:lang w:val="bg-BG" w:eastAsia="bg-BG"/>
        </w:rPr>
        <w:t xml:space="preserve">В общия случай, след продължителна употреба на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в спешната медицина, се забелязва удължена парализа и/или слабост на скелетната мускулатура. За да се избегне удължаването на </w:t>
      </w:r>
      <w:proofErr w:type="spellStart"/>
      <w:r w:rsidRPr="006F0EAE">
        <w:rPr>
          <w:lang w:val="bg-BG" w:eastAsia="bg-BG"/>
        </w:rPr>
        <w:t>невромускулния</w:t>
      </w:r>
      <w:proofErr w:type="spellEnd"/>
      <w:r w:rsidRPr="006F0EAE">
        <w:rPr>
          <w:lang w:val="bg-BG" w:eastAsia="bg-BG"/>
        </w:rPr>
        <w:t xml:space="preserve"> блок или предозирането, се препоръчва по време на употребата на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да се провежда мониториране на нервно-мускулното предаване. Освен това пациентите трябва да получат адекватна </w:t>
      </w:r>
      <w:proofErr w:type="spellStart"/>
      <w:r w:rsidRPr="006F0EAE">
        <w:rPr>
          <w:lang w:val="bg-BG" w:eastAsia="bg-BG"/>
        </w:rPr>
        <w:t>седация</w:t>
      </w:r>
      <w:proofErr w:type="spellEnd"/>
      <w:r w:rsidRPr="006F0EAE">
        <w:rPr>
          <w:lang w:val="bg-BG" w:eastAsia="bg-BG"/>
        </w:rPr>
        <w:t xml:space="preserve"> и </w:t>
      </w:r>
      <w:proofErr w:type="spellStart"/>
      <w:r w:rsidRPr="006F0EAE">
        <w:rPr>
          <w:lang w:val="bg-BG" w:eastAsia="bg-BG"/>
        </w:rPr>
        <w:t>аналгезия</w:t>
      </w:r>
      <w:proofErr w:type="spellEnd"/>
      <w:r w:rsidRPr="006F0EAE">
        <w:rPr>
          <w:lang w:val="bg-BG" w:eastAsia="bg-BG"/>
        </w:rPr>
        <w:t xml:space="preserve">. Нещо повече, дозата на </w:t>
      </w:r>
      <w:proofErr w:type="spellStart"/>
      <w:r w:rsidRPr="006F0EAE">
        <w:rPr>
          <w:lang w:val="bg-BG" w:eastAsia="bg-BG"/>
        </w:rPr>
        <w:t>невромускулният</w:t>
      </w:r>
      <w:proofErr w:type="spellEnd"/>
      <w:r w:rsidRPr="006F0EAE">
        <w:rPr>
          <w:lang w:val="bg-BG" w:eastAsia="bg-BG"/>
        </w:rPr>
        <w:t xml:space="preserve"> </w:t>
      </w:r>
      <w:proofErr w:type="spellStart"/>
      <w:r w:rsidRPr="006F0EAE">
        <w:rPr>
          <w:lang w:val="bg-BG" w:eastAsia="bg-BG"/>
        </w:rPr>
        <w:t>блокер</w:t>
      </w:r>
      <w:proofErr w:type="spellEnd"/>
      <w:r w:rsidRPr="006F0EAE">
        <w:rPr>
          <w:lang w:val="bg-BG" w:eastAsia="bg-BG"/>
        </w:rPr>
        <w:t xml:space="preserve"> трябва да се адаптира спрямо индивидуалните особености от или под ръководството на опитни </w:t>
      </w:r>
      <w:proofErr w:type="spellStart"/>
      <w:r w:rsidRPr="006F0EAE">
        <w:rPr>
          <w:lang w:val="bg-BG" w:eastAsia="bg-BG"/>
        </w:rPr>
        <w:t>клиницисти</w:t>
      </w:r>
      <w:proofErr w:type="spellEnd"/>
      <w:r w:rsidRPr="006F0EAE">
        <w:rPr>
          <w:lang w:val="bg-BG" w:eastAsia="bg-BG"/>
        </w:rPr>
        <w:t>, които са запознати с тяхното действие и с адекватните техники на мониториране на нервно-мускулното блокиране.</w:t>
      </w:r>
    </w:p>
    <w:p w14:paraId="09063142" w14:textId="77777777" w:rsidR="006F0EAE" w:rsidRDefault="006F0EAE" w:rsidP="006F0EAE">
      <w:pPr>
        <w:rPr>
          <w:lang w:val="bg-BG" w:eastAsia="bg-BG"/>
        </w:rPr>
      </w:pPr>
    </w:p>
    <w:p w14:paraId="72F604DB" w14:textId="1E46465D" w:rsidR="006F0EAE" w:rsidRPr="006F0EAE" w:rsidRDefault="006F0EAE" w:rsidP="006F0EAE">
      <w:pPr>
        <w:rPr>
          <w:sz w:val="24"/>
          <w:szCs w:val="24"/>
          <w:lang w:val="bg-BG"/>
        </w:rPr>
      </w:pPr>
      <w:r w:rsidRPr="006F0EAE">
        <w:rPr>
          <w:lang w:val="bg-BG" w:eastAsia="bg-BG"/>
        </w:rPr>
        <w:t xml:space="preserve">Често се съобщава за </w:t>
      </w:r>
      <w:proofErr w:type="spellStart"/>
      <w:r w:rsidRPr="006F0EAE">
        <w:rPr>
          <w:lang w:val="bg-BG" w:eastAsia="bg-BG"/>
        </w:rPr>
        <w:t>миопатия</w:t>
      </w:r>
      <w:proofErr w:type="spellEnd"/>
      <w:r w:rsidRPr="006F0EAE">
        <w:rPr>
          <w:lang w:val="bg-BG" w:eastAsia="bg-BG"/>
        </w:rPr>
        <w:t xml:space="preserve"> след продължително прилагане на други </w:t>
      </w:r>
      <w:proofErr w:type="spellStart"/>
      <w:r w:rsidRPr="006F0EAE">
        <w:rPr>
          <w:lang w:val="bg-BG" w:eastAsia="bg-BG"/>
        </w:rPr>
        <w:t>недеполяризиращи</w:t>
      </w:r>
      <w:proofErr w:type="spellEnd"/>
      <w:r w:rsidRPr="006F0EAE">
        <w:rPr>
          <w:lang w:val="bg-BG" w:eastAsia="bg-BG"/>
        </w:rPr>
        <w:t xml:space="preserve">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в спешната медицина в комбинация с </w:t>
      </w:r>
      <w:proofErr w:type="spellStart"/>
      <w:r w:rsidRPr="006F0EAE">
        <w:rPr>
          <w:lang w:val="bg-BG" w:eastAsia="bg-BG"/>
        </w:rPr>
        <w:t>кортикостероидна</w:t>
      </w:r>
      <w:proofErr w:type="spellEnd"/>
      <w:r w:rsidRPr="006F0EAE">
        <w:rPr>
          <w:lang w:val="bg-BG" w:eastAsia="bg-BG"/>
        </w:rPr>
        <w:t xml:space="preserve"> терапия. Следователно при пациенти с прилагани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и кортикостероиди, периодът за употреба на </w:t>
      </w:r>
      <w:proofErr w:type="spellStart"/>
      <w:r w:rsidRPr="006F0EAE">
        <w:rPr>
          <w:lang w:val="bg-BG" w:eastAsia="bg-BG"/>
        </w:rPr>
        <w:t>невромускулен</w:t>
      </w:r>
      <w:proofErr w:type="spellEnd"/>
      <w:r w:rsidRPr="006F0EAE">
        <w:rPr>
          <w:lang w:val="bg-BG" w:eastAsia="bg-BG"/>
        </w:rPr>
        <w:t xml:space="preserve"> </w:t>
      </w:r>
      <w:proofErr w:type="spellStart"/>
      <w:r w:rsidRPr="006F0EAE">
        <w:rPr>
          <w:lang w:val="bg-BG" w:eastAsia="bg-BG"/>
        </w:rPr>
        <w:t>блокер</w:t>
      </w:r>
      <w:proofErr w:type="spellEnd"/>
      <w:r w:rsidRPr="006F0EAE">
        <w:rPr>
          <w:lang w:val="bg-BG" w:eastAsia="bg-BG"/>
        </w:rPr>
        <w:t xml:space="preserve"> трябва да се ограничи възможно най-много.</w:t>
      </w:r>
    </w:p>
    <w:p w14:paraId="05C630CC" w14:textId="77777777" w:rsidR="006F0EAE" w:rsidRDefault="006F0EAE" w:rsidP="006F0EAE">
      <w:pPr>
        <w:rPr>
          <w:lang w:val="bg-BG" w:eastAsia="bg-BG"/>
        </w:rPr>
      </w:pPr>
    </w:p>
    <w:p w14:paraId="6325355A" w14:textId="4D9C71CA" w:rsidR="006F0EAE" w:rsidRPr="006F0EAE" w:rsidRDefault="006F0EAE" w:rsidP="006F0EAE">
      <w:pPr>
        <w:rPr>
          <w:sz w:val="24"/>
          <w:szCs w:val="24"/>
          <w:lang w:val="bg-BG"/>
        </w:rPr>
      </w:pPr>
      <w:r w:rsidRPr="006F0EAE">
        <w:rPr>
          <w:lang w:val="bg-BG" w:eastAsia="bg-BG"/>
        </w:rPr>
        <w:t xml:space="preserve">Ако </w:t>
      </w:r>
      <w:proofErr w:type="spellStart"/>
      <w:r w:rsidRPr="006F0EAE">
        <w:rPr>
          <w:lang w:val="bg-BG" w:eastAsia="bg-BG"/>
        </w:rPr>
        <w:t>сукцинилхолин</w:t>
      </w:r>
      <w:proofErr w:type="spellEnd"/>
      <w:r w:rsidRPr="006F0EAE">
        <w:rPr>
          <w:lang w:val="bg-BG" w:eastAsia="bg-BG"/>
        </w:rPr>
        <w:t xml:space="preserve"> е използван за </w:t>
      </w:r>
      <w:proofErr w:type="spellStart"/>
      <w:r w:rsidRPr="006F0EAE">
        <w:rPr>
          <w:lang w:val="bg-BG" w:eastAsia="bg-BG"/>
        </w:rPr>
        <w:t>интубация</w:t>
      </w:r>
      <w:proofErr w:type="spellEnd"/>
      <w:r w:rsidRPr="006F0EAE">
        <w:rPr>
          <w:lang w:val="bg-BG" w:eastAsia="bg-BG"/>
        </w:rPr>
        <w:t xml:space="preserve">, прилагането на </w:t>
      </w:r>
      <w:proofErr w:type="spellStart"/>
      <w:r w:rsidRPr="006F0EAE">
        <w:rPr>
          <w:lang w:val="bg-BG" w:eastAsia="bg-BG"/>
        </w:rPr>
        <w:t>Есмерон</w:t>
      </w:r>
      <w:proofErr w:type="spellEnd"/>
      <w:r w:rsidRPr="006F0EAE">
        <w:rPr>
          <w:lang w:val="bg-BG" w:eastAsia="bg-BG"/>
        </w:rPr>
        <w:t xml:space="preserve"> трябва да се отложи, докато пациентът се е възстановил клинически от </w:t>
      </w:r>
      <w:proofErr w:type="spellStart"/>
      <w:r w:rsidRPr="006F0EAE">
        <w:rPr>
          <w:lang w:val="bg-BG" w:eastAsia="bg-BG"/>
        </w:rPr>
        <w:t>невромускулния</w:t>
      </w:r>
      <w:proofErr w:type="spellEnd"/>
      <w:r w:rsidRPr="006F0EAE">
        <w:rPr>
          <w:lang w:val="bg-BG" w:eastAsia="bg-BG"/>
        </w:rPr>
        <w:t xml:space="preserve"> блок, предизвикан от </w:t>
      </w:r>
      <w:proofErr w:type="spellStart"/>
      <w:r w:rsidRPr="006F0EAE">
        <w:rPr>
          <w:lang w:val="bg-BG" w:eastAsia="bg-BG"/>
        </w:rPr>
        <w:t>сукцинилхолин</w:t>
      </w:r>
      <w:proofErr w:type="spellEnd"/>
      <w:r w:rsidRPr="006F0EAE">
        <w:rPr>
          <w:lang w:val="bg-BG" w:eastAsia="bg-BG"/>
        </w:rPr>
        <w:t>.</w:t>
      </w:r>
    </w:p>
    <w:p w14:paraId="0F6195F6" w14:textId="77777777" w:rsidR="006F0EAE" w:rsidRDefault="006F0EAE" w:rsidP="006F0EAE">
      <w:pPr>
        <w:rPr>
          <w:lang w:val="bg-BG" w:eastAsia="bg-BG"/>
        </w:rPr>
      </w:pPr>
    </w:p>
    <w:p w14:paraId="3FA912C1" w14:textId="77777777" w:rsidR="006F0EAE" w:rsidRPr="006F0EAE" w:rsidRDefault="006F0EAE" w:rsidP="006F0EAE">
      <w:pPr>
        <w:rPr>
          <w:sz w:val="24"/>
          <w:szCs w:val="24"/>
          <w:lang w:val="bg-BG"/>
        </w:rPr>
      </w:pPr>
      <w:r w:rsidRPr="006F0EAE">
        <w:rPr>
          <w:lang w:val="bg-BG" w:eastAsia="bg-BG"/>
        </w:rPr>
        <w:t xml:space="preserve">Тъй като </w:t>
      </w:r>
      <w:proofErr w:type="spellStart"/>
      <w:r w:rsidRPr="006F0EAE">
        <w:rPr>
          <w:lang w:val="bg-BG" w:eastAsia="bg-BG"/>
        </w:rPr>
        <w:t>рокурониевият</w:t>
      </w:r>
      <w:proofErr w:type="spellEnd"/>
      <w:r w:rsidRPr="006F0EAE">
        <w:rPr>
          <w:lang w:val="bg-BG" w:eastAsia="bg-BG"/>
        </w:rPr>
        <w:t xml:space="preserve"> бромид винаги се прилага с други лекарствени продукти и поради риска от </w:t>
      </w:r>
      <w:proofErr w:type="spellStart"/>
      <w:r w:rsidRPr="006F0EAE">
        <w:rPr>
          <w:lang w:val="bg-BG" w:eastAsia="bg-BG"/>
        </w:rPr>
        <w:t>малигнена</w:t>
      </w:r>
      <w:proofErr w:type="spellEnd"/>
      <w:r w:rsidRPr="006F0EAE">
        <w:rPr>
          <w:lang w:val="bg-BG" w:eastAsia="bg-BG"/>
        </w:rPr>
        <w:t xml:space="preserve"> </w:t>
      </w:r>
      <w:proofErr w:type="spellStart"/>
      <w:r w:rsidRPr="006F0EAE">
        <w:rPr>
          <w:lang w:val="bg-BG" w:eastAsia="bg-BG"/>
        </w:rPr>
        <w:t>хипертермия</w:t>
      </w:r>
      <w:proofErr w:type="spellEnd"/>
      <w:r w:rsidRPr="006F0EAE">
        <w:rPr>
          <w:lang w:val="bg-BG" w:eastAsia="bg-BG"/>
        </w:rPr>
        <w:t xml:space="preserve"> по време на анестезия, дори при липсата на известни отключвани фактори, лекарите трябва да са наясно с ранните симптоми, потвърдителната диагноза и лечението</w:t>
      </w:r>
      <w:r>
        <w:rPr>
          <w:lang w:eastAsia="bg-BG"/>
        </w:rPr>
        <w:t xml:space="preserve"> </w:t>
      </w:r>
      <w:r w:rsidRPr="006F0EAE">
        <w:rPr>
          <w:lang w:val="bg-BG" w:eastAsia="bg-BG"/>
        </w:rPr>
        <w:t xml:space="preserve">на </w:t>
      </w:r>
      <w:proofErr w:type="spellStart"/>
      <w:r w:rsidRPr="006F0EAE">
        <w:rPr>
          <w:lang w:val="bg-BG" w:eastAsia="bg-BG"/>
        </w:rPr>
        <w:t>малигнена</w:t>
      </w:r>
      <w:proofErr w:type="spellEnd"/>
      <w:r w:rsidRPr="006F0EAE">
        <w:rPr>
          <w:lang w:val="bg-BG" w:eastAsia="bg-BG"/>
        </w:rPr>
        <w:t xml:space="preserve"> </w:t>
      </w:r>
      <w:proofErr w:type="spellStart"/>
      <w:r w:rsidRPr="006F0EAE">
        <w:rPr>
          <w:lang w:val="bg-BG" w:eastAsia="bg-BG"/>
        </w:rPr>
        <w:t>хипертермия</w:t>
      </w:r>
      <w:proofErr w:type="spellEnd"/>
      <w:r w:rsidRPr="006F0EAE">
        <w:rPr>
          <w:lang w:val="bg-BG" w:eastAsia="bg-BG"/>
        </w:rPr>
        <w:t xml:space="preserve"> преди началото на анестезията. Проучвания при животни показват, че </w:t>
      </w:r>
      <w:proofErr w:type="spellStart"/>
      <w:r w:rsidRPr="006F0EAE">
        <w:rPr>
          <w:lang w:val="bg-BG" w:eastAsia="bg-BG"/>
        </w:rPr>
        <w:t>рокурониевият</w:t>
      </w:r>
      <w:proofErr w:type="spellEnd"/>
      <w:r w:rsidRPr="006F0EAE">
        <w:rPr>
          <w:lang w:val="bg-BG" w:eastAsia="bg-BG"/>
        </w:rPr>
        <w:t xml:space="preserve"> бромид не е отключващ фактор за </w:t>
      </w:r>
      <w:proofErr w:type="spellStart"/>
      <w:r w:rsidRPr="006F0EAE">
        <w:rPr>
          <w:lang w:val="bg-BG" w:eastAsia="bg-BG"/>
        </w:rPr>
        <w:t>малигнена</w:t>
      </w:r>
      <w:proofErr w:type="spellEnd"/>
      <w:r w:rsidRPr="006F0EAE">
        <w:rPr>
          <w:lang w:val="bg-BG" w:eastAsia="bg-BG"/>
        </w:rPr>
        <w:t xml:space="preserve"> </w:t>
      </w:r>
      <w:proofErr w:type="spellStart"/>
      <w:r w:rsidRPr="006F0EAE">
        <w:rPr>
          <w:lang w:val="bg-BG" w:eastAsia="bg-BG"/>
        </w:rPr>
        <w:t>хипертермия</w:t>
      </w:r>
      <w:proofErr w:type="spellEnd"/>
      <w:r w:rsidRPr="006F0EAE">
        <w:rPr>
          <w:lang w:val="bg-BG" w:eastAsia="bg-BG"/>
        </w:rPr>
        <w:t xml:space="preserve">. Редки случаи на </w:t>
      </w:r>
      <w:proofErr w:type="spellStart"/>
      <w:r w:rsidRPr="006F0EAE">
        <w:rPr>
          <w:lang w:val="bg-BG" w:eastAsia="bg-BG"/>
        </w:rPr>
        <w:t>малигнена</w:t>
      </w:r>
      <w:proofErr w:type="spellEnd"/>
      <w:r w:rsidRPr="006F0EAE">
        <w:rPr>
          <w:lang w:val="bg-BG" w:eastAsia="bg-BG"/>
        </w:rPr>
        <w:t xml:space="preserve"> </w:t>
      </w:r>
      <w:proofErr w:type="spellStart"/>
      <w:r w:rsidRPr="006F0EAE">
        <w:rPr>
          <w:lang w:val="bg-BG" w:eastAsia="bg-BG"/>
        </w:rPr>
        <w:t>хипертермия</w:t>
      </w:r>
      <w:proofErr w:type="spellEnd"/>
      <w:r w:rsidRPr="006F0EAE">
        <w:rPr>
          <w:lang w:val="bg-BG" w:eastAsia="bg-BG"/>
        </w:rPr>
        <w:t xml:space="preserve"> при приложение на </w:t>
      </w:r>
      <w:proofErr w:type="spellStart"/>
      <w:r w:rsidRPr="006F0EAE">
        <w:rPr>
          <w:lang w:val="bg-BG" w:eastAsia="bg-BG"/>
        </w:rPr>
        <w:t>Есмерон</w:t>
      </w:r>
      <w:proofErr w:type="spellEnd"/>
      <w:r w:rsidRPr="006F0EAE">
        <w:rPr>
          <w:lang w:val="bg-BG" w:eastAsia="bg-BG"/>
        </w:rPr>
        <w:t xml:space="preserve"> са съобщени по време на </w:t>
      </w:r>
      <w:proofErr w:type="spellStart"/>
      <w:r w:rsidRPr="006F0EAE">
        <w:rPr>
          <w:lang w:val="bg-BG" w:eastAsia="bg-BG"/>
        </w:rPr>
        <w:t>постмаркетингово</w:t>
      </w:r>
      <w:proofErr w:type="spellEnd"/>
      <w:r w:rsidRPr="006F0EAE">
        <w:rPr>
          <w:lang w:val="bg-BG" w:eastAsia="bg-BG"/>
        </w:rPr>
        <w:t xml:space="preserve"> наблюдение, обаче причинно-следствена връзка не е доказана.</w:t>
      </w:r>
    </w:p>
    <w:p w14:paraId="51E0B078" w14:textId="77777777" w:rsidR="006F0EAE" w:rsidRDefault="006F0EAE" w:rsidP="006F0EAE">
      <w:pPr>
        <w:rPr>
          <w:b/>
          <w:bCs/>
          <w:lang w:val="bg-BG" w:eastAsia="bg-BG"/>
        </w:rPr>
      </w:pPr>
    </w:p>
    <w:p w14:paraId="54415174" w14:textId="0AD2BE71" w:rsidR="006F0EAE" w:rsidRPr="006F0EAE" w:rsidRDefault="006F0EAE" w:rsidP="006F0EAE">
      <w:pPr>
        <w:rPr>
          <w:sz w:val="24"/>
          <w:szCs w:val="24"/>
          <w:lang w:val="bg-BG"/>
        </w:rPr>
      </w:pPr>
      <w:r w:rsidRPr="006F0EAE">
        <w:rPr>
          <w:b/>
          <w:bCs/>
          <w:lang w:val="bg-BG" w:eastAsia="bg-BG"/>
        </w:rPr>
        <w:t xml:space="preserve">Следните условия биха могли да повлияят на фармакокинетиката и/или </w:t>
      </w:r>
      <w:proofErr w:type="spellStart"/>
      <w:r w:rsidRPr="006F0EAE">
        <w:rPr>
          <w:b/>
          <w:bCs/>
          <w:lang w:val="bg-BG" w:eastAsia="bg-BG"/>
        </w:rPr>
        <w:t>фармакодинамиката</w:t>
      </w:r>
      <w:proofErr w:type="spellEnd"/>
      <w:r w:rsidRPr="006F0EAE">
        <w:rPr>
          <w:b/>
          <w:bCs/>
          <w:lang w:val="bg-BG" w:eastAsia="bg-BG"/>
        </w:rPr>
        <w:t xml:space="preserve"> на </w:t>
      </w:r>
      <w:proofErr w:type="spellStart"/>
      <w:r w:rsidRPr="006F0EAE">
        <w:rPr>
          <w:b/>
          <w:bCs/>
          <w:lang w:val="bg-BG" w:eastAsia="bg-BG"/>
        </w:rPr>
        <w:t>Есмерон</w:t>
      </w:r>
      <w:proofErr w:type="spellEnd"/>
      <w:r w:rsidRPr="006F0EAE">
        <w:rPr>
          <w:b/>
          <w:bCs/>
          <w:lang w:val="bg-BG" w:eastAsia="bg-BG"/>
        </w:rPr>
        <w:t>:</w:t>
      </w:r>
    </w:p>
    <w:p w14:paraId="5C6E3421" w14:textId="77777777" w:rsidR="006F0EAE" w:rsidRDefault="006F0EAE" w:rsidP="006F0EAE">
      <w:pPr>
        <w:rPr>
          <w:u w:val="single"/>
          <w:lang w:val="bg-BG" w:eastAsia="bg-BG"/>
        </w:rPr>
      </w:pPr>
    </w:p>
    <w:p w14:paraId="68DEA9BA" w14:textId="37F5669C" w:rsidR="006F0EAE" w:rsidRPr="006F0EAE" w:rsidRDefault="006F0EAE" w:rsidP="006F0EAE">
      <w:pPr>
        <w:rPr>
          <w:sz w:val="24"/>
          <w:szCs w:val="24"/>
          <w:lang w:val="bg-BG"/>
        </w:rPr>
      </w:pPr>
      <w:r w:rsidRPr="006F0EAE">
        <w:rPr>
          <w:u w:val="single"/>
          <w:lang w:val="bg-BG" w:eastAsia="bg-BG"/>
        </w:rPr>
        <w:t>Заболяване на черния дроб и/или жлъчните канали и бъбречна недостатъчност</w:t>
      </w:r>
    </w:p>
    <w:p w14:paraId="41223590" w14:textId="77777777" w:rsidR="006F0EAE" w:rsidRPr="006F0EAE" w:rsidRDefault="006F0EAE" w:rsidP="006F0EAE">
      <w:pPr>
        <w:rPr>
          <w:sz w:val="24"/>
          <w:szCs w:val="24"/>
          <w:lang w:val="bg-BG"/>
        </w:rPr>
      </w:pPr>
      <w:r w:rsidRPr="006F0EAE">
        <w:rPr>
          <w:lang w:val="bg-BG" w:eastAsia="bg-BG"/>
        </w:rPr>
        <w:t xml:space="preserve">Тъй като </w:t>
      </w:r>
      <w:proofErr w:type="spellStart"/>
      <w:r w:rsidRPr="006F0EAE">
        <w:rPr>
          <w:lang w:val="bg-BG" w:eastAsia="bg-BG"/>
        </w:rPr>
        <w:t>рокуроний</w:t>
      </w:r>
      <w:proofErr w:type="spellEnd"/>
      <w:r w:rsidRPr="006F0EAE">
        <w:rPr>
          <w:lang w:val="bg-BG" w:eastAsia="bg-BG"/>
        </w:rPr>
        <w:t xml:space="preserve"> се отделя в урината и в жлъчката, прилагането му при пациенти с клинично проявени заболявания на черния дроб и/или жлъчката и бъбречна недостатъчност трябва да става с повишено внимание. При такива пациенти, удължено действие се наблюдава при доза от 0,6 </w:t>
      </w:r>
      <w:r w:rsidRPr="006F0EAE">
        <w:t xml:space="preserve">mg/kg </w:t>
      </w:r>
      <w:proofErr w:type="spellStart"/>
      <w:r w:rsidRPr="006F0EAE">
        <w:rPr>
          <w:lang w:val="bg-BG" w:eastAsia="bg-BG"/>
        </w:rPr>
        <w:t>рокурониев</w:t>
      </w:r>
      <w:proofErr w:type="spellEnd"/>
      <w:r w:rsidRPr="006F0EAE">
        <w:rPr>
          <w:lang w:val="bg-BG" w:eastAsia="bg-BG"/>
        </w:rPr>
        <w:t xml:space="preserve"> бромид.</w:t>
      </w:r>
    </w:p>
    <w:p w14:paraId="20856160" w14:textId="77777777" w:rsidR="006F0EAE" w:rsidRDefault="006F0EAE" w:rsidP="006F0EAE">
      <w:pPr>
        <w:rPr>
          <w:u w:val="single"/>
          <w:lang w:val="bg-BG" w:eastAsia="bg-BG"/>
        </w:rPr>
      </w:pPr>
    </w:p>
    <w:p w14:paraId="586DABDA" w14:textId="45D892D2" w:rsidR="006F0EAE" w:rsidRPr="006F0EAE" w:rsidRDefault="006F0EAE" w:rsidP="006F0EAE">
      <w:pPr>
        <w:rPr>
          <w:sz w:val="24"/>
          <w:szCs w:val="24"/>
          <w:lang w:val="bg-BG"/>
        </w:rPr>
      </w:pPr>
      <w:r w:rsidRPr="006F0EAE">
        <w:rPr>
          <w:u w:val="single"/>
          <w:lang w:val="bg-BG" w:eastAsia="bg-BG"/>
        </w:rPr>
        <w:t xml:space="preserve">Удължено време на </w:t>
      </w:r>
      <w:proofErr w:type="spellStart"/>
      <w:r w:rsidRPr="006F0EAE">
        <w:rPr>
          <w:u w:val="single"/>
          <w:lang w:val="bg-BG" w:eastAsia="bg-BG"/>
        </w:rPr>
        <w:t>пипкулапия</w:t>
      </w:r>
      <w:proofErr w:type="spellEnd"/>
    </w:p>
    <w:p w14:paraId="0266C289" w14:textId="77777777" w:rsidR="006F0EAE" w:rsidRPr="006F0EAE" w:rsidRDefault="006F0EAE" w:rsidP="006F0EAE">
      <w:pPr>
        <w:rPr>
          <w:sz w:val="24"/>
          <w:szCs w:val="24"/>
          <w:lang w:val="bg-BG"/>
        </w:rPr>
      </w:pPr>
      <w:r w:rsidRPr="006F0EAE">
        <w:rPr>
          <w:lang w:val="bg-BG" w:eastAsia="bg-BG"/>
        </w:rPr>
        <w:lastRenderedPageBreak/>
        <w:t xml:space="preserve">Състояния, свързани с увеличение на циркулационното време, като сърдечно-съдови заболявания, напреднала възраст или </w:t>
      </w:r>
      <w:proofErr w:type="spellStart"/>
      <w:r w:rsidRPr="006F0EAE">
        <w:rPr>
          <w:lang w:val="bg-BG" w:eastAsia="bg-BG"/>
        </w:rPr>
        <w:t>едематозни</w:t>
      </w:r>
      <w:proofErr w:type="spellEnd"/>
      <w:r w:rsidRPr="006F0EAE">
        <w:rPr>
          <w:lang w:val="bg-BG" w:eastAsia="bg-BG"/>
        </w:rPr>
        <w:t xml:space="preserve"> състояния, водещи до повишен обем на разпределение, може да забавят началото на действието. Продължителността на действие може също да бъде удължена поради намален плазмен клирънс.</w:t>
      </w:r>
    </w:p>
    <w:p w14:paraId="4C6BBDCD" w14:textId="77777777" w:rsidR="006F0EAE" w:rsidRDefault="006F0EAE" w:rsidP="006F0EAE">
      <w:pPr>
        <w:rPr>
          <w:u w:val="single"/>
          <w:lang w:val="bg-BG" w:eastAsia="bg-BG"/>
        </w:rPr>
      </w:pPr>
    </w:p>
    <w:p w14:paraId="3B41AA4E" w14:textId="7334D211" w:rsidR="006F0EAE" w:rsidRPr="006F0EAE" w:rsidRDefault="006F0EAE" w:rsidP="006F0EAE">
      <w:pPr>
        <w:rPr>
          <w:sz w:val="24"/>
          <w:szCs w:val="24"/>
          <w:lang w:val="bg-BG"/>
        </w:rPr>
      </w:pPr>
      <w:r w:rsidRPr="006F0EAE">
        <w:rPr>
          <w:u w:val="single"/>
          <w:lang w:val="bg-BG" w:eastAsia="bg-BG"/>
        </w:rPr>
        <w:t>Нервно-мускулни заболявания</w:t>
      </w:r>
    </w:p>
    <w:p w14:paraId="612F5671" w14:textId="77777777" w:rsidR="006F0EAE" w:rsidRPr="006F0EAE" w:rsidRDefault="006F0EAE" w:rsidP="006F0EAE">
      <w:pPr>
        <w:rPr>
          <w:sz w:val="24"/>
          <w:szCs w:val="24"/>
          <w:lang w:val="bg-BG"/>
        </w:rPr>
      </w:pPr>
      <w:r w:rsidRPr="006F0EAE">
        <w:rPr>
          <w:lang w:val="bg-BG" w:eastAsia="bg-BG"/>
        </w:rPr>
        <w:t xml:space="preserve">Както повечето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прилагането на </w:t>
      </w:r>
      <w:proofErr w:type="spellStart"/>
      <w:r w:rsidRPr="006F0EAE">
        <w:rPr>
          <w:lang w:val="bg-BG" w:eastAsia="bg-BG"/>
        </w:rPr>
        <w:t>Есмерон</w:t>
      </w:r>
      <w:proofErr w:type="spellEnd"/>
      <w:r w:rsidRPr="006F0EAE">
        <w:rPr>
          <w:lang w:val="bg-BG" w:eastAsia="bg-BG"/>
        </w:rPr>
        <w:t xml:space="preserve"> при пациенти с нервно-мускулни заболявания или след прекаран полиомиелит трябва да бъде много внимателно, тъй като в тези случаи отговорът на нервно-мускулното блокиране може да бъде значително променен. Степента и посоката на тази промяна могат да варират в много широки граници. При пациенти с </w:t>
      </w:r>
      <w:proofErr w:type="spellStart"/>
      <w:r w:rsidRPr="006F0EAE">
        <w:rPr>
          <w:lang w:val="bg-BG" w:eastAsia="bg-BG"/>
        </w:rPr>
        <w:t>миастения</w:t>
      </w:r>
      <w:proofErr w:type="spellEnd"/>
      <w:r w:rsidRPr="006F0EAE">
        <w:rPr>
          <w:lang w:val="bg-BG" w:eastAsia="bg-BG"/>
        </w:rPr>
        <w:t xml:space="preserve"> </w:t>
      </w:r>
      <w:proofErr w:type="spellStart"/>
      <w:r w:rsidRPr="006F0EAE">
        <w:rPr>
          <w:lang w:val="bg-BG" w:eastAsia="bg-BG"/>
        </w:rPr>
        <w:t>гравис</w:t>
      </w:r>
      <w:proofErr w:type="spellEnd"/>
      <w:r w:rsidRPr="006F0EAE">
        <w:rPr>
          <w:lang w:val="bg-BG" w:eastAsia="bg-BG"/>
        </w:rPr>
        <w:t xml:space="preserve"> или с </w:t>
      </w:r>
      <w:proofErr w:type="spellStart"/>
      <w:r w:rsidRPr="006F0EAE">
        <w:rPr>
          <w:lang w:val="bg-BG" w:eastAsia="bg-BG"/>
        </w:rPr>
        <w:t>миастеничен</w:t>
      </w:r>
      <w:proofErr w:type="spellEnd"/>
      <w:r w:rsidRPr="006F0EAE">
        <w:rPr>
          <w:lang w:val="bg-BG" w:eastAsia="bg-BG"/>
        </w:rPr>
        <w:t xml:space="preserve"> синдром (Синдром на </w:t>
      </w:r>
      <w:r w:rsidRPr="006F0EAE">
        <w:t xml:space="preserve">Eaton-Lambert), </w:t>
      </w:r>
      <w:r w:rsidRPr="006F0EAE">
        <w:rPr>
          <w:lang w:val="bg-BG" w:eastAsia="bg-BG"/>
        </w:rPr>
        <w:t xml:space="preserve">малки дози </w:t>
      </w:r>
      <w:proofErr w:type="spellStart"/>
      <w:r w:rsidRPr="006F0EAE">
        <w:rPr>
          <w:lang w:val="bg-BG" w:eastAsia="bg-BG"/>
        </w:rPr>
        <w:t>Есмерон</w:t>
      </w:r>
      <w:proofErr w:type="spellEnd"/>
      <w:r w:rsidRPr="006F0EAE">
        <w:rPr>
          <w:lang w:val="bg-BG" w:eastAsia="bg-BG"/>
        </w:rPr>
        <w:t xml:space="preserve"> могат да окажат силен ефект, затова дозата на </w:t>
      </w:r>
      <w:proofErr w:type="spellStart"/>
      <w:r w:rsidRPr="006F0EAE">
        <w:rPr>
          <w:lang w:val="bg-BG" w:eastAsia="bg-BG"/>
        </w:rPr>
        <w:t>Есмерон</w:t>
      </w:r>
      <w:proofErr w:type="spellEnd"/>
      <w:r w:rsidRPr="006F0EAE">
        <w:rPr>
          <w:lang w:val="bg-BG" w:eastAsia="bg-BG"/>
        </w:rPr>
        <w:t xml:space="preserve"> трябва да се </w:t>
      </w:r>
      <w:proofErr w:type="spellStart"/>
      <w:r w:rsidRPr="006F0EAE">
        <w:rPr>
          <w:lang w:val="bg-BG" w:eastAsia="bg-BG"/>
        </w:rPr>
        <w:t>титрира</w:t>
      </w:r>
      <w:proofErr w:type="spellEnd"/>
      <w:r w:rsidRPr="006F0EAE">
        <w:rPr>
          <w:lang w:val="bg-BG" w:eastAsia="bg-BG"/>
        </w:rPr>
        <w:t xml:space="preserve"> до отговора.</w:t>
      </w:r>
    </w:p>
    <w:p w14:paraId="04856249" w14:textId="77777777" w:rsidR="006F0EAE" w:rsidRDefault="006F0EAE" w:rsidP="006F0EAE">
      <w:pPr>
        <w:rPr>
          <w:u w:val="single"/>
          <w:lang w:val="bg-BG" w:eastAsia="bg-BG"/>
        </w:rPr>
      </w:pPr>
    </w:p>
    <w:p w14:paraId="7014114D" w14:textId="33DEC702" w:rsidR="006F0EAE" w:rsidRPr="006F0EAE" w:rsidRDefault="006F0EAE" w:rsidP="006F0EAE">
      <w:pPr>
        <w:rPr>
          <w:sz w:val="24"/>
          <w:szCs w:val="24"/>
          <w:lang w:val="bg-BG"/>
        </w:rPr>
      </w:pPr>
      <w:r w:rsidRPr="006F0EAE">
        <w:rPr>
          <w:u w:val="single"/>
          <w:lang w:val="bg-BG" w:eastAsia="bg-BG"/>
        </w:rPr>
        <w:t>Хипотермия</w:t>
      </w:r>
    </w:p>
    <w:p w14:paraId="4CE8B886" w14:textId="77777777" w:rsidR="006F0EAE" w:rsidRPr="006F0EAE" w:rsidRDefault="006F0EAE" w:rsidP="006F0EAE">
      <w:pPr>
        <w:rPr>
          <w:sz w:val="24"/>
          <w:szCs w:val="24"/>
          <w:lang w:val="bg-BG"/>
        </w:rPr>
      </w:pPr>
      <w:r w:rsidRPr="006F0EAE">
        <w:rPr>
          <w:lang w:val="bg-BG" w:eastAsia="bg-BG"/>
        </w:rPr>
        <w:t xml:space="preserve">При провеждане на </w:t>
      </w:r>
      <w:proofErr w:type="spellStart"/>
      <w:r w:rsidRPr="006F0EAE">
        <w:rPr>
          <w:lang w:val="bg-BG" w:eastAsia="bg-BG"/>
        </w:rPr>
        <w:t>хируругични</w:t>
      </w:r>
      <w:proofErr w:type="spellEnd"/>
      <w:r w:rsidRPr="006F0EAE">
        <w:rPr>
          <w:lang w:val="bg-BG" w:eastAsia="bg-BG"/>
        </w:rPr>
        <w:t xml:space="preserve"> операции в условия на хипотермия, нервно-мускулният блокиращ ефект на </w:t>
      </w:r>
      <w:proofErr w:type="spellStart"/>
      <w:r w:rsidRPr="006F0EAE">
        <w:rPr>
          <w:lang w:val="bg-BG" w:eastAsia="bg-BG"/>
        </w:rPr>
        <w:t>Есмерон</w:t>
      </w:r>
      <w:proofErr w:type="spellEnd"/>
      <w:r w:rsidRPr="006F0EAE">
        <w:rPr>
          <w:lang w:val="bg-BG" w:eastAsia="bg-BG"/>
        </w:rPr>
        <w:t xml:space="preserve"> се повишава, а продължителността на действие се удължава.</w:t>
      </w:r>
    </w:p>
    <w:p w14:paraId="17856307" w14:textId="77777777" w:rsidR="006F0EAE" w:rsidRDefault="006F0EAE" w:rsidP="006F0EAE">
      <w:pPr>
        <w:rPr>
          <w:u w:val="single"/>
          <w:lang w:val="bg-BG" w:eastAsia="bg-BG"/>
        </w:rPr>
      </w:pPr>
    </w:p>
    <w:p w14:paraId="16FBC8C5" w14:textId="0C1833BC" w:rsidR="006F0EAE" w:rsidRPr="006F0EAE" w:rsidRDefault="006F0EAE" w:rsidP="006F0EAE">
      <w:pPr>
        <w:rPr>
          <w:sz w:val="24"/>
          <w:szCs w:val="24"/>
          <w:lang w:val="bg-BG"/>
        </w:rPr>
      </w:pPr>
      <w:r w:rsidRPr="006F0EAE">
        <w:rPr>
          <w:u w:val="single"/>
          <w:lang w:val="bg-BG" w:eastAsia="bg-BG"/>
        </w:rPr>
        <w:t>Затлъстяване</w:t>
      </w:r>
    </w:p>
    <w:p w14:paraId="5451EA1C" w14:textId="77777777" w:rsidR="006F0EAE" w:rsidRPr="006F0EAE" w:rsidRDefault="006F0EAE" w:rsidP="006F0EAE">
      <w:pPr>
        <w:rPr>
          <w:sz w:val="24"/>
          <w:szCs w:val="24"/>
          <w:lang w:val="bg-BG"/>
        </w:rPr>
      </w:pPr>
      <w:r w:rsidRPr="006F0EAE">
        <w:rPr>
          <w:lang w:val="bg-BG" w:eastAsia="bg-BG"/>
        </w:rPr>
        <w:t xml:space="preserve">Както и при другите </w:t>
      </w:r>
      <w:proofErr w:type="spellStart"/>
      <w:r w:rsidRPr="006F0EAE">
        <w:rPr>
          <w:lang w:val="bg-BG" w:eastAsia="bg-BG"/>
        </w:rPr>
        <w:t>нервномускулни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w:t>
      </w:r>
      <w:proofErr w:type="spellStart"/>
      <w:r w:rsidRPr="006F0EAE">
        <w:rPr>
          <w:lang w:val="bg-BG" w:eastAsia="bg-BG"/>
        </w:rPr>
        <w:t>Есмерон</w:t>
      </w:r>
      <w:proofErr w:type="spellEnd"/>
      <w:r w:rsidRPr="006F0EAE">
        <w:rPr>
          <w:lang w:val="bg-BG" w:eastAsia="bg-BG"/>
        </w:rPr>
        <w:t xml:space="preserve"> може да окаже продължителен ефект и удължен период на спонтанно възстановяване при пациенти със затлъстяване, дори когато приложените дози са изчислени на базата на наличното телесно тегло.</w:t>
      </w:r>
    </w:p>
    <w:p w14:paraId="0177BA11" w14:textId="77777777" w:rsidR="006F0EAE" w:rsidRDefault="006F0EAE" w:rsidP="006F0EAE">
      <w:pPr>
        <w:rPr>
          <w:u w:val="single"/>
          <w:lang w:val="bg-BG" w:eastAsia="bg-BG"/>
        </w:rPr>
      </w:pPr>
    </w:p>
    <w:p w14:paraId="658F0504" w14:textId="0636DAE2" w:rsidR="006F0EAE" w:rsidRPr="006F0EAE" w:rsidRDefault="006F0EAE" w:rsidP="006F0EAE">
      <w:pPr>
        <w:rPr>
          <w:sz w:val="24"/>
          <w:szCs w:val="24"/>
          <w:lang w:val="bg-BG"/>
        </w:rPr>
      </w:pPr>
      <w:r w:rsidRPr="006F0EAE">
        <w:rPr>
          <w:u w:val="single"/>
          <w:lang w:val="bg-BG" w:eastAsia="bg-BG"/>
        </w:rPr>
        <w:t>Изгаряния</w:t>
      </w:r>
    </w:p>
    <w:p w14:paraId="3AC06A48" w14:textId="77777777" w:rsidR="006F0EAE" w:rsidRPr="006F0EAE" w:rsidRDefault="006F0EAE" w:rsidP="006F0EAE">
      <w:pPr>
        <w:rPr>
          <w:sz w:val="24"/>
          <w:szCs w:val="24"/>
          <w:lang w:val="bg-BG"/>
        </w:rPr>
      </w:pPr>
      <w:r w:rsidRPr="006F0EAE">
        <w:rPr>
          <w:lang w:val="bg-BG" w:eastAsia="bg-BG"/>
        </w:rPr>
        <w:t xml:space="preserve">Пациенти с изгаряния развиват резистентност към </w:t>
      </w:r>
      <w:proofErr w:type="spellStart"/>
      <w:r w:rsidRPr="006F0EAE">
        <w:rPr>
          <w:lang w:val="bg-BG" w:eastAsia="bg-BG"/>
        </w:rPr>
        <w:t>недеполяризиращи</w:t>
      </w:r>
      <w:proofErr w:type="spellEnd"/>
      <w:r w:rsidRPr="006F0EAE">
        <w:rPr>
          <w:lang w:val="bg-BG" w:eastAsia="bg-BG"/>
        </w:rPr>
        <w:t xml:space="preserve">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 xml:space="preserve">. Препоръчително е дозата да се </w:t>
      </w:r>
      <w:proofErr w:type="spellStart"/>
      <w:r w:rsidRPr="006F0EAE">
        <w:rPr>
          <w:lang w:val="bg-BG" w:eastAsia="bg-BG"/>
        </w:rPr>
        <w:t>титрира</w:t>
      </w:r>
      <w:proofErr w:type="spellEnd"/>
      <w:r w:rsidRPr="006F0EAE">
        <w:rPr>
          <w:lang w:val="bg-BG" w:eastAsia="bg-BG"/>
        </w:rPr>
        <w:t xml:space="preserve"> до реакция.</w:t>
      </w:r>
    </w:p>
    <w:p w14:paraId="00EFAFC5" w14:textId="77777777" w:rsidR="006F0EAE" w:rsidRDefault="006F0EAE" w:rsidP="006F0EAE">
      <w:pPr>
        <w:rPr>
          <w:u w:val="single"/>
          <w:lang w:val="bg-BG" w:eastAsia="bg-BG"/>
        </w:rPr>
      </w:pPr>
    </w:p>
    <w:p w14:paraId="02BA215B" w14:textId="5C5D4367" w:rsidR="006F0EAE" w:rsidRPr="006F0EAE" w:rsidRDefault="006F0EAE" w:rsidP="006F0EAE">
      <w:pPr>
        <w:rPr>
          <w:sz w:val="24"/>
          <w:szCs w:val="24"/>
          <w:lang w:val="bg-BG"/>
        </w:rPr>
      </w:pPr>
      <w:r w:rsidRPr="006F0EAE">
        <w:rPr>
          <w:u w:val="single"/>
          <w:lang w:val="bg-BG" w:eastAsia="bg-BG"/>
        </w:rPr>
        <w:t xml:space="preserve">Състояния, които могат да усилят ефекта на </w:t>
      </w:r>
      <w:proofErr w:type="spellStart"/>
      <w:r w:rsidRPr="006F0EAE">
        <w:rPr>
          <w:u w:val="single"/>
          <w:lang w:val="bg-BG" w:eastAsia="bg-BG"/>
        </w:rPr>
        <w:t>Есмерон</w:t>
      </w:r>
      <w:proofErr w:type="spellEnd"/>
    </w:p>
    <w:p w14:paraId="399E4154" w14:textId="77777777" w:rsidR="006F0EAE" w:rsidRPr="006F0EAE" w:rsidRDefault="006F0EAE" w:rsidP="006F0EAE">
      <w:pPr>
        <w:rPr>
          <w:sz w:val="24"/>
          <w:szCs w:val="24"/>
          <w:lang w:val="bg-BG"/>
        </w:rPr>
      </w:pPr>
      <w:r w:rsidRPr="006F0EAE">
        <w:rPr>
          <w:lang w:val="bg-BG" w:eastAsia="bg-BG"/>
        </w:rPr>
        <w:t xml:space="preserve">Хипокалиемия (т.е. след тежко повръщане, диария и диуретична терапия), </w:t>
      </w:r>
      <w:proofErr w:type="spellStart"/>
      <w:r w:rsidRPr="006F0EAE">
        <w:rPr>
          <w:lang w:val="bg-BG" w:eastAsia="bg-BG"/>
        </w:rPr>
        <w:t>хипермагнезиемия</w:t>
      </w:r>
      <w:proofErr w:type="spellEnd"/>
      <w:r w:rsidRPr="006F0EAE">
        <w:rPr>
          <w:lang w:val="bg-BG" w:eastAsia="bg-BG"/>
        </w:rPr>
        <w:t xml:space="preserve">, </w:t>
      </w:r>
      <w:proofErr w:type="spellStart"/>
      <w:r w:rsidRPr="006F0EAE">
        <w:rPr>
          <w:lang w:val="bg-BG" w:eastAsia="bg-BG"/>
        </w:rPr>
        <w:t>хипокалциемия</w:t>
      </w:r>
      <w:proofErr w:type="spellEnd"/>
      <w:r w:rsidRPr="006F0EAE">
        <w:rPr>
          <w:lang w:val="bg-BG" w:eastAsia="bg-BG"/>
        </w:rPr>
        <w:t xml:space="preserve"> (след масивни трансфузии), </w:t>
      </w:r>
      <w:proofErr w:type="spellStart"/>
      <w:r w:rsidRPr="006F0EAE">
        <w:rPr>
          <w:lang w:val="bg-BG" w:eastAsia="bg-BG"/>
        </w:rPr>
        <w:t>хипопротеинемия</w:t>
      </w:r>
      <w:proofErr w:type="spellEnd"/>
      <w:r w:rsidRPr="006F0EAE">
        <w:rPr>
          <w:lang w:val="bg-BG" w:eastAsia="bg-BG"/>
        </w:rPr>
        <w:t xml:space="preserve">, дехидратация, </w:t>
      </w:r>
      <w:proofErr w:type="spellStart"/>
      <w:r w:rsidRPr="006F0EAE">
        <w:rPr>
          <w:lang w:val="bg-BG" w:eastAsia="bg-BG"/>
        </w:rPr>
        <w:t>ацидоза</w:t>
      </w:r>
      <w:proofErr w:type="spellEnd"/>
      <w:r w:rsidRPr="006F0EAE">
        <w:rPr>
          <w:lang w:val="bg-BG" w:eastAsia="bg-BG"/>
        </w:rPr>
        <w:t xml:space="preserve">, </w:t>
      </w:r>
      <w:proofErr w:type="spellStart"/>
      <w:r w:rsidRPr="006F0EAE">
        <w:rPr>
          <w:lang w:val="bg-BG" w:eastAsia="bg-BG"/>
        </w:rPr>
        <w:t>хиперкапния</w:t>
      </w:r>
      <w:proofErr w:type="spellEnd"/>
      <w:r w:rsidRPr="006F0EAE">
        <w:rPr>
          <w:lang w:val="bg-BG" w:eastAsia="bg-BG"/>
        </w:rPr>
        <w:t xml:space="preserve">, </w:t>
      </w:r>
      <w:proofErr w:type="spellStart"/>
      <w:r w:rsidRPr="006F0EAE">
        <w:rPr>
          <w:lang w:val="bg-BG" w:eastAsia="bg-BG"/>
        </w:rPr>
        <w:t>кахексия</w:t>
      </w:r>
      <w:proofErr w:type="spellEnd"/>
      <w:r w:rsidRPr="006F0EAE">
        <w:rPr>
          <w:lang w:val="bg-BG" w:eastAsia="bg-BG"/>
        </w:rPr>
        <w:t>.</w:t>
      </w:r>
    </w:p>
    <w:p w14:paraId="073CFFE0" w14:textId="77777777" w:rsidR="006F0EAE" w:rsidRPr="006F0EAE" w:rsidRDefault="006F0EAE" w:rsidP="006F0EAE">
      <w:pPr>
        <w:rPr>
          <w:sz w:val="24"/>
          <w:szCs w:val="24"/>
          <w:lang w:val="bg-BG"/>
        </w:rPr>
      </w:pPr>
      <w:r w:rsidRPr="006F0EAE">
        <w:rPr>
          <w:lang w:val="bg-BG" w:eastAsia="bg-BG"/>
        </w:rPr>
        <w:t xml:space="preserve">Следователно острите електролитни нарушения, промененото </w:t>
      </w:r>
      <w:r w:rsidRPr="006F0EAE">
        <w:t xml:space="preserve">pH </w:t>
      </w:r>
      <w:r w:rsidRPr="006F0EAE">
        <w:rPr>
          <w:lang w:val="bg-BG" w:eastAsia="bg-BG"/>
        </w:rPr>
        <w:t>на кръвта или дехидратацията трябва да бъдат коригирани, доколкото е възможно.</w:t>
      </w:r>
    </w:p>
    <w:p w14:paraId="0477E620" w14:textId="77777777" w:rsidR="006F0EAE" w:rsidRDefault="006F0EAE" w:rsidP="006F0EAE">
      <w:pPr>
        <w:rPr>
          <w:u w:val="single"/>
          <w:lang w:val="bg-BG" w:eastAsia="bg-BG"/>
        </w:rPr>
      </w:pPr>
    </w:p>
    <w:p w14:paraId="4A30DC03" w14:textId="6929D25B" w:rsidR="006F0EAE" w:rsidRPr="006F0EAE" w:rsidRDefault="006F0EAE" w:rsidP="006F0EAE">
      <w:pPr>
        <w:rPr>
          <w:sz w:val="24"/>
          <w:szCs w:val="24"/>
          <w:lang w:val="bg-BG"/>
        </w:rPr>
      </w:pPr>
      <w:r w:rsidRPr="006F0EAE">
        <w:rPr>
          <w:u w:val="single"/>
          <w:lang w:val="bg-BG" w:eastAsia="bg-BG"/>
        </w:rPr>
        <w:t>Натрий</w:t>
      </w:r>
    </w:p>
    <w:p w14:paraId="4F753C4D" w14:textId="77777777" w:rsidR="006F0EAE" w:rsidRPr="006F0EAE" w:rsidRDefault="006F0EAE" w:rsidP="006F0EAE">
      <w:pPr>
        <w:rPr>
          <w:sz w:val="24"/>
          <w:szCs w:val="24"/>
          <w:lang w:val="bg-BG"/>
        </w:rPr>
      </w:pPr>
      <w:r w:rsidRPr="006F0EAE">
        <w:rPr>
          <w:lang w:val="bg-BG" w:eastAsia="bg-BG"/>
        </w:rPr>
        <w:t xml:space="preserve">Това лекарство съдържа по-малко от 1 </w:t>
      </w:r>
      <w:r w:rsidRPr="006F0EAE">
        <w:t xml:space="preserve">mmol </w:t>
      </w:r>
      <w:r w:rsidRPr="006F0EAE">
        <w:rPr>
          <w:lang w:val="bg-BG" w:eastAsia="bg-BG"/>
        </w:rPr>
        <w:t xml:space="preserve">натрий (23 </w:t>
      </w:r>
      <w:r w:rsidRPr="006F0EAE">
        <w:t xml:space="preserve">mg) </w:t>
      </w:r>
      <w:r w:rsidRPr="006F0EAE">
        <w:rPr>
          <w:lang w:val="bg-BG" w:eastAsia="bg-BG"/>
        </w:rPr>
        <w:t xml:space="preserve">на </w:t>
      </w:r>
      <w:proofErr w:type="spellStart"/>
      <w:r w:rsidRPr="006F0EAE">
        <w:rPr>
          <w:lang w:val="bg-BG" w:eastAsia="bg-BG"/>
        </w:rPr>
        <w:t>милилитьр</w:t>
      </w:r>
      <w:proofErr w:type="spellEnd"/>
      <w:r w:rsidRPr="006F0EAE">
        <w:rPr>
          <w:lang w:val="bg-BG" w:eastAsia="bg-BG"/>
        </w:rPr>
        <w:t>, т.е. може да се каже, че практически не съдържа натрий.</w:t>
      </w:r>
    </w:p>
    <w:p w14:paraId="63E20BB2" w14:textId="5F972E50" w:rsidR="006F0EAE" w:rsidRPr="006F0EAE" w:rsidRDefault="006F0EAE" w:rsidP="006F0EAE"/>
    <w:p w14:paraId="78BEBB3D" w14:textId="06C406D0" w:rsidR="002C50EE" w:rsidRDefault="002C50EE" w:rsidP="002C50EE">
      <w:pPr>
        <w:pStyle w:val="Heading2"/>
      </w:pPr>
      <w:r>
        <w:t xml:space="preserve">4.5. </w:t>
      </w:r>
      <w:proofErr w:type="spellStart"/>
      <w:r>
        <w:t>Взаимодействие</w:t>
      </w:r>
      <w:proofErr w:type="spellEnd"/>
      <w:r>
        <w:t xml:space="preserve"> с </w:t>
      </w:r>
      <w:proofErr w:type="spellStart"/>
      <w:r>
        <w:t>други</w:t>
      </w:r>
      <w:proofErr w:type="spellEnd"/>
      <w:r>
        <w:t xml:space="preserve"> </w:t>
      </w:r>
      <w:proofErr w:type="spellStart"/>
      <w:r>
        <w:t>лекарствени</w:t>
      </w:r>
      <w:proofErr w:type="spellEnd"/>
      <w:r>
        <w:t xml:space="preserve"> </w:t>
      </w:r>
      <w:proofErr w:type="spellStart"/>
      <w:r>
        <w:t>продукти</w:t>
      </w:r>
      <w:proofErr w:type="spellEnd"/>
      <w:r>
        <w:t xml:space="preserve"> и </w:t>
      </w:r>
      <w:proofErr w:type="spellStart"/>
      <w:r>
        <w:t>други</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взаимодействие</w:t>
      </w:r>
      <w:proofErr w:type="spellEnd"/>
    </w:p>
    <w:p w14:paraId="3832536E" w14:textId="77777777" w:rsidR="006F0EAE" w:rsidRDefault="006F0EAE" w:rsidP="006F0EAE">
      <w:pPr>
        <w:spacing w:line="240" w:lineRule="auto"/>
        <w:rPr>
          <w:rFonts w:ascii="Times New Roman" w:eastAsia="Times New Roman" w:hAnsi="Times New Roman" w:cs="Times New Roman"/>
          <w:color w:val="000000"/>
          <w:lang w:val="bg-BG" w:eastAsia="bg-BG"/>
        </w:rPr>
      </w:pPr>
    </w:p>
    <w:p w14:paraId="204FBE1C" w14:textId="1D0732BE" w:rsidR="006F0EAE" w:rsidRPr="006F0EAE" w:rsidRDefault="006F0EAE" w:rsidP="006F0EAE">
      <w:pPr>
        <w:rPr>
          <w:sz w:val="24"/>
          <w:szCs w:val="24"/>
          <w:lang w:val="bg-BG"/>
        </w:rPr>
      </w:pPr>
      <w:r w:rsidRPr="006F0EAE">
        <w:rPr>
          <w:lang w:val="bg-BG" w:eastAsia="bg-BG"/>
        </w:rPr>
        <w:t xml:space="preserve">Съществуват данни, че употребата на долупосочените лекарствени продукти може да промени силата и/или продължителността на </w:t>
      </w:r>
      <w:proofErr w:type="spellStart"/>
      <w:r w:rsidRPr="006F0EAE">
        <w:rPr>
          <w:lang w:val="bg-BG" w:eastAsia="bg-BG"/>
        </w:rPr>
        <w:t>недеполяризиращите</w:t>
      </w:r>
      <w:proofErr w:type="spellEnd"/>
      <w:r w:rsidRPr="006F0EAE">
        <w:rPr>
          <w:lang w:val="bg-BG" w:eastAsia="bg-BG"/>
        </w:rPr>
        <w:t xml:space="preserve"> </w:t>
      </w:r>
      <w:proofErr w:type="spellStart"/>
      <w:r w:rsidRPr="006F0EAE">
        <w:rPr>
          <w:lang w:val="bg-BG" w:eastAsia="bg-BG"/>
        </w:rPr>
        <w:t>невромускулни</w:t>
      </w:r>
      <w:proofErr w:type="spellEnd"/>
      <w:r w:rsidRPr="006F0EAE">
        <w:rPr>
          <w:lang w:val="bg-BG" w:eastAsia="bg-BG"/>
        </w:rPr>
        <w:t xml:space="preserve"> </w:t>
      </w:r>
      <w:proofErr w:type="spellStart"/>
      <w:r w:rsidRPr="006F0EAE">
        <w:rPr>
          <w:lang w:val="bg-BG" w:eastAsia="bg-BG"/>
        </w:rPr>
        <w:t>блокери</w:t>
      </w:r>
      <w:proofErr w:type="spellEnd"/>
      <w:r w:rsidRPr="006F0EAE">
        <w:rPr>
          <w:lang w:val="bg-BG" w:eastAsia="bg-BG"/>
        </w:rPr>
        <w:t>:</w:t>
      </w:r>
    </w:p>
    <w:p w14:paraId="7F7001DA" w14:textId="77777777" w:rsidR="006F0EAE" w:rsidRDefault="006F0EAE" w:rsidP="006F0EAE">
      <w:pPr>
        <w:rPr>
          <w:b/>
          <w:bCs/>
          <w:lang w:val="bg-BG" w:eastAsia="bg-BG"/>
        </w:rPr>
      </w:pPr>
    </w:p>
    <w:p w14:paraId="2E3D0B58" w14:textId="7DB76379" w:rsidR="006F0EAE" w:rsidRPr="006F0EAE" w:rsidRDefault="006F0EAE" w:rsidP="006F0EAE">
      <w:pPr>
        <w:rPr>
          <w:sz w:val="24"/>
          <w:szCs w:val="24"/>
          <w:lang w:val="bg-BG"/>
        </w:rPr>
      </w:pPr>
      <w:r w:rsidRPr="006F0EAE">
        <w:rPr>
          <w:b/>
          <w:bCs/>
          <w:lang w:val="bg-BG" w:eastAsia="bg-BG"/>
        </w:rPr>
        <w:t xml:space="preserve">Ефект от други лекарства върху </w:t>
      </w:r>
      <w:proofErr w:type="spellStart"/>
      <w:r w:rsidRPr="006F0EAE">
        <w:rPr>
          <w:b/>
          <w:bCs/>
          <w:lang w:val="bg-BG" w:eastAsia="bg-BG"/>
        </w:rPr>
        <w:t>Есмерон</w:t>
      </w:r>
      <w:proofErr w:type="spellEnd"/>
    </w:p>
    <w:p w14:paraId="4277EF25" w14:textId="77777777" w:rsidR="006F0EAE" w:rsidRDefault="006F0EAE" w:rsidP="006F0EAE">
      <w:pPr>
        <w:rPr>
          <w:u w:val="single"/>
          <w:lang w:val="bg-BG" w:eastAsia="bg-BG"/>
        </w:rPr>
      </w:pPr>
    </w:p>
    <w:p w14:paraId="76E8FA45" w14:textId="070413CA" w:rsidR="006F0EAE" w:rsidRPr="006F0EAE" w:rsidRDefault="006F0EAE" w:rsidP="006F0EAE">
      <w:pPr>
        <w:rPr>
          <w:sz w:val="24"/>
          <w:szCs w:val="24"/>
          <w:lang w:val="bg-BG"/>
        </w:rPr>
      </w:pPr>
      <w:r w:rsidRPr="006F0EAE">
        <w:rPr>
          <w:u w:val="single"/>
          <w:lang w:val="bg-BG" w:eastAsia="bg-BG"/>
        </w:rPr>
        <w:t>Повишен ефект</w:t>
      </w:r>
    </w:p>
    <w:p w14:paraId="62D617F5" w14:textId="77777777" w:rsidR="006F0EAE" w:rsidRPr="006F0EAE" w:rsidRDefault="006F0EAE" w:rsidP="006F0EAE">
      <w:pPr>
        <w:pStyle w:val="ListParagraph"/>
        <w:numPr>
          <w:ilvl w:val="0"/>
          <w:numId w:val="18"/>
        </w:numPr>
        <w:rPr>
          <w:lang w:val="bg-BG" w:eastAsia="bg-BG"/>
        </w:rPr>
      </w:pPr>
      <w:proofErr w:type="spellStart"/>
      <w:r w:rsidRPr="006F0EAE">
        <w:rPr>
          <w:lang w:val="bg-BG" w:eastAsia="bg-BG"/>
        </w:rPr>
        <w:t>Халогенирани</w:t>
      </w:r>
      <w:proofErr w:type="spellEnd"/>
      <w:r w:rsidRPr="006F0EAE">
        <w:rPr>
          <w:lang w:val="bg-BG" w:eastAsia="bg-BG"/>
        </w:rPr>
        <w:t xml:space="preserve"> летливи </w:t>
      </w:r>
      <w:proofErr w:type="spellStart"/>
      <w:r w:rsidRPr="006F0EAE">
        <w:rPr>
          <w:lang w:val="bg-BG" w:eastAsia="bg-BG"/>
        </w:rPr>
        <w:t>анестетици</w:t>
      </w:r>
      <w:proofErr w:type="spellEnd"/>
      <w:r w:rsidRPr="006F0EAE">
        <w:rPr>
          <w:lang w:val="bg-BG" w:eastAsia="bg-BG"/>
        </w:rPr>
        <w:t xml:space="preserve"> усилват </w:t>
      </w:r>
      <w:proofErr w:type="spellStart"/>
      <w:r w:rsidRPr="006F0EAE">
        <w:rPr>
          <w:lang w:val="bg-BG" w:eastAsia="bg-BG"/>
        </w:rPr>
        <w:t>невромускулния</w:t>
      </w:r>
      <w:proofErr w:type="spellEnd"/>
      <w:r w:rsidRPr="006F0EAE">
        <w:rPr>
          <w:lang w:val="bg-BG" w:eastAsia="bg-BG"/>
        </w:rPr>
        <w:t xml:space="preserve"> блок на </w:t>
      </w:r>
      <w:proofErr w:type="spellStart"/>
      <w:r w:rsidRPr="006F0EAE">
        <w:rPr>
          <w:lang w:val="bg-BG" w:eastAsia="bg-BG"/>
        </w:rPr>
        <w:t>Есмерон</w:t>
      </w:r>
      <w:proofErr w:type="spellEnd"/>
      <w:r w:rsidRPr="006F0EAE">
        <w:rPr>
          <w:lang w:val="bg-BG" w:eastAsia="bg-BG"/>
        </w:rPr>
        <w:t xml:space="preserve">. Ефектът става видим само с поддържащо дозиране (вж. точка 4.2) Отмяната на блока с </w:t>
      </w:r>
      <w:proofErr w:type="spellStart"/>
      <w:r w:rsidRPr="006F0EAE">
        <w:rPr>
          <w:lang w:val="bg-BG" w:eastAsia="bg-BG"/>
        </w:rPr>
        <w:t>ацетилхолинестеразни</w:t>
      </w:r>
      <w:proofErr w:type="spellEnd"/>
      <w:r w:rsidRPr="006F0EAE">
        <w:rPr>
          <w:lang w:val="bg-BG" w:eastAsia="bg-BG"/>
        </w:rPr>
        <w:t xml:space="preserve"> инхибитори може също да бъде забавено.</w:t>
      </w:r>
    </w:p>
    <w:p w14:paraId="4A620B9D" w14:textId="77777777" w:rsidR="006F0EAE" w:rsidRPr="006F0EAE" w:rsidRDefault="006F0EAE" w:rsidP="006F0EAE">
      <w:pPr>
        <w:pStyle w:val="ListParagraph"/>
        <w:numPr>
          <w:ilvl w:val="0"/>
          <w:numId w:val="18"/>
        </w:numPr>
        <w:rPr>
          <w:lang w:val="bg-BG" w:eastAsia="bg-BG"/>
        </w:rPr>
      </w:pPr>
      <w:r w:rsidRPr="006F0EAE">
        <w:rPr>
          <w:lang w:val="bg-BG" w:eastAsia="bg-BG"/>
        </w:rPr>
        <w:t xml:space="preserve">След </w:t>
      </w:r>
      <w:proofErr w:type="spellStart"/>
      <w:r w:rsidRPr="006F0EAE">
        <w:rPr>
          <w:lang w:val="bg-BG" w:eastAsia="bg-BG"/>
        </w:rPr>
        <w:t>интубация</w:t>
      </w:r>
      <w:proofErr w:type="spellEnd"/>
      <w:r w:rsidRPr="006F0EAE">
        <w:rPr>
          <w:lang w:val="bg-BG" w:eastAsia="bg-BG"/>
        </w:rPr>
        <w:t xml:space="preserve"> със </w:t>
      </w:r>
      <w:proofErr w:type="spellStart"/>
      <w:r w:rsidRPr="006F0EAE">
        <w:rPr>
          <w:lang w:val="bg-BG" w:eastAsia="bg-BG"/>
        </w:rPr>
        <w:t>сукцинилхолин</w:t>
      </w:r>
      <w:proofErr w:type="spellEnd"/>
      <w:r w:rsidRPr="006F0EAE">
        <w:rPr>
          <w:lang w:val="bg-BG" w:eastAsia="bg-BG"/>
        </w:rPr>
        <w:t xml:space="preserve"> (вж. точка 4.4).</w:t>
      </w:r>
    </w:p>
    <w:p w14:paraId="5A9C931C" w14:textId="1C84728E" w:rsidR="006F0EAE" w:rsidRPr="006F0EAE" w:rsidRDefault="006F0EAE" w:rsidP="006F0EAE">
      <w:pPr>
        <w:pStyle w:val="ListParagraph"/>
        <w:numPr>
          <w:ilvl w:val="0"/>
          <w:numId w:val="18"/>
        </w:numPr>
        <w:rPr>
          <w:lang w:val="bg-BG" w:eastAsia="bg-BG"/>
        </w:rPr>
      </w:pPr>
      <w:r w:rsidRPr="006F0EAE">
        <w:rPr>
          <w:lang w:val="bg-BG" w:eastAsia="bg-BG"/>
        </w:rPr>
        <w:t xml:space="preserve">Продължителна съвместна употреба на кортикостероиди и </w:t>
      </w:r>
      <w:proofErr w:type="spellStart"/>
      <w:r w:rsidRPr="006F0EAE">
        <w:rPr>
          <w:lang w:val="bg-BG" w:eastAsia="bg-BG"/>
        </w:rPr>
        <w:t>Есмерон</w:t>
      </w:r>
      <w:proofErr w:type="spellEnd"/>
      <w:r w:rsidRPr="006F0EAE">
        <w:rPr>
          <w:lang w:val="bg-BG" w:eastAsia="bg-BG"/>
        </w:rPr>
        <w:t xml:space="preserve"> в спешната медицина</w:t>
      </w:r>
      <w:r>
        <w:rPr>
          <w:lang w:eastAsia="bg-BG"/>
        </w:rPr>
        <w:t xml:space="preserve"> </w:t>
      </w:r>
      <w:r w:rsidRPr="006F0EAE">
        <w:rPr>
          <w:lang w:val="bg-BG" w:eastAsia="bg-BG"/>
        </w:rPr>
        <w:t xml:space="preserve">може да се отрази в удължено времетраене на </w:t>
      </w:r>
      <w:proofErr w:type="spellStart"/>
      <w:r w:rsidRPr="006F0EAE">
        <w:rPr>
          <w:lang w:val="bg-BG" w:eastAsia="bg-BG"/>
        </w:rPr>
        <w:t>невромускулния</w:t>
      </w:r>
      <w:proofErr w:type="spellEnd"/>
      <w:r w:rsidRPr="006F0EAE">
        <w:rPr>
          <w:lang w:val="bg-BG" w:eastAsia="bg-BG"/>
        </w:rPr>
        <w:t xml:space="preserve"> блок или </w:t>
      </w:r>
      <w:proofErr w:type="spellStart"/>
      <w:r w:rsidRPr="006F0EAE">
        <w:rPr>
          <w:lang w:val="bg-BG" w:eastAsia="bg-BG"/>
        </w:rPr>
        <w:t>миопатия</w:t>
      </w:r>
      <w:proofErr w:type="spellEnd"/>
      <w:r w:rsidRPr="006F0EAE">
        <w:rPr>
          <w:lang w:val="bg-BG" w:eastAsia="bg-BG"/>
        </w:rPr>
        <w:t xml:space="preserve"> (вж. точки 4.4 и 4.8).</w:t>
      </w:r>
    </w:p>
    <w:p w14:paraId="37791E4E" w14:textId="77777777" w:rsidR="006F0EAE" w:rsidRDefault="006F0EAE" w:rsidP="006F0EAE">
      <w:pPr>
        <w:rPr>
          <w:lang w:val="bg-BG" w:eastAsia="bg-BG"/>
        </w:rPr>
      </w:pPr>
    </w:p>
    <w:p w14:paraId="43C46CCB" w14:textId="0E1E3237" w:rsidR="006F0EAE" w:rsidRPr="006F0EAE" w:rsidRDefault="006F0EAE" w:rsidP="006F0EAE">
      <w:pPr>
        <w:rPr>
          <w:sz w:val="24"/>
          <w:szCs w:val="24"/>
          <w:lang w:val="bg-BG"/>
        </w:rPr>
      </w:pPr>
      <w:r w:rsidRPr="006F0EAE">
        <w:rPr>
          <w:lang w:val="bg-BG" w:eastAsia="bg-BG"/>
        </w:rPr>
        <w:t>Други лекарства</w:t>
      </w:r>
    </w:p>
    <w:p w14:paraId="618E767E" w14:textId="77777777" w:rsidR="006F0EAE" w:rsidRPr="006F0EAE" w:rsidRDefault="006F0EAE" w:rsidP="006F0EAE">
      <w:pPr>
        <w:pStyle w:val="ListParagraph"/>
        <w:numPr>
          <w:ilvl w:val="0"/>
          <w:numId w:val="19"/>
        </w:numPr>
        <w:rPr>
          <w:lang w:val="bg-BG" w:eastAsia="bg-BG"/>
        </w:rPr>
      </w:pPr>
      <w:r w:rsidRPr="006F0EAE">
        <w:rPr>
          <w:lang w:val="bg-BG" w:eastAsia="bg-BG"/>
        </w:rPr>
        <w:t xml:space="preserve">антибиотици: </w:t>
      </w:r>
      <w:proofErr w:type="spellStart"/>
      <w:r w:rsidRPr="006F0EAE">
        <w:rPr>
          <w:lang w:val="bg-BG" w:eastAsia="bg-BG"/>
        </w:rPr>
        <w:t>аминогликозиди</w:t>
      </w:r>
      <w:proofErr w:type="spellEnd"/>
      <w:r w:rsidRPr="006F0EAE">
        <w:rPr>
          <w:lang w:val="bg-BG" w:eastAsia="bg-BG"/>
        </w:rPr>
        <w:t xml:space="preserve">, </w:t>
      </w:r>
      <w:proofErr w:type="spellStart"/>
      <w:r w:rsidRPr="006F0EAE">
        <w:rPr>
          <w:lang w:val="bg-BG" w:eastAsia="bg-BG"/>
        </w:rPr>
        <w:t>линкозамиди</w:t>
      </w:r>
      <w:proofErr w:type="spellEnd"/>
      <w:r w:rsidRPr="006F0EAE">
        <w:rPr>
          <w:lang w:val="bg-BG" w:eastAsia="bg-BG"/>
        </w:rPr>
        <w:t xml:space="preserve"> и </w:t>
      </w:r>
      <w:proofErr w:type="spellStart"/>
      <w:r w:rsidRPr="006F0EAE">
        <w:rPr>
          <w:lang w:val="bg-BG" w:eastAsia="bg-BG"/>
        </w:rPr>
        <w:t>полипептидни</w:t>
      </w:r>
      <w:proofErr w:type="spellEnd"/>
      <w:r w:rsidRPr="006F0EAE">
        <w:rPr>
          <w:lang w:val="bg-BG" w:eastAsia="bg-BG"/>
        </w:rPr>
        <w:t xml:space="preserve"> антибиотици, </w:t>
      </w:r>
      <w:proofErr w:type="spellStart"/>
      <w:r w:rsidRPr="006F0EAE">
        <w:rPr>
          <w:lang w:val="bg-BG" w:eastAsia="bg-BG"/>
        </w:rPr>
        <w:t>ациламинопеницилини</w:t>
      </w:r>
      <w:proofErr w:type="spellEnd"/>
      <w:r w:rsidRPr="006F0EAE">
        <w:rPr>
          <w:lang w:val="bg-BG" w:eastAsia="bg-BG"/>
        </w:rPr>
        <w:t>.</w:t>
      </w:r>
    </w:p>
    <w:p w14:paraId="3164BC4E" w14:textId="77777777" w:rsidR="006F0EAE" w:rsidRPr="006F0EAE" w:rsidRDefault="006F0EAE" w:rsidP="006F0EAE">
      <w:pPr>
        <w:pStyle w:val="ListParagraph"/>
        <w:numPr>
          <w:ilvl w:val="0"/>
          <w:numId w:val="19"/>
        </w:numPr>
        <w:rPr>
          <w:lang w:val="bg-BG" w:eastAsia="bg-BG"/>
        </w:rPr>
      </w:pPr>
      <w:proofErr w:type="spellStart"/>
      <w:r w:rsidRPr="006F0EAE">
        <w:rPr>
          <w:lang w:val="bg-BG" w:eastAsia="bg-BG"/>
        </w:rPr>
        <w:t>диуретици</w:t>
      </w:r>
      <w:proofErr w:type="spellEnd"/>
      <w:r w:rsidRPr="006F0EAE">
        <w:rPr>
          <w:lang w:val="bg-BG" w:eastAsia="bg-BG"/>
        </w:rPr>
        <w:t xml:space="preserve">, </w:t>
      </w:r>
      <w:proofErr w:type="spellStart"/>
      <w:r w:rsidRPr="006F0EAE">
        <w:rPr>
          <w:lang w:val="bg-BG" w:eastAsia="bg-BG"/>
        </w:rPr>
        <w:t>хинидин</w:t>
      </w:r>
      <w:proofErr w:type="spellEnd"/>
      <w:r w:rsidRPr="006F0EAE">
        <w:rPr>
          <w:lang w:val="bg-BG" w:eastAsia="bg-BG"/>
        </w:rPr>
        <w:t xml:space="preserve"> и неговия изомер хинин, магнезиеви соли, агенти, блокиращи калциевите канали, литиеви соли, локални </w:t>
      </w:r>
      <w:proofErr w:type="spellStart"/>
      <w:r w:rsidRPr="006F0EAE">
        <w:rPr>
          <w:lang w:val="bg-BG" w:eastAsia="bg-BG"/>
        </w:rPr>
        <w:t>анестетици</w:t>
      </w:r>
      <w:proofErr w:type="spellEnd"/>
      <w:r w:rsidRPr="006F0EAE">
        <w:rPr>
          <w:lang w:val="bg-BG" w:eastAsia="bg-BG"/>
        </w:rPr>
        <w:t xml:space="preserve"> (</w:t>
      </w:r>
      <w:proofErr w:type="spellStart"/>
      <w:r w:rsidRPr="006F0EAE">
        <w:rPr>
          <w:lang w:val="bg-BG" w:eastAsia="bg-BG"/>
        </w:rPr>
        <w:t>лидокаин</w:t>
      </w:r>
      <w:proofErr w:type="spellEnd"/>
      <w:r w:rsidRPr="006F0EAE">
        <w:rPr>
          <w:lang w:val="bg-BG" w:eastAsia="bg-BG"/>
        </w:rPr>
        <w:t xml:space="preserve"> венозно, </w:t>
      </w:r>
      <w:proofErr w:type="spellStart"/>
      <w:r w:rsidRPr="006F0EAE">
        <w:rPr>
          <w:lang w:val="bg-BG" w:eastAsia="bg-BG"/>
        </w:rPr>
        <w:t>бупивакаин</w:t>
      </w:r>
      <w:proofErr w:type="spellEnd"/>
      <w:r w:rsidRPr="006F0EAE">
        <w:rPr>
          <w:lang w:val="bg-BG" w:eastAsia="bg-BG"/>
        </w:rPr>
        <w:t xml:space="preserve"> </w:t>
      </w:r>
      <w:proofErr w:type="spellStart"/>
      <w:r w:rsidRPr="006F0EAE">
        <w:rPr>
          <w:lang w:val="bg-BG" w:eastAsia="bg-BG"/>
        </w:rPr>
        <w:t>епидурално</w:t>
      </w:r>
      <w:proofErr w:type="spellEnd"/>
      <w:r w:rsidRPr="006F0EAE">
        <w:rPr>
          <w:lang w:val="bg-BG" w:eastAsia="bg-BG"/>
        </w:rPr>
        <w:t xml:space="preserve">) и акутно прилагане на </w:t>
      </w:r>
      <w:proofErr w:type="spellStart"/>
      <w:r w:rsidRPr="006F0EAE">
        <w:rPr>
          <w:lang w:val="bg-BG" w:eastAsia="bg-BG"/>
        </w:rPr>
        <w:t>фенитоин</w:t>
      </w:r>
      <w:proofErr w:type="spellEnd"/>
      <w:r w:rsidRPr="006F0EAE">
        <w:rPr>
          <w:lang w:val="bg-BG" w:eastAsia="bg-BG"/>
        </w:rPr>
        <w:t xml:space="preserve"> или (</w:t>
      </w:r>
      <w:r w:rsidRPr="006F0EAE">
        <w:t>β</w:t>
      </w:r>
      <w:r w:rsidRPr="006F0EAE">
        <w:rPr>
          <w:lang w:val="bg-BG" w:eastAsia="bg-BG"/>
        </w:rPr>
        <w:t>-</w:t>
      </w:r>
      <w:proofErr w:type="spellStart"/>
      <w:r w:rsidRPr="006F0EAE">
        <w:rPr>
          <w:lang w:val="bg-BG" w:eastAsia="bg-BG"/>
        </w:rPr>
        <w:t>блокери</w:t>
      </w:r>
      <w:proofErr w:type="spellEnd"/>
      <w:r w:rsidRPr="006F0EAE">
        <w:rPr>
          <w:lang w:val="bg-BG" w:eastAsia="bg-BG"/>
        </w:rPr>
        <w:t>.</w:t>
      </w:r>
    </w:p>
    <w:p w14:paraId="70EF3494" w14:textId="77777777" w:rsidR="006F0EAE" w:rsidRDefault="006F0EAE" w:rsidP="006F0EAE">
      <w:pPr>
        <w:rPr>
          <w:lang w:val="bg-BG" w:eastAsia="bg-BG"/>
        </w:rPr>
      </w:pPr>
    </w:p>
    <w:p w14:paraId="0098D1D5" w14:textId="3C8C6443" w:rsidR="006F0EAE" w:rsidRPr="006F0EAE" w:rsidRDefault="006F0EAE" w:rsidP="006F0EAE">
      <w:pPr>
        <w:rPr>
          <w:sz w:val="24"/>
          <w:szCs w:val="24"/>
          <w:lang w:val="bg-BG"/>
        </w:rPr>
      </w:pPr>
      <w:r w:rsidRPr="006F0EAE">
        <w:rPr>
          <w:lang w:val="bg-BG" w:eastAsia="bg-BG"/>
        </w:rPr>
        <w:t xml:space="preserve">Съобщава се за възстановяване на кураре подобния ефект след постоперативно прилагане на </w:t>
      </w:r>
      <w:proofErr w:type="spellStart"/>
      <w:r w:rsidRPr="006F0EAE">
        <w:rPr>
          <w:lang w:val="bg-BG" w:eastAsia="bg-BG"/>
        </w:rPr>
        <w:t>аминигликозидни</w:t>
      </w:r>
      <w:proofErr w:type="spellEnd"/>
      <w:r w:rsidRPr="006F0EAE">
        <w:rPr>
          <w:lang w:val="bg-BG" w:eastAsia="bg-BG"/>
        </w:rPr>
        <w:t xml:space="preserve">, </w:t>
      </w:r>
      <w:proofErr w:type="spellStart"/>
      <w:r w:rsidRPr="006F0EAE">
        <w:rPr>
          <w:lang w:val="bg-BG" w:eastAsia="bg-BG"/>
        </w:rPr>
        <w:t>линкозамидни</w:t>
      </w:r>
      <w:proofErr w:type="spellEnd"/>
      <w:r w:rsidRPr="006F0EAE">
        <w:rPr>
          <w:lang w:val="bg-BG" w:eastAsia="bg-BG"/>
        </w:rPr>
        <w:t xml:space="preserve">, </w:t>
      </w:r>
      <w:proofErr w:type="spellStart"/>
      <w:r w:rsidRPr="006F0EAE">
        <w:rPr>
          <w:lang w:val="bg-BG" w:eastAsia="bg-BG"/>
        </w:rPr>
        <w:t>полипептидни</w:t>
      </w:r>
      <w:proofErr w:type="spellEnd"/>
      <w:r w:rsidRPr="006F0EAE">
        <w:rPr>
          <w:lang w:val="bg-BG" w:eastAsia="bg-BG"/>
        </w:rPr>
        <w:t xml:space="preserve"> и </w:t>
      </w:r>
      <w:proofErr w:type="spellStart"/>
      <w:r w:rsidRPr="006F0EAE">
        <w:rPr>
          <w:lang w:val="bg-BG" w:eastAsia="bg-BG"/>
        </w:rPr>
        <w:t>ациламино</w:t>
      </w:r>
      <w:proofErr w:type="spellEnd"/>
      <w:r w:rsidRPr="006F0EAE">
        <w:rPr>
          <w:lang w:val="bg-BG" w:eastAsia="bg-BG"/>
        </w:rPr>
        <w:t xml:space="preserve">-пеницилинови антибиотици, </w:t>
      </w:r>
      <w:proofErr w:type="spellStart"/>
      <w:r w:rsidRPr="006F0EAE">
        <w:rPr>
          <w:lang w:val="bg-BG" w:eastAsia="bg-BG"/>
        </w:rPr>
        <w:t>хинидин</w:t>
      </w:r>
      <w:proofErr w:type="spellEnd"/>
      <w:r w:rsidRPr="006F0EAE">
        <w:rPr>
          <w:lang w:val="bg-BG" w:eastAsia="bg-BG"/>
        </w:rPr>
        <w:t>, хинин и магнезиеви соли (вж. точка 4.4).</w:t>
      </w:r>
    </w:p>
    <w:p w14:paraId="413FC464" w14:textId="77777777" w:rsidR="006F0EAE" w:rsidRDefault="006F0EAE" w:rsidP="006F0EAE">
      <w:pPr>
        <w:rPr>
          <w:u w:val="single"/>
          <w:lang w:val="bg-BG" w:eastAsia="bg-BG"/>
        </w:rPr>
      </w:pPr>
    </w:p>
    <w:p w14:paraId="01B69586" w14:textId="23C11498" w:rsidR="006F0EAE" w:rsidRPr="006F0EAE" w:rsidRDefault="006F0EAE" w:rsidP="006F0EAE">
      <w:pPr>
        <w:rPr>
          <w:sz w:val="24"/>
          <w:szCs w:val="24"/>
          <w:lang w:val="bg-BG"/>
        </w:rPr>
      </w:pPr>
      <w:r w:rsidRPr="006F0EAE">
        <w:rPr>
          <w:u w:val="single"/>
          <w:lang w:val="bg-BG" w:eastAsia="bg-BG"/>
        </w:rPr>
        <w:t>Понижен ефект</w:t>
      </w:r>
    </w:p>
    <w:p w14:paraId="5492F18C" w14:textId="77777777" w:rsidR="006F0EAE" w:rsidRPr="006F0EAE" w:rsidRDefault="006F0EAE" w:rsidP="006F0EAE">
      <w:pPr>
        <w:pStyle w:val="ListParagraph"/>
        <w:numPr>
          <w:ilvl w:val="0"/>
          <w:numId w:val="20"/>
        </w:numPr>
        <w:rPr>
          <w:lang w:val="bg-BG" w:eastAsia="bg-BG"/>
        </w:rPr>
      </w:pPr>
      <w:r w:rsidRPr="006F0EAE">
        <w:rPr>
          <w:lang w:val="bg-BG" w:eastAsia="bg-BG"/>
        </w:rPr>
        <w:t xml:space="preserve">Предшестващо хронично приложение на </w:t>
      </w:r>
      <w:proofErr w:type="spellStart"/>
      <w:r w:rsidRPr="006F0EAE">
        <w:rPr>
          <w:lang w:val="bg-BG" w:eastAsia="bg-BG"/>
        </w:rPr>
        <w:t>фенитоин</w:t>
      </w:r>
      <w:proofErr w:type="spellEnd"/>
      <w:r w:rsidRPr="006F0EAE">
        <w:rPr>
          <w:lang w:val="bg-BG" w:eastAsia="bg-BG"/>
        </w:rPr>
        <w:t xml:space="preserve"> или </w:t>
      </w:r>
      <w:proofErr w:type="spellStart"/>
      <w:r w:rsidRPr="006F0EAE">
        <w:rPr>
          <w:lang w:val="bg-BG" w:eastAsia="bg-BG"/>
        </w:rPr>
        <w:t>карбамазепин</w:t>
      </w:r>
      <w:proofErr w:type="spellEnd"/>
      <w:r w:rsidRPr="006F0EAE">
        <w:rPr>
          <w:lang w:val="bg-BG" w:eastAsia="bg-BG"/>
        </w:rPr>
        <w:t>.</w:t>
      </w:r>
    </w:p>
    <w:p w14:paraId="24497238" w14:textId="77777777" w:rsidR="006F0EAE" w:rsidRPr="006F0EAE" w:rsidRDefault="006F0EAE" w:rsidP="006F0EAE">
      <w:pPr>
        <w:pStyle w:val="ListParagraph"/>
        <w:numPr>
          <w:ilvl w:val="0"/>
          <w:numId w:val="20"/>
        </w:numPr>
        <w:rPr>
          <w:lang w:val="bg-BG" w:eastAsia="bg-BG"/>
        </w:rPr>
      </w:pPr>
      <w:proofErr w:type="spellStart"/>
      <w:r w:rsidRPr="006F0EAE">
        <w:rPr>
          <w:lang w:val="bg-BG" w:eastAsia="bg-BG"/>
        </w:rPr>
        <w:t>Протеазни</w:t>
      </w:r>
      <w:proofErr w:type="spellEnd"/>
      <w:r w:rsidRPr="006F0EAE">
        <w:rPr>
          <w:lang w:val="bg-BG" w:eastAsia="bg-BG"/>
        </w:rPr>
        <w:t xml:space="preserve"> инхибитори (</w:t>
      </w:r>
      <w:proofErr w:type="spellStart"/>
      <w:r w:rsidRPr="006F0EAE">
        <w:rPr>
          <w:lang w:val="bg-BG" w:eastAsia="bg-BG"/>
        </w:rPr>
        <w:t>габексат</w:t>
      </w:r>
      <w:proofErr w:type="spellEnd"/>
      <w:r w:rsidRPr="006F0EAE">
        <w:rPr>
          <w:lang w:val="bg-BG" w:eastAsia="bg-BG"/>
        </w:rPr>
        <w:t xml:space="preserve">, </w:t>
      </w:r>
      <w:proofErr w:type="spellStart"/>
      <w:r w:rsidRPr="006F0EAE">
        <w:rPr>
          <w:lang w:val="bg-BG" w:eastAsia="bg-BG"/>
        </w:rPr>
        <w:t>улинастатин</w:t>
      </w:r>
      <w:proofErr w:type="spellEnd"/>
      <w:r w:rsidRPr="006F0EAE">
        <w:rPr>
          <w:lang w:val="bg-BG" w:eastAsia="bg-BG"/>
        </w:rPr>
        <w:t>).</w:t>
      </w:r>
    </w:p>
    <w:p w14:paraId="1E602053" w14:textId="77777777" w:rsidR="006F0EAE" w:rsidRDefault="006F0EAE" w:rsidP="006F0EAE">
      <w:pPr>
        <w:rPr>
          <w:u w:val="single"/>
          <w:lang w:val="bg-BG" w:eastAsia="bg-BG"/>
        </w:rPr>
      </w:pPr>
    </w:p>
    <w:p w14:paraId="30AF9E38" w14:textId="465DFA82" w:rsidR="006F0EAE" w:rsidRPr="006F0EAE" w:rsidRDefault="006F0EAE" w:rsidP="006F0EAE">
      <w:pPr>
        <w:rPr>
          <w:sz w:val="24"/>
          <w:szCs w:val="24"/>
          <w:lang w:val="bg-BG"/>
        </w:rPr>
      </w:pPr>
      <w:r w:rsidRPr="006F0EAE">
        <w:rPr>
          <w:u w:val="single"/>
          <w:lang w:val="bg-BG" w:eastAsia="bg-BG"/>
        </w:rPr>
        <w:t>Променлив ефект</w:t>
      </w:r>
    </w:p>
    <w:p w14:paraId="5A664951" w14:textId="43C763CE" w:rsidR="006F0EAE" w:rsidRPr="00CA36D9" w:rsidRDefault="006F0EAE" w:rsidP="006F0EAE">
      <w:pPr>
        <w:pStyle w:val="ListParagraph"/>
        <w:numPr>
          <w:ilvl w:val="0"/>
          <w:numId w:val="21"/>
        </w:numPr>
        <w:rPr>
          <w:lang w:val="bg-BG" w:eastAsia="bg-BG"/>
        </w:rPr>
      </w:pPr>
      <w:r w:rsidRPr="00CA36D9">
        <w:rPr>
          <w:lang w:val="bg-BG" w:eastAsia="bg-BG"/>
        </w:rPr>
        <w:t xml:space="preserve">Приложението на други </w:t>
      </w:r>
      <w:proofErr w:type="spellStart"/>
      <w:r w:rsidRPr="00CA36D9">
        <w:rPr>
          <w:lang w:val="bg-BG" w:eastAsia="bg-BG"/>
        </w:rPr>
        <w:t>недеполяризиращи</w:t>
      </w:r>
      <w:proofErr w:type="spellEnd"/>
      <w:r w:rsidRPr="00CA36D9">
        <w:rPr>
          <w:lang w:val="bg-BG" w:eastAsia="bg-BG"/>
        </w:rPr>
        <w:t xml:space="preserve"> </w:t>
      </w:r>
      <w:proofErr w:type="spellStart"/>
      <w:r w:rsidRPr="00CA36D9">
        <w:rPr>
          <w:lang w:val="bg-BG" w:eastAsia="bg-BG"/>
        </w:rPr>
        <w:t>невромускулни</w:t>
      </w:r>
      <w:proofErr w:type="spellEnd"/>
      <w:r w:rsidRPr="00CA36D9">
        <w:rPr>
          <w:lang w:val="bg-BG" w:eastAsia="bg-BG"/>
        </w:rPr>
        <w:t xml:space="preserve"> </w:t>
      </w:r>
      <w:proofErr w:type="spellStart"/>
      <w:r w:rsidRPr="00CA36D9">
        <w:rPr>
          <w:lang w:val="bg-BG" w:eastAsia="bg-BG"/>
        </w:rPr>
        <w:t>блокери</w:t>
      </w:r>
      <w:proofErr w:type="spellEnd"/>
      <w:r w:rsidRPr="00CA36D9">
        <w:rPr>
          <w:lang w:val="bg-BG" w:eastAsia="bg-BG"/>
        </w:rPr>
        <w:t xml:space="preserve"> в комбинация с </w:t>
      </w:r>
      <w:proofErr w:type="spellStart"/>
      <w:r w:rsidRPr="00CA36D9">
        <w:rPr>
          <w:lang w:val="bg-BG" w:eastAsia="bg-BG"/>
        </w:rPr>
        <w:t>Есмерон</w:t>
      </w:r>
      <w:proofErr w:type="spellEnd"/>
      <w:r w:rsidR="00CA36D9">
        <w:rPr>
          <w:lang w:eastAsia="bg-BG"/>
        </w:rPr>
        <w:t xml:space="preserve"> </w:t>
      </w:r>
      <w:r w:rsidRPr="00CA36D9">
        <w:rPr>
          <w:lang w:val="bg-BG" w:eastAsia="bg-BG"/>
        </w:rPr>
        <w:t xml:space="preserve">могат да причинят отслабване или усилване на </w:t>
      </w:r>
      <w:proofErr w:type="spellStart"/>
      <w:r w:rsidRPr="00CA36D9">
        <w:rPr>
          <w:lang w:val="bg-BG" w:eastAsia="bg-BG"/>
        </w:rPr>
        <w:t>невромускулния</w:t>
      </w:r>
      <w:proofErr w:type="spellEnd"/>
      <w:r w:rsidRPr="00CA36D9">
        <w:rPr>
          <w:lang w:val="bg-BG" w:eastAsia="bg-BG"/>
        </w:rPr>
        <w:t xml:space="preserve"> блок, в зависимост от последователността на приложение и на вида на използвания </w:t>
      </w:r>
      <w:proofErr w:type="spellStart"/>
      <w:r w:rsidRPr="00CA36D9">
        <w:rPr>
          <w:lang w:val="bg-BG" w:eastAsia="bg-BG"/>
        </w:rPr>
        <w:t>невромускулен</w:t>
      </w:r>
      <w:proofErr w:type="spellEnd"/>
      <w:r w:rsidRPr="00CA36D9">
        <w:rPr>
          <w:lang w:val="bg-BG" w:eastAsia="bg-BG"/>
        </w:rPr>
        <w:t xml:space="preserve"> </w:t>
      </w:r>
      <w:proofErr w:type="spellStart"/>
      <w:r w:rsidRPr="00CA36D9">
        <w:rPr>
          <w:lang w:val="bg-BG" w:eastAsia="bg-BG"/>
        </w:rPr>
        <w:t>блокер</w:t>
      </w:r>
      <w:proofErr w:type="spellEnd"/>
      <w:r w:rsidRPr="00CA36D9">
        <w:rPr>
          <w:lang w:val="bg-BG" w:eastAsia="bg-BG"/>
        </w:rPr>
        <w:t>.</w:t>
      </w:r>
    </w:p>
    <w:p w14:paraId="2117918D" w14:textId="77777777" w:rsidR="006F0EAE" w:rsidRPr="00CA36D9" w:rsidRDefault="006F0EAE" w:rsidP="00CA36D9">
      <w:pPr>
        <w:pStyle w:val="ListParagraph"/>
        <w:numPr>
          <w:ilvl w:val="0"/>
          <w:numId w:val="21"/>
        </w:numPr>
        <w:rPr>
          <w:lang w:val="bg-BG" w:eastAsia="bg-BG"/>
        </w:rPr>
      </w:pPr>
      <w:proofErr w:type="spellStart"/>
      <w:r w:rsidRPr="00CA36D9">
        <w:rPr>
          <w:lang w:val="bg-BG" w:eastAsia="bg-BG"/>
        </w:rPr>
        <w:t>Сукцинилхолин</w:t>
      </w:r>
      <w:proofErr w:type="spellEnd"/>
      <w:r w:rsidRPr="00CA36D9">
        <w:rPr>
          <w:lang w:val="bg-BG" w:eastAsia="bg-BG"/>
        </w:rPr>
        <w:t xml:space="preserve">, даден след приложението на </w:t>
      </w:r>
      <w:proofErr w:type="spellStart"/>
      <w:r w:rsidRPr="00CA36D9">
        <w:rPr>
          <w:lang w:val="bg-BG" w:eastAsia="bg-BG"/>
        </w:rPr>
        <w:t>Есмерон</w:t>
      </w:r>
      <w:proofErr w:type="spellEnd"/>
      <w:r w:rsidRPr="00CA36D9">
        <w:rPr>
          <w:lang w:val="bg-BG" w:eastAsia="bg-BG"/>
        </w:rPr>
        <w:t xml:space="preserve">, може да причини усилване или отслабване на нервно-мускулния блокиращ ефект на </w:t>
      </w:r>
      <w:proofErr w:type="spellStart"/>
      <w:r w:rsidRPr="00CA36D9">
        <w:rPr>
          <w:lang w:val="bg-BG" w:eastAsia="bg-BG"/>
        </w:rPr>
        <w:t>Есмерон</w:t>
      </w:r>
      <w:proofErr w:type="spellEnd"/>
      <w:r w:rsidRPr="00CA36D9">
        <w:rPr>
          <w:lang w:val="bg-BG" w:eastAsia="bg-BG"/>
        </w:rPr>
        <w:t>.</w:t>
      </w:r>
    </w:p>
    <w:p w14:paraId="62188C0F" w14:textId="77777777" w:rsidR="006F0EAE" w:rsidRDefault="006F0EAE" w:rsidP="006F0EAE">
      <w:pPr>
        <w:rPr>
          <w:b/>
          <w:bCs/>
          <w:lang w:val="bg-BG" w:eastAsia="bg-BG"/>
        </w:rPr>
      </w:pPr>
      <w:bookmarkStart w:id="2" w:name="bookmark2"/>
    </w:p>
    <w:p w14:paraId="2037A1FF" w14:textId="68C4D47C" w:rsidR="006F0EAE" w:rsidRPr="006F0EAE" w:rsidRDefault="006F0EAE" w:rsidP="006F0EAE">
      <w:pPr>
        <w:rPr>
          <w:sz w:val="24"/>
          <w:szCs w:val="24"/>
          <w:lang w:val="bg-BG"/>
        </w:rPr>
      </w:pPr>
      <w:r w:rsidRPr="006F0EAE">
        <w:rPr>
          <w:b/>
          <w:bCs/>
          <w:lang w:val="bg-BG" w:eastAsia="bg-BG"/>
        </w:rPr>
        <w:t xml:space="preserve">Ефект на </w:t>
      </w:r>
      <w:proofErr w:type="spellStart"/>
      <w:r w:rsidRPr="006F0EAE">
        <w:rPr>
          <w:b/>
          <w:bCs/>
          <w:lang w:val="bg-BG" w:eastAsia="bg-BG"/>
        </w:rPr>
        <w:t>Есмерон</w:t>
      </w:r>
      <w:proofErr w:type="spellEnd"/>
      <w:r w:rsidRPr="006F0EAE">
        <w:rPr>
          <w:b/>
          <w:bCs/>
          <w:lang w:val="bg-BG" w:eastAsia="bg-BG"/>
        </w:rPr>
        <w:t xml:space="preserve"> върху други лекарства</w:t>
      </w:r>
      <w:bookmarkEnd w:id="2"/>
    </w:p>
    <w:p w14:paraId="114E69F7" w14:textId="77777777" w:rsidR="006F0EAE" w:rsidRPr="006F0EAE" w:rsidRDefault="006F0EAE" w:rsidP="006F0EAE">
      <w:pPr>
        <w:rPr>
          <w:sz w:val="24"/>
          <w:szCs w:val="24"/>
          <w:lang w:val="bg-BG"/>
        </w:rPr>
      </w:pPr>
      <w:proofErr w:type="spellStart"/>
      <w:r w:rsidRPr="006F0EAE">
        <w:rPr>
          <w:lang w:val="bg-BG" w:eastAsia="bg-BG"/>
        </w:rPr>
        <w:t>Есмерон</w:t>
      </w:r>
      <w:proofErr w:type="spellEnd"/>
      <w:r w:rsidRPr="006F0EAE">
        <w:rPr>
          <w:lang w:val="bg-BG" w:eastAsia="bg-BG"/>
        </w:rPr>
        <w:t xml:space="preserve">, комбиниран с </w:t>
      </w:r>
      <w:proofErr w:type="spellStart"/>
      <w:r w:rsidRPr="006F0EAE">
        <w:rPr>
          <w:lang w:val="bg-BG" w:eastAsia="bg-BG"/>
        </w:rPr>
        <w:t>лидокаин</w:t>
      </w:r>
      <w:proofErr w:type="spellEnd"/>
      <w:r w:rsidRPr="006F0EAE">
        <w:rPr>
          <w:lang w:val="bg-BG" w:eastAsia="bg-BG"/>
        </w:rPr>
        <w:t xml:space="preserve">, може да доведе до по-бързо начало на действие на </w:t>
      </w:r>
      <w:proofErr w:type="spellStart"/>
      <w:r w:rsidRPr="006F0EAE">
        <w:rPr>
          <w:lang w:val="bg-BG" w:eastAsia="bg-BG"/>
        </w:rPr>
        <w:t>лидокаина</w:t>
      </w:r>
      <w:proofErr w:type="spellEnd"/>
      <w:r w:rsidRPr="006F0EAE">
        <w:rPr>
          <w:lang w:val="bg-BG" w:eastAsia="bg-BG"/>
        </w:rPr>
        <w:t>.</w:t>
      </w:r>
    </w:p>
    <w:p w14:paraId="4AA0535E" w14:textId="77777777" w:rsidR="006F0EAE" w:rsidRDefault="006F0EAE" w:rsidP="006F0EAE">
      <w:pPr>
        <w:rPr>
          <w:u w:val="single"/>
          <w:lang w:val="bg-BG" w:eastAsia="bg-BG"/>
        </w:rPr>
      </w:pPr>
    </w:p>
    <w:p w14:paraId="0843D04C" w14:textId="62C214AE" w:rsidR="006F0EAE" w:rsidRPr="006F0EAE" w:rsidRDefault="006F0EAE" w:rsidP="006F0EAE">
      <w:pPr>
        <w:rPr>
          <w:sz w:val="24"/>
          <w:szCs w:val="24"/>
          <w:lang w:val="bg-BG"/>
        </w:rPr>
      </w:pPr>
      <w:r w:rsidRPr="006F0EAE">
        <w:rPr>
          <w:u w:val="single"/>
          <w:lang w:val="bg-BG" w:eastAsia="bg-BG"/>
        </w:rPr>
        <w:t>Педиатрична популация</w:t>
      </w:r>
    </w:p>
    <w:p w14:paraId="2C9AA37D" w14:textId="77777777" w:rsidR="006F0EAE" w:rsidRPr="006F0EAE" w:rsidRDefault="006F0EAE" w:rsidP="006F0EAE">
      <w:pPr>
        <w:rPr>
          <w:sz w:val="24"/>
          <w:szCs w:val="24"/>
          <w:lang w:val="bg-BG"/>
        </w:rPr>
      </w:pPr>
      <w:r w:rsidRPr="006F0EAE">
        <w:rPr>
          <w:lang w:val="bg-BG" w:eastAsia="bg-BG"/>
        </w:rPr>
        <w:t>Не са провеждани официални проучвания на взаимодействията. Гореспоменатите взаимодействия при възрастни и специалните предупреждения и предпазни мерки при употреба (</w:t>
      </w:r>
      <w:proofErr w:type="spellStart"/>
      <w:r w:rsidRPr="006F0EAE">
        <w:rPr>
          <w:lang w:val="bg-BG" w:eastAsia="bg-BG"/>
        </w:rPr>
        <w:t>вж.точка</w:t>
      </w:r>
      <w:proofErr w:type="spellEnd"/>
      <w:r w:rsidRPr="006F0EAE">
        <w:rPr>
          <w:lang w:val="bg-BG" w:eastAsia="bg-BG"/>
        </w:rPr>
        <w:t xml:space="preserve"> 4.4) трябва да се имат предвид и при педиатрични пациенти.</w:t>
      </w:r>
    </w:p>
    <w:p w14:paraId="2945FAFB" w14:textId="77777777" w:rsidR="006F0EAE" w:rsidRPr="006F0EAE" w:rsidRDefault="006F0EAE" w:rsidP="006F0EAE"/>
    <w:p w14:paraId="48221AB5" w14:textId="7B54666C" w:rsidR="002C50EE" w:rsidRDefault="002C50EE" w:rsidP="002C50EE">
      <w:pPr>
        <w:pStyle w:val="Heading2"/>
      </w:pPr>
      <w:r>
        <w:t xml:space="preserve">4.6. </w:t>
      </w:r>
      <w:proofErr w:type="spellStart"/>
      <w:r>
        <w:t>Фертилитет</w:t>
      </w:r>
      <w:proofErr w:type="spellEnd"/>
      <w:r>
        <w:t xml:space="preserve">, </w:t>
      </w:r>
      <w:proofErr w:type="spellStart"/>
      <w:r>
        <w:t>бременност</w:t>
      </w:r>
      <w:proofErr w:type="spellEnd"/>
      <w:r>
        <w:t xml:space="preserve"> и </w:t>
      </w:r>
      <w:proofErr w:type="spellStart"/>
      <w:r>
        <w:t>кърмене</w:t>
      </w:r>
      <w:proofErr w:type="spellEnd"/>
    </w:p>
    <w:p w14:paraId="1B33C56A" w14:textId="77777777" w:rsidR="00CA36D9" w:rsidRDefault="00CA36D9" w:rsidP="00CA36D9">
      <w:pPr>
        <w:spacing w:line="240" w:lineRule="auto"/>
        <w:rPr>
          <w:rFonts w:ascii="Times New Roman" w:eastAsia="Times New Roman" w:hAnsi="Times New Roman" w:cs="Times New Roman"/>
          <w:color w:val="000000"/>
          <w:u w:val="single"/>
          <w:lang w:val="bg-BG" w:eastAsia="bg-BG"/>
        </w:rPr>
      </w:pPr>
    </w:p>
    <w:p w14:paraId="139F041A" w14:textId="321999F3" w:rsidR="00CA36D9" w:rsidRPr="00CA36D9" w:rsidRDefault="00CA36D9" w:rsidP="00CA36D9">
      <w:pPr>
        <w:pStyle w:val="Heading3"/>
        <w:rPr>
          <w:rFonts w:eastAsia="Times New Roman"/>
          <w:u w:val="single"/>
          <w:lang w:val="bg-BG"/>
        </w:rPr>
      </w:pPr>
      <w:r w:rsidRPr="00CA36D9">
        <w:rPr>
          <w:rFonts w:eastAsia="Times New Roman"/>
          <w:u w:val="single"/>
          <w:lang w:val="bg-BG" w:eastAsia="bg-BG"/>
        </w:rPr>
        <w:lastRenderedPageBreak/>
        <w:t>Бременност</w:t>
      </w:r>
    </w:p>
    <w:p w14:paraId="73DF718C" w14:textId="77777777" w:rsidR="00CA36D9" w:rsidRPr="00CA36D9" w:rsidRDefault="00CA36D9" w:rsidP="00CA36D9">
      <w:pPr>
        <w:rPr>
          <w:sz w:val="24"/>
          <w:szCs w:val="24"/>
          <w:lang w:val="bg-BG"/>
        </w:rPr>
      </w:pPr>
      <w:r w:rsidRPr="00CA36D9">
        <w:rPr>
          <w:lang w:val="bg-BG" w:eastAsia="bg-BG"/>
        </w:rPr>
        <w:t xml:space="preserve">Няма налични клинични данни за </w:t>
      </w:r>
      <w:proofErr w:type="spellStart"/>
      <w:r w:rsidRPr="00CA36D9">
        <w:rPr>
          <w:lang w:val="bg-BG" w:eastAsia="bg-BG"/>
        </w:rPr>
        <w:t>рокурониев</w:t>
      </w:r>
      <w:proofErr w:type="spellEnd"/>
      <w:r w:rsidRPr="00CA36D9">
        <w:rPr>
          <w:lang w:val="bg-BG" w:eastAsia="bg-BG"/>
        </w:rPr>
        <w:t xml:space="preserve"> бром и д при </w:t>
      </w:r>
      <w:proofErr w:type="spellStart"/>
      <w:r w:rsidRPr="00CA36D9">
        <w:rPr>
          <w:lang w:val="bg-BG" w:eastAsia="bg-BG"/>
        </w:rPr>
        <w:t>експозирани</w:t>
      </w:r>
      <w:proofErr w:type="spellEnd"/>
      <w:r w:rsidRPr="00CA36D9">
        <w:rPr>
          <w:lang w:val="bg-BG" w:eastAsia="bg-BG"/>
        </w:rPr>
        <w:t xml:space="preserve"> бременности. Проучванията при животни не показват директни или индиректни вредни ефекти по отношение на</w:t>
      </w:r>
      <w:r>
        <w:rPr>
          <w:lang w:eastAsia="bg-BG"/>
        </w:rPr>
        <w:t xml:space="preserve"> </w:t>
      </w:r>
      <w:r w:rsidRPr="00CA36D9">
        <w:rPr>
          <w:lang w:val="bg-BG" w:eastAsia="bg-BG"/>
        </w:rPr>
        <w:t xml:space="preserve">бременност, ембрионално/зародишно развитие, раждане или развитие след раждането. Предписването на </w:t>
      </w:r>
      <w:proofErr w:type="spellStart"/>
      <w:r w:rsidRPr="00CA36D9">
        <w:rPr>
          <w:lang w:val="bg-BG" w:eastAsia="bg-BG"/>
        </w:rPr>
        <w:t>Есмерон</w:t>
      </w:r>
      <w:proofErr w:type="spellEnd"/>
      <w:r w:rsidRPr="00CA36D9">
        <w:rPr>
          <w:lang w:val="bg-BG" w:eastAsia="bg-BG"/>
        </w:rPr>
        <w:t xml:space="preserve"> на бременни жени трябва да бъде особено внимателно.</w:t>
      </w:r>
    </w:p>
    <w:p w14:paraId="41D4099C" w14:textId="77777777" w:rsidR="00CA36D9" w:rsidRDefault="00CA36D9" w:rsidP="00CA36D9">
      <w:pPr>
        <w:rPr>
          <w:lang w:val="bg-BG" w:eastAsia="bg-BG"/>
        </w:rPr>
      </w:pPr>
    </w:p>
    <w:p w14:paraId="5E13EA8A" w14:textId="6BD4126E" w:rsidR="00CA36D9" w:rsidRPr="00CA36D9" w:rsidRDefault="00CA36D9" w:rsidP="00CA36D9">
      <w:pPr>
        <w:pStyle w:val="Heading3"/>
        <w:rPr>
          <w:rFonts w:eastAsia="Times New Roman"/>
          <w:u w:val="single"/>
          <w:lang w:val="bg-BG"/>
        </w:rPr>
      </w:pPr>
      <w:r w:rsidRPr="00CA36D9">
        <w:rPr>
          <w:rFonts w:eastAsia="Times New Roman"/>
          <w:u w:val="single"/>
          <w:lang w:val="bg-BG" w:eastAsia="bg-BG"/>
        </w:rPr>
        <w:t>Цезарово сечение</w:t>
      </w:r>
    </w:p>
    <w:p w14:paraId="3D19A971" w14:textId="77777777" w:rsidR="00CA36D9" w:rsidRPr="00CA36D9" w:rsidRDefault="00CA36D9" w:rsidP="00CA36D9">
      <w:pPr>
        <w:rPr>
          <w:sz w:val="24"/>
          <w:szCs w:val="24"/>
          <w:lang w:val="bg-BG"/>
        </w:rPr>
      </w:pPr>
      <w:r w:rsidRPr="00CA36D9">
        <w:rPr>
          <w:lang w:val="bg-BG" w:eastAsia="bg-BG"/>
        </w:rPr>
        <w:t xml:space="preserve">При пациентки, подложени на Цезарово сечение, </w:t>
      </w:r>
      <w:proofErr w:type="spellStart"/>
      <w:r w:rsidRPr="00CA36D9">
        <w:rPr>
          <w:lang w:val="bg-BG" w:eastAsia="bg-BG"/>
        </w:rPr>
        <w:t>Есмерон</w:t>
      </w:r>
      <w:proofErr w:type="spellEnd"/>
      <w:r w:rsidRPr="00CA36D9">
        <w:rPr>
          <w:lang w:val="bg-BG" w:eastAsia="bg-BG"/>
        </w:rPr>
        <w:t xml:space="preserve"> може да бъде използван като част от техниката за бърз увод в анестезията при положение, че не се очакват трудности при </w:t>
      </w:r>
      <w:proofErr w:type="spellStart"/>
      <w:r w:rsidRPr="00CA36D9">
        <w:rPr>
          <w:lang w:val="bg-BG" w:eastAsia="bg-BG"/>
        </w:rPr>
        <w:t>интубацията</w:t>
      </w:r>
      <w:proofErr w:type="spellEnd"/>
      <w:r w:rsidRPr="00CA36D9">
        <w:rPr>
          <w:lang w:val="bg-BG" w:eastAsia="bg-BG"/>
        </w:rPr>
        <w:t xml:space="preserve"> и достатъчна доза анестетичен агент е приложена или последващ </w:t>
      </w:r>
      <w:proofErr w:type="spellStart"/>
      <w:r w:rsidRPr="00CA36D9">
        <w:rPr>
          <w:lang w:val="bg-BG" w:eastAsia="bg-BG"/>
        </w:rPr>
        <w:t>сукцинилхолин</w:t>
      </w:r>
      <w:proofErr w:type="spellEnd"/>
      <w:r w:rsidRPr="00CA36D9">
        <w:rPr>
          <w:lang w:val="bg-BG" w:eastAsia="bg-BG"/>
        </w:rPr>
        <w:t xml:space="preserve"> за улесняване на </w:t>
      </w:r>
      <w:proofErr w:type="spellStart"/>
      <w:r w:rsidRPr="00CA36D9">
        <w:rPr>
          <w:lang w:val="bg-BG" w:eastAsia="bg-BG"/>
        </w:rPr>
        <w:t>интубацията</w:t>
      </w:r>
      <w:proofErr w:type="spellEnd"/>
      <w:r w:rsidRPr="00CA36D9">
        <w:rPr>
          <w:lang w:val="bg-BG" w:eastAsia="bg-BG"/>
        </w:rPr>
        <w:t xml:space="preserve">. </w:t>
      </w:r>
      <w:proofErr w:type="spellStart"/>
      <w:r w:rsidRPr="00CA36D9">
        <w:rPr>
          <w:lang w:val="bg-BG" w:eastAsia="bg-BG"/>
        </w:rPr>
        <w:t>Есмерон</w:t>
      </w:r>
      <w:proofErr w:type="spellEnd"/>
      <w:r w:rsidRPr="00CA36D9">
        <w:rPr>
          <w:lang w:val="bg-BG" w:eastAsia="bg-BG"/>
        </w:rPr>
        <w:t xml:space="preserve">, приложен в доза 0,6 </w:t>
      </w:r>
      <w:r w:rsidRPr="00CA36D9">
        <w:t xml:space="preserve">mg/kg </w:t>
      </w:r>
      <w:r w:rsidRPr="00CA36D9">
        <w:rPr>
          <w:lang w:val="bg-BG" w:eastAsia="bg-BG"/>
        </w:rPr>
        <w:t xml:space="preserve">е показал, че е безопасен при бременни, подложени на Цезарово сечение. </w:t>
      </w:r>
      <w:proofErr w:type="spellStart"/>
      <w:r w:rsidRPr="00CA36D9">
        <w:rPr>
          <w:lang w:val="bg-BG" w:eastAsia="bg-BG"/>
        </w:rPr>
        <w:t>Есмерон</w:t>
      </w:r>
      <w:proofErr w:type="spellEnd"/>
      <w:r w:rsidRPr="00CA36D9">
        <w:rPr>
          <w:lang w:val="bg-BG" w:eastAsia="bg-BG"/>
        </w:rPr>
        <w:t xml:space="preserve"> не повлиява точковото измерване по </w:t>
      </w:r>
      <w:r w:rsidRPr="00CA36D9">
        <w:t xml:space="preserve">Apgar, </w:t>
      </w:r>
      <w:r w:rsidRPr="00CA36D9">
        <w:rPr>
          <w:lang w:val="bg-BG" w:eastAsia="bg-BG"/>
        </w:rPr>
        <w:t xml:space="preserve">феталния мускулен тонус или </w:t>
      </w:r>
      <w:proofErr w:type="spellStart"/>
      <w:r w:rsidRPr="00CA36D9">
        <w:rPr>
          <w:lang w:val="bg-BG" w:eastAsia="bg-BG"/>
        </w:rPr>
        <w:t>кардиореспираторната</w:t>
      </w:r>
      <w:proofErr w:type="spellEnd"/>
      <w:r w:rsidRPr="00CA36D9">
        <w:rPr>
          <w:lang w:val="bg-BG" w:eastAsia="bg-BG"/>
        </w:rPr>
        <w:t xml:space="preserve"> адаптация. На базата на кръвна проба, взета от пъпната връв, става ясно, че съществува ограничено преминаване през плацентата на </w:t>
      </w:r>
      <w:proofErr w:type="spellStart"/>
      <w:r w:rsidRPr="00CA36D9">
        <w:rPr>
          <w:lang w:val="bg-BG" w:eastAsia="bg-BG"/>
        </w:rPr>
        <w:t>рокурониев</w:t>
      </w:r>
      <w:proofErr w:type="spellEnd"/>
      <w:r w:rsidRPr="00CA36D9">
        <w:rPr>
          <w:lang w:val="bg-BG" w:eastAsia="bg-BG"/>
        </w:rPr>
        <w:t xml:space="preserve"> бромид, което не довежда до осезаеми клинични нежелани ефекти в новороденото.</w:t>
      </w:r>
    </w:p>
    <w:p w14:paraId="49DA4CB1" w14:textId="77777777" w:rsidR="00CA36D9" w:rsidRDefault="00CA36D9" w:rsidP="00CA36D9">
      <w:pPr>
        <w:rPr>
          <w:i/>
          <w:iCs/>
          <w:lang w:val="bg-BG" w:eastAsia="bg-BG"/>
        </w:rPr>
      </w:pPr>
    </w:p>
    <w:p w14:paraId="1C8630D1" w14:textId="7E81850D" w:rsidR="00CA36D9" w:rsidRPr="00CA36D9" w:rsidRDefault="00CA36D9" w:rsidP="00CA36D9">
      <w:pPr>
        <w:rPr>
          <w:sz w:val="24"/>
          <w:szCs w:val="24"/>
          <w:lang w:val="bg-BG"/>
        </w:rPr>
      </w:pPr>
      <w:r w:rsidRPr="00CA36D9">
        <w:rPr>
          <w:i/>
          <w:iCs/>
          <w:lang w:val="bg-BG" w:eastAsia="bg-BG"/>
        </w:rPr>
        <w:t>Забележка I:</w:t>
      </w:r>
      <w:r w:rsidRPr="00CA36D9">
        <w:rPr>
          <w:lang w:val="bg-BG" w:eastAsia="bg-BG"/>
        </w:rPr>
        <w:t xml:space="preserve"> дози от 1,0 </w:t>
      </w:r>
      <w:r w:rsidRPr="00CA36D9">
        <w:t xml:space="preserve">mg/kg </w:t>
      </w:r>
      <w:r w:rsidRPr="00CA36D9">
        <w:rPr>
          <w:lang w:val="bg-BG" w:eastAsia="bg-BG"/>
        </w:rPr>
        <w:t xml:space="preserve">са изследвани при бърза индукция в анестезията, но не и при пациентки с Цезарово сечение. Следователно се препоръчва само доза от 0,6 </w:t>
      </w:r>
      <w:r w:rsidRPr="00CA36D9">
        <w:t xml:space="preserve">mg/kg </w:t>
      </w:r>
      <w:r w:rsidRPr="00CA36D9">
        <w:rPr>
          <w:lang w:val="bg-BG" w:eastAsia="bg-BG"/>
        </w:rPr>
        <w:t>за тази пациентска група.</w:t>
      </w:r>
    </w:p>
    <w:p w14:paraId="2B5B402A" w14:textId="77777777" w:rsidR="00CA36D9" w:rsidRDefault="00CA36D9" w:rsidP="00CA36D9">
      <w:pPr>
        <w:rPr>
          <w:i/>
          <w:iCs/>
          <w:lang w:val="bg-BG" w:eastAsia="bg-BG"/>
        </w:rPr>
      </w:pPr>
    </w:p>
    <w:p w14:paraId="630B7074" w14:textId="56BCFDA3" w:rsidR="00CA36D9" w:rsidRPr="00CA36D9" w:rsidRDefault="00CA36D9" w:rsidP="00CA36D9">
      <w:pPr>
        <w:rPr>
          <w:sz w:val="24"/>
          <w:szCs w:val="24"/>
          <w:lang w:val="bg-BG"/>
        </w:rPr>
      </w:pPr>
      <w:r w:rsidRPr="00CA36D9">
        <w:rPr>
          <w:i/>
          <w:iCs/>
          <w:lang w:val="bg-BG" w:eastAsia="bg-BG"/>
        </w:rPr>
        <w:t>Забележка 2:</w:t>
      </w:r>
      <w:r w:rsidRPr="00CA36D9">
        <w:rPr>
          <w:lang w:val="bg-BG" w:eastAsia="bg-BG"/>
        </w:rPr>
        <w:t xml:space="preserve"> при пациентки, които приемат магнезиеви соли поради </w:t>
      </w:r>
      <w:proofErr w:type="spellStart"/>
      <w:r w:rsidRPr="00CA36D9">
        <w:rPr>
          <w:lang w:val="bg-BG" w:eastAsia="bg-BG"/>
        </w:rPr>
        <w:t>токсемия</w:t>
      </w:r>
      <w:proofErr w:type="spellEnd"/>
      <w:r w:rsidRPr="00CA36D9">
        <w:rPr>
          <w:lang w:val="bg-BG" w:eastAsia="bg-BG"/>
        </w:rPr>
        <w:t xml:space="preserve"> на бременността, може да се забави спонтанното възстановяване от нервно-мускулното блокиране, тъй като магнезиевите соли подсилват </w:t>
      </w:r>
      <w:proofErr w:type="spellStart"/>
      <w:r w:rsidRPr="00CA36D9">
        <w:rPr>
          <w:lang w:val="bg-BG" w:eastAsia="bg-BG"/>
        </w:rPr>
        <w:t>невромускулния</w:t>
      </w:r>
      <w:proofErr w:type="spellEnd"/>
      <w:r w:rsidRPr="00CA36D9">
        <w:rPr>
          <w:lang w:val="bg-BG" w:eastAsia="bg-BG"/>
        </w:rPr>
        <w:t xml:space="preserve"> блок. Следователно, при такива пациентки, дозата на </w:t>
      </w:r>
      <w:proofErr w:type="spellStart"/>
      <w:r w:rsidRPr="00CA36D9">
        <w:rPr>
          <w:lang w:val="bg-BG" w:eastAsia="bg-BG"/>
        </w:rPr>
        <w:t>Есмерон</w:t>
      </w:r>
      <w:proofErr w:type="spellEnd"/>
      <w:r w:rsidRPr="00CA36D9">
        <w:rPr>
          <w:lang w:val="bg-BG" w:eastAsia="bg-BG"/>
        </w:rPr>
        <w:t xml:space="preserve"> трябва да бъде редуцирана и </w:t>
      </w:r>
      <w:proofErr w:type="spellStart"/>
      <w:r w:rsidRPr="00CA36D9">
        <w:rPr>
          <w:lang w:val="bg-BG" w:eastAsia="bg-BG"/>
        </w:rPr>
        <w:t>титрирана</w:t>
      </w:r>
      <w:proofErr w:type="spellEnd"/>
      <w:r w:rsidRPr="00CA36D9">
        <w:rPr>
          <w:lang w:val="bg-BG" w:eastAsia="bg-BG"/>
        </w:rPr>
        <w:t xml:space="preserve"> спрямо реакцията на потрепване.</w:t>
      </w:r>
    </w:p>
    <w:p w14:paraId="707C8C5B" w14:textId="77777777" w:rsidR="00CA36D9" w:rsidRDefault="00CA36D9" w:rsidP="00CA36D9">
      <w:pPr>
        <w:rPr>
          <w:lang w:val="bg-BG" w:eastAsia="bg-BG"/>
        </w:rPr>
      </w:pPr>
    </w:p>
    <w:p w14:paraId="48E60AA0" w14:textId="66B95EF3" w:rsidR="00CA36D9" w:rsidRPr="00CA36D9" w:rsidRDefault="00CA36D9" w:rsidP="00CA36D9">
      <w:pPr>
        <w:pStyle w:val="Heading3"/>
        <w:rPr>
          <w:rFonts w:eastAsia="Times New Roman"/>
          <w:u w:val="single"/>
          <w:lang w:val="bg-BG"/>
        </w:rPr>
      </w:pPr>
      <w:r w:rsidRPr="00CA36D9">
        <w:rPr>
          <w:rFonts w:eastAsia="Times New Roman"/>
          <w:u w:val="single"/>
          <w:lang w:val="bg-BG" w:eastAsia="bg-BG"/>
        </w:rPr>
        <w:t>Кърмене</w:t>
      </w:r>
    </w:p>
    <w:p w14:paraId="3C3278F6" w14:textId="77777777" w:rsidR="00CA36D9" w:rsidRPr="00CA36D9" w:rsidRDefault="00CA36D9" w:rsidP="00CA36D9">
      <w:pPr>
        <w:rPr>
          <w:sz w:val="24"/>
          <w:szCs w:val="24"/>
          <w:lang w:val="bg-BG"/>
        </w:rPr>
      </w:pPr>
      <w:r w:rsidRPr="00CA36D9">
        <w:rPr>
          <w:lang w:val="bg-BG" w:eastAsia="bg-BG"/>
        </w:rPr>
        <w:t xml:space="preserve">Не е известно дали </w:t>
      </w:r>
      <w:proofErr w:type="spellStart"/>
      <w:r w:rsidRPr="00CA36D9">
        <w:rPr>
          <w:lang w:val="bg-BG" w:eastAsia="bg-BG"/>
        </w:rPr>
        <w:t>Есмерон</w:t>
      </w:r>
      <w:proofErr w:type="spellEnd"/>
      <w:r w:rsidRPr="00CA36D9">
        <w:rPr>
          <w:lang w:val="bg-BG" w:eastAsia="bg-BG"/>
        </w:rPr>
        <w:t xml:space="preserve"> се </w:t>
      </w:r>
      <w:proofErr w:type="spellStart"/>
      <w:r w:rsidRPr="00CA36D9">
        <w:rPr>
          <w:lang w:val="bg-BG" w:eastAsia="bg-BG"/>
        </w:rPr>
        <w:t>екскретира</w:t>
      </w:r>
      <w:proofErr w:type="spellEnd"/>
      <w:r w:rsidRPr="00CA36D9">
        <w:rPr>
          <w:lang w:val="bg-BG" w:eastAsia="bg-BG"/>
        </w:rPr>
        <w:t xml:space="preserve"> в човешката кърма. Изследванията при животни са показали незначителни нива на </w:t>
      </w:r>
      <w:proofErr w:type="spellStart"/>
      <w:r w:rsidRPr="00CA36D9">
        <w:rPr>
          <w:lang w:val="bg-BG" w:eastAsia="bg-BG"/>
        </w:rPr>
        <w:t>Есмерон</w:t>
      </w:r>
      <w:proofErr w:type="spellEnd"/>
      <w:r w:rsidRPr="00CA36D9">
        <w:rPr>
          <w:lang w:val="bg-BG" w:eastAsia="bg-BG"/>
        </w:rPr>
        <w:t xml:space="preserve"> в кърмата. </w:t>
      </w:r>
      <w:proofErr w:type="spellStart"/>
      <w:r w:rsidRPr="00CA36D9">
        <w:rPr>
          <w:lang w:val="bg-BG" w:eastAsia="bg-BG"/>
        </w:rPr>
        <w:t>Есмерон</w:t>
      </w:r>
      <w:proofErr w:type="spellEnd"/>
      <w:r w:rsidRPr="00CA36D9">
        <w:rPr>
          <w:lang w:val="bg-BG" w:eastAsia="bg-BG"/>
        </w:rPr>
        <w:t xml:space="preserve"> се прилага при кърмещи пациентки по преценка на лекуващия лекар, когато очакваните ползи надвишават възможните рискове. След прилагане на единична доза е препоръчително да се въздържате от следващо кърмене за пет елиминационни полу-живота на </w:t>
      </w:r>
      <w:proofErr w:type="spellStart"/>
      <w:r w:rsidRPr="00CA36D9">
        <w:rPr>
          <w:lang w:val="bg-BG" w:eastAsia="bg-BG"/>
        </w:rPr>
        <w:t>рокуроний</w:t>
      </w:r>
      <w:proofErr w:type="spellEnd"/>
      <w:r w:rsidRPr="00CA36D9">
        <w:rPr>
          <w:lang w:val="bg-BG" w:eastAsia="bg-BG"/>
        </w:rPr>
        <w:t xml:space="preserve">, </w:t>
      </w:r>
      <w:proofErr w:type="spellStart"/>
      <w:r w:rsidRPr="00CA36D9">
        <w:rPr>
          <w:lang w:val="bg-BG" w:eastAsia="bg-BG"/>
        </w:rPr>
        <w:t>т.е</w:t>
      </w:r>
      <w:proofErr w:type="spellEnd"/>
      <w:r w:rsidRPr="00CA36D9">
        <w:rPr>
          <w:lang w:val="bg-BG" w:eastAsia="bg-BG"/>
        </w:rPr>
        <w:t xml:space="preserve"> за около 6 часа.</w:t>
      </w:r>
    </w:p>
    <w:p w14:paraId="6FEA3ABD" w14:textId="7757513A" w:rsidR="00CA36D9" w:rsidRPr="00CA36D9" w:rsidRDefault="00CA36D9" w:rsidP="00CA36D9"/>
    <w:p w14:paraId="5F675BDB" w14:textId="75217777" w:rsidR="002C50EE" w:rsidRDefault="002C50EE" w:rsidP="002C50EE">
      <w:pPr>
        <w:pStyle w:val="Heading2"/>
      </w:pPr>
      <w:r>
        <w:t xml:space="preserve">4.7. </w:t>
      </w:r>
      <w:proofErr w:type="spellStart"/>
      <w:r>
        <w:t>Ефекти</w:t>
      </w:r>
      <w:proofErr w:type="spellEnd"/>
      <w:r>
        <w:t xml:space="preserve"> </w:t>
      </w:r>
      <w:proofErr w:type="spellStart"/>
      <w:r>
        <w:t>върху</w:t>
      </w:r>
      <w:proofErr w:type="spellEnd"/>
      <w:r>
        <w:t xml:space="preserve"> </w:t>
      </w:r>
      <w:proofErr w:type="spellStart"/>
      <w:r>
        <w:t>способността</w:t>
      </w:r>
      <w:proofErr w:type="spellEnd"/>
      <w:r>
        <w:t xml:space="preserve"> </w:t>
      </w:r>
      <w:proofErr w:type="spellStart"/>
      <w:r>
        <w:t>за</w:t>
      </w:r>
      <w:proofErr w:type="spellEnd"/>
      <w:r>
        <w:t xml:space="preserve"> </w:t>
      </w:r>
      <w:proofErr w:type="spellStart"/>
      <w:r>
        <w:t>шофиране</w:t>
      </w:r>
      <w:proofErr w:type="spellEnd"/>
      <w:r>
        <w:t xml:space="preserve"> и </w:t>
      </w:r>
      <w:proofErr w:type="spellStart"/>
      <w:r>
        <w:t>работа</w:t>
      </w:r>
      <w:proofErr w:type="spellEnd"/>
      <w:r>
        <w:t xml:space="preserve"> с </w:t>
      </w:r>
      <w:proofErr w:type="spellStart"/>
      <w:r>
        <w:t>машини</w:t>
      </w:r>
      <w:proofErr w:type="spellEnd"/>
    </w:p>
    <w:p w14:paraId="36DF696A" w14:textId="77777777" w:rsidR="00CA36D9" w:rsidRDefault="00CA36D9" w:rsidP="00CA36D9">
      <w:pPr>
        <w:rPr>
          <w:lang w:val="bg-BG" w:eastAsia="bg-BG"/>
        </w:rPr>
      </w:pPr>
    </w:p>
    <w:p w14:paraId="1ABC2981" w14:textId="3F90F3A2" w:rsidR="00CA36D9" w:rsidRPr="00CA36D9" w:rsidRDefault="00CA36D9" w:rsidP="00CA36D9">
      <w:pPr>
        <w:rPr>
          <w:sz w:val="24"/>
          <w:szCs w:val="24"/>
          <w:lang w:val="bg-BG"/>
        </w:rPr>
      </w:pPr>
      <w:r w:rsidRPr="00CA36D9">
        <w:rPr>
          <w:lang w:val="bg-BG" w:eastAsia="bg-BG"/>
        </w:rPr>
        <w:t xml:space="preserve">Тъй като </w:t>
      </w:r>
      <w:proofErr w:type="spellStart"/>
      <w:r w:rsidRPr="00CA36D9">
        <w:rPr>
          <w:lang w:val="bg-BG" w:eastAsia="bg-BG"/>
        </w:rPr>
        <w:t>Есмерон</w:t>
      </w:r>
      <w:proofErr w:type="spellEnd"/>
      <w:r w:rsidRPr="00CA36D9">
        <w:rPr>
          <w:lang w:val="bg-BG" w:eastAsia="bg-BG"/>
        </w:rPr>
        <w:t xml:space="preserve"> се използва като допълнение към обща анестезия, обикновените предпазни мерки след обща анестезия трябва да се предприемат за амбулаторни пациенти.</w:t>
      </w:r>
    </w:p>
    <w:p w14:paraId="1FF10C8A" w14:textId="77777777" w:rsidR="00CA36D9" w:rsidRPr="00CA36D9" w:rsidRDefault="00CA36D9" w:rsidP="00CA36D9"/>
    <w:p w14:paraId="1B3BD30D" w14:textId="33DBE000" w:rsidR="002C50EE" w:rsidRDefault="002C50EE" w:rsidP="002C50EE">
      <w:pPr>
        <w:pStyle w:val="Heading2"/>
      </w:pPr>
      <w:r>
        <w:t xml:space="preserve">4.8. </w:t>
      </w:r>
      <w:proofErr w:type="spellStart"/>
      <w:r>
        <w:t>Нежелани</w:t>
      </w:r>
      <w:proofErr w:type="spellEnd"/>
      <w:r>
        <w:t xml:space="preserve"> </w:t>
      </w:r>
      <w:proofErr w:type="spellStart"/>
      <w:r>
        <w:t>лекарствени</w:t>
      </w:r>
      <w:proofErr w:type="spellEnd"/>
      <w:r>
        <w:t xml:space="preserve"> </w:t>
      </w:r>
      <w:proofErr w:type="spellStart"/>
      <w:r>
        <w:t>реакции</w:t>
      </w:r>
      <w:proofErr w:type="spellEnd"/>
    </w:p>
    <w:p w14:paraId="1EF967B6" w14:textId="77777777" w:rsidR="00CA36D9" w:rsidRDefault="00CA36D9" w:rsidP="00CA36D9">
      <w:pPr>
        <w:spacing w:line="240" w:lineRule="auto"/>
        <w:rPr>
          <w:rFonts w:ascii="Times New Roman" w:eastAsia="Times New Roman" w:hAnsi="Times New Roman" w:cs="Times New Roman"/>
          <w:color w:val="000000"/>
          <w:lang w:val="bg-BG" w:eastAsia="bg-BG"/>
        </w:rPr>
      </w:pPr>
    </w:p>
    <w:p w14:paraId="678FEF3D" w14:textId="17D9F0D9" w:rsidR="00CA36D9" w:rsidRPr="00CA36D9" w:rsidRDefault="00CA36D9" w:rsidP="00CA36D9">
      <w:pPr>
        <w:rPr>
          <w:sz w:val="24"/>
          <w:szCs w:val="24"/>
          <w:lang w:val="bg-BG"/>
        </w:rPr>
      </w:pPr>
      <w:r w:rsidRPr="00CA36D9">
        <w:rPr>
          <w:lang w:val="bg-BG" w:eastAsia="bg-BG"/>
        </w:rPr>
        <w:t xml:space="preserve">Най-често появяващите се нежелани лекарствени реакции включват болка/реакция в мястото на инжектиране, промени в жизнените признаци и удължен </w:t>
      </w:r>
      <w:proofErr w:type="spellStart"/>
      <w:r w:rsidRPr="00CA36D9">
        <w:rPr>
          <w:lang w:val="bg-BG" w:eastAsia="bg-BG"/>
        </w:rPr>
        <w:t>невромускулен</w:t>
      </w:r>
      <w:proofErr w:type="spellEnd"/>
      <w:r w:rsidRPr="00CA36D9">
        <w:rPr>
          <w:lang w:val="bg-BG" w:eastAsia="bg-BG"/>
        </w:rPr>
        <w:t xml:space="preserve"> блок. </w:t>
      </w:r>
      <w:r w:rsidRPr="00CA36D9">
        <w:rPr>
          <w:lang w:val="bg-BG" w:eastAsia="bg-BG"/>
        </w:rPr>
        <w:lastRenderedPageBreak/>
        <w:t xml:space="preserve">Най-често съобщаваните сериозни нежелани лекарствени реакции по време на </w:t>
      </w:r>
      <w:proofErr w:type="spellStart"/>
      <w:r w:rsidRPr="00CA36D9">
        <w:rPr>
          <w:lang w:val="bg-BG" w:eastAsia="bg-BG"/>
        </w:rPr>
        <w:t>постмаркетингово</w:t>
      </w:r>
      <w:proofErr w:type="spellEnd"/>
      <w:r w:rsidRPr="00CA36D9">
        <w:rPr>
          <w:lang w:val="bg-BG" w:eastAsia="bg-BG"/>
        </w:rPr>
        <w:t xml:space="preserve"> наблюдение са “</w:t>
      </w:r>
      <w:proofErr w:type="spellStart"/>
      <w:r w:rsidRPr="00CA36D9">
        <w:rPr>
          <w:lang w:val="bg-BG" w:eastAsia="bg-BG"/>
        </w:rPr>
        <w:t>анафилактични</w:t>
      </w:r>
      <w:proofErr w:type="spellEnd"/>
      <w:r w:rsidRPr="00CA36D9">
        <w:rPr>
          <w:lang w:val="bg-BG" w:eastAsia="bg-BG"/>
        </w:rPr>
        <w:t xml:space="preserve"> и </w:t>
      </w:r>
      <w:proofErr w:type="spellStart"/>
      <w:r w:rsidRPr="00CA36D9">
        <w:rPr>
          <w:lang w:val="bg-BG" w:eastAsia="bg-BG"/>
        </w:rPr>
        <w:t>анафилактоидни</w:t>
      </w:r>
      <w:proofErr w:type="spellEnd"/>
      <w:r w:rsidRPr="00CA36D9">
        <w:rPr>
          <w:lang w:val="bg-BG" w:eastAsia="bg-BG"/>
        </w:rPr>
        <w:t xml:space="preserve"> реакции” и свързани симптоми. Вижте също обясненията под таблицата.</w:t>
      </w:r>
    </w:p>
    <w:p w14:paraId="152D2756" w14:textId="610C7167" w:rsidR="00CA36D9" w:rsidRDefault="00CA36D9" w:rsidP="00CA36D9"/>
    <w:tbl>
      <w:tblPr>
        <w:tblStyle w:val="TableGrid"/>
        <w:tblW w:w="0" w:type="auto"/>
        <w:tblLook w:val="04A0" w:firstRow="1" w:lastRow="0" w:firstColumn="1" w:lastColumn="0" w:noHBand="0" w:noVBand="1"/>
      </w:tblPr>
      <w:tblGrid>
        <w:gridCol w:w="2359"/>
        <w:gridCol w:w="2378"/>
        <w:gridCol w:w="2490"/>
        <w:gridCol w:w="2349"/>
      </w:tblGrid>
      <w:tr w:rsidR="00CA36D9" w14:paraId="4C7F7FBD" w14:textId="77777777" w:rsidTr="00CA36D9">
        <w:tc>
          <w:tcPr>
            <w:tcW w:w="2359" w:type="dxa"/>
            <w:vMerge w:val="restart"/>
          </w:tcPr>
          <w:p w14:paraId="120DDC91" w14:textId="77777777" w:rsidR="00CA36D9" w:rsidRPr="00CA36D9" w:rsidRDefault="00CA36D9" w:rsidP="00CA36D9">
            <w:pPr>
              <w:rPr>
                <w:sz w:val="24"/>
                <w:szCs w:val="24"/>
                <w:lang w:val="bg-BG"/>
              </w:rPr>
            </w:pPr>
            <w:r w:rsidRPr="00CA36D9">
              <w:t>MedDRA</w:t>
            </w:r>
          </w:p>
          <w:p w14:paraId="38D36B29" w14:textId="77777777" w:rsidR="00CA36D9" w:rsidRPr="00CA36D9" w:rsidRDefault="00CA36D9" w:rsidP="00CA36D9">
            <w:pPr>
              <w:rPr>
                <w:sz w:val="24"/>
                <w:szCs w:val="24"/>
                <w:lang w:val="bg-BG"/>
              </w:rPr>
            </w:pPr>
            <w:r w:rsidRPr="00CA36D9">
              <w:rPr>
                <w:lang w:val="bg-BG" w:eastAsia="bg-BG"/>
              </w:rPr>
              <w:t>Системно-органен клас</w:t>
            </w:r>
          </w:p>
          <w:p w14:paraId="245D34A4" w14:textId="77777777" w:rsidR="00CA36D9" w:rsidRDefault="00CA36D9" w:rsidP="00CA36D9"/>
        </w:tc>
        <w:tc>
          <w:tcPr>
            <w:tcW w:w="7217" w:type="dxa"/>
            <w:gridSpan w:val="3"/>
          </w:tcPr>
          <w:p w14:paraId="349B5C4D" w14:textId="77777777" w:rsidR="00CA36D9" w:rsidRPr="00CA36D9" w:rsidRDefault="00CA36D9" w:rsidP="00CA36D9">
            <w:pPr>
              <w:rPr>
                <w:sz w:val="24"/>
                <w:szCs w:val="24"/>
                <w:lang w:val="bg-BG"/>
              </w:rPr>
            </w:pPr>
            <w:r w:rsidRPr="00CA36D9">
              <w:rPr>
                <w:lang w:val="bg-BG" w:eastAsia="bg-BG"/>
              </w:rPr>
              <w:t>Предпочитан термин</w:t>
            </w:r>
            <w:r w:rsidRPr="00CA36D9">
              <w:rPr>
                <w:vertAlign w:val="superscript"/>
                <w:lang w:val="bg-BG" w:eastAsia="bg-BG"/>
              </w:rPr>
              <w:t>а</w:t>
            </w:r>
          </w:p>
          <w:p w14:paraId="216C22CB" w14:textId="77777777" w:rsidR="00CA36D9" w:rsidRDefault="00CA36D9" w:rsidP="00CA36D9"/>
        </w:tc>
      </w:tr>
      <w:tr w:rsidR="00CA36D9" w14:paraId="44E3C7A2" w14:textId="77777777" w:rsidTr="00CA36D9">
        <w:tc>
          <w:tcPr>
            <w:tcW w:w="2359" w:type="dxa"/>
            <w:vMerge/>
          </w:tcPr>
          <w:p w14:paraId="52546620" w14:textId="77777777" w:rsidR="00CA36D9" w:rsidRDefault="00CA36D9" w:rsidP="00CA36D9"/>
        </w:tc>
        <w:tc>
          <w:tcPr>
            <w:tcW w:w="2378" w:type="dxa"/>
          </w:tcPr>
          <w:p w14:paraId="0ADECC1E" w14:textId="757EBC50" w:rsidR="00CA36D9" w:rsidRDefault="00CA36D9" w:rsidP="00CA36D9">
            <w:proofErr w:type="spellStart"/>
            <w:r>
              <w:t>Нечести</w:t>
            </w:r>
            <w:proofErr w:type="spellEnd"/>
            <w:r>
              <w:t>/</w:t>
            </w:r>
            <w:proofErr w:type="spellStart"/>
            <w:r>
              <w:t>редки</w:t>
            </w:r>
            <w:r>
              <w:rPr>
                <w:vertAlign w:val="superscript"/>
              </w:rPr>
              <w:t>b</w:t>
            </w:r>
            <w:proofErr w:type="spellEnd"/>
            <w:r>
              <w:rPr>
                <w:vertAlign w:val="superscript"/>
              </w:rPr>
              <w:t xml:space="preserve"> </w:t>
            </w:r>
            <w:r>
              <w:t>(&lt;1/100, &gt;1/10 000)</w:t>
            </w:r>
          </w:p>
        </w:tc>
        <w:tc>
          <w:tcPr>
            <w:tcW w:w="2490" w:type="dxa"/>
          </w:tcPr>
          <w:p w14:paraId="2049635B" w14:textId="1A0B4C44" w:rsidR="00CA36D9" w:rsidRDefault="00CA36D9" w:rsidP="00CA36D9">
            <w:proofErr w:type="spellStart"/>
            <w:r>
              <w:t>Много</w:t>
            </w:r>
            <w:proofErr w:type="spellEnd"/>
            <w:r>
              <w:t xml:space="preserve"> </w:t>
            </w:r>
            <w:proofErr w:type="spellStart"/>
            <w:r>
              <w:t>редки</w:t>
            </w:r>
            <w:proofErr w:type="spellEnd"/>
            <w:r>
              <w:t xml:space="preserve"> (&lt;1/10 000)</w:t>
            </w:r>
          </w:p>
        </w:tc>
        <w:tc>
          <w:tcPr>
            <w:tcW w:w="2349" w:type="dxa"/>
          </w:tcPr>
          <w:p w14:paraId="3A756656" w14:textId="3E798247" w:rsidR="00CA36D9" w:rsidRDefault="00CA36D9" w:rsidP="00CA36D9">
            <w:r>
              <w:t xml:space="preserve">С </w:t>
            </w:r>
            <w:proofErr w:type="spellStart"/>
            <w:r>
              <w:t>неизвестна</w:t>
            </w:r>
            <w:proofErr w:type="spellEnd"/>
            <w:r>
              <w:t xml:space="preserve"> </w:t>
            </w:r>
            <w:proofErr w:type="spellStart"/>
            <w:r>
              <w:t>честота</w:t>
            </w:r>
            <w:proofErr w:type="spellEnd"/>
          </w:p>
        </w:tc>
      </w:tr>
      <w:tr w:rsidR="00CA36D9" w14:paraId="368EC7CB" w14:textId="77777777" w:rsidTr="00CA36D9">
        <w:tc>
          <w:tcPr>
            <w:tcW w:w="2359" w:type="dxa"/>
          </w:tcPr>
          <w:p w14:paraId="716E7C3F" w14:textId="17E6C59B" w:rsidR="00CA36D9" w:rsidRDefault="00CA36D9" w:rsidP="00CA36D9">
            <w:proofErr w:type="spellStart"/>
            <w:r>
              <w:t>Нарушения</w:t>
            </w:r>
            <w:proofErr w:type="spellEnd"/>
            <w:r>
              <w:t xml:space="preserve"> </w:t>
            </w:r>
            <w:proofErr w:type="spellStart"/>
            <w:r>
              <w:t>на</w:t>
            </w:r>
            <w:proofErr w:type="spellEnd"/>
            <w:r>
              <w:t xml:space="preserve"> </w:t>
            </w:r>
            <w:proofErr w:type="spellStart"/>
            <w:r>
              <w:t>имунната</w:t>
            </w:r>
            <w:proofErr w:type="spellEnd"/>
            <w:r>
              <w:t xml:space="preserve"> </w:t>
            </w:r>
            <w:proofErr w:type="spellStart"/>
            <w:r>
              <w:t>система</w:t>
            </w:r>
            <w:proofErr w:type="spellEnd"/>
          </w:p>
        </w:tc>
        <w:tc>
          <w:tcPr>
            <w:tcW w:w="2378" w:type="dxa"/>
          </w:tcPr>
          <w:p w14:paraId="36A17A64" w14:textId="77777777" w:rsidR="00CA36D9" w:rsidRDefault="00CA36D9" w:rsidP="00CA36D9"/>
        </w:tc>
        <w:tc>
          <w:tcPr>
            <w:tcW w:w="2490" w:type="dxa"/>
          </w:tcPr>
          <w:p w14:paraId="6BE131C1" w14:textId="0B3790D8" w:rsidR="00CA36D9" w:rsidRDefault="00CA36D9" w:rsidP="00CA36D9">
            <w:proofErr w:type="spellStart"/>
            <w:r>
              <w:t>Свръхчувствителност</w:t>
            </w:r>
            <w:proofErr w:type="spellEnd"/>
            <w:r>
              <w:t xml:space="preserve"> </w:t>
            </w:r>
            <w:proofErr w:type="spellStart"/>
            <w:r>
              <w:t>Анафилактична</w:t>
            </w:r>
            <w:proofErr w:type="spellEnd"/>
            <w:r>
              <w:t xml:space="preserve"> </w:t>
            </w:r>
            <w:proofErr w:type="spellStart"/>
            <w:r>
              <w:t>реакция</w:t>
            </w:r>
            <w:proofErr w:type="spellEnd"/>
            <w:r>
              <w:t xml:space="preserve"> </w:t>
            </w:r>
            <w:proofErr w:type="spellStart"/>
            <w:r>
              <w:t>Анафилактоидна</w:t>
            </w:r>
            <w:proofErr w:type="spellEnd"/>
            <w:r>
              <w:t xml:space="preserve"> </w:t>
            </w:r>
            <w:proofErr w:type="spellStart"/>
            <w:r>
              <w:t>реакция</w:t>
            </w:r>
            <w:proofErr w:type="spellEnd"/>
            <w:r>
              <w:t xml:space="preserve"> </w:t>
            </w:r>
            <w:proofErr w:type="spellStart"/>
            <w:r>
              <w:t>Анафилактичен</w:t>
            </w:r>
            <w:proofErr w:type="spellEnd"/>
            <w:r>
              <w:t xml:space="preserve"> </w:t>
            </w:r>
            <w:proofErr w:type="spellStart"/>
            <w:r>
              <w:t>шок</w:t>
            </w:r>
            <w:proofErr w:type="spellEnd"/>
            <w:r>
              <w:t xml:space="preserve"> </w:t>
            </w:r>
            <w:proofErr w:type="spellStart"/>
            <w:r>
              <w:t>Анафилактоиден</w:t>
            </w:r>
            <w:proofErr w:type="spellEnd"/>
            <w:r>
              <w:t xml:space="preserve"> </w:t>
            </w:r>
            <w:proofErr w:type="spellStart"/>
            <w:r>
              <w:t>шок</w:t>
            </w:r>
            <w:proofErr w:type="spellEnd"/>
          </w:p>
        </w:tc>
        <w:tc>
          <w:tcPr>
            <w:tcW w:w="2349" w:type="dxa"/>
          </w:tcPr>
          <w:p w14:paraId="393EBABD" w14:textId="77777777" w:rsidR="00CA36D9" w:rsidRDefault="00CA36D9" w:rsidP="00CA36D9"/>
        </w:tc>
      </w:tr>
      <w:tr w:rsidR="00CA36D9" w14:paraId="3FF0B9E7" w14:textId="77777777" w:rsidTr="00CA36D9">
        <w:tc>
          <w:tcPr>
            <w:tcW w:w="2359" w:type="dxa"/>
            <w:vAlign w:val="bottom"/>
          </w:tcPr>
          <w:p w14:paraId="1E937623" w14:textId="092E7A6D" w:rsidR="00CA36D9" w:rsidRDefault="00CA36D9" w:rsidP="00CA36D9">
            <w:proofErr w:type="spellStart"/>
            <w:r>
              <w:t>Нарушения</w:t>
            </w:r>
            <w:proofErr w:type="spellEnd"/>
            <w:r>
              <w:t xml:space="preserve"> </w:t>
            </w:r>
            <w:proofErr w:type="spellStart"/>
            <w:r>
              <w:t>на</w:t>
            </w:r>
            <w:proofErr w:type="spellEnd"/>
            <w:r>
              <w:t xml:space="preserve"> </w:t>
            </w:r>
            <w:proofErr w:type="spellStart"/>
            <w:r>
              <w:t>нервната</w:t>
            </w:r>
            <w:proofErr w:type="spellEnd"/>
            <w:r>
              <w:t xml:space="preserve"> </w:t>
            </w:r>
            <w:proofErr w:type="spellStart"/>
            <w:r>
              <w:t>система</w:t>
            </w:r>
            <w:proofErr w:type="spellEnd"/>
          </w:p>
        </w:tc>
        <w:tc>
          <w:tcPr>
            <w:tcW w:w="2378" w:type="dxa"/>
          </w:tcPr>
          <w:p w14:paraId="1A27E9D2" w14:textId="77777777" w:rsidR="00CA36D9" w:rsidRDefault="00CA36D9" w:rsidP="00CA36D9"/>
        </w:tc>
        <w:tc>
          <w:tcPr>
            <w:tcW w:w="2490" w:type="dxa"/>
          </w:tcPr>
          <w:p w14:paraId="0841CD3F" w14:textId="571B5142" w:rsidR="00CA36D9" w:rsidRDefault="00CA36D9" w:rsidP="00CA36D9">
            <w:proofErr w:type="spellStart"/>
            <w:r>
              <w:t>Вяла</w:t>
            </w:r>
            <w:proofErr w:type="spellEnd"/>
            <w:r>
              <w:t xml:space="preserve"> </w:t>
            </w:r>
            <w:proofErr w:type="spellStart"/>
            <w:r>
              <w:t>пареза</w:t>
            </w:r>
            <w:proofErr w:type="spellEnd"/>
          </w:p>
        </w:tc>
        <w:tc>
          <w:tcPr>
            <w:tcW w:w="2349" w:type="dxa"/>
          </w:tcPr>
          <w:p w14:paraId="5F6BA6F4" w14:textId="77777777" w:rsidR="00CA36D9" w:rsidRDefault="00CA36D9" w:rsidP="00CA36D9"/>
        </w:tc>
      </w:tr>
      <w:tr w:rsidR="00CA36D9" w14:paraId="54E4E9F8" w14:textId="77777777" w:rsidTr="00CA36D9">
        <w:tc>
          <w:tcPr>
            <w:tcW w:w="2359" w:type="dxa"/>
          </w:tcPr>
          <w:p w14:paraId="1118B5E7" w14:textId="4E092A84" w:rsidR="00CA36D9" w:rsidRDefault="00CA36D9" w:rsidP="00CA36D9">
            <w:proofErr w:type="spellStart"/>
            <w:r>
              <w:t>Сърдечни</w:t>
            </w:r>
            <w:proofErr w:type="spellEnd"/>
            <w:r>
              <w:t xml:space="preserve"> </w:t>
            </w:r>
            <w:proofErr w:type="spellStart"/>
            <w:r>
              <w:t>нарушения</w:t>
            </w:r>
            <w:proofErr w:type="spellEnd"/>
          </w:p>
        </w:tc>
        <w:tc>
          <w:tcPr>
            <w:tcW w:w="2378" w:type="dxa"/>
          </w:tcPr>
          <w:p w14:paraId="7C07105E" w14:textId="50B0E61D" w:rsidR="00CA36D9" w:rsidRDefault="00CA36D9" w:rsidP="00CA36D9">
            <w:proofErr w:type="spellStart"/>
            <w:r>
              <w:t>Тахикардия</w:t>
            </w:r>
            <w:proofErr w:type="spellEnd"/>
          </w:p>
        </w:tc>
        <w:tc>
          <w:tcPr>
            <w:tcW w:w="2490" w:type="dxa"/>
          </w:tcPr>
          <w:p w14:paraId="360BE1DB" w14:textId="77777777" w:rsidR="00CA36D9" w:rsidRDefault="00CA36D9" w:rsidP="00CA36D9"/>
        </w:tc>
        <w:tc>
          <w:tcPr>
            <w:tcW w:w="2349" w:type="dxa"/>
            <w:vAlign w:val="bottom"/>
          </w:tcPr>
          <w:p w14:paraId="00E46435" w14:textId="2D78D069" w:rsidR="00CA36D9" w:rsidRDefault="00CA36D9" w:rsidP="00CA36D9">
            <w:proofErr w:type="spellStart"/>
            <w:r>
              <w:t>Синдром</w:t>
            </w:r>
            <w:proofErr w:type="spellEnd"/>
            <w:r>
              <w:t xml:space="preserve"> </w:t>
            </w:r>
            <w:proofErr w:type="spellStart"/>
            <w:r>
              <w:t>на</w:t>
            </w:r>
            <w:proofErr w:type="spellEnd"/>
            <w:r>
              <w:t xml:space="preserve"> </w:t>
            </w:r>
            <w:proofErr w:type="spellStart"/>
            <w:r>
              <w:t>Kounis</w:t>
            </w:r>
            <w:proofErr w:type="spellEnd"/>
          </w:p>
        </w:tc>
      </w:tr>
      <w:tr w:rsidR="00CA36D9" w14:paraId="564A6A78" w14:textId="77777777" w:rsidTr="00CA36D9">
        <w:tc>
          <w:tcPr>
            <w:tcW w:w="2359" w:type="dxa"/>
          </w:tcPr>
          <w:p w14:paraId="6CF0A915" w14:textId="0EE018E0" w:rsidR="00CA36D9" w:rsidRDefault="00CA36D9" w:rsidP="00CA36D9">
            <w:proofErr w:type="spellStart"/>
            <w:r>
              <w:t>Съдови</w:t>
            </w:r>
            <w:proofErr w:type="spellEnd"/>
            <w:r>
              <w:t xml:space="preserve"> </w:t>
            </w:r>
            <w:proofErr w:type="spellStart"/>
            <w:r>
              <w:t>нарушения</w:t>
            </w:r>
            <w:proofErr w:type="spellEnd"/>
          </w:p>
        </w:tc>
        <w:tc>
          <w:tcPr>
            <w:tcW w:w="2378" w:type="dxa"/>
          </w:tcPr>
          <w:p w14:paraId="679375B3" w14:textId="4626FCDA" w:rsidR="00CA36D9" w:rsidRDefault="00CA36D9" w:rsidP="00CA36D9">
            <w:proofErr w:type="spellStart"/>
            <w:r>
              <w:t>Ниско</w:t>
            </w:r>
            <w:proofErr w:type="spellEnd"/>
            <w:r>
              <w:t xml:space="preserve"> </w:t>
            </w:r>
            <w:proofErr w:type="spellStart"/>
            <w:r>
              <w:t>кръвно</w:t>
            </w:r>
            <w:proofErr w:type="spellEnd"/>
            <w:r>
              <w:t xml:space="preserve"> </w:t>
            </w:r>
            <w:proofErr w:type="spellStart"/>
            <w:r>
              <w:t>налягане</w:t>
            </w:r>
            <w:proofErr w:type="spellEnd"/>
          </w:p>
        </w:tc>
        <w:tc>
          <w:tcPr>
            <w:tcW w:w="2490" w:type="dxa"/>
            <w:vAlign w:val="bottom"/>
          </w:tcPr>
          <w:p w14:paraId="60BF08DE" w14:textId="77777777" w:rsidR="00CA36D9" w:rsidRDefault="00CA36D9" w:rsidP="00CA36D9">
            <w:proofErr w:type="spellStart"/>
            <w:r>
              <w:t>Циркулаторен</w:t>
            </w:r>
            <w:proofErr w:type="spellEnd"/>
            <w:r>
              <w:t xml:space="preserve"> </w:t>
            </w:r>
            <w:proofErr w:type="spellStart"/>
            <w:r>
              <w:t>колапс</w:t>
            </w:r>
            <w:proofErr w:type="spellEnd"/>
            <w:r>
              <w:t xml:space="preserve"> и </w:t>
            </w:r>
            <w:proofErr w:type="spellStart"/>
            <w:r>
              <w:t>шок</w:t>
            </w:r>
            <w:proofErr w:type="spellEnd"/>
          </w:p>
          <w:p w14:paraId="1F174399" w14:textId="1BC4060A" w:rsidR="00CA36D9" w:rsidRDefault="00CA36D9" w:rsidP="00CA36D9">
            <w:proofErr w:type="spellStart"/>
            <w:r>
              <w:t>Зачервяване</w:t>
            </w:r>
            <w:proofErr w:type="spellEnd"/>
            <w:r>
              <w:t xml:space="preserve"> </w:t>
            </w:r>
            <w:proofErr w:type="spellStart"/>
            <w:r>
              <w:t>на</w:t>
            </w:r>
            <w:proofErr w:type="spellEnd"/>
            <w:r>
              <w:t xml:space="preserve"> </w:t>
            </w:r>
            <w:proofErr w:type="spellStart"/>
            <w:r>
              <w:t>лицето</w:t>
            </w:r>
            <w:proofErr w:type="spellEnd"/>
          </w:p>
        </w:tc>
        <w:tc>
          <w:tcPr>
            <w:tcW w:w="2349" w:type="dxa"/>
          </w:tcPr>
          <w:p w14:paraId="5A8909D1" w14:textId="77777777" w:rsidR="00CA36D9" w:rsidRDefault="00CA36D9" w:rsidP="00CA36D9"/>
        </w:tc>
      </w:tr>
      <w:tr w:rsidR="00CA36D9" w14:paraId="0106C036" w14:textId="77777777" w:rsidTr="00CA36D9">
        <w:tc>
          <w:tcPr>
            <w:tcW w:w="2359" w:type="dxa"/>
            <w:vAlign w:val="bottom"/>
          </w:tcPr>
          <w:p w14:paraId="7FE36BBC" w14:textId="4A287BDC" w:rsidR="00CA36D9" w:rsidRDefault="00CA36D9" w:rsidP="00CA36D9">
            <w:proofErr w:type="spellStart"/>
            <w:r>
              <w:t>Респираторни</w:t>
            </w:r>
            <w:proofErr w:type="spellEnd"/>
            <w:r>
              <w:t xml:space="preserve">, </w:t>
            </w:r>
            <w:proofErr w:type="spellStart"/>
            <w:r>
              <w:t>гръдни</w:t>
            </w:r>
            <w:proofErr w:type="spellEnd"/>
            <w:r>
              <w:t xml:space="preserve"> и </w:t>
            </w:r>
            <w:proofErr w:type="spellStart"/>
            <w:r>
              <w:t>медиастинални</w:t>
            </w:r>
            <w:proofErr w:type="spellEnd"/>
            <w:r>
              <w:t xml:space="preserve"> </w:t>
            </w:r>
            <w:proofErr w:type="spellStart"/>
            <w:r>
              <w:t>нарушения</w:t>
            </w:r>
            <w:proofErr w:type="spellEnd"/>
          </w:p>
        </w:tc>
        <w:tc>
          <w:tcPr>
            <w:tcW w:w="2378" w:type="dxa"/>
          </w:tcPr>
          <w:p w14:paraId="52A90BF3" w14:textId="77777777" w:rsidR="00CA36D9" w:rsidRDefault="00CA36D9" w:rsidP="00CA36D9"/>
        </w:tc>
        <w:tc>
          <w:tcPr>
            <w:tcW w:w="2490" w:type="dxa"/>
          </w:tcPr>
          <w:p w14:paraId="3A3C3E79" w14:textId="0E2472AE" w:rsidR="00CA36D9" w:rsidRDefault="00CA36D9" w:rsidP="00CA36D9">
            <w:proofErr w:type="spellStart"/>
            <w:r>
              <w:t>Бронхоспазъм</w:t>
            </w:r>
            <w:proofErr w:type="spellEnd"/>
          </w:p>
        </w:tc>
        <w:tc>
          <w:tcPr>
            <w:tcW w:w="2349" w:type="dxa"/>
          </w:tcPr>
          <w:p w14:paraId="34356F97" w14:textId="77777777" w:rsidR="00CA36D9" w:rsidRDefault="00CA36D9" w:rsidP="00CA36D9"/>
        </w:tc>
      </w:tr>
      <w:tr w:rsidR="00CA36D9" w14:paraId="2D6E2CB0" w14:textId="77777777" w:rsidTr="00CA36D9">
        <w:tc>
          <w:tcPr>
            <w:tcW w:w="2359" w:type="dxa"/>
          </w:tcPr>
          <w:p w14:paraId="7B088E9C" w14:textId="275022D4" w:rsidR="00CA36D9" w:rsidRDefault="00CA36D9" w:rsidP="00CA36D9">
            <w:proofErr w:type="spellStart"/>
            <w:r>
              <w:t>Нарушения</w:t>
            </w:r>
            <w:proofErr w:type="spellEnd"/>
            <w:r>
              <w:t xml:space="preserve"> </w:t>
            </w:r>
            <w:proofErr w:type="spellStart"/>
            <w:r>
              <w:t>на</w:t>
            </w:r>
            <w:proofErr w:type="spellEnd"/>
            <w:r>
              <w:t xml:space="preserve"> </w:t>
            </w:r>
            <w:proofErr w:type="spellStart"/>
            <w:r>
              <w:t>кожата</w:t>
            </w:r>
            <w:proofErr w:type="spellEnd"/>
            <w:r>
              <w:t xml:space="preserve"> и </w:t>
            </w:r>
            <w:proofErr w:type="spellStart"/>
            <w:r>
              <w:t>на</w:t>
            </w:r>
            <w:proofErr w:type="spellEnd"/>
            <w:r>
              <w:t xml:space="preserve"> </w:t>
            </w:r>
            <w:proofErr w:type="spellStart"/>
            <w:r>
              <w:t>подкожната</w:t>
            </w:r>
            <w:proofErr w:type="spellEnd"/>
            <w:r>
              <w:t xml:space="preserve"> </w:t>
            </w:r>
            <w:proofErr w:type="spellStart"/>
            <w:r>
              <w:t>тъкан</w:t>
            </w:r>
            <w:proofErr w:type="spellEnd"/>
          </w:p>
        </w:tc>
        <w:tc>
          <w:tcPr>
            <w:tcW w:w="2378" w:type="dxa"/>
          </w:tcPr>
          <w:p w14:paraId="12540351" w14:textId="77777777" w:rsidR="00CA36D9" w:rsidRDefault="00CA36D9" w:rsidP="00CA36D9"/>
        </w:tc>
        <w:tc>
          <w:tcPr>
            <w:tcW w:w="2490" w:type="dxa"/>
            <w:vAlign w:val="bottom"/>
          </w:tcPr>
          <w:p w14:paraId="4854D989" w14:textId="77777777" w:rsidR="00CA36D9" w:rsidRDefault="00CA36D9" w:rsidP="00CA36D9">
            <w:proofErr w:type="spellStart"/>
            <w:r>
              <w:t>Ангионевротичен</w:t>
            </w:r>
            <w:proofErr w:type="spellEnd"/>
            <w:r>
              <w:t xml:space="preserve"> </w:t>
            </w:r>
            <w:proofErr w:type="spellStart"/>
            <w:r>
              <w:t>едем</w:t>
            </w:r>
            <w:proofErr w:type="spellEnd"/>
          </w:p>
          <w:p w14:paraId="7A2A3149" w14:textId="77777777" w:rsidR="00CA36D9" w:rsidRDefault="00CA36D9" w:rsidP="00CA36D9">
            <w:proofErr w:type="spellStart"/>
            <w:r>
              <w:t>Уртикария</w:t>
            </w:r>
            <w:proofErr w:type="spellEnd"/>
          </w:p>
          <w:p w14:paraId="3FB1B987" w14:textId="77777777" w:rsidR="00CA36D9" w:rsidRDefault="00CA36D9" w:rsidP="00CA36D9">
            <w:proofErr w:type="spellStart"/>
            <w:r>
              <w:t>Обрив</w:t>
            </w:r>
            <w:proofErr w:type="spellEnd"/>
          </w:p>
          <w:p w14:paraId="3C0FF731" w14:textId="20273B33" w:rsidR="00CA36D9" w:rsidRDefault="00CA36D9" w:rsidP="00CA36D9">
            <w:proofErr w:type="spellStart"/>
            <w:r>
              <w:t>Еритематозен</w:t>
            </w:r>
            <w:proofErr w:type="spellEnd"/>
            <w:r>
              <w:t xml:space="preserve"> </w:t>
            </w:r>
            <w:proofErr w:type="spellStart"/>
            <w:r>
              <w:t>обрив</w:t>
            </w:r>
            <w:proofErr w:type="spellEnd"/>
          </w:p>
        </w:tc>
        <w:tc>
          <w:tcPr>
            <w:tcW w:w="2349" w:type="dxa"/>
          </w:tcPr>
          <w:p w14:paraId="4B8AF88E" w14:textId="77777777" w:rsidR="00CA36D9" w:rsidRDefault="00CA36D9" w:rsidP="00CA36D9"/>
        </w:tc>
      </w:tr>
      <w:tr w:rsidR="00CA36D9" w14:paraId="6E0726B5" w14:textId="77777777" w:rsidTr="00CA36D9">
        <w:tc>
          <w:tcPr>
            <w:tcW w:w="2359" w:type="dxa"/>
            <w:vAlign w:val="bottom"/>
          </w:tcPr>
          <w:p w14:paraId="76B53240" w14:textId="330F57C7" w:rsidR="00CA36D9" w:rsidRDefault="00CA36D9" w:rsidP="00CA36D9">
            <w:proofErr w:type="spellStart"/>
            <w:r>
              <w:t>Нарушения</w:t>
            </w:r>
            <w:proofErr w:type="spellEnd"/>
            <w:r>
              <w:t xml:space="preserve"> </w:t>
            </w:r>
            <w:proofErr w:type="spellStart"/>
            <w:r>
              <w:t>на</w:t>
            </w:r>
            <w:proofErr w:type="spellEnd"/>
            <w:r>
              <w:t xml:space="preserve"> </w:t>
            </w:r>
            <w:proofErr w:type="spellStart"/>
            <w:r>
              <w:t>мускулно-скелетната</w:t>
            </w:r>
            <w:proofErr w:type="spellEnd"/>
            <w:r>
              <w:t xml:space="preserve"> </w:t>
            </w:r>
            <w:proofErr w:type="spellStart"/>
            <w:r>
              <w:t>система</w:t>
            </w:r>
            <w:proofErr w:type="spellEnd"/>
            <w:r>
              <w:t xml:space="preserve"> и </w:t>
            </w:r>
            <w:proofErr w:type="spellStart"/>
            <w:r>
              <w:t>съединителната</w:t>
            </w:r>
            <w:proofErr w:type="spellEnd"/>
            <w:r>
              <w:t xml:space="preserve"> </w:t>
            </w:r>
            <w:proofErr w:type="spellStart"/>
            <w:r>
              <w:t>тъкан</w:t>
            </w:r>
            <w:proofErr w:type="spellEnd"/>
          </w:p>
        </w:tc>
        <w:tc>
          <w:tcPr>
            <w:tcW w:w="2378" w:type="dxa"/>
          </w:tcPr>
          <w:p w14:paraId="2055CB0C" w14:textId="77777777" w:rsidR="00CA36D9" w:rsidRDefault="00CA36D9" w:rsidP="00CA36D9"/>
        </w:tc>
        <w:tc>
          <w:tcPr>
            <w:tcW w:w="2490" w:type="dxa"/>
          </w:tcPr>
          <w:p w14:paraId="6EA729E8" w14:textId="77777777" w:rsidR="00CA36D9" w:rsidRDefault="00CA36D9" w:rsidP="00CA36D9">
            <w:proofErr w:type="spellStart"/>
            <w:r>
              <w:t>Мускулна</w:t>
            </w:r>
            <w:proofErr w:type="spellEnd"/>
            <w:r>
              <w:t xml:space="preserve"> </w:t>
            </w:r>
            <w:proofErr w:type="spellStart"/>
            <w:r>
              <w:t>слабост</w:t>
            </w:r>
            <w:r>
              <w:rPr>
                <w:vertAlign w:val="superscript"/>
              </w:rPr>
              <w:t>c</w:t>
            </w:r>
            <w:proofErr w:type="spellEnd"/>
          </w:p>
          <w:p w14:paraId="165B4056" w14:textId="1DFFA777" w:rsidR="00CA36D9" w:rsidRDefault="00CA36D9" w:rsidP="00CA36D9">
            <w:proofErr w:type="spellStart"/>
            <w:r>
              <w:t>Стероидна</w:t>
            </w:r>
            <w:proofErr w:type="spellEnd"/>
            <w:r>
              <w:t xml:space="preserve"> </w:t>
            </w:r>
            <w:proofErr w:type="spellStart"/>
            <w:r>
              <w:t>миопатия</w:t>
            </w:r>
            <w:r>
              <w:rPr>
                <w:vertAlign w:val="superscript"/>
              </w:rPr>
              <w:t>с</w:t>
            </w:r>
            <w:proofErr w:type="spellEnd"/>
          </w:p>
        </w:tc>
        <w:tc>
          <w:tcPr>
            <w:tcW w:w="2349" w:type="dxa"/>
          </w:tcPr>
          <w:p w14:paraId="45BFE6D4" w14:textId="77777777" w:rsidR="00CA36D9" w:rsidRDefault="00CA36D9" w:rsidP="00CA36D9"/>
        </w:tc>
      </w:tr>
      <w:tr w:rsidR="00CA36D9" w14:paraId="660FA129" w14:textId="77777777" w:rsidTr="00CA36D9">
        <w:tc>
          <w:tcPr>
            <w:tcW w:w="2359" w:type="dxa"/>
          </w:tcPr>
          <w:p w14:paraId="2364E9D6" w14:textId="73C82F35" w:rsidR="00CA36D9" w:rsidRDefault="00CA36D9" w:rsidP="00CA36D9">
            <w:proofErr w:type="spellStart"/>
            <w:r>
              <w:t>Общи</w:t>
            </w:r>
            <w:proofErr w:type="spellEnd"/>
            <w:r>
              <w:t xml:space="preserve"> </w:t>
            </w:r>
            <w:proofErr w:type="spellStart"/>
            <w:r>
              <w:t>нарушения</w:t>
            </w:r>
            <w:proofErr w:type="spellEnd"/>
            <w:r>
              <w:t xml:space="preserve"> и </w:t>
            </w:r>
            <w:proofErr w:type="spellStart"/>
            <w:r>
              <w:t>ефекти</w:t>
            </w:r>
            <w:proofErr w:type="spellEnd"/>
            <w:r>
              <w:t xml:space="preserve"> </w:t>
            </w:r>
            <w:proofErr w:type="spellStart"/>
            <w:r>
              <w:t>на</w:t>
            </w:r>
            <w:proofErr w:type="spellEnd"/>
            <w:r>
              <w:t xml:space="preserve"> </w:t>
            </w:r>
            <w:proofErr w:type="spellStart"/>
            <w:r>
              <w:t>мястото</w:t>
            </w:r>
            <w:proofErr w:type="spellEnd"/>
            <w:r>
              <w:t xml:space="preserve"> </w:t>
            </w:r>
            <w:proofErr w:type="spellStart"/>
            <w:r>
              <w:t>на</w:t>
            </w:r>
            <w:proofErr w:type="spellEnd"/>
            <w:r>
              <w:t xml:space="preserve"> </w:t>
            </w:r>
            <w:proofErr w:type="spellStart"/>
            <w:r>
              <w:t>приложение</w:t>
            </w:r>
            <w:proofErr w:type="spellEnd"/>
          </w:p>
        </w:tc>
        <w:tc>
          <w:tcPr>
            <w:tcW w:w="2378" w:type="dxa"/>
            <w:vAlign w:val="bottom"/>
          </w:tcPr>
          <w:p w14:paraId="716B88C9" w14:textId="61C8002F" w:rsidR="00CA36D9" w:rsidRDefault="00CA36D9" w:rsidP="00CA36D9">
            <w:proofErr w:type="spellStart"/>
            <w:r>
              <w:t>Лекарствена</w:t>
            </w:r>
            <w:proofErr w:type="spellEnd"/>
            <w:r>
              <w:t xml:space="preserve"> </w:t>
            </w:r>
            <w:proofErr w:type="spellStart"/>
            <w:r>
              <w:t>неефективност</w:t>
            </w:r>
            <w:proofErr w:type="spellEnd"/>
            <w:r>
              <w:t xml:space="preserve"> </w:t>
            </w:r>
            <w:proofErr w:type="spellStart"/>
            <w:r>
              <w:t>Лекарствен</w:t>
            </w:r>
            <w:proofErr w:type="spellEnd"/>
            <w:r>
              <w:t xml:space="preserve"> </w:t>
            </w:r>
            <w:proofErr w:type="spellStart"/>
            <w:r>
              <w:t>ефект</w:t>
            </w:r>
            <w:proofErr w:type="spellEnd"/>
            <w:r>
              <w:t>/</w:t>
            </w:r>
            <w:proofErr w:type="spellStart"/>
            <w:r>
              <w:t>терапевтичен</w:t>
            </w:r>
            <w:proofErr w:type="spellEnd"/>
            <w:r>
              <w:t xml:space="preserve"> </w:t>
            </w:r>
            <w:proofErr w:type="spellStart"/>
            <w:r>
              <w:t>отговор</w:t>
            </w:r>
            <w:proofErr w:type="spellEnd"/>
            <w:r>
              <w:t xml:space="preserve"> </w:t>
            </w:r>
            <w:proofErr w:type="spellStart"/>
            <w:r>
              <w:t>намален</w:t>
            </w:r>
            <w:proofErr w:type="spellEnd"/>
            <w:r>
              <w:t xml:space="preserve"> </w:t>
            </w:r>
            <w:proofErr w:type="spellStart"/>
            <w:r>
              <w:t>Лекарствен</w:t>
            </w:r>
            <w:proofErr w:type="spellEnd"/>
            <w:r>
              <w:t xml:space="preserve"> </w:t>
            </w:r>
            <w:proofErr w:type="spellStart"/>
            <w:r>
              <w:t>ефект</w:t>
            </w:r>
            <w:proofErr w:type="spellEnd"/>
            <w:r>
              <w:t>/</w:t>
            </w:r>
            <w:proofErr w:type="spellStart"/>
            <w:r>
              <w:t>терапевтичен</w:t>
            </w:r>
            <w:proofErr w:type="spellEnd"/>
            <w:r>
              <w:t xml:space="preserve"> </w:t>
            </w:r>
            <w:proofErr w:type="spellStart"/>
            <w:r>
              <w:t>отговор</w:t>
            </w:r>
            <w:proofErr w:type="spellEnd"/>
            <w:r>
              <w:t xml:space="preserve"> </w:t>
            </w:r>
            <w:proofErr w:type="spellStart"/>
            <w:r>
              <w:t>увеличен</w:t>
            </w:r>
            <w:proofErr w:type="spellEnd"/>
            <w:r>
              <w:t xml:space="preserve"> </w:t>
            </w:r>
            <w:proofErr w:type="spellStart"/>
            <w:r>
              <w:t>Болка</w:t>
            </w:r>
            <w:proofErr w:type="spellEnd"/>
            <w:r>
              <w:t xml:space="preserve"> в </w:t>
            </w:r>
            <w:proofErr w:type="spellStart"/>
            <w:r>
              <w:t>мястото</w:t>
            </w:r>
            <w:proofErr w:type="spellEnd"/>
            <w:r>
              <w:t xml:space="preserve"> </w:t>
            </w:r>
            <w:proofErr w:type="spellStart"/>
            <w:r>
              <w:t>на</w:t>
            </w:r>
            <w:proofErr w:type="spellEnd"/>
            <w:r>
              <w:t xml:space="preserve"> </w:t>
            </w:r>
            <w:proofErr w:type="spellStart"/>
            <w:r>
              <w:t>инжектиране</w:t>
            </w:r>
            <w:proofErr w:type="spellEnd"/>
            <w:r>
              <w:t xml:space="preserve"> </w:t>
            </w:r>
            <w:proofErr w:type="spellStart"/>
            <w:r>
              <w:lastRenderedPageBreak/>
              <w:t>Реакция</w:t>
            </w:r>
            <w:proofErr w:type="spellEnd"/>
            <w:r>
              <w:t xml:space="preserve"> в </w:t>
            </w:r>
            <w:proofErr w:type="spellStart"/>
            <w:r>
              <w:t>мястото</w:t>
            </w:r>
            <w:proofErr w:type="spellEnd"/>
            <w:r>
              <w:t xml:space="preserve"> </w:t>
            </w:r>
            <w:proofErr w:type="spellStart"/>
            <w:r>
              <w:t>на</w:t>
            </w:r>
            <w:proofErr w:type="spellEnd"/>
            <w:r>
              <w:t xml:space="preserve"> </w:t>
            </w:r>
            <w:proofErr w:type="spellStart"/>
            <w:r>
              <w:t>инжектиране</w:t>
            </w:r>
            <w:proofErr w:type="spellEnd"/>
          </w:p>
        </w:tc>
        <w:tc>
          <w:tcPr>
            <w:tcW w:w="2490" w:type="dxa"/>
          </w:tcPr>
          <w:p w14:paraId="456B8340" w14:textId="50BBF5B2" w:rsidR="00CA36D9" w:rsidRDefault="00CA36D9" w:rsidP="00CA36D9">
            <w:proofErr w:type="spellStart"/>
            <w:r>
              <w:lastRenderedPageBreak/>
              <w:t>Оток</w:t>
            </w:r>
            <w:proofErr w:type="spellEnd"/>
            <w:r>
              <w:t xml:space="preserve"> </w:t>
            </w:r>
            <w:proofErr w:type="spellStart"/>
            <w:r>
              <w:t>на</w:t>
            </w:r>
            <w:proofErr w:type="spellEnd"/>
            <w:r>
              <w:t xml:space="preserve"> </w:t>
            </w:r>
            <w:proofErr w:type="spellStart"/>
            <w:r>
              <w:t>лицето</w:t>
            </w:r>
            <w:proofErr w:type="spellEnd"/>
          </w:p>
        </w:tc>
        <w:tc>
          <w:tcPr>
            <w:tcW w:w="2349" w:type="dxa"/>
          </w:tcPr>
          <w:p w14:paraId="48970E62" w14:textId="1F82D546" w:rsidR="00CA36D9" w:rsidRDefault="00CA36D9" w:rsidP="00CA36D9"/>
        </w:tc>
      </w:tr>
      <w:tr w:rsidR="00CA36D9" w14:paraId="2BF6CAC0" w14:textId="77777777" w:rsidTr="00CA36D9">
        <w:tc>
          <w:tcPr>
            <w:tcW w:w="2359" w:type="dxa"/>
          </w:tcPr>
          <w:p w14:paraId="2FB76AFF" w14:textId="55CD99B6" w:rsidR="00CA36D9" w:rsidRDefault="00CA36D9" w:rsidP="00CA36D9">
            <w:proofErr w:type="spellStart"/>
            <w:r>
              <w:t>Наранявания</w:t>
            </w:r>
            <w:proofErr w:type="spellEnd"/>
            <w:r>
              <w:t xml:space="preserve">, </w:t>
            </w:r>
            <w:proofErr w:type="spellStart"/>
            <w:r>
              <w:t>отравяния</w:t>
            </w:r>
            <w:proofErr w:type="spellEnd"/>
            <w:r>
              <w:t xml:space="preserve"> и </w:t>
            </w:r>
            <w:proofErr w:type="spellStart"/>
            <w:r>
              <w:t>усложнения</w:t>
            </w:r>
            <w:proofErr w:type="spellEnd"/>
            <w:r>
              <w:t xml:space="preserve">, </w:t>
            </w:r>
            <w:proofErr w:type="spellStart"/>
            <w:r>
              <w:t>възникнали</w:t>
            </w:r>
            <w:proofErr w:type="spellEnd"/>
            <w:r>
              <w:t xml:space="preserve"> в </w:t>
            </w:r>
            <w:proofErr w:type="spellStart"/>
            <w:r>
              <w:t>резултат</w:t>
            </w:r>
            <w:proofErr w:type="spellEnd"/>
            <w:r>
              <w:t xml:space="preserve"> </w:t>
            </w:r>
            <w:proofErr w:type="spellStart"/>
            <w:r>
              <w:t>на</w:t>
            </w:r>
            <w:proofErr w:type="spellEnd"/>
            <w:r>
              <w:t xml:space="preserve"> </w:t>
            </w:r>
            <w:proofErr w:type="spellStart"/>
            <w:r>
              <w:t>интервенции</w:t>
            </w:r>
            <w:proofErr w:type="spellEnd"/>
          </w:p>
        </w:tc>
        <w:tc>
          <w:tcPr>
            <w:tcW w:w="2378" w:type="dxa"/>
          </w:tcPr>
          <w:p w14:paraId="2A907BD9" w14:textId="4B8EB21C" w:rsidR="00CA36D9" w:rsidRDefault="00CA36D9" w:rsidP="00CA36D9">
            <w:proofErr w:type="spellStart"/>
            <w:r>
              <w:t>Удължен</w:t>
            </w:r>
            <w:proofErr w:type="spellEnd"/>
            <w:r>
              <w:t xml:space="preserve"> </w:t>
            </w:r>
            <w:proofErr w:type="spellStart"/>
            <w:r>
              <w:t>невромускулен</w:t>
            </w:r>
            <w:proofErr w:type="spellEnd"/>
            <w:r>
              <w:t xml:space="preserve"> </w:t>
            </w:r>
            <w:proofErr w:type="spellStart"/>
            <w:r>
              <w:t>блок</w:t>
            </w:r>
            <w:proofErr w:type="spellEnd"/>
            <w:r>
              <w:t xml:space="preserve"> </w:t>
            </w:r>
            <w:proofErr w:type="spellStart"/>
            <w:r>
              <w:t>Забавено</w:t>
            </w:r>
            <w:proofErr w:type="spellEnd"/>
            <w:r>
              <w:t xml:space="preserve"> </w:t>
            </w:r>
            <w:proofErr w:type="spellStart"/>
            <w:r>
              <w:t>възстановяване</w:t>
            </w:r>
            <w:proofErr w:type="spellEnd"/>
            <w:r>
              <w:t xml:space="preserve"> </w:t>
            </w:r>
            <w:proofErr w:type="spellStart"/>
            <w:r>
              <w:t>от</w:t>
            </w:r>
            <w:proofErr w:type="spellEnd"/>
            <w:r>
              <w:t xml:space="preserve"> </w:t>
            </w:r>
            <w:proofErr w:type="spellStart"/>
            <w:r>
              <w:t>анестезия</w:t>
            </w:r>
            <w:proofErr w:type="spellEnd"/>
          </w:p>
        </w:tc>
        <w:tc>
          <w:tcPr>
            <w:tcW w:w="2490" w:type="dxa"/>
          </w:tcPr>
          <w:p w14:paraId="03EC0B0D" w14:textId="3C53B197" w:rsidR="00CA36D9" w:rsidRDefault="00CA36D9" w:rsidP="00CA36D9">
            <w:proofErr w:type="spellStart"/>
            <w:proofErr w:type="gramStart"/>
            <w:r>
              <w:t>Усложнение,свързано</w:t>
            </w:r>
            <w:proofErr w:type="spellEnd"/>
            <w:proofErr w:type="gramEnd"/>
            <w:r>
              <w:t xml:space="preserve"> с </w:t>
            </w:r>
            <w:proofErr w:type="spellStart"/>
            <w:r>
              <w:t>дихателните</w:t>
            </w:r>
            <w:proofErr w:type="spellEnd"/>
            <w:r>
              <w:t xml:space="preserve"> </w:t>
            </w:r>
            <w:proofErr w:type="spellStart"/>
            <w:r>
              <w:t>пътища</w:t>
            </w:r>
            <w:proofErr w:type="spellEnd"/>
            <w:r>
              <w:t xml:space="preserve"> </w:t>
            </w:r>
            <w:proofErr w:type="spellStart"/>
            <w:r>
              <w:t>при</w:t>
            </w:r>
            <w:proofErr w:type="spellEnd"/>
            <w:r>
              <w:t xml:space="preserve"> </w:t>
            </w:r>
            <w:proofErr w:type="spellStart"/>
            <w:r>
              <w:t>анестезия</w:t>
            </w:r>
            <w:proofErr w:type="spellEnd"/>
          </w:p>
        </w:tc>
        <w:tc>
          <w:tcPr>
            <w:tcW w:w="2349" w:type="dxa"/>
          </w:tcPr>
          <w:p w14:paraId="1170B5B0" w14:textId="77777777" w:rsidR="00CA36D9" w:rsidRDefault="00CA36D9" w:rsidP="00CA36D9"/>
        </w:tc>
      </w:tr>
    </w:tbl>
    <w:p w14:paraId="64828689" w14:textId="77777777" w:rsidR="00CA36D9" w:rsidRPr="00CA36D9" w:rsidRDefault="00CA36D9" w:rsidP="00CA36D9">
      <w:pPr>
        <w:rPr>
          <w:sz w:val="24"/>
          <w:szCs w:val="24"/>
          <w:lang w:val="bg-BG"/>
        </w:rPr>
      </w:pPr>
      <w:r w:rsidRPr="00CA36D9">
        <w:t xml:space="preserve">MedDRA </w:t>
      </w:r>
      <w:r w:rsidRPr="00CA36D9">
        <w:rPr>
          <w:lang w:val="bg-BG" w:eastAsia="bg-BG"/>
        </w:rPr>
        <w:t xml:space="preserve">версия </w:t>
      </w:r>
      <w:r w:rsidRPr="00CA36D9">
        <w:t>8.1</w:t>
      </w:r>
    </w:p>
    <w:p w14:paraId="7E702EED" w14:textId="77777777" w:rsidR="00CA36D9" w:rsidRPr="00CA36D9" w:rsidRDefault="00CA36D9" w:rsidP="00CA36D9">
      <w:pPr>
        <w:rPr>
          <w:sz w:val="24"/>
          <w:szCs w:val="24"/>
          <w:lang w:val="bg-BG"/>
        </w:rPr>
      </w:pPr>
      <w:r w:rsidRPr="00CA36D9">
        <w:rPr>
          <w:vertAlign w:val="superscript"/>
        </w:rPr>
        <w:t>a</w:t>
      </w:r>
      <w:r w:rsidRPr="00CA36D9">
        <w:t xml:space="preserve"> </w:t>
      </w:r>
      <w:r w:rsidRPr="00CA36D9">
        <w:rPr>
          <w:lang w:val="bg-BG" w:eastAsia="bg-BG"/>
        </w:rPr>
        <w:t xml:space="preserve">Честотите са изчисления, извлечени от доклади за </w:t>
      </w:r>
      <w:proofErr w:type="spellStart"/>
      <w:r w:rsidRPr="00CA36D9">
        <w:rPr>
          <w:lang w:val="bg-BG" w:eastAsia="bg-BG"/>
        </w:rPr>
        <w:t>постмаркетннгови</w:t>
      </w:r>
      <w:proofErr w:type="spellEnd"/>
      <w:r w:rsidRPr="00CA36D9">
        <w:rPr>
          <w:lang w:val="bg-BG" w:eastAsia="bg-BG"/>
        </w:rPr>
        <w:t xml:space="preserve"> наблюдения н данни от общата литература.</w:t>
      </w:r>
    </w:p>
    <w:p w14:paraId="30C52F49" w14:textId="77777777" w:rsidR="00CA36D9" w:rsidRPr="00CA36D9" w:rsidRDefault="00CA36D9" w:rsidP="00CA36D9">
      <w:pPr>
        <w:rPr>
          <w:sz w:val="24"/>
          <w:szCs w:val="24"/>
          <w:lang w:val="bg-BG"/>
        </w:rPr>
      </w:pPr>
      <w:r w:rsidRPr="00CA36D9">
        <w:rPr>
          <w:vertAlign w:val="superscript"/>
          <w:lang w:val="bg-BG" w:eastAsia="bg-BG"/>
        </w:rPr>
        <w:t>ь</w:t>
      </w:r>
      <w:r w:rsidRPr="00CA36D9">
        <w:rPr>
          <w:lang w:val="bg-BG" w:eastAsia="bg-BG"/>
        </w:rPr>
        <w:t xml:space="preserve"> Данни от </w:t>
      </w:r>
      <w:proofErr w:type="spellStart"/>
      <w:r w:rsidRPr="00CA36D9">
        <w:rPr>
          <w:lang w:val="bg-BG" w:eastAsia="bg-BG"/>
        </w:rPr>
        <w:t>постмаркетингови</w:t>
      </w:r>
      <w:proofErr w:type="spellEnd"/>
      <w:r w:rsidRPr="00CA36D9">
        <w:rPr>
          <w:lang w:val="bg-BG" w:eastAsia="bg-BG"/>
        </w:rPr>
        <w:t xml:space="preserve"> наблюдения не могат да дадат точна обща представа. Поради тази причина, съобщаваната честота е разделена на три вместо на пет категории.</w:t>
      </w:r>
    </w:p>
    <w:p w14:paraId="17B3E0A8" w14:textId="77777777" w:rsidR="00CA36D9" w:rsidRPr="00CA36D9" w:rsidRDefault="00CA36D9" w:rsidP="00CA36D9">
      <w:pPr>
        <w:rPr>
          <w:sz w:val="24"/>
          <w:szCs w:val="24"/>
          <w:lang w:val="bg-BG"/>
        </w:rPr>
      </w:pPr>
      <w:r w:rsidRPr="00CA36D9">
        <w:rPr>
          <w:vertAlign w:val="superscript"/>
          <w:lang w:val="bg-BG" w:eastAsia="bg-BG"/>
        </w:rPr>
        <w:t>е</w:t>
      </w:r>
      <w:r w:rsidRPr="00CA36D9">
        <w:rPr>
          <w:lang w:val="bg-BG" w:eastAsia="bg-BG"/>
        </w:rPr>
        <w:t xml:space="preserve"> след продължителна употреба в спешната медицина</w:t>
      </w:r>
    </w:p>
    <w:p w14:paraId="278AF310" w14:textId="77777777" w:rsidR="00CA36D9" w:rsidRDefault="00CA36D9" w:rsidP="00CA36D9">
      <w:pPr>
        <w:rPr>
          <w:u w:val="single"/>
          <w:lang w:val="bg-BG" w:eastAsia="bg-BG"/>
        </w:rPr>
      </w:pPr>
    </w:p>
    <w:p w14:paraId="6ABE5E67" w14:textId="75610F0A" w:rsidR="00CA36D9" w:rsidRPr="00CA36D9" w:rsidRDefault="00CA36D9" w:rsidP="00CA36D9">
      <w:pPr>
        <w:rPr>
          <w:sz w:val="24"/>
          <w:szCs w:val="24"/>
          <w:lang w:val="bg-BG"/>
        </w:rPr>
      </w:pPr>
      <w:proofErr w:type="spellStart"/>
      <w:r w:rsidRPr="00CA36D9">
        <w:rPr>
          <w:u w:val="single"/>
          <w:lang w:val="bg-BG" w:eastAsia="bg-BG"/>
        </w:rPr>
        <w:t>АнаФилаксия</w:t>
      </w:r>
      <w:proofErr w:type="spellEnd"/>
    </w:p>
    <w:p w14:paraId="2438794D" w14:textId="77777777" w:rsidR="00CA36D9" w:rsidRPr="00CA36D9" w:rsidRDefault="00CA36D9" w:rsidP="00CA36D9">
      <w:pPr>
        <w:rPr>
          <w:sz w:val="24"/>
          <w:szCs w:val="24"/>
          <w:lang w:val="bg-BG"/>
        </w:rPr>
      </w:pPr>
      <w:r w:rsidRPr="00CA36D9">
        <w:rPr>
          <w:lang w:val="bg-BG" w:eastAsia="bg-BG"/>
        </w:rPr>
        <w:t xml:space="preserve">Макар и много редки, </w:t>
      </w:r>
      <w:proofErr w:type="spellStart"/>
      <w:r w:rsidRPr="00CA36D9">
        <w:rPr>
          <w:lang w:val="bg-BG" w:eastAsia="bg-BG"/>
        </w:rPr>
        <w:t>анафилактични</w:t>
      </w:r>
      <w:proofErr w:type="spellEnd"/>
      <w:r w:rsidRPr="00CA36D9">
        <w:rPr>
          <w:lang w:val="bg-BG" w:eastAsia="bg-BG"/>
        </w:rPr>
        <w:t xml:space="preserve"> реакции към </w:t>
      </w:r>
      <w:proofErr w:type="spellStart"/>
      <w:r w:rsidRPr="00CA36D9">
        <w:rPr>
          <w:lang w:val="bg-BG" w:eastAsia="bg-BG"/>
        </w:rPr>
        <w:t>невромускулни</w:t>
      </w:r>
      <w:proofErr w:type="spellEnd"/>
      <w:r w:rsidRPr="00CA36D9">
        <w:rPr>
          <w:lang w:val="bg-BG" w:eastAsia="bg-BG"/>
        </w:rPr>
        <w:t xml:space="preserve"> </w:t>
      </w:r>
      <w:proofErr w:type="spellStart"/>
      <w:r w:rsidRPr="00CA36D9">
        <w:rPr>
          <w:lang w:val="bg-BG" w:eastAsia="bg-BG"/>
        </w:rPr>
        <w:t>блокери</w:t>
      </w:r>
      <w:proofErr w:type="spellEnd"/>
      <w:r w:rsidRPr="00CA36D9">
        <w:rPr>
          <w:lang w:val="bg-BG" w:eastAsia="bg-BG"/>
        </w:rPr>
        <w:t xml:space="preserve">, включително и </w:t>
      </w:r>
      <w:proofErr w:type="spellStart"/>
      <w:r w:rsidRPr="00CA36D9">
        <w:rPr>
          <w:lang w:val="bg-BG" w:eastAsia="bg-BG"/>
        </w:rPr>
        <w:t>Есмерон</w:t>
      </w:r>
      <w:proofErr w:type="spellEnd"/>
      <w:r w:rsidRPr="00CA36D9">
        <w:rPr>
          <w:lang w:val="bg-BG" w:eastAsia="bg-BG"/>
        </w:rPr>
        <w:t xml:space="preserve">, са документирани. </w:t>
      </w:r>
      <w:proofErr w:type="spellStart"/>
      <w:r w:rsidRPr="00CA36D9">
        <w:rPr>
          <w:lang w:val="bg-BG" w:eastAsia="bg-BG"/>
        </w:rPr>
        <w:t>Анафилактични</w:t>
      </w:r>
      <w:proofErr w:type="spellEnd"/>
      <w:r w:rsidRPr="00CA36D9">
        <w:rPr>
          <w:lang w:val="bg-BG" w:eastAsia="bg-BG"/>
        </w:rPr>
        <w:t>/</w:t>
      </w:r>
      <w:proofErr w:type="spellStart"/>
      <w:r w:rsidRPr="00CA36D9">
        <w:rPr>
          <w:lang w:val="bg-BG" w:eastAsia="bg-BG"/>
        </w:rPr>
        <w:t>анафилактоидни</w:t>
      </w:r>
      <w:proofErr w:type="spellEnd"/>
      <w:r w:rsidRPr="00CA36D9">
        <w:rPr>
          <w:lang w:val="bg-BG" w:eastAsia="bg-BG"/>
        </w:rPr>
        <w:t xml:space="preserve"> реакции са: </w:t>
      </w:r>
      <w:proofErr w:type="spellStart"/>
      <w:r w:rsidRPr="00CA36D9">
        <w:rPr>
          <w:lang w:val="bg-BG" w:eastAsia="bg-BG"/>
        </w:rPr>
        <w:t>бронхоспазъм</w:t>
      </w:r>
      <w:proofErr w:type="spellEnd"/>
      <w:r w:rsidRPr="00CA36D9">
        <w:rPr>
          <w:lang w:val="bg-BG" w:eastAsia="bg-BG"/>
        </w:rPr>
        <w:t xml:space="preserve">, </w:t>
      </w:r>
      <w:proofErr w:type="spellStart"/>
      <w:r w:rsidRPr="00CA36D9">
        <w:rPr>
          <w:lang w:val="bg-BG" w:eastAsia="bg-BG"/>
        </w:rPr>
        <w:t>кардиоваскуларни</w:t>
      </w:r>
      <w:proofErr w:type="spellEnd"/>
      <w:r w:rsidRPr="00CA36D9">
        <w:rPr>
          <w:lang w:val="bg-BG" w:eastAsia="bg-BG"/>
        </w:rPr>
        <w:t xml:space="preserve"> промени (като </w:t>
      </w:r>
      <w:proofErr w:type="spellStart"/>
      <w:r w:rsidRPr="00CA36D9">
        <w:rPr>
          <w:lang w:val="bg-BG" w:eastAsia="bg-BG"/>
        </w:rPr>
        <w:t>хипотензия</w:t>
      </w:r>
      <w:proofErr w:type="spellEnd"/>
      <w:r w:rsidRPr="00CA36D9">
        <w:rPr>
          <w:lang w:val="bg-BG" w:eastAsia="bg-BG"/>
        </w:rPr>
        <w:t xml:space="preserve">, тахикардия, </w:t>
      </w:r>
      <w:proofErr w:type="spellStart"/>
      <w:r w:rsidRPr="00CA36D9">
        <w:rPr>
          <w:lang w:val="bg-BG" w:eastAsia="bg-BG"/>
        </w:rPr>
        <w:t>циркулаторен</w:t>
      </w:r>
      <w:proofErr w:type="spellEnd"/>
      <w:r w:rsidRPr="00CA36D9">
        <w:rPr>
          <w:lang w:val="bg-BG" w:eastAsia="bg-BG"/>
        </w:rPr>
        <w:t xml:space="preserve"> колапс-шок) и кожни промени (като ангиоедема, уртикария). Тези реакции в някои случаи са били фатални. Поради възможната тежест на тези реакции винаги трябва да се допуска, че могат да се появят и да се вземат необходимите предпазни мерки.</w:t>
      </w:r>
    </w:p>
    <w:p w14:paraId="0FD459D4" w14:textId="77777777" w:rsidR="00CA36D9" w:rsidRPr="00CA36D9" w:rsidRDefault="00CA36D9" w:rsidP="00CA36D9">
      <w:pPr>
        <w:rPr>
          <w:sz w:val="24"/>
          <w:szCs w:val="24"/>
          <w:lang w:val="bg-BG"/>
        </w:rPr>
      </w:pPr>
      <w:r w:rsidRPr="00CA36D9">
        <w:rPr>
          <w:lang w:val="bg-BG" w:eastAsia="bg-BG"/>
        </w:rPr>
        <w:t xml:space="preserve">Тъй като </w:t>
      </w:r>
      <w:proofErr w:type="spellStart"/>
      <w:r w:rsidRPr="00CA36D9">
        <w:rPr>
          <w:lang w:val="bg-BG" w:eastAsia="bg-BG"/>
        </w:rPr>
        <w:t>невромускулните</w:t>
      </w:r>
      <w:proofErr w:type="spellEnd"/>
      <w:r w:rsidRPr="00CA36D9">
        <w:rPr>
          <w:lang w:val="bg-BG" w:eastAsia="bg-BG"/>
        </w:rPr>
        <w:t xml:space="preserve"> </w:t>
      </w:r>
      <w:proofErr w:type="spellStart"/>
      <w:r w:rsidRPr="00CA36D9">
        <w:rPr>
          <w:lang w:val="bg-BG" w:eastAsia="bg-BG"/>
        </w:rPr>
        <w:t>блокери</w:t>
      </w:r>
      <w:proofErr w:type="spellEnd"/>
      <w:r w:rsidRPr="00CA36D9">
        <w:rPr>
          <w:lang w:val="bg-BG" w:eastAsia="bg-BG"/>
        </w:rPr>
        <w:t xml:space="preserve"> са известни със способността си да индуцират освобождаване на хистамин и локално в мястото на инжектиране, и в целия организъм, вероятната поява на сърбеж и </w:t>
      </w:r>
      <w:proofErr w:type="spellStart"/>
      <w:r w:rsidRPr="00CA36D9">
        <w:rPr>
          <w:lang w:val="bg-BG" w:eastAsia="bg-BG"/>
        </w:rPr>
        <w:t>еритемни</w:t>
      </w:r>
      <w:proofErr w:type="spellEnd"/>
      <w:r w:rsidRPr="00CA36D9">
        <w:rPr>
          <w:lang w:val="bg-BG" w:eastAsia="bg-BG"/>
        </w:rPr>
        <w:t xml:space="preserve"> реакции в мястото на инжектиране и/или генерализирани </w:t>
      </w:r>
      <w:proofErr w:type="spellStart"/>
      <w:r w:rsidRPr="00CA36D9">
        <w:rPr>
          <w:lang w:val="bg-BG" w:eastAsia="bg-BG"/>
        </w:rPr>
        <w:t>хистаминоидни</w:t>
      </w:r>
      <w:proofErr w:type="spellEnd"/>
      <w:r>
        <w:rPr>
          <w:lang w:eastAsia="bg-BG"/>
        </w:rPr>
        <w:t xml:space="preserve"> </w:t>
      </w:r>
      <w:r w:rsidRPr="00CA36D9">
        <w:rPr>
          <w:lang w:val="bg-BG" w:eastAsia="bg-BG"/>
        </w:rPr>
        <w:t>(</w:t>
      </w:r>
      <w:proofErr w:type="spellStart"/>
      <w:r w:rsidRPr="00CA36D9">
        <w:rPr>
          <w:lang w:val="bg-BG" w:eastAsia="bg-BG"/>
        </w:rPr>
        <w:t>анафилактоидни</w:t>
      </w:r>
      <w:proofErr w:type="spellEnd"/>
      <w:r w:rsidRPr="00CA36D9">
        <w:rPr>
          <w:lang w:val="bg-BG" w:eastAsia="bg-BG"/>
        </w:rPr>
        <w:t xml:space="preserve">) реакции (вж. също под </w:t>
      </w:r>
      <w:proofErr w:type="spellStart"/>
      <w:r w:rsidRPr="00CA36D9">
        <w:rPr>
          <w:lang w:val="bg-BG" w:eastAsia="bg-BG"/>
        </w:rPr>
        <w:t>анафилактични</w:t>
      </w:r>
      <w:proofErr w:type="spellEnd"/>
      <w:r w:rsidRPr="00CA36D9">
        <w:rPr>
          <w:lang w:val="bg-BG" w:eastAsia="bg-BG"/>
        </w:rPr>
        <w:t xml:space="preserve"> реакции горе) трябва винаги да се вземат предвид, когато се прилагат тези лекарства.</w:t>
      </w:r>
    </w:p>
    <w:p w14:paraId="36D5C058" w14:textId="77777777" w:rsidR="00CA36D9" w:rsidRDefault="00CA36D9" w:rsidP="00CA36D9">
      <w:pPr>
        <w:rPr>
          <w:lang w:val="bg-BG" w:eastAsia="bg-BG"/>
        </w:rPr>
      </w:pPr>
    </w:p>
    <w:p w14:paraId="6086CBEB" w14:textId="74FA066F" w:rsidR="00CA36D9" w:rsidRPr="00CA36D9" w:rsidRDefault="00CA36D9" w:rsidP="00CA36D9">
      <w:pPr>
        <w:rPr>
          <w:sz w:val="24"/>
          <w:szCs w:val="24"/>
          <w:lang w:val="bg-BG"/>
        </w:rPr>
      </w:pPr>
      <w:r w:rsidRPr="00CA36D9">
        <w:rPr>
          <w:lang w:val="bg-BG" w:eastAsia="bg-BG"/>
        </w:rPr>
        <w:t xml:space="preserve">По време на клиничните проучвания, при бързо </w:t>
      </w:r>
      <w:proofErr w:type="spellStart"/>
      <w:r w:rsidRPr="00CA36D9">
        <w:rPr>
          <w:lang w:val="bg-BG" w:eastAsia="bg-BG"/>
        </w:rPr>
        <w:t>болус</w:t>
      </w:r>
      <w:proofErr w:type="spellEnd"/>
      <w:r w:rsidRPr="00CA36D9">
        <w:rPr>
          <w:lang w:val="bg-BG" w:eastAsia="bg-BG"/>
        </w:rPr>
        <w:t xml:space="preserve"> инжектиране на цялата доза от 0,3-0,9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е наблюдавано само леко повишение на средните плазмени нива на хистамина.</w:t>
      </w:r>
    </w:p>
    <w:p w14:paraId="6A6D0F8A" w14:textId="77777777" w:rsidR="00CA36D9" w:rsidRDefault="00CA36D9" w:rsidP="00CA36D9">
      <w:pPr>
        <w:rPr>
          <w:u w:val="single"/>
          <w:lang w:val="bg-BG" w:eastAsia="bg-BG"/>
        </w:rPr>
      </w:pPr>
    </w:p>
    <w:p w14:paraId="2E49CF2A" w14:textId="3DAE7FE3" w:rsidR="00CA36D9" w:rsidRPr="00CA36D9" w:rsidRDefault="00CA36D9" w:rsidP="00CA36D9">
      <w:pPr>
        <w:rPr>
          <w:sz w:val="24"/>
          <w:szCs w:val="24"/>
          <w:lang w:val="bg-BG"/>
        </w:rPr>
      </w:pPr>
      <w:r w:rsidRPr="00CA36D9">
        <w:rPr>
          <w:u w:val="single"/>
          <w:lang w:val="bg-BG" w:eastAsia="bg-BG"/>
        </w:rPr>
        <w:t xml:space="preserve">Продължителен </w:t>
      </w:r>
      <w:proofErr w:type="spellStart"/>
      <w:r w:rsidRPr="00CA36D9">
        <w:rPr>
          <w:u w:val="single"/>
          <w:lang w:val="bg-BG" w:eastAsia="bg-BG"/>
        </w:rPr>
        <w:t>невромускулен</w:t>
      </w:r>
      <w:proofErr w:type="spellEnd"/>
      <w:r w:rsidRPr="00CA36D9">
        <w:rPr>
          <w:u w:val="single"/>
          <w:lang w:val="bg-BG" w:eastAsia="bg-BG"/>
        </w:rPr>
        <w:t xml:space="preserve"> блок</w:t>
      </w:r>
    </w:p>
    <w:p w14:paraId="609D3B19" w14:textId="77777777" w:rsidR="00CA36D9" w:rsidRPr="00CA36D9" w:rsidRDefault="00CA36D9" w:rsidP="00CA36D9">
      <w:pPr>
        <w:rPr>
          <w:sz w:val="24"/>
          <w:szCs w:val="24"/>
          <w:lang w:val="bg-BG"/>
        </w:rPr>
      </w:pPr>
      <w:r w:rsidRPr="00CA36D9">
        <w:rPr>
          <w:lang w:val="bg-BG" w:eastAsia="bg-BG"/>
        </w:rPr>
        <w:t xml:space="preserve">Най-честата нежелана реакция към </w:t>
      </w:r>
      <w:proofErr w:type="spellStart"/>
      <w:r w:rsidRPr="00CA36D9">
        <w:rPr>
          <w:lang w:val="bg-BG" w:eastAsia="bg-BG"/>
        </w:rPr>
        <w:t>недеполяризиращите</w:t>
      </w:r>
      <w:proofErr w:type="spellEnd"/>
      <w:r w:rsidRPr="00CA36D9">
        <w:rPr>
          <w:lang w:val="bg-BG" w:eastAsia="bg-BG"/>
        </w:rPr>
        <w:t xml:space="preserve"> </w:t>
      </w:r>
      <w:proofErr w:type="spellStart"/>
      <w:r w:rsidRPr="00CA36D9">
        <w:rPr>
          <w:lang w:val="bg-BG" w:eastAsia="bg-BG"/>
        </w:rPr>
        <w:t>блокери</w:t>
      </w:r>
      <w:proofErr w:type="spellEnd"/>
      <w:r w:rsidRPr="00CA36D9">
        <w:rPr>
          <w:lang w:val="bg-BG" w:eastAsia="bg-BG"/>
        </w:rPr>
        <w:t xml:space="preserve">, като клас, се състои в удължаване на фармакологичното действие на лекарството след необходимия период от време. Това може да варира от скелетно мускулна слабост до дълбока и продължителна скелетно-мускулна парализа, завършваща в дихателна недостатъчност или </w:t>
      </w:r>
      <w:proofErr w:type="spellStart"/>
      <w:r w:rsidRPr="00CA36D9">
        <w:rPr>
          <w:lang w:val="bg-BG" w:eastAsia="bg-BG"/>
        </w:rPr>
        <w:t>апнеа</w:t>
      </w:r>
      <w:proofErr w:type="spellEnd"/>
      <w:r w:rsidRPr="00CA36D9">
        <w:rPr>
          <w:lang w:val="bg-BG" w:eastAsia="bg-BG"/>
        </w:rPr>
        <w:t>.</w:t>
      </w:r>
    </w:p>
    <w:p w14:paraId="1794AC9B" w14:textId="77777777" w:rsidR="00CA36D9" w:rsidRDefault="00CA36D9" w:rsidP="00CA36D9">
      <w:pPr>
        <w:rPr>
          <w:u w:val="single"/>
          <w:lang w:val="bg-BG" w:eastAsia="bg-BG"/>
        </w:rPr>
      </w:pPr>
    </w:p>
    <w:p w14:paraId="0AF11ACE" w14:textId="638244C2" w:rsidR="00CA36D9" w:rsidRPr="00CA36D9" w:rsidRDefault="00CA36D9" w:rsidP="00CA36D9">
      <w:pPr>
        <w:rPr>
          <w:sz w:val="24"/>
          <w:szCs w:val="24"/>
          <w:lang w:val="bg-BG"/>
        </w:rPr>
      </w:pPr>
      <w:proofErr w:type="spellStart"/>
      <w:r w:rsidRPr="00CA36D9">
        <w:rPr>
          <w:u w:val="single"/>
          <w:lang w:val="bg-BG" w:eastAsia="bg-BG"/>
        </w:rPr>
        <w:t>Миопатия</w:t>
      </w:r>
      <w:proofErr w:type="spellEnd"/>
    </w:p>
    <w:p w14:paraId="5E9E19D1" w14:textId="77777777" w:rsidR="00CA36D9" w:rsidRPr="00CA36D9" w:rsidRDefault="00CA36D9" w:rsidP="00CA36D9">
      <w:pPr>
        <w:rPr>
          <w:sz w:val="24"/>
          <w:szCs w:val="24"/>
          <w:lang w:val="bg-BG"/>
        </w:rPr>
      </w:pPr>
      <w:r w:rsidRPr="00CA36D9">
        <w:rPr>
          <w:lang w:val="bg-BG" w:eastAsia="bg-BG"/>
        </w:rPr>
        <w:t xml:space="preserve">Съобщава се за </w:t>
      </w:r>
      <w:proofErr w:type="spellStart"/>
      <w:r w:rsidRPr="00CA36D9">
        <w:rPr>
          <w:lang w:val="bg-BG" w:eastAsia="bg-BG"/>
        </w:rPr>
        <w:t>миопатия</w:t>
      </w:r>
      <w:proofErr w:type="spellEnd"/>
      <w:r w:rsidRPr="00CA36D9">
        <w:rPr>
          <w:lang w:val="bg-BG" w:eastAsia="bg-BG"/>
        </w:rPr>
        <w:t xml:space="preserve"> след употреба на различни </w:t>
      </w:r>
      <w:proofErr w:type="spellStart"/>
      <w:r w:rsidRPr="00CA36D9">
        <w:rPr>
          <w:lang w:val="bg-BG" w:eastAsia="bg-BG"/>
        </w:rPr>
        <w:t>невромускулни</w:t>
      </w:r>
      <w:proofErr w:type="spellEnd"/>
      <w:r w:rsidRPr="00CA36D9">
        <w:rPr>
          <w:lang w:val="bg-BG" w:eastAsia="bg-BG"/>
        </w:rPr>
        <w:t xml:space="preserve"> </w:t>
      </w:r>
      <w:proofErr w:type="spellStart"/>
      <w:r w:rsidRPr="00CA36D9">
        <w:rPr>
          <w:lang w:val="bg-BG" w:eastAsia="bg-BG"/>
        </w:rPr>
        <w:t>блокери</w:t>
      </w:r>
      <w:proofErr w:type="spellEnd"/>
      <w:r w:rsidRPr="00CA36D9">
        <w:rPr>
          <w:lang w:val="bg-BG" w:eastAsia="bg-BG"/>
        </w:rPr>
        <w:t xml:space="preserve"> в спешната медицина в комбинация с кортикостероиди (вж. точка 4.4).</w:t>
      </w:r>
    </w:p>
    <w:p w14:paraId="6AFB795B" w14:textId="77777777" w:rsidR="00CA36D9" w:rsidRDefault="00CA36D9" w:rsidP="00CA36D9">
      <w:pPr>
        <w:rPr>
          <w:u w:val="single"/>
          <w:lang w:val="bg-BG" w:eastAsia="bg-BG"/>
        </w:rPr>
      </w:pPr>
    </w:p>
    <w:p w14:paraId="72513D9D" w14:textId="4140B8B9" w:rsidR="00CA36D9" w:rsidRPr="00CA36D9" w:rsidRDefault="00CA36D9" w:rsidP="00CA36D9">
      <w:pPr>
        <w:rPr>
          <w:sz w:val="24"/>
          <w:szCs w:val="24"/>
          <w:lang w:val="bg-BG"/>
        </w:rPr>
      </w:pPr>
      <w:r w:rsidRPr="00CA36D9">
        <w:rPr>
          <w:u w:val="single"/>
          <w:lang w:val="bg-BG" w:eastAsia="bg-BG"/>
        </w:rPr>
        <w:t>Локални реакции в мястото на инжектиране</w:t>
      </w:r>
    </w:p>
    <w:p w14:paraId="31B5B64F" w14:textId="77777777" w:rsidR="00CA36D9" w:rsidRPr="00CA36D9" w:rsidRDefault="00CA36D9" w:rsidP="00CA36D9">
      <w:pPr>
        <w:rPr>
          <w:sz w:val="24"/>
          <w:szCs w:val="24"/>
          <w:lang w:val="bg-BG"/>
        </w:rPr>
      </w:pPr>
      <w:r w:rsidRPr="00CA36D9">
        <w:rPr>
          <w:lang w:val="bg-BG" w:eastAsia="bg-BG"/>
        </w:rPr>
        <w:t xml:space="preserve">При бърз увод в анестезия се наблюдава болка, особено когато пациентът все още не е загубил съзнание и е използван </w:t>
      </w:r>
      <w:proofErr w:type="spellStart"/>
      <w:r w:rsidRPr="00CA36D9">
        <w:rPr>
          <w:lang w:val="bg-BG" w:eastAsia="bg-BG"/>
        </w:rPr>
        <w:t>пропофол</w:t>
      </w:r>
      <w:proofErr w:type="spellEnd"/>
      <w:r w:rsidRPr="00CA36D9">
        <w:rPr>
          <w:lang w:val="bg-BG" w:eastAsia="bg-BG"/>
        </w:rPr>
        <w:t xml:space="preserve"> за увод в анестезия. По данни от клинични проучвания при 16 % от пациентите с бърз увод в анестезия с </w:t>
      </w:r>
      <w:proofErr w:type="spellStart"/>
      <w:r w:rsidRPr="00CA36D9">
        <w:rPr>
          <w:lang w:val="bg-BG" w:eastAsia="bg-BG"/>
        </w:rPr>
        <w:t>пропофол</w:t>
      </w:r>
      <w:proofErr w:type="spellEnd"/>
      <w:r w:rsidRPr="00CA36D9">
        <w:rPr>
          <w:lang w:val="bg-BG" w:eastAsia="bg-BG"/>
        </w:rPr>
        <w:t xml:space="preserve"> се наблюдава </w:t>
      </w:r>
      <w:r w:rsidRPr="00CA36D9">
        <w:rPr>
          <w:lang w:val="bg-BG" w:eastAsia="bg-BG"/>
        </w:rPr>
        <w:lastRenderedPageBreak/>
        <w:t xml:space="preserve">болка от инжекцията и при по-малко от 0,5 % от пациентите, </w:t>
      </w:r>
      <w:proofErr w:type="spellStart"/>
      <w:r w:rsidRPr="00CA36D9">
        <w:rPr>
          <w:lang w:val="bg-BG" w:eastAsia="bg-BG"/>
        </w:rPr>
        <w:t>интубирани</w:t>
      </w:r>
      <w:proofErr w:type="spellEnd"/>
      <w:r w:rsidRPr="00CA36D9">
        <w:rPr>
          <w:lang w:val="bg-BG" w:eastAsia="bg-BG"/>
        </w:rPr>
        <w:t xml:space="preserve"> с фентанил и </w:t>
      </w:r>
      <w:proofErr w:type="spellStart"/>
      <w:r w:rsidRPr="00CA36D9">
        <w:rPr>
          <w:lang w:val="bg-BG" w:eastAsia="bg-BG"/>
        </w:rPr>
        <w:t>тиопентал</w:t>
      </w:r>
      <w:proofErr w:type="spellEnd"/>
      <w:r w:rsidRPr="00CA36D9">
        <w:rPr>
          <w:lang w:val="bg-BG" w:eastAsia="bg-BG"/>
        </w:rPr>
        <w:t>.</w:t>
      </w:r>
    </w:p>
    <w:p w14:paraId="53C0767D" w14:textId="77777777" w:rsidR="00CA36D9" w:rsidRDefault="00CA36D9" w:rsidP="00CA36D9">
      <w:pPr>
        <w:rPr>
          <w:u w:val="single"/>
          <w:lang w:val="bg-BG" w:eastAsia="bg-BG"/>
        </w:rPr>
      </w:pPr>
    </w:p>
    <w:p w14:paraId="231FBB5C" w14:textId="4C6B8454" w:rsidR="00CA36D9" w:rsidRPr="00CA36D9" w:rsidRDefault="00CA36D9" w:rsidP="00CA36D9">
      <w:pPr>
        <w:rPr>
          <w:sz w:val="24"/>
          <w:szCs w:val="24"/>
          <w:lang w:val="bg-BG"/>
        </w:rPr>
      </w:pPr>
      <w:r w:rsidRPr="00CA36D9">
        <w:rPr>
          <w:u w:val="single"/>
          <w:lang w:val="bg-BG" w:eastAsia="bg-BG"/>
        </w:rPr>
        <w:t>Педиатрична популация</w:t>
      </w:r>
    </w:p>
    <w:p w14:paraId="136376EA" w14:textId="77777777" w:rsidR="00CA36D9" w:rsidRPr="00CA36D9" w:rsidRDefault="00CA36D9" w:rsidP="00CA36D9">
      <w:pPr>
        <w:rPr>
          <w:sz w:val="24"/>
          <w:szCs w:val="24"/>
          <w:lang w:val="bg-BG"/>
        </w:rPr>
      </w:pPr>
      <w:proofErr w:type="spellStart"/>
      <w:r w:rsidRPr="00CA36D9">
        <w:rPr>
          <w:lang w:val="bg-BG" w:eastAsia="bg-BG"/>
        </w:rPr>
        <w:t>Метаанализ</w:t>
      </w:r>
      <w:proofErr w:type="spellEnd"/>
      <w:r w:rsidRPr="00CA36D9">
        <w:rPr>
          <w:lang w:val="bg-BG" w:eastAsia="bg-BG"/>
        </w:rPr>
        <w:t xml:space="preserve"> на 11 клинични проучвания при педиатрични пациенти (</w:t>
      </w:r>
      <w:r w:rsidRPr="00CA36D9">
        <w:t>n</w:t>
      </w:r>
      <w:r w:rsidRPr="00CA36D9">
        <w:rPr>
          <w:lang w:val="bg-BG" w:eastAsia="bg-BG"/>
        </w:rPr>
        <w:t xml:space="preserve">=704) с </w:t>
      </w:r>
      <w:proofErr w:type="spellStart"/>
      <w:r w:rsidRPr="00CA36D9">
        <w:rPr>
          <w:lang w:val="bg-BG" w:eastAsia="bg-BG"/>
        </w:rPr>
        <w:t>рокурониев</w:t>
      </w:r>
      <w:proofErr w:type="spellEnd"/>
      <w:r w:rsidRPr="00CA36D9">
        <w:rPr>
          <w:lang w:val="bg-BG" w:eastAsia="bg-BG"/>
        </w:rPr>
        <w:t xml:space="preserve"> бромид (до 1 </w:t>
      </w:r>
      <w:r w:rsidRPr="00CA36D9">
        <w:t xml:space="preserve">mg/kg) </w:t>
      </w:r>
      <w:r w:rsidRPr="00CA36D9">
        <w:rPr>
          <w:lang w:val="bg-BG" w:eastAsia="bg-BG"/>
        </w:rPr>
        <w:t>показва че като нежелана реакция е идентифицирана тахикардия с честота 1,4%.</w:t>
      </w:r>
    </w:p>
    <w:p w14:paraId="076FA0DE" w14:textId="77777777" w:rsidR="00CA36D9" w:rsidRDefault="00CA36D9" w:rsidP="00CA36D9">
      <w:pPr>
        <w:rPr>
          <w:u w:val="single"/>
          <w:lang w:val="bg-BG" w:eastAsia="bg-BG"/>
        </w:rPr>
      </w:pPr>
    </w:p>
    <w:p w14:paraId="69D5B537" w14:textId="198E6970" w:rsidR="00CA36D9" w:rsidRPr="00CA36D9" w:rsidRDefault="00CA36D9" w:rsidP="00CA36D9">
      <w:pPr>
        <w:rPr>
          <w:sz w:val="24"/>
          <w:szCs w:val="24"/>
          <w:lang w:val="bg-BG"/>
        </w:rPr>
      </w:pPr>
      <w:r w:rsidRPr="00CA36D9">
        <w:rPr>
          <w:u w:val="single"/>
          <w:lang w:val="bg-BG" w:eastAsia="bg-BG"/>
        </w:rPr>
        <w:t>Съобщаване на подозирани нежелани реакции</w:t>
      </w:r>
    </w:p>
    <w:p w14:paraId="4695E063" w14:textId="77777777" w:rsidR="00CA36D9" w:rsidRPr="00CA36D9" w:rsidRDefault="00CA36D9" w:rsidP="00CA36D9">
      <w:pPr>
        <w:rPr>
          <w:sz w:val="24"/>
          <w:szCs w:val="24"/>
          <w:lang w:val="bg-BG"/>
        </w:rPr>
      </w:pPr>
      <w:r w:rsidRPr="00CA36D9">
        <w:rPr>
          <w:lang w:val="bg-B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DB27149" w14:textId="77777777" w:rsidR="00CA36D9" w:rsidRDefault="00CA36D9" w:rsidP="00CA36D9">
      <w:pPr>
        <w:rPr>
          <w:lang w:val="bg-BG" w:eastAsia="bg-BG"/>
        </w:rPr>
      </w:pPr>
    </w:p>
    <w:p w14:paraId="7ECE14E5" w14:textId="607B1A72" w:rsidR="00CA36D9" w:rsidRPr="00CA36D9" w:rsidRDefault="00CA36D9" w:rsidP="00CA36D9">
      <w:pPr>
        <w:rPr>
          <w:sz w:val="24"/>
          <w:szCs w:val="24"/>
          <w:lang w:val="bg-BG"/>
        </w:rPr>
      </w:pPr>
      <w:r w:rsidRPr="00CA36D9">
        <w:rPr>
          <w:lang w:val="bg-BG" w:eastAsia="bg-BG"/>
        </w:rPr>
        <w:t>Изпълнителна агенция по лекарствата ул., Дамян Груев” № 8</w:t>
      </w:r>
    </w:p>
    <w:p w14:paraId="43049AB7" w14:textId="77777777" w:rsidR="00CA36D9" w:rsidRPr="00CA36D9" w:rsidRDefault="00CA36D9" w:rsidP="00CA36D9">
      <w:pPr>
        <w:rPr>
          <w:sz w:val="24"/>
          <w:szCs w:val="24"/>
          <w:lang w:val="bg-BG"/>
        </w:rPr>
      </w:pPr>
      <w:r w:rsidRPr="00CA36D9">
        <w:rPr>
          <w:lang w:val="bg-BG" w:eastAsia="bg-BG"/>
        </w:rPr>
        <w:t>1303 София</w:t>
      </w:r>
    </w:p>
    <w:p w14:paraId="22B02C55" w14:textId="77777777" w:rsidR="00CA36D9" w:rsidRPr="00CA36D9" w:rsidRDefault="00CA36D9" w:rsidP="00CA36D9">
      <w:pPr>
        <w:rPr>
          <w:sz w:val="24"/>
          <w:szCs w:val="24"/>
          <w:lang w:val="bg-BG"/>
        </w:rPr>
      </w:pPr>
      <w:r w:rsidRPr="00CA36D9">
        <w:rPr>
          <w:lang w:val="bg-BG" w:eastAsia="bg-BG"/>
        </w:rPr>
        <w:t>Тел.: +35928903417</w:t>
      </w:r>
    </w:p>
    <w:p w14:paraId="5BA18827" w14:textId="77777777" w:rsidR="00CA36D9" w:rsidRPr="00CA36D9" w:rsidRDefault="00CA36D9" w:rsidP="00CA36D9">
      <w:pPr>
        <w:rPr>
          <w:sz w:val="24"/>
          <w:szCs w:val="24"/>
          <w:lang w:val="bg-BG"/>
        </w:rPr>
      </w:pPr>
      <w:r w:rsidRPr="00CA36D9">
        <w:rPr>
          <w:lang w:val="bg-BG" w:eastAsia="bg-BG"/>
        </w:rPr>
        <w:t xml:space="preserve">уебсайт: </w:t>
      </w:r>
      <w:hyperlink r:id="rId5" w:history="1">
        <w:r w:rsidRPr="00CA36D9">
          <w:t>www.bda.bg</w:t>
        </w:r>
      </w:hyperlink>
    </w:p>
    <w:p w14:paraId="25923752" w14:textId="5EF120C0" w:rsidR="00CA36D9" w:rsidRPr="00CA36D9" w:rsidRDefault="00CA36D9" w:rsidP="00CA36D9">
      <w:pPr>
        <w:rPr>
          <w:sz w:val="24"/>
          <w:szCs w:val="24"/>
        </w:rPr>
      </w:pPr>
    </w:p>
    <w:p w14:paraId="356776C7" w14:textId="77777777" w:rsidR="00CA36D9" w:rsidRPr="00CA36D9" w:rsidRDefault="00CA36D9" w:rsidP="00CA36D9"/>
    <w:p w14:paraId="611C622D" w14:textId="71B0F09B" w:rsidR="002C50EE" w:rsidRDefault="002C50EE" w:rsidP="002C50EE">
      <w:pPr>
        <w:pStyle w:val="Heading2"/>
      </w:pPr>
      <w:r>
        <w:t xml:space="preserve">4.9. </w:t>
      </w:r>
      <w:proofErr w:type="spellStart"/>
      <w:r>
        <w:t>Предозиране</w:t>
      </w:r>
      <w:proofErr w:type="spellEnd"/>
    </w:p>
    <w:p w14:paraId="1F4025B9" w14:textId="77777777" w:rsidR="00CA36D9" w:rsidRDefault="00CA36D9" w:rsidP="00CA36D9">
      <w:pPr>
        <w:rPr>
          <w:lang w:val="bg-BG" w:eastAsia="bg-BG"/>
        </w:rPr>
      </w:pPr>
    </w:p>
    <w:p w14:paraId="5EB1D360" w14:textId="1015613D" w:rsidR="00CA36D9" w:rsidRPr="00CA36D9" w:rsidRDefault="00CA36D9" w:rsidP="00CA36D9">
      <w:pPr>
        <w:rPr>
          <w:sz w:val="24"/>
          <w:szCs w:val="24"/>
          <w:lang w:val="bg-BG"/>
        </w:rPr>
      </w:pPr>
      <w:r w:rsidRPr="00CA36D9">
        <w:rPr>
          <w:lang w:val="bg-BG" w:eastAsia="bg-BG"/>
        </w:rPr>
        <w:t xml:space="preserve">В случай на предозиране и удължаване на нервно-мускулното блокиране, пациентът трябва да остане на изкуствена вентилация и </w:t>
      </w:r>
      <w:proofErr w:type="spellStart"/>
      <w:r w:rsidRPr="00CA36D9">
        <w:rPr>
          <w:lang w:val="bg-BG" w:eastAsia="bg-BG"/>
        </w:rPr>
        <w:t>седация</w:t>
      </w:r>
      <w:proofErr w:type="spellEnd"/>
      <w:r w:rsidRPr="00CA36D9">
        <w:rPr>
          <w:lang w:val="bg-BG" w:eastAsia="bg-BG"/>
        </w:rPr>
        <w:t xml:space="preserve">. Съществуват два варианта за отмяна на </w:t>
      </w:r>
      <w:proofErr w:type="spellStart"/>
      <w:r w:rsidRPr="00CA36D9">
        <w:rPr>
          <w:lang w:val="bg-BG" w:eastAsia="bg-BG"/>
        </w:rPr>
        <w:t>невромускулната</w:t>
      </w:r>
      <w:proofErr w:type="spellEnd"/>
      <w:r w:rsidRPr="00CA36D9">
        <w:rPr>
          <w:lang w:val="bg-BG" w:eastAsia="bg-BG"/>
        </w:rPr>
        <w:t xml:space="preserve"> блокада: (1) При възрастни може да бъде приложен </w:t>
      </w:r>
      <w:proofErr w:type="spellStart"/>
      <w:r w:rsidRPr="00CA36D9">
        <w:rPr>
          <w:lang w:val="bg-BG" w:eastAsia="bg-BG"/>
        </w:rPr>
        <w:t>сугамадекс</w:t>
      </w:r>
      <w:proofErr w:type="spellEnd"/>
      <w:r w:rsidRPr="00CA36D9">
        <w:rPr>
          <w:lang w:val="bg-BG" w:eastAsia="bg-BG"/>
        </w:rPr>
        <w:t xml:space="preserve"> за отмяна на по- интензивен и дълбок блок. Дозата </w:t>
      </w:r>
      <w:proofErr w:type="spellStart"/>
      <w:r w:rsidRPr="00CA36D9">
        <w:rPr>
          <w:lang w:val="bg-BG" w:eastAsia="bg-BG"/>
        </w:rPr>
        <w:t>сугамадекс</w:t>
      </w:r>
      <w:proofErr w:type="spellEnd"/>
      <w:r w:rsidRPr="00CA36D9">
        <w:rPr>
          <w:lang w:val="bg-BG" w:eastAsia="bg-BG"/>
        </w:rPr>
        <w:t xml:space="preserve">, която може да бъде приложена, зависи от нивото на </w:t>
      </w:r>
      <w:proofErr w:type="spellStart"/>
      <w:r w:rsidRPr="00CA36D9">
        <w:rPr>
          <w:lang w:val="bg-BG" w:eastAsia="bg-BG"/>
        </w:rPr>
        <w:t>невромускулен</w:t>
      </w:r>
      <w:proofErr w:type="spellEnd"/>
      <w:r w:rsidRPr="00CA36D9">
        <w:rPr>
          <w:lang w:val="bg-BG" w:eastAsia="bg-BG"/>
        </w:rPr>
        <w:t xml:space="preserve"> блок. (2) В адекватни дози може да бъде използван </w:t>
      </w:r>
      <w:proofErr w:type="spellStart"/>
      <w:r w:rsidRPr="00CA36D9">
        <w:rPr>
          <w:lang w:val="bg-BG" w:eastAsia="bg-BG"/>
        </w:rPr>
        <w:t>ацетилхолинестеразен</w:t>
      </w:r>
      <w:proofErr w:type="spellEnd"/>
      <w:r w:rsidRPr="00CA36D9">
        <w:rPr>
          <w:lang w:val="bg-BG" w:eastAsia="bg-BG"/>
        </w:rPr>
        <w:t xml:space="preserve"> инхибитор (напр. </w:t>
      </w:r>
      <w:proofErr w:type="spellStart"/>
      <w:r w:rsidRPr="00CA36D9">
        <w:rPr>
          <w:lang w:val="bg-BG" w:eastAsia="bg-BG"/>
        </w:rPr>
        <w:t>неостигмин</w:t>
      </w:r>
      <w:proofErr w:type="spellEnd"/>
      <w:r w:rsidRPr="00CA36D9">
        <w:rPr>
          <w:lang w:val="bg-BG" w:eastAsia="bg-BG"/>
        </w:rPr>
        <w:t xml:space="preserve">, </w:t>
      </w:r>
      <w:proofErr w:type="spellStart"/>
      <w:r w:rsidRPr="00CA36D9">
        <w:rPr>
          <w:lang w:val="bg-BG" w:eastAsia="bg-BG"/>
        </w:rPr>
        <w:t>едрофониум</w:t>
      </w:r>
      <w:proofErr w:type="spellEnd"/>
      <w:r w:rsidRPr="00CA36D9">
        <w:rPr>
          <w:lang w:val="bg-BG" w:eastAsia="bg-BG"/>
        </w:rPr>
        <w:t xml:space="preserve">, </w:t>
      </w:r>
      <w:proofErr w:type="spellStart"/>
      <w:r w:rsidRPr="00CA36D9">
        <w:rPr>
          <w:lang w:val="bg-BG" w:eastAsia="bg-BG"/>
        </w:rPr>
        <w:t>пиридостигмин</w:t>
      </w:r>
      <w:proofErr w:type="spellEnd"/>
      <w:r w:rsidRPr="00CA36D9">
        <w:rPr>
          <w:lang w:val="bg-BG" w:eastAsia="bg-BG"/>
        </w:rPr>
        <w:t xml:space="preserve">) или </w:t>
      </w:r>
      <w:proofErr w:type="spellStart"/>
      <w:r w:rsidRPr="00CA36D9">
        <w:rPr>
          <w:lang w:val="bg-BG" w:eastAsia="bg-BG"/>
        </w:rPr>
        <w:t>сугамадекс</w:t>
      </w:r>
      <w:proofErr w:type="spellEnd"/>
      <w:r w:rsidRPr="00CA36D9">
        <w:rPr>
          <w:lang w:val="bg-BG" w:eastAsia="bg-BG"/>
        </w:rPr>
        <w:t xml:space="preserve"> след като започне спонтанното възстановяване. Ако прилагането на </w:t>
      </w:r>
      <w:proofErr w:type="spellStart"/>
      <w:r w:rsidRPr="00CA36D9">
        <w:rPr>
          <w:lang w:val="bg-BG" w:eastAsia="bg-BG"/>
        </w:rPr>
        <w:t>ацетилхолинестеразен</w:t>
      </w:r>
      <w:proofErr w:type="spellEnd"/>
      <w:r w:rsidRPr="00CA36D9">
        <w:rPr>
          <w:lang w:val="bg-BG" w:eastAsia="bg-BG"/>
        </w:rPr>
        <w:t xml:space="preserve"> инхибитор не успее да преодолее блокиращия ефект на </w:t>
      </w:r>
      <w:proofErr w:type="spellStart"/>
      <w:r w:rsidRPr="00CA36D9">
        <w:rPr>
          <w:lang w:val="bg-BG" w:eastAsia="bg-BG"/>
        </w:rPr>
        <w:t>Есмерон</w:t>
      </w:r>
      <w:proofErr w:type="spellEnd"/>
      <w:r w:rsidRPr="00CA36D9">
        <w:rPr>
          <w:lang w:val="bg-BG" w:eastAsia="bg-BG"/>
        </w:rPr>
        <w:t xml:space="preserve">, вентилацията трябва да продължи до възстановяване на спонтанното дишане. Повторното приложение на инхибитор на </w:t>
      </w:r>
      <w:proofErr w:type="spellStart"/>
      <w:r w:rsidRPr="00CA36D9">
        <w:rPr>
          <w:lang w:val="bg-BG" w:eastAsia="bg-BG"/>
        </w:rPr>
        <w:t>ацетилхолинестеразата</w:t>
      </w:r>
      <w:proofErr w:type="spellEnd"/>
      <w:r w:rsidRPr="00CA36D9">
        <w:rPr>
          <w:lang w:val="bg-BG" w:eastAsia="bg-BG"/>
        </w:rPr>
        <w:t xml:space="preserve"> може да</w:t>
      </w:r>
    </w:p>
    <w:p w14:paraId="2C0B6A83" w14:textId="7AF3E566" w:rsidR="00CA36D9" w:rsidRDefault="00CA36D9" w:rsidP="00CA36D9">
      <w:pPr>
        <w:rPr>
          <w:lang w:val="bg-BG" w:eastAsia="bg-BG"/>
        </w:rPr>
      </w:pPr>
      <w:r w:rsidRPr="00CA36D9">
        <w:rPr>
          <w:lang w:val="bg-BG" w:eastAsia="bg-BG"/>
        </w:rPr>
        <w:t>бъде опасно.</w:t>
      </w:r>
    </w:p>
    <w:p w14:paraId="79B466EC" w14:textId="18DD6918" w:rsidR="00CA36D9" w:rsidRDefault="00CA36D9" w:rsidP="00CA36D9">
      <w:pPr>
        <w:rPr>
          <w:lang w:val="bg-BG" w:eastAsia="bg-BG"/>
        </w:rPr>
      </w:pPr>
    </w:p>
    <w:p w14:paraId="01156CDA" w14:textId="5D7D647D" w:rsidR="00CA36D9" w:rsidRPr="00CA36D9" w:rsidRDefault="00CA36D9" w:rsidP="00CA36D9">
      <w:proofErr w:type="spellStart"/>
      <w:r>
        <w:t>При</w:t>
      </w:r>
      <w:proofErr w:type="spellEnd"/>
      <w:r>
        <w:t xml:space="preserve"> </w:t>
      </w:r>
      <w:proofErr w:type="spellStart"/>
      <w:r>
        <w:t>проучвания</w:t>
      </w:r>
      <w:proofErr w:type="spellEnd"/>
      <w:r>
        <w:t xml:space="preserve"> </w:t>
      </w:r>
      <w:proofErr w:type="spellStart"/>
      <w:r>
        <w:t>върху</w:t>
      </w:r>
      <w:proofErr w:type="spellEnd"/>
      <w:r>
        <w:t xml:space="preserve"> </w:t>
      </w:r>
      <w:proofErr w:type="spellStart"/>
      <w:r>
        <w:t>животни</w:t>
      </w:r>
      <w:proofErr w:type="spellEnd"/>
      <w:r>
        <w:t xml:space="preserve">, </w:t>
      </w:r>
      <w:proofErr w:type="spellStart"/>
      <w:r>
        <w:t>сериозно</w:t>
      </w:r>
      <w:proofErr w:type="spellEnd"/>
      <w:r>
        <w:t xml:space="preserve"> </w:t>
      </w:r>
      <w:proofErr w:type="spellStart"/>
      <w:r>
        <w:t>подтискане</w:t>
      </w:r>
      <w:proofErr w:type="spellEnd"/>
      <w:r>
        <w:t xml:space="preserve"> </w:t>
      </w:r>
      <w:proofErr w:type="spellStart"/>
      <w:r>
        <w:t>на</w:t>
      </w:r>
      <w:proofErr w:type="spellEnd"/>
      <w:r>
        <w:t xml:space="preserve"> </w:t>
      </w:r>
      <w:proofErr w:type="spellStart"/>
      <w:r>
        <w:t>сърдечната</w:t>
      </w:r>
      <w:proofErr w:type="spellEnd"/>
      <w:r>
        <w:t xml:space="preserve"> </w:t>
      </w:r>
      <w:proofErr w:type="spellStart"/>
      <w:r>
        <w:t>функция</w:t>
      </w:r>
      <w:proofErr w:type="spellEnd"/>
      <w:r>
        <w:t xml:space="preserve">, </w:t>
      </w:r>
      <w:proofErr w:type="spellStart"/>
      <w:r>
        <w:t>водещо</w:t>
      </w:r>
      <w:proofErr w:type="spellEnd"/>
      <w:r>
        <w:t xml:space="preserve"> </w:t>
      </w:r>
      <w:proofErr w:type="spellStart"/>
      <w:r>
        <w:t>накрая</w:t>
      </w:r>
      <w:proofErr w:type="spellEnd"/>
      <w:r>
        <w:t xml:space="preserve"> </w:t>
      </w:r>
      <w:proofErr w:type="spellStart"/>
      <w:r>
        <w:t>до</w:t>
      </w:r>
      <w:proofErr w:type="spellEnd"/>
      <w:r>
        <w:t xml:space="preserve"> </w:t>
      </w:r>
      <w:proofErr w:type="spellStart"/>
      <w:r>
        <w:t>сърдечен</w:t>
      </w:r>
      <w:proofErr w:type="spellEnd"/>
      <w:r>
        <w:t xml:space="preserve"> </w:t>
      </w:r>
      <w:proofErr w:type="spellStart"/>
      <w:r>
        <w:t>колапс</w:t>
      </w:r>
      <w:proofErr w:type="spellEnd"/>
      <w:r>
        <w:t xml:space="preserve">, </w:t>
      </w:r>
      <w:proofErr w:type="spellStart"/>
      <w:r>
        <w:t>не</w:t>
      </w:r>
      <w:proofErr w:type="spellEnd"/>
      <w:r>
        <w:t xml:space="preserve"> </w:t>
      </w:r>
      <w:proofErr w:type="spellStart"/>
      <w:r>
        <w:t>се</w:t>
      </w:r>
      <w:proofErr w:type="spellEnd"/>
      <w:r>
        <w:t xml:space="preserve"> </w:t>
      </w:r>
      <w:proofErr w:type="spellStart"/>
      <w:r>
        <w:t>наблюдва</w:t>
      </w:r>
      <w:proofErr w:type="spellEnd"/>
      <w:r>
        <w:t xml:space="preserve"> </w:t>
      </w:r>
      <w:proofErr w:type="spellStart"/>
      <w:r>
        <w:t>преди</w:t>
      </w:r>
      <w:proofErr w:type="spellEnd"/>
      <w:r>
        <w:t xml:space="preserve"> </w:t>
      </w:r>
      <w:proofErr w:type="spellStart"/>
      <w:r>
        <w:t>да</w:t>
      </w:r>
      <w:proofErr w:type="spellEnd"/>
      <w:r>
        <w:t xml:space="preserve"> е </w:t>
      </w:r>
      <w:proofErr w:type="spellStart"/>
      <w:r>
        <w:t>приложена</w:t>
      </w:r>
      <w:proofErr w:type="spellEnd"/>
      <w:r>
        <w:t xml:space="preserve"> </w:t>
      </w:r>
      <w:proofErr w:type="spellStart"/>
      <w:r>
        <w:t>кумулативна</w:t>
      </w:r>
      <w:proofErr w:type="spellEnd"/>
      <w:r>
        <w:t xml:space="preserve"> </w:t>
      </w:r>
      <w:proofErr w:type="spellStart"/>
      <w:r>
        <w:t>доза</w:t>
      </w:r>
      <w:proofErr w:type="spellEnd"/>
      <w:r>
        <w:t xml:space="preserve"> </w:t>
      </w:r>
      <w:proofErr w:type="spellStart"/>
      <w:r>
        <w:t>от</w:t>
      </w:r>
      <w:proofErr w:type="spellEnd"/>
      <w:r>
        <w:t xml:space="preserve"> 750 х ED90 (135 mg/kg </w:t>
      </w:r>
      <w:proofErr w:type="spellStart"/>
      <w:r>
        <w:t>рокурониев</w:t>
      </w:r>
      <w:proofErr w:type="spellEnd"/>
      <w:r>
        <w:t xml:space="preserve"> </w:t>
      </w:r>
      <w:proofErr w:type="spellStart"/>
      <w:r>
        <w:t>бромид</w:t>
      </w:r>
      <w:proofErr w:type="spellEnd"/>
      <w:r>
        <w:t>).</w:t>
      </w:r>
    </w:p>
    <w:p w14:paraId="18EF4AFE" w14:textId="77777777" w:rsidR="002C50EE" w:rsidRDefault="002C50EE" w:rsidP="002C50EE">
      <w:pPr>
        <w:pStyle w:val="Heading1"/>
      </w:pPr>
      <w:r>
        <w:t>5. ФАРМАКОЛОГИЧНИ СВОЙСТВА</w:t>
      </w:r>
    </w:p>
    <w:p w14:paraId="2F1CA24E" w14:textId="2E84FD68" w:rsidR="002C50EE" w:rsidRDefault="002C50EE" w:rsidP="002C50EE">
      <w:pPr>
        <w:pStyle w:val="Heading2"/>
      </w:pPr>
      <w:r>
        <w:t xml:space="preserve">5.1. </w:t>
      </w:r>
      <w:proofErr w:type="spellStart"/>
      <w:r>
        <w:t>Фармакодинамични</w:t>
      </w:r>
      <w:proofErr w:type="spellEnd"/>
      <w:r>
        <w:t xml:space="preserve"> </w:t>
      </w:r>
      <w:proofErr w:type="spellStart"/>
      <w:r>
        <w:t>свойства</w:t>
      </w:r>
      <w:proofErr w:type="spellEnd"/>
    </w:p>
    <w:p w14:paraId="66F3A451" w14:textId="77777777" w:rsidR="00CA36D9" w:rsidRDefault="00CA36D9" w:rsidP="00CA36D9">
      <w:pPr>
        <w:rPr>
          <w:lang w:val="bg-BG" w:eastAsia="bg-BG"/>
        </w:rPr>
      </w:pPr>
    </w:p>
    <w:p w14:paraId="6A7E5CFC" w14:textId="1342062D" w:rsidR="00CA36D9" w:rsidRPr="00CA36D9" w:rsidRDefault="00CA36D9" w:rsidP="00CA36D9">
      <w:pPr>
        <w:rPr>
          <w:sz w:val="24"/>
          <w:szCs w:val="24"/>
          <w:lang w:val="bg-BG"/>
        </w:rPr>
      </w:pPr>
      <w:proofErr w:type="spellStart"/>
      <w:r w:rsidRPr="00CA36D9">
        <w:rPr>
          <w:lang w:val="bg-BG" w:eastAsia="bg-BG"/>
        </w:rPr>
        <w:t>Фармакотерапевтична</w:t>
      </w:r>
      <w:proofErr w:type="spellEnd"/>
      <w:r w:rsidRPr="00CA36D9">
        <w:rPr>
          <w:lang w:val="bg-BG" w:eastAsia="bg-BG"/>
        </w:rPr>
        <w:t xml:space="preserve"> група: Мускулни </w:t>
      </w:r>
      <w:proofErr w:type="spellStart"/>
      <w:r w:rsidRPr="00CA36D9">
        <w:rPr>
          <w:lang w:val="bg-BG" w:eastAsia="bg-BG"/>
        </w:rPr>
        <w:t>релаксанти</w:t>
      </w:r>
      <w:proofErr w:type="spellEnd"/>
      <w:r w:rsidRPr="00CA36D9">
        <w:rPr>
          <w:lang w:val="bg-BG" w:eastAsia="bg-BG"/>
        </w:rPr>
        <w:t>, агенти с периферно действие. АТС код: М03АС09</w:t>
      </w:r>
    </w:p>
    <w:p w14:paraId="3E09A1FB" w14:textId="77777777" w:rsidR="00CA36D9" w:rsidRDefault="00CA36D9" w:rsidP="00CA36D9">
      <w:pPr>
        <w:rPr>
          <w:u w:val="single"/>
          <w:lang w:val="bg-BG" w:eastAsia="bg-BG"/>
        </w:rPr>
      </w:pPr>
    </w:p>
    <w:p w14:paraId="0CC2118E" w14:textId="2BF3AB91" w:rsidR="00CA36D9" w:rsidRPr="00CA36D9" w:rsidRDefault="00CA36D9" w:rsidP="00CA36D9">
      <w:pPr>
        <w:rPr>
          <w:sz w:val="24"/>
          <w:szCs w:val="24"/>
          <w:lang w:val="bg-BG"/>
        </w:rPr>
      </w:pPr>
      <w:r w:rsidRPr="00CA36D9">
        <w:rPr>
          <w:u w:val="single"/>
          <w:lang w:val="bg-BG" w:eastAsia="bg-BG"/>
        </w:rPr>
        <w:t>Механизъм на действие</w:t>
      </w:r>
    </w:p>
    <w:p w14:paraId="0C283E8B" w14:textId="77777777" w:rsidR="00CA36D9" w:rsidRPr="00CA36D9" w:rsidRDefault="00CA36D9" w:rsidP="00CA36D9">
      <w:pPr>
        <w:rPr>
          <w:sz w:val="24"/>
          <w:szCs w:val="24"/>
          <w:lang w:val="bg-BG"/>
        </w:rPr>
      </w:pPr>
      <w:proofErr w:type="spellStart"/>
      <w:r w:rsidRPr="00CA36D9">
        <w:rPr>
          <w:lang w:val="bg-BG" w:eastAsia="bg-BG"/>
        </w:rPr>
        <w:lastRenderedPageBreak/>
        <w:t>Есмерон</w:t>
      </w:r>
      <w:proofErr w:type="spellEnd"/>
      <w:r w:rsidRPr="00CA36D9">
        <w:rPr>
          <w:lang w:val="bg-BG" w:eastAsia="bg-BG"/>
        </w:rPr>
        <w:t xml:space="preserve"> (</w:t>
      </w:r>
      <w:proofErr w:type="spellStart"/>
      <w:r w:rsidRPr="00CA36D9">
        <w:rPr>
          <w:lang w:val="bg-BG" w:eastAsia="bg-BG"/>
        </w:rPr>
        <w:t>рокурониев</w:t>
      </w:r>
      <w:proofErr w:type="spellEnd"/>
      <w:r w:rsidRPr="00CA36D9">
        <w:rPr>
          <w:lang w:val="bg-BG" w:eastAsia="bg-BG"/>
        </w:rPr>
        <w:t xml:space="preserve"> бромид) е </w:t>
      </w:r>
      <w:proofErr w:type="spellStart"/>
      <w:r w:rsidRPr="00CA36D9">
        <w:rPr>
          <w:lang w:val="bg-BG" w:eastAsia="bg-BG"/>
        </w:rPr>
        <w:t>недеполяризиращ</w:t>
      </w:r>
      <w:proofErr w:type="spellEnd"/>
      <w:r w:rsidRPr="00CA36D9">
        <w:rPr>
          <w:lang w:val="bg-BG" w:eastAsia="bg-BG"/>
        </w:rPr>
        <w:t xml:space="preserve"> </w:t>
      </w:r>
      <w:proofErr w:type="spellStart"/>
      <w:r w:rsidRPr="00CA36D9">
        <w:rPr>
          <w:lang w:val="bg-BG" w:eastAsia="bg-BG"/>
        </w:rPr>
        <w:t>невромускулен</w:t>
      </w:r>
      <w:proofErr w:type="spellEnd"/>
      <w:r w:rsidRPr="00CA36D9">
        <w:rPr>
          <w:lang w:val="bg-BG" w:eastAsia="bg-BG"/>
        </w:rPr>
        <w:t xml:space="preserve"> </w:t>
      </w:r>
      <w:proofErr w:type="spellStart"/>
      <w:r w:rsidRPr="00CA36D9">
        <w:rPr>
          <w:lang w:val="bg-BG" w:eastAsia="bg-BG"/>
        </w:rPr>
        <w:t>блокер</w:t>
      </w:r>
      <w:proofErr w:type="spellEnd"/>
      <w:r w:rsidRPr="00CA36D9">
        <w:rPr>
          <w:lang w:val="bg-BG" w:eastAsia="bg-BG"/>
        </w:rPr>
        <w:t xml:space="preserve"> с бързо настъпване на ефекта и средно по сила действие, който притежава всичките типични фармакологични свойства на представителите на тази група (</w:t>
      </w:r>
      <w:proofErr w:type="spellStart"/>
      <w:r w:rsidRPr="00CA36D9">
        <w:rPr>
          <w:lang w:val="bg-BG" w:eastAsia="bg-BG"/>
        </w:rPr>
        <w:t>курареподобни</w:t>
      </w:r>
      <w:proofErr w:type="spellEnd"/>
      <w:r w:rsidRPr="00CA36D9">
        <w:rPr>
          <w:lang w:val="bg-BG" w:eastAsia="bg-BG"/>
        </w:rPr>
        <w:t xml:space="preserve">). Действието му се основава на конкурираме за никотиновите </w:t>
      </w:r>
      <w:proofErr w:type="spellStart"/>
      <w:r w:rsidRPr="00CA36D9">
        <w:rPr>
          <w:lang w:val="bg-BG" w:eastAsia="bg-BG"/>
        </w:rPr>
        <w:t>холинорецептори</w:t>
      </w:r>
      <w:proofErr w:type="spellEnd"/>
      <w:r w:rsidRPr="00CA36D9">
        <w:rPr>
          <w:lang w:val="bg-BG" w:eastAsia="bg-BG"/>
        </w:rPr>
        <w:t xml:space="preserve"> в нервно-мускулните плочки. Това действие се </w:t>
      </w:r>
      <w:proofErr w:type="spellStart"/>
      <w:r w:rsidRPr="00CA36D9">
        <w:rPr>
          <w:lang w:val="bg-BG" w:eastAsia="bg-BG"/>
        </w:rPr>
        <w:t>антагонизира</w:t>
      </w:r>
      <w:proofErr w:type="spellEnd"/>
      <w:r w:rsidRPr="00CA36D9">
        <w:rPr>
          <w:lang w:val="bg-BG" w:eastAsia="bg-BG"/>
        </w:rPr>
        <w:t xml:space="preserve"> от действието на инхибитори на </w:t>
      </w:r>
      <w:proofErr w:type="spellStart"/>
      <w:r w:rsidRPr="00CA36D9">
        <w:rPr>
          <w:lang w:val="bg-BG" w:eastAsia="bg-BG"/>
        </w:rPr>
        <w:t>ацетилхолинестеразата</w:t>
      </w:r>
      <w:proofErr w:type="spellEnd"/>
      <w:r w:rsidRPr="00CA36D9">
        <w:rPr>
          <w:lang w:val="bg-BG" w:eastAsia="bg-BG"/>
        </w:rPr>
        <w:t xml:space="preserve"> като </w:t>
      </w:r>
      <w:proofErr w:type="spellStart"/>
      <w:r w:rsidRPr="00CA36D9">
        <w:rPr>
          <w:lang w:val="bg-BG" w:eastAsia="bg-BG"/>
        </w:rPr>
        <w:t>неостигмин</w:t>
      </w:r>
      <w:proofErr w:type="spellEnd"/>
      <w:r w:rsidRPr="00CA36D9">
        <w:rPr>
          <w:lang w:val="bg-BG" w:eastAsia="bg-BG"/>
        </w:rPr>
        <w:t xml:space="preserve">, </w:t>
      </w:r>
      <w:proofErr w:type="spellStart"/>
      <w:r w:rsidRPr="00CA36D9">
        <w:rPr>
          <w:lang w:val="bg-BG" w:eastAsia="bg-BG"/>
        </w:rPr>
        <w:t>едрофониум</w:t>
      </w:r>
      <w:proofErr w:type="spellEnd"/>
      <w:r w:rsidRPr="00CA36D9">
        <w:rPr>
          <w:lang w:val="bg-BG" w:eastAsia="bg-BG"/>
        </w:rPr>
        <w:t xml:space="preserve"> и </w:t>
      </w:r>
      <w:proofErr w:type="spellStart"/>
      <w:r w:rsidRPr="00CA36D9">
        <w:rPr>
          <w:lang w:val="bg-BG" w:eastAsia="bg-BG"/>
        </w:rPr>
        <w:t>пиридостигмин</w:t>
      </w:r>
      <w:proofErr w:type="spellEnd"/>
      <w:r w:rsidRPr="00CA36D9">
        <w:rPr>
          <w:lang w:val="bg-BG" w:eastAsia="bg-BG"/>
        </w:rPr>
        <w:t>.</w:t>
      </w:r>
    </w:p>
    <w:p w14:paraId="6C1A2919" w14:textId="77777777" w:rsidR="00CA36D9" w:rsidRDefault="00CA36D9" w:rsidP="00CA36D9">
      <w:pPr>
        <w:rPr>
          <w:u w:val="single"/>
          <w:lang w:val="bg-BG" w:eastAsia="bg-BG"/>
        </w:rPr>
      </w:pPr>
    </w:p>
    <w:p w14:paraId="7EF418AF" w14:textId="1297FEE4" w:rsidR="00CA36D9" w:rsidRPr="00CA36D9" w:rsidRDefault="00CA36D9" w:rsidP="00CA36D9">
      <w:pPr>
        <w:rPr>
          <w:sz w:val="24"/>
          <w:szCs w:val="24"/>
          <w:lang w:val="bg-BG"/>
        </w:rPr>
      </w:pPr>
      <w:proofErr w:type="spellStart"/>
      <w:r w:rsidRPr="00CA36D9">
        <w:rPr>
          <w:u w:val="single"/>
          <w:lang w:val="bg-BG" w:eastAsia="bg-BG"/>
        </w:rPr>
        <w:t>Фармакодинамични</w:t>
      </w:r>
      <w:proofErr w:type="spellEnd"/>
      <w:r w:rsidRPr="00CA36D9">
        <w:rPr>
          <w:u w:val="single"/>
          <w:lang w:val="bg-BG" w:eastAsia="bg-BG"/>
        </w:rPr>
        <w:t xml:space="preserve"> ефекти</w:t>
      </w:r>
    </w:p>
    <w:p w14:paraId="7563E8A2" w14:textId="42A78DBB" w:rsidR="00CA36D9" w:rsidRPr="00CA36D9" w:rsidRDefault="00CA36D9" w:rsidP="00CA36D9">
      <w:pPr>
        <w:rPr>
          <w:sz w:val="24"/>
          <w:szCs w:val="24"/>
          <w:lang w:val="bg-BG"/>
        </w:rPr>
      </w:pPr>
      <w:r w:rsidRPr="00CA36D9">
        <w:t xml:space="preserve">ED90 </w:t>
      </w:r>
      <w:r w:rsidRPr="00CA36D9">
        <w:rPr>
          <w:lang w:val="bg-BG" w:eastAsia="bg-BG"/>
        </w:rPr>
        <w:t xml:space="preserve">(дозата необходима да се достигне 90 % </w:t>
      </w:r>
      <w:proofErr w:type="spellStart"/>
      <w:r w:rsidRPr="00CA36D9">
        <w:rPr>
          <w:lang w:val="bg-BG" w:eastAsia="bg-BG"/>
        </w:rPr>
        <w:t>подтискане</w:t>
      </w:r>
      <w:proofErr w:type="spellEnd"/>
      <w:r w:rsidRPr="00CA36D9">
        <w:rPr>
          <w:lang w:val="bg-BG" w:eastAsia="bg-BG"/>
        </w:rPr>
        <w:t xml:space="preserve"> на потрепването на палеца на ръката при стимулация на </w:t>
      </w:r>
      <w:proofErr w:type="spellStart"/>
      <w:r w:rsidRPr="00CA36D9">
        <w:rPr>
          <w:lang w:val="bg-BG" w:eastAsia="bg-BG"/>
        </w:rPr>
        <w:t>улнарния</w:t>
      </w:r>
      <w:proofErr w:type="spellEnd"/>
      <w:r w:rsidRPr="00CA36D9">
        <w:rPr>
          <w:lang w:val="bg-BG" w:eastAsia="bg-BG"/>
        </w:rPr>
        <w:t xml:space="preserve"> нерв) по време на венозна анестезия е приблизително 0,3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w:t>
      </w:r>
      <w:r w:rsidRPr="00CA36D9">
        <w:t xml:space="preserve">ED95 </w:t>
      </w:r>
      <w:r w:rsidRPr="00CA36D9">
        <w:rPr>
          <w:lang w:val="bg-BG" w:eastAsia="bg-BG"/>
        </w:rPr>
        <w:t xml:space="preserve">при бебета е по-ниска отколкото при възрастни и деца (съответно 0,25, 0,35 и 0,40 </w:t>
      </w:r>
      <w:r w:rsidRPr="00CA36D9">
        <w:t>mg/kg</w:t>
      </w:r>
      <w:r w:rsidRPr="00CA36D9">
        <w:rPr>
          <w:lang w:val="bg-BG" w:eastAsia="bg-BG"/>
        </w:rPr>
        <w:t>).</w:t>
      </w:r>
    </w:p>
    <w:p w14:paraId="3F6633A2" w14:textId="77777777" w:rsidR="00CA36D9" w:rsidRDefault="00CA36D9" w:rsidP="00CA36D9">
      <w:pPr>
        <w:rPr>
          <w:lang w:val="bg-BG" w:eastAsia="bg-BG"/>
        </w:rPr>
      </w:pPr>
    </w:p>
    <w:p w14:paraId="14E080D2" w14:textId="6BC9FFC6" w:rsidR="00CA36D9" w:rsidRPr="00CA36D9" w:rsidRDefault="00CA36D9" w:rsidP="00CA36D9">
      <w:pPr>
        <w:rPr>
          <w:sz w:val="24"/>
          <w:szCs w:val="24"/>
          <w:lang w:val="bg-BG"/>
        </w:rPr>
      </w:pPr>
      <w:r w:rsidRPr="00CA36D9">
        <w:rPr>
          <w:lang w:val="bg-BG" w:eastAsia="bg-BG"/>
        </w:rPr>
        <w:t xml:space="preserve">Клиничната продължителност на действието (времето до спонтанното възстановяване на 25 % от отговора чрез потрепвалия при дразнене) с 0,6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е 30-40 минути. Общата продължителност (времето до спонтанно възстановяване на 90 % от силата на контролните потрепвания) е 50 минути. Средното време за спонтанно възстановяване на реакцията на потрепване от 25 до 75 % (индекс на възстановяване), след еднократно </w:t>
      </w:r>
      <w:proofErr w:type="spellStart"/>
      <w:r w:rsidRPr="00CA36D9">
        <w:rPr>
          <w:lang w:val="bg-BG" w:eastAsia="bg-BG"/>
        </w:rPr>
        <w:t>болус</w:t>
      </w:r>
      <w:proofErr w:type="spellEnd"/>
      <w:r w:rsidRPr="00CA36D9">
        <w:rPr>
          <w:lang w:val="bg-BG" w:eastAsia="bg-BG"/>
        </w:rPr>
        <w:t xml:space="preserve"> приложение на обща доза от 0,6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е 14 минути. При прилагане на по-ниски дози - 0,3-0,45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(1-1</w:t>
      </w:r>
      <w:r w:rsidRPr="00CA36D9">
        <w:rPr>
          <w:vertAlign w:val="superscript"/>
          <w:lang w:val="bg-BG" w:eastAsia="bg-BG"/>
        </w:rPr>
        <w:t>1/2</w:t>
      </w:r>
      <w:r w:rsidRPr="00CA36D9">
        <w:rPr>
          <w:lang w:val="bg-BG" w:eastAsia="bg-BG"/>
        </w:rPr>
        <w:t xml:space="preserve"> х </w:t>
      </w:r>
      <w:r w:rsidRPr="00CA36D9">
        <w:t xml:space="preserve">ED90), </w:t>
      </w:r>
      <w:r w:rsidRPr="00CA36D9">
        <w:rPr>
          <w:lang w:val="bg-BG" w:eastAsia="bg-BG"/>
        </w:rPr>
        <w:t xml:space="preserve">началото на действие е забавено, а продължителността на действие - по-кратка. С по-високи дози от 2 </w:t>
      </w:r>
      <w:r w:rsidRPr="00CA36D9">
        <w:t xml:space="preserve">mg/kg </w:t>
      </w:r>
      <w:r w:rsidRPr="00CA36D9">
        <w:rPr>
          <w:lang w:val="bg-BG" w:eastAsia="bg-BG"/>
        </w:rPr>
        <w:t>клиничната продължителност на действие е 110 минути.</w:t>
      </w:r>
    </w:p>
    <w:p w14:paraId="4670ADD8" w14:textId="77777777" w:rsidR="00CA36D9" w:rsidRDefault="00CA36D9" w:rsidP="00CA36D9">
      <w:pPr>
        <w:rPr>
          <w:u w:val="single"/>
          <w:lang w:val="bg-BG" w:eastAsia="bg-BG"/>
        </w:rPr>
      </w:pPr>
    </w:p>
    <w:p w14:paraId="03BAB669" w14:textId="30F51D45" w:rsidR="00CA36D9" w:rsidRPr="00CA36D9" w:rsidRDefault="00CA36D9" w:rsidP="00CA36D9">
      <w:pPr>
        <w:rPr>
          <w:sz w:val="24"/>
          <w:szCs w:val="24"/>
          <w:lang w:val="bg-BG"/>
        </w:rPr>
      </w:pPr>
      <w:proofErr w:type="spellStart"/>
      <w:r w:rsidRPr="00CA36D9">
        <w:rPr>
          <w:u w:val="single"/>
          <w:lang w:val="bg-BG" w:eastAsia="bg-BG"/>
        </w:rPr>
        <w:t>Интубация</w:t>
      </w:r>
      <w:proofErr w:type="spellEnd"/>
      <w:r w:rsidRPr="00CA36D9">
        <w:rPr>
          <w:u w:val="single"/>
          <w:lang w:val="bg-BG" w:eastAsia="bg-BG"/>
        </w:rPr>
        <w:t xml:space="preserve"> по време на рутинна анестезия</w:t>
      </w:r>
    </w:p>
    <w:p w14:paraId="2CF47D83" w14:textId="77777777" w:rsidR="00CA36D9" w:rsidRPr="00CA36D9" w:rsidRDefault="00CA36D9" w:rsidP="00CA36D9">
      <w:pPr>
        <w:rPr>
          <w:sz w:val="24"/>
          <w:szCs w:val="24"/>
          <w:lang w:val="bg-BG"/>
        </w:rPr>
      </w:pPr>
      <w:r w:rsidRPr="00CA36D9">
        <w:rPr>
          <w:lang w:val="bg-BG" w:eastAsia="bg-BG"/>
        </w:rPr>
        <w:t xml:space="preserve">За 60 секунди след интравенозно приложение на доза от 0,6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(2 х </w:t>
      </w:r>
      <w:r w:rsidRPr="00CA36D9">
        <w:t xml:space="preserve">ED90 </w:t>
      </w:r>
      <w:r w:rsidRPr="00CA36D9">
        <w:rPr>
          <w:lang w:val="bg-BG" w:eastAsia="bg-BG"/>
        </w:rPr>
        <w:t xml:space="preserve">под интравенозна анестезия), почти при всички пациенти се достигат адекватни условия за </w:t>
      </w:r>
      <w:proofErr w:type="spellStart"/>
      <w:r w:rsidRPr="00CA36D9">
        <w:rPr>
          <w:lang w:val="bg-BG" w:eastAsia="bg-BG"/>
        </w:rPr>
        <w:t>интубиране</w:t>
      </w:r>
      <w:proofErr w:type="spellEnd"/>
      <w:r w:rsidRPr="00CA36D9">
        <w:rPr>
          <w:lang w:val="bg-BG" w:eastAsia="bg-BG"/>
        </w:rPr>
        <w:t xml:space="preserve">, като при 80 % от тях тези условия са отлични. Генерализирана мускулна парализа, адекватна за какъвто и да е вид хирургична процедура, се достига за две минути. След прилагането на 0,45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достигането на подходящи условия за </w:t>
      </w:r>
      <w:proofErr w:type="spellStart"/>
      <w:r w:rsidRPr="00CA36D9">
        <w:rPr>
          <w:lang w:val="bg-BG" w:eastAsia="bg-BG"/>
        </w:rPr>
        <w:t>интубация</w:t>
      </w:r>
      <w:proofErr w:type="spellEnd"/>
      <w:r w:rsidRPr="00CA36D9">
        <w:rPr>
          <w:lang w:val="bg-BG" w:eastAsia="bg-BG"/>
        </w:rPr>
        <w:t xml:space="preserve"> става след 90 секунди.</w:t>
      </w:r>
    </w:p>
    <w:p w14:paraId="4300FAB2" w14:textId="77777777" w:rsidR="00CA36D9" w:rsidRDefault="00CA36D9" w:rsidP="00CA36D9">
      <w:pPr>
        <w:rPr>
          <w:u w:val="single"/>
          <w:lang w:val="bg-BG" w:eastAsia="bg-BG"/>
        </w:rPr>
      </w:pPr>
    </w:p>
    <w:p w14:paraId="3A7FDA3D" w14:textId="4ED7AC7C" w:rsidR="00CA36D9" w:rsidRPr="00CA36D9" w:rsidRDefault="00CA36D9" w:rsidP="00CA36D9">
      <w:pPr>
        <w:rPr>
          <w:sz w:val="24"/>
          <w:szCs w:val="24"/>
          <w:lang w:val="bg-BG"/>
        </w:rPr>
      </w:pPr>
      <w:r w:rsidRPr="00CA36D9">
        <w:rPr>
          <w:u w:val="single"/>
          <w:lang w:val="bg-BG" w:eastAsia="bg-BG"/>
        </w:rPr>
        <w:t>Бърз увод в анестезия</w:t>
      </w:r>
    </w:p>
    <w:p w14:paraId="3EFA4B22" w14:textId="51B244D1" w:rsidR="00CA36D9" w:rsidRDefault="00CA36D9" w:rsidP="00CA36D9">
      <w:pPr>
        <w:rPr>
          <w:lang w:val="bg-BG" w:eastAsia="bg-BG"/>
        </w:rPr>
      </w:pPr>
      <w:r w:rsidRPr="00CA36D9">
        <w:rPr>
          <w:lang w:val="bg-BG" w:eastAsia="bg-BG"/>
        </w:rPr>
        <w:t xml:space="preserve">По време на бърз увод в анестезия с </w:t>
      </w:r>
      <w:proofErr w:type="spellStart"/>
      <w:r w:rsidRPr="00CA36D9">
        <w:rPr>
          <w:lang w:val="bg-BG" w:eastAsia="bg-BG"/>
        </w:rPr>
        <w:t>пропофол</w:t>
      </w:r>
      <w:proofErr w:type="spellEnd"/>
      <w:r w:rsidRPr="00CA36D9">
        <w:rPr>
          <w:lang w:val="bg-BG" w:eastAsia="bg-BG"/>
        </w:rPr>
        <w:t xml:space="preserve"> или фентанил/</w:t>
      </w:r>
      <w:proofErr w:type="spellStart"/>
      <w:r w:rsidRPr="00CA36D9">
        <w:rPr>
          <w:lang w:val="bg-BG" w:eastAsia="bg-BG"/>
        </w:rPr>
        <w:t>тиопентал</w:t>
      </w:r>
      <w:proofErr w:type="spellEnd"/>
      <w:r w:rsidRPr="00CA36D9">
        <w:rPr>
          <w:lang w:val="bg-BG" w:eastAsia="bg-BG"/>
        </w:rPr>
        <w:t xml:space="preserve"> адекватни нива за </w:t>
      </w:r>
      <w:proofErr w:type="spellStart"/>
      <w:r w:rsidRPr="00CA36D9">
        <w:rPr>
          <w:lang w:val="bg-BG" w:eastAsia="bg-BG"/>
        </w:rPr>
        <w:t>интубация</w:t>
      </w:r>
      <w:proofErr w:type="spellEnd"/>
      <w:r w:rsidRPr="00CA36D9">
        <w:rPr>
          <w:lang w:val="bg-BG" w:eastAsia="bg-BG"/>
        </w:rPr>
        <w:t xml:space="preserve"> се постигат за 60 секунди при 93 % и 96 % от пациентите респективно след доза от 1,0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От тях 70 % са класифицирани като отлични. Клиничната продължителност с тази доза достига 1 час, за което време </w:t>
      </w:r>
      <w:proofErr w:type="spellStart"/>
      <w:r w:rsidRPr="00CA36D9">
        <w:rPr>
          <w:lang w:val="bg-BG" w:eastAsia="bg-BG"/>
        </w:rPr>
        <w:t>невромускулният</w:t>
      </w:r>
      <w:proofErr w:type="spellEnd"/>
      <w:r w:rsidRPr="00CA36D9">
        <w:rPr>
          <w:lang w:val="bg-BG" w:eastAsia="bg-BG"/>
        </w:rPr>
        <w:t xml:space="preserve"> блок може да бъде</w:t>
      </w:r>
      <w:r w:rsidRPr="00CA36D9">
        <w:rPr>
          <w:u w:val="single"/>
          <w:lang w:val="bg-BG" w:eastAsia="bg-BG"/>
        </w:rPr>
        <w:t xml:space="preserve"> </w:t>
      </w:r>
      <w:r w:rsidRPr="00CA36D9">
        <w:rPr>
          <w:lang w:val="bg-BG" w:eastAsia="bg-BG"/>
        </w:rPr>
        <w:t xml:space="preserve">успешно преодолян. След доза от 0,6 </w:t>
      </w:r>
      <w:r w:rsidRPr="00CA36D9">
        <w:t xml:space="preserve">mg/kg </w:t>
      </w:r>
      <w:proofErr w:type="spellStart"/>
      <w:r w:rsidRPr="00CA36D9">
        <w:rPr>
          <w:lang w:val="bg-BG" w:eastAsia="bg-BG"/>
        </w:rPr>
        <w:t>рокурониев</w:t>
      </w:r>
      <w:proofErr w:type="spellEnd"/>
      <w:r w:rsidRPr="00CA36D9">
        <w:rPr>
          <w:lang w:val="bg-BG" w:eastAsia="bg-BG"/>
        </w:rPr>
        <w:t xml:space="preserve"> бромид адекватни нива за </w:t>
      </w:r>
      <w:proofErr w:type="spellStart"/>
      <w:r w:rsidRPr="00CA36D9">
        <w:rPr>
          <w:lang w:val="bg-BG" w:eastAsia="bg-BG"/>
        </w:rPr>
        <w:t>интубация</w:t>
      </w:r>
      <w:proofErr w:type="spellEnd"/>
      <w:r w:rsidRPr="00CA36D9">
        <w:rPr>
          <w:lang w:val="bg-BG" w:eastAsia="bg-BG"/>
        </w:rPr>
        <w:t xml:space="preserve"> се постигат за 60 секунди при 81 % и 75 % от пациентите по време на бърз увод с </w:t>
      </w:r>
      <w:proofErr w:type="spellStart"/>
      <w:r w:rsidRPr="00CA36D9">
        <w:rPr>
          <w:lang w:val="bg-BG" w:eastAsia="bg-BG"/>
        </w:rPr>
        <w:t>пропофол</w:t>
      </w:r>
      <w:proofErr w:type="spellEnd"/>
      <w:r w:rsidRPr="00CA36D9">
        <w:rPr>
          <w:lang w:val="bg-BG" w:eastAsia="bg-BG"/>
        </w:rPr>
        <w:t xml:space="preserve"> или</w:t>
      </w:r>
      <w:r>
        <w:rPr>
          <w:sz w:val="24"/>
          <w:szCs w:val="24"/>
        </w:rPr>
        <w:t xml:space="preserve"> </w:t>
      </w:r>
      <w:r w:rsidRPr="00CA36D9">
        <w:rPr>
          <w:lang w:val="bg-BG" w:eastAsia="bg-BG"/>
        </w:rPr>
        <w:t>фентанил/</w:t>
      </w:r>
      <w:proofErr w:type="spellStart"/>
      <w:r w:rsidRPr="00CA36D9">
        <w:rPr>
          <w:lang w:val="bg-BG" w:eastAsia="bg-BG"/>
        </w:rPr>
        <w:t>тиопентал</w:t>
      </w:r>
      <w:proofErr w:type="spellEnd"/>
      <w:r w:rsidRPr="00CA36D9">
        <w:rPr>
          <w:lang w:val="bg-BG" w:eastAsia="bg-BG"/>
        </w:rPr>
        <w:t>, съответно.</w:t>
      </w:r>
    </w:p>
    <w:p w14:paraId="3F06E9E1" w14:textId="0747426B" w:rsidR="00CA36D9" w:rsidRDefault="00CA36D9" w:rsidP="00CA36D9">
      <w:pPr>
        <w:rPr>
          <w:lang w:val="bg-BG" w:eastAsia="bg-BG"/>
        </w:rPr>
      </w:pPr>
    </w:p>
    <w:p w14:paraId="4F22E004" w14:textId="77777777" w:rsidR="00CA36D9" w:rsidRPr="00CA36D9" w:rsidRDefault="00CA36D9" w:rsidP="00CA36D9">
      <w:pPr>
        <w:rPr>
          <w:sz w:val="24"/>
          <w:szCs w:val="24"/>
          <w:u w:val="single"/>
          <w:lang w:val="bg-BG"/>
        </w:rPr>
      </w:pPr>
      <w:r w:rsidRPr="00CA36D9">
        <w:rPr>
          <w:u w:val="single"/>
          <w:lang w:val="bg-BG" w:eastAsia="bg-BG"/>
        </w:rPr>
        <w:t>Педиатрична популация</w:t>
      </w:r>
    </w:p>
    <w:p w14:paraId="07F8D924" w14:textId="77777777" w:rsidR="00CA36D9" w:rsidRPr="00CA36D9" w:rsidRDefault="00CA36D9" w:rsidP="00CA36D9">
      <w:pPr>
        <w:rPr>
          <w:sz w:val="24"/>
          <w:szCs w:val="24"/>
          <w:lang w:val="bg-BG"/>
        </w:rPr>
      </w:pPr>
      <w:r w:rsidRPr="00CA36D9">
        <w:rPr>
          <w:lang w:val="bg-BG" w:eastAsia="bg-BG"/>
        </w:rPr>
        <w:t xml:space="preserve">Средното време на начално действие при бебета, малки деца и деца при </w:t>
      </w:r>
      <w:proofErr w:type="spellStart"/>
      <w:r w:rsidRPr="00CA36D9">
        <w:rPr>
          <w:lang w:val="bg-BG" w:eastAsia="bg-BG"/>
        </w:rPr>
        <w:t>интубационна</w:t>
      </w:r>
      <w:proofErr w:type="spellEnd"/>
      <w:r w:rsidRPr="00CA36D9">
        <w:rPr>
          <w:lang w:val="bg-BG" w:eastAsia="bg-BG"/>
        </w:rPr>
        <w:t xml:space="preserve"> доза от 0,6 </w:t>
      </w:r>
      <w:r w:rsidRPr="00CA36D9">
        <w:t xml:space="preserve">mg/kg </w:t>
      </w:r>
      <w:r w:rsidRPr="00CA36D9">
        <w:rPr>
          <w:lang w:val="bg-BG" w:eastAsia="bg-BG"/>
        </w:rPr>
        <w:t xml:space="preserve">е малко по-късо, отколкото при възрастни. Сравнение в границите на педиатричните възрастови групи показва, че средното начало на действие при новородени и юноши (1,0 </w:t>
      </w:r>
      <w:r w:rsidRPr="00CA36D9">
        <w:t xml:space="preserve">min) </w:t>
      </w:r>
      <w:r w:rsidRPr="00CA36D9">
        <w:rPr>
          <w:lang w:val="bg-BG" w:eastAsia="bg-BG"/>
        </w:rPr>
        <w:t xml:space="preserve">е малко по-дълго в сравнение с бебета, малки деца и деца (съответно 0,4, 0,6 и 0,8 </w:t>
      </w:r>
      <w:r w:rsidRPr="00CA36D9">
        <w:t>min).</w:t>
      </w:r>
    </w:p>
    <w:p w14:paraId="70AEEBD4" w14:textId="77777777" w:rsidR="00CA36D9" w:rsidRPr="00CA36D9" w:rsidRDefault="00CA36D9" w:rsidP="00CA36D9">
      <w:pPr>
        <w:rPr>
          <w:sz w:val="24"/>
          <w:szCs w:val="24"/>
          <w:lang w:val="bg-BG"/>
        </w:rPr>
      </w:pPr>
      <w:r w:rsidRPr="00CA36D9">
        <w:rPr>
          <w:lang w:val="bg-BG" w:eastAsia="bg-BG"/>
        </w:rPr>
        <w:t xml:space="preserve">Продължителността на релаксация и времето за възстановяване клонят към по-кратки при деца в сравнение с бебета и възрастни. Сравнение в границите на педиатричните </w:t>
      </w:r>
      <w:r w:rsidRPr="00CA36D9">
        <w:rPr>
          <w:lang w:val="bg-BG" w:eastAsia="bg-BG"/>
        </w:rPr>
        <w:lastRenderedPageBreak/>
        <w:t xml:space="preserve">възрастови групи показва че средното време до поява на </w:t>
      </w:r>
      <w:proofErr w:type="spellStart"/>
      <w:r w:rsidRPr="00CA36D9">
        <w:rPr>
          <w:lang w:val="bg-BG" w:eastAsia="bg-BG"/>
        </w:rPr>
        <w:t>Тз</w:t>
      </w:r>
      <w:proofErr w:type="spellEnd"/>
      <w:r w:rsidRPr="00CA36D9">
        <w:rPr>
          <w:lang w:val="bg-BG" w:eastAsia="bg-BG"/>
        </w:rPr>
        <w:t xml:space="preserve"> е удължено при новородени и бебета (съответно 56,7 и 60,7 </w:t>
      </w:r>
      <w:r w:rsidRPr="00CA36D9">
        <w:t xml:space="preserve">min) </w:t>
      </w:r>
      <w:r w:rsidRPr="00CA36D9">
        <w:rPr>
          <w:lang w:val="bg-BG" w:eastAsia="bg-BG"/>
        </w:rPr>
        <w:t xml:space="preserve">в сравнение с малки деца, деца и юноши (съответно 45,4, 37,6 и 42,9 </w:t>
      </w:r>
      <w:r w:rsidRPr="00CA36D9">
        <w:t>min).</w:t>
      </w:r>
    </w:p>
    <w:p w14:paraId="5B607A95" w14:textId="77777777" w:rsidR="00CA36D9" w:rsidRDefault="00CA36D9" w:rsidP="00CA36D9">
      <w:pPr>
        <w:rPr>
          <w:b/>
          <w:bCs/>
          <w:lang w:val="bg-BG" w:eastAsia="bg-BG"/>
        </w:rPr>
      </w:pPr>
    </w:p>
    <w:p w14:paraId="019A153D" w14:textId="1335DF8C" w:rsidR="00CA36D9" w:rsidRDefault="00CA36D9" w:rsidP="00CA36D9">
      <w:pPr>
        <w:rPr>
          <w:b/>
          <w:bCs/>
          <w:lang w:val="bg-BG" w:eastAsia="bg-BG"/>
        </w:rPr>
      </w:pPr>
      <w:r w:rsidRPr="00CA36D9">
        <w:rPr>
          <w:b/>
          <w:bCs/>
          <w:lang w:val="bg-BG" w:eastAsia="bg-BG"/>
        </w:rPr>
        <w:t xml:space="preserve">Средно </w:t>
      </w:r>
      <w:r w:rsidRPr="00CA36D9">
        <w:rPr>
          <w:b/>
          <w:bCs/>
          <w:i/>
          <w:iCs/>
        </w:rPr>
        <w:t xml:space="preserve">(SD) </w:t>
      </w:r>
      <w:r w:rsidRPr="00CA36D9">
        <w:rPr>
          <w:b/>
          <w:bCs/>
          <w:i/>
          <w:iCs/>
          <w:lang w:val="bg-BG" w:eastAsia="bg-BG"/>
        </w:rPr>
        <w:t>време до начало на действие и клинична</w:t>
      </w:r>
      <w:r w:rsidRPr="00CA36D9">
        <w:rPr>
          <w:b/>
          <w:bCs/>
          <w:lang w:val="bg-BG" w:eastAsia="bg-BG"/>
        </w:rPr>
        <w:t xml:space="preserve"> продължителност след начална </w:t>
      </w:r>
      <w:proofErr w:type="spellStart"/>
      <w:r w:rsidRPr="00CA36D9">
        <w:rPr>
          <w:b/>
          <w:bCs/>
          <w:lang w:val="bg-BG" w:eastAsia="bg-BG"/>
        </w:rPr>
        <w:t>интубационна</w:t>
      </w:r>
      <w:proofErr w:type="spellEnd"/>
      <w:r w:rsidRPr="00CA36D9">
        <w:rPr>
          <w:b/>
          <w:bCs/>
          <w:lang w:val="bg-BG" w:eastAsia="bg-BG"/>
        </w:rPr>
        <w:t xml:space="preserve"> доза* 0,6 </w:t>
      </w:r>
      <w:r w:rsidRPr="00CA36D9">
        <w:rPr>
          <w:b/>
          <w:bCs/>
        </w:rPr>
        <w:t xml:space="preserve">mg/kg </w:t>
      </w:r>
      <w:proofErr w:type="spellStart"/>
      <w:r w:rsidRPr="00CA36D9">
        <w:rPr>
          <w:b/>
          <w:bCs/>
          <w:lang w:val="bg-BG" w:eastAsia="bg-BG"/>
        </w:rPr>
        <w:t>рокуроний</w:t>
      </w:r>
      <w:proofErr w:type="spellEnd"/>
      <w:r w:rsidRPr="00CA36D9">
        <w:rPr>
          <w:b/>
          <w:bCs/>
          <w:lang w:val="bg-BG" w:eastAsia="bg-BG"/>
        </w:rPr>
        <w:t xml:space="preserve"> по време на анестезия със </w:t>
      </w:r>
      <w:proofErr w:type="spellStart"/>
      <w:r w:rsidRPr="00CA36D9">
        <w:rPr>
          <w:b/>
          <w:bCs/>
          <w:lang w:val="bg-BG" w:eastAsia="bg-BG"/>
        </w:rPr>
        <w:t>севофлуран</w:t>
      </w:r>
      <w:proofErr w:type="spellEnd"/>
      <w:r w:rsidRPr="00CA36D9">
        <w:rPr>
          <w:b/>
          <w:bCs/>
          <w:lang w:val="bg-BG" w:eastAsia="bg-BG"/>
        </w:rPr>
        <w:t xml:space="preserve">/азотен оксид и </w:t>
      </w:r>
      <w:proofErr w:type="spellStart"/>
      <w:r w:rsidRPr="00CA36D9">
        <w:rPr>
          <w:b/>
          <w:bCs/>
          <w:lang w:val="bg-BG" w:eastAsia="bg-BG"/>
        </w:rPr>
        <w:t>нзофлуран</w:t>
      </w:r>
      <w:proofErr w:type="spellEnd"/>
      <w:r w:rsidRPr="00CA36D9">
        <w:rPr>
          <w:b/>
          <w:bCs/>
          <w:lang w:val="bg-BG" w:eastAsia="bg-BG"/>
        </w:rPr>
        <w:t xml:space="preserve">/азотен оксид (за поддържане) (Педиатрични пациенти) </w:t>
      </w:r>
      <w:r>
        <w:rPr>
          <w:b/>
          <w:bCs/>
          <w:lang w:val="bg-BG" w:eastAsia="bg-BG"/>
        </w:rPr>
        <w:t>ПП</w:t>
      </w:r>
      <w:r w:rsidRPr="00CA36D9">
        <w:rPr>
          <w:b/>
          <w:bCs/>
          <w:lang w:val="bg-BG" w:eastAsia="bg-BG"/>
        </w:rPr>
        <w:t xml:space="preserve"> група</w:t>
      </w:r>
    </w:p>
    <w:tbl>
      <w:tblPr>
        <w:tblStyle w:val="TableGrid"/>
        <w:tblW w:w="0" w:type="auto"/>
        <w:tblLook w:val="04A0" w:firstRow="1" w:lastRow="0" w:firstColumn="1" w:lastColumn="0" w:noHBand="0" w:noVBand="1"/>
      </w:tblPr>
      <w:tblGrid>
        <w:gridCol w:w="3192"/>
        <w:gridCol w:w="3192"/>
        <w:gridCol w:w="3192"/>
      </w:tblGrid>
      <w:tr w:rsidR="003E009C" w14:paraId="48EC8D93" w14:textId="77777777" w:rsidTr="003E009C">
        <w:tc>
          <w:tcPr>
            <w:tcW w:w="3192" w:type="dxa"/>
          </w:tcPr>
          <w:p w14:paraId="0596AAA7" w14:textId="77777777" w:rsidR="003E009C" w:rsidRDefault="003E009C" w:rsidP="003E009C">
            <w:pPr>
              <w:rPr>
                <w:sz w:val="24"/>
                <w:szCs w:val="24"/>
                <w:lang w:val="bg-BG"/>
              </w:rPr>
            </w:pPr>
          </w:p>
        </w:tc>
        <w:tc>
          <w:tcPr>
            <w:tcW w:w="3192" w:type="dxa"/>
          </w:tcPr>
          <w:p w14:paraId="001D8969" w14:textId="5DB9D6A6" w:rsidR="003E009C" w:rsidRDefault="003E009C" w:rsidP="003E009C">
            <w:pPr>
              <w:rPr>
                <w:sz w:val="24"/>
                <w:szCs w:val="24"/>
                <w:lang w:val="bg-BG"/>
              </w:rPr>
            </w:pPr>
            <w:proofErr w:type="spellStart"/>
            <w:r>
              <w:t>Време</w:t>
            </w:r>
            <w:proofErr w:type="spellEnd"/>
            <w:r>
              <w:t xml:space="preserve"> </w:t>
            </w:r>
            <w:proofErr w:type="spellStart"/>
            <w:r>
              <w:t>до</w:t>
            </w:r>
            <w:proofErr w:type="spellEnd"/>
            <w:r>
              <w:t xml:space="preserve"> </w:t>
            </w:r>
            <w:proofErr w:type="spellStart"/>
            <w:r>
              <w:t>максимален</w:t>
            </w:r>
            <w:proofErr w:type="spellEnd"/>
            <w:r>
              <w:t xml:space="preserve"> </w:t>
            </w:r>
            <w:proofErr w:type="spellStart"/>
            <w:r>
              <w:t>блок</w:t>
            </w:r>
            <w:proofErr w:type="spellEnd"/>
            <w:r>
              <w:t xml:space="preserve"> ** (min)</w:t>
            </w:r>
          </w:p>
        </w:tc>
        <w:tc>
          <w:tcPr>
            <w:tcW w:w="3192" w:type="dxa"/>
          </w:tcPr>
          <w:p w14:paraId="3D6C7ED0" w14:textId="77777777" w:rsidR="003E009C" w:rsidRDefault="003E009C" w:rsidP="003E009C">
            <w:proofErr w:type="spellStart"/>
            <w:r>
              <w:t>Време</w:t>
            </w:r>
            <w:proofErr w:type="spellEnd"/>
            <w:r>
              <w:t xml:space="preserve"> </w:t>
            </w:r>
            <w:proofErr w:type="spellStart"/>
            <w:r>
              <w:t>до</w:t>
            </w:r>
            <w:proofErr w:type="spellEnd"/>
            <w:r>
              <w:t xml:space="preserve"> </w:t>
            </w:r>
            <w:proofErr w:type="spellStart"/>
            <w:r>
              <w:t>поява</w:t>
            </w:r>
            <w:proofErr w:type="spellEnd"/>
            <w:r>
              <w:t xml:space="preserve"> </w:t>
            </w:r>
            <w:proofErr w:type="spellStart"/>
            <w:r>
              <w:t>на</w:t>
            </w:r>
            <w:proofErr w:type="spellEnd"/>
            <w:r>
              <w:t xml:space="preserve"> ТЗ **</w:t>
            </w:r>
          </w:p>
          <w:p w14:paraId="082D323A" w14:textId="0649C99B" w:rsidR="003E009C" w:rsidRDefault="003E009C" w:rsidP="003E009C">
            <w:pPr>
              <w:rPr>
                <w:sz w:val="24"/>
                <w:szCs w:val="24"/>
                <w:lang w:val="bg-BG"/>
              </w:rPr>
            </w:pPr>
            <w:r>
              <w:t>(min)</w:t>
            </w:r>
          </w:p>
        </w:tc>
      </w:tr>
      <w:tr w:rsidR="003E009C" w14:paraId="379C4865" w14:textId="77777777" w:rsidTr="003E009C">
        <w:tc>
          <w:tcPr>
            <w:tcW w:w="3192" w:type="dxa"/>
          </w:tcPr>
          <w:p w14:paraId="36001297" w14:textId="117AA7B4" w:rsidR="003E009C" w:rsidRDefault="003E009C" w:rsidP="003E009C">
            <w:pPr>
              <w:rPr>
                <w:sz w:val="24"/>
                <w:szCs w:val="24"/>
                <w:lang w:val="bg-BG"/>
              </w:rPr>
            </w:pPr>
            <w:proofErr w:type="spellStart"/>
            <w:r>
              <w:t>Новородени</w:t>
            </w:r>
            <w:proofErr w:type="spellEnd"/>
            <w:r>
              <w:t xml:space="preserve"> (0-27 </w:t>
            </w:r>
            <w:proofErr w:type="spellStart"/>
            <w:r>
              <w:t>дни</w:t>
            </w:r>
            <w:proofErr w:type="spellEnd"/>
            <w:r>
              <w:t xml:space="preserve">) </w:t>
            </w:r>
            <w:r w:rsidR="00505682">
              <w:t>n</w:t>
            </w:r>
            <w:r>
              <w:t>=10</w:t>
            </w:r>
          </w:p>
        </w:tc>
        <w:tc>
          <w:tcPr>
            <w:tcW w:w="3192" w:type="dxa"/>
          </w:tcPr>
          <w:p w14:paraId="3BD5FF60" w14:textId="6E21E368" w:rsidR="003E009C" w:rsidRDefault="003E009C" w:rsidP="003E009C">
            <w:pPr>
              <w:rPr>
                <w:sz w:val="24"/>
                <w:szCs w:val="24"/>
                <w:lang w:val="bg-BG"/>
              </w:rPr>
            </w:pPr>
            <w:r>
              <w:t>0,98 (0,62)</w:t>
            </w:r>
          </w:p>
        </w:tc>
        <w:tc>
          <w:tcPr>
            <w:tcW w:w="3192" w:type="dxa"/>
          </w:tcPr>
          <w:p w14:paraId="251DF396" w14:textId="77777777" w:rsidR="003E009C" w:rsidRDefault="003E009C" w:rsidP="003E009C">
            <w:r>
              <w:t>56,69 (37,04)</w:t>
            </w:r>
          </w:p>
          <w:p w14:paraId="1BB2DB85" w14:textId="09167D10" w:rsidR="003E009C" w:rsidRDefault="003E009C" w:rsidP="003E009C">
            <w:pPr>
              <w:rPr>
                <w:sz w:val="24"/>
                <w:szCs w:val="24"/>
                <w:lang w:val="bg-BG"/>
              </w:rPr>
            </w:pPr>
            <w:r>
              <w:t>n=9</w:t>
            </w:r>
          </w:p>
        </w:tc>
      </w:tr>
      <w:tr w:rsidR="003E009C" w14:paraId="0D42DE21" w14:textId="77777777" w:rsidTr="003E009C">
        <w:tc>
          <w:tcPr>
            <w:tcW w:w="3192" w:type="dxa"/>
          </w:tcPr>
          <w:p w14:paraId="019224AF" w14:textId="3EC891CC" w:rsidR="003E009C" w:rsidRDefault="003E009C" w:rsidP="003E009C">
            <w:pPr>
              <w:rPr>
                <w:sz w:val="24"/>
                <w:szCs w:val="24"/>
                <w:lang w:val="bg-BG"/>
              </w:rPr>
            </w:pPr>
            <w:proofErr w:type="spellStart"/>
            <w:r>
              <w:t>Бебета</w:t>
            </w:r>
            <w:proofErr w:type="spellEnd"/>
            <w:r>
              <w:t xml:space="preserve"> (28 дни-2 </w:t>
            </w:r>
            <w:proofErr w:type="spellStart"/>
            <w:r>
              <w:t>месеца</w:t>
            </w:r>
            <w:proofErr w:type="spellEnd"/>
            <w:r>
              <w:t>) n=11</w:t>
            </w:r>
          </w:p>
        </w:tc>
        <w:tc>
          <w:tcPr>
            <w:tcW w:w="3192" w:type="dxa"/>
          </w:tcPr>
          <w:p w14:paraId="2F8E27C9" w14:textId="77777777" w:rsidR="003E009C" w:rsidRDefault="003E009C" w:rsidP="003E009C">
            <w:r>
              <w:t>0,44 (0,19)</w:t>
            </w:r>
          </w:p>
          <w:p w14:paraId="5E9606D1" w14:textId="7B991A57" w:rsidR="003E009C" w:rsidRDefault="003E009C" w:rsidP="003E009C">
            <w:pPr>
              <w:rPr>
                <w:sz w:val="24"/>
                <w:szCs w:val="24"/>
                <w:lang w:val="bg-BG"/>
              </w:rPr>
            </w:pPr>
            <w:r>
              <w:t>n=10</w:t>
            </w:r>
          </w:p>
        </w:tc>
        <w:tc>
          <w:tcPr>
            <w:tcW w:w="3192" w:type="dxa"/>
          </w:tcPr>
          <w:p w14:paraId="3C907770" w14:textId="3B947105" w:rsidR="003E009C" w:rsidRDefault="003E009C" w:rsidP="003E009C">
            <w:pPr>
              <w:rPr>
                <w:sz w:val="24"/>
                <w:szCs w:val="24"/>
                <w:lang w:val="bg-BG"/>
              </w:rPr>
            </w:pPr>
            <w:r>
              <w:t>60,71 (16,52)</w:t>
            </w:r>
          </w:p>
        </w:tc>
      </w:tr>
      <w:tr w:rsidR="003E009C" w14:paraId="2C7335DE" w14:textId="77777777" w:rsidTr="003E009C">
        <w:tc>
          <w:tcPr>
            <w:tcW w:w="3192" w:type="dxa"/>
          </w:tcPr>
          <w:p w14:paraId="48C09892" w14:textId="77777777" w:rsidR="003E009C" w:rsidRDefault="003E009C" w:rsidP="003E009C">
            <w:proofErr w:type="spellStart"/>
            <w:r>
              <w:t>Малки</w:t>
            </w:r>
            <w:proofErr w:type="spellEnd"/>
            <w:r>
              <w:t xml:space="preserve"> </w:t>
            </w:r>
            <w:proofErr w:type="spellStart"/>
            <w:r>
              <w:t>деца</w:t>
            </w:r>
            <w:proofErr w:type="spellEnd"/>
            <w:r>
              <w:t xml:space="preserve"> (3 </w:t>
            </w:r>
            <w:proofErr w:type="spellStart"/>
            <w:r>
              <w:t>месеца</w:t>
            </w:r>
            <w:proofErr w:type="spellEnd"/>
            <w:r>
              <w:t>-</w:t>
            </w:r>
          </w:p>
          <w:p w14:paraId="1FA9E505" w14:textId="77777777" w:rsidR="003E009C" w:rsidRDefault="003E009C" w:rsidP="003E009C">
            <w:r>
              <w:t xml:space="preserve">23 </w:t>
            </w:r>
            <w:proofErr w:type="spellStart"/>
            <w:r>
              <w:t>месеца</w:t>
            </w:r>
            <w:proofErr w:type="spellEnd"/>
            <w:r>
              <w:t>)</w:t>
            </w:r>
          </w:p>
          <w:p w14:paraId="595054AE" w14:textId="53C3AB56" w:rsidR="003E009C" w:rsidRDefault="003E009C" w:rsidP="003E009C">
            <w:pPr>
              <w:rPr>
                <w:sz w:val="24"/>
                <w:szCs w:val="24"/>
                <w:lang w:val="bg-BG"/>
              </w:rPr>
            </w:pPr>
            <w:r>
              <w:t>n=28</w:t>
            </w:r>
          </w:p>
        </w:tc>
        <w:tc>
          <w:tcPr>
            <w:tcW w:w="3192" w:type="dxa"/>
          </w:tcPr>
          <w:p w14:paraId="79CD75FE" w14:textId="1490D6C4" w:rsidR="003E009C" w:rsidRDefault="003E009C" w:rsidP="003E009C">
            <w:pPr>
              <w:rPr>
                <w:sz w:val="24"/>
                <w:szCs w:val="24"/>
                <w:lang w:val="bg-BG"/>
              </w:rPr>
            </w:pPr>
            <w:r>
              <w:t>0,59 (0,27)</w:t>
            </w:r>
          </w:p>
        </w:tc>
        <w:tc>
          <w:tcPr>
            <w:tcW w:w="3192" w:type="dxa"/>
          </w:tcPr>
          <w:p w14:paraId="138BCC7C" w14:textId="77777777" w:rsidR="003E009C" w:rsidRDefault="003E009C" w:rsidP="003E009C">
            <w:r>
              <w:t>45,46(12,94)</w:t>
            </w:r>
          </w:p>
          <w:p w14:paraId="5A3488DC" w14:textId="75307C1F" w:rsidR="003E009C" w:rsidRDefault="003E009C" w:rsidP="003E009C">
            <w:pPr>
              <w:rPr>
                <w:sz w:val="24"/>
                <w:szCs w:val="24"/>
                <w:lang w:val="bg-BG"/>
              </w:rPr>
            </w:pPr>
            <w:r>
              <w:t>n=27</w:t>
            </w:r>
          </w:p>
        </w:tc>
      </w:tr>
      <w:tr w:rsidR="003E009C" w14:paraId="4FD82CB5" w14:textId="77777777" w:rsidTr="003E009C">
        <w:tc>
          <w:tcPr>
            <w:tcW w:w="3192" w:type="dxa"/>
          </w:tcPr>
          <w:p w14:paraId="6016B19D" w14:textId="77777777" w:rsidR="003E009C" w:rsidRDefault="003E009C" w:rsidP="003E009C">
            <w:proofErr w:type="spellStart"/>
            <w:r>
              <w:t>Деца</w:t>
            </w:r>
            <w:proofErr w:type="spellEnd"/>
            <w:r>
              <w:t xml:space="preserve"> (2-11 </w:t>
            </w:r>
            <w:proofErr w:type="spellStart"/>
            <w:r>
              <w:t>години</w:t>
            </w:r>
            <w:proofErr w:type="spellEnd"/>
            <w:r>
              <w:t>)</w:t>
            </w:r>
          </w:p>
          <w:p w14:paraId="5AE6463C" w14:textId="61A8B3B8" w:rsidR="003E009C" w:rsidRDefault="003E009C" w:rsidP="003E009C">
            <w:pPr>
              <w:rPr>
                <w:sz w:val="24"/>
                <w:szCs w:val="24"/>
                <w:lang w:val="bg-BG"/>
              </w:rPr>
            </w:pPr>
            <w:r>
              <w:t>n=34</w:t>
            </w:r>
          </w:p>
        </w:tc>
        <w:tc>
          <w:tcPr>
            <w:tcW w:w="3192" w:type="dxa"/>
          </w:tcPr>
          <w:p w14:paraId="4F215BAA" w14:textId="200371F6" w:rsidR="003E009C" w:rsidRDefault="003E009C" w:rsidP="003E009C">
            <w:pPr>
              <w:rPr>
                <w:sz w:val="24"/>
                <w:szCs w:val="24"/>
                <w:lang w:val="bg-BG"/>
              </w:rPr>
            </w:pPr>
            <w:r>
              <w:t>0,84 (0,29)</w:t>
            </w:r>
          </w:p>
        </w:tc>
        <w:tc>
          <w:tcPr>
            <w:tcW w:w="3192" w:type="dxa"/>
          </w:tcPr>
          <w:p w14:paraId="4DC669DD" w14:textId="3F37B539" w:rsidR="003E009C" w:rsidRDefault="003E009C" w:rsidP="003E009C">
            <w:pPr>
              <w:rPr>
                <w:sz w:val="24"/>
                <w:szCs w:val="24"/>
                <w:lang w:val="bg-BG"/>
              </w:rPr>
            </w:pPr>
            <w:r>
              <w:t>37,58(11,82)</w:t>
            </w:r>
          </w:p>
        </w:tc>
      </w:tr>
      <w:tr w:rsidR="003E009C" w14:paraId="5A2AF293" w14:textId="77777777" w:rsidTr="003E009C">
        <w:tc>
          <w:tcPr>
            <w:tcW w:w="3192" w:type="dxa"/>
          </w:tcPr>
          <w:p w14:paraId="33380B66" w14:textId="573010CA" w:rsidR="003E009C" w:rsidRDefault="003E009C" w:rsidP="003E009C">
            <w:pPr>
              <w:rPr>
                <w:sz w:val="24"/>
                <w:szCs w:val="24"/>
                <w:lang w:val="bg-BG"/>
              </w:rPr>
            </w:pPr>
            <w:proofErr w:type="spellStart"/>
            <w:r>
              <w:t>Юноши</w:t>
            </w:r>
            <w:proofErr w:type="spellEnd"/>
            <w:r>
              <w:t xml:space="preserve"> (12-17 </w:t>
            </w:r>
            <w:proofErr w:type="spellStart"/>
            <w:r>
              <w:t>години</w:t>
            </w:r>
            <w:proofErr w:type="spellEnd"/>
            <w:r>
              <w:t>) n=31</w:t>
            </w:r>
          </w:p>
        </w:tc>
        <w:tc>
          <w:tcPr>
            <w:tcW w:w="3192" w:type="dxa"/>
          </w:tcPr>
          <w:p w14:paraId="081A1443" w14:textId="6A01015A" w:rsidR="003E009C" w:rsidRDefault="003E009C" w:rsidP="003E009C">
            <w:pPr>
              <w:rPr>
                <w:sz w:val="24"/>
                <w:szCs w:val="24"/>
                <w:lang w:val="bg-BG"/>
              </w:rPr>
            </w:pPr>
            <w:r>
              <w:t>0,98 (0,38)</w:t>
            </w:r>
          </w:p>
        </w:tc>
        <w:tc>
          <w:tcPr>
            <w:tcW w:w="3192" w:type="dxa"/>
          </w:tcPr>
          <w:p w14:paraId="439DD015" w14:textId="77777777" w:rsidR="003E009C" w:rsidRDefault="003E009C" w:rsidP="003E009C">
            <w:r>
              <w:t>42,90(15,83)</w:t>
            </w:r>
          </w:p>
          <w:p w14:paraId="6B87F766" w14:textId="18448F2C" w:rsidR="003E009C" w:rsidRDefault="003E009C" w:rsidP="003E009C">
            <w:pPr>
              <w:rPr>
                <w:sz w:val="24"/>
                <w:szCs w:val="24"/>
                <w:lang w:val="bg-BG"/>
              </w:rPr>
            </w:pPr>
            <w:r>
              <w:t>n=30</w:t>
            </w:r>
          </w:p>
        </w:tc>
      </w:tr>
    </w:tbl>
    <w:p w14:paraId="6AE28EFC" w14:textId="77777777" w:rsidR="00505682" w:rsidRPr="00505682" w:rsidRDefault="00505682" w:rsidP="00505682">
      <w:pPr>
        <w:rPr>
          <w:sz w:val="24"/>
          <w:szCs w:val="24"/>
          <w:lang w:val="bg-BG"/>
        </w:rPr>
      </w:pPr>
      <w:r w:rsidRPr="00505682">
        <w:rPr>
          <w:lang w:val="bg-BG" w:eastAsia="bg-BG"/>
        </w:rPr>
        <w:t xml:space="preserve">* Доза </w:t>
      </w:r>
      <w:proofErr w:type="spellStart"/>
      <w:r w:rsidRPr="00505682">
        <w:rPr>
          <w:lang w:val="bg-BG" w:eastAsia="bg-BG"/>
        </w:rPr>
        <w:t>рокуроний</w:t>
      </w:r>
      <w:proofErr w:type="spellEnd"/>
      <w:r w:rsidRPr="00505682">
        <w:rPr>
          <w:lang w:val="bg-BG" w:eastAsia="bg-BG"/>
        </w:rPr>
        <w:t xml:space="preserve"> приложена за 5 секунди.</w:t>
      </w:r>
    </w:p>
    <w:p w14:paraId="10945602" w14:textId="77777777" w:rsidR="00505682" w:rsidRPr="00505682" w:rsidRDefault="00505682" w:rsidP="00505682">
      <w:pPr>
        <w:rPr>
          <w:sz w:val="24"/>
          <w:szCs w:val="24"/>
          <w:lang w:val="bg-BG"/>
        </w:rPr>
      </w:pPr>
      <w:r w:rsidRPr="00505682">
        <w:rPr>
          <w:lang w:val="bg-BG" w:eastAsia="bg-BG"/>
        </w:rPr>
        <w:t xml:space="preserve">** Изчислено от края на приложението на </w:t>
      </w:r>
      <w:proofErr w:type="spellStart"/>
      <w:r w:rsidRPr="00505682">
        <w:rPr>
          <w:lang w:val="bg-BG" w:eastAsia="bg-BG"/>
        </w:rPr>
        <w:t>интубационната</w:t>
      </w:r>
      <w:proofErr w:type="spellEnd"/>
      <w:r w:rsidRPr="00505682">
        <w:rPr>
          <w:lang w:val="bg-BG" w:eastAsia="bg-BG"/>
        </w:rPr>
        <w:t xml:space="preserve"> доза </w:t>
      </w:r>
      <w:proofErr w:type="spellStart"/>
      <w:r w:rsidRPr="00505682">
        <w:rPr>
          <w:lang w:val="bg-BG" w:eastAsia="bg-BG"/>
        </w:rPr>
        <w:t>рокуроний</w:t>
      </w:r>
      <w:proofErr w:type="spellEnd"/>
    </w:p>
    <w:p w14:paraId="03BC0136" w14:textId="77777777" w:rsidR="00505682" w:rsidRDefault="00505682" w:rsidP="00505682">
      <w:pPr>
        <w:rPr>
          <w:u w:val="single"/>
          <w:lang w:val="bg-BG" w:eastAsia="bg-BG"/>
        </w:rPr>
      </w:pPr>
    </w:p>
    <w:p w14:paraId="25B432F7" w14:textId="6FD2C427" w:rsidR="00505682" w:rsidRPr="00505682" w:rsidRDefault="00505682" w:rsidP="00505682">
      <w:pPr>
        <w:rPr>
          <w:sz w:val="24"/>
          <w:szCs w:val="24"/>
          <w:lang w:val="bg-BG"/>
        </w:rPr>
      </w:pPr>
      <w:r w:rsidRPr="00505682">
        <w:rPr>
          <w:u w:val="single"/>
          <w:lang w:val="bg-BG" w:eastAsia="bg-BG"/>
        </w:rPr>
        <w:t xml:space="preserve">Гериатрични </w:t>
      </w:r>
      <w:proofErr w:type="spellStart"/>
      <w:r w:rsidRPr="00505682">
        <w:rPr>
          <w:u w:val="single"/>
          <w:lang w:val="bg-BG" w:eastAsia="bg-BG"/>
        </w:rPr>
        <w:t>папиенти</w:t>
      </w:r>
      <w:proofErr w:type="spellEnd"/>
      <w:r w:rsidRPr="00505682">
        <w:rPr>
          <w:u w:val="single"/>
          <w:lang w:val="bg-BG" w:eastAsia="bg-BG"/>
        </w:rPr>
        <w:t xml:space="preserve"> и пациенти с чернодробни и/или жлъчни заболявания и/или бъбречна недостатъчност</w:t>
      </w:r>
    </w:p>
    <w:p w14:paraId="0D13F5F7" w14:textId="77777777" w:rsidR="00505682" w:rsidRPr="00505682" w:rsidRDefault="00505682" w:rsidP="00505682">
      <w:pPr>
        <w:rPr>
          <w:sz w:val="24"/>
          <w:szCs w:val="24"/>
          <w:lang w:val="bg-BG"/>
        </w:rPr>
      </w:pPr>
      <w:r w:rsidRPr="00505682">
        <w:rPr>
          <w:lang w:val="bg-BG" w:eastAsia="bg-BG"/>
        </w:rPr>
        <w:t xml:space="preserve">Продължителността на действие на поддържащата доза от 0,15 </w:t>
      </w:r>
      <w:r w:rsidRPr="00505682">
        <w:t xml:space="preserve">mg/kg </w:t>
      </w:r>
      <w:proofErr w:type="spellStart"/>
      <w:r w:rsidRPr="00505682">
        <w:rPr>
          <w:lang w:val="bg-BG" w:eastAsia="bg-BG"/>
        </w:rPr>
        <w:t>рокурониев</w:t>
      </w:r>
      <w:proofErr w:type="spellEnd"/>
      <w:r w:rsidRPr="00505682">
        <w:rPr>
          <w:lang w:val="bg-BG" w:eastAsia="bg-BG"/>
        </w:rPr>
        <w:t xml:space="preserve"> бромид при анестезия с </w:t>
      </w:r>
      <w:proofErr w:type="spellStart"/>
      <w:r w:rsidRPr="00505682">
        <w:rPr>
          <w:lang w:val="bg-BG" w:eastAsia="bg-BG"/>
        </w:rPr>
        <w:t>енфлуран</w:t>
      </w:r>
      <w:proofErr w:type="spellEnd"/>
      <w:r w:rsidRPr="00505682">
        <w:rPr>
          <w:lang w:val="bg-BG" w:eastAsia="bg-BG"/>
        </w:rPr>
        <w:t xml:space="preserve"> и </w:t>
      </w:r>
      <w:proofErr w:type="spellStart"/>
      <w:r w:rsidRPr="00505682">
        <w:rPr>
          <w:lang w:val="bg-BG" w:eastAsia="bg-BG"/>
        </w:rPr>
        <w:t>изофлуран</w:t>
      </w:r>
      <w:proofErr w:type="spellEnd"/>
      <w:r w:rsidRPr="00505682">
        <w:rPr>
          <w:lang w:val="bg-BG" w:eastAsia="bg-BG"/>
        </w:rPr>
        <w:t xml:space="preserve"> може да бъде по-дълга при гериатрични пациенти и при пациенти с чернодробно и/или бъбречно заболяване (20 минути), отколкото при пациенти с </w:t>
      </w:r>
      <w:proofErr w:type="spellStart"/>
      <w:r w:rsidRPr="00505682">
        <w:rPr>
          <w:lang w:val="bg-BG" w:eastAsia="bg-BG"/>
        </w:rPr>
        <w:t>ненарушена</w:t>
      </w:r>
      <w:proofErr w:type="spellEnd"/>
      <w:r w:rsidRPr="00505682">
        <w:rPr>
          <w:lang w:val="bg-BG" w:eastAsia="bg-BG"/>
        </w:rPr>
        <w:t xml:space="preserve"> функция на </w:t>
      </w:r>
      <w:proofErr w:type="spellStart"/>
      <w:r w:rsidRPr="00505682">
        <w:rPr>
          <w:lang w:val="bg-BG" w:eastAsia="bg-BG"/>
        </w:rPr>
        <w:t>екскреторните</w:t>
      </w:r>
      <w:proofErr w:type="spellEnd"/>
      <w:r w:rsidRPr="00505682">
        <w:rPr>
          <w:lang w:val="bg-BG" w:eastAsia="bg-BG"/>
        </w:rPr>
        <w:t xml:space="preserve"> органи (приблизително 13 минути) под венозна анестезия (</w:t>
      </w:r>
      <w:proofErr w:type="spellStart"/>
      <w:r w:rsidRPr="00505682">
        <w:rPr>
          <w:lang w:val="bg-BG" w:eastAsia="bg-BG"/>
        </w:rPr>
        <w:t>вж.точка</w:t>
      </w:r>
      <w:proofErr w:type="spellEnd"/>
      <w:r w:rsidRPr="00505682">
        <w:rPr>
          <w:lang w:val="bg-BG" w:eastAsia="bg-BG"/>
        </w:rPr>
        <w:t xml:space="preserve"> 4.2). Не се наблюдава ефект на акумулиране (прогресивно повишение на продължителността на действие) при </w:t>
      </w:r>
      <w:proofErr w:type="spellStart"/>
      <w:r w:rsidRPr="00505682">
        <w:rPr>
          <w:lang w:val="bg-BG" w:eastAsia="bg-BG"/>
        </w:rPr>
        <w:t>повтаряемо</w:t>
      </w:r>
      <w:proofErr w:type="spellEnd"/>
      <w:r w:rsidRPr="00505682">
        <w:rPr>
          <w:lang w:val="bg-BG" w:eastAsia="bg-BG"/>
        </w:rPr>
        <w:t xml:space="preserve"> прилагане на поддържащата доза в препоръчваните нива.</w:t>
      </w:r>
    </w:p>
    <w:p w14:paraId="3254872E" w14:textId="77777777" w:rsidR="00505682" w:rsidRDefault="00505682" w:rsidP="00505682">
      <w:pPr>
        <w:rPr>
          <w:u w:val="single"/>
          <w:lang w:val="bg-BG" w:eastAsia="bg-BG"/>
        </w:rPr>
      </w:pPr>
    </w:p>
    <w:p w14:paraId="51CFBC1A" w14:textId="4BC3D1CD" w:rsidR="00505682" w:rsidRPr="00505682" w:rsidRDefault="00505682" w:rsidP="00505682">
      <w:pPr>
        <w:rPr>
          <w:sz w:val="24"/>
          <w:szCs w:val="24"/>
          <w:lang w:val="bg-BG"/>
        </w:rPr>
      </w:pPr>
      <w:r w:rsidRPr="00505682">
        <w:rPr>
          <w:u w:val="single"/>
          <w:lang w:val="bg-BG" w:eastAsia="bg-BG"/>
        </w:rPr>
        <w:t>Спешно отделение</w:t>
      </w:r>
    </w:p>
    <w:p w14:paraId="14CDAC05" w14:textId="5E871D9A" w:rsidR="003E009C" w:rsidRDefault="00505682" w:rsidP="00505682">
      <w:pPr>
        <w:rPr>
          <w:lang w:val="bg-BG" w:eastAsia="bg-BG"/>
        </w:rPr>
      </w:pPr>
      <w:r w:rsidRPr="00505682">
        <w:rPr>
          <w:lang w:val="bg-BG" w:eastAsia="bg-BG"/>
        </w:rPr>
        <w:t>При продължителна инфузия в Спешно отделение, времето за възстановяване на "</w:t>
      </w:r>
      <w:r w:rsidRPr="00505682">
        <w:rPr>
          <w:i/>
          <w:iCs/>
        </w:rPr>
        <w:t xml:space="preserve">train of </w:t>
      </w:r>
      <w:r w:rsidRPr="00505682">
        <w:rPr>
          <w:i/>
          <w:iCs/>
          <w:lang w:val="bg-BG" w:eastAsia="bg-BG"/>
        </w:rPr>
        <w:t xml:space="preserve"> </w:t>
      </w:r>
      <w:r w:rsidRPr="00505682">
        <w:rPr>
          <w:i/>
          <w:iCs/>
        </w:rPr>
        <w:t>four ratio"</w:t>
      </w:r>
      <w:r w:rsidRPr="00505682">
        <w:t xml:space="preserve"> (T</w:t>
      </w:r>
      <w:r w:rsidRPr="00505682">
        <w:rPr>
          <w:vertAlign w:val="subscript"/>
        </w:rPr>
        <w:t>4</w:t>
      </w:r>
      <w:r w:rsidRPr="00505682">
        <w:t>/T</w:t>
      </w:r>
      <w:r w:rsidRPr="00505682">
        <w:rPr>
          <w:vertAlign w:val="subscript"/>
        </w:rPr>
        <w:t>1</w:t>
      </w:r>
      <w:r w:rsidRPr="00505682">
        <w:t xml:space="preserve">) </w:t>
      </w:r>
      <w:r w:rsidRPr="00505682">
        <w:rPr>
          <w:lang w:val="bg-BG" w:eastAsia="bg-BG"/>
        </w:rPr>
        <w:t xml:space="preserve">до </w:t>
      </w:r>
      <w:r w:rsidRPr="00505682">
        <w:t xml:space="preserve">0,7 </w:t>
      </w:r>
      <w:r w:rsidRPr="00505682">
        <w:rPr>
          <w:lang w:val="bg-BG" w:eastAsia="bg-BG"/>
        </w:rPr>
        <w:t>зависи от степента на блока в края на инфузията. След продължителна ин</w:t>
      </w:r>
      <w:r w:rsidRPr="00505682">
        <w:rPr>
          <w:u w:val="single"/>
          <w:lang w:val="bg-BG" w:eastAsia="bg-BG"/>
        </w:rPr>
        <w:t xml:space="preserve">фузия </w:t>
      </w:r>
      <w:r w:rsidRPr="00505682">
        <w:rPr>
          <w:lang w:val="bg-BG" w:eastAsia="bg-BG"/>
        </w:rPr>
        <w:t>над 20 часа времето за възстановяване от Т</w:t>
      </w:r>
      <w:r w:rsidRPr="00505682">
        <w:rPr>
          <w:vertAlign w:val="subscript"/>
          <w:lang w:val="bg-BG" w:eastAsia="bg-BG"/>
        </w:rPr>
        <w:t>2</w:t>
      </w:r>
      <w:r w:rsidRPr="00505682">
        <w:rPr>
          <w:lang w:val="bg-BG" w:eastAsia="bg-BG"/>
        </w:rPr>
        <w:t xml:space="preserve"> до </w:t>
      </w:r>
      <w:r w:rsidRPr="00505682">
        <w:rPr>
          <w:i/>
          <w:iCs/>
        </w:rPr>
        <w:t>"train of four"</w:t>
      </w:r>
      <w:r w:rsidRPr="00505682">
        <w:t xml:space="preserve"> </w:t>
      </w:r>
      <w:r w:rsidRPr="00505682">
        <w:rPr>
          <w:lang w:val="bg-BG" w:eastAsia="bg-BG"/>
        </w:rPr>
        <w:t>(Т</w:t>
      </w:r>
      <w:r w:rsidRPr="00505682">
        <w:rPr>
          <w:vertAlign w:val="subscript"/>
          <w:lang w:val="bg-BG" w:eastAsia="bg-BG"/>
        </w:rPr>
        <w:t>4</w:t>
      </w:r>
      <w:r w:rsidRPr="00505682">
        <w:rPr>
          <w:lang w:val="bg-BG" w:eastAsia="bg-BG"/>
        </w:rPr>
        <w:t>/Т</w:t>
      </w:r>
      <w:r w:rsidRPr="00505682">
        <w:rPr>
          <w:vertAlign w:val="subscript"/>
          <w:lang w:val="bg-BG" w:eastAsia="bg-BG"/>
        </w:rPr>
        <w:t>1</w:t>
      </w:r>
      <w:r w:rsidRPr="00505682">
        <w:rPr>
          <w:lang w:val="bg-BG" w:eastAsia="bg-BG"/>
        </w:rPr>
        <w:t>) и възстановяване на "</w:t>
      </w:r>
      <w:r w:rsidRPr="00505682">
        <w:t xml:space="preserve">train of </w:t>
      </w:r>
      <w:r w:rsidRPr="00505682">
        <w:rPr>
          <w:i/>
          <w:iCs/>
        </w:rPr>
        <w:t>four"</w:t>
      </w:r>
      <w:r w:rsidRPr="00505682">
        <w:t xml:space="preserve"> </w:t>
      </w:r>
      <w:r w:rsidRPr="00505682">
        <w:rPr>
          <w:lang w:val="bg-BG" w:eastAsia="bg-BG"/>
        </w:rPr>
        <w:t>(Т</w:t>
      </w:r>
      <w:r w:rsidRPr="00505682">
        <w:rPr>
          <w:vertAlign w:val="subscript"/>
          <w:lang w:val="bg-BG" w:eastAsia="bg-BG"/>
        </w:rPr>
        <w:t>4</w:t>
      </w:r>
      <w:r w:rsidRPr="00505682">
        <w:rPr>
          <w:lang w:val="bg-BG" w:eastAsia="bg-BG"/>
        </w:rPr>
        <w:t>/Т1) съотношение до 0,7 е приблизително 1,5 (1-5) часа при пациенти без многоорганна недостатъчност и 4 (1 -25) часа при пациенти с многоорганна недостатъчност.</w:t>
      </w:r>
    </w:p>
    <w:p w14:paraId="00878480" w14:textId="69F2D706" w:rsidR="00505682" w:rsidRDefault="00505682" w:rsidP="00505682">
      <w:pPr>
        <w:rPr>
          <w:lang w:val="bg-BG" w:eastAsia="bg-BG"/>
        </w:rPr>
      </w:pPr>
    </w:p>
    <w:p w14:paraId="44802F44" w14:textId="77777777" w:rsidR="00505682" w:rsidRPr="00505682" w:rsidRDefault="00505682" w:rsidP="00505682">
      <w:pPr>
        <w:rPr>
          <w:sz w:val="24"/>
          <w:szCs w:val="24"/>
          <w:u w:val="single"/>
          <w:lang w:val="bg-BG"/>
        </w:rPr>
      </w:pPr>
      <w:r w:rsidRPr="00505682">
        <w:rPr>
          <w:u w:val="single"/>
          <w:lang w:val="bg-BG" w:eastAsia="bg-BG"/>
        </w:rPr>
        <w:t>Сърдечносъдова хирургия</w:t>
      </w:r>
    </w:p>
    <w:p w14:paraId="04A21FB8" w14:textId="77777777" w:rsidR="00505682" w:rsidRPr="00505682" w:rsidRDefault="00505682" w:rsidP="00505682">
      <w:pPr>
        <w:rPr>
          <w:sz w:val="24"/>
          <w:szCs w:val="24"/>
          <w:lang w:val="bg-BG"/>
        </w:rPr>
      </w:pPr>
      <w:r w:rsidRPr="00505682">
        <w:rPr>
          <w:lang w:val="bg-BG" w:eastAsia="bg-BG"/>
        </w:rPr>
        <w:t xml:space="preserve">При пациенти, планирани за сърдечно-съдова хирургия, най-честите </w:t>
      </w:r>
      <w:proofErr w:type="spellStart"/>
      <w:r w:rsidRPr="00505682">
        <w:rPr>
          <w:lang w:val="bg-BG" w:eastAsia="bg-BG"/>
        </w:rPr>
        <w:t>кардиоваскуларни</w:t>
      </w:r>
      <w:proofErr w:type="spellEnd"/>
      <w:r w:rsidRPr="00505682">
        <w:rPr>
          <w:lang w:val="bg-BG" w:eastAsia="bg-BG"/>
        </w:rPr>
        <w:t xml:space="preserve"> промени по време на максималния блок след приложение на 0,6-0,9 </w:t>
      </w:r>
      <w:r w:rsidRPr="00505682">
        <w:t xml:space="preserve">mg/kg </w:t>
      </w:r>
      <w:proofErr w:type="spellStart"/>
      <w:r w:rsidRPr="00505682">
        <w:rPr>
          <w:lang w:val="bg-BG" w:eastAsia="bg-BG"/>
        </w:rPr>
        <w:t>Есмерон</w:t>
      </w:r>
      <w:proofErr w:type="spellEnd"/>
      <w:r w:rsidRPr="00505682">
        <w:rPr>
          <w:lang w:val="bg-BG" w:eastAsia="bg-BG"/>
        </w:rPr>
        <w:t xml:space="preserve"> са малко и клинично незначително нарастване на сърдечната честота с 9 % и нарастване на средното артериално кръвно налягане до 16 % от контролните стойности.</w:t>
      </w:r>
    </w:p>
    <w:p w14:paraId="61A9BFE1" w14:textId="77777777" w:rsidR="00505682" w:rsidRDefault="00505682" w:rsidP="00505682">
      <w:pPr>
        <w:rPr>
          <w:lang w:val="bg-BG" w:eastAsia="bg-BG"/>
        </w:rPr>
      </w:pPr>
    </w:p>
    <w:p w14:paraId="5AA78B6B" w14:textId="51A27D32" w:rsidR="00505682" w:rsidRPr="00505682" w:rsidRDefault="00505682" w:rsidP="00505682">
      <w:pPr>
        <w:rPr>
          <w:sz w:val="24"/>
          <w:szCs w:val="24"/>
          <w:u w:val="single"/>
          <w:lang w:val="bg-BG"/>
        </w:rPr>
      </w:pPr>
      <w:r w:rsidRPr="00505682">
        <w:rPr>
          <w:u w:val="single"/>
          <w:lang w:val="bg-BG" w:eastAsia="bg-BG"/>
        </w:rPr>
        <w:t>Отмяна на мускулната релаксация</w:t>
      </w:r>
    </w:p>
    <w:p w14:paraId="689C5CD6" w14:textId="77777777" w:rsidR="00505682" w:rsidRPr="00505682" w:rsidRDefault="00505682" w:rsidP="00505682">
      <w:pPr>
        <w:rPr>
          <w:sz w:val="24"/>
          <w:szCs w:val="24"/>
          <w:lang w:val="bg-BG"/>
        </w:rPr>
      </w:pPr>
      <w:r w:rsidRPr="00505682">
        <w:rPr>
          <w:lang w:val="bg-BG" w:eastAsia="bg-BG"/>
        </w:rPr>
        <w:t xml:space="preserve">Действието на </w:t>
      </w:r>
      <w:proofErr w:type="spellStart"/>
      <w:r w:rsidRPr="00505682">
        <w:rPr>
          <w:lang w:val="bg-BG" w:eastAsia="bg-BG"/>
        </w:rPr>
        <w:t>рокуроний</w:t>
      </w:r>
      <w:proofErr w:type="spellEnd"/>
      <w:r w:rsidRPr="00505682">
        <w:rPr>
          <w:lang w:val="bg-BG" w:eastAsia="bg-BG"/>
        </w:rPr>
        <w:t xml:space="preserve"> може да бъде </w:t>
      </w:r>
      <w:proofErr w:type="spellStart"/>
      <w:r w:rsidRPr="00505682">
        <w:rPr>
          <w:lang w:val="bg-BG" w:eastAsia="bg-BG"/>
        </w:rPr>
        <w:t>антагонизирано</w:t>
      </w:r>
      <w:proofErr w:type="spellEnd"/>
      <w:r w:rsidRPr="00505682">
        <w:rPr>
          <w:lang w:val="bg-BG" w:eastAsia="bg-BG"/>
        </w:rPr>
        <w:t xml:space="preserve"> или чрез </w:t>
      </w:r>
      <w:proofErr w:type="spellStart"/>
      <w:r w:rsidRPr="00505682">
        <w:rPr>
          <w:lang w:val="bg-BG" w:eastAsia="bg-BG"/>
        </w:rPr>
        <w:t>сугамадекс</w:t>
      </w:r>
      <w:proofErr w:type="spellEnd"/>
      <w:r w:rsidRPr="00505682">
        <w:rPr>
          <w:lang w:val="bg-BG" w:eastAsia="bg-BG"/>
        </w:rPr>
        <w:t xml:space="preserve"> или чрез </w:t>
      </w:r>
      <w:proofErr w:type="spellStart"/>
      <w:r w:rsidRPr="00505682">
        <w:rPr>
          <w:lang w:val="bg-BG" w:eastAsia="bg-BG"/>
        </w:rPr>
        <w:t>антихолинестеразни</w:t>
      </w:r>
      <w:proofErr w:type="spellEnd"/>
      <w:r w:rsidRPr="00505682">
        <w:rPr>
          <w:lang w:val="bg-BG" w:eastAsia="bg-BG"/>
        </w:rPr>
        <w:t xml:space="preserve"> инхибитори (</w:t>
      </w:r>
      <w:proofErr w:type="spellStart"/>
      <w:r w:rsidRPr="00505682">
        <w:rPr>
          <w:lang w:val="bg-BG" w:eastAsia="bg-BG"/>
        </w:rPr>
        <w:t>неостигмин</w:t>
      </w:r>
      <w:proofErr w:type="spellEnd"/>
      <w:r w:rsidRPr="00505682">
        <w:rPr>
          <w:lang w:val="bg-BG" w:eastAsia="bg-BG"/>
        </w:rPr>
        <w:t xml:space="preserve">, </w:t>
      </w:r>
      <w:proofErr w:type="spellStart"/>
      <w:r w:rsidRPr="00505682">
        <w:rPr>
          <w:lang w:val="bg-BG" w:eastAsia="bg-BG"/>
        </w:rPr>
        <w:t>пиридостигмин</w:t>
      </w:r>
      <w:proofErr w:type="spellEnd"/>
      <w:r w:rsidRPr="00505682">
        <w:rPr>
          <w:lang w:val="bg-BG" w:eastAsia="bg-BG"/>
        </w:rPr>
        <w:t xml:space="preserve"> или </w:t>
      </w:r>
      <w:proofErr w:type="spellStart"/>
      <w:r w:rsidRPr="00505682">
        <w:rPr>
          <w:lang w:val="bg-BG" w:eastAsia="bg-BG"/>
        </w:rPr>
        <w:t>едрофониум</w:t>
      </w:r>
      <w:proofErr w:type="spellEnd"/>
      <w:r w:rsidRPr="00505682">
        <w:rPr>
          <w:lang w:val="bg-BG" w:eastAsia="bg-BG"/>
        </w:rPr>
        <w:t xml:space="preserve">). </w:t>
      </w:r>
      <w:proofErr w:type="spellStart"/>
      <w:r w:rsidRPr="00505682">
        <w:rPr>
          <w:lang w:val="bg-BG" w:eastAsia="bg-BG"/>
        </w:rPr>
        <w:t>Сугамадекс</w:t>
      </w:r>
      <w:proofErr w:type="spellEnd"/>
      <w:r w:rsidRPr="00505682">
        <w:rPr>
          <w:lang w:val="bg-BG" w:eastAsia="bg-BG"/>
        </w:rPr>
        <w:t xml:space="preserve"> може да бъде прилаган при рутинна отмяна (при 1-2 потрепвалия при повторно появяване на Т</w:t>
      </w:r>
      <w:r w:rsidRPr="00505682">
        <w:rPr>
          <w:vertAlign w:val="subscript"/>
          <w:lang w:val="bg-BG" w:eastAsia="bg-BG"/>
        </w:rPr>
        <w:t>2</w:t>
      </w:r>
      <w:r w:rsidRPr="00505682">
        <w:rPr>
          <w:lang w:val="bg-BG" w:eastAsia="bg-BG"/>
        </w:rPr>
        <w:t xml:space="preserve">) или при незабавна отмяна (3 минути след приложение на </w:t>
      </w:r>
      <w:proofErr w:type="spellStart"/>
      <w:r w:rsidRPr="00505682">
        <w:rPr>
          <w:lang w:val="bg-BG" w:eastAsia="bg-BG"/>
        </w:rPr>
        <w:t>рокурониев</w:t>
      </w:r>
      <w:proofErr w:type="spellEnd"/>
      <w:r w:rsidRPr="00505682">
        <w:rPr>
          <w:lang w:val="bg-BG" w:eastAsia="bg-BG"/>
        </w:rPr>
        <w:t xml:space="preserve"> бромид). </w:t>
      </w:r>
      <w:proofErr w:type="spellStart"/>
      <w:r w:rsidRPr="00505682">
        <w:rPr>
          <w:lang w:val="bg-BG" w:eastAsia="bg-BG"/>
        </w:rPr>
        <w:t>Антихолинестеразни</w:t>
      </w:r>
      <w:proofErr w:type="spellEnd"/>
      <w:r w:rsidRPr="00505682">
        <w:rPr>
          <w:lang w:val="bg-BG" w:eastAsia="bg-BG"/>
        </w:rPr>
        <w:t xml:space="preserve"> инхибитори може да се приложат при повторно появяване на Т</w:t>
      </w:r>
      <w:r w:rsidRPr="00505682">
        <w:rPr>
          <w:vertAlign w:val="subscript"/>
          <w:lang w:val="bg-BG" w:eastAsia="bg-BG"/>
        </w:rPr>
        <w:t>2</w:t>
      </w:r>
      <w:r w:rsidRPr="00505682">
        <w:rPr>
          <w:lang w:val="bg-BG" w:eastAsia="bg-BG"/>
        </w:rPr>
        <w:t xml:space="preserve"> или при първите признаци на клинично възстановяване.</w:t>
      </w:r>
    </w:p>
    <w:p w14:paraId="53CBC901" w14:textId="77777777" w:rsidR="00CA36D9" w:rsidRPr="00CA36D9" w:rsidRDefault="00CA36D9" w:rsidP="00CA36D9">
      <w:pPr>
        <w:rPr>
          <w:sz w:val="24"/>
          <w:szCs w:val="24"/>
          <w:lang w:val="bg-BG"/>
        </w:rPr>
      </w:pPr>
    </w:p>
    <w:p w14:paraId="788B4E5E" w14:textId="4832F6FA" w:rsidR="002C50EE" w:rsidRDefault="002C50EE" w:rsidP="002C50EE">
      <w:pPr>
        <w:pStyle w:val="Heading2"/>
      </w:pPr>
      <w:r>
        <w:t xml:space="preserve">5.2. </w:t>
      </w:r>
      <w:proofErr w:type="spellStart"/>
      <w:r>
        <w:t>Фармакокинетични</w:t>
      </w:r>
      <w:proofErr w:type="spellEnd"/>
      <w:r>
        <w:t xml:space="preserve"> </w:t>
      </w:r>
      <w:proofErr w:type="spellStart"/>
      <w:r>
        <w:t>свойства</w:t>
      </w:r>
      <w:proofErr w:type="spellEnd"/>
    </w:p>
    <w:p w14:paraId="43A29D16" w14:textId="77777777" w:rsidR="00505682" w:rsidRDefault="00505682" w:rsidP="00505682">
      <w:pPr>
        <w:spacing w:line="240" w:lineRule="auto"/>
        <w:rPr>
          <w:rFonts w:ascii="Times New Roman" w:eastAsia="Times New Roman" w:hAnsi="Times New Roman" w:cs="Times New Roman"/>
          <w:color w:val="000000"/>
          <w:lang w:val="bg-BG" w:eastAsia="bg-BG"/>
        </w:rPr>
      </w:pPr>
    </w:p>
    <w:p w14:paraId="5B016B90" w14:textId="46FBC432" w:rsidR="00505682" w:rsidRPr="00505682" w:rsidRDefault="00505682" w:rsidP="00505682">
      <w:pPr>
        <w:rPr>
          <w:sz w:val="24"/>
          <w:szCs w:val="24"/>
          <w:lang w:val="bg-BG"/>
        </w:rPr>
      </w:pPr>
      <w:r w:rsidRPr="00505682">
        <w:rPr>
          <w:lang w:val="bg-BG" w:eastAsia="bg-BG"/>
        </w:rPr>
        <w:t xml:space="preserve">След венозно прилагане на цялата еднократна доза </w:t>
      </w:r>
      <w:proofErr w:type="spellStart"/>
      <w:r w:rsidRPr="00505682">
        <w:rPr>
          <w:lang w:val="bg-BG" w:eastAsia="bg-BG"/>
        </w:rPr>
        <w:t>рокурониев</w:t>
      </w:r>
      <w:proofErr w:type="spellEnd"/>
      <w:r w:rsidRPr="00505682">
        <w:rPr>
          <w:lang w:val="bg-BG" w:eastAsia="bg-BG"/>
        </w:rPr>
        <w:t xml:space="preserve"> бромид, кривата, отразяваща зависимостта на плазмената концентрация от времето, преминава през три експоненциални фази. При нормални възрастни средният (95 % </w:t>
      </w:r>
      <w:r w:rsidRPr="00505682">
        <w:t xml:space="preserve">CI) </w:t>
      </w:r>
      <w:r w:rsidRPr="00505682">
        <w:rPr>
          <w:lang w:val="bg-BG" w:eastAsia="bg-BG"/>
        </w:rPr>
        <w:t xml:space="preserve">плазмен полуживот е 73 (66-80) минути, обемът на разпределение в равновесно състояние е 203 (193-214) </w:t>
      </w:r>
      <w:r w:rsidRPr="00505682">
        <w:t xml:space="preserve">ml/kg </w:t>
      </w:r>
      <w:r w:rsidRPr="00505682">
        <w:rPr>
          <w:lang w:val="bg-BG" w:eastAsia="bg-BG"/>
        </w:rPr>
        <w:t xml:space="preserve">и плазменият клирънс е 3,7 (3,5-3,9) </w:t>
      </w:r>
      <w:r w:rsidRPr="00505682">
        <w:t>ml/kg/min.</w:t>
      </w:r>
    </w:p>
    <w:p w14:paraId="224685BB" w14:textId="77777777" w:rsidR="00505682" w:rsidRDefault="00505682" w:rsidP="00505682">
      <w:pPr>
        <w:rPr>
          <w:lang w:val="bg-BG" w:eastAsia="bg-BG"/>
        </w:rPr>
      </w:pPr>
    </w:p>
    <w:p w14:paraId="608857A4" w14:textId="5071368C" w:rsidR="00505682" w:rsidRPr="00505682" w:rsidRDefault="00505682" w:rsidP="00505682">
      <w:pPr>
        <w:rPr>
          <w:sz w:val="24"/>
          <w:szCs w:val="24"/>
          <w:lang w:val="bg-BG"/>
        </w:rPr>
      </w:pPr>
      <w:proofErr w:type="spellStart"/>
      <w:r w:rsidRPr="00505682">
        <w:rPr>
          <w:lang w:val="bg-BG" w:eastAsia="bg-BG"/>
        </w:rPr>
        <w:t>Рокуроний</w:t>
      </w:r>
      <w:proofErr w:type="spellEnd"/>
      <w:r w:rsidRPr="00505682">
        <w:rPr>
          <w:lang w:val="bg-BG" w:eastAsia="bg-BG"/>
        </w:rPr>
        <w:t xml:space="preserve"> се </w:t>
      </w:r>
      <w:proofErr w:type="spellStart"/>
      <w:r w:rsidRPr="00505682">
        <w:rPr>
          <w:lang w:val="bg-BG" w:eastAsia="bg-BG"/>
        </w:rPr>
        <w:t>екскретира</w:t>
      </w:r>
      <w:proofErr w:type="spellEnd"/>
      <w:r w:rsidRPr="00505682">
        <w:rPr>
          <w:lang w:val="bg-BG" w:eastAsia="bg-BG"/>
        </w:rPr>
        <w:t xml:space="preserve"> в урината и жлъчката. Екскрецията в урината достига 40 % за 12-24 часа. След инжектирането на белязана доза от </w:t>
      </w:r>
      <w:proofErr w:type="spellStart"/>
      <w:r w:rsidRPr="00505682">
        <w:rPr>
          <w:lang w:val="bg-BG" w:eastAsia="bg-BG"/>
        </w:rPr>
        <w:t>рокурониев</w:t>
      </w:r>
      <w:proofErr w:type="spellEnd"/>
      <w:r w:rsidRPr="00505682">
        <w:rPr>
          <w:lang w:val="bg-BG" w:eastAsia="bg-BG"/>
        </w:rPr>
        <w:t xml:space="preserve"> бромид, екскрецията на белязано вещество е средно 47 % в урината и 43 % във </w:t>
      </w:r>
      <w:proofErr w:type="spellStart"/>
      <w:r w:rsidRPr="00505682">
        <w:rPr>
          <w:lang w:val="bg-BG" w:eastAsia="bg-BG"/>
        </w:rPr>
        <w:t>фецеса</w:t>
      </w:r>
      <w:proofErr w:type="spellEnd"/>
      <w:r w:rsidRPr="00505682">
        <w:rPr>
          <w:lang w:val="bg-BG" w:eastAsia="bg-BG"/>
        </w:rPr>
        <w:t xml:space="preserve"> след 9 дни. Приблизително 50 % се откриват като изходно вещество.</w:t>
      </w:r>
    </w:p>
    <w:p w14:paraId="3E3CD2A5" w14:textId="77777777" w:rsidR="00505682" w:rsidRDefault="00505682" w:rsidP="00505682">
      <w:pPr>
        <w:rPr>
          <w:u w:val="single"/>
          <w:lang w:val="bg-BG" w:eastAsia="bg-BG"/>
        </w:rPr>
      </w:pPr>
    </w:p>
    <w:p w14:paraId="699710BB" w14:textId="06852DDB" w:rsidR="00505682" w:rsidRPr="00505682" w:rsidRDefault="00505682" w:rsidP="00505682">
      <w:pPr>
        <w:rPr>
          <w:sz w:val="24"/>
          <w:szCs w:val="24"/>
          <w:lang w:val="bg-BG"/>
        </w:rPr>
      </w:pPr>
      <w:r w:rsidRPr="00505682">
        <w:rPr>
          <w:u w:val="single"/>
          <w:lang w:val="bg-BG" w:eastAsia="bg-BG"/>
        </w:rPr>
        <w:t>Педиатрична популация</w:t>
      </w:r>
    </w:p>
    <w:p w14:paraId="6369D430" w14:textId="77777777" w:rsidR="00505682" w:rsidRPr="00505682" w:rsidRDefault="00505682" w:rsidP="00505682">
      <w:pPr>
        <w:rPr>
          <w:sz w:val="24"/>
          <w:szCs w:val="24"/>
          <w:lang w:val="bg-BG"/>
        </w:rPr>
      </w:pPr>
      <w:r w:rsidRPr="00505682">
        <w:rPr>
          <w:lang w:val="bg-BG" w:eastAsia="bg-BG"/>
        </w:rPr>
        <w:t xml:space="preserve">Фармакокинетиката на </w:t>
      </w:r>
      <w:proofErr w:type="spellStart"/>
      <w:r w:rsidRPr="00505682">
        <w:rPr>
          <w:lang w:val="bg-BG" w:eastAsia="bg-BG"/>
        </w:rPr>
        <w:t>рокурониев</w:t>
      </w:r>
      <w:proofErr w:type="spellEnd"/>
      <w:r w:rsidRPr="00505682">
        <w:rPr>
          <w:lang w:val="bg-BG" w:eastAsia="bg-BG"/>
        </w:rPr>
        <w:t xml:space="preserve"> бромид при педиатрични пациенти (</w:t>
      </w:r>
      <w:r w:rsidRPr="00505682">
        <w:t>n=</w:t>
      </w:r>
      <w:r w:rsidRPr="00505682">
        <w:rPr>
          <w:lang w:val="bg-BG" w:eastAsia="bg-BG"/>
        </w:rPr>
        <w:t xml:space="preserve">146) във възраст от 0 до 17 години е оценена чрез </w:t>
      </w:r>
      <w:proofErr w:type="spellStart"/>
      <w:r w:rsidRPr="00505682">
        <w:rPr>
          <w:lang w:val="bg-BG" w:eastAsia="bg-BG"/>
        </w:rPr>
        <w:t>популационен</w:t>
      </w:r>
      <w:proofErr w:type="spellEnd"/>
      <w:r w:rsidRPr="00505682">
        <w:rPr>
          <w:lang w:val="bg-BG" w:eastAsia="bg-BG"/>
        </w:rPr>
        <w:t xml:space="preserve"> анализ на обобщени </w:t>
      </w:r>
      <w:proofErr w:type="spellStart"/>
      <w:r w:rsidRPr="00505682">
        <w:rPr>
          <w:lang w:val="bg-BG" w:eastAsia="bg-BG"/>
        </w:rPr>
        <w:t>фармакокинетични</w:t>
      </w:r>
      <w:proofErr w:type="spellEnd"/>
      <w:r w:rsidRPr="00505682">
        <w:rPr>
          <w:lang w:val="bg-BG" w:eastAsia="bg-BG"/>
        </w:rPr>
        <w:t xml:space="preserve"> данни от две клинични проучвания с анестезия със </w:t>
      </w:r>
      <w:proofErr w:type="spellStart"/>
      <w:r w:rsidRPr="00505682">
        <w:rPr>
          <w:lang w:val="bg-BG" w:eastAsia="bg-BG"/>
        </w:rPr>
        <w:t>севофлуран</w:t>
      </w:r>
      <w:proofErr w:type="spellEnd"/>
      <w:r w:rsidRPr="00505682">
        <w:rPr>
          <w:lang w:val="bg-BG" w:eastAsia="bg-BG"/>
        </w:rPr>
        <w:t xml:space="preserve"> (въвеждане) и </w:t>
      </w:r>
      <w:proofErr w:type="spellStart"/>
      <w:r w:rsidRPr="00505682">
        <w:rPr>
          <w:lang w:val="bg-BG" w:eastAsia="bg-BG"/>
        </w:rPr>
        <w:t>изофлуран</w:t>
      </w:r>
      <w:proofErr w:type="spellEnd"/>
      <w:r w:rsidRPr="00505682">
        <w:rPr>
          <w:lang w:val="bg-BG" w:eastAsia="bg-BG"/>
        </w:rPr>
        <w:t xml:space="preserve">/азотен оксид (поддържане). Установено е, че всички </w:t>
      </w:r>
      <w:proofErr w:type="spellStart"/>
      <w:r w:rsidRPr="00505682">
        <w:rPr>
          <w:lang w:val="bg-BG" w:eastAsia="bg-BG"/>
        </w:rPr>
        <w:t>фармакокинетични</w:t>
      </w:r>
      <w:proofErr w:type="spellEnd"/>
      <w:r w:rsidRPr="00505682">
        <w:rPr>
          <w:lang w:val="bg-BG" w:eastAsia="bg-BG"/>
        </w:rPr>
        <w:t xml:space="preserve"> параметри са право пропорционални на телесното тегло, което се илюстрира от подобно намаляване на </w:t>
      </w:r>
      <w:proofErr w:type="spellStart"/>
      <w:r w:rsidRPr="00505682">
        <w:rPr>
          <w:lang w:val="bg-BG" w:eastAsia="bg-BG"/>
        </w:rPr>
        <w:t>клирънса</w:t>
      </w:r>
      <w:proofErr w:type="spellEnd"/>
      <w:r w:rsidRPr="00505682">
        <w:rPr>
          <w:lang w:val="bg-BG" w:eastAsia="bg-BG"/>
        </w:rPr>
        <w:t xml:space="preserve"> </w:t>
      </w:r>
      <w:r w:rsidRPr="00505682">
        <w:t>(1/</w:t>
      </w:r>
      <w:proofErr w:type="spellStart"/>
      <w:r w:rsidRPr="00505682">
        <w:t>hr</w:t>
      </w:r>
      <w:proofErr w:type="spellEnd"/>
      <w:r w:rsidRPr="00505682">
        <w:t xml:space="preserve">/kg), </w:t>
      </w:r>
      <w:r w:rsidRPr="00505682">
        <w:rPr>
          <w:lang w:val="bg-BG" w:eastAsia="bg-BG"/>
        </w:rPr>
        <w:t xml:space="preserve">обема на разпределение </w:t>
      </w:r>
      <w:r w:rsidRPr="00505682">
        <w:t xml:space="preserve">(1/kg) </w:t>
      </w:r>
      <w:r w:rsidRPr="00505682">
        <w:rPr>
          <w:lang w:val="bg-BG" w:eastAsia="bg-BG"/>
        </w:rPr>
        <w:t xml:space="preserve">и елиминационния полуживот </w:t>
      </w:r>
      <w:r w:rsidRPr="00505682">
        <w:t xml:space="preserve">(h) </w:t>
      </w:r>
      <w:r w:rsidRPr="00505682">
        <w:rPr>
          <w:lang w:val="bg-BG" w:eastAsia="bg-BG"/>
        </w:rPr>
        <w:t xml:space="preserve">с възрастта (години). </w:t>
      </w:r>
      <w:proofErr w:type="spellStart"/>
      <w:r w:rsidRPr="00505682">
        <w:rPr>
          <w:lang w:val="bg-BG" w:eastAsia="bg-BG"/>
        </w:rPr>
        <w:t>Фармакокинетичните</w:t>
      </w:r>
      <w:proofErr w:type="spellEnd"/>
      <w:r w:rsidRPr="00505682">
        <w:rPr>
          <w:lang w:val="bg-BG" w:eastAsia="bg-BG"/>
        </w:rPr>
        <w:t xml:space="preserve"> параметри за всяка възрастова група в педиатрията са обобщени по-долу:</w:t>
      </w:r>
    </w:p>
    <w:p w14:paraId="7F73A78E" w14:textId="77777777" w:rsidR="00505682" w:rsidRDefault="00505682" w:rsidP="00505682">
      <w:pPr>
        <w:rPr>
          <w:b/>
          <w:bCs/>
          <w:lang w:val="bg-BG" w:eastAsia="bg-BG"/>
        </w:rPr>
      </w:pPr>
    </w:p>
    <w:p w14:paraId="6DFE11BF" w14:textId="3E69E499" w:rsidR="00505682" w:rsidRPr="00505682" w:rsidRDefault="00505682" w:rsidP="00505682">
      <w:pPr>
        <w:rPr>
          <w:sz w:val="24"/>
          <w:szCs w:val="24"/>
          <w:lang w:val="bg-BG"/>
        </w:rPr>
      </w:pPr>
      <w:r w:rsidRPr="00505682">
        <w:rPr>
          <w:b/>
          <w:bCs/>
          <w:lang w:val="bg-BG" w:eastAsia="bg-BG"/>
        </w:rPr>
        <w:t xml:space="preserve">Изчислени ФК параметри (средна стойност </w:t>
      </w:r>
      <w:r w:rsidRPr="00505682">
        <w:rPr>
          <w:b/>
          <w:bCs/>
        </w:rPr>
        <w:t xml:space="preserve">[SD]) </w:t>
      </w:r>
      <w:r w:rsidRPr="00505682">
        <w:rPr>
          <w:b/>
          <w:bCs/>
          <w:lang w:val="bg-BG" w:eastAsia="bg-BG"/>
        </w:rPr>
        <w:t xml:space="preserve">на </w:t>
      </w:r>
      <w:proofErr w:type="spellStart"/>
      <w:r w:rsidRPr="00505682">
        <w:rPr>
          <w:b/>
          <w:bCs/>
          <w:lang w:val="bg-BG" w:eastAsia="bg-BG"/>
        </w:rPr>
        <w:t>рокурониев</w:t>
      </w:r>
      <w:proofErr w:type="spellEnd"/>
      <w:r w:rsidRPr="00505682">
        <w:rPr>
          <w:b/>
          <w:bCs/>
          <w:lang w:val="bg-BG" w:eastAsia="bg-BG"/>
        </w:rPr>
        <w:t xml:space="preserve"> бромид при педиатрични пациенти по време на анестезия със </w:t>
      </w:r>
      <w:proofErr w:type="spellStart"/>
      <w:r w:rsidRPr="00505682">
        <w:rPr>
          <w:b/>
          <w:bCs/>
          <w:lang w:val="bg-BG" w:eastAsia="bg-BG"/>
        </w:rPr>
        <w:t>севофлуран</w:t>
      </w:r>
      <w:proofErr w:type="spellEnd"/>
      <w:r w:rsidRPr="00505682">
        <w:rPr>
          <w:b/>
          <w:bCs/>
          <w:lang w:val="bg-BG" w:eastAsia="bg-BG"/>
        </w:rPr>
        <w:t xml:space="preserve"> и азотен оксид (въвеждане) и </w:t>
      </w:r>
      <w:proofErr w:type="spellStart"/>
      <w:r w:rsidRPr="00505682">
        <w:rPr>
          <w:b/>
          <w:bCs/>
          <w:lang w:val="bg-BG" w:eastAsia="bg-BG"/>
        </w:rPr>
        <w:t>изофлуран</w:t>
      </w:r>
      <w:proofErr w:type="spellEnd"/>
      <w:r w:rsidRPr="00505682">
        <w:rPr>
          <w:b/>
          <w:bCs/>
          <w:lang w:val="bg-BG" w:eastAsia="bg-BG"/>
        </w:rPr>
        <w:t>/азотен оксид (поддържане на анестезията)</w:t>
      </w:r>
    </w:p>
    <w:tbl>
      <w:tblPr>
        <w:tblStyle w:val="TableGrid"/>
        <w:tblW w:w="0" w:type="auto"/>
        <w:tblLook w:val="04A0" w:firstRow="1" w:lastRow="0" w:firstColumn="1" w:lastColumn="0" w:noHBand="0" w:noVBand="1"/>
      </w:tblPr>
      <w:tblGrid>
        <w:gridCol w:w="1795"/>
        <w:gridCol w:w="1579"/>
        <w:gridCol w:w="1555"/>
        <w:gridCol w:w="1537"/>
        <w:gridCol w:w="1555"/>
        <w:gridCol w:w="1555"/>
      </w:tblGrid>
      <w:tr w:rsidR="00505682" w14:paraId="113AF6BA" w14:textId="77777777" w:rsidTr="00505682">
        <w:tc>
          <w:tcPr>
            <w:tcW w:w="1795" w:type="dxa"/>
            <w:vMerge w:val="restart"/>
          </w:tcPr>
          <w:p w14:paraId="645EBD83" w14:textId="238FF75F" w:rsidR="00505682" w:rsidRDefault="00505682" w:rsidP="00505682">
            <w:r>
              <w:t xml:space="preserve">ФК </w:t>
            </w:r>
            <w:proofErr w:type="spellStart"/>
            <w:r>
              <w:t>параметри</w:t>
            </w:r>
            <w:proofErr w:type="spellEnd"/>
          </w:p>
        </w:tc>
        <w:tc>
          <w:tcPr>
            <w:tcW w:w="7781" w:type="dxa"/>
            <w:gridSpan w:val="5"/>
          </w:tcPr>
          <w:p w14:paraId="646852BD" w14:textId="1168D4EB" w:rsidR="00505682" w:rsidRPr="00505682" w:rsidRDefault="00505682" w:rsidP="00505682">
            <w:pPr>
              <w:rPr>
                <w:sz w:val="24"/>
                <w:szCs w:val="24"/>
                <w:lang w:val="bg-BG"/>
              </w:rPr>
            </w:pPr>
            <w:r w:rsidRPr="00505682">
              <w:rPr>
                <w:lang w:val="bg-BG" w:eastAsia="bg-BG"/>
              </w:rPr>
              <w:t>Възраст на пациента</w:t>
            </w:r>
          </w:p>
        </w:tc>
      </w:tr>
      <w:tr w:rsidR="00505682" w14:paraId="7393C075" w14:textId="77777777" w:rsidTr="00505682">
        <w:tc>
          <w:tcPr>
            <w:tcW w:w="1795" w:type="dxa"/>
            <w:vMerge/>
          </w:tcPr>
          <w:p w14:paraId="1E17FDC9" w14:textId="77777777" w:rsidR="00505682" w:rsidRDefault="00505682" w:rsidP="00505682"/>
        </w:tc>
        <w:tc>
          <w:tcPr>
            <w:tcW w:w="1579" w:type="dxa"/>
          </w:tcPr>
          <w:p w14:paraId="14673A90" w14:textId="77777777" w:rsidR="00505682" w:rsidRDefault="00505682" w:rsidP="00505682">
            <w:proofErr w:type="spellStart"/>
            <w:r>
              <w:t>Доносени</w:t>
            </w:r>
            <w:proofErr w:type="spellEnd"/>
            <w:r>
              <w:t xml:space="preserve"> </w:t>
            </w:r>
            <w:proofErr w:type="spellStart"/>
            <w:r>
              <w:t>новородени</w:t>
            </w:r>
            <w:proofErr w:type="spellEnd"/>
          </w:p>
          <w:p w14:paraId="196FD50C" w14:textId="573E6207" w:rsidR="00505682" w:rsidRDefault="00505682" w:rsidP="00505682">
            <w:r>
              <w:t xml:space="preserve">(0-27 </w:t>
            </w:r>
            <w:proofErr w:type="spellStart"/>
            <w:r>
              <w:t>дни</w:t>
            </w:r>
            <w:proofErr w:type="spellEnd"/>
            <w:r>
              <w:t>)</w:t>
            </w:r>
          </w:p>
        </w:tc>
        <w:tc>
          <w:tcPr>
            <w:tcW w:w="1555" w:type="dxa"/>
          </w:tcPr>
          <w:p w14:paraId="724CFCB5" w14:textId="0F439DD5" w:rsidR="00505682" w:rsidRDefault="00505682" w:rsidP="00505682">
            <w:proofErr w:type="spellStart"/>
            <w:r>
              <w:t>Бебета</w:t>
            </w:r>
            <w:proofErr w:type="spellEnd"/>
            <w:r>
              <w:t xml:space="preserve"> (28 </w:t>
            </w:r>
            <w:proofErr w:type="spellStart"/>
            <w:r>
              <w:t>дни</w:t>
            </w:r>
            <w:proofErr w:type="spellEnd"/>
            <w:r>
              <w:t xml:space="preserve"> </w:t>
            </w:r>
            <w:proofErr w:type="spellStart"/>
            <w:r>
              <w:t>до</w:t>
            </w:r>
            <w:proofErr w:type="spellEnd"/>
            <w:r>
              <w:t xml:space="preserve"> 2 </w:t>
            </w:r>
            <w:proofErr w:type="spellStart"/>
            <w:r>
              <w:t>месеца</w:t>
            </w:r>
            <w:proofErr w:type="spellEnd"/>
            <w:r>
              <w:t>)</w:t>
            </w:r>
          </w:p>
        </w:tc>
        <w:tc>
          <w:tcPr>
            <w:tcW w:w="1537" w:type="dxa"/>
          </w:tcPr>
          <w:p w14:paraId="300AAE73" w14:textId="77777777" w:rsidR="00505682" w:rsidRDefault="00505682" w:rsidP="00505682">
            <w:proofErr w:type="spellStart"/>
            <w:r>
              <w:t>Малки</w:t>
            </w:r>
            <w:proofErr w:type="spellEnd"/>
            <w:r>
              <w:t xml:space="preserve"> </w:t>
            </w:r>
            <w:proofErr w:type="spellStart"/>
            <w:r>
              <w:t>деца</w:t>
            </w:r>
            <w:proofErr w:type="spellEnd"/>
          </w:p>
          <w:p w14:paraId="0E87934F" w14:textId="24D342DA" w:rsidR="00505682" w:rsidRDefault="00505682" w:rsidP="00505682">
            <w:r>
              <w:t xml:space="preserve">(3-23 </w:t>
            </w:r>
            <w:proofErr w:type="spellStart"/>
            <w:r>
              <w:t>месеца</w:t>
            </w:r>
            <w:proofErr w:type="spellEnd"/>
            <w:r>
              <w:t>)</w:t>
            </w:r>
          </w:p>
        </w:tc>
        <w:tc>
          <w:tcPr>
            <w:tcW w:w="1555" w:type="dxa"/>
          </w:tcPr>
          <w:p w14:paraId="57B86D33" w14:textId="77777777" w:rsidR="00505682" w:rsidRDefault="00505682" w:rsidP="00505682">
            <w:proofErr w:type="spellStart"/>
            <w:r>
              <w:t>Деца</w:t>
            </w:r>
            <w:proofErr w:type="spellEnd"/>
          </w:p>
          <w:p w14:paraId="022AF261" w14:textId="59422CB8" w:rsidR="00505682" w:rsidRDefault="00505682" w:rsidP="00505682">
            <w:r>
              <w:t xml:space="preserve">(2-11 </w:t>
            </w:r>
            <w:proofErr w:type="spellStart"/>
            <w:r>
              <w:t>години</w:t>
            </w:r>
            <w:proofErr w:type="spellEnd"/>
            <w:r>
              <w:t>)</w:t>
            </w:r>
          </w:p>
        </w:tc>
        <w:tc>
          <w:tcPr>
            <w:tcW w:w="1555" w:type="dxa"/>
          </w:tcPr>
          <w:p w14:paraId="5ABA7DF6" w14:textId="77777777" w:rsidR="00505682" w:rsidRDefault="00505682" w:rsidP="00505682">
            <w:proofErr w:type="spellStart"/>
            <w:r>
              <w:t>Юноши</w:t>
            </w:r>
            <w:proofErr w:type="spellEnd"/>
          </w:p>
          <w:p w14:paraId="3F7F2E85" w14:textId="77777777" w:rsidR="00505682" w:rsidRDefault="00505682" w:rsidP="00505682">
            <w:r>
              <w:t>(12-</w:t>
            </w:r>
          </w:p>
          <w:p w14:paraId="44A11AF3" w14:textId="0D286A3A" w:rsidR="00505682" w:rsidRDefault="00505682" w:rsidP="00505682">
            <w:r>
              <w:t xml:space="preserve">17 </w:t>
            </w:r>
            <w:proofErr w:type="spellStart"/>
            <w:r>
              <w:t>години</w:t>
            </w:r>
            <w:proofErr w:type="spellEnd"/>
            <w:r>
              <w:t>)</w:t>
            </w:r>
          </w:p>
        </w:tc>
      </w:tr>
      <w:tr w:rsidR="00505682" w14:paraId="1FFD6096" w14:textId="77777777" w:rsidTr="00505682">
        <w:tc>
          <w:tcPr>
            <w:tcW w:w="1795" w:type="dxa"/>
          </w:tcPr>
          <w:p w14:paraId="064B33BB" w14:textId="1284CA74" w:rsidR="00505682" w:rsidRDefault="00505682" w:rsidP="00505682">
            <w:r>
              <w:t>CL(l/kg/</w:t>
            </w:r>
            <w:proofErr w:type="spellStart"/>
            <w:r>
              <w:t>hr</w:t>
            </w:r>
            <w:proofErr w:type="spellEnd"/>
            <w:r>
              <w:t>)</w:t>
            </w:r>
          </w:p>
        </w:tc>
        <w:tc>
          <w:tcPr>
            <w:tcW w:w="1579" w:type="dxa"/>
          </w:tcPr>
          <w:p w14:paraId="0E0C3DB7" w14:textId="0B578602" w:rsidR="00505682" w:rsidRDefault="00505682" w:rsidP="00505682">
            <w:r>
              <w:t>0,31 (0,07)</w:t>
            </w:r>
          </w:p>
        </w:tc>
        <w:tc>
          <w:tcPr>
            <w:tcW w:w="1555" w:type="dxa"/>
          </w:tcPr>
          <w:p w14:paraId="06A8527A" w14:textId="37BCA13E" w:rsidR="00505682" w:rsidRDefault="00505682" w:rsidP="00505682">
            <w:r>
              <w:t>0,30(0,08)</w:t>
            </w:r>
          </w:p>
        </w:tc>
        <w:tc>
          <w:tcPr>
            <w:tcW w:w="1537" w:type="dxa"/>
          </w:tcPr>
          <w:p w14:paraId="0270C041" w14:textId="5A8288EF" w:rsidR="00505682" w:rsidRDefault="00505682" w:rsidP="00505682">
            <w:r>
              <w:t>0,33 (0,10)</w:t>
            </w:r>
          </w:p>
        </w:tc>
        <w:tc>
          <w:tcPr>
            <w:tcW w:w="1555" w:type="dxa"/>
          </w:tcPr>
          <w:p w14:paraId="3A8C3E5A" w14:textId="5CCC289E" w:rsidR="00505682" w:rsidRDefault="00505682" w:rsidP="00505682">
            <w:r>
              <w:t>0,35 (0,09)</w:t>
            </w:r>
          </w:p>
        </w:tc>
        <w:tc>
          <w:tcPr>
            <w:tcW w:w="1555" w:type="dxa"/>
          </w:tcPr>
          <w:p w14:paraId="3140DA24" w14:textId="1F3F0F8A" w:rsidR="00505682" w:rsidRDefault="00505682" w:rsidP="00505682">
            <w:r>
              <w:t>0,29 (0,14)</w:t>
            </w:r>
          </w:p>
        </w:tc>
      </w:tr>
      <w:tr w:rsidR="00505682" w14:paraId="635254DA" w14:textId="77777777" w:rsidTr="00505682">
        <w:tc>
          <w:tcPr>
            <w:tcW w:w="1795" w:type="dxa"/>
          </w:tcPr>
          <w:p w14:paraId="5143E850" w14:textId="77777777" w:rsidR="00505682" w:rsidRDefault="00505682" w:rsidP="00505682">
            <w:proofErr w:type="spellStart"/>
            <w:r>
              <w:t>Обемна</w:t>
            </w:r>
            <w:proofErr w:type="spellEnd"/>
            <w:r>
              <w:t xml:space="preserve"> </w:t>
            </w:r>
            <w:proofErr w:type="spellStart"/>
            <w:r>
              <w:t>разпределение</w:t>
            </w:r>
            <w:proofErr w:type="spellEnd"/>
          </w:p>
          <w:p w14:paraId="566F153C" w14:textId="35343455" w:rsidR="00505682" w:rsidRDefault="00505682" w:rsidP="00505682">
            <w:r>
              <w:t>(l/kg)</w:t>
            </w:r>
          </w:p>
        </w:tc>
        <w:tc>
          <w:tcPr>
            <w:tcW w:w="1579" w:type="dxa"/>
          </w:tcPr>
          <w:p w14:paraId="7E8E8838" w14:textId="2EC8709B" w:rsidR="00505682" w:rsidRDefault="00505682" w:rsidP="00505682">
            <w:r>
              <w:t>0,42 (0,06)</w:t>
            </w:r>
          </w:p>
        </w:tc>
        <w:tc>
          <w:tcPr>
            <w:tcW w:w="1555" w:type="dxa"/>
          </w:tcPr>
          <w:p w14:paraId="3D0CBBFD" w14:textId="5A94A7F9" w:rsidR="00505682" w:rsidRDefault="00505682" w:rsidP="00505682">
            <w:r>
              <w:t>0,31 (0,03)</w:t>
            </w:r>
          </w:p>
        </w:tc>
        <w:tc>
          <w:tcPr>
            <w:tcW w:w="1537" w:type="dxa"/>
          </w:tcPr>
          <w:p w14:paraId="2C94A543" w14:textId="13FCE81B" w:rsidR="00505682" w:rsidRDefault="00505682" w:rsidP="00505682">
            <w:r>
              <w:t>0,23 (0,03)</w:t>
            </w:r>
          </w:p>
        </w:tc>
        <w:tc>
          <w:tcPr>
            <w:tcW w:w="1555" w:type="dxa"/>
          </w:tcPr>
          <w:p w14:paraId="5D94D8B3" w14:textId="686115D1" w:rsidR="00505682" w:rsidRDefault="00505682" w:rsidP="00505682">
            <w:r>
              <w:t>0,18(0,02)</w:t>
            </w:r>
          </w:p>
        </w:tc>
        <w:tc>
          <w:tcPr>
            <w:tcW w:w="1555" w:type="dxa"/>
          </w:tcPr>
          <w:p w14:paraId="324A314E" w14:textId="6F8EF419" w:rsidR="00505682" w:rsidRDefault="00505682" w:rsidP="00505682">
            <w:r>
              <w:t>0,18(0,01)</w:t>
            </w:r>
          </w:p>
        </w:tc>
      </w:tr>
      <w:tr w:rsidR="00505682" w14:paraId="1D32467C" w14:textId="77777777" w:rsidTr="00505682">
        <w:tc>
          <w:tcPr>
            <w:tcW w:w="1795" w:type="dxa"/>
          </w:tcPr>
          <w:p w14:paraId="688E0F07" w14:textId="5A3768FA" w:rsidR="00505682" w:rsidRDefault="00505682" w:rsidP="00505682">
            <w:r>
              <w:t>t</w:t>
            </w:r>
            <w:r>
              <w:rPr>
                <w:vertAlign w:val="superscript"/>
              </w:rPr>
              <w:t>1/2</w:t>
            </w:r>
            <w:r>
              <w:t xml:space="preserve"> β(</w:t>
            </w:r>
            <w:proofErr w:type="spellStart"/>
            <w:r>
              <w:t>hr</w:t>
            </w:r>
            <w:proofErr w:type="spellEnd"/>
            <w:r>
              <w:t>)</w:t>
            </w:r>
          </w:p>
        </w:tc>
        <w:tc>
          <w:tcPr>
            <w:tcW w:w="1579" w:type="dxa"/>
          </w:tcPr>
          <w:p w14:paraId="2CE36599" w14:textId="1AC32F71" w:rsidR="00505682" w:rsidRDefault="00505682" w:rsidP="00505682">
            <w:r>
              <w:t>1,1 (0,2)</w:t>
            </w:r>
          </w:p>
        </w:tc>
        <w:tc>
          <w:tcPr>
            <w:tcW w:w="1555" w:type="dxa"/>
          </w:tcPr>
          <w:p w14:paraId="2ABD6132" w14:textId="4CFFB5C0" w:rsidR="00505682" w:rsidRDefault="00505682" w:rsidP="00505682">
            <w:r>
              <w:t>0,9 (0,3)</w:t>
            </w:r>
          </w:p>
        </w:tc>
        <w:tc>
          <w:tcPr>
            <w:tcW w:w="1537" w:type="dxa"/>
          </w:tcPr>
          <w:p w14:paraId="3E4680FF" w14:textId="08EC6D55" w:rsidR="00505682" w:rsidRDefault="00505682" w:rsidP="00505682">
            <w:r>
              <w:t>0,8 (0,2)</w:t>
            </w:r>
          </w:p>
        </w:tc>
        <w:tc>
          <w:tcPr>
            <w:tcW w:w="1555" w:type="dxa"/>
          </w:tcPr>
          <w:p w14:paraId="31CF9B91" w14:textId="712AFC8A" w:rsidR="00505682" w:rsidRDefault="00505682" w:rsidP="00505682">
            <w:r>
              <w:t>0,7 (0,2)</w:t>
            </w:r>
          </w:p>
        </w:tc>
        <w:tc>
          <w:tcPr>
            <w:tcW w:w="1555" w:type="dxa"/>
          </w:tcPr>
          <w:p w14:paraId="048FD6DB" w14:textId="2F6C9E83" w:rsidR="00505682" w:rsidRDefault="00505682" w:rsidP="00505682">
            <w:r>
              <w:t>0,8 (0,3)</w:t>
            </w:r>
          </w:p>
        </w:tc>
      </w:tr>
    </w:tbl>
    <w:p w14:paraId="72256D0E" w14:textId="6D667C37" w:rsidR="00505682" w:rsidRPr="00505682" w:rsidRDefault="00505682" w:rsidP="00505682">
      <w:pPr>
        <w:rPr>
          <w:sz w:val="24"/>
          <w:szCs w:val="24"/>
          <w:u w:val="single"/>
          <w:lang w:val="bg-BG"/>
        </w:rPr>
      </w:pPr>
      <w:r w:rsidRPr="00505682">
        <w:rPr>
          <w:u w:val="single"/>
          <w:lang w:val="bg-BG" w:eastAsia="bg-BG"/>
        </w:rPr>
        <w:t>Гериатрични пациенти и пациенти с чернодробни и/или жлъчни заболявалия и/или бъбречна недостатъчност</w:t>
      </w:r>
    </w:p>
    <w:p w14:paraId="20D59ECF" w14:textId="77777777" w:rsidR="00505682" w:rsidRPr="00505682" w:rsidRDefault="00505682" w:rsidP="00505682">
      <w:pPr>
        <w:rPr>
          <w:sz w:val="24"/>
          <w:szCs w:val="24"/>
          <w:lang w:val="bg-BG"/>
        </w:rPr>
      </w:pPr>
      <w:r w:rsidRPr="00505682">
        <w:rPr>
          <w:lang w:val="bg-BG" w:eastAsia="bg-BG"/>
        </w:rPr>
        <w:lastRenderedPageBreak/>
        <w:t xml:space="preserve">В контролирани проучвания плазменият клирънс при гериатрични пациенти и пациенти с бъбречна дисфункция е редуциран, като при повечето проучвания без достигане на нива от статистическа значимост. Плазменият полуживот при пациенти с чернодробно заболяване е удължен с 30 минути и средният плазмен клирънс е намален с 1 </w:t>
      </w:r>
      <w:r w:rsidRPr="00505682">
        <w:t xml:space="preserve">ml/kg/min. </w:t>
      </w:r>
      <w:r w:rsidRPr="00505682">
        <w:rPr>
          <w:lang w:val="bg-BG" w:eastAsia="bg-BG"/>
        </w:rPr>
        <w:t>(Вижте точка 4.2)</w:t>
      </w:r>
    </w:p>
    <w:p w14:paraId="6152AC38" w14:textId="77777777" w:rsidR="00505682" w:rsidRDefault="00505682" w:rsidP="00505682">
      <w:pPr>
        <w:rPr>
          <w:lang w:val="bg-BG" w:eastAsia="bg-BG"/>
        </w:rPr>
      </w:pPr>
    </w:p>
    <w:p w14:paraId="3E3A3441" w14:textId="29313F35" w:rsidR="00505682" w:rsidRPr="00505682" w:rsidRDefault="00505682" w:rsidP="00505682">
      <w:pPr>
        <w:rPr>
          <w:sz w:val="24"/>
          <w:szCs w:val="24"/>
          <w:u w:val="single"/>
          <w:lang w:val="bg-BG"/>
        </w:rPr>
      </w:pPr>
      <w:r w:rsidRPr="00505682">
        <w:rPr>
          <w:u w:val="single"/>
          <w:lang w:val="bg-BG" w:eastAsia="bg-BG"/>
        </w:rPr>
        <w:t>Спешно отделение</w:t>
      </w:r>
    </w:p>
    <w:p w14:paraId="59F37F46" w14:textId="77777777" w:rsidR="00505682" w:rsidRPr="00505682" w:rsidRDefault="00505682" w:rsidP="00505682">
      <w:pPr>
        <w:rPr>
          <w:sz w:val="24"/>
          <w:szCs w:val="24"/>
          <w:lang w:val="bg-BG"/>
        </w:rPr>
      </w:pPr>
      <w:r w:rsidRPr="00505682">
        <w:rPr>
          <w:lang w:val="bg-BG" w:eastAsia="bg-BG"/>
        </w:rPr>
        <w:t xml:space="preserve">Когато се прилага като продължителна инфузия за улесняване на механичната вентилация за 20 часа или повече, средният плазмен полуживот и средният обем на разпределение в равновесно състояние са увеличени. Наблюдава се голяма разлика между пациентите в контролираните клинични проучвания в зависимост от естеството и степента на (много)органната недостатъчност и индивидуалните характеристики на пациента. При пациенти с (много)органна недостатъчност се наблюдава един среден плазмен полуживот от 21,5 (±3,3) часа, обем на разпределение в равновесно състояние от 1,5 (±0,8) </w:t>
      </w:r>
      <w:r w:rsidRPr="00505682">
        <w:t xml:space="preserve">1/kg </w:t>
      </w:r>
      <w:r w:rsidRPr="00505682">
        <w:rPr>
          <w:lang w:val="bg-BG" w:eastAsia="bg-BG"/>
        </w:rPr>
        <w:t xml:space="preserve">и плазмен клирънс от 2,1 (±0,8) </w:t>
      </w:r>
      <w:r w:rsidRPr="00505682">
        <w:t>ml/kg/min.</w:t>
      </w:r>
    </w:p>
    <w:p w14:paraId="66399F4C" w14:textId="77777777" w:rsidR="00505682" w:rsidRPr="00505682" w:rsidRDefault="00505682" w:rsidP="00505682"/>
    <w:p w14:paraId="134A69A8" w14:textId="7509C999" w:rsidR="002C50EE" w:rsidRDefault="002C50EE" w:rsidP="002C50EE">
      <w:pPr>
        <w:pStyle w:val="Heading2"/>
      </w:pPr>
      <w:r>
        <w:t xml:space="preserve">5.3. </w:t>
      </w:r>
      <w:proofErr w:type="spellStart"/>
      <w:r>
        <w:t>Предклинични</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безопасност</w:t>
      </w:r>
      <w:proofErr w:type="spellEnd"/>
    </w:p>
    <w:p w14:paraId="7B3D9561" w14:textId="77777777" w:rsidR="00505682" w:rsidRDefault="00505682" w:rsidP="00505682">
      <w:pPr>
        <w:spacing w:line="240" w:lineRule="auto"/>
        <w:rPr>
          <w:rFonts w:ascii="Times New Roman" w:eastAsia="Times New Roman" w:hAnsi="Times New Roman" w:cs="Times New Roman"/>
          <w:color w:val="000000"/>
          <w:lang w:val="bg-BG" w:eastAsia="bg-BG"/>
        </w:rPr>
      </w:pPr>
    </w:p>
    <w:p w14:paraId="01422BAB" w14:textId="16594F22" w:rsidR="00505682" w:rsidRPr="00505682" w:rsidRDefault="00505682" w:rsidP="00505682">
      <w:pPr>
        <w:rPr>
          <w:sz w:val="24"/>
          <w:szCs w:val="24"/>
          <w:lang w:val="bg-BG"/>
        </w:rPr>
      </w:pPr>
      <w:r w:rsidRPr="00505682">
        <w:rPr>
          <w:lang w:val="bg-BG" w:eastAsia="bg-BG"/>
        </w:rPr>
        <w:t>При неклиничните проучвания ефекти са наблюдавани само при експозиции, надхвърлящи максималната експозиция при хора, показващи малка приложимост в клиничната употреба.</w:t>
      </w:r>
    </w:p>
    <w:p w14:paraId="629201BB" w14:textId="77777777" w:rsidR="00505682" w:rsidRPr="00505682" w:rsidRDefault="00505682" w:rsidP="00505682">
      <w:pPr>
        <w:rPr>
          <w:sz w:val="24"/>
          <w:szCs w:val="24"/>
          <w:lang w:val="bg-BG"/>
        </w:rPr>
      </w:pPr>
      <w:r w:rsidRPr="00505682">
        <w:rPr>
          <w:lang w:val="bg-BG" w:eastAsia="bg-BG"/>
        </w:rPr>
        <w:t xml:space="preserve">Не съществува подходящ животински модел, който да имитира обикновено изключително усложнената ситуация при пациент от спешно отделение. Затова безопасността на </w:t>
      </w:r>
      <w:proofErr w:type="spellStart"/>
      <w:r w:rsidRPr="00505682">
        <w:rPr>
          <w:lang w:val="bg-BG" w:eastAsia="bg-BG"/>
        </w:rPr>
        <w:t>Есмерон</w:t>
      </w:r>
      <w:proofErr w:type="spellEnd"/>
      <w:r w:rsidRPr="00505682">
        <w:rPr>
          <w:lang w:val="bg-BG" w:eastAsia="bg-BG"/>
        </w:rPr>
        <w:t>, когато се употребява за улеснение на механичната вентилация в спешно отделение, се основава на резултатите от клиничните проучвания.</w:t>
      </w:r>
    </w:p>
    <w:p w14:paraId="1387F3C3" w14:textId="77777777" w:rsidR="00505682" w:rsidRPr="00505682" w:rsidRDefault="00505682" w:rsidP="00505682"/>
    <w:p w14:paraId="28C40F19" w14:textId="049895C4" w:rsidR="002C50EE" w:rsidRDefault="002C50EE" w:rsidP="002C50EE">
      <w:pPr>
        <w:pStyle w:val="Heading1"/>
      </w:pPr>
      <w:r>
        <w:t>7. ПРИТЕЖАТЕЛ НА РАЗРЕШЕНИЕТО ЗА УПОТРЕБА</w:t>
      </w:r>
    </w:p>
    <w:p w14:paraId="31A6AAE6" w14:textId="77777777" w:rsidR="00505682" w:rsidRPr="00505682" w:rsidRDefault="00505682" w:rsidP="00505682">
      <w:pPr>
        <w:rPr>
          <w:sz w:val="24"/>
          <w:szCs w:val="24"/>
          <w:lang w:val="bg-BG"/>
        </w:rPr>
      </w:pPr>
      <w:r w:rsidRPr="00505682">
        <w:rPr>
          <w:lang w:val="bg-BG" w:eastAsia="bg-BG"/>
        </w:rPr>
        <w:t xml:space="preserve">Мерк Шарп и </w:t>
      </w:r>
      <w:proofErr w:type="spellStart"/>
      <w:r w:rsidRPr="00505682">
        <w:rPr>
          <w:lang w:val="bg-BG" w:eastAsia="bg-BG"/>
        </w:rPr>
        <w:t>Доум</w:t>
      </w:r>
      <w:proofErr w:type="spellEnd"/>
      <w:r w:rsidRPr="00505682">
        <w:rPr>
          <w:lang w:val="bg-BG" w:eastAsia="bg-BG"/>
        </w:rPr>
        <w:t xml:space="preserve"> България ЕООД</w:t>
      </w:r>
    </w:p>
    <w:p w14:paraId="61F71A6F" w14:textId="77777777" w:rsidR="00505682" w:rsidRPr="00505682" w:rsidRDefault="00505682" w:rsidP="00505682">
      <w:pPr>
        <w:rPr>
          <w:sz w:val="24"/>
          <w:szCs w:val="24"/>
          <w:lang w:val="bg-BG"/>
        </w:rPr>
      </w:pPr>
      <w:r w:rsidRPr="00505682">
        <w:rPr>
          <w:lang w:val="bg-BG" w:eastAsia="bg-BG"/>
        </w:rPr>
        <w:t>бул. "Никола Вапцаров" №55, ЕКСПО 2000, ет. 1</w:t>
      </w:r>
    </w:p>
    <w:p w14:paraId="6CB6267D" w14:textId="195A39E6" w:rsidR="00505682" w:rsidRDefault="00505682" w:rsidP="00505682">
      <w:pPr>
        <w:rPr>
          <w:lang w:val="bg-BG" w:eastAsia="bg-BG"/>
        </w:rPr>
      </w:pPr>
      <w:r w:rsidRPr="00505682">
        <w:rPr>
          <w:lang w:val="bg-BG" w:eastAsia="bg-BG"/>
        </w:rPr>
        <w:t>Източно крило, Сектори В1 и В2</w:t>
      </w:r>
    </w:p>
    <w:p w14:paraId="3C7F8596" w14:textId="77777777" w:rsidR="00505682" w:rsidRPr="00505682" w:rsidRDefault="00505682" w:rsidP="00505682">
      <w:pPr>
        <w:rPr>
          <w:sz w:val="24"/>
          <w:szCs w:val="24"/>
          <w:lang w:val="bg-BG"/>
        </w:rPr>
      </w:pPr>
      <w:r w:rsidRPr="00505682">
        <w:rPr>
          <w:lang w:val="bg-BG" w:eastAsia="bg-BG"/>
        </w:rPr>
        <w:t>район Лозенец</w:t>
      </w:r>
    </w:p>
    <w:p w14:paraId="033498D2" w14:textId="77777777" w:rsidR="00505682" w:rsidRPr="00505682" w:rsidRDefault="00505682" w:rsidP="00505682">
      <w:pPr>
        <w:rPr>
          <w:sz w:val="24"/>
          <w:szCs w:val="24"/>
          <w:lang w:val="bg-BG"/>
        </w:rPr>
      </w:pPr>
      <w:r w:rsidRPr="00505682">
        <w:rPr>
          <w:lang w:val="bg-BG" w:eastAsia="bg-BG"/>
        </w:rPr>
        <w:t>София 1407, България</w:t>
      </w:r>
    </w:p>
    <w:p w14:paraId="13D77527" w14:textId="77777777" w:rsidR="00505682" w:rsidRPr="00505682" w:rsidRDefault="00505682" w:rsidP="00505682">
      <w:pPr>
        <w:rPr>
          <w:sz w:val="24"/>
          <w:szCs w:val="24"/>
          <w:lang w:val="bg-BG"/>
        </w:rPr>
      </w:pPr>
      <w:r w:rsidRPr="00505682">
        <w:rPr>
          <w:lang w:val="bg-BG" w:eastAsia="bg-BG"/>
        </w:rPr>
        <w:t>тел.:+ 359 2 819 3737</w:t>
      </w:r>
    </w:p>
    <w:p w14:paraId="4BB609E0" w14:textId="77777777" w:rsidR="00505682" w:rsidRPr="00505682" w:rsidRDefault="00505682" w:rsidP="00505682">
      <w:pPr>
        <w:rPr>
          <w:sz w:val="24"/>
          <w:szCs w:val="24"/>
          <w:lang w:val="bg-BG"/>
        </w:rPr>
      </w:pPr>
      <w:r w:rsidRPr="00505682">
        <w:rPr>
          <w:lang w:val="bg-BG" w:eastAsia="bg-BG"/>
        </w:rPr>
        <w:t>факс:+ 359 2 862 5196</w:t>
      </w:r>
    </w:p>
    <w:p w14:paraId="21A5A367" w14:textId="77777777" w:rsidR="00505682" w:rsidRPr="00505682" w:rsidRDefault="00505682" w:rsidP="00505682">
      <w:pPr>
        <w:rPr>
          <w:sz w:val="24"/>
          <w:szCs w:val="24"/>
          <w:lang w:val="bg-BG"/>
        </w:rPr>
      </w:pPr>
      <w:r w:rsidRPr="00505682">
        <w:rPr>
          <w:lang w:val="bg-BG" w:eastAsia="bg-BG"/>
        </w:rPr>
        <w:t xml:space="preserve">имейл: </w:t>
      </w:r>
      <w:hyperlink r:id="rId6" w:history="1">
        <w:r w:rsidRPr="00505682">
          <w:t>mfo-msdbg@merck.com</w:t>
        </w:r>
      </w:hyperlink>
    </w:p>
    <w:p w14:paraId="356BF7A2" w14:textId="77777777" w:rsidR="00505682" w:rsidRPr="00505682" w:rsidRDefault="00505682" w:rsidP="00505682"/>
    <w:p w14:paraId="04840D59" w14:textId="6A7A75C4" w:rsidR="002C50EE" w:rsidRDefault="002C50EE" w:rsidP="002C50EE">
      <w:pPr>
        <w:pStyle w:val="Heading1"/>
      </w:pPr>
      <w:r>
        <w:t>8. НОМЕР НА РАЗРЕШЕНИЕТО ЗА УПОТРЕБА</w:t>
      </w:r>
    </w:p>
    <w:p w14:paraId="7704C7C0" w14:textId="36501E94" w:rsidR="00505682" w:rsidRPr="00505682" w:rsidRDefault="00505682" w:rsidP="00505682">
      <w:r>
        <w:t>Per. №9700246</w:t>
      </w:r>
    </w:p>
    <w:p w14:paraId="5900CBF3" w14:textId="3AB1E224" w:rsidR="002C50EE" w:rsidRDefault="002C50EE" w:rsidP="002C50EE">
      <w:pPr>
        <w:pStyle w:val="Heading1"/>
      </w:pPr>
      <w:r>
        <w:t>9. ДАТА НА ПЪРВО РАЗРЕШАВАНЕ/ПОДНОВЯВАНЕ НА РАЗРЕШЕНИЕТО ЗА УПОТРЕБА</w:t>
      </w:r>
    </w:p>
    <w:p w14:paraId="1CBB55F7" w14:textId="77777777" w:rsidR="00505682" w:rsidRPr="00505682" w:rsidRDefault="00505682" w:rsidP="00505682">
      <w:pPr>
        <w:rPr>
          <w:sz w:val="24"/>
          <w:szCs w:val="24"/>
          <w:lang w:val="bg-BG"/>
        </w:rPr>
      </w:pPr>
      <w:r w:rsidRPr="00505682">
        <w:rPr>
          <w:lang w:val="bg-BG" w:eastAsia="bg-BG"/>
        </w:rPr>
        <w:t>Дата на първо разрешаване: 15.12.2003</w:t>
      </w:r>
    </w:p>
    <w:p w14:paraId="59DDB74D" w14:textId="77777777" w:rsidR="00505682" w:rsidRPr="00505682" w:rsidRDefault="00505682" w:rsidP="00505682">
      <w:pPr>
        <w:rPr>
          <w:sz w:val="24"/>
          <w:szCs w:val="24"/>
          <w:lang w:val="bg-BG"/>
        </w:rPr>
      </w:pPr>
      <w:r w:rsidRPr="00505682">
        <w:rPr>
          <w:lang w:val="bg-BG" w:eastAsia="bg-BG"/>
        </w:rPr>
        <w:t>Дата на последно подновяване: 24.04.2009</w:t>
      </w:r>
    </w:p>
    <w:p w14:paraId="553D58C4" w14:textId="77777777" w:rsidR="00505682" w:rsidRPr="00505682" w:rsidRDefault="00505682" w:rsidP="00505682"/>
    <w:p w14:paraId="0E9D0119" w14:textId="29CDE542" w:rsidR="002C50EE" w:rsidRDefault="002C50EE" w:rsidP="002C50EE">
      <w:pPr>
        <w:pStyle w:val="Heading1"/>
      </w:pPr>
      <w:r>
        <w:lastRenderedPageBreak/>
        <w:t>10. ДАТА НА АКТУАЛИЗИРАНЕ НА ТЕКСТА</w:t>
      </w:r>
    </w:p>
    <w:p w14:paraId="5AE0D81C" w14:textId="77777777" w:rsidR="00505682" w:rsidRPr="00505682" w:rsidRDefault="00505682" w:rsidP="00505682"/>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8346E3"/>
    <w:multiLevelType w:val="hybridMultilevel"/>
    <w:tmpl w:val="0A4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B3E3A"/>
    <w:multiLevelType w:val="hybridMultilevel"/>
    <w:tmpl w:val="81F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462AA"/>
    <w:multiLevelType w:val="hybridMultilevel"/>
    <w:tmpl w:val="A69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967D1"/>
    <w:multiLevelType w:val="hybridMultilevel"/>
    <w:tmpl w:val="3BE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3"/>
  </w:num>
  <w:num w:numId="5">
    <w:abstractNumId w:val="1"/>
  </w:num>
  <w:num w:numId="6">
    <w:abstractNumId w:val="13"/>
  </w:num>
  <w:num w:numId="7">
    <w:abstractNumId w:val="8"/>
  </w:num>
  <w:num w:numId="8">
    <w:abstractNumId w:val="12"/>
  </w:num>
  <w:num w:numId="9">
    <w:abstractNumId w:val="2"/>
  </w:num>
  <w:num w:numId="10">
    <w:abstractNumId w:val="4"/>
  </w:num>
  <w:num w:numId="11">
    <w:abstractNumId w:val="18"/>
  </w:num>
  <w:num w:numId="12">
    <w:abstractNumId w:val="11"/>
  </w:num>
  <w:num w:numId="13">
    <w:abstractNumId w:val="14"/>
  </w:num>
  <w:num w:numId="14">
    <w:abstractNumId w:val="9"/>
  </w:num>
  <w:num w:numId="15">
    <w:abstractNumId w:val="17"/>
  </w:num>
  <w:num w:numId="16">
    <w:abstractNumId w:val="7"/>
  </w:num>
  <w:num w:numId="17">
    <w:abstractNumId w:val="15"/>
  </w:num>
  <w:num w:numId="18">
    <w:abstractNumId w:val="20"/>
  </w:num>
  <w:num w:numId="19">
    <w:abstractNumId w:val="6"/>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009C"/>
    <w:rsid w:val="003E3126"/>
    <w:rsid w:val="00505682"/>
    <w:rsid w:val="00517A5B"/>
    <w:rsid w:val="00593A00"/>
    <w:rsid w:val="00605BCA"/>
    <w:rsid w:val="006158A1"/>
    <w:rsid w:val="00617B1F"/>
    <w:rsid w:val="00672487"/>
    <w:rsid w:val="00672600"/>
    <w:rsid w:val="00681D4A"/>
    <w:rsid w:val="00685882"/>
    <w:rsid w:val="006F0EAE"/>
    <w:rsid w:val="0075649D"/>
    <w:rsid w:val="00814073"/>
    <w:rsid w:val="00826F0D"/>
    <w:rsid w:val="00893B92"/>
    <w:rsid w:val="008C70A2"/>
    <w:rsid w:val="009773E4"/>
    <w:rsid w:val="00A20351"/>
    <w:rsid w:val="00AC63CE"/>
    <w:rsid w:val="00AE2107"/>
    <w:rsid w:val="00B275A8"/>
    <w:rsid w:val="00BF2600"/>
    <w:rsid w:val="00C07B84"/>
    <w:rsid w:val="00C33464"/>
    <w:rsid w:val="00C83063"/>
    <w:rsid w:val="00C87E90"/>
    <w:rsid w:val="00CA36D9"/>
    <w:rsid w:val="00DD466D"/>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o-msdbg@merck.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2021-07-22T18:57:00Z</dcterms:created>
  <dcterms:modified xsi:type="dcterms:W3CDTF">2021-07-22T18:57:00Z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