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0A9EBC20" w14:textId="65EBB4A1" w:rsidR="009F77A4" w:rsidRDefault="00DD466D" w:rsidP="00387A66">
      <w:pPr>
        <w:pStyle w:val="Heading1"/>
      </w:pPr>
      <w:r>
        <w:t>1.ИМЕ НА ЛЕКАРСТВЕНИЯ ПРОДУКТ</w:t>
      </w:r>
    </w:p>
    <w:p w14:paraId="1E7D6F7D" w14:textId="4D2AD092" w:rsidR="00210E9F" w:rsidRDefault="00210E9F" w:rsidP="00210E9F"/>
    <w:p w14:paraId="2CDA3D0D" w14:textId="77777777" w:rsidR="00210E9F" w:rsidRPr="00210E9F" w:rsidRDefault="00210E9F" w:rsidP="00210E9F">
      <w:pPr>
        <w:rPr>
          <w:sz w:val="24"/>
          <w:szCs w:val="24"/>
          <w:lang w:val="en-US" w:eastAsia="bg-BG"/>
        </w:rPr>
      </w:pPr>
      <w:r w:rsidRPr="00210E9F">
        <w:rPr>
          <w:lang w:eastAsia="bg-BG"/>
        </w:rPr>
        <w:t xml:space="preserve">Езомепразол Полфарма 40 </w:t>
      </w:r>
      <w:r w:rsidRPr="00210E9F">
        <w:rPr>
          <w:lang w:val="en-US"/>
        </w:rPr>
        <w:t xml:space="preserve">mg </w:t>
      </w:r>
      <w:r w:rsidRPr="00210E9F">
        <w:rPr>
          <w:lang w:eastAsia="bg-BG"/>
        </w:rPr>
        <w:t>прах за инжекционен/инфузионен разтвор</w:t>
      </w:r>
    </w:p>
    <w:p w14:paraId="7E9059C9" w14:textId="4B64EBE5" w:rsidR="00210E9F" w:rsidRPr="00210E9F" w:rsidRDefault="00210E9F" w:rsidP="00210E9F">
      <w:r w:rsidRPr="00210E9F">
        <w:rPr>
          <w:lang w:val="en-US"/>
        </w:rPr>
        <w:t xml:space="preserve">Esomeprazole Polpharma </w:t>
      </w:r>
      <w:r w:rsidRPr="00210E9F">
        <w:rPr>
          <w:lang w:eastAsia="bg-BG"/>
        </w:rPr>
        <w:t xml:space="preserve">40 </w:t>
      </w:r>
      <w:r w:rsidRPr="00210E9F">
        <w:rPr>
          <w:lang w:val="en-US"/>
        </w:rPr>
        <w:t>mg powder for solution for injection/infusion</w:t>
      </w:r>
    </w:p>
    <w:p w14:paraId="0DF202EC" w14:textId="42D56D7F" w:rsidR="00F53FB7" w:rsidRDefault="00DD466D" w:rsidP="00A93499">
      <w:pPr>
        <w:pStyle w:val="Heading1"/>
      </w:pPr>
      <w:r>
        <w:t>2. КАЧЕСТВЕН И КОЛИЧЕСТВЕН СЪСТАВ</w:t>
      </w:r>
    </w:p>
    <w:p w14:paraId="10D687B7" w14:textId="11214483" w:rsidR="00210E9F" w:rsidRDefault="00210E9F" w:rsidP="00210E9F"/>
    <w:p w14:paraId="444DFE93" w14:textId="6ECF2237" w:rsidR="00210E9F" w:rsidRPr="00210E9F" w:rsidRDefault="00210E9F" w:rsidP="00210E9F">
      <w:r>
        <w:t xml:space="preserve">Всеки флакон съдържа езомепразол </w:t>
      </w:r>
      <w:r>
        <w:rPr>
          <w:lang w:val="en-US"/>
        </w:rPr>
        <w:t xml:space="preserve">(esomeprazole) </w:t>
      </w:r>
      <w:r>
        <w:t xml:space="preserve">40 </w:t>
      </w:r>
      <w:r>
        <w:rPr>
          <w:lang w:val="en-US"/>
        </w:rPr>
        <w:t xml:space="preserve">mg </w:t>
      </w:r>
      <w:r>
        <w:t>(като натриева сол).</w:t>
      </w:r>
    </w:p>
    <w:p w14:paraId="4CABB9ED" w14:textId="3D2F5C85" w:rsidR="00F53FB7" w:rsidRDefault="00DD466D" w:rsidP="00A93499">
      <w:pPr>
        <w:pStyle w:val="Heading1"/>
      </w:pPr>
      <w:r>
        <w:t>3. ЛЕКАРСТВЕНА ФОРМА</w:t>
      </w:r>
    </w:p>
    <w:p w14:paraId="5CFD2219" w14:textId="7611F35E" w:rsidR="00210E9F" w:rsidRDefault="00210E9F" w:rsidP="00210E9F"/>
    <w:p w14:paraId="4F2F3CD6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Прах за инжекционен/инфузионен разтвор.</w:t>
      </w:r>
    </w:p>
    <w:p w14:paraId="623DCA9C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Бяла до белезникава порьозна маса или прах,</w:t>
      </w:r>
    </w:p>
    <w:p w14:paraId="08166D68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7792BFF3" w14:textId="386EA756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val="en-US"/>
        </w:rPr>
        <w:t xml:space="preserve">pH </w:t>
      </w:r>
      <w:r w:rsidRPr="00210E9F">
        <w:rPr>
          <w:rFonts w:eastAsia="Times New Roman" w:cs="Arial"/>
          <w:color w:val="000000"/>
          <w:lang w:eastAsia="bg-BG"/>
        </w:rPr>
        <w:t xml:space="preserve">на разтвор, разреден със </w:t>
      </w:r>
      <w:r w:rsidRPr="00210E9F">
        <w:rPr>
          <w:rFonts w:eastAsia="Times New Roman" w:cs="Arial"/>
          <w:color w:val="000000"/>
          <w:lang w:val="en-US"/>
        </w:rPr>
        <w:t xml:space="preserve">100 ml </w:t>
      </w:r>
      <w:r w:rsidRPr="00210E9F">
        <w:rPr>
          <w:rFonts w:eastAsia="Times New Roman" w:cs="Arial"/>
          <w:color w:val="000000"/>
          <w:lang w:eastAsia="bg-BG"/>
        </w:rPr>
        <w:t xml:space="preserve">0,9% разтвор на натриев хлорид е приблизително 9,6, а осмоларността е около 304 </w:t>
      </w:r>
      <w:proofErr w:type="spellStart"/>
      <w:r w:rsidRPr="00210E9F">
        <w:rPr>
          <w:rFonts w:eastAsia="Times New Roman" w:cs="Arial"/>
          <w:color w:val="000000"/>
          <w:lang w:val="en-US"/>
        </w:rPr>
        <w:t>mOsm</w:t>
      </w:r>
      <w:proofErr w:type="spellEnd"/>
      <w:r w:rsidRPr="00210E9F">
        <w:rPr>
          <w:rFonts w:eastAsia="Times New Roman" w:cs="Arial"/>
          <w:color w:val="000000"/>
          <w:lang w:val="en-US"/>
        </w:rPr>
        <w:t>/kg.</w:t>
      </w:r>
    </w:p>
    <w:p w14:paraId="101CB594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53DAC217" w14:textId="1D1A2C28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val="en-US"/>
        </w:rPr>
        <w:t xml:space="preserve">pH </w:t>
      </w:r>
      <w:r w:rsidRPr="00210E9F">
        <w:rPr>
          <w:rFonts w:eastAsia="Times New Roman" w:cs="Arial"/>
          <w:color w:val="000000"/>
          <w:lang w:eastAsia="bg-BG"/>
        </w:rPr>
        <w:t xml:space="preserve">на разтвор, разреден с 5 </w:t>
      </w:r>
      <w:r w:rsidRPr="00210E9F">
        <w:rPr>
          <w:rFonts w:eastAsia="Times New Roman" w:cs="Arial"/>
          <w:color w:val="000000"/>
          <w:lang w:val="en-US"/>
        </w:rPr>
        <w:t xml:space="preserve">ml </w:t>
      </w:r>
      <w:r w:rsidRPr="00210E9F">
        <w:rPr>
          <w:rFonts w:eastAsia="Times New Roman" w:cs="Arial"/>
          <w:color w:val="000000"/>
          <w:lang w:eastAsia="bg-BG"/>
        </w:rPr>
        <w:t xml:space="preserve">0,9% разтвор на натриев хлорид е приблизително 10,2, а осмоларността е около 336 </w:t>
      </w:r>
      <w:proofErr w:type="spellStart"/>
      <w:r w:rsidRPr="00210E9F">
        <w:rPr>
          <w:rFonts w:eastAsia="Times New Roman" w:cs="Arial"/>
          <w:color w:val="000000"/>
          <w:lang w:val="en-US"/>
        </w:rPr>
        <w:t>mOsm</w:t>
      </w:r>
      <w:proofErr w:type="spellEnd"/>
      <w:r w:rsidRPr="00210E9F">
        <w:rPr>
          <w:rFonts w:eastAsia="Times New Roman" w:cs="Arial"/>
          <w:color w:val="000000"/>
          <w:lang w:val="en-US"/>
        </w:rPr>
        <w:t>/kg.</w:t>
      </w:r>
    </w:p>
    <w:p w14:paraId="29B258A2" w14:textId="77777777" w:rsidR="00210E9F" w:rsidRPr="00210E9F" w:rsidRDefault="00210E9F" w:rsidP="00210E9F"/>
    <w:p w14:paraId="490FC2C4" w14:textId="6899DE43" w:rsidR="002C50EE" w:rsidRDefault="002C50EE" w:rsidP="002C50EE">
      <w:pPr>
        <w:pStyle w:val="Heading1"/>
      </w:pPr>
      <w:r>
        <w:t>4. КЛИНИЧНИ ДАННИ</w:t>
      </w:r>
    </w:p>
    <w:p w14:paraId="461901E4" w14:textId="5CB0C23E" w:rsidR="009F77A4" w:rsidRDefault="002C50EE" w:rsidP="00387A66">
      <w:pPr>
        <w:pStyle w:val="Heading2"/>
      </w:pPr>
      <w:r>
        <w:t>4.1. Терапевтични показания</w:t>
      </w:r>
    </w:p>
    <w:p w14:paraId="0418AB1B" w14:textId="4168D179" w:rsidR="00210E9F" w:rsidRDefault="00210E9F" w:rsidP="00210E9F"/>
    <w:p w14:paraId="5C9CF4DC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Езомепразол Полфарма е показан при възрастни за:</w:t>
      </w:r>
    </w:p>
    <w:p w14:paraId="0B29BD84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5D24671" w14:textId="77777777" w:rsidR="00210E9F" w:rsidRPr="00210E9F" w:rsidRDefault="00210E9F" w:rsidP="00210E9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Потискане на стомашната секреция, когаго пероралното приложение не е възможно, като: </w:t>
      </w:r>
    </w:p>
    <w:p w14:paraId="2944A2D8" w14:textId="77777777" w:rsidR="00210E9F" w:rsidRPr="00210E9F" w:rsidRDefault="00210E9F" w:rsidP="00210E9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гастро-езофагеална рефлуксна болест (ГЕРБ) при пациенти с езофагит и/или тежки симптоми на рефлукс;</w:t>
      </w:r>
    </w:p>
    <w:p w14:paraId="18C79BF3" w14:textId="77777777" w:rsidR="00210E9F" w:rsidRPr="00210E9F" w:rsidRDefault="00210E9F" w:rsidP="00210E9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заздравяване на стомашни язви, свързани с лечение с НСПВЛ;</w:t>
      </w:r>
    </w:p>
    <w:p w14:paraId="072BF1D8" w14:textId="4FCD79D4" w:rsidR="00210E9F" w:rsidRPr="00210E9F" w:rsidRDefault="00210E9F" w:rsidP="00210E9F">
      <w:pPr>
        <w:pStyle w:val="ListParagraph"/>
        <w:numPr>
          <w:ilvl w:val="0"/>
          <w:numId w:val="41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профилактика на стомашна и дуоденална язви, причинени от лечение с НСПВЛ при рискови пациенти.</w:t>
      </w:r>
    </w:p>
    <w:p w14:paraId="3BE98CF6" w14:textId="77777777" w:rsidR="00210E9F" w:rsidRPr="00210E9F" w:rsidRDefault="00210E9F" w:rsidP="00210E9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Превенция на повторно кървене след терапевтична ендоскопия при остро кървене от стомашна или дуоденална язва.</w:t>
      </w:r>
    </w:p>
    <w:p w14:paraId="25FDF087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D19AA1" w14:textId="03C48A65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Езомепразол Полфарма е показан при деца и юноши на възраст от 1 до 18 години за:</w:t>
      </w:r>
    </w:p>
    <w:p w14:paraId="4925BD1F" w14:textId="77777777" w:rsidR="00210E9F" w:rsidRPr="00210E9F" w:rsidRDefault="00210E9F" w:rsidP="00210E9F">
      <w:pPr>
        <w:pStyle w:val="ListParagraph"/>
        <w:numPr>
          <w:ilvl w:val="0"/>
          <w:numId w:val="40"/>
        </w:numPr>
        <w:spacing w:line="240" w:lineRule="auto"/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Стомашна антисекреторна терапия, когато пероралното приложение не възможно, като: гастро-езофагеална рефлуксна болест (ГЕРБ) при пациенти с ерозивен рефлукс езофагит и/или тежки симптоми на рефлукс.</w:t>
      </w:r>
    </w:p>
    <w:p w14:paraId="6D38DE4E" w14:textId="77777777" w:rsidR="00210E9F" w:rsidRPr="00210E9F" w:rsidRDefault="00210E9F" w:rsidP="00210E9F"/>
    <w:p w14:paraId="31744E5A" w14:textId="1F1188B4" w:rsidR="009F77A4" w:rsidRDefault="002C50EE" w:rsidP="00387A66">
      <w:pPr>
        <w:pStyle w:val="Heading2"/>
      </w:pPr>
      <w:r>
        <w:t>4.2. Дозировка и начин на приложение</w:t>
      </w:r>
    </w:p>
    <w:p w14:paraId="7EB62FFD" w14:textId="2E5BEB81" w:rsidR="00210E9F" w:rsidRDefault="00210E9F" w:rsidP="00210E9F"/>
    <w:p w14:paraId="06194D49" w14:textId="77777777" w:rsidR="00210E9F" w:rsidRPr="00210E9F" w:rsidRDefault="00210E9F" w:rsidP="00210E9F">
      <w:pPr>
        <w:pStyle w:val="Heading3"/>
        <w:rPr>
          <w:rFonts w:eastAsia="Times New Roman"/>
          <w:b/>
          <w:bCs/>
          <w:lang w:eastAsia="bg-BG"/>
        </w:rPr>
      </w:pPr>
      <w:bookmarkStart w:id="1" w:name="bookmark0"/>
      <w:r w:rsidRPr="00210E9F">
        <w:rPr>
          <w:rFonts w:eastAsia="Times New Roman"/>
          <w:b/>
          <w:bCs/>
          <w:lang w:eastAsia="bg-BG"/>
        </w:rPr>
        <w:lastRenderedPageBreak/>
        <w:t>Дозировка</w:t>
      </w:r>
      <w:bookmarkEnd w:id="1"/>
    </w:p>
    <w:p w14:paraId="4E714ECD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13B69595" w14:textId="4C03F240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u w:val="single"/>
          <w:lang w:eastAsia="bg-BG"/>
        </w:rPr>
        <w:t>Възрастни</w:t>
      </w:r>
    </w:p>
    <w:p w14:paraId="5E95211C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>Лечение за потискане на стомашната секреция, когаго перопалният курс не е възможен.</w:t>
      </w:r>
    </w:p>
    <w:p w14:paraId="1766919A" w14:textId="6BE8E83C" w:rsidR="00210E9F" w:rsidRPr="00210E9F" w:rsidRDefault="00210E9F" w:rsidP="00210E9F">
      <w:pPr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Пациентите, които не могат да приемат перорално лечение, може да се лекуват парентерално с 20-40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веднъж дневно. Пациентите с рефлукс-езофагит трябва да се лекуват с 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ве</w:t>
      </w:r>
      <w:r w:rsidRPr="00210E9F">
        <w:rPr>
          <w:rFonts w:eastAsia="Times New Roman" w:cs="Arial"/>
          <w:color w:val="000000"/>
          <w:u w:val="single"/>
          <w:lang w:eastAsia="bg-BG"/>
        </w:rPr>
        <w:t xml:space="preserve">днъж </w:t>
      </w:r>
      <w:r w:rsidRPr="00210E9F">
        <w:rPr>
          <w:rFonts w:eastAsia="Times New Roman" w:cs="Arial"/>
          <w:color w:val="000000"/>
          <w:lang w:eastAsia="bg-BG"/>
        </w:rPr>
        <w:t xml:space="preserve">дневно. Болни, лекувани симптоматично за рефлуксна болест трябва да се лекуват с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веднъж</w:t>
      </w:r>
      <w:r w:rsidRPr="00210E9F">
        <w:rPr>
          <w:rFonts w:eastAsia="Times New Roman" w:cs="Arial"/>
          <w:b/>
          <w:bCs/>
          <w:color w:val="000000"/>
          <w:lang w:eastAsia="bg-BG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>дневно.</w:t>
      </w:r>
    </w:p>
    <w:p w14:paraId="612236DD" w14:textId="789F99DE" w:rsidR="00210E9F" w:rsidRPr="00210E9F" w:rsidRDefault="00210E9F" w:rsidP="00210E9F">
      <w:pPr>
        <w:rPr>
          <w:rFonts w:eastAsia="Times New Roman" w:cs="Arial"/>
          <w:color w:val="000000"/>
          <w:lang w:eastAsia="bg-BG"/>
        </w:rPr>
      </w:pPr>
    </w:p>
    <w:p w14:paraId="4D8727CB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Обичайната доза за заздравяване на стомашна язва, свързана с лечение с НСПВЛ е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веднъж дневно. При профилактика на стомашна и дуоденална язва, свързани с приложение на НСПВЛ, рисковите пациенти трябва да бъдат лекувани с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веднъж дневно.</w:t>
      </w:r>
    </w:p>
    <w:p w14:paraId="550E6EB6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Обикновено продължителността на интравенозната терапия е кратка, като трябва да се премине към перорално лечение колкото е възможно по-скоро.</w:t>
      </w:r>
    </w:p>
    <w:p w14:paraId="57E4B14C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5BA1F66" w14:textId="3A39D672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>Превенция на повторно кървене от стомашна и дуоденална язва.</w:t>
      </w:r>
    </w:p>
    <w:p w14:paraId="70535961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След терапевтична ендоскопия при остро кървене от стомашна или дуоденална язва трябва да се назначат 80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като болус-инфузия за 30 минути, последвана от непрекъсната интравенозна инфузия от 8 </w:t>
      </w:r>
      <w:r w:rsidRPr="00210E9F">
        <w:rPr>
          <w:rFonts w:eastAsia="Times New Roman" w:cs="Arial"/>
          <w:color w:val="000000"/>
          <w:lang w:val="en-US"/>
        </w:rPr>
        <w:t xml:space="preserve">mg/h </w:t>
      </w:r>
      <w:r w:rsidRPr="00210E9F">
        <w:rPr>
          <w:rFonts w:eastAsia="Times New Roman" w:cs="Arial"/>
          <w:color w:val="000000"/>
          <w:lang w:eastAsia="bg-BG"/>
        </w:rPr>
        <w:t>в продължение на 3 дни (72 часа).</w:t>
      </w:r>
    </w:p>
    <w:p w14:paraId="77A2E800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98C976" w14:textId="7B72A14C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Парентералното лечение трябва да бъде последвано от перорална киселинно-супресираща терапия.</w:t>
      </w:r>
    </w:p>
    <w:p w14:paraId="2A4B35A3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8758B03" w14:textId="3FAB50E5" w:rsidR="00210E9F" w:rsidRPr="00210E9F" w:rsidRDefault="00210E9F" w:rsidP="00210E9F">
      <w:pPr>
        <w:pStyle w:val="Heading3"/>
        <w:rPr>
          <w:rFonts w:eastAsia="Times New Roman"/>
          <w:u w:val="single"/>
          <w:lang w:eastAsia="bg-BG"/>
        </w:rPr>
      </w:pPr>
      <w:r w:rsidRPr="00210E9F">
        <w:rPr>
          <w:rFonts w:eastAsia="Times New Roman"/>
          <w:u w:val="single"/>
          <w:lang w:eastAsia="bg-BG"/>
        </w:rPr>
        <w:t>Начин на приложение</w:t>
      </w:r>
    </w:p>
    <w:p w14:paraId="4062AF15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>За инструкции относно разтварянето на лекарствения продукт преди приложение, вижте точка 6.6.</w:t>
      </w:r>
    </w:p>
    <w:p w14:paraId="44A50607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E38CED" w14:textId="22557CE4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Инжекция</w:t>
      </w:r>
    </w:p>
    <w:p w14:paraId="48A220D6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40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0ED28930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5 </w:t>
      </w:r>
      <w:r w:rsidRPr="00210E9F">
        <w:rPr>
          <w:rFonts w:eastAsia="Times New Roman" w:cs="Arial"/>
          <w:color w:val="000000"/>
          <w:lang w:val="en-US"/>
        </w:rPr>
        <w:t xml:space="preserve">ml </w:t>
      </w:r>
      <w:r w:rsidRPr="00210E9F">
        <w:rPr>
          <w:rFonts w:eastAsia="Times New Roman" w:cs="Arial"/>
          <w:color w:val="000000"/>
          <w:lang w:eastAsia="bg-BG"/>
        </w:rPr>
        <w:t xml:space="preserve">от приготвения разтвор (8 </w:t>
      </w:r>
      <w:r w:rsidRPr="00210E9F">
        <w:rPr>
          <w:rFonts w:eastAsia="Times New Roman" w:cs="Arial"/>
          <w:color w:val="000000"/>
          <w:lang w:val="en-US"/>
        </w:rPr>
        <w:t xml:space="preserve">mg/ml) </w:t>
      </w:r>
      <w:r w:rsidRPr="00210E9F">
        <w:rPr>
          <w:rFonts w:eastAsia="Times New Roman" w:cs="Arial"/>
          <w:color w:val="000000"/>
          <w:lang w:eastAsia="bg-BG"/>
        </w:rPr>
        <w:t>трябва да се инжектира интравенозно в продължение на най-малко 3 минути.</w:t>
      </w:r>
    </w:p>
    <w:p w14:paraId="344325AA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DE5A8F1" w14:textId="09E51429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20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2E8EE95D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2,5 </w:t>
      </w:r>
      <w:r w:rsidRPr="00210E9F">
        <w:rPr>
          <w:rFonts w:eastAsia="Times New Roman" w:cs="Arial"/>
          <w:color w:val="000000"/>
          <w:lang w:val="en-US"/>
        </w:rPr>
        <w:t xml:space="preserve">ml </w:t>
      </w:r>
      <w:r w:rsidRPr="00210E9F">
        <w:rPr>
          <w:rFonts w:eastAsia="Times New Roman" w:cs="Arial"/>
          <w:color w:val="000000"/>
          <w:lang w:eastAsia="bg-BG"/>
        </w:rPr>
        <w:t xml:space="preserve">или половината от приготвения разтвор (8 </w:t>
      </w:r>
      <w:r w:rsidRPr="00210E9F">
        <w:rPr>
          <w:rFonts w:eastAsia="Times New Roman" w:cs="Arial"/>
          <w:color w:val="000000"/>
          <w:lang w:val="en-US"/>
        </w:rPr>
        <w:t xml:space="preserve">mg/ml) </w:t>
      </w:r>
      <w:r w:rsidRPr="00210E9F">
        <w:rPr>
          <w:rFonts w:eastAsia="Times New Roman" w:cs="Arial"/>
          <w:color w:val="000000"/>
          <w:lang w:eastAsia="bg-BG"/>
        </w:rPr>
        <w:t>трябва да се инжектира интравенозно, в продължение на най-малко 3 минути. Цялото неизползвано количество трябва да се изхвърли.</w:t>
      </w:r>
    </w:p>
    <w:p w14:paraId="24D10304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B9B5706" w14:textId="38EADA99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Инфузия</w:t>
      </w:r>
    </w:p>
    <w:p w14:paraId="51664A89" w14:textId="0F08AA2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40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5C463CF0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Приготвеният разтвор трябва да се приложи като интравенозна инфузия в продължение на 10 до 30 минути.</w:t>
      </w:r>
    </w:p>
    <w:p w14:paraId="5CD610AD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D9CB4DB" w14:textId="016D655B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20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4FD2FE17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Половината от приготвения разтвор трябва да се приложи като интравенозна инфузия в продължение на 10 до 30 минути. Цялото неизползвано количество трябва да се изхвърли.</w:t>
      </w:r>
    </w:p>
    <w:p w14:paraId="570A5EEC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C6A8B99" w14:textId="5E7F5C72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Болус доза от 80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4E7A6537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lastRenderedPageBreak/>
        <w:t>Приготвеният разтвор трябва да се приложи като непрекъсната интравенозна инфузия в продължение на 30 минути.</w:t>
      </w:r>
    </w:p>
    <w:p w14:paraId="3FE92ED8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889D9E7" w14:textId="04DA25CF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8 </w:t>
      </w:r>
      <w:r w:rsidRPr="00210E9F">
        <w:rPr>
          <w:rFonts w:eastAsia="Times New Roman" w:cs="Arial"/>
          <w:color w:val="000000"/>
          <w:u w:val="single"/>
          <w:lang w:val="en-US"/>
        </w:rPr>
        <w:t>mg/h</w:t>
      </w:r>
    </w:p>
    <w:p w14:paraId="6B795479" w14:textId="43E877F3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Приготвеният разтвор трябва да се приложи като непрекъсната интравенозна инфузия в продължение на 71,5 часа (планирана скорост на инфузията 8 </w:t>
      </w:r>
      <w:r w:rsidRPr="00210E9F">
        <w:rPr>
          <w:rFonts w:eastAsia="Times New Roman" w:cs="Arial"/>
          <w:color w:val="000000"/>
          <w:lang w:val="en-US"/>
        </w:rPr>
        <w:t xml:space="preserve">mg/h. </w:t>
      </w:r>
      <w:r w:rsidRPr="00210E9F">
        <w:rPr>
          <w:rFonts w:eastAsia="Times New Roman" w:cs="Arial"/>
          <w:color w:val="000000"/>
          <w:lang w:eastAsia="bg-BG"/>
        </w:rPr>
        <w:t>(Вижте точка 6.3 за срок на годност на приготвения разтвор)</w:t>
      </w:r>
    </w:p>
    <w:p w14:paraId="59B88929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8AA92D4" w14:textId="6FB6FA98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>Специални популации</w:t>
      </w:r>
    </w:p>
    <w:p w14:paraId="2AF3BC24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2CFA602" w14:textId="1772D21F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Бъбречни нарушения:</w:t>
      </w:r>
    </w:p>
    <w:p w14:paraId="63207025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Не е необходима корекция на дозата при пациенти с увреждане на бъбречната функция</w:t>
      </w:r>
    </w:p>
    <w:p w14:paraId="6E7B17FA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Поради ограничен опит при пациенти с тежка бъбречна недостатъчност, такива болни трябва да се лекуват предпазливо (вж. точка 5.2).</w:t>
      </w:r>
    </w:p>
    <w:p w14:paraId="11861535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353B82D" w14:textId="6385727D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Чернодробни нарушения</w:t>
      </w:r>
    </w:p>
    <w:p w14:paraId="3DCD4E9F" w14:textId="2A934CA5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ГЕРБ: Не е необходима корекция на дозата при пациенти с леко до умерено чернодробно увреждане. При пациенти с тежко чернодробно увреждане не трябва да се надхвърля</w:t>
      </w:r>
      <w:r w:rsidRPr="00210E9F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 xml:space="preserve">максималната дневна доза от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Езомепразол Полфарма. (вж</w:t>
      </w:r>
      <w:r w:rsidRPr="00210E9F">
        <w:rPr>
          <w:rFonts w:eastAsia="Times New Roman" w:cs="Arial"/>
          <w:color w:val="000000"/>
          <w:lang w:val="en-US" w:eastAsia="bg-BG"/>
        </w:rPr>
        <w:t>.</w:t>
      </w:r>
      <w:r w:rsidRPr="00210E9F">
        <w:rPr>
          <w:rFonts w:eastAsia="Times New Roman" w:cs="Arial"/>
          <w:color w:val="000000"/>
          <w:lang w:eastAsia="bg-BG"/>
        </w:rPr>
        <w:t xml:space="preserve"> точка 5.2)</w:t>
      </w:r>
    </w:p>
    <w:p w14:paraId="6CD36816" w14:textId="054D0344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C76D7E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Кървящи язви: Не е необходима корекция на дозата при пациенти с леко до умерено чернодробно увреждане. При пациенти с тежко чернодробно увреждане след първоначалната болус доза от 80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Езомепразол Полфарма, непрекъсната интравенозна инфузия в доза от 4 </w:t>
      </w:r>
      <w:r w:rsidRPr="00210E9F">
        <w:rPr>
          <w:rFonts w:eastAsia="Times New Roman" w:cs="Arial"/>
          <w:color w:val="000000"/>
          <w:lang w:val="en-US"/>
        </w:rPr>
        <w:t xml:space="preserve">mg/h </w:t>
      </w:r>
      <w:r w:rsidRPr="00210E9F">
        <w:rPr>
          <w:rFonts w:eastAsia="Times New Roman" w:cs="Arial"/>
          <w:color w:val="000000"/>
          <w:lang w:eastAsia="bg-BG"/>
        </w:rPr>
        <w:t>в продължение на 71,5 часа може да бъде достатъчна, (вж. точка 5.2)</w:t>
      </w:r>
    </w:p>
    <w:p w14:paraId="7C9E9A80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3C057AF" w14:textId="002DEB0A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Пациенти в старческа възраст:</w:t>
      </w:r>
    </w:p>
    <w:p w14:paraId="14F0B768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Не е необходима корекция на дозата.</w:t>
      </w:r>
    </w:p>
    <w:p w14:paraId="11588671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1B8DAA8" w14:textId="6B9A165B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2D10D80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BA962FB" w14:textId="4AABFB35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>Дозировка</w:t>
      </w:r>
    </w:p>
    <w:p w14:paraId="4D016C7E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u w:val="single"/>
          <w:lang w:eastAsia="bg-BG"/>
        </w:rPr>
      </w:pPr>
    </w:p>
    <w:p w14:paraId="0C470C15" w14:textId="0C2A4764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u w:val="single"/>
          <w:lang w:eastAsia="bg-BG"/>
        </w:rPr>
        <w:t>Деиа и юноши на възраст от 1 до 18 години</w:t>
      </w:r>
    </w:p>
    <w:p w14:paraId="1CA72D64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 xml:space="preserve">Лечение за потискане на стомашната секреция, когато пероралният път не е възможен </w:t>
      </w:r>
      <w:r w:rsidRPr="00210E9F">
        <w:rPr>
          <w:rFonts w:eastAsia="Times New Roman" w:cs="Arial"/>
          <w:color w:val="000000"/>
          <w:lang w:eastAsia="bg-BG"/>
        </w:rPr>
        <w:t>Пациенти, които не могат да приемат езомепразол перорално, може да се лекуват парентерално веднъж дневно, като част от пълния период на лечение на ГЕРБ (вижте дозите в таблицата по- долу).</w:t>
      </w:r>
    </w:p>
    <w:p w14:paraId="54850BCD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Обикновено продължителността на ингравенозното лечение е кратка и веднага щом е възможно, трябва да се премине към перорално лечение.</w:t>
      </w:r>
    </w:p>
    <w:p w14:paraId="35B1C366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F229357" w14:textId="68FFBAE5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Препоръчителни дози за интравенозно приложение на езомепразол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08"/>
        <w:gridCol w:w="3128"/>
      </w:tblGrid>
      <w:tr w:rsidR="00210E9F" w14:paraId="47826553" w14:textId="77777777" w:rsidTr="00210E9F">
        <w:tc>
          <w:tcPr>
            <w:tcW w:w="3166" w:type="dxa"/>
          </w:tcPr>
          <w:p w14:paraId="1D7BBB22" w14:textId="6B261BEC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>Възрастова група</w:t>
            </w:r>
          </w:p>
        </w:tc>
        <w:tc>
          <w:tcPr>
            <w:tcW w:w="3167" w:type="dxa"/>
          </w:tcPr>
          <w:p w14:paraId="2EC6D222" w14:textId="300A13D6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>Лечение на ерозивен рефлукс езофагит</w:t>
            </w:r>
          </w:p>
        </w:tc>
        <w:tc>
          <w:tcPr>
            <w:tcW w:w="3167" w:type="dxa"/>
          </w:tcPr>
          <w:p w14:paraId="1C782078" w14:textId="0DA7D030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>Симптоматично лечение на ГЕРБ</w:t>
            </w:r>
          </w:p>
        </w:tc>
      </w:tr>
      <w:tr w:rsidR="00210E9F" w14:paraId="3B66B6CD" w14:textId="77777777" w:rsidTr="00210E9F">
        <w:tc>
          <w:tcPr>
            <w:tcW w:w="3166" w:type="dxa"/>
          </w:tcPr>
          <w:p w14:paraId="7075F0CC" w14:textId="79EA73F0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>1-11 години</w:t>
            </w:r>
          </w:p>
        </w:tc>
        <w:tc>
          <w:tcPr>
            <w:tcW w:w="3167" w:type="dxa"/>
          </w:tcPr>
          <w:p w14:paraId="77A3C588" w14:textId="326EA85D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 xml:space="preserve">Тегло &lt; 20 </w:t>
            </w:r>
            <w:r w:rsidRPr="00210E9F">
              <w:rPr>
                <w:lang w:val="en-US"/>
              </w:rPr>
              <w:t xml:space="preserve">kg: </w:t>
            </w:r>
            <w:r w:rsidRPr="00210E9F">
              <w:t xml:space="preserve">10 </w:t>
            </w:r>
            <w:r w:rsidRPr="00210E9F">
              <w:rPr>
                <w:lang w:val="en-US"/>
              </w:rPr>
              <w:t xml:space="preserve">mg </w:t>
            </w:r>
            <w:r w:rsidRPr="00210E9F">
              <w:t xml:space="preserve">веднъж дневно Тегло ≥20 </w:t>
            </w:r>
            <w:r w:rsidRPr="00210E9F">
              <w:rPr>
                <w:lang w:val="en-US"/>
              </w:rPr>
              <w:t xml:space="preserve">kg: </w:t>
            </w:r>
            <w:r w:rsidRPr="00210E9F">
              <w:t xml:space="preserve">10 </w:t>
            </w:r>
            <w:r w:rsidRPr="00210E9F">
              <w:rPr>
                <w:lang w:val="en-US"/>
              </w:rPr>
              <w:t xml:space="preserve">mg </w:t>
            </w:r>
            <w:r w:rsidRPr="00210E9F">
              <w:t xml:space="preserve">или 20 </w:t>
            </w:r>
            <w:r w:rsidRPr="00210E9F">
              <w:rPr>
                <w:lang w:val="en-US"/>
              </w:rPr>
              <w:t xml:space="preserve">mg </w:t>
            </w:r>
            <w:r w:rsidRPr="00210E9F">
              <w:t>веднъж дневно</w:t>
            </w:r>
          </w:p>
        </w:tc>
        <w:tc>
          <w:tcPr>
            <w:tcW w:w="3167" w:type="dxa"/>
          </w:tcPr>
          <w:p w14:paraId="60DDE352" w14:textId="5A3DBA18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 xml:space="preserve">10 </w:t>
            </w:r>
            <w:r w:rsidRPr="00210E9F">
              <w:rPr>
                <w:lang w:val="en-US"/>
              </w:rPr>
              <w:t xml:space="preserve">mg </w:t>
            </w:r>
            <w:r w:rsidRPr="00210E9F">
              <w:t>веднъж дневно</w:t>
            </w:r>
          </w:p>
        </w:tc>
      </w:tr>
      <w:tr w:rsidR="00210E9F" w14:paraId="602E85C0" w14:textId="77777777" w:rsidTr="00210E9F">
        <w:tc>
          <w:tcPr>
            <w:tcW w:w="3166" w:type="dxa"/>
          </w:tcPr>
          <w:p w14:paraId="6E7FB388" w14:textId="0D192169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>12-18 години</w:t>
            </w:r>
          </w:p>
        </w:tc>
        <w:tc>
          <w:tcPr>
            <w:tcW w:w="3167" w:type="dxa"/>
          </w:tcPr>
          <w:p w14:paraId="3417592D" w14:textId="182361D5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 xml:space="preserve">40 </w:t>
            </w:r>
            <w:r w:rsidRPr="00210E9F">
              <w:rPr>
                <w:lang w:val="en-US"/>
              </w:rPr>
              <w:t xml:space="preserve">mg </w:t>
            </w:r>
            <w:r w:rsidRPr="00210E9F">
              <w:t>веднъж дневно</w:t>
            </w:r>
          </w:p>
        </w:tc>
        <w:tc>
          <w:tcPr>
            <w:tcW w:w="3167" w:type="dxa"/>
          </w:tcPr>
          <w:p w14:paraId="7EC4D50E" w14:textId="206CF40F" w:rsidR="00210E9F" w:rsidRPr="00210E9F" w:rsidRDefault="00210E9F" w:rsidP="00210E9F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210E9F">
              <w:t xml:space="preserve">20 </w:t>
            </w:r>
            <w:r w:rsidRPr="00210E9F">
              <w:rPr>
                <w:lang w:val="en-US"/>
              </w:rPr>
              <w:t xml:space="preserve">mg </w:t>
            </w:r>
            <w:r w:rsidRPr="00210E9F">
              <w:t>веднъж дневно</w:t>
            </w:r>
          </w:p>
        </w:tc>
      </w:tr>
    </w:tbl>
    <w:p w14:paraId="7682F123" w14:textId="77777777" w:rsidR="00210E9F" w:rsidRPr="00210E9F" w:rsidRDefault="00210E9F" w:rsidP="00210E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7CB24A0A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>Начин на приложение</w:t>
      </w:r>
    </w:p>
    <w:p w14:paraId="5ECF6E6C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lastRenderedPageBreak/>
        <w:t xml:space="preserve">За инструкции относно разтварянето на лекарствения продукт преди приложение, вижте точка </w:t>
      </w:r>
      <w:r w:rsidRPr="00210E9F">
        <w:rPr>
          <w:rFonts w:eastAsia="Times New Roman" w:cs="Arial"/>
          <w:i/>
          <w:iCs/>
          <w:color w:val="000000"/>
          <w:lang w:eastAsia="bg-BG"/>
        </w:rPr>
        <w:t>6.6.</w:t>
      </w:r>
    </w:p>
    <w:p w14:paraId="5A2F9893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6CC0AC3" w14:textId="13F286F1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Инжекция</w:t>
      </w:r>
    </w:p>
    <w:p w14:paraId="6CC5B966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40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786660BB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5 </w:t>
      </w:r>
      <w:r w:rsidRPr="00210E9F">
        <w:rPr>
          <w:rFonts w:eastAsia="Times New Roman" w:cs="Arial"/>
          <w:color w:val="000000"/>
          <w:lang w:val="en-US"/>
        </w:rPr>
        <w:t xml:space="preserve">ml </w:t>
      </w:r>
      <w:r w:rsidRPr="00210E9F">
        <w:rPr>
          <w:rFonts w:eastAsia="Times New Roman" w:cs="Arial"/>
          <w:color w:val="000000"/>
          <w:lang w:eastAsia="bg-BG"/>
        </w:rPr>
        <w:t xml:space="preserve">от приготвения разтвор (8 </w:t>
      </w:r>
      <w:r w:rsidRPr="00210E9F">
        <w:rPr>
          <w:rFonts w:eastAsia="Times New Roman" w:cs="Arial"/>
          <w:color w:val="000000"/>
          <w:lang w:val="en-US"/>
        </w:rPr>
        <w:t xml:space="preserve">mg/ml) </w:t>
      </w:r>
      <w:r w:rsidRPr="00210E9F">
        <w:rPr>
          <w:rFonts w:eastAsia="Times New Roman" w:cs="Arial"/>
          <w:color w:val="000000"/>
          <w:lang w:eastAsia="bg-BG"/>
        </w:rPr>
        <w:t>трябва да се инжектира интравенозно в продължение на най-малко 3 минути.</w:t>
      </w:r>
    </w:p>
    <w:p w14:paraId="02EB8117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A99EEAE" w14:textId="6EFD351D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20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4E664FB8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2,5 </w:t>
      </w:r>
      <w:r w:rsidRPr="00210E9F">
        <w:rPr>
          <w:rFonts w:eastAsia="Times New Roman" w:cs="Arial"/>
          <w:color w:val="000000"/>
          <w:lang w:val="en-US"/>
        </w:rPr>
        <w:t xml:space="preserve">ml </w:t>
      </w:r>
      <w:r w:rsidRPr="00210E9F">
        <w:rPr>
          <w:rFonts w:eastAsia="Times New Roman" w:cs="Arial"/>
          <w:color w:val="000000"/>
          <w:lang w:eastAsia="bg-BG"/>
        </w:rPr>
        <w:t xml:space="preserve">или половината от приготвения разтвор (8 </w:t>
      </w:r>
      <w:r w:rsidRPr="00210E9F">
        <w:rPr>
          <w:rFonts w:eastAsia="Times New Roman" w:cs="Arial"/>
          <w:color w:val="000000"/>
          <w:lang w:val="en-US"/>
        </w:rPr>
        <w:t xml:space="preserve">mg/ml) </w:t>
      </w:r>
      <w:r w:rsidRPr="00210E9F">
        <w:rPr>
          <w:rFonts w:eastAsia="Times New Roman" w:cs="Arial"/>
          <w:color w:val="000000"/>
          <w:lang w:eastAsia="bg-BG"/>
        </w:rPr>
        <w:t>трябва да се инжектира интравенозно, в продължение на най-малко 3 минути. Цялото неизползвано количество трябва да се изхвърли.</w:t>
      </w:r>
    </w:p>
    <w:p w14:paraId="3DDB74FC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60D1CC3" w14:textId="1FC40408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10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0015334B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1,25 </w:t>
      </w:r>
      <w:r w:rsidRPr="00210E9F">
        <w:rPr>
          <w:rFonts w:eastAsia="Times New Roman" w:cs="Arial"/>
          <w:color w:val="000000"/>
          <w:lang w:val="en-US"/>
        </w:rPr>
        <w:t xml:space="preserve">ml </w:t>
      </w:r>
      <w:r w:rsidRPr="00210E9F">
        <w:rPr>
          <w:rFonts w:eastAsia="Times New Roman" w:cs="Arial"/>
          <w:color w:val="000000"/>
          <w:lang w:eastAsia="bg-BG"/>
        </w:rPr>
        <w:t xml:space="preserve">от приготвения разтвор (8 </w:t>
      </w:r>
      <w:r w:rsidRPr="00210E9F">
        <w:rPr>
          <w:rFonts w:eastAsia="Times New Roman" w:cs="Arial"/>
          <w:color w:val="000000"/>
          <w:lang w:val="en-US"/>
        </w:rPr>
        <w:t xml:space="preserve">mg/ml) </w:t>
      </w:r>
      <w:r w:rsidRPr="00210E9F">
        <w:rPr>
          <w:rFonts w:eastAsia="Times New Roman" w:cs="Arial"/>
          <w:color w:val="000000"/>
          <w:lang w:eastAsia="bg-BG"/>
        </w:rPr>
        <w:t>трябва да се инжектира интравенозно, в продължение на най-малко 3 минути. Цялото неизползвано количество трябва да се изхвърли.</w:t>
      </w:r>
    </w:p>
    <w:p w14:paraId="34955CF3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85D7E8A" w14:textId="521CC3EE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Инфузия</w:t>
      </w:r>
    </w:p>
    <w:p w14:paraId="45CC5A1D" w14:textId="2723BC5E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40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4D2FC521" w14:textId="0263E9C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Приготвеният разтвор трябва да се приложи като интравенозна инфузия в продължение на 10 до</w:t>
      </w:r>
      <w:r w:rsidRPr="00210E9F">
        <w:rPr>
          <w:rFonts w:eastAsia="Times New Roman" w:cs="Arial"/>
          <w:lang w:val="en-US" w:eastAsia="bg-BG"/>
        </w:rPr>
        <w:t xml:space="preserve"> 30 </w:t>
      </w:r>
      <w:r w:rsidRPr="00210E9F">
        <w:rPr>
          <w:rFonts w:eastAsia="Times New Roman" w:cs="Arial"/>
          <w:color w:val="000000"/>
          <w:lang w:eastAsia="bg-BG"/>
        </w:rPr>
        <w:t>минути.</w:t>
      </w:r>
    </w:p>
    <w:p w14:paraId="7D012EEC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CAA526A" w14:textId="611BA7CC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20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6D2874A9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Половината от приготвения разтвор трябва да се приложи като интравенозна инфузия в продължение на 10 до 30 минути. Цялото неизползвано количество трябва да се изхвърли.</w:t>
      </w:r>
    </w:p>
    <w:p w14:paraId="40EEDA7A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4107486" w14:textId="4E0C1783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 xml:space="preserve">Доза от 10 </w:t>
      </w:r>
      <w:r w:rsidRPr="00210E9F">
        <w:rPr>
          <w:rFonts w:eastAsia="Times New Roman" w:cs="Arial"/>
          <w:color w:val="000000"/>
          <w:u w:val="single"/>
          <w:lang w:val="en-US"/>
        </w:rPr>
        <w:t>mg</w:t>
      </w:r>
    </w:p>
    <w:p w14:paraId="5B9D4973" w14:textId="77777777" w:rsidR="00210E9F" w:rsidRPr="00210E9F" w:rsidRDefault="00210E9F" w:rsidP="00210E9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Една четвърт от приготвения разтвор трябва да се приложи като интравенозна инфузия в продължение на 10 до 30 минути. Цялото неизползвано количество трябва да се изхвърли.</w:t>
      </w:r>
    </w:p>
    <w:p w14:paraId="1DDED4D5" w14:textId="77777777" w:rsidR="00210E9F" w:rsidRPr="00210E9F" w:rsidRDefault="00210E9F" w:rsidP="00210E9F"/>
    <w:p w14:paraId="5D9E65DA" w14:textId="39A6A46A" w:rsidR="009F77A4" w:rsidRDefault="002C50EE" w:rsidP="00387A66">
      <w:pPr>
        <w:pStyle w:val="Heading2"/>
      </w:pPr>
      <w:r>
        <w:t>4.3. Противопоказания</w:t>
      </w:r>
    </w:p>
    <w:p w14:paraId="48FE44CF" w14:textId="5DA28BEB" w:rsidR="00210E9F" w:rsidRDefault="00210E9F" w:rsidP="00210E9F"/>
    <w:p w14:paraId="1F261C1B" w14:textId="77777777" w:rsidR="00210E9F" w:rsidRPr="00210E9F" w:rsidRDefault="00210E9F" w:rsidP="00210E9F">
      <w:pPr>
        <w:rPr>
          <w:sz w:val="24"/>
          <w:szCs w:val="24"/>
          <w:lang w:eastAsia="bg-BG"/>
        </w:rPr>
      </w:pPr>
      <w:r w:rsidRPr="00210E9F">
        <w:rPr>
          <w:lang w:eastAsia="bg-BG"/>
        </w:rPr>
        <w:t xml:space="preserve">Свръхчувствителност към </w:t>
      </w:r>
      <w:r w:rsidRPr="00210E9F">
        <w:rPr>
          <w:i/>
          <w:iCs/>
          <w:lang w:eastAsia="bg-BG"/>
        </w:rPr>
        <w:t>активното</w:t>
      </w:r>
      <w:r w:rsidRPr="00210E9F">
        <w:rPr>
          <w:lang w:eastAsia="bg-BG"/>
        </w:rPr>
        <w:t xml:space="preserve"> вещество или към субституирани бензимидазоли, или към някое от помощните вещества на този лекарствен продукт, изброени в точка 6.1.</w:t>
      </w:r>
    </w:p>
    <w:p w14:paraId="173543C2" w14:textId="77777777" w:rsidR="00210E9F" w:rsidRDefault="00210E9F" w:rsidP="00210E9F">
      <w:pPr>
        <w:rPr>
          <w:lang w:eastAsia="bg-BG"/>
        </w:rPr>
      </w:pPr>
    </w:p>
    <w:p w14:paraId="1410EE0F" w14:textId="27B2F387" w:rsidR="00210E9F" w:rsidRPr="00210E9F" w:rsidRDefault="00210E9F" w:rsidP="00210E9F">
      <w:pPr>
        <w:rPr>
          <w:sz w:val="24"/>
          <w:szCs w:val="24"/>
          <w:lang w:eastAsia="bg-BG"/>
        </w:rPr>
      </w:pPr>
      <w:r w:rsidRPr="00210E9F">
        <w:rPr>
          <w:lang w:eastAsia="bg-BG"/>
        </w:rPr>
        <w:t>Езомепразол не трябва да се прилага едновременно с нелфинавир (вж. точка 4.5).</w:t>
      </w:r>
    </w:p>
    <w:p w14:paraId="3FDEA497" w14:textId="77777777" w:rsidR="00210E9F" w:rsidRPr="00210E9F" w:rsidRDefault="00210E9F" w:rsidP="00210E9F"/>
    <w:p w14:paraId="1C27CE53" w14:textId="453E99EB" w:rsidR="009F77A4" w:rsidRDefault="002C50EE" w:rsidP="00387A66">
      <w:pPr>
        <w:pStyle w:val="Heading2"/>
      </w:pPr>
      <w:r>
        <w:t>4.4. Специални предупреждения и предпазни мерки при употреба</w:t>
      </w:r>
    </w:p>
    <w:p w14:paraId="0DA3956E" w14:textId="57A85442" w:rsidR="00210E9F" w:rsidRDefault="00210E9F" w:rsidP="00210E9F"/>
    <w:p w14:paraId="6705B910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При наличие на някакъв тревожен симптом (напр. значителна непреднамерена загуба на тегло, рецидивиращо повръщане, дисфагия, хематемеза или медена) и когато се подозира или е констатирана стомашна язва, трябва да се изключи злокачествено заболяване, тъй като лечението с Езомепразол Полфарма може да облекчи симптомите и да забави диагностицирането.</w:t>
      </w:r>
    </w:p>
    <w:p w14:paraId="31F33409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1998AD4" w14:textId="3851B756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Стомашно-чревни инфекции</w:t>
      </w:r>
    </w:p>
    <w:p w14:paraId="5A6FD60F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lastRenderedPageBreak/>
        <w:t xml:space="preserve">Лечението с инхибитори на протонната помпа може да доведе до леко повишаване на риска от стомашно-чревни инфекции като </w:t>
      </w:r>
      <w:r w:rsidRPr="00210E9F">
        <w:rPr>
          <w:rFonts w:eastAsia="Times New Roman" w:cs="Arial"/>
          <w:i/>
          <w:iCs/>
          <w:color w:val="000000"/>
          <w:lang w:val="en-US"/>
        </w:rPr>
        <w:t>Salmonella</w:t>
      </w:r>
      <w:r w:rsidRPr="00210E9F">
        <w:rPr>
          <w:rFonts w:eastAsia="Times New Roman" w:cs="Arial"/>
          <w:color w:val="000000"/>
          <w:lang w:val="en-US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 xml:space="preserve">и </w:t>
      </w:r>
      <w:r w:rsidRPr="00210E9F">
        <w:rPr>
          <w:rFonts w:eastAsia="Times New Roman" w:cs="Arial"/>
          <w:i/>
          <w:iCs/>
          <w:color w:val="000000"/>
          <w:lang w:val="en-US"/>
        </w:rPr>
        <w:t>Campylobacter</w:t>
      </w:r>
      <w:r w:rsidRPr="00210E9F">
        <w:rPr>
          <w:rFonts w:eastAsia="Times New Roman" w:cs="Arial"/>
          <w:color w:val="000000"/>
          <w:lang w:val="en-US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>(вж. точка 5.1).</w:t>
      </w:r>
    </w:p>
    <w:p w14:paraId="1C03C045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F73DEA2" w14:textId="5A201648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Абсорбция на витамин В12</w:t>
      </w:r>
    </w:p>
    <w:p w14:paraId="6B30B6E1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Езомепразол, както всички лекарства, блокиращи стомашна киселина, могат да намалят абсорбцията на витамин В12 (цианокобаламин), поради хипо- или ахлохидрия. Това трябва да се има предвид при пациенти с намалени телесни запаси или с рискови фактори за намалена абсорбция на витамин В12 при дългосрочна терапия.</w:t>
      </w:r>
    </w:p>
    <w:p w14:paraId="62A81CEA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6E4C143" w14:textId="56F3D10F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Хипамагнезиемия</w:t>
      </w:r>
    </w:p>
    <w:p w14:paraId="50D6F3FE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Тежка хипомагнезиемия е съобщавана при пациенти лекувани с инхибитори на протонната помпа </w:t>
      </w:r>
      <w:r w:rsidRPr="00210E9F">
        <w:rPr>
          <w:rFonts w:eastAsia="Times New Roman" w:cs="Arial"/>
          <w:color w:val="000000"/>
          <w:lang w:val="en-US"/>
        </w:rPr>
        <w:t xml:space="preserve">(PPIs), </w:t>
      </w:r>
      <w:r w:rsidRPr="00210E9F">
        <w:rPr>
          <w:rFonts w:eastAsia="Times New Roman" w:cs="Arial"/>
          <w:color w:val="000000"/>
          <w:lang w:eastAsia="bg-BG"/>
        </w:rPr>
        <w:t xml:space="preserve">като езомепразол най-малко три месеца, а в повече от случаите година. Може да са налице тежки прояви на хипомагнезиемия като умора, тетания, делир, гърчове, замаяност и камерна аритмия, като те може да започнат незабелязано и да бъдат пренебрегнати. При повече от засегнатите пациенти, хипомагнезиемията се подобрява след компенсиране понижението на магнезий и преустановяване приема на инхибитора на протонната помпа </w:t>
      </w:r>
      <w:r w:rsidRPr="00210E9F">
        <w:rPr>
          <w:rFonts w:eastAsia="Times New Roman" w:cs="Arial"/>
          <w:color w:val="000000"/>
          <w:lang w:val="en-US"/>
        </w:rPr>
        <w:t>(PPI).</w:t>
      </w:r>
    </w:p>
    <w:p w14:paraId="615B2A24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При пациентите, при които се очаква продължително лечение или които приемат </w:t>
      </w:r>
      <w:r w:rsidRPr="00210E9F">
        <w:rPr>
          <w:rFonts w:eastAsia="Times New Roman" w:cs="Arial"/>
          <w:color w:val="000000"/>
          <w:lang w:val="en-US"/>
        </w:rPr>
        <w:t xml:space="preserve">PPIs </w:t>
      </w:r>
      <w:r w:rsidRPr="00210E9F">
        <w:rPr>
          <w:rFonts w:eastAsia="Times New Roman" w:cs="Arial"/>
          <w:color w:val="000000"/>
          <w:lang w:eastAsia="bg-BG"/>
        </w:rPr>
        <w:t xml:space="preserve">заедно с дигоксин или лекарствени продукти, които може да доведат до хипомагнезиемия (напр. диуретици), е необходимо измерване нивата на магнезий преди започване на лечението с </w:t>
      </w:r>
      <w:r w:rsidRPr="00210E9F">
        <w:rPr>
          <w:rFonts w:eastAsia="Times New Roman" w:cs="Arial"/>
          <w:color w:val="000000"/>
          <w:lang w:val="en-US"/>
        </w:rPr>
        <w:t xml:space="preserve">PPI </w:t>
      </w:r>
      <w:r w:rsidRPr="00210E9F">
        <w:rPr>
          <w:rFonts w:eastAsia="Times New Roman" w:cs="Arial"/>
          <w:color w:val="000000"/>
          <w:lang w:eastAsia="bg-BG"/>
        </w:rPr>
        <w:t>и периодично по време на лечението.</w:t>
      </w:r>
    </w:p>
    <w:p w14:paraId="12AD09F5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16CA33D" w14:textId="666A2F7F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Риск от фрактури</w:t>
      </w:r>
    </w:p>
    <w:p w14:paraId="3FBF0DD0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Инхибиторите на протонната помпа, особено при прилагането им във високи дози и за продължителен период от време (&gt; 1 година), може в известна степен да повишат риска от фрактури на бедрената кост, китката и гръбначния стълб, предимно при пациенти в старческа възраст или при наличието на други установени рискови фактори. Проследяващи проучвания показват, че инхибиторите на протонната помпа може да повишат общия риск от фрактури с 10- 40%. В някои от случаите това повишение може да се дължи на други рискови фактори. Пациентите с риск от остеопороза трябва да получават съответни грижи, съгласно актуалните клинични препоръки и да приемат необходимите количества витамин </w:t>
      </w:r>
      <w:r w:rsidRPr="00210E9F">
        <w:rPr>
          <w:rFonts w:eastAsia="Times New Roman" w:cs="Arial"/>
          <w:color w:val="000000"/>
          <w:lang w:val="en-US"/>
        </w:rPr>
        <w:t xml:space="preserve">D </w:t>
      </w:r>
      <w:r w:rsidRPr="00210E9F">
        <w:rPr>
          <w:rFonts w:eastAsia="Times New Roman" w:cs="Arial"/>
          <w:color w:val="000000"/>
          <w:lang w:eastAsia="bg-BG"/>
        </w:rPr>
        <w:t>и калций.</w:t>
      </w:r>
    </w:p>
    <w:p w14:paraId="7607488C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F81B650" w14:textId="1363C849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Подостър кожен лупус еритематозус (ПКЛЕ)</w:t>
      </w:r>
    </w:p>
    <w:p w14:paraId="3A325243" w14:textId="77777777" w:rsidR="00210E9F" w:rsidRPr="00210E9F" w:rsidRDefault="00210E9F" w:rsidP="00210E9F">
      <w:pPr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Инхибиторите на протонната помпа в много редки случаи се свързват със случаи на ПКЛЕ. Ако се появят лезии, особено на изложени на слънцето части от кожата и ако са придружени с артралгия, пациентът трябва да потърси незабавно медицинска помощ и медицинските специалисти да прекратят лечението с Езомепразол Полфарма. Появата на ПКЛЕ след лечение с</w:t>
      </w:r>
      <w:r w:rsidRPr="00210E9F">
        <w:rPr>
          <w:rFonts w:eastAsia="Times New Roman" w:cs="Arial"/>
          <w:color w:val="000000"/>
          <w:lang w:val="en-US" w:eastAsia="bg-BG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>инхибитор на протонната помпа може да повиши риска към ПКЛЕ с други инхибитори на протонната помпа.</w:t>
      </w:r>
    </w:p>
    <w:p w14:paraId="212B2098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78AB406" w14:textId="39D0FA9D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Комбинация с други лекарства</w:t>
      </w:r>
    </w:p>
    <w:p w14:paraId="5F29224B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Едновременното приложение на езомепразол с атазанавир не се препоръчва (вж. точка 4.5). Ако комбинирането на атазанавир с инхибитор на протонната помпа се смята за неизбежно, препоръчва се строго клинично мониториране в комбинация с повишаване дозата на атазанавир до 400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със 100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ритонавир; езомепразол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не трябва да се надхвърля.</w:t>
      </w:r>
    </w:p>
    <w:p w14:paraId="20F9DA6F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8158876" w14:textId="3E7EC935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Езомепразол е </w:t>
      </w:r>
      <w:r w:rsidRPr="00210E9F">
        <w:rPr>
          <w:rFonts w:eastAsia="Times New Roman" w:cs="Arial"/>
          <w:color w:val="000000"/>
          <w:lang w:val="en-US"/>
        </w:rPr>
        <w:t xml:space="preserve">CYP2C19 </w:t>
      </w:r>
      <w:r w:rsidRPr="00210E9F">
        <w:rPr>
          <w:rFonts w:eastAsia="Times New Roman" w:cs="Arial"/>
          <w:color w:val="000000"/>
          <w:lang w:eastAsia="bg-BG"/>
        </w:rPr>
        <w:t xml:space="preserve">инхибитор. При започване или приключване на лечение с езомепразол трябва да се има предвид възможността за взаимодействие с лекарствени </w:t>
      </w:r>
      <w:r w:rsidRPr="00210E9F">
        <w:rPr>
          <w:rFonts w:eastAsia="Times New Roman" w:cs="Arial"/>
          <w:color w:val="000000"/>
          <w:lang w:eastAsia="bg-BG"/>
        </w:rPr>
        <w:lastRenderedPageBreak/>
        <w:t xml:space="preserve">продукти, които се метаболизират от </w:t>
      </w:r>
      <w:r w:rsidRPr="00210E9F">
        <w:rPr>
          <w:rFonts w:eastAsia="Times New Roman" w:cs="Arial"/>
          <w:color w:val="000000"/>
          <w:lang w:val="en-US"/>
        </w:rPr>
        <w:t xml:space="preserve">CYP2C19. </w:t>
      </w:r>
      <w:r w:rsidRPr="00210E9F">
        <w:rPr>
          <w:rFonts w:eastAsia="Times New Roman" w:cs="Arial"/>
          <w:color w:val="000000"/>
          <w:lang w:eastAsia="bg-BG"/>
        </w:rPr>
        <w:t>Наблюдавано е взаимодействие между клопидогрел и езомепразол (вж. точка 4.5). Клинично значение на това взаимодействие е неясно. Като предпазна мярка трябва да се избягва едновременната употреба на езомепразол и клопидогрел.</w:t>
      </w:r>
    </w:p>
    <w:p w14:paraId="7F51F16C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D210250" w14:textId="0E8E2C9B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Повлияване на лабораторните резултати</w:t>
      </w:r>
    </w:p>
    <w:p w14:paraId="7662A308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Повишеното ниво на хромогранин </w:t>
      </w:r>
      <w:r w:rsidRPr="00210E9F">
        <w:rPr>
          <w:rFonts w:eastAsia="Times New Roman" w:cs="Arial"/>
          <w:color w:val="000000"/>
          <w:lang w:val="en-US"/>
        </w:rPr>
        <w:t>A (</w:t>
      </w:r>
      <w:proofErr w:type="spellStart"/>
      <w:r w:rsidRPr="00210E9F">
        <w:rPr>
          <w:rFonts w:eastAsia="Times New Roman" w:cs="Arial"/>
          <w:color w:val="000000"/>
          <w:lang w:val="en-US"/>
        </w:rPr>
        <w:t>CgA</w:t>
      </w:r>
      <w:proofErr w:type="spellEnd"/>
      <w:r w:rsidRPr="00210E9F">
        <w:rPr>
          <w:rFonts w:eastAsia="Times New Roman" w:cs="Arial"/>
          <w:color w:val="000000"/>
          <w:lang w:val="en-US"/>
        </w:rPr>
        <w:t xml:space="preserve">) </w:t>
      </w:r>
      <w:r w:rsidRPr="00210E9F">
        <w:rPr>
          <w:rFonts w:eastAsia="Times New Roman" w:cs="Arial"/>
          <w:color w:val="000000"/>
          <w:lang w:eastAsia="bg-BG"/>
        </w:rPr>
        <w:t xml:space="preserve">може да повлияе на изследванията за невроендокринни тумори. За да се избегне това взаимодействие, лечението с Езомепразол Полфарма трябва да се спре временно най-малко за 5 дни преди определянето на </w:t>
      </w:r>
      <w:proofErr w:type="spellStart"/>
      <w:r w:rsidRPr="00210E9F">
        <w:rPr>
          <w:rFonts w:eastAsia="Times New Roman" w:cs="Arial"/>
          <w:color w:val="000000"/>
          <w:lang w:val="en-US"/>
        </w:rPr>
        <w:t>CgA</w:t>
      </w:r>
      <w:proofErr w:type="spellEnd"/>
      <w:r w:rsidRPr="00210E9F">
        <w:rPr>
          <w:rFonts w:eastAsia="Times New Roman" w:cs="Arial"/>
          <w:color w:val="000000"/>
          <w:lang w:val="en-US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 xml:space="preserve">(вж. точка 5.1). Ако нивата на </w:t>
      </w:r>
      <w:proofErr w:type="spellStart"/>
      <w:r w:rsidRPr="00210E9F">
        <w:rPr>
          <w:rFonts w:eastAsia="Times New Roman" w:cs="Arial"/>
          <w:color w:val="000000"/>
          <w:lang w:val="en-US"/>
        </w:rPr>
        <w:t>CgA</w:t>
      </w:r>
      <w:proofErr w:type="spellEnd"/>
      <w:r w:rsidRPr="00210E9F">
        <w:rPr>
          <w:rFonts w:eastAsia="Times New Roman" w:cs="Arial"/>
          <w:color w:val="000000"/>
          <w:lang w:val="en-US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>и гастрина не са се възстановили в референтните си граници след началното определяне, измерването трябва да бъде повторено 14 дни след спиране на лечението с инхибитор на протонната помпа.</w:t>
      </w:r>
    </w:p>
    <w:p w14:paraId="10C3B18B" w14:textId="77777777" w:rsidR="00210E9F" w:rsidRPr="00210E9F" w:rsidRDefault="00210E9F" w:rsidP="00210E9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115605E" w14:textId="05A7C881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b/>
          <w:bCs/>
          <w:color w:val="000000"/>
          <w:lang w:eastAsia="bg-BG"/>
        </w:rPr>
        <w:t>Натрий</w:t>
      </w:r>
    </w:p>
    <w:p w14:paraId="6C1ED6BB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Този лекарствен съдържа по-малко от 1 </w:t>
      </w:r>
      <w:r w:rsidRPr="00210E9F">
        <w:rPr>
          <w:rFonts w:eastAsia="Times New Roman" w:cs="Arial"/>
          <w:color w:val="000000"/>
          <w:lang w:val="en-US"/>
        </w:rPr>
        <w:t xml:space="preserve">mmol </w:t>
      </w:r>
      <w:r w:rsidRPr="00210E9F">
        <w:rPr>
          <w:rFonts w:eastAsia="Times New Roman" w:cs="Arial"/>
          <w:color w:val="000000"/>
          <w:lang w:eastAsia="bg-BG"/>
        </w:rPr>
        <w:t xml:space="preserve">натрий (23 </w:t>
      </w:r>
      <w:r w:rsidRPr="00210E9F">
        <w:rPr>
          <w:rFonts w:eastAsia="Times New Roman" w:cs="Arial"/>
          <w:color w:val="000000"/>
          <w:lang w:val="en-US"/>
        </w:rPr>
        <w:t xml:space="preserve">mg) </w:t>
      </w:r>
      <w:r w:rsidRPr="00210E9F">
        <w:rPr>
          <w:rFonts w:eastAsia="Times New Roman" w:cs="Arial"/>
          <w:color w:val="000000"/>
          <w:lang w:eastAsia="bg-BG"/>
        </w:rPr>
        <w:t>във всеки флакон, т.е. може да се каже, че практически не съдържа натрий.</w:t>
      </w:r>
    </w:p>
    <w:p w14:paraId="6FB543C3" w14:textId="2C3DA88C" w:rsidR="00210E9F" w:rsidRPr="00210E9F" w:rsidRDefault="00210E9F" w:rsidP="00210E9F">
      <w:pPr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Този лекарствен продукт подлежи на разреждане - вижте точка 6.6. Съдържанието на натрий в разтворителя трябва да се има предвид, когато се пресмята общото съдържание на натрий в приготвения разтвор на продукта. За по-подробна информация относно натриевото съдържание в разтвора, използван за разреждане на продукта, отнесете се до кратката му характеристика.</w:t>
      </w:r>
    </w:p>
    <w:p w14:paraId="5477BCA1" w14:textId="77777777" w:rsidR="00210E9F" w:rsidRPr="00210E9F" w:rsidRDefault="00210E9F" w:rsidP="00210E9F">
      <w:pPr>
        <w:rPr>
          <w:lang w:val="en-US"/>
        </w:rPr>
      </w:pPr>
    </w:p>
    <w:p w14:paraId="1DA47448" w14:textId="108C480E" w:rsidR="009F77A4" w:rsidRDefault="002C50EE" w:rsidP="00387A66">
      <w:pPr>
        <w:pStyle w:val="Heading2"/>
      </w:pPr>
      <w:r>
        <w:t>4.5. Взаимодействие с други лекарствени продукти и други форми на</w:t>
      </w:r>
      <w:r w:rsidR="004F1CE7" w:rsidRPr="004F1CE7">
        <w:rPr>
          <w:lang w:val="ru-RU"/>
        </w:rPr>
        <w:t xml:space="preserve"> </w:t>
      </w:r>
      <w:r w:rsidR="004F1CE7">
        <w:t>взаимодействие</w:t>
      </w:r>
    </w:p>
    <w:p w14:paraId="70B4F336" w14:textId="68E34C4F" w:rsidR="00210E9F" w:rsidRDefault="00210E9F" w:rsidP="00210E9F"/>
    <w:p w14:paraId="68AD9958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b/>
          <w:bCs/>
          <w:color w:val="000000"/>
          <w:lang w:eastAsia="bg-BG"/>
        </w:rPr>
        <w:t>Ефекти на езомепразол върху фармакокинетиката на други лекарствени продукти</w:t>
      </w:r>
    </w:p>
    <w:p w14:paraId="16A345BF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6E0BC54" w14:textId="6C3A60DF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Протеазни инхибитори</w:t>
      </w:r>
    </w:p>
    <w:p w14:paraId="56A5C9EA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Има съобщения за взаимодействие на омепразол с някои протеазни инхибитори. Клиничното значение и механизмите, които стоят зад тези докладвани взаимодействия, не винаги са известни. Повишеното </w:t>
      </w:r>
      <w:r w:rsidRPr="00210E9F">
        <w:rPr>
          <w:rFonts w:eastAsia="Times New Roman" w:cs="Arial"/>
          <w:color w:val="000000"/>
          <w:lang w:val="en-US"/>
        </w:rPr>
        <w:t xml:space="preserve">pH </w:t>
      </w:r>
      <w:r w:rsidRPr="00210E9F">
        <w:rPr>
          <w:rFonts w:eastAsia="Times New Roman" w:cs="Arial"/>
          <w:color w:val="000000"/>
          <w:lang w:eastAsia="bg-BG"/>
        </w:rPr>
        <w:t xml:space="preserve">на стомаха по време на лечение с омепразол може да промени абсорбцията на протеазните инхибитори. Други възможни механизми за взаимодействие са чрез инхибиране на </w:t>
      </w:r>
      <w:r w:rsidRPr="00210E9F">
        <w:rPr>
          <w:rFonts w:eastAsia="Times New Roman" w:cs="Arial"/>
          <w:color w:val="000000"/>
          <w:lang w:val="en-US"/>
        </w:rPr>
        <w:t xml:space="preserve">CYP </w:t>
      </w:r>
      <w:r w:rsidRPr="00210E9F">
        <w:rPr>
          <w:rFonts w:eastAsia="Times New Roman" w:cs="Arial"/>
          <w:color w:val="000000"/>
          <w:lang w:eastAsia="bg-BG"/>
        </w:rPr>
        <w:t xml:space="preserve">2С19. Има съобщения за намаляване на серумните нива, когато атазанавир и нелфинавир са прилагани заедно с омепразол, и едновременното им приложение не се препоръчва. Едновременното приложение на омепразол (40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веднъж дневно) с атазанавир 300 </w:t>
      </w:r>
      <w:r w:rsidRPr="00210E9F">
        <w:rPr>
          <w:rFonts w:eastAsia="Times New Roman" w:cs="Arial"/>
          <w:color w:val="000000"/>
          <w:lang w:val="en-US"/>
        </w:rPr>
        <w:t>mg</w:t>
      </w:r>
      <w:r w:rsidRPr="00210E9F">
        <w:rPr>
          <w:rFonts w:eastAsia="Times New Roman" w:cs="Arial"/>
          <w:color w:val="000000"/>
          <w:lang w:eastAsia="bg-BG"/>
        </w:rPr>
        <w:t xml:space="preserve">/ритонавир 100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при здрави доброволци е довело до значително понижаване на експозицията на атазанавир (приблизително 75% понижена </w:t>
      </w:r>
      <w:r w:rsidRPr="00210E9F">
        <w:rPr>
          <w:rFonts w:eastAsia="Times New Roman" w:cs="Arial"/>
          <w:color w:val="000000"/>
          <w:lang w:val="en-US"/>
        </w:rPr>
        <w:t xml:space="preserve">AUC, </w:t>
      </w:r>
      <w:r w:rsidRPr="00210E9F">
        <w:rPr>
          <w:rFonts w:eastAsia="Times New Roman" w:cs="Arial"/>
          <w:color w:val="000000"/>
          <w:lang w:eastAsia="bg-BG"/>
        </w:rPr>
        <w:t>С</w:t>
      </w:r>
      <w:r w:rsidRPr="00210E9F">
        <w:rPr>
          <w:rFonts w:eastAsia="Times New Roman" w:cs="Arial"/>
          <w:color w:val="000000"/>
          <w:vertAlign w:val="subscript"/>
          <w:lang w:val="en-US"/>
        </w:rPr>
        <w:t>max</w:t>
      </w:r>
      <w:r w:rsidRPr="00210E9F">
        <w:rPr>
          <w:rFonts w:eastAsia="Times New Roman" w:cs="Arial"/>
          <w:color w:val="000000"/>
          <w:lang w:eastAsia="bg-BG"/>
        </w:rPr>
        <w:t xml:space="preserve"> и С</w:t>
      </w:r>
      <w:r w:rsidRPr="00210E9F">
        <w:rPr>
          <w:rFonts w:eastAsia="Times New Roman" w:cs="Arial"/>
          <w:color w:val="000000"/>
          <w:vertAlign w:val="subscript"/>
          <w:lang w:val="en-US"/>
        </w:rPr>
        <w:t>min</w:t>
      </w:r>
      <w:r w:rsidRPr="00210E9F">
        <w:rPr>
          <w:rFonts w:eastAsia="Times New Roman" w:cs="Arial"/>
          <w:color w:val="000000"/>
          <w:lang w:eastAsia="bg-BG"/>
        </w:rPr>
        <w:t xml:space="preserve">). Увеличението на дозата на атазанавир до 400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не компенсира влиянието на омепразол върху експозицията на атазанавир. Едновременното приложение на омепразол (20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дневно) с атазанавир 400 </w:t>
      </w:r>
      <w:r w:rsidRPr="00210E9F">
        <w:rPr>
          <w:rFonts w:eastAsia="Times New Roman" w:cs="Arial"/>
          <w:color w:val="000000"/>
          <w:lang w:val="en-US"/>
        </w:rPr>
        <w:t>mg</w:t>
      </w:r>
      <w:r w:rsidRPr="00210E9F">
        <w:rPr>
          <w:rFonts w:eastAsia="Times New Roman" w:cs="Arial"/>
          <w:color w:val="000000"/>
          <w:lang w:eastAsia="bg-BG"/>
        </w:rPr>
        <w:t xml:space="preserve">/ритонавир 100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при здрави доброволци е довело до намаляване от около 30% в експозицията на атазанавир, в сравнение с експозицията, наблюдавана при атазанавир 300 </w:t>
      </w:r>
      <w:r w:rsidRPr="00210E9F">
        <w:rPr>
          <w:rFonts w:eastAsia="Times New Roman" w:cs="Arial"/>
          <w:color w:val="000000"/>
          <w:lang w:val="en-US"/>
        </w:rPr>
        <w:t>mg</w:t>
      </w:r>
      <w:r w:rsidRPr="00210E9F">
        <w:rPr>
          <w:rFonts w:eastAsia="Times New Roman" w:cs="Arial"/>
          <w:color w:val="000000"/>
          <w:lang w:eastAsia="bg-BG"/>
        </w:rPr>
        <w:t xml:space="preserve">/ритонавир 100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дневно без омепразол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дневно. Едновременното приложение на омепразол (40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дневно) намалява средната </w:t>
      </w:r>
      <w:r w:rsidRPr="00210E9F">
        <w:rPr>
          <w:rFonts w:eastAsia="Times New Roman" w:cs="Arial"/>
          <w:color w:val="000000"/>
          <w:lang w:val="en-US"/>
        </w:rPr>
        <w:t xml:space="preserve">AUC </w:t>
      </w:r>
      <w:r w:rsidRPr="00210E9F">
        <w:rPr>
          <w:rFonts w:eastAsia="Times New Roman" w:cs="Arial"/>
          <w:color w:val="000000"/>
          <w:lang w:eastAsia="bg-BG"/>
        </w:rPr>
        <w:t>на нелфинавир, С</w:t>
      </w:r>
      <w:r w:rsidRPr="00210E9F">
        <w:rPr>
          <w:rFonts w:eastAsia="Times New Roman" w:cs="Arial"/>
          <w:color w:val="000000"/>
          <w:vertAlign w:val="subscript"/>
          <w:lang w:val="en-US"/>
        </w:rPr>
        <w:t>max</w:t>
      </w:r>
      <w:r w:rsidRPr="00210E9F">
        <w:rPr>
          <w:rFonts w:eastAsia="Times New Roman" w:cs="Arial"/>
          <w:color w:val="000000"/>
          <w:lang w:eastAsia="bg-BG"/>
        </w:rPr>
        <w:t xml:space="preserve"> и С</w:t>
      </w:r>
      <w:r w:rsidRPr="00210E9F">
        <w:rPr>
          <w:rFonts w:eastAsia="Times New Roman" w:cs="Arial"/>
          <w:color w:val="000000"/>
          <w:vertAlign w:val="subscript"/>
          <w:lang w:val="en-US"/>
        </w:rPr>
        <w:t>min</w:t>
      </w:r>
      <w:r w:rsidRPr="00210E9F">
        <w:rPr>
          <w:rFonts w:eastAsia="Times New Roman" w:cs="Arial"/>
          <w:color w:val="000000"/>
          <w:lang w:eastAsia="bg-BG"/>
        </w:rPr>
        <w:t xml:space="preserve"> с 36-39%, а средната </w:t>
      </w:r>
      <w:r w:rsidRPr="00210E9F">
        <w:rPr>
          <w:rFonts w:eastAsia="Times New Roman" w:cs="Arial"/>
          <w:color w:val="000000"/>
          <w:lang w:val="en-US"/>
        </w:rPr>
        <w:t xml:space="preserve">AUC, </w:t>
      </w:r>
      <w:r w:rsidRPr="00210E9F">
        <w:rPr>
          <w:rFonts w:eastAsia="Times New Roman" w:cs="Arial"/>
          <w:color w:val="000000"/>
          <w:lang w:eastAsia="bg-BG"/>
        </w:rPr>
        <w:t>С</w:t>
      </w:r>
      <w:r w:rsidRPr="00210E9F">
        <w:rPr>
          <w:rFonts w:eastAsia="Times New Roman" w:cs="Arial"/>
          <w:color w:val="000000"/>
          <w:vertAlign w:val="subscript"/>
          <w:lang w:val="en-US"/>
        </w:rPr>
        <w:t>max</w:t>
      </w:r>
      <w:r w:rsidRPr="00210E9F">
        <w:rPr>
          <w:rFonts w:eastAsia="Times New Roman" w:cs="Arial"/>
          <w:color w:val="000000"/>
          <w:lang w:eastAsia="bg-BG"/>
        </w:rPr>
        <w:t xml:space="preserve"> и С</w:t>
      </w:r>
      <w:r w:rsidRPr="00210E9F">
        <w:rPr>
          <w:rFonts w:eastAsia="Times New Roman" w:cs="Arial"/>
          <w:color w:val="000000"/>
          <w:vertAlign w:val="subscript"/>
          <w:lang w:val="en-US"/>
        </w:rPr>
        <w:t>min</w:t>
      </w:r>
      <w:r w:rsidRPr="00210E9F">
        <w:rPr>
          <w:rFonts w:eastAsia="Times New Roman" w:cs="Arial"/>
          <w:color w:val="000000"/>
          <w:lang w:eastAsia="bg-BG"/>
        </w:rPr>
        <w:t xml:space="preserve"> за фармакологично активен метаболит М8 е намалена с 75-92%. Поради подобни фармакодинамични ефекти и фармакокинетични свойства на омепразол и езомепразол, едновременното приложение на езомепразол с атазанавир не се препоръчва (вж. точка 4.4), и едновременна употреба на езомепразол с нелфинавир е противопоказано (вж.точка 4.3).</w:t>
      </w:r>
    </w:p>
    <w:p w14:paraId="72F36FE7" w14:textId="10B7783F" w:rsidR="00210E9F" w:rsidRPr="00210E9F" w:rsidRDefault="00210E9F" w:rsidP="00210E9F">
      <w:pPr>
        <w:rPr>
          <w:rFonts w:cs="Arial"/>
        </w:rPr>
      </w:pPr>
    </w:p>
    <w:p w14:paraId="7BD071C7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lastRenderedPageBreak/>
        <w:t xml:space="preserve">За саквинавир (при едновременно приложение на ритонавир) е съобщено повишаване на серумните нива (80-100%) по време на едновременно лечение с омепразол (40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дневно). Лечението с омепразол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дневно не се отразява на експозицията на дарунавир (при едновременно приложение на ритонавир) и ампренавир (при едновременно приложение на ритонавир). Лечението с езомепразол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дневно не се отразява на експозицията на ампренавир (с или без съпътстващо приложение на ритонавир). Лечението с омепразол 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дневно не се отразява на експозицията на лопинавир (при едновременно приложение на ритонавир).</w:t>
      </w:r>
    </w:p>
    <w:p w14:paraId="146850E3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6A9E9FD" w14:textId="27160FC9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Метотрексат</w:t>
      </w:r>
    </w:p>
    <w:p w14:paraId="3F824AC7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Има съобщения, че при едновременно приложение на метотрексат с ИПП, при някои пациенти нивата на метотрексат се повишават. При приложение на висока доза мететрексат може да се наложи обмисляне на временно спиране на приложението на езомепразол.</w:t>
      </w:r>
    </w:p>
    <w:p w14:paraId="2591BFF9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47B9328" w14:textId="00F3D728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Такролимус</w:t>
      </w:r>
    </w:p>
    <w:p w14:paraId="13C9175D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Има съобщения, че при едновременно приложение с езомепразол, серумната концентрация на такролимус се повишава. Трябва да се провежда по-строго проследяване на серумната концентрация на такролимус, какго и да се следи бъбречната функция (креатининовия клирънс), а при нужда да се коригира дозата на такролимус.</w:t>
      </w:r>
    </w:p>
    <w:p w14:paraId="044B0FF9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491F63F" w14:textId="637E6DE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 xml:space="preserve">Лекарствени продукти с </w:t>
      </w:r>
      <w:r w:rsidRPr="00210E9F">
        <w:rPr>
          <w:rFonts w:eastAsia="Times New Roman" w:cs="Arial"/>
          <w:i/>
          <w:iCs/>
          <w:color w:val="000000"/>
          <w:lang w:val="en-US"/>
        </w:rPr>
        <w:t>pH</w:t>
      </w:r>
      <w:r w:rsidRPr="00210E9F">
        <w:rPr>
          <w:rFonts w:eastAsia="Times New Roman" w:cs="Arial"/>
          <w:i/>
          <w:iCs/>
          <w:color w:val="000000"/>
          <w:lang w:eastAsia="bg-BG"/>
        </w:rPr>
        <w:t>-зависима абсорбция</w:t>
      </w:r>
    </w:p>
    <w:p w14:paraId="0EA08FDA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Потискането на стомашната киселинност по време на лечение с езомепразол и други инхибитори на протонната помпа може да намали или увеличи резорбцията на лекарства, чиято резорбция е зависима от </w:t>
      </w:r>
      <w:proofErr w:type="spellStart"/>
      <w:r w:rsidRPr="00210E9F">
        <w:rPr>
          <w:rFonts w:eastAsia="Times New Roman" w:cs="Arial"/>
          <w:color w:val="000000"/>
          <w:lang w:val="en-US"/>
        </w:rPr>
        <w:t>pH.</w:t>
      </w:r>
      <w:proofErr w:type="spellEnd"/>
      <w:r w:rsidRPr="00210E9F">
        <w:rPr>
          <w:rFonts w:eastAsia="Times New Roman" w:cs="Arial"/>
          <w:color w:val="000000"/>
          <w:lang w:val="en-US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 xml:space="preserve">Както и при употребата на други лекарства, които понижават интрагастралната киселинност, резорбцията на лекарства като кетоконазол, итраконазол и ерлотиниб може да бъде намалена, докато резорбцията на лекарства като дигоксин може да бъде повишена при лечение с езомепразол. Едновременното приложение на омепразол (20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дневно) и дигоксин при здрави доброволци повишава бионаличността на дигоксин с 10% (до 30% при двама от десет доброволци). За дигоксинова токсичност се съобщава рядко. Независимо от това, когато езомепразол се прилага във високи дози на пациенти в старческа възраст, е необходима предпазливост. Терапевтичното лекарствено мониториране на дигоксин трябва да бъде засилено.</w:t>
      </w:r>
    </w:p>
    <w:p w14:paraId="79688B2B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0BB642E" w14:textId="28239DC6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 xml:space="preserve">Лекарствени продукти, които се метаболизират от </w:t>
      </w:r>
      <w:r w:rsidRPr="00210E9F">
        <w:rPr>
          <w:rFonts w:eastAsia="Times New Roman" w:cs="Arial"/>
          <w:i/>
          <w:iCs/>
          <w:color w:val="000000"/>
          <w:lang w:val="en-US"/>
        </w:rPr>
        <w:t>CYP2C19</w:t>
      </w:r>
    </w:p>
    <w:p w14:paraId="6FFF0536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Езомепразол инхибира </w:t>
      </w:r>
      <w:r w:rsidRPr="00210E9F">
        <w:rPr>
          <w:rFonts w:eastAsia="Times New Roman" w:cs="Arial"/>
          <w:color w:val="000000"/>
          <w:lang w:val="en-US"/>
        </w:rPr>
        <w:t xml:space="preserve">CYP2C19, </w:t>
      </w:r>
      <w:r w:rsidRPr="00210E9F">
        <w:rPr>
          <w:rFonts w:eastAsia="Times New Roman" w:cs="Arial"/>
          <w:color w:val="000000"/>
          <w:lang w:eastAsia="bg-BG"/>
        </w:rPr>
        <w:t xml:space="preserve">основният ензим, метаболизиращ езомепразол. Поради това, когато езомепразол се комбинира с лекарствени продукти, които се метаболизират от </w:t>
      </w:r>
      <w:r w:rsidRPr="00210E9F">
        <w:rPr>
          <w:rFonts w:eastAsia="Times New Roman" w:cs="Arial"/>
          <w:color w:val="000000"/>
          <w:lang w:val="en-US"/>
        </w:rPr>
        <w:t>CYP2C1</w:t>
      </w:r>
      <w:r w:rsidRPr="00210E9F">
        <w:rPr>
          <w:rFonts w:eastAsia="Times New Roman" w:cs="Arial"/>
          <w:color w:val="000000"/>
          <w:lang w:eastAsia="bg-BG"/>
        </w:rPr>
        <w:t xml:space="preserve">9, като диазепам, циталопрам, имипрамин, кломипрамин, фенитони и др., плазмените концентрации на тези лекарствени продукти може да се увеличат и да се наложи намаляване на дозата. Не са провеждани </w:t>
      </w:r>
      <w:r w:rsidRPr="00210E9F">
        <w:rPr>
          <w:rFonts w:eastAsia="Times New Roman" w:cs="Arial"/>
          <w:i/>
          <w:iCs/>
          <w:color w:val="000000"/>
          <w:lang w:val="en-US"/>
        </w:rPr>
        <w:t>in vivo</w:t>
      </w:r>
      <w:r w:rsidRPr="00210E9F">
        <w:rPr>
          <w:rFonts w:eastAsia="Times New Roman" w:cs="Arial"/>
          <w:color w:val="000000"/>
          <w:lang w:val="en-US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 xml:space="preserve">проучвания за взаимодействие при високодозов интравенозен режим (80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+ 8 </w:t>
      </w:r>
      <w:r w:rsidRPr="00210E9F">
        <w:rPr>
          <w:rFonts w:eastAsia="Times New Roman" w:cs="Arial"/>
          <w:color w:val="000000"/>
          <w:lang w:val="en-US"/>
        </w:rPr>
        <w:t xml:space="preserve">mg/h). </w:t>
      </w:r>
      <w:r w:rsidRPr="00210E9F">
        <w:rPr>
          <w:rFonts w:eastAsia="Times New Roman" w:cs="Arial"/>
          <w:color w:val="000000"/>
          <w:lang w:eastAsia="bg-BG"/>
        </w:rPr>
        <w:t xml:space="preserve">По време на този режим ефектът на езомепразол върху лекарствените продукти, които се метаболизират от </w:t>
      </w:r>
      <w:r w:rsidRPr="00210E9F">
        <w:rPr>
          <w:rFonts w:eastAsia="Times New Roman" w:cs="Arial"/>
          <w:color w:val="000000"/>
          <w:lang w:val="en-US"/>
        </w:rPr>
        <w:t xml:space="preserve">CYP2C19 </w:t>
      </w:r>
      <w:r w:rsidRPr="00210E9F">
        <w:rPr>
          <w:rFonts w:eastAsia="Times New Roman" w:cs="Arial"/>
          <w:color w:val="000000"/>
          <w:lang w:eastAsia="bg-BG"/>
        </w:rPr>
        <w:t>може да бъде по-силно изразен и пациентите трябва стриктно да се наблюдават за нежелани реакции в продължение на тридневното интравенозно лечение.</w:t>
      </w:r>
    </w:p>
    <w:p w14:paraId="65000747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577D3EB" w14:textId="4EB0858B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Диазепам</w:t>
      </w:r>
    </w:p>
    <w:p w14:paraId="0109960C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Едновременното перорално приложение на 30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езомепразол е довело до 45% намаление на клирънса на диазепам, субстрат на </w:t>
      </w:r>
      <w:r w:rsidRPr="00210E9F">
        <w:rPr>
          <w:rFonts w:eastAsia="Times New Roman" w:cs="Arial"/>
          <w:color w:val="000000"/>
          <w:lang w:val="en-US"/>
        </w:rPr>
        <w:t>CYP2C19.</w:t>
      </w:r>
    </w:p>
    <w:p w14:paraId="7AA85DCE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7CDFC42" w14:textId="4D240A34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Фенитоин</w:t>
      </w:r>
    </w:p>
    <w:p w14:paraId="67649061" w14:textId="77777777" w:rsidR="00210E9F" w:rsidRPr="00210E9F" w:rsidRDefault="00210E9F" w:rsidP="00210E9F">
      <w:pPr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lastRenderedPageBreak/>
        <w:t xml:space="preserve">Едновременното перорално приложение на 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езомепразол и фенитоин е довело до 13% увеличение на най-ниските плазмени нива на фенитоин при пациенти с епилепсия. Препоъчва</w:t>
      </w:r>
      <w:r w:rsidRPr="00210E9F">
        <w:rPr>
          <w:rFonts w:eastAsia="Times New Roman" w:cs="Arial"/>
          <w:color w:val="000000"/>
          <w:lang w:val="en-US" w:eastAsia="bg-BG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>се мониториране на плазмените концентрации на фенитоин при започване или прекъсване на лечението с езомепразол.</w:t>
      </w:r>
    </w:p>
    <w:p w14:paraId="00E0805F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803D612" w14:textId="3DC670C1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Вориконазол</w:t>
      </w:r>
    </w:p>
    <w:p w14:paraId="66383B8A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Омепразол (40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веднъж дневно) повишава С</w:t>
      </w:r>
      <w:r w:rsidRPr="00210E9F">
        <w:rPr>
          <w:rFonts w:eastAsia="Times New Roman" w:cs="Arial"/>
          <w:color w:val="000000"/>
          <w:vertAlign w:val="subscript"/>
          <w:lang w:val="en-US"/>
        </w:rPr>
        <w:t>max</w:t>
      </w:r>
      <w:r w:rsidRPr="00210E9F">
        <w:rPr>
          <w:rFonts w:eastAsia="Times New Roman" w:cs="Arial"/>
          <w:color w:val="000000"/>
          <w:lang w:val="en-US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 xml:space="preserve">И </w:t>
      </w:r>
      <w:r w:rsidRPr="00210E9F">
        <w:rPr>
          <w:rFonts w:eastAsia="Times New Roman" w:cs="Arial"/>
          <w:color w:val="000000"/>
          <w:lang w:val="en-US"/>
        </w:rPr>
        <w:t xml:space="preserve">AUC </w:t>
      </w:r>
      <w:r w:rsidRPr="00210E9F">
        <w:rPr>
          <w:rFonts w:eastAsia="Times New Roman" w:cs="Arial"/>
          <w:color w:val="000000"/>
          <w:lang w:eastAsia="bg-BG"/>
        </w:rPr>
        <w:t xml:space="preserve">на вориконазол </w:t>
      </w:r>
      <w:r w:rsidRPr="00210E9F">
        <w:rPr>
          <w:rFonts w:eastAsia="Times New Roman" w:cs="Arial"/>
          <w:color w:val="000000"/>
          <w:lang w:val="en-US"/>
        </w:rPr>
        <w:t xml:space="preserve">(CYP2C19 </w:t>
      </w:r>
      <w:r w:rsidRPr="00210E9F">
        <w:rPr>
          <w:rFonts w:eastAsia="Times New Roman" w:cs="Arial"/>
          <w:color w:val="000000"/>
          <w:lang w:eastAsia="bg-BG"/>
        </w:rPr>
        <w:t>субстрат) съответно с 15% и 41%.</w:t>
      </w:r>
    </w:p>
    <w:p w14:paraId="626DCC41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6511685" w14:textId="3FA97156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Цилостазол</w:t>
      </w:r>
    </w:p>
    <w:p w14:paraId="3FD9A9AF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Омепразол, какго и езомепразол, действат като инхибитори на </w:t>
      </w:r>
      <w:r w:rsidRPr="00210E9F">
        <w:rPr>
          <w:rFonts w:eastAsia="Times New Roman" w:cs="Arial"/>
          <w:color w:val="000000"/>
          <w:lang w:val="en-US"/>
        </w:rPr>
        <w:t xml:space="preserve">CYP2C19. </w:t>
      </w:r>
      <w:r w:rsidRPr="00210E9F">
        <w:rPr>
          <w:rFonts w:eastAsia="Times New Roman" w:cs="Arial"/>
          <w:color w:val="000000"/>
          <w:lang w:eastAsia="bg-BG"/>
        </w:rPr>
        <w:t xml:space="preserve">Омепразол, прилаган в едно кръстосано проучване в дози от 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при здрави доброволци, увеличава С</w:t>
      </w:r>
      <w:r w:rsidRPr="00210E9F">
        <w:rPr>
          <w:rFonts w:eastAsia="Times New Roman" w:cs="Arial"/>
          <w:color w:val="000000"/>
          <w:vertAlign w:val="subscript"/>
          <w:lang w:val="en-US"/>
        </w:rPr>
        <w:t>max</w:t>
      </w:r>
      <w:r w:rsidRPr="00210E9F">
        <w:rPr>
          <w:rFonts w:eastAsia="Times New Roman" w:cs="Arial"/>
          <w:color w:val="000000"/>
          <w:lang w:val="en-US"/>
        </w:rPr>
        <w:t xml:space="preserve"> </w:t>
      </w:r>
      <w:r w:rsidRPr="00210E9F">
        <w:rPr>
          <w:rFonts w:eastAsia="Times New Roman" w:cs="Arial"/>
          <w:color w:val="000000"/>
          <w:lang w:eastAsia="bg-BG"/>
        </w:rPr>
        <w:t xml:space="preserve">И </w:t>
      </w:r>
      <w:r w:rsidRPr="00210E9F">
        <w:rPr>
          <w:rFonts w:eastAsia="Times New Roman" w:cs="Arial"/>
          <w:color w:val="000000"/>
          <w:lang w:val="en-US"/>
        </w:rPr>
        <w:t xml:space="preserve">AUC </w:t>
      </w:r>
      <w:r w:rsidRPr="00210E9F">
        <w:rPr>
          <w:rFonts w:eastAsia="Times New Roman" w:cs="Arial"/>
          <w:color w:val="000000"/>
          <w:lang w:eastAsia="bg-BG"/>
        </w:rPr>
        <w:t>на цилостазол съответно с 18% и 26%, а един от неговите активни метаболиги съответно с 29% и 69%.</w:t>
      </w:r>
    </w:p>
    <w:p w14:paraId="5A968367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C4F6F59" w14:textId="2941C104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Цизаприд</w:t>
      </w:r>
    </w:p>
    <w:p w14:paraId="2E6F7BD4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При здрави доброволци едновременното приложение на 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езомепразол и цизаприд е довело до 32% увеличение на площта под кривата плазмена концентрация - време </w:t>
      </w:r>
      <w:r w:rsidRPr="00210E9F">
        <w:rPr>
          <w:rFonts w:eastAsia="Times New Roman" w:cs="Arial"/>
          <w:color w:val="000000"/>
          <w:lang w:val="en-US"/>
        </w:rPr>
        <w:t xml:space="preserve">(AUC) </w:t>
      </w:r>
      <w:r w:rsidRPr="00210E9F">
        <w:rPr>
          <w:rFonts w:eastAsia="Times New Roman" w:cs="Arial"/>
          <w:color w:val="000000"/>
          <w:lang w:eastAsia="bg-BG"/>
        </w:rPr>
        <w:t xml:space="preserve">и до 31% удължаване на плазмения полуживот </w:t>
      </w:r>
      <w:r w:rsidRPr="00210E9F">
        <w:rPr>
          <w:rFonts w:eastAsia="Times New Roman" w:cs="Arial"/>
          <w:color w:val="000000"/>
          <w:lang w:val="en-US"/>
        </w:rPr>
        <w:t>(t</w:t>
      </w:r>
      <w:r w:rsidRPr="00210E9F">
        <w:rPr>
          <w:rFonts w:eastAsia="Times New Roman" w:cs="Arial"/>
          <w:color w:val="000000"/>
          <w:vertAlign w:val="subscript"/>
          <w:lang w:val="en-US"/>
        </w:rPr>
        <w:t>1/2</w:t>
      </w:r>
      <w:r w:rsidRPr="00210E9F">
        <w:rPr>
          <w:rFonts w:eastAsia="Times New Roman" w:cs="Arial"/>
          <w:color w:val="000000"/>
          <w:lang w:eastAsia="bg-BG"/>
        </w:rPr>
        <w:t xml:space="preserve">), но не е наблюдавано значимо увеличение на максималните плазмени нива на цизаприд. Леко увеличеният </w:t>
      </w:r>
      <w:r w:rsidRPr="00210E9F">
        <w:rPr>
          <w:rFonts w:eastAsia="Times New Roman" w:cs="Arial"/>
          <w:color w:val="000000"/>
          <w:lang w:val="en-US"/>
        </w:rPr>
        <w:t xml:space="preserve">QTc </w:t>
      </w:r>
      <w:r w:rsidRPr="00210E9F">
        <w:rPr>
          <w:rFonts w:eastAsia="Times New Roman" w:cs="Arial"/>
          <w:color w:val="000000"/>
          <w:lang w:eastAsia="bg-BG"/>
        </w:rPr>
        <w:t>интервал, наблюдаван след самостоятелно приложен цизаприд, не се е удължил допълнително, когато цизаприд е бил приложен в комбинация с езомепразол.</w:t>
      </w:r>
    </w:p>
    <w:p w14:paraId="26391192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5EE4D56" w14:textId="5B3BF529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Варфарин</w:t>
      </w:r>
    </w:p>
    <w:p w14:paraId="22197D23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Едновременното перорално приложение на 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езомепразол при пациенти, лекувани с варфарин по време на клинично проучване показва, че времето на кръвосъсирване е било в приетите граници. При постмаркетинговото наблюдение с перорално приет езомепразол, обаче, са съобщени няколко изолирани случаи на клинично значимо повишение на </w:t>
      </w:r>
      <w:r w:rsidRPr="00210E9F">
        <w:rPr>
          <w:rFonts w:eastAsia="Times New Roman" w:cs="Arial"/>
          <w:color w:val="000000"/>
          <w:lang w:val="en-US"/>
        </w:rPr>
        <w:t xml:space="preserve">INR </w:t>
      </w:r>
      <w:r w:rsidRPr="00210E9F">
        <w:rPr>
          <w:rFonts w:eastAsia="Times New Roman" w:cs="Arial"/>
          <w:color w:val="000000"/>
          <w:lang w:eastAsia="bg-BG"/>
        </w:rPr>
        <w:t>по време на едновременно лечение. Препоръчва се мониториране в началото и в края на едновременно лечение с варфарин или други кумаринови производни.</w:t>
      </w:r>
    </w:p>
    <w:p w14:paraId="6C1D9575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6E27797" w14:textId="7663C230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Клопидогрел</w:t>
      </w:r>
    </w:p>
    <w:p w14:paraId="7912A774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Резултати от проучвания при здрави доброволци показват фармакокинетично/ фармакодинамично взаимодействие между клопидогрел (300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натоварваща доза/ 75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дневна поддържаща доза) и езомепразол (40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>перорално дневно), което води до намалена експозиция на активния метаболит на клопидогрел средно с 40% и до намаляване на максималната инхибиция на (АДФ индуцирана) тробоцитна агрегация средно с 14%.</w:t>
      </w:r>
    </w:p>
    <w:p w14:paraId="62CCD4F2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AF17E8" w14:textId="45FBAA9B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Когато клопидогрел е прилаган заедно с фиксирана комбинация от езомепразол 20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+ </w:t>
      </w:r>
      <w:r w:rsidRPr="00210E9F">
        <w:rPr>
          <w:rFonts w:eastAsia="Times New Roman" w:cs="Arial"/>
          <w:color w:val="000000"/>
          <w:lang w:val="en-US"/>
        </w:rPr>
        <w:t xml:space="preserve">ACK </w:t>
      </w:r>
      <w:r w:rsidRPr="00210E9F">
        <w:rPr>
          <w:rFonts w:eastAsia="Times New Roman" w:cs="Arial"/>
          <w:color w:val="000000"/>
          <w:lang w:eastAsia="bg-BG"/>
        </w:rPr>
        <w:t xml:space="preserve">81 </w:t>
      </w:r>
      <w:r w:rsidRPr="00210E9F">
        <w:rPr>
          <w:rFonts w:eastAsia="Times New Roman" w:cs="Arial"/>
          <w:color w:val="000000"/>
          <w:lang w:val="en-US"/>
        </w:rPr>
        <w:t xml:space="preserve">mg, </w:t>
      </w:r>
      <w:r w:rsidRPr="00210E9F">
        <w:rPr>
          <w:rFonts w:eastAsia="Times New Roman" w:cs="Arial"/>
          <w:color w:val="000000"/>
          <w:lang w:eastAsia="bg-BG"/>
        </w:rPr>
        <w:t>сравнен със самостоятелно прилагане на клопидогрел в проучване със здрави доброволци, има намалена експозиция на активния метаболит на клопидогрел с почти 40%. Въпреки това, максималните нива на инхибиция на (АДФ индуцирана) тробоцитна агрегация при тези лица е еднаква в групите на клопидогрел и клопидогрел + комбинирания (езомепразол + АСК) продукт. Какго от обсервационни, така и от клинични проучвания, са съобщавани противоречиви данни за фармакокинетично/фармакодинамично взаимодействие на езомепразол по отношение на съществени сърдечно-съдови събития. Като предпазна мярка, едновременно приложение на езомепразол и клопидогрел трябва да се избягва.</w:t>
      </w:r>
    </w:p>
    <w:p w14:paraId="42B62076" w14:textId="77777777" w:rsidR="00210E9F" w:rsidRPr="00210E9F" w:rsidRDefault="00210E9F" w:rsidP="00210E9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67350867" w14:textId="6712438B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b/>
          <w:bCs/>
          <w:color w:val="000000"/>
          <w:lang w:eastAsia="bg-BG"/>
        </w:rPr>
        <w:t>Проучвани лекарствени продукти без клинично значими взаимодействия</w:t>
      </w:r>
    </w:p>
    <w:p w14:paraId="316AF7D2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7890518C" w14:textId="60081719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Амоксицилин или хинидин</w:t>
      </w:r>
    </w:p>
    <w:p w14:paraId="53956AE8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Има данни, че езомепразол няма клинично значими ефекти върху фармакокинетиката на амоксицилин или хинидин.</w:t>
      </w:r>
    </w:p>
    <w:p w14:paraId="1844CF7D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6333AA6" w14:textId="6FB1EFAE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Напроксен или рофекоксиб</w:t>
      </w:r>
    </w:p>
    <w:p w14:paraId="51872B72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Проучванията за оценка на едновременното приложение на езомепразол с напроксен или рофекоксиб, не показват каквито и да е клинично значими фармакокинетични взаимодействия в рамките на краткосрочно проучване.</w:t>
      </w:r>
    </w:p>
    <w:p w14:paraId="5CBF8735" w14:textId="77777777" w:rsidR="00210E9F" w:rsidRPr="00210E9F" w:rsidRDefault="00210E9F" w:rsidP="00210E9F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99AA7E1" w14:textId="5A0068C1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b/>
          <w:bCs/>
          <w:color w:val="000000"/>
          <w:lang w:eastAsia="bg-BG"/>
        </w:rPr>
        <w:t>Влияние на други лекарства върху фармакокинетиката на езомепразол</w:t>
      </w:r>
    </w:p>
    <w:p w14:paraId="173EA9AF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D27390E" w14:textId="548F445E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 xml:space="preserve">Лекарствени продукти, които се инхибират от </w:t>
      </w:r>
      <w:r w:rsidRPr="00210E9F">
        <w:rPr>
          <w:rFonts w:eastAsia="Times New Roman" w:cs="Arial"/>
          <w:i/>
          <w:iCs/>
          <w:color w:val="000000"/>
          <w:lang w:val="en-US"/>
        </w:rPr>
        <w:t xml:space="preserve">CYP2C19 </w:t>
      </w:r>
      <w:r w:rsidRPr="00210E9F">
        <w:rPr>
          <w:rFonts w:eastAsia="Times New Roman" w:cs="Arial"/>
          <w:i/>
          <w:iCs/>
          <w:color w:val="000000"/>
          <w:lang w:eastAsia="bg-BG"/>
        </w:rPr>
        <w:t xml:space="preserve">и/или </w:t>
      </w:r>
      <w:r w:rsidRPr="00210E9F">
        <w:rPr>
          <w:rFonts w:eastAsia="Times New Roman" w:cs="Arial"/>
          <w:i/>
          <w:iCs/>
          <w:color w:val="000000"/>
          <w:lang w:val="en-US"/>
        </w:rPr>
        <w:t>CYP3A4</w:t>
      </w:r>
    </w:p>
    <w:p w14:paraId="74C4B183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Езомепразол се метаболизира от </w:t>
      </w:r>
      <w:r w:rsidRPr="00210E9F">
        <w:rPr>
          <w:rFonts w:eastAsia="Times New Roman" w:cs="Arial"/>
          <w:color w:val="000000"/>
          <w:lang w:val="en-US"/>
        </w:rPr>
        <w:t xml:space="preserve">CYP2C19 </w:t>
      </w:r>
      <w:r w:rsidRPr="00210E9F">
        <w:rPr>
          <w:rFonts w:eastAsia="Times New Roman" w:cs="Arial"/>
          <w:color w:val="000000"/>
          <w:lang w:eastAsia="bg-BG"/>
        </w:rPr>
        <w:t xml:space="preserve">и </w:t>
      </w:r>
      <w:r w:rsidRPr="00210E9F">
        <w:rPr>
          <w:rFonts w:eastAsia="Times New Roman" w:cs="Arial"/>
          <w:color w:val="000000"/>
          <w:lang w:val="en-US"/>
        </w:rPr>
        <w:t xml:space="preserve">CYP3A4. </w:t>
      </w:r>
      <w:r w:rsidRPr="00210E9F">
        <w:rPr>
          <w:rFonts w:eastAsia="Times New Roman" w:cs="Arial"/>
          <w:color w:val="000000"/>
          <w:lang w:eastAsia="bg-BG"/>
        </w:rPr>
        <w:t xml:space="preserve">Едновременното перорално приложение на езомепразол и кларитромицин (500 </w:t>
      </w:r>
      <w:r w:rsidRPr="00210E9F">
        <w:rPr>
          <w:rFonts w:eastAsia="Times New Roman" w:cs="Arial"/>
          <w:color w:val="000000"/>
          <w:lang w:val="en-US"/>
        </w:rPr>
        <w:t xml:space="preserve">mg </w:t>
      </w:r>
      <w:r w:rsidRPr="00210E9F">
        <w:rPr>
          <w:rFonts w:eastAsia="Times New Roman" w:cs="Arial"/>
          <w:color w:val="000000"/>
          <w:lang w:eastAsia="bg-BG"/>
        </w:rPr>
        <w:t xml:space="preserve">два пъти дневно), инхибитор на </w:t>
      </w:r>
      <w:r w:rsidRPr="00210E9F">
        <w:rPr>
          <w:rFonts w:eastAsia="Times New Roman" w:cs="Arial"/>
          <w:color w:val="000000"/>
          <w:lang w:val="en-US"/>
        </w:rPr>
        <w:t xml:space="preserve">CYP3A4, </w:t>
      </w:r>
      <w:r w:rsidRPr="00210E9F">
        <w:rPr>
          <w:rFonts w:eastAsia="Times New Roman" w:cs="Arial"/>
          <w:color w:val="000000"/>
          <w:lang w:eastAsia="bg-BG"/>
        </w:rPr>
        <w:t xml:space="preserve">е довело до удвояване на експозицията </w:t>
      </w:r>
      <w:r w:rsidRPr="00210E9F">
        <w:rPr>
          <w:rFonts w:eastAsia="Times New Roman" w:cs="Arial"/>
          <w:color w:val="000000"/>
          <w:lang w:val="en-US"/>
        </w:rPr>
        <w:t xml:space="preserve">(AUC) </w:t>
      </w:r>
      <w:r w:rsidRPr="00210E9F">
        <w:rPr>
          <w:rFonts w:eastAsia="Times New Roman" w:cs="Arial"/>
          <w:color w:val="000000"/>
          <w:lang w:eastAsia="bg-BG"/>
        </w:rPr>
        <w:t xml:space="preserve">на езомепразол. Едновременното приложение на езомепразол и комбиниран инхибитор на </w:t>
      </w:r>
      <w:r w:rsidRPr="00210E9F">
        <w:rPr>
          <w:rFonts w:eastAsia="Times New Roman" w:cs="Arial"/>
          <w:color w:val="000000"/>
          <w:lang w:val="en-US"/>
        </w:rPr>
        <w:t xml:space="preserve">CYP2C19 </w:t>
      </w:r>
      <w:r w:rsidRPr="00210E9F">
        <w:rPr>
          <w:rFonts w:eastAsia="Times New Roman" w:cs="Arial"/>
          <w:color w:val="000000"/>
          <w:lang w:eastAsia="bg-BG"/>
        </w:rPr>
        <w:t xml:space="preserve">и </w:t>
      </w:r>
      <w:r w:rsidRPr="00210E9F">
        <w:rPr>
          <w:rFonts w:eastAsia="Times New Roman" w:cs="Arial"/>
          <w:color w:val="000000"/>
          <w:lang w:val="en-US"/>
        </w:rPr>
        <w:t xml:space="preserve">CYP3A4, </w:t>
      </w:r>
      <w:r w:rsidRPr="00210E9F">
        <w:rPr>
          <w:rFonts w:eastAsia="Times New Roman" w:cs="Arial"/>
          <w:color w:val="000000"/>
          <w:lang w:eastAsia="bg-BG"/>
        </w:rPr>
        <w:t xml:space="preserve">може да доведе до увеличаване на експозицията на езомепразол повече от два пъти. Инхибиторът на </w:t>
      </w:r>
      <w:r w:rsidRPr="00210E9F">
        <w:rPr>
          <w:rFonts w:eastAsia="Times New Roman" w:cs="Arial"/>
          <w:color w:val="000000"/>
          <w:lang w:val="en-US"/>
        </w:rPr>
        <w:t xml:space="preserve">CYP2C19 </w:t>
      </w:r>
      <w:r w:rsidRPr="00210E9F">
        <w:rPr>
          <w:rFonts w:eastAsia="Times New Roman" w:cs="Arial"/>
          <w:color w:val="000000"/>
          <w:lang w:eastAsia="bg-BG"/>
        </w:rPr>
        <w:t xml:space="preserve">и </w:t>
      </w:r>
      <w:r w:rsidRPr="00210E9F">
        <w:rPr>
          <w:rFonts w:eastAsia="Times New Roman" w:cs="Arial"/>
          <w:color w:val="000000"/>
          <w:lang w:val="en-US"/>
        </w:rPr>
        <w:t xml:space="preserve">CYP3A4 </w:t>
      </w:r>
      <w:r w:rsidRPr="00210E9F">
        <w:rPr>
          <w:rFonts w:eastAsia="Times New Roman" w:cs="Arial"/>
          <w:color w:val="000000"/>
          <w:lang w:eastAsia="bg-BG"/>
        </w:rPr>
        <w:t xml:space="preserve">вориконазол повишава </w:t>
      </w:r>
      <w:r w:rsidRPr="00210E9F">
        <w:rPr>
          <w:rFonts w:eastAsia="Times New Roman" w:cs="Arial"/>
          <w:color w:val="000000"/>
          <w:lang w:val="en-US"/>
        </w:rPr>
        <w:t xml:space="preserve">AUC </w:t>
      </w:r>
      <w:r w:rsidRPr="00210E9F">
        <w:rPr>
          <w:rFonts w:eastAsia="Times New Roman" w:cs="Arial"/>
          <w:color w:val="000000"/>
          <w:lang w:eastAsia="bg-BG"/>
        </w:rPr>
        <w:t>на омепразола с 280%. Коригиране на дозата на езомепразол не е задължително и в двете ситуации. Въпреки това, дозата трябва да се има предвид при пациенти с тежко чернодробно увреждане и при дългосрочно лечение.</w:t>
      </w:r>
    </w:p>
    <w:p w14:paraId="7C52EB4A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8DAF037" w14:textId="3AB2E6F4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 xml:space="preserve">Лекарствени продукти, които индуцират </w:t>
      </w:r>
      <w:r w:rsidRPr="00210E9F">
        <w:rPr>
          <w:rFonts w:eastAsia="Times New Roman" w:cs="Arial"/>
          <w:i/>
          <w:iCs/>
          <w:color w:val="000000"/>
          <w:lang w:val="en-US"/>
        </w:rPr>
        <w:t xml:space="preserve">CYP2C19 </w:t>
      </w:r>
      <w:r w:rsidRPr="00210E9F">
        <w:rPr>
          <w:rFonts w:eastAsia="Times New Roman" w:cs="Arial"/>
          <w:i/>
          <w:iCs/>
          <w:color w:val="000000"/>
          <w:lang w:eastAsia="bg-BG"/>
        </w:rPr>
        <w:t xml:space="preserve">и/или </w:t>
      </w:r>
      <w:r w:rsidRPr="00210E9F">
        <w:rPr>
          <w:rFonts w:eastAsia="Times New Roman" w:cs="Arial"/>
          <w:i/>
          <w:iCs/>
          <w:color w:val="000000"/>
          <w:lang w:val="en-US"/>
        </w:rPr>
        <w:t>CYP3A4</w:t>
      </w:r>
    </w:p>
    <w:p w14:paraId="423E511C" w14:textId="77777777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 xml:space="preserve">Лекарствените продукти, за които е известно, че индуцират </w:t>
      </w:r>
      <w:r w:rsidRPr="00210E9F">
        <w:rPr>
          <w:rFonts w:eastAsia="Times New Roman" w:cs="Arial"/>
          <w:color w:val="000000"/>
          <w:lang w:val="en-US"/>
        </w:rPr>
        <w:t xml:space="preserve">CYP2C19, CYP3A4 </w:t>
      </w:r>
      <w:r w:rsidRPr="00210E9F">
        <w:rPr>
          <w:rFonts w:eastAsia="Times New Roman" w:cs="Arial"/>
          <w:color w:val="000000"/>
          <w:lang w:eastAsia="bg-BG"/>
        </w:rPr>
        <w:t>или и двата ензима (като рифампицин и жълт кантарион), могат да доведат до понижаване на серумните нива на езомепразол, като повишават неговия метаболизъм.</w:t>
      </w:r>
    </w:p>
    <w:p w14:paraId="2EC8A7D8" w14:textId="77777777" w:rsidR="00210E9F" w:rsidRPr="00210E9F" w:rsidRDefault="00210E9F" w:rsidP="00210E9F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BBA84EC" w14:textId="14196F1F" w:rsidR="00210E9F" w:rsidRPr="00210E9F" w:rsidRDefault="00210E9F" w:rsidP="00210E9F">
      <w:pPr>
        <w:spacing w:line="240" w:lineRule="auto"/>
        <w:rPr>
          <w:rFonts w:eastAsia="Times New Roman" w:cs="Arial"/>
          <w:lang w:eastAsia="bg-BG"/>
        </w:rPr>
      </w:pPr>
      <w:r w:rsidRPr="00210E9F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698CC3C7" w14:textId="62DBCA0E" w:rsidR="00210E9F" w:rsidRPr="00210E9F" w:rsidRDefault="00210E9F" w:rsidP="00210E9F">
      <w:pPr>
        <w:rPr>
          <w:rFonts w:eastAsia="Times New Roman" w:cs="Arial"/>
          <w:color w:val="000000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Проучвания за взаимодействие са провеждани само при възрастни.</w:t>
      </w:r>
    </w:p>
    <w:p w14:paraId="24E36AF5" w14:textId="77777777" w:rsidR="00210E9F" w:rsidRPr="00210E9F" w:rsidRDefault="00210E9F" w:rsidP="00210E9F">
      <w:pPr>
        <w:rPr>
          <w:lang w:val="en-US"/>
        </w:rPr>
      </w:pPr>
    </w:p>
    <w:p w14:paraId="48846BBA" w14:textId="3F222BE8" w:rsidR="009F77A4" w:rsidRDefault="002C50EE" w:rsidP="00387A66">
      <w:pPr>
        <w:pStyle w:val="Heading2"/>
      </w:pPr>
      <w:r>
        <w:t>4.6. Фертилитет, бременност и кърмене</w:t>
      </w:r>
    </w:p>
    <w:p w14:paraId="1CFB485D" w14:textId="6F13CC88" w:rsidR="00210E9F" w:rsidRDefault="00210E9F" w:rsidP="00210E9F"/>
    <w:p w14:paraId="0985B2E4" w14:textId="77777777" w:rsidR="00210E9F" w:rsidRPr="00210E9F" w:rsidRDefault="00210E9F" w:rsidP="00210E9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10E9F">
        <w:rPr>
          <w:rFonts w:eastAsia="Times New Roman"/>
          <w:u w:val="single"/>
          <w:lang w:eastAsia="bg-BG"/>
        </w:rPr>
        <w:t>Бременност</w:t>
      </w:r>
    </w:p>
    <w:p w14:paraId="692C786B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Клиничните данните за експозиция на езомепразол по време на бременност са недостатъчни. С рацемичната смес, данните за омепразол върху по-голям брой експонирани бременности от епидимиологичните проучвания не показват малформативни или фетотоксични ефекти. Изследвания при животни с езомепразол не показват директни или индиректни увреждащи ефекти по отношение на ембрионалното/феталното развитие. Изследвания при животни с рацемичната смес не показват директни или индиректни вредни ефекти по отношение на бремеността, раждането или постнаталното развитие. Необходимо е внимание при предписване на Езомепразол Полфарма на бременни жени.</w:t>
      </w:r>
    </w:p>
    <w:p w14:paraId="7F5587A8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A14856C" w14:textId="1A530E3A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Определено количество данни за бременни жени (между 300-1000 изхода от бременности) показват липса на малформативна или фето/неонатална токсичност на езомепразол.</w:t>
      </w:r>
    </w:p>
    <w:p w14:paraId="780183BC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4F774C" w14:textId="0F4227E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lastRenderedPageBreak/>
        <w:t>Проучванията при животни не показват директни или индиректни вредни ефекти по отношение на реподуктивната токсичност (вж. точка 5.3).</w:t>
      </w:r>
    </w:p>
    <w:p w14:paraId="27255276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A06A22" w14:textId="6D27B3B0" w:rsidR="00210E9F" w:rsidRPr="00210E9F" w:rsidRDefault="00210E9F" w:rsidP="00210E9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10E9F">
        <w:rPr>
          <w:rFonts w:eastAsia="Times New Roman"/>
          <w:u w:val="single"/>
          <w:lang w:eastAsia="bg-BG"/>
        </w:rPr>
        <w:t>Кърмене</w:t>
      </w:r>
    </w:p>
    <w:p w14:paraId="6C149E26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Не е известно дали езомепразол се екскретира в кърмата при човека. Информацията за ефектите на езомепразол върху новородени/бебета е недостатъчна. Езомепразол Полфарма не трябва да се използва по време на кърмене.</w:t>
      </w:r>
    </w:p>
    <w:p w14:paraId="734CD22F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E04051F" w14:textId="5DD94584" w:rsidR="00210E9F" w:rsidRPr="00210E9F" w:rsidRDefault="00210E9F" w:rsidP="00210E9F">
      <w:pPr>
        <w:pStyle w:val="Heading3"/>
        <w:rPr>
          <w:rFonts w:eastAsia="Times New Roman"/>
          <w:sz w:val="28"/>
          <w:szCs w:val="28"/>
          <w:u w:val="single"/>
          <w:lang w:eastAsia="bg-BG"/>
        </w:rPr>
      </w:pPr>
      <w:r w:rsidRPr="00210E9F">
        <w:rPr>
          <w:rFonts w:eastAsia="Times New Roman"/>
          <w:u w:val="single"/>
          <w:lang w:eastAsia="bg-BG"/>
        </w:rPr>
        <w:t>Фертилитет</w:t>
      </w:r>
    </w:p>
    <w:p w14:paraId="2B457711" w14:textId="56C11D86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val="en-US" w:eastAsia="bg-BG"/>
        </w:rPr>
      </w:pPr>
      <w:r w:rsidRPr="00210E9F">
        <w:rPr>
          <w:rFonts w:eastAsia="Times New Roman" w:cs="Arial"/>
          <w:color w:val="000000"/>
          <w:lang w:eastAsia="bg-BG"/>
        </w:rPr>
        <w:t>Проучвания с рацемична смес омепразол, подаван перорално при животни, не показват ефект по отношение на фертилитета</w:t>
      </w:r>
      <w:r w:rsidRPr="00210E9F">
        <w:rPr>
          <w:rFonts w:eastAsia="Times New Roman" w:cs="Arial"/>
          <w:color w:val="000000"/>
          <w:lang w:val="en-US" w:eastAsia="bg-BG"/>
        </w:rPr>
        <w:t>.</w:t>
      </w:r>
    </w:p>
    <w:p w14:paraId="659A78D0" w14:textId="77777777" w:rsidR="00210E9F" w:rsidRPr="00210E9F" w:rsidRDefault="00210E9F" w:rsidP="00210E9F"/>
    <w:p w14:paraId="321AAB00" w14:textId="4D9F0C5A" w:rsidR="009F77A4" w:rsidRDefault="002C50EE" w:rsidP="00387A66">
      <w:pPr>
        <w:pStyle w:val="Heading2"/>
      </w:pPr>
      <w:r>
        <w:t>4.7. Ефекти върху способността за шофиране и работа с машини</w:t>
      </w:r>
    </w:p>
    <w:p w14:paraId="69A9B455" w14:textId="2E780057" w:rsidR="00210E9F" w:rsidRDefault="00210E9F" w:rsidP="00210E9F"/>
    <w:p w14:paraId="24591FA4" w14:textId="77777777" w:rsidR="00210E9F" w:rsidRPr="00210E9F" w:rsidRDefault="00210E9F" w:rsidP="00210E9F">
      <w:pPr>
        <w:rPr>
          <w:sz w:val="24"/>
          <w:szCs w:val="24"/>
          <w:lang w:eastAsia="bg-BG"/>
        </w:rPr>
      </w:pPr>
      <w:r w:rsidRPr="00210E9F">
        <w:rPr>
          <w:lang w:eastAsia="bg-BG"/>
        </w:rPr>
        <w:t>Езомепразол Полфарма повлиява в малка степен способността за шофиране и работа с машини</w:t>
      </w:r>
    </w:p>
    <w:p w14:paraId="4CB1CCD1" w14:textId="37BB5193" w:rsidR="00210E9F" w:rsidRDefault="00210E9F" w:rsidP="00210E9F"/>
    <w:p w14:paraId="28353810" w14:textId="553A47B5" w:rsidR="00210E9F" w:rsidRDefault="00210E9F" w:rsidP="00210E9F">
      <w:r>
        <w:t>Съобщавани са нежелани реакции, като замайване (нечесто) и замъглено виждане (нечесто) (вж. точка 4.8). Ако такива се развият, пациентите не трябва да щофират или да работят с машини.</w:t>
      </w:r>
    </w:p>
    <w:p w14:paraId="37DDBE86" w14:textId="77777777" w:rsidR="00210E9F" w:rsidRPr="00210E9F" w:rsidRDefault="00210E9F" w:rsidP="00210E9F"/>
    <w:p w14:paraId="136C86B8" w14:textId="67502199" w:rsidR="009F77A4" w:rsidRDefault="002C50EE" w:rsidP="00387A66">
      <w:pPr>
        <w:pStyle w:val="Heading2"/>
      </w:pPr>
      <w:r>
        <w:t>4.8. Нежелани лекарствени реакции</w:t>
      </w:r>
    </w:p>
    <w:p w14:paraId="0825EAF0" w14:textId="31B2B26F" w:rsidR="00210E9F" w:rsidRDefault="00210E9F" w:rsidP="00210E9F"/>
    <w:p w14:paraId="3104E409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>Обобщение на профила на безопасност</w:t>
      </w:r>
    </w:p>
    <w:p w14:paraId="23AD038D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Сред най-често съобщаваните в клинични проучвания (и също така през постмаркетинговия период) нежелани реакции са главобалие, болка в корема, диария и гадене. В допълнение, профилът на безопасност е сходен за различни лекарствени форми, терапевтични показания, възрастови групи и популации пациенти. Не са идентифицирани дозозависими нежелани лекарствени реакции.</w:t>
      </w:r>
    </w:p>
    <w:p w14:paraId="78974A50" w14:textId="77777777" w:rsidR="00210E9F" w:rsidRPr="00210E9F" w:rsidRDefault="00210E9F" w:rsidP="00210E9F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F6E04FD" w14:textId="207661EB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u w:val="single"/>
          <w:lang w:eastAsia="bg-BG"/>
        </w:rPr>
        <w:t>Табличен вид на нежеланите реакции</w:t>
      </w:r>
    </w:p>
    <w:p w14:paraId="7AC2280C" w14:textId="77777777" w:rsidR="00210E9F" w:rsidRPr="00210E9F" w:rsidRDefault="00210E9F" w:rsidP="00210E9F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210E9F">
        <w:rPr>
          <w:rFonts w:eastAsia="Times New Roman" w:cs="Arial"/>
          <w:color w:val="000000"/>
          <w:lang w:eastAsia="bg-BG"/>
        </w:rPr>
        <w:t>Следните нежелани лекарствени реакции са били идентифицирани или подозирани в програмата за клинично проучване за езомепразол, прилаган перорално или интравенозно, и приложен перорално през постмаркетинговия период. Нежеланите реакции са класифицирани в зависимост от честотата: много чести (≥1/10), чести (≥1/100 до &lt;1/10), нечести (≥1/1 000 до &lt; 1/100), редки (≥1/10 000 до &lt; 1/1 000); много редки (&lt;1/10 000); с неизвестна честота (от наличните данни не може да бъде направена оценка).</w:t>
      </w:r>
    </w:p>
    <w:p w14:paraId="2F741D79" w14:textId="5F55F3AB" w:rsidR="00210E9F" w:rsidRDefault="00210E9F" w:rsidP="00210E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082"/>
        <w:gridCol w:w="3136"/>
      </w:tblGrid>
      <w:tr w:rsidR="00210E9F" w14:paraId="3FAD6A05" w14:textId="77777777" w:rsidTr="004757FC">
        <w:tc>
          <w:tcPr>
            <w:tcW w:w="3166" w:type="dxa"/>
            <w:vAlign w:val="bottom"/>
          </w:tcPr>
          <w:p w14:paraId="4C1F27ED" w14:textId="1D356ED1" w:rsidR="00210E9F" w:rsidRPr="00210E9F" w:rsidRDefault="00210E9F" w:rsidP="00210E9F">
            <w:r w:rsidRPr="00210E9F">
              <w:t>Системо-органен клас</w:t>
            </w:r>
          </w:p>
        </w:tc>
        <w:tc>
          <w:tcPr>
            <w:tcW w:w="3167" w:type="dxa"/>
            <w:vAlign w:val="bottom"/>
          </w:tcPr>
          <w:p w14:paraId="624B8F4E" w14:textId="25E91148" w:rsidR="00210E9F" w:rsidRPr="00210E9F" w:rsidRDefault="00210E9F" w:rsidP="00210E9F">
            <w:r w:rsidRPr="00210E9F">
              <w:t>Честота</w:t>
            </w:r>
          </w:p>
        </w:tc>
        <w:tc>
          <w:tcPr>
            <w:tcW w:w="3167" w:type="dxa"/>
            <w:vAlign w:val="bottom"/>
          </w:tcPr>
          <w:p w14:paraId="07C585DF" w14:textId="7948CA53" w:rsidR="00210E9F" w:rsidRPr="00210E9F" w:rsidRDefault="00210E9F" w:rsidP="00210E9F">
            <w:r w:rsidRPr="00210E9F">
              <w:t>Нежелана реакция</w:t>
            </w:r>
          </w:p>
        </w:tc>
      </w:tr>
      <w:tr w:rsidR="00210E9F" w14:paraId="670A34CF" w14:textId="77777777" w:rsidTr="004757FC">
        <w:tc>
          <w:tcPr>
            <w:tcW w:w="3166" w:type="dxa"/>
            <w:vMerge w:val="restart"/>
            <w:vAlign w:val="bottom"/>
          </w:tcPr>
          <w:p w14:paraId="7AC90985" w14:textId="7886C3D1" w:rsidR="00210E9F" w:rsidRPr="00210E9F" w:rsidRDefault="00210E9F" w:rsidP="00210E9F">
            <w:r w:rsidRPr="00210E9F">
              <w:t xml:space="preserve">Нарушения на кръвта </w:t>
            </w:r>
            <w:r w:rsidRPr="00210E9F">
              <w:rPr>
                <w:i/>
                <w:iCs/>
              </w:rPr>
              <w:t>и</w:t>
            </w:r>
            <w:r w:rsidRPr="00210E9F">
              <w:t xml:space="preserve"> лимфната система</w:t>
            </w:r>
          </w:p>
        </w:tc>
        <w:tc>
          <w:tcPr>
            <w:tcW w:w="3167" w:type="dxa"/>
            <w:vAlign w:val="bottom"/>
          </w:tcPr>
          <w:p w14:paraId="0D7F2D01" w14:textId="651317E5" w:rsidR="00210E9F" w:rsidRPr="00210E9F" w:rsidRDefault="00210E9F" w:rsidP="00210E9F">
            <w:r w:rsidRPr="00210E9F">
              <w:t>Редки</w:t>
            </w:r>
          </w:p>
        </w:tc>
        <w:tc>
          <w:tcPr>
            <w:tcW w:w="3167" w:type="dxa"/>
            <w:vAlign w:val="bottom"/>
          </w:tcPr>
          <w:p w14:paraId="62EE323D" w14:textId="2888867B" w:rsidR="00210E9F" w:rsidRPr="00210E9F" w:rsidRDefault="00210E9F" w:rsidP="00210E9F">
            <w:r w:rsidRPr="00210E9F">
              <w:t>Левкопения, тромбоцитопения</w:t>
            </w:r>
          </w:p>
        </w:tc>
      </w:tr>
      <w:tr w:rsidR="00210E9F" w14:paraId="4326D2CC" w14:textId="77777777" w:rsidTr="004757FC">
        <w:tc>
          <w:tcPr>
            <w:tcW w:w="3166" w:type="dxa"/>
            <w:vMerge/>
            <w:vAlign w:val="bottom"/>
          </w:tcPr>
          <w:p w14:paraId="0D98E38F" w14:textId="77777777" w:rsidR="00210E9F" w:rsidRPr="00210E9F" w:rsidRDefault="00210E9F" w:rsidP="00210E9F"/>
        </w:tc>
        <w:tc>
          <w:tcPr>
            <w:tcW w:w="3167" w:type="dxa"/>
            <w:vAlign w:val="bottom"/>
          </w:tcPr>
          <w:p w14:paraId="3D5EB02D" w14:textId="189BF1CE" w:rsidR="00210E9F" w:rsidRPr="00210E9F" w:rsidRDefault="00210E9F" w:rsidP="00210E9F">
            <w:r w:rsidRPr="00210E9F">
              <w:t>Много редки</w:t>
            </w:r>
          </w:p>
        </w:tc>
        <w:tc>
          <w:tcPr>
            <w:tcW w:w="3167" w:type="dxa"/>
            <w:vAlign w:val="bottom"/>
          </w:tcPr>
          <w:p w14:paraId="74999645" w14:textId="31982C80" w:rsidR="00210E9F" w:rsidRPr="00210E9F" w:rsidRDefault="00210E9F" w:rsidP="00210E9F">
            <w:r w:rsidRPr="00210E9F">
              <w:t>Агранулоцитоза, панцитопения</w:t>
            </w:r>
          </w:p>
        </w:tc>
      </w:tr>
      <w:tr w:rsidR="00210E9F" w14:paraId="01D40C56" w14:textId="77777777" w:rsidTr="004757FC">
        <w:tc>
          <w:tcPr>
            <w:tcW w:w="3166" w:type="dxa"/>
          </w:tcPr>
          <w:p w14:paraId="4371AE28" w14:textId="35EFFAF9" w:rsidR="00210E9F" w:rsidRPr="00210E9F" w:rsidRDefault="00210E9F" w:rsidP="00210E9F">
            <w:r w:rsidRPr="00210E9F">
              <w:t>Нарушения на имунната система</w:t>
            </w:r>
          </w:p>
        </w:tc>
        <w:tc>
          <w:tcPr>
            <w:tcW w:w="3167" w:type="dxa"/>
          </w:tcPr>
          <w:p w14:paraId="7B330A65" w14:textId="527BFF71" w:rsidR="00210E9F" w:rsidRPr="00210E9F" w:rsidRDefault="00210E9F" w:rsidP="00210E9F">
            <w:r w:rsidRPr="00210E9F">
              <w:t>Редки</w:t>
            </w:r>
          </w:p>
        </w:tc>
        <w:tc>
          <w:tcPr>
            <w:tcW w:w="3167" w:type="dxa"/>
            <w:vAlign w:val="bottom"/>
          </w:tcPr>
          <w:p w14:paraId="7022CB09" w14:textId="7A037BD9" w:rsidR="00210E9F" w:rsidRPr="00210E9F" w:rsidRDefault="00210E9F" w:rsidP="00210E9F">
            <w:r w:rsidRPr="00210E9F">
              <w:t>Свръхчувствителност, напр. треска, ангиоедем и анафилактична реакция/шок</w:t>
            </w:r>
          </w:p>
        </w:tc>
      </w:tr>
      <w:tr w:rsidR="00210E9F" w14:paraId="6CEB7734" w14:textId="77777777" w:rsidTr="004757FC">
        <w:tc>
          <w:tcPr>
            <w:tcW w:w="3166" w:type="dxa"/>
            <w:vMerge w:val="restart"/>
          </w:tcPr>
          <w:p w14:paraId="3EEA00A8" w14:textId="72B31FF3" w:rsidR="00210E9F" w:rsidRPr="00210E9F" w:rsidRDefault="00210E9F" w:rsidP="00210E9F">
            <w:r w:rsidRPr="00210E9F">
              <w:t>Нарушения на метаболизма и храненето</w:t>
            </w:r>
          </w:p>
        </w:tc>
        <w:tc>
          <w:tcPr>
            <w:tcW w:w="3167" w:type="dxa"/>
            <w:vAlign w:val="bottom"/>
          </w:tcPr>
          <w:p w14:paraId="3227F677" w14:textId="5CDDB1AD" w:rsidR="00210E9F" w:rsidRPr="00210E9F" w:rsidRDefault="00210E9F" w:rsidP="00210E9F">
            <w:r w:rsidRPr="00210E9F">
              <w:t>Нечести</w:t>
            </w:r>
          </w:p>
        </w:tc>
        <w:tc>
          <w:tcPr>
            <w:tcW w:w="3167" w:type="dxa"/>
            <w:vAlign w:val="bottom"/>
          </w:tcPr>
          <w:p w14:paraId="4226FE02" w14:textId="3FF61230" w:rsidR="00210E9F" w:rsidRPr="00210E9F" w:rsidRDefault="00210E9F" w:rsidP="00210E9F">
            <w:r w:rsidRPr="00210E9F">
              <w:t>Периферен оток</w:t>
            </w:r>
          </w:p>
        </w:tc>
      </w:tr>
      <w:tr w:rsidR="00210E9F" w14:paraId="650DBE79" w14:textId="77777777" w:rsidTr="004757FC">
        <w:tc>
          <w:tcPr>
            <w:tcW w:w="3166" w:type="dxa"/>
            <w:vMerge/>
          </w:tcPr>
          <w:p w14:paraId="2048F5FC" w14:textId="77777777" w:rsidR="00210E9F" w:rsidRPr="00210E9F" w:rsidRDefault="00210E9F" w:rsidP="00210E9F"/>
        </w:tc>
        <w:tc>
          <w:tcPr>
            <w:tcW w:w="3167" w:type="dxa"/>
            <w:vAlign w:val="bottom"/>
          </w:tcPr>
          <w:p w14:paraId="2A119433" w14:textId="5E249B32" w:rsidR="00210E9F" w:rsidRPr="00210E9F" w:rsidRDefault="00210E9F" w:rsidP="00210E9F">
            <w:r w:rsidRPr="00210E9F">
              <w:t>Редки</w:t>
            </w:r>
          </w:p>
        </w:tc>
        <w:tc>
          <w:tcPr>
            <w:tcW w:w="3167" w:type="dxa"/>
            <w:vAlign w:val="bottom"/>
          </w:tcPr>
          <w:p w14:paraId="7F6F1F39" w14:textId="3D62AC40" w:rsidR="00210E9F" w:rsidRPr="00210E9F" w:rsidRDefault="00210E9F" w:rsidP="00210E9F">
            <w:r w:rsidRPr="00210E9F">
              <w:t>Хипонатриемия</w:t>
            </w:r>
          </w:p>
        </w:tc>
      </w:tr>
      <w:tr w:rsidR="00210E9F" w14:paraId="65F12B1C" w14:textId="77777777" w:rsidTr="004757FC">
        <w:tc>
          <w:tcPr>
            <w:tcW w:w="3166" w:type="dxa"/>
            <w:vMerge/>
          </w:tcPr>
          <w:p w14:paraId="5B511008" w14:textId="77777777" w:rsidR="00210E9F" w:rsidRPr="00210E9F" w:rsidRDefault="00210E9F" w:rsidP="00210E9F"/>
        </w:tc>
        <w:tc>
          <w:tcPr>
            <w:tcW w:w="3167" w:type="dxa"/>
          </w:tcPr>
          <w:p w14:paraId="4FE0E835" w14:textId="0D76D9FC" w:rsidR="00210E9F" w:rsidRPr="00210E9F" w:rsidRDefault="00210E9F" w:rsidP="00210E9F">
            <w:r w:rsidRPr="00210E9F">
              <w:t>Неизвестна честота</w:t>
            </w:r>
          </w:p>
        </w:tc>
        <w:tc>
          <w:tcPr>
            <w:tcW w:w="3167" w:type="dxa"/>
            <w:vAlign w:val="bottom"/>
          </w:tcPr>
          <w:p w14:paraId="23955E02" w14:textId="77777777" w:rsidR="00210E9F" w:rsidRPr="00210E9F" w:rsidRDefault="00210E9F" w:rsidP="00210E9F">
            <w:r w:rsidRPr="00210E9F">
              <w:t>Хипомагнезиемия. (вж. точка 4.4); тежката хипомагнезиемия може да корелира</w:t>
            </w:r>
            <w:r w:rsidRPr="00210E9F">
              <w:tab/>
              <w:t>с</w:t>
            </w:r>
            <w:r w:rsidRPr="00210E9F">
              <w:tab/>
              <w:t>хопикалциемия;</w:t>
            </w:r>
          </w:p>
          <w:p w14:paraId="02392947" w14:textId="344434D0" w:rsidR="00210E9F" w:rsidRPr="00210E9F" w:rsidRDefault="00210E9F" w:rsidP="00210E9F">
            <w:r w:rsidRPr="00210E9F">
              <w:t>Хипомагнезиемията може също така да бъде свързана с хипокалиемия.</w:t>
            </w:r>
          </w:p>
        </w:tc>
      </w:tr>
      <w:tr w:rsidR="00210E9F" w14:paraId="5D397AD5" w14:textId="77777777" w:rsidTr="004757FC">
        <w:tc>
          <w:tcPr>
            <w:tcW w:w="3166" w:type="dxa"/>
            <w:vMerge w:val="restart"/>
          </w:tcPr>
          <w:p w14:paraId="700FB25B" w14:textId="37AAF158" w:rsidR="00210E9F" w:rsidRPr="00210E9F" w:rsidRDefault="00210E9F" w:rsidP="00210E9F">
            <w:r w:rsidRPr="00210E9F">
              <w:t>Психични нарушения</w:t>
            </w:r>
          </w:p>
        </w:tc>
        <w:tc>
          <w:tcPr>
            <w:tcW w:w="3167" w:type="dxa"/>
            <w:vAlign w:val="bottom"/>
          </w:tcPr>
          <w:p w14:paraId="253A2E18" w14:textId="33F99862" w:rsidR="00210E9F" w:rsidRPr="00210E9F" w:rsidRDefault="00210E9F" w:rsidP="00210E9F">
            <w:r w:rsidRPr="00210E9F">
              <w:t>Нечести</w:t>
            </w:r>
          </w:p>
        </w:tc>
        <w:tc>
          <w:tcPr>
            <w:tcW w:w="3167" w:type="dxa"/>
            <w:vAlign w:val="bottom"/>
          </w:tcPr>
          <w:p w14:paraId="44070AE3" w14:textId="0957B229" w:rsidR="00210E9F" w:rsidRPr="00210E9F" w:rsidRDefault="00210E9F" w:rsidP="00210E9F">
            <w:r w:rsidRPr="00210E9F">
              <w:t>Инсомния</w:t>
            </w:r>
          </w:p>
        </w:tc>
      </w:tr>
      <w:tr w:rsidR="00210E9F" w14:paraId="7BC811E7" w14:textId="77777777" w:rsidTr="004757FC">
        <w:tc>
          <w:tcPr>
            <w:tcW w:w="3166" w:type="dxa"/>
            <w:vMerge/>
          </w:tcPr>
          <w:p w14:paraId="012A2B74" w14:textId="77777777" w:rsidR="00210E9F" w:rsidRPr="00210E9F" w:rsidRDefault="00210E9F" w:rsidP="00210E9F"/>
        </w:tc>
        <w:tc>
          <w:tcPr>
            <w:tcW w:w="3167" w:type="dxa"/>
            <w:vAlign w:val="bottom"/>
          </w:tcPr>
          <w:p w14:paraId="49D1AE19" w14:textId="045A781C" w:rsidR="00210E9F" w:rsidRPr="00210E9F" w:rsidRDefault="00210E9F" w:rsidP="00210E9F">
            <w:r w:rsidRPr="00210E9F">
              <w:t>Редки</w:t>
            </w:r>
          </w:p>
        </w:tc>
        <w:tc>
          <w:tcPr>
            <w:tcW w:w="3167" w:type="dxa"/>
            <w:vAlign w:val="bottom"/>
          </w:tcPr>
          <w:p w14:paraId="0C10CE54" w14:textId="1DBE79E7" w:rsidR="00210E9F" w:rsidRPr="00210E9F" w:rsidRDefault="00210E9F" w:rsidP="00210E9F">
            <w:r w:rsidRPr="00210E9F">
              <w:t>Раздразнение, обърканост, депресия</w:t>
            </w:r>
          </w:p>
        </w:tc>
      </w:tr>
      <w:tr w:rsidR="00210E9F" w14:paraId="00C4497B" w14:textId="77777777" w:rsidTr="004757FC">
        <w:tc>
          <w:tcPr>
            <w:tcW w:w="3166" w:type="dxa"/>
            <w:vMerge/>
          </w:tcPr>
          <w:p w14:paraId="4563BD42" w14:textId="77777777" w:rsidR="00210E9F" w:rsidRPr="00210E9F" w:rsidRDefault="00210E9F" w:rsidP="00210E9F"/>
        </w:tc>
        <w:tc>
          <w:tcPr>
            <w:tcW w:w="3167" w:type="dxa"/>
            <w:vAlign w:val="bottom"/>
          </w:tcPr>
          <w:p w14:paraId="1E606E03" w14:textId="2F576172" w:rsidR="00210E9F" w:rsidRPr="00210E9F" w:rsidRDefault="00210E9F" w:rsidP="00210E9F">
            <w:r w:rsidRPr="00210E9F">
              <w:t>Много редки</w:t>
            </w:r>
          </w:p>
        </w:tc>
        <w:tc>
          <w:tcPr>
            <w:tcW w:w="3167" w:type="dxa"/>
            <w:vAlign w:val="bottom"/>
          </w:tcPr>
          <w:p w14:paraId="7469252E" w14:textId="464213AD" w:rsidR="00210E9F" w:rsidRPr="00210E9F" w:rsidRDefault="00210E9F" w:rsidP="00210E9F">
            <w:r w:rsidRPr="00210E9F">
              <w:t>Агресия, халюцинации</w:t>
            </w:r>
          </w:p>
        </w:tc>
      </w:tr>
      <w:tr w:rsidR="00700C88" w14:paraId="1A294FDA" w14:textId="77777777" w:rsidTr="000959C2">
        <w:tc>
          <w:tcPr>
            <w:tcW w:w="3166" w:type="dxa"/>
            <w:vMerge w:val="restart"/>
          </w:tcPr>
          <w:p w14:paraId="0543993A" w14:textId="21F23416" w:rsidR="00700C88" w:rsidRPr="00700C88" w:rsidRDefault="00700C88" w:rsidP="00700C88">
            <w:r w:rsidRPr="00700C88">
              <w:t>Нарушения на нервната система</w:t>
            </w:r>
          </w:p>
        </w:tc>
        <w:tc>
          <w:tcPr>
            <w:tcW w:w="3167" w:type="dxa"/>
            <w:vAlign w:val="bottom"/>
          </w:tcPr>
          <w:p w14:paraId="0D59F9A0" w14:textId="63C4F4D9" w:rsidR="00700C88" w:rsidRPr="00700C88" w:rsidRDefault="00700C88" w:rsidP="00700C88">
            <w:r w:rsidRPr="00700C88">
              <w:t>Чести</w:t>
            </w:r>
          </w:p>
        </w:tc>
        <w:tc>
          <w:tcPr>
            <w:tcW w:w="3167" w:type="dxa"/>
            <w:vAlign w:val="bottom"/>
          </w:tcPr>
          <w:p w14:paraId="4FCA2CE6" w14:textId="15F22644" w:rsidR="00700C88" w:rsidRPr="00700C88" w:rsidRDefault="00700C88" w:rsidP="00700C88">
            <w:r w:rsidRPr="00700C88">
              <w:t>Главоболие</w:t>
            </w:r>
          </w:p>
        </w:tc>
      </w:tr>
      <w:tr w:rsidR="00700C88" w14:paraId="2B36C28B" w14:textId="77777777" w:rsidTr="000959C2">
        <w:tc>
          <w:tcPr>
            <w:tcW w:w="3166" w:type="dxa"/>
            <w:vMerge/>
          </w:tcPr>
          <w:p w14:paraId="3DE91126" w14:textId="77777777" w:rsidR="00700C88" w:rsidRPr="00700C88" w:rsidRDefault="00700C88" w:rsidP="00700C88"/>
        </w:tc>
        <w:tc>
          <w:tcPr>
            <w:tcW w:w="3167" w:type="dxa"/>
          </w:tcPr>
          <w:p w14:paraId="3143A610" w14:textId="05B2B4BB" w:rsidR="00700C88" w:rsidRPr="00700C88" w:rsidRDefault="00700C88" w:rsidP="00700C88">
            <w:r w:rsidRPr="00700C88">
              <w:t>Нечести</w:t>
            </w:r>
          </w:p>
        </w:tc>
        <w:tc>
          <w:tcPr>
            <w:tcW w:w="3167" w:type="dxa"/>
            <w:vAlign w:val="bottom"/>
          </w:tcPr>
          <w:p w14:paraId="33CC1BFD" w14:textId="77777777" w:rsidR="00700C88" w:rsidRPr="00700C88" w:rsidRDefault="00700C88" w:rsidP="00700C88">
            <w:r w:rsidRPr="00700C88">
              <w:t>Замаяност,</w:t>
            </w:r>
            <w:r w:rsidRPr="00700C88">
              <w:tab/>
              <w:t>парастезия,</w:t>
            </w:r>
          </w:p>
          <w:p w14:paraId="0B4683B1" w14:textId="385A7946" w:rsidR="00700C88" w:rsidRPr="00700C88" w:rsidRDefault="00700C88" w:rsidP="00700C88">
            <w:r w:rsidRPr="00700C88">
              <w:t>сомнолентност</w:t>
            </w:r>
          </w:p>
        </w:tc>
      </w:tr>
      <w:tr w:rsidR="00700C88" w14:paraId="2F17D9ED" w14:textId="77777777" w:rsidTr="000959C2">
        <w:tc>
          <w:tcPr>
            <w:tcW w:w="3166" w:type="dxa"/>
            <w:vMerge/>
          </w:tcPr>
          <w:p w14:paraId="6ED20C89" w14:textId="77777777" w:rsidR="00700C88" w:rsidRPr="00700C88" w:rsidRDefault="00700C88" w:rsidP="00700C88"/>
        </w:tc>
        <w:tc>
          <w:tcPr>
            <w:tcW w:w="3167" w:type="dxa"/>
            <w:vAlign w:val="bottom"/>
          </w:tcPr>
          <w:p w14:paraId="0B37CCE6" w14:textId="01EB4D66" w:rsidR="00700C88" w:rsidRPr="00700C88" w:rsidRDefault="00700C88" w:rsidP="00700C88">
            <w:r w:rsidRPr="00700C88">
              <w:t>Редки</w:t>
            </w:r>
          </w:p>
        </w:tc>
        <w:tc>
          <w:tcPr>
            <w:tcW w:w="3167" w:type="dxa"/>
            <w:vAlign w:val="bottom"/>
          </w:tcPr>
          <w:p w14:paraId="76BC4108" w14:textId="3B04E2CD" w:rsidR="00700C88" w:rsidRPr="00700C88" w:rsidRDefault="00700C88" w:rsidP="00700C88">
            <w:r w:rsidRPr="00700C88">
              <w:t>Нарушения на вкуса</w:t>
            </w:r>
          </w:p>
        </w:tc>
      </w:tr>
      <w:tr w:rsidR="00700C88" w14:paraId="43E74F4D" w14:textId="77777777" w:rsidTr="000959C2">
        <w:tc>
          <w:tcPr>
            <w:tcW w:w="3166" w:type="dxa"/>
            <w:vAlign w:val="bottom"/>
          </w:tcPr>
          <w:p w14:paraId="4110230D" w14:textId="457D9469" w:rsidR="00700C88" w:rsidRPr="00700C88" w:rsidRDefault="00700C88" w:rsidP="00700C88">
            <w:r w:rsidRPr="00700C88">
              <w:t>Нарушения на очите</w:t>
            </w:r>
          </w:p>
        </w:tc>
        <w:tc>
          <w:tcPr>
            <w:tcW w:w="3167" w:type="dxa"/>
            <w:vAlign w:val="bottom"/>
          </w:tcPr>
          <w:p w14:paraId="231D8E47" w14:textId="7DB36AFD" w:rsidR="00700C88" w:rsidRPr="00700C88" w:rsidRDefault="00700C88" w:rsidP="00700C88">
            <w:r w:rsidRPr="00700C88">
              <w:t>Нечести</w:t>
            </w:r>
          </w:p>
        </w:tc>
        <w:tc>
          <w:tcPr>
            <w:tcW w:w="3167" w:type="dxa"/>
            <w:vAlign w:val="bottom"/>
          </w:tcPr>
          <w:p w14:paraId="3FE80A7E" w14:textId="671C6CDC" w:rsidR="00700C88" w:rsidRPr="00700C88" w:rsidRDefault="00700C88" w:rsidP="00700C88">
            <w:r w:rsidRPr="00700C88">
              <w:t>Замъглено виждане</w:t>
            </w:r>
          </w:p>
        </w:tc>
      </w:tr>
      <w:tr w:rsidR="00700C88" w14:paraId="6F013765" w14:textId="77777777" w:rsidTr="000959C2">
        <w:tc>
          <w:tcPr>
            <w:tcW w:w="3166" w:type="dxa"/>
            <w:vAlign w:val="bottom"/>
          </w:tcPr>
          <w:p w14:paraId="1BDA1A69" w14:textId="488924FD" w:rsidR="00700C88" w:rsidRPr="00700C88" w:rsidRDefault="00700C88" w:rsidP="00700C88">
            <w:r w:rsidRPr="00700C88">
              <w:t>Нарушения на ухото и лабиринта</w:t>
            </w:r>
          </w:p>
        </w:tc>
        <w:tc>
          <w:tcPr>
            <w:tcW w:w="3167" w:type="dxa"/>
            <w:vAlign w:val="bottom"/>
          </w:tcPr>
          <w:p w14:paraId="1933F508" w14:textId="505CDB6C" w:rsidR="00700C88" w:rsidRPr="00700C88" w:rsidRDefault="00700C88" w:rsidP="00700C88">
            <w:r w:rsidRPr="00700C88">
              <w:t>Нечести</w:t>
            </w:r>
          </w:p>
        </w:tc>
        <w:tc>
          <w:tcPr>
            <w:tcW w:w="3167" w:type="dxa"/>
            <w:vAlign w:val="bottom"/>
          </w:tcPr>
          <w:p w14:paraId="794BE0EF" w14:textId="155A8C16" w:rsidR="00700C88" w:rsidRPr="00700C88" w:rsidRDefault="00700C88" w:rsidP="00700C88">
            <w:r w:rsidRPr="00700C88">
              <w:t>Вертиго (световъртеж)</w:t>
            </w:r>
          </w:p>
        </w:tc>
      </w:tr>
      <w:tr w:rsidR="00700C88" w14:paraId="291512AB" w14:textId="77777777" w:rsidTr="000959C2">
        <w:tc>
          <w:tcPr>
            <w:tcW w:w="3166" w:type="dxa"/>
            <w:vAlign w:val="bottom"/>
          </w:tcPr>
          <w:p w14:paraId="4DBCF744" w14:textId="77777777" w:rsidR="00700C88" w:rsidRPr="00700C88" w:rsidRDefault="00700C88" w:rsidP="00700C88">
            <w:r w:rsidRPr="00700C88">
              <w:t>Респираторни,</w:t>
            </w:r>
            <w:r w:rsidRPr="00700C88">
              <w:tab/>
              <w:t>гръдни</w:t>
            </w:r>
            <w:r w:rsidRPr="00700C88">
              <w:tab/>
              <w:t>и</w:t>
            </w:r>
          </w:p>
          <w:p w14:paraId="1CB70039" w14:textId="6566CC49" w:rsidR="00700C88" w:rsidRPr="00700C88" w:rsidRDefault="00700C88" w:rsidP="00700C88">
            <w:r w:rsidRPr="00700C88">
              <w:t>медиастинални нарушения</w:t>
            </w:r>
          </w:p>
        </w:tc>
        <w:tc>
          <w:tcPr>
            <w:tcW w:w="3167" w:type="dxa"/>
          </w:tcPr>
          <w:p w14:paraId="33905F27" w14:textId="33B7EB88" w:rsidR="00700C88" w:rsidRPr="00700C88" w:rsidRDefault="00700C88" w:rsidP="00700C88">
            <w:r w:rsidRPr="00700C88">
              <w:t>Редки</w:t>
            </w:r>
          </w:p>
        </w:tc>
        <w:tc>
          <w:tcPr>
            <w:tcW w:w="3167" w:type="dxa"/>
          </w:tcPr>
          <w:p w14:paraId="449F29D8" w14:textId="31D3802C" w:rsidR="00700C88" w:rsidRPr="00700C88" w:rsidRDefault="00700C88" w:rsidP="00700C88">
            <w:r w:rsidRPr="00700C88">
              <w:t>Бронхоспазъм</w:t>
            </w:r>
          </w:p>
        </w:tc>
      </w:tr>
      <w:tr w:rsidR="00700C88" w14:paraId="35848EF3" w14:textId="77777777" w:rsidTr="000959C2">
        <w:tc>
          <w:tcPr>
            <w:tcW w:w="3166" w:type="dxa"/>
            <w:vMerge w:val="restart"/>
          </w:tcPr>
          <w:p w14:paraId="287A03BD" w14:textId="19E8E191" w:rsidR="00700C88" w:rsidRPr="00700C88" w:rsidRDefault="00700C88" w:rsidP="00700C88">
            <w:r w:rsidRPr="00700C88">
              <w:t>Стомашно-чревни нарушения</w:t>
            </w:r>
          </w:p>
        </w:tc>
        <w:tc>
          <w:tcPr>
            <w:tcW w:w="3167" w:type="dxa"/>
          </w:tcPr>
          <w:p w14:paraId="6BEE266D" w14:textId="16223964" w:rsidR="00700C88" w:rsidRPr="00700C88" w:rsidRDefault="00700C88" w:rsidP="00700C88">
            <w:r w:rsidRPr="00700C88">
              <w:t>Чести</w:t>
            </w:r>
          </w:p>
        </w:tc>
        <w:tc>
          <w:tcPr>
            <w:tcW w:w="3167" w:type="dxa"/>
            <w:vAlign w:val="bottom"/>
          </w:tcPr>
          <w:p w14:paraId="3A007045" w14:textId="1C48359F" w:rsidR="00700C88" w:rsidRPr="00700C88" w:rsidRDefault="00700C88" w:rsidP="00700C88">
            <w:r w:rsidRPr="00700C88">
              <w:t>Абдоминална болка, констипация, диария,</w:t>
            </w:r>
            <w:r>
              <w:rPr>
                <w:lang w:val="en-US"/>
              </w:rPr>
              <w:t xml:space="preserve"> </w:t>
            </w:r>
            <w:r w:rsidRPr="00700C88">
              <w:t>флатуленция,</w:t>
            </w:r>
          </w:p>
          <w:p w14:paraId="3DDFD0B9" w14:textId="73798F58" w:rsidR="00700C88" w:rsidRPr="00700C88" w:rsidRDefault="00700C88" w:rsidP="00700C88">
            <w:r w:rsidRPr="00700C88">
              <w:t>гадене/повръщане, полипи на дъното (фундуса)</w:t>
            </w:r>
            <w:r w:rsidRPr="00700C88">
              <w:tab/>
              <w:t>на</w:t>
            </w:r>
            <w:r>
              <w:rPr>
                <w:lang w:val="en-US"/>
              </w:rPr>
              <w:t xml:space="preserve"> </w:t>
            </w:r>
            <w:r w:rsidRPr="00700C88">
              <w:t>стомаха</w:t>
            </w:r>
          </w:p>
          <w:p w14:paraId="2A45095A" w14:textId="4E5711E3" w:rsidR="00700C88" w:rsidRPr="00700C88" w:rsidRDefault="00700C88" w:rsidP="00700C88">
            <w:r w:rsidRPr="00700C88">
              <w:t>(доброкачествени)</w:t>
            </w:r>
          </w:p>
        </w:tc>
      </w:tr>
      <w:tr w:rsidR="00700C88" w14:paraId="603E128D" w14:textId="77777777" w:rsidTr="000959C2">
        <w:tc>
          <w:tcPr>
            <w:tcW w:w="3166" w:type="dxa"/>
            <w:vMerge/>
          </w:tcPr>
          <w:p w14:paraId="396CBE2B" w14:textId="77777777" w:rsidR="00700C88" w:rsidRPr="00700C88" w:rsidRDefault="00700C88" w:rsidP="00700C88"/>
        </w:tc>
        <w:tc>
          <w:tcPr>
            <w:tcW w:w="3167" w:type="dxa"/>
            <w:vAlign w:val="bottom"/>
          </w:tcPr>
          <w:p w14:paraId="1BC852D0" w14:textId="7D5612A5" w:rsidR="00700C88" w:rsidRPr="00700C88" w:rsidRDefault="00700C88" w:rsidP="00700C88">
            <w:r w:rsidRPr="00700C88">
              <w:t>Нечести</w:t>
            </w:r>
          </w:p>
        </w:tc>
        <w:tc>
          <w:tcPr>
            <w:tcW w:w="3167" w:type="dxa"/>
            <w:vAlign w:val="bottom"/>
          </w:tcPr>
          <w:p w14:paraId="6F1DAB35" w14:textId="6A163455" w:rsidR="00700C88" w:rsidRPr="00700C88" w:rsidRDefault="00700C88" w:rsidP="00700C88">
            <w:r w:rsidRPr="00700C88">
              <w:t>Сухота в устата</w:t>
            </w:r>
          </w:p>
        </w:tc>
      </w:tr>
      <w:tr w:rsidR="00700C88" w14:paraId="29A2AFC1" w14:textId="77777777" w:rsidTr="000959C2">
        <w:tc>
          <w:tcPr>
            <w:tcW w:w="3166" w:type="dxa"/>
            <w:vMerge/>
          </w:tcPr>
          <w:p w14:paraId="485AA6A1" w14:textId="77777777" w:rsidR="00700C88" w:rsidRPr="00700C88" w:rsidRDefault="00700C88" w:rsidP="00700C88"/>
        </w:tc>
        <w:tc>
          <w:tcPr>
            <w:tcW w:w="3167" w:type="dxa"/>
          </w:tcPr>
          <w:p w14:paraId="58B74E8C" w14:textId="70E28C66" w:rsidR="00700C88" w:rsidRPr="00700C88" w:rsidRDefault="00700C88" w:rsidP="00700C88">
            <w:r w:rsidRPr="00700C88">
              <w:t>Редки</w:t>
            </w:r>
          </w:p>
        </w:tc>
        <w:tc>
          <w:tcPr>
            <w:tcW w:w="3167" w:type="dxa"/>
            <w:vAlign w:val="bottom"/>
          </w:tcPr>
          <w:p w14:paraId="3E3117FF" w14:textId="315A741F" w:rsidR="00700C88" w:rsidRPr="00700C88" w:rsidRDefault="00700C88" w:rsidP="00700C88">
            <w:r w:rsidRPr="00700C88">
              <w:t>Стоматит,</w:t>
            </w:r>
            <w:r>
              <w:rPr>
                <w:lang w:val="en-US"/>
              </w:rPr>
              <w:t xml:space="preserve"> </w:t>
            </w:r>
            <w:r w:rsidRPr="00700C88">
              <w:t>гастроинтестинална</w:t>
            </w:r>
          </w:p>
          <w:p w14:paraId="0B4D2575" w14:textId="7C725DB0" w:rsidR="00700C88" w:rsidRPr="00700C88" w:rsidRDefault="00700C88" w:rsidP="00700C88">
            <w:r w:rsidRPr="00700C88">
              <w:t>кандидоза</w:t>
            </w:r>
          </w:p>
        </w:tc>
      </w:tr>
      <w:tr w:rsidR="00700C88" w14:paraId="2BDBA545" w14:textId="77777777" w:rsidTr="000959C2">
        <w:tc>
          <w:tcPr>
            <w:tcW w:w="3166" w:type="dxa"/>
            <w:vMerge/>
          </w:tcPr>
          <w:p w14:paraId="613D4612" w14:textId="77777777" w:rsidR="00700C88" w:rsidRPr="00700C88" w:rsidRDefault="00700C88" w:rsidP="00700C88"/>
        </w:tc>
        <w:tc>
          <w:tcPr>
            <w:tcW w:w="3167" w:type="dxa"/>
            <w:vAlign w:val="bottom"/>
          </w:tcPr>
          <w:p w14:paraId="06B5FAE8" w14:textId="4A8110CA" w:rsidR="00700C88" w:rsidRPr="00700C88" w:rsidRDefault="00700C88" w:rsidP="00700C88">
            <w:r w:rsidRPr="00700C88">
              <w:rPr>
                <w:u w:val="single"/>
              </w:rPr>
              <w:t xml:space="preserve">С неизвестна </w:t>
            </w:r>
            <w:r w:rsidRPr="00700C88">
              <w:t>честота</w:t>
            </w:r>
          </w:p>
        </w:tc>
        <w:tc>
          <w:tcPr>
            <w:tcW w:w="3167" w:type="dxa"/>
          </w:tcPr>
          <w:p w14:paraId="0E674C02" w14:textId="546DE5EE" w:rsidR="00700C88" w:rsidRPr="00700C88" w:rsidRDefault="00700C88" w:rsidP="00700C88">
            <w:r w:rsidRPr="00700C88">
              <w:rPr>
                <w:u w:val="single"/>
              </w:rPr>
              <w:t>Микроскопичен колит</w:t>
            </w:r>
            <w:r w:rsidRPr="00700C88">
              <w:rPr>
                <w:i/>
                <w:iCs/>
              </w:rPr>
              <w:t>,</w:t>
            </w:r>
          </w:p>
        </w:tc>
      </w:tr>
      <w:tr w:rsidR="00700C88" w14:paraId="6CFD8CCC" w14:textId="77777777" w:rsidTr="000959C2">
        <w:tc>
          <w:tcPr>
            <w:tcW w:w="3166" w:type="dxa"/>
            <w:vMerge w:val="restart"/>
            <w:vAlign w:val="bottom"/>
          </w:tcPr>
          <w:p w14:paraId="246018EB" w14:textId="171ABF6B" w:rsidR="00700C88" w:rsidRPr="00700C88" w:rsidRDefault="00700C88" w:rsidP="00700C88">
            <w:r w:rsidRPr="00700C88">
              <w:t>Хепатобилиарни нарушения</w:t>
            </w:r>
          </w:p>
        </w:tc>
        <w:tc>
          <w:tcPr>
            <w:tcW w:w="3167" w:type="dxa"/>
            <w:vAlign w:val="bottom"/>
          </w:tcPr>
          <w:p w14:paraId="15A8A27A" w14:textId="782E2B2F" w:rsidR="00700C88" w:rsidRPr="00700C88" w:rsidRDefault="00700C88" w:rsidP="00700C88">
            <w:r w:rsidRPr="00700C88">
              <w:t>Нечести</w:t>
            </w:r>
          </w:p>
        </w:tc>
        <w:tc>
          <w:tcPr>
            <w:tcW w:w="3167" w:type="dxa"/>
            <w:vAlign w:val="bottom"/>
          </w:tcPr>
          <w:p w14:paraId="016DD128" w14:textId="1E3B9693" w:rsidR="00700C88" w:rsidRPr="00700C88" w:rsidRDefault="00700C88" w:rsidP="00700C88">
            <w:r w:rsidRPr="00700C88">
              <w:t>Повишени чернодробни ензими</w:t>
            </w:r>
          </w:p>
        </w:tc>
      </w:tr>
      <w:tr w:rsidR="00700C88" w14:paraId="31929BB8" w14:textId="77777777" w:rsidTr="00210E9F">
        <w:tc>
          <w:tcPr>
            <w:tcW w:w="3166" w:type="dxa"/>
            <w:vMerge/>
          </w:tcPr>
          <w:p w14:paraId="560F60D3" w14:textId="77777777" w:rsidR="00700C88" w:rsidRDefault="00700C88" w:rsidP="00700C88"/>
        </w:tc>
        <w:tc>
          <w:tcPr>
            <w:tcW w:w="3167" w:type="dxa"/>
          </w:tcPr>
          <w:p w14:paraId="270267A1" w14:textId="6D18DD7E" w:rsidR="00700C88" w:rsidRPr="00700C88" w:rsidRDefault="00700C88" w:rsidP="00700C88">
            <w:r w:rsidRPr="00700C88">
              <w:t>Редки</w:t>
            </w:r>
          </w:p>
        </w:tc>
        <w:tc>
          <w:tcPr>
            <w:tcW w:w="3167" w:type="dxa"/>
          </w:tcPr>
          <w:p w14:paraId="224E5153" w14:textId="6DF612FF" w:rsidR="00700C88" w:rsidRPr="00700C88" w:rsidRDefault="00700C88" w:rsidP="00700C88">
            <w:r w:rsidRPr="00700C88">
              <w:t>Хепатит с или без жълтеница</w:t>
            </w:r>
          </w:p>
        </w:tc>
      </w:tr>
      <w:tr w:rsidR="00700C88" w14:paraId="62C9ABC0" w14:textId="77777777" w:rsidTr="00210E9F">
        <w:tc>
          <w:tcPr>
            <w:tcW w:w="3166" w:type="dxa"/>
            <w:vMerge/>
          </w:tcPr>
          <w:p w14:paraId="606CAF05" w14:textId="77777777" w:rsidR="00700C88" w:rsidRDefault="00700C88" w:rsidP="00700C88"/>
        </w:tc>
        <w:tc>
          <w:tcPr>
            <w:tcW w:w="3167" w:type="dxa"/>
          </w:tcPr>
          <w:p w14:paraId="4483301A" w14:textId="1443B3F4" w:rsidR="00700C88" w:rsidRPr="00700C88" w:rsidRDefault="00700C88" w:rsidP="00700C88">
            <w:r w:rsidRPr="00700C88">
              <w:t>Много редки</w:t>
            </w:r>
          </w:p>
        </w:tc>
        <w:tc>
          <w:tcPr>
            <w:tcW w:w="3167" w:type="dxa"/>
          </w:tcPr>
          <w:p w14:paraId="77D934C0" w14:textId="045B601A" w:rsidR="00700C88" w:rsidRPr="00700C88" w:rsidRDefault="00700C88" w:rsidP="00700C88">
            <w:r w:rsidRPr="00700C88">
              <w:t>Чернодробна недостатъчност, енцефалопатия при пациенти с анамнеза за предишно чернодробно заболяване</w:t>
            </w:r>
          </w:p>
        </w:tc>
      </w:tr>
      <w:tr w:rsidR="00700C88" w14:paraId="253F7BB4" w14:textId="77777777" w:rsidTr="00210E9F">
        <w:tc>
          <w:tcPr>
            <w:tcW w:w="3166" w:type="dxa"/>
            <w:vMerge w:val="restart"/>
          </w:tcPr>
          <w:p w14:paraId="6DCEC448" w14:textId="46DB17EF" w:rsidR="00700C88" w:rsidRPr="00700C88" w:rsidRDefault="00700C88" w:rsidP="00700C88">
            <w:r w:rsidRPr="00700C88">
              <w:t>Нарушения на кожата и подкожната тъкан</w:t>
            </w:r>
          </w:p>
        </w:tc>
        <w:tc>
          <w:tcPr>
            <w:tcW w:w="3167" w:type="dxa"/>
          </w:tcPr>
          <w:p w14:paraId="304CEEB3" w14:textId="5E320523" w:rsidR="00700C88" w:rsidRPr="00700C88" w:rsidRDefault="00700C88" w:rsidP="00700C88">
            <w:r w:rsidRPr="00700C88">
              <w:t>Чести</w:t>
            </w:r>
          </w:p>
        </w:tc>
        <w:tc>
          <w:tcPr>
            <w:tcW w:w="3167" w:type="dxa"/>
          </w:tcPr>
          <w:p w14:paraId="126E1C47" w14:textId="3FFBFD56" w:rsidR="00700C88" w:rsidRPr="00700C88" w:rsidRDefault="00700C88" w:rsidP="00700C88">
            <w:r w:rsidRPr="00700C88">
              <w:t>Реакции на мястото на приложение*</w:t>
            </w:r>
          </w:p>
        </w:tc>
      </w:tr>
      <w:tr w:rsidR="00700C88" w14:paraId="7CAA44C2" w14:textId="77777777" w:rsidTr="00210E9F">
        <w:tc>
          <w:tcPr>
            <w:tcW w:w="3166" w:type="dxa"/>
            <w:vMerge/>
          </w:tcPr>
          <w:p w14:paraId="0F796CCE" w14:textId="77777777" w:rsidR="00700C88" w:rsidRPr="00700C88" w:rsidRDefault="00700C88" w:rsidP="00700C88"/>
        </w:tc>
        <w:tc>
          <w:tcPr>
            <w:tcW w:w="3167" w:type="dxa"/>
          </w:tcPr>
          <w:p w14:paraId="404FC818" w14:textId="41329C1E" w:rsidR="00700C88" w:rsidRPr="00700C88" w:rsidRDefault="00700C88" w:rsidP="00700C88">
            <w:r w:rsidRPr="00700C88">
              <w:t>Нечести</w:t>
            </w:r>
          </w:p>
        </w:tc>
        <w:tc>
          <w:tcPr>
            <w:tcW w:w="3167" w:type="dxa"/>
          </w:tcPr>
          <w:p w14:paraId="4FBC0F78" w14:textId="4D9BF680" w:rsidR="00700C88" w:rsidRPr="00700C88" w:rsidRDefault="00700C88" w:rsidP="00700C88">
            <w:r w:rsidRPr="00700C88">
              <w:t xml:space="preserve">Дерматит, сърбеж, обрив, </w:t>
            </w:r>
            <w:r w:rsidRPr="00700C88">
              <w:lastRenderedPageBreak/>
              <w:t>уртикария</w:t>
            </w:r>
          </w:p>
        </w:tc>
      </w:tr>
      <w:tr w:rsidR="00700C88" w14:paraId="415B4B21" w14:textId="77777777" w:rsidTr="00210E9F">
        <w:tc>
          <w:tcPr>
            <w:tcW w:w="3166" w:type="dxa"/>
            <w:vMerge/>
          </w:tcPr>
          <w:p w14:paraId="2B1CC256" w14:textId="77777777" w:rsidR="00700C88" w:rsidRPr="00700C88" w:rsidRDefault="00700C88" w:rsidP="00700C88"/>
        </w:tc>
        <w:tc>
          <w:tcPr>
            <w:tcW w:w="3167" w:type="dxa"/>
          </w:tcPr>
          <w:p w14:paraId="09581A76" w14:textId="734C70E7" w:rsidR="00700C88" w:rsidRPr="00700C88" w:rsidRDefault="00700C88" w:rsidP="00700C88">
            <w:r w:rsidRPr="00700C88">
              <w:t>Редки</w:t>
            </w:r>
          </w:p>
        </w:tc>
        <w:tc>
          <w:tcPr>
            <w:tcW w:w="3167" w:type="dxa"/>
          </w:tcPr>
          <w:p w14:paraId="13FBE3B5" w14:textId="5694370B" w:rsidR="00700C88" w:rsidRPr="00700C88" w:rsidRDefault="00700C88" w:rsidP="00700C88">
            <w:r w:rsidRPr="00700C88">
              <w:t>Алопеция, фоточувствителност</w:t>
            </w:r>
          </w:p>
        </w:tc>
      </w:tr>
      <w:tr w:rsidR="00700C88" w14:paraId="7323BE4A" w14:textId="77777777" w:rsidTr="00210E9F">
        <w:tc>
          <w:tcPr>
            <w:tcW w:w="3166" w:type="dxa"/>
            <w:vMerge/>
          </w:tcPr>
          <w:p w14:paraId="665E098D" w14:textId="77777777" w:rsidR="00700C88" w:rsidRPr="00700C88" w:rsidRDefault="00700C88" w:rsidP="00700C88"/>
        </w:tc>
        <w:tc>
          <w:tcPr>
            <w:tcW w:w="3167" w:type="dxa"/>
          </w:tcPr>
          <w:p w14:paraId="40A15AE3" w14:textId="0F1074D8" w:rsidR="00700C88" w:rsidRPr="00700C88" w:rsidRDefault="00700C88" w:rsidP="00700C88">
            <w:r w:rsidRPr="00700C88">
              <w:t>Много редки</w:t>
            </w:r>
          </w:p>
        </w:tc>
        <w:tc>
          <w:tcPr>
            <w:tcW w:w="3167" w:type="dxa"/>
          </w:tcPr>
          <w:p w14:paraId="055F3FC4" w14:textId="77777777" w:rsidR="00700C88" w:rsidRPr="00700C88" w:rsidRDefault="00700C88" w:rsidP="00700C88">
            <w:r w:rsidRPr="00700C88">
              <w:t>Еритема мултиформе, синдром на Стивънс-Джонсън,</w:t>
            </w:r>
            <w:r w:rsidRPr="00700C88">
              <w:tab/>
              <w:t>токсична</w:t>
            </w:r>
          </w:p>
          <w:p w14:paraId="09288930" w14:textId="321DE5A5" w:rsidR="00700C88" w:rsidRPr="00700C88" w:rsidRDefault="00700C88" w:rsidP="00700C88">
            <w:r w:rsidRPr="00700C88">
              <w:t>епидермална некролиза (ТЕН)</w:t>
            </w:r>
          </w:p>
        </w:tc>
      </w:tr>
      <w:tr w:rsidR="00700C88" w14:paraId="0380D4E4" w14:textId="77777777" w:rsidTr="00210E9F">
        <w:tc>
          <w:tcPr>
            <w:tcW w:w="3166" w:type="dxa"/>
            <w:vMerge/>
          </w:tcPr>
          <w:p w14:paraId="3D482481" w14:textId="77777777" w:rsidR="00700C88" w:rsidRPr="00700C88" w:rsidRDefault="00700C88" w:rsidP="00700C88"/>
        </w:tc>
        <w:tc>
          <w:tcPr>
            <w:tcW w:w="3167" w:type="dxa"/>
          </w:tcPr>
          <w:p w14:paraId="13AD3A03" w14:textId="3FFFC18F" w:rsidR="00700C88" w:rsidRPr="00700C88" w:rsidRDefault="00700C88" w:rsidP="00700C88">
            <w:r w:rsidRPr="00700C88">
              <w:rPr>
                <w:u w:val="single"/>
              </w:rPr>
              <w:t xml:space="preserve">С неизвестна </w:t>
            </w:r>
            <w:r w:rsidRPr="00700C88">
              <w:t>честота</w:t>
            </w:r>
          </w:p>
        </w:tc>
        <w:tc>
          <w:tcPr>
            <w:tcW w:w="3167" w:type="dxa"/>
          </w:tcPr>
          <w:p w14:paraId="77975410" w14:textId="51B163E3" w:rsidR="00700C88" w:rsidRPr="00700C88" w:rsidRDefault="00700C88" w:rsidP="00700C88">
            <w:r w:rsidRPr="00700C88">
              <w:t>Подостър кожен лупус еритематозус (вж. точка 4.4)</w:t>
            </w:r>
          </w:p>
        </w:tc>
      </w:tr>
      <w:tr w:rsidR="00700C88" w14:paraId="335A15B9" w14:textId="77777777" w:rsidTr="00210E9F">
        <w:tc>
          <w:tcPr>
            <w:tcW w:w="3166" w:type="dxa"/>
            <w:vMerge w:val="restart"/>
          </w:tcPr>
          <w:p w14:paraId="1D51EC9C" w14:textId="6408A84F" w:rsidR="00700C88" w:rsidRPr="00700C88" w:rsidRDefault="00700C88" w:rsidP="00700C88">
            <w:r w:rsidRPr="00700C88">
              <w:t>Нарушения на мускулно- скелетната</w:t>
            </w:r>
            <w:r>
              <w:rPr>
                <w:lang w:val="en-US"/>
              </w:rPr>
              <w:t xml:space="preserve"> </w:t>
            </w:r>
            <w:r w:rsidRPr="00700C88">
              <w:t>система</w:t>
            </w:r>
            <w:r>
              <w:rPr>
                <w:lang w:val="en-US"/>
              </w:rPr>
              <w:t xml:space="preserve"> </w:t>
            </w:r>
            <w:r w:rsidRPr="00700C88">
              <w:t>и</w:t>
            </w:r>
          </w:p>
          <w:p w14:paraId="0073D1AD" w14:textId="6AEEDAC9" w:rsidR="00700C88" w:rsidRPr="00700C88" w:rsidRDefault="00700C88" w:rsidP="00700C88">
            <w:r w:rsidRPr="00700C88">
              <w:t>съединителната тъкан</w:t>
            </w:r>
          </w:p>
        </w:tc>
        <w:tc>
          <w:tcPr>
            <w:tcW w:w="3167" w:type="dxa"/>
          </w:tcPr>
          <w:p w14:paraId="763F78B7" w14:textId="684C411C" w:rsidR="00700C88" w:rsidRPr="00700C88" w:rsidRDefault="00700C88" w:rsidP="00700C88">
            <w:r w:rsidRPr="00700C88">
              <w:t>Нечести</w:t>
            </w:r>
          </w:p>
        </w:tc>
        <w:tc>
          <w:tcPr>
            <w:tcW w:w="3167" w:type="dxa"/>
          </w:tcPr>
          <w:p w14:paraId="7C06FE63" w14:textId="506AC52F" w:rsidR="00700C88" w:rsidRPr="00700C88" w:rsidRDefault="00700C88" w:rsidP="00700C88">
            <w:r w:rsidRPr="00700C88">
              <w:t>Фрактури на бедрената кост, китката и гръбначния стълб (вж. точка 4.4)</w:t>
            </w:r>
          </w:p>
        </w:tc>
      </w:tr>
      <w:tr w:rsidR="00700C88" w14:paraId="3A5E9159" w14:textId="77777777" w:rsidTr="00210E9F">
        <w:tc>
          <w:tcPr>
            <w:tcW w:w="3166" w:type="dxa"/>
            <w:vMerge/>
          </w:tcPr>
          <w:p w14:paraId="22003A7E" w14:textId="77777777" w:rsidR="00700C88" w:rsidRPr="00700C88" w:rsidRDefault="00700C88" w:rsidP="00700C88"/>
        </w:tc>
        <w:tc>
          <w:tcPr>
            <w:tcW w:w="3167" w:type="dxa"/>
          </w:tcPr>
          <w:p w14:paraId="7DD0B6E8" w14:textId="2B1B7923" w:rsidR="00700C88" w:rsidRPr="00700C88" w:rsidRDefault="00700C88" w:rsidP="00700C88">
            <w:r w:rsidRPr="00700C88">
              <w:t>Редки</w:t>
            </w:r>
          </w:p>
        </w:tc>
        <w:tc>
          <w:tcPr>
            <w:tcW w:w="3167" w:type="dxa"/>
          </w:tcPr>
          <w:p w14:paraId="4B05D8E4" w14:textId="5802FE1E" w:rsidR="00700C88" w:rsidRPr="00700C88" w:rsidRDefault="00700C88" w:rsidP="00700C88">
            <w:r w:rsidRPr="00700C88">
              <w:t>Артралгия, миалгия</w:t>
            </w:r>
          </w:p>
        </w:tc>
      </w:tr>
      <w:tr w:rsidR="00700C88" w14:paraId="63E91525" w14:textId="77777777" w:rsidTr="00210E9F">
        <w:tc>
          <w:tcPr>
            <w:tcW w:w="3166" w:type="dxa"/>
            <w:vMerge/>
          </w:tcPr>
          <w:p w14:paraId="58FADA19" w14:textId="77777777" w:rsidR="00700C88" w:rsidRPr="00700C88" w:rsidRDefault="00700C88" w:rsidP="00700C88"/>
        </w:tc>
        <w:tc>
          <w:tcPr>
            <w:tcW w:w="3167" w:type="dxa"/>
          </w:tcPr>
          <w:p w14:paraId="2A8DD7F6" w14:textId="05DBACE7" w:rsidR="00700C88" w:rsidRPr="00700C88" w:rsidRDefault="00700C88" w:rsidP="00700C88">
            <w:r w:rsidRPr="00700C88">
              <w:t>Много редки</w:t>
            </w:r>
          </w:p>
        </w:tc>
        <w:tc>
          <w:tcPr>
            <w:tcW w:w="3167" w:type="dxa"/>
          </w:tcPr>
          <w:p w14:paraId="1EA2BAE8" w14:textId="5784D1E3" w:rsidR="00700C88" w:rsidRPr="00700C88" w:rsidRDefault="00700C88" w:rsidP="00700C88">
            <w:r w:rsidRPr="00700C88">
              <w:t>Мускулна слабост</w:t>
            </w:r>
          </w:p>
        </w:tc>
      </w:tr>
      <w:tr w:rsidR="00700C88" w14:paraId="2D45140A" w14:textId="77777777" w:rsidTr="00210E9F">
        <w:tc>
          <w:tcPr>
            <w:tcW w:w="3166" w:type="dxa"/>
          </w:tcPr>
          <w:p w14:paraId="7FDD157D" w14:textId="1D74E59B" w:rsidR="00700C88" w:rsidRPr="00700C88" w:rsidRDefault="00700C88" w:rsidP="00700C88">
            <w:r w:rsidRPr="00700C88">
              <w:t>Нарушения на бъбреците и пикочните пътища</w:t>
            </w:r>
          </w:p>
        </w:tc>
        <w:tc>
          <w:tcPr>
            <w:tcW w:w="3167" w:type="dxa"/>
          </w:tcPr>
          <w:p w14:paraId="5F8E4F93" w14:textId="2899339E" w:rsidR="00700C88" w:rsidRPr="00700C88" w:rsidRDefault="00700C88" w:rsidP="00700C88">
            <w:r w:rsidRPr="00700C88">
              <w:t>Много редки</w:t>
            </w:r>
          </w:p>
        </w:tc>
        <w:tc>
          <w:tcPr>
            <w:tcW w:w="3167" w:type="dxa"/>
          </w:tcPr>
          <w:p w14:paraId="185DF2BE" w14:textId="77777777" w:rsidR="00700C88" w:rsidRPr="00700C88" w:rsidRDefault="00700C88" w:rsidP="00700C88">
            <w:r w:rsidRPr="00700C88">
              <w:t>Интерстициален нефрит; при някои пациенти е била съобщавана съпътстваща</w:t>
            </w:r>
            <w:r w:rsidRPr="00700C88">
              <w:tab/>
              <w:t>бъбречна</w:t>
            </w:r>
          </w:p>
          <w:p w14:paraId="718F9B48" w14:textId="67361B4B" w:rsidR="00700C88" w:rsidRPr="00700C88" w:rsidRDefault="00700C88" w:rsidP="00700C88">
            <w:r w:rsidRPr="00700C88">
              <w:t>недостатъчност</w:t>
            </w:r>
          </w:p>
        </w:tc>
      </w:tr>
      <w:tr w:rsidR="00700C88" w14:paraId="05D64B9D" w14:textId="77777777" w:rsidTr="00210E9F">
        <w:tc>
          <w:tcPr>
            <w:tcW w:w="3166" w:type="dxa"/>
          </w:tcPr>
          <w:p w14:paraId="21C1F5E6" w14:textId="6696FA93" w:rsidR="00700C88" w:rsidRPr="00700C88" w:rsidRDefault="00700C88" w:rsidP="00700C88">
            <w:r w:rsidRPr="00700C88">
              <w:t>Нарушения</w:t>
            </w:r>
            <w:r>
              <w:rPr>
                <w:lang w:val="en-US"/>
              </w:rPr>
              <w:t xml:space="preserve"> </w:t>
            </w:r>
            <w:r w:rsidRPr="00700C88">
              <w:t>на</w:t>
            </w:r>
          </w:p>
          <w:p w14:paraId="4E1E9946" w14:textId="29033061" w:rsidR="00700C88" w:rsidRPr="00700C88" w:rsidRDefault="00700C88" w:rsidP="00700C88">
            <w:r w:rsidRPr="00700C88">
              <w:t>възпроизводителната система и гърдата</w:t>
            </w:r>
          </w:p>
        </w:tc>
        <w:tc>
          <w:tcPr>
            <w:tcW w:w="3167" w:type="dxa"/>
          </w:tcPr>
          <w:p w14:paraId="06EB03E0" w14:textId="7A63B913" w:rsidR="00700C88" w:rsidRPr="00700C88" w:rsidRDefault="00700C88" w:rsidP="00700C88">
            <w:r w:rsidRPr="00700C88">
              <w:t>Много редки</w:t>
            </w:r>
          </w:p>
        </w:tc>
        <w:tc>
          <w:tcPr>
            <w:tcW w:w="3167" w:type="dxa"/>
          </w:tcPr>
          <w:p w14:paraId="01005C01" w14:textId="5EC004D0" w:rsidR="00700C88" w:rsidRPr="00700C88" w:rsidRDefault="00700C88" w:rsidP="00700C88">
            <w:r w:rsidRPr="00700C88">
              <w:t>Гинекомастия</w:t>
            </w:r>
          </w:p>
        </w:tc>
      </w:tr>
      <w:tr w:rsidR="00700C88" w14:paraId="7F71E13A" w14:textId="77777777" w:rsidTr="00210E9F">
        <w:tc>
          <w:tcPr>
            <w:tcW w:w="3166" w:type="dxa"/>
          </w:tcPr>
          <w:p w14:paraId="091F70D3" w14:textId="07858398" w:rsidR="00700C88" w:rsidRPr="00700C88" w:rsidRDefault="00700C88" w:rsidP="00700C88">
            <w:r w:rsidRPr="00700C88">
              <w:t>Общи нарушения и ефекти на мястото на приложение</w:t>
            </w:r>
          </w:p>
        </w:tc>
        <w:tc>
          <w:tcPr>
            <w:tcW w:w="3167" w:type="dxa"/>
          </w:tcPr>
          <w:p w14:paraId="163802C3" w14:textId="28162481" w:rsidR="00700C88" w:rsidRPr="00700C88" w:rsidRDefault="00700C88" w:rsidP="00700C88">
            <w:r w:rsidRPr="00700C88">
              <w:t>Редки</w:t>
            </w:r>
          </w:p>
        </w:tc>
        <w:tc>
          <w:tcPr>
            <w:tcW w:w="3167" w:type="dxa"/>
          </w:tcPr>
          <w:p w14:paraId="7DCEBE92" w14:textId="74832ADF" w:rsidR="00700C88" w:rsidRPr="00700C88" w:rsidRDefault="00700C88" w:rsidP="00700C88">
            <w:r w:rsidRPr="00700C88">
              <w:t>Отпадналост, повишено потоотделяне</w:t>
            </w:r>
          </w:p>
        </w:tc>
      </w:tr>
    </w:tbl>
    <w:p w14:paraId="7F71CC0C" w14:textId="197D2186" w:rsidR="00210E9F" w:rsidRDefault="00210E9F" w:rsidP="00210E9F"/>
    <w:p w14:paraId="58C4FA3E" w14:textId="77777777" w:rsidR="00700C88" w:rsidRPr="00700C88" w:rsidRDefault="00700C88" w:rsidP="00700C88">
      <w:pPr>
        <w:spacing w:line="240" w:lineRule="auto"/>
        <w:rPr>
          <w:rFonts w:eastAsia="Times New Roman" w:cs="Arial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*Реакциите на мястото на приложение са били наблюдавани главно в проучване с прилагане на високи дози в продължение на 3 дни (72 часа). Вж. точка 5.3</w:t>
      </w:r>
    </w:p>
    <w:p w14:paraId="7AE5D74F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7C10AAC" w14:textId="0A0B9F2A" w:rsidR="00700C88" w:rsidRPr="00700C88" w:rsidRDefault="00700C88" w:rsidP="00700C88">
      <w:pPr>
        <w:spacing w:line="240" w:lineRule="auto"/>
        <w:rPr>
          <w:rFonts w:eastAsia="Times New Roman" w:cs="Arial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В отделни случаи се съобщава за необратимо увреждане на зрението при критично болни пациенти, които са получавали омепразол (рацемата) под формата на интравенозна инжекция, особено при високи дози, но не е установена причинно-следствена връзка.</w:t>
      </w:r>
    </w:p>
    <w:p w14:paraId="35474415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3C31C68" w14:textId="4192BC1C" w:rsidR="00700C88" w:rsidRPr="00700C88" w:rsidRDefault="00700C88" w:rsidP="00700C88">
      <w:pPr>
        <w:spacing w:line="240" w:lineRule="auto"/>
        <w:rPr>
          <w:rFonts w:eastAsia="Times New Roman" w:cs="Arial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F25BD43" w14:textId="77777777" w:rsidR="00700C88" w:rsidRPr="00700C88" w:rsidRDefault="00700C88" w:rsidP="00700C88">
      <w:pPr>
        <w:spacing w:line="240" w:lineRule="auto"/>
        <w:rPr>
          <w:rFonts w:eastAsia="Times New Roman" w:cs="Arial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Проведено е рандомизирано, открито, международно проучване за оценка на фармакокинетиката на многократни интравенозни дози с приложение на езомепразол веднъж дневно в продължение на 4 дни при педиатрични пациенти на възраст от 0 до 18 години (вж. точка 5.2). Общо 57 пациенти (8 деца от възрастова група 1-5 години) са включени в оценката на безопасността. Резултатите са в съответствие с известния профил на безопасност на езомепразол, и не са идентифицирани нови сигнали, свързани с безопасността.</w:t>
      </w:r>
    </w:p>
    <w:p w14:paraId="3ABC9625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5DA9A5D" w14:textId="5E81F5B9" w:rsidR="00700C88" w:rsidRPr="00700C88" w:rsidRDefault="00700C88" w:rsidP="00700C88">
      <w:pPr>
        <w:spacing w:line="240" w:lineRule="auto"/>
        <w:rPr>
          <w:rFonts w:eastAsia="Times New Roman" w:cs="Arial"/>
          <w:lang w:eastAsia="bg-BG"/>
        </w:rPr>
      </w:pPr>
      <w:r w:rsidRPr="00700C88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5E60D89F" w14:textId="77777777" w:rsidR="00700C88" w:rsidRPr="00700C88" w:rsidRDefault="00700C88" w:rsidP="00700C88">
      <w:pPr>
        <w:spacing w:line="240" w:lineRule="auto"/>
        <w:rPr>
          <w:rFonts w:eastAsia="Times New Roman" w:cs="Arial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чрез:</w:t>
      </w:r>
    </w:p>
    <w:p w14:paraId="446328E6" w14:textId="77777777" w:rsidR="00700C88" w:rsidRPr="00700C88" w:rsidRDefault="00700C88" w:rsidP="00700C88">
      <w:pPr>
        <w:spacing w:line="240" w:lineRule="auto"/>
        <w:rPr>
          <w:rFonts w:eastAsia="Times New Roman" w:cs="Arial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lastRenderedPageBreak/>
        <w:t xml:space="preserve">Изпълнителна агенция по лекарствата ул. „Дамян Груев” № 8 1303 София тел.: +35 928903417 уебсайт: </w:t>
      </w:r>
      <w:r w:rsidRPr="00700C88">
        <w:rPr>
          <w:rFonts w:eastAsia="Times New Roman" w:cs="Arial"/>
          <w:lang w:eastAsia="bg-BG"/>
        </w:rPr>
        <w:fldChar w:fldCharType="begin"/>
      </w:r>
      <w:r w:rsidRPr="00700C88">
        <w:rPr>
          <w:rFonts w:eastAsia="Times New Roman" w:cs="Arial"/>
          <w:lang w:eastAsia="bg-BG"/>
        </w:rPr>
        <w:instrText xml:space="preserve"> HYPERLINK "http://www.bda.bg" </w:instrText>
      </w:r>
      <w:r w:rsidRPr="00700C88">
        <w:rPr>
          <w:rFonts w:eastAsia="Times New Roman" w:cs="Arial"/>
          <w:lang w:eastAsia="bg-BG"/>
        </w:rPr>
      </w:r>
      <w:r w:rsidRPr="00700C88">
        <w:rPr>
          <w:rFonts w:eastAsia="Times New Roman" w:cs="Arial"/>
          <w:lang w:eastAsia="bg-BG"/>
        </w:rPr>
        <w:fldChar w:fldCharType="separate"/>
      </w:r>
      <w:r w:rsidRPr="00700C88">
        <w:rPr>
          <w:rFonts w:eastAsia="Times New Roman" w:cs="Arial"/>
          <w:color w:val="000000"/>
          <w:u w:val="single"/>
          <w:lang w:val="en-US"/>
        </w:rPr>
        <w:t>www.bda.bg</w:t>
      </w:r>
      <w:r w:rsidRPr="00700C88">
        <w:rPr>
          <w:rFonts w:eastAsia="Times New Roman" w:cs="Arial"/>
          <w:lang w:eastAsia="bg-BG"/>
        </w:rPr>
        <w:fldChar w:fldCharType="end"/>
      </w:r>
    </w:p>
    <w:p w14:paraId="707BE393" w14:textId="77777777" w:rsidR="00700C88" w:rsidRPr="00210E9F" w:rsidRDefault="00700C88" w:rsidP="00210E9F"/>
    <w:p w14:paraId="378A0F20" w14:textId="6AF5A695" w:rsidR="001D095A" w:rsidRDefault="002C50EE" w:rsidP="00340E8D">
      <w:pPr>
        <w:pStyle w:val="Heading2"/>
      </w:pPr>
      <w:r>
        <w:t>4.9. Предозиране</w:t>
      </w:r>
    </w:p>
    <w:p w14:paraId="6D04937E" w14:textId="639B423B" w:rsidR="00700C88" w:rsidRDefault="00700C88" w:rsidP="00700C88"/>
    <w:p w14:paraId="5648BC35" w14:textId="4A656D38" w:rsidR="00700C88" w:rsidRPr="00700C88" w:rsidRDefault="00700C88" w:rsidP="00700C88">
      <w:r>
        <w:t xml:space="preserve">Понастоящем опитът с умишлено предозиране е много ограничен. Симптомите, описани във връзка с перорална доза от 280 </w:t>
      </w:r>
      <w:r>
        <w:rPr>
          <w:lang w:val="en-US"/>
        </w:rPr>
        <w:t xml:space="preserve">mg </w:t>
      </w:r>
      <w:r>
        <w:t xml:space="preserve">са били от страна на стомашно-чревния тракт и симптоми на слабост. Еднократни перорални дози от 80 </w:t>
      </w:r>
      <w:r>
        <w:rPr>
          <w:lang w:val="en-US"/>
        </w:rPr>
        <w:t xml:space="preserve">mg </w:t>
      </w:r>
      <w:r>
        <w:t xml:space="preserve">езомепразол и интравенозно приложение на 308 </w:t>
      </w:r>
      <w:r>
        <w:rPr>
          <w:lang w:val="en-US"/>
        </w:rPr>
        <w:t xml:space="preserve">mg </w:t>
      </w:r>
      <w:r>
        <w:t>езомепразол в продължение на 24 часа не са довели до особени събития. Не е известен специфичен антидот. Езомепразол се свързва с плазмените протеини във висока степен и поради това не се отстранява лесно чрез диализа. Какго при всеки случай на предозиране, лечението трябва да бъде симптоматично и да се прилагат общи поддържащи мерки.</w:t>
      </w:r>
    </w:p>
    <w:p w14:paraId="783193A6" w14:textId="20FA4FD4" w:rsidR="00700C88" w:rsidRPr="00700C88" w:rsidRDefault="002C50EE" w:rsidP="00700C88">
      <w:pPr>
        <w:pStyle w:val="Heading1"/>
      </w:pPr>
      <w:r>
        <w:t>5. ФАРМАКОЛОГИЧНИ СВОЙСТВА</w:t>
      </w:r>
    </w:p>
    <w:p w14:paraId="7F6CC5E1" w14:textId="3DD529B2" w:rsidR="00F62E44" w:rsidRDefault="002C50EE" w:rsidP="00387A66">
      <w:pPr>
        <w:pStyle w:val="Heading2"/>
      </w:pPr>
      <w:r>
        <w:t>5.1. Фармакодинамични свойства</w:t>
      </w:r>
    </w:p>
    <w:p w14:paraId="35AD558D" w14:textId="55B7CB6D" w:rsidR="00700C88" w:rsidRDefault="00700C88" w:rsidP="00700C88"/>
    <w:p w14:paraId="495DE0A4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Фармакотерапевтична група: Лекарства за лечение на нарушения, свързани с киселинността, инхибитори на протонната помпа.</w:t>
      </w:r>
    </w:p>
    <w:p w14:paraId="317FBE5C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АТС код: А02В С05</w:t>
      </w:r>
    </w:p>
    <w:p w14:paraId="4B8422F3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CB68D8A" w14:textId="17379CB9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Езомепразол е </w:t>
      </w:r>
      <w:r w:rsidRPr="00700C88">
        <w:rPr>
          <w:rFonts w:eastAsia="Times New Roman" w:cs="Arial"/>
          <w:color w:val="000000"/>
          <w:lang w:val="en-US"/>
        </w:rPr>
        <w:t>S</w:t>
      </w:r>
      <w:r w:rsidRPr="00700C88">
        <w:rPr>
          <w:rFonts w:eastAsia="Times New Roman" w:cs="Arial"/>
          <w:color w:val="000000"/>
          <w:lang w:eastAsia="bg-BG"/>
        </w:rPr>
        <w:t xml:space="preserve">-изомер на омепразол и намалява стомашната киселинна секреция чрез специфичен прицелен механизъм на действие. Той е специфичен инхибитор на киселинната помпа в париеталната клетка </w:t>
      </w:r>
      <w:r w:rsidRPr="00700C88">
        <w:rPr>
          <w:rFonts w:eastAsia="Times New Roman" w:cs="Arial"/>
          <w:color w:val="000000"/>
          <w:lang w:val="en-US"/>
        </w:rPr>
        <w:t xml:space="preserve">R- </w:t>
      </w:r>
      <w:r w:rsidRPr="00700C88">
        <w:rPr>
          <w:rFonts w:eastAsia="Times New Roman" w:cs="Arial"/>
          <w:color w:val="000000"/>
          <w:lang w:eastAsia="bg-BG"/>
        </w:rPr>
        <w:t xml:space="preserve">и </w:t>
      </w:r>
      <w:r w:rsidRPr="00700C88">
        <w:rPr>
          <w:rFonts w:eastAsia="Times New Roman" w:cs="Arial"/>
          <w:color w:val="000000"/>
          <w:lang w:val="en-US"/>
        </w:rPr>
        <w:t xml:space="preserve">S- </w:t>
      </w:r>
      <w:r w:rsidRPr="00700C88">
        <w:rPr>
          <w:rFonts w:eastAsia="Times New Roman" w:cs="Arial"/>
          <w:color w:val="000000"/>
          <w:lang w:eastAsia="bg-BG"/>
        </w:rPr>
        <w:t>изомерите на омепразол имат подобно фармакодинамично действие.</w:t>
      </w:r>
    </w:p>
    <w:p w14:paraId="443743FA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5260B0DD" w14:textId="6CC10705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u w:val="single"/>
          <w:lang w:eastAsia="bg-BG"/>
        </w:rPr>
        <w:t>Механизъм на действие</w:t>
      </w:r>
    </w:p>
    <w:p w14:paraId="626DDDEF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Езомепразол е слаба основа и се концентрира и превръща в активна форма в силно киселата среда на секреторните каналчета в париеталната клетка, където той инхибира ензима Н*К</w:t>
      </w:r>
      <w:r w:rsidRPr="00700C88">
        <w:rPr>
          <w:rFonts w:eastAsia="Times New Roman" w:cs="Arial"/>
          <w:color w:val="000000"/>
          <w:vertAlign w:val="superscript"/>
          <w:lang w:eastAsia="bg-BG"/>
        </w:rPr>
        <w:t>+</w:t>
      </w:r>
      <w:r w:rsidRPr="00700C88">
        <w:rPr>
          <w:rFonts w:eastAsia="Times New Roman" w:cs="Arial"/>
          <w:color w:val="000000"/>
          <w:lang w:eastAsia="bg-BG"/>
        </w:rPr>
        <w:t>-АТФ-аза- киселинната помпа и инхибира какго базалната, така и стимулираната киселинна секреция,</w:t>
      </w:r>
    </w:p>
    <w:p w14:paraId="0004CC4D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BE7F6E3" w14:textId="06E13E93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u w:val="single"/>
          <w:lang w:eastAsia="bg-BG"/>
        </w:rPr>
        <w:t>Фа</w:t>
      </w:r>
      <w:r w:rsidRPr="00700C88">
        <w:rPr>
          <w:rFonts w:eastAsia="Times New Roman" w:cs="Arial"/>
          <w:color w:val="000000"/>
          <w:u w:val="single"/>
          <w:lang w:eastAsia="bg-BG"/>
        </w:rPr>
        <w:t>р</w:t>
      </w:r>
      <w:r w:rsidRPr="00700C88">
        <w:rPr>
          <w:rFonts w:eastAsia="Times New Roman" w:cs="Arial"/>
          <w:color w:val="000000"/>
          <w:u w:val="single"/>
          <w:lang w:eastAsia="bg-BG"/>
        </w:rPr>
        <w:t>макодинамични ефекти</w:t>
      </w:r>
    </w:p>
    <w:p w14:paraId="7CF72CDE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След пет дни перорално приложение на 20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и 40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езомепразол е поддържано стомашно </w:t>
      </w:r>
      <w:r w:rsidRPr="00700C88">
        <w:rPr>
          <w:rFonts w:eastAsia="Times New Roman" w:cs="Arial"/>
          <w:color w:val="000000"/>
          <w:lang w:val="en-US"/>
        </w:rPr>
        <w:t xml:space="preserve">pH </w:t>
      </w:r>
      <w:r w:rsidRPr="00700C88">
        <w:rPr>
          <w:rFonts w:eastAsia="Times New Roman" w:cs="Arial"/>
          <w:color w:val="000000"/>
          <w:lang w:eastAsia="bg-BG"/>
        </w:rPr>
        <w:t>над 4 за средно време съответно от (13 от 24) и (17 от 24) часа, при пациенти с ГЕРБ. Ефектът е подобен, независимо дали езомепразол се прилага перорално или интравенозно.</w:t>
      </w:r>
    </w:p>
    <w:p w14:paraId="46888326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18128A6" w14:textId="00E75A86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Доказана е връзка между инхибирането на киселинната секреция и експозицията след перорално приложение на езомепразол при използване на </w:t>
      </w:r>
      <w:r w:rsidRPr="00700C88">
        <w:rPr>
          <w:rFonts w:eastAsia="Times New Roman" w:cs="Arial"/>
          <w:color w:val="000000"/>
          <w:lang w:val="en-US"/>
        </w:rPr>
        <w:t xml:space="preserve">AUC </w:t>
      </w:r>
      <w:r w:rsidRPr="00700C88">
        <w:rPr>
          <w:rFonts w:eastAsia="Times New Roman" w:cs="Arial"/>
          <w:color w:val="000000"/>
          <w:lang w:eastAsia="bg-BG"/>
        </w:rPr>
        <w:t>като сурогатен показател за плазмената концентрация.</w:t>
      </w:r>
    </w:p>
    <w:p w14:paraId="12A5E24D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30146A4" w14:textId="0A2A4501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При здрави лица по време на интравенозното приложение на 80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езомепразол, като болус инфузия в продължение на 30 мин., последвано от непрекъсната интравенозна инфузия от 8 </w:t>
      </w:r>
      <w:r w:rsidRPr="00700C88">
        <w:rPr>
          <w:rFonts w:eastAsia="Times New Roman" w:cs="Arial"/>
          <w:color w:val="000000"/>
          <w:lang w:val="en-US"/>
        </w:rPr>
        <w:t xml:space="preserve">mg/h </w:t>
      </w:r>
      <w:r w:rsidRPr="00700C88">
        <w:rPr>
          <w:rFonts w:eastAsia="Times New Roman" w:cs="Arial"/>
          <w:color w:val="000000"/>
          <w:lang w:eastAsia="bg-BG"/>
        </w:rPr>
        <w:t xml:space="preserve">за 23,5 часа е било поддържано стомашно </w:t>
      </w:r>
      <w:r w:rsidRPr="00700C88">
        <w:rPr>
          <w:rFonts w:eastAsia="Times New Roman" w:cs="Arial"/>
          <w:color w:val="000000"/>
          <w:lang w:val="en-US"/>
        </w:rPr>
        <w:t xml:space="preserve">pH </w:t>
      </w:r>
      <w:r w:rsidRPr="00700C88">
        <w:rPr>
          <w:rFonts w:eastAsia="Times New Roman" w:cs="Arial"/>
          <w:color w:val="000000"/>
          <w:lang w:eastAsia="bg-BG"/>
        </w:rPr>
        <w:t xml:space="preserve">над 4 и </w:t>
      </w:r>
      <w:r w:rsidRPr="00700C88">
        <w:rPr>
          <w:rFonts w:eastAsia="Times New Roman" w:cs="Arial"/>
          <w:color w:val="000000"/>
          <w:lang w:val="en-US"/>
        </w:rPr>
        <w:t xml:space="preserve">pH </w:t>
      </w:r>
      <w:r w:rsidRPr="00700C88">
        <w:rPr>
          <w:rFonts w:eastAsia="Times New Roman" w:cs="Arial"/>
          <w:color w:val="000000"/>
          <w:lang w:eastAsia="bg-BG"/>
        </w:rPr>
        <w:t>над 6 за средно време съответно 21 и 11 - 13 часа, от 24 часа.</w:t>
      </w:r>
    </w:p>
    <w:p w14:paraId="1605ACA0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FFCF5B" w14:textId="7E1C12AF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lastRenderedPageBreak/>
        <w:t xml:space="preserve">Излекуване на рефлукс-езофагит с езомепразол 40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>се наблюдава приблизително при 78% от пациентите след четири седмици и при 93% след осем седмици на перорално лечение.</w:t>
      </w:r>
    </w:p>
    <w:p w14:paraId="3B661EA6" w14:textId="77777777" w:rsidR="00700C88" w:rsidRPr="00700C88" w:rsidRDefault="00700C88" w:rsidP="00700C88">
      <w:pPr>
        <w:rPr>
          <w:rFonts w:eastAsia="Times New Roman" w:cs="Arial"/>
          <w:color w:val="000000"/>
          <w:lang w:eastAsia="bg-BG"/>
        </w:rPr>
      </w:pPr>
    </w:p>
    <w:p w14:paraId="3D40E59E" w14:textId="77777777" w:rsidR="00700C88" w:rsidRPr="00700C88" w:rsidRDefault="00700C88" w:rsidP="00700C88">
      <w:pPr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В рандомизирано, двойносляпо, плацебо-контролирано клинично проучване пациенти, с ендоскопски потвърдено кървене от пептична язва, характеризирана като Форест </w:t>
      </w:r>
      <w:proofErr w:type="spellStart"/>
      <w:r w:rsidRPr="00700C88">
        <w:rPr>
          <w:rFonts w:eastAsia="Times New Roman" w:cs="Arial"/>
          <w:color w:val="000000"/>
          <w:lang w:val="en-US"/>
        </w:rPr>
        <w:t>Ia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, </w:t>
      </w:r>
      <w:proofErr w:type="spellStart"/>
      <w:r w:rsidRPr="00700C88">
        <w:rPr>
          <w:rFonts w:eastAsia="Times New Roman" w:cs="Arial"/>
          <w:color w:val="000000"/>
          <w:lang w:val="en-US"/>
        </w:rPr>
        <w:t>Ib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, </w:t>
      </w:r>
      <w:r w:rsidRPr="00700C88">
        <w:rPr>
          <w:rFonts w:eastAsia="Times New Roman" w:cs="Arial"/>
          <w:color w:val="000000"/>
          <w:lang w:eastAsia="bg-BG"/>
        </w:rPr>
        <w:t xml:space="preserve">Па или </w:t>
      </w:r>
      <w:r w:rsidRPr="00700C88">
        <w:rPr>
          <w:rFonts w:eastAsia="Times New Roman" w:cs="Arial"/>
          <w:color w:val="000000"/>
          <w:lang w:val="en-US"/>
        </w:rPr>
        <w:t>IIb</w:t>
      </w:r>
      <w:r w:rsidRPr="00700C88">
        <w:rPr>
          <w:rFonts w:eastAsia="Times New Roman" w:cs="Arial"/>
          <w:color w:val="000000"/>
          <w:lang w:eastAsia="bg-BG"/>
        </w:rPr>
        <w:t xml:space="preserve"> (9%, 43%, 38% и 10% съответно), са били рандомизирани да получават езомепразол инфузионен разтвор </w:t>
      </w:r>
      <w:r w:rsidRPr="00700C88">
        <w:rPr>
          <w:rFonts w:eastAsia="Times New Roman" w:cs="Arial"/>
          <w:color w:val="000000"/>
          <w:lang w:val="en-US"/>
        </w:rPr>
        <w:t xml:space="preserve">(N </w:t>
      </w:r>
      <w:r w:rsidRPr="00700C88">
        <w:rPr>
          <w:rFonts w:eastAsia="Times New Roman" w:cs="Arial"/>
          <w:color w:val="000000"/>
          <w:lang w:eastAsia="bg-BG"/>
        </w:rPr>
        <w:t xml:space="preserve">= 375) или плацебо </w:t>
      </w:r>
      <w:r w:rsidRPr="00700C88">
        <w:rPr>
          <w:rFonts w:eastAsia="Times New Roman" w:cs="Arial"/>
          <w:color w:val="000000"/>
          <w:lang w:val="en-US"/>
        </w:rPr>
        <w:t xml:space="preserve">(N </w:t>
      </w:r>
      <w:r w:rsidRPr="00700C88">
        <w:rPr>
          <w:rFonts w:eastAsia="Times New Roman" w:cs="Arial"/>
          <w:color w:val="000000"/>
          <w:lang w:eastAsia="bg-BG"/>
        </w:rPr>
        <w:t>= 389). След ендоскопска</w:t>
      </w:r>
      <w:r w:rsidRPr="00700C88">
        <w:rPr>
          <w:rFonts w:eastAsia="Times New Roman" w:cs="Arial"/>
          <w:color w:val="000000"/>
          <w:lang w:val="en-US"/>
        </w:rPr>
        <w:t xml:space="preserve"> </w:t>
      </w:r>
      <w:r w:rsidRPr="00700C88">
        <w:rPr>
          <w:rFonts w:eastAsia="Times New Roman" w:cs="Arial"/>
          <w:color w:val="000000"/>
          <w:lang w:eastAsia="bg-BG"/>
        </w:rPr>
        <w:t xml:space="preserve">хемостаза, в продължение на 72 часа пациентите получавали 80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езомепразол интравенозна инфузия за 30 минути, с последваща непрекъсната инфузия от 8 </w:t>
      </w:r>
      <w:r w:rsidRPr="00700C88">
        <w:rPr>
          <w:rFonts w:eastAsia="Times New Roman" w:cs="Arial"/>
          <w:color w:val="000000"/>
          <w:lang w:val="en-US"/>
        </w:rPr>
        <w:t xml:space="preserve">mg/h </w:t>
      </w:r>
      <w:r w:rsidRPr="00700C88">
        <w:rPr>
          <w:rFonts w:eastAsia="Times New Roman" w:cs="Arial"/>
          <w:color w:val="000000"/>
          <w:lang w:eastAsia="bg-BG"/>
        </w:rPr>
        <w:t xml:space="preserve">или плацебо. След първоначалния срок от 72 часа, всички пациенти получавали перорално 40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>езомепразол в продължение на 27 дни за киселинна супресия. Процентът на поява на повторно кървене в рамките на 3 дни е бил 5,9% в групата, лекувана с езомепразол, в сравнение с 10,3% за групата на плацебо. На 30-я</w:t>
      </w:r>
      <w:r w:rsidRPr="00700C88">
        <w:rPr>
          <w:rFonts w:eastAsia="Times New Roman" w:cs="Arial"/>
          <w:color w:val="000000"/>
          <w:lang w:eastAsia="bg-BG"/>
        </w:rPr>
        <w:t xml:space="preserve"> </w:t>
      </w:r>
      <w:r w:rsidRPr="00700C88">
        <w:rPr>
          <w:rFonts w:eastAsia="Times New Roman" w:cs="Arial"/>
          <w:color w:val="000000"/>
          <w:lang w:eastAsia="bg-BG"/>
        </w:rPr>
        <w:t>ден след лечението, процентът на поява на повторно кървене в групата на езомепразол третираните спрямо плацебо групата е 7,7% спрямо 13,6%.</w:t>
      </w:r>
    </w:p>
    <w:p w14:paraId="5B871705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DB5C51F" w14:textId="02E9B9BC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По време на лечение с антисекреторни лекарствени продукти гастрина в серума се повишава в отговор на понижената киселинна секреция. В резултат на намалената стомашна киселинност се повишава и нивото на </w:t>
      </w:r>
      <w:proofErr w:type="spellStart"/>
      <w:r w:rsidRPr="00700C88">
        <w:rPr>
          <w:rFonts w:eastAsia="Times New Roman" w:cs="Arial"/>
          <w:color w:val="000000"/>
          <w:lang w:val="en-US"/>
        </w:rPr>
        <w:t>CgA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. </w:t>
      </w:r>
      <w:r w:rsidRPr="00700C88">
        <w:rPr>
          <w:rFonts w:eastAsia="Times New Roman" w:cs="Arial"/>
          <w:color w:val="000000"/>
          <w:lang w:eastAsia="bg-BG"/>
        </w:rPr>
        <w:t xml:space="preserve">Повишеното ниво на </w:t>
      </w:r>
      <w:proofErr w:type="spellStart"/>
      <w:r w:rsidRPr="00700C88">
        <w:rPr>
          <w:rFonts w:eastAsia="Times New Roman" w:cs="Arial"/>
          <w:color w:val="000000"/>
          <w:lang w:val="en-US"/>
        </w:rPr>
        <w:t>CgA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 </w:t>
      </w:r>
      <w:r w:rsidRPr="00700C88">
        <w:rPr>
          <w:rFonts w:eastAsia="Times New Roman" w:cs="Arial"/>
          <w:color w:val="000000"/>
          <w:lang w:eastAsia="bg-BG"/>
        </w:rPr>
        <w:t>може да повлияе на изследванията за невроендокринни тумори.</w:t>
      </w:r>
    </w:p>
    <w:p w14:paraId="41583797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Наличните публикувани данни показват, че прилагането на инхибитори на протонната помпа трябва да се преустанови между 5 дни и 2 седмици преди измерване на </w:t>
      </w:r>
      <w:proofErr w:type="spellStart"/>
      <w:r w:rsidRPr="00700C88">
        <w:rPr>
          <w:rFonts w:eastAsia="Times New Roman" w:cs="Arial"/>
          <w:color w:val="000000"/>
          <w:lang w:val="en-US"/>
        </w:rPr>
        <w:t>CgA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. </w:t>
      </w:r>
      <w:r w:rsidRPr="00700C88">
        <w:rPr>
          <w:rFonts w:eastAsia="Times New Roman" w:cs="Arial"/>
          <w:color w:val="000000"/>
          <w:lang w:eastAsia="bg-BG"/>
        </w:rPr>
        <w:t xml:space="preserve">Това се прави с цел нивата на </w:t>
      </w:r>
      <w:proofErr w:type="spellStart"/>
      <w:r w:rsidRPr="00700C88">
        <w:rPr>
          <w:rFonts w:eastAsia="Times New Roman" w:cs="Arial"/>
          <w:color w:val="000000"/>
          <w:lang w:val="en-US"/>
        </w:rPr>
        <w:t>CgA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, </w:t>
      </w:r>
      <w:r w:rsidRPr="00700C88">
        <w:rPr>
          <w:rFonts w:eastAsia="Times New Roman" w:cs="Arial"/>
          <w:color w:val="000000"/>
          <w:lang w:eastAsia="bg-BG"/>
        </w:rPr>
        <w:t>които могат да са лъжливо повишени след лечение с ИПП, да се възстановят до референтните си граници.</w:t>
      </w:r>
    </w:p>
    <w:p w14:paraId="440227DA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059631C" w14:textId="75A131D8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Както при деца, така и при възрастни, при продължително лечение с езомепразол са наблюдавани повишен брой </w:t>
      </w:r>
      <w:r w:rsidRPr="00700C88">
        <w:rPr>
          <w:rFonts w:eastAsia="Times New Roman" w:cs="Arial"/>
          <w:color w:val="000000"/>
          <w:lang w:val="en-US"/>
        </w:rPr>
        <w:t xml:space="preserve">ECL </w:t>
      </w:r>
      <w:r w:rsidRPr="00700C88">
        <w:rPr>
          <w:rFonts w:eastAsia="Times New Roman" w:cs="Arial"/>
          <w:color w:val="000000"/>
          <w:lang w:eastAsia="bg-BG"/>
        </w:rPr>
        <w:t>клетки, вероятно свързани с повишените серумни нива на гастрина. Счита се, че тези находки нямат клинична значимост.</w:t>
      </w:r>
    </w:p>
    <w:p w14:paraId="37348A0F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3C1F69" w14:textId="688AFDB9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По време на продължително перорално лечение с антисекреторни лекарствени продукти е докладвано известно увеличение в честотата на поява на стомашни жлезити кисти. Тези промени са физиологично следствие от изразеното инхибиране на киселинната секреция, те са доброкачествени и вероятно са обратими.</w:t>
      </w:r>
    </w:p>
    <w:p w14:paraId="4F13BA7F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D8DCAE7" w14:textId="21BF9DC1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Намалената стомашна киселинност в резултат на различни въздействия, включително на инхибитори на протонната помпа, води до нарастване броя на бактериите, които нормално присъстват в стомашно-чревния тракт. Лечението с инхибитори на протонната помпа може да доведе до леко повишен риск от стомашно-чревни инфекции като такива причинени от </w:t>
      </w:r>
      <w:r w:rsidRPr="00700C88">
        <w:rPr>
          <w:rFonts w:eastAsia="Times New Roman" w:cs="Arial"/>
          <w:i/>
          <w:iCs/>
          <w:color w:val="000000"/>
          <w:lang w:val="en-US"/>
        </w:rPr>
        <w:t xml:space="preserve">Salmonella </w:t>
      </w:r>
      <w:r w:rsidRPr="00700C88">
        <w:rPr>
          <w:rFonts w:eastAsia="Times New Roman" w:cs="Arial"/>
          <w:color w:val="000000"/>
          <w:lang w:eastAsia="bg-BG"/>
        </w:rPr>
        <w:t xml:space="preserve">и </w:t>
      </w:r>
      <w:r w:rsidRPr="00700C88">
        <w:rPr>
          <w:rFonts w:eastAsia="Times New Roman" w:cs="Arial"/>
          <w:i/>
          <w:iCs/>
          <w:color w:val="000000"/>
          <w:lang w:val="en-US"/>
        </w:rPr>
        <w:t>Campylobacter,</w:t>
      </w:r>
      <w:r w:rsidRPr="00700C88">
        <w:rPr>
          <w:rFonts w:eastAsia="Times New Roman" w:cs="Arial"/>
          <w:color w:val="000000"/>
          <w:lang w:val="en-US"/>
        </w:rPr>
        <w:t xml:space="preserve"> </w:t>
      </w:r>
      <w:r w:rsidRPr="00700C88">
        <w:rPr>
          <w:rFonts w:eastAsia="Times New Roman" w:cs="Arial"/>
          <w:color w:val="000000"/>
          <w:lang w:eastAsia="bg-BG"/>
        </w:rPr>
        <w:t xml:space="preserve">а при хоспитализирани пациенти - възможни са също такива, причинени от </w:t>
      </w:r>
      <w:proofErr w:type="spellStart"/>
      <w:r w:rsidRPr="00700C88">
        <w:rPr>
          <w:rFonts w:eastAsia="Times New Roman" w:cs="Arial"/>
          <w:i/>
          <w:iCs/>
          <w:color w:val="000000"/>
          <w:lang w:val="en-US"/>
        </w:rPr>
        <w:t>Clostridum</w:t>
      </w:r>
      <w:proofErr w:type="spellEnd"/>
      <w:r w:rsidRPr="00700C88">
        <w:rPr>
          <w:rFonts w:eastAsia="Times New Roman" w:cs="Arial"/>
          <w:i/>
          <w:iCs/>
          <w:color w:val="000000"/>
          <w:lang w:val="en-US"/>
        </w:rPr>
        <w:t xml:space="preserve"> difficile.</w:t>
      </w:r>
    </w:p>
    <w:p w14:paraId="1F21424E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3ADA589" w14:textId="42E67B9E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07B4334B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В едно плацебо-контролирано проучване (98 пациенти на възраст 1-11 месеца) се оценява ефикасността и безопасността при пациенти с признаци и симптоми на ГЕРБ. Езомепразол 1 </w:t>
      </w:r>
      <w:r w:rsidRPr="00700C88">
        <w:rPr>
          <w:rFonts w:eastAsia="Times New Roman" w:cs="Arial"/>
          <w:color w:val="000000"/>
          <w:lang w:val="en-US"/>
        </w:rPr>
        <w:t xml:space="preserve">mg/kg </w:t>
      </w:r>
      <w:r w:rsidRPr="00700C88">
        <w:rPr>
          <w:rFonts w:eastAsia="Times New Roman" w:cs="Arial"/>
          <w:color w:val="000000"/>
          <w:lang w:eastAsia="bg-BG"/>
        </w:rPr>
        <w:t>веднъж дневно е прилаган перорално в продължение на 2 седмици (открита фаза), а 80 пациенти са включени за допълнителни 4 седмици (двойносляпа, фаза на прекратяване на лечението). Няма значима разлика между езомепразол и плацебо по отношение на първичната крайна точка - време до прекратяване поради влошаване на симптомите.</w:t>
      </w:r>
    </w:p>
    <w:p w14:paraId="27207267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lastRenderedPageBreak/>
        <w:t xml:space="preserve">В плацебо-контролирано проучване (52 пациенти на възраст &lt;1 месец) се оценява ефикасността и безопасността при пациенти съм симптоми на ГЕРБ. Езомепразол 0,5 </w:t>
      </w:r>
      <w:r w:rsidRPr="00700C88">
        <w:rPr>
          <w:rFonts w:eastAsia="Times New Roman" w:cs="Arial"/>
          <w:color w:val="000000"/>
          <w:lang w:val="en-US"/>
        </w:rPr>
        <w:t xml:space="preserve">mg/kg </w:t>
      </w:r>
      <w:r w:rsidRPr="00700C88">
        <w:rPr>
          <w:rFonts w:eastAsia="Times New Roman" w:cs="Arial"/>
          <w:color w:val="000000"/>
          <w:lang w:eastAsia="bg-BG"/>
        </w:rPr>
        <w:t>веднъж дневно е прилаган перорално в продължение на минимум 10 дни. Няма значима разлика между езомепразол и плацебо по отношение на първичната крайно точка, промяна спрямо изходното ниво в броя на случаите с поява на симптоми на ГЕРБ.</w:t>
      </w:r>
    </w:p>
    <w:p w14:paraId="4EBEC42A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2D1AF10" w14:textId="59F95F02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Резултатите от педиатричните проучвания допълнително показват, че 0,5 </w:t>
      </w:r>
      <w:r w:rsidRPr="00700C88">
        <w:rPr>
          <w:rFonts w:eastAsia="Times New Roman" w:cs="Arial"/>
          <w:color w:val="000000"/>
          <w:lang w:val="en-US"/>
        </w:rPr>
        <w:t xml:space="preserve">mg/kg </w:t>
      </w:r>
      <w:r w:rsidRPr="00700C88">
        <w:rPr>
          <w:rFonts w:eastAsia="Times New Roman" w:cs="Arial"/>
          <w:color w:val="000000"/>
          <w:lang w:eastAsia="bg-BG"/>
        </w:rPr>
        <w:t xml:space="preserve">и 1,0 </w:t>
      </w:r>
      <w:r w:rsidRPr="00700C88">
        <w:rPr>
          <w:rFonts w:eastAsia="Times New Roman" w:cs="Arial"/>
          <w:color w:val="000000"/>
          <w:lang w:val="en-US"/>
        </w:rPr>
        <w:t xml:space="preserve">mg/kg </w:t>
      </w:r>
      <w:r w:rsidRPr="00700C88">
        <w:rPr>
          <w:rFonts w:eastAsia="Times New Roman" w:cs="Arial"/>
          <w:color w:val="000000"/>
          <w:lang w:eastAsia="bg-BG"/>
        </w:rPr>
        <w:t xml:space="preserve">езомепразол при кърмачета, съответно на възраст &lt;1 месец и от 1 до 11 месеца, намалява средния процент на времето на интраезофагеално рН&lt;4. Профилът на безопасност показва сходство с този, наблюдаван при възрастни. В проучване при педиатрични пациенти с ГЕРБ (на възраст &lt;1 до 17 години), подложени на дългосрочно лечение с ИПП, 61% от децата са развили нискостепенна </w:t>
      </w:r>
      <w:r w:rsidRPr="00700C88">
        <w:rPr>
          <w:rFonts w:eastAsia="Times New Roman" w:cs="Arial"/>
          <w:color w:val="000000"/>
          <w:lang w:val="en-US"/>
        </w:rPr>
        <w:t>ECL</w:t>
      </w:r>
      <w:r w:rsidRPr="00700C88">
        <w:rPr>
          <w:rFonts w:eastAsia="Times New Roman" w:cs="Arial"/>
          <w:color w:val="000000"/>
          <w:lang w:eastAsia="bg-BG"/>
        </w:rPr>
        <w:t>-клетъчна хиперплазия с неизвестна клинична значимост и без развитие на атрофичен гастрит или карциноидни тумори.</w:t>
      </w:r>
    </w:p>
    <w:p w14:paraId="07040033" w14:textId="6135C3E4" w:rsidR="00700C88" w:rsidRPr="00700C88" w:rsidRDefault="00700C88" w:rsidP="00700C88"/>
    <w:p w14:paraId="544FFDAF" w14:textId="5B1895DE" w:rsidR="00F62E44" w:rsidRDefault="002C50EE" w:rsidP="00387A66">
      <w:pPr>
        <w:pStyle w:val="Heading2"/>
      </w:pPr>
      <w:r>
        <w:t>5.2. Фармакокинетични свойства</w:t>
      </w:r>
    </w:p>
    <w:p w14:paraId="593A3B84" w14:textId="2A0A16F0" w:rsidR="00700C88" w:rsidRDefault="00700C88" w:rsidP="00700C88"/>
    <w:p w14:paraId="63F3300C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u w:val="single"/>
          <w:lang w:eastAsia="bg-BG"/>
        </w:rPr>
        <w:t>Разпределение</w:t>
      </w:r>
    </w:p>
    <w:p w14:paraId="03872DA8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Реалният обем на разпределение в равновесно състояние при здрави лица е приблизително 0,22 </w:t>
      </w:r>
      <w:r w:rsidRPr="00700C88">
        <w:rPr>
          <w:rFonts w:eastAsia="Times New Roman" w:cs="Arial"/>
          <w:color w:val="000000"/>
          <w:lang w:val="en-US"/>
        </w:rPr>
        <w:t xml:space="preserve">l/kg </w:t>
      </w:r>
      <w:r w:rsidRPr="00700C88">
        <w:rPr>
          <w:rFonts w:eastAsia="Times New Roman" w:cs="Arial"/>
          <w:color w:val="000000"/>
          <w:lang w:eastAsia="bg-BG"/>
        </w:rPr>
        <w:t>телесно тегло. Езомепразол е 97% свързан с плазмените протеини.</w:t>
      </w:r>
    </w:p>
    <w:p w14:paraId="67E552E4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3EF2BB8" w14:textId="5087A505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  <w:r w:rsidRPr="00700C88">
        <w:rPr>
          <w:rFonts w:eastAsia="Times New Roman" w:cs="Arial"/>
          <w:color w:val="000000"/>
          <w:u w:val="single"/>
          <w:lang w:eastAsia="bg-BG"/>
        </w:rPr>
        <w:t>Биотранс</w:t>
      </w:r>
      <w:r w:rsidRPr="00700C88">
        <w:rPr>
          <w:rFonts w:eastAsia="Times New Roman" w:cs="Arial"/>
          <w:color w:val="000000"/>
          <w:u w:val="single"/>
          <w:lang w:eastAsia="bg-BG"/>
        </w:rPr>
        <w:t>ф</w:t>
      </w:r>
      <w:r w:rsidRPr="00700C88">
        <w:rPr>
          <w:rFonts w:eastAsia="Times New Roman" w:cs="Arial"/>
          <w:color w:val="000000"/>
          <w:u w:val="single"/>
          <w:lang w:eastAsia="bg-BG"/>
        </w:rPr>
        <w:t>ормация</w:t>
      </w:r>
    </w:p>
    <w:p w14:paraId="12EC2A7F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Езомепразол се метаболизира напълно от системата на цитохром Р450 </w:t>
      </w:r>
      <w:r w:rsidRPr="00700C88">
        <w:rPr>
          <w:rFonts w:eastAsia="Times New Roman" w:cs="Arial"/>
          <w:color w:val="000000"/>
          <w:lang w:val="en-US"/>
        </w:rPr>
        <w:t xml:space="preserve">(CYP). </w:t>
      </w:r>
      <w:r w:rsidRPr="00700C88">
        <w:rPr>
          <w:rFonts w:eastAsia="Times New Roman" w:cs="Arial"/>
          <w:color w:val="000000"/>
          <w:lang w:eastAsia="bg-BG"/>
        </w:rPr>
        <w:t xml:space="preserve">Основна част от метаболизма на езомепразол зависи от полиморфния </w:t>
      </w:r>
      <w:r w:rsidRPr="00700C88">
        <w:rPr>
          <w:rFonts w:eastAsia="Times New Roman" w:cs="Arial"/>
          <w:color w:val="000000"/>
          <w:lang w:val="en-US"/>
        </w:rPr>
        <w:t xml:space="preserve">CYP2C19, </w:t>
      </w:r>
      <w:r w:rsidRPr="00700C88">
        <w:rPr>
          <w:rFonts w:eastAsia="Times New Roman" w:cs="Arial"/>
          <w:color w:val="000000"/>
          <w:lang w:eastAsia="bg-BG"/>
        </w:rPr>
        <w:t xml:space="preserve">отговорен за образуването на хидрокси- и дезметил-метаболити на езомепразол. Останалата част зависи от друг специфичен изоензим - </w:t>
      </w:r>
      <w:r w:rsidRPr="00700C88">
        <w:rPr>
          <w:rFonts w:eastAsia="Times New Roman" w:cs="Arial"/>
          <w:color w:val="000000"/>
          <w:lang w:val="en-US"/>
        </w:rPr>
        <w:t xml:space="preserve">CYP3A4, </w:t>
      </w:r>
      <w:r w:rsidRPr="00700C88">
        <w:rPr>
          <w:rFonts w:eastAsia="Times New Roman" w:cs="Arial"/>
          <w:color w:val="000000"/>
          <w:lang w:eastAsia="bg-BG"/>
        </w:rPr>
        <w:t>отговорен за образуването на езомепразол сулфон, основният метаболит в плазмата.</w:t>
      </w:r>
    </w:p>
    <w:p w14:paraId="417635AA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9270DE0" w14:textId="372C81A4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u w:val="single"/>
          <w:lang w:eastAsia="bg-BG"/>
        </w:rPr>
        <w:t>Елиминиране</w:t>
      </w:r>
    </w:p>
    <w:p w14:paraId="3A4C05A5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Параметрите по-долу отразяват предимно фармакокинетиката на лица с функциониращ С</w:t>
      </w:r>
      <w:r w:rsidRPr="00700C88">
        <w:rPr>
          <w:rFonts w:eastAsia="Times New Roman" w:cs="Arial"/>
          <w:color w:val="000000"/>
          <w:lang w:val="en-US"/>
        </w:rPr>
        <w:t>YP2C</w:t>
      </w:r>
      <w:r w:rsidRPr="00700C88">
        <w:rPr>
          <w:rFonts w:eastAsia="Times New Roman" w:cs="Arial"/>
          <w:color w:val="000000"/>
          <w:lang w:eastAsia="bg-BG"/>
        </w:rPr>
        <w:t>19 ензим, екстензивни метаболизатори.</w:t>
      </w:r>
    </w:p>
    <w:p w14:paraId="5B4A662C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181586C" w14:textId="6EF5805D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Тоталният плазмен клирънс е около 17 </w:t>
      </w:r>
      <w:r w:rsidRPr="00700C88">
        <w:rPr>
          <w:rFonts w:eastAsia="Times New Roman" w:cs="Arial"/>
          <w:color w:val="000000"/>
          <w:lang w:val="en-US"/>
        </w:rPr>
        <w:t xml:space="preserve">l/h </w:t>
      </w:r>
      <w:r w:rsidRPr="00700C88">
        <w:rPr>
          <w:rFonts w:eastAsia="Times New Roman" w:cs="Arial"/>
          <w:color w:val="000000"/>
          <w:lang w:eastAsia="bg-BG"/>
        </w:rPr>
        <w:t xml:space="preserve">след единична доза и около 9 </w:t>
      </w:r>
      <w:r w:rsidRPr="00700C88">
        <w:rPr>
          <w:rFonts w:eastAsia="Times New Roman" w:cs="Arial"/>
          <w:color w:val="000000"/>
          <w:lang w:val="en-US"/>
        </w:rPr>
        <w:t xml:space="preserve">l/h </w:t>
      </w:r>
      <w:r w:rsidRPr="00700C88">
        <w:rPr>
          <w:rFonts w:eastAsia="Times New Roman" w:cs="Arial"/>
          <w:color w:val="000000"/>
          <w:lang w:eastAsia="bg-BG"/>
        </w:rPr>
        <w:t>след многократно приложение. Елиминационният плазмен полуживот е около 1,3 часа след многократно прилагане веднъж дневно. Езомепразол се елиминира напълно от плазмата между отделните дози, като няма тендензии за акумулиране при приложение веднъж дневно.</w:t>
      </w:r>
    </w:p>
    <w:p w14:paraId="6CFA51E8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A29D3AB" w14:textId="3F9908FB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Главните метаболити наямат действие върху секрецията на стомашните киселини. Почти 80% он перорална доза се екскретира като метаболити в урината, а останалото количество - чрез фекалите. По-малко от 1% от изходния лекарствен продукт се открива в урината.</w:t>
      </w:r>
    </w:p>
    <w:p w14:paraId="08AF13D8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21AA15F3" w14:textId="503E7F86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u w:val="single"/>
          <w:lang w:eastAsia="bg-BG"/>
        </w:rPr>
        <w:t>Линеарност/нелинеарност</w:t>
      </w:r>
    </w:p>
    <w:p w14:paraId="1518C20E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Общата експозиция </w:t>
      </w:r>
      <w:r w:rsidRPr="00700C88">
        <w:rPr>
          <w:rFonts w:eastAsia="Times New Roman" w:cs="Arial"/>
          <w:color w:val="000000"/>
          <w:lang w:val="en-US"/>
        </w:rPr>
        <w:t xml:space="preserve">(AUC) </w:t>
      </w:r>
      <w:r w:rsidRPr="00700C88">
        <w:rPr>
          <w:rFonts w:eastAsia="Times New Roman" w:cs="Arial"/>
          <w:color w:val="000000"/>
          <w:lang w:eastAsia="bg-BG"/>
        </w:rPr>
        <w:t>се увеличава с многократно приложение на езомепразол. Това увеличение зависи от дозата и води до нелинейна доза</w:t>
      </w:r>
      <w:r w:rsidRPr="00700C88">
        <w:rPr>
          <w:rFonts w:eastAsia="Times New Roman" w:cs="Arial"/>
          <w:color w:val="000000"/>
          <w:lang w:val="en-US"/>
        </w:rPr>
        <w:t xml:space="preserve">-AUC </w:t>
      </w:r>
      <w:r w:rsidRPr="00700C88">
        <w:rPr>
          <w:rFonts w:eastAsia="Times New Roman" w:cs="Arial"/>
          <w:color w:val="000000"/>
          <w:lang w:eastAsia="bg-BG"/>
        </w:rPr>
        <w:t xml:space="preserve">след многократно приложение. Тази зависимост от времето и дозата се дължи на намаление на метаболизма при първо преминаване и на системния клирънс, вероятно причинени от инхибирането на ензима </w:t>
      </w:r>
      <w:r w:rsidRPr="00700C88">
        <w:rPr>
          <w:rFonts w:eastAsia="Times New Roman" w:cs="Arial"/>
          <w:color w:val="000000"/>
          <w:lang w:val="en-US"/>
        </w:rPr>
        <w:t xml:space="preserve">CYP2C19 </w:t>
      </w:r>
      <w:r w:rsidRPr="00700C88">
        <w:rPr>
          <w:rFonts w:eastAsia="Times New Roman" w:cs="Arial"/>
          <w:color w:val="000000"/>
          <w:lang w:eastAsia="bg-BG"/>
        </w:rPr>
        <w:t xml:space="preserve">от езомепразол и/или неговия сулфонов метаболит. </w:t>
      </w:r>
      <w:r w:rsidRPr="00700C88">
        <w:rPr>
          <w:rFonts w:eastAsia="Times New Roman" w:cs="Arial"/>
          <w:color w:val="000000"/>
          <w:lang w:eastAsia="bg-BG"/>
        </w:rPr>
        <w:lastRenderedPageBreak/>
        <w:t xml:space="preserve">Има доза-линейно увеличение на общата експозиция след интравенозно приложение на езомепразол като 30-минутна инфузия (40 </w:t>
      </w:r>
      <w:r w:rsidRPr="00700C88">
        <w:rPr>
          <w:rFonts w:eastAsia="Times New Roman" w:cs="Arial"/>
          <w:color w:val="000000"/>
          <w:lang w:val="en-US"/>
        </w:rPr>
        <w:t xml:space="preserve">mg, </w:t>
      </w:r>
      <w:r w:rsidRPr="00700C88">
        <w:rPr>
          <w:rFonts w:eastAsia="Times New Roman" w:cs="Arial"/>
          <w:color w:val="000000"/>
          <w:lang w:eastAsia="bg-BG"/>
        </w:rPr>
        <w:t xml:space="preserve">80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или 120 </w:t>
      </w:r>
      <w:r w:rsidRPr="00700C88">
        <w:rPr>
          <w:rFonts w:eastAsia="Times New Roman" w:cs="Arial"/>
          <w:color w:val="000000"/>
          <w:lang w:val="en-US"/>
        </w:rPr>
        <w:t xml:space="preserve">mg), </w:t>
      </w:r>
      <w:r w:rsidRPr="00700C88">
        <w:rPr>
          <w:rFonts w:eastAsia="Times New Roman" w:cs="Arial"/>
          <w:color w:val="000000"/>
          <w:lang w:eastAsia="bg-BG"/>
        </w:rPr>
        <w:t xml:space="preserve">последван от непрекъсната инфузия (4 </w:t>
      </w:r>
      <w:r w:rsidRPr="00700C88">
        <w:rPr>
          <w:rFonts w:eastAsia="Times New Roman" w:cs="Arial"/>
          <w:color w:val="000000"/>
          <w:lang w:val="en-US"/>
        </w:rPr>
        <w:t xml:space="preserve">mg/h </w:t>
      </w:r>
      <w:r w:rsidRPr="00700C88">
        <w:rPr>
          <w:rFonts w:eastAsia="Times New Roman" w:cs="Arial"/>
          <w:color w:val="000000"/>
          <w:lang w:eastAsia="bg-BG"/>
        </w:rPr>
        <w:t xml:space="preserve">или 8 </w:t>
      </w:r>
      <w:r w:rsidRPr="00700C88">
        <w:rPr>
          <w:rFonts w:eastAsia="Times New Roman" w:cs="Arial"/>
          <w:color w:val="000000"/>
          <w:lang w:val="en-US"/>
        </w:rPr>
        <w:t xml:space="preserve">mg/h) </w:t>
      </w:r>
      <w:r w:rsidRPr="00700C88">
        <w:rPr>
          <w:rFonts w:eastAsia="Times New Roman" w:cs="Arial"/>
          <w:color w:val="000000"/>
          <w:lang w:eastAsia="bg-BG"/>
        </w:rPr>
        <w:t>в продължение на 23,5 часа.</w:t>
      </w:r>
    </w:p>
    <w:p w14:paraId="5FE833CB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D93E18" w14:textId="5A25317B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След многократно приложение на 40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под формата на интравенозни инжекции средната максимална плазмена концентрация е приблизително 13,6 </w:t>
      </w:r>
      <w:proofErr w:type="spellStart"/>
      <w:r w:rsidRPr="00700C88">
        <w:rPr>
          <w:rFonts w:eastAsia="Times New Roman" w:cs="Arial"/>
          <w:color w:val="000000"/>
          <w:lang w:val="en-US"/>
        </w:rPr>
        <w:t>micromol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/l </w:t>
      </w:r>
      <w:r w:rsidRPr="00700C88">
        <w:rPr>
          <w:rFonts w:eastAsia="Times New Roman" w:cs="Arial"/>
          <w:color w:val="000000"/>
          <w:lang w:eastAsia="bg-BG"/>
        </w:rPr>
        <w:t xml:space="preserve">След перорално приложение на съответстващи дози средната максимална плазмена концентрация е приблизително 4,6 </w:t>
      </w:r>
      <w:proofErr w:type="spellStart"/>
      <w:r w:rsidRPr="00700C88">
        <w:rPr>
          <w:rFonts w:eastAsia="Times New Roman" w:cs="Arial"/>
          <w:color w:val="000000"/>
          <w:lang w:val="en-US"/>
        </w:rPr>
        <w:t>micromol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/l </w:t>
      </w:r>
      <w:r w:rsidRPr="00700C88">
        <w:rPr>
          <w:rFonts w:eastAsia="Times New Roman" w:cs="Arial"/>
          <w:color w:val="000000"/>
          <w:lang w:eastAsia="bg-BG"/>
        </w:rPr>
        <w:t>По-малко увеличение на общата експозиция (от приблизително 30%) може да се наблюдава след интравенозно приложение в сравнение с пероралното приложение.</w:t>
      </w:r>
    </w:p>
    <w:p w14:paraId="2F0A7CEA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6300299" w14:textId="6A17D31A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Специални популации пациенти</w:t>
      </w:r>
    </w:p>
    <w:p w14:paraId="470AAC2C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AE0865D" w14:textId="4066E923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Слаби метаболизатори</w:t>
      </w:r>
    </w:p>
    <w:p w14:paraId="428F955F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Приблизително при 2.9 ±1.5% от популацията липсва функциониращ </w:t>
      </w:r>
      <w:r w:rsidRPr="00700C88">
        <w:rPr>
          <w:rFonts w:eastAsia="Times New Roman" w:cs="Arial"/>
          <w:color w:val="000000"/>
          <w:lang w:val="en-US"/>
        </w:rPr>
        <w:t xml:space="preserve">CYP2C19 </w:t>
      </w:r>
      <w:r w:rsidRPr="00700C88">
        <w:rPr>
          <w:rFonts w:eastAsia="Times New Roman" w:cs="Arial"/>
          <w:color w:val="000000"/>
          <w:lang w:eastAsia="bg-BG"/>
        </w:rPr>
        <w:t xml:space="preserve">ензим и те са наречени слаби метаболизатори. При тези лица метаболизмът на езомепразол вероятно се катализира предимно от </w:t>
      </w:r>
      <w:r w:rsidRPr="00700C88">
        <w:rPr>
          <w:rFonts w:eastAsia="Times New Roman" w:cs="Arial"/>
          <w:color w:val="000000"/>
          <w:lang w:val="en-US"/>
        </w:rPr>
        <w:t xml:space="preserve">CYP3A4. </w:t>
      </w:r>
      <w:r w:rsidRPr="00700C88">
        <w:rPr>
          <w:rFonts w:eastAsia="Times New Roman" w:cs="Arial"/>
          <w:color w:val="000000"/>
          <w:lang w:eastAsia="bg-BG"/>
        </w:rPr>
        <w:t xml:space="preserve">След многократно перорално прилагане на 40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езомепразол веднъж дневно, средната обща експозиция е била приблизително 100% по-голяма при слабите метаболизатори, отколкото при лицата с функциониращ </w:t>
      </w:r>
      <w:r w:rsidRPr="00700C88">
        <w:rPr>
          <w:rFonts w:eastAsia="Times New Roman" w:cs="Arial"/>
          <w:color w:val="000000"/>
          <w:lang w:val="en-US"/>
        </w:rPr>
        <w:t>CYP2C</w:t>
      </w:r>
      <w:r w:rsidRPr="00700C88">
        <w:rPr>
          <w:rFonts w:eastAsia="Times New Roman" w:cs="Arial"/>
          <w:color w:val="000000"/>
          <w:lang w:eastAsia="bg-BG"/>
        </w:rPr>
        <w:t>19 ензим (екстензивни метаболизатори). Средните максимални плазмени концентрации са били повишени с около 60%. Подобни разлики са били наблюдавани при интравенозно приложение на езомепразол. Тези находки нямат отношение към дозирането на езомепразол.</w:t>
      </w:r>
    </w:p>
    <w:p w14:paraId="4E5740BB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19623375" w14:textId="7F7BE042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Пол</w:t>
      </w:r>
    </w:p>
    <w:p w14:paraId="675CD017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След еднократно перорално прилагане на 40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>езомепразол, средната обща експозиция е приблизително 30% по-голяма при жени, отколкото при мъже. Не е установена полова разлика след многократно приложение веднъж дневно. Подобни разлики са били наблюдавани при интравенозно приложение на езомепразол. Тези находки нямат отношение към дозирането на езомепразол.</w:t>
      </w:r>
    </w:p>
    <w:p w14:paraId="395CE3E4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EA7F239" w14:textId="3B9F8110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Чернодробни нарушения</w:t>
      </w:r>
    </w:p>
    <w:p w14:paraId="24D332A0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Метаболизмът на езомепразол при пациенти с леко до умерено нарушена функция на черния дроб може да бъде влошен. Степента на метаболизиране е намалена при пациенти с тежко увредена чернодробна функция, което води до удвояване на експозицията на езомепразол. Поради това при пациенти с ГЕРБ и с тежка дисфункция не трябва да се превишава максималната доза от 20 </w:t>
      </w:r>
      <w:r w:rsidRPr="00700C88">
        <w:rPr>
          <w:rFonts w:eastAsia="Times New Roman" w:cs="Arial"/>
          <w:color w:val="000000"/>
          <w:lang w:val="en-US"/>
        </w:rPr>
        <w:t xml:space="preserve">mg. </w:t>
      </w:r>
      <w:r w:rsidRPr="00700C88">
        <w:rPr>
          <w:rFonts w:eastAsia="Times New Roman" w:cs="Arial"/>
          <w:color w:val="000000"/>
          <w:lang w:eastAsia="bg-BG"/>
        </w:rPr>
        <w:t xml:space="preserve">При пациенти с кървяща язва и с тежко чернодробно увреждане, след първоначална болус доза от 80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непрекъсната интравенозна инфузия с максимална доза от 4 </w:t>
      </w:r>
      <w:r w:rsidRPr="00700C88">
        <w:rPr>
          <w:rFonts w:eastAsia="Times New Roman" w:cs="Arial"/>
          <w:color w:val="000000"/>
          <w:lang w:val="en-US"/>
        </w:rPr>
        <w:t xml:space="preserve">mg/h </w:t>
      </w:r>
      <w:r w:rsidRPr="00700C88">
        <w:rPr>
          <w:rFonts w:eastAsia="Times New Roman" w:cs="Arial"/>
          <w:color w:val="000000"/>
          <w:lang w:eastAsia="bg-BG"/>
        </w:rPr>
        <w:t>в продължение на 71,5 часа може да бъде достатъчна. Езомепразол и главните му метаболити не показват тенденция за кумулиране при приемане веднъж дневно.</w:t>
      </w:r>
    </w:p>
    <w:p w14:paraId="351C2315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549F2A6" w14:textId="780363E4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Бъбречни нарушения</w:t>
      </w:r>
    </w:p>
    <w:p w14:paraId="10EEB1EF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Проучвания при пациенти с намалена бъбречна функция не са провеждани. Тъй-като екскрецията на метаболитите на езомепразол се извършва през бъбреците, но не и елиминирането на изходното съединение, не се очакват промени в метаболизма на езомепразол при пациенти с увредена бъбречна функция.</w:t>
      </w:r>
    </w:p>
    <w:p w14:paraId="61DFD77E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02CD952" w14:textId="137A9CD8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Старческа възраст</w:t>
      </w:r>
    </w:p>
    <w:p w14:paraId="4399DACF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При пациенти в старческа възраст (71-80 години) метаболизмът на езомепразол не се променя значимо.</w:t>
      </w:r>
    </w:p>
    <w:p w14:paraId="33156699" w14:textId="77777777" w:rsidR="00700C88" w:rsidRPr="00700C88" w:rsidRDefault="00700C88" w:rsidP="00700C88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06BFDA3" w14:textId="635AF27C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i/>
          <w:iCs/>
          <w:color w:val="000000"/>
          <w:lang w:eastAsia="bg-BG"/>
        </w:rPr>
        <w:t>Педиатрична популация</w:t>
      </w:r>
    </w:p>
    <w:p w14:paraId="49EDFFCD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В едно рандомизирано, открито, международно проучване с многократно дозиране, езомепразол е прилаган веднъж дневно като 3-минутна инжекция в продължение на 4 дни. Проучването включва общо 59 педиатрични пациенти на възраст от 0 до 18 години, от които 50 пациенти (7 деца във възрастовата група от 1 до 5 години) са завършили проучването и са били оценени по отношение на фармакокинетиката на езомепрозол.</w:t>
      </w:r>
    </w:p>
    <w:p w14:paraId="48E9A018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27177B" w14:textId="570DD678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Таблицата по-долу описва системната експозиция на езомепразол след интравенозно приложение като 3-минутна инжекция при педиатрични пациенти и при възрастни здрави доброволци. Стойностите в таблицата са геометрични средни (интервал). Дозата от 20 </w:t>
      </w:r>
      <w:r w:rsidRPr="00700C88">
        <w:rPr>
          <w:rFonts w:eastAsia="Times New Roman" w:cs="Arial"/>
          <w:color w:val="000000"/>
          <w:lang w:val="en-US"/>
        </w:rPr>
        <w:t xml:space="preserve">mg </w:t>
      </w:r>
      <w:r w:rsidRPr="00700C88">
        <w:rPr>
          <w:rFonts w:eastAsia="Times New Roman" w:cs="Arial"/>
          <w:color w:val="000000"/>
          <w:lang w:eastAsia="bg-BG"/>
        </w:rPr>
        <w:t xml:space="preserve">при възрастни е приложена като 30-минутна инфузия. </w:t>
      </w:r>
      <w:proofErr w:type="spellStart"/>
      <w:proofErr w:type="gramStart"/>
      <w:r w:rsidRPr="00700C88">
        <w:rPr>
          <w:rFonts w:eastAsia="Times New Roman" w:cs="Arial"/>
          <w:color w:val="000000"/>
          <w:lang w:val="en-US"/>
        </w:rPr>
        <w:t>C</w:t>
      </w:r>
      <w:r w:rsidRPr="00700C88">
        <w:rPr>
          <w:rFonts w:eastAsia="Times New Roman" w:cs="Arial"/>
          <w:color w:val="000000"/>
          <w:vertAlign w:val="subscript"/>
          <w:lang w:val="en-US"/>
        </w:rPr>
        <w:t>ss,max</w:t>
      </w:r>
      <w:proofErr w:type="spellEnd"/>
      <w:proofErr w:type="gramEnd"/>
      <w:r w:rsidRPr="00700C88">
        <w:rPr>
          <w:rFonts w:eastAsia="Times New Roman" w:cs="Arial"/>
          <w:color w:val="000000"/>
          <w:lang w:val="en-US"/>
        </w:rPr>
        <w:t xml:space="preserve"> </w:t>
      </w:r>
      <w:r w:rsidRPr="00700C88">
        <w:rPr>
          <w:rFonts w:eastAsia="Times New Roman" w:cs="Arial"/>
          <w:color w:val="000000"/>
          <w:lang w:eastAsia="bg-BG"/>
        </w:rPr>
        <w:t>е</w:t>
      </w:r>
      <w:r w:rsidRPr="00700C88">
        <w:rPr>
          <w:rFonts w:eastAsia="Times New Roman" w:cs="Arial"/>
          <w:color w:val="000000"/>
          <w:lang w:val="en-US"/>
        </w:rPr>
        <w:t xml:space="preserve"> </w:t>
      </w:r>
      <w:r w:rsidRPr="00700C88">
        <w:rPr>
          <w:rFonts w:eastAsia="Times New Roman" w:cs="Arial"/>
          <w:color w:val="000000"/>
          <w:lang w:eastAsia="bg-BG"/>
        </w:rPr>
        <w:t xml:space="preserve">измерена 5 минути след прилагане на дозата при всички групи педиатрични пациенти и 7 минути след прилагане на дозата при възрастни на доза от 40 </w:t>
      </w:r>
      <w:r w:rsidRPr="00700C88">
        <w:rPr>
          <w:rFonts w:eastAsia="Times New Roman" w:cs="Arial"/>
          <w:color w:val="000000"/>
          <w:lang w:val="en-US"/>
        </w:rPr>
        <w:t xml:space="preserve">mg, </w:t>
      </w:r>
      <w:r w:rsidRPr="00700C88">
        <w:rPr>
          <w:rFonts w:eastAsia="Times New Roman" w:cs="Arial"/>
          <w:color w:val="000000"/>
          <w:lang w:eastAsia="bg-BG"/>
        </w:rPr>
        <w:t xml:space="preserve">и след спиране на инфузията при възрастни на доза от 20 </w:t>
      </w:r>
      <w:r w:rsidRPr="00700C88">
        <w:rPr>
          <w:rFonts w:eastAsia="Times New Roman" w:cs="Arial"/>
          <w:color w:val="000000"/>
          <w:lang w:val="en-US"/>
        </w:rPr>
        <w:t>mg.</w:t>
      </w:r>
    </w:p>
    <w:p w14:paraId="7ED28F39" w14:textId="6C734C50" w:rsidR="00700C88" w:rsidRDefault="00700C88" w:rsidP="00700C8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5"/>
        <w:gridCol w:w="2330"/>
        <w:gridCol w:w="2339"/>
        <w:gridCol w:w="2336"/>
      </w:tblGrid>
      <w:tr w:rsidR="00700C88" w14:paraId="370DF18E" w14:textId="77777777" w:rsidTr="00700C88">
        <w:tc>
          <w:tcPr>
            <w:tcW w:w="2375" w:type="dxa"/>
          </w:tcPr>
          <w:p w14:paraId="2B1AABB4" w14:textId="0F8AA26B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Възрастова група</w:t>
            </w:r>
          </w:p>
        </w:tc>
        <w:tc>
          <w:tcPr>
            <w:tcW w:w="2375" w:type="dxa"/>
          </w:tcPr>
          <w:p w14:paraId="3939CFC3" w14:textId="54858CFB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Дозова група</w:t>
            </w:r>
          </w:p>
        </w:tc>
        <w:tc>
          <w:tcPr>
            <w:tcW w:w="2375" w:type="dxa"/>
          </w:tcPr>
          <w:p w14:paraId="79E44E98" w14:textId="227E562C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rPr>
                <w:b/>
                <w:bCs/>
                <w:lang w:val="en-US"/>
              </w:rPr>
              <w:t xml:space="preserve">AUC </w:t>
            </w:r>
            <w:r w:rsidRPr="00700C88">
              <w:rPr>
                <w:b/>
                <w:bCs/>
              </w:rPr>
              <w:t>(</w:t>
            </w:r>
            <w:r w:rsidRPr="00700C88">
              <w:t>μ</w:t>
            </w:r>
            <w:r w:rsidRPr="00700C88">
              <w:rPr>
                <w:lang w:val="en-US"/>
              </w:rPr>
              <w:t>mol*h/l)</w:t>
            </w:r>
          </w:p>
        </w:tc>
        <w:tc>
          <w:tcPr>
            <w:tcW w:w="2375" w:type="dxa"/>
          </w:tcPr>
          <w:p w14:paraId="46A8067E" w14:textId="63BC996B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proofErr w:type="gramStart"/>
            <w:r w:rsidRPr="00700C88">
              <w:rPr>
                <w:b/>
                <w:bCs/>
                <w:lang w:val="en-US"/>
              </w:rPr>
              <w:t>Css,max</w:t>
            </w:r>
            <w:proofErr w:type="spellEnd"/>
            <w:proofErr w:type="gramEnd"/>
            <w:r w:rsidRPr="00700C88">
              <w:rPr>
                <w:b/>
                <w:bCs/>
                <w:lang w:val="en-US"/>
              </w:rPr>
              <w:t xml:space="preserve"> </w:t>
            </w:r>
            <w:r w:rsidRPr="00700C88">
              <w:rPr>
                <w:b/>
                <w:bCs/>
              </w:rPr>
              <w:t>(</w:t>
            </w:r>
            <w:r w:rsidRPr="00700C88">
              <w:t>μ</w:t>
            </w:r>
            <w:r w:rsidRPr="00700C88">
              <w:rPr>
                <w:lang w:val="en-US"/>
              </w:rPr>
              <w:t>mol/l)</w:t>
            </w:r>
          </w:p>
        </w:tc>
      </w:tr>
      <w:tr w:rsidR="00700C88" w14:paraId="2CDA3B70" w14:textId="77777777" w:rsidTr="00700C88">
        <w:tc>
          <w:tcPr>
            <w:tcW w:w="2375" w:type="dxa"/>
          </w:tcPr>
          <w:p w14:paraId="2CF8B000" w14:textId="555689FE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0-1 месец*</w:t>
            </w:r>
          </w:p>
        </w:tc>
        <w:tc>
          <w:tcPr>
            <w:tcW w:w="2375" w:type="dxa"/>
          </w:tcPr>
          <w:p w14:paraId="5B84BA8D" w14:textId="73F8B33B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0,5 </w:t>
            </w:r>
            <w:r w:rsidRPr="00700C88">
              <w:rPr>
                <w:lang w:val="en-US"/>
              </w:rPr>
              <w:t xml:space="preserve">mg/kg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=6)</w:t>
            </w:r>
          </w:p>
        </w:tc>
        <w:tc>
          <w:tcPr>
            <w:tcW w:w="2375" w:type="dxa"/>
          </w:tcPr>
          <w:p w14:paraId="0DF5A92A" w14:textId="2700D619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7,5 (4,5-20,5)</w:t>
            </w:r>
          </w:p>
        </w:tc>
        <w:tc>
          <w:tcPr>
            <w:tcW w:w="2375" w:type="dxa"/>
          </w:tcPr>
          <w:p w14:paraId="24675FFD" w14:textId="662233B4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3,7 (2,7-5,8)</w:t>
            </w:r>
          </w:p>
        </w:tc>
      </w:tr>
      <w:tr w:rsidR="00700C88" w14:paraId="5192FDE2" w14:textId="77777777" w:rsidTr="00700C88">
        <w:tc>
          <w:tcPr>
            <w:tcW w:w="2375" w:type="dxa"/>
          </w:tcPr>
          <w:p w14:paraId="4B26F8F3" w14:textId="49266A30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1-11 месеца*</w:t>
            </w:r>
          </w:p>
        </w:tc>
        <w:tc>
          <w:tcPr>
            <w:tcW w:w="2375" w:type="dxa"/>
          </w:tcPr>
          <w:p w14:paraId="31296423" w14:textId="61C49F8F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1,0 </w:t>
            </w:r>
            <w:r w:rsidRPr="00700C88">
              <w:rPr>
                <w:lang w:val="en-US"/>
              </w:rPr>
              <w:t xml:space="preserve">mg/kg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=6)</w:t>
            </w:r>
          </w:p>
        </w:tc>
        <w:tc>
          <w:tcPr>
            <w:tcW w:w="2375" w:type="dxa"/>
          </w:tcPr>
          <w:p w14:paraId="1BF34EBC" w14:textId="4F2A0EE9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10,5 (4,5-22,2)</w:t>
            </w:r>
          </w:p>
        </w:tc>
        <w:tc>
          <w:tcPr>
            <w:tcW w:w="2375" w:type="dxa"/>
          </w:tcPr>
          <w:p w14:paraId="602048BA" w14:textId="1B8AD1F2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8,7(4,5-14,0)</w:t>
            </w:r>
          </w:p>
        </w:tc>
      </w:tr>
      <w:tr w:rsidR="00700C88" w14:paraId="16090FA9" w14:textId="77777777" w:rsidTr="00700C88">
        <w:tc>
          <w:tcPr>
            <w:tcW w:w="2375" w:type="dxa"/>
          </w:tcPr>
          <w:p w14:paraId="0F2299AD" w14:textId="37A4E776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1-5 години</w:t>
            </w:r>
          </w:p>
        </w:tc>
        <w:tc>
          <w:tcPr>
            <w:tcW w:w="2375" w:type="dxa"/>
          </w:tcPr>
          <w:p w14:paraId="3D6E3BC5" w14:textId="4C507CB2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10 </w:t>
            </w:r>
            <w:r w:rsidRPr="00700C88">
              <w:rPr>
                <w:lang w:val="en-US"/>
              </w:rPr>
              <w:t xml:space="preserve">mg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=7)</w:t>
            </w:r>
          </w:p>
        </w:tc>
        <w:tc>
          <w:tcPr>
            <w:tcW w:w="2375" w:type="dxa"/>
          </w:tcPr>
          <w:p w14:paraId="48F7B7B4" w14:textId="46CCA8E8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7,9 (2,9-16,6)</w:t>
            </w:r>
          </w:p>
        </w:tc>
        <w:tc>
          <w:tcPr>
            <w:tcW w:w="2375" w:type="dxa"/>
          </w:tcPr>
          <w:p w14:paraId="624F44A3" w14:textId="3478A9DE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9,4 (4,4-17,2)</w:t>
            </w:r>
          </w:p>
        </w:tc>
      </w:tr>
      <w:tr w:rsidR="00700C88" w14:paraId="5368883C" w14:textId="77777777" w:rsidTr="00700C88">
        <w:tc>
          <w:tcPr>
            <w:tcW w:w="2375" w:type="dxa"/>
            <w:vMerge w:val="restart"/>
          </w:tcPr>
          <w:p w14:paraId="74AA9631" w14:textId="14197E78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6-11 години</w:t>
            </w:r>
          </w:p>
        </w:tc>
        <w:tc>
          <w:tcPr>
            <w:tcW w:w="2375" w:type="dxa"/>
          </w:tcPr>
          <w:p w14:paraId="4F50C0CC" w14:textId="31158CC0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10 </w:t>
            </w:r>
            <w:r w:rsidRPr="00700C88">
              <w:rPr>
                <w:lang w:val="en-US"/>
              </w:rPr>
              <w:t xml:space="preserve">mg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=8)</w:t>
            </w:r>
          </w:p>
        </w:tc>
        <w:tc>
          <w:tcPr>
            <w:tcW w:w="2375" w:type="dxa"/>
          </w:tcPr>
          <w:p w14:paraId="68013AA2" w14:textId="22C55C59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6,9(3,5-10,9)</w:t>
            </w:r>
          </w:p>
        </w:tc>
        <w:tc>
          <w:tcPr>
            <w:tcW w:w="2375" w:type="dxa"/>
          </w:tcPr>
          <w:p w14:paraId="1233419B" w14:textId="08747776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5,6 (3,1-13,2)</w:t>
            </w:r>
          </w:p>
        </w:tc>
      </w:tr>
      <w:tr w:rsidR="00700C88" w14:paraId="095F942A" w14:textId="77777777" w:rsidTr="00700C88">
        <w:tc>
          <w:tcPr>
            <w:tcW w:w="2375" w:type="dxa"/>
            <w:vMerge/>
          </w:tcPr>
          <w:p w14:paraId="6C3F5716" w14:textId="77777777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75" w:type="dxa"/>
          </w:tcPr>
          <w:p w14:paraId="54FCD968" w14:textId="77179506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20 </w:t>
            </w:r>
            <w:r w:rsidRPr="00700C88">
              <w:rPr>
                <w:lang w:val="en-US"/>
              </w:rPr>
              <w:t xml:space="preserve">mg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=8)</w:t>
            </w:r>
          </w:p>
        </w:tc>
        <w:tc>
          <w:tcPr>
            <w:tcW w:w="2375" w:type="dxa"/>
          </w:tcPr>
          <w:p w14:paraId="032D52B6" w14:textId="5EBCF8FF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14,4 (7,2-42,3)</w:t>
            </w:r>
          </w:p>
        </w:tc>
        <w:tc>
          <w:tcPr>
            <w:tcW w:w="2375" w:type="dxa"/>
          </w:tcPr>
          <w:p w14:paraId="7CCAC11E" w14:textId="12A9252F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8,8 (3,4-29,4)</w:t>
            </w:r>
          </w:p>
        </w:tc>
      </w:tr>
      <w:tr w:rsidR="00700C88" w14:paraId="6DB92345" w14:textId="77777777" w:rsidTr="00700C88">
        <w:tc>
          <w:tcPr>
            <w:tcW w:w="2375" w:type="dxa"/>
            <w:vMerge/>
          </w:tcPr>
          <w:p w14:paraId="32C3C7D4" w14:textId="77777777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75" w:type="dxa"/>
          </w:tcPr>
          <w:p w14:paraId="1BD5EF2D" w14:textId="7E0427AE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20 </w:t>
            </w:r>
            <w:r w:rsidRPr="00700C88">
              <w:rPr>
                <w:lang w:val="en-US"/>
              </w:rPr>
              <w:t xml:space="preserve">mg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=6)**</w:t>
            </w:r>
          </w:p>
        </w:tc>
        <w:tc>
          <w:tcPr>
            <w:tcW w:w="2375" w:type="dxa"/>
          </w:tcPr>
          <w:p w14:paraId="79455F0C" w14:textId="0073337A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10,1 (7,2-13,7)</w:t>
            </w:r>
          </w:p>
        </w:tc>
        <w:tc>
          <w:tcPr>
            <w:tcW w:w="2375" w:type="dxa"/>
          </w:tcPr>
          <w:p w14:paraId="755C370F" w14:textId="5E8A8D22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8,1 (3,4-29,4)</w:t>
            </w:r>
          </w:p>
        </w:tc>
      </w:tr>
      <w:tr w:rsidR="00700C88" w14:paraId="78FDEC43" w14:textId="77777777" w:rsidTr="00700C88">
        <w:tc>
          <w:tcPr>
            <w:tcW w:w="2375" w:type="dxa"/>
            <w:vMerge w:val="restart"/>
          </w:tcPr>
          <w:p w14:paraId="728B12C3" w14:textId="04554BF0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12-17 години</w:t>
            </w:r>
          </w:p>
        </w:tc>
        <w:tc>
          <w:tcPr>
            <w:tcW w:w="2375" w:type="dxa"/>
          </w:tcPr>
          <w:p w14:paraId="5C5BB70D" w14:textId="574EFB6C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20 </w:t>
            </w:r>
            <w:r w:rsidRPr="00700C88">
              <w:rPr>
                <w:lang w:val="en-US"/>
              </w:rPr>
              <w:t xml:space="preserve">mg </w:t>
            </w:r>
            <w:r w:rsidRPr="00700C88">
              <w:t>(</w:t>
            </w:r>
            <w:r w:rsidRPr="00700C88">
              <w:rPr>
                <w:lang w:val="en-US"/>
              </w:rPr>
              <w:t>n=</w:t>
            </w:r>
            <w:r w:rsidRPr="00700C88">
              <w:t>6)</w:t>
            </w:r>
          </w:p>
        </w:tc>
        <w:tc>
          <w:tcPr>
            <w:tcW w:w="2375" w:type="dxa"/>
          </w:tcPr>
          <w:p w14:paraId="458A636F" w14:textId="0C1031C8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8,1 (4,7-15,9)</w:t>
            </w:r>
          </w:p>
        </w:tc>
        <w:tc>
          <w:tcPr>
            <w:tcW w:w="2375" w:type="dxa"/>
          </w:tcPr>
          <w:p w14:paraId="691580DF" w14:textId="64528D70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7,1 (4,8-9,0)</w:t>
            </w:r>
          </w:p>
        </w:tc>
      </w:tr>
      <w:tr w:rsidR="00700C88" w14:paraId="2524C39D" w14:textId="77777777" w:rsidTr="00700C88">
        <w:tc>
          <w:tcPr>
            <w:tcW w:w="2375" w:type="dxa"/>
            <w:vMerge/>
          </w:tcPr>
          <w:p w14:paraId="405DACD8" w14:textId="77777777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75" w:type="dxa"/>
          </w:tcPr>
          <w:p w14:paraId="64BCA086" w14:textId="4E08DBFA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40 </w:t>
            </w:r>
            <w:r w:rsidRPr="00700C88">
              <w:rPr>
                <w:lang w:val="en-US"/>
              </w:rPr>
              <w:t xml:space="preserve">mg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=8)</w:t>
            </w:r>
          </w:p>
        </w:tc>
        <w:tc>
          <w:tcPr>
            <w:tcW w:w="2375" w:type="dxa"/>
          </w:tcPr>
          <w:p w14:paraId="33672E84" w14:textId="44EBDAF0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17,6(13,1-19,8)</w:t>
            </w:r>
          </w:p>
        </w:tc>
        <w:tc>
          <w:tcPr>
            <w:tcW w:w="2375" w:type="dxa"/>
          </w:tcPr>
          <w:p w14:paraId="18703EC5" w14:textId="273B1037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10,5 (7,8-14,2)</w:t>
            </w:r>
          </w:p>
        </w:tc>
      </w:tr>
      <w:tr w:rsidR="00700C88" w14:paraId="2184D77C" w14:textId="77777777" w:rsidTr="00700C88">
        <w:tc>
          <w:tcPr>
            <w:tcW w:w="2375" w:type="dxa"/>
            <w:vMerge w:val="restart"/>
          </w:tcPr>
          <w:p w14:paraId="0E7132C8" w14:textId="1FE9DE75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Възрастни</w:t>
            </w:r>
          </w:p>
        </w:tc>
        <w:tc>
          <w:tcPr>
            <w:tcW w:w="2375" w:type="dxa"/>
          </w:tcPr>
          <w:p w14:paraId="27B5E6D8" w14:textId="6A07E520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20 </w:t>
            </w:r>
            <w:r w:rsidRPr="00700C88">
              <w:rPr>
                <w:lang w:val="en-US"/>
              </w:rPr>
              <w:t xml:space="preserve">mg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=22)</w:t>
            </w:r>
          </w:p>
        </w:tc>
        <w:tc>
          <w:tcPr>
            <w:tcW w:w="2375" w:type="dxa"/>
          </w:tcPr>
          <w:p w14:paraId="0865AB30" w14:textId="4BEDE66C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5,1 (1,5-11,8)</w:t>
            </w:r>
          </w:p>
        </w:tc>
        <w:tc>
          <w:tcPr>
            <w:tcW w:w="2375" w:type="dxa"/>
          </w:tcPr>
          <w:p w14:paraId="3F650530" w14:textId="00ADA95C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3,9 (1,5-6,7)</w:t>
            </w:r>
          </w:p>
        </w:tc>
      </w:tr>
      <w:tr w:rsidR="00700C88" w14:paraId="1EF933E5" w14:textId="77777777" w:rsidTr="00700C88">
        <w:tc>
          <w:tcPr>
            <w:tcW w:w="2375" w:type="dxa"/>
            <w:vMerge/>
          </w:tcPr>
          <w:p w14:paraId="004B69BF" w14:textId="77777777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375" w:type="dxa"/>
          </w:tcPr>
          <w:p w14:paraId="6824729E" w14:textId="2146E605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 xml:space="preserve">40 </w:t>
            </w:r>
            <w:r w:rsidRPr="00700C88">
              <w:rPr>
                <w:lang w:val="en-US"/>
              </w:rPr>
              <w:t xml:space="preserve">mg </w:t>
            </w:r>
            <w:r w:rsidRPr="00700C88">
              <w:t>(</w:t>
            </w:r>
            <w:r w:rsidRPr="00700C88">
              <w:rPr>
                <w:lang w:val="en-US"/>
              </w:rPr>
              <w:t>n</w:t>
            </w:r>
            <w:r w:rsidRPr="00700C88">
              <w:t>=41)</w:t>
            </w:r>
          </w:p>
        </w:tc>
        <w:tc>
          <w:tcPr>
            <w:tcW w:w="2375" w:type="dxa"/>
          </w:tcPr>
          <w:p w14:paraId="594DF403" w14:textId="37F31F1E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12,6 (4,8-21,7)</w:t>
            </w:r>
          </w:p>
        </w:tc>
        <w:tc>
          <w:tcPr>
            <w:tcW w:w="2375" w:type="dxa"/>
          </w:tcPr>
          <w:p w14:paraId="1E96EC6F" w14:textId="04FD83F4" w:rsidR="00700C88" w:rsidRPr="00700C88" w:rsidRDefault="00700C88" w:rsidP="00700C88">
            <w:pPr>
              <w:spacing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00C88">
              <w:t>8,5 (5,4-17,9)</w:t>
            </w:r>
          </w:p>
        </w:tc>
      </w:tr>
    </w:tbl>
    <w:p w14:paraId="7CD05D2F" w14:textId="7777777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>*Пациент от възрастовата група от 0 до 1 месец се дефинира като пациент с коригирана възраст от ≥32 навършени седмици и &lt;44 навършени седмици, където коригираната възраст е сума от гестационна възраст и възрастта след раждането в навършени седмици. Пациент от възрастова група от 1 до 11 месеца може да има коригирана възраст &gt;44 навършени седмици.</w:t>
      </w:r>
    </w:p>
    <w:p w14:paraId="3A03D91C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093BC5F" w14:textId="61E219C7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** Двама пациенти са изключени, единият най-вероятно слаб </w:t>
      </w:r>
      <w:r w:rsidRPr="00700C88">
        <w:rPr>
          <w:rFonts w:eastAsia="Times New Roman" w:cs="Arial"/>
          <w:color w:val="000000"/>
          <w:lang w:val="en-US"/>
        </w:rPr>
        <w:t>CY</w:t>
      </w:r>
      <w:r w:rsidRPr="00700C88">
        <w:rPr>
          <w:rFonts w:eastAsia="Times New Roman" w:cs="Arial"/>
          <w:color w:val="000000"/>
          <w:lang w:eastAsia="bg-BG"/>
        </w:rPr>
        <w:t xml:space="preserve">Р2С19 метаболизатор, а другият -на съпътстваща терапия с инхибитор на </w:t>
      </w:r>
      <w:r w:rsidRPr="00700C88">
        <w:rPr>
          <w:rFonts w:eastAsia="Times New Roman" w:cs="Arial"/>
          <w:color w:val="000000"/>
          <w:lang w:val="en-US"/>
        </w:rPr>
        <w:t>CYP3A4.</w:t>
      </w:r>
    </w:p>
    <w:p w14:paraId="5181212A" w14:textId="77777777" w:rsidR="00700C88" w:rsidRPr="00700C88" w:rsidRDefault="00700C88" w:rsidP="00700C88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1EAE82B9" w14:textId="1A199044" w:rsidR="00700C88" w:rsidRPr="00700C88" w:rsidRDefault="00700C88" w:rsidP="00700C88">
      <w:pPr>
        <w:spacing w:line="240" w:lineRule="auto"/>
        <w:rPr>
          <w:rFonts w:eastAsia="Times New Roman" w:cs="Arial"/>
          <w:sz w:val="28"/>
          <w:szCs w:val="28"/>
          <w:lang w:eastAsia="bg-BG"/>
        </w:rPr>
      </w:pPr>
      <w:r w:rsidRPr="00700C88">
        <w:rPr>
          <w:rFonts w:eastAsia="Times New Roman" w:cs="Arial"/>
          <w:color w:val="000000"/>
          <w:lang w:eastAsia="bg-BG"/>
        </w:rPr>
        <w:t xml:space="preserve">Предвижданията, базирани на модели сочат, че </w:t>
      </w:r>
      <w:proofErr w:type="spellStart"/>
      <w:r w:rsidRPr="00700C88">
        <w:rPr>
          <w:rFonts w:eastAsia="Times New Roman" w:cs="Arial"/>
          <w:color w:val="000000"/>
          <w:lang w:val="en-US"/>
        </w:rPr>
        <w:t>C</w:t>
      </w:r>
      <w:r w:rsidRPr="00700C88">
        <w:rPr>
          <w:rFonts w:eastAsia="Times New Roman" w:cs="Arial"/>
          <w:color w:val="000000"/>
          <w:vertAlign w:val="subscript"/>
          <w:lang w:val="en-US"/>
        </w:rPr>
        <w:t>ss,max</w:t>
      </w:r>
      <w:proofErr w:type="spellEnd"/>
      <w:r w:rsidRPr="00700C88">
        <w:rPr>
          <w:rFonts w:eastAsia="Times New Roman" w:cs="Arial"/>
          <w:color w:val="000000"/>
          <w:lang w:val="en-US"/>
        </w:rPr>
        <w:t xml:space="preserve"> </w:t>
      </w:r>
      <w:r w:rsidRPr="00700C88">
        <w:rPr>
          <w:rFonts w:eastAsia="Times New Roman" w:cs="Arial"/>
          <w:color w:val="000000"/>
          <w:lang w:eastAsia="bg-BG"/>
        </w:rPr>
        <w:t>след интравенозно приложение</w:t>
      </w:r>
      <w:r w:rsidRPr="00700C88">
        <w:rPr>
          <w:rFonts w:eastAsia="Times New Roman" w:cs="Arial"/>
          <w:color w:val="000000"/>
          <w:lang w:val="en-US"/>
        </w:rPr>
        <w:t xml:space="preserve"> </w:t>
      </w:r>
      <w:r w:rsidRPr="00700C88">
        <w:rPr>
          <w:rFonts w:eastAsia="Times New Roman" w:cs="Arial"/>
          <w:color w:val="000000"/>
          <w:lang w:eastAsia="bg-BG"/>
        </w:rPr>
        <w:t>на езомепразол, като 10-минутни, 20-минутни и 30-минутни инфузии, ще се понижи средно с 37%</w:t>
      </w:r>
      <w:r>
        <w:rPr>
          <w:rFonts w:eastAsia="Times New Roman" w:cs="Arial"/>
          <w:color w:val="000000"/>
          <w:lang w:eastAsia="bg-BG"/>
        </w:rPr>
        <w:t xml:space="preserve"> </w:t>
      </w:r>
      <w:r>
        <w:rPr>
          <w:sz w:val="20"/>
          <w:szCs w:val="20"/>
        </w:rPr>
        <w:t>до 49%, 54%, до 66% и 61% до 72%, респективно, във всички възрастови и дозови групи в сравнение със случаите, в които дозата се прилага като 3’Минутна инжекция.</w:t>
      </w:r>
    </w:p>
    <w:p w14:paraId="601EC2D0" w14:textId="77777777" w:rsidR="00700C88" w:rsidRPr="00700C88" w:rsidRDefault="00700C88" w:rsidP="00700C88"/>
    <w:p w14:paraId="6925FEB0" w14:textId="6F886BA3" w:rsidR="00F62E44" w:rsidRDefault="002C50EE" w:rsidP="00387A66">
      <w:pPr>
        <w:pStyle w:val="Heading2"/>
      </w:pPr>
      <w:r>
        <w:t>5.3. Предклинични данни за безопасност</w:t>
      </w:r>
    </w:p>
    <w:p w14:paraId="5F964692" w14:textId="231E40B5" w:rsidR="00700C88" w:rsidRDefault="00700C88" w:rsidP="00700C88"/>
    <w:p w14:paraId="4DDDD5E1" w14:textId="77777777" w:rsidR="00700C88" w:rsidRPr="00700C88" w:rsidRDefault="00700C88" w:rsidP="00700C88">
      <w:pPr>
        <w:rPr>
          <w:sz w:val="24"/>
          <w:szCs w:val="24"/>
          <w:lang w:eastAsia="bg-BG"/>
        </w:rPr>
      </w:pPr>
      <w:r w:rsidRPr="00700C88">
        <w:rPr>
          <w:lang w:eastAsia="bg-BG"/>
        </w:rPr>
        <w:t>Неклиничните данни не показват особен риск за хора на базата на конвенционалните фармакологични проучвания за безопасност, токсичност при многократно прилагане, генотоксичност, карциногенен потенциал, репродуктивна токсичност и токсичност за развитието. Нежелани лекарствени реакции, които не са наблюдавани в клинични проучвания, но идентифицирани при животни при нива на експозиция близки до тези от клинични проучвания и с възможна връзка с клиничното приложение са както следва:</w:t>
      </w:r>
    </w:p>
    <w:p w14:paraId="5AA52848" w14:textId="78E4B21A" w:rsidR="00700C88" w:rsidRPr="00700C88" w:rsidRDefault="00700C88" w:rsidP="00700C88">
      <w:pPr>
        <w:rPr>
          <w:sz w:val="24"/>
          <w:szCs w:val="24"/>
          <w:lang w:eastAsia="bg-BG"/>
        </w:rPr>
      </w:pPr>
      <w:r w:rsidRPr="00700C88">
        <w:rPr>
          <w:lang w:eastAsia="bg-BG"/>
        </w:rPr>
        <w:lastRenderedPageBreak/>
        <w:t xml:space="preserve">Проучванията за канцерогенност при плъхове, извършени с перорално приложение на рацемичната смес, са показали хиперплазия на стомашните </w:t>
      </w:r>
      <w:r w:rsidRPr="00700C88">
        <w:rPr>
          <w:lang w:val="en-US"/>
        </w:rPr>
        <w:t>ECL</w:t>
      </w:r>
      <w:r w:rsidRPr="00700C88">
        <w:rPr>
          <w:lang w:eastAsia="bg-BG"/>
        </w:rPr>
        <w:t>-клетки и карциноиди. Тези стомашни ефекти са резултат от продължителната изразена хипергастринемия вследствие на намаленото производството на стомашна киселина и са наблюдавани след продължително третиране на плъхове с инхибитори на стомашната секреция. В неклиничната програма за интравенозната форма на езомепразол няма данни за вазоиритативен ефект, но са отбелязани леки тъканни възпалителни реакции на мястото на инжектиране след подкожно (паравенозно) инжектиране. Вижте точка 4.8</w:t>
      </w:r>
    </w:p>
    <w:p w14:paraId="357049A8" w14:textId="026B81F6" w:rsidR="00BB22B4" w:rsidRDefault="002C50EE" w:rsidP="00471F10">
      <w:pPr>
        <w:pStyle w:val="Heading1"/>
      </w:pPr>
      <w:r>
        <w:t>7. ПРИТЕЖАТЕЛ НА РАЗРЕШЕНИЕТО ЗА УПОТРЕБА</w:t>
      </w:r>
    </w:p>
    <w:p w14:paraId="71656526" w14:textId="59E65825" w:rsidR="00700C88" w:rsidRDefault="00700C88" w:rsidP="00700C88"/>
    <w:p w14:paraId="37A847C3" w14:textId="77777777" w:rsidR="00700C88" w:rsidRPr="00700C88" w:rsidRDefault="00700C88" w:rsidP="00700C88">
      <w:pPr>
        <w:rPr>
          <w:sz w:val="24"/>
          <w:szCs w:val="24"/>
          <w:lang w:val="en-US" w:eastAsia="bg-BG"/>
        </w:rPr>
      </w:pPr>
      <w:r w:rsidRPr="00700C88">
        <w:rPr>
          <w:lang w:val="en-US"/>
        </w:rPr>
        <w:t>Pharmaceutical Works POLPHARMA SA</w:t>
      </w:r>
    </w:p>
    <w:p w14:paraId="4DD5D5F7" w14:textId="77777777" w:rsidR="00700C88" w:rsidRPr="00700C88" w:rsidRDefault="00700C88" w:rsidP="00700C88">
      <w:pPr>
        <w:rPr>
          <w:sz w:val="24"/>
          <w:szCs w:val="24"/>
          <w:lang w:val="en-US" w:eastAsia="bg-BG"/>
        </w:rPr>
      </w:pPr>
      <w:r w:rsidRPr="00700C88">
        <w:rPr>
          <w:lang w:val="en-US"/>
        </w:rPr>
        <w:t xml:space="preserve">19 </w:t>
      </w:r>
      <w:proofErr w:type="spellStart"/>
      <w:r w:rsidRPr="00700C88">
        <w:rPr>
          <w:lang w:val="en-US"/>
        </w:rPr>
        <w:t>Pelplinska</w:t>
      </w:r>
      <w:proofErr w:type="spellEnd"/>
      <w:r w:rsidRPr="00700C88">
        <w:rPr>
          <w:lang w:val="en-US"/>
        </w:rPr>
        <w:t xml:space="preserve"> Street</w:t>
      </w:r>
    </w:p>
    <w:p w14:paraId="1F7E3235" w14:textId="77777777" w:rsidR="00700C88" w:rsidRPr="00700C88" w:rsidRDefault="00700C88" w:rsidP="00700C88">
      <w:pPr>
        <w:rPr>
          <w:sz w:val="24"/>
          <w:szCs w:val="24"/>
          <w:lang w:val="en-US" w:eastAsia="bg-BG"/>
        </w:rPr>
      </w:pPr>
      <w:r w:rsidRPr="00700C88">
        <w:rPr>
          <w:lang w:val="en-US"/>
        </w:rPr>
        <w:t xml:space="preserve">83-200 </w:t>
      </w:r>
      <w:proofErr w:type="spellStart"/>
      <w:r w:rsidRPr="00700C88">
        <w:rPr>
          <w:lang w:val="en-US"/>
        </w:rPr>
        <w:t>Starogard</w:t>
      </w:r>
      <w:proofErr w:type="spellEnd"/>
      <w:r w:rsidRPr="00700C88">
        <w:rPr>
          <w:lang w:val="en-US"/>
        </w:rPr>
        <w:t xml:space="preserve"> </w:t>
      </w:r>
      <w:proofErr w:type="spellStart"/>
      <w:r w:rsidRPr="00700C88">
        <w:rPr>
          <w:lang w:val="en-US"/>
        </w:rPr>
        <w:t>Gdariski</w:t>
      </w:r>
      <w:proofErr w:type="spellEnd"/>
    </w:p>
    <w:p w14:paraId="74D05F3A" w14:textId="4758EE0D" w:rsidR="00700C88" w:rsidRPr="00700C88" w:rsidRDefault="00700C88" w:rsidP="00700C88">
      <w:r w:rsidRPr="00700C88">
        <w:rPr>
          <w:lang w:eastAsia="bg-BG"/>
        </w:rPr>
        <w:t>Полша</w:t>
      </w:r>
    </w:p>
    <w:p w14:paraId="0A53321D" w14:textId="10F6FE26" w:rsidR="00EE6C97" w:rsidRDefault="00936AD0" w:rsidP="00A93499">
      <w:pPr>
        <w:pStyle w:val="Heading1"/>
      </w:pPr>
      <w:r>
        <w:t>8.</w:t>
      </w:r>
      <w:r w:rsidR="002C50EE">
        <w:t>НОМЕР НА РАЗРЕШЕНИЕТО ЗА УПОТРЕБА</w:t>
      </w:r>
    </w:p>
    <w:p w14:paraId="6E80B744" w14:textId="5B03A622" w:rsidR="00700C88" w:rsidRDefault="00700C88" w:rsidP="00700C88"/>
    <w:p w14:paraId="36095F10" w14:textId="06F674FA" w:rsidR="00700C88" w:rsidRPr="00700C88" w:rsidRDefault="00700C88" w:rsidP="00700C88">
      <w:r>
        <w:t>20110164</w:t>
      </w:r>
    </w:p>
    <w:p w14:paraId="7C2688F5" w14:textId="6D610EDF" w:rsidR="00F62E44" w:rsidRDefault="00F62E44" w:rsidP="00F62E44"/>
    <w:p w14:paraId="00481C21" w14:textId="54EFAD54" w:rsidR="00F62E44" w:rsidRDefault="002C50EE" w:rsidP="00387A66">
      <w:pPr>
        <w:pStyle w:val="Heading1"/>
      </w:pPr>
      <w:r>
        <w:t>9. ДАТА НА ПЪРВО РАЗРЕШАВАНЕ/ПОДНОВЯВАНЕ НА РАЗРЕШЕНИЕТО ЗА УПОТРЕБА</w:t>
      </w:r>
    </w:p>
    <w:p w14:paraId="09D96349" w14:textId="73C28CFB" w:rsidR="00700C88" w:rsidRDefault="00700C88" w:rsidP="00700C88"/>
    <w:p w14:paraId="7C086135" w14:textId="77777777" w:rsidR="00700C88" w:rsidRPr="00700C88" w:rsidRDefault="00700C88" w:rsidP="00700C88">
      <w:pPr>
        <w:rPr>
          <w:sz w:val="24"/>
          <w:szCs w:val="24"/>
          <w:lang w:eastAsia="bg-BG"/>
        </w:rPr>
      </w:pPr>
      <w:r w:rsidRPr="00700C88">
        <w:rPr>
          <w:lang w:eastAsia="bg-BG"/>
        </w:rPr>
        <w:t>Дата на първо разрешаване: 14.03.2011</w:t>
      </w:r>
    </w:p>
    <w:p w14:paraId="09A7727F" w14:textId="68861EDE" w:rsidR="00700C88" w:rsidRPr="00700C88" w:rsidRDefault="00700C88" w:rsidP="00700C88">
      <w:r w:rsidRPr="00700C88">
        <w:rPr>
          <w:lang w:eastAsia="bg-BG"/>
        </w:rPr>
        <w:t>Дата на последно подновяване: 01.02.2017</w:t>
      </w:r>
    </w:p>
    <w:p w14:paraId="43FB38A2" w14:textId="0C18A683" w:rsidR="007C605B" w:rsidRDefault="002C50EE" w:rsidP="005726E3">
      <w:pPr>
        <w:pStyle w:val="Heading1"/>
      </w:pPr>
      <w:r>
        <w:t>10. ДАТА НА АКТУАЛИЗИРАНЕ НА ТЕКСТА</w:t>
      </w:r>
      <w:bookmarkEnd w:id="0"/>
    </w:p>
    <w:p w14:paraId="472617BD" w14:textId="4E52188C" w:rsidR="00BB22B4" w:rsidRPr="00BB22B4" w:rsidRDefault="00BB22B4" w:rsidP="008F7F23"/>
    <w:sectPr w:rsidR="00BB22B4" w:rsidRPr="00BB22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293C6334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99A0F47"/>
    <w:multiLevelType w:val="hybridMultilevel"/>
    <w:tmpl w:val="5F3E3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A2C2D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7" w15:restartNumberingAfterBreak="0">
    <w:nsid w:val="174D0D9E"/>
    <w:multiLevelType w:val="hybridMultilevel"/>
    <w:tmpl w:val="4E6C1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C16F5"/>
    <w:multiLevelType w:val="hybridMultilevel"/>
    <w:tmpl w:val="E5EA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2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29304D31"/>
    <w:multiLevelType w:val="hybridMultilevel"/>
    <w:tmpl w:val="558E93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D37A7"/>
    <w:multiLevelType w:val="hybridMultilevel"/>
    <w:tmpl w:val="46CC86F0"/>
    <w:lvl w:ilvl="0" w:tplc="D1263D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9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7B77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4" w15:restartNumberingAfterBreak="0">
    <w:nsid w:val="4B960DEC"/>
    <w:multiLevelType w:val="hybridMultilevel"/>
    <w:tmpl w:val="DE7AABEA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122928"/>
    <w:multiLevelType w:val="hybridMultilevel"/>
    <w:tmpl w:val="A8F0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B7A97"/>
    <w:multiLevelType w:val="hybridMultilevel"/>
    <w:tmpl w:val="8ADC8B84"/>
    <w:lvl w:ilvl="0" w:tplc="EBD84E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AD1413"/>
    <w:multiLevelType w:val="hybridMultilevel"/>
    <w:tmpl w:val="9B941132"/>
    <w:lvl w:ilvl="0" w:tplc="7E0614A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646080"/>
    <w:multiLevelType w:val="hybridMultilevel"/>
    <w:tmpl w:val="AF3E9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6C7009"/>
    <w:multiLevelType w:val="hybridMultilevel"/>
    <w:tmpl w:val="2E1A128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E39A0"/>
    <w:multiLevelType w:val="hybridMultilevel"/>
    <w:tmpl w:val="E28A72A8"/>
    <w:lvl w:ilvl="0" w:tplc="61A8CA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E06251"/>
    <w:multiLevelType w:val="hybridMultilevel"/>
    <w:tmpl w:val="1090AE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FB2D7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1574118384">
    <w:abstractNumId w:val="30"/>
  </w:num>
  <w:num w:numId="2" w16cid:durableId="1612932146">
    <w:abstractNumId w:val="0"/>
  </w:num>
  <w:num w:numId="3" w16cid:durableId="1810323821">
    <w:abstractNumId w:val="15"/>
  </w:num>
  <w:num w:numId="4" w16cid:durableId="2135319613">
    <w:abstractNumId w:val="3"/>
  </w:num>
  <w:num w:numId="5" w16cid:durableId="740105516">
    <w:abstractNumId w:val="1"/>
  </w:num>
  <w:num w:numId="6" w16cid:durableId="1668363208">
    <w:abstractNumId w:val="19"/>
  </w:num>
  <w:num w:numId="7" w16cid:durableId="1241988161">
    <w:abstractNumId w:val="12"/>
  </w:num>
  <w:num w:numId="8" w16cid:durableId="2102022361">
    <w:abstractNumId w:val="18"/>
  </w:num>
  <w:num w:numId="9" w16cid:durableId="1154613663">
    <w:abstractNumId w:val="2"/>
  </w:num>
  <w:num w:numId="10" w16cid:durableId="1733848127">
    <w:abstractNumId w:val="4"/>
  </w:num>
  <w:num w:numId="11" w16cid:durableId="1861704680">
    <w:abstractNumId w:val="34"/>
  </w:num>
  <w:num w:numId="12" w16cid:durableId="1434934028">
    <w:abstractNumId w:val="16"/>
  </w:num>
  <w:num w:numId="13" w16cid:durableId="479157895">
    <w:abstractNumId w:val="22"/>
  </w:num>
  <w:num w:numId="14" w16cid:durableId="1670476636">
    <w:abstractNumId w:val="14"/>
  </w:num>
  <w:num w:numId="15" w16cid:durableId="1000155783">
    <w:abstractNumId w:val="32"/>
  </w:num>
  <w:num w:numId="16" w16cid:durableId="2056420707">
    <w:abstractNumId w:val="11"/>
  </w:num>
  <w:num w:numId="17" w16cid:durableId="1787119182">
    <w:abstractNumId w:val="27"/>
  </w:num>
  <w:num w:numId="18" w16cid:durableId="722945139">
    <w:abstractNumId w:val="8"/>
  </w:num>
  <w:num w:numId="19" w16cid:durableId="1678728408">
    <w:abstractNumId w:val="29"/>
  </w:num>
  <w:num w:numId="20" w16cid:durableId="1970816657">
    <w:abstractNumId w:val="26"/>
  </w:num>
  <w:num w:numId="21" w16cid:durableId="1531146514">
    <w:abstractNumId w:val="20"/>
  </w:num>
  <w:num w:numId="22" w16cid:durableId="1276465">
    <w:abstractNumId w:val="28"/>
  </w:num>
  <w:num w:numId="23" w16cid:durableId="1624310558">
    <w:abstractNumId w:val="21"/>
  </w:num>
  <w:num w:numId="24" w16cid:durableId="1692877547">
    <w:abstractNumId w:val="9"/>
  </w:num>
  <w:num w:numId="25" w16cid:durableId="50930855">
    <w:abstractNumId w:val="25"/>
  </w:num>
  <w:num w:numId="26" w16cid:durableId="176701536">
    <w:abstractNumId w:val="24"/>
  </w:num>
  <w:num w:numId="27" w16cid:durableId="2050564750">
    <w:abstractNumId w:val="35"/>
  </w:num>
  <w:num w:numId="28" w16cid:durableId="1820733422">
    <w:abstractNumId w:val="6"/>
  </w:num>
  <w:num w:numId="29" w16cid:durableId="973678124">
    <w:abstractNumId w:val="23"/>
  </w:num>
  <w:num w:numId="30" w16cid:durableId="154884452">
    <w:abstractNumId w:val="40"/>
  </w:num>
  <w:num w:numId="31" w16cid:durableId="1053964910">
    <w:abstractNumId w:val="5"/>
  </w:num>
  <w:num w:numId="32" w16cid:durableId="2073575793">
    <w:abstractNumId w:val="38"/>
  </w:num>
  <w:num w:numId="33" w16cid:durableId="1566643170">
    <w:abstractNumId w:val="31"/>
  </w:num>
  <w:num w:numId="34" w16cid:durableId="2060787732">
    <w:abstractNumId w:val="36"/>
  </w:num>
  <w:num w:numId="35" w16cid:durableId="34161354">
    <w:abstractNumId w:val="7"/>
  </w:num>
  <w:num w:numId="36" w16cid:durableId="1976908676">
    <w:abstractNumId w:val="10"/>
  </w:num>
  <w:num w:numId="37" w16cid:durableId="758528303">
    <w:abstractNumId w:val="17"/>
  </w:num>
  <w:num w:numId="38" w16cid:durableId="178396561">
    <w:abstractNumId w:val="39"/>
  </w:num>
  <w:num w:numId="39" w16cid:durableId="934825996">
    <w:abstractNumId w:val="13"/>
  </w:num>
  <w:num w:numId="40" w16cid:durableId="1468473689">
    <w:abstractNumId w:val="37"/>
  </w:num>
  <w:num w:numId="41" w16cid:durableId="1311409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A00"/>
    <w:rsid w:val="00185A46"/>
    <w:rsid w:val="001915B6"/>
    <w:rsid w:val="001A6EBD"/>
    <w:rsid w:val="001D095A"/>
    <w:rsid w:val="001D1B23"/>
    <w:rsid w:val="00210E9F"/>
    <w:rsid w:val="002B3C38"/>
    <w:rsid w:val="002B4DBB"/>
    <w:rsid w:val="002C50EE"/>
    <w:rsid w:val="00340A0A"/>
    <w:rsid w:val="00340E8D"/>
    <w:rsid w:val="003765DC"/>
    <w:rsid w:val="00387A66"/>
    <w:rsid w:val="00395555"/>
    <w:rsid w:val="003E3126"/>
    <w:rsid w:val="00426E5F"/>
    <w:rsid w:val="00471F10"/>
    <w:rsid w:val="004A448E"/>
    <w:rsid w:val="004D4D6B"/>
    <w:rsid w:val="004F1CE7"/>
    <w:rsid w:val="004F498A"/>
    <w:rsid w:val="00517A5B"/>
    <w:rsid w:val="005726E3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00C88"/>
    <w:rsid w:val="007122AD"/>
    <w:rsid w:val="0075649D"/>
    <w:rsid w:val="007C605B"/>
    <w:rsid w:val="008134C8"/>
    <w:rsid w:val="00814073"/>
    <w:rsid w:val="00826F0D"/>
    <w:rsid w:val="00875EEC"/>
    <w:rsid w:val="00893B92"/>
    <w:rsid w:val="008A6AF2"/>
    <w:rsid w:val="008C70A2"/>
    <w:rsid w:val="008F7F23"/>
    <w:rsid w:val="00936AD0"/>
    <w:rsid w:val="00954129"/>
    <w:rsid w:val="009773E4"/>
    <w:rsid w:val="009B171C"/>
    <w:rsid w:val="009F1313"/>
    <w:rsid w:val="009F77A4"/>
    <w:rsid w:val="00A20351"/>
    <w:rsid w:val="00A428B7"/>
    <w:rsid w:val="00A65A81"/>
    <w:rsid w:val="00A71DCF"/>
    <w:rsid w:val="00A93499"/>
    <w:rsid w:val="00AA23EC"/>
    <w:rsid w:val="00AC63CE"/>
    <w:rsid w:val="00AE2107"/>
    <w:rsid w:val="00B275A8"/>
    <w:rsid w:val="00B6672E"/>
    <w:rsid w:val="00BA5B74"/>
    <w:rsid w:val="00BB22B4"/>
    <w:rsid w:val="00BF2600"/>
    <w:rsid w:val="00C0049F"/>
    <w:rsid w:val="00C07B84"/>
    <w:rsid w:val="00C33464"/>
    <w:rsid w:val="00C40420"/>
    <w:rsid w:val="00C809A7"/>
    <w:rsid w:val="00C83063"/>
    <w:rsid w:val="00C87E90"/>
    <w:rsid w:val="00CA1B57"/>
    <w:rsid w:val="00CF77F7"/>
    <w:rsid w:val="00D86297"/>
    <w:rsid w:val="00DB32D3"/>
    <w:rsid w:val="00DD466D"/>
    <w:rsid w:val="00E9184E"/>
    <w:rsid w:val="00EB6364"/>
    <w:rsid w:val="00EE6C97"/>
    <w:rsid w:val="00F37B64"/>
    <w:rsid w:val="00F53FB7"/>
    <w:rsid w:val="00F62E4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6280</Words>
  <Characters>35800</Characters>
  <Application>Microsoft Office Word</Application>
  <DocSecurity>0</DocSecurity>
  <Lines>298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2023-02-26T21:51:00Z</dcterms:created>
  <dcterms:modified xsi:type="dcterms:W3CDTF">2023-02-26T21:51:00Z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