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C672B16" w:rsidR="007122AD" w:rsidRDefault="00DD466D" w:rsidP="00936AD0">
      <w:pPr>
        <w:pStyle w:val="Heading1"/>
      </w:pPr>
      <w:r>
        <w:t>1.ИМЕ НА ЛЕКАРСТВЕНИЯ ПРОДУКТ</w:t>
      </w:r>
    </w:p>
    <w:p w14:paraId="4CECCD13" w14:textId="338422E7" w:rsidR="00951D6D" w:rsidRDefault="00951D6D" w:rsidP="00951D6D"/>
    <w:p w14:paraId="683A320A" w14:textId="77777777" w:rsidR="00951D6D" w:rsidRPr="00951D6D" w:rsidRDefault="00951D6D" w:rsidP="00951D6D">
      <w:pPr>
        <w:rPr>
          <w:sz w:val="24"/>
          <w:szCs w:val="24"/>
          <w:lang w:val="ru-RU"/>
        </w:rPr>
      </w:pPr>
      <w:r w:rsidRPr="00951D6D">
        <w:rPr>
          <w:lang w:eastAsia="bg-BG"/>
        </w:rPr>
        <w:t xml:space="preserve">Еспиро 25 </w:t>
      </w:r>
      <w:r w:rsidRPr="00951D6D">
        <w:rPr>
          <w:lang w:val="en-US"/>
        </w:rPr>
        <w:t>mg</w:t>
      </w:r>
      <w:r w:rsidRPr="00951D6D">
        <w:rPr>
          <w:lang w:val="ru-RU"/>
        </w:rPr>
        <w:t xml:space="preserve"> </w:t>
      </w:r>
      <w:r w:rsidRPr="00951D6D">
        <w:rPr>
          <w:lang w:eastAsia="bg-BG"/>
        </w:rPr>
        <w:t>филмирани таблетки</w:t>
      </w:r>
    </w:p>
    <w:p w14:paraId="1B9E9409" w14:textId="77777777" w:rsidR="00951D6D" w:rsidRPr="00951D6D" w:rsidRDefault="00951D6D" w:rsidP="00951D6D">
      <w:pPr>
        <w:rPr>
          <w:sz w:val="24"/>
          <w:szCs w:val="24"/>
          <w:lang w:val="ru-RU"/>
        </w:rPr>
      </w:pPr>
      <w:r w:rsidRPr="00951D6D">
        <w:rPr>
          <w:lang w:eastAsia="bg-BG"/>
        </w:rPr>
        <w:t xml:space="preserve">Еспиро 50 </w:t>
      </w:r>
      <w:r w:rsidRPr="00951D6D">
        <w:rPr>
          <w:lang w:val="en-US"/>
        </w:rPr>
        <w:t>mg</w:t>
      </w:r>
      <w:r w:rsidRPr="00951D6D">
        <w:rPr>
          <w:lang w:val="ru-RU"/>
        </w:rPr>
        <w:t xml:space="preserve"> </w:t>
      </w:r>
      <w:r w:rsidRPr="00951D6D">
        <w:rPr>
          <w:lang w:eastAsia="bg-BG"/>
        </w:rPr>
        <w:t>филмирани таблетки</w:t>
      </w:r>
    </w:p>
    <w:p w14:paraId="301D4008" w14:textId="77777777" w:rsidR="00951D6D" w:rsidRPr="00951D6D" w:rsidRDefault="00951D6D" w:rsidP="00951D6D">
      <w:pPr>
        <w:rPr>
          <w:lang w:val="ru-RU"/>
        </w:rPr>
      </w:pPr>
    </w:p>
    <w:p w14:paraId="2DA1CE0D" w14:textId="189891C7" w:rsidR="00951D6D" w:rsidRPr="00951D6D" w:rsidRDefault="00951D6D" w:rsidP="00951D6D">
      <w:pPr>
        <w:rPr>
          <w:sz w:val="24"/>
          <w:szCs w:val="24"/>
          <w:lang w:val="en-US"/>
        </w:rPr>
      </w:pPr>
      <w:proofErr w:type="spellStart"/>
      <w:r w:rsidRPr="00951D6D">
        <w:rPr>
          <w:lang w:val="en-US"/>
        </w:rPr>
        <w:t>Espiro</w:t>
      </w:r>
      <w:proofErr w:type="spellEnd"/>
      <w:r w:rsidRPr="00951D6D">
        <w:rPr>
          <w:lang w:val="en-US"/>
        </w:rPr>
        <w:t xml:space="preserve"> </w:t>
      </w:r>
      <w:r w:rsidRPr="00951D6D">
        <w:rPr>
          <w:lang w:eastAsia="bg-BG"/>
        </w:rPr>
        <w:t xml:space="preserve">25 </w:t>
      </w:r>
      <w:r w:rsidRPr="00951D6D">
        <w:rPr>
          <w:lang w:val="en-US"/>
        </w:rPr>
        <w:t>mg film-coated tablets</w:t>
      </w:r>
    </w:p>
    <w:p w14:paraId="6F3BB8F4" w14:textId="336A85B7" w:rsidR="00951D6D" w:rsidRPr="00951D6D" w:rsidRDefault="00951D6D" w:rsidP="00951D6D">
      <w:proofErr w:type="spellStart"/>
      <w:r w:rsidRPr="00951D6D">
        <w:rPr>
          <w:lang w:val="en-US"/>
        </w:rPr>
        <w:t>Espiro</w:t>
      </w:r>
      <w:proofErr w:type="spellEnd"/>
      <w:r w:rsidRPr="00951D6D">
        <w:rPr>
          <w:lang w:val="en-US"/>
        </w:rPr>
        <w:t xml:space="preserve"> 50 mg film-coated tablets</w:t>
      </w:r>
    </w:p>
    <w:p w14:paraId="6920A680" w14:textId="6D2E4A58" w:rsidR="00C40420" w:rsidRDefault="00DD466D" w:rsidP="004A448E">
      <w:pPr>
        <w:pStyle w:val="Heading1"/>
      </w:pPr>
      <w:r>
        <w:t>2. КАЧЕСТВЕН И КОЛИЧЕСТВЕН СЪСТАВ</w:t>
      </w:r>
    </w:p>
    <w:p w14:paraId="23E71133" w14:textId="728B957C" w:rsidR="00951D6D" w:rsidRDefault="00951D6D" w:rsidP="00951D6D"/>
    <w:p w14:paraId="00960114" w14:textId="77777777" w:rsidR="00951D6D" w:rsidRPr="00951D6D" w:rsidRDefault="00951D6D" w:rsidP="00951D6D">
      <w:pPr>
        <w:spacing w:line="240" w:lineRule="auto"/>
        <w:rPr>
          <w:rFonts w:eastAsia="Times New Roman" w:cs="Arial"/>
        </w:rPr>
      </w:pPr>
      <w:r w:rsidRPr="00951D6D">
        <w:rPr>
          <w:rFonts w:eastAsia="Times New Roman" w:cs="Arial"/>
          <w:color w:val="000000"/>
          <w:lang w:eastAsia="bg-BG"/>
        </w:rPr>
        <w:t xml:space="preserve">Еспиро 25 </w:t>
      </w:r>
      <w:r w:rsidRPr="00951D6D">
        <w:rPr>
          <w:rFonts w:eastAsia="Times New Roman" w:cs="Arial"/>
          <w:color w:val="000000"/>
          <w:lang w:val="en-US"/>
        </w:rPr>
        <w:t>mg</w:t>
      </w:r>
      <w:r w:rsidRPr="00951D6D">
        <w:rPr>
          <w:rFonts w:eastAsia="Times New Roman" w:cs="Arial"/>
          <w:color w:val="000000"/>
        </w:rPr>
        <w:t xml:space="preserve">: </w:t>
      </w:r>
      <w:r w:rsidRPr="00951D6D">
        <w:rPr>
          <w:rFonts w:eastAsia="Times New Roman" w:cs="Arial"/>
          <w:color w:val="000000"/>
          <w:lang w:eastAsia="bg-BG"/>
        </w:rPr>
        <w:t xml:space="preserve">Всяка филмирана таблетка съдържа 25 </w:t>
      </w:r>
      <w:r w:rsidRPr="00951D6D">
        <w:rPr>
          <w:rFonts w:eastAsia="Times New Roman" w:cs="Arial"/>
          <w:color w:val="000000"/>
          <w:lang w:val="en-US"/>
        </w:rPr>
        <w:t>mg</w:t>
      </w:r>
      <w:r w:rsidRPr="00951D6D">
        <w:rPr>
          <w:rFonts w:eastAsia="Times New Roman" w:cs="Arial"/>
          <w:color w:val="000000"/>
        </w:rPr>
        <w:t xml:space="preserve"> </w:t>
      </w:r>
      <w:r w:rsidRPr="00951D6D">
        <w:rPr>
          <w:rFonts w:eastAsia="Times New Roman" w:cs="Arial"/>
          <w:color w:val="000000"/>
          <w:lang w:eastAsia="bg-BG"/>
        </w:rPr>
        <w:t xml:space="preserve">еплеренон </w:t>
      </w:r>
      <w:r w:rsidRPr="00951D6D">
        <w:rPr>
          <w:rFonts w:eastAsia="Times New Roman" w:cs="Arial"/>
          <w:color w:val="000000"/>
        </w:rPr>
        <w:t>(</w:t>
      </w:r>
      <w:proofErr w:type="spellStart"/>
      <w:r w:rsidRPr="00951D6D">
        <w:rPr>
          <w:rFonts w:eastAsia="Times New Roman" w:cs="Arial"/>
          <w:color w:val="000000"/>
          <w:lang w:val="en-US"/>
        </w:rPr>
        <w:t>eplerenone</w:t>
      </w:r>
      <w:proofErr w:type="spellEnd"/>
      <w:r w:rsidRPr="00951D6D">
        <w:rPr>
          <w:rFonts w:eastAsia="Times New Roman" w:cs="Arial"/>
          <w:color w:val="000000"/>
        </w:rPr>
        <w:t>).</w:t>
      </w:r>
    </w:p>
    <w:p w14:paraId="15B40EFF" w14:textId="77777777" w:rsidR="00951D6D" w:rsidRPr="00951D6D" w:rsidRDefault="00951D6D" w:rsidP="00951D6D">
      <w:pPr>
        <w:spacing w:line="240" w:lineRule="auto"/>
        <w:rPr>
          <w:rFonts w:eastAsia="Times New Roman" w:cs="Arial"/>
        </w:rPr>
      </w:pPr>
      <w:r w:rsidRPr="00951D6D">
        <w:rPr>
          <w:rFonts w:eastAsia="Times New Roman" w:cs="Arial"/>
          <w:color w:val="000000"/>
          <w:lang w:eastAsia="bg-BG"/>
        </w:rPr>
        <w:t xml:space="preserve">Еспиро 50 </w:t>
      </w:r>
      <w:r w:rsidRPr="00951D6D">
        <w:rPr>
          <w:rFonts w:eastAsia="Times New Roman" w:cs="Arial"/>
          <w:color w:val="000000"/>
          <w:lang w:val="en-US"/>
        </w:rPr>
        <w:t>mg</w:t>
      </w:r>
      <w:r w:rsidRPr="00951D6D">
        <w:rPr>
          <w:rFonts w:eastAsia="Times New Roman" w:cs="Arial"/>
          <w:color w:val="000000"/>
        </w:rPr>
        <w:t xml:space="preserve">: </w:t>
      </w:r>
      <w:r w:rsidRPr="00951D6D">
        <w:rPr>
          <w:rFonts w:eastAsia="Times New Roman" w:cs="Arial"/>
          <w:color w:val="000000"/>
          <w:lang w:eastAsia="bg-BG"/>
        </w:rPr>
        <w:t xml:space="preserve">Всяка филмирана таблетка съдържа 50 </w:t>
      </w:r>
      <w:r w:rsidRPr="00951D6D">
        <w:rPr>
          <w:rFonts w:eastAsia="Times New Roman" w:cs="Arial"/>
          <w:color w:val="000000"/>
          <w:lang w:val="en-US"/>
        </w:rPr>
        <w:t>mg</w:t>
      </w:r>
      <w:r w:rsidRPr="00951D6D">
        <w:rPr>
          <w:rFonts w:eastAsia="Times New Roman" w:cs="Arial"/>
          <w:color w:val="000000"/>
        </w:rPr>
        <w:t xml:space="preserve"> </w:t>
      </w:r>
      <w:r w:rsidRPr="00951D6D">
        <w:rPr>
          <w:rFonts w:eastAsia="Times New Roman" w:cs="Arial"/>
          <w:color w:val="000000"/>
          <w:lang w:eastAsia="bg-BG"/>
        </w:rPr>
        <w:t xml:space="preserve">еплеренон </w:t>
      </w:r>
      <w:r w:rsidRPr="00951D6D">
        <w:rPr>
          <w:rFonts w:eastAsia="Times New Roman" w:cs="Arial"/>
          <w:color w:val="000000"/>
        </w:rPr>
        <w:t>(</w:t>
      </w:r>
      <w:proofErr w:type="spellStart"/>
      <w:r w:rsidRPr="00951D6D">
        <w:rPr>
          <w:rFonts w:eastAsia="Times New Roman" w:cs="Arial"/>
          <w:color w:val="000000"/>
          <w:lang w:val="en-US"/>
        </w:rPr>
        <w:t>eplerenone</w:t>
      </w:r>
      <w:proofErr w:type="spellEnd"/>
      <w:r w:rsidRPr="00951D6D">
        <w:rPr>
          <w:rFonts w:eastAsia="Times New Roman" w:cs="Arial"/>
          <w:color w:val="000000"/>
        </w:rPr>
        <w:t>).</w:t>
      </w:r>
    </w:p>
    <w:p w14:paraId="3F2E7EA6" w14:textId="77777777" w:rsidR="00951D6D" w:rsidRPr="00951D6D" w:rsidRDefault="00951D6D" w:rsidP="00951D6D">
      <w:pPr>
        <w:spacing w:line="240" w:lineRule="auto"/>
        <w:rPr>
          <w:rFonts w:eastAsia="Times New Roman" w:cs="Arial"/>
          <w:color w:val="000000"/>
          <w:lang w:eastAsia="bg-BG"/>
        </w:rPr>
      </w:pPr>
    </w:p>
    <w:p w14:paraId="37AFFEFE" w14:textId="4E5C1F6D" w:rsidR="00951D6D" w:rsidRPr="00951D6D" w:rsidRDefault="00951D6D" w:rsidP="00951D6D">
      <w:pPr>
        <w:spacing w:line="240" w:lineRule="auto"/>
        <w:rPr>
          <w:rFonts w:eastAsia="Times New Roman" w:cs="Arial"/>
        </w:rPr>
      </w:pPr>
      <w:r w:rsidRPr="00951D6D">
        <w:rPr>
          <w:rFonts w:eastAsia="Times New Roman" w:cs="Arial"/>
          <w:color w:val="000000"/>
          <w:lang w:eastAsia="bg-BG"/>
        </w:rPr>
        <w:t>Помощно вещество с известен ефект: лактоза монохидрат.</w:t>
      </w:r>
    </w:p>
    <w:p w14:paraId="75D617A5" w14:textId="77777777" w:rsidR="00951D6D" w:rsidRPr="00951D6D" w:rsidRDefault="00951D6D" w:rsidP="00951D6D">
      <w:pPr>
        <w:spacing w:line="240" w:lineRule="auto"/>
        <w:rPr>
          <w:rFonts w:eastAsia="Times New Roman" w:cs="Arial"/>
        </w:rPr>
      </w:pPr>
      <w:r w:rsidRPr="00951D6D">
        <w:rPr>
          <w:rFonts w:eastAsia="Times New Roman" w:cs="Arial"/>
          <w:color w:val="000000"/>
          <w:lang w:eastAsia="bg-BG"/>
        </w:rPr>
        <w:t xml:space="preserve">Еспиро 25 </w:t>
      </w:r>
      <w:r w:rsidRPr="00951D6D">
        <w:rPr>
          <w:rFonts w:eastAsia="Times New Roman" w:cs="Arial"/>
          <w:color w:val="000000"/>
          <w:lang w:val="en-US"/>
        </w:rPr>
        <w:t>mg</w:t>
      </w:r>
      <w:r w:rsidRPr="00951D6D">
        <w:rPr>
          <w:rFonts w:eastAsia="Times New Roman" w:cs="Arial"/>
          <w:color w:val="000000"/>
          <w:lang w:val="ru-RU"/>
        </w:rPr>
        <w:t xml:space="preserve">: </w:t>
      </w:r>
      <w:r w:rsidRPr="00951D6D">
        <w:rPr>
          <w:rFonts w:eastAsia="Times New Roman" w:cs="Arial"/>
          <w:color w:val="000000"/>
          <w:lang w:eastAsia="bg-BG"/>
        </w:rPr>
        <w:t xml:space="preserve">Всяка филмирана таблетка съдържа 39,51 </w:t>
      </w:r>
      <w:r w:rsidRPr="00951D6D">
        <w:rPr>
          <w:rFonts w:eastAsia="Times New Roman" w:cs="Arial"/>
          <w:color w:val="000000"/>
          <w:lang w:val="en-US"/>
        </w:rPr>
        <w:t>mg</w:t>
      </w:r>
      <w:r w:rsidRPr="00951D6D">
        <w:rPr>
          <w:rFonts w:eastAsia="Times New Roman" w:cs="Arial"/>
          <w:color w:val="000000"/>
          <w:lang w:val="ru-RU"/>
        </w:rPr>
        <w:t xml:space="preserve"> </w:t>
      </w:r>
      <w:r w:rsidRPr="00951D6D">
        <w:rPr>
          <w:rFonts w:eastAsia="Times New Roman" w:cs="Arial"/>
          <w:color w:val="000000"/>
          <w:lang w:eastAsia="bg-BG"/>
        </w:rPr>
        <w:t>лактоза монохидрат.</w:t>
      </w:r>
    </w:p>
    <w:p w14:paraId="6FF2AC95" w14:textId="31561478" w:rsidR="00951D6D" w:rsidRPr="00951D6D" w:rsidRDefault="00951D6D" w:rsidP="00951D6D">
      <w:pPr>
        <w:rPr>
          <w:rFonts w:cs="Arial"/>
        </w:rPr>
      </w:pPr>
      <w:r w:rsidRPr="00951D6D">
        <w:rPr>
          <w:rFonts w:eastAsia="Times New Roman" w:cs="Arial"/>
          <w:color w:val="000000"/>
          <w:lang w:eastAsia="bg-BG"/>
        </w:rPr>
        <w:t xml:space="preserve">Еспиро 50 </w:t>
      </w:r>
      <w:r w:rsidRPr="00951D6D">
        <w:rPr>
          <w:rFonts w:eastAsia="Times New Roman" w:cs="Arial"/>
          <w:color w:val="000000"/>
          <w:lang w:val="en-US"/>
        </w:rPr>
        <w:t>mg</w:t>
      </w:r>
      <w:r w:rsidRPr="00951D6D">
        <w:rPr>
          <w:rFonts w:eastAsia="Times New Roman" w:cs="Arial"/>
          <w:color w:val="000000"/>
          <w:lang w:val="ru-RU"/>
        </w:rPr>
        <w:t xml:space="preserve">: </w:t>
      </w:r>
      <w:r w:rsidRPr="00951D6D">
        <w:rPr>
          <w:rFonts w:eastAsia="Times New Roman" w:cs="Arial"/>
          <w:color w:val="000000"/>
          <w:lang w:eastAsia="bg-BG"/>
        </w:rPr>
        <w:t xml:space="preserve">Всяка филмирана таблетка съдържа 79,02 </w:t>
      </w:r>
      <w:r w:rsidRPr="00951D6D">
        <w:rPr>
          <w:rFonts w:eastAsia="Times New Roman" w:cs="Arial"/>
          <w:color w:val="000000"/>
          <w:lang w:val="en-US"/>
        </w:rPr>
        <w:t>mg</w:t>
      </w:r>
      <w:r w:rsidRPr="00951D6D">
        <w:rPr>
          <w:rFonts w:eastAsia="Times New Roman" w:cs="Arial"/>
          <w:color w:val="000000"/>
          <w:lang w:val="ru-RU"/>
        </w:rPr>
        <w:t xml:space="preserve"> </w:t>
      </w:r>
      <w:r w:rsidRPr="00951D6D">
        <w:rPr>
          <w:rFonts w:eastAsia="Times New Roman" w:cs="Arial"/>
          <w:color w:val="000000"/>
          <w:lang w:eastAsia="bg-BG"/>
        </w:rPr>
        <w:t>лактоза монохидрат.</w:t>
      </w:r>
    </w:p>
    <w:p w14:paraId="614984C4" w14:textId="48A2C071" w:rsidR="008A6AF2" w:rsidRDefault="00DD466D" w:rsidP="002C50EE">
      <w:pPr>
        <w:pStyle w:val="Heading1"/>
      </w:pPr>
      <w:r>
        <w:t>3. ЛЕКАРСТВЕНА ФОРМА</w:t>
      </w:r>
    </w:p>
    <w:p w14:paraId="26BD8E5D" w14:textId="510B3B0F" w:rsidR="00951D6D" w:rsidRDefault="00951D6D" w:rsidP="00951D6D"/>
    <w:p w14:paraId="2A19560E" w14:textId="77777777" w:rsidR="00951D6D" w:rsidRPr="00951D6D" w:rsidRDefault="00951D6D" w:rsidP="00951D6D">
      <w:pPr>
        <w:rPr>
          <w:sz w:val="24"/>
          <w:szCs w:val="24"/>
        </w:rPr>
      </w:pPr>
      <w:r w:rsidRPr="00951D6D">
        <w:rPr>
          <w:lang w:eastAsia="bg-BG"/>
        </w:rPr>
        <w:t>Филмирана таблетка.</w:t>
      </w:r>
    </w:p>
    <w:p w14:paraId="689F405C" w14:textId="77777777" w:rsidR="00951D6D" w:rsidRDefault="00951D6D" w:rsidP="00951D6D">
      <w:pPr>
        <w:rPr>
          <w:lang w:eastAsia="bg-BG"/>
        </w:rPr>
      </w:pPr>
    </w:p>
    <w:p w14:paraId="29070E62" w14:textId="0EBFA164" w:rsidR="00951D6D" w:rsidRPr="00951D6D" w:rsidRDefault="00951D6D" w:rsidP="00951D6D">
      <w:pPr>
        <w:rPr>
          <w:sz w:val="24"/>
          <w:szCs w:val="24"/>
        </w:rPr>
      </w:pPr>
      <w:r w:rsidRPr="00951D6D">
        <w:rPr>
          <w:lang w:eastAsia="bg-BG"/>
        </w:rPr>
        <w:t xml:space="preserve">Еспиро 25 </w:t>
      </w:r>
      <w:r w:rsidRPr="00951D6D">
        <w:rPr>
          <w:lang w:val="en-US"/>
        </w:rPr>
        <w:t>mg</w:t>
      </w:r>
      <w:r w:rsidRPr="00951D6D">
        <w:rPr>
          <w:lang w:val="ru-RU"/>
        </w:rPr>
        <w:t xml:space="preserve">: </w:t>
      </w:r>
      <w:r w:rsidRPr="00951D6D">
        <w:rPr>
          <w:lang w:eastAsia="bg-BG"/>
        </w:rPr>
        <w:t xml:space="preserve">жълти, кръгли, двойноизпъкнали филмирани таблетки с диаметър 6 </w:t>
      </w:r>
      <w:r w:rsidRPr="00951D6D">
        <w:rPr>
          <w:lang w:val="en-US"/>
        </w:rPr>
        <w:t>mm</w:t>
      </w:r>
      <w:r w:rsidRPr="00951D6D">
        <w:rPr>
          <w:lang w:val="ru-RU"/>
        </w:rPr>
        <w:t xml:space="preserve">. </w:t>
      </w:r>
      <w:r w:rsidRPr="00951D6D">
        <w:rPr>
          <w:lang w:eastAsia="bg-BG"/>
        </w:rPr>
        <w:t xml:space="preserve">Еспиро 50 </w:t>
      </w:r>
      <w:r w:rsidRPr="00951D6D">
        <w:rPr>
          <w:lang w:val="en-US"/>
        </w:rPr>
        <w:t>mg</w:t>
      </w:r>
      <w:r w:rsidRPr="00951D6D">
        <w:rPr>
          <w:lang w:val="ru-RU"/>
        </w:rPr>
        <w:t xml:space="preserve">: </w:t>
      </w:r>
      <w:r w:rsidRPr="00951D6D">
        <w:rPr>
          <w:lang w:eastAsia="bg-BG"/>
        </w:rPr>
        <w:t xml:space="preserve">жълти, кръгли, двойноизпъкнали филмирани таблетки с делителна черта от едната страна и диаметър 8 </w:t>
      </w:r>
      <w:r w:rsidRPr="00951D6D">
        <w:rPr>
          <w:lang w:val="en-US"/>
        </w:rPr>
        <w:t>mm</w:t>
      </w:r>
      <w:r w:rsidRPr="00951D6D">
        <w:rPr>
          <w:lang w:val="ru-RU"/>
        </w:rPr>
        <w:t xml:space="preserve">. </w:t>
      </w:r>
      <w:r w:rsidRPr="00951D6D">
        <w:rPr>
          <w:lang w:eastAsia="bg-BG"/>
        </w:rPr>
        <w:t>Делителната черта е само за улесняване на счупването с цел по-лесно преглъщане, а не за разделяне на равни дози.</w:t>
      </w:r>
    </w:p>
    <w:p w14:paraId="36E58DE9" w14:textId="77777777" w:rsidR="00951D6D" w:rsidRPr="00951D6D" w:rsidRDefault="00951D6D" w:rsidP="00951D6D"/>
    <w:p w14:paraId="490FC2C4" w14:textId="0F4A4A75" w:rsidR="002C50EE" w:rsidRDefault="002C50EE" w:rsidP="002C50EE">
      <w:pPr>
        <w:pStyle w:val="Heading1"/>
      </w:pPr>
      <w:r>
        <w:t>4. КЛИНИЧНИ ДАННИ</w:t>
      </w:r>
    </w:p>
    <w:p w14:paraId="74330405" w14:textId="4074EAC1" w:rsidR="007122AD" w:rsidRDefault="002C50EE" w:rsidP="00936AD0">
      <w:pPr>
        <w:pStyle w:val="Heading2"/>
      </w:pPr>
      <w:r>
        <w:t>4.1. Терапевтични показания</w:t>
      </w:r>
    </w:p>
    <w:p w14:paraId="605EC614" w14:textId="2EE1D08C" w:rsidR="00951D6D" w:rsidRDefault="00951D6D" w:rsidP="00951D6D"/>
    <w:p w14:paraId="6064859D" w14:textId="77777777" w:rsidR="00951D6D" w:rsidRPr="00951D6D" w:rsidRDefault="00951D6D" w:rsidP="00951D6D">
      <w:pPr>
        <w:spacing w:line="240" w:lineRule="auto"/>
        <w:rPr>
          <w:rFonts w:eastAsia="Times New Roman" w:cs="Arial"/>
          <w:sz w:val="28"/>
          <w:szCs w:val="24"/>
        </w:rPr>
      </w:pPr>
      <w:r w:rsidRPr="00951D6D">
        <w:rPr>
          <w:rFonts w:eastAsia="Times New Roman" w:cs="Arial"/>
          <w:color w:val="000000"/>
          <w:szCs w:val="20"/>
          <w:lang w:eastAsia="bg-BG"/>
        </w:rPr>
        <w:t>Еплеренон е показан:</w:t>
      </w:r>
    </w:p>
    <w:p w14:paraId="12976137" w14:textId="77777777" w:rsidR="00951D6D" w:rsidRPr="00D72016" w:rsidRDefault="00951D6D" w:rsidP="00951D6D">
      <w:pPr>
        <w:pStyle w:val="ListParagraph"/>
        <w:numPr>
          <w:ilvl w:val="0"/>
          <w:numId w:val="37"/>
        </w:numPr>
        <w:spacing w:line="240" w:lineRule="auto"/>
        <w:rPr>
          <w:rFonts w:eastAsia="Times New Roman" w:cs="Arial"/>
          <w:color w:val="000000"/>
          <w:szCs w:val="20"/>
          <w:lang w:eastAsia="bg-BG"/>
        </w:rPr>
      </w:pPr>
      <w:r w:rsidRPr="00D72016">
        <w:rPr>
          <w:rFonts w:eastAsia="Times New Roman" w:cs="Arial"/>
          <w:color w:val="000000"/>
          <w:szCs w:val="20"/>
          <w:lang w:eastAsia="bg-BG"/>
        </w:rPr>
        <w:t xml:space="preserve">Като допълнение към стандартно лечение включващо бета-блокери, за намаляване на риска от сърдечно-съдова смъртност и заболеваемост при стабилни пациенти с лявокамерна дисфункция </w:t>
      </w:r>
      <w:r w:rsidRPr="00D72016">
        <w:rPr>
          <w:rFonts w:eastAsia="Times New Roman" w:cs="Arial"/>
          <w:color w:val="000000"/>
          <w:szCs w:val="20"/>
          <w:lang w:val="ru-RU"/>
        </w:rPr>
        <w:t>(</w:t>
      </w:r>
      <w:r w:rsidRPr="00D72016">
        <w:rPr>
          <w:rFonts w:eastAsia="Times New Roman" w:cs="Arial"/>
          <w:color w:val="000000"/>
          <w:szCs w:val="20"/>
          <w:lang w:val="en-US"/>
        </w:rPr>
        <w:t>LVEF</w:t>
      </w:r>
      <w:r w:rsidRPr="00D72016">
        <w:rPr>
          <w:rFonts w:eastAsia="Times New Roman" w:cs="Arial"/>
          <w:color w:val="000000"/>
          <w:szCs w:val="20"/>
          <w:lang w:val="ru-RU"/>
        </w:rPr>
        <w:t xml:space="preserve"> </w:t>
      </w:r>
      <w:r w:rsidRPr="00D72016">
        <w:rPr>
          <w:rFonts w:eastAsia="Times New Roman" w:cs="Arial"/>
          <w:color w:val="000000"/>
          <w:szCs w:val="20"/>
          <w:lang w:eastAsia="bg-BG"/>
        </w:rPr>
        <w:t>≤40%) и клинични данни за сърдечна недостатъчност след скорошен миокарден инфаркт.</w:t>
      </w:r>
    </w:p>
    <w:p w14:paraId="280A5830" w14:textId="55BB74E3" w:rsidR="00951D6D" w:rsidRDefault="00951D6D" w:rsidP="00951D6D">
      <w:pPr>
        <w:pStyle w:val="ListParagraph"/>
        <w:numPr>
          <w:ilvl w:val="0"/>
          <w:numId w:val="37"/>
        </w:numPr>
        <w:spacing w:line="240" w:lineRule="auto"/>
        <w:rPr>
          <w:rFonts w:eastAsia="Times New Roman" w:cs="Arial"/>
          <w:color w:val="000000"/>
          <w:szCs w:val="20"/>
          <w:lang w:eastAsia="bg-BG"/>
        </w:rPr>
      </w:pPr>
      <w:r w:rsidRPr="00D72016">
        <w:rPr>
          <w:rFonts w:eastAsia="Times New Roman" w:cs="Arial"/>
          <w:color w:val="000000"/>
          <w:szCs w:val="20"/>
          <w:lang w:eastAsia="bg-BG"/>
        </w:rPr>
        <w:t xml:space="preserve">Като допълнение към стандартно оптимално лечение, за намаляване на риска от сърдечно-съдова смъртност и заболеваемост при възрастни пациенти с (хронична) сърдечна недостатъчност II клас по </w:t>
      </w:r>
      <w:r w:rsidRPr="00D72016">
        <w:rPr>
          <w:rFonts w:eastAsia="Times New Roman" w:cs="Arial"/>
          <w:color w:val="000000"/>
          <w:szCs w:val="20"/>
          <w:lang w:val="en-US"/>
        </w:rPr>
        <w:t>NYHA</w:t>
      </w:r>
      <w:r w:rsidRPr="00D72016">
        <w:rPr>
          <w:rFonts w:eastAsia="Times New Roman" w:cs="Arial"/>
          <w:color w:val="000000"/>
          <w:szCs w:val="20"/>
          <w:lang w:val="ru-RU"/>
        </w:rPr>
        <w:t xml:space="preserve"> </w:t>
      </w:r>
      <w:r w:rsidRPr="00D72016">
        <w:rPr>
          <w:rFonts w:eastAsia="Times New Roman" w:cs="Arial"/>
          <w:color w:val="000000"/>
          <w:szCs w:val="20"/>
          <w:lang w:eastAsia="bg-BG"/>
        </w:rPr>
        <w:t xml:space="preserve">и лявокамерна систолна дисфункция </w:t>
      </w:r>
      <w:r w:rsidRPr="00D72016">
        <w:rPr>
          <w:rFonts w:eastAsia="Times New Roman" w:cs="Arial"/>
          <w:color w:val="000000"/>
          <w:szCs w:val="20"/>
          <w:lang w:val="ru-RU"/>
        </w:rPr>
        <w:t>(</w:t>
      </w:r>
      <w:r w:rsidRPr="00D72016">
        <w:rPr>
          <w:rFonts w:eastAsia="Times New Roman" w:cs="Arial"/>
          <w:color w:val="000000"/>
          <w:szCs w:val="20"/>
          <w:lang w:val="en-US"/>
        </w:rPr>
        <w:t>LVEF</w:t>
      </w:r>
      <w:r w:rsidRPr="00D72016">
        <w:rPr>
          <w:rFonts w:eastAsia="Times New Roman" w:cs="Arial"/>
          <w:color w:val="000000"/>
          <w:szCs w:val="20"/>
          <w:lang w:val="ru-RU"/>
        </w:rPr>
        <w:t xml:space="preserve"> </w:t>
      </w:r>
      <w:r w:rsidRPr="00D72016">
        <w:rPr>
          <w:rFonts w:eastAsia="Times New Roman" w:cs="Arial"/>
          <w:color w:val="000000"/>
          <w:szCs w:val="20"/>
          <w:lang w:eastAsia="bg-BG"/>
        </w:rPr>
        <w:t>≤30%) (вж. точка 5.1).</w:t>
      </w:r>
    </w:p>
    <w:p w14:paraId="13800DEC" w14:textId="77777777" w:rsidR="00D72016" w:rsidRPr="00D72016" w:rsidRDefault="00D72016" w:rsidP="00D72016">
      <w:pPr>
        <w:spacing w:line="240" w:lineRule="auto"/>
        <w:rPr>
          <w:rFonts w:eastAsia="Times New Roman" w:cs="Arial"/>
          <w:color w:val="000000"/>
          <w:szCs w:val="20"/>
          <w:lang w:eastAsia="bg-BG"/>
        </w:rPr>
      </w:pPr>
    </w:p>
    <w:p w14:paraId="53F5B866" w14:textId="798DD8B9" w:rsidR="007122AD" w:rsidRDefault="002C50EE" w:rsidP="00936AD0">
      <w:pPr>
        <w:pStyle w:val="Heading2"/>
      </w:pPr>
      <w:r>
        <w:t>4.2. Дозировка и начин на приложение</w:t>
      </w:r>
    </w:p>
    <w:p w14:paraId="51C034EE" w14:textId="7548F9CD" w:rsidR="00D72016" w:rsidRDefault="00D72016" w:rsidP="00D72016"/>
    <w:p w14:paraId="3C046885" w14:textId="77777777" w:rsidR="00D72016" w:rsidRPr="00D72016" w:rsidRDefault="00D72016" w:rsidP="00D72016">
      <w:pPr>
        <w:pStyle w:val="Heading3"/>
        <w:rPr>
          <w:rFonts w:eastAsia="Times New Roman"/>
          <w:sz w:val="28"/>
          <w:u w:val="single"/>
        </w:rPr>
      </w:pPr>
      <w:r w:rsidRPr="00D72016">
        <w:rPr>
          <w:rFonts w:eastAsia="Times New Roman"/>
          <w:u w:val="single"/>
          <w:lang w:eastAsia="bg-BG"/>
        </w:rPr>
        <w:lastRenderedPageBreak/>
        <w:t>Дозировка</w:t>
      </w:r>
    </w:p>
    <w:p w14:paraId="102A82D2" w14:textId="77777777" w:rsidR="00D72016" w:rsidRPr="00D72016" w:rsidRDefault="00D72016" w:rsidP="00D72016">
      <w:pPr>
        <w:spacing w:line="240" w:lineRule="auto"/>
        <w:rPr>
          <w:rFonts w:eastAsia="Times New Roman" w:cs="Arial"/>
          <w:sz w:val="28"/>
          <w:szCs w:val="24"/>
        </w:rPr>
      </w:pPr>
      <w:r w:rsidRPr="00D72016">
        <w:rPr>
          <w:rFonts w:eastAsia="Times New Roman" w:cs="Arial"/>
          <w:color w:val="000000"/>
          <w:szCs w:val="20"/>
          <w:lang w:eastAsia="bg-BG"/>
        </w:rPr>
        <w:t xml:space="preserve">За индивидуализиране на дозата са налични таблетки от 25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 xml:space="preserve">и 50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 xml:space="preserve">Максималната доза е 50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дневно.</w:t>
      </w:r>
    </w:p>
    <w:p w14:paraId="62B644B0" w14:textId="77777777" w:rsidR="00D72016" w:rsidRPr="00D72016" w:rsidRDefault="00D72016" w:rsidP="00D72016">
      <w:pPr>
        <w:spacing w:line="240" w:lineRule="auto"/>
        <w:rPr>
          <w:rFonts w:eastAsia="Times New Roman" w:cs="Arial"/>
          <w:bCs/>
          <w:i/>
          <w:iCs/>
          <w:color w:val="000000"/>
          <w:szCs w:val="20"/>
          <w:lang w:eastAsia="bg-BG"/>
        </w:rPr>
      </w:pPr>
    </w:p>
    <w:p w14:paraId="49E97739" w14:textId="303E57AD" w:rsidR="00D72016" w:rsidRPr="00D72016" w:rsidRDefault="00D72016" w:rsidP="00D72016">
      <w:pPr>
        <w:spacing w:line="240" w:lineRule="auto"/>
        <w:rPr>
          <w:rFonts w:eastAsia="Times New Roman" w:cs="Arial"/>
          <w:sz w:val="28"/>
          <w:szCs w:val="24"/>
        </w:rPr>
      </w:pPr>
      <w:r w:rsidRPr="00D72016">
        <w:rPr>
          <w:rFonts w:eastAsia="Times New Roman" w:cs="Arial"/>
          <w:bCs/>
          <w:i/>
          <w:iCs/>
          <w:color w:val="000000"/>
          <w:szCs w:val="20"/>
          <w:lang w:eastAsia="bg-BG"/>
        </w:rPr>
        <w:t>За пациенти със сърдечна недостатъчност след миокарден инфаркт:</w:t>
      </w:r>
    </w:p>
    <w:p w14:paraId="09A0EEB6" w14:textId="7C7A60A2" w:rsidR="00D72016" w:rsidRPr="00D72016" w:rsidRDefault="00D72016" w:rsidP="00D72016">
      <w:pPr>
        <w:spacing w:line="240" w:lineRule="auto"/>
        <w:rPr>
          <w:rFonts w:eastAsia="Times New Roman" w:cs="Arial"/>
          <w:sz w:val="28"/>
          <w:szCs w:val="24"/>
        </w:rPr>
      </w:pPr>
      <w:r w:rsidRPr="00D72016">
        <w:rPr>
          <w:rFonts w:eastAsia="Times New Roman" w:cs="Arial"/>
          <w:color w:val="000000"/>
          <w:szCs w:val="20"/>
          <w:lang w:eastAsia="bg-BG"/>
        </w:rPr>
        <w:t xml:space="preserve">Препоръчителната поддържаща доза еплеренон е 50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веднъж дневно (О</w:t>
      </w:r>
      <w:r w:rsidRPr="00D72016">
        <w:rPr>
          <w:rFonts w:eastAsia="Times New Roman" w:cs="Arial"/>
          <w:color w:val="000000"/>
          <w:szCs w:val="20"/>
          <w:lang w:val="en-US"/>
        </w:rPr>
        <w:t>D</w:t>
      </w:r>
      <w:r w:rsidRPr="00D72016">
        <w:rPr>
          <w:rFonts w:eastAsia="Times New Roman" w:cs="Arial"/>
          <w:color w:val="000000"/>
          <w:szCs w:val="20"/>
          <w:lang w:val="ru-RU"/>
        </w:rPr>
        <w:t xml:space="preserve">). </w:t>
      </w:r>
      <w:r w:rsidRPr="00D72016">
        <w:rPr>
          <w:rFonts w:eastAsia="Times New Roman" w:cs="Arial"/>
          <w:color w:val="000000"/>
          <w:szCs w:val="20"/>
          <w:lang w:eastAsia="bg-BG"/>
        </w:rPr>
        <w:t>Лечението трябва</w:t>
      </w:r>
      <w:r w:rsidRPr="00D72016">
        <w:rPr>
          <w:rFonts w:eastAsia="Times New Roman" w:cs="Arial"/>
          <w:sz w:val="28"/>
          <w:szCs w:val="24"/>
          <w:lang w:val="ru-RU"/>
        </w:rPr>
        <w:t xml:space="preserve"> </w:t>
      </w:r>
      <w:r w:rsidRPr="00D72016">
        <w:rPr>
          <w:rFonts w:eastAsia="Times New Roman" w:cs="Arial"/>
          <w:color w:val="000000"/>
          <w:szCs w:val="20"/>
          <w:lang w:eastAsia="bg-BG"/>
        </w:rPr>
        <w:t xml:space="preserve">да започне с 25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 xml:space="preserve">веднъж дневно и да се титрира до прицелната доза от 50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веднъж дневно, за предпочитане в рамките на 4 седмици, като се вземат предвид серумните концентрации на</w:t>
      </w:r>
      <w:r w:rsidRPr="00D72016">
        <w:rPr>
          <w:rFonts w:eastAsia="Times New Roman" w:cs="Arial"/>
          <w:color w:val="000000"/>
          <w:szCs w:val="20"/>
          <w:lang w:val="ru-RU" w:eastAsia="bg-BG"/>
        </w:rPr>
        <w:t xml:space="preserve"> </w:t>
      </w:r>
      <w:r w:rsidRPr="00D72016">
        <w:rPr>
          <w:rFonts w:eastAsia="Times New Roman" w:cs="Arial"/>
          <w:bCs/>
          <w:color w:val="000000"/>
          <w:szCs w:val="20"/>
          <w:lang w:eastAsia="bg-BG"/>
        </w:rPr>
        <w:t>калия (вж. Таблица 1). Лечението с еплеренон обикновено започва в рамките на 3 до 14 дни след остър миокарден инфаркт.</w:t>
      </w:r>
    </w:p>
    <w:p w14:paraId="7B478A3E" w14:textId="77777777" w:rsidR="00D72016" w:rsidRPr="00D72016" w:rsidRDefault="00D72016" w:rsidP="00D72016">
      <w:pPr>
        <w:spacing w:line="240" w:lineRule="auto"/>
        <w:rPr>
          <w:rFonts w:eastAsia="Times New Roman" w:cs="Arial"/>
          <w:bCs/>
          <w:i/>
          <w:iCs/>
          <w:color w:val="000000"/>
          <w:szCs w:val="20"/>
          <w:lang w:eastAsia="bg-BG"/>
        </w:rPr>
      </w:pPr>
    </w:p>
    <w:p w14:paraId="7DF271EA" w14:textId="39BF4F07" w:rsidR="00D72016" w:rsidRPr="00D72016" w:rsidRDefault="00D72016" w:rsidP="00D72016">
      <w:pPr>
        <w:spacing w:line="240" w:lineRule="auto"/>
        <w:rPr>
          <w:rFonts w:eastAsia="Times New Roman" w:cs="Arial"/>
          <w:sz w:val="28"/>
          <w:szCs w:val="24"/>
        </w:rPr>
      </w:pPr>
      <w:r w:rsidRPr="00D72016">
        <w:rPr>
          <w:rFonts w:eastAsia="Times New Roman" w:cs="Arial"/>
          <w:bCs/>
          <w:i/>
          <w:iCs/>
          <w:color w:val="000000"/>
          <w:szCs w:val="20"/>
          <w:lang w:eastAsia="bg-BG"/>
        </w:rPr>
        <w:t xml:space="preserve">За пациенти с (хронична) сърдечна недостатъчност II клас </w:t>
      </w:r>
      <w:r w:rsidRPr="00D72016">
        <w:rPr>
          <w:rFonts w:eastAsia="Times New Roman" w:cs="Arial"/>
          <w:bCs/>
          <w:i/>
          <w:iCs/>
          <w:color w:val="000000"/>
          <w:szCs w:val="20"/>
          <w:lang w:val="en-US"/>
        </w:rPr>
        <w:t>no</w:t>
      </w:r>
      <w:r w:rsidRPr="00D72016">
        <w:rPr>
          <w:rFonts w:eastAsia="Times New Roman" w:cs="Arial"/>
          <w:bCs/>
          <w:i/>
          <w:iCs/>
          <w:color w:val="000000"/>
          <w:szCs w:val="20"/>
          <w:lang w:val="ru-RU"/>
        </w:rPr>
        <w:t xml:space="preserve"> </w:t>
      </w:r>
      <w:r w:rsidRPr="00D72016">
        <w:rPr>
          <w:rFonts w:eastAsia="Times New Roman" w:cs="Arial"/>
          <w:bCs/>
          <w:i/>
          <w:iCs/>
          <w:color w:val="000000"/>
          <w:szCs w:val="20"/>
          <w:lang w:val="en-US"/>
        </w:rPr>
        <w:t>NYHA</w:t>
      </w:r>
      <w:r w:rsidRPr="00D72016">
        <w:rPr>
          <w:rFonts w:eastAsia="Times New Roman" w:cs="Arial"/>
          <w:bCs/>
          <w:i/>
          <w:iCs/>
          <w:color w:val="000000"/>
          <w:szCs w:val="20"/>
          <w:lang w:val="ru-RU"/>
        </w:rPr>
        <w:t>:</w:t>
      </w:r>
    </w:p>
    <w:p w14:paraId="590907E1"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При пациенти с хронична сърдечна недостатъчност II клас по </w:t>
      </w:r>
      <w:r w:rsidRPr="00D72016">
        <w:rPr>
          <w:rFonts w:eastAsia="Times New Roman" w:cs="Arial"/>
          <w:bCs/>
          <w:color w:val="000000"/>
          <w:szCs w:val="20"/>
          <w:lang w:val="en-US"/>
        </w:rPr>
        <w:t>NYHA</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лечението трябва да бъде започнато с доза 25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веднъж дневно и да се титрира до прицелната доза от 50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веднъж дневно, за предпочитане в рамките на 4 седмици, като се вземат предвид серумните концентрации на калия (вж. Таблица 1 и точка 4.4).</w:t>
      </w:r>
    </w:p>
    <w:p w14:paraId="53D7C6E8" w14:textId="77777777" w:rsidR="00D72016" w:rsidRPr="00D72016" w:rsidRDefault="00D72016" w:rsidP="00D72016">
      <w:pPr>
        <w:spacing w:line="240" w:lineRule="auto"/>
        <w:rPr>
          <w:rFonts w:eastAsia="Times New Roman" w:cs="Arial"/>
          <w:bCs/>
          <w:color w:val="000000"/>
          <w:szCs w:val="20"/>
          <w:lang w:eastAsia="bg-BG"/>
        </w:rPr>
      </w:pPr>
    </w:p>
    <w:p w14:paraId="4A8035E7" w14:textId="028F706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При пациенти със серумен калий &gt;5,0 </w:t>
      </w:r>
      <w:proofErr w:type="spellStart"/>
      <w:r w:rsidRPr="00D72016">
        <w:rPr>
          <w:rFonts w:eastAsia="Times New Roman" w:cs="Arial"/>
          <w:bCs/>
          <w:color w:val="000000"/>
          <w:szCs w:val="20"/>
          <w:lang w:val="en-US"/>
        </w:rPr>
        <w:t>mmol</w:t>
      </w:r>
      <w:proofErr w:type="spellEnd"/>
      <w:r w:rsidRPr="00D72016">
        <w:rPr>
          <w:rFonts w:eastAsia="Times New Roman" w:cs="Arial"/>
          <w:bCs/>
          <w:color w:val="000000"/>
          <w:szCs w:val="20"/>
          <w:lang w:val="ru-RU"/>
        </w:rPr>
        <w:t>/</w:t>
      </w:r>
      <w:r w:rsidRPr="00D72016">
        <w:rPr>
          <w:rFonts w:eastAsia="Times New Roman" w:cs="Arial"/>
          <w:bCs/>
          <w:color w:val="000000"/>
          <w:szCs w:val="20"/>
          <w:lang w:val="en-US"/>
        </w:rPr>
        <w:t>L</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не трябва да се започва лечение с еплеренон (вж. точка 4.3).</w:t>
      </w:r>
    </w:p>
    <w:p w14:paraId="66D51C2B" w14:textId="77777777" w:rsidR="00D72016" w:rsidRPr="00D72016" w:rsidRDefault="00D72016" w:rsidP="00D72016">
      <w:pPr>
        <w:spacing w:line="240" w:lineRule="auto"/>
        <w:rPr>
          <w:rFonts w:eastAsia="Times New Roman" w:cs="Arial"/>
          <w:bCs/>
          <w:color w:val="000000"/>
          <w:szCs w:val="20"/>
          <w:lang w:eastAsia="bg-BG"/>
        </w:rPr>
      </w:pPr>
    </w:p>
    <w:p w14:paraId="33A0BFBA" w14:textId="17F6818F"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Серумният калий трябва да бъде измерен преди започване на лечение с еплеренон, през първата седмица и един месец след започване на лечението или корекцията на дозата. След това серумният калий трябва да бъде изследван периодично при необходимост.</w:t>
      </w:r>
    </w:p>
    <w:p w14:paraId="4A6C000C" w14:textId="77777777" w:rsidR="00D72016" w:rsidRPr="00D72016" w:rsidRDefault="00D72016" w:rsidP="00D72016">
      <w:pPr>
        <w:spacing w:line="240" w:lineRule="auto"/>
        <w:rPr>
          <w:rFonts w:eastAsia="Times New Roman" w:cs="Arial"/>
          <w:bCs/>
          <w:color w:val="000000"/>
          <w:szCs w:val="20"/>
          <w:lang w:eastAsia="bg-BG"/>
        </w:rPr>
      </w:pPr>
    </w:p>
    <w:p w14:paraId="38E8101F" w14:textId="18A699EE" w:rsidR="00D72016" w:rsidRPr="00D72016" w:rsidRDefault="00D72016" w:rsidP="00D72016">
      <w:pPr>
        <w:spacing w:line="240" w:lineRule="auto"/>
        <w:rPr>
          <w:rFonts w:ascii="Times New Roman" w:eastAsia="Times New Roman" w:hAnsi="Times New Roman" w:cs="Times New Roman"/>
          <w:sz w:val="24"/>
          <w:szCs w:val="24"/>
        </w:rPr>
      </w:pPr>
      <w:r w:rsidRPr="00D72016">
        <w:rPr>
          <w:rFonts w:eastAsia="Times New Roman" w:cs="Arial"/>
          <w:bCs/>
          <w:color w:val="000000"/>
          <w:szCs w:val="20"/>
          <w:lang w:eastAsia="bg-BG"/>
        </w:rPr>
        <w:t>След започване на лечението дозата трябва да бъде коригирана спрямо концентрацията на серумния калий, както е показано в Таблица 1.</w:t>
      </w:r>
    </w:p>
    <w:p w14:paraId="4A00D109" w14:textId="1C602129" w:rsidR="00D72016" w:rsidRDefault="00D72016" w:rsidP="00D72016"/>
    <w:p w14:paraId="34A33B36" w14:textId="2EE4E209" w:rsidR="00D72016" w:rsidRDefault="00D72016" w:rsidP="00D72016">
      <w:r>
        <w:t>Таблица 1: Коригиране на дозата след започване на лечението</w:t>
      </w:r>
    </w:p>
    <w:tbl>
      <w:tblPr>
        <w:tblStyle w:val="TableGrid"/>
        <w:tblW w:w="0" w:type="auto"/>
        <w:tblLook w:val="04A0" w:firstRow="1" w:lastRow="0" w:firstColumn="1" w:lastColumn="0" w:noHBand="0" w:noVBand="1"/>
      </w:tblPr>
      <w:tblGrid>
        <w:gridCol w:w="3102"/>
        <w:gridCol w:w="3124"/>
        <w:gridCol w:w="3124"/>
      </w:tblGrid>
      <w:tr w:rsidR="00D72016" w14:paraId="4EF2EF32" w14:textId="77777777" w:rsidTr="00D72016">
        <w:tc>
          <w:tcPr>
            <w:tcW w:w="3192" w:type="dxa"/>
          </w:tcPr>
          <w:p w14:paraId="55089AD8" w14:textId="13C06B95" w:rsidR="00D72016" w:rsidRPr="00D72016" w:rsidRDefault="00D72016" w:rsidP="00D72016">
            <w:r w:rsidRPr="00D72016">
              <w:rPr>
                <w:bCs/>
                <w:szCs w:val="20"/>
              </w:rPr>
              <w:t xml:space="preserve">Серумен калий </w:t>
            </w:r>
            <w:r w:rsidRPr="00D72016">
              <w:rPr>
                <w:bCs/>
                <w:szCs w:val="20"/>
                <w:lang w:val="en-US"/>
              </w:rPr>
              <w:t>(</w:t>
            </w:r>
            <w:proofErr w:type="spellStart"/>
            <w:r w:rsidRPr="00D72016">
              <w:rPr>
                <w:bCs/>
                <w:szCs w:val="20"/>
                <w:lang w:val="en-US"/>
              </w:rPr>
              <w:t>mmol</w:t>
            </w:r>
            <w:proofErr w:type="spellEnd"/>
            <w:r w:rsidRPr="00D72016">
              <w:rPr>
                <w:bCs/>
                <w:szCs w:val="20"/>
                <w:lang w:val="en-US"/>
              </w:rPr>
              <w:t>/L)</w:t>
            </w:r>
          </w:p>
        </w:tc>
        <w:tc>
          <w:tcPr>
            <w:tcW w:w="3192" w:type="dxa"/>
          </w:tcPr>
          <w:p w14:paraId="462923F0" w14:textId="57EBE674" w:rsidR="00D72016" w:rsidRPr="00D72016" w:rsidRDefault="00D72016" w:rsidP="00D72016">
            <w:r w:rsidRPr="00D72016">
              <w:rPr>
                <w:bCs/>
                <w:szCs w:val="20"/>
              </w:rPr>
              <w:t>Действие</w:t>
            </w:r>
          </w:p>
        </w:tc>
        <w:tc>
          <w:tcPr>
            <w:tcW w:w="3192" w:type="dxa"/>
          </w:tcPr>
          <w:p w14:paraId="3354955D" w14:textId="0FF4DA3E" w:rsidR="00D72016" w:rsidRPr="00D72016" w:rsidRDefault="00D72016" w:rsidP="00D72016">
            <w:r w:rsidRPr="00D72016">
              <w:rPr>
                <w:bCs/>
                <w:szCs w:val="20"/>
              </w:rPr>
              <w:t>Коригиране на дозата</w:t>
            </w:r>
          </w:p>
        </w:tc>
      </w:tr>
      <w:tr w:rsidR="00D72016" w14:paraId="095F8CD6" w14:textId="77777777" w:rsidTr="00D72016">
        <w:tc>
          <w:tcPr>
            <w:tcW w:w="3192" w:type="dxa"/>
          </w:tcPr>
          <w:p w14:paraId="58CF25E8" w14:textId="3F6537CB" w:rsidR="00D72016" w:rsidRPr="00D72016" w:rsidRDefault="00D72016" w:rsidP="00D72016">
            <w:r w:rsidRPr="00D72016">
              <w:rPr>
                <w:bCs/>
                <w:szCs w:val="20"/>
              </w:rPr>
              <w:t>&lt;5,0</w:t>
            </w:r>
          </w:p>
        </w:tc>
        <w:tc>
          <w:tcPr>
            <w:tcW w:w="3192" w:type="dxa"/>
          </w:tcPr>
          <w:p w14:paraId="1DEE1FD5" w14:textId="291A3439" w:rsidR="00D72016" w:rsidRPr="00D72016" w:rsidRDefault="00D72016" w:rsidP="00D72016">
            <w:r w:rsidRPr="00D72016">
              <w:rPr>
                <w:bCs/>
                <w:szCs w:val="20"/>
              </w:rPr>
              <w:t>Повишаване на дозата</w:t>
            </w:r>
          </w:p>
        </w:tc>
        <w:tc>
          <w:tcPr>
            <w:tcW w:w="3192" w:type="dxa"/>
          </w:tcPr>
          <w:p w14:paraId="6D524180" w14:textId="77777777" w:rsidR="00D72016" w:rsidRPr="00D72016" w:rsidRDefault="00D72016" w:rsidP="00D72016">
            <w:r w:rsidRPr="00D72016">
              <w:rPr>
                <w:bCs/>
                <w:szCs w:val="20"/>
              </w:rPr>
              <w:t xml:space="preserve">25 </w:t>
            </w:r>
            <w:r w:rsidRPr="00D72016">
              <w:rPr>
                <w:bCs/>
                <w:szCs w:val="20"/>
                <w:lang w:val="en-US"/>
              </w:rPr>
              <w:t>mg</w:t>
            </w:r>
            <w:r w:rsidRPr="00D72016">
              <w:rPr>
                <w:bCs/>
                <w:szCs w:val="20"/>
                <w:lang w:val="ru-RU"/>
              </w:rPr>
              <w:t xml:space="preserve"> </w:t>
            </w:r>
            <w:r w:rsidRPr="00D72016">
              <w:rPr>
                <w:bCs/>
                <w:szCs w:val="20"/>
              </w:rPr>
              <w:t xml:space="preserve">през ден до 25 </w:t>
            </w:r>
            <w:r w:rsidRPr="00D72016">
              <w:rPr>
                <w:bCs/>
                <w:szCs w:val="20"/>
                <w:lang w:val="en-US"/>
              </w:rPr>
              <w:t>mg</w:t>
            </w:r>
            <w:r w:rsidRPr="00D72016">
              <w:rPr>
                <w:bCs/>
                <w:szCs w:val="20"/>
                <w:lang w:val="ru-RU"/>
              </w:rPr>
              <w:t xml:space="preserve"> </w:t>
            </w:r>
            <w:r w:rsidRPr="00D72016">
              <w:rPr>
                <w:bCs/>
                <w:szCs w:val="20"/>
              </w:rPr>
              <w:t>веднъж дневно</w:t>
            </w:r>
          </w:p>
          <w:p w14:paraId="5347ED18" w14:textId="07A7C0B1" w:rsidR="00D72016" w:rsidRPr="00D72016" w:rsidRDefault="00D72016" w:rsidP="00D72016">
            <w:r w:rsidRPr="00D72016">
              <w:rPr>
                <w:bCs/>
                <w:szCs w:val="20"/>
              </w:rPr>
              <w:t xml:space="preserve">25 </w:t>
            </w:r>
            <w:r w:rsidRPr="00D72016">
              <w:rPr>
                <w:bCs/>
                <w:szCs w:val="20"/>
                <w:lang w:val="en-US"/>
              </w:rPr>
              <w:t>mg</w:t>
            </w:r>
            <w:r w:rsidRPr="00D72016">
              <w:rPr>
                <w:bCs/>
                <w:szCs w:val="20"/>
                <w:lang w:val="ru-RU"/>
              </w:rPr>
              <w:t xml:space="preserve"> </w:t>
            </w:r>
            <w:r w:rsidRPr="00D72016">
              <w:rPr>
                <w:bCs/>
                <w:szCs w:val="20"/>
              </w:rPr>
              <w:t xml:space="preserve">веднъж дневно до 50 </w:t>
            </w:r>
            <w:r w:rsidRPr="00D72016">
              <w:rPr>
                <w:bCs/>
                <w:szCs w:val="20"/>
                <w:lang w:val="en-US"/>
              </w:rPr>
              <w:t>mg</w:t>
            </w:r>
            <w:r w:rsidRPr="00D72016">
              <w:rPr>
                <w:bCs/>
                <w:szCs w:val="20"/>
                <w:lang w:val="ru-RU"/>
              </w:rPr>
              <w:t xml:space="preserve"> </w:t>
            </w:r>
            <w:r w:rsidRPr="00D72016">
              <w:rPr>
                <w:bCs/>
                <w:szCs w:val="20"/>
              </w:rPr>
              <w:t>веднъж дневно</w:t>
            </w:r>
          </w:p>
        </w:tc>
      </w:tr>
      <w:tr w:rsidR="00D72016" w14:paraId="4A8A14CB" w14:textId="77777777" w:rsidTr="00D72016">
        <w:tc>
          <w:tcPr>
            <w:tcW w:w="3192" w:type="dxa"/>
          </w:tcPr>
          <w:p w14:paraId="31AA9C6C" w14:textId="4997FD13" w:rsidR="00D72016" w:rsidRPr="00D72016" w:rsidRDefault="00D72016" w:rsidP="00D72016">
            <w:r w:rsidRPr="00D72016">
              <w:rPr>
                <w:bCs/>
                <w:szCs w:val="20"/>
              </w:rPr>
              <w:t>5,0-5,4</w:t>
            </w:r>
          </w:p>
        </w:tc>
        <w:tc>
          <w:tcPr>
            <w:tcW w:w="3192" w:type="dxa"/>
          </w:tcPr>
          <w:p w14:paraId="793FBB4A" w14:textId="66D49346" w:rsidR="00D72016" w:rsidRPr="00D72016" w:rsidRDefault="00D72016" w:rsidP="00D72016">
            <w:r w:rsidRPr="00D72016">
              <w:rPr>
                <w:bCs/>
                <w:szCs w:val="20"/>
              </w:rPr>
              <w:t>Поддържане на дозата</w:t>
            </w:r>
          </w:p>
        </w:tc>
        <w:tc>
          <w:tcPr>
            <w:tcW w:w="3192" w:type="dxa"/>
          </w:tcPr>
          <w:p w14:paraId="1D0100D8" w14:textId="0422C850" w:rsidR="00D72016" w:rsidRPr="00D72016" w:rsidRDefault="00D72016" w:rsidP="00D72016">
            <w:r w:rsidRPr="00D72016">
              <w:rPr>
                <w:bCs/>
                <w:szCs w:val="20"/>
              </w:rPr>
              <w:t>Не е необходима корекция на дозата</w:t>
            </w:r>
          </w:p>
        </w:tc>
      </w:tr>
      <w:tr w:rsidR="00D72016" w14:paraId="6B654B4A" w14:textId="77777777" w:rsidTr="00D72016">
        <w:tc>
          <w:tcPr>
            <w:tcW w:w="3192" w:type="dxa"/>
          </w:tcPr>
          <w:p w14:paraId="2E4C7DAC" w14:textId="456B5D69" w:rsidR="00D72016" w:rsidRPr="00D72016" w:rsidRDefault="00D72016" w:rsidP="00D72016">
            <w:r w:rsidRPr="00D72016">
              <w:rPr>
                <w:bCs/>
                <w:szCs w:val="20"/>
              </w:rPr>
              <w:t>5,5-5,9</w:t>
            </w:r>
          </w:p>
        </w:tc>
        <w:tc>
          <w:tcPr>
            <w:tcW w:w="3192" w:type="dxa"/>
          </w:tcPr>
          <w:p w14:paraId="477E05BA" w14:textId="42EB4F66" w:rsidR="00D72016" w:rsidRPr="00D72016" w:rsidRDefault="00D72016" w:rsidP="00D72016">
            <w:r w:rsidRPr="00D72016">
              <w:rPr>
                <w:bCs/>
                <w:szCs w:val="20"/>
              </w:rPr>
              <w:t>Понижаване на дозата</w:t>
            </w:r>
          </w:p>
        </w:tc>
        <w:tc>
          <w:tcPr>
            <w:tcW w:w="3192" w:type="dxa"/>
          </w:tcPr>
          <w:p w14:paraId="5851D61E" w14:textId="77777777" w:rsidR="00D72016" w:rsidRPr="00D72016" w:rsidRDefault="00D72016" w:rsidP="00D72016">
            <w:r w:rsidRPr="00D72016">
              <w:rPr>
                <w:bCs/>
                <w:szCs w:val="20"/>
              </w:rPr>
              <w:t xml:space="preserve">50 </w:t>
            </w:r>
            <w:r w:rsidRPr="00D72016">
              <w:rPr>
                <w:bCs/>
                <w:szCs w:val="20"/>
                <w:lang w:val="en-US"/>
              </w:rPr>
              <w:t>mg</w:t>
            </w:r>
            <w:r w:rsidRPr="00D72016">
              <w:rPr>
                <w:bCs/>
                <w:szCs w:val="20"/>
                <w:lang w:val="ru-RU"/>
              </w:rPr>
              <w:t xml:space="preserve"> </w:t>
            </w:r>
            <w:r w:rsidRPr="00D72016">
              <w:rPr>
                <w:bCs/>
                <w:szCs w:val="20"/>
              </w:rPr>
              <w:t xml:space="preserve">веднъж дневно до 25 </w:t>
            </w:r>
            <w:r w:rsidRPr="00D72016">
              <w:rPr>
                <w:bCs/>
                <w:szCs w:val="20"/>
                <w:lang w:val="en-US"/>
              </w:rPr>
              <w:t>mg</w:t>
            </w:r>
            <w:r w:rsidRPr="00D72016">
              <w:rPr>
                <w:bCs/>
                <w:szCs w:val="20"/>
                <w:lang w:val="ru-RU"/>
              </w:rPr>
              <w:t xml:space="preserve"> </w:t>
            </w:r>
            <w:r w:rsidRPr="00D72016">
              <w:rPr>
                <w:bCs/>
                <w:szCs w:val="20"/>
              </w:rPr>
              <w:t>веднъж дневно</w:t>
            </w:r>
          </w:p>
          <w:p w14:paraId="56902379" w14:textId="77777777" w:rsidR="00D72016" w:rsidRPr="00D72016" w:rsidRDefault="00D72016" w:rsidP="00D72016">
            <w:r w:rsidRPr="00D72016">
              <w:rPr>
                <w:bCs/>
                <w:szCs w:val="20"/>
              </w:rPr>
              <w:t xml:space="preserve">25 </w:t>
            </w:r>
            <w:r w:rsidRPr="00D72016">
              <w:rPr>
                <w:bCs/>
                <w:szCs w:val="20"/>
                <w:lang w:val="en-US"/>
              </w:rPr>
              <w:t>mg</w:t>
            </w:r>
            <w:r w:rsidRPr="00D72016">
              <w:rPr>
                <w:bCs/>
                <w:szCs w:val="20"/>
                <w:lang w:val="ru-RU"/>
              </w:rPr>
              <w:t xml:space="preserve"> </w:t>
            </w:r>
            <w:r w:rsidRPr="00D72016">
              <w:rPr>
                <w:bCs/>
                <w:szCs w:val="20"/>
              </w:rPr>
              <w:t xml:space="preserve">веднъж дневно до 25 </w:t>
            </w:r>
            <w:r w:rsidRPr="00D72016">
              <w:rPr>
                <w:bCs/>
                <w:szCs w:val="20"/>
                <w:lang w:val="en-US"/>
              </w:rPr>
              <w:t>mg</w:t>
            </w:r>
            <w:r w:rsidRPr="00D72016">
              <w:rPr>
                <w:bCs/>
                <w:szCs w:val="20"/>
                <w:lang w:val="ru-RU"/>
              </w:rPr>
              <w:t xml:space="preserve"> </w:t>
            </w:r>
            <w:r w:rsidRPr="00D72016">
              <w:rPr>
                <w:bCs/>
                <w:szCs w:val="20"/>
              </w:rPr>
              <w:t>през ден</w:t>
            </w:r>
          </w:p>
          <w:p w14:paraId="48AE8D08" w14:textId="72ADCC58" w:rsidR="00D72016" w:rsidRPr="00D72016" w:rsidRDefault="00D72016" w:rsidP="00D72016">
            <w:r w:rsidRPr="00D72016">
              <w:rPr>
                <w:bCs/>
                <w:szCs w:val="20"/>
              </w:rPr>
              <w:t xml:space="preserve">25 </w:t>
            </w:r>
            <w:r w:rsidRPr="00D72016">
              <w:rPr>
                <w:bCs/>
                <w:szCs w:val="20"/>
                <w:lang w:val="en-US"/>
              </w:rPr>
              <w:t>mg</w:t>
            </w:r>
            <w:r w:rsidRPr="00D72016">
              <w:rPr>
                <w:bCs/>
                <w:szCs w:val="20"/>
                <w:lang w:val="ru-RU"/>
              </w:rPr>
              <w:t xml:space="preserve"> </w:t>
            </w:r>
            <w:r w:rsidRPr="00D72016">
              <w:rPr>
                <w:bCs/>
                <w:szCs w:val="20"/>
              </w:rPr>
              <w:t>през ден до прекратяване на лечението</w:t>
            </w:r>
          </w:p>
        </w:tc>
      </w:tr>
      <w:tr w:rsidR="00D72016" w14:paraId="76F059EF" w14:textId="77777777" w:rsidTr="00D72016">
        <w:tc>
          <w:tcPr>
            <w:tcW w:w="3192" w:type="dxa"/>
          </w:tcPr>
          <w:p w14:paraId="2806387D" w14:textId="108541AF" w:rsidR="00D72016" w:rsidRPr="00D72016" w:rsidRDefault="00D72016" w:rsidP="00D72016">
            <w:r w:rsidRPr="00D72016">
              <w:rPr>
                <w:bCs/>
                <w:szCs w:val="20"/>
              </w:rPr>
              <w:t>≥6,0</w:t>
            </w:r>
          </w:p>
        </w:tc>
        <w:tc>
          <w:tcPr>
            <w:tcW w:w="3192" w:type="dxa"/>
          </w:tcPr>
          <w:p w14:paraId="11B1EEC0" w14:textId="633597D6" w:rsidR="00D72016" w:rsidRPr="00D72016" w:rsidRDefault="00D72016" w:rsidP="00D72016">
            <w:r w:rsidRPr="00D72016">
              <w:rPr>
                <w:bCs/>
                <w:szCs w:val="20"/>
              </w:rPr>
              <w:t>Временно прекратяване на лечението</w:t>
            </w:r>
          </w:p>
        </w:tc>
        <w:tc>
          <w:tcPr>
            <w:tcW w:w="3192" w:type="dxa"/>
          </w:tcPr>
          <w:p w14:paraId="7220FF55" w14:textId="1A0ECE9A" w:rsidR="00D72016" w:rsidRPr="00D72016" w:rsidRDefault="00D72016" w:rsidP="00D72016">
            <w:r w:rsidRPr="00D72016">
              <w:rPr>
                <w:bCs/>
                <w:szCs w:val="20"/>
                <w:lang w:val="en-US"/>
              </w:rPr>
              <w:t>N/A</w:t>
            </w:r>
          </w:p>
        </w:tc>
      </w:tr>
    </w:tbl>
    <w:p w14:paraId="1DC03954" w14:textId="4518A5F7" w:rsidR="00D72016" w:rsidRDefault="00D72016" w:rsidP="00D72016"/>
    <w:p w14:paraId="053F89DF"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След временно прекратяване приема на еплеренон поради серумен калий ≥ 6,0 </w:t>
      </w:r>
      <w:proofErr w:type="spellStart"/>
      <w:r w:rsidRPr="00D72016">
        <w:rPr>
          <w:rFonts w:eastAsia="Times New Roman" w:cs="Arial"/>
          <w:bCs/>
          <w:color w:val="000000"/>
          <w:szCs w:val="20"/>
          <w:lang w:val="en-US"/>
        </w:rPr>
        <w:t>mmol</w:t>
      </w:r>
      <w:proofErr w:type="spellEnd"/>
      <w:r w:rsidRPr="00D72016">
        <w:rPr>
          <w:rFonts w:eastAsia="Times New Roman" w:cs="Arial"/>
          <w:bCs/>
          <w:color w:val="000000"/>
          <w:szCs w:val="20"/>
          <w:lang w:val="ru-RU"/>
        </w:rPr>
        <w:t>/</w:t>
      </w:r>
      <w:r w:rsidRPr="00D72016">
        <w:rPr>
          <w:rFonts w:eastAsia="Times New Roman" w:cs="Arial"/>
          <w:bCs/>
          <w:color w:val="000000"/>
          <w:szCs w:val="20"/>
          <w:lang w:val="en-US"/>
        </w:rPr>
        <w:t>L</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лечението с еплеренон може да бъде подновено при доза 25 през ден, когато нивото на калия падне под 5,0 </w:t>
      </w:r>
      <w:proofErr w:type="spellStart"/>
      <w:r w:rsidRPr="00D72016">
        <w:rPr>
          <w:rFonts w:eastAsia="Times New Roman" w:cs="Arial"/>
          <w:bCs/>
          <w:color w:val="000000"/>
          <w:szCs w:val="20"/>
          <w:lang w:val="en-US"/>
        </w:rPr>
        <w:t>mmol</w:t>
      </w:r>
      <w:proofErr w:type="spellEnd"/>
      <w:r w:rsidRPr="00D72016">
        <w:rPr>
          <w:rFonts w:eastAsia="Times New Roman" w:cs="Arial"/>
          <w:bCs/>
          <w:color w:val="000000"/>
          <w:szCs w:val="20"/>
          <w:lang w:val="ru-RU"/>
        </w:rPr>
        <w:t>/</w:t>
      </w:r>
      <w:r w:rsidRPr="00D72016">
        <w:rPr>
          <w:rFonts w:eastAsia="Times New Roman" w:cs="Arial"/>
          <w:bCs/>
          <w:color w:val="000000"/>
          <w:szCs w:val="20"/>
          <w:lang w:val="en-US"/>
        </w:rPr>
        <w:t>L</w:t>
      </w:r>
      <w:r w:rsidRPr="00D72016">
        <w:rPr>
          <w:rFonts w:eastAsia="Times New Roman" w:cs="Arial"/>
          <w:bCs/>
          <w:color w:val="000000"/>
          <w:szCs w:val="20"/>
          <w:lang w:val="ru-RU"/>
        </w:rPr>
        <w:t>.</w:t>
      </w:r>
    </w:p>
    <w:p w14:paraId="21D5F248" w14:textId="77777777" w:rsidR="00D72016" w:rsidRPr="00D72016" w:rsidRDefault="00D72016" w:rsidP="00D72016">
      <w:pPr>
        <w:spacing w:line="240" w:lineRule="auto"/>
        <w:rPr>
          <w:rFonts w:eastAsia="Times New Roman" w:cs="Arial"/>
          <w:bCs/>
          <w:color w:val="000000"/>
          <w:szCs w:val="20"/>
          <w:lang w:eastAsia="bg-BG"/>
        </w:rPr>
      </w:pPr>
    </w:p>
    <w:p w14:paraId="7198F086" w14:textId="70A26A53"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Педиатрична популация</w:t>
      </w:r>
    </w:p>
    <w:p w14:paraId="13502D95"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lastRenderedPageBreak/>
        <w:t>Безопасността и ефикасността на еплеренон при деца и юноши не са установени. Наличните понастоящем данни са описани в точка 5.1. и 5.2.</w:t>
      </w:r>
    </w:p>
    <w:p w14:paraId="55599107" w14:textId="77777777" w:rsidR="00D72016" w:rsidRPr="00D72016" w:rsidRDefault="00D72016" w:rsidP="00D72016">
      <w:pPr>
        <w:spacing w:line="240" w:lineRule="auto"/>
        <w:rPr>
          <w:rFonts w:eastAsia="Times New Roman" w:cs="Arial"/>
          <w:bCs/>
          <w:color w:val="000000"/>
          <w:szCs w:val="20"/>
          <w:lang w:eastAsia="bg-BG"/>
        </w:rPr>
      </w:pPr>
    </w:p>
    <w:p w14:paraId="05F16BFF" w14:textId="02F392F6"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Пациенти в старческа възраст</w:t>
      </w:r>
    </w:p>
    <w:p w14:paraId="19C8D853"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При пациенти в старческа възраст не е необходима корекция на началната доза. Поради възрастово-обусловеното понижаване на бъбречната функция, рискът от хиперкалиемия нараства при пациенти в старческа възраст. Този риск може да нараства по-нататък при наличие на придружаващи заболявалия, свързани с повишена системна експозиция, в частност при леко до умерено чернодробно увреждане. Препоръчва се периодично мониториране на серумния калий (вж. точка 4.4).</w:t>
      </w:r>
    </w:p>
    <w:p w14:paraId="05615B2D" w14:textId="77777777" w:rsidR="00D72016" w:rsidRPr="00D72016" w:rsidRDefault="00D72016" w:rsidP="00D72016">
      <w:pPr>
        <w:spacing w:line="240" w:lineRule="auto"/>
        <w:rPr>
          <w:rFonts w:eastAsia="Times New Roman" w:cs="Arial"/>
          <w:bCs/>
          <w:color w:val="000000"/>
          <w:szCs w:val="20"/>
          <w:lang w:eastAsia="bg-BG"/>
        </w:rPr>
      </w:pPr>
    </w:p>
    <w:p w14:paraId="491FB4F4" w14:textId="27BC7F03"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Бъбречно увреждане</w:t>
      </w:r>
    </w:p>
    <w:p w14:paraId="5DA3BB29" w14:textId="681D9315" w:rsidR="00D72016" w:rsidRPr="00D72016" w:rsidRDefault="00D72016" w:rsidP="00D72016">
      <w:pPr>
        <w:rPr>
          <w:rFonts w:eastAsia="Times New Roman" w:cs="Arial"/>
          <w:bCs/>
          <w:color w:val="000000"/>
          <w:szCs w:val="20"/>
          <w:lang w:eastAsia="bg-BG"/>
        </w:rPr>
      </w:pPr>
      <w:r w:rsidRPr="00D72016">
        <w:rPr>
          <w:rFonts w:eastAsia="Times New Roman" w:cs="Arial"/>
          <w:bCs/>
          <w:color w:val="000000"/>
          <w:szCs w:val="20"/>
          <w:lang w:eastAsia="bg-BG"/>
        </w:rPr>
        <w:t>При пациенти с леко бъбречно увреждане не е необходима корекция на началната доза</w:t>
      </w:r>
    </w:p>
    <w:p w14:paraId="51A07FCB" w14:textId="15536F8E" w:rsidR="00D72016" w:rsidRPr="00D72016" w:rsidRDefault="00D72016" w:rsidP="00D72016">
      <w:pPr>
        <w:rPr>
          <w:rFonts w:eastAsia="Times New Roman" w:cs="Arial"/>
          <w:bCs/>
          <w:color w:val="000000"/>
          <w:szCs w:val="20"/>
          <w:lang w:eastAsia="bg-BG"/>
        </w:rPr>
      </w:pPr>
    </w:p>
    <w:p w14:paraId="7CB75C44"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Препоръчва се периодично мониториране на серумния калий (вж. точка 4.4) и корекция на дозите в съответствие с таблица 1.</w:t>
      </w:r>
    </w:p>
    <w:p w14:paraId="7F87A4E9" w14:textId="77777777" w:rsidR="00D72016" w:rsidRPr="00D72016" w:rsidRDefault="00D72016" w:rsidP="00D72016">
      <w:pPr>
        <w:spacing w:line="240" w:lineRule="auto"/>
        <w:rPr>
          <w:rFonts w:eastAsia="Times New Roman" w:cs="Arial"/>
          <w:bCs/>
          <w:color w:val="000000"/>
          <w:szCs w:val="20"/>
          <w:lang w:eastAsia="bg-BG"/>
        </w:rPr>
      </w:pPr>
    </w:p>
    <w:p w14:paraId="215B8CF3" w14:textId="3EB6A293"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Пациентите с умерено бъбречно увреждане (креатининов клирънс 30-60 </w:t>
      </w:r>
      <w:r w:rsidRPr="00D72016">
        <w:rPr>
          <w:rFonts w:eastAsia="Times New Roman" w:cs="Arial"/>
          <w:bCs/>
          <w:color w:val="000000"/>
          <w:szCs w:val="20"/>
          <w:lang w:val="en-US"/>
        </w:rPr>
        <w:t>ml</w:t>
      </w:r>
      <w:r w:rsidRPr="00D72016">
        <w:rPr>
          <w:rFonts w:eastAsia="Times New Roman" w:cs="Arial"/>
          <w:bCs/>
          <w:color w:val="000000"/>
          <w:szCs w:val="20"/>
          <w:lang w:val="ru-RU"/>
        </w:rPr>
        <w:t>/</w:t>
      </w:r>
      <w:r w:rsidRPr="00D72016">
        <w:rPr>
          <w:rFonts w:eastAsia="Times New Roman" w:cs="Arial"/>
          <w:bCs/>
          <w:color w:val="000000"/>
          <w:szCs w:val="20"/>
          <w:lang w:val="en-US"/>
        </w:rPr>
        <w:t>min</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трябва да започнат лечението с 25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през ден и дозата да бъде определена въз основа на нивата на калия (вж. Таблица 1). Препоръчва се периодично мониториране на серумния калий (вж. точка 4.4).</w:t>
      </w:r>
    </w:p>
    <w:p w14:paraId="37EE1323" w14:textId="77777777" w:rsidR="00D72016" w:rsidRPr="00D72016" w:rsidRDefault="00D72016" w:rsidP="00D72016">
      <w:pPr>
        <w:spacing w:line="240" w:lineRule="auto"/>
        <w:rPr>
          <w:rFonts w:eastAsia="Times New Roman" w:cs="Arial"/>
          <w:bCs/>
          <w:color w:val="000000"/>
          <w:szCs w:val="20"/>
          <w:lang w:eastAsia="bg-BG"/>
        </w:rPr>
      </w:pPr>
    </w:p>
    <w:p w14:paraId="503AFDA6" w14:textId="11CE71BD"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Няма опит при пациенти с креатининов клирънс &lt;50 </w:t>
      </w:r>
      <w:r w:rsidRPr="00D72016">
        <w:rPr>
          <w:rFonts w:eastAsia="Times New Roman" w:cs="Arial"/>
          <w:bCs/>
          <w:color w:val="000000"/>
          <w:szCs w:val="20"/>
          <w:lang w:val="en-US"/>
        </w:rPr>
        <w:t>ml</w:t>
      </w:r>
      <w:r w:rsidRPr="00D72016">
        <w:rPr>
          <w:rFonts w:eastAsia="Times New Roman" w:cs="Arial"/>
          <w:bCs/>
          <w:color w:val="000000"/>
          <w:szCs w:val="20"/>
          <w:lang w:val="ru-RU"/>
        </w:rPr>
        <w:t>/</w:t>
      </w:r>
      <w:r w:rsidRPr="00D72016">
        <w:rPr>
          <w:rFonts w:eastAsia="Times New Roman" w:cs="Arial"/>
          <w:bCs/>
          <w:color w:val="000000"/>
          <w:szCs w:val="20"/>
          <w:lang w:val="en-US"/>
        </w:rPr>
        <w:t>min</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и сърдечна недостатъчност след миокарден инфаркт. Употребата на еплеренон при тези пациенти трябва да се извършва внимателно. Дози над 25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дневно не са проучвани при пациенти с креатининов клирънс &lt;50 </w:t>
      </w:r>
      <w:r w:rsidRPr="00D72016">
        <w:rPr>
          <w:rFonts w:eastAsia="Times New Roman" w:cs="Arial"/>
          <w:bCs/>
          <w:color w:val="000000"/>
          <w:szCs w:val="20"/>
          <w:lang w:val="en-US"/>
        </w:rPr>
        <w:t>ml</w:t>
      </w:r>
      <w:r w:rsidRPr="00D72016">
        <w:rPr>
          <w:rFonts w:eastAsia="Times New Roman" w:cs="Arial"/>
          <w:bCs/>
          <w:color w:val="000000"/>
          <w:szCs w:val="20"/>
          <w:lang w:val="ru-RU"/>
        </w:rPr>
        <w:t>/</w:t>
      </w:r>
      <w:r w:rsidRPr="00D72016">
        <w:rPr>
          <w:rFonts w:eastAsia="Times New Roman" w:cs="Arial"/>
          <w:bCs/>
          <w:color w:val="000000"/>
          <w:szCs w:val="20"/>
          <w:lang w:val="en-US"/>
        </w:rPr>
        <w:t>min</w:t>
      </w:r>
      <w:r w:rsidRPr="00D72016">
        <w:rPr>
          <w:rFonts w:eastAsia="Times New Roman" w:cs="Arial"/>
          <w:bCs/>
          <w:color w:val="000000"/>
          <w:szCs w:val="20"/>
          <w:lang w:val="ru-RU"/>
        </w:rPr>
        <w:t>.</w:t>
      </w:r>
    </w:p>
    <w:p w14:paraId="79FF6A5A" w14:textId="77777777" w:rsidR="00D72016" w:rsidRPr="00D72016" w:rsidRDefault="00D72016" w:rsidP="00D72016">
      <w:pPr>
        <w:spacing w:line="240" w:lineRule="auto"/>
        <w:rPr>
          <w:rFonts w:eastAsia="Times New Roman" w:cs="Arial"/>
          <w:bCs/>
          <w:color w:val="000000"/>
          <w:szCs w:val="20"/>
          <w:lang w:eastAsia="bg-BG"/>
        </w:rPr>
      </w:pPr>
    </w:p>
    <w:p w14:paraId="0221AC10" w14:textId="4360F763"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Приложението при пациенти с тежко бъбречно увреждане (креатининов клирънс &lt;30 </w:t>
      </w:r>
      <w:r w:rsidRPr="00D72016">
        <w:rPr>
          <w:rFonts w:eastAsia="Times New Roman" w:cs="Arial"/>
          <w:bCs/>
          <w:color w:val="000000"/>
          <w:szCs w:val="20"/>
          <w:lang w:val="en-US"/>
        </w:rPr>
        <w:t>ml</w:t>
      </w:r>
      <w:r w:rsidRPr="00D72016">
        <w:rPr>
          <w:rFonts w:eastAsia="Times New Roman" w:cs="Arial"/>
          <w:bCs/>
          <w:color w:val="000000"/>
          <w:szCs w:val="20"/>
          <w:lang w:val="ru-RU"/>
        </w:rPr>
        <w:t>/</w:t>
      </w:r>
      <w:r w:rsidRPr="00D72016">
        <w:rPr>
          <w:rFonts w:eastAsia="Times New Roman" w:cs="Arial"/>
          <w:bCs/>
          <w:color w:val="000000"/>
          <w:szCs w:val="20"/>
          <w:lang w:val="en-US"/>
        </w:rPr>
        <w:t>min</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е противопоказано (вж. точка 4.3).</w:t>
      </w:r>
    </w:p>
    <w:p w14:paraId="51450345" w14:textId="77777777" w:rsidR="00D72016" w:rsidRPr="00D72016" w:rsidRDefault="00D72016" w:rsidP="00D72016">
      <w:pPr>
        <w:spacing w:line="240" w:lineRule="auto"/>
        <w:rPr>
          <w:rFonts w:eastAsia="Times New Roman" w:cs="Arial"/>
          <w:bCs/>
          <w:color w:val="000000"/>
          <w:szCs w:val="20"/>
          <w:lang w:eastAsia="bg-BG"/>
        </w:rPr>
      </w:pPr>
    </w:p>
    <w:p w14:paraId="60D2A4B9" w14:textId="569FF348"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Еплеренон не се диализира.</w:t>
      </w:r>
    </w:p>
    <w:p w14:paraId="66CE56A9" w14:textId="77777777" w:rsidR="00D72016" w:rsidRPr="00D72016" w:rsidRDefault="00D72016" w:rsidP="00D72016">
      <w:pPr>
        <w:spacing w:line="240" w:lineRule="auto"/>
        <w:rPr>
          <w:rFonts w:eastAsia="Times New Roman" w:cs="Arial"/>
          <w:bCs/>
          <w:color w:val="000000"/>
          <w:szCs w:val="20"/>
          <w:lang w:eastAsia="bg-BG"/>
        </w:rPr>
      </w:pPr>
    </w:p>
    <w:p w14:paraId="0C062EEB" w14:textId="5F9B6068"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Чернодробно увреждане</w:t>
      </w:r>
    </w:p>
    <w:p w14:paraId="6442B274"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При пациенти с леко до умерено чернодробно увреждане не е необходима корекция на началната доза. Поради повишена системна експозиция при пациенти с леко до умерено чернодробно увреждане се препоръчва често и редовно проследяване на серумния калий при тези пациенти, особено когато са в старческа възраст (вж. точка 4.4).</w:t>
      </w:r>
    </w:p>
    <w:p w14:paraId="5F15556F" w14:textId="77777777" w:rsidR="00D72016" w:rsidRPr="00D72016" w:rsidRDefault="00D72016" w:rsidP="00D72016">
      <w:pPr>
        <w:spacing w:line="240" w:lineRule="auto"/>
        <w:rPr>
          <w:rFonts w:eastAsia="Times New Roman" w:cs="Arial"/>
          <w:bCs/>
          <w:color w:val="000000"/>
          <w:szCs w:val="20"/>
          <w:lang w:eastAsia="bg-BG"/>
        </w:rPr>
      </w:pPr>
    </w:p>
    <w:p w14:paraId="6DC4F81C" w14:textId="14DF8C48"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Придружаващо лечение</w:t>
      </w:r>
    </w:p>
    <w:p w14:paraId="386F408F"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В случай на придружаващо лечение с леки до умерени инхибитори на </w:t>
      </w:r>
      <w:r w:rsidRPr="00D72016">
        <w:rPr>
          <w:rFonts w:eastAsia="Times New Roman" w:cs="Arial"/>
          <w:bCs/>
          <w:color w:val="000000"/>
          <w:szCs w:val="20"/>
          <w:lang w:val="en-US"/>
        </w:rPr>
        <w:t>CYP</w:t>
      </w:r>
      <w:r w:rsidRPr="00D72016">
        <w:rPr>
          <w:rFonts w:eastAsia="Times New Roman" w:cs="Arial"/>
          <w:bCs/>
          <w:color w:val="000000"/>
          <w:szCs w:val="20"/>
          <w:lang w:val="ru-RU"/>
        </w:rPr>
        <w:t>3</w:t>
      </w:r>
      <w:r w:rsidRPr="00D72016">
        <w:rPr>
          <w:rFonts w:eastAsia="Times New Roman" w:cs="Arial"/>
          <w:bCs/>
          <w:color w:val="000000"/>
          <w:szCs w:val="20"/>
          <w:lang w:val="en-US"/>
        </w:rPr>
        <w:t>A</w:t>
      </w:r>
      <w:r w:rsidRPr="00D72016">
        <w:rPr>
          <w:rFonts w:eastAsia="Times New Roman" w:cs="Arial"/>
          <w:bCs/>
          <w:color w:val="000000"/>
          <w:szCs w:val="20"/>
          <w:lang w:val="ru-RU"/>
        </w:rPr>
        <w:t xml:space="preserve">4 </w:t>
      </w:r>
      <w:r w:rsidRPr="00D72016">
        <w:rPr>
          <w:rFonts w:eastAsia="Times New Roman" w:cs="Arial"/>
          <w:bCs/>
          <w:color w:val="000000"/>
          <w:szCs w:val="20"/>
          <w:lang w:eastAsia="bg-BG"/>
        </w:rPr>
        <w:t xml:space="preserve">например амиодарон, дилтиазем и верапамил, началната доза може да бъде 25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веднъж дневно. Дозировката не трябва да превишава 25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веднъж дневно (вж. точка 4.5).</w:t>
      </w:r>
    </w:p>
    <w:p w14:paraId="0A5C606B" w14:textId="77777777" w:rsidR="00D72016" w:rsidRPr="00D72016" w:rsidRDefault="00D72016" w:rsidP="00D72016">
      <w:pPr>
        <w:spacing w:line="240" w:lineRule="auto"/>
        <w:rPr>
          <w:rFonts w:eastAsia="Times New Roman" w:cs="Arial"/>
          <w:bCs/>
          <w:color w:val="000000"/>
          <w:szCs w:val="20"/>
          <w:lang w:eastAsia="bg-BG"/>
        </w:rPr>
      </w:pPr>
    </w:p>
    <w:p w14:paraId="1F0C877E" w14:textId="49B04538" w:rsidR="00D72016" w:rsidRPr="00D72016" w:rsidRDefault="00D72016" w:rsidP="00D72016">
      <w:pPr>
        <w:spacing w:line="240" w:lineRule="auto"/>
        <w:rPr>
          <w:rFonts w:eastAsia="Times New Roman" w:cs="Arial"/>
          <w:bCs/>
          <w:color w:val="000000"/>
          <w:szCs w:val="20"/>
          <w:lang w:eastAsia="bg-BG"/>
        </w:rPr>
      </w:pPr>
      <w:r w:rsidRPr="00D72016">
        <w:rPr>
          <w:rFonts w:eastAsia="Times New Roman" w:cs="Arial"/>
          <w:bCs/>
          <w:color w:val="000000"/>
          <w:szCs w:val="20"/>
          <w:lang w:eastAsia="bg-BG"/>
        </w:rPr>
        <w:t>Еспиро може да бъде приеман със или без храна (вж. точка 5.2).</w:t>
      </w:r>
    </w:p>
    <w:p w14:paraId="3CEB6823" w14:textId="77777777" w:rsidR="00D72016" w:rsidRPr="00D72016" w:rsidRDefault="00D72016" w:rsidP="00D72016"/>
    <w:p w14:paraId="0F253247" w14:textId="0BC9E400" w:rsidR="007122AD" w:rsidRDefault="002C50EE" w:rsidP="00936AD0">
      <w:pPr>
        <w:pStyle w:val="Heading2"/>
      </w:pPr>
      <w:r>
        <w:t>4.3. Противопоказания</w:t>
      </w:r>
    </w:p>
    <w:p w14:paraId="5B3C975C" w14:textId="3E878993" w:rsidR="00D72016" w:rsidRDefault="00D72016" w:rsidP="00D72016"/>
    <w:p w14:paraId="3199FD1E" w14:textId="7A87B492" w:rsidR="00884AFA" w:rsidRPr="00884AFA" w:rsidRDefault="00884AFA" w:rsidP="00884AFA">
      <w:pPr>
        <w:pStyle w:val="ListParagraph"/>
        <w:numPr>
          <w:ilvl w:val="0"/>
          <w:numId w:val="38"/>
        </w:numPr>
        <w:rPr>
          <w:lang w:eastAsia="bg-BG"/>
        </w:rPr>
      </w:pPr>
      <w:r w:rsidRPr="00884AFA">
        <w:rPr>
          <w:lang w:eastAsia="bg-BG"/>
        </w:rPr>
        <w:t>Свръхчувствителност към активното вещество или към някое от помощните вещества,</w:t>
      </w:r>
      <w:r w:rsidRPr="00884AFA">
        <w:rPr>
          <w:lang w:val="ru-RU" w:eastAsia="bg-BG"/>
        </w:rPr>
        <w:t xml:space="preserve"> </w:t>
      </w:r>
      <w:r w:rsidRPr="00884AFA">
        <w:rPr>
          <w:lang w:eastAsia="bg-BG"/>
        </w:rPr>
        <w:t>изброени в точка 6.1.</w:t>
      </w:r>
    </w:p>
    <w:p w14:paraId="7B9032D3" w14:textId="77777777" w:rsidR="00884AFA" w:rsidRPr="00884AFA" w:rsidRDefault="00884AFA" w:rsidP="00884AFA">
      <w:pPr>
        <w:pStyle w:val="ListParagraph"/>
        <w:numPr>
          <w:ilvl w:val="0"/>
          <w:numId w:val="38"/>
        </w:numPr>
        <w:rPr>
          <w:lang w:eastAsia="bg-BG"/>
        </w:rPr>
      </w:pPr>
      <w:r w:rsidRPr="00884AFA">
        <w:rPr>
          <w:lang w:eastAsia="bg-BG"/>
        </w:rPr>
        <w:t xml:space="preserve">Пациенти с изходна концентрация на серумния калий &gt;5,0 </w:t>
      </w:r>
      <w:proofErr w:type="spellStart"/>
      <w:r w:rsidRPr="00884AFA">
        <w:rPr>
          <w:lang w:val="en-US"/>
        </w:rPr>
        <w:t>mmol</w:t>
      </w:r>
      <w:proofErr w:type="spellEnd"/>
      <w:r w:rsidRPr="00884AFA">
        <w:rPr>
          <w:lang w:val="ru-RU"/>
        </w:rPr>
        <w:t>/</w:t>
      </w:r>
      <w:r w:rsidRPr="00884AFA">
        <w:rPr>
          <w:lang w:val="en-US"/>
        </w:rPr>
        <w:t>L</w:t>
      </w:r>
      <w:r w:rsidRPr="00884AFA">
        <w:rPr>
          <w:lang w:val="ru-RU"/>
        </w:rPr>
        <w:t>.</w:t>
      </w:r>
    </w:p>
    <w:p w14:paraId="65FABB11" w14:textId="77777777" w:rsidR="00884AFA" w:rsidRPr="00884AFA" w:rsidRDefault="00884AFA" w:rsidP="00884AFA">
      <w:pPr>
        <w:pStyle w:val="ListParagraph"/>
        <w:numPr>
          <w:ilvl w:val="0"/>
          <w:numId w:val="38"/>
        </w:numPr>
        <w:rPr>
          <w:lang w:eastAsia="bg-BG"/>
        </w:rPr>
      </w:pPr>
      <w:r w:rsidRPr="00884AFA">
        <w:rPr>
          <w:lang w:eastAsia="bg-BG"/>
        </w:rPr>
        <w:lastRenderedPageBreak/>
        <w:t xml:space="preserve">Пациенти с тежка бъбречна недостатъчност </w:t>
      </w:r>
      <w:r w:rsidRPr="00884AFA">
        <w:rPr>
          <w:lang w:val="ru-RU"/>
        </w:rPr>
        <w:t>(</w:t>
      </w:r>
      <w:proofErr w:type="spellStart"/>
      <w:r w:rsidRPr="00884AFA">
        <w:rPr>
          <w:lang w:val="en-US"/>
        </w:rPr>
        <w:t>eGFR</w:t>
      </w:r>
      <w:proofErr w:type="spellEnd"/>
      <w:r w:rsidRPr="00884AFA">
        <w:rPr>
          <w:lang w:val="ru-RU"/>
        </w:rPr>
        <w:t xml:space="preserve"> </w:t>
      </w:r>
      <w:r w:rsidRPr="00884AFA">
        <w:rPr>
          <w:lang w:eastAsia="bg-BG"/>
        </w:rPr>
        <w:t xml:space="preserve">&lt;30 </w:t>
      </w:r>
      <w:r w:rsidRPr="00884AFA">
        <w:rPr>
          <w:lang w:val="en-US"/>
        </w:rPr>
        <w:t>mL</w:t>
      </w:r>
      <w:r w:rsidRPr="00884AFA">
        <w:rPr>
          <w:lang w:val="ru-RU"/>
        </w:rPr>
        <w:t>/</w:t>
      </w:r>
      <w:r w:rsidRPr="00884AFA">
        <w:rPr>
          <w:lang w:val="en-US"/>
        </w:rPr>
        <w:t>min</w:t>
      </w:r>
      <w:r w:rsidRPr="00884AFA">
        <w:rPr>
          <w:lang w:val="ru-RU"/>
        </w:rPr>
        <w:t xml:space="preserve">/1 </w:t>
      </w:r>
      <w:r w:rsidRPr="00884AFA">
        <w:rPr>
          <w:lang w:eastAsia="bg-BG"/>
        </w:rPr>
        <w:t xml:space="preserve">,73 </w:t>
      </w:r>
      <w:r w:rsidRPr="00884AFA">
        <w:rPr>
          <w:lang w:val="en-US"/>
        </w:rPr>
        <w:t>m</w:t>
      </w:r>
      <w:r w:rsidRPr="00884AFA">
        <w:rPr>
          <w:vertAlign w:val="superscript"/>
          <w:lang w:val="ru-RU"/>
        </w:rPr>
        <w:t>2</w:t>
      </w:r>
      <w:r w:rsidRPr="00884AFA">
        <w:rPr>
          <w:lang w:val="ru-RU"/>
        </w:rPr>
        <w:t>).</w:t>
      </w:r>
    </w:p>
    <w:p w14:paraId="5EE7631A" w14:textId="77777777" w:rsidR="00884AFA" w:rsidRPr="00884AFA" w:rsidRDefault="00884AFA" w:rsidP="00884AFA">
      <w:pPr>
        <w:pStyle w:val="ListParagraph"/>
        <w:numPr>
          <w:ilvl w:val="0"/>
          <w:numId w:val="38"/>
        </w:numPr>
        <w:rPr>
          <w:lang w:eastAsia="bg-BG"/>
        </w:rPr>
      </w:pPr>
      <w:r w:rsidRPr="00884AFA">
        <w:rPr>
          <w:lang w:eastAsia="bg-BG"/>
        </w:rPr>
        <w:t xml:space="preserve">Пациенти с тежка чернодробна недостатъчност (клас С по </w:t>
      </w:r>
      <w:r w:rsidRPr="00884AFA">
        <w:rPr>
          <w:lang w:val="en-US"/>
        </w:rPr>
        <w:t>Child</w:t>
      </w:r>
      <w:r w:rsidRPr="00884AFA">
        <w:rPr>
          <w:lang w:val="ru-RU"/>
        </w:rPr>
        <w:t>-</w:t>
      </w:r>
      <w:r w:rsidRPr="00884AFA">
        <w:rPr>
          <w:lang w:val="en-US"/>
        </w:rPr>
        <w:t>Pugh</w:t>
      </w:r>
      <w:r w:rsidRPr="00884AFA">
        <w:rPr>
          <w:lang w:val="ru-RU"/>
        </w:rPr>
        <w:t>)</w:t>
      </w:r>
    </w:p>
    <w:p w14:paraId="20EC0476" w14:textId="5F47C9BE" w:rsidR="00884AFA" w:rsidRPr="00884AFA" w:rsidRDefault="00884AFA" w:rsidP="00884AFA">
      <w:pPr>
        <w:pStyle w:val="ListParagraph"/>
        <w:numPr>
          <w:ilvl w:val="0"/>
          <w:numId w:val="38"/>
        </w:numPr>
        <w:rPr>
          <w:lang w:eastAsia="bg-BG"/>
        </w:rPr>
      </w:pPr>
      <w:r w:rsidRPr="00884AFA">
        <w:rPr>
          <w:lang w:eastAsia="bg-BG"/>
        </w:rPr>
        <w:t xml:space="preserve">Пациенти, получаващи калий-съхраняващи диуретици или мощни инхибитори на </w:t>
      </w:r>
      <w:r w:rsidRPr="00884AFA">
        <w:rPr>
          <w:lang w:val="en-US"/>
        </w:rPr>
        <w:t>CYP</w:t>
      </w:r>
      <w:r w:rsidRPr="00884AFA">
        <w:rPr>
          <w:lang w:eastAsia="bg-BG"/>
        </w:rPr>
        <w:t>ЗА4 (напр. итраконазол, кетоконазол, ритонавир, нелфинавир, кларитромицин, телигромицин и нефазодон) (вж. точка 4.5)</w:t>
      </w:r>
    </w:p>
    <w:p w14:paraId="70B5AE7B" w14:textId="0F065C35" w:rsidR="00D72016" w:rsidRDefault="00884AFA" w:rsidP="00884AFA">
      <w:pPr>
        <w:pStyle w:val="ListParagraph"/>
        <w:numPr>
          <w:ilvl w:val="0"/>
          <w:numId w:val="38"/>
        </w:numPr>
        <w:rPr>
          <w:lang w:eastAsia="bg-BG"/>
        </w:rPr>
      </w:pPr>
      <w:r w:rsidRPr="00884AFA">
        <w:rPr>
          <w:lang w:eastAsia="bg-BG"/>
        </w:rPr>
        <w:t>Комбиниране на ангиотензин-конвертиращия ензим (АСЕ) инхибитор и ангиотензин- рецепторен блокер (АРБ) с еплеренон.</w:t>
      </w:r>
    </w:p>
    <w:p w14:paraId="020C2603" w14:textId="77777777" w:rsidR="00884AFA" w:rsidRPr="00D72016" w:rsidRDefault="00884AFA" w:rsidP="00884AFA"/>
    <w:p w14:paraId="0E0BDCC7" w14:textId="60137229" w:rsidR="007122AD" w:rsidRDefault="002C50EE" w:rsidP="00936AD0">
      <w:pPr>
        <w:pStyle w:val="Heading2"/>
      </w:pPr>
      <w:r>
        <w:t>4.4. Специални предупреждения и предпазни мерки при употреба</w:t>
      </w:r>
    </w:p>
    <w:p w14:paraId="650F7D90" w14:textId="1E50E205" w:rsidR="00884AFA" w:rsidRDefault="00884AFA" w:rsidP="00884AFA"/>
    <w:p w14:paraId="71F1978F" w14:textId="7777777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Хиперкалиемия:</w:t>
      </w:r>
    </w:p>
    <w:p w14:paraId="5C504AB9" w14:textId="414CB59F" w:rsidR="00884AFA" w:rsidRPr="00884AFA" w:rsidRDefault="00884AFA" w:rsidP="00884AFA">
      <w:pPr>
        <w:spacing w:line="240" w:lineRule="auto"/>
        <w:rPr>
          <w:rFonts w:eastAsia="Times New Roman" w:cs="Arial"/>
          <w:sz w:val="28"/>
          <w:szCs w:val="24"/>
          <w:lang w:val="ru-RU"/>
        </w:rPr>
      </w:pPr>
      <w:r w:rsidRPr="00884AFA">
        <w:rPr>
          <w:rFonts w:eastAsia="Times New Roman" w:cs="Arial"/>
          <w:bCs/>
          <w:color w:val="000000"/>
          <w:szCs w:val="20"/>
          <w:lang w:eastAsia="bg-BG"/>
        </w:rPr>
        <w:t>Обусловено от неговия механизъм на действие, с еплеренон е възможно да настъпи хиперкалиемия. При всички пациенти серумните калиеви концентрации трябва да бъдат проследявани в началото на лечението и при промяна на дозировката. След това се препоръчва периодично проследяване, особено при пациенти с риск от развитие на хиперкалиемия, като такива в старческа възраст, с бъбречна недостатъчност (вж. точка 4.2) или диабет. Не се препоръчва употребата на калиеви добавки след започване на лечение с еплеренон поради повишен риск от хиперкалиемия. Намаляването на дозата на еплеренон предизвиква понижаване на серумния калий. В клинично проучване е показано, че добавянето на хидрохлоротиазид към лечението с еплеренон е компенсирало нарастването на серумния калий</w:t>
      </w:r>
      <w:r w:rsidRPr="00884AFA">
        <w:rPr>
          <w:rFonts w:eastAsia="Times New Roman" w:cs="Arial"/>
          <w:bCs/>
          <w:color w:val="000000"/>
          <w:szCs w:val="20"/>
          <w:lang w:val="ru-RU" w:eastAsia="bg-BG"/>
        </w:rPr>
        <w:t>.</w:t>
      </w:r>
    </w:p>
    <w:p w14:paraId="1FFB9217" w14:textId="0F4F8C21" w:rsidR="00884AFA" w:rsidRPr="00884AFA" w:rsidRDefault="00884AFA" w:rsidP="00884AFA">
      <w:pPr>
        <w:rPr>
          <w:rFonts w:cs="Arial"/>
          <w:sz w:val="24"/>
        </w:rPr>
      </w:pPr>
    </w:p>
    <w:p w14:paraId="25879479"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Рискът от хиперкалиемия може да се повиши, когато еплеренон се използва в комбинация с инхибитор на ангиотензин-конвертиращия ензим (АСЕ) и/или ангиотензин-рецепторен блокер (АРБ). Комбинацията инхибитор на ангиотензин-конвертиращия ензим (АСЕ) и/или ангиотензин-рецепторен блокер (АРБ) с еплеренон не трябва да се използва (вж. точки 4.3 и 4.5).</w:t>
      </w:r>
    </w:p>
    <w:p w14:paraId="683BD64A" w14:textId="77777777" w:rsidR="00884AFA" w:rsidRPr="00884AFA" w:rsidRDefault="00884AFA" w:rsidP="00884AFA">
      <w:pPr>
        <w:spacing w:line="240" w:lineRule="auto"/>
        <w:rPr>
          <w:rFonts w:eastAsia="Times New Roman" w:cs="Arial"/>
          <w:bCs/>
          <w:i/>
          <w:iCs/>
          <w:color w:val="000000"/>
          <w:szCs w:val="20"/>
          <w:lang w:eastAsia="bg-BG"/>
        </w:rPr>
      </w:pPr>
    </w:p>
    <w:p w14:paraId="5D57BDFF" w14:textId="0513EB70"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Нарушена бъбречна функция:</w:t>
      </w:r>
    </w:p>
    <w:p w14:paraId="0A20C9E3"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Нивата на калий трябва да бъдат проследявани редовно при пациенти с увредена бъбречна функция, включително при диабетна микроалбуминурия. Рискът от хиперкалиемия нараства с понижаване на бъбречната функция. Въпреки ограничените данни от проучването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при пациенти с диабет тип 2 и микроалбуминурия, при този малък брой пациенти е наблюдавана повишена честота на хиперкалиемия. Следователно тези пациенти трябва да бъдат лекувани с повишено внимание. Еплеренон не се диализира.</w:t>
      </w:r>
    </w:p>
    <w:p w14:paraId="5CC1778B" w14:textId="77777777" w:rsidR="00884AFA" w:rsidRPr="00884AFA" w:rsidRDefault="00884AFA" w:rsidP="00884AFA">
      <w:pPr>
        <w:spacing w:line="240" w:lineRule="auto"/>
        <w:rPr>
          <w:rFonts w:eastAsia="Times New Roman" w:cs="Arial"/>
          <w:bCs/>
          <w:i/>
          <w:iCs/>
          <w:color w:val="000000"/>
          <w:szCs w:val="20"/>
          <w:lang w:eastAsia="bg-BG"/>
        </w:rPr>
      </w:pPr>
    </w:p>
    <w:p w14:paraId="26EDD2AC" w14:textId="737B5038"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Нарушена чернодробна функция:</w:t>
      </w:r>
    </w:p>
    <w:p w14:paraId="0CB7D5B9"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При пациенти с леко до умерено чернодробно увреждане </w:t>
      </w:r>
      <w:r w:rsidRPr="00884AFA">
        <w:rPr>
          <w:rFonts w:eastAsia="Times New Roman" w:cs="Arial"/>
          <w:bCs/>
          <w:color w:val="000000"/>
          <w:szCs w:val="20"/>
          <w:lang w:val="ru-RU"/>
        </w:rPr>
        <w:t>(</w:t>
      </w:r>
      <w:r w:rsidRPr="00884AFA">
        <w:rPr>
          <w:rFonts w:eastAsia="Times New Roman" w:cs="Arial"/>
          <w:bCs/>
          <w:color w:val="000000"/>
          <w:szCs w:val="20"/>
          <w:lang w:val="en-US"/>
        </w:rPr>
        <w:t>Child</w:t>
      </w:r>
      <w:r w:rsidRPr="00884AFA">
        <w:rPr>
          <w:rFonts w:eastAsia="Times New Roman" w:cs="Arial"/>
          <w:bCs/>
          <w:color w:val="000000"/>
          <w:szCs w:val="20"/>
          <w:lang w:val="ru-RU"/>
        </w:rPr>
        <w:t xml:space="preserve"> </w:t>
      </w:r>
      <w:r w:rsidRPr="00884AFA">
        <w:rPr>
          <w:rFonts w:eastAsia="Times New Roman" w:cs="Arial"/>
          <w:bCs/>
          <w:color w:val="000000"/>
          <w:szCs w:val="20"/>
          <w:lang w:val="en-US"/>
        </w:rPr>
        <w:t>Pugh</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клас А и В) не са наблюдавани увеличения на серумния калий над 5,5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При пациенти с леко до умерено чернодробно увреждане трябва да бъдат проследявани стойностите на електролитите. Употребата на еплеренон при пациенти с тежко чернодробно увреждане не е изследвана и поради това е противопоказана (вж. точки 4.2 и 4.3).</w:t>
      </w:r>
    </w:p>
    <w:p w14:paraId="3416BFF5" w14:textId="77777777" w:rsidR="00884AFA" w:rsidRPr="00884AFA" w:rsidRDefault="00884AFA" w:rsidP="00884AFA">
      <w:pPr>
        <w:spacing w:line="240" w:lineRule="auto"/>
        <w:rPr>
          <w:rFonts w:eastAsia="Times New Roman" w:cs="Arial"/>
          <w:bCs/>
          <w:i/>
          <w:iCs/>
          <w:color w:val="000000"/>
          <w:szCs w:val="20"/>
          <w:lang w:eastAsia="bg-BG"/>
        </w:rPr>
      </w:pPr>
    </w:p>
    <w:p w14:paraId="038EC765" w14:textId="5A98D456"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 xml:space="preserve">Индуктори на </w:t>
      </w:r>
      <w:r w:rsidRPr="00884AFA">
        <w:rPr>
          <w:rFonts w:eastAsia="Times New Roman" w:cs="Arial"/>
          <w:bCs/>
          <w:i/>
          <w:iCs/>
          <w:color w:val="000000"/>
          <w:szCs w:val="20"/>
          <w:lang w:val="en-US"/>
        </w:rPr>
        <w:t>CYP</w:t>
      </w:r>
      <w:r w:rsidRPr="00884AFA">
        <w:rPr>
          <w:rFonts w:eastAsia="Times New Roman" w:cs="Arial"/>
          <w:bCs/>
          <w:i/>
          <w:iCs/>
          <w:color w:val="000000"/>
          <w:szCs w:val="20"/>
          <w:lang w:val="ru-RU"/>
        </w:rPr>
        <w:t>3</w:t>
      </w:r>
      <w:r w:rsidRPr="00884AFA">
        <w:rPr>
          <w:rFonts w:eastAsia="Times New Roman" w:cs="Arial"/>
          <w:bCs/>
          <w:i/>
          <w:iCs/>
          <w:color w:val="000000"/>
          <w:szCs w:val="20"/>
          <w:lang w:val="en-US"/>
        </w:rPr>
        <w:t>A</w:t>
      </w:r>
      <w:r w:rsidRPr="00884AFA">
        <w:rPr>
          <w:rFonts w:eastAsia="Times New Roman" w:cs="Arial"/>
          <w:bCs/>
          <w:i/>
          <w:iCs/>
          <w:color w:val="000000"/>
          <w:szCs w:val="20"/>
          <w:lang w:val="ru-RU"/>
        </w:rPr>
        <w:t>4:</w:t>
      </w:r>
    </w:p>
    <w:p w14:paraId="17840F1D"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Не се препоръчва едновременно приложение на еплеренон със силни индуктори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(вж. точка 4.5).</w:t>
      </w:r>
    </w:p>
    <w:p w14:paraId="104AC550" w14:textId="77777777" w:rsidR="00884AFA" w:rsidRPr="00884AFA" w:rsidRDefault="00884AFA" w:rsidP="00884AFA">
      <w:pPr>
        <w:spacing w:line="240" w:lineRule="auto"/>
        <w:rPr>
          <w:rFonts w:eastAsia="Times New Roman" w:cs="Arial"/>
          <w:bCs/>
          <w:i/>
          <w:iCs/>
          <w:color w:val="000000"/>
          <w:szCs w:val="20"/>
          <w:lang w:eastAsia="bg-BG"/>
        </w:rPr>
      </w:pPr>
    </w:p>
    <w:p w14:paraId="40447F76" w14:textId="104DB5F9"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lastRenderedPageBreak/>
        <w:t>Литий, циклоспорин и такролимус</w:t>
      </w:r>
      <w:r w:rsidRPr="00884AFA">
        <w:rPr>
          <w:rFonts w:eastAsia="Times New Roman" w:cs="Arial"/>
          <w:bCs/>
          <w:color w:val="000000"/>
          <w:szCs w:val="20"/>
          <w:lang w:eastAsia="bg-BG"/>
        </w:rPr>
        <w:t xml:space="preserve"> трябва да бъдат избягвани по време на лечение с еплеренон (вж. точка 4.5).</w:t>
      </w:r>
    </w:p>
    <w:p w14:paraId="09C97301" w14:textId="77777777" w:rsidR="00884AFA" w:rsidRPr="00884AFA" w:rsidRDefault="00884AFA" w:rsidP="00884AFA">
      <w:pPr>
        <w:spacing w:line="240" w:lineRule="auto"/>
        <w:rPr>
          <w:rFonts w:eastAsia="Times New Roman" w:cs="Arial"/>
          <w:bCs/>
          <w:i/>
          <w:iCs/>
          <w:color w:val="000000"/>
          <w:szCs w:val="20"/>
          <w:lang w:eastAsia="bg-BG"/>
        </w:rPr>
      </w:pPr>
    </w:p>
    <w:p w14:paraId="1EDAA6FD" w14:textId="67CEF63D"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Лактоза:</w:t>
      </w:r>
    </w:p>
    <w:p w14:paraId="4544F893"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Таблетките съдържат лактоза и не трябва да бъдат прилагани при пациенти с редки наследствени проблеми, като непоносимост към галактоза, пълен лактазен дефицит или глюкозо-галактозна малабсорбция.</w:t>
      </w:r>
    </w:p>
    <w:p w14:paraId="149EB0FC" w14:textId="77777777" w:rsidR="00884AFA" w:rsidRPr="00884AFA" w:rsidRDefault="00884AFA" w:rsidP="00884AFA">
      <w:pPr>
        <w:spacing w:line="240" w:lineRule="auto"/>
        <w:rPr>
          <w:rFonts w:eastAsia="Times New Roman" w:cs="Arial"/>
          <w:bCs/>
          <w:i/>
          <w:iCs/>
          <w:color w:val="000000"/>
          <w:szCs w:val="20"/>
          <w:lang w:eastAsia="bg-BG"/>
        </w:rPr>
      </w:pPr>
    </w:p>
    <w:p w14:paraId="0200EFE1" w14:textId="1F8035DA"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Натрий:</w:t>
      </w:r>
    </w:p>
    <w:p w14:paraId="78FF415C"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Това лекарство съдържа по-малко от 1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натрий (23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за таблетка, т.е. практически не съдържа натрий.</w:t>
      </w:r>
    </w:p>
    <w:p w14:paraId="79BF7732" w14:textId="77777777" w:rsidR="00884AFA" w:rsidRPr="00884AFA" w:rsidRDefault="00884AFA" w:rsidP="00884AFA"/>
    <w:p w14:paraId="0734264C" w14:textId="4EA518CC"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EB5345C" w14:textId="78A676A0" w:rsidR="00884AFA" w:rsidRDefault="00884AFA" w:rsidP="00884AFA"/>
    <w:p w14:paraId="50D38B97"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Фармакодннамични взаимодействия</w:t>
      </w:r>
    </w:p>
    <w:p w14:paraId="5E9F114C" w14:textId="22DD3BAF"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Калий-съхраняващи диуретици и калиеви добавки</w:t>
      </w:r>
    </w:p>
    <w:p w14:paraId="17676A9A"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Поради повишен риск от хиперкалиемия, еплеренон не трябва да бъде прилаган при пациенти, получаващи други калий-съхраняващи диуретици и калиеви добавки (вж. точка 4.3). КалиЙ- съхраняващите диуретици могат да засилят също ефекта на антихипертензивни средства и други диуретици.</w:t>
      </w:r>
    </w:p>
    <w:p w14:paraId="7085970D" w14:textId="77777777" w:rsidR="00884AFA" w:rsidRPr="00884AFA" w:rsidRDefault="00884AFA" w:rsidP="00884AFA">
      <w:pPr>
        <w:spacing w:line="240" w:lineRule="auto"/>
        <w:rPr>
          <w:rFonts w:eastAsia="Times New Roman" w:cs="Arial"/>
          <w:bCs/>
          <w:i/>
          <w:iCs/>
          <w:color w:val="000000"/>
          <w:szCs w:val="20"/>
          <w:lang w:eastAsia="bg-BG"/>
        </w:rPr>
      </w:pPr>
    </w:p>
    <w:p w14:paraId="75714F30" w14:textId="669EADFC"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АСЕ инхибшпори, ангиотензин-рецепторни блокери (АРБ):</w:t>
      </w:r>
    </w:p>
    <w:p w14:paraId="16F7DBF3"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Рискът от хиперкалиемия може да се повиши, когато еплеренон се използва в комбинация с инхибитор на ангиотензин-конвертиращия ензим (АСЕ) и/или ангиотензин-рецепторен блокер. Препоръчва се стриктно проследяване на серумния калий и бъбречната функция, особено при пациенти с риск от увредена бъбречна функция, напр. пациенти в напреднала възраст. Тройна комбинация от инхибитор на ангиотензин-конвертиращия ензим (АСЕ) и/или ангиотензин рецепторен блокер (АРБ) с еплеренон не трябва да се използва (вж. точки 4.3 и 4.4).</w:t>
      </w:r>
    </w:p>
    <w:p w14:paraId="3DBDC854" w14:textId="77777777" w:rsidR="00884AFA" w:rsidRPr="00884AFA" w:rsidRDefault="00884AFA" w:rsidP="00884AFA">
      <w:pPr>
        <w:spacing w:line="240" w:lineRule="auto"/>
        <w:rPr>
          <w:rFonts w:eastAsia="Times New Roman" w:cs="Arial"/>
          <w:sz w:val="28"/>
          <w:szCs w:val="24"/>
        </w:rPr>
      </w:pPr>
    </w:p>
    <w:p w14:paraId="7AE7D644" w14:textId="5AA04B24" w:rsidR="00884AFA" w:rsidRPr="00884AFA" w:rsidRDefault="00884AFA" w:rsidP="00884AFA">
      <w:pPr>
        <w:spacing w:line="240" w:lineRule="auto"/>
        <w:rPr>
          <w:rFonts w:eastAsia="Times New Roman" w:cs="Arial"/>
          <w:bCs/>
          <w:color w:val="000000"/>
          <w:szCs w:val="20"/>
          <w:lang w:eastAsia="bg-BG"/>
        </w:rPr>
      </w:pPr>
      <w:r w:rsidRPr="00884AFA">
        <w:rPr>
          <w:rFonts w:eastAsia="Times New Roman" w:cs="Arial"/>
          <w:bCs/>
          <w:color w:val="000000"/>
          <w:szCs w:val="20"/>
          <w:lang w:eastAsia="bg-BG"/>
        </w:rPr>
        <w:t>Литий:</w:t>
      </w:r>
    </w:p>
    <w:p w14:paraId="34BB0A32" w14:textId="1C476B30"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Не са провеждани проучвания за лекарствени взаимодействия на еплеренон с литий. Все пак</w:t>
      </w:r>
    </w:p>
    <w:p w14:paraId="2E29BAF5" w14:textId="77777777" w:rsidR="00884AFA" w:rsidRPr="00884AFA" w:rsidRDefault="00884AFA" w:rsidP="00884AFA">
      <w:pPr>
        <w:rPr>
          <w:rFonts w:eastAsia="Times New Roman" w:cs="Arial"/>
          <w:sz w:val="28"/>
          <w:szCs w:val="24"/>
        </w:rPr>
      </w:pPr>
      <w:r w:rsidRPr="00884AFA">
        <w:rPr>
          <w:rFonts w:eastAsia="Times New Roman" w:cs="Arial"/>
          <w:bCs/>
          <w:color w:val="000000"/>
          <w:szCs w:val="20"/>
          <w:lang w:eastAsia="bg-BG"/>
        </w:rPr>
        <w:t>при пациенти, получаващи литий едновременно с диуретици и АСЕ инхибитори, се съобщава за литиева токсичност (вж. точка 4.4). Едновременното приложение на еплеренон и литий трябва да бъде избягвано. Ако тази комбинация е необходима, плазмените концентрации на литий трябва да се проследяват (вж. точка 4.4).</w:t>
      </w:r>
    </w:p>
    <w:p w14:paraId="0885E32B" w14:textId="77777777" w:rsidR="00884AFA" w:rsidRPr="00884AFA" w:rsidRDefault="00884AFA" w:rsidP="00884AFA">
      <w:pPr>
        <w:spacing w:line="240" w:lineRule="auto"/>
        <w:rPr>
          <w:rFonts w:eastAsia="Times New Roman" w:cs="Arial"/>
          <w:bCs/>
          <w:i/>
          <w:iCs/>
          <w:color w:val="000000"/>
          <w:szCs w:val="20"/>
          <w:lang w:eastAsia="bg-BG"/>
        </w:rPr>
      </w:pPr>
    </w:p>
    <w:p w14:paraId="11F605A0" w14:textId="59C22803"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Циклоспорин, такролимус:</w:t>
      </w:r>
    </w:p>
    <w:p w14:paraId="26427C94"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Циклоспорин и такролимус могат да доведат до нарушение на бъбречната функция и да повишат риска от хиперкалиемия. Едновременното приложение на еплеренон и циклоспорин или такролимус трябва да се избягва. Ако е необходимо, се препоръчва стриктно мониториране на серумния калий и бъбречната функция, когато циклоспорин или такролимус се прилагат по време на лечение с еплеренон (вж. точка 4.4).</w:t>
      </w:r>
    </w:p>
    <w:p w14:paraId="30F108F8" w14:textId="77777777" w:rsidR="00884AFA" w:rsidRPr="00884AFA" w:rsidRDefault="00884AFA" w:rsidP="00884AFA">
      <w:pPr>
        <w:spacing w:line="240" w:lineRule="auto"/>
        <w:rPr>
          <w:rFonts w:eastAsia="Times New Roman" w:cs="Arial"/>
          <w:bCs/>
          <w:i/>
          <w:iCs/>
          <w:color w:val="000000"/>
          <w:szCs w:val="20"/>
          <w:lang w:eastAsia="bg-BG"/>
        </w:rPr>
      </w:pPr>
    </w:p>
    <w:p w14:paraId="5FB20F1B" w14:textId="1368A790"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Нестероидни противовъзпалителни средства (НСПВС):</w:t>
      </w:r>
    </w:p>
    <w:p w14:paraId="4CFA7ABD"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Лечението с НСПВС може да доведе до остра бъбречна недостатъчност, чрез пряко действие върху гломерулната филтрация, особено при рискови пациенти (в напреднала </w:t>
      </w:r>
      <w:r w:rsidRPr="00884AFA">
        <w:rPr>
          <w:rFonts w:eastAsia="Times New Roman" w:cs="Arial"/>
          <w:bCs/>
          <w:color w:val="000000"/>
          <w:szCs w:val="20"/>
          <w:lang w:eastAsia="bg-BG"/>
        </w:rPr>
        <w:lastRenderedPageBreak/>
        <w:t>възраст и/или дехидратирани пациенти). Пациенти, приемащи еплеренон и НСПВС, трябва да бъдат подходящо хидратирани и бъбречната им функция - проконтролирана преди започване на лечението.</w:t>
      </w:r>
    </w:p>
    <w:p w14:paraId="3E62BF1D" w14:textId="77777777" w:rsidR="00884AFA" w:rsidRPr="00884AFA" w:rsidRDefault="00884AFA" w:rsidP="00884AFA">
      <w:pPr>
        <w:spacing w:line="240" w:lineRule="auto"/>
        <w:rPr>
          <w:rFonts w:eastAsia="Times New Roman" w:cs="Arial"/>
          <w:bCs/>
          <w:i/>
          <w:iCs/>
          <w:color w:val="000000"/>
          <w:szCs w:val="20"/>
          <w:lang w:eastAsia="bg-BG"/>
        </w:rPr>
      </w:pPr>
    </w:p>
    <w:p w14:paraId="40438F22" w14:textId="29F1DAC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Триметоприм:</w:t>
      </w:r>
    </w:p>
    <w:p w14:paraId="7AD6E975"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Едновременното приложение на триметоприм с еплеренон повишава риска от хиперкалиемия. Трябва да се мониторират серумният калий и бъбречната функция, особено при пациенти с бъбречно увреждане и напреднала възраст.</w:t>
      </w:r>
    </w:p>
    <w:p w14:paraId="5EF2D0D5" w14:textId="77777777" w:rsidR="00884AFA" w:rsidRPr="00884AFA" w:rsidRDefault="00884AFA" w:rsidP="00884AFA">
      <w:pPr>
        <w:spacing w:line="240" w:lineRule="auto"/>
        <w:rPr>
          <w:rFonts w:eastAsia="Times New Roman" w:cs="Arial"/>
          <w:bCs/>
          <w:i/>
          <w:iCs/>
          <w:color w:val="000000"/>
          <w:szCs w:val="20"/>
          <w:lang w:eastAsia="bg-BG"/>
        </w:rPr>
      </w:pPr>
    </w:p>
    <w:p w14:paraId="21C7331A" w14:textId="6D4A8590"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Алфа-1-блокери (напр. празозин, алфузозин):</w:t>
      </w:r>
    </w:p>
    <w:p w14:paraId="72004130"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При комбиниране на алфа-1-блокери с еплеренон има възможност за засилен хипотензивен ефект и/или постурална хипотония. Препоръчва се клинично мониториране за постурална хипотония при едновременно приложение с алфа-1-блокери.</w:t>
      </w:r>
    </w:p>
    <w:p w14:paraId="2391EB90" w14:textId="77777777" w:rsidR="00884AFA" w:rsidRPr="00884AFA" w:rsidRDefault="00884AFA" w:rsidP="00884AFA">
      <w:pPr>
        <w:spacing w:line="240" w:lineRule="auto"/>
        <w:rPr>
          <w:rFonts w:eastAsia="Times New Roman" w:cs="Arial"/>
          <w:bCs/>
          <w:i/>
          <w:iCs/>
          <w:color w:val="000000"/>
          <w:szCs w:val="20"/>
          <w:lang w:eastAsia="bg-BG"/>
        </w:rPr>
      </w:pPr>
    </w:p>
    <w:p w14:paraId="0ED1B8FD" w14:textId="24426E65"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Трициклични антидепресанти, невролептици, амифостин, баклофен:</w:t>
      </w:r>
    </w:p>
    <w:p w14:paraId="1EB280C7"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Едновременното приложение на тези лекарства с еплеренон може потенциално да повиши антихипертензивните ефекти и риска от постурална хипотония.</w:t>
      </w:r>
    </w:p>
    <w:p w14:paraId="0F5DE9D4" w14:textId="77777777" w:rsidR="00884AFA" w:rsidRPr="00884AFA" w:rsidRDefault="00884AFA" w:rsidP="00884AFA">
      <w:pPr>
        <w:spacing w:line="240" w:lineRule="auto"/>
        <w:rPr>
          <w:rFonts w:eastAsia="Times New Roman" w:cs="Arial"/>
          <w:bCs/>
          <w:i/>
          <w:iCs/>
          <w:color w:val="000000"/>
          <w:szCs w:val="20"/>
          <w:lang w:eastAsia="bg-BG"/>
        </w:rPr>
      </w:pPr>
    </w:p>
    <w:p w14:paraId="410314FB" w14:textId="3006C91B"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Глюкокортикоиди, тетракозактид:</w:t>
      </w:r>
    </w:p>
    <w:p w14:paraId="2E48ADFD"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Едновременното приложение на тези лекарства с еплеренон може потенциално да понижи антихипертензивните ефекти (задръжка на натрий и течности).</w:t>
      </w:r>
    </w:p>
    <w:p w14:paraId="64406929" w14:textId="77777777" w:rsidR="00884AFA" w:rsidRPr="00884AFA" w:rsidRDefault="00884AFA" w:rsidP="00884AFA">
      <w:pPr>
        <w:spacing w:line="240" w:lineRule="auto"/>
        <w:rPr>
          <w:rFonts w:eastAsia="Times New Roman" w:cs="Arial"/>
          <w:bCs/>
          <w:color w:val="000000"/>
          <w:szCs w:val="20"/>
          <w:lang w:eastAsia="bg-BG"/>
        </w:rPr>
      </w:pPr>
    </w:p>
    <w:p w14:paraId="35477D5B" w14:textId="0CDF0E9E"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Фармакокинетични взаимодействия</w:t>
      </w:r>
    </w:p>
    <w:p w14:paraId="12A0D99D" w14:textId="7777777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val="en-US"/>
        </w:rPr>
        <w:t>In</w:t>
      </w:r>
      <w:r w:rsidRPr="00884AFA">
        <w:rPr>
          <w:rFonts w:eastAsia="Times New Roman" w:cs="Arial"/>
          <w:bCs/>
          <w:i/>
          <w:iCs/>
          <w:color w:val="000000"/>
          <w:szCs w:val="20"/>
        </w:rPr>
        <w:t xml:space="preserve"> </w:t>
      </w:r>
      <w:r w:rsidRPr="00884AFA">
        <w:rPr>
          <w:rFonts w:eastAsia="Times New Roman" w:cs="Arial"/>
          <w:bCs/>
          <w:i/>
          <w:iCs/>
          <w:color w:val="000000"/>
          <w:szCs w:val="20"/>
          <w:lang w:val="en-US"/>
        </w:rPr>
        <w:t>vitro</w:t>
      </w:r>
      <w:r w:rsidRPr="00884AFA">
        <w:rPr>
          <w:rFonts w:eastAsia="Times New Roman" w:cs="Arial"/>
          <w:bCs/>
          <w:color w:val="000000"/>
          <w:szCs w:val="20"/>
        </w:rPr>
        <w:t xml:space="preserve"> </w:t>
      </w:r>
      <w:r w:rsidRPr="00884AFA">
        <w:rPr>
          <w:rFonts w:eastAsia="Times New Roman" w:cs="Arial"/>
          <w:bCs/>
          <w:color w:val="000000"/>
          <w:szCs w:val="20"/>
          <w:lang w:eastAsia="bg-BG"/>
        </w:rPr>
        <w:t xml:space="preserve">проучвания показват, че еплеренон не е инхибитор на изоензимите </w:t>
      </w:r>
      <w:r w:rsidRPr="00884AFA">
        <w:rPr>
          <w:rFonts w:eastAsia="Times New Roman" w:cs="Arial"/>
          <w:bCs/>
          <w:color w:val="000000"/>
          <w:szCs w:val="20"/>
          <w:lang w:val="en-US"/>
        </w:rPr>
        <w:t>CYP</w:t>
      </w:r>
      <w:r w:rsidRPr="00884AFA">
        <w:rPr>
          <w:rFonts w:eastAsia="Times New Roman" w:cs="Arial"/>
          <w:bCs/>
          <w:color w:val="000000"/>
          <w:szCs w:val="20"/>
        </w:rPr>
        <w:t>1</w:t>
      </w:r>
      <w:r w:rsidRPr="00884AFA">
        <w:rPr>
          <w:rFonts w:eastAsia="Times New Roman" w:cs="Arial"/>
          <w:bCs/>
          <w:color w:val="000000"/>
          <w:szCs w:val="20"/>
          <w:lang w:val="en-US"/>
        </w:rPr>
        <w:t>A</w:t>
      </w:r>
      <w:r w:rsidRPr="00884AFA">
        <w:rPr>
          <w:rFonts w:eastAsia="Times New Roman" w:cs="Arial"/>
          <w:bCs/>
          <w:color w:val="000000"/>
          <w:szCs w:val="20"/>
        </w:rPr>
        <w:t xml:space="preserve">2, </w:t>
      </w:r>
      <w:r w:rsidRPr="00884AFA">
        <w:rPr>
          <w:rFonts w:eastAsia="Times New Roman" w:cs="Arial"/>
          <w:bCs/>
          <w:color w:val="000000"/>
          <w:szCs w:val="20"/>
          <w:lang w:val="en-US"/>
        </w:rPr>
        <w:t>CYP</w:t>
      </w:r>
      <w:r w:rsidRPr="00884AFA">
        <w:rPr>
          <w:rFonts w:eastAsia="Times New Roman" w:cs="Arial"/>
          <w:bCs/>
          <w:color w:val="000000"/>
          <w:szCs w:val="20"/>
        </w:rPr>
        <w:t>2</w:t>
      </w:r>
      <w:r w:rsidRPr="00884AFA">
        <w:rPr>
          <w:rFonts w:eastAsia="Times New Roman" w:cs="Arial"/>
          <w:bCs/>
          <w:color w:val="000000"/>
          <w:szCs w:val="20"/>
          <w:lang w:val="en-US"/>
        </w:rPr>
        <w:t>C</w:t>
      </w:r>
      <w:r w:rsidRPr="00884AFA">
        <w:rPr>
          <w:rFonts w:eastAsia="Times New Roman" w:cs="Arial"/>
          <w:bCs/>
          <w:color w:val="000000"/>
          <w:szCs w:val="20"/>
        </w:rPr>
        <w:t xml:space="preserve">19, </w:t>
      </w:r>
      <w:r w:rsidRPr="00884AFA">
        <w:rPr>
          <w:rFonts w:eastAsia="Times New Roman" w:cs="Arial"/>
          <w:bCs/>
          <w:color w:val="000000"/>
          <w:szCs w:val="20"/>
          <w:lang w:val="en-US"/>
        </w:rPr>
        <w:t>CYP</w:t>
      </w:r>
      <w:r w:rsidRPr="00884AFA">
        <w:rPr>
          <w:rFonts w:eastAsia="Times New Roman" w:cs="Arial"/>
          <w:bCs/>
          <w:color w:val="000000"/>
          <w:szCs w:val="20"/>
        </w:rPr>
        <w:t>2</w:t>
      </w:r>
      <w:r w:rsidRPr="00884AFA">
        <w:rPr>
          <w:rFonts w:eastAsia="Times New Roman" w:cs="Arial"/>
          <w:bCs/>
          <w:color w:val="000000"/>
          <w:szCs w:val="20"/>
          <w:lang w:val="en-US"/>
        </w:rPr>
        <w:t>C</w:t>
      </w:r>
      <w:r w:rsidRPr="00884AFA">
        <w:rPr>
          <w:rFonts w:eastAsia="Times New Roman" w:cs="Arial"/>
          <w:bCs/>
          <w:color w:val="000000"/>
          <w:szCs w:val="20"/>
        </w:rPr>
        <w:t xml:space="preserve">9, </w:t>
      </w:r>
      <w:r w:rsidRPr="00884AFA">
        <w:rPr>
          <w:rFonts w:eastAsia="Times New Roman" w:cs="Arial"/>
          <w:bCs/>
          <w:color w:val="000000"/>
          <w:szCs w:val="20"/>
          <w:lang w:val="en-US"/>
        </w:rPr>
        <w:t>CYP</w:t>
      </w:r>
      <w:r w:rsidRPr="00884AFA">
        <w:rPr>
          <w:rFonts w:eastAsia="Times New Roman" w:cs="Arial"/>
          <w:bCs/>
          <w:color w:val="000000"/>
          <w:szCs w:val="20"/>
        </w:rPr>
        <w:t>2</w:t>
      </w:r>
      <w:r w:rsidRPr="00884AFA">
        <w:rPr>
          <w:rFonts w:eastAsia="Times New Roman" w:cs="Arial"/>
          <w:bCs/>
          <w:color w:val="000000"/>
          <w:szCs w:val="20"/>
          <w:lang w:val="en-US"/>
        </w:rPr>
        <w:t>D</w:t>
      </w:r>
      <w:r w:rsidRPr="00884AFA">
        <w:rPr>
          <w:rFonts w:eastAsia="Times New Roman" w:cs="Arial"/>
          <w:bCs/>
          <w:color w:val="000000"/>
          <w:szCs w:val="20"/>
        </w:rPr>
        <w:t xml:space="preserve">6 </w:t>
      </w:r>
      <w:r w:rsidRPr="00884AFA">
        <w:rPr>
          <w:rFonts w:eastAsia="Times New Roman" w:cs="Arial"/>
          <w:bCs/>
          <w:color w:val="000000"/>
          <w:szCs w:val="20"/>
          <w:lang w:eastAsia="bg-BG"/>
        </w:rPr>
        <w:t xml:space="preserve">или </w:t>
      </w:r>
      <w:r w:rsidRPr="00884AFA">
        <w:rPr>
          <w:rFonts w:eastAsia="Times New Roman" w:cs="Arial"/>
          <w:bCs/>
          <w:color w:val="000000"/>
          <w:szCs w:val="20"/>
          <w:lang w:val="en-US"/>
        </w:rPr>
        <w:t>CYP</w:t>
      </w:r>
      <w:r w:rsidRPr="00884AFA">
        <w:rPr>
          <w:rFonts w:eastAsia="Times New Roman" w:cs="Arial"/>
          <w:bCs/>
          <w:color w:val="000000"/>
          <w:szCs w:val="20"/>
        </w:rPr>
        <w:t>3</w:t>
      </w:r>
      <w:r w:rsidRPr="00884AFA">
        <w:rPr>
          <w:rFonts w:eastAsia="Times New Roman" w:cs="Arial"/>
          <w:bCs/>
          <w:color w:val="000000"/>
          <w:szCs w:val="20"/>
          <w:lang w:val="en-US"/>
        </w:rPr>
        <w:t>A</w:t>
      </w:r>
      <w:r w:rsidRPr="00884AFA">
        <w:rPr>
          <w:rFonts w:eastAsia="Times New Roman" w:cs="Arial"/>
          <w:bCs/>
          <w:color w:val="000000"/>
          <w:szCs w:val="20"/>
        </w:rPr>
        <w:t xml:space="preserve">4. </w:t>
      </w:r>
      <w:r w:rsidRPr="00884AFA">
        <w:rPr>
          <w:rFonts w:eastAsia="Times New Roman" w:cs="Arial"/>
          <w:bCs/>
          <w:color w:val="000000"/>
          <w:szCs w:val="20"/>
          <w:lang w:eastAsia="bg-BG"/>
        </w:rPr>
        <w:t>Еплеренон не е субстрат или инхибитор на Р-гликопротеин.</w:t>
      </w:r>
    </w:p>
    <w:p w14:paraId="4FA1CA69" w14:textId="77777777" w:rsidR="00884AFA" w:rsidRPr="00884AFA" w:rsidRDefault="00884AFA" w:rsidP="00884AFA">
      <w:pPr>
        <w:spacing w:line="240" w:lineRule="auto"/>
        <w:rPr>
          <w:rFonts w:eastAsia="Times New Roman" w:cs="Arial"/>
          <w:bCs/>
          <w:i/>
          <w:iCs/>
          <w:color w:val="000000"/>
          <w:szCs w:val="20"/>
          <w:lang w:eastAsia="bg-BG"/>
        </w:rPr>
      </w:pPr>
    </w:p>
    <w:p w14:paraId="3FC90F70" w14:textId="20E0156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Дигоксин:</w:t>
      </w:r>
    </w:p>
    <w:p w14:paraId="1F620665"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Системната експозиция </w:t>
      </w:r>
      <w:r w:rsidRPr="00884AFA">
        <w:rPr>
          <w:rFonts w:eastAsia="Times New Roman" w:cs="Arial"/>
          <w:bCs/>
          <w:color w:val="000000"/>
          <w:szCs w:val="20"/>
          <w:lang w:val="ru-RU"/>
        </w:rPr>
        <w:t>(</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към дигоксин нараства с 16% (90%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4% - 30%) при едновременно приложение с еплеренон. Необходимо е повишено внимание при дозиране на дигоксин близо до горната граница на терапевтичния диапазон.</w:t>
      </w:r>
    </w:p>
    <w:p w14:paraId="60FF90C1" w14:textId="77777777" w:rsidR="00884AFA" w:rsidRPr="00884AFA" w:rsidRDefault="00884AFA" w:rsidP="00884AFA">
      <w:pPr>
        <w:spacing w:line="240" w:lineRule="auto"/>
        <w:rPr>
          <w:rFonts w:eastAsia="Times New Roman" w:cs="Arial"/>
          <w:bCs/>
          <w:i/>
          <w:iCs/>
          <w:color w:val="000000"/>
          <w:szCs w:val="20"/>
          <w:lang w:eastAsia="bg-BG"/>
        </w:rPr>
      </w:pPr>
    </w:p>
    <w:p w14:paraId="0E9C07D8" w14:textId="160F38B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Варфарин:</w:t>
      </w:r>
    </w:p>
    <w:p w14:paraId="12E590F6"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Не са наблюдавани клинично-значими фармакокинетични взаимодействия с варфарин. Необходимо е повишено внимание при дозиране на варфарин близо до горната граница на терапевтичния диапазон.</w:t>
      </w:r>
    </w:p>
    <w:p w14:paraId="77CF870B" w14:textId="77777777" w:rsidR="00884AFA" w:rsidRPr="00884AFA" w:rsidRDefault="00884AFA" w:rsidP="00884AFA">
      <w:pPr>
        <w:spacing w:line="240" w:lineRule="auto"/>
        <w:rPr>
          <w:rFonts w:eastAsia="Times New Roman" w:cs="Arial"/>
          <w:bCs/>
          <w:i/>
          <w:iCs/>
          <w:color w:val="000000"/>
          <w:szCs w:val="20"/>
          <w:lang w:eastAsia="bg-BG"/>
        </w:rPr>
      </w:pPr>
    </w:p>
    <w:p w14:paraId="0BF6D648" w14:textId="476138DE"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 xml:space="preserve">Субстрати на </w:t>
      </w:r>
      <w:r w:rsidRPr="00884AFA">
        <w:rPr>
          <w:rFonts w:eastAsia="Times New Roman" w:cs="Arial"/>
          <w:bCs/>
          <w:i/>
          <w:iCs/>
          <w:color w:val="000000"/>
          <w:szCs w:val="20"/>
          <w:lang w:val="en-US"/>
        </w:rPr>
        <w:t>CYP</w:t>
      </w:r>
      <w:r w:rsidRPr="00884AFA">
        <w:rPr>
          <w:rFonts w:eastAsia="Times New Roman" w:cs="Arial"/>
          <w:bCs/>
          <w:i/>
          <w:iCs/>
          <w:color w:val="000000"/>
          <w:szCs w:val="20"/>
          <w:lang w:val="ru-RU"/>
        </w:rPr>
        <w:t>3</w:t>
      </w:r>
      <w:r w:rsidRPr="00884AFA">
        <w:rPr>
          <w:rFonts w:eastAsia="Times New Roman" w:cs="Arial"/>
          <w:bCs/>
          <w:i/>
          <w:iCs/>
          <w:color w:val="000000"/>
          <w:szCs w:val="20"/>
          <w:lang w:val="en-US"/>
        </w:rPr>
        <w:t>A</w:t>
      </w:r>
      <w:r w:rsidRPr="00884AFA">
        <w:rPr>
          <w:rFonts w:eastAsia="Times New Roman" w:cs="Arial"/>
          <w:bCs/>
          <w:i/>
          <w:iCs/>
          <w:color w:val="000000"/>
          <w:szCs w:val="20"/>
          <w:lang w:val="ru-RU"/>
        </w:rPr>
        <w:t>4:</w:t>
      </w:r>
    </w:p>
    <w:p w14:paraId="17874261"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Резултатите от фармакокинетични проучвания с тест-субстрати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напр. миадозлам и цизаприд, не показват значими фармакокинетични взаимодействия при едновременно приложение на тези лекарства с еплеренон.</w:t>
      </w:r>
      <w:bookmarkStart w:id="1" w:name="bookmark0"/>
      <w:bookmarkEnd w:id="1"/>
    </w:p>
    <w:p w14:paraId="3B0A3BE2" w14:textId="77777777" w:rsidR="00884AFA" w:rsidRPr="00884AFA" w:rsidRDefault="00884AFA" w:rsidP="00884AFA">
      <w:pPr>
        <w:spacing w:line="240" w:lineRule="auto"/>
        <w:rPr>
          <w:rFonts w:eastAsia="Times New Roman" w:cs="Arial"/>
          <w:sz w:val="28"/>
          <w:szCs w:val="24"/>
        </w:rPr>
      </w:pPr>
    </w:p>
    <w:p w14:paraId="2521C3B9" w14:textId="6F7CAE80" w:rsidR="00884AFA" w:rsidRPr="00884AFA" w:rsidRDefault="00884AFA" w:rsidP="00884AFA">
      <w:pPr>
        <w:rPr>
          <w:rFonts w:eastAsia="Times New Roman" w:cs="Arial"/>
          <w:bCs/>
          <w:i/>
          <w:iCs/>
          <w:color w:val="000000"/>
          <w:szCs w:val="20"/>
          <w:lang w:val="en-US"/>
        </w:rPr>
      </w:pPr>
      <w:r w:rsidRPr="00884AFA">
        <w:rPr>
          <w:rFonts w:eastAsia="Times New Roman" w:cs="Arial"/>
          <w:bCs/>
          <w:i/>
          <w:iCs/>
          <w:color w:val="000000"/>
          <w:szCs w:val="20"/>
          <w:lang w:eastAsia="bg-BG"/>
        </w:rPr>
        <w:t xml:space="preserve">Инхибитори на </w:t>
      </w:r>
      <w:r w:rsidRPr="00884AFA">
        <w:rPr>
          <w:rFonts w:eastAsia="Times New Roman" w:cs="Arial"/>
          <w:bCs/>
          <w:i/>
          <w:iCs/>
          <w:color w:val="000000"/>
          <w:szCs w:val="20"/>
          <w:lang w:val="en-US"/>
        </w:rPr>
        <w:t>CYP3A4:</w:t>
      </w:r>
    </w:p>
    <w:p w14:paraId="4E655D3C" w14:textId="77777777" w:rsidR="00884AFA" w:rsidRPr="00884AFA" w:rsidRDefault="00884AFA" w:rsidP="00884AFA">
      <w:pPr>
        <w:pStyle w:val="ListParagraph"/>
        <w:numPr>
          <w:ilvl w:val="0"/>
          <w:numId w:val="39"/>
        </w:numPr>
        <w:spacing w:line="240" w:lineRule="auto"/>
        <w:rPr>
          <w:rFonts w:eastAsia="Times New Roman" w:cs="Arial"/>
          <w:sz w:val="28"/>
          <w:szCs w:val="24"/>
        </w:rPr>
      </w:pPr>
      <w:r w:rsidRPr="00884AFA">
        <w:rPr>
          <w:rFonts w:eastAsia="Times New Roman" w:cs="Arial"/>
          <w:bCs/>
          <w:color w:val="000000"/>
          <w:szCs w:val="20"/>
          <w:lang w:eastAsia="bg-BG"/>
        </w:rPr>
        <w:t xml:space="preserve">Мощни инхибитори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 xml:space="preserve">при едновременно приложение на еплеренон и лекарства, инхибиращи ензима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 xml:space="preserve">могат да настъпят значими фармакокинетични взаимодействия. Мощен инхибитор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eastAsia="bg-BG"/>
        </w:rPr>
        <w:t xml:space="preserve">А4 (кетоконазол 200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два пъти дневно) е довел до покачване с 441% на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на еплеренон (вж. точка 4.3). Едновременната употреба на еплеренон с мощни инхибитори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като кетоконазол, итраконазол, ритонавир, нелфинавир, кларитромицин, телитромицин и нефазадон, е противопоказано (вж. точка 4.3).</w:t>
      </w:r>
    </w:p>
    <w:p w14:paraId="5C500902" w14:textId="6DC8E0CF" w:rsidR="00884AFA" w:rsidRPr="00884AFA" w:rsidRDefault="00884AFA" w:rsidP="00884AFA">
      <w:pPr>
        <w:pStyle w:val="ListParagraph"/>
        <w:numPr>
          <w:ilvl w:val="0"/>
          <w:numId w:val="39"/>
        </w:numPr>
        <w:spacing w:line="240" w:lineRule="auto"/>
        <w:rPr>
          <w:rFonts w:eastAsia="Times New Roman" w:cs="Arial"/>
          <w:sz w:val="28"/>
          <w:szCs w:val="24"/>
        </w:rPr>
      </w:pPr>
      <w:r w:rsidRPr="00884AFA">
        <w:rPr>
          <w:rFonts w:eastAsia="Times New Roman" w:cs="Arial"/>
          <w:bCs/>
          <w:color w:val="000000"/>
          <w:szCs w:val="20"/>
          <w:lang w:eastAsia="bg-BG"/>
        </w:rPr>
        <w:lastRenderedPageBreak/>
        <w:t xml:space="preserve">Леки до умерени инхибитори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 xml:space="preserve">едновременното приложение с еритромицин, саквинавир, амиодарон, дилтиацем, верапамил и флуконазол е довело до значими фармакокинетични взаимодействия с нарастване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от порядъка на 98% до 187%. Следователно дозата на еплеренон не трябва да превишава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дневно при едновременно приложение на леки до умерени инхибитори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и еплеренон (вж. точка 4.2).</w:t>
      </w:r>
    </w:p>
    <w:p w14:paraId="705290D1" w14:textId="77777777" w:rsidR="00884AFA" w:rsidRPr="00884AFA" w:rsidRDefault="00884AFA" w:rsidP="00884AFA">
      <w:pPr>
        <w:spacing w:line="240" w:lineRule="auto"/>
        <w:rPr>
          <w:rFonts w:eastAsia="Times New Roman" w:cs="Arial"/>
          <w:bCs/>
          <w:i/>
          <w:iCs/>
          <w:color w:val="000000"/>
          <w:szCs w:val="20"/>
          <w:lang w:eastAsia="bg-BG"/>
        </w:rPr>
      </w:pPr>
    </w:p>
    <w:p w14:paraId="0576898A" w14:textId="6939FAAC"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 xml:space="preserve">Индуктори на </w:t>
      </w:r>
      <w:r w:rsidRPr="00884AFA">
        <w:rPr>
          <w:rFonts w:eastAsia="Times New Roman" w:cs="Arial"/>
          <w:bCs/>
          <w:i/>
          <w:iCs/>
          <w:color w:val="000000"/>
          <w:szCs w:val="20"/>
          <w:lang w:val="en-US"/>
        </w:rPr>
        <w:t>CYP</w:t>
      </w:r>
      <w:r w:rsidRPr="00884AFA">
        <w:rPr>
          <w:rFonts w:eastAsia="Times New Roman" w:cs="Arial"/>
          <w:bCs/>
          <w:i/>
          <w:iCs/>
          <w:color w:val="000000"/>
          <w:szCs w:val="20"/>
          <w:lang w:val="ru-RU"/>
        </w:rPr>
        <w:t>3</w:t>
      </w:r>
      <w:r w:rsidRPr="00884AFA">
        <w:rPr>
          <w:rFonts w:eastAsia="Times New Roman" w:cs="Arial"/>
          <w:bCs/>
          <w:i/>
          <w:iCs/>
          <w:color w:val="000000"/>
          <w:szCs w:val="20"/>
          <w:lang w:val="en-US"/>
        </w:rPr>
        <w:t>A</w:t>
      </w:r>
      <w:r w:rsidRPr="00884AFA">
        <w:rPr>
          <w:rFonts w:eastAsia="Times New Roman" w:cs="Arial"/>
          <w:bCs/>
          <w:i/>
          <w:iCs/>
          <w:color w:val="000000"/>
          <w:szCs w:val="20"/>
          <w:lang w:val="ru-RU"/>
        </w:rPr>
        <w:t>4:</w:t>
      </w:r>
    </w:p>
    <w:p w14:paraId="2F87379E"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Едновременното приложение на жълт кантарион (мощен индуктор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 xml:space="preserve">с еплеренон е предизвикало понижение на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на еплеренон с 30%. По-изразено понижение на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на еплеренон може да настъпи при по-мощни индуктори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 xml:space="preserve">като рифампицин. Поради риска от понижена ефикасност на еплеренон, едновременното приложение на силни индуктори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(рифампицин, карбамазепин, фенитоин, феиобарбитал, жълт кантарион) с еплеренон не се препоръчва (вж. точка 4.4).</w:t>
      </w:r>
    </w:p>
    <w:p w14:paraId="7631DF67" w14:textId="77777777" w:rsidR="00884AFA" w:rsidRPr="00884AFA" w:rsidRDefault="00884AFA" w:rsidP="00884AFA">
      <w:pPr>
        <w:spacing w:line="240" w:lineRule="auto"/>
        <w:rPr>
          <w:rFonts w:eastAsia="Times New Roman" w:cs="Arial"/>
          <w:bCs/>
          <w:i/>
          <w:iCs/>
          <w:color w:val="000000"/>
          <w:szCs w:val="20"/>
          <w:lang w:eastAsia="bg-BG"/>
        </w:rPr>
      </w:pPr>
    </w:p>
    <w:p w14:paraId="716D82FC" w14:textId="21B6A05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Антиациди:</w:t>
      </w:r>
    </w:p>
    <w:p w14:paraId="1146EE8B"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Въз основа на фармакокинетично клинично проучване не се очаква значимо взаимодействие при едновременно приложение на антиациди с еплеренон.</w:t>
      </w:r>
    </w:p>
    <w:p w14:paraId="1D3F47EF" w14:textId="77777777" w:rsidR="00884AFA" w:rsidRPr="00884AFA" w:rsidRDefault="00884AFA" w:rsidP="00884AFA"/>
    <w:p w14:paraId="5D9F40EA" w14:textId="346E8B3E" w:rsidR="007122AD" w:rsidRDefault="002C50EE" w:rsidP="00936AD0">
      <w:pPr>
        <w:pStyle w:val="Heading2"/>
      </w:pPr>
      <w:r>
        <w:t>4.6. Фертилитет, бременност и кърмене</w:t>
      </w:r>
    </w:p>
    <w:p w14:paraId="0FE09E0C" w14:textId="371BE1A4" w:rsidR="00884AFA" w:rsidRDefault="00884AFA" w:rsidP="00884AFA"/>
    <w:p w14:paraId="312ADC18" w14:textId="77777777" w:rsidR="00884AFA" w:rsidRPr="00884AFA" w:rsidRDefault="00884AFA" w:rsidP="00884AFA">
      <w:pPr>
        <w:pStyle w:val="Heading3"/>
        <w:rPr>
          <w:rFonts w:eastAsia="Times New Roman"/>
          <w:u w:val="single"/>
        </w:rPr>
      </w:pPr>
      <w:r w:rsidRPr="00884AFA">
        <w:rPr>
          <w:rFonts w:eastAsia="Times New Roman"/>
          <w:u w:val="single"/>
          <w:lang w:eastAsia="bg-BG"/>
        </w:rPr>
        <w:t>Бременност</w:t>
      </w:r>
    </w:p>
    <w:p w14:paraId="544A52F1" w14:textId="77777777" w:rsidR="00884AFA" w:rsidRPr="00884AFA" w:rsidRDefault="00884AFA" w:rsidP="00884AFA">
      <w:pPr>
        <w:rPr>
          <w:sz w:val="24"/>
          <w:szCs w:val="24"/>
        </w:rPr>
      </w:pPr>
      <w:r w:rsidRPr="00884AFA">
        <w:rPr>
          <w:lang w:eastAsia="bg-BG"/>
        </w:rPr>
        <w:t>Липсват достатъчно данни за употребата на еплеренон при бременни жени. Проучвания при животни не показват преки или непреки неблагоприятни ефекти по отношение на бременността, ембриофеталното развитие, раждането и постнаталното развитие (вж. точка 5.3). Необходимо е внимание при предписването на еплеренон на бременни жени.</w:t>
      </w:r>
    </w:p>
    <w:p w14:paraId="27B19911" w14:textId="77777777" w:rsidR="00884AFA" w:rsidRDefault="00884AFA" w:rsidP="00884AFA">
      <w:pPr>
        <w:rPr>
          <w:lang w:eastAsia="bg-BG"/>
        </w:rPr>
      </w:pPr>
    </w:p>
    <w:p w14:paraId="425CD9AB" w14:textId="7686AD41" w:rsidR="00884AFA" w:rsidRPr="00884AFA" w:rsidRDefault="00884AFA" w:rsidP="00884AFA">
      <w:pPr>
        <w:pStyle w:val="Heading3"/>
        <w:rPr>
          <w:rFonts w:eastAsia="Times New Roman"/>
          <w:u w:val="single"/>
        </w:rPr>
      </w:pPr>
      <w:r w:rsidRPr="00884AFA">
        <w:rPr>
          <w:rFonts w:eastAsia="Times New Roman"/>
          <w:u w:val="single"/>
          <w:lang w:eastAsia="bg-BG"/>
        </w:rPr>
        <w:t>Кърмене</w:t>
      </w:r>
    </w:p>
    <w:p w14:paraId="7F174118" w14:textId="77777777" w:rsidR="00884AFA" w:rsidRPr="00884AFA" w:rsidRDefault="00884AFA" w:rsidP="00884AFA">
      <w:pPr>
        <w:rPr>
          <w:sz w:val="24"/>
          <w:szCs w:val="24"/>
        </w:rPr>
      </w:pPr>
      <w:r w:rsidRPr="00884AFA">
        <w:rPr>
          <w:lang w:eastAsia="bg-BG"/>
        </w:rPr>
        <w:t>Не е известно дали еплеренон се екскретира в кърмата при човека след перорално приложение. Предклинични данни обаче показват, че еплеренон и/или метаболити се установяват в кърмата при плъхове, и че новородени плъхове, изложени на такъв път на прием, се развиват нормално. Поради неизвестния потенциал за нежелани реакции върху кърмачето, трябва да се вземе решение дали да бъде спряно кърменето или да се спре лекарството, като се вземе предвид значението на лекарството за майката.</w:t>
      </w:r>
    </w:p>
    <w:p w14:paraId="50EB8629" w14:textId="77777777" w:rsidR="00884AFA" w:rsidRDefault="00884AFA" w:rsidP="00884AFA">
      <w:pPr>
        <w:rPr>
          <w:lang w:eastAsia="bg-BG"/>
        </w:rPr>
      </w:pPr>
    </w:p>
    <w:p w14:paraId="3A293CF7" w14:textId="41F0E0C4" w:rsidR="00884AFA" w:rsidRPr="00884AFA" w:rsidRDefault="00884AFA" w:rsidP="00884AFA">
      <w:pPr>
        <w:pStyle w:val="Heading3"/>
        <w:rPr>
          <w:rFonts w:eastAsia="Times New Roman"/>
          <w:u w:val="single"/>
        </w:rPr>
      </w:pPr>
      <w:r w:rsidRPr="00884AFA">
        <w:rPr>
          <w:rFonts w:eastAsia="Times New Roman"/>
          <w:u w:val="single"/>
          <w:lang w:eastAsia="bg-BG"/>
        </w:rPr>
        <w:t>Фертилитет</w:t>
      </w:r>
    </w:p>
    <w:p w14:paraId="5B14A453" w14:textId="77777777" w:rsidR="00884AFA" w:rsidRPr="00884AFA" w:rsidRDefault="00884AFA" w:rsidP="00884AFA">
      <w:pPr>
        <w:rPr>
          <w:sz w:val="24"/>
          <w:szCs w:val="24"/>
        </w:rPr>
      </w:pPr>
      <w:r w:rsidRPr="00884AFA">
        <w:rPr>
          <w:lang w:eastAsia="bg-BG"/>
        </w:rPr>
        <w:t>Няма данни относно фертилитета при хора.</w:t>
      </w:r>
    </w:p>
    <w:p w14:paraId="43AC1BA8" w14:textId="77777777" w:rsidR="00884AFA" w:rsidRPr="00884AFA" w:rsidRDefault="00884AFA" w:rsidP="00884AFA"/>
    <w:p w14:paraId="5DD7A76D" w14:textId="6349DDCA" w:rsidR="007122AD" w:rsidRDefault="002C50EE" w:rsidP="00936AD0">
      <w:pPr>
        <w:pStyle w:val="Heading2"/>
      </w:pPr>
      <w:r>
        <w:t>4.7. Ефекти върху способността за шофиране и работа с машини</w:t>
      </w:r>
    </w:p>
    <w:p w14:paraId="23CE8C90" w14:textId="45F345A8" w:rsidR="00884AFA" w:rsidRDefault="00884AFA" w:rsidP="00884AFA"/>
    <w:p w14:paraId="6FE31653" w14:textId="77777777" w:rsidR="00884AFA" w:rsidRPr="00884AFA" w:rsidRDefault="00884AFA" w:rsidP="00884AFA">
      <w:pPr>
        <w:rPr>
          <w:sz w:val="24"/>
          <w:szCs w:val="24"/>
        </w:rPr>
      </w:pPr>
      <w:r w:rsidRPr="00884AFA">
        <w:rPr>
          <w:lang w:eastAsia="bg-BG"/>
        </w:rPr>
        <w:t>Не са провеждани проучвания за влиянието на еплеренон върху способността за шофиране или работа с машини. Еплеренон не предизвиква сънливост или нарушение на когнитивните функции, но при шофиране или работа с машини трябва да се вземе предвид, че по време на лечението е възможна поява на замайване.</w:t>
      </w:r>
    </w:p>
    <w:p w14:paraId="20C4139A" w14:textId="77777777" w:rsidR="00884AFA" w:rsidRPr="00884AFA" w:rsidRDefault="00884AFA" w:rsidP="00884AFA"/>
    <w:p w14:paraId="44CE30A3" w14:textId="75DC637D" w:rsidR="007122AD" w:rsidRDefault="002C50EE" w:rsidP="00936AD0">
      <w:pPr>
        <w:pStyle w:val="Heading2"/>
      </w:pPr>
      <w:r>
        <w:t>4.8. Нежелани лекарствени реакции</w:t>
      </w:r>
    </w:p>
    <w:p w14:paraId="22E19DA2" w14:textId="446926FE" w:rsidR="00884AFA" w:rsidRDefault="00884AFA" w:rsidP="00884AFA"/>
    <w:p w14:paraId="2A45981E" w14:textId="77777777" w:rsidR="00884AFA" w:rsidRPr="00884AFA" w:rsidRDefault="00884AFA" w:rsidP="00884AFA">
      <w:pPr>
        <w:rPr>
          <w:rFonts w:eastAsia="Times New Roman" w:cs="Arial"/>
          <w:sz w:val="28"/>
          <w:szCs w:val="24"/>
        </w:rPr>
      </w:pPr>
      <w:r w:rsidRPr="00884AFA">
        <w:rPr>
          <w:rFonts w:cs="Arial"/>
          <w:bCs/>
          <w:szCs w:val="20"/>
        </w:rPr>
        <w:lastRenderedPageBreak/>
        <w:t>В две проучвания (проучване, оценяващо ефикасността и преживяемостта при приложение на еплеренон при сърдечна недостатъчност след остър миокарден инфаркт) (</w:t>
      </w:r>
      <w:proofErr w:type="spellStart"/>
      <w:r w:rsidRPr="00884AFA">
        <w:rPr>
          <w:rFonts w:cs="Arial"/>
          <w:bCs/>
          <w:szCs w:val="20"/>
          <w:lang w:val="en-US"/>
        </w:rPr>
        <w:t>Eplerenone</w:t>
      </w:r>
      <w:proofErr w:type="spellEnd"/>
      <w:r w:rsidRPr="00884AFA">
        <w:rPr>
          <w:rFonts w:cs="Arial"/>
          <w:bCs/>
          <w:szCs w:val="20"/>
        </w:rPr>
        <w:t xml:space="preserve"> </w:t>
      </w:r>
      <w:r w:rsidRPr="00884AFA">
        <w:rPr>
          <w:rFonts w:cs="Arial"/>
          <w:bCs/>
          <w:szCs w:val="20"/>
          <w:lang w:val="en-US"/>
        </w:rPr>
        <w:t>Post</w:t>
      </w:r>
      <w:r w:rsidRPr="00884AFA">
        <w:rPr>
          <w:rFonts w:cs="Arial"/>
          <w:bCs/>
          <w:szCs w:val="20"/>
        </w:rPr>
        <w:t>-</w:t>
      </w:r>
      <w:r w:rsidRPr="00884AFA">
        <w:rPr>
          <w:rFonts w:cs="Arial"/>
          <w:bCs/>
          <w:szCs w:val="20"/>
          <w:lang w:val="en-US"/>
        </w:rPr>
        <w:t>acute</w:t>
      </w:r>
      <w:r w:rsidRPr="00884AFA">
        <w:rPr>
          <w:rFonts w:cs="Arial"/>
          <w:bCs/>
          <w:szCs w:val="20"/>
        </w:rPr>
        <w:t xml:space="preserve"> </w:t>
      </w:r>
      <w:r w:rsidRPr="00884AFA">
        <w:rPr>
          <w:rFonts w:cs="Arial"/>
          <w:bCs/>
          <w:szCs w:val="20"/>
          <w:lang w:val="en-US"/>
        </w:rPr>
        <w:t>Myocardial</w:t>
      </w:r>
      <w:r w:rsidRPr="00884AFA">
        <w:rPr>
          <w:rFonts w:cs="Arial"/>
          <w:bCs/>
          <w:szCs w:val="20"/>
        </w:rPr>
        <w:t xml:space="preserve"> </w:t>
      </w:r>
      <w:r w:rsidRPr="00884AFA">
        <w:rPr>
          <w:rFonts w:cs="Arial"/>
          <w:bCs/>
          <w:szCs w:val="20"/>
          <w:lang w:val="en-US"/>
        </w:rPr>
        <w:t>Infarction</w:t>
      </w:r>
      <w:r w:rsidRPr="00884AFA">
        <w:rPr>
          <w:rFonts w:cs="Arial"/>
          <w:bCs/>
          <w:szCs w:val="20"/>
        </w:rPr>
        <w:t xml:space="preserve"> </w:t>
      </w:r>
      <w:r w:rsidRPr="00884AFA">
        <w:rPr>
          <w:rFonts w:cs="Arial"/>
          <w:bCs/>
          <w:szCs w:val="20"/>
          <w:lang w:val="en-US"/>
        </w:rPr>
        <w:t>Heart</w:t>
      </w:r>
      <w:r w:rsidRPr="00884AFA">
        <w:rPr>
          <w:rFonts w:cs="Arial"/>
          <w:bCs/>
          <w:szCs w:val="20"/>
        </w:rPr>
        <w:t xml:space="preserve"> </w:t>
      </w:r>
      <w:r w:rsidRPr="00884AFA">
        <w:rPr>
          <w:rFonts w:cs="Arial"/>
          <w:bCs/>
          <w:szCs w:val="20"/>
          <w:lang w:val="en-US"/>
        </w:rPr>
        <w:t>Failure</w:t>
      </w:r>
      <w:r w:rsidRPr="00884AFA">
        <w:rPr>
          <w:rFonts w:cs="Arial"/>
          <w:bCs/>
          <w:szCs w:val="20"/>
        </w:rPr>
        <w:t xml:space="preserve"> </w:t>
      </w:r>
      <w:r w:rsidRPr="00884AFA">
        <w:rPr>
          <w:rFonts w:cs="Arial"/>
          <w:bCs/>
          <w:szCs w:val="20"/>
          <w:lang w:val="en-US"/>
        </w:rPr>
        <w:t>Efficacy</w:t>
      </w:r>
      <w:r w:rsidRPr="00884AFA">
        <w:rPr>
          <w:rFonts w:cs="Arial"/>
          <w:bCs/>
          <w:szCs w:val="20"/>
        </w:rPr>
        <w:t xml:space="preserve"> </w:t>
      </w:r>
      <w:r w:rsidRPr="00884AFA">
        <w:rPr>
          <w:rFonts w:cs="Arial"/>
          <w:bCs/>
          <w:szCs w:val="20"/>
          <w:lang w:val="en-US"/>
        </w:rPr>
        <w:t>and</w:t>
      </w:r>
      <w:r w:rsidRPr="00884AFA">
        <w:rPr>
          <w:rFonts w:cs="Arial"/>
          <w:bCs/>
          <w:szCs w:val="20"/>
        </w:rPr>
        <w:t xml:space="preserve"> </w:t>
      </w:r>
      <w:r w:rsidRPr="00884AFA">
        <w:rPr>
          <w:rFonts w:cs="Arial"/>
          <w:bCs/>
          <w:szCs w:val="20"/>
          <w:lang w:val="en-US"/>
        </w:rPr>
        <w:t>Survival</w:t>
      </w:r>
      <w:r w:rsidRPr="00884AFA">
        <w:rPr>
          <w:rFonts w:cs="Arial"/>
          <w:bCs/>
          <w:szCs w:val="20"/>
        </w:rPr>
        <w:t xml:space="preserve"> </w:t>
      </w:r>
      <w:r w:rsidRPr="00884AFA">
        <w:rPr>
          <w:rFonts w:cs="Arial"/>
          <w:bCs/>
          <w:szCs w:val="20"/>
          <w:lang w:val="en-US"/>
        </w:rPr>
        <w:t>Study</w:t>
      </w:r>
      <w:r w:rsidRPr="00884AFA">
        <w:rPr>
          <w:rFonts w:cs="Arial"/>
          <w:bCs/>
          <w:szCs w:val="20"/>
        </w:rPr>
        <w:t xml:space="preserve"> [</w:t>
      </w:r>
      <w:r w:rsidRPr="00884AFA">
        <w:rPr>
          <w:rFonts w:cs="Arial"/>
          <w:bCs/>
          <w:szCs w:val="20"/>
          <w:lang w:val="en-US"/>
        </w:rPr>
        <w:t>EPHESUS</w:t>
      </w:r>
      <w:r w:rsidRPr="00884AFA">
        <w:rPr>
          <w:rFonts w:cs="Arial"/>
          <w:bCs/>
          <w:szCs w:val="20"/>
        </w:rPr>
        <w:t>],  и проучване</w:t>
      </w:r>
      <w:r w:rsidRPr="00884AFA">
        <w:rPr>
          <w:rFonts w:cs="Arial"/>
          <w:bCs/>
          <w:szCs w:val="20"/>
        </w:rPr>
        <w:t xml:space="preserve"> </w:t>
      </w:r>
      <w:r w:rsidRPr="00884AFA">
        <w:rPr>
          <w:rFonts w:eastAsia="Times New Roman" w:cs="Arial"/>
          <w:bCs/>
          <w:color w:val="000000"/>
          <w:szCs w:val="20"/>
          <w:lang w:eastAsia="bg-BG"/>
        </w:rPr>
        <w:t xml:space="preserve">оценяващо хоспитализирането и преживяемостта при приложение на еплеренон при лека сърдечна недостатъчност </w:t>
      </w:r>
      <w:r w:rsidRPr="00884AFA">
        <w:rPr>
          <w:rFonts w:eastAsia="Times New Roman" w:cs="Arial"/>
          <w:bCs/>
          <w:color w:val="000000"/>
          <w:szCs w:val="20"/>
        </w:rPr>
        <w:t>(</w:t>
      </w:r>
      <w:proofErr w:type="spellStart"/>
      <w:r w:rsidRPr="00884AFA">
        <w:rPr>
          <w:rFonts w:eastAsia="Times New Roman" w:cs="Arial"/>
          <w:bCs/>
          <w:color w:val="000000"/>
          <w:szCs w:val="20"/>
          <w:lang w:val="en-US"/>
        </w:rPr>
        <w:t>Eplerenone</w:t>
      </w:r>
      <w:proofErr w:type="spellEnd"/>
      <w:r w:rsidRPr="00884AFA">
        <w:rPr>
          <w:rFonts w:eastAsia="Times New Roman" w:cs="Arial"/>
          <w:bCs/>
          <w:color w:val="000000"/>
          <w:szCs w:val="20"/>
        </w:rPr>
        <w:t xml:space="preserve"> </w:t>
      </w:r>
      <w:r w:rsidRPr="00884AFA">
        <w:rPr>
          <w:rFonts w:eastAsia="Times New Roman" w:cs="Arial"/>
          <w:bCs/>
          <w:color w:val="000000"/>
          <w:szCs w:val="20"/>
          <w:lang w:val="en-US"/>
        </w:rPr>
        <w:t>in</w:t>
      </w:r>
      <w:r w:rsidRPr="00884AFA">
        <w:rPr>
          <w:rFonts w:eastAsia="Times New Roman" w:cs="Arial"/>
          <w:bCs/>
          <w:color w:val="000000"/>
          <w:szCs w:val="20"/>
        </w:rPr>
        <w:t xml:space="preserve"> </w:t>
      </w:r>
      <w:r w:rsidRPr="00884AFA">
        <w:rPr>
          <w:rFonts w:eastAsia="Times New Roman" w:cs="Arial"/>
          <w:bCs/>
          <w:color w:val="000000"/>
          <w:szCs w:val="20"/>
          <w:lang w:val="en-US"/>
        </w:rPr>
        <w:t>Mild</w:t>
      </w:r>
      <w:r w:rsidRPr="00884AFA">
        <w:rPr>
          <w:rFonts w:eastAsia="Times New Roman" w:cs="Arial"/>
          <w:bCs/>
          <w:color w:val="000000"/>
          <w:szCs w:val="20"/>
        </w:rPr>
        <w:t xml:space="preserve"> </w:t>
      </w:r>
      <w:r w:rsidRPr="00884AFA">
        <w:rPr>
          <w:rFonts w:eastAsia="Times New Roman" w:cs="Arial"/>
          <w:bCs/>
          <w:color w:val="000000"/>
          <w:szCs w:val="20"/>
          <w:lang w:val="en-US"/>
        </w:rPr>
        <w:t>Patients</w:t>
      </w:r>
      <w:r w:rsidRPr="00884AFA">
        <w:rPr>
          <w:rFonts w:eastAsia="Times New Roman" w:cs="Arial"/>
          <w:bCs/>
          <w:color w:val="000000"/>
          <w:szCs w:val="20"/>
        </w:rPr>
        <w:t xml:space="preserve"> </w:t>
      </w:r>
      <w:r w:rsidRPr="00884AFA">
        <w:rPr>
          <w:rFonts w:eastAsia="Times New Roman" w:cs="Arial"/>
          <w:bCs/>
          <w:color w:val="000000"/>
          <w:szCs w:val="20"/>
          <w:lang w:val="en-US"/>
        </w:rPr>
        <w:t>Hospitalization</w:t>
      </w:r>
      <w:r w:rsidRPr="00884AFA">
        <w:rPr>
          <w:rFonts w:eastAsia="Times New Roman" w:cs="Arial"/>
          <w:bCs/>
          <w:color w:val="000000"/>
          <w:szCs w:val="20"/>
        </w:rPr>
        <w:t xml:space="preserve"> </w:t>
      </w:r>
      <w:r w:rsidRPr="00884AFA">
        <w:rPr>
          <w:rFonts w:eastAsia="Times New Roman" w:cs="Arial"/>
          <w:bCs/>
          <w:color w:val="000000"/>
          <w:szCs w:val="20"/>
          <w:lang w:val="en-US"/>
        </w:rPr>
        <w:t>and</w:t>
      </w:r>
      <w:r w:rsidRPr="00884AFA">
        <w:rPr>
          <w:rFonts w:eastAsia="Times New Roman" w:cs="Arial"/>
          <w:bCs/>
          <w:color w:val="000000"/>
          <w:szCs w:val="20"/>
        </w:rPr>
        <w:t xml:space="preserve"> </w:t>
      </w:r>
      <w:r w:rsidRPr="00884AFA">
        <w:rPr>
          <w:rFonts w:eastAsia="Times New Roman" w:cs="Arial"/>
          <w:bCs/>
          <w:color w:val="000000"/>
          <w:szCs w:val="20"/>
          <w:lang w:val="en-US"/>
        </w:rPr>
        <w:t>Survival</w:t>
      </w:r>
      <w:r w:rsidRPr="00884AFA">
        <w:rPr>
          <w:rFonts w:eastAsia="Times New Roman" w:cs="Arial"/>
          <w:bCs/>
          <w:color w:val="000000"/>
          <w:szCs w:val="20"/>
        </w:rPr>
        <w:t xml:space="preserve"> </w:t>
      </w:r>
      <w:r w:rsidRPr="00884AFA">
        <w:rPr>
          <w:rFonts w:eastAsia="Times New Roman" w:cs="Arial"/>
          <w:bCs/>
          <w:color w:val="000000"/>
          <w:szCs w:val="20"/>
          <w:lang w:val="en-US"/>
        </w:rPr>
        <w:t>Study</w:t>
      </w:r>
      <w:r w:rsidRPr="00884AFA">
        <w:rPr>
          <w:rFonts w:eastAsia="Times New Roman" w:cs="Arial"/>
          <w:bCs/>
          <w:color w:val="000000"/>
          <w:szCs w:val="20"/>
        </w:rPr>
        <w:t xml:space="preserve"> </w:t>
      </w:r>
      <w:r w:rsidRPr="00884AFA">
        <w:rPr>
          <w:rFonts w:eastAsia="Times New Roman" w:cs="Arial"/>
          <w:bCs/>
          <w:color w:val="000000"/>
          <w:szCs w:val="20"/>
          <w:lang w:val="en-US"/>
        </w:rPr>
        <w:t>in</w:t>
      </w:r>
      <w:r w:rsidRPr="00884AFA">
        <w:rPr>
          <w:rFonts w:eastAsia="Times New Roman" w:cs="Arial"/>
          <w:bCs/>
          <w:color w:val="000000"/>
          <w:szCs w:val="20"/>
        </w:rPr>
        <w:t xml:space="preserve"> </w:t>
      </w:r>
      <w:r w:rsidRPr="00884AFA">
        <w:rPr>
          <w:rFonts w:eastAsia="Times New Roman" w:cs="Arial"/>
          <w:bCs/>
          <w:color w:val="000000"/>
          <w:szCs w:val="20"/>
          <w:lang w:val="en-US"/>
        </w:rPr>
        <w:t>Heart</w:t>
      </w:r>
      <w:r w:rsidRPr="00884AFA">
        <w:rPr>
          <w:rFonts w:eastAsia="Times New Roman" w:cs="Arial"/>
          <w:bCs/>
          <w:color w:val="000000"/>
          <w:szCs w:val="20"/>
        </w:rPr>
        <w:t xml:space="preserve"> </w:t>
      </w:r>
      <w:r w:rsidRPr="00884AFA">
        <w:rPr>
          <w:rFonts w:eastAsia="Times New Roman" w:cs="Arial"/>
          <w:bCs/>
          <w:color w:val="000000"/>
          <w:szCs w:val="20"/>
          <w:lang w:val="en-US"/>
        </w:rPr>
        <w:t>Failure</w:t>
      </w:r>
      <w:r w:rsidRPr="00884AFA">
        <w:rPr>
          <w:rFonts w:eastAsia="Times New Roman" w:cs="Arial"/>
          <w:bCs/>
          <w:color w:val="000000"/>
          <w:szCs w:val="20"/>
        </w:rPr>
        <w:t xml:space="preserve"> [</w:t>
      </w:r>
      <w:r w:rsidRPr="00884AFA">
        <w:rPr>
          <w:rFonts w:eastAsia="Times New Roman" w:cs="Arial"/>
          <w:bCs/>
          <w:color w:val="000000"/>
          <w:szCs w:val="20"/>
          <w:lang w:val="en-US"/>
        </w:rPr>
        <w:t>EMPHASIS</w:t>
      </w:r>
      <w:r w:rsidRPr="00884AFA">
        <w:rPr>
          <w:rFonts w:eastAsia="Times New Roman" w:cs="Arial"/>
          <w:bCs/>
          <w:color w:val="000000"/>
          <w:szCs w:val="20"/>
        </w:rPr>
        <w:t>-</w:t>
      </w:r>
      <w:r w:rsidRPr="00884AFA">
        <w:rPr>
          <w:rFonts w:eastAsia="Times New Roman" w:cs="Arial"/>
          <w:bCs/>
          <w:color w:val="000000"/>
          <w:szCs w:val="20"/>
          <w:lang w:val="en-US"/>
        </w:rPr>
        <w:t>HF</w:t>
      </w:r>
      <w:r w:rsidRPr="00884AFA">
        <w:rPr>
          <w:rFonts w:eastAsia="Times New Roman" w:cs="Arial"/>
          <w:bCs/>
          <w:color w:val="000000"/>
          <w:szCs w:val="20"/>
        </w:rPr>
        <w:t xml:space="preserve">]), </w:t>
      </w:r>
      <w:r w:rsidRPr="00884AFA">
        <w:rPr>
          <w:rFonts w:eastAsia="Times New Roman" w:cs="Arial"/>
          <w:bCs/>
          <w:color w:val="000000"/>
          <w:szCs w:val="20"/>
          <w:lang w:eastAsia="bg-BG"/>
        </w:rPr>
        <w:t>общата честота на нежелани лекарствени реакции, съобщавана при еплеренон, е била сходна с плацебо.</w:t>
      </w:r>
    </w:p>
    <w:p w14:paraId="7D00114D" w14:textId="77777777" w:rsidR="00884AFA" w:rsidRPr="00884AFA" w:rsidRDefault="00884AFA" w:rsidP="00884AFA">
      <w:pPr>
        <w:spacing w:line="240" w:lineRule="auto"/>
        <w:rPr>
          <w:rFonts w:eastAsia="Times New Roman" w:cs="Arial"/>
          <w:bCs/>
          <w:color w:val="000000"/>
          <w:szCs w:val="20"/>
          <w:lang w:eastAsia="bg-BG"/>
        </w:rPr>
      </w:pPr>
    </w:p>
    <w:p w14:paraId="4AE97CBB" w14:textId="41A54976"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Посочените по-долу реакции са такива, при които се подозира връзка с лечението и които са повече, отколкото при плацебо или такива, които са сериозни и са значително повече, отколкото при плацебо, или които са наблюдавани по време на постмаркетинговия период. Нежеланите реакции са изброени по системо-органен клас и абсолютна честота. Честотите са дефинирани като: чести ≥ 1/100, &lt; 1/10; нечести≥1/1000, &lt; 1/100); с неизвестна честота (от наличните данни не може да бъде направена оценка).</w:t>
      </w:r>
    </w:p>
    <w:p w14:paraId="753CCBE3" w14:textId="77777777" w:rsidR="00884AFA" w:rsidRPr="00884AFA" w:rsidRDefault="00884AFA" w:rsidP="00884AFA">
      <w:pPr>
        <w:spacing w:line="240" w:lineRule="auto"/>
        <w:rPr>
          <w:rFonts w:eastAsia="Times New Roman" w:cs="Arial"/>
          <w:bCs/>
          <w:color w:val="000000"/>
          <w:szCs w:val="20"/>
          <w:lang w:eastAsia="bg-BG"/>
        </w:rPr>
      </w:pPr>
    </w:p>
    <w:p w14:paraId="7A62F6DC" w14:textId="06A4A439" w:rsidR="00884AFA" w:rsidRPr="00884AFA" w:rsidRDefault="00884AFA" w:rsidP="00884AFA">
      <w:pPr>
        <w:spacing w:line="240" w:lineRule="auto"/>
        <w:rPr>
          <w:rFonts w:ascii="Times New Roman" w:eastAsia="Times New Roman" w:hAnsi="Times New Roman" w:cs="Times New Roman"/>
          <w:sz w:val="24"/>
          <w:szCs w:val="24"/>
        </w:rPr>
      </w:pPr>
      <w:r w:rsidRPr="00884AFA">
        <w:rPr>
          <w:rFonts w:eastAsia="Times New Roman" w:cs="Arial"/>
          <w:bCs/>
          <w:color w:val="000000"/>
          <w:szCs w:val="20"/>
          <w:lang w:eastAsia="bg-BG"/>
        </w:rPr>
        <w:t>Таблица 1: Честота на НЛР при плацебо-контролирани проучвания с Еплеренон</w:t>
      </w:r>
    </w:p>
    <w:tbl>
      <w:tblPr>
        <w:tblStyle w:val="TableGrid"/>
        <w:tblW w:w="0" w:type="auto"/>
        <w:tblLook w:val="04A0" w:firstRow="1" w:lastRow="0" w:firstColumn="1" w:lastColumn="0" w:noHBand="0" w:noVBand="1"/>
      </w:tblPr>
      <w:tblGrid>
        <w:gridCol w:w="4647"/>
        <w:gridCol w:w="4703"/>
      </w:tblGrid>
      <w:tr w:rsidR="00884AFA" w14:paraId="771E4677" w14:textId="77777777" w:rsidTr="00440465">
        <w:tc>
          <w:tcPr>
            <w:tcW w:w="4788" w:type="dxa"/>
            <w:vAlign w:val="bottom"/>
          </w:tcPr>
          <w:p w14:paraId="4D199BB4" w14:textId="3D018331" w:rsidR="00884AFA" w:rsidRPr="00884AFA" w:rsidRDefault="00884AFA" w:rsidP="00884AFA">
            <w:pPr>
              <w:rPr>
                <w:b/>
                <w:bCs/>
                <w:szCs w:val="20"/>
              </w:rPr>
            </w:pPr>
            <w:r w:rsidRPr="00884AFA">
              <w:rPr>
                <w:b/>
                <w:bCs/>
                <w:szCs w:val="20"/>
              </w:rPr>
              <w:t xml:space="preserve">Системо-органен клас по </w:t>
            </w:r>
            <w:proofErr w:type="spellStart"/>
            <w:r w:rsidRPr="00884AFA">
              <w:rPr>
                <w:b/>
                <w:bCs/>
                <w:szCs w:val="20"/>
                <w:lang w:val="en-US"/>
              </w:rPr>
              <w:t>MedDRA</w:t>
            </w:r>
            <w:proofErr w:type="spellEnd"/>
          </w:p>
        </w:tc>
        <w:tc>
          <w:tcPr>
            <w:tcW w:w="4788" w:type="dxa"/>
            <w:vAlign w:val="bottom"/>
          </w:tcPr>
          <w:p w14:paraId="6A772047" w14:textId="7E12CF15" w:rsidR="00884AFA" w:rsidRPr="00884AFA" w:rsidRDefault="00884AFA" w:rsidP="00884AFA">
            <w:pPr>
              <w:rPr>
                <w:b/>
                <w:bCs/>
                <w:szCs w:val="20"/>
              </w:rPr>
            </w:pPr>
            <w:r w:rsidRPr="00884AFA">
              <w:rPr>
                <w:b/>
                <w:bCs/>
                <w:szCs w:val="20"/>
              </w:rPr>
              <w:t>Нежелана реакция</w:t>
            </w:r>
          </w:p>
        </w:tc>
      </w:tr>
      <w:tr w:rsidR="00884AFA" w14:paraId="3AE9FE25" w14:textId="77777777" w:rsidTr="004B6EF6">
        <w:tc>
          <w:tcPr>
            <w:tcW w:w="9576" w:type="dxa"/>
            <w:gridSpan w:val="2"/>
            <w:vAlign w:val="bottom"/>
          </w:tcPr>
          <w:p w14:paraId="221FD98F" w14:textId="2B461460" w:rsidR="00884AFA" w:rsidRPr="00884AFA" w:rsidRDefault="00884AFA" w:rsidP="00884AFA">
            <w:pPr>
              <w:rPr>
                <w:b/>
                <w:bCs/>
                <w:szCs w:val="20"/>
              </w:rPr>
            </w:pPr>
            <w:r w:rsidRPr="00884AFA">
              <w:rPr>
                <w:b/>
                <w:bCs/>
                <w:szCs w:val="20"/>
              </w:rPr>
              <w:t>Инфекции и ивфестацин</w:t>
            </w:r>
          </w:p>
        </w:tc>
      </w:tr>
      <w:tr w:rsidR="00884AFA" w14:paraId="50CF789D" w14:textId="77777777" w:rsidTr="00EA7020">
        <w:tc>
          <w:tcPr>
            <w:tcW w:w="4788" w:type="dxa"/>
          </w:tcPr>
          <w:p w14:paraId="3DC797F3" w14:textId="241A383E" w:rsidR="00884AFA" w:rsidRPr="00884AFA" w:rsidRDefault="00884AFA" w:rsidP="00884AFA">
            <w:pPr>
              <w:rPr>
                <w:bCs/>
                <w:szCs w:val="20"/>
              </w:rPr>
            </w:pPr>
            <w:r w:rsidRPr="00884AFA">
              <w:rPr>
                <w:bCs/>
                <w:i/>
                <w:iCs/>
                <w:szCs w:val="20"/>
              </w:rPr>
              <w:t>Нечести</w:t>
            </w:r>
          </w:p>
        </w:tc>
        <w:tc>
          <w:tcPr>
            <w:tcW w:w="4788" w:type="dxa"/>
            <w:vAlign w:val="bottom"/>
          </w:tcPr>
          <w:p w14:paraId="2D1D1C32" w14:textId="3F8FAFBE" w:rsidR="00884AFA" w:rsidRPr="00884AFA" w:rsidRDefault="00884AFA" w:rsidP="00884AFA">
            <w:pPr>
              <w:rPr>
                <w:bCs/>
                <w:szCs w:val="20"/>
              </w:rPr>
            </w:pPr>
            <w:r w:rsidRPr="00884AFA">
              <w:rPr>
                <w:bCs/>
                <w:szCs w:val="20"/>
              </w:rPr>
              <w:t>пиелонефрит, инфекция, фарингит</w:t>
            </w:r>
          </w:p>
        </w:tc>
      </w:tr>
      <w:tr w:rsidR="00884AFA" w14:paraId="6CDEF8CC" w14:textId="77777777" w:rsidTr="00BA5D18">
        <w:tc>
          <w:tcPr>
            <w:tcW w:w="9576" w:type="dxa"/>
            <w:gridSpan w:val="2"/>
            <w:vAlign w:val="bottom"/>
          </w:tcPr>
          <w:p w14:paraId="05280F48" w14:textId="2C19FCA7" w:rsidR="00884AFA" w:rsidRPr="00884AFA" w:rsidRDefault="00884AFA" w:rsidP="00884AFA">
            <w:pPr>
              <w:rPr>
                <w:b/>
                <w:bCs/>
                <w:szCs w:val="20"/>
              </w:rPr>
            </w:pPr>
            <w:r w:rsidRPr="00884AFA">
              <w:rPr>
                <w:b/>
                <w:bCs/>
                <w:szCs w:val="20"/>
              </w:rPr>
              <w:t>Нарушения на кръвта и лимфната система</w:t>
            </w:r>
          </w:p>
        </w:tc>
      </w:tr>
      <w:tr w:rsidR="00884AFA" w14:paraId="778D84BC" w14:textId="77777777" w:rsidTr="00884AFA">
        <w:tc>
          <w:tcPr>
            <w:tcW w:w="4788" w:type="dxa"/>
          </w:tcPr>
          <w:p w14:paraId="40FB9A6D" w14:textId="35EA9ECA" w:rsidR="00884AFA" w:rsidRPr="00884AFA" w:rsidRDefault="00884AFA" w:rsidP="00884AFA">
            <w:pPr>
              <w:rPr>
                <w:bCs/>
                <w:szCs w:val="20"/>
              </w:rPr>
            </w:pPr>
            <w:r w:rsidRPr="00884AFA">
              <w:rPr>
                <w:bCs/>
                <w:i/>
                <w:iCs/>
                <w:szCs w:val="20"/>
              </w:rPr>
              <w:t>Нечести</w:t>
            </w:r>
          </w:p>
        </w:tc>
        <w:tc>
          <w:tcPr>
            <w:tcW w:w="4788" w:type="dxa"/>
          </w:tcPr>
          <w:p w14:paraId="0F602C3B" w14:textId="04DA6D8C" w:rsidR="00884AFA" w:rsidRPr="00884AFA" w:rsidRDefault="00884AFA" w:rsidP="00884AFA">
            <w:pPr>
              <w:rPr>
                <w:bCs/>
                <w:szCs w:val="20"/>
              </w:rPr>
            </w:pPr>
            <w:r w:rsidRPr="00884AFA">
              <w:rPr>
                <w:bCs/>
                <w:szCs w:val="20"/>
              </w:rPr>
              <w:t>еозинофилия</w:t>
            </w:r>
          </w:p>
        </w:tc>
      </w:tr>
      <w:tr w:rsidR="00884AFA" w14:paraId="7BBFB023" w14:textId="77777777" w:rsidTr="005F02D9">
        <w:tc>
          <w:tcPr>
            <w:tcW w:w="9576" w:type="dxa"/>
            <w:gridSpan w:val="2"/>
            <w:vAlign w:val="bottom"/>
          </w:tcPr>
          <w:p w14:paraId="676A800F" w14:textId="76E2614F" w:rsidR="00884AFA" w:rsidRPr="00884AFA" w:rsidRDefault="00884AFA" w:rsidP="00884AFA">
            <w:pPr>
              <w:rPr>
                <w:b/>
                <w:bCs/>
                <w:szCs w:val="20"/>
              </w:rPr>
            </w:pPr>
            <w:r w:rsidRPr="00884AFA">
              <w:rPr>
                <w:b/>
                <w:bCs/>
                <w:szCs w:val="20"/>
              </w:rPr>
              <w:t>Нарушения на ендокринната система</w:t>
            </w:r>
          </w:p>
        </w:tc>
      </w:tr>
      <w:tr w:rsidR="00884AFA" w14:paraId="2E9977C3" w14:textId="77777777" w:rsidTr="00440465">
        <w:tc>
          <w:tcPr>
            <w:tcW w:w="4788" w:type="dxa"/>
            <w:vAlign w:val="bottom"/>
          </w:tcPr>
          <w:p w14:paraId="03D5361D" w14:textId="5D5E862D" w:rsidR="00884AFA" w:rsidRPr="00884AFA" w:rsidRDefault="00884AFA" w:rsidP="00884AFA">
            <w:pPr>
              <w:rPr>
                <w:bCs/>
                <w:szCs w:val="20"/>
              </w:rPr>
            </w:pPr>
            <w:r w:rsidRPr="00884AFA">
              <w:rPr>
                <w:bCs/>
                <w:i/>
                <w:iCs/>
                <w:szCs w:val="20"/>
              </w:rPr>
              <w:t>Нечести</w:t>
            </w:r>
          </w:p>
        </w:tc>
        <w:tc>
          <w:tcPr>
            <w:tcW w:w="4788" w:type="dxa"/>
            <w:vAlign w:val="bottom"/>
          </w:tcPr>
          <w:p w14:paraId="2589B2B4" w14:textId="0E4E5DA5" w:rsidR="00884AFA" w:rsidRPr="00884AFA" w:rsidRDefault="00884AFA" w:rsidP="00884AFA">
            <w:pPr>
              <w:rPr>
                <w:bCs/>
                <w:szCs w:val="20"/>
              </w:rPr>
            </w:pPr>
            <w:r w:rsidRPr="00884AFA">
              <w:rPr>
                <w:bCs/>
                <w:szCs w:val="20"/>
              </w:rPr>
              <w:t>хипотиреоидизъм</w:t>
            </w:r>
          </w:p>
        </w:tc>
      </w:tr>
      <w:tr w:rsidR="00884AFA" w14:paraId="33E0E6F4" w14:textId="77777777" w:rsidTr="00E8171F">
        <w:tc>
          <w:tcPr>
            <w:tcW w:w="9576" w:type="dxa"/>
            <w:gridSpan w:val="2"/>
            <w:vAlign w:val="bottom"/>
          </w:tcPr>
          <w:p w14:paraId="61BD3D2E" w14:textId="2CFA2F47" w:rsidR="00884AFA" w:rsidRPr="00884AFA" w:rsidRDefault="00884AFA" w:rsidP="00884AFA">
            <w:pPr>
              <w:rPr>
                <w:b/>
              </w:rPr>
            </w:pPr>
            <w:r w:rsidRPr="00884AFA">
              <w:rPr>
                <w:b/>
              </w:rPr>
              <w:t>Нарушения на метаболизма и храненето</w:t>
            </w:r>
          </w:p>
        </w:tc>
      </w:tr>
      <w:tr w:rsidR="00884AFA" w14:paraId="694C67BB" w14:textId="77777777" w:rsidTr="00884AFA">
        <w:tc>
          <w:tcPr>
            <w:tcW w:w="4788" w:type="dxa"/>
          </w:tcPr>
          <w:p w14:paraId="5608DEEE" w14:textId="66682A27" w:rsidR="00884AFA" w:rsidRPr="00884AFA" w:rsidRDefault="00884AFA" w:rsidP="00884AFA">
            <w:pPr>
              <w:rPr>
                <w:bCs/>
                <w:szCs w:val="20"/>
              </w:rPr>
            </w:pPr>
            <w:r w:rsidRPr="00884AFA">
              <w:rPr>
                <w:bCs/>
                <w:i/>
                <w:iCs/>
                <w:szCs w:val="20"/>
              </w:rPr>
              <w:t>Чести</w:t>
            </w:r>
          </w:p>
        </w:tc>
        <w:tc>
          <w:tcPr>
            <w:tcW w:w="4788" w:type="dxa"/>
          </w:tcPr>
          <w:p w14:paraId="2E32FDB9" w14:textId="64F1BBE0" w:rsidR="00884AFA" w:rsidRDefault="00884AFA" w:rsidP="00884AFA">
            <w:pPr>
              <w:rPr>
                <w:bCs/>
                <w:szCs w:val="20"/>
              </w:rPr>
            </w:pPr>
            <w:r w:rsidRPr="00884AFA">
              <w:rPr>
                <w:bCs/>
                <w:szCs w:val="20"/>
              </w:rPr>
              <w:t>хипе</w:t>
            </w:r>
            <w:r>
              <w:rPr>
                <w:bCs/>
                <w:szCs w:val="20"/>
              </w:rPr>
              <w:t>ркалиемия (вж. точки 4.3 и 4.4)</w:t>
            </w:r>
          </w:p>
          <w:p w14:paraId="2D5D2475" w14:textId="79B19F23" w:rsidR="00884AFA" w:rsidRPr="00884AFA" w:rsidRDefault="00884AFA" w:rsidP="00884AFA">
            <w:pPr>
              <w:rPr>
                <w:bCs/>
                <w:szCs w:val="20"/>
              </w:rPr>
            </w:pPr>
            <w:r w:rsidRPr="00884AFA">
              <w:rPr>
                <w:bCs/>
                <w:szCs w:val="20"/>
              </w:rPr>
              <w:t>хиперхолестеролемия</w:t>
            </w:r>
          </w:p>
        </w:tc>
      </w:tr>
      <w:tr w:rsidR="00884AFA" w14:paraId="488733C7" w14:textId="77777777" w:rsidTr="00440465">
        <w:tc>
          <w:tcPr>
            <w:tcW w:w="4788" w:type="dxa"/>
          </w:tcPr>
          <w:p w14:paraId="333458DC" w14:textId="5D95B0CF" w:rsidR="00884AFA" w:rsidRPr="00884AFA" w:rsidRDefault="00884AFA" w:rsidP="00884AFA">
            <w:pPr>
              <w:rPr>
                <w:bCs/>
                <w:szCs w:val="20"/>
              </w:rPr>
            </w:pPr>
            <w:r w:rsidRPr="00884AFA">
              <w:rPr>
                <w:bCs/>
                <w:i/>
                <w:iCs/>
                <w:szCs w:val="20"/>
              </w:rPr>
              <w:t>Нечести</w:t>
            </w:r>
          </w:p>
        </w:tc>
        <w:tc>
          <w:tcPr>
            <w:tcW w:w="4788" w:type="dxa"/>
            <w:vAlign w:val="bottom"/>
          </w:tcPr>
          <w:p w14:paraId="7A41C749" w14:textId="52ACDD93" w:rsidR="00884AFA" w:rsidRPr="00884AFA" w:rsidRDefault="00884AFA" w:rsidP="00884AFA">
            <w:pPr>
              <w:rPr>
                <w:bCs/>
                <w:szCs w:val="20"/>
              </w:rPr>
            </w:pPr>
            <w:r w:rsidRPr="00884AFA">
              <w:rPr>
                <w:bCs/>
                <w:szCs w:val="20"/>
              </w:rPr>
              <w:t>хипонатриемия, дехидратация, хипертриглицеридемия</w:t>
            </w:r>
          </w:p>
        </w:tc>
      </w:tr>
      <w:tr w:rsidR="00884AFA" w14:paraId="5DA2229C" w14:textId="77777777" w:rsidTr="00D84B81">
        <w:tc>
          <w:tcPr>
            <w:tcW w:w="9576" w:type="dxa"/>
            <w:gridSpan w:val="2"/>
            <w:vAlign w:val="bottom"/>
          </w:tcPr>
          <w:p w14:paraId="21FC0D97" w14:textId="5A83D6D6" w:rsidR="00884AFA" w:rsidRPr="00884AFA" w:rsidRDefault="00884AFA" w:rsidP="00884AFA">
            <w:pPr>
              <w:rPr>
                <w:b/>
                <w:bCs/>
                <w:szCs w:val="20"/>
              </w:rPr>
            </w:pPr>
            <w:r w:rsidRPr="00884AFA">
              <w:rPr>
                <w:b/>
                <w:bCs/>
                <w:szCs w:val="20"/>
              </w:rPr>
              <w:t>Психични нарушения</w:t>
            </w:r>
          </w:p>
        </w:tc>
      </w:tr>
      <w:tr w:rsidR="00884AFA" w14:paraId="6679DFD8" w14:textId="77777777" w:rsidTr="00884AFA">
        <w:tc>
          <w:tcPr>
            <w:tcW w:w="4788" w:type="dxa"/>
          </w:tcPr>
          <w:p w14:paraId="3016A2D3" w14:textId="0D4E51BA" w:rsidR="00884AFA" w:rsidRPr="00884AFA" w:rsidRDefault="00884AFA" w:rsidP="00884AFA">
            <w:pPr>
              <w:rPr>
                <w:bCs/>
                <w:szCs w:val="20"/>
              </w:rPr>
            </w:pPr>
            <w:r w:rsidRPr="00884AFA">
              <w:rPr>
                <w:bCs/>
                <w:i/>
                <w:iCs/>
                <w:szCs w:val="20"/>
              </w:rPr>
              <w:t>Чести</w:t>
            </w:r>
          </w:p>
        </w:tc>
        <w:tc>
          <w:tcPr>
            <w:tcW w:w="4788" w:type="dxa"/>
          </w:tcPr>
          <w:p w14:paraId="6F713E8F" w14:textId="10A200B9" w:rsidR="00884AFA" w:rsidRPr="00884AFA" w:rsidRDefault="00884AFA" w:rsidP="00884AFA">
            <w:pPr>
              <w:rPr>
                <w:bCs/>
                <w:szCs w:val="20"/>
              </w:rPr>
            </w:pPr>
            <w:r w:rsidRPr="00884AFA">
              <w:rPr>
                <w:bCs/>
                <w:szCs w:val="20"/>
              </w:rPr>
              <w:t>безсъние</w:t>
            </w:r>
          </w:p>
        </w:tc>
      </w:tr>
      <w:tr w:rsidR="00884AFA" w14:paraId="2FA99190" w14:textId="77777777" w:rsidTr="00A936C2">
        <w:tc>
          <w:tcPr>
            <w:tcW w:w="9576" w:type="dxa"/>
            <w:gridSpan w:val="2"/>
            <w:vAlign w:val="bottom"/>
          </w:tcPr>
          <w:p w14:paraId="0464F221" w14:textId="7E1B36F3" w:rsidR="00884AFA" w:rsidRPr="00884AFA" w:rsidRDefault="00884AFA" w:rsidP="00884AFA">
            <w:pPr>
              <w:rPr>
                <w:b/>
                <w:bCs/>
                <w:szCs w:val="20"/>
              </w:rPr>
            </w:pPr>
            <w:r w:rsidRPr="00884AFA">
              <w:rPr>
                <w:b/>
                <w:bCs/>
                <w:szCs w:val="20"/>
              </w:rPr>
              <w:t>Нарушения на нервната система</w:t>
            </w:r>
          </w:p>
        </w:tc>
      </w:tr>
      <w:tr w:rsidR="00884AFA" w14:paraId="6BFFC699" w14:textId="77777777" w:rsidTr="00884AFA">
        <w:tc>
          <w:tcPr>
            <w:tcW w:w="4788" w:type="dxa"/>
          </w:tcPr>
          <w:p w14:paraId="17421649" w14:textId="247D2B50" w:rsidR="00884AFA" w:rsidRPr="00884AFA" w:rsidRDefault="00884AFA" w:rsidP="00884AFA">
            <w:pPr>
              <w:rPr>
                <w:bCs/>
                <w:szCs w:val="20"/>
              </w:rPr>
            </w:pPr>
            <w:r w:rsidRPr="00884AFA">
              <w:rPr>
                <w:bCs/>
                <w:i/>
                <w:iCs/>
                <w:szCs w:val="20"/>
              </w:rPr>
              <w:t>Чести</w:t>
            </w:r>
          </w:p>
        </w:tc>
        <w:tc>
          <w:tcPr>
            <w:tcW w:w="4788" w:type="dxa"/>
          </w:tcPr>
          <w:p w14:paraId="5D5DA13F" w14:textId="70F36DA8" w:rsidR="00884AFA" w:rsidRPr="00884AFA" w:rsidRDefault="00884AFA" w:rsidP="00884AFA">
            <w:pPr>
              <w:rPr>
                <w:bCs/>
                <w:szCs w:val="20"/>
              </w:rPr>
            </w:pPr>
            <w:r w:rsidRPr="00884AFA">
              <w:rPr>
                <w:bCs/>
                <w:szCs w:val="20"/>
              </w:rPr>
              <w:t>синкоп, световъртеж, главоболие,</w:t>
            </w:r>
          </w:p>
        </w:tc>
      </w:tr>
      <w:tr w:rsidR="00884AFA" w14:paraId="6B0D9F0F" w14:textId="77777777" w:rsidTr="008C46D6">
        <w:tc>
          <w:tcPr>
            <w:tcW w:w="4788" w:type="dxa"/>
            <w:vAlign w:val="center"/>
          </w:tcPr>
          <w:p w14:paraId="4E72DE2E" w14:textId="45C2BED1" w:rsidR="00884AFA" w:rsidRPr="00884AFA" w:rsidRDefault="00884AFA" w:rsidP="00884AFA">
            <w:pPr>
              <w:rPr>
                <w:bCs/>
                <w:szCs w:val="20"/>
              </w:rPr>
            </w:pPr>
            <w:r w:rsidRPr="00884AFA">
              <w:rPr>
                <w:bCs/>
                <w:i/>
                <w:iCs/>
                <w:szCs w:val="20"/>
              </w:rPr>
              <w:t>Нечести</w:t>
            </w:r>
          </w:p>
        </w:tc>
        <w:tc>
          <w:tcPr>
            <w:tcW w:w="4788" w:type="dxa"/>
            <w:vAlign w:val="center"/>
          </w:tcPr>
          <w:p w14:paraId="27C27BA1" w14:textId="5B1F2A45" w:rsidR="00884AFA" w:rsidRPr="00884AFA" w:rsidRDefault="00884AFA" w:rsidP="00884AFA">
            <w:pPr>
              <w:rPr>
                <w:bCs/>
                <w:szCs w:val="20"/>
              </w:rPr>
            </w:pPr>
            <w:r w:rsidRPr="00884AFA">
              <w:rPr>
                <w:bCs/>
                <w:szCs w:val="20"/>
              </w:rPr>
              <w:t>хипоестезия</w:t>
            </w:r>
          </w:p>
        </w:tc>
      </w:tr>
      <w:tr w:rsidR="00884AFA" w14:paraId="56231E55" w14:textId="77777777" w:rsidTr="00617B90">
        <w:tc>
          <w:tcPr>
            <w:tcW w:w="9576" w:type="dxa"/>
            <w:gridSpan w:val="2"/>
            <w:vAlign w:val="bottom"/>
          </w:tcPr>
          <w:p w14:paraId="6F8ED8E1" w14:textId="1F3ADB17" w:rsidR="00884AFA" w:rsidRPr="00884AFA" w:rsidRDefault="00884AFA" w:rsidP="00884AFA">
            <w:pPr>
              <w:rPr>
                <w:b/>
                <w:bCs/>
                <w:szCs w:val="20"/>
              </w:rPr>
            </w:pPr>
            <w:r w:rsidRPr="00884AFA">
              <w:rPr>
                <w:b/>
                <w:bCs/>
                <w:szCs w:val="20"/>
              </w:rPr>
              <w:t>Нарушения на сърцето</w:t>
            </w:r>
          </w:p>
        </w:tc>
      </w:tr>
      <w:tr w:rsidR="00884AFA" w14:paraId="4AE6D3A8" w14:textId="77777777" w:rsidTr="00884AFA">
        <w:tc>
          <w:tcPr>
            <w:tcW w:w="4788" w:type="dxa"/>
          </w:tcPr>
          <w:p w14:paraId="1C4F809E" w14:textId="4ACAF6B3" w:rsidR="00884AFA" w:rsidRPr="00884AFA" w:rsidRDefault="00884AFA" w:rsidP="00884AFA">
            <w:pPr>
              <w:rPr>
                <w:bCs/>
                <w:szCs w:val="20"/>
              </w:rPr>
            </w:pPr>
            <w:r w:rsidRPr="00884AFA">
              <w:rPr>
                <w:bCs/>
                <w:i/>
                <w:iCs/>
                <w:szCs w:val="20"/>
              </w:rPr>
              <w:t>Чести</w:t>
            </w:r>
          </w:p>
        </w:tc>
        <w:tc>
          <w:tcPr>
            <w:tcW w:w="4788" w:type="dxa"/>
          </w:tcPr>
          <w:p w14:paraId="3105E9CB" w14:textId="67670026" w:rsidR="00884AFA" w:rsidRPr="00884AFA" w:rsidRDefault="00884AFA" w:rsidP="00884AFA">
            <w:pPr>
              <w:rPr>
                <w:bCs/>
                <w:szCs w:val="20"/>
              </w:rPr>
            </w:pPr>
            <w:r w:rsidRPr="00884AFA">
              <w:rPr>
                <w:bCs/>
                <w:szCs w:val="20"/>
              </w:rPr>
              <w:t>лявокамерна сърдечна недостатъчност, предсърдно мъждене</w:t>
            </w:r>
          </w:p>
        </w:tc>
      </w:tr>
      <w:tr w:rsidR="00884AFA" w14:paraId="245F227C" w14:textId="77777777" w:rsidTr="008C46D6">
        <w:tc>
          <w:tcPr>
            <w:tcW w:w="4788" w:type="dxa"/>
            <w:vAlign w:val="bottom"/>
          </w:tcPr>
          <w:p w14:paraId="1452B5BE" w14:textId="757DAAD0" w:rsidR="00884AFA" w:rsidRPr="00884AFA" w:rsidRDefault="00884AFA" w:rsidP="00884AFA">
            <w:pPr>
              <w:rPr>
                <w:bCs/>
                <w:szCs w:val="20"/>
              </w:rPr>
            </w:pPr>
            <w:r w:rsidRPr="00884AFA">
              <w:rPr>
                <w:bCs/>
                <w:i/>
                <w:iCs/>
                <w:szCs w:val="20"/>
              </w:rPr>
              <w:t>Нечести</w:t>
            </w:r>
          </w:p>
        </w:tc>
        <w:tc>
          <w:tcPr>
            <w:tcW w:w="4788" w:type="dxa"/>
            <w:vAlign w:val="bottom"/>
          </w:tcPr>
          <w:p w14:paraId="4412E81B" w14:textId="710ED4D0" w:rsidR="00884AFA" w:rsidRPr="00884AFA" w:rsidRDefault="00884AFA" w:rsidP="00884AFA">
            <w:pPr>
              <w:rPr>
                <w:bCs/>
                <w:szCs w:val="20"/>
              </w:rPr>
            </w:pPr>
            <w:r w:rsidRPr="00884AFA">
              <w:rPr>
                <w:bCs/>
                <w:szCs w:val="20"/>
              </w:rPr>
              <w:t>тахикардия</w:t>
            </w:r>
          </w:p>
        </w:tc>
      </w:tr>
      <w:tr w:rsidR="00884AFA" w14:paraId="641A21A1" w14:textId="77777777" w:rsidTr="00E27B2C">
        <w:tc>
          <w:tcPr>
            <w:tcW w:w="9576" w:type="dxa"/>
            <w:gridSpan w:val="2"/>
            <w:vAlign w:val="center"/>
          </w:tcPr>
          <w:p w14:paraId="47215080" w14:textId="28E99E67" w:rsidR="00884AFA" w:rsidRPr="00884AFA" w:rsidRDefault="00884AFA" w:rsidP="00884AFA">
            <w:pPr>
              <w:rPr>
                <w:b/>
                <w:bCs/>
                <w:szCs w:val="20"/>
              </w:rPr>
            </w:pPr>
            <w:r w:rsidRPr="00884AFA">
              <w:rPr>
                <w:b/>
                <w:bCs/>
                <w:szCs w:val="20"/>
              </w:rPr>
              <w:t>Съдови нарушения</w:t>
            </w:r>
          </w:p>
        </w:tc>
      </w:tr>
      <w:tr w:rsidR="00884AFA" w14:paraId="403BB86E" w14:textId="77777777" w:rsidTr="008C46D6">
        <w:tc>
          <w:tcPr>
            <w:tcW w:w="4788" w:type="dxa"/>
            <w:vAlign w:val="center"/>
          </w:tcPr>
          <w:p w14:paraId="7A74AAD5" w14:textId="1B95DD0F" w:rsidR="00884AFA" w:rsidRPr="00884AFA" w:rsidRDefault="00884AFA" w:rsidP="00884AFA">
            <w:pPr>
              <w:rPr>
                <w:bCs/>
                <w:szCs w:val="20"/>
              </w:rPr>
            </w:pPr>
            <w:r w:rsidRPr="00884AFA">
              <w:rPr>
                <w:bCs/>
                <w:i/>
                <w:iCs/>
                <w:szCs w:val="20"/>
              </w:rPr>
              <w:t>Чести</w:t>
            </w:r>
          </w:p>
        </w:tc>
        <w:tc>
          <w:tcPr>
            <w:tcW w:w="4788" w:type="dxa"/>
            <w:vAlign w:val="bottom"/>
          </w:tcPr>
          <w:p w14:paraId="68CA9ED1" w14:textId="6B3506B0" w:rsidR="00884AFA" w:rsidRPr="00884AFA" w:rsidRDefault="00884AFA" w:rsidP="00884AFA">
            <w:pPr>
              <w:rPr>
                <w:bCs/>
                <w:szCs w:val="20"/>
              </w:rPr>
            </w:pPr>
            <w:r w:rsidRPr="00884AFA">
              <w:rPr>
                <w:bCs/>
                <w:szCs w:val="20"/>
              </w:rPr>
              <w:t>хипотония</w:t>
            </w:r>
          </w:p>
        </w:tc>
      </w:tr>
      <w:tr w:rsidR="00884AFA" w14:paraId="6A5F8671" w14:textId="77777777" w:rsidTr="008C46D6">
        <w:tc>
          <w:tcPr>
            <w:tcW w:w="4788" w:type="dxa"/>
            <w:vAlign w:val="center"/>
          </w:tcPr>
          <w:p w14:paraId="5989033D" w14:textId="3F552C22" w:rsidR="00884AFA" w:rsidRPr="00884AFA" w:rsidRDefault="00884AFA" w:rsidP="00884AFA">
            <w:pPr>
              <w:rPr>
                <w:bCs/>
                <w:szCs w:val="20"/>
              </w:rPr>
            </w:pPr>
            <w:r w:rsidRPr="00884AFA">
              <w:rPr>
                <w:bCs/>
                <w:i/>
                <w:iCs/>
                <w:szCs w:val="20"/>
              </w:rPr>
              <w:t>Нечести</w:t>
            </w:r>
          </w:p>
        </w:tc>
        <w:tc>
          <w:tcPr>
            <w:tcW w:w="4788" w:type="dxa"/>
            <w:vAlign w:val="bottom"/>
          </w:tcPr>
          <w:p w14:paraId="784E2E9F" w14:textId="418AFAA1" w:rsidR="00884AFA" w:rsidRPr="00884AFA" w:rsidRDefault="00884AFA" w:rsidP="00884AFA">
            <w:pPr>
              <w:rPr>
                <w:bCs/>
                <w:szCs w:val="20"/>
              </w:rPr>
            </w:pPr>
            <w:r w:rsidRPr="00884AFA">
              <w:rPr>
                <w:bCs/>
                <w:szCs w:val="20"/>
              </w:rPr>
              <w:t>артериална тромбоза на крайник, ортостатична хипотония</w:t>
            </w:r>
          </w:p>
        </w:tc>
      </w:tr>
      <w:tr w:rsidR="00884AFA" w14:paraId="3D662C0B" w14:textId="77777777" w:rsidTr="00E20BAE">
        <w:tc>
          <w:tcPr>
            <w:tcW w:w="9576" w:type="dxa"/>
            <w:gridSpan w:val="2"/>
            <w:vAlign w:val="bottom"/>
          </w:tcPr>
          <w:p w14:paraId="670EC9F2" w14:textId="5097BBC8" w:rsidR="00884AFA" w:rsidRPr="00884AFA" w:rsidRDefault="00884AFA" w:rsidP="00884AFA">
            <w:pPr>
              <w:rPr>
                <w:b/>
                <w:bCs/>
                <w:szCs w:val="20"/>
              </w:rPr>
            </w:pPr>
            <w:r w:rsidRPr="00884AFA">
              <w:rPr>
                <w:b/>
                <w:bCs/>
                <w:szCs w:val="20"/>
              </w:rPr>
              <w:t>Респираторни, гръдни и медиастинални нарушения</w:t>
            </w:r>
          </w:p>
        </w:tc>
      </w:tr>
      <w:tr w:rsidR="00884AFA" w14:paraId="1E5C8A84" w14:textId="77777777" w:rsidTr="00884AFA">
        <w:tc>
          <w:tcPr>
            <w:tcW w:w="4788" w:type="dxa"/>
          </w:tcPr>
          <w:p w14:paraId="13B487C0" w14:textId="6F92394F" w:rsidR="00884AFA" w:rsidRPr="00884AFA" w:rsidRDefault="00884AFA" w:rsidP="00884AFA">
            <w:pPr>
              <w:rPr>
                <w:bCs/>
                <w:szCs w:val="20"/>
              </w:rPr>
            </w:pPr>
            <w:r w:rsidRPr="00884AFA">
              <w:rPr>
                <w:bCs/>
                <w:i/>
                <w:iCs/>
                <w:szCs w:val="20"/>
              </w:rPr>
              <w:t>Чести</w:t>
            </w:r>
          </w:p>
        </w:tc>
        <w:tc>
          <w:tcPr>
            <w:tcW w:w="4788" w:type="dxa"/>
          </w:tcPr>
          <w:p w14:paraId="0FC89DDB" w14:textId="57AD6D7B" w:rsidR="00884AFA" w:rsidRPr="00884AFA" w:rsidRDefault="00884AFA" w:rsidP="00884AFA">
            <w:pPr>
              <w:rPr>
                <w:bCs/>
                <w:szCs w:val="20"/>
              </w:rPr>
            </w:pPr>
            <w:r w:rsidRPr="00884AFA">
              <w:rPr>
                <w:bCs/>
                <w:szCs w:val="20"/>
              </w:rPr>
              <w:t>кашлица</w:t>
            </w:r>
          </w:p>
        </w:tc>
      </w:tr>
      <w:tr w:rsidR="00884AFA" w14:paraId="1F5B5040" w14:textId="77777777" w:rsidTr="002D52D4">
        <w:tc>
          <w:tcPr>
            <w:tcW w:w="9576" w:type="dxa"/>
            <w:gridSpan w:val="2"/>
            <w:vAlign w:val="bottom"/>
          </w:tcPr>
          <w:p w14:paraId="68264614" w14:textId="5660758F" w:rsidR="00884AFA" w:rsidRPr="00884AFA" w:rsidRDefault="00884AFA" w:rsidP="00884AFA">
            <w:pPr>
              <w:rPr>
                <w:b/>
                <w:bCs/>
                <w:szCs w:val="20"/>
              </w:rPr>
            </w:pPr>
            <w:r w:rsidRPr="00884AFA">
              <w:rPr>
                <w:b/>
                <w:bCs/>
                <w:szCs w:val="20"/>
              </w:rPr>
              <w:t>Стомашно-чревни нарушения</w:t>
            </w:r>
          </w:p>
        </w:tc>
      </w:tr>
      <w:tr w:rsidR="00884AFA" w14:paraId="3421EFDE" w14:textId="77777777" w:rsidTr="00372F61">
        <w:tc>
          <w:tcPr>
            <w:tcW w:w="4788" w:type="dxa"/>
          </w:tcPr>
          <w:p w14:paraId="0D2258B5" w14:textId="4E10E081" w:rsidR="00884AFA" w:rsidRPr="00884AFA" w:rsidRDefault="00884AFA" w:rsidP="00884AFA">
            <w:pPr>
              <w:rPr>
                <w:bCs/>
                <w:szCs w:val="20"/>
              </w:rPr>
            </w:pPr>
            <w:r w:rsidRPr="00884AFA">
              <w:rPr>
                <w:bCs/>
                <w:i/>
                <w:iCs/>
                <w:szCs w:val="20"/>
              </w:rPr>
              <w:t>Чести</w:t>
            </w:r>
          </w:p>
        </w:tc>
        <w:tc>
          <w:tcPr>
            <w:tcW w:w="4788" w:type="dxa"/>
            <w:vAlign w:val="bottom"/>
          </w:tcPr>
          <w:p w14:paraId="79B1C6BB" w14:textId="7881A6AD" w:rsidR="00884AFA" w:rsidRPr="00884AFA" w:rsidRDefault="00884AFA" w:rsidP="00884AFA">
            <w:pPr>
              <w:rPr>
                <w:bCs/>
                <w:szCs w:val="20"/>
              </w:rPr>
            </w:pPr>
            <w:r w:rsidRPr="00884AFA">
              <w:rPr>
                <w:bCs/>
                <w:szCs w:val="20"/>
              </w:rPr>
              <w:t>диария, гадене, запек, повръщане</w:t>
            </w:r>
          </w:p>
        </w:tc>
      </w:tr>
      <w:tr w:rsidR="00884AFA" w14:paraId="5EFA5081" w14:textId="77777777" w:rsidTr="00372F61">
        <w:tc>
          <w:tcPr>
            <w:tcW w:w="4788" w:type="dxa"/>
            <w:vAlign w:val="center"/>
          </w:tcPr>
          <w:p w14:paraId="14FBDBE9" w14:textId="20E437AE" w:rsidR="00884AFA" w:rsidRPr="00884AFA" w:rsidRDefault="00884AFA" w:rsidP="00884AFA">
            <w:pPr>
              <w:rPr>
                <w:bCs/>
                <w:szCs w:val="20"/>
              </w:rPr>
            </w:pPr>
            <w:r w:rsidRPr="00884AFA">
              <w:rPr>
                <w:bCs/>
                <w:i/>
                <w:iCs/>
                <w:szCs w:val="20"/>
              </w:rPr>
              <w:t>Нечести</w:t>
            </w:r>
          </w:p>
        </w:tc>
        <w:tc>
          <w:tcPr>
            <w:tcW w:w="4788" w:type="dxa"/>
            <w:vAlign w:val="center"/>
          </w:tcPr>
          <w:p w14:paraId="1D303F55" w14:textId="6E38D95D" w:rsidR="00884AFA" w:rsidRPr="00884AFA" w:rsidRDefault="00884AFA" w:rsidP="00884AFA">
            <w:pPr>
              <w:rPr>
                <w:bCs/>
                <w:szCs w:val="20"/>
              </w:rPr>
            </w:pPr>
            <w:r w:rsidRPr="00884AFA">
              <w:rPr>
                <w:bCs/>
                <w:szCs w:val="20"/>
              </w:rPr>
              <w:t>флатуленция</w:t>
            </w:r>
          </w:p>
        </w:tc>
      </w:tr>
      <w:tr w:rsidR="00884AFA" w14:paraId="3CDD0CAC" w14:textId="77777777" w:rsidTr="00374A01">
        <w:tc>
          <w:tcPr>
            <w:tcW w:w="9576" w:type="dxa"/>
            <w:gridSpan w:val="2"/>
            <w:vAlign w:val="bottom"/>
          </w:tcPr>
          <w:p w14:paraId="515B767A" w14:textId="5AA1A9EC" w:rsidR="00884AFA" w:rsidRPr="00884AFA" w:rsidRDefault="00884AFA" w:rsidP="00884AFA">
            <w:pPr>
              <w:rPr>
                <w:b/>
                <w:bCs/>
                <w:szCs w:val="20"/>
              </w:rPr>
            </w:pPr>
            <w:r w:rsidRPr="00884AFA">
              <w:rPr>
                <w:b/>
                <w:bCs/>
                <w:szCs w:val="20"/>
              </w:rPr>
              <w:t>Нарушения на кожата и подкожната тъкан</w:t>
            </w:r>
          </w:p>
        </w:tc>
      </w:tr>
      <w:tr w:rsidR="00884AFA" w14:paraId="63319643" w14:textId="77777777" w:rsidTr="00884AFA">
        <w:tc>
          <w:tcPr>
            <w:tcW w:w="4788" w:type="dxa"/>
          </w:tcPr>
          <w:p w14:paraId="073C00F9" w14:textId="2ACA51BC" w:rsidR="00884AFA" w:rsidRPr="00884AFA" w:rsidRDefault="00884AFA" w:rsidP="00884AFA">
            <w:pPr>
              <w:rPr>
                <w:bCs/>
                <w:szCs w:val="20"/>
              </w:rPr>
            </w:pPr>
            <w:r w:rsidRPr="00884AFA">
              <w:rPr>
                <w:bCs/>
                <w:i/>
                <w:iCs/>
                <w:szCs w:val="20"/>
              </w:rPr>
              <w:lastRenderedPageBreak/>
              <w:t>Чести</w:t>
            </w:r>
          </w:p>
        </w:tc>
        <w:tc>
          <w:tcPr>
            <w:tcW w:w="4788" w:type="dxa"/>
          </w:tcPr>
          <w:p w14:paraId="23FE05CF" w14:textId="2EAE6247" w:rsidR="00884AFA" w:rsidRPr="00884AFA" w:rsidRDefault="00884AFA" w:rsidP="00884AFA">
            <w:pPr>
              <w:rPr>
                <w:bCs/>
                <w:szCs w:val="20"/>
              </w:rPr>
            </w:pPr>
            <w:r w:rsidRPr="00884AFA">
              <w:rPr>
                <w:bCs/>
                <w:szCs w:val="20"/>
              </w:rPr>
              <w:t>обрив, пруритус</w:t>
            </w:r>
          </w:p>
        </w:tc>
      </w:tr>
      <w:tr w:rsidR="00884AFA" w14:paraId="395FB60C" w14:textId="77777777" w:rsidTr="00656D99">
        <w:tc>
          <w:tcPr>
            <w:tcW w:w="4788" w:type="dxa"/>
            <w:vAlign w:val="bottom"/>
          </w:tcPr>
          <w:p w14:paraId="005E6DCC" w14:textId="72FD147B" w:rsidR="00884AFA" w:rsidRPr="00884AFA" w:rsidRDefault="00884AFA" w:rsidP="00884AFA">
            <w:pPr>
              <w:rPr>
                <w:bCs/>
                <w:szCs w:val="20"/>
              </w:rPr>
            </w:pPr>
            <w:r w:rsidRPr="00884AFA">
              <w:rPr>
                <w:bCs/>
                <w:i/>
                <w:iCs/>
                <w:szCs w:val="20"/>
              </w:rPr>
              <w:t>Нечести</w:t>
            </w:r>
          </w:p>
        </w:tc>
        <w:tc>
          <w:tcPr>
            <w:tcW w:w="4788" w:type="dxa"/>
            <w:vAlign w:val="bottom"/>
          </w:tcPr>
          <w:p w14:paraId="41A6DC56" w14:textId="7207B8F4" w:rsidR="00884AFA" w:rsidRPr="00884AFA" w:rsidRDefault="00884AFA" w:rsidP="00884AFA">
            <w:pPr>
              <w:rPr>
                <w:bCs/>
                <w:szCs w:val="20"/>
              </w:rPr>
            </w:pPr>
            <w:r w:rsidRPr="00884AFA">
              <w:rPr>
                <w:bCs/>
                <w:szCs w:val="20"/>
              </w:rPr>
              <w:t>ангиоедем, хиперхидроза</w:t>
            </w:r>
          </w:p>
        </w:tc>
      </w:tr>
      <w:tr w:rsidR="00884AFA" w14:paraId="78D48F18" w14:textId="77777777" w:rsidTr="003C043B">
        <w:tc>
          <w:tcPr>
            <w:tcW w:w="9576" w:type="dxa"/>
            <w:gridSpan w:val="2"/>
            <w:vAlign w:val="bottom"/>
          </w:tcPr>
          <w:p w14:paraId="192D459E" w14:textId="7DDD4833" w:rsidR="00884AFA" w:rsidRPr="00884AFA" w:rsidRDefault="00884AFA" w:rsidP="00884AFA">
            <w:pPr>
              <w:rPr>
                <w:b/>
                <w:bCs/>
                <w:szCs w:val="20"/>
              </w:rPr>
            </w:pPr>
            <w:r w:rsidRPr="00884AFA">
              <w:rPr>
                <w:b/>
                <w:bCs/>
                <w:szCs w:val="20"/>
              </w:rPr>
              <w:t>Нарушения на мускулноскелетната система и съединителната тъкан</w:t>
            </w:r>
          </w:p>
        </w:tc>
      </w:tr>
      <w:tr w:rsidR="00884AFA" w14:paraId="0D2CA40F" w14:textId="77777777" w:rsidTr="00884AFA">
        <w:tc>
          <w:tcPr>
            <w:tcW w:w="4788" w:type="dxa"/>
          </w:tcPr>
          <w:p w14:paraId="0D827D9D" w14:textId="57961952" w:rsidR="00884AFA" w:rsidRPr="00884AFA" w:rsidRDefault="00884AFA" w:rsidP="00884AFA">
            <w:pPr>
              <w:rPr>
                <w:bCs/>
                <w:szCs w:val="20"/>
              </w:rPr>
            </w:pPr>
            <w:r w:rsidRPr="00884AFA">
              <w:rPr>
                <w:bCs/>
                <w:i/>
                <w:iCs/>
                <w:szCs w:val="20"/>
              </w:rPr>
              <w:t>Чести</w:t>
            </w:r>
          </w:p>
        </w:tc>
        <w:tc>
          <w:tcPr>
            <w:tcW w:w="4788" w:type="dxa"/>
          </w:tcPr>
          <w:p w14:paraId="6219A71B" w14:textId="34565254" w:rsidR="00884AFA" w:rsidRPr="00884AFA" w:rsidRDefault="00884AFA" w:rsidP="00884AFA">
            <w:pPr>
              <w:rPr>
                <w:bCs/>
                <w:szCs w:val="20"/>
              </w:rPr>
            </w:pPr>
            <w:r w:rsidRPr="00884AFA">
              <w:rPr>
                <w:bCs/>
                <w:szCs w:val="20"/>
              </w:rPr>
              <w:t>мускулни спазми, болки в гърба</w:t>
            </w:r>
          </w:p>
        </w:tc>
      </w:tr>
      <w:tr w:rsidR="00884AFA" w14:paraId="4014E35C" w14:textId="77777777" w:rsidTr="00656D99">
        <w:tc>
          <w:tcPr>
            <w:tcW w:w="4788" w:type="dxa"/>
            <w:vAlign w:val="bottom"/>
          </w:tcPr>
          <w:p w14:paraId="049E807C" w14:textId="6EA13DCC" w:rsidR="00884AFA" w:rsidRPr="00884AFA" w:rsidRDefault="00884AFA" w:rsidP="00884AFA">
            <w:pPr>
              <w:rPr>
                <w:bCs/>
                <w:szCs w:val="20"/>
              </w:rPr>
            </w:pPr>
            <w:r w:rsidRPr="00884AFA">
              <w:rPr>
                <w:bCs/>
                <w:i/>
                <w:iCs/>
                <w:szCs w:val="20"/>
              </w:rPr>
              <w:t>Нечести</w:t>
            </w:r>
          </w:p>
        </w:tc>
        <w:tc>
          <w:tcPr>
            <w:tcW w:w="4788" w:type="dxa"/>
            <w:vAlign w:val="bottom"/>
          </w:tcPr>
          <w:p w14:paraId="4FB3CEE4" w14:textId="3ACCC0C8" w:rsidR="00884AFA" w:rsidRPr="00884AFA" w:rsidRDefault="00884AFA" w:rsidP="00884AFA">
            <w:pPr>
              <w:rPr>
                <w:bCs/>
                <w:szCs w:val="20"/>
              </w:rPr>
            </w:pPr>
            <w:r w:rsidRPr="00884AFA">
              <w:rPr>
                <w:bCs/>
                <w:szCs w:val="20"/>
              </w:rPr>
              <w:t>мускулно-скелетна болка</w:t>
            </w:r>
          </w:p>
        </w:tc>
      </w:tr>
      <w:tr w:rsidR="00884AFA" w14:paraId="1EF0708A" w14:textId="77777777" w:rsidTr="0084135D">
        <w:tc>
          <w:tcPr>
            <w:tcW w:w="9576" w:type="dxa"/>
            <w:gridSpan w:val="2"/>
            <w:vAlign w:val="bottom"/>
          </w:tcPr>
          <w:p w14:paraId="00217775" w14:textId="0021B45C" w:rsidR="00884AFA" w:rsidRPr="00884AFA" w:rsidRDefault="00884AFA" w:rsidP="00884AFA">
            <w:pPr>
              <w:rPr>
                <w:b/>
                <w:bCs/>
                <w:szCs w:val="20"/>
              </w:rPr>
            </w:pPr>
            <w:r w:rsidRPr="00884AFA">
              <w:rPr>
                <w:b/>
                <w:bCs/>
                <w:szCs w:val="20"/>
              </w:rPr>
              <w:t>Нарушения на бъбреците и пикочните пътища</w:t>
            </w:r>
          </w:p>
        </w:tc>
      </w:tr>
      <w:tr w:rsidR="00884AFA" w14:paraId="09399C3D" w14:textId="77777777" w:rsidTr="00884AFA">
        <w:tc>
          <w:tcPr>
            <w:tcW w:w="4788" w:type="dxa"/>
          </w:tcPr>
          <w:p w14:paraId="091A17FC" w14:textId="69A1E0B4" w:rsidR="00884AFA" w:rsidRPr="00884AFA" w:rsidRDefault="00884AFA" w:rsidP="00884AFA">
            <w:pPr>
              <w:rPr>
                <w:bCs/>
                <w:szCs w:val="20"/>
              </w:rPr>
            </w:pPr>
            <w:r w:rsidRPr="00884AFA">
              <w:rPr>
                <w:bCs/>
                <w:i/>
                <w:iCs/>
                <w:szCs w:val="20"/>
              </w:rPr>
              <w:t>Чести</w:t>
            </w:r>
          </w:p>
        </w:tc>
        <w:tc>
          <w:tcPr>
            <w:tcW w:w="4788" w:type="dxa"/>
          </w:tcPr>
          <w:p w14:paraId="4916C2BD" w14:textId="023642F8" w:rsidR="00884AFA" w:rsidRPr="00884AFA" w:rsidRDefault="00884AFA" w:rsidP="00884AFA">
            <w:pPr>
              <w:rPr>
                <w:bCs/>
                <w:szCs w:val="20"/>
              </w:rPr>
            </w:pPr>
            <w:r w:rsidRPr="00884AFA">
              <w:rPr>
                <w:bCs/>
                <w:szCs w:val="20"/>
              </w:rPr>
              <w:t>бъбречно увреждане (вж. точки 4.4 и 4.5)</w:t>
            </w:r>
          </w:p>
        </w:tc>
      </w:tr>
      <w:tr w:rsidR="00884AFA" w14:paraId="060A9054" w14:textId="77777777" w:rsidTr="00B76E15">
        <w:tc>
          <w:tcPr>
            <w:tcW w:w="9576" w:type="dxa"/>
            <w:gridSpan w:val="2"/>
            <w:vAlign w:val="bottom"/>
          </w:tcPr>
          <w:p w14:paraId="59D61C5A" w14:textId="62E491F5" w:rsidR="00884AFA" w:rsidRPr="00884AFA" w:rsidRDefault="00884AFA" w:rsidP="00884AFA">
            <w:pPr>
              <w:rPr>
                <w:b/>
                <w:bCs/>
                <w:szCs w:val="20"/>
              </w:rPr>
            </w:pPr>
            <w:r w:rsidRPr="00884AFA">
              <w:rPr>
                <w:b/>
                <w:bCs/>
                <w:szCs w:val="20"/>
              </w:rPr>
              <w:t>Хепатобилиарни нарушения</w:t>
            </w:r>
          </w:p>
        </w:tc>
      </w:tr>
      <w:tr w:rsidR="00884AFA" w14:paraId="4A927205" w14:textId="77777777" w:rsidTr="00884AFA">
        <w:tc>
          <w:tcPr>
            <w:tcW w:w="4788" w:type="dxa"/>
          </w:tcPr>
          <w:p w14:paraId="5E4F92A6" w14:textId="6BFD323D" w:rsidR="00884AFA" w:rsidRPr="00884AFA" w:rsidRDefault="00884AFA" w:rsidP="00884AFA">
            <w:pPr>
              <w:rPr>
                <w:bCs/>
                <w:szCs w:val="20"/>
              </w:rPr>
            </w:pPr>
            <w:r w:rsidRPr="00884AFA">
              <w:rPr>
                <w:bCs/>
                <w:i/>
                <w:iCs/>
                <w:szCs w:val="20"/>
              </w:rPr>
              <w:t>Нечести</w:t>
            </w:r>
          </w:p>
        </w:tc>
        <w:tc>
          <w:tcPr>
            <w:tcW w:w="4788" w:type="dxa"/>
          </w:tcPr>
          <w:p w14:paraId="2DB9C39F" w14:textId="6B7D3556" w:rsidR="00884AFA" w:rsidRPr="00884AFA" w:rsidRDefault="00884AFA" w:rsidP="00884AFA">
            <w:pPr>
              <w:rPr>
                <w:bCs/>
                <w:szCs w:val="20"/>
              </w:rPr>
            </w:pPr>
            <w:r w:rsidRPr="00884AFA">
              <w:rPr>
                <w:bCs/>
                <w:szCs w:val="20"/>
              </w:rPr>
              <w:t>холецистит</w:t>
            </w:r>
          </w:p>
        </w:tc>
      </w:tr>
      <w:tr w:rsidR="00884AFA" w14:paraId="13A27066" w14:textId="77777777" w:rsidTr="003D317B">
        <w:tc>
          <w:tcPr>
            <w:tcW w:w="9576" w:type="dxa"/>
            <w:gridSpan w:val="2"/>
            <w:vAlign w:val="bottom"/>
          </w:tcPr>
          <w:p w14:paraId="2B73C6E8" w14:textId="70CE0877" w:rsidR="00884AFA" w:rsidRPr="00884AFA" w:rsidRDefault="00884AFA" w:rsidP="00884AFA">
            <w:pPr>
              <w:rPr>
                <w:b/>
                <w:bCs/>
                <w:szCs w:val="20"/>
              </w:rPr>
            </w:pPr>
            <w:r w:rsidRPr="00884AFA">
              <w:rPr>
                <w:b/>
                <w:bCs/>
                <w:szCs w:val="20"/>
              </w:rPr>
              <w:t>Нарушения на възпроизводителната система и гърдата</w:t>
            </w:r>
          </w:p>
        </w:tc>
      </w:tr>
      <w:tr w:rsidR="00884AFA" w14:paraId="6313452E" w14:textId="77777777" w:rsidTr="00884AFA">
        <w:tc>
          <w:tcPr>
            <w:tcW w:w="4788" w:type="dxa"/>
          </w:tcPr>
          <w:p w14:paraId="59BEC2C8" w14:textId="4B155E3E" w:rsidR="00884AFA" w:rsidRPr="00884AFA" w:rsidRDefault="00884AFA" w:rsidP="00884AFA">
            <w:pPr>
              <w:rPr>
                <w:bCs/>
                <w:szCs w:val="20"/>
              </w:rPr>
            </w:pPr>
            <w:r w:rsidRPr="00884AFA">
              <w:rPr>
                <w:bCs/>
                <w:i/>
                <w:iCs/>
                <w:szCs w:val="20"/>
              </w:rPr>
              <w:t>Нечести</w:t>
            </w:r>
          </w:p>
        </w:tc>
        <w:tc>
          <w:tcPr>
            <w:tcW w:w="4788" w:type="dxa"/>
          </w:tcPr>
          <w:p w14:paraId="064368AC" w14:textId="0DCD5F0C" w:rsidR="00884AFA" w:rsidRPr="00884AFA" w:rsidRDefault="00884AFA" w:rsidP="00884AFA">
            <w:pPr>
              <w:rPr>
                <w:bCs/>
                <w:szCs w:val="20"/>
              </w:rPr>
            </w:pPr>
            <w:r w:rsidRPr="00884AFA">
              <w:rPr>
                <w:bCs/>
                <w:szCs w:val="20"/>
              </w:rPr>
              <w:t>гинекомастия</w:t>
            </w:r>
          </w:p>
        </w:tc>
      </w:tr>
      <w:tr w:rsidR="00884AFA" w14:paraId="44A92E20" w14:textId="77777777" w:rsidTr="00FE02F9">
        <w:tc>
          <w:tcPr>
            <w:tcW w:w="9576" w:type="dxa"/>
            <w:gridSpan w:val="2"/>
            <w:vAlign w:val="bottom"/>
          </w:tcPr>
          <w:p w14:paraId="6203BE52" w14:textId="27052B1D" w:rsidR="00884AFA" w:rsidRPr="00884AFA" w:rsidRDefault="00884AFA" w:rsidP="00884AFA">
            <w:pPr>
              <w:rPr>
                <w:b/>
                <w:bCs/>
                <w:szCs w:val="20"/>
              </w:rPr>
            </w:pPr>
            <w:r w:rsidRPr="00884AFA">
              <w:rPr>
                <w:b/>
                <w:bCs/>
                <w:szCs w:val="20"/>
              </w:rPr>
              <w:t>Общи нарушения и ефекти на мястото на приложение</w:t>
            </w:r>
          </w:p>
        </w:tc>
      </w:tr>
      <w:tr w:rsidR="00884AFA" w14:paraId="77969FE8" w14:textId="77777777" w:rsidTr="00884AFA">
        <w:tc>
          <w:tcPr>
            <w:tcW w:w="4788" w:type="dxa"/>
          </w:tcPr>
          <w:p w14:paraId="295B4F67" w14:textId="6C37C2B7" w:rsidR="00884AFA" w:rsidRPr="00884AFA" w:rsidRDefault="00884AFA" w:rsidP="00884AFA">
            <w:pPr>
              <w:rPr>
                <w:bCs/>
                <w:szCs w:val="20"/>
              </w:rPr>
            </w:pPr>
            <w:r w:rsidRPr="00884AFA">
              <w:rPr>
                <w:bCs/>
                <w:i/>
                <w:iCs/>
                <w:szCs w:val="20"/>
              </w:rPr>
              <w:t>Чести</w:t>
            </w:r>
          </w:p>
        </w:tc>
        <w:tc>
          <w:tcPr>
            <w:tcW w:w="4788" w:type="dxa"/>
          </w:tcPr>
          <w:p w14:paraId="2F01EABA" w14:textId="3235CF62" w:rsidR="00884AFA" w:rsidRPr="00884AFA" w:rsidRDefault="00884AFA" w:rsidP="00884AFA">
            <w:pPr>
              <w:rPr>
                <w:bCs/>
                <w:szCs w:val="20"/>
              </w:rPr>
            </w:pPr>
            <w:r w:rsidRPr="00884AFA">
              <w:rPr>
                <w:bCs/>
                <w:szCs w:val="20"/>
              </w:rPr>
              <w:t>астения</w:t>
            </w:r>
          </w:p>
        </w:tc>
      </w:tr>
      <w:tr w:rsidR="00884AFA" w14:paraId="17AFD21C" w14:textId="77777777" w:rsidTr="00A811CC">
        <w:tc>
          <w:tcPr>
            <w:tcW w:w="4788" w:type="dxa"/>
            <w:vAlign w:val="bottom"/>
          </w:tcPr>
          <w:p w14:paraId="68818C47" w14:textId="5561A177" w:rsidR="00884AFA" w:rsidRPr="00884AFA" w:rsidRDefault="00884AFA" w:rsidP="00884AFA">
            <w:pPr>
              <w:rPr>
                <w:bCs/>
                <w:szCs w:val="20"/>
              </w:rPr>
            </w:pPr>
            <w:r w:rsidRPr="00884AFA">
              <w:rPr>
                <w:bCs/>
                <w:i/>
                <w:iCs/>
                <w:szCs w:val="20"/>
              </w:rPr>
              <w:t>Нечести</w:t>
            </w:r>
          </w:p>
        </w:tc>
        <w:tc>
          <w:tcPr>
            <w:tcW w:w="4788" w:type="dxa"/>
            <w:vAlign w:val="bottom"/>
          </w:tcPr>
          <w:p w14:paraId="4CEF6984" w14:textId="1D7C3B48" w:rsidR="00884AFA" w:rsidRPr="00884AFA" w:rsidRDefault="00884AFA" w:rsidP="00884AFA">
            <w:pPr>
              <w:rPr>
                <w:bCs/>
                <w:szCs w:val="20"/>
              </w:rPr>
            </w:pPr>
            <w:r w:rsidRPr="00884AFA">
              <w:rPr>
                <w:bCs/>
                <w:szCs w:val="20"/>
              </w:rPr>
              <w:t>неразположение</w:t>
            </w:r>
          </w:p>
        </w:tc>
      </w:tr>
      <w:tr w:rsidR="00884AFA" w14:paraId="6F3F042E" w14:textId="77777777" w:rsidTr="005F51AD">
        <w:tc>
          <w:tcPr>
            <w:tcW w:w="9576" w:type="dxa"/>
            <w:gridSpan w:val="2"/>
            <w:vAlign w:val="bottom"/>
          </w:tcPr>
          <w:p w14:paraId="0898F6C1" w14:textId="151BDA7B" w:rsidR="00884AFA" w:rsidRPr="00884AFA" w:rsidRDefault="00884AFA" w:rsidP="00884AFA">
            <w:pPr>
              <w:rPr>
                <w:b/>
                <w:bCs/>
                <w:szCs w:val="20"/>
              </w:rPr>
            </w:pPr>
            <w:r w:rsidRPr="00884AFA">
              <w:rPr>
                <w:b/>
                <w:bCs/>
                <w:szCs w:val="20"/>
              </w:rPr>
              <w:t>Изследвания</w:t>
            </w:r>
          </w:p>
        </w:tc>
      </w:tr>
      <w:tr w:rsidR="00884AFA" w14:paraId="723C7922" w14:textId="77777777" w:rsidTr="00884AFA">
        <w:tc>
          <w:tcPr>
            <w:tcW w:w="4788" w:type="dxa"/>
          </w:tcPr>
          <w:p w14:paraId="5F905025" w14:textId="562068CF" w:rsidR="00884AFA" w:rsidRPr="00884AFA" w:rsidRDefault="00884AFA" w:rsidP="00884AFA">
            <w:pPr>
              <w:rPr>
                <w:bCs/>
                <w:szCs w:val="20"/>
              </w:rPr>
            </w:pPr>
            <w:r w:rsidRPr="00884AFA">
              <w:rPr>
                <w:bCs/>
                <w:i/>
                <w:iCs/>
                <w:szCs w:val="20"/>
              </w:rPr>
              <w:t>Чести</w:t>
            </w:r>
          </w:p>
        </w:tc>
        <w:tc>
          <w:tcPr>
            <w:tcW w:w="4788" w:type="dxa"/>
          </w:tcPr>
          <w:p w14:paraId="3E5F89F6" w14:textId="3461C11D" w:rsidR="00884AFA" w:rsidRPr="00884AFA" w:rsidRDefault="00884AFA" w:rsidP="00884AFA">
            <w:pPr>
              <w:rPr>
                <w:bCs/>
                <w:szCs w:val="20"/>
              </w:rPr>
            </w:pPr>
            <w:r w:rsidRPr="00884AFA">
              <w:rPr>
                <w:bCs/>
                <w:szCs w:val="20"/>
              </w:rPr>
              <w:t>повишена урея в кръвта, повишен креатинин в кръвта</w:t>
            </w:r>
          </w:p>
        </w:tc>
      </w:tr>
      <w:tr w:rsidR="00884AFA" w14:paraId="26DE1832" w14:textId="77777777" w:rsidTr="00A811CC">
        <w:tc>
          <w:tcPr>
            <w:tcW w:w="4788" w:type="dxa"/>
          </w:tcPr>
          <w:p w14:paraId="14FFF43B" w14:textId="253A4F4D" w:rsidR="00884AFA" w:rsidRPr="00884AFA" w:rsidRDefault="00884AFA" w:rsidP="00884AFA">
            <w:pPr>
              <w:rPr>
                <w:bCs/>
                <w:szCs w:val="20"/>
              </w:rPr>
            </w:pPr>
            <w:r w:rsidRPr="00884AFA">
              <w:rPr>
                <w:bCs/>
                <w:i/>
                <w:iCs/>
                <w:szCs w:val="20"/>
              </w:rPr>
              <w:t>Нечести</w:t>
            </w:r>
          </w:p>
        </w:tc>
        <w:tc>
          <w:tcPr>
            <w:tcW w:w="4788" w:type="dxa"/>
            <w:vAlign w:val="bottom"/>
          </w:tcPr>
          <w:p w14:paraId="3A493E0C" w14:textId="490107AD" w:rsidR="00884AFA" w:rsidRPr="00884AFA" w:rsidRDefault="00884AFA" w:rsidP="00884AFA">
            <w:pPr>
              <w:rPr>
                <w:bCs/>
                <w:szCs w:val="20"/>
              </w:rPr>
            </w:pPr>
            <w:r w:rsidRPr="00884AFA">
              <w:rPr>
                <w:bCs/>
                <w:szCs w:val="20"/>
              </w:rPr>
              <w:t>понижена активност на рецептора на епидермалния растежен фактор, повишена глюкоза в кръвта</w:t>
            </w:r>
          </w:p>
        </w:tc>
      </w:tr>
    </w:tbl>
    <w:p w14:paraId="0D2633B6" w14:textId="77777777" w:rsidR="00884AFA" w:rsidRDefault="00884AFA" w:rsidP="00884AFA">
      <w:pPr>
        <w:spacing w:line="240" w:lineRule="auto"/>
        <w:rPr>
          <w:rFonts w:ascii="Times New Roman" w:eastAsia="Times New Roman" w:hAnsi="Times New Roman" w:cs="Times New Roman"/>
          <w:b/>
          <w:bCs/>
          <w:color w:val="000000"/>
          <w:sz w:val="20"/>
          <w:szCs w:val="20"/>
          <w:lang w:eastAsia="bg-BG"/>
        </w:rPr>
      </w:pPr>
    </w:p>
    <w:p w14:paraId="22010A74" w14:textId="1613B57D" w:rsidR="00884AFA" w:rsidRPr="00884AFA" w:rsidRDefault="00884AFA" w:rsidP="00884AFA">
      <w:pPr>
        <w:spacing w:line="240" w:lineRule="auto"/>
        <w:rPr>
          <w:rFonts w:eastAsia="Times New Roman" w:cs="Arial"/>
        </w:rPr>
      </w:pPr>
      <w:r w:rsidRPr="00884AFA">
        <w:rPr>
          <w:rFonts w:eastAsia="Times New Roman" w:cs="Arial"/>
          <w:bCs/>
          <w:color w:val="000000"/>
          <w:lang w:eastAsia="bg-BG"/>
        </w:rPr>
        <w:t xml:space="preserve">В проучването </w:t>
      </w:r>
      <w:r w:rsidRPr="00884AFA">
        <w:rPr>
          <w:rFonts w:eastAsia="Times New Roman" w:cs="Arial"/>
          <w:bCs/>
          <w:color w:val="000000"/>
          <w:lang w:val="en-US"/>
        </w:rPr>
        <w:t>EPHESUS</w:t>
      </w:r>
      <w:r w:rsidRPr="00884AFA">
        <w:rPr>
          <w:rFonts w:eastAsia="Times New Roman" w:cs="Arial"/>
          <w:bCs/>
          <w:color w:val="000000"/>
          <w:lang w:val="ru-RU"/>
        </w:rPr>
        <w:t xml:space="preserve"> </w:t>
      </w:r>
      <w:r w:rsidRPr="00884AFA">
        <w:rPr>
          <w:rFonts w:eastAsia="Times New Roman" w:cs="Arial"/>
          <w:bCs/>
          <w:color w:val="000000"/>
          <w:lang w:eastAsia="bg-BG"/>
        </w:rPr>
        <w:t xml:space="preserve">са били наблюдавани числено повече случаи на инсулт в групата пациенти в напреднала старческа възраст (≥ 75 години). Няма обаче статистическа значимост в разликата между честотата на инсулт в групата с еплеренон (30) и тази с плацебо (22). В </w:t>
      </w:r>
      <w:r w:rsidRPr="00884AFA">
        <w:rPr>
          <w:rFonts w:eastAsia="Times New Roman" w:cs="Arial"/>
          <w:bCs/>
          <w:color w:val="000000"/>
          <w:lang w:val="en-US"/>
        </w:rPr>
        <w:t>EMPHASIS</w:t>
      </w:r>
      <w:r w:rsidRPr="00884AFA">
        <w:rPr>
          <w:rFonts w:eastAsia="Times New Roman" w:cs="Arial"/>
          <w:bCs/>
          <w:color w:val="000000"/>
          <w:lang w:val="ru-RU"/>
        </w:rPr>
        <w:t>-</w:t>
      </w:r>
      <w:r w:rsidRPr="00884AFA">
        <w:rPr>
          <w:rFonts w:eastAsia="Times New Roman" w:cs="Arial"/>
          <w:bCs/>
          <w:color w:val="000000"/>
          <w:lang w:val="en-US"/>
        </w:rPr>
        <w:t>HF</w:t>
      </w:r>
      <w:r w:rsidRPr="00884AFA">
        <w:rPr>
          <w:rFonts w:eastAsia="Times New Roman" w:cs="Arial"/>
          <w:bCs/>
          <w:color w:val="000000"/>
          <w:lang w:val="ru-RU"/>
        </w:rPr>
        <w:t xml:space="preserve"> </w:t>
      </w:r>
      <w:r w:rsidRPr="00884AFA">
        <w:rPr>
          <w:rFonts w:eastAsia="Times New Roman" w:cs="Arial"/>
          <w:bCs/>
          <w:color w:val="000000"/>
          <w:lang w:eastAsia="bg-BG"/>
        </w:rPr>
        <w:t>броят на случаите с инсулт при пациентите в напреднала старческа възраст (</w:t>
      </w:r>
      <w:r w:rsidRPr="00884AFA">
        <w:rPr>
          <w:rFonts w:eastAsia="Times New Roman" w:cs="Arial"/>
          <w:color w:val="000000"/>
          <w:lang w:eastAsia="bg-BG"/>
        </w:rPr>
        <w:t>≥</w:t>
      </w:r>
      <w:r w:rsidRPr="00884AFA">
        <w:rPr>
          <w:rFonts w:eastAsia="Times New Roman" w:cs="Arial"/>
          <w:bCs/>
          <w:color w:val="000000"/>
          <w:lang w:eastAsia="bg-BG"/>
        </w:rPr>
        <w:t xml:space="preserve"> 75 години) е бил 9 в групата с еплеренон и 8 в групата с плацебо.</w:t>
      </w:r>
    </w:p>
    <w:p w14:paraId="2E693B46" w14:textId="77777777" w:rsidR="00884AFA" w:rsidRPr="00884AFA" w:rsidRDefault="00884AFA" w:rsidP="00884AFA">
      <w:pPr>
        <w:spacing w:line="240" w:lineRule="auto"/>
        <w:rPr>
          <w:rFonts w:eastAsia="Times New Roman" w:cs="Arial"/>
          <w:bCs/>
          <w:color w:val="000000"/>
          <w:u w:val="single"/>
          <w:lang w:eastAsia="bg-BG"/>
        </w:rPr>
      </w:pPr>
    </w:p>
    <w:p w14:paraId="1CFACCE6" w14:textId="1B3DD6E1" w:rsidR="00884AFA" w:rsidRPr="00884AFA" w:rsidRDefault="00884AFA" w:rsidP="00884AFA">
      <w:pPr>
        <w:spacing w:line="240" w:lineRule="auto"/>
        <w:rPr>
          <w:rFonts w:eastAsia="Times New Roman" w:cs="Arial"/>
        </w:rPr>
      </w:pPr>
      <w:r w:rsidRPr="00884AFA">
        <w:rPr>
          <w:rFonts w:eastAsia="Times New Roman" w:cs="Arial"/>
          <w:bCs/>
          <w:color w:val="000000"/>
          <w:u w:val="single"/>
          <w:lang w:eastAsia="bg-BG"/>
        </w:rPr>
        <w:t>Съобщаване на подозирани нежелани реакции</w:t>
      </w:r>
    </w:p>
    <w:p w14:paraId="7B8ED586" w14:textId="77777777" w:rsidR="00884AFA" w:rsidRPr="00884AFA" w:rsidRDefault="00884AFA" w:rsidP="00884AFA">
      <w:pPr>
        <w:spacing w:line="240" w:lineRule="auto"/>
        <w:rPr>
          <w:rFonts w:eastAsia="Times New Roman" w:cs="Arial"/>
          <w:bCs/>
          <w:color w:val="000000"/>
          <w:lang w:eastAsia="bg-BG"/>
        </w:rPr>
      </w:pPr>
      <w:r w:rsidRPr="00884AFA">
        <w:rPr>
          <w:rFonts w:eastAsia="Times New Roman" w:cs="Arial"/>
          <w:bCs/>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41B0A3EA" w14:textId="77777777" w:rsidR="00884AFA" w:rsidRPr="00884AFA" w:rsidRDefault="00884AFA" w:rsidP="00884AFA">
      <w:pPr>
        <w:spacing w:line="240" w:lineRule="auto"/>
        <w:rPr>
          <w:rFonts w:eastAsia="Times New Roman" w:cs="Arial"/>
          <w:bCs/>
          <w:color w:val="000000"/>
          <w:lang w:eastAsia="bg-BG"/>
        </w:rPr>
      </w:pPr>
      <w:r w:rsidRPr="00884AFA">
        <w:rPr>
          <w:rFonts w:eastAsia="Times New Roman" w:cs="Arial"/>
          <w:bCs/>
          <w:color w:val="000000"/>
          <w:lang w:eastAsia="bg-BG"/>
        </w:rPr>
        <w:t xml:space="preserve">ул. „Дамян Груев” № 8 </w:t>
      </w:r>
    </w:p>
    <w:p w14:paraId="33CDD72F" w14:textId="77777777" w:rsidR="00884AFA" w:rsidRPr="00884AFA" w:rsidRDefault="00884AFA" w:rsidP="00884AFA">
      <w:pPr>
        <w:spacing w:line="240" w:lineRule="auto"/>
        <w:rPr>
          <w:rFonts w:eastAsia="Times New Roman" w:cs="Arial"/>
          <w:bCs/>
          <w:color w:val="000000"/>
          <w:lang w:eastAsia="bg-BG"/>
        </w:rPr>
      </w:pPr>
      <w:r w:rsidRPr="00884AFA">
        <w:rPr>
          <w:rFonts w:eastAsia="Times New Roman" w:cs="Arial"/>
          <w:bCs/>
          <w:color w:val="000000"/>
          <w:lang w:eastAsia="bg-BG"/>
        </w:rPr>
        <w:t xml:space="preserve">1303 София </w:t>
      </w:r>
    </w:p>
    <w:p w14:paraId="6F84093E" w14:textId="77777777" w:rsidR="00884AFA" w:rsidRPr="00884AFA" w:rsidRDefault="00884AFA" w:rsidP="00884AFA">
      <w:pPr>
        <w:spacing w:line="240" w:lineRule="auto"/>
        <w:rPr>
          <w:rFonts w:eastAsia="Times New Roman" w:cs="Arial"/>
          <w:bCs/>
          <w:color w:val="000000"/>
          <w:lang w:eastAsia="bg-BG"/>
        </w:rPr>
      </w:pPr>
      <w:r w:rsidRPr="00884AFA">
        <w:rPr>
          <w:rFonts w:eastAsia="Times New Roman" w:cs="Arial"/>
          <w:bCs/>
          <w:color w:val="000000"/>
          <w:lang w:eastAsia="bg-BG"/>
        </w:rPr>
        <w:t xml:space="preserve">Тел.:+35 928903417 </w:t>
      </w:r>
    </w:p>
    <w:p w14:paraId="5C935557" w14:textId="7AC4EB4E" w:rsidR="00884AFA" w:rsidRPr="00884AFA" w:rsidRDefault="00884AFA" w:rsidP="00884AFA">
      <w:pPr>
        <w:spacing w:line="240" w:lineRule="auto"/>
        <w:rPr>
          <w:rFonts w:eastAsia="Times New Roman" w:cs="Arial"/>
        </w:rPr>
      </w:pPr>
      <w:r w:rsidRPr="00884AFA">
        <w:rPr>
          <w:rFonts w:eastAsia="Times New Roman" w:cs="Arial"/>
          <w:bCs/>
          <w:color w:val="000000"/>
          <w:lang w:eastAsia="bg-BG"/>
        </w:rPr>
        <w:t xml:space="preserve">уебсайт: </w:t>
      </w:r>
      <w:r w:rsidRPr="00884AFA">
        <w:rPr>
          <w:rFonts w:eastAsia="Times New Roman" w:cs="Arial"/>
        </w:rPr>
        <w:fldChar w:fldCharType="begin"/>
      </w:r>
      <w:r w:rsidRPr="00884AFA">
        <w:rPr>
          <w:rFonts w:eastAsia="Times New Roman" w:cs="Arial"/>
        </w:rPr>
        <w:instrText xml:space="preserve"> HYPERLINK "http://www.bda.bg" </w:instrText>
      </w:r>
      <w:r w:rsidRPr="00884AFA">
        <w:rPr>
          <w:rFonts w:eastAsia="Times New Roman" w:cs="Arial"/>
        </w:rPr>
      </w:r>
      <w:r w:rsidRPr="00884AFA">
        <w:rPr>
          <w:rFonts w:eastAsia="Times New Roman" w:cs="Arial"/>
        </w:rPr>
        <w:fldChar w:fldCharType="separate"/>
      </w:r>
      <w:r w:rsidRPr="00884AFA">
        <w:rPr>
          <w:rFonts w:eastAsia="Times New Roman" w:cs="Arial"/>
          <w:bCs/>
          <w:color w:val="000000"/>
          <w:lang w:val="en-US"/>
        </w:rPr>
        <w:t>www</w:t>
      </w:r>
      <w:r w:rsidRPr="00884AFA">
        <w:rPr>
          <w:rFonts w:eastAsia="Times New Roman" w:cs="Arial"/>
          <w:bCs/>
          <w:color w:val="000000"/>
          <w:lang w:val="ru-RU"/>
        </w:rPr>
        <w:t>.</w:t>
      </w:r>
      <w:proofErr w:type="spellStart"/>
      <w:r w:rsidRPr="00884AFA">
        <w:rPr>
          <w:rFonts w:eastAsia="Times New Roman" w:cs="Arial"/>
          <w:bCs/>
          <w:color w:val="000000"/>
          <w:lang w:val="en-US"/>
        </w:rPr>
        <w:t>bda</w:t>
      </w:r>
      <w:proofErr w:type="spellEnd"/>
      <w:r w:rsidRPr="00884AFA">
        <w:rPr>
          <w:rFonts w:eastAsia="Times New Roman" w:cs="Arial"/>
          <w:bCs/>
          <w:color w:val="000000"/>
          <w:lang w:val="ru-RU"/>
        </w:rPr>
        <w:t>.</w:t>
      </w:r>
      <w:proofErr w:type="spellStart"/>
      <w:r w:rsidRPr="00884AFA">
        <w:rPr>
          <w:rFonts w:eastAsia="Times New Roman" w:cs="Arial"/>
          <w:bCs/>
          <w:color w:val="000000"/>
          <w:lang w:val="en-US"/>
        </w:rPr>
        <w:t>bg</w:t>
      </w:r>
      <w:proofErr w:type="spellEnd"/>
      <w:r w:rsidRPr="00884AFA">
        <w:rPr>
          <w:rFonts w:eastAsia="Times New Roman" w:cs="Arial"/>
        </w:rPr>
        <w:fldChar w:fldCharType="end"/>
      </w:r>
    </w:p>
    <w:p w14:paraId="18983397" w14:textId="62D23836" w:rsidR="00884AFA" w:rsidRPr="00884AFA" w:rsidRDefault="00884AFA" w:rsidP="00884AFA"/>
    <w:p w14:paraId="5A87DBA3" w14:textId="487FEFBA" w:rsidR="007122AD" w:rsidRDefault="002C50EE" w:rsidP="00936AD0">
      <w:pPr>
        <w:pStyle w:val="Heading2"/>
      </w:pPr>
      <w:r>
        <w:t>4.9. Предозиране</w:t>
      </w:r>
    </w:p>
    <w:p w14:paraId="6F1C8EE1" w14:textId="35A2458D" w:rsidR="00884AFA" w:rsidRDefault="00884AFA" w:rsidP="00884AFA"/>
    <w:p w14:paraId="424943EB" w14:textId="77777777" w:rsidR="00884AFA" w:rsidRPr="00884AFA" w:rsidRDefault="00884AFA" w:rsidP="00884AFA">
      <w:pPr>
        <w:rPr>
          <w:sz w:val="24"/>
          <w:szCs w:val="24"/>
        </w:rPr>
      </w:pPr>
      <w:r w:rsidRPr="00884AFA">
        <w:rPr>
          <w:lang w:eastAsia="bg-BG"/>
        </w:rPr>
        <w:t>Не са съобщавани случаи на предозиране с еплеренон при хора.</w:t>
      </w:r>
    </w:p>
    <w:p w14:paraId="17C79ADE" w14:textId="77777777" w:rsidR="00884AFA" w:rsidRPr="00884AFA" w:rsidRDefault="00884AFA" w:rsidP="00884AFA">
      <w:pPr>
        <w:rPr>
          <w:sz w:val="24"/>
          <w:szCs w:val="24"/>
        </w:rPr>
      </w:pPr>
      <w:r w:rsidRPr="00884AFA">
        <w:rPr>
          <w:lang w:eastAsia="bg-BG"/>
        </w:rPr>
        <w:t>Най-вероятната очаквана проява на предозирането при човек би била хипотония или хиперкалиемия. Еплеренон не може да се отстранява чрез хемодиализа. Установено е, че еплеренон се свързва във висока степен с активен въглен. При евентуална поява на</w:t>
      </w:r>
      <w:r>
        <w:rPr>
          <w:lang w:eastAsia="bg-BG"/>
        </w:rPr>
        <w:t xml:space="preserve"> </w:t>
      </w:r>
      <w:r w:rsidRPr="00884AFA">
        <w:rPr>
          <w:lang w:eastAsia="bg-BG"/>
        </w:rPr>
        <w:t>симптоматична хипотония трябва да се започне поддържаща терапия. Ако се развие хиперкалиемия, трябва да се започне стандартно лечение.</w:t>
      </w:r>
    </w:p>
    <w:p w14:paraId="0FBF6D4F" w14:textId="3DD1287F" w:rsidR="00884AFA" w:rsidRPr="00884AFA" w:rsidRDefault="00884AFA" w:rsidP="00884AFA">
      <w:pPr>
        <w:spacing w:line="240" w:lineRule="auto"/>
        <w:rPr>
          <w:rFonts w:ascii="Times New Roman" w:eastAsia="Times New Roman" w:hAnsi="Times New Roman" w:cs="Times New Roman"/>
          <w:sz w:val="24"/>
          <w:szCs w:val="24"/>
        </w:rPr>
      </w:pPr>
    </w:p>
    <w:p w14:paraId="2D52F6C9" w14:textId="77777777" w:rsidR="00884AFA" w:rsidRPr="00884AFA" w:rsidRDefault="00884AFA" w:rsidP="00884AFA"/>
    <w:p w14:paraId="02081B24" w14:textId="1F46E296" w:rsidR="00395555" w:rsidRPr="00395555" w:rsidRDefault="002C50EE" w:rsidP="008A6AF2">
      <w:pPr>
        <w:pStyle w:val="Heading1"/>
      </w:pPr>
      <w:r>
        <w:t>5. ФАРМАКОЛОГИЧНИ СВОЙСТВА</w:t>
      </w:r>
    </w:p>
    <w:p w14:paraId="7DE36AC8" w14:textId="5F8CF67C" w:rsidR="00B6672E" w:rsidRDefault="002C50EE" w:rsidP="00936AD0">
      <w:pPr>
        <w:pStyle w:val="Heading2"/>
      </w:pPr>
      <w:r>
        <w:t>5.1. Фармакодинамични свойства</w:t>
      </w:r>
    </w:p>
    <w:p w14:paraId="3DD8E9F5" w14:textId="45943FF5" w:rsidR="00884AFA" w:rsidRDefault="00884AFA" w:rsidP="00884AFA"/>
    <w:p w14:paraId="61C6D34C"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Фармакотерапевтична група: алдостеронови антагонисти, АТС код: </w:t>
      </w:r>
      <w:r w:rsidRPr="00884AFA">
        <w:rPr>
          <w:rFonts w:eastAsia="Times New Roman" w:cs="Arial"/>
          <w:bCs/>
          <w:color w:val="000000"/>
          <w:szCs w:val="20"/>
          <w:lang w:val="en-US"/>
        </w:rPr>
        <w:t>C</w:t>
      </w:r>
      <w:r w:rsidRPr="00884AFA">
        <w:rPr>
          <w:rFonts w:eastAsia="Times New Roman" w:cs="Arial"/>
          <w:bCs/>
          <w:color w:val="000000"/>
          <w:szCs w:val="20"/>
          <w:lang w:val="ru-RU"/>
        </w:rPr>
        <w:t>03</w:t>
      </w:r>
      <w:r w:rsidRPr="00884AFA">
        <w:rPr>
          <w:rFonts w:eastAsia="Times New Roman" w:cs="Arial"/>
          <w:bCs/>
          <w:color w:val="000000"/>
          <w:szCs w:val="20"/>
          <w:lang w:val="en-US"/>
        </w:rPr>
        <w:t>DA</w:t>
      </w:r>
      <w:r w:rsidRPr="00884AFA">
        <w:rPr>
          <w:rFonts w:eastAsia="Times New Roman" w:cs="Arial"/>
          <w:bCs/>
          <w:color w:val="000000"/>
          <w:szCs w:val="20"/>
          <w:lang w:val="ru-RU"/>
        </w:rPr>
        <w:t>04</w:t>
      </w:r>
    </w:p>
    <w:p w14:paraId="1350EF01" w14:textId="77777777" w:rsidR="00884AFA" w:rsidRPr="00884AFA" w:rsidRDefault="00884AFA" w:rsidP="00884AFA">
      <w:pPr>
        <w:spacing w:line="240" w:lineRule="auto"/>
        <w:rPr>
          <w:rFonts w:eastAsia="Times New Roman" w:cs="Arial"/>
          <w:bCs/>
          <w:color w:val="000000"/>
          <w:szCs w:val="20"/>
          <w:u w:val="single"/>
          <w:lang w:eastAsia="bg-BG"/>
        </w:rPr>
      </w:pPr>
    </w:p>
    <w:p w14:paraId="23A4E43A" w14:textId="5DDA1B29"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u w:val="single"/>
          <w:lang w:eastAsia="bg-BG"/>
        </w:rPr>
        <w:t>Механизъм на действие</w:t>
      </w:r>
    </w:p>
    <w:p w14:paraId="07D441D7"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Еплеренон проявява относителна селективност при свързване с човешки рекомбинантни минералкортикоидни рецептори в сравнение със свързването му с човешки рекомбинантни глюкокортикоидни, прогестеронови и андрогенни рецептори. Еплеренон пречи на свързването на алдостерон - ключов хормон в системата ренин-ангиотензин-алдостерон </w:t>
      </w:r>
      <w:r w:rsidRPr="00884AFA">
        <w:rPr>
          <w:rFonts w:eastAsia="Times New Roman" w:cs="Arial"/>
          <w:bCs/>
          <w:color w:val="000000"/>
          <w:szCs w:val="20"/>
          <w:lang w:val="ru-RU"/>
        </w:rPr>
        <w:t>(</w:t>
      </w:r>
      <w:r w:rsidRPr="00884AFA">
        <w:rPr>
          <w:rFonts w:eastAsia="Times New Roman" w:cs="Arial"/>
          <w:bCs/>
          <w:color w:val="000000"/>
          <w:szCs w:val="20"/>
          <w:lang w:val="en-US"/>
        </w:rPr>
        <w:t>RAAS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който участва в регулирането на кръвното налягане и в патофизиологията на сърдечно-съдовите заболявания.</w:t>
      </w:r>
    </w:p>
    <w:p w14:paraId="158D88F1" w14:textId="77777777" w:rsidR="00884AFA" w:rsidRPr="00884AFA" w:rsidRDefault="00884AFA" w:rsidP="00884AFA">
      <w:pPr>
        <w:spacing w:line="240" w:lineRule="auto"/>
        <w:rPr>
          <w:rFonts w:eastAsia="Times New Roman" w:cs="Arial"/>
          <w:bCs/>
          <w:color w:val="000000"/>
          <w:szCs w:val="20"/>
          <w:u w:val="single"/>
          <w:lang w:eastAsia="bg-BG"/>
        </w:rPr>
      </w:pPr>
    </w:p>
    <w:p w14:paraId="74EE947E" w14:textId="22EDBD8D"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u w:val="single"/>
          <w:lang w:eastAsia="bg-BG"/>
        </w:rPr>
        <w:t>Фармакодинамични ефекти</w:t>
      </w:r>
    </w:p>
    <w:p w14:paraId="7FC3993C"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Установено е, че еплеренон предизвиква трайно повишаване на плазмения ренин и на серумния алдостерон, което съответства на инхибиране на негативния регулаторен ефект на алдостерон по механизма на обратната връзка върху секрецията на ренин. Полученото в резултат увеличение на активността на ренин в плазмата и на нивата на циркулиращия алдостерон не преодоляват ефектите на еплеренон.</w:t>
      </w:r>
    </w:p>
    <w:p w14:paraId="608C040E" w14:textId="77777777" w:rsidR="00884AFA" w:rsidRPr="00884AFA" w:rsidRDefault="00884AFA" w:rsidP="00884AFA">
      <w:pPr>
        <w:spacing w:line="240" w:lineRule="auto"/>
        <w:rPr>
          <w:rFonts w:eastAsia="Times New Roman" w:cs="Arial"/>
          <w:bCs/>
          <w:color w:val="000000"/>
          <w:szCs w:val="20"/>
          <w:lang w:eastAsia="bg-BG"/>
        </w:rPr>
      </w:pPr>
    </w:p>
    <w:p w14:paraId="1C887105" w14:textId="39648696" w:rsidR="00884AFA" w:rsidRPr="00884AFA" w:rsidRDefault="00884AFA" w:rsidP="00884AFA">
      <w:pPr>
        <w:spacing w:line="240" w:lineRule="auto"/>
        <w:rPr>
          <w:rFonts w:eastAsia="Times New Roman" w:cs="Arial"/>
          <w:bCs/>
          <w:color w:val="000000"/>
          <w:szCs w:val="20"/>
          <w:lang w:val="ru-RU"/>
        </w:rPr>
      </w:pPr>
      <w:r w:rsidRPr="00884AFA">
        <w:rPr>
          <w:rFonts w:eastAsia="Times New Roman" w:cs="Arial"/>
          <w:bCs/>
          <w:color w:val="000000"/>
          <w:szCs w:val="20"/>
          <w:lang w:eastAsia="bg-BG"/>
        </w:rPr>
        <w:t>В проучвания с вариращи дози при хронична сърдечна недостатъчност (П</w:t>
      </w:r>
      <w:r w:rsidRPr="00884AFA">
        <w:rPr>
          <w:rFonts w:eastAsia="Times New Roman" w:cs="Arial"/>
          <w:bCs/>
          <w:color w:val="000000"/>
          <w:szCs w:val="20"/>
          <w:lang w:val="ru-RU"/>
        </w:rPr>
        <w:t>-</w:t>
      </w:r>
      <w:r w:rsidRPr="00884AFA">
        <w:rPr>
          <w:rFonts w:eastAsia="Times New Roman" w:cs="Arial"/>
          <w:bCs/>
          <w:color w:val="000000"/>
          <w:szCs w:val="20"/>
          <w:lang w:val="en-US"/>
        </w:rPr>
        <w:t>IV</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клас по </w:t>
      </w:r>
      <w:r w:rsidRPr="00884AFA">
        <w:rPr>
          <w:rFonts w:eastAsia="Times New Roman" w:cs="Arial"/>
          <w:bCs/>
          <w:color w:val="000000"/>
          <w:szCs w:val="20"/>
          <w:lang w:val="en-US"/>
        </w:rPr>
        <w:t>NYHA</w:t>
      </w:r>
      <w:r w:rsidRPr="00884AFA">
        <w:rPr>
          <w:rFonts w:eastAsia="Times New Roman" w:cs="Arial"/>
          <w:bCs/>
          <w:color w:val="000000"/>
          <w:szCs w:val="20"/>
          <w:lang w:val="ru-RU"/>
        </w:rPr>
        <w:t xml:space="preserve">), </w:t>
      </w:r>
    </w:p>
    <w:p w14:paraId="0DDA8F8E" w14:textId="71CB3A4C"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добавянето на еплеренон към стандартното лечение е довело до очаквани дозозависими покачвания на алдостерона. Сходно, в кардиоренално подпроучване на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лечението с еплеренон е довело до значимо покачване на алдостерон. Тези резултати потвърждават блокадата на минералкортикоидния рецептор в тези популации.</w:t>
      </w:r>
    </w:p>
    <w:p w14:paraId="5039A619" w14:textId="77777777" w:rsidR="00884AFA" w:rsidRPr="00884AFA" w:rsidRDefault="00884AFA" w:rsidP="00884AFA">
      <w:pPr>
        <w:spacing w:line="240" w:lineRule="auto"/>
        <w:rPr>
          <w:rFonts w:eastAsia="Times New Roman" w:cs="Arial"/>
          <w:bCs/>
          <w:color w:val="000000"/>
          <w:szCs w:val="20"/>
          <w:lang w:eastAsia="bg-BG"/>
        </w:rPr>
      </w:pPr>
    </w:p>
    <w:p w14:paraId="14C1FEB3" w14:textId="76846593"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Еплеренон е проучен в проучването за ефикасност и преживяемост на еплеренон при сърдечна недостатъчност след остър миокарден инфаркт </w:t>
      </w:r>
      <w:r w:rsidRPr="00884AFA">
        <w:rPr>
          <w:rFonts w:eastAsia="Times New Roman" w:cs="Arial"/>
          <w:bCs/>
          <w:color w:val="000000"/>
          <w:szCs w:val="20"/>
          <w:lang w:val="ru-RU"/>
        </w:rPr>
        <w:t>(</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двойносляпо, плацебо- контролирано проучване с продължителност 3 години при 6632 пациенти с остър миокарден инфаркт (МИ), лявокамерна дисфункция (според измерената лявокамерна фракция на изтласкване </w:t>
      </w:r>
      <w:r w:rsidRPr="00884AFA">
        <w:rPr>
          <w:rFonts w:eastAsia="Times New Roman" w:cs="Arial"/>
          <w:bCs/>
          <w:color w:val="000000"/>
          <w:szCs w:val="20"/>
          <w:lang w:val="ru-RU"/>
        </w:rPr>
        <w:t>[</w:t>
      </w:r>
      <w:r w:rsidRPr="00884AFA">
        <w:rPr>
          <w:rFonts w:eastAsia="Times New Roman" w:cs="Arial"/>
          <w:bCs/>
          <w:color w:val="000000"/>
          <w:szCs w:val="20"/>
          <w:lang w:val="en-US"/>
        </w:rPr>
        <w:t>LVEF</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≤40%), и клинични прояви на сърдечна недостатъчност. В рамките на 3-14 дни (средно 7 дни) след остър МИ пациентите са получили еплеренон или плацебо в допълнение към стандартното лечение, в начална доза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и титрирана до прицелна доза 50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след 4 седмици, при условие че серумният калий е &lt;5,0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По време на проучването пациентите са получавали стандартно лечение включително ацетилсалицилова киселина (92%), АСЕ инхибитори (90%), бета-блокери (83%), нитрати (72%), бримкови диуретици (66%), или инхибитори на </w:t>
      </w:r>
      <w:r w:rsidRPr="00884AFA">
        <w:rPr>
          <w:rFonts w:eastAsia="Times New Roman" w:cs="Arial"/>
          <w:bCs/>
          <w:color w:val="000000"/>
          <w:szCs w:val="20"/>
          <w:lang w:val="en-US"/>
        </w:rPr>
        <w:t>HMG</w:t>
      </w:r>
      <w:r w:rsidRPr="00884AFA">
        <w:rPr>
          <w:rFonts w:eastAsia="Times New Roman" w:cs="Arial"/>
          <w:bCs/>
          <w:color w:val="000000"/>
          <w:szCs w:val="20"/>
          <w:lang w:eastAsia="bg-BG"/>
        </w:rPr>
        <w:t xml:space="preserve"> СоА</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редуктазата (60%).</w:t>
      </w:r>
    </w:p>
    <w:p w14:paraId="4D25C294" w14:textId="77777777" w:rsidR="00884AFA" w:rsidRPr="00884AFA" w:rsidRDefault="00884AFA" w:rsidP="00884AFA">
      <w:pPr>
        <w:rPr>
          <w:rFonts w:eastAsia="Times New Roman" w:cs="Arial"/>
          <w:bCs/>
          <w:color w:val="000000"/>
          <w:szCs w:val="20"/>
          <w:lang w:eastAsia="bg-BG"/>
        </w:rPr>
      </w:pPr>
    </w:p>
    <w:p w14:paraId="14085010" w14:textId="77777777" w:rsidR="00884AFA" w:rsidRPr="00884AFA" w:rsidRDefault="00884AFA" w:rsidP="00884AFA">
      <w:pPr>
        <w:rPr>
          <w:rFonts w:eastAsia="Times New Roman" w:cs="Arial"/>
          <w:sz w:val="28"/>
          <w:szCs w:val="24"/>
        </w:rPr>
      </w:pPr>
      <w:r w:rsidRPr="00884AFA">
        <w:rPr>
          <w:rFonts w:eastAsia="Times New Roman" w:cs="Arial"/>
          <w:bCs/>
          <w:color w:val="000000"/>
          <w:szCs w:val="20"/>
          <w:lang w:eastAsia="bg-BG"/>
        </w:rPr>
        <w:t xml:space="preserve">Съвместните първични крайни точки в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са обща смъртност и комбинирана крайна точка за сърдечно-съдова (СС) смърт или хоспитализация; 14,4% от пациентите, получаващи еплеренон, и 16,7% от тези, получаващи плацебо, са починали (обща смъртност), докато 26,7% от пациентите, получаващи еплеренон, и 30,0 % получаващи плацебо са достигнали комбинираната крайна точка за СС смърт или хоспитализация. Следователно в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еплеренон е понижил общата смъртност спрямо плацебо с 15% </w:t>
      </w:r>
      <w:r w:rsidRPr="00884AFA">
        <w:rPr>
          <w:rFonts w:eastAsia="Times New Roman" w:cs="Arial"/>
          <w:bCs/>
          <w:color w:val="000000"/>
          <w:szCs w:val="20"/>
          <w:lang w:val="ru-RU"/>
        </w:rPr>
        <w:t>(</w:t>
      </w:r>
      <w:r w:rsidRPr="00884AFA">
        <w:rPr>
          <w:rFonts w:eastAsia="Times New Roman" w:cs="Arial"/>
          <w:bCs/>
          <w:color w:val="000000"/>
          <w:szCs w:val="20"/>
          <w:lang w:val="en-US"/>
        </w:rPr>
        <w:t>RR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0,85; 95%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0,75-0,96; р= 0,008) предимно чрез намаляване на СС смъртност. </w:t>
      </w:r>
      <w:r w:rsidRPr="00884AFA">
        <w:rPr>
          <w:rFonts w:eastAsia="Times New Roman" w:cs="Arial"/>
          <w:bCs/>
          <w:color w:val="000000"/>
          <w:szCs w:val="20"/>
          <w:lang w:eastAsia="bg-BG"/>
        </w:rPr>
        <w:lastRenderedPageBreak/>
        <w:t xml:space="preserve">Еплеренон е намалил риска от СС смърт или СС хоспитализация с 13% </w:t>
      </w:r>
      <w:r w:rsidRPr="00884AFA">
        <w:rPr>
          <w:rFonts w:eastAsia="Times New Roman" w:cs="Arial"/>
          <w:bCs/>
          <w:color w:val="000000"/>
          <w:szCs w:val="20"/>
          <w:lang w:val="ru-RU"/>
        </w:rPr>
        <w:t>(</w:t>
      </w:r>
      <w:r w:rsidRPr="00884AFA">
        <w:rPr>
          <w:rFonts w:eastAsia="Times New Roman" w:cs="Arial"/>
          <w:bCs/>
          <w:color w:val="000000"/>
          <w:szCs w:val="20"/>
          <w:lang w:val="en-US"/>
        </w:rPr>
        <w:t>RR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0,87; 95%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0,79-0,95; р=0,002). Абсолютната реедукция на риска за крайните точки обща смъртност и СС смъртност/хоспитализация е съответно 2,3 и 3,3%. Клинична ефективност е демонстрирана предимно, когато лечението с еплеренон е започнато при пациенти &lt;75 годишна възраст. Ползата от лечението при пациенти на възраст над 75 години е неясна. При статистически значимо по-голям брой пациенти, получаващи еплеренон, в сравнение с плацебо, е настъпило подобрение или запазване на функционалния клас по </w:t>
      </w:r>
      <w:r w:rsidRPr="00884AFA">
        <w:rPr>
          <w:rFonts w:eastAsia="Times New Roman" w:cs="Arial"/>
          <w:bCs/>
          <w:color w:val="000000"/>
          <w:szCs w:val="20"/>
          <w:lang w:val="en-US"/>
        </w:rPr>
        <w:t>NYHA</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Честотата на хиперкалиемия е била 3,4% в групата на еплеренон спрямо 2,0% в групата на плацебо (р &lt;0,001). Честотата на хипокалиемия е била 0,5% в групата на еплеренон спрямо 1,5% в групата на плацебо (р &lt;0,001).</w:t>
      </w:r>
    </w:p>
    <w:p w14:paraId="36667D22" w14:textId="77777777" w:rsidR="00884AFA" w:rsidRPr="00884AFA" w:rsidRDefault="00884AFA" w:rsidP="00884AFA">
      <w:pPr>
        <w:spacing w:line="240" w:lineRule="auto"/>
        <w:rPr>
          <w:rFonts w:eastAsia="Times New Roman" w:cs="Arial"/>
          <w:bCs/>
          <w:color w:val="000000"/>
          <w:szCs w:val="20"/>
          <w:lang w:eastAsia="bg-BG"/>
        </w:rPr>
      </w:pPr>
    </w:p>
    <w:p w14:paraId="1DF42B17" w14:textId="61C75075"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При 147 здрави лица, оценени за електрокардиографски промени по време на фармакокинетични проучвания, не са наблюдавани трайни ефекти на еплеренон върху сърдечната честота и продължителността на </w:t>
      </w:r>
      <w:r w:rsidRPr="00884AFA">
        <w:rPr>
          <w:rFonts w:eastAsia="Times New Roman" w:cs="Arial"/>
          <w:bCs/>
          <w:color w:val="000000"/>
          <w:szCs w:val="20"/>
          <w:lang w:val="en-US"/>
        </w:rPr>
        <w:t>QRS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или </w:t>
      </w:r>
      <w:r w:rsidRPr="00884AFA">
        <w:rPr>
          <w:rFonts w:eastAsia="Times New Roman" w:cs="Arial"/>
          <w:bCs/>
          <w:color w:val="000000"/>
          <w:szCs w:val="20"/>
          <w:lang w:val="en-US"/>
        </w:rPr>
        <w:t>PR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или </w:t>
      </w:r>
      <w:r w:rsidRPr="00884AFA">
        <w:rPr>
          <w:rFonts w:eastAsia="Times New Roman" w:cs="Arial"/>
          <w:bCs/>
          <w:color w:val="000000"/>
          <w:szCs w:val="20"/>
          <w:lang w:val="en-US"/>
        </w:rPr>
        <w:t>QT</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интервала.</w:t>
      </w:r>
    </w:p>
    <w:p w14:paraId="3DF2DC39" w14:textId="77777777" w:rsidR="00884AFA" w:rsidRPr="00884AFA" w:rsidRDefault="00884AFA" w:rsidP="00884AFA">
      <w:pPr>
        <w:spacing w:line="240" w:lineRule="auto"/>
        <w:rPr>
          <w:rFonts w:eastAsia="Times New Roman" w:cs="Arial"/>
          <w:bCs/>
          <w:color w:val="000000"/>
          <w:szCs w:val="20"/>
          <w:lang w:eastAsia="bg-BG"/>
        </w:rPr>
      </w:pPr>
    </w:p>
    <w:p w14:paraId="3B25CA74" w14:textId="14DB5905"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В проучването </w:t>
      </w:r>
      <w:r w:rsidRPr="00884AFA">
        <w:rPr>
          <w:rFonts w:eastAsia="Times New Roman" w:cs="Arial"/>
          <w:bCs/>
          <w:color w:val="000000"/>
          <w:szCs w:val="20"/>
          <w:lang w:val="en-US"/>
        </w:rPr>
        <w:t>EMPHASIS</w:t>
      </w:r>
      <w:r w:rsidRPr="00884AFA">
        <w:rPr>
          <w:rFonts w:eastAsia="Times New Roman" w:cs="Arial"/>
          <w:bCs/>
          <w:color w:val="000000"/>
          <w:szCs w:val="20"/>
        </w:rPr>
        <w:t>-</w:t>
      </w:r>
      <w:r w:rsidRPr="00884AFA">
        <w:rPr>
          <w:rFonts w:eastAsia="Times New Roman" w:cs="Arial"/>
          <w:bCs/>
          <w:color w:val="000000"/>
          <w:szCs w:val="20"/>
          <w:lang w:val="en-US"/>
        </w:rPr>
        <w:t>HF</w:t>
      </w:r>
      <w:r w:rsidRPr="00884AFA">
        <w:rPr>
          <w:rFonts w:eastAsia="Times New Roman" w:cs="Arial"/>
          <w:bCs/>
          <w:color w:val="000000"/>
          <w:szCs w:val="20"/>
        </w:rPr>
        <w:t xml:space="preserve"> </w:t>
      </w:r>
      <w:r w:rsidRPr="00884AFA">
        <w:rPr>
          <w:rFonts w:eastAsia="Times New Roman" w:cs="Arial"/>
          <w:bCs/>
          <w:color w:val="000000"/>
          <w:szCs w:val="20"/>
          <w:lang w:eastAsia="bg-BG"/>
        </w:rPr>
        <w:t xml:space="preserve">(Еплеренон </w:t>
      </w:r>
      <w:r w:rsidRPr="00884AFA">
        <w:rPr>
          <w:rFonts w:eastAsia="Times New Roman" w:cs="Arial"/>
          <w:bCs/>
          <w:color w:val="000000"/>
          <w:szCs w:val="20"/>
          <w:lang w:val="en-US"/>
        </w:rPr>
        <w:t>in</w:t>
      </w:r>
      <w:r w:rsidRPr="00884AFA">
        <w:rPr>
          <w:rFonts w:eastAsia="Times New Roman" w:cs="Arial"/>
          <w:bCs/>
          <w:color w:val="000000"/>
          <w:szCs w:val="20"/>
        </w:rPr>
        <w:t xml:space="preserve"> </w:t>
      </w:r>
      <w:r w:rsidRPr="00884AFA">
        <w:rPr>
          <w:rFonts w:eastAsia="Times New Roman" w:cs="Arial"/>
          <w:bCs/>
          <w:color w:val="000000"/>
          <w:szCs w:val="20"/>
          <w:lang w:val="en-US"/>
        </w:rPr>
        <w:t>Mild</w:t>
      </w:r>
      <w:r w:rsidRPr="00884AFA">
        <w:rPr>
          <w:rFonts w:eastAsia="Times New Roman" w:cs="Arial"/>
          <w:bCs/>
          <w:color w:val="000000"/>
          <w:szCs w:val="20"/>
        </w:rPr>
        <w:t xml:space="preserve"> </w:t>
      </w:r>
      <w:r w:rsidRPr="00884AFA">
        <w:rPr>
          <w:rFonts w:eastAsia="Times New Roman" w:cs="Arial"/>
          <w:bCs/>
          <w:color w:val="000000"/>
          <w:szCs w:val="20"/>
          <w:lang w:val="en-US"/>
        </w:rPr>
        <w:t>Patients</w:t>
      </w:r>
      <w:r w:rsidRPr="00884AFA">
        <w:rPr>
          <w:rFonts w:eastAsia="Times New Roman" w:cs="Arial"/>
          <w:bCs/>
          <w:color w:val="000000"/>
          <w:szCs w:val="20"/>
        </w:rPr>
        <w:t xml:space="preserve"> </w:t>
      </w:r>
      <w:r w:rsidRPr="00884AFA">
        <w:rPr>
          <w:rFonts w:eastAsia="Times New Roman" w:cs="Arial"/>
          <w:bCs/>
          <w:color w:val="000000"/>
          <w:szCs w:val="20"/>
          <w:lang w:val="en-US"/>
        </w:rPr>
        <w:t>Hospitalization</w:t>
      </w:r>
      <w:r w:rsidRPr="00884AFA">
        <w:rPr>
          <w:rFonts w:eastAsia="Times New Roman" w:cs="Arial"/>
          <w:bCs/>
          <w:color w:val="000000"/>
          <w:szCs w:val="20"/>
        </w:rPr>
        <w:t xml:space="preserve"> </w:t>
      </w:r>
      <w:r w:rsidRPr="00884AFA">
        <w:rPr>
          <w:rFonts w:eastAsia="Times New Roman" w:cs="Arial"/>
          <w:bCs/>
          <w:color w:val="000000"/>
          <w:szCs w:val="20"/>
          <w:lang w:val="en-US"/>
        </w:rPr>
        <w:t>and</w:t>
      </w:r>
      <w:r w:rsidRPr="00884AFA">
        <w:rPr>
          <w:rFonts w:eastAsia="Times New Roman" w:cs="Arial"/>
          <w:bCs/>
          <w:color w:val="000000"/>
          <w:szCs w:val="20"/>
        </w:rPr>
        <w:t xml:space="preserve"> </w:t>
      </w:r>
      <w:r w:rsidRPr="00884AFA">
        <w:rPr>
          <w:rFonts w:eastAsia="Times New Roman" w:cs="Arial"/>
          <w:bCs/>
          <w:color w:val="000000"/>
          <w:szCs w:val="20"/>
          <w:lang w:val="en-US"/>
        </w:rPr>
        <w:t>Survival</w:t>
      </w:r>
      <w:r w:rsidRPr="00884AFA">
        <w:rPr>
          <w:rFonts w:eastAsia="Times New Roman" w:cs="Arial"/>
          <w:bCs/>
          <w:color w:val="000000"/>
          <w:szCs w:val="20"/>
        </w:rPr>
        <w:t xml:space="preserve"> </w:t>
      </w:r>
      <w:r w:rsidRPr="00884AFA">
        <w:rPr>
          <w:rFonts w:eastAsia="Times New Roman" w:cs="Arial"/>
          <w:bCs/>
          <w:color w:val="000000"/>
          <w:szCs w:val="20"/>
          <w:lang w:val="en-US"/>
        </w:rPr>
        <w:t>Study</w:t>
      </w:r>
      <w:r w:rsidRPr="00884AFA">
        <w:rPr>
          <w:rFonts w:eastAsia="Times New Roman" w:cs="Arial"/>
          <w:bCs/>
          <w:color w:val="000000"/>
          <w:szCs w:val="20"/>
        </w:rPr>
        <w:t xml:space="preserve"> </w:t>
      </w:r>
      <w:r w:rsidRPr="00884AFA">
        <w:rPr>
          <w:rFonts w:eastAsia="Times New Roman" w:cs="Arial"/>
          <w:bCs/>
          <w:color w:val="000000"/>
          <w:szCs w:val="20"/>
          <w:lang w:val="en-US"/>
        </w:rPr>
        <w:t>in</w:t>
      </w:r>
      <w:r w:rsidRPr="00884AFA">
        <w:rPr>
          <w:rFonts w:eastAsia="Times New Roman" w:cs="Arial"/>
          <w:bCs/>
          <w:color w:val="000000"/>
          <w:szCs w:val="20"/>
        </w:rPr>
        <w:t xml:space="preserve"> </w:t>
      </w:r>
      <w:r w:rsidRPr="00884AFA">
        <w:rPr>
          <w:rFonts w:eastAsia="Times New Roman" w:cs="Arial"/>
          <w:bCs/>
          <w:color w:val="000000"/>
          <w:szCs w:val="20"/>
          <w:lang w:val="en-US"/>
        </w:rPr>
        <w:t>Heart</w:t>
      </w:r>
      <w:r w:rsidRPr="00884AFA">
        <w:rPr>
          <w:rFonts w:eastAsia="Times New Roman" w:cs="Arial"/>
          <w:bCs/>
          <w:color w:val="000000"/>
          <w:szCs w:val="20"/>
        </w:rPr>
        <w:t xml:space="preserve"> </w:t>
      </w:r>
      <w:r w:rsidRPr="00884AFA">
        <w:rPr>
          <w:rFonts w:eastAsia="Times New Roman" w:cs="Arial"/>
          <w:bCs/>
          <w:color w:val="000000"/>
          <w:szCs w:val="20"/>
          <w:lang w:val="en-US"/>
        </w:rPr>
        <w:t>Failure</w:t>
      </w:r>
      <w:r w:rsidRPr="00884AFA">
        <w:rPr>
          <w:rFonts w:eastAsia="Times New Roman" w:cs="Arial"/>
          <w:bCs/>
          <w:color w:val="000000"/>
          <w:szCs w:val="20"/>
        </w:rPr>
        <w:t xml:space="preserve">), </w:t>
      </w:r>
      <w:r w:rsidRPr="00884AFA">
        <w:rPr>
          <w:rFonts w:eastAsia="Times New Roman" w:cs="Arial"/>
          <w:bCs/>
          <w:color w:val="000000"/>
          <w:szCs w:val="20"/>
          <w:lang w:eastAsia="bg-BG"/>
        </w:rPr>
        <w:t xml:space="preserve">оценяващо хоспитализирането и преживяемостта при приложение на еплеренон при лека сърдечна недостатъчност, е проучван ефектът на еплеренон, добавен към стандартна терапия, върху клиничните събития на пациенти със систолична сърдечна недостатъчност и леки симптоми </w:t>
      </w:r>
      <w:r w:rsidRPr="00884AFA">
        <w:rPr>
          <w:rFonts w:eastAsia="Times New Roman" w:cs="Arial"/>
          <w:bCs/>
          <w:color w:val="000000"/>
          <w:szCs w:val="20"/>
        </w:rPr>
        <w:t>(</w:t>
      </w:r>
      <w:r w:rsidRPr="00884AFA">
        <w:rPr>
          <w:rFonts w:eastAsia="Times New Roman" w:cs="Arial"/>
          <w:bCs/>
          <w:color w:val="000000"/>
          <w:szCs w:val="20"/>
          <w:lang w:val="en-US"/>
        </w:rPr>
        <w:t>NYHA</w:t>
      </w:r>
      <w:r w:rsidRPr="00884AFA">
        <w:rPr>
          <w:rFonts w:eastAsia="Times New Roman" w:cs="Arial"/>
          <w:bCs/>
          <w:color w:val="000000"/>
          <w:szCs w:val="20"/>
        </w:rPr>
        <w:t xml:space="preserve"> </w:t>
      </w:r>
      <w:r w:rsidRPr="00884AFA">
        <w:rPr>
          <w:rFonts w:eastAsia="Times New Roman" w:cs="Arial"/>
          <w:bCs/>
          <w:color w:val="000000"/>
          <w:szCs w:val="20"/>
          <w:lang w:eastAsia="bg-BG"/>
        </w:rPr>
        <w:t>функционален клас П).</w:t>
      </w:r>
    </w:p>
    <w:p w14:paraId="33D4875A"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Пациентите са включвани, ако са били на възраст поне 55 години, имали са лявокамерна фракция на изтласкване </w:t>
      </w:r>
      <w:r w:rsidRPr="00884AFA">
        <w:rPr>
          <w:rFonts w:eastAsia="Times New Roman" w:cs="Arial"/>
          <w:bCs/>
          <w:color w:val="000000"/>
          <w:szCs w:val="20"/>
          <w:lang w:val="ru-RU"/>
        </w:rPr>
        <w:t>(</w:t>
      </w:r>
      <w:r w:rsidRPr="00884AFA">
        <w:rPr>
          <w:rFonts w:eastAsia="Times New Roman" w:cs="Arial"/>
          <w:bCs/>
          <w:color w:val="000000"/>
          <w:szCs w:val="20"/>
          <w:lang w:val="en-US"/>
        </w:rPr>
        <w:t>LVEF</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&lt;30% или </w:t>
      </w:r>
      <w:r w:rsidRPr="00884AFA">
        <w:rPr>
          <w:rFonts w:eastAsia="Times New Roman" w:cs="Arial"/>
          <w:bCs/>
          <w:color w:val="000000"/>
          <w:szCs w:val="20"/>
          <w:lang w:val="en-US"/>
        </w:rPr>
        <w:t>LVEF</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≤35% в допълнение към </w:t>
      </w:r>
      <w:r w:rsidRPr="00884AFA">
        <w:rPr>
          <w:rFonts w:eastAsia="Times New Roman" w:cs="Arial"/>
          <w:bCs/>
          <w:color w:val="000000"/>
          <w:szCs w:val="20"/>
          <w:lang w:val="en-US"/>
        </w:rPr>
        <w:t>QRS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продължителност &gt;130 </w:t>
      </w:r>
      <w:proofErr w:type="spellStart"/>
      <w:r w:rsidRPr="00884AFA">
        <w:rPr>
          <w:rFonts w:eastAsia="Times New Roman" w:cs="Arial"/>
          <w:bCs/>
          <w:color w:val="000000"/>
          <w:szCs w:val="20"/>
          <w:lang w:val="en-US"/>
        </w:rPr>
        <w:t>msec</w:t>
      </w:r>
      <w:proofErr w:type="spellEnd"/>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и са били хоспитализирани за сърдечно-съдови събития 6 месеца преди включване към проучването или са имали плазмени нива на натриуретичен пептид тип В </w:t>
      </w:r>
      <w:r w:rsidRPr="00884AFA">
        <w:rPr>
          <w:rFonts w:eastAsia="Times New Roman" w:cs="Arial"/>
          <w:bCs/>
          <w:color w:val="000000"/>
          <w:szCs w:val="20"/>
          <w:lang w:val="ru-RU"/>
        </w:rPr>
        <w:t>(</w:t>
      </w:r>
      <w:r w:rsidRPr="00884AFA">
        <w:rPr>
          <w:rFonts w:eastAsia="Times New Roman" w:cs="Arial"/>
          <w:bCs/>
          <w:color w:val="000000"/>
          <w:szCs w:val="20"/>
          <w:lang w:val="en-US"/>
        </w:rPr>
        <w:t>BNP</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поне 250 </w:t>
      </w:r>
      <w:proofErr w:type="spellStart"/>
      <w:r w:rsidRPr="00884AFA">
        <w:rPr>
          <w:rFonts w:eastAsia="Times New Roman" w:cs="Arial"/>
          <w:bCs/>
          <w:color w:val="000000"/>
          <w:szCs w:val="20"/>
          <w:lang w:val="en-US"/>
        </w:rPr>
        <w:t>pg</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ml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или плазмени нива на </w:t>
      </w:r>
      <w:r w:rsidRPr="00884AFA">
        <w:rPr>
          <w:rFonts w:eastAsia="Times New Roman" w:cs="Arial"/>
          <w:bCs/>
          <w:color w:val="000000"/>
          <w:szCs w:val="20"/>
          <w:lang w:val="en-US"/>
        </w:rPr>
        <w:t>N</w:t>
      </w:r>
      <w:r w:rsidRPr="00884AFA">
        <w:rPr>
          <w:rFonts w:eastAsia="Times New Roman" w:cs="Arial"/>
          <w:bCs/>
          <w:color w:val="000000"/>
          <w:szCs w:val="20"/>
          <w:lang w:eastAsia="bg-BG"/>
        </w:rPr>
        <w:t>-терминален п</w:t>
      </w:r>
      <w:proofErr w:type="spellStart"/>
      <w:r w:rsidRPr="00884AFA">
        <w:rPr>
          <w:rFonts w:eastAsia="Times New Roman" w:cs="Arial"/>
          <w:bCs/>
          <w:color w:val="000000"/>
          <w:szCs w:val="20"/>
          <w:lang w:val="en-US"/>
        </w:rPr>
        <w:t>po</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BNP</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поне 500 </w:t>
      </w:r>
      <w:proofErr w:type="spellStart"/>
      <w:r w:rsidRPr="00884AFA">
        <w:rPr>
          <w:rFonts w:eastAsia="Times New Roman" w:cs="Arial"/>
          <w:bCs/>
          <w:color w:val="000000"/>
          <w:szCs w:val="20"/>
          <w:lang w:val="en-US"/>
        </w:rPr>
        <w:t>pg</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ml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при мъже (750 </w:t>
      </w:r>
      <w:proofErr w:type="spellStart"/>
      <w:r w:rsidRPr="00884AFA">
        <w:rPr>
          <w:rFonts w:eastAsia="Times New Roman" w:cs="Arial"/>
          <w:bCs/>
          <w:color w:val="000000"/>
          <w:szCs w:val="20"/>
          <w:lang w:val="en-US"/>
        </w:rPr>
        <w:t>pg</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ml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при жени). Лечението с еплеренон е започнато с доза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която е била повишена след 4 седмици до 50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ако серумните нива на калий са били &lt; 5,0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 случай че изчислената </w:t>
      </w:r>
      <w:r w:rsidRPr="00884AFA">
        <w:rPr>
          <w:rFonts w:eastAsia="Times New Roman" w:cs="Arial"/>
          <w:bCs/>
          <w:color w:val="000000"/>
          <w:szCs w:val="20"/>
          <w:lang w:val="en-US"/>
        </w:rPr>
        <w:t>GFR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била 30-49 </w:t>
      </w:r>
      <w:r w:rsidRPr="00884AFA">
        <w:rPr>
          <w:rFonts w:eastAsia="Times New Roman" w:cs="Arial"/>
          <w:bCs/>
          <w:color w:val="000000"/>
          <w:szCs w:val="20"/>
          <w:lang w:val="en-US"/>
        </w:rPr>
        <w:t>ml</w:t>
      </w:r>
      <w:r w:rsidRPr="00884AFA">
        <w:rPr>
          <w:rFonts w:eastAsia="Times New Roman" w:cs="Arial"/>
          <w:bCs/>
          <w:color w:val="000000"/>
          <w:szCs w:val="20"/>
          <w:lang w:val="ru-RU"/>
        </w:rPr>
        <w:t>/</w:t>
      </w:r>
      <w:r w:rsidRPr="00884AFA">
        <w:rPr>
          <w:rFonts w:eastAsia="Times New Roman" w:cs="Arial"/>
          <w:bCs/>
          <w:color w:val="000000"/>
          <w:szCs w:val="20"/>
          <w:lang w:val="en-US"/>
        </w:rPr>
        <w:t>min</w:t>
      </w:r>
      <w:r w:rsidRPr="00884AFA">
        <w:rPr>
          <w:rFonts w:eastAsia="Times New Roman" w:cs="Arial"/>
          <w:bCs/>
          <w:color w:val="000000"/>
          <w:szCs w:val="20"/>
          <w:lang w:val="ru-RU"/>
        </w:rPr>
        <w:t xml:space="preserve">/1,73 </w:t>
      </w:r>
      <w:r w:rsidRPr="00884AFA">
        <w:rPr>
          <w:rFonts w:eastAsia="Times New Roman" w:cs="Arial"/>
          <w:bCs/>
          <w:color w:val="000000"/>
          <w:szCs w:val="20"/>
          <w:lang w:val="en-US"/>
        </w:rPr>
        <w:t>m</w:t>
      </w:r>
      <w:r w:rsidRPr="00884AFA">
        <w:rPr>
          <w:rFonts w:eastAsia="Times New Roman" w:cs="Arial"/>
          <w:bCs/>
          <w:color w:val="000000"/>
          <w:szCs w:val="20"/>
          <w:vertAlign w:val="superscript"/>
          <w:lang w:val="ru-RU"/>
        </w:rPr>
        <w:t>2</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лечението с еплеренон е започвало с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през ден и повишено до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веднъж дневно.</w:t>
      </w:r>
    </w:p>
    <w:p w14:paraId="337235AE" w14:textId="77777777" w:rsidR="00884AFA" w:rsidRPr="00884AFA" w:rsidRDefault="00884AFA" w:rsidP="00884AFA">
      <w:pPr>
        <w:spacing w:line="240" w:lineRule="auto"/>
        <w:rPr>
          <w:rFonts w:eastAsia="Times New Roman" w:cs="Arial"/>
          <w:bCs/>
          <w:color w:val="000000"/>
          <w:szCs w:val="20"/>
          <w:lang w:eastAsia="bg-BG"/>
        </w:rPr>
      </w:pPr>
    </w:p>
    <w:p w14:paraId="7B595EE9" w14:textId="28F75485"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Общо 2 737 пациенти са били рандомизирани (двойносляпо) към лечение с еплеренон или плацебо, включващо предходна терапия с диуретици (85%), АСЕ инхибитори (78%), ангиотензин П- рецепторни блокери (19%), бета-блокери (87%), антитромботични лекарства (88%), липидопонижаващи средства (63%) и дигиталисови гликозиди (27%). Средната </w:t>
      </w:r>
      <w:r w:rsidRPr="00884AFA">
        <w:rPr>
          <w:rFonts w:eastAsia="Times New Roman" w:cs="Arial"/>
          <w:bCs/>
          <w:color w:val="000000"/>
          <w:szCs w:val="20"/>
          <w:lang w:val="en-US"/>
        </w:rPr>
        <w:t>LVEF</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била ~26% и средната продължителност на </w:t>
      </w:r>
      <w:r w:rsidRPr="00884AFA">
        <w:rPr>
          <w:rFonts w:eastAsia="Times New Roman" w:cs="Arial"/>
          <w:bCs/>
          <w:color w:val="000000"/>
          <w:szCs w:val="20"/>
          <w:lang w:val="en-US"/>
        </w:rPr>
        <w:t>QRS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била -122 </w:t>
      </w:r>
      <w:proofErr w:type="spellStart"/>
      <w:r w:rsidRPr="00884AFA">
        <w:rPr>
          <w:rFonts w:eastAsia="Times New Roman" w:cs="Arial"/>
          <w:bCs/>
          <w:color w:val="000000"/>
          <w:szCs w:val="20"/>
          <w:lang w:val="en-US"/>
        </w:rPr>
        <w:t>msec</w:t>
      </w:r>
      <w:proofErr w:type="spellEnd"/>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Повечето от пациентите (83,4%) са били хоспитализирани преди това в рамките на 6 месеца от рандомизирането по сърдечно-съдови причини СV, като около 50% от тях са се дължали на сърдечна недостатъчност. Около 20% от пациентите са имали имплантируеми дефибрилатори или са били на терапия за сърдечна ресинхронизация.</w:t>
      </w:r>
    </w:p>
    <w:p w14:paraId="7C1FC914" w14:textId="77777777" w:rsidR="00884AFA" w:rsidRPr="00884AFA" w:rsidRDefault="00884AFA" w:rsidP="00884AFA">
      <w:pPr>
        <w:spacing w:line="240" w:lineRule="auto"/>
        <w:rPr>
          <w:rFonts w:eastAsia="Times New Roman" w:cs="Arial"/>
          <w:bCs/>
          <w:color w:val="000000"/>
          <w:szCs w:val="20"/>
          <w:lang w:eastAsia="bg-BG"/>
        </w:rPr>
      </w:pPr>
    </w:p>
    <w:p w14:paraId="2E9AFAF8" w14:textId="3F821300"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Първичната крайна точка, дефинирана като смърт от сърдечно-съдово събитие или хоспитализация за сърдечна недостатъчност, е възникнала при 249 пациенти (18,3%) в групата на еплеренон и 356 пациенти (25,9%) в групата на плацебо </w:t>
      </w:r>
      <w:r w:rsidRPr="00884AFA">
        <w:rPr>
          <w:rFonts w:eastAsia="Times New Roman" w:cs="Arial"/>
          <w:bCs/>
          <w:color w:val="000000"/>
          <w:szCs w:val="20"/>
          <w:lang w:val="ru-RU"/>
        </w:rPr>
        <w:t>(</w:t>
      </w:r>
      <w:r w:rsidRPr="00884AFA">
        <w:rPr>
          <w:rFonts w:eastAsia="Times New Roman" w:cs="Arial"/>
          <w:bCs/>
          <w:color w:val="000000"/>
          <w:szCs w:val="20"/>
          <w:lang w:val="en-US"/>
        </w:rPr>
        <w:t>RR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0,63, 95%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0,54-0,74; р&lt;0,001). Ефектът на еплеренон върху събитията от първичната крайна точка е бил еднакъв във всички предварително определени подгрупи.</w:t>
      </w:r>
    </w:p>
    <w:p w14:paraId="31CC30A8" w14:textId="77777777" w:rsidR="00884AFA" w:rsidRPr="00884AFA" w:rsidRDefault="00884AFA" w:rsidP="00884AFA">
      <w:pPr>
        <w:spacing w:line="240" w:lineRule="auto"/>
        <w:rPr>
          <w:rFonts w:eastAsia="Times New Roman" w:cs="Arial"/>
          <w:bCs/>
          <w:color w:val="000000"/>
          <w:szCs w:val="20"/>
          <w:lang w:eastAsia="bg-BG"/>
        </w:rPr>
      </w:pPr>
    </w:p>
    <w:p w14:paraId="0A9ACC58" w14:textId="6A71FB8D"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Вторичната крайна точка, дефинирана като обща смъртност, е възникнала при 171 пациенти (12,5%) в групата на еплеренон и 213 пациенти (15,5%) в групата на плацебо </w:t>
      </w:r>
      <w:r w:rsidRPr="00884AFA">
        <w:rPr>
          <w:rFonts w:eastAsia="Times New Roman" w:cs="Arial"/>
          <w:bCs/>
          <w:color w:val="000000"/>
          <w:szCs w:val="20"/>
          <w:lang w:val="ru-RU"/>
        </w:rPr>
        <w:t>(</w:t>
      </w:r>
      <w:r w:rsidRPr="00884AFA">
        <w:rPr>
          <w:rFonts w:eastAsia="Times New Roman" w:cs="Arial"/>
          <w:bCs/>
          <w:color w:val="000000"/>
          <w:szCs w:val="20"/>
          <w:lang w:val="en-US"/>
        </w:rPr>
        <w:t>RR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0,76; 95%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0,62-0,93; р = 0,008). Смърт по сърдечно-съдови причини е съобщена </w:t>
      </w:r>
      <w:r w:rsidRPr="00884AFA">
        <w:rPr>
          <w:rFonts w:eastAsia="Times New Roman" w:cs="Arial"/>
          <w:bCs/>
          <w:color w:val="000000"/>
          <w:szCs w:val="20"/>
          <w:lang w:eastAsia="bg-BG"/>
        </w:rPr>
        <w:lastRenderedPageBreak/>
        <w:t xml:space="preserve">при 147 (10,8%) пациенти в групата на еплеренон и 185 (13,5%) пациенти в групата на плацебо </w:t>
      </w:r>
      <w:r w:rsidRPr="00884AFA">
        <w:rPr>
          <w:rFonts w:eastAsia="Times New Roman" w:cs="Arial"/>
          <w:bCs/>
          <w:color w:val="000000"/>
          <w:szCs w:val="20"/>
          <w:lang w:val="ru-RU"/>
        </w:rPr>
        <w:t>(</w:t>
      </w:r>
      <w:r w:rsidRPr="00884AFA">
        <w:rPr>
          <w:rFonts w:eastAsia="Times New Roman" w:cs="Arial"/>
          <w:bCs/>
          <w:color w:val="000000"/>
          <w:szCs w:val="20"/>
          <w:lang w:val="en-US"/>
        </w:rPr>
        <w:t>RR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0,76; 95%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0,61- 0,94; р-0,01).</w:t>
      </w:r>
    </w:p>
    <w:p w14:paraId="7E3929B1" w14:textId="77777777" w:rsidR="00884AFA" w:rsidRPr="00884AFA" w:rsidRDefault="00884AFA" w:rsidP="00884AFA">
      <w:pPr>
        <w:spacing w:line="240" w:lineRule="auto"/>
        <w:rPr>
          <w:rFonts w:eastAsia="Times New Roman" w:cs="Arial"/>
          <w:bCs/>
          <w:color w:val="000000"/>
          <w:szCs w:val="20"/>
          <w:lang w:eastAsia="bg-BG"/>
        </w:rPr>
      </w:pPr>
    </w:p>
    <w:p w14:paraId="6F9E140C" w14:textId="5D721FC1"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По време на проучването е съобщавана хиперкалиемия (серумни нива на калий &gt;5,5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при 158 пациенти (11,8%) в групата на еплеренон и 96 пациенти (7,2%) в групата на плацебо (р &lt;0,001). Хипокалиемия, дефинирана като серумни нива на калий &lt; 4,0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е била статистически по-ниска при еплеренон в сравнение с плацебо (38,9% за еплеренон в сравнение с 48,4% за плацебо, р&lt;0,0001).</w:t>
      </w:r>
    </w:p>
    <w:p w14:paraId="4453C9D1" w14:textId="77777777" w:rsidR="00884AFA" w:rsidRPr="00884AFA" w:rsidRDefault="00884AFA" w:rsidP="00884AFA">
      <w:pPr>
        <w:spacing w:line="240" w:lineRule="auto"/>
        <w:rPr>
          <w:rFonts w:eastAsia="Times New Roman" w:cs="Arial"/>
          <w:bCs/>
          <w:color w:val="000000"/>
          <w:szCs w:val="20"/>
          <w:u w:val="single"/>
          <w:lang w:eastAsia="bg-BG"/>
        </w:rPr>
      </w:pPr>
    </w:p>
    <w:p w14:paraId="1E740686" w14:textId="01736E1C"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u w:val="single"/>
          <w:lang w:eastAsia="bg-BG"/>
        </w:rPr>
        <w:t>Педиатрична популация</w:t>
      </w:r>
    </w:p>
    <w:p w14:paraId="7C22BEAB" w14:textId="77777777" w:rsidR="00884AFA" w:rsidRPr="00884AFA" w:rsidRDefault="00884AFA" w:rsidP="00884AFA">
      <w:pPr>
        <w:rPr>
          <w:rFonts w:eastAsia="Times New Roman" w:cs="Arial"/>
          <w:sz w:val="28"/>
          <w:szCs w:val="24"/>
        </w:rPr>
      </w:pPr>
      <w:r w:rsidRPr="00884AFA">
        <w:rPr>
          <w:rFonts w:eastAsia="Times New Roman" w:cs="Arial"/>
          <w:bCs/>
          <w:color w:val="000000"/>
          <w:szCs w:val="20"/>
          <w:lang w:eastAsia="bg-BG"/>
        </w:rPr>
        <w:t xml:space="preserve">Еплеренон не е проучван при педиатрични пациенти със сърдечна недостатьчност. В 10-седмично проучване при педиатрични пациенти с хипертония (възрастов диапазон от 4 до 16 години, </w:t>
      </w:r>
      <w:r w:rsidRPr="00884AFA">
        <w:rPr>
          <w:rFonts w:eastAsia="Times New Roman" w:cs="Arial"/>
          <w:bCs/>
          <w:color w:val="000000"/>
          <w:szCs w:val="20"/>
          <w:lang w:val="en-US"/>
        </w:rPr>
        <w:t>n</w:t>
      </w:r>
      <w:r w:rsidRPr="00884AFA">
        <w:rPr>
          <w:rFonts w:eastAsia="Times New Roman" w:cs="Arial"/>
          <w:bCs/>
          <w:color w:val="000000"/>
          <w:szCs w:val="20"/>
          <w:lang w:eastAsia="bg-BG"/>
        </w:rPr>
        <w:t xml:space="preserve">=304), еплеренон в дози (от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до 100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дневно), които дават експозиция сходна с експозицията при възрастни, не е довел до ефективно намаляване ма кръвното налягане. При това проучване и при друго едногодишно педиатрично проучване за безопасност при 149 пациенти (възрастов диапазон от 5 до 17 години), профилът на безопасност е бил подобен на този при възрастните. Еплеренон не е проучван при пациенти е хипертония на възраст под 4 години, тъй като проучване при педиатрични пациенти на по-годяма възраст е установило липса на ефикасност (вж. точка 4.2).</w:t>
      </w:r>
    </w:p>
    <w:p w14:paraId="5BF99889"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При педиатричната популация не са проучвани (дългосрочни) ефекти върху хормоналния статус.</w:t>
      </w:r>
    </w:p>
    <w:p w14:paraId="63667FAE" w14:textId="720171CB" w:rsidR="00884AFA" w:rsidRPr="00884AFA" w:rsidRDefault="00884AFA" w:rsidP="00884AFA"/>
    <w:p w14:paraId="78DD93AA" w14:textId="762AA46D" w:rsidR="00B6672E" w:rsidRDefault="002C50EE" w:rsidP="00936AD0">
      <w:pPr>
        <w:pStyle w:val="Heading2"/>
      </w:pPr>
      <w:r>
        <w:t>5.2. Фармакокинетични свойства</w:t>
      </w:r>
    </w:p>
    <w:p w14:paraId="5CF2DCD6" w14:textId="6C0EE5AA" w:rsidR="00884AFA" w:rsidRDefault="00884AFA" w:rsidP="00884AFA"/>
    <w:p w14:paraId="3A9818FB" w14:textId="77777777" w:rsidR="00884AFA" w:rsidRPr="00884AFA" w:rsidRDefault="00884AFA" w:rsidP="00884AFA">
      <w:pPr>
        <w:pStyle w:val="Heading3"/>
        <w:rPr>
          <w:rFonts w:eastAsia="Times New Roman"/>
          <w:sz w:val="28"/>
          <w:u w:val="single"/>
        </w:rPr>
      </w:pPr>
      <w:r w:rsidRPr="00884AFA">
        <w:rPr>
          <w:rFonts w:eastAsia="Times New Roman"/>
          <w:u w:val="single"/>
          <w:lang w:eastAsia="bg-BG"/>
        </w:rPr>
        <w:t>Абсорбция</w:t>
      </w:r>
    </w:p>
    <w:p w14:paraId="78031B8A"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Абсолютната бионаличност на еплеренон е 69% след перорално приложение на таблетка от 100 </w:t>
      </w:r>
      <w:r w:rsidRPr="00884AFA">
        <w:rPr>
          <w:rFonts w:eastAsia="Times New Roman" w:cs="Arial"/>
          <w:bCs/>
          <w:color w:val="000000"/>
          <w:szCs w:val="20"/>
          <w:lang w:val="en-US"/>
        </w:rPr>
        <w:t>mg</w:t>
      </w:r>
      <w:r w:rsidRPr="00884AFA">
        <w:rPr>
          <w:rFonts w:eastAsia="Times New Roman" w:cs="Arial"/>
          <w:bCs/>
          <w:color w:val="000000"/>
          <w:szCs w:val="20"/>
          <w:lang w:val="ru-RU"/>
        </w:rPr>
        <w:t>.</w:t>
      </w:r>
    </w:p>
    <w:p w14:paraId="1994DAF2" w14:textId="77777777" w:rsidR="00884AFA" w:rsidRPr="00884AFA" w:rsidRDefault="00884AFA" w:rsidP="00884AFA">
      <w:pPr>
        <w:spacing w:line="240" w:lineRule="auto"/>
        <w:rPr>
          <w:rFonts w:eastAsia="Times New Roman" w:cs="Arial"/>
          <w:bCs/>
          <w:color w:val="000000"/>
          <w:szCs w:val="20"/>
          <w:lang w:eastAsia="bg-BG"/>
        </w:rPr>
      </w:pPr>
    </w:p>
    <w:p w14:paraId="2A446C7A" w14:textId="1EBB7C1B"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Максимални плазмени концентрации се достигат след приблизително 1,5 до 2 часа. Както максималните плазмени концентрации (С</w:t>
      </w:r>
      <w:r w:rsidRPr="00884AFA">
        <w:rPr>
          <w:rFonts w:eastAsia="Times New Roman" w:cs="Arial"/>
          <w:bCs/>
          <w:color w:val="000000"/>
          <w:szCs w:val="20"/>
          <w:lang w:val="en-US"/>
        </w:rPr>
        <w:t>max</w:t>
      </w:r>
      <w:r w:rsidRPr="00884AFA">
        <w:rPr>
          <w:rFonts w:eastAsia="Times New Roman" w:cs="Arial"/>
          <w:bCs/>
          <w:color w:val="000000"/>
          <w:szCs w:val="20"/>
          <w:lang w:val="ru-RU"/>
        </w:rPr>
        <w:t>),</w:t>
      </w:r>
      <w:r w:rsidRPr="00884AFA">
        <w:rPr>
          <w:rFonts w:eastAsia="Times New Roman" w:cs="Arial"/>
          <w:bCs/>
          <w:color w:val="000000"/>
          <w:szCs w:val="20"/>
          <w:lang w:eastAsia="bg-BG"/>
        </w:rPr>
        <w:t xml:space="preserve">, така и площта под кривата </w:t>
      </w:r>
      <w:r w:rsidRPr="00884AFA">
        <w:rPr>
          <w:rFonts w:eastAsia="Times New Roman" w:cs="Arial"/>
          <w:bCs/>
          <w:color w:val="000000"/>
          <w:szCs w:val="20"/>
          <w:lang w:val="ru-RU"/>
        </w:rPr>
        <w:t>(</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са пропорционални на дозата при дозировки от 10 до 100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и по-малко пропорционални при дози над 100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Равновесни концентрации се достигат в рамките на 2 дни. Абсорбцията не се влияе от храна.</w:t>
      </w:r>
    </w:p>
    <w:p w14:paraId="1F0AD624" w14:textId="77777777" w:rsidR="00884AFA" w:rsidRPr="00884AFA" w:rsidRDefault="00884AFA" w:rsidP="00884AFA">
      <w:pPr>
        <w:spacing w:line="240" w:lineRule="auto"/>
        <w:rPr>
          <w:rFonts w:eastAsia="Times New Roman" w:cs="Arial"/>
          <w:bCs/>
          <w:color w:val="000000"/>
          <w:szCs w:val="20"/>
          <w:u w:val="single"/>
          <w:lang w:eastAsia="bg-BG"/>
        </w:rPr>
      </w:pPr>
    </w:p>
    <w:p w14:paraId="1E025B2A" w14:textId="2F710CF5" w:rsidR="00884AFA" w:rsidRPr="00884AFA" w:rsidRDefault="00884AFA" w:rsidP="00884AFA">
      <w:pPr>
        <w:pStyle w:val="Heading3"/>
        <w:rPr>
          <w:rFonts w:eastAsia="Times New Roman"/>
          <w:sz w:val="28"/>
          <w:u w:val="single"/>
        </w:rPr>
      </w:pPr>
      <w:r w:rsidRPr="00884AFA">
        <w:rPr>
          <w:rFonts w:eastAsia="Times New Roman"/>
          <w:u w:val="single"/>
          <w:lang w:eastAsia="bg-BG"/>
        </w:rPr>
        <w:t>Разпределение</w:t>
      </w:r>
    </w:p>
    <w:p w14:paraId="5B7021BD"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Свързването на еплеренон с плазмените протеини е около 50% и е предимно с алфа-1-кисели гликопротеини. Привидният обем на разпределение при равновесни концентрации е изчислен на 42-90 </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Еплеренон не се свързва преференциално с еритроцитите.</w:t>
      </w:r>
    </w:p>
    <w:p w14:paraId="2E14A599" w14:textId="77777777" w:rsidR="00884AFA" w:rsidRPr="00884AFA" w:rsidRDefault="00884AFA" w:rsidP="00884AFA">
      <w:pPr>
        <w:spacing w:line="240" w:lineRule="auto"/>
        <w:rPr>
          <w:rFonts w:eastAsia="Times New Roman" w:cs="Arial"/>
          <w:bCs/>
          <w:color w:val="000000"/>
          <w:szCs w:val="20"/>
          <w:u w:val="single"/>
          <w:lang w:eastAsia="bg-BG"/>
        </w:rPr>
      </w:pPr>
    </w:p>
    <w:p w14:paraId="77CB3470" w14:textId="7DC5F353" w:rsidR="00884AFA" w:rsidRPr="00884AFA" w:rsidRDefault="00884AFA" w:rsidP="00884AFA">
      <w:pPr>
        <w:pStyle w:val="Heading3"/>
        <w:rPr>
          <w:rFonts w:eastAsia="Times New Roman"/>
          <w:sz w:val="28"/>
          <w:u w:val="single"/>
        </w:rPr>
      </w:pPr>
      <w:r w:rsidRPr="00884AFA">
        <w:rPr>
          <w:rFonts w:eastAsia="Times New Roman"/>
          <w:u w:val="single"/>
          <w:lang w:eastAsia="bg-BG"/>
        </w:rPr>
        <w:t>Биотрансформация</w:t>
      </w:r>
    </w:p>
    <w:p w14:paraId="49A7924A"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Метаболизмът на еплеренон се осъществява предимно чрез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В човешката плазма не са идентифицирани активни метаболити на еплеренон.</w:t>
      </w:r>
    </w:p>
    <w:p w14:paraId="4C3169FA" w14:textId="77777777" w:rsidR="00884AFA" w:rsidRPr="00884AFA" w:rsidRDefault="00884AFA" w:rsidP="00884AFA">
      <w:pPr>
        <w:spacing w:line="240" w:lineRule="auto"/>
        <w:rPr>
          <w:rFonts w:eastAsia="Times New Roman" w:cs="Arial"/>
          <w:bCs/>
          <w:color w:val="000000"/>
          <w:szCs w:val="20"/>
          <w:u w:val="single"/>
          <w:lang w:eastAsia="bg-BG"/>
        </w:rPr>
      </w:pPr>
    </w:p>
    <w:p w14:paraId="3CA40669" w14:textId="6921AE87" w:rsidR="00884AFA" w:rsidRPr="00884AFA" w:rsidRDefault="00884AFA" w:rsidP="00884AFA">
      <w:pPr>
        <w:pStyle w:val="Heading3"/>
        <w:rPr>
          <w:rFonts w:eastAsia="Times New Roman"/>
          <w:sz w:val="28"/>
          <w:u w:val="single"/>
        </w:rPr>
      </w:pPr>
      <w:r w:rsidRPr="00884AFA">
        <w:rPr>
          <w:rFonts w:eastAsia="Times New Roman"/>
          <w:u w:val="single"/>
          <w:lang w:eastAsia="bg-BG"/>
        </w:rPr>
        <w:t>Елиминиране</w:t>
      </w:r>
    </w:p>
    <w:p w14:paraId="7B96C8B3"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По-малко от 5% от дозата на еплеренон се открива в непроменен вид в урината и изпражненията. След еднократна перорална доза от радиоактивно-белязано лекарство, приблизително 32% от дозата се екскретира в изпражненията и приблизително 67% се </w:t>
      </w:r>
      <w:r w:rsidRPr="00884AFA">
        <w:rPr>
          <w:rFonts w:eastAsia="Times New Roman" w:cs="Arial"/>
          <w:bCs/>
          <w:color w:val="000000"/>
          <w:szCs w:val="20"/>
          <w:lang w:eastAsia="bg-BG"/>
        </w:rPr>
        <w:lastRenderedPageBreak/>
        <w:t xml:space="preserve">екскретира в урината. Елиминационният полуживот на еплеренон е приблизително 3 до 6 часа. Привидният плазмен клирънс е приблизително 10 </w:t>
      </w:r>
      <w:r w:rsidRPr="00884AFA">
        <w:rPr>
          <w:rFonts w:eastAsia="Times New Roman" w:cs="Arial"/>
          <w:bCs/>
          <w:color w:val="000000"/>
          <w:szCs w:val="20"/>
          <w:lang w:val="en-US"/>
        </w:rPr>
        <w:t>L</w:t>
      </w:r>
      <w:r w:rsidRPr="00884AFA">
        <w:rPr>
          <w:rFonts w:eastAsia="Times New Roman" w:cs="Arial"/>
          <w:bCs/>
          <w:color w:val="000000"/>
          <w:szCs w:val="20"/>
          <w:lang w:eastAsia="bg-BG"/>
        </w:rPr>
        <w:t>/час.</w:t>
      </w:r>
    </w:p>
    <w:p w14:paraId="65B08156" w14:textId="77777777" w:rsidR="00884AFA" w:rsidRPr="00884AFA" w:rsidRDefault="00884AFA" w:rsidP="00884AFA">
      <w:pPr>
        <w:spacing w:line="240" w:lineRule="auto"/>
        <w:rPr>
          <w:rFonts w:eastAsia="Times New Roman" w:cs="Arial"/>
          <w:bCs/>
          <w:color w:val="000000"/>
          <w:szCs w:val="20"/>
          <w:lang w:eastAsia="bg-BG"/>
        </w:rPr>
      </w:pPr>
    </w:p>
    <w:p w14:paraId="629E8412" w14:textId="7EA04629" w:rsidR="00884AFA" w:rsidRPr="00884AFA" w:rsidRDefault="00884AFA" w:rsidP="00884AFA">
      <w:pPr>
        <w:pStyle w:val="Heading3"/>
        <w:rPr>
          <w:rFonts w:eastAsia="Times New Roman"/>
          <w:sz w:val="28"/>
          <w:u w:val="single"/>
        </w:rPr>
      </w:pPr>
      <w:r w:rsidRPr="00884AFA">
        <w:rPr>
          <w:rFonts w:eastAsia="Times New Roman"/>
          <w:u w:val="single"/>
          <w:lang w:eastAsia="bg-BG"/>
        </w:rPr>
        <w:t>Специални популации</w:t>
      </w:r>
    </w:p>
    <w:p w14:paraId="763D88EB" w14:textId="7777777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Възраст, пол и раса:</w:t>
      </w:r>
    </w:p>
    <w:p w14:paraId="31BA8C2B"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Фармакокинетиката на еплеренон в доза 100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е била изследвана в напреднала възраст (≥65 години), при мъже и жени, и при черната раса. Фармакокинетиката на еплеренон не се различава значимо при мъже и жени. При равновесни концентрации при лица в напреднала възраст има нарастване на Смаь (22%) и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(45%) в сравнение с лица в млада възраст (18 до 45 години). При равновесни плазмени концентрации С</w:t>
      </w:r>
      <w:r w:rsidRPr="00884AFA">
        <w:rPr>
          <w:rFonts w:eastAsia="Times New Roman" w:cs="Arial"/>
          <w:bCs/>
          <w:color w:val="000000"/>
          <w:szCs w:val="20"/>
          <w:lang w:val="en-US"/>
        </w:rPr>
        <w:t>max</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с19% по-ниска и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с 26% при чернокожи (вж. точка 4.2).</w:t>
      </w:r>
    </w:p>
    <w:p w14:paraId="2F8E3829" w14:textId="77777777" w:rsidR="00884AFA" w:rsidRPr="00884AFA" w:rsidRDefault="00884AFA" w:rsidP="00884AFA">
      <w:pPr>
        <w:spacing w:line="240" w:lineRule="auto"/>
        <w:rPr>
          <w:rFonts w:eastAsia="Times New Roman" w:cs="Arial"/>
          <w:bCs/>
          <w:i/>
          <w:iCs/>
          <w:color w:val="000000"/>
          <w:szCs w:val="20"/>
          <w:lang w:eastAsia="bg-BG"/>
        </w:rPr>
      </w:pPr>
    </w:p>
    <w:p w14:paraId="5CA01D91" w14:textId="3F5EB68E"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Педиатрична популация:</w:t>
      </w:r>
    </w:p>
    <w:p w14:paraId="128DA87E" w14:textId="7E0D36D0" w:rsidR="00884AFA" w:rsidRPr="00884AFA" w:rsidRDefault="00884AFA" w:rsidP="00884AFA">
      <w:pPr>
        <w:rPr>
          <w:rFonts w:eastAsia="Times New Roman" w:cs="Arial"/>
          <w:bCs/>
          <w:color w:val="000000"/>
          <w:szCs w:val="20"/>
          <w:lang w:eastAsia="bg-BG"/>
        </w:rPr>
      </w:pPr>
      <w:r w:rsidRPr="00884AFA">
        <w:rPr>
          <w:rFonts w:eastAsia="Times New Roman" w:cs="Arial"/>
          <w:bCs/>
          <w:color w:val="000000"/>
          <w:szCs w:val="20"/>
          <w:lang w:eastAsia="bg-BG"/>
        </w:rPr>
        <w:t xml:space="preserve">Популационен фармакокинетичен модел на концентрациите на еплеренон от две проучвания върху 51 педиатрични пациенти с хипертония на възраст 4-16 години установява, че телесното тегло на пациента има статистически значим ефект върху обема на разпределение на еплеренон, но не и върху неговия клирънс. Обемът на разпределение на еплеренон и пиковите стойности на експозиция при педиатричен пациент с по-голямо телесно тегло според прогнозата ще са подобни на тези при възрастен със същото тегло; при пациент с по-ниско тегло от 45 </w:t>
      </w:r>
      <w:r w:rsidRPr="00884AFA">
        <w:rPr>
          <w:rFonts w:eastAsia="Times New Roman" w:cs="Arial"/>
          <w:bCs/>
          <w:color w:val="000000"/>
          <w:szCs w:val="20"/>
          <w:lang w:val="en-US"/>
        </w:rPr>
        <w:t>kg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обемът на разпределение е около 40% по-малък, а според прогнозите пиковите стойности на експозицията ще бъдат по-високи от типичните за възрастни. Лечението с еплеренон при педиатрични пациенти е започвало с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и повишено до 25 </w:t>
      </w:r>
      <w:r w:rsidRPr="00884AFA">
        <w:rPr>
          <w:rFonts w:eastAsia="Times New Roman" w:cs="Arial"/>
          <w:bCs/>
          <w:color w:val="000000"/>
          <w:szCs w:val="20"/>
          <w:lang w:val="en-US"/>
        </w:rPr>
        <w:t>mg</w:t>
      </w:r>
      <w:r w:rsidRPr="00884AFA">
        <w:rPr>
          <w:rFonts w:eastAsia="Times New Roman" w:cs="Arial"/>
          <w:bCs/>
          <w:color w:val="000000"/>
          <w:szCs w:val="20"/>
          <w:lang w:eastAsia="bg-BG"/>
        </w:rPr>
        <w:t xml:space="preserve"> два пъти дневно след 2 седмици и евентуално до 50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два пъти дневно, ако</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клинично показано. При тези дози най-високите установени концентрации на еплеренон при педиатрични участници не са били значително по-високи, отколкото при възрастни, при които лечението е било започнато с начална доза от 50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веднъж дневно.</w:t>
      </w:r>
    </w:p>
    <w:p w14:paraId="5BFCB30F" w14:textId="086E3D10" w:rsidR="00884AFA" w:rsidRPr="00884AFA" w:rsidRDefault="00884AFA" w:rsidP="00884AFA">
      <w:pPr>
        <w:rPr>
          <w:rFonts w:eastAsia="Times New Roman" w:cs="Arial"/>
          <w:bCs/>
          <w:color w:val="000000"/>
          <w:szCs w:val="20"/>
          <w:lang w:eastAsia="bg-BG"/>
        </w:rPr>
      </w:pPr>
    </w:p>
    <w:p w14:paraId="265E3DE2" w14:textId="7777777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Бъбречна недостатъчност:</w:t>
      </w:r>
    </w:p>
    <w:p w14:paraId="0878CA51"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Фармакокинетиката на еплеренон е оценена при пациенти с различна степен на бъбречна недостатъчност и при пациенти на хемодиализа. В сравнение с контролни лица равновесните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и С</w:t>
      </w:r>
      <w:r w:rsidRPr="00884AFA">
        <w:rPr>
          <w:rFonts w:eastAsia="Times New Roman" w:cs="Arial"/>
          <w:bCs/>
          <w:color w:val="000000"/>
          <w:szCs w:val="20"/>
          <w:vertAlign w:val="subscript"/>
          <w:lang w:val="en-US"/>
        </w:rPr>
        <w:t>max</w:t>
      </w:r>
      <w:r w:rsidRPr="00884AFA">
        <w:rPr>
          <w:rFonts w:eastAsia="Times New Roman" w:cs="Arial"/>
          <w:bCs/>
          <w:color w:val="000000"/>
          <w:szCs w:val="20"/>
          <w:lang w:eastAsia="bg-BG"/>
        </w:rPr>
        <w:t xml:space="preserve"> са се повишили съответно с 38% и 24% при пациенти с тежко бъбречно увреждане и съответно с 26% и 3% са се понижили при пациенти на хемодиализа. Не е наблюдавана корелация между плазмения клирънс на еплеренон и креатининовия клирънс. Еплеренон не се диализира (вж. точка 4.4.).</w:t>
      </w:r>
    </w:p>
    <w:p w14:paraId="6D1F2122" w14:textId="77777777" w:rsidR="00884AFA" w:rsidRPr="00884AFA" w:rsidRDefault="00884AFA" w:rsidP="00884AFA">
      <w:pPr>
        <w:spacing w:line="240" w:lineRule="auto"/>
        <w:rPr>
          <w:rFonts w:eastAsia="Times New Roman" w:cs="Arial"/>
          <w:bCs/>
          <w:i/>
          <w:iCs/>
          <w:color w:val="000000"/>
          <w:szCs w:val="20"/>
          <w:lang w:eastAsia="bg-BG"/>
        </w:rPr>
      </w:pPr>
    </w:p>
    <w:p w14:paraId="1CF63648" w14:textId="26A04260"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Чернодробна недостатъчност:</w:t>
      </w:r>
    </w:p>
    <w:p w14:paraId="2C8D2C1E"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Фармакокинетиката на еплеренон 400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изследвана при пациенти с умерено чернодробно увреждане </w:t>
      </w:r>
      <w:r w:rsidRPr="00884AFA">
        <w:rPr>
          <w:rFonts w:eastAsia="Times New Roman" w:cs="Arial"/>
          <w:bCs/>
          <w:color w:val="000000"/>
          <w:szCs w:val="20"/>
          <w:lang w:val="ru-RU"/>
        </w:rPr>
        <w:t>(</w:t>
      </w:r>
      <w:r w:rsidRPr="00884AFA">
        <w:rPr>
          <w:rFonts w:eastAsia="Times New Roman" w:cs="Arial"/>
          <w:bCs/>
          <w:color w:val="000000"/>
          <w:szCs w:val="20"/>
          <w:lang w:val="en-US"/>
        </w:rPr>
        <w:t>Child</w:t>
      </w:r>
      <w:r w:rsidRPr="00884AFA">
        <w:rPr>
          <w:rFonts w:eastAsia="Times New Roman" w:cs="Arial"/>
          <w:bCs/>
          <w:color w:val="000000"/>
          <w:szCs w:val="20"/>
          <w:lang w:val="ru-RU"/>
        </w:rPr>
        <w:t>-</w:t>
      </w:r>
      <w:r w:rsidRPr="00884AFA">
        <w:rPr>
          <w:rFonts w:eastAsia="Times New Roman" w:cs="Arial"/>
          <w:bCs/>
          <w:color w:val="000000"/>
          <w:szCs w:val="20"/>
          <w:lang w:val="en-US"/>
        </w:rPr>
        <w:t>Pugh</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клас В) и сравнена с тази при обикновени пациенти. Равновесните стойности на С</w:t>
      </w:r>
      <w:r w:rsidRPr="00884AFA">
        <w:rPr>
          <w:rFonts w:eastAsia="Times New Roman" w:cs="Arial"/>
          <w:bCs/>
          <w:color w:val="000000"/>
          <w:szCs w:val="20"/>
          <w:lang w:val="en-US"/>
        </w:rPr>
        <w:t>max</w:t>
      </w:r>
      <w:r w:rsidRPr="00884AFA">
        <w:rPr>
          <w:rFonts w:eastAsia="Times New Roman" w:cs="Arial"/>
          <w:bCs/>
          <w:color w:val="000000"/>
          <w:szCs w:val="20"/>
          <w:lang w:eastAsia="bg-BG"/>
        </w:rPr>
        <w:t xml:space="preserve"> и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на еплеренон са съответно с 3,6% и 42% по-високи (вж. точка 4.2). Тъй като употребата на еплеренон не е изследвана при пациенти с тежка чернодробна недостатъчност, това лекарство е противопоказано при тази група пациенти (вж. точка 4.3).</w:t>
      </w:r>
    </w:p>
    <w:p w14:paraId="650D7D32" w14:textId="77777777" w:rsidR="00884AFA" w:rsidRPr="00884AFA" w:rsidRDefault="00884AFA" w:rsidP="00884AFA">
      <w:pPr>
        <w:spacing w:line="240" w:lineRule="auto"/>
        <w:rPr>
          <w:rFonts w:eastAsia="Times New Roman" w:cs="Arial"/>
          <w:bCs/>
          <w:i/>
          <w:iCs/>
          <w:color w:val="000000"/>
          <w:szCs w:val="20"/>
          <w:lang w:eastAsia="bg-BG"/>
        </w:rPr>
      </w:pPr>
    </w:p>
    <w:p w14:paraId="3EE24B12" w14:textId="5E470166"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Сърдечна недостатъчност:</w:t>
      </w:r>
    </w:p>
    <w:p w14:paraId="0A66D905"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Фармакокинетиката на еплеренон 50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оценена при пациенти със сърдечна недостатъчност </w:t>
      </w:r>
      <w:r w:rsidRPr="00884AFA">
        <w:rPr>
          <w:rFonts w:eastAsia="Times New Roman" w:cs="Arial"/>
          <w:bCs/>
          <w:color w:val="000000"/>
          <w:szCs w:val="20"/>
          <w:lang w:val="ru-RU"/>
        </w:rPr>
        <w:t>(</w:t>
      </w:r>
      <w:r w:rsidRPr="00884AFA">
        <w:rPr>
          <w:rFonts w:eastAsia="Times New Roman" w:cs="Arial"/>
          <w:bCs/>
          <w:color w:val="000000"/>
          <w:szCs w:val="20"/>
          <w:lang w:val="en-US"/>
        </w:rPr>
        <w:t>NYHA</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клас П</w:t>
      </w:r>
      <w:r w:rsidRPr="00884AFA">
        <w:rPr>
          <w:rFonts w:eastAsia="Times New Roman" w:cs="Arial"/>
          <w:bCs/>
          <w:color w:val="000000"/>
          <w:szCs w:val="20"/>
          <w:lang w:val="ru-RU"/>
        </w:rPr>
        <w:t>-</w:t>
      </w:r>
      <w:r w:rsidRPr="00884AFA">
        <w:rPr>
          <w:rFonts w:eastAsia="Times New Roman" w:cs="Arial"/>
          <w:bCs/>
          <w:color w:val="000000"/>
          <w:szCs w:val="20"/>
          <w:lang w:val="en-US"/>
        </w:rPr>
        <w:t>IV</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 сравнение със съответни по възраст, телесно тегло и пол здрави лица, равновесните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и С</w:t>
      </w:r>
      <w:r w:rsidRPr="00884AFA">
        <w:rPr>
          <w:rFonts w:eastAsia="Times New Roman" w:cs="Arial"/>
          <w:bCs/>
          <w:color w:val="000000"/>
          <w:szCs w:val="20"/>
          <w:lang w:val="en-US"/>
        </w:rPr>
        <w:t>max</w:t>
      </w:r>
      <w:r w:rsidRPr="00884AFA">
        <w:rPr>
          <w:rFonts w:eastAsia="Times New Roman" w:cs="Arial"/>
          <w:bCs/>
          <w:color w:val="000000"/>
          <w:szCs w:val="20"/>
          <w:lang w:eastAsia="bg-BG"/>
        </w:rPr>
        <w:t xml:space="preserve"> при пациенти със сърдечна недостатъчност </w:t>
      </w:r>
      <w:r w:rsidRPr="00884AFA">
        <w:rPr>
          <w:rFonts w:eastAsia="Times New Roman" w:cs="Arial"/>
          <w:bCs/>
          <w:color w:val="000000"/>
          <w:szCs w:val="20"/>
          <w:lang w:eastAsia="bg-BG"/>
        </w:rPr>
        <w:lastRenderedPageBreak/>
        <w:t xml:space="preserve">са съответно с 38% и 30% по-високи. В съответствие с тези резултати популационният фармакокинетичен анализ на еплеренон, основан на данни при подгрупа пациенти от проучването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показва, че клирънсът на еплеренон при пациенти със сърдечна недостатъчност е сходен с този при здрави лица в старческа възраст.</w:t>
      </w:r>
    </w:p>
    <w:p w14:paraId="082956E6" w14:textId="77777777" w:rsidR="00884AFA" w:rsidRPr="00884AFA" w:rsidRDefault="00884AFA" w:rsidP="00884AFA"/>
    <w:p w14:paraId="4FB791BE" w14:textId="390C1F61" w:rsidR="00B6672E" w:rsidRDefault="002C50EE" w:rsidP="00936AD0">
      <w:pPr>
        <w:pStyle w:val="Heading2"/>
      </w:pPr>
      <w:r>
        <w:t>5.3. Предклинични данни за безопасност</w:t>
      </w:r>
    </w:p>
    <w:p w14:paraId="211C900D" w14:textId="5FCF04F5" w:rsidR="00884AFA" w:rsidRDefault="00884AFA" w:rsidP="00884AFA"/>
    <w:p w14:paraId="1605CC7B" w14:textId="77777777" w:rsidR="00884AFA" w:rsidRPr="00884AFA" w:rsidRDefault="00884AFA" w:rsidP="00884AFA">
      <w:pPr>
        <w:rPr>
          <w:sz w:val="24"/>
          <w:szCs w:val="24"/>
        </w:rPr>
      </w:pPr>
      <w:r w:rsidRPr="00884AFA">
        <w:rPr>
          <w:lang w:eastAsia="bg-BG"/>
        </w:rPr>
        <w:t>Предклинични фармакологични проучвания за безопасност, генотоксичност, карциногенен потенциал и репродуктивна токсичност не са разкрили специфични рискове при хора.</w:t>
      </w:r>
    </w:p>
    <w:p w14:paraId="23FE1AB9" w14:textId="77824978" w:rsidR="00884AFA" w:rsidRPr="00884AFA" w:rsidRDefault="00884AFA" w:rsidP="00884AFA">
      <w:r w:rsidRPr="00884AFA">
        <w:rPr>
          <w:lang w:eastAsia="bg-BG"/>
        </w:rPr>
        <w:t>При проучвания за токсичност при многократни приложения е наблюдавана атрофия на простатата при плъхове и кучета на нива на експозиция малко над нивата при клинична експозиция. Простатните промени не са били свързани с неблагоприятни функционални последствия. Клиничното значение на тези данни е неясно.</w:t>
      </w:r>
    </w:p>
    <w:p w14:paraId="1BA6531D" w14:textId="5C498909" w:rsidR="00B6672E" w:rsidRDefault="002C50EE" w:rsidP="00936AD0">
      <w:pPr>
        <w:pStyle w:val="Heading1"/>
      </w:pPr>
      <w:r>
        <w:t>7. ПРИТЕЖАТЕЛ НА РАЗРЕШЕНИЕТО ЗА УПОТРЕБА</w:t>
      </w:r>
    </w:p>
    <w:p w14:paraId="0C1B15A2" w14:textId="0619A8E5" w:rsidR="00884AFA" w:rsidRDefault="00884AFA" w:rsidP="00884AFA"/>
    <w:p w14:paraId="573FB86E" w14:textId="77777777" w:rsidR="00884AFA" w:rsidRPr="00884AFA" w:rsidRDefault="00884AFA" w:rsidP="00884AFA">
      <w:pPr>
        <w:rPr>
          <w:sz w:val="24"/>
          <w:szCs w:val="24"/>
          <w:lang w:val="en-US"/>
        </w:rPr>
      </w:pPr>
      <w:proofErr w:type="spellStart"/>
      <w:r w:rsidRPr="00884AFA">
        <w:rPr>
          <w:lang w:val="en-US"/>
        </w:rPr>
        <w:t>Zaklady</w:t>
      </w:r>
      <w:proofErr w:type="spellEnd"/>
      <w:r w:rsidRPr="00884AFA">
        <w:rPr>
          <w:lang w:val="en-US"/>
        </w:rPr>
        <w:t xml:space="preserve"> </w:t>
      </w:r>
      <w:proofErr w:type="spellStart"/>
      <w:r w:rsidRPr="00884AFA">
        <w:rPr>
          <w:lang w:val="en-US"/>
        </w:rPr>
        <w:t>Farmaceutyczne</w:t>
      </w:r>
      <w:proofErr w:type="spellEnd"/>
      <w:r w:rsidRPr="00884AFA">
        <w:rPr>
          <w:lang w:val="en-US"/>
        </w:rPr>
        <w:t xml:space="preserve"> POLPHARMA S.A.</w:t>
      </w:r>
    </w:p>
    <w:p w14:paraId="2170FFC8" w14:textId="42934AB9" w:rsidR="00884AFA" w:rsidRPr="00884AFA" w:rsidRDefault="00884AFA" w:rsidP="00884AFA">
      <w:proofErr w:type="spellStart"/>
      <w:proofErr w:type="gramStart"/>
      <w:r w:rsidRPr="00884AFA">
        <w:rPr>
          <w:lang w:val="en-US"/>
        </w:rPr>
        <w:t>ul</w:t>
      </w:r>
      <w:proofErr w:type="spellEnd"/>
      <w:proofErr w:type="gramEnd"/>
      <w:r w:rsidRPr="00884AFA">
        <w:rPr>
          <w:lang w:val="ru-RU"/>
        </w:rPr>
        <w:t xml:space="preserve">. </w:t>
      </w:r>
      <w:proofErr w:type="spellStart"/>
      <w:r w:rsidRPr="00884AFA">
        <w:rPr>
          <w:lang w:val="en-US"/>
        </w:rPr>
        <w:t>Pelplinska</w:t>
      </w:r>
      <w:proofErr w:type="spellEnd"/>
      <w:r w:rsidRPr="00884AFA">
        <w:rPr>
          <w:lang w:val="ru-RU"/>
        </w:rPr>
        <w:t xml:space="preserve"> 19, 83-200 </w:t>
      </w:r>
      <w:proofErr w:type="spellStart"/>
      <w:r w:rsidRPr="00884AFA">
        <w:rPr>
          <w:lang w:val="en-US"/>
        </w:rPr>
        <w:t>Starogard</w:t>
      </w:r>
      <w:proofErr w:type="spellEnd"/>
      <w:r w:rsidRPr="00884AFA">
        <w:rPr>
          <w:lang w:val="ru-RU"/>
        </w:rPr>
        <w:t xml:space="preserve"> </w:t>
      </w:r>
      <w:proofErr w:type="spellStart"/>
      <w:r w:rsidRPr="00884AFA">
        <w:rPr>
          <w:lang w:val="en-US"/>
        </w:rPr>
        <w:t>Gdanski</w:t>
      </w:r>
      <w:proofErr w:type="spellEnd"/>
      <w:r w:rsidRPr="00884AFA">
        <w:rPr>
          <w:lang w:val="ru-RU"/>
        </w:rPr>
        <w:t xml:space="preserve">, </w:t>
      </w:r>
      <w:r w:rsidRPr="00884AFA">
        <w:rPr>
          <w:lang w:eastAsia="bg-BG"/>
        </w:rPr>
        <w:t>Полша</w:t>
      </w:r>
    </w:p>
    <w:p w14:paraId="508F3A54" w14:textId="27A6713A" w:rsidR="00B6672E" w:rsidRDefault="00936AD0" w:rsidP="00936AD0">
      <w:pPr>
        <w:pStyle w:val="Heading1"/>
      </w:pPr>
      <w:r>
        <w:t>8.</w:t>
      </w:r>
      <w:r w:rsidR="002C50EE">
        <w:t>НОМЕР НА РАЗРЕШЕНИЕТО ЗА УПОТРЕБА</w:t>
      </w:r>
    </w:p>
    <w:p w14:paraId="375285A1" w14:textId="73DD36DE" w:rsidR="00884AFA" w:rsidRDefault="00884AFA" w:rsidP="00884AFA"/>
    <w:p w14:paraId="49651B4F" w14:textId="77777777" w:rsidR="00884AFA" w:rsidRPr="00884AFA" w:rsidRDefault="00884AFA" w:rsidP="00884AFA">
      <w:pPr>
        <w:rPr>
          <w:sz w:val="24"/>
          <w:szCs w:val="24"/>
        </w:rPr>
      </w:pPr>
      <w:r w:rsidRPr="00884AFA">
        <w:rPr>
          <w:lang w:eastAsia="bg-BG"/>
        </w:rPr>
        <w:t xml:space="preserve">Еспиро 25 </w:t>
      </w:r>
      <w:r w:rsidRPr="00884AFA">
        <w:rPr>
          <w:lang w:val="en-US"/>
        </w:rPr>
        <w:t>mg</w:t>
      </w:r>
      <w:r w:rsidRPr="00884AFA">
        <w:rPr>
          <w:lang w:val="ru-RU"/>
        </w:rPr>
        <w:t xml:space="preserve"> </w:t>
      </w:r>
      <w:r w:rsidRPr="00884AFA">
        <w:rPr>
          <w:lang w:eastAsia="bg-BG"/>
        </w:rPr>
        <w:t>филмирани таблетки Рет. №: 20190084</w:t>
      </w:r>
    </w:p>
    <w:p w14:paraId="088EEA7F" w14:textId="46D58D66" w:rsidR="00884AFA" w:rsidRPr="00884AFA" w:rsidRDefault="00884AFA" w:rsidP="00884AFA">
      <w:r w:rsidRPr="00884AFA">
        <w:rPr>
          <w:lang w:eastAsia="bg-BG"/>
        </w:rPr>
        <w:t xml:space="preserve">Еспиро 50 </w:t>
      </w:r>
      <w:r w:rsidRPr="00884AFA">
        <w:rPr>
          <w:lang w:val="en-US"/>
        </w:rPr>
        <w:t>mg</w:t>
      </w:r>
      <w:r w:rsidRPr="00884AFA">
        <w:rPr>
          <w:lang w:val="ru-RU"/>
        </w:rPr>
        <w:t xml:space="preserve"> </w:t>
      </w:r>
      <w:r w:rsidRPr="00884AFA">
        <w:rPr>
          <w:lang w:eastAsia="bg-BG"/>
        </w:rPr>
        <w:t>филмирани таблетки Рет. №: 20190085</w:t>
      </w:r>
    </w:p>
    <w:p w14:paraId="2CCB5832" w14:textId="099E6AE2" w:rsidR="007C605B" w:rsidRDefault="002C50EE" w:rsidP="007C605B">
      <w:pPr>
        <w:pStyle w:val="Heading1"/>
      </w:pPr>
      <w:r>
        <w:t>9. ДАТА НА ПЪРВО РАЗРЕШАВАНЕ/ПОДНОВЯВАНЕ НА РАЗРЕШЕНИЕТО ЗА УПОТРЕБА</w:t>
      </w:r>
    </w:p>
    <w:p w14:paraId="1D771800" w14:textId="7CE07ECE" w:rsidR="00884AFA" w:rsidRDefault="00884AFA" w:rsidP="00884AFA"/>
    <w:p w14:paraId="4B6D97A0" w14:textId="14E51659" w:rsidR="00884AFA" w:rsidRPr="00884AFA" w:rsidRDefault="00884AFA" w:rsidP="00884AFA">
      <w:pPr>
        <w:rPr>
          <w:sz w:val="24"/>
          <w:szCs w:val="24"/>
        </w:rPr>
      </w:pPr>
      <w:r w:rsidRPr="00884AFA">
        <w:rPr>
          <w:lang w:eastAsia="bg-BG"/>
        </w:rPr>
        <w:t>Дата на първо разрешаване: 16.04.2019</w:t>
      </w:r>
    </w:p>
    <w:p w14:paraId="0E9D0119" w14:textId="0245C6D7" w:rsidR="002C50EE" w:rsidRDefault="002C50EE" w:rsidP="002C50EE">
      <w:pPr>
        <w:pStyle w:val="Heading1"/>
      </w:pPr>
      <w:r>
        <w:t>10. ДАТА НА АКТУАЛИЗИРАНЕ НА ТЕКСТА</w:t>
      </w:r>
    </w:p>
    <w:p w14:paraId="43FB38A2" w14:textId="689F8F04" w:rsidR="007C605B" w:rsidRPr="003E3126" w:rsidRDefault="007C605B" w:rsidP="00B6672E">
      <w:bookmarkStart w:id="2" w:name="_GoBack"/>
      <w:bookmarkEnd w:id="0"/>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4CD24FB"/>
    <w:multiLevelType w:val="hybridMultilevel"/>
    <w:tmpl w:val="BE149D2E"/>
    <w:lvl w:ilvl="0" w:tplc="1520AE64">
      <w:start w:val="4"/>
      <w:numFmt w:val="bullet"/>
      <w:lvlText w:val="-"/>
      <w:lvlJc w:val="left"/>
      <w:pPr>
        <w:ind w:left="720" w:hanging="360"/>
      </w:pPr>
      <w:rPr>
        <w:rFonts w:ascii="Times New Roman" w:eastAsia="Times New Roman" w:hAnsi="Times New Roman" w:cs="Times New Roman" w:hint="default"/>
        <w:b/>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71A5249"/>
    <w:multiLevelType w:val="hybridMultilevel"/>
    <w:tmpl w:val="088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87A71"/>
    <w:multiLevelType w:val="hybridMultilevel"/>
    <w:tmpl w:val="051A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7"/>
  </w:num>
  <w:num w:numId="4">
    <w:abstractNumId w:val="3"/>
  </w:num>
  <w:num w:numId="5">
    <w:abstractNumId w:val="1"/>
  </w:num>
  <w:num w:numId="6">
    <w:abstractNumId w:val="20"/>
  </w:num>
  <w:num w:numId="7">
    <w:abstractNumId w:val="13"/>
  </w:num>
  <w:num w:numId="8">
    <w:abstractNumId w:val="19"/>
  </w:num>
  <w:num w:numId="9">
    <w:abstractNumId w:val="2"/>
  </w:num>
  <w:num w:numId="10">
    <w:abstractNumId w:val="4"/>
  </w:num>
  <w:num w:numId="11">
    <w:abstractNumId w:val="34"/>
  </w:num>
  <w:num w:numId="12">
    <w:abstractNumId w:val="18"/>
  </w:num>
  <w:num w:numId="13">
    <w:abstractNumId w:val="23"/>
  </w:num>
  <w:num w:numId="14">
    <w:abstractNumId w:val="16"/>
  </w:num>
  <w:num w:numId="15">
    <w:abstractNumId w:val="33"/>
  </w:num>
  <w:num w:numId="16">
    <w:abstractNumId w:val="12"/>
  </w:num>
  <w:num w:numId="17">
    <w:abstractNumId w:val="28"/>
  </w:num>
  <w:num w:numId="18">
    <w:abstractNumId w:val="9"/>
  </w:num>
  <w:num w:numId="19">
    <w:abstractNumId w:val="30"/>
  </w:num>
  <w:num w:numId="20">
    <w:abstractNumId w:val="27"/>
  </w:num>
  <w:num w:numId="21">
    <w:abstractNumId w:val="21"/>
  </w:num>
  <w:num w:numId="22">
    <w:abstractNumId w:val="29"/>
  </w:num>
  <w:num w:numId="23">
    <w:abstractNumId w:val="22"/>
  </w:num>
  <w:num w:numId="24">
    <w:abstractNumId w:val="10"/>
  </w:num>
  <w:num w:numId="25">
    <w:abstractNumId w:val="26"/>
  </w:num>
  <w:num w:numId="26">
    <w:abstractNumId w:val="25"/>
  </w:num>
  <w:num w:numId="27">
    <w:abstractNumId w:val="35"/>
  </w:num>
  <w:num w:numId="28">
    <w:abstractNumId w:val="6"/>
  </w:num>
  <w:num w:numId="29">
    <w:abstractNumId w:val="24"/>
  </w:num>
  <w:num w:numId="30">
    <w:abstractNumId w:val="38"/>
  </w:num>
  <w:num w:numId="31">
    <w:abstractNumId w:val="5"/>
  </w:num>
  <w:num w:numId="32">
    <w:abstractNumId w:val="37"/>
  </w:num>
  <w:num w:numId="33">
    <w:abstractNumId w:val="32"/>
  </w:num>
  <w:num w:numId="34">
    <w:abstractNumId w:val="36"/>
  </w:num>
  <w:num w:numId="35">
    <w:abstractNumId w:val="8"/>
  </w:num>
  <w:num w:numId="36">
    <w:abstractNumId w:val="11"/>
  </w:num>
  <w:num w:numId="37">
    <w:abstractNumId w:val="15"/>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84AFA"/>
    <w:rsid w:val="00893B92"/>
    <w:rsid w:val="008A6AF2"/>
    <w:rsid w:val="008C70A2"/>
    <w:rsid w:val="00936AD0"/>
    <w:rsid w:val="00951D6D"/>
    <w:rsid w:val="009773E4"/>
    <w:rsid w:val="009B171C"/>
    <w:rsid w:val="009F1313"/>
    <w:rsid w:val="00A20351"/>
    <w:rsid w:val="00A65A81"/>
    <w:rsid w:val="00AA23EC"/>
    <w:rsid w:val="00AC63CE"/>
    <w:rsid w:val="00AE2107"/>
    <w:rsid w:val="00B05ED3"/>
    <w:rsid w:val="00B275A8"/>
    <w:rsid w:val="00B6672E"/>
    <w:rsid w:val="00BF2600"/>
    <w:rsid w:val="00C0049F"/>
    <w:rsid w:val="00C07B84"/>
    <w:rsid w:val="00C33464"/>
    <w:rsid w:val="00C40420"/>
    <w:rsid w:val="00C809A7"/>
    <w:rsid w:val="00C83063"/>
    <w:rsid w:val="00C87E90"/>
    <w:rsid w:val="00CA1B57"/>
    <w:rsid w:val="00CF77F7"/>
    <w:rsid w:val="00D72016"/>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4976</Words>
  <Characters>28365</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2022-07-26T22:58:00Z</dcterms:created>
  <dcterms:modified xsi:type="dcterms:W3CDTF">2022-07-26T22:58:00Z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