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79B9F816" w:rsidR="009F77A4" w:rsidRDefault="00DD466D" w:rsidP="00387A66">
      <w:pPr>
        <w:pStyle w:val="Heading1"/>
      </w:pPr>
      <w:r>
        <w:t>1.ИМЕ НА ЛЕКАРСТВЕНИЯ ПРОДУКТ</w:t>
      </w:r>
    </w:p>
    <w:p w14:paraId="6E6F5821" w14:textId="4094D8CF" w:rsidR="004300EE" w:rsidRDefault="004300EE" w:rsidP="004300EE"/>
    <w:p w14:paraId="4A2E0FA2" w14:textId="77777777" w:rsidR="004300EE" w:rsidRDefault="004300EE" w:rsidP="004300EE">
      <w:pPr>
        <w:rPr>
          <w:lang w:eastAsia="bg-BG"/>
        </w:rPr>
      </w:pPr>
      <w:r w:rsidRPr="004300EE">
        <w:rPr>
          <w:lang w:eastAsia="bg-BG"/>
        </w:rPr>
        <w:t xml:space="preserve">ЕСПРИТАЛ 30 </w:t>
      </w:r>
      <w:r w:rsidRPr="004300EE">
        <w:rPr>
          <w:lang w:val="en-US"/>
        </w:rPr>
        <w:t xml:space="preserve">mg </w:t>
      </w:r>
      <w:r w:rsidRPr="004300EE">
        <w:rPr>
          <w:lang w:eastAsia="bg-BG"/>
        </w:rPr>
        <w:t xml:space="preserve">филмирани таблетки </w:t>
      </w:r>
    </w:p>
    <w:p w14:paraId="179AAFE5" w14:textId="3CA612DA" w:rsidR="004300EE" w:rsidRPr="004300EE" w:rsidRDefault="004300EE" w:rsidP="004300EE">
      <w:pPr>
        <w:rPr>
          <w:sz w:val="24"/>
          <w:szCs w:val="24"/>
          <w:lang w:eastAsia="bg-BG"/>
        </w:rPr>
      </w:pPr>
      <w:r w:rsidRPr="004300EE">
        <w:rPr>
          <w:lang w:val="en-US"/>
        </w:rPr>
        <w:t xml:space="preserve">ESPRITAL </w:t>
      </w:r>
      <w:r w:rsidRPr="004300EE">
        <w:rPr>
          <w:lang w:eastAsia="bg-BG"/>
        </w:rPr>
        <w:t xml:space="preserve">30 </w:t>
      </w:r>
      <w:r w:rsidRPr="004300EE">
        <w:rPr>
          <w:lang w:val="en-US"/>
        </w:rPr>
        <w:t>mg film-coated tablets</w:t>
      </w:r>
    </w:p>
    <w:p w14:paraId="294E498E" w14:textId="77777777" w:rsidR="004300EE" w:rsidRPr="004300EE" w:rsidRDefault="004300EE" w:rsidP="004300EE"/>
    <w:p w14:paraId="0DF202EC" w14:textId="641A9CE8" w:rsidR="00F53FB7" w:rsidRDefault="00DD466D" w:rsidP="00A93499">
      <w:pPr>
        <w:pStyle w:val="Heading1"/>
      </w:pPr>
      <w:r>
        <w:t>2. КАЧЕСТВЕН И КОЛИЧЕСТВЕН СЪСТАВ</w:t>
      </w:r>
    </w:p>
    <w:p w14:paraId="6C024F10" w14:textId="2FA01066" w:rsidR="004300EE" w:rsidRDefault="004300EE" w:rsidP="004300EE"/>
    <w:p w14:paraId="65DE8BF6" w14:textId="77777777" w:rsidR="004300EE" w:rsidRPr="004300EE" w:rsidRDefault="004300EE" w:rsidP="004300EE">
      <w:pPr>
        <w:rPr>
          <w:sz w:val="24"/>
          <w:szCs w:val="24"/>
          <w:lang w:eastAsia="bg-BG"/>
        </w:rPr>
      </w:pPr>
      <w:r w:rsidRPr="004300EE">
        <w:rPr>
          <w:lang w:eastAsia="bg-BG"/>
        </w:rPr>
        <w:t xml:space="preserve">Всяка филмирана таблетка съдържа 30 миртазапин </w:t>
      </w:r>
      <w:r w:rsidRPr="004300EE">
        <w:rPr>
          <w:lang w:val="en-US"/>
        </w:rPr>
        <w:t>(mirtazapine).</w:t>
      </w:r>
    </w:p>
    <w:p w14:paraId="2AA1EF00" w14:textId="3A2A72B8" w:rsidR="004300EE" w:rsidRPr="004300EE" w:rsidRDefault="004300EE" w:rsidP="004300EE">
      <w:pPr>
        <w:rPr>
          <w:sz w:val="24"/>
          <w:szCs w:val="24"/>
          <w:lang w:eastAsia="bg-BG"/>
        </w:rPr>
      </w:pPr>
      <w:r w:rsidRPr="004300EE">
        <w:rPr>
          <w:lang w:eastAsia="bg-BG"/>
        </w:rPr>
        <w:t xml:space="preserve">Всяка филмирана таблетка Еспритал 30 </w:t>
      </w:r>
      <w:r w:rsidRPr="004300EE">
        <w:rPr>
          <w:lang w:val="en-US"/>
        </w:rPr>
        <w:t xml:space="preserve">mg </w:t>
      </w:r>
      <w:r w:rsidRPr="004300EE">
        <w:rPr>
          <w:lang w:eastAsia="bg-BG"/>
        </w:rPr>
        <w:t xml:space="preserve">съдържа 88.800 </w:t>
      </w:r>
      <w:r w:rsidRPr="004300EE">
        <w:rPr>
          <w:lang w:val="en-US"/>
        </w:rPr>
        <w:t xml:space="preserve">mg </w:t>
      </w:r>
      <w:r w:rsidRPr="004300EE">
        <w:rPr>
          <w:lang w:eastAsia="bg-BG"/>
        </w:rPr>
        <w:t>лактоза (като монохидрат)</w:t>
      </w:r>
    </w:p>
    <w:p w14:paraId="4CABB9ED" w14:textId="06D89596" w:rsidR="00F53FB7" w:rsidRDefault="00DD466D" w:rsidP="00A93499">
      <w:pPr>
        <w:pStyle w:val="Heading1"/>
      </w:pPr>
      <w:r>
        <w:t>3. ЛЕКАРСТВЕНА ФОРМА</w:t>
      </w:r>
    </w:p>
    <w:p w14:paraId="3DEF411B" w14:textId="1EA189B1" w:rsidR="004300EE" w:rsidRDefault="004300EE" w:rsidP="004300EE"/>
    <w:p w14:paraId="3785C812" w14:textId="77777777" w:rsidR="004300EE" w:rsidRPr="004300EE" w:rsidRDefault="004300EE" w:rsidP="004300EE">
      <w:pPr>
        <w:rPr>
          <w:sz w:val="24"/>
          <w:szCs w:val="24"/>
          <w:lang w:eastAsia="bg-BG"/>
        </w:rPr>
      </w:pPr>
      <w:r w:rsidRPr="004300EE">
        <w:rPr>
          <w:lang w:eastAsia="bg-BG"/>
        </w:rPr>
        <w:t>Филмирана таблетка</w:t>
      </w:r>
    </w:p>
    <w:p w14:paraId="362C1FD2" w14:textId="0A53C24C" w:rsidR="004300EE" w:rsidRDefault="004300EE" w:rsidP="004300EE">
      <w:pPr>
        <w:rPr>
          <w:lang w:eastAsia="bg-BG"/>
        </w:rPr>
      </w:pPr>
      <w:r w:rsidRPr="004300EE">
        <w:rPr>
          <w:lang w:eastAsia="bg-BG"/>
        </w:rPr>
        <w:t>Еспритал 30: червено-кафяви, овални филмирани таблетки с делителна черта от едната страна. Таблетката може да бъде разделена на равни дози.</w:t>
      </w:r>
    </w:p>
    <w:p w14:paraId="4A51A47E" w14:textId="77777777" w:rsidR="007641DA" w:rsidRPr="004300EE" w:rsidRDefault="007641DA" w:rsidP="004300EE">
      <w:pPr>
        <w:rPr>
          <w:sz w:val="24"/>
          <w:szCs w:val="24"/>
          <w:lang w:eastAsia="bg-BG"/>
        </w:rPr>
      </w:pPr>
    </w:p>
    <w:p w14:paraId="490FC2C4" w14:textId="6899DE43" w:rsidR="002C50EE" w:rsidRDefault="002C50EE" w:rsidP="002C50EE">
      <w:pPr>
        <w:pStyle w:val="Heading1"/>
      </w:pPr>
      <w:r>
        <w:t>4. КЛИНИЧНИ ДАННИ</w:t>
      </w:r>
    </w:p>
    <w:p w14:paraId="461901E4" w14:textId="45F5DA86" w:rsidR="009F77A4" w:rsidRDefault="002C50EE" w:rsidP="00387A66">
      <w:pPr>
        <w:pStyle w:val="Heading2"/>
      </w:pPr>
      <w:r>
        <w:t>4.1. Терапевтични показания</w:t>
      </w:r>
    </w:p>
    <w:p w14:paraId="30064F01" w14:textId="77777777" w:rsidR="007641DA" w:rsidRDefault="007641DA" w:rsidP="004300EE"/>
    <w:p w14:paraId="5C26D318" w14:textId="7D11B7D9" w:rsidR="004300EE" w:rsidRDefault="004300EE" w:rsidP="004300EE">
      <w:pPr>
        <w:rPr>
          <w:lang w:eastAsia="bg-BG"/>
        </w:rPr>
      </w:pPr>
      <w:r w:rsidRPr="004300EE">
        <w:rPr>
          <w:lang w:eastAsia="bg-BG"/>
        </w:rPr>
        <w:t>Еспритал е показан за лечение на големи депресивни епизоди при възрастни.</w:t>
      </w:r>
    </w:p>
    <w:p w14:paraId="2BC6F28C" w14:textId="77777777" w:rsidR="007641DA" w:rsidRPr="004300EE" w:rsidRDefault="007641DA" w:rsidP="004300EE">
      <w:pPr>
        <w:rPr>
          <w:sz w:val="24"/>
          <w:szCs w:val="24"/>
          <w:lang w:eastAsia="bg-BG"/>
        </w:rPr>
      </w:pPr>
    </w:p>
    <w:p w14:paraId="31744E5A" w14:textId="1467F623" w:rsidR="009F77A4" w:rsidRDefault="002C50EE" w:rsidP="00387A66">
      <w:pPr>
        <w:pStyle w:val="Heading2"/>
      </w:pPr>
      <w:r>
        <w:t>4.2. Дозировка и начин на приложение</w:t>
      </w:r>
    </w:p>
    <w:p w14:paraId="26A3D6D5" w14:textId="7675658B" w:rsidR="007641DA" w:rsidRDefault="007641DA" w:rsidP="007641DA"/>
    <w:p w14:paraId="603F9BDD" w14:textId="77777777" w:rsidR="007641DA" w:rsidRPr="007641DA" w:rsidRDefault="007641DA" w:rsidP="007641DA">
      <w:pPr>
        <w:pStyle w:val="Heading3"/>
        <w:rPr>
          <w:rFonts w:eastAsia="Times New Roman"/>
          <w:i/>
          <w:iCs/>
          <w:lang w:eastAsia="bg-BG"/>
        </w:rPr>
      </w:pPr>
      <w:r w:rsidRPr="007641DA">
        <w:rPr>
          <w:rFonts w:eastAsia="Times New Roman"/>
          <w:i/>
          <w:iCs/>
          <w:lang w:eastAsia="bg-BG"/>
        </w:rPr>
        <w:t>Дозировка</w:t>
      </w:r>
    </w:p>
    <w:p w14:paraId="151A0C4F" w14:textId="77777777" w:rsidR="007641DA" w:rsidRDefault="007641DA" w:rsidP="007641DA">
      <w:pPr>
        <w:spacing w:line="240" w:lineRule="auto"/>
        <w:rPr>
          <w:rFonts w:eastAsia="Times New Roman" w:cs="Arial"/>
          <w:b/>
          <w:bCs/>
          <w:i/>
          <w:iCs/>
          <w:color w:val="000000"/>
          <w:u w:val="single"/>
          <w:lang w:eastAsia="bg-BG"/>
        </w:rPr>
      </w:pPr>
    </w:p>
    <w:p w14:paraId="034B53B7" w14:textId="419BE7D7" w:rsidR="007641DA" w:rsidRPr="007641DA" w:rsidRDefault="007641DA" w:rsidP="007641DA">
      <w:pPr>
        <w:spacing w:line="240" w:lineRule="auto"/>
        <w:rPr>
          <w:rFonts w:eastAsia="Times New Roman" w:cs="Arial"/>
          <w:lang w:eastAsia="bg-BG"/>
        </w:rPr>
      </w:pPr>
      <w:r w:rsidRPr="007641DA">
        <w:rPr>
          <w:rFonts w:eastAsia="Times New Roman" w:cs="Arial"/>
          <w:b/>
          <w:bCs/>
          <w:i/>
          <w:iCs/>
          <w:color w:val="000000"/>
          <w:u w:val="single"/>
          <w:lang w:eastAsia="bg-BG"/>
        </w:rPr>
        <w:t>Възрастни</w:t>
      </w:r>
    </w:p>
    <w:p w14:paraId="7BD75291"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Ефективната дневна доза обикновено е между 15 и 45 </w:t>
      </w:r>
      <w:r w:rsidRPr="007641DA">
        <w:rPr>
          <w:rFonts w:eastAsia="Times New Roman" w:cs="Arial"/>
          <w:color w:val="000000"/>
          <w:lang w:val="en-US"/>
        </w:rPr>
        <w:t xml:space="preserve">mg; </w:t>
      </w:r>
      <w:r w:rsidRPr="007641DA">
        <w:rPr>
          <w:rFonts w:eastAsia="Times New Roman" w:cs="Arial"/>
          <w:color w:val="000000"/>
          <w:lang w:eastAsia="bg-BG"/>
        </w:rPr>
        <w:t xml:space="preserve">началната доза е 15 </w:t>
      </w:r>
      <w:r w:rsidRPr="007641DA">
        <w:rPr>
          <w:rFonts w:eastAsia="Times New Roman" w:cs="Arial"/>
          <w:color w:val="000000"/>
          <w:lang w:val="en-US"/>
        </w:rPr>
        <w:t xml:space="preserve">mg </w:t>
      </w:r>
      <w:r w:rsidRPr="007641DA">
        <w:rPr>
          <w:rFonts w:eastAsia="Times New Roman" w:cs="Arial"/>
          <w:color w:val="000000"/>
          <w:lang w:eastAsia="bg-BG"/>
        </w:rPr>
        <w:t xml:space="preserve">или 30 </w:t>
      </w:r>
      <w:r w:rsidRPr="007641DA">
        <w:rPr>
          <w:rFonts w:eastAsia="Times New Roman" w:cs="Arial"/>
          <w:color w:val="000000"/>
          <w:lang w:val="en-US"/>
        </w:rPr>
        <w:t xml:space="preserve">mg. </w:t>
      </w:r>
      <w:r w:rsidRPr="007641DA">
        <w:rPr>
          <w:rFonts w:eastAsia="Times New Roman" w:cs="Arial"/>
          <w:color w:val="000000"/>
          <w:lang w:eastAsia="bg-BG"/>
        </w:rPr>
        <w:t>Миртазапин започва да проявява ефект обикновено след 1 - 2 седмици лечение. Лечението с адекватна доза трябва да доведе до положителен отговор в рамките на 2-4 седмици. При недостатъчен отговор дозата може да се повиши до максималната доза. Ако няма отговор в рамките на 2- 4 седмици, лечението трябва да бъде спряно.</w:t>
      </w:r>
    </w:p>
    <w:p w14:paraId="57EB9C77" w14:textId="77777777" w:rsidR="007641DA" w:rsidRDefault="007641DA" w:rsidP="007641DA">
      <w:pPr>
        <w:spacing w:line="240" w:lineRule="auto"/>
        <w:rPr>
          <w:rFonts w:eastAsia="Times New Roman" w:cs="Arial"/>
          <w:color w:val="000000"/>
          <w:lang w:eastAsia="bg-BG"/>
        </w:rPr>
      </w:pPr>
    </w:p>
    <w:p w14:paraId="0E8782A3" w14:textId="2356E714"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Пациенти с депресия трябва да бъдат лекувани за достатъчен период от поне 6 месеца, за да се гарантира, че симптомите няма да се наблюдават.</w:t>
      </w:r>
    </w:p>
    <w:p w14:paraId="655DA4E9" w14:textId="77777777" w:rsidR="007641DA" w:rsidRDefault="007641DA" w:rsidP="007641DA">
      <w:pPr>
        <w:spacing w:line="240" w:lineRule="auto"/>
        <w:rPr>
          <w:rFonts w:eastAsia="Times New Roman" w:cs="Arial"/>
          <w:color w:val="000000"/>
          <w:lang w:eastAsia="bg-BG"/>
        </w:rPr>
      </w:pPr>
    </w:p>
    <w:p w14:paraId="7FAB584A" w14:textId="04DE75E6"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Препоръчително е да се прекрати лечението с миртазапин постепенно, за да се избегнат симптоми на отнемането, (виж точка 4.4)</w:t>
      </w:r>
    </w:p>
    <w:p w14:paraId="2A393B8B" w14:textId="77777777" w:rsidR="007641DA" w:rsidRDefault="007641DA" w:rsidP="007641DA">
      <w:pPr>
        <w:spacing w:line="240" w:lineRule="auto"/>
        <w:rPr>
          <w:rFonts w:eastAsia="Times New Roman" w:cs="Arial"/>
          <w:b/>
          <w:bCs/>
          <w:i/>
          <w:iCs/>
          <w:color w:val="000000"/>
          <w:lang w:eastAsia="bg-BG"/>
        </w:rPr>
      </w:pPr>
    </w:p>
    <w:p w14:paraId="6B670E1C" w14:textId="548C6CDD" w:rsidR="007641DA" w:rsidRPr="007641DA" w:rsidRDefault="007641DA" w:rsidP="007641DA">
      <w:pPr>
        <w:spacing w:line="240" w:lineRule="auto"/>
        <w:rPr>
          <w:rFonts w:eastAsia="Times New Roman" w:cs="Arial"/>
          <w:lang w:eastAsia="bg-BG"/>
        </w:rPr>
      </w:pPr>
      <w:r w:rsidRPr="007641DA">
        <w:rPr>
          <w:rFonts w:eastAsia="Times New Roman" w:cs="Arial"/>
          <w:b/>
          <w:bCs/>
          <w:i/>
          <w:iCs/>
          <w:color w:val="000000"/>
          <w:lang w:eastAsia="bg-BG"/>
        </w:rPr>
        <w:t>Пациенти в старческа възраст</w:t>
      </w:r>
    </w:p>
    <w:p w14:paraId="6B95327E"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lastRenderedPageBreak/>
        <w:t>Препоръчва се същата дозировка, както при възрастни пациенти. Увеличаване на дозировката при пациенти в старческа възраст трябва да се прави под строго наблюдение за постигане на достатъчен и безопасен отговор.</w:t>
      </w:r>
    </w:p>
    <w:p w14:paraId="61550D2C" w14:textId="77777777" w:rsidR="007641DA" w:rsidRDefault="007641DA" w:rsidP="007641DA">
      <w:pPr>
        <w:spacing w:line="240" w:lineRule="auto"/>
        <w:rPr>
          <w:rFonts w:eastAsia="Times New Roman" w:cs="Arial"/>
          <w:b/>
          <w:bCs/>
          <w:i/>
          <w:iCs/>
          <w:color w:val="000000"/>
          <w:lang w:eastAsia="bg-BG"/>
        </w:rPr>
      </w:pPr>
    </w:p>
    <w:p w14:paraId="55BF0262" w14:textId="70AE147E" w:rsidR="007641DA" w:rsidRPr="007641DA" w:rsidRDefault="007641DA" w:rsidP="007641DA">
      <w:pPr>
        <w:spacing w:line="240" w:lineRule="auto"/>
        <w:rPr>
          <w:rFonts w:eastAsia="Times New Roman" w:cs="Arial"/>
          <w:lang w:eastAsia="bg-BG"/>
        </w:rPr>
      </w:pPr>
      <w:r w:rsidRPr="007641DA">
        <w:rPr>
          <w:rFonts w:eastAsia="Times New Roman" w:cs="Arial"/>
          <w:b/>
          <w:bCs/>
          <w:i/>
          <w:iCs/>
          <w:color w:val="000000"/>
          <w:lang w:eastAsia="bg-BG"/>
        </w:rPr>
        <w:t>Пациенти с бъбречно увреждане</w:t>
      </w:r>
    </w:p>
    <w:p w14:paraId="63007407" w14:textId="03E4965F" w:rsidR="007641DA" w:rsidRDefault="007641DA" w:rsidP="007641DA">
      <w:pPr>
        <w:spacing w:line="240" w:lineRule="auto"/>
        <w:rPr>
          <w:rFonts w:eastAsia="Times New Roman" w:cs="Arial"/>
          <w:color w:val="000000"/>
          <w:lang w:eastAsia="bg-BG"/>
        </w:rPr>
      </w:pPr>
      <w:r w:rsidRPr="007641DA">
        <w:rPr>
          <w:rFonts w:eastAsia="Times New Roman" w:cs="Arial"/>
          <w:color w:val="000000"/>
          <w:lang w:eastAsia="bg-BG"/>
        </w:rPr>
        <w:t>Клирънсът на миртазапин може да бъде понижен при пациенти с умерено до тежко бъбречно</w:t>
      </w:r>
      <w:r>
        <w:rPr>
          <w:rFonts w:eastAsia="Times New Roman" w:cs="Arial"/>
          <w:lang w:eastAsia="bg-BG"/>
        </w:rPr>
        <w:t xml:space="preserve"> </w:t>
      </w:r>
      <w:r w:rsidRPr="007641DA">
        <w:rPr>
          <w:rFonts w:eastAsia="Times New Roman" w:cs="Arial"/>
          <w:color w:val="000000"/>
          <w:lang w:eastAsia="bg-BG"/>
        </w:rPr>
        <w:t xml:space="preserve">увреждане (креатининов клирънс &lt;40 </w:t>
      </w:r>
      <w:r w:rsidRPr="007641DA">
        <w:rPr>
          <w:rFonts w:eastAsia="Times New Roman" w:cs="Arial"/>
          <w:color w:val="000000"/>
          <w:lang w:val="en-US"/>
        </w:rPr>
        <w:t xml:space="preserve">ml/min). </w:t>
      </w:r>
      <w:r w:rsidRPr="007641DA">
        <w:rPr>
          <w:rFonts w:eastAsia="Times New Roman" w:cs="Arial"/>
          <w:color w:val="000000"/>
          <w:lang w:eastAsia="bg-BG"/>
        </w:rPr>
        <w:t>Това трябва да се вземе предвид когато миртазапин се предписва на тези пациенти. (виж точка 4.4).</w:t>
      </w:r>
    </w:p>
    <w:p w14:paraId="73696EA9" w14:textId="2EC7336B" w:rsidR="007641DA" w:rsidRDefault="007641DA" w:rsidP="007641DA">
      <w:pPr>
        <w:spacing w:line="240" w:lineRule="auto"/>
        <w:rPr>
          <w:rFonts w:eastAsia="Times New Roman" w:cs="Arial"/>
          <w:color w:val="000000"/>
          <w:lang w:eastAsia="bg-BG"/>
        </w:rPr>
      </w:pPr>
    </w:p>
    <w:p w14:paraId="430D147D" w14:textId="77777777" w:rsidR="007641DA" w:rsidRPr="007641DA" w:rsidRDefault="007641DA" w:rsidP="007641DA">
      <w:pPr>
        <w:spacing w:line="240" w:lineRule="auto"/>
        <w:rPr>
          <w:rFonts w:eastAsia="Times New Roman" w:cs="Arial"/>
          <w:lang w:eastAsia="bg-BG"/>
        </w:rPr>
      </w:pPr>
      <w:r w:rsidRPr="007641DA">
        <w:rPr>
          <w:rFonts w:eastAsia="Times New Roman" w:cs="Arial"/>
          <w:b/>
          <w:bCs/>
          <w:i/>
          <w:iCs/>
          <w:color w:val="000000"/>
          <w:lang w:eastAsia="bg-BG"/>
        </w:rPr>
        <w:t>Пациенти с чернодробно увреждане</w:t>
      </w:r>
    </w:p>
    <w:p w14:paraId="67D7D93F"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Клирънсът на миртазапин може да бъде понижен при пациенти с чернодробна недостатъчност. Това трябва да се вземе предвид, когато миртазапин се изписва на такава категория пациенти, особено с тежко чернодробно увреждане, тъй като пациенти с тежко чернодробно увреждане не са изследвани, (виж точка 4.4)</w:t>
      </w:r>
    </w:p>
    <w:p w14:paraId="691F3D1E" w14:textId="77777777" w:rsidR="007641DA" w:rsidRDefault="007641DA" w:rsidP="007641DA">
      <w:pPr>
        <w:spacing w:line="240" w:lineRule="auto"/>
        <w:rPr>
          <w:rFonts w:eastAsia="Times New Roman" w:cs="Arial"/>
          <w:b/>
          <w:bCs/>
          <w:i/>
          <w:iCs/>
          <w:color w:val="000000"/>
          <w:lang w:eastAsia="bg-BG"/>
        </w:rPr>
      </w:pPr>
    </w:p>
    <w:p w14:paraId="5EB63DEC" w14:textId="4C9E1F2F" w:rsidR="007641DA" w:rsidRPr="007641DA" w:rsidRDefault="007641DA" w:rsidP="007641DA">
      <w:pPr>
        <w:spacing w:line="240" w:lineRule="auto"/>
        <w:rPr>
          <w:rFonts w:eastAsia="Times New Roman" w:cs="Arial"/>
          <w:lang w:eastAsia="bg-BG"/>
        </w:rPr>
      </w:pPr>
      <w:r w:rsidRPr="007641DA">
        <w:rPr>
          <w:rFonts w:eastAsia="Times New Roman" w:cs="Arial"/>
          <w:b/>
          <w:bCs/>
          <w:i/>
          <w:iCs/>
          <w:color w:val="000000"/>
          <w:lang w:eastAsia="bg-BG"/>
        </w:rPr>
        <w:t>Педиатрична популация</w:t>
      </w:r>
    </w:p>
    <w:p w14:paraId="10726021"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Миртазапин не трябва да се използва при деца и юноши под 18 годишна възраст, тъй като ефикасността не е доказана в две краткосрочни клинични изпитвания (виж точка 5.1) и по съображения за безопасност.(виж точки 4.4,4.8 и 5.1).</w:t>
      </w:r>
    </w:p>
    <w:p w14:paraId="212FB4A9" w14:textId="77777777" w:rsidR="007641DA" w:rsidRDefault="007641DA" w:rsidP="007641DA">
      <w:pPr>
        <w:spacing w:line="240" w:lineRule="auto"/>
        <w:rPr>
          <w:rFonts w:eastAsia="Times New Roman" w:cs="Arial"/>
          <w:color w:val="000000"/>
          <w:lang w:eastAsia="bg-BG"/>
        </w:rPr>
      </w:pPr>
    </w:p>
    <w:p w14:paraId="0EDE79DA" w14:textId="6E788914" w:rsidR="007641DA" w:rsidRPr="007641DA" w:rsidRDefault="007641DA" w:rsidP="007641DA">
      <w:pPr>
        <w:pStyle w:val="Heading3"/>
        <w:rPr>
          <w:rFonts w:eastAsia="Times New Roman"/>
          <w:i/>
          <w:iCs/>
          <w:lang w:eastAsia="bg-BG"/>
        </w:rPr>
      </w:pPr>
      <w:r w:rsidRPr="007641DA">
        <w:rPr>
          <w:rFonts w:eastAsia="Times New Roman"/>
          <w:i/>
          <w:iCs/>
          <w:lang w:eastAsia="bg-BG"/>
        </w:rPr>
        <w:t>Начин на приложение</w:t>
      </w:r>
    </w:p>
    <w:p w14:paraId="07F56BF4"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Времето на полуживот на миртазапин </w:t>
      </w:r>
      <w:r w:rsidRPr="007641DA">
        <w:rPr>
          <w:rFonts w:eastAsia="Times New Roman" w:cs="Arial"/>
          <w:color w:val="000000"/>
          <w:lang w:val="en-US"/>
        </w:rPr>
        <w:t xml:space="preserve">(mirtazapine) </w:t>
      </w:r>
      <w:r w:rsidRPr="007641DA">
        <w:rPr>
          <w:rFonts w:eastAsia="Times New Roman" w:cs="Arial"/>
          <w:color w:val="000000"/>
          <w:lang w:eastAsia="bg-BG"/>
        </w:rPr>
        <w:t>е 20 - 40 часа и поради това миртазапин може да се приема един път дневно. За предпочитане е лекарственият продукт да се приема в еднократна доза вечер, преди лягане. Миртазапин може да се прилага, разделен на две отделни дози, приемани сутрин и вечер, по-голямата доза трябва да се приема вечер.</w:t>
      </w:r>
    </w:p>
    <w:p w14:paraId="6D3B1541"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Таблетките трябва да се поглъщат цели, без да се дъвчат, с достатъчно количество течност.</w:t>
      </w:r>
    </w:p>
    <w:p w14:paraId="31E1202A" w14:textId="77777777" w:rsidR="007641DA" w:rsidRDefault="007641DA" w:rsidP="007641DA">
      <w:pPr>
        <w:spacing w:line="240" w:lineRule="auto"/>
        <w:rPr>
          <w:rFonts w:eastAsia="Times New Roman" w:cs="Arial"/>
          <w:color w:val="000000"/>
          <w:lang w:eastAsia="bg-BG"/>
        </w:rPr>
      </w:pPr>
    </w:p>
    <w:p w14:paraId="0EAB3F80" w14:textId="3E327C8E"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Еспритал е наличен в две дози - от 30 </w:t>
      </w:r>
      <w:r w:rsidRPr="007641DA">
        <w:rPr>
          <w:rFonts w:eastAsia="Times New Roman" w:cs="Arial"/>
          <w:color w:val="000000"/>
          <w:lang w:val="en-US"/>
        </w:rPr>
        <w:t xml:space="preserve">mg </w:t>
      </w:r>
      <w:r w:rsidRPr="007641DA">
        <w:rPr>
          <w:rFonts w:eastAsia="Times New Roman" w:cs="Arial"/>
          <w:color w:val="000000"/>
          <w:lang w:eastAsia="bg-BG"/>
        </w:rPr>
        <w:t xml:space="preserve">с делителна черта и от 45 </w:t>
      </w:r>
      <w:r w:rsidRPr="007641DA">
        <w:rPr>
          <w:rFonts w:eastAsia="Times New Roman" w:cs="Arial"/>
          <w:color w:val="000000"/>
          <w:lang w:val="en-US"/>
        </w:rPr>
        <w:t xml:space="preserve">mg, </w:t>
      </w:r>
      <w:r w:rsidRPr="007641DA">
        <w:rPr>
          <w:rFonts w:eastAsia="Times New Roman" w:cs="Arial"/>
          <w:color w:val="000000"/>
          <w:lang w:eastAsia="bg-BG"/>
        </w:rPr>
        <w:t>което позволява прецизна дозировка.</w:t>
      </w:r>
    </w:p>
    <w:p w14:paraId="10C5803B" w14:textId="77777777" w:rsidR="007641DA" w:rsidRPr="007641DA" w:rsidRDefault="007641DA" w:rsidP="007641DA"/>
    <w:p w14:paraId="5D9E65DA" w14:textId="209CA1FA" w:rsidR="009F77A4" w:rsidRDefault="002C50EE" w:rsidP="00387A66">
      <w:pPr>
        <w:pStyle w:val="Heading2"/>
      </w:pPr>
      <w:r>
        <w:t>4.3. Противопоказания</w:t>
      </w:r>
    </w:p>
    <w:p w14:paraId="33FEB456" w14:textId="4D5909C7" w:rsidR="007641DA" w:rsidRDefault="007641DA" w:rsidP="007641DA"/>
    <w:p w14:paraId="6BD8FC85" w14:textId="59476104" w:rsidR="007641DA" w:rsidRDefault="007641DA" w:rsidP="007641DA">
      <w:r>
        <w:t>Свръхчувствителност към активното вещество или някое от помощните вещества, изброени в т.6.1. Едновременна употреба на миртазапин с инхибитори на моноаминооксидаза (МАО). (вж точка 4.5)</w:t>
      </w:r>
    </w:p>
    <w:p w14:paraId="2261C0DA" w14:textId="77777777" w:rsidR="007641DA" w:rsidRPr="007641DA" w:rsidRDefault="007641DA" w:rsidP="007641DA"/>
    <w:p w14:paraId="1C27CE53" w14:textId="5FE7C397" w:rsidR="009F77A4" w:rsidRDefault="002C50EE" w:rsidP="00387A66">
      <w:pPr>
        <w:pStyle w:val="Heading2"/>
      </w:pPr>
      <w:r>
        <w:t>4.4. Специални предупреждения и предпазни мерки при употреба</w:t>
      </w:r>
    </w:p>
    <w:p w14:paraId="1F736608" w14:textId="291E11E8" w:rsidR="007641DA" w:rsidRDefault="007641DA" w:rsidP="007641DA"/>
    <w:p w14:paraId="7A1B28BF"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Педиатрична популация</w:t>
      </w:r>
    </w:p>
    <w:p w14:paraId="7EF72B55"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Миртазапин не трябва да се използва за лечение при деца и юноши на възраст под 18 годишна възраст. Суицидното поведение (опити за самоубийство и суицидни мисли) и враждебност (предимно агресия, поведение на противопоставяне и гняв) са по-често наблюдавани при клиничните проучвания проведени с деца и юноши, приемали антидепресанти, в сравнение с тези, приемали плацебо. Ако въз основа на клиничната необходимост, решение за лечение все пак е взето, пациентът трябва да бъде внимателно наблюдаван за появата на суицидни симптоми.</w:t>
      </w:r>
    </w:p>
    <w:p w14:paraId="6B465722"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lastRenderedPageBreak/>
        <w:t>В допълнение, дългосрочни данни за безопасност при деца и юноши по отношение на растежа, съзряването и когнитивното и поведенческото развитие липсват.</w:t>
      </w:r>
    </w:p>
    <w:p w14:paraId="47C76B83" w14:textId="77777777" w:rsidR="007641DA" w:rsidRDefault="007641DA" w:rsidP="007641DA">
      <w:pPr>
        <w:spacing w:line="240" w:lineRule="auto"/>
        <w:rPr>
          <w:rFonts w:eastAsia="Times New Roman" w:cs="Arial"/>
          <w:color w:val="000000"/>
          <w:u w:val="single"/>
          <w:lang w:eastAsia="bg-BG"/>
        </w:rPr>
      </w:pPr>
    </w:p>
    <w:p w14:paraId="0489ABEA" w14:textId="7D8DE642"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Самоубийство/суицидни мисли или клинично влошаване</w:t>
      </w:r>
    </w:p>
    <w:p w14:paraId="3094ED86"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Депресията е свързана с повишен риск от суицидни мисли, самонараняване и самоубийство (събития, свързани със самоубийство). Този риск съществува до достигане на значима ремисия. Тъй като подобрение може да не настъпи през първите няколко седмици или повече от началото на лечението, пациентите трябва да бъдат под строго наблюдение до появата му. Клиничният опит сочи, че рискът от самоубийство може да нарасне през ранните етапи на възстановителния период.</w:t>
      </w:r>
    </w:p>
    <w:p w14:paraId="30961877" w14:textId="77777777" w:rsidR="007641DA" w:rsidRDefault="007641DA" w:rsidP="007641DA">
      <w:pPr>
        <w:spacing w:line="240" w:lineRule="auto"/>
        <w:rPr>
          <w:rFonts w:eastAsia="Times New Roman" w:cs="Arial"/>
          <w:color w:val="000000"/>
          <w:lang w:eastAsia="bg-BG"/>
        </w:rPr>
      </w:pPr>
    </w:p>
    <w:p w14:paraId="5C690C63" w14:textId="48744C0B"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Известно е, че пациенти с анамнеза за събития, свързани със самоубийство, или показващи в значителна степен суицидни идеации, преди започване на лечението, са изложени на по-висок риск от суицидни мисли или опити за самоубийство и трябва да бъдат внимателно наблюдавани по време на лечението. Мета-анализ на плацебо-контролирани клинични изпитвания на антидепресанти при възрастни пациенти с психични разстройства показва повишен риск от суицидно поведение при пациенти под 25-годишна възраст, лекувани с антидепресанти в сравнение с плацебо. </w:t>
      </w:r>
    </w:p>
    <w:p w14:paraId="6843054F" w14:textId="77777777" w:rsidR="007641DA" w:rsidRPr="007641DA" w:rsidRDefault="007641DA" w:rsidP="007641DA">
      <w:pPr>
        <w:rPr>
          <w:rFonts w:eastAsia="Times New Roman" w:cs="Arial"/>
          <w:lang w:eastAsia="bg-BG"/>
        </w:rPr>
      </w:pPr>
      <w:r w:rsidRPr="007641DA">
        <w:rPr>
          <w:rFonts w:eastAsia="Times New Roman" w:cs="Arial"/>
          <w:color w:val="000000"/>
          <w:lang w:eastAsia="bg-BG"/>
        </w:rPr>
        <w:t>Лекарствената терапия трябва да се съпътства със строго наблюдение на пациентите в частност на тези, които са изложени на висок риск, особено в началните етапи на лечението и след промени в дозите. Пациентите (и полагащите грижи за тях) трябва да бъдат предупредени за необходимостта от наблюдение на всеки признак на клинично влошаване, суицидно поведение или мисли и необичайни</w:t>
      </w:r>
      <w:r>
        <w:rPr>
          <w:rFonts w:eastAsia="Times New Roman" w:cs="Arial"/>
          <w:color w:val="000000"/>
          <w:lang w:eastAsia="bg-BG"/>
        </w:rPr>
        <w:t xml:space="preserve"> </w:t>
      </w:r>
      <w:r w:rsidRPr="007641DA">
        <w:rPr>
          <w:rFonts w:eastAsia="Times New Roman" w:cs="Arial"/>
          <w:color w:val="000000"/>
          <w:lang w:eastAsia="bg-BG"/>
        </w:rPr>
        <w:t>промени в поведението, както и да потърсят незабавно консултация с лекар, ако такива симптоми съществуват.</w:t>
      </w:r>
    </w:p>
    <w:p w14:paraId="6E2F86EE"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Относно възможността за самоубийство, по-специално в началото на лечението , на пациента трябва да бъдат давани само най-малкото количество на Еспритал таблетки, за да се намали риска от предозиране</w:t>
      </w:r>
    </w:p>
    <w:p w14:paraId="3499CADB" w14:textId="77777777" w:rsidR="007641DA" w:rsidRDefault="007641DA" w:rsidP="007641DA">
      <w:pPr>
        <w:spacing w:line="240" w:lineRule="auto"/>
        <w:rPr>
          <w:rFonts w:eastAsia="Times New Roman" w:cs="Arial"/>
          <w:color w:val="000000"/>
          <w:u w:val="single"/>
          <w:lang w:eastAsia="bg-BG"/>
        </w:rPr>
      </w:pPr>
    </w:p>
    <w:p w14:paraId="3058537F" w14:textId="6C4F2DB8"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Костно-мозъчна депресия</w:t>
      </w:r>
    </w:p>
    <w:p w14:paraId="4787EC81"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Костно-мозъчна депресия, обикновено се проявява като гранулоцитопения или агранулоцитоза, е била докладвана по време на лечението с миртазапин. Обратима агранулоцитоза е била докладвана като явление в клиничните изпитвания с миртазапин. В постмаркетинговия период много редки случаи на агранулоцитоза са били наблюдавани, предимно обратима, но в някои случаи - фатална. Фаталните случаи са най-вече при пациенти на възраст около 65 години. Лекарят трябва да бъде предупреден за симптоми като треска, възпалено гърло, стоматити или други признаци на инфекция; когато се появят такива симптоми, лечението трябва да бъде спряно и трябва да се изследва кръвната картина.</w:t>
      </w:r>
    </w:p>
    <w:p w14:paraId="4B0E80BB" w14:textId="77777777" w:rsidR="007641DA" w:rsidRDefault="007641DA" w:rsidP="007641DA">
      <w:pPr>
        <w:spacing w:line="240" w:lineRule="auto"/>
        <w:rPr>
          <w:rFonts w:eastAsia="Times New Roman" w:cs="Arial"/>
          <w:color w:val="000000"/>
          <w:u w:val="single"/>
          <w:lang w:eastAsia="bg-BG"/>
        </w:rPr>
      </w:pPr>
    </w:p>
    <w:p w14:paraId="4488E1A3" w14:textId="0B07F353"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Жълтеница</w:t>
      </w:r>
    </w:p>
    <w:p w14:paraId="5244FCB6"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Лечението трябва да бъде спряно при поява на жълтеница.</w:t>
      </w:r>
    </w:p>
    <w:p w14:paraId="2F222808" w14:textId="77777777" w:rsidR="007641DA" w:rsidRDefault="007641DA" w:rsidP="007641DA">
      <w:pPr>
        <w:spacing w:line="240" w:lineRule="auto"/>
        <w:rPr>
          <w:rFonts w:eastAsia="Times New Roman" w:cs="Arial"/>
          <w:color w:val="000000"/>
          <w:u w:val="single"/>
          <w:lang w:eastAsia="bg-BG"/>
        </w:rPr>
      </w:pPr>
    </w:p>
    <w:p w14:paraId="3B9FAB6F" w14:textId="066D6E03"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Състояния, при които е необходимо наблюдение:</w:t>
      </w:r>
    </w:p>
    <w:p w14:paraId="77808894"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Внимателно дозиране и редовно наблюдение е необходимо при пациенти със:</w:t>
      </w:r>
    </w:p>
    <w:p w14:paraId="2E3D7A6C"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епилепсия и органичен мозъчен синдром: Независимо, че клиничният опит показва, че епилептичните припадъци са редки по време на лечение с миртазапин, както при другите антидипресанти, миртазапин трябва да се приема с повишено внимание при пациенти с анамнеза за припадъци. Лечението трябва да се прекрати при всеки пациент, у когото се появят гърчове, или когато е налице увеличение на честотата на пристъпите.</w:t>
      </w:r>
    </w:p>
    <w:p w14:paraId="2E2CA07C" w14:textId="5D239376"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lastRenderedPageBreak/>
        <w:t xml:space="preserve">чернодробно увреждане: след еднократна перорална доза 15 </w:t>
      </w:r>
      <w:r w:rsidRPr="007641DA">
        <w:rPr>
          <w:rFonts w:eastAsia="Times New Roman" w:cs="Arial"/>
          <w:color w:val="000000"/>
          <w:lang w:val="en-US"/>
        </w:rPr>
        <w:t xml:space="preserve">mg </w:t>
      </w:r>
      <w:r w:rsidRPr="007641DA">
        <w:rPr>
          <w:rFonts w:eastAsia="Times New Roman" w:cs="Arial"/>
          <w:color w:val="000000"/>
          <w:lang w:eastAsia="bg-BG"/>
        </w:rPr>
        <w:t>миртазапин.</w:t>
      </w:r>
      <w:r>
        <w:rPr>
          <w:rFonts w:eastAsia="Times New Roman" w:cs="Arial"/>
          <w:color w:val="000000"/>
          <w:lang w:eastAsia="bg-BG"/>
        </w:rPr>
        <w:t xml:space="preserve"> </w:t>
      </w:r>
      <w:r w:rsidRPr="007641DA">
        <w:rPr>
          <w:rFonts w:eastAsia="Times New Roman" w:cs="Arial"/>
          <w:color w:val="000000"/>
          <w:lang w:eastAsia="bg-BG"/>
        </w:rPr>
        <w:t>клирънсът на миртазапин бил приблизително намален с 35 % при пациенти с леко до умерено чернодробно увреждане, в сравнение с индивиди с нормална чернодробна функция. Средната плазмена концентрация на миртазапин е около 55 % по-висока.</w:t>
      </w:r>
    </w:p>
    <w:p w14:paraId="49BD1242" w14:textId="58206C95"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бъбречно увреждане: след еднократна перорална доза от 15 </w:t>
      </w:r>
      <w:r w:rsidRPr="007641DA">
        <w:rPr>
          <w:rFonts w:eastAsia="Times New Roman" w:cs="Arial"/>
          <w:color w:val="000000"/>
          <w:lang w:val="en-US"/>
        </w:rPr>
        <w:t xml:space="preserve">mg </w:t>
      </w:r>
      <w:r w:rsidRPr="007641DA">
        <w:rPr>
          <w:rFonts w:eastAsia="Times New Roman" w:cs="Arial"/>
          <w:color w:val="000000"/>
          <w:lang w:eastAsia="bg-BG"/>
        </w:rPr>
        <w:t xml:space="preserve">миртазапин, при пациенти с умерено (креатининов клирънс &lt; 40 </w:t>
      </w:r>
      <w:r w:rsidRPr="007641DA">
        <w:rPr>
          <w:rFonts w:eastAsia="Times New Roman" w:cs="Arial"/>
          <w:color w:val="000000"/>
          <w:lang w:val="en-US"/>
        </w:rPr>
        <w:t xml:space="preserve">ml/min) </w:t>
      </w:r>
      <w:r w:rsidRPr="007641DA">
        <w:rPr>
          <w:rFonts w:eastAsia="Times New Roman" w:cs="Arial"/>
          <w:color w:val="000000"/>
          <w:lang w:eastAsia="bg-BG"/>
        </w:rPr>
        <w:t xml:space="preserve">и тежко (креатининов клирънс &lt; 10 </w:t>
      </w:r>
      <w:r w:rsidRPr="007641DA">
        <w:rPr>
          <w:rFonts w:eastAsia="Times New Roman" w:cs="Arial"/>
          <w:color w:val="000000"/>
          <w:lang w:val="en-US"/>
        </w:rPr>
        <w:t xml:space="preserve">ml/min) </w:t>
      </w:r>
      <w:r w:rsidRPr="007641DA">
        <w:rPr>
          <w:rFonts w:eastAsia="Times New Roman" w:cs="Arial"/>
          <w:color w:val="000000"/>
          <w:lang w:eastAsia="bg-BG"/>
        </w:rPr>
        <w:t xml:space="preserve">бъбречно увреждане клирънсът на миртазапин се е понижил съответно с 30 % и 50 % , сравнени със здрави пациенти. Средната плазмена концентрация на миртазапин се повишила съответно с 55% и 115%. Не са установени значими разлики при пациенти с леко нарушение на бъбречната функция (креатининов клирънс &lt; 80 </w:t>
      </w:r>
      <w:r w:rsidRPr="007641DA">
        <w:rPr>
          <w:rFonts w:eastAsia="Times New Roman" w:cs="Arial"/>
          <w:color w:val="000000"/>
          <w:lang w:val="en-US"/>
        </w:rPr>
        <w:t xml:space="preserve">ml/min) </w:t>
      </w:r>
      <w:r w:rsidRPr="007641DA">
        <w:rPr>
          <w:rFonts w:eastAsia="Times New Roman" w:cs="Arial"/>
          <w:color w:val="000000"/>
          <w:lang w:eastAsia="bg-BG"/>
        </w:rPr>
        <w:t>в сравнение с контролна група.</w:t>
      </w:r>
    </w:p>
    <w:p w14:paraId="129959C0" w14:textId="77777777" w:rsidR="007641DA" w:rsidRDefault="007641DA" w:rsidP="007641DA">
      <w:pPr>
        <w:spacing w:line="240" w:lineRule="auto"/>
        <w:rPr>
          <w:rFonts w:eastAsia="Times New Roman" w:cs="Arial"/>
          <w:color w:val="000000"/>
          <w:lang w:eastAsia="bg-BG"/>
        </w:rPr>
      </w:pPr>
    </w:p>
    <w:p w14:paraId="69F8D0C9" w14:textId="070FE62C"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сърдечни заболявания, такива като нарушена сърдечна проводимост, ангина пекторис и скорошен инфаркт на миокарда, които по принцип изискват внимание и предпазливост в периода на едновременно прилагане с други лекарствени продукти.</w:t>
      </w:r>
    </w:p>
    <w:p w14:paraId="4F081129"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ниско кръвно налягане.</w:t>
      </w:r>
    </w:p>
    <w:p w14:paraId="7FFBDECE" w14:textId="3B33D891"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захарен диабет: при пациенти с диабет, антидепресантите могат да променят гликемичния контрол. Дозата на инсулин и/или оралните хипогликемични може да бъде коригирана и се препоръчва внимателно мониториране.</w:t>
      </w:r>
    </w:p>
    <w:p w14:paraId="73ED79BC" w14:textId="77777777" w:rsidR="007641DA" w:rsidRDefault="007641DA" w:rsidP="007641DA">
      <w:pPr>
        <w:spacing w:line="240" w:lineRule="auto"/>
        <w:rPr>
          <w:rFonts w:eastAsia="Times New Roman" w:cs="Arial"/>
          <w:color w:val="000000"/>
          <w:u w:val="single"/>
          <w:lang w:eastAsia="bg-BG"/>
        </w:rPr>
      </w:pPr>
    </w:p>
    <w:p w14:paraId="7C9F8C27" w14:textId="03872D9C"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Подобно на всеки друг антидепресант, трябва да се имат предвид следните възможности:</w:t>
      </w:r>
    </w:p>
    <w:p w14:paraId="16E3EE3A"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Пациенти с шизофрения или някакви други психически разстройства, които приемат антидепресанти, могат да покажат влошаване на психичните показатели и техните параноични прояви могат да се засилят;</w:t>
      </w:r>
    </w:p>
    <w:p w14:paraId="74666B63"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При лечение на депресивната фаза при биполярни разстройства, тя може да се трансформира в манийна; пациенти с анамнеза за мания/хипомания трябва да бъдат внимателно проследявани. Употребата на миртазапин трябва да бъде преустановена при всеки пациент, навлизащ в медиаклана фаза.</w:t>
      </w:r>
    </w:p>
    <w:p w14:paraId="4A207FDB"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Въпреки че миртазапин не води до привикване, пост-маркетинговият опит показва, че рязкото спиране на лечението след продължително приложение понякога може да доведе до</w:t>
      </w:r>
      <w:r>
        <w:rPr>
          <w:rFonts w:eastAsia="Times New Roman" w:cs="Arial"/>
          <w:color w:val="000000"/>
          <w:lang w:eastAsia="bg-BG"/>
        </w:rPr>
        <w:t xml:space="preserve"> </w:t>
      </w:r>
      <w:r w:rsidRPr="007641DA">
        <w:rPr>
          <w:rFonts w:eastAsia="Times New Roman" w:cs="Arial"/>
          <w:color w:val="000000"/>
          <w:lang w:eastAsia="bg-BG"/>
        </w:rPr>
        <w:t>отнемане. По-голямата част от реакциите на отнемане са леки и самоограничаващи се. След различните докладвани симптоми на отнемане замаяност, възбуда, тревожност, главоболие и гадене са най-често срещаните. Въпреки че те са докладвани като симптоми на отнемане, трябва да се има предвид, че те могат да бъдат свързани и с основното заболяване. Както е отбелязано в точка 4.2, е препоръчително лечението с миртазапин да се прекрати постепенно.</w:t>
      </w:r>
    </w:p>
    <w:p w14:paraId="313B42B3"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Трябва да се внимава при пациенти с нарушения в уринирането като хипертрофия </w:t>
      </w:r>
      <w:r w:rsidRPr="007641DA">
        <w:rPr>
          <w:rFonts w:eastAsia="Times New Roman" w:cs="Arial"/>
          <w:i/>
          <w:iCs/>
          <w:color w:val="000000"/>
          <w:lang w:eastAsia="bg-BG"/>
        </w:rPr>
        <w:t xml:space="preserve">на </w:t>
      </w:r>
      <w:r w:rsidRPr="007641DA">
        <w:rPr>
          <w:rFonts w:eastAsia="Times New Roman" w:cs="Arial"/>
          <w:color w:val="000000"/>
          <w:lang w:eastAsia="bg-BG"/>
        </w:rPr>
        <w:t>простатата и при пациенти с тесноъгълна глаукома и повишено вътреочно налягане (въпреки че има минимален шанс за проблеми с миртазапин поради много слабия антихолинергичен ефект).</w:t>
      </w:r>
    </w:p>
    <w:p w14:paraId="59CC1008" w14:textId="5979D05C"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Акатизия/психомоторно </w:t>
      </w:r>
      <w:r w:rsidRPr="007641DA">
        <w:rPr>
          <w:rFonts w:eastAsia="Times New Roman" w:cs="Arial"/>
          <w:i/>
          <w:iCs/>
          <w:color w:val="000000"/>
          <w:lang w:eastAsia="bg-BG"/>
        </w:rPr>
        <w:t>безпокойство: употребата</w:t>
      </w:r>
      <w:r w:rsidRPr="007641DA">
        <w:rPr>
          <w:rFonts w:eastAsia="Times New Roman" w:cs="Arial"/>
          <w:color w:val="000000"/>
          <w:lang w:eastAsia="bg-BG"/>
        </w:rPr>
        <w:t xml:space="preserve"> на антидепресанти се свързва с развитието на акатизия, характеризираща се със субективно неприятно или изтощително безпокойство и нужда от често движение съпроводена от неспособност за седене или стоене на едно място. Това е най- вероятно се наблюдава през първите няколко седмици от лечението. При пациенти, които развият тези симптоми, повишаването на дозата може да бъде вредно.</w:t>
      </w:r>
    </w:p>
    <w:p w14:paraId="7CCE78F4" w14:textId="77777777" w:rsidR="007641DA" w:rsidRDefault="007641DA" w:rsidP="007641DA">
      <w:pPr>
        <w:spacing w:line="240" w:lineRule="auto"/>
        <w:rPr>
          <w:rFonts w:eastAsia="Times New Roman" w:cs="Arial"/>
          <w:color w:val="000000"/>
          <w:lang w:eastAsia="bg-BG"/>
        </w:rPr>
      </w:pPr>
    </w:p>
    <w:p w14:paraId="048FF075" w14:textId="07A93481"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lastRenderedPageBreak/>
        <w:t xml:space="preserve">По време на постмаркетинговото наблюдение, са установени случаи на удължаване на </w:t>
      </w:r>
      <w:r w:rsidRPr="007641DA">
        <w:rPr>
          <w:rFonts w:eastAsia="Times New Roman" w:cs="Arial"/>
          <w:color w:val="000000"/>
          <w:lang w:val="en-US"/>
        </w:rPr>
        <w:t xml:space="preserve">QT </w:t>
      </w:r>
      <w:r w:rsidRPr="007641DA">
        <w:rPr>
          <w:rFonts w:eastAsia="Times New Roman" w:cs="Arial"/>
          <w:color w:val="000000"/>
          <w:lang w:eastAsia="bg-BG"/>
        </w:rPr>
        <w:t xml:space="preserve">интервала, </w:t>
      </w:r>
      <w:proofErr w:type="spellStart"/>
      <w:r w:rsidRPr="007641DA">
        <w:rPr>
          <w:rFonts w:eastAsia="Times New Roman" w:cs="Arial"/>
          <w:color w:val="000000"/>
          <w:lang w:val="en-US"/>
        </w:rPr>
        <w:t>torsades</w:t>
      </w:r>
      <w:proofErr w:type="spellEnd"/>
      <w:r w:rsidRPr="007641DA">
        <w:rPr>
          <w:rFonts w:eastAsia="Times New Roman" w:cs="Arial"/>
          <w:color w:val="000000"/>
          <w:lang w:val="en-US"/>
        </w:rPr>
        <w:t xml:space="preserve"> de pointes, </w:t>
      </w:r>
      <w:r w:rsidRPr="007641DA">
        <w:rPr>
          <w:rFonts w:eastAsia="Times New Roman" w:cs="Arial"/>
          <w:color w:val="000000"/>
          <w:lang w:eastAsia="bg-BG"/>
        </w:rPr>
        <w:t xml:space="preserve">камерна тахикардия и внезапна смърт при пациенти, приемащи миртазапин. Голяма част от докладите са свързани със случаи на предозиране или при пациенти с други рискови фактори за удължаване на </w:t>
      </w:r>
      <w:r w:rsidRPr="007641DA">
        <w:rPr>
          <w:rFonts w:eastAsia="Times New Roman" w:cs="Arial"/>
          <w:color w:val="000000"/>
          <w:lang w:val="en-US"/>
        </w:rPr>
        <w:t xml:space="preserve">QT </w:t>
      </w:r>
      <w:r w:rsidRPr="007641DA">
        <w:rPr>
          <w:rFonts w:eastAsia="Times New Roman" w:cs="Arial"/>
          <w:color w:val="000000"/>
          <w:lang w:eastAsia="bg-BG"/>
        </w:rPr>
        <w:t xml:space="preserve">интервала, включително едновременна употреба на лекарства удължаващи </w:t>
      </w:r>
      <w:r w:rsidRPr="007641DA">
        <w:rPr>
          <w:rFonts w:eastAsia="Times New Roman" w:cs="Arial"/>
          <w:color w:val="000000"/>
          <w:lang w:val="en-US"/>
        </w:rPr>
        <w:t xml:space="preserve">QT </w:t>
      </w:r>
      <w:r w:rsidRPr="007641DA">
        <w:rPr>
          <w:rFonts w:eastAsia="Times New Roman" w:cs="Arial"/>
          <w:color w:val="000000"/>
          <w:lang w:eastAsia="bg-BG"/>
        </w:rPr>
        <w:t xml:space="preserve">интервала (виж точка 4.5 и 4.9). Миртазапин трябва да се предписва с внимание при пациенти с известни сърдечно-съдови заболявания или фамилна анамнеза на удължаване на </w:t>
      </w:r>
      <w:r w:rsidRPr="007641DA">
        <w:rPr>
          <w:rFonts w:eastAsia="Times New Roman" w:cs="Arial"/>
          <w:color w:val="000000"/>
          <w:lang w:val="en-US"/>
        </w:rPr>
        <w:t xml:space="preserve">QT </w:t>
      </w:r>
      <w:r w:rsidRPr="007641DA">
        <w:rPr>
          <w:rFonts w:eastAsia="Times New Roman" w:cs="Arial"/>
          <w:color w:val="000000"/>
          <w:lang w:eastAsia="bg-BG"/>
        </w:rPr>
        <w:t xml:space="preserve">интервала и едновременното прилагане с други лекарства, за които се счита, че могат да предизвикат удължаване на </w:t>
      </w:r>
      <w:r w:rsidRPr="007641DA">
        <w:rPr>
          <w:rFonts w:eastAsia="Times New Roman" w:cs="Arial"/>
          <w:color w:val="000000"/>
          <w:lang w:val="en-US"/>
        </w:rPr>
        <w:t xml:space="preserve">QT </w:t>
      </w:r>
      <w:r w:rsidRPr="007641DA">
        <w:rPr>
          <w:rFonts w:eastAsia="Times New Roman" w:cs="Arial"/>
          <w:color w:val="000000"/>
          <w:lang w:eastAsia="bg-BG"/>
        </w:rPr>
        <w:t>интервала.</w:t>
      </w:r>
    </w:p>
    <w:p w14:paraId="0278483A" w14:textId="77777777" w:rsidR="007641DA" w:rsidRDefault="007641DA" w:rsidP="007641DA">
      <w:pPr>
        <w:spacing w:line="240" w:lineRule="auto"/>
        <w:rPr>
          <w:rFonts w:eastAsia="Times New Roman" w:cs="Arial"/>
          <w:color w:val="000000"/>
          <w:u w:val="single"/>
          <w:lang w:eastAsia="bg-BG"/>
        </w:rPr>
      </w:pPr>
    </w:p>
    <w:p w14:paraId="21085B0C" w14:textId="3A484B29"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Хипонатриемия</w:t>
      </w:r>
    </w:p>
    <w:p w14:paraId="5899AB15"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Хипонатриемия, вероятно дължаща се на неадекватна секреция на антидиуретичен хормон </w:t>
      </w:r>
      <w:r w:rsidRPr="007641DA">
        <w:rPr>
          <w:rFonts w:eastAsia="Times New Roman" w:cs="Arial"/>
          <w:color w:val="000000"/>
          <w:lang w:val="en-US"/>
        </w:rPr>
        <w:t xml:space="preserve">(SIADH) </w:t>
      </w:r>
      <w:r w:rsidRPr="007641DA">
        <w:rPr>
          <w:rFonts w:eastAsia="Times New Roman" w:cs="Arial"/>
          <w:color w:val="000000"/>
          <w:lang w:eastAsia="bg-BG"/>
        </w:rPr>
        <w:t>е докладвана много рядко при употребата на миртазапин. Необходимо е повишено внимание при пациенти, изложени на риск, като например пациенти в старческа възраст или пациенти, лекувани едновременно с медикаменти, причиняващи хипонатриемия.</w:t>
      </w:r>
    </w:p>
    <w:p w14:paraId="1596BA2E" w14:textId="77777777" w:rsidR="007641DA" w:rsidRDefault="007641DA" w:rsidP="007641DA">
      <w:pPr>
        <w:spacing w:line="240" w:lineRule="auto"/>
        <w:rPr>
          <w:rFonts w:eastAsia="Times New Roman" w:cs="Arial"/>
          <w:color w:val="000000"/>
          <w:u w:val="single"/>
          <w:lang w:eastAsia="bg-BG"/>
        </w:rPr>
      </w:pPr>
    </w:p>
    <w:p w14:paraId="1A4528A9" w14:textId="5B7794DD"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Серотонинов синдром</w:t>
      </w:r>
    </w:p>
    <w:p w14:paraId="6A35A1AD"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Взаимодействие със серотонинергични активни вещества: серотонинов синдром може да настъпи когато селективни инхибитори на обратното поемане на серотонин </w:t>
      </w:r>
      <w:r w:rsidRPr="007641DA">
        <w:rPr>
          <w:rFonts w:eastAsia="Times New Roman" w:cs="Arial"/>
          <w:color w:val="000000"/>
          <w:lang w:val="en-US"/>
        </w:rPr>
        <w:t xml:space="preserve">(SSRI) </w:t>
      </w:r>
      <w:r w:rsidRPr="007641DA">
        <w:rPr>
          <w:rFonts w:eastAsia="Times New Roman" w:cs="Arial"/>
          <w:color w:val="000000"/>
          <w:lang w:eastAsia="bg-BG"/>
        </w:rPr>
        <w:t>се използват едновременно с други серотонинергични активни вещества (виж точка 4.5). Симптомите на серотонинов синдром могат да бъдат хипертермия, ригидност, миоклонус, автономна нестабилност с възможни бързи колебания на жизнени показатели, промени в психичното състояние, които включват объркване, раздразнителност и прекадена възбуда, прогресираща до делириум и кома. Когато се комбинират тези активни вещества и миртазапин, се изисква внимание и регулярно клинично мониториране. Лечението с миртазапин трябва да се прекрати, ако се появят такива събития и да започне поддържащо симптоматично лечение.</w:t>
      </w:r>
    </w:p>
    <w:p w14:paraId="2688523A"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От пост-маркетинговия опит става ясно, че серотонинов синдром се появява много рядко при пациенти, лекувани с миртазапин самостоятелно (виж точка 4.8)</w:t>
      </w:r>
    </w:p>
    <w:p w14:paraId="4243137A" w14:textId="77777777" w:rsidR="007641DA" w:rsidRDefault="007641DA" w:rsidP="007641DA">
      <w:pPr>
        <w:spacing w:line="240" w:lineRule="auto"/>
        <w:rPr>
          <w:rFonts w:eastAsia="Times New Roman" w:cs="Arial"/>
          <w:color w:val="000000"/>
          <w:u w:val="single"/>
          <w:lang w:eastAsia="bg-BG"/>
        </w:rPr>
      </w:pPr>
    </w:p>
    <w:p w14:paraId="56C72F85" w14:textId="7C28BF62"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Пациенти в старческа възраст</w:t>
      </w:r>
    </w:p>
    <w:p w14:paraId="3276E0DA" w14:textId="527143A9"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Пациентите в старческа възраст често са по-чувствителни, особено по отношение на нежеланите ефекти на антидепресантите. По време на клиничните изследвания с миртазапин, съобщаваните странични ефектипри възрастни пациенти, са били колкото при другите възрастови групи.</w:t>
      </w:r>
    </w:p>
    <w:p w14:paraId="4F8C1FA2" w14:textId="77777777" w:rsidR="007641DA" w:rsidRDefault="007641DA" w:rsidP="007641DA">
      <w:pPr>
        <w:spacing w:line="240" w:lineRule="auto"/>
        <w:rPr>
          <w:rFonts w:eastAsia="Times New Roman" w:cs="Arial"/>
          <w:color w:val="000000"/>
          <w:u w:val="single"/>
          <w:lang w:eastAsia="bg-BG"/>
        </w:rPr>
      </w:pPr>
    </w:p>
    <w:p w14:paraId="159CD561" w14:textId="224F1959"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Помощни вещества</w:t>
      </w:r>
    </w:p>
    <w:p w14:paraId="3CB296F9"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Този лекарствен продукт съдържа лактоза. Пациенти с редки наследствени проблеми на галактозна непоносимост, лактозна недостатъчност или глюкозо-галактозна малабсорбция не трябва да п</w:t>
      </w:r>
      <w:r w:rsidRPr="007641DA">
        <w:rPr>
          <w:rFonts w:eastAsia="Times New Roman" w:cs="Arial"/>
          <w:color w:val="000000"/>
          <w:u w:val="single"/>
          <w:lang w:eastAsia="bg-BG"/>
        </w:rPr>
        <w:t>рие</w:t>
      </w:r>
      <w:r w:rsidRPr="007641DA">
        <w:rPr>
          <w:rFonts w:eastAsia="Times New Roman" w:cs="Arial"/>
          <w:color w:val="000000"/>
          <w:lang w:eastAsia="bg-BG"/>
        </w:rPr>
        <w:t>мат това лекарство.</w:t>
      </w:r>
    </w:p>
    <w:p w14:paraId="6CC47FB6" w14:textId="77777777" w:rsidR="007641DA" w:rsidRPr="007641DA" w:rsidRDefault="007641DA" w:rsidP="007641DA"/>
    <w:p w14:paraId="1DA47448" w14:textId="4DA65B73"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20F1D34" w14:textId="18DFFFE0" w:rsidR="007641DA" w:rsidRDefault="007641DA" w:rsidP="007641DA"/>
    <w:p w14:paraId="3BBF7D04"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Фармакодиномични взаимодействия</w:t>
      </w:r>
    </w:p>
    <w:p w14:paraId="39CDDA0D"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Миртазапин не трябва да се прилага едновременно с МАО инхибитори както и през първите две седмици след прекъсване на лечението с тези лекарствени продукти. И обратно - две седмици трябва да преминат преди пациенти, лекувани </w:t>
      </w:r>
      <w:r w:rsidRPr="007641DA">
        <w:rPr>
          <w:rFonts w:eastAsia="Times New Roman" w:cs="Arial"/>
          <w:color w:val="000000"/>
          <w:lang w:eastAsia="bg-BG"/>
        </w:rPr>
        <w:lastRenderedPageBreak/>
        <w:t>с миртазапин, да бъдат подложени на лечение с МАО - инхибитори. (виж точка 4.3).</w:t>
      </w:r>
    </w:p>
    <w:p w14:paraId="70D23CC2"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Освен това както </w:t>
      </w:r>
      <w:r w:rsidRPr="007641DA">
        <w:rPr>
          <w:rFonts w:eastAsia="Times New Roman" w:cs="Arial"/>
          <w:color w:val="000000"/>
          <w:lang w:val="en-US"/>
        </w:rPr>
        <w:t xml:space="preserve">SSRIs </w:t>
      </w:r>
      <w:r w:rsidRPr="007641DA">
        <w:rPr>
          <w:rFonts w:eastAsia="Times New Roman" w:cs="Arial"/>
          <w:color w:val="000000"/>
          <w:lang w:eastAsia="bg-BG"/>
        </w:rPr>
        <w:t xml:space="preserve">едновременното приложение с други серотонинергични активни вещества (триптофан, триптани, трамадол, линезолид, метилен блу, </w:t>
      </w:r>
      <w:r w:rsidRPr="007641DA">
        <w:rPr>
          <w:rFonts w:eastAsia="Times New Roman" w:cs="Arial"/>
          <w:color w:val="000000"/>
          <w:lang w:val="en-US"/>
        </w:rPr>
        <w:t xml:space="preserve">SSRIs, </w:t>
      </w:r>
      <w:r w:rsidRPr="007641DA">
        <w:rPr>
          <w:rFonts w:eastAsia="Times New Roman" w:cs="Arial"/>
          <w:color w:val="000000"/>
          <w:lang w:eastAsia="bg-BG"/>
        </w:rPr>
        <w:t>венлафаксин, литий и жълт кантарион-</w:t>
      </w:r>
      <w:r w:rsidRPr="007641DA">
        <w:rPr>
          <w:rFonts w:eastAsia="Times New Roman" w:cs="Arial"/>
          <w:color w:val="000000"/>
          <w:lang w:val="en-US"/>
        </w:rPr>
        <w:t xml:space="preserve">Hypericum </w:t>
      </w:r>
      <w:proofErr w:type="spellStart"/>
      <w:r w:rsidRPr="007641DA">
        <w:rPr>
          <w:rFonts w:eastAsia="Times New Roman" w:cs="Arial"/>
          <w:color w:val="000000"/>
          <w:lang w:val="en-US"/>
        </w:rPr>
        <w:t>perforatum</w:t>
      </w:r>
      <w:proofErr w:type="spellEnd"/>
      <w:r w:rsidRPr="007641DA">
        <w:rPr>
          <w:rFonts w:eastAsia="Times New Roman" w:cs="Arial"/>
          <w:color w:val="000000"/>
          <w:lang w:val="en-US"/>
        </w:rPr>
        <w:t xml:space="preserve"> </w:t>
      </w:r>
      <w:r w:rsidRPr="007641DA">
        <w:rPr>
          <w:rFonts w:eastAsia="Times New Roman" w:cs="Arial"/>
          <w:color w:val="000000"/>
          <w:lang w:eastAsia="bg-BG"/>
        </w:rPr>
        <w:t xml:space="preserve">- препарати) може да доведе до повишаване на серотонин-свързани ефекти (серотонинов синдром: виж точка 4.4), Препоръчва се повишено внимание и клинично наблюдение, когато тези активни вещества се комбинират с </w:t>
      </w:r>
      <w:r w:rsidRPr="007641DA">
        <w:rPr>
          <w:rFonts w:eastAsia="Times New Roman" w:cs="Arial"/>
          <w:i/>
          <w:iCs/>
          <w:color w:val="000000"/>
          <w:lang w:eastAsia="bg-BG"/>
        </w:rPr>
        <w:t>миртазапин.</w:t>
      </w:r>
    </w:p>
    <w:p w14:paraId="11476B36"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Миртазапин може да усили седативните свойства на бензодиазепините и другите седативи (особено антипсихотици, антихистамини Н</w:t>
      </w:r>
      <w:r w:rsidRPr="007641DA">
        <w:rPr>
          <w:rFonts w:eastAsia="Times New Roman" w:cs="Arial"/>
          <w:color w:val="000000"/>
          <w:vertAlign w:val="subscript"/>
          <w:lang w:eastAsia="bg-BG"/>
        </w:rPr>
        <w:t>1</w:t>
      </w:r>
      <w:r w:rsidRPr="007641DA">
        <w:rPr>
          <w:rFonts w:eastAsia="Times New Roman" w:cs="Arial"/>
          <w:color w:val="000000"/>
          <w:lang w:eastAsia="bg-BG"/>
        </w:rPr>
        <w:t>-антагонисти, опиати). Необходимо е повишено внимание когато тези лекарствени продукти се предписват едновремнно с миртазапин.</w:t>
      </w:r>
    </w:p>
    <w:p w14:paraId="389931C5"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Миртазапин може да засили потискащото действие на алкохола върху ЦНС. Следователно, пациентите трябва да бъдат предупреждавани да избягват употребата на напитки, съдържащи алкохол.</w:t>
      </w:r>
    </w:p>
    <w:p w14:paraId="13903467"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Миртазапин в доза 30 </w:t>
      </w:r>
      <w:r w:rsidRPr="007641DA">
        <w:rPr>
          <w:rFonts w:eastAsia="Times New Roman" w:cs="Arial"/>
          <w:color w:val="000000"/>
          <w:lang w:val="en-US"/>
        </w:rPr>
        <w:t xml:space="preserve">mg </w:t>
      </w:r>
      <w:r w:rsidRPr="007641DA">
        <w:rPr>
          <w:rFonts w:eastAsia="Times New Roman" w:cs="Arial"/>
          <w:color w:val="000000"/>
          <w:lang w:eastAsia="bg-BG"/>
        </w:rPr>
        <w:t xml:space="preserve">веднъж дневно води до малко, но статистически значимо увеличаване на </w:t>
      </w:r>
      <w:r w:rsidRPr="007641DA">
        <w:rPr>
          <w:rFonts w:eastAsia="Times New Roman" w:cs="Arial"/>
          <w:color w:val="000000"/>
          <w:lang w:val="en-US"/>
        </w:rPr>
        <w:t xml:space="preserve">INR </w:t>
      </w:r>
      <w:r w:rsidRPr="007641DA">
        <w:rPr>
          <w:rFonts w:eastAsia="Times New Roman" w:cs="Arial"/>
          <w:color w:val="000000"/>
          <w:lang w:eastAsia="bg-BG"/>
        </w:rPr>
        <w:t xml:space="preserve">при пациенти лекувани с варфарин. Тъй като не може да се изключи засилването на този ефект при по-високи дози миртазапин, препоръчва се да се контролира </w:t>
      </w:r>
      <w:r w:rsidRPr="007641DA">
        <w:rPr>
          <w:rFonts w:eastAsia="Times New Roman" w:cs="Arial"/>
          <w:color w:val="000000"/>
          <w:lang w:val="en-US"/>
        </w:rPr>
        <w:t xml:space="preserve">INR </w:t>
      </w:r>
      <w:r w:rsidRPr="007641DA">
        <w:rPr>
          <w:rFonts w:eastAsia="Times New Roman" w:cs="Arial"/>
          <w:color w:val="000000"/>
          <w:lang w:eastAsia="bg-BG"/>
        </w:rPr>
        <w:t>в случай на лечение с варфарин и миртазапин.</w:t>
      </w:r>
    </w:p>
    <w:p w14:paraId="13D7467E" w14:textId="79DFA37F"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Рискът от удължаване на </w:t>
      </w:r>
      <w:r w:rsidRPr="007641DA">
        <w:rPr>
          <w:rFonts w:eastAsia="Times New Roman" w:cs="Arial"/>
          <w:color w:val="000000"/>
          <w:lang w:val="en-US"/>
        </w:rPr>
        <w:t xml:space="preserve">QT </w:t>
      </w:r>
      <w:r w:rsidRPr="007641DA">
        <w:rPr>
          <w:rFonts w:eastAsia="Times New Roman" w:cs="Arial"/>
          <w:color w:val="000000"/>
          <w:lang w:eastAsia="bg-BG"/>
        </w:rPr>
        <w:t xml:space="preserve">интервала, и/или камерна аритмия (напр. </w:t>
      </w:r>
      <w:proofErr w:type="spellStart"/>
      <w:r w:rsidRPr="007641DA">
        <w:rPr>
          <w:rFonts w:eastAsia="Times New Roman" w:cs="Arial"/>
          <w:color w:val="000000"/>
          <w:lang w:val="en-US"/>
        </w:rPr>
        <w:t>torsades</w:t>
      </w:r>
      <w:proofErr w:type="spellEnd"/>
      <w:r w:rsidRPr="007641DA">
        <w:rPr>
          <w:rFonts w:eastAsia="Times New Roman" w:cs="Arial"/>
          <w:color w:val="000000"/>
          <w:lang w:val="en-US"/>
        </w:rPr>
        <w:t xml:space="preserve"> de pointes), </w:t>
      </w:r>
      <w:r w:rsidRPr="007641DA">
        <w:rPr>
          <w:rFonts w:eastAsia="Times New Roman" w:cs="Arial"/>
          <w:color w:val="000000"/>
          <w:lang w:eastAsia="bg-BG"/>
        </w:rPr>
        <w:t xml:space="preserve">може да се повиши при едновременно прилагане е лекарства, които удължават </w:t>
      </w:r>
      <w:r w:rsidRPr="007641DA">
        <w:rPr>
          <w:rFonts w:eastAsia="Times New Roman" w:cs="Arial"/>
          <w:color w:val="000000"/>
          <w:lang w:val="en-US"/>
        </w:rPr>
        <w:t xml:space="preserve">QT </w:t>
      </w:r>
      <w:r w:rsidRPr="007641DA">
        <w:rPr>
          <w:rFonts w:eastAsia="Times New Roman" w:cs="Arial"/>
          <w:color w:val="000000"/>
          <w:lang w:eastAsia="bg-BG"/>
        </w:rPr>
        <w:t>интервала (напр. някои антипсихотици или антибиотици)</w:t>
      </w:r>
    </w:p>
    <w:p w14:paraId="419CFF04" w14:textId="77777777" w:rsidR="007641DA" w:rsidRDefault="007641DA" w:rsidP="007641DA">
      <w:pPr>
        <w:spacing w:line="240" w:lineRule="auto"/>
        <w:rPr>
          <w:rFonts w:eastAsia="Times New Roman" w:cs="Arial"/>
          <w:color w:val="000000"/>
          <w:u w:val="single"/>
          <w:lang w:eastAsia="bg-BG"/>
        </w:rPr>
      </w:pPr>
    </w:p>
    <w:p w14:paraId="44B805CC" w14:textId="1E37113C"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Фармакокинетични взаимодействия</w:t>
      </w:r>
    </w:p>
    <w:p w14:paraId="1A8150C6"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Карбамазепин и фенитоин, </w:t>
      </w:r>
      <w:r w:rsidRPr="007641DA">
        <w:rPr>
          <w:rFonts w:eastAsia="Times New Roman" w:cs="Arial"/>
          <w:color w:val="000000"/>
          <w:lang w:val="en-US"/>
        </w:rPr>
        <w:t xml:space="preserve">CYP3A4 </w:t>
      </w:r>
      <w:r w:rsidRPr="007641DA">
        <w:rPr>
          <w:rFonts w:eastAsia="Times New Roman" w:cs="Arial"/>
          <w:color w:val="000000"/>
          <w:lang w:eastAsia="bg-BG"/>
        </w:rPr>
        <w:t>стимулатори, засилват клирънса на миртазапин почти двойно, като понижава плазмената концентрация на миртазапин с 60% и 45% съответно. Когато карбамазепин или друг стимулатор на чернодробния метаболизъм (като рифампицин) се добави към терапията с миртазапин, може да е необходимо повишаване на дозата на последния. При спиране на лечението с такъв лекарствен продукт, може да е необходимо намаляване на дозата на миртазапин.</w:t>
      </w:r>
    </w:p>
    <w:p w14:paraId="75C404E6"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Едновременното прилагане на </w:t>
      </w:r>
      <w:r w:rsidRPr="007641DA">
        <w:rPr>
          <w:rFonts w:eastAsia="Times New Roman" w:cs="Arial"/>
          <w:color w:val="000000"/>
          <w:lang w:val="en-US"/>
        </w:rPr>
        <w:t xml:space="preserve">CYP3A4 </w:t>
      </w:r>
      <w:r w:rsidRPr="007641DA">
        <w:rPr>
          <w:rFonts w:eastAsia="Times New Roman" w:cs="Arial"/>
          <w:color w:val="000000"/>
          <w:lang w:eastAsia="bg-BG"/>
        </w:rPr>
        <w:t xml:space="preserve">инхибитора кетоконазол с миртазапин, повишава максималните плазмени нива и </w:t>
      </w:r>
      <w:r w:rsidRPr="007641DA">
        <w:rPr>
          <w:rFonts w:eastAsia="Times New Roman" w:cs="Arial"/>
          <w:color w:val="000000"/>
          <w:lang w:val="en-US"/>
        </w:rPr>
        <w:t xml:space="preserve">AUC </w:t>
      </w:r>
      <w:r w:rsidRPr="007641DA">
        <w:rPr>
          <w:rFonts w:eastAsia="Times New Roman" w:cs="Arial"/>
          <w:color w:val="000000"/>
          <w:lang w:eastAsia="bg-BG"/>
        </w:rPr>
        <w:t>на миртазапин с приблизително 40% и 50% съответно.</w:t>
      </w:r>
    </w:p>
    <w:p w14:paraId="58ACE427" w14:textId="77777777"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 xml:space="preserve">Когато едновременно се прилага циметидин (слаб инхибитор на </w:t>
      </w:r>
      <w:r w:rsidRPr="007641DA">
        <w:rPr>
          <w:rFonts w:eastAsia="Times New Roman" w:cs="Arial"/>
          <w:color w:val="000000"/>
          <w:lang w:val="en-US"/>
        </w:rPr>
        <w:t xml:space="preserve">CYP1A2, CYP2D6 </w:t>
      </w:r>
      <w:r w:rsidRPr="007641DA">
        <w:rPr>
          <w:rFonts w:eastAsia="Times New Roman" w:cs="Arial"/>
          <w:color w:val="000000"/>
          <w:lang w:eastAsia="bg-BG"/>
        </w:rPr>
        <w:t xml:space="preserve">и </w:t>
      </w:r>
      <w:r w:rsidRPr="007641DA">
        <w:rPr>
          <w:rFonts w:eastAsia="Times New Roman" w:cs="Arial"/>
          <w:color w:val="000000"/>
          <w:lang w:val="en-US"/>
        </w:rPr>
        <w:t xml:space="preserve">CYP3A4) </w:t>
      </w:r>
      <w:r w:rsidRPr="007641DA">
        <w:rPr>
          <w:rFonts w:eastAsia="Times New Roman" w:cs="Arial"/>
          <w:color w:val="000000"/>
          <w:lang w:eastAsia="bg-BG"/>
        </w:rPr>
        <w:t xml:space="preserve">с миртазапин, бионаличностга на миртазапин може да се повиши с повече от 50%. Трябва да се внимава и дозата може да се намали при едновременно приложение на миртазапин с мощни </w:t>
      </w:r>
      <w:r w:rsidRPr="007641DA">
        <w:rPr>
          <w:rFonts w:eastAsia="Times New Roman" w:cs="Arial"/>
          <w:color w:val="000000"/>
          <w:lang w:val="en-US"/>
        </w:rPr>
        <w:t xml:space="preserve">CYP3A4 </w:t>
      </w:r>
      <w:r w:rsidRPr="007641DA">
        <w:rPr>
          <w:rFonts w:eastAsia="Times New Roman" w:cs="Arial"/>
          <w:color w:val="000000"/>
          <w:lang w:eastAsia="bg-BG"/>
        </w:rPr>
        <w:t xml:space="preserve">инхибитори, </w:t>
      </w:r>
      <w:r w:rsidRPr="007641DA">
        <w:rPr>
          <w:rFonts w:eastAsia="Times New Roman" w:cs="Arial"/>
          <w:color w:val="000000"/>
          <w:lang w:val="en-US"/>
        </w:rPr>
        <w:t xml:space="preserve">HIV </w:t>
      </w:r>
      <w:r w:rsidRPr="007641DA">
        <w:rPr>
          <w:rFonts w:eastAsia="Times New Roman" w:cs="Arial"/>
          <w:color w:val="000000"/>
          <w:lang w:eastAsia="bg-BG"/>
        </w:rPr>
        <w:t>протеазни инхибитори, азолови антимикотици, еритромицин, циметидин или нефазодон.</w:t>
      </w:r>
    </w:p>
    <w:p w14:paraId="2D3A50A5" w14:textId="5B8356FC" w:rsidR="007641DA" w:rsidRPr="007641DA" w:rsidRDefault="007641DA" w:rsidP="007641DA">
      <w:pPr>
        <w:pStyle w:val="ListParagraph"/>
        <w:numPr>
          <w:ilvl w:val="0"/>
          <w:numId w:val="40"/>
        </w:numPr>
        <w:spacing w:line="240" w:lineRule="auto"/>
        <w:rPr>
          <w:rFonts w:eastAsia="Times New Roman" w:cs="Arial"/>
          <w:lang w:eastAsia="bg-BG"/>
        </w:rPr>
      </w:pPr>
      <w:r w:rsidRPr="007641DA">
        <w:rPr>
          <w:rFonts w:eastAsia="Times New Roman" w:cs="Arial"/>
          <w:color w:val="000000"/>
          <w:lang w:eastAsia="bg-BG"/>
        </w:rPr>
        <w:t>В проучвания за взаимодействие не се посочват фармакокинетични ефекти върху едновременното лечение на миртазапин и пароксетин, амитриптилин, рисперидон или литий.</w:t>
      </w:r>
    </w:p>
    <w:p w14:paraId="1B02C21D" w14:textId="77777777" w:rsidR="007641DA" w:rsidRDefault="007641DA" w:rsidP="007641DA">
      <w:pPr>
        <w:spacing w:line="240" w:lineRule="auto"/>
        <w:rPr>
          <w:rFonts w:eastAsia="Times New Roman" w:cs="Arial"/>
          <w:color w:val="000000"/>
          <w:u w:val="single"/>
          <w:lang w:eastAsia="bg-BG"/>
        </w:rPr>
      </w:pPr>
    </w:p>
    <w:p w14:paraId="313499D1" w14:textId="7BB99E81" w:rsidR="007641DA" w:rsidRPr="007641DA" w:rsidRDefault="007641DA" w:rsidP="007641DA">
      <w:pPr>
        <w:spacing w:line="240" w:lineRule="auto"/>
        <w:rPr>
          <w:rFonts w:eastAsia="Times New Roman" w:cs="Arial"/>
          <w:lang w:eastAsia="bg-BG"/>
        </w:rPr>
      </w:pPr>
      <w:r w:rsidRPr="007641DA">
        <w:rPr>
          <w:rFonts w:eastAsia="Times New Roman" w:cs="Arial"/>
          <w:color w:val="000000"/>
          <w:u w:val="single"/>
          <w:lang w:eastAsia="bg-BG"/>
        </w:rPr>
        <w:t>Педиатрична популация</w:t>
      </w:r>
    </w:p>
    <w:p w14:paraId="14518747" w14:textId="4882B338" w:rsidR="007641DA" w:rsidRDefault="007641DA" w:rsidP="007641DA">
      <w:pPr>
        <w:rPr>
          <w:rFonts w:eastAsia="Times New Roman" w:cs="Arial"/>
          <w:color w:val="000000"/>
          <w:lang w:eastAsia="bg-BG"/>
        </w:rPr>
      </w:pPr>
      <w:r w:rsidRPr="007641DA">
        <w:rPr>
          <w:rFonts w:eastAsia="Times New Roman" w:cs="Arial"/>
          <w:color w:val="000000"/>
          <w:lang w:eastAsia="bg-BG"/>
        </w:rPr>
        <w:t>Проучвания относно взаимодействия са извършвани само при възрастни.</w:t>
      </w:r>
    </w:p>
    <w:p w14:paraId="592248EE" w14:textId="77777777" w:rsidR="007641DA" w:rsidRPr="007641DA" w:rsidRDefault="007641DA" w:rsidP="007641DA">
      <w:pPr>
        <w:rPr>
          <w:rFonts w:eastAsia="Times New Roman" w:cs="Arial"/>
          <w:color w:val="000000"/>
          <w:lang w:eastAsia="bg-BG"/>
        </w:rPr>
      </w:pPr>
    </w:p>
    <w:p w14:paraId="48846BBA" w14:textId="53DD80C4" w:rsidR="009F77A4" w:rsidRDefault="002C50EE" w:rsidP="00387A66">
      <w:pPr>
        <w:pStyle w:val="Heading2"/>
      </w:pPr>
      <w:r>
        <w:t>4.6. Фертилитет, бременност и кърмене</w:t>
      </w:r>
    </w:p>
    <w:p w14:paraId="73A1BBD0" w14:textId="1EAF07E3" w:rsidR="007641DA" w:rsidRDefault="007641DA" w:rsidP="007641DA"/>
    <w:p w14:paraId="18136625" w14:textId="77777777" w:rsidR="007641DA" w:rsidRPr="007641DA" w:rsidRDefault="007641DA" w:rsidP="007641DA">
      <w:pPr>
        <w:pStyle w:val="Heading3"/>
        <w:rPr>
          <w:rFonts w:eastAsia="Times New Roman"/>
          <w:i/>
          <w:iCs/>
          <w:lang w:eastAsia="bg-BG"/>
        </w:rPr>
      </w:pPr>
      <w:r w:rsidRPr="007641DA">
        <w:rPr>
          <w:rFonts w:eastAsia="Times New Roman"/>
          <w:i/>
          <w:iCs/>
          <w:lang w:eastAsia="bg-BG"/>
        </w:rPr>
        <w:lastRenderedPageBreak/>
        <w:t>Бременност</w:t>
      </w:r>
    </w:p>
    <w:p w14:paraId="3B424653" w14:textId="4ECA9C6C"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Ограничени данни за употребата на миртазапин при бременни жени не показват повишен риск от вродени малформации. Екпериментални проучвания при животни не показват някакви тератогенни ефекти, обачи се наблюдава токсичност на развитието (виж точка 5.3).</w:t>
      </w:r>
    </w:p>
    <w:p w14:paraId="31A2404F" w14:textId="71507FCD" w:rsidR="007641DA" w:rsidRPr="007641DA" w:rsidRDefault="007641DA" w:rsidP="007641DA">
      <w:pPr>
        <w:rPr>
          <w:rFonts w:eastAsia="Times New Roman" w:cs="Arial"/>
          <w:color w:val="000000"/>
          <w:lang w:eastAsia="bg-BG"/>
        </w:rPr>
      </w:pPr>
      <w:r w:rsidRPr="007641DA">
        <w:rPr>
          <w:rFonts w:eastAsia="Times New Roman" w:cs="Arial"/>
          <w:color w:val="000000"/>
          <w:lang w:eastAsia="bg-BG"/>
        </w:rPr>
        <w:t xml:space="preserve">Епидемиологичните данни предполагат, че употребата на </w:t>
      </w:r>
      <w:r w:rsidRPr="007641DA">
        <w:rPr>
          <w:rFonts w:eastAsia="Times New Roman" w:cs="Arial"/>
          <w:color w:val="000000"/>
          <w:lang w:val="en-US"/>
        </w:rPr>
        <w:t xml:space="preserve">SSRI </w:t>
      </w:r>
      <w:r w:rsidRPr="007641DA">
        <w:rPr>
          <w:rFonts w:eastAsia="Times New Roman" w:cs="Arial"/>
          <w:color w:val="000000"/>
          <w:lang w:eastAsia="bg-BG"/>
        </w:rPr>
        <w:t>при бременни, особено в късна бременност, може да повиши риска от персистираща пулмонарна хипертония при новор</w:t>
      </w:r>
      <w:r w:rsidRPr="007641DA">
        <w:rPr>
          <w:rFonts w:eastAsia="Times New Roman" w:cs="Arial"/>
          <w:color w:val="000000"/>
          <w:u w:val="single"/>
          <w:lang w:eastAsia="bg-BG"/>
        </w:rPr>
        <w:t>оденот</w:t>
      </w:r>
      <w:r w:rsidRPr="007641DA">
        <w:rPr>
          <w:rFonts w:eastAsia="Times New Roman" w:cs="Arial"/>
          <w:color w:val="000000"/>
          <w:lang w:eastAsia="bg-BG"/>
        </w:rPr>
        <w:t xml:space="preserve">о </w:t>
      </w:r>
      <w:r w:rsidRPr="007641DA">
        <w:rPr>
          <w:rFonts w:eastAsia="Times New Roman" w:cs="Arial"/>
          <w:color w:val="000000"/>
          <w:lang w:val="en-US"/>
        </w:rPr>
        <w:t xml:space="preserve">(PPHN). </w:t>
      </w:r>
      <w:r w:rsidRPr="007641DA">
        <w:rPr>
          <w:rFonts w:eastAsia="Times New Roman" w:cs="Arial"/>
          <w:color w:val="000000"/>
          <w:lang w:eastAsia="bg-BG"/>
        </w:rPr>
        <w:t xml:space="preserve">Въпреки, че няма проведени изпитвания за връзката на </w:t>
      </w:r>
      <w:r w:rsidRPr="007641DA">
        <w:rPr>
          <w:rFonts w:eastAsia="Times New Roman" w:cs="Arial"/>
          <w:color w:val="000000"/>
          <w:lang w:val="en-US"/>
        </w:rPr>
        <w:t xml:space="preserve">PPHN </w:t>
      </w:r>
      <w:r w:rsidRPr="007641DA">
        <w:rPr>
          <w:rFonts w:eastAsia="Times New Roman" w:cs="Arial"/>
          <w:color w:val="000000"/>
          <w:lang w:eastAsia="bg-BG"/>
        </w:rPr>
        <w:t>и лечението с миртазапин, този потенциален риск не може да бъде изключен, като се има предвид свързания механизъм на действие (повишаване на концентрациите на серотонин).</w:t>
      </w:r>
    </w:p>
    <w:p w14:paraId="3843DCBA" w14:textId="1E778BC9" w:rsidR="007641DA" w:rsidRPr="007641DA" w:rsidRDefault="007641DA" w:rsidP="007641DA">
      <w:pPr>
        <w:rPr>
          <w:rFonts w:eastAsia="Times New Roman" w:cs="Arial"/>
          <w:color w:val="000000"/>
          <w:lang w:eastAsia="bg-BG"/>
        </w:rPr>
      </w:pPr>
    </w:p>
    <w:p w14:paraId="5D5B87CE"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Трябва да се проявява предпазливост, когато се предписва на бременни жени. Ако миртазапин е използван до или малко преди раждане, постнаталният мониторинг на новороденото е препоръчителен, за да се вземат предвид възможните последици от прекъсване на ефектите.</w:t>
      </w:r>
    </w:p>
    <w:p w14:paraId="187A9F5D" w14:textId="77777777" w:rsidR="007641DA" w:rsidRDefault="007641DA" w:rsidP="007641DA">
      <w:pPr>
        <w:spacing w:line="240" w:lineRule="auto"/>
        <w:rPr>
          <w:rFonts w:eastAsia="Times New Roman" w:cs="Arial"/>
          <w:color w:val="000000"/>
          <w:lang w:eastAsia="bg-BG"/>
        </w:rPr>
      </w:pPr>
    </w:p>
    <w:p w14:paraId="1B75E09A" w14:textId="4DDFA99C" w:rsidR="007641DA" w:rsidRPr="007641DA" w:rsidRDefault="007641DA" w:rsidP="007641DA">
      <w:pPr>
        <w:pStyle w:val="Heading3"/>
        <w:rPr>
          <w:rFonts w:eastAsia="Times New Roman"/>
          <w:i/>
          <w:iCs/>
          <w:lang w:eastAsia="bg-BG"/>
        </w:rPr>
      </w:pPr>
      <w:r w:rsidRPr="007641DA">
        <w:rPr>
          <w:rFonts w:eastAsia="Times New Roman"/>
          <w:i/>
          <w:iCs/>
          <w:lang w:eastAsia="bg-BG"/>
        </w:rPr>
        <w:t>Кърмене</w:t>
      </w:r>
    </w:p>
    <w:p w14:paraId="1436239A"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Проучванията при животни и ограничените данни при хора показват, че екскрецията на миртазапин в кърмата е в много малки количества. Решението дали да се продължи/преустанови кърменето или да се продължи/преустанови терапията с миртазапин трябва да се вземе предвид ползата от кърменето за детето и ползата от лечението с миртазапин за жената.</w:t>
      </w:r>
    </w:p>
    <w:p w14:paraId="4B0FADF3" w14:textId="77777777" w:rsidR="007641DA" w:rsidRDefault="007641DA" w:rsidP="007641DA">
      <w:pPr>
        <w:spacing w:line="240" w:lineRule="auto"/>
        <w:rPr>
          <w:rFonts w:eastAsia="Times New Roman" w:cs="Arial"/>
          <w:color w:val="000000"/>
          <w:lang w:eastAsia="bg-BG"/>
        </w:rPr>
      </w:pPr>
    </w:p>
    <w:p w14:paraId="7C009280" w14:textId="33407685" w:rsidR="007641DA" w:rsidRPr="007641DA" w:rsidRDefault="007641DA" w:rsidP="007641DA">
      <w:pPr>
        <w:pStyle w:val="Heading3"/>
        <w:rPr>
          <w:rFonts w:eastAsia="Times New Roman"/>
          <w:i/>
          <w:iCs/>
          <w:lang w:eastAsia="bg-BG"/>
        </w:rPr>
      </w:pPr>
      <w:r w:rsidRPr="007641DA">
        <w:rPr>
          <w:rFonts w:eastAsia="Times New Roman"/>
          <w:i/>
          <w:iCs/>
          <w:lang w:eastAsia="bg-BG"/>
        </w:rPr>
        <w:t>Фертилитет</w:t>
      </w:r>
    </w:p>
    <w:p w14:paraId="3D01243F"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Неклинични репродуктивни проучвания за токсичност при животни не показват ефект върху фертилитета.</w:t>
      </w:r>
    </w:p>
    <w:p w14:paraId="6B3A6B0B" w14:textId="77777777" w:rsidR="007641DA" w:rsidRPr="007641DA" w:rsidRDefault="007641DA" w:rsidP="007641DA"/>
    <w:p w14:paraId="321AAB00" w14:textId="178155BC" w:rsidR="009F77A4" w:rsidRDefault="002C50EE" w:rsidP="00387A66">
      <w:pPr>
        <w:pStyle w:val="Heading2"/>
      </w:pPr>
      <w:r>
        <w:t>4.7. Ефекти върху способността за шофиране и работа с машини</w:t>
      </w:r>
    </w:p>
    <w:p w14:paraId="57C2CA83" w14:textId="66DFECCA" w:rsidR="007641DA" w:rsidRDefault="007641DA" w:rsidP="007641DA"/>
    <w:p w14:paraId="55611D5F" w14:textId="5AB819E6" w:rsidR="007641DA" w:rsidRPr="007641DA" w:rsidRDefault="007641DA" w:rsidP="007641DA">
      <w:pPr>
        <w:rPr>
          <w:sz w:val="24"/>
          <w:szCs w:val="24"/>
          <w:lang w:eastAsia="bg-BG"/>
        </w:rPr>
      </w:pPr>
      <w:r w:rsidRPr="007641DA">
        <w:rPr>
          <w:lang w:eastAsia="bg-BG"/>
        </w:rPr>
        <w:t>Миртазапин може слабо или умерено да повлияе способността за шофиране и работа с машини. Миртазапин може да увреди концентрацията и бдителността, особено в начална фаза на лечение. Пациентите трябва да избягват извършването на потенциално опасни задачи, които изискват повишено внимание и добра концентрация като шофиране на моторно превозно средство или работа с машини</w:t>
      </w:r>
      <w:r>
        <w:rPr>
          <w:lang w:eastAsia="bg-BG"/>
        </w:rPr>
        <w:t>.</w:t>
      </w:r>
    </w:p>
    <w:p w14:paraId="378BDC1F" w14:textId="77777777" w:rsidR="007641DA" w:rsidRPr="007641DA" w:rsidRDefault="007641DA" w:rsidP="007641DA"/>
    <w:p w14:paraId="136C86B8" w14:textId="077A45CD" w:rsidR="009F77A4" w:rsidRDefault="002C50EE" w:rsidP="00387A66">
      <w:pPr>
        <w:pStyle w:val="Heading2"/>
      </w:pPr>
      <w:r>
        <w:t>4.8. Нежелани лекарствени реакции</w:t>
      </w:r>
    </w:p>
    <w:p w14:paraId="78D474A1" w14:textId="098B364F" w:rsidR="007641DA" w:rsidRDefault="007641DA" w:rsidP="007641DA"/>
    <w:p w14:paraId="70A112A2"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Пациенти с депресия показват редица симптоми, които са свързани със самото заболяване. Поради това понякога е трудно да се установи кои симптоми са в резултат на самото заболяване и кои от лечението с миртазапин.</w:t>
      </w:r>
    </w:p>
    <w:p w14:paraId="552FF870" w14:textId="77777777" w:rsidR="007641DA" w:rsidRDefault="007641DA" w:rsidP="007641DA">
      <w:pPr>
        <w:spacing w:line="240" w:lineRule="auto"/>
        <w:rPr>
          <w:rFonts w:eastAsia="Times New Roman" w:cs="Arial"/>
          <w:color w:val="000000"/>
          <w:lang w:eastAsia="bg-BG"/>
        </w:rPr>
      </w:pPr>
    </w:p>
    <w:p w14:paraId="6E54B853" w14:textId="096079DE"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Най-често съобщаваните нежелани лекарствени реакции, настъпващи при повече от 5% от пациентите лекувани с миртазапин при рандомизирани плацебо-контролирани изпитвания(виж по- долу) са сомнолентност, седация, сухота в устата, повишено тегло, повишаване на апетита, замайване и умора.</w:t>
      </w:r>
    </w:p>
    <w:p w14:paraId="43304283" w14:textId="77777777" w:rsidR="007641DA" w:rsidRPr="007641DA" w:rsidRDefault="007641DA" w:rsidP="007641DA">
      <w:pPr>
        <w:spacing w:line="240" w:lineRule="auto"/>
        <w:rPr>
          <w:rFonts w:eastAsia="Times New Roman" w:cs="Arial"/>
          <w:lang w:eastAsia="bg-BG"/>
        </w:rPr>
      </w:pPr>
      <w:r w:rsidRPr="007641DA">
        <w:rPr>
          <w:rFonts w:eastAsia="Times New Roman" w:cs="Arial"/>
          <w:color w:val="000000"/>
          <w:lang w:eastAsia="bg-BG"/>
        </w:rPr>
        <w:t xml:space="preserve">Всички рандомизирани плацебо-контролирани изпитвания при пациенти (включително показания, различни от голямо депресивно разстройство), са оценени за нежелани </w:t>
      </w:r>
      <w:r w:rsidRPr="007641DA">
        <w:rPr>
          <w:rFonts w:eastAsia="Times New Roman" w:cs="Arial"/>
          <w:color w:val="000000"/>
          <w:lang w:eastAsia="bg-BG"/>
        </w:rPr>
        <w:lastRenderedPageBreak/>
        <w:t xml:space="preserve">лекарствени реакции на миртазапин, Мета-анализ счита, че 20 проучвания с планирана продължителност на лечението до 12 седмици, с 1501 пациенти (134 човекогодини), получаващи дози миртазапин до 60 </w:t>
      </w:r>
      <w:r w:rsidRPr="007641DA">
        <w:rPr>
          <w:rFonts w:eastAsia="Times New Roman" w:cs="Arial"/>
          <w:color w:val="000000"/>
          <w:lang w:val="en-US"/>
        </w:rPr>
        <w:t xml:space="preserve">mg </w:t>
      </w:r>
      <w:r w:rsidRPr="007641DA">
        <w:rPr>
          <w:rFonts w:eastAsia="Times New Roman" w:cs="Arial"/>
          <w:color w:val="000000"/>
          <w:lang w:eastAsia="bg-BG"/>
        </w:rPr>
        <w:t>и 850 пациенти (79 човекогодини), получаващи плацебо. Удължените фази на тези изпитвания са били изключени за поддържане на съпоставимост с лечението с плацебо.</w:t>
      </w:r>
    </w:p>
    <w:p w14:paraId="30EED07D" w14:textId="77777777" w:rsidR="007641DA" w:rsidRDefault="007641DA" w:rsidP="007641DA">
      <w:pPr>
        <w:spacing w:line="240" w:lineRule="auto"/>
        <w:rPr>
          <w:rFonts w:eastAsia="Times New Roman" w:cs="Arial"/>
          <w:color w:val="000000"/>
          <w:lang w:eastAsia="bg-BG"/>
        </w:rPr>
      </w:pPr>
    </w:p>
    <w:p w14:paraId="2D7466E5" w14:textId="4C5AEC78" w:rsidR="007641DA" w:rsidRDefault="007641DA" w:rsidP="007641DA">
      <w:pPr>
        <w:spacing w:line="240" w:lineRule="auto"/>
        <w:rPr>
          <w:rFonts w:eastAsia="Times New Roman" w:cs="Arial"/>
          <w:color w:val="000000"/>
          <w:lang w:eastAsia="bg-BG"/>
        </w:rPr>
      </w:pPr>
      <w:r w:rsidRPr="007641DA">
        <w:rPr>
          <w:rFonts w:eastAsia="Times New Roman" w:cs="Arial"/>
          <w:color w:val="000000"/>
          <w:lang w:eastAsia="bg-BG"/>
        </w:rPr>
        <w:t>Таблица 1 показва категоризирани честоти на нежеланите лекарствени реакции, които са настъпили в клинични проучвания, статистически значимо по-често по време на лечение с миртазапин, в сравнение с плацебо, допълнени с нежелани лекарствени реакции от преки съобщения. Честотата на нежеланите реакции от спонтанни съобщения се основават на докладване на тези събития при клиничните изпитвания. Честотата на нежелани реакции от спонтанни съобщения, за които няма случаи в рандомизирано, плацебо-контролирани проучвания пациентите са били наблюдавани с миртазапин е класифицирана като ’’неизвестна”.</w:t>
      </w:r>
    </w:p>
    <w:p w14:paraId="572E8E96" w14:textId="3020E5E9" w:rsidR="009268EE" w:rsidRDefault="009268EE" w:rsidP="007641DA">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1687"/>
        <w:gridCol w:w="1518"/>
        <w:gridCol w:w="1567"/>
        <w:gridCol w:w="1605"/>
        <w:gridCol w:w="1239"/>
        <w:gridCol w:w="1734"/>
      </w:tblGrid>
      <w:tr w:rsidR="009268EE" w14:paraId="79E79766" w14:textId="77777777" w:rsidTr="009268EE">
        <w:tc>
          <w:tcPr>
            <w:tcW w:w="1726" w:type="dxa"/>
          </w:tcPr>
          <w:p w14:paraId="5095EDA9" w14:textId="77777777" w:rsidR="009268EE" w:rsidRDefault="009268EE" w:rsidP="009268EE">
            <w:r>
              <w:t>Класифи</w:t>
            </w:r>
            <w:r>
              <w:softHyphen/>
              <w:t>кация</w:t>
            </w:r>
            <w:r>
              <w:tab/>
              <w:t>на</w:t>
            </w:r>
          </w:p>
          <w:p w14:paraId="27025AA6" w14:textId="22CB5A8B" w:rsidR="009268EE" w:rsidRDefault="009268EE" w:rsidP="009268EE">
            <w:pPr>
              <w:rPr>
                <w:rFonts w:eastAsia="Times New Roman" w:cs="Arial"/>
                <w:lang w:eastAsia="bg-BG"/>
              </w:rPr>
            </w:pPr>
            <w:r>
              <w:rPr>
                <w:lang w:val="en-US"/>
              </w:rPr>
              <w:t xml:space="preserve">MedDRA </w:t>
            </w:r>
            <w:r>
              <w:t>Система, орган клас</w:t>
            </w:r>
          </w:p>
        </w:tc>
        <w:tc>
          <w:tcPr>
            <w:tcW w:w="1555" w:type="dxa"/>
          </w:tcPr>
          <w:p w14:paraId="205C4FE6" w14:textId="322BF529" w:rsidR="009268EE" w:rsidRDefault="009268EE" w:rsidP="009268EE">
            <w:pPr>
              <w:rPr>
                <w:rFonts w:eastAsia="Times New Roman" w:cs="Arial"/>
                <w:lang w:eastAsia="bg-BG"/>
              </w:rPr>
            </w:pPr>
            <w:r>
              <w:t>Много чести (≥1/10)</w:t>
            </w:r>
          </w:p>
        </w:tc>
        <w:tc>
          <w:tcPr>
            <w:tcW w:w="1605" w:type="dxa"/>
          </w:tcPr>
          <w:p w14:paraId="1071E9DF" w14:textId="0997165B" w:rsidR="009268EE" w:rsidRDefault="009268EE" w:rsidP="009268EE">
            <w:pPr>
              <w:rPr>
                <w:rFonts w:eastAsia="Times New Roman" w:cs="Arial"/>
                <w:lang w:eastAsia="bg-BG"/>
              </w:rPr>
            </w:pPr>
            <w:r>
              <w:t>Чести (≥1/100 до &lt; 1/10)</w:t>
            </w:r>
          </w:p>
        </w:tc>
        <w:tc>
          <w:tcPr>
            <w:tcW w:w="1645" w:type="dxa"/>
          </w:tcPr>
          <w:p w14:paraId="044161BA" w14:textId="77777777" w:rsidR="009268EE" w:rsidRDefault="009268EE" w:rsidP="009268EE">
            <w:r>
              <w:t>Нечести</w:t>
            </w:r>
          </w:p>
          <w:p w14:paraId="7D25D624" w14:textId="5B6901FB" w:rsidR="009268EE" w:rsidRDefault="009268EE" w:rsidP="009268EE">
            <w:pPr>
              <w:rPr>
                <w:rFonts w:eastAsia="Times New Roman" w:cs="Arial"/>
                <w:lang w:eastAsia="bg-BG"/>
              </w:rPr>
            </w:pPr>
            <w:r>
              <w:t>(≥1/1 000 до &lt; 1/100)</w:t>
            </w:r>
          </w:p>
        </w:tc>
        <w:tc>
          <w:tcPr>
            <w:tcW w:w="1268" w:type="dxa"/>
          </w:tcPr>
          <w:p w14:paraId="2F9523E2" w14:textId="7828DE32" w:rsidR="009268EE" w:rsidRDefault="009268EE" w:rsidP="009268EE">
            <w:pPr>
              <w:rPr>
                <w:rFonts w:eastAsia="Times New Roman" w:cs="Arial"/>
                <w:lang w:eastAsia="bg-BG"/>
              </w:rPr>
            </w:pPr>
            <w:r>
              <w:t>Редки (≥1/10 000 до &lt; 1/1 000)</w:t>
            </w:r>
          </w:p>
        </w:tc>
        <w:tc>
          <w:tcPr>
            <w:tcW w:w="1777" w:type="dxa"/>
          </w:tcPr>
          <w:p w14:paraId="52E10DF6" w14:textId="77777777" w:rsidR="009268EE" w:rsidRDefault="009268EE" w:rsidP="009268EE">
            <w:r>
              <w:t>Неизвестна честота (не може да бъде определена от</w:t>
            </w:r>
          </w:p>
          <w:p w14:paraId="1EE1827E" w14:textId="77777777" w:rsidR="009268EE" w:rsidRDefault="009268EE" w:rsidP="009268EE">
            <w:r>
              <w:t>наличните</w:t>
            </w:r>
          </w:p>
          <w:p w14:paraId="078E51DF" w14:textId="4C57D35F" w:rsidR="009268EE" w:rsidRDefault="009268EE" w:rsidP="009268EE">
            <w:pPr>
              <w:rPr>
                <w:rFonts w:eastAsia="Times New Roman" w:cs="Arial"/>
                <w:lang w:eastAsia="bg-BG"/>
              </w:rPr>
            </w:pPr>
            <w:r>
              <w:t>данни)</w:t>
            </w:r>
          </w:p>
        </w:tc>
      </w:tr>
      <w:tr w:rsidR="009268EE" w14:paraId="66E3453A" w14:textId="77777777" w:rsidTr="009268EE">
        <w:tc>
          <w:tcPr>
            <w:tcW w:w="1726" w:type="dxa"/>
          </w:tcPr>
          <w:p w14:paraId="433FB0C1" w14:textId="77777777" w:rsidR="009268EE" w:rsidRPr="009268EE" w:rsidRDefault="009268EE" w:rsidP="009268EE">
            <w:r w:rsidRPr="009268EE">
              <w:rPr>
                <w:b/>
                <w:bCs/>
              </w:rPr>
              <w:t>Нарушения на кръвта</w:t>
            </w:r>
            <w:r w:rsidRPr="009268EE">
              <w:rPr>
                <w:b/>
                <w:bCs/>
              </w:rPr>
              <w:tab/>
              <w:t>и</w:t>
            </w:r>
          </w:p>
          <w:p w14:paraId="44A81785" w14:textId="7D6CB666" w:rsidR="009268EE" w:rsidRPr="009268EE" w:rsidRDefault="009268EE" w:rsidP="009268EE">
            <w:pPr>
              <w:spacing w:line="240" w:lineRule="auto"/>
              <w:rPr>
                <w:rFonts w:eastAsia="Times New Roman" w:cs="Arial"/>
                <w:lang w:eastAsia="bg-BG"/>
              </w:rPr>
            </w:pPr>
            <w:r w:rsidRPr="009268EE">
              <w:rPr>
                <w:b/>
                <w:bCs/>
              </w:rPr>
              <w:t>лимфната система</w:t>
            </w:r>
          </w:p>
        </w:tc>
        <w:tc>
          <w:tcPr>
            <w:tcW w:w="1555" w:type="dxa"/>
          </w:tcPr>
          <w:p w14:paraId="7F9B1FB5" w14:textId="77777777" w:rsidR="009268EE" w:rsidRPr="009268EE" w:rsidRDefault="009268EE" w:rsidP="009268EE">
            <w:pPr>
              <w:spacing w:line="240" w:lineRule="auto"/>
              <w:rPr>
                <w:rFonts w:eastAsia="Times New Roman" w:cs="Arial"/>
                <w:lang w:eastAsia="bg-BG"/>
              </w:rPr>
            </w:pPr>
          </w:p>
        </w:tc>
        <w:tc>
          <w:tcPr>
            <w:tcW w:w="1605" w:type="dxa"/>
          </w:tcPr>
          <w:p w14:paraId="7D1C4D26" w14:textId="77777777" w:rsidR="009268EE" w:rsidRPr="009268EE" w:rsidRDefault="009268EE" w:rsidP="009268EE">
            <w:pPr>
              <w:spacing w:line="240" w:lineRule="auto"/>
              <w:rPr>
                <w:rFonts w:eastAsia="Times New Roman" w:cs="Arial"/>
                <w:lang w:eastAsia="bg-BG"/>
              </w:rPr>
            </w:pPr>
          </w:p>
        </w:tc>
        <w:tc>
          <w:tcPr>
            <w:tcW w:w="1645" w:type="dxa"/>
          </w:tcPr>
          <w:p w14:paraId="41C8A84F" w14:textId="77777777" w:rsidR="009268EE" w:rsidRPr="009268EE" w:rsidRDefault="009268EE" w:rsidP="009268EE">
            <w:pPr>
              <w:spacing w:line="240" w:lineRule="auto"/>
              <w:rPr>
                <w:rFonts w:eastAsia="Times New Roman" w:cs="Arial"/>
                <w:lang w:eastAsia="bg-BG"/>
              </w:rPr>
            </w:pPr>
          </w:p>
        </w:tc>
        <w:tc>
          <w:tcPr>
            <w:tcW w:w="1268" w:type="dxa"/>
          </w:tcPr>
          <w:p w14:paraId="49EDC221" w14:textId="77777777" w:rsidR="009268EE" w:rsidRPr="009268EE" w:rsidRDefault="009268EE" w:rsidP="009268EE">
            <w:pPr>
              <w:spacing w:line="240" w:lineRule="auto"/>
              <w:rPr>
                <w:rFonts w:eastAsia="Times New Roman" w:cs="Arial"/>
                <w:lang w:eastAsia="bg-BG"/>
              </w:rPr>
            </w:pPr>
          </w:p>
        </w:tc>
        <w:tc>
          <w:tcPr>
            <w:tcW w:w="1777" w:type="dxa"/>
            <w:vAlign w:val="bottom"/>
          </w:tcPr>
          <w:p w14:paraId="4E9E6289" w14:textId="77777777" w:rsidR="009268EE" w:rsidRPr="009268EE" w:rsidRDefault="009268EE" w:rsidP="009268EE">
            <w:r w:rsidRPr="009268EE">
              <w:t>Потискане на</w:t>
            </w:r>
          </w:p>
          <w:p w14:paraId="413D4740" w14:textId="2D3708CC" w:rsidR="009268EE" w:rsidRPr="009268EE" w:rsidRDefault="009268EE" w:rsidP="009268EE">
            <w:pPr>
              <w:spacing w:line="240" w:lineRule="auto"/>
              <w:rPr>
                <w:rFonts w:eastAsia="Times New Roman" w:cs="Arial"/>
                <w:lang w:eastAsia="bg-BG"/>
              </w:rPr>
            </w:pPr>
            <w:r w:rsidRPr="009268EE">
              <w:t>функцията на костния мозък (костно- мозъчна депресия): (гранулоцитопе ния, агранулоцитоза апластична анемия, тромбоцитопе ния, еозинофилия</w:t>
            </w:r>
          </w:p>
        </w:tc>
      </w:tr>
      <w:tr w:rsidR="009268EE" w14:paraId="6A179CE9" w14:textId="77777777" w:rsidTr="009268EE">
        <w:tc>
          <w:tcPr>
            <w:tcW w:w="1726" w:type="dxa"/>
          </w:tcPr>
          <w:p w14:paraId="37E3C040" w14:textId="33594A95" w:rsidR="009268EE" w:rsidRPr="009268EE" w:rsidRDefault="009268EE" w:rsidP="009268EE">
            <w:pPr>
              <w:spacing w:line="240" w:lineRule="auto"/>
              <w:rPr>
                <w:rFonts w:eastAsia="Times New Roman" w:cs="Arial"/>
                <w:lang w:eastAsia="bg-BG"/>
              </w:rPr>
            </w:pPr>
            <w:r w:rsidRPr="009268EE">
              <w:rPr>
                <w:b/>
                <w:bCs/>
              </w:rPr>
              <w:t>Ендокринни нарушения</w:t>
            </w:r>
          </w:p>
        </w:tc>
        <w:tc>
          <w:tcPr>
            <w:tcW w:w="1555" w:type="dxa"/>
          </w:tcPr>
          <w:p w14:paraId="37532C98" w14:textId="77777777" w:rsidR="009268EE" w:rsidRPr="009268EE" w:rsidRDefault="009268EE" w:rsidP="009268EE">
            <w:pPr>
              <w:spacing w:line="240" w:lineRule="auto"/>
              <w:rPr>
                <w:rFonts w:eastAsia="Times New Roman" w:cs="Arial"/>
                <w:lang w:eastAsia="bg-BG"/>
              </w:rPr>
            </w:pPr>
          </w:p>
        </w:tc>
        <w:tc>
          <w:tcPr>
            <w:tcW w:w="1605" w:type="dxa"/>
          </w:tcPr>
          <w:p w14:paraId="0CE298CA" w14:textId="77777777" w:rsidR="009268EE" w:rsidRPr="009268EE" w:rsidRDefault="009268EE" w:rsidP="009268EE">
            <w:pPr>
              <w:spacing w:line="240" w:lineRule="auto"/>
              <w:rPr>
                <w:rFonts w:eastAsia="Times New Roman" w:cs="Arial"/>
                <w:lang w:eastAsia="bg-BG"/>
              </w:rPr>
            </w:pPr>
          </w:p>
        </w:tc>
        <w:tc>
          <w:tcPr>
            <w:tcW w:w="1645" w:type="dxa"/>
          </w:tcPr>
          <w:p w14:paraId="6C0C417E" w14:textId="77777777" w:rsidR="009268EE" w:rsidRPr="009268EE" w:rsidRDefault="009268EE" w:rsidP="009268EE">
            <w:pPr>
              <w:spacing w:line="240" w:lineRule="auto"/>
              <w:rPr>
                <w:rFonts w:eastAsia="Times New Roman" w:cs="Arial"/>
                <w:lang w:eastAsia="bg-BG"/>
              </w:rPr>
            </w:pPr>
          </w:p>
        </w:tc>
        <w:tc>
          <w:tcPr>
            <w:tcW w:w="1268" w:type="dxa"/>
          </w:tcPr>
          <w:p w14:paraId="2D395CE3" w14:textId="77777777" w:rsidR="009268EE" w:rsidRPr="009268EE" w:rsidRDefault="009268EE" w:rsidP="009268EE">
            <w:pPr>
              <w:spacing w:line="240" w:lineRule="auto"/>
              <w:rPr>
                <w:rFonts w:eastAsia="Times New Roman" w:cs="Arial"/>
                <w:lang w:eastAsia="bg-BG"/>
              </w:rPr>
            </w:pPr>
          </w:p>
        </w:tc>
        <w:tc>
          <w:tcPr>
            <w:tcW w:w="1777" w:type="dxa"/>
          </w:tcPr>
          <w:p w14:paraId="0CAD2957" w14:textId="038F131E" w:rsidR="009268EE" w:rsidRPr="009268EE" w:rsidRDefault="009268EE" w:rsidP="009268EE">
            <w:pPr>
              <w:spacing w:line="240" w:lineRule="auto"/>
              <w:rPr>
                <w:rFonts w:eastAsia="Times New Roman" w:cs="Arial"/>
                <w:lang w:eastAsia="bg-BG"/>
              </w:rPr>
            </w:pPr>
            <w:r w:rsidRPr="009268EE">
              <w:t>Неадекватна секреция на анти диуретичен хормон</w:t>
            </w:r>
          </w:p>
        </w:tc>
      </w:tr>
      <w:tr w:rsidR="009268EE" w14:paraId="052B5870" w14:textId="77777777" w:rsidTr="009268EE">
        <w:tc>
          <w:tcPr>
            <w:tcW w:w="1726" w:type="dxa"/>
          </w:tcPr>
          <w:p w14:paraId="26EB7A3A" w14:textId="22DD2956" w:rsidR="009268EE" w:rsidRPr="009268EE" w:rsidRDefault="009268EE" w:rsidP="009268EE">
            <w:pPr>
              <w:spacing w:line="240" w:lineRule="auto"/>
              <w:rPr>
                <w:rFonts w:eastAsia="Times New Roman" w:cs="Arial"/>
                <w:lang w:eastAsia="bg-BG"/>
              </w:rPr>
            </w:pPr>
            <w:r w:rsidRPr="009268EE">
              <w:rPr>
                <w:b/>
                <w:bCs/>
              </w:rPr>
              <w:t>Метаболизъм и хранителни разтройства</w:t>
            </w:r>
          </w:p>
        </w:tc>
        <w:tc>
          <w:tcPr>
            <w:tcW w:w="1555" w:type="dxa"/>
          </w:tcPr>
          <w:p w14:paraId="32BCC5E8" w14:textId="19878E01" w:rsidR="009268EE" w:rsidRPr="009268EE" w:rsidRDefault="009268EE" w:rsidP="009268EE">
            <w:pPr>
              <w:spacing w:line="240" w:lineRule="auto"/>
              <w:rPr>
                <w:rFonts w:eastAsia="Times New Roman" w:cs="Arial"/>
                <w:lang w:eastAsia="bg-BG"/>
              </w:rPr>
            </w:pPr>
            <w:r w:rsidRPr="009268EE">
              <w:t>Повишаване на теглото Повишаване на апетита Запек</w:t>
            </w:r>
            <w:r w:rsidRPr="009268EE">
              <w:rPr>
                <w:vertAlign w:val="superscript"/>
              </w:rPr>
              <w:t>1</w:t>
            </w:r>
          </w:p>
        </w:tc>
        <w:tc>
          <w:tcPr>
            <w:tcW w:w="1605" w:type="dxa"/>
          </w:tcPr>
          <w:p w14:paraId="0F013006" w14:textId="77777777" w:rsidR="009268EE" w:rsidRPr="009268EE" w:rsidRDefault="009268EE" w:rsidP="009268EE">
            <w:pPr>
              <w:spacing w:line="240" w:lineRule="auto"/>
              <w:rPr>
                <w:rFonts w:eastAsia="Times New Roman" w:cs="Arial"/>
                <w:lang w:eastAsia="bg-BG"/>
              </w:rPr>
            </w:pPr>
          </w:p>
        </w:tc>
        <w:tc>
          <w:tcPr>
            <w:tcW w:w="1645" w:type="dxa"/>
          </w:tcPr>
          <w:p w14:paraId="3B9C0862" w14:textId="77777777" w:rsidR="009268EE" w:rsidRPr="009268EE" w:rsidRDefault="009268EE" w:rsidP="009268EE">
            <w:pPr>
              <w:spacing w:line="240" w:lineRule="auto"/>
              <w:rPr>
                <w:rFonts w:eastAsia="Times New Roman" w:cs="Arial"/>
                <w:lang w:eastAsia="bg-BG"/>
              </w:rPr>
            </w:pPr>
          </w:p>
        </w:tc>
        <w:tc>
          <w:tcPr>
            <w:tcW w:w="1268" w:type="dxa"/>
          </w:tcPr>
          <w:p w14:paraId="6BFA65E6" w14:textId="77777777" w:rsidR="009268EE" w:rsidRPr="009268EE" w:rsidRDefault="009268EE" w:rsidP="009268EE">
            <w:pPr>
              <w:spacing w:line="240" w:lineRule="auto"/>
              <w:rPr>
                <w:rFonts w:eastAsia="Times New Roman" w:cs="Arial"/>
                <w:lang w:eastAsia="bg-BG"/>
              </w:rPr>
            </w:pPr>
          </w:p>
        </w:tc>
        <w:tc>
          <w:tcPr>
            <w:tcW w:w="1777" w:type="dxa"/>
          </w:tcPr>
          <w:p w14:paraId="002421A5" w14:textId="005F73F7" w:rsidR="009268EE" w:rsidRPr="009268EE" w:rsidRDefault="009268EE" w:rsidP="009268EE">
            <w:pPr>
              <w:spacing w:line="240" w:lineRule="auto"/>
              <w:rPr>
                <w:rFonts w:eastAsia="Times New Roman" w:cs="Arial"/>
                <w:lang w:eastAsia="bg-BG"/>
              </w:rPr>
            </w:pPr>
            <w:r w:rsidRPr="009268EE">
              <w:t>Хипонатриеми я</w:t>
            </w:r>
          </w:p>
        </w:tc>
      </w:tr>
      <w:tr w:rsidR="009268EE" w14:paraId="24B70323" w14:textId="77777777" w:rsidTr="009268EE">
        <w:tc>
          <w:tcPr>
            <w:tcW w:w="1726" w:type="dxa"/>
          </w:tcPr>
          <w:p w14:paraId="6AEC7B95" w14:textId="68F075AA" w:rsidR="009268EE" w:rsidRPr="009268EE" w:rsidRDefault="009268EE" w:rsidP="009268EE">
            <w:pPr>
              <w:spacing w:line="240" w:lineRule="auto"/>
              <w:rPr>
                <w:rFonts w:eastAsia="Times New Roman" w:cs="Arial"/>
                <w:lang w:eastAsia="bg-BG"/>
              </w:rPr>
            </w:pPr>
            <w:r w:rsidRPr="009268EE">
              <w:rPr>
                <w:b/>
                <w:bCs/>
              </w:rPr>
              <w:t>Психични разтройства</w:t>
            </w:r>
          </w:p>
        </w:tc>
        <w:tc>
          <w:tcPr>
            <w:tcW w:w="1555" w:type="dxa"/>
          </w:tcPr>
          <w:p w14:paraId="0D4DE281" w14:textId="77777777" w:rsidR="009268EE" w:rsidRPr="009268EE" w:rsidRDefault="009268EE" w:rsidP="009268EE">
            <w:pPr>
              <w:spacing w:line="240" w:lineRule="auto"/>
              <w:rPr>
                <w:rFonts w:eastAsia="Times New Roman" w:cs="Arial"/>
                <w:lang w:eastAsia="bg-BG"/>
              </w:rPr>
            </w:pPr>
          </w:p>
        </w:tc>
        <w:tc>
          <w:tcPr>
            <w:tcW w:w="1605" w:type="dxa"/>
          </w:tcPr>
          <w:p w14:paraId="7FF71440" w14:textId="6BDED7AB" w:rsidR="009268EE" w:rsidRPr="009268EE" w:rsidRDefault="009268EE" w:rsidP="009268EE">
            <w:pPr>
              <w:spacing w:line="240" w:lineRule="auto"/>
              <w:rPr>
                <w:rFonts w:eastAsia="Times New Roman" w:cs="Arial"/>
                <w:lang w:eastAsia="bg-BG"/>
              </w:rPr>
            </w:pPr>
            <w:r w:rsidRPr="009268EE">
              <w:t>Патологични сънища, Объркване, Трежожност</w:t>
            </w:r>
            <w:r w:rsidRPr="009268EE">
              <w:rPr>
                <w:vertAlign w:val="superscript"/>
              </w:rPr>
              <w:t xml:space="preserve">2,5 </w:t>
            </w:r>
            <w:r w:rsidRPr="009268EE">
              <w:t>Безсъние</w:t>
            </w:r>
            <w:r w:rsidRPr="009268EE">
              <w:rPr>
                <w:vertAlign w:val="superscript"/>
              </w:rPr>
              <w:t>3,5</w:t>
            </w:r>
          </w:p>
        </w:tc>
        <w:tc>
          <w:tcPr>
            <w:tcW w:w="1645" w:type="dxa"/>
          </w:tcPr>
          <w:p w14:paraId="44D0CD97" w14:textId="5F04AC56" w:rsidR="009268EE" w:rsidRPr="009268EE" w:rsidRDefault="009268EE" w:rsidP="009268EE">
            <w:pPr>
              <w:spacing w:line="240" w:lineRule="auto"/>
              <w:rPr>
                <w:rFonts w:eastAsia="Times New Roman" w:cs="Arial"/>
                <w:lang w:eastAsia="bg-BG"/>
              </w:rPr>
            </w:pPr>
            <w:r w:rsidRPr="009268EE">
              <w:t>Кошмари</w:t>
            </w:r>
            <w:r w:rsidRPr="009268EE">
              <w:rPr>
                <w:vertAlign w:val="superscript"/>
              </w:rPr>
              <w:t xml:space="preserve">2 </w:t>
            </w:r>
            <w:r w:rsidRPr="009268EE">
              <w:t>Мания, Възбуда, Халюцинации Психомоторн</w:t>
            </w:r>
            <w:r w:rsidRPr="009268EE">
              <w:lastRenderedPageBreak/>
              <w:t>о безпокойство</w:t>
            </w:r>
          </w:p>
        </w:tc>
        <w:tc>
          <w:tcPr>
            <w:tcW w:w="1268" w:type="dxa"/>
          </w:tcPr>
          <w:p w14:paraId="196BFAE4" w14:textId="51544AC3" w:rsidR="009268EE" w:rsidRPr="009268EE" w:rsidRDefault="009268EE" w:rsidP="009268EE">
            <w:pPr>
              <w:spacing w:line="240" w:lineRule="auto"/>
              <w:rPr>
                <w:rFonts w:eastAsia="Times New Roman" w:cs="Arial"/>
                <w:lang w:eastAsia="bg-BG"/>
              </w:rPr>
            </w:pPr>
            <w:r w:rsidRPr="009268EE">
              <w:lastRenderedPageBreak/>
              <w:t>Агресия</w:t>
            </w:r>
          </w:p>
        </w:tc>
        <w:tc>
          <w:tcPr>
            <w:tcW w:w="1777" w:type="dxa"/>
          </w:tcPr>
          <w:p w14:paraId="5E84B8EB" w14:textId="29C50DC8" w:rsidR="009268EE" w:rsidRPr="009268EE" w:rsidRDefault="009268EE" w:rsidP="009268EE">
            <w:pPr>
              <w:spacing w:line="240" w:lineRule="auto"/>
              <w:rPr>
                <w:rFonts w:eastAsia="Times New Roman" w:cs="Arial"/>
                <w:lang w:eastAsia="bg-BG"/>
              </w:rPr>
            </w:pPr>
            <w:r w:rsidRPr="009268EE">
              <w:t>Самоубийствен и намерения Самоубийствен о поведение</w:t>
            </w:r>
          </w:p>
        </w:tc>
      </w:tr>
      <w:tr w:rsidR="009268EE" w14:paraId="0318B03C" w14:textId="77777777" w:rsidTr="009268EE">
        <w:tc>
          <w:tcPr>
            <w:tcW w:w="1726" w:type="dxa"/>
          </w:tcPr>
          <w:p w14:paraId="1C00218B" w14:textId="07AE7D90" w:rsidR="009268EE" w:rsidRPr="009268EE" w:rsidRDefault="009268EE" w:rsidP="009268EE">
            <w:pPr>
              <w:spacing w:line="240" w:lineRule="auto"/>
              <w:rPr>
                <w:rFonts w:eastAsia="Times New Roman" w:cs="Arial"/>
                <w:lang w:eastAsia="bg-BG"/>
              </w:rPr>
            </w:pPr>
            <w:r w:rsidRPr="009268EE">
              <w:rPr>
                <w:b/>
                <w:bCs/>
              </w:rPr>
              <w:t>Нарушения на нервната система</w:t>
            </w:r>
          </w:p>
        </w:tc>
        <w:tc>
          <w:tcPr>
            <w:tcW w:w="1555" w:type="dxa"/>
          </w:tcPr>
          <w:p w14:paraId="4C13A471" w14:textId="4C13B0DD" w:rsidR="009268EE" w:rsidRPr="009268EE" w:rsidRDefault="009268EE" w:rsidP="009268EE">
            <w:pPr>
              <w:spacing w:line="240" w:lineRule="auto"/>
              <w:rPr>
                <w:rFonts w:eastAsia="Times New Roman" w:cs="Arial"/>
                <w:lang w:eastAsia="bg-BG"/>
              </w:rPr>
            </w:pPr>
            <w:r w:rsidRPr="009268EE">
              <w:t>Сомнолентно ст</w:t>
            </w:r>
            <w:r w:rsidRPr="009268EE">
              <w:rPr>
                <w:vertAlign w:val="superscript"/>
              </w:rPr>
              <w:t xml:space="preserve">1,4 </w:t>
            </w:r>
            <w:r w:rsidRPr="009268EE">
              <w:t xml:space="preserve">Седация </w:t>
            </w:r>
            <w:r w:rsidRPr="009268EE">
              <w:rPr>
                <w:vertAlign w:val="superscript"/>
              </w:rPr>
              <w:t xml:space="preserve">1,4 </w:t>
            </w:r>
            <w:r w:rsidRPr="009268EE">
              <w:t xml:space="preserve">Главоболие </w:t>
            </w:r>
            <w:r w:rsidRPr="009268EE">
              <w:rPr>
                <w:vertAlign w:val="superscript"/>
              </w:rPr>
              <w:t>2</w:t>
            </w:r>
          </w:p>
        </w:tc>
        <w:tc>
          <w:tcPr>
            <w:tcW w:w="1605" w:type="dxa"/>
          </w:tcPr>
          <w:p w14:paraId="28985FD0" w14:textId="2A74E6ED" w:rsidR="009268EE" w:rsidRPr="009268EE" w:rsidRDefault="009268EE" w:rsidP="009268EE">
            <w:pPr>
              <w:spacing w:line="240" w:lineRule="auto"/>
              <w:rPr>
                <w:rFonts w:eastAsia="Times New Roman" w:cs="Arial"/>
                <w:lang w:eastAsia="bg-BG"/>
              </w:rPr>
            </w:pPr>
            <w:r w:rsidRPr="009268EE">
              <w:t xml:space="preserve">Летаргия </w:t>
            </w:r>
            <w:r w:rsidRPr="009268EE">
              <w:rPr>
                <w:vertAlign w:val="superscript"/>
              </w:rPr>
              <w:t xml:space="preserve">1 </w:t>
            </w:r>
            <w:r w:rsidRPr="009268EE">
              <w:t>Замайване Тремор</w:t>
            </w:r>
          </w:p>
        </w:tc>
        <w:tc>
          <w:tcPr>
            <w:tcW w:w="1645" w:type="dxa"/>
          </w:tcPr>
          <w:p w14:paraId="61CBE75D" w14:textId="77777777" w:rsidR="009268EE" w:rsidRPr="009268EE" w:rsidRDefault="009268EE" w:rsidP="009268EE">
            <w:r w:rsidRPr="009268EE">
              <w:t xml:space="preserve">Парестезия </w:t>
            </w:r>
            <w:r w:rsidRPr="009268EE">
              <w:rPr>
                <w:vertAlign w:val="superscript"/>
              </w:rPr>
              <w:t xml:space="preserve">2 </w:t>
            </w:r>
            <w:r w:rsidRPr="009268EE">
              <w:t>Синдром</w:t>
            </w:r>
            <w:r w:rsidRPr="009268EE">
              <w:tab/>
              <w:t>на</w:t>
            </w:r>
          </w:p>
          <w:p w14:paraId="78A08374" w14:textId="6677CFBF" w:rsidR="009268EE" w:rsidRPr="009268EE" w:rsidRDefault="009268EE" w:rsidP="009268EE">
            <w:pPr>
              <w:spacing w:line="240" w:lineRule="auto"/>
              <w:rPr>
                <w:rFonts w:eastAsia="Times New Roman" w:cs="Arial"/>
                <w:lang w:eastAsia="bg-BG"/>
              </w:rPr>
            </w:pPr>
            <w:r w:rsidRPr="009268EE">
              <w:t>“неспокойните крака" Синкоп</w:t>
            </w:r>
          </w:p>
        </w:tc>
        <w:tc>
          <w:tcPr>
            <w:tcW w:w="1268" w:type="dxa"/>
          </w:tcPr>
          <w:p w14:paraId="40DFF1A0" w14:textId="1D69C0FC" w:rsidR="009268EE" w:rsidRPr="009268EE" w:rsidRDefault="009268EE" w:rsidP="009268EE">
            <w:pPr>
              <w:spacing w:line="240" w:lineRule="auto"/>
              <w:rPr>
                <w:rFonts w:eastAsia="Times New Roman" w:cs="Arial"/>
                <w:lang w:eastAsia="bg-BG"/>
              </w:rPr>
            </w:pPr>
            <w:r w:rsidRPr="009268EE">
              <w:t>Миоклону с</w:t>
            </w:r>
          </w:p>
        </w:tc>
        <w:tc>
          <w:tcPr>
            <w:tcW w:w="1777" w:type="dxa"/>
            <w:vAlign w:val="bottom"/>
          </w:tcPr>
          <w:p w14:paraId="6A4563F5" w14:textId="7D1D3AEA" w:rsidR="009268EE" w:rsidRPr="009268EE" w:rsidRDefault="009268EE" w:rsidP="009268EE">
            <w:pPr>
              <w:spacing w:line="240" w:lineRule="auto"/>
              <w:rPr>
                <w:rFonts w:eastAsia="Times New Roman" w:cs="Arial"/>
                <w:lang w:eastAsia="bg-BG"/>
              </w:rPr>
            </w:pPr>
            <w:r w:rsidRPr="009268EE">
              <w:t>Конвулсии (инсулт) Серотонинов синдром Орална парастезия, дизартрия</w:t>
            </w:r>
          </w:p>
        </w:tc>
      </w:tr>
      <w:tr w:rsidR="009268EE" w14:paraId="2DC255F6" w14:textId="77777777" w:rsidTr="009268EE">
        <w:tc>
          <w:tcPr>
            <w:tcW w:w="1726" w:type="dxa"/>
            <w:vAlign w:val="bottom"/>
          </w:tcPr>
          <w:p w14:paraId="652D956F" w14:textId="656A2C20" w:rsidR="009268EE" w:rsidRPr="009268EE" w:rsidRDefault="009268EE" w:rsidP="009268EE">
            <w:pPr>
              <w:spacing w:line="240" w:lineRule="auto"/>
              <w:rPr>
                <w:rFonts w:eastAsia="Times New Roman" w:cs="Arial"/>
                <w:lang w:eastAsia="bg-BG"/>
              </w:rPr>
            </w:pPr>
            <w:r w:rsidRPr="009268EE">
              <w:rPr>
                <w:b/>
                <w:bCs/>
              </w:rPr>
              <w:t>Съдови нарушения</w:t>
            </w:r>
          </w:p>
        </w:tc>
        <w:tc>
          <w:tcPr>
            <w:tcW w:w="1555" w:type="dxa"/>
          </w:tcPr>
          <w:p w14:paraId="20CAA08A" w14:textId="77777777" w:rsidR="009268EE" w:rsidRPr="009268EE" w:rsidRDefault="009268EE" w:rsidP="009268EE">
            <w:pPr>
              <w:spacing w:line="240" w:lineRule="auto"/>
              <w:rPr>
                <w:rFonts w:eastAsia="Times New Roman" w:cs="Arial"/>
                <w:lang w:eastAsia="bg-BG"/>
              </w:rPr>
            </w:pPr>
          </w:p>
        </w:tc>
        <w:tc>
          <w:tcPr>
            <w:tcW w:w="1605" w:type="dxa"/>
            <w:vAlign w:val="bottom"/>
          </w:tcPr>
          <w:p w14:paraId="187D971E" w14:textId="352BB10D" w:rsidR="009268EE" w:rsidRPr="009268EE" w:rsidRDefault="009268EE" w:rsidP="009268EE">
            <w:pPr>
              <w:spacing w:line="240" w:lineRule="auto"/>
              <w:rPr>
                <w:rFonts w:eastAsia="Times New Roman" w:cs="Arial"/>
                <w:lang w:eastAsia="bg-BG"/>
              </w:rPr>
            </w:pPr>
            <w:r w:rsidRPr="009268EE">
              <w:t>Ортостатична хипотония</w:t>
            </w:r>
          </w:p>
        </w:tc>
        <w:tc>
          <w:tcPr>
            <w:tcW w:w="1645" w:type="dxa"/>
          </w:tcPr>
          <w:p w14:paraId="251B0A3B" w14:textId="68340900" w:rsidR="009268EE" w:rsidRPr="009268EE" w:rsidRDefault="009268EE" w:rsidP="009268EE">
            <w:pPr>
              <w:spacing w:line="240" w:lineRule="auto"/>
              <w:rPr>
                <w:rFonts w:eastAsia="Times New Roman" w:cs="Arial"/>
                <w:lang w:eastAsia="bg-BG"/>
              </w:rPr>
            </w:pPr>
            <w:r w:rsidRPr="009268EE">
              <w:t>Хипотония</w:t>
            </w:r>
          </w:p>
        </w:tc>
        <w:tc>
          <w:tcPr>
            <w:tcW w:w="1268" w:type="dxa"/>
          </w:tcPr>
          <w:p w14:paraId="196432FB" w14:textId="77777777" w:rsidR="009268EE" w:rsidRPr="009268EE" w:rsidRDefault="009268EE" w:rsidP="009268EE">
            <w:pPr>
              <w:spacing w:line="240" w:lineRule="auto"/>
              <w:rPr>
                <w:rFonts w:eastAsia="Times New Roman" w:cs="Arial"/>
                <w:lang w:eastAsia="bg-BG"/>
              </w:rPr>
            </w:pPr>
          </w:p>
        </w:tc>
        <w:tc>
          <w:tcPr>
            <w:tcW w:w="1777" w:type="dxa"/>
          </w:tcPr>
          <w:p w14:paraId="34048DD8" w14:textId="77777777" w:rsidR="009268EE" w:rsidRPr="009268EE" w:rsidRDefault="009268EE" w:rsidP="009268EE">
            <w:pPr>
              <w:spacing w:line="240" w:lineRule="auto"/>
              <w:rPr>
                <w:rFonts w:eastAsia="Times New Roman" w:cs="Arial"/>
                <w:lang w:eastAsia="bg-BG"/>
              </w:rPr>
            </w:pPr>
          </w:p>
        </w:tc>
      </w:tr>
      <w:tr w:rsidR="009268EE" w14:paraId="65042CD3" w14:textId="77777777" w:rsidTr="009268EE">
        <w:tc>
          <w:tcPr>
            <w:tcW w:w="1726" w:type="dxa"/>
          </w:tcPr>
          <w:p w14:paraId="13688494" w14:textId="2F4A3791" w:rsidR="009268EE" w:rsidRPr="009268EE" w:rsidRDefault="009268EE" w:rsidP="009268EE">
            <w:pPr>
              <w:spacing w:line="240" w:lineRule="auto"/>
              <w:rPr>
                <w:rFonts w:eastAsia="Times New Roman" w:cs="Arial"/>
                <w:lang w:eastAsia="bg-BG"/>
              </w:rPr>
            </w:pPr>
            <w:r w:rsidRPr="009268EE">
              <w:rPr>
                <w:b/>
                <w:bCs/>
              </w:rPr>
              <w:t>Стомашно- чревни нарушения</w:t>
            </w:r>
          </w:p>
        </w:tc>
        <w:tc>
          <w:tcPr>
            <w:tcW w:w="1555" w:type="dxa"/>
          </w:tcPr>
          <w:p w14:paraId="4D428519" w14:textId="431332BA" w:rsidR="009268EE" w:rsidRPr="009268EE" w:rsidRDefault="009268EE" w:rsidP="009268EE">
            <w:r w:rsidRPr="009268EE">
              <w:t>Сухота</w:t>
            </w:r>
            <w:r>
              <w:t xml:space="preserve"> </w:t>
            </w:r>
            <w:r w:rsidRPr="009268EE">
              <w:t>в</w:t>
            </w:r>
          </w:p>
          <w:p w14:paraId="2BB2DCD0" w14:textId="0BF8FE9B" w:rsidR="009268EE" w:rsidRPr="009268EE" w:rsidRDefault="009268EE" w:rsidP="009268EE">
            <w:pPr>
              <w:spacing w:line="240" w:lineRule="auto"/>
              <w:rPr>
                <w:rFonts w:eastAsia="Times New Roman" w:cs="Arial"/>
                <w:lang w:eastAsia="bg-BG"/>
              </w:rPr>
            </w:pPr>
            <w:r w:rsidRPr="009268EE">
              <w:t>устата</w:t>
            </w:r>
          </w:p>
        </w:tc>
        <w:tc>
          <w:tcPr>
            <w:tcW w:w="1605" w:type="dxa"/>
          </w:tcPr>
          <w:p w14:paraId="6A4C30B6" w14:textId="77777777" w:rsidR="009268EE" w:rsidRPr="009268EE" w:rsidRDefault="009268EE" w:rsidP="009268EE">
            <w:r w:rsidRPr="009268EE">
              <w:t>Гадене</w:t>
            </w:r>
            <w:r w:rsidRPr="009268EE">
              <w:rPr>
                <w:vertAlign w:val="superscript"/>
              </w:rPr>
              <w:t>3</w:t>
            </w:r>
          </w:p>
          <w:p w14:paraId="07F59CFF" w14:textId="77777777" w:rsidR="009268EE" w:rsidRPr="009268EE" w:rsidRDefault="009268EE" w:rsidP="009268EE">
            <w:r w:rsidRPr="009268EE">
              <w:t xml:space="preserve">Диария </w:t>
            </w:r>
            <w:r w:rsidRPr="009268EE">
              <w:rPr>
                <w:vertAlign w:val="superscript"/>
              </w:rPr>
              <w:t xml:space="preserve">2 </w:t>
            </w:r>
            <w:r w:rsidRPr="009268EE">
              <w:t>повръщане</w:t>
            </w:r>
            <w:r w:rsidRPr="009268EE">
              <w:rPr>
                <w:vertAlign w:val="superscript"/>
              </w:rPr>
              <w:t>2</w:t>
            </w:r>
          </w:p>
          <w:p w14:paraId="07CDD023" w14:textId="7494A52C" w:rsidR="009268EE" w:rsidRPr="009268EE" w:rsidRDefault="009268EE" w:rsidP="009268EE">
            <w:pPr>
              <w:spacing w:line="240" w:lineRule="auto"/>
              <w:rPr>
                <w:rFonts w:eastAsia="Times New Roman" w:cs="Arial"/>
                <w:lang w:eastAsia="bg-BG"/>
              </w:rPr>
            </w:pPr>
            <w:r w:rsidRPr="009268EE">
              <w:t>Констипация</w:t>
            </w:r>
            <w:r w:rsidRPr="009268EE">
              <w:rPr>
                <w:vertAlign w:val="superscript"/>
              </w:rPr>
              <w:t>1</w:t>
            </w:r>
          </w:p>
        </w:tc>
        <w:tc>
          <w:tcPr>
            <w:tcW w:w="1645" w:type="dxa"/>
          </w:tcPr>
          <w:p w14:paraId="05916E37" w14:textId="77777777" w:rsidR="009268EE" w:rsidRPr="009268EE" w:rsidRDefault="009268EE" w:rsidP="009268EE">
            <w:r w:rsidRPr="009268EE">
              <w:t>Орална</w:t>
            </w:r>
          </w:p>
          <w:p w14:paraId="7DB68782" w14:textId="373DF6BE" w:rsidR="009268EE" w:rsidRPr="009268EE" w:rsidRDefault="009268EE" w:rsidP="009268EE">
            <w:pPr>
              <w:spacing w:line="240" w:lineRule="auto"/>
              <w:rPr>
                <w:rFonts w:eastAsia="Times New Roman" w:cs="Arial"/>
                <w:lang w:eastAsia="bg-BG"/>
              </w:rPr>
            </w:pPr>
            <w:r w:rsidRPr="009268EE">
              <w:t>хипоестезия</w:t>
            </w:r>
          </w:p>
        </w:tc>
        <w:tc>
          <w:tcPr>
            <w:tcW w:w="1268" w:type="dxa"/>
          </w:tcPr>
          <w:p w14:paraId="5E797A4A" w14:textId="5F2FAACB" w:rsidR="009268EE" w:rsidRPr="009268EE" w:rsidRDefault="009268EE" w:rsidP="009268EE">
            <w:pPr>
              <w:spacing w:line="240" w:lineRule="auto"/>
              <w:rPr>
                <w:rFonts w:eastAsia="Times New Roman" w:cs="Arial"/>
                <w:lang w:eastAsia="bg-BG"/>
              </w:rPr>
            </w:pPr>
            <w:r w:rsidRPr="009268EE">
              <w:t>Панкреати т</w:t>
            </w:r>
          </w:p>
        </w:tc>
        <w:tc>
          <w:tcPr>
            <w:tcW w:w="1777" w:type="dxa"/>
          </w:tcPr>
          <w:p w14:paraId="755550A8" w14:textId="42B80A6F" w:rsidR="009268EE" w:rsidRPr="009268EE" w:rsidRDefault="009268EE" w:rsidP="009268EE">
            <w:pPr>
              <w:spacing w:line="240" w:lineRule="auto"/>
              <w:rPr>
                <w:rFonts w:eastAsia="Times New Roman" w:cs="Arial"/>
                <w:lang w:eastAsia="bg-BG"/>
              </w:rPr>
            </w:pPr>
            <w:r w:rsidRPr="009268EE">
              <w:t xml:space="preserve"> Оток на устата Повишена саливация</w:t>
            </w:r>
          </w:p>
        </w:tc>
      </w:tr>
      <w:tr w:rsidR="009268EE" w14:paraId="030777E9" w14:textId="77777777" w:rsidTr="009268EE">
        <w:tc>
          <w:tcPr>
            <w:tcW w:w="1726" w:type="dxa"/>
          </w:tcPr>
          <w:p w14:paraId="6C3874CA" w14:textId="29751240" w:rsidR="009268EE" w:rsidRPr="009268EE" w:rsidRDefault="009268EE" w:rsidP="009268EE">
            <w:pPr>
              <w:spacing w:line="240" w:lineRule="auto"/>
              <w:rPr>
                <w:rFonts w:eastAsia="Times New Roman" w:cs="Arial"/>
                <w:lang w:eastAsia="bg-BG"/>
              </w:rPr>
            </w:pPr>
            <w:r w:rsidRPr="009268EE">
              <w:rPr>
                <w:b/>
                <w:bCs/>
              </w:rPr>
              <w:t>Хепатобилиар ни разтройства</w:t>
            </w:r>
          </w:p>
        </w:tc>
        <w:tc>
          <w:tcPr>
            <w:tcW w:w="1555" w:type="dxa"/>
          </w:tcPr>
          <w:p w14:paraId="4CE556ED" w14:textId="77777777" w:rsidR="009268EE" w:rsidRPr="009268EE" w:rsidRDefault="009268EE" w:rsidP="009268EE">
            <w:pPr>
              <w:spacing w:line="240" w:lineRule="auto"/>
              <w:rPr>
                <w:rFonts w:eastAsia="Times New Roman" w:cs="Arial"/>
                <w:lang w:eastAsia="bg-BG"/>
              </w:rPr>
            </w:pPr>
          </w:p>
        </w:tc>
        <w:tc>
          <w:tcPr>
            <w:tcW w:w="1605" w:type="dxa"/>
          </w:tcPr>
          <w:p w14:paraId="1544B185" w14:textId="77777777" w:rsidR="009268EE" w:rsidRPr="009268EE" w:rsidRDefault="009268EE" w:rsidP="009268EE">
            <w:pPr>
              <w:spacing w:line="240" w:lineRule="auto"/>
              <w:rPr>
                <w:rFonts w:eastAsia="Times New Roman" w:cs="Arial"/>
                <w:lang w:eastAsia="bg-BG"/>
              </w:rPr>
            </w:pPr>
          </w:p>
        </w:tc>
        <w:tc>
          <w:tcPr>
            <w:tcW w:w="1645" w:type="dxa"/>
          </w:tcPr>
          <w:p w14:paraId="075AF29E" w14:textId="77777777" w:rsidR="009268EE" w:rsidRPr="009268EE" w:rsidRDefault="009268EE" w:rsidP="009268EE">
            <w:pPr>
              <w:spacing w:line="240" w:lineRule="auto"/>
              <w:rPr>
                <w:rFonts w:eastAsia="Times New Roman" w:cs="Arial"/>
                <w:lang w:eastAsia="bg-BG"/>
              </w:rPr>
            </w:pPr>
          </w:p>
        </w:tc>
        <w:tc>
          <w:tcPr>
            <w:tcW w:w="1268" w:type="dxa"/>
            <w:vAlign w:val="bottom"/>
          </w:tcPr>
          <w:p w14:paraId="0B49F77F" w14:textId="25F2E07E" w:rsidR="009268EE" w:rsidRPr="009268EE" w:rsidRDefault="009268EE" w:rsidP="009268EE">
            <w:r w:rsidRPr="009268EE">
              <w:t>Пови</w:t>
            </w:r>
            <w:r w:rsidRPr="009268EE">
              <w:softHyphen/>
              <w:t>шаване на действиет о</w:t>
            </w:r>
            <w:r>
              <w:t xml:space="preserve"> </w:t>
            </w:r>
            <w:r w:rsidRPr="009268EE">
              <w:t>на</w:t>
            </w:r>
          </w:p>
          <w:p w14:paraId="471A4CD2" w14:textId="2FA8793C" w:rsidR="009268EE" w:rsidRPr="009268EE" w:rsidRDefault="009268EE" w:rsidP="009268EE">
            <w:pPr>
              <w:spacing w:line="240" w:lineRule="auto"/>
              <w:rPr>
                <w:rFonts w:eastAsia="Times New Roman" w:cs="Arial"/>
                <w:lang w:eastAsia="bg-BG"/>
              </w:rPr>
            </w:pPr>
            <w:r w:rsidRPr="009268EE">
              <w:t>серумната трансамин аза</w:t>
            </w:r>
          </w:p>
        </w:tc>
        <w:tc>
          <w:tcPr>
            <w:tcW w:w="1777" w:type="dxa"/>
            <w:vAlign w:val="bottom"/>
          </w:tcPr>
          <w:p w14:paraId="570201AF" w14:textId="77777777" w:rsidR="009268EE" w:rsidRPr="009268EE" w:rsidRDefault="009268EE" w:rsidP="009268EE">
            <w:pPr>
              <w:spacing w:line="240" w:lineRule="auto"/>
              <w:rPr>
                <w:rFonts w:eastAsia="Times New Roman" w:cs="Arial"/>
                <w:lang w:eastAsia="bg-BG"/>
              </w:rPr>
            </w:pPr>
          </w:p>
        </w:tc>
      </w:tr>
      <w:tr w:rsidR="009268EE" w14:paraId="593EEEB1" w14:textId="77777777" w:rsidTr="009268EE">
        <w:tc>
          <w:tcPr>
            <w:tcW w:w="1726" w:type="dxa"/>
          </w:tcPr>
          <w:p w14:paraId="508FD73F" w14:textId="315FC0FE" w:rsidR="009268EE" w:rsidRPr="009268EE" w:rsidRDefault="009268EE" w:rsidP="009268EE">
            <w:pPr>
              <w:spacing w:line="240" w:lineRule="auto"/>
              <w:rPr>
                <w:rFonts w:eastAsia="Times New Roman" w:cs="Arial"/>
                <w:lang w:eastAsia="bg-BG"/>
              </w:rPr>
            </w:pPr>
            <w:r w:rsidRPr="009268EE">
              <w:rPr>
                <w:b/>
                <w:bCs/>
              </w:rPr>
              <w:t xml:space="preserve">Нарушения на </w:t>
            </w:r>
            <w:r w:rsidRPr="009268EE">
              <w:rPr>
                <w:b/>
                <w:bCs/>
                <w:u w:val="single"/>
              </w:rPr>
              <w:t>кожата</w:t>
            </w:r>
            <w:r w:rsidRPr="009268EE">
              <w:rPr>
                <w:b/>
                <w:bCs/>
                <w:u w:val="single"/>
                <w:lang w:val="en-US"/>
              </w:rPr>
              <w:t xml:space="preserve"> </w:t>
            </w:r>
            <w:r w:rsidRPr="009268EE">
              <w:rPr>
                <w:b/>
                <w:bCs/>
                <w:u w:val="single"/>
              </w:rPr>
              <w:t>и</w:t>
            </w:r>
            <w:r>
              <w:rPr>
                <w:b/>
                <w:bCs/>
                <w:u w:val="single"/>
              </w:rPr>
              <w:t xml:space="preserve"> </w:t>
            </w:r>
            <w:r w:rsidRPr="009268EE">
              <w:rPr>
                <w:b/>
                <w:bCs/>
              </w:rPr>
              <w:t>подкожните тъкани</w:t>
            </w:r>
          </w:p>
        </w:tc>
        <w:tc>
          <w:tcPr>
            <w:tcW w:w="1555" w:type="dxa"/>
          </w:tcPr>
          <w:p w14:paraId="39416F2B" w14:textId="77777777" w:rsidR="009268EE" w:rsidRPr="009268EE" w:rsidRDefault="009268EE" w:rsidP="009268EE">
            <w:pPr>
              <w:spacing w:line="240" w:lineRule="auto"/>
              <w:rPr>
                <w:rFonts w:eastAsia="Times New Roman" w:cs="Arial"/>
                <w:lang w:eastAsia="bg-BG"/>
              </w:rPr>
            </w:pPr>
          </w:p>
        </w:tc>
        <w:tc>
          <w:tcPr>
            <w:tcW w:w="1605" w:type="dxa"/>
          </w:tcPr>
          <w:p w14:paraId="1E52A8F4" w14:textId="446F1151" w:rsidR="009268EE" w:rsidRPr="009268EE" w:rsidRDefault="009268EE" w:rsidP="009268EE">
            <w:pPr>
              <w:spacing w:line="240" w:lineRule="auto"/>
              <w:rPr>
                <w:rFonts w:eastAsia="Times New Roman" w:cs="Arial"/>
                <w:lang w:eastAsia="bg-BG"/>
              </w:rPr>
            </w:pPr>
            <w:r w:rsidRPr="009268EE">
              <w:t>Екзантема</w:t>
            </w:r>
            <w:r w:rsidRPr="009268EE">
              <w:rPr>
                <w:vertAlign w:val="superscript"/>
              </w:rPr>
              <w:t>2</w:t>
            </w:r>
          </w:p>
        </w:tc>
        <w:tc>
          <w:tcPr>
            <w:tcW w:w="1645" w:type="dxa"/>
          </w:tcPr>
          <w:p w14:paraId="6428546E" w14:textId="77777777" w:rsidR="009268EE" w:rsidRPr="009268EE" w:rsidRDefault="009268EE" w:rsidP="009268EE">
            <w:pPr>
              <w:spacing w:line="240" w:lineRule="auto"/>
              <w:rPr>
                <w:rFonts w:eastAsia="Times New Roman" w:cs="Arial"/>
                <w:lang w:eastAsia="bg-BG"/>
              </w:rPr>
            </w:pPr>
          </w:p>
        </w:tc>
        <w:tc>
          <w:tcPr>
            <w:tcW w:w="1268" w:type="dxa"/>
          </w:tcPr>
          <w:p w14:paraId="7A3BFE36" w14:textId="77777777" w:rsidR="009268EE" w:rsidRPr="009268EE" w:rsidRDefault="009268EE" w:rsidP="009268EE">
            <w:pPr>
              <w:spacing w:line="240" w:lineRule="auto"/>
              <w:rPr>
                <w:rFonts w:eastAsia="Times New Roman" w:cs="Arial"/>
                <w:lang w:eastAsia="bg-BG"/>
              </w:rPr>
            </w:pPr>
          </w:p>
        </w:tc>
        <w:tc>
          <w:tcPr>
            <w:tcW w:w="1777" w:type="dxa"/>
          </w:tcPr>
          <w:p w14:paraId="73F82BC3" w14:textId="77777777" w:rsidR="009268EE" w:rsidRPr="009268EE" w:rsidRDefault="009268EE" w:rsidP="009268EE">
            <w:r w:rsidRPr="009268EE">
              <w:t>Синдром ан</w:t>
            </w:r>
          </w:p>
          <w:p w14:paraId="6A94604A" w14:textId="2C37D9CB" w:rsidR="009268EE" w:rsidRPr="009268EE" w:rsidRDefault="009268EE" w:rsidP="009268EE">
            <w:pPr>
              <w:spacing w:line="240" w:lineRule="auto"/>
              <w:rPr>
                <w:rFonts w:eastAsia="Times New Roman" w:cs="Arial"/>
                <w:lang w:eastAsia="bg-BG"/>
              </w:rPr>
            </w:pPr>
            <w:proofErr w:type="spellStart"/>
            <w:r w:rsidRPr="009268EE">
              <w:rPr>
                <w:lang w:val="en-US"/>
              </w:rPr>
              <w:t>Steyns</w:t>
            </w:r>
            <w:proofErr w:type="spellEnd"/>
            <w:r w:rsidRPr="009268EE">
              <w:rPr>
                <w:lang w:val="en-US"/>
              </w:rPr>
              <w:t>-</w:t>
            </w:r>
            <w:r w:rsidRPr="009268EE">
              <w:t>Johnson, булозен дерматит, токсична епидермална некролиза, еритема</w:t>
            </w:r>
          </w:p>
        </w:tc>
      </w:tr>
      <w:tr w:rsidR="009268EE" w14:paraId="57F10D1E" w14:textId="77777777" w:rsidTr="009268EE">
        <w:tc>
          <w:tcPr>
            <w:tcW w:w="1726" w:type="dxa"/>
          </w:tcPr>
          <w:p w14:paraId="11698985" w14:textId="77777777" w:rsidR="009268EE" w:rsidRPr="009268EE" w:rsidRDefault="009268EE" w:rsidP="009268EE">
            <w:r w:rsidRPr="009268EE">
              <w:rPr>
                <w:b/>
                <w:bCs/>
              </w:rPr>
              <w:t>Нарушения на мускулно- скелетната система</w:t>
            </w:r>
            <w:r w:rsidRPr="009268EE">
              <w:rPr>
                <w:b/>
                <w:bCs/>
              </w:rPr>
              <w:tab/>
              <w:t>и</w:t>
            </w:r>
          </w:p>
          <w:p w14:paraId="5E57E726" w14:textId="18CD75DB" w:rsidR="009268EE" w:rsidRPr="009268EE" w:rsidRDefault="009268EE" w:rsidP="009268EE">
            <w:pPr>
              <w:spacing w:line="240" w:lineRule="auto"/>
              <w:rPr>
                <w:rFonts w:eastAsia="Times New Roman" w:cs="Arial"/>
                <w:lang w:eastAsia="bg-BG"/>
              </w:rPr>
            </w:pPr>
            <w:r w:rsidRPr="009268EE">
              <w:rPr>
                <w:b/>
                <w:bCs/>
              </w:rPr>
              <w:t>съединителна та тъкан</w:t>
            </w:r>
          </w:p>
        </w:tc>
        <w:tc>
          <w:tcPr>
            <w:tcW w:w="1555" w:type="dxa"/>
          </w:tcPr>
          <w:p w14:paraId="6D4B7764" w14:textId="77777777" w:rsidR="009268EE" w:rsidRPr="009268EE" w:rsidRDefault="009268EE" w:rsidP="009268EE">
            <w:pPr>
              <w:spacing w:line="240" w:lineRule="auto"/>
              <w:rPr>
                <w:rFonts w:eastAsia="Times New Roman" w:cs="Arial"/>
                <w:lang w:eastAsia="bg-BG"/>
              </w:rPr>
            </w:pPr>
          </w:p>
        </w:tc>
        <w:tc>
          <w:tcPr>
            <w:tcW w:w="1605" w:type="dxa"/>
          </w:tcPr>
          <w:p w14:paraId="03302853" w14:textId="1D2F116D" w:rsidR="009268EE" w:rsidRPr="009268EE" w:rsidRDefault="009268EE" w:rsidP="009268EE">
            <w:pPr>
              <w:spacing w:line="240" w:lineRule="auto"/>
              <w:rPr>
                <w:rFonts w:eastAsia="Times New Roman" w:cs="Arial"/>
                <w:lang w:eastAsia="bg-BG"/>
              </w:rPr>
            </w:pPr>
            <w:r w:rsidRPr="009268EE">
              <w:t>Артралгия, миалгия, болка в тръба</w:t>
            </w:r>
            <w:r w:rsidRPr="009268EE">
              <w:rPr>
                <w:vertAlign w:val="superscript"/>
              </w:rPr>
              <w:t>1</w:t>
            </w:r>
          </w:p>
        </w:tc>
        <w:tc>
          <w:tcPr>
            <w:tcW w:w="1645" w:type="dxa"/>
          </w:tcPr>
          <w:p w14:paraId="6987A854" w14:textId="77777777" w:rsidR="009268EE" w:rsidRPr="009268EE" w:rsidRDefault="009268EE" w:rsidP="009268EE">
            <w:pPr>
              <w:spacing w:line="240" w:lineRule="auto"/>
              <w:rPr>
                <w:rFonts w:eastAsia="Times New Roman" w:cs="Arial"/>
                <w:lang w:eastAsia="bg-BG"/>
              </w:rPr>
            </w:pPr>
          </w:p>
        </w:tc>
        <w:tc>
          <w:tcPr>
            <w:tcW w:w="1268" w:type="dxa"/>
          </w:tcPr>
          <w:p w14:paraId="145196DB" w14:textId="77777777" w:rsidR="009268EE" w:rsidRPr="009268EE" w:rsidRDefault="009268EE" w:rsidP="009268EE">
            <w:pPr>
              <w:spacing w:line="240" w:lineRule="auto"/>
              <w:rPr>
                <w:rFonts w:eastAsia="Times New Roman" w:cs="Arial"/>
                <w:lang w:eastAsia="bg-BG"/>
              </w:rPr>
            </w:pPr>
          </w:p>
        </w:tc>
        <w:tc>
          <w:tcPr>
            <w:tcW w:w="1777" w:type="dxa"/>
          </w:tcPr>
          <w:p w14:paraId="19150F1A" w14:textId="31BC4549" w:rsidR="009268EE" w:rsidRPr="009268EE" w:rsidRDefault="009268EE" w:rsidP="009268EE">
            <w:pPr>
              <w:spacing w:line="240" w:lineRule="auto"/>
              <w:rPr>
                <w:rFonts w:eastAsia="Times New Roman" w:cs="Arial"/>
                <w:lang w:eastAsia="bg-BG"/>
              </w:rPr>
            </w:pPr>
            <w:r w:rsidRPr="009268EE">
              <w:t>Рабдомиолиза</w:t>
            </w:r>
          </w:p>
        </w:tc>
      </w:tr>
      <w:tr w:rsidR="009268EE" w14:paraId="54A5346D" w14:textId="77777777" w:rsidTr="009268EE">
        <w:tc>
          <w:tcPr>
            <w:tcW w:w="1726" w:type="dxa"/>
          </w:tcPr>
          <w:p w14:paraId="55912C56" w14:textId="1EBACE53" w:rsidR="009268EE" w:rsidRPr="009268EE" w:rsidRDefault="009268EE" w:rsidP="009268EE">
            <w:pPr>
              <w:spacing w:line="240" w:lineRule="auto"/>
              <w:rPr>
                <w:rFonts w:eastAsia="Times New Roman" w:cs="Arial"/>
                <w:lang w:eastAsia="bg-BG"/>
              </w:rPr>
            </w:pPr>
            <w:r w:rsidRPr="009268EE">
              <w:rPr>
                <w:b/>
                <w:bCs/>
              </w:rPr>
              <w:t>Нарушения на бъбеците и пикочните пътища</w:t>
            </w:r>
          </w:p>
        </w:tc>
        <w:tc>
          <w:tcPr>
            <w:tcW w:w="1555" w:type="dxa"/>
          </w:tcPr>
          <w:p w14:paraId="3D5EC36C" w14:textId="77777777" w:rsidR="009268EE" w:rsidRPr="009268EE" w:rsidRDefault="009268EE" w:rsidP="009268EE">
            <w:pPr>
              <w:spacing w:line="240" w:lineRule="auto"/>
              <w:rPr>
                <w:rFonts w:eastAsia="Times New Roman" w:cs="Arial"/>
                <w:lang w:eastAsia="bg-BG"/>
              </w:rPr>
            </w:pPr>
          </w:p>
        </w:tc>
        <w:tc>
          <w:tcPr>
            <w:tcW w:w="1605" w:type="dxa"/>
          </w:tcPr>
          <w:p w14:paraId="777BDA73" w14:textId="77777777" w:rsidR="009268EE" w:rsidRPr="009268EE" w:rsidRDefault="009268EE" w:rsidP="009268EE">
            <w:pPr>
              <w:spacing w:line="240" w:lineRule="auto"/>
              <w:rPr>
                <w:rFonts w:eastAsia="Times New Roman" w:cs="Arial"/>
                <w:lang w:eastAsia="bg-BG"/>
              </w:rPr>
            </w:pPr>
          </w:p>
        </w:tc>
        <w:tc>
          <w:tcPr>
            <w:tcW w:w="1645" w:type="dxa"/>
          </w:tcPr>
          <w:p w14:paraId="65787446" w14:textId="77777777" w:rsidR="009268EE" w:rsidRPr="009268EE" w:rsidRDefault="009268EE" w:rsidP="009268EE">
            <w:pPr>
              <w:spacing w:line="240" w:lineRule="auto"/>
              <w:rPr>
                <w:rFonts w:eastAsia="Times New Roman" w:cs="Arial"/>
                <w:lang w:eastAsia="bg-BG"/>
              </w:rPr>
            </w:pPr>
          </w:p>
        </w:tc>
        <w:tc>
          <w:tcPr>
            <w:tcW w:w="1268" w:type="dxa"/>
          </w:tcPr>
          <w:p w14:paraId="59117D11" w14:textId="77777777" w:rsidR="009268EE" w:rsidRPr="009268EE" w:rsidRDefault="009268EE" w:rsidP="009268EE">
            <w:pPr>
              <w:spacing w:line="240" w:lineRule="auto"/>
              <w:rPr>
                <w:rFonts w:eastAsia="Times New Roman" w:cs="Arial"/>
                <w:lang w:eastAsia="bg-BG"/>
              </w:rPr>
            </w:pPr>
          </w:p>
        </w:tc>
        <w:tc>
          <w:tcPr>
            <w:tcW w:w="1777" w:type="dxa"/>
          </w:tcPr>
          <w:p w14:paraId="0EF7D4A3" w14:textId="7F8A0098" w:rsidR="009268EE" w:rsidRPr="009268EE" w:rsidRDefault="009268EE" w:rsidP="009268EE">
            <w:pPr>
              <w:spacing w:line="240" w:lineRule="auto"/>
              <w:rPr>
                <w:rFonts w:eastAsia="Times New Roman" w:cs="Arial"/>
                <w:lang w:eastAsia="bg-BG"/>
              </w:rPr>
            </w:pPr>
            <w:r w:rsidRPr="009268EE">
              <w:t>Ретенция на урина</w:t>
            </w:r>
          </w:p>
        </w:tc>
      </w:tr>
      <w:tr w:rsidR="009268EE" w14:paraId="449BA536" w14:textId="77777777" w:rsidTr="009268EE">
        <w:tc>
          <w:tcPr>
            <w:tcW w:w="1726" w:type="dxa"/>
          </w:tcPr>
          <w:p w14:paraId="60D910D0" w14:textId="6C45BB21" w:rsidR="009268EE" w:rsidRPr="009268EE" w:rsidRDefault="009268EE" w:rsidP="009268EE">
            <w:pPr>
              <w:spacing w:line="240" w:lineRule="auto"/>
              <w:rPr>
                <w:rFonts w:eastAsia="Times New Roman" w:cs="Arial"/>
                <w:lang w:eastAsia="bg-BG"/>
              </w:rPr>
            </w:pPr>
            <w:r w:rsidRPr="009268EE">
              <w:rPr>
                <w:b/>
                <w:bCs/>
              </w:rPr>
              <w:t xml:space="preserve">Общи нарушения и промени на мястото на </w:t>
            </w:r>
            <w:r w:rsidRPr="009268EE">
              <w:rPr>
                <w:b/>
                <w:bCs/>
              </w:rPr>
              <w:lastRenderedPageBreak/>
              <w:t>приложение</w:t>
            </w:r>
          </w:p>
        </w:tc>
        <w:tc>
          <w:tcPr>
            <w:tcW w:w="1555" w:type="dxa"/>
          </w:tcPr>
          <w:p w14:paraId="0266E5E4" w14:textId="77777777" w:rsidR="009268EE" w:rsidRPr="009268EE" w:rsidRDefault="009268EE" w:rsidP="009268EE">
            <w:pPr>
              <w:spacing w:line="240" w:lineRule="auto"/>
              <w:rPr>
                <w:rFonts w:eastAsia="Times New Roman" w:cs="Arial"/>
                <w:lang w:eastAsia="bg-BG"/>
              </w:rPr>
            </w:pPr>
          </w:p>
        </w:tc>
        <w:tc>
          <w:tcPr>
            <w:tcW w:w="1605" w:type="dxa"/>
          </w:tcPr>
          <w:p w14:paraId="408E05A3" w14:textId="4A28E131" w:rsidR="009268EE" w:rsidRPr="009268EE" w:rsidRDefault="009268EE" w:rsidP="009268EE">
            <w:pPr>
              <w:spacing w:line="240" w:lineRule="auto"/>
              <w:rPr>
                <w:rFonts w:eastAsia="Times New Roman" w:cs="Arial"/>
                <w:lang w:eastAsia="bg-BG"/>
              </w:rPr>
            </w:pPr>
            <w:r w:rsidRPr="009268EE">
              <w:t xml:space="preserve">Периферен оток </w:t>
            </w:r>
            <w:r w:rsidRPr="009268EE">
              <w:rPr>
                <w:vertAlign w:val="superscript"/>
              </w:rPr>
              <w:t xml:space="preserve">1 </w:t>
            </w:r>
            <w:r w:rsidRPr="009268EE">
              <w:t>Умора</w:t>
            </w:r>
          </w:p>
        </w:tc>
        <w:tc>
          <w:tcPr>
            <w:tcW w:w="1645" w:type="dxa"/>
          </w:tcPr>
          <w:p w14:paraId="237B25B2" w14:textId="77777777" w:rsidR="009268EE" w:rsidRPr="009268EE" w:rsidRDefault="009268EE" w:rsidP="009268EE">
            <w:pPr>
              <w:spacing w:line="240" w:lineRule="auto"/>
              <w:rPr>
                <w:rFonts w:eastAsia="Times New Roman" w:cs="Arial"/>
                <w:lang w:eastAsia="bg-BG"/>
              </w:rPr>
            </w:pPr>
          </w:p>
        </w:tc>
        <w:tc>
          <w:tcPr>
            <w:tcW w:w="1268" w:type="dxa"/>
          </w:tcPr>
          <w:p w14:paraId="4661E239" w14:textId="77777777" w:rsidR="009268EE" w:rsidRPr="009268EE" w:rsidRDefault="009268EE" w:rsidP="009268EE">
            <w:pPr>
              <w:spacing w:line="240" w:lineRule="auto"/>
              <w:rPr>
                <w:rFonts w:eastAsia="Times New Roman" w:cs="Arial"/>
                <w:lang w:eastAsia="bg-BG"/>
              </w:rPr>
            </w:pPr>
          </w:p>
        </w:tc>
        <w:tc>
          <w:tcPr>
            <w:tcW w:w="1777" w:type="dxa"/>
          </w:tcPr>
          <w:p w14:paraId="34308644" w14:textId="1D53E68D" w:rsidR="009268EE" w:rsidRPr="009268EE" w:rsidRDefault="009268EE" w:rsidP="009268EE">
            <w:pPr>
              <w:spacing w:line="240" w:lineRule="auto"/>
              <w:rPr>
                <w:rFonts w:eastAsia="Times New Roman" w:cs="Arial"/>
                <w:lang w:eastAsia="bg-BG"/>
              </w:rPr>
            </w:pPr>
            <w:r w:rsidRPr="009268EE">
              <w:t xml:space="preserve">Сомномбули- зъм Генерализиран едем </w:t>
            </w:r>
            <w:r w:rsidRPr="009268EE">
              <w:lastRenderedPageBreak/>
              <w:t>Локализиран едем</w:t>
            </w:r>
          </w:p>
        </w:tc>
      </w:tr>
      <w:tr w:rsidR="009268EE" w14:paraId="039A0D61" w14:textId="77777777" w:rsidTr="009268EE">
        <w:tc>
          <w:tcPr>
            <w:tcW w:w="1726" w:type="dxa"/>
          </w:tcPr>
          <w:p w14:paraId="3FA9177A" w14:textId="36C06938" w:rsidR="009268EE" w:rsidRPr="009268EE" w:rsidRDefault="009268EE" w:rsidP="009268EE">
            <w:pPr>
              <w:spacing w:line="240" w:lineRule="auto"/>
              <w:rPr>
                <w:rFonts w:eastAsia="Times New Roman" w:cs="Arial"/>
                <w:lang w:eastAsia="bg-BG"/>
              </w:rPr>
            </w:pPr>
            <w:r w:rsidRPr="009268EE">
              <w:rPr>
                <w:b/>
                <w:bCs/>
              </w:rPr>
              <w:lastRenderedPageBreak/>
              <w:t>Проучвания</w:t>
            </w:r>
          </w:p>
        </w:tc>
        <w:tc>
          <w:tcPr>
            <w:tcW w:w="1555" w:type="dxa"/>
          </w:tcPr>
          <w:p w14:paraId="54F67404" w14:textId="77777777" w:rsidR="009268EE" w:rsidRPr="009268EE" w:rsidRDefault="009268EE" w:rsidP="009268EE">
            <w:pPr>
              <w:spacing w:line="240" w:lineRule="auto"/>
              <w:rPr>
                <w:rFonts w:eastAsia="Times New Roman" w:cs="Arial"/>
                <w:lang w:eastAsia="bg-BG"/>
              </w:rPr>
            </w:pPr>
          </w:p>
        </w:tc>
        <w:tc>
          <w:tcPr>
            <w:tcW w:w="1605" w:type="dxa"/>
          </w:tcPr>
          <w:p w14:paraId="0DCDAF59" w14:textId="77777777" w:rsidR="009268EE" w:rsidRPr="009268EE" w:rsidRDefault="009268EE" w:rsidP="009268EE">
            <w:pPr>
              <w:spacing w:line="240" w:lineRule="auto"/>
              <w:rPr>
                <w:rFonts w:eastAsia="Times New Roman" w:cs="Arial"/>
                <w:lang w:eastAsia="bg-BG"/>
              </w:rPr>
            </w:pPr>
          </w:p>
        </w:tc>
        <w:tc>
          <w:tcPr>
            <w:tcW w:w="1645" w:type="dxa"/>
          </w:tcPr>
          <w:p w14:paraId="26CCA068" w14:textId="77777777" w:rsidR="009268EE" w:rsidRPr="009268EE" w:rsidRDefault="009268EE" w:rsidP="009268EE">
            <w:pPr>
              <w:spacing w:line="240" w:lineRule="auto"/>
              <w:rPr>
                <w:rFonts w:eastAsia="Times New Roman" w:cs="Arial"/>
                <w:lang w:eastAsia="bg-BG"/>
              </w:rPr>
            </w:pPr>
          </w:p>
        </w:tc>
        <w:tc>
          <w:tcPr>
            <w:tcW w:w="1268" w:type="dxa"/>
          </w:tcPr>
          <w:p w14:paraId="13327CAB" w14:textId="77777777" w:rsidR="009268EE" w:rsidRPr="009268EE" w:rsidRDefault="009268EE" w:rsidP="009268EE">
            <w:pPr>
              <w:spacing w:line="240" w:lineRule="auto"/>
              <w:rPr>
                <w:rFonts w:eastAsia="Times New Roman" w:cs="Arial"/>
                <w:lang w:eastAsia="bg-BG"/>
              </w:rPr>
            </w:pPr>
          </w:p>
        </w:tc>
        <w:tc>
          <w:tcPr>
            <w:tcW w:w="1777" w:type="dxa"/>
          </w:tcPr>
          <w:p w14:paraId="12E55928" w14:textId="0E915374" w:rsidR="009268EE" w:rsidRPr="009268EE" w:rsidRDefault="009268EE" w:rsidP="009268EE">
            <w:pPr>
              <w:spacing w:line="240" w:lineRule="auto"/>
              <w:rPr>
                <w:rFonts w:eastAsia="Times New Roman" w:cs="Arial"/>
                <w:lang w:eastAsia="bg-BG"/>
              </w:rPr>
            </w:pPr>
            <w:r w:rsidRPr="009268EE">
              <w:t>Повишена креатинкиназа</w:t>
            </w:r>
          </w:p>
        </w:tc>
      </w:tr>
    </w:tbl>
    <w:p w14:paraId="7920F82E" w14:textId="783B2EE7" w:rsidR="009268EE" w:rsidRDefault="009268EE" w:rsidP="007641DA">
      <w:pPr>
        <w:spacing w:line="240" w:lineRule="auto"/>
        <w:rPr>
          <w:rFonts w:eastAsia="Times New Roman" w:cs="Arial"/>
          <w:lang w:eastAsia="bg-BG"/>
        </w:rPr>
      </w:pPr>
    </w:p>
    <w:p w14:paraId="0923526E" w14:textId="32E9D680"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1.В клинични изпитвания тези събития са със статистически значимо по-висока честота при лечение с миртазапин в сравнение с плацебо</w:t>
      </w:r>
    </w:p>
    <w:p w14:paraId="2B1E0773" w14:textId="4FD6C118"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2.В клинични изпитвания тези събития се появяват по-често при лечение с плацебо отколкото при лечение с миртазапин, но не са със статистически значима честота</w:t>
      </w:r>
    </w:p>
    <w:p w14:paraId="3A10972D" w14:textId="7CBA9254"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3.В клинични изпитвания тези събития се наблюдават със статистически значима честота при лечение с плацебо в сравнение с миртазапин</w:t>
      </w:r>
    </w:p>
    <w:p w14:paraId="29846F5E" w14:textId="33C5DC22"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4.Намаляването на дозата обикновено не води до по-малко сънливост/седация но може да не се наблюдава желания ефект</w:t>
      </w:r>
    </w:p>
    <w:p w14:paraId="58B130B4" w14:textId="489ADA4B"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5.При лечение с антидепресанти като цяло тревожност и безсъние, които могат да бъдат и симптоми на депресия може да се развиват или да се влошават. При лечение с миртазапин развитие или влошаване на безпокойство и инсомния са съобщавани.</w:t>
      </w:r>
    </w:p>
    <w:p w14:paraId="20A65524" w14:textId="7FB68E1E"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6.Случаи на суицидни мисли и суицидно поведение са докладвани по време на лечение с миртазапин или рано след приключване на такова (виж точка 4.4)</w:t>
      </w:r>
    </w:p>
    <w:p w14:paraId="09B349B6" w14:textId="77777777" w:rsidR="009268EE" w:rsidRDefault="009268EE" w:rsidP="009268EE">
      <w:pPr>
        <w:spacing w:line="240" w:lineRule="auto"/>
        <w:rPr>
          <w:rFonts w:eastAsia="Times New Roman" w:cs="Arial"/>
          <w:color w:val="000000"/>
          <w:lang w:eastAsia="bg-BG"/>
        </w:rPr>
      </w:pPr>
    </w:p>
    <w:p w14:paraId="281D0133" w14:textId="3E1F83EA" w:rsidR="009268EE" w:rsidRDefault="009268EE" w:rsidP="009268EE">
      <w:pPr>
        <w:spacing w:line="240" w:lineRule="auto"/>
        <w:rPr>
          <w:rFonts w:eastAsia="Times New Roman" w:cs="Arial"/>
          <w:color w:val="000000"/>
          <w:lang w:eastAsia="bg-BG"/>
        </w:rPr>
      </w:pPr>
      <w:r w:rsidRPr="009268EE">
        <w:rPr>
          <w:rFonts w:eastAsia="Times New Roman" w:cs="Arial"/>
          <w:color w:val="000000"/>
          <w:lang w:eastAsia="bg-BG"/>
        </w:rPr>
        <w:t>В лабораторните резултати на клиничните проучвания повишаването на трансаминазите и гама- глутамилтрансферазата са били наблюдавани (но свързаните нежелани събития не са докладвани със статистическа значима честота по отношение на миртазапин в сравнение с плацебо).</w:t>
      </w:r>
    </w:p>
    <w:p w14:paraId="5A1475B5" w14:textId="5DF48874" w:rsidR="009268EE" w:rsidRDefault="009268EE" w:rsidP="009268EE">
      <w:pPr>
        <w:spacing w:line="240" w:lineRule="auto"/>
        <w:rPr>
          <w:rFonts w:eastAsia="Times New Roman" w:cs="Arial"/>
          <w:color w:val="000000"/>
          <w:lang w:eastAsia="bg-BG"/>
        </w:rPr>
      </w:pPr>
    </w:p>
    <w:p w14:paraId="4471F75B"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 xml:space="preserve">Епидемиологични проучвания, проведени главно при пациенти на 50 и повече години, показват повишен риск от фрактури на костите при пациенти, приемащи </w:t>
      </w:r>
      <w:r w:rsidRPr="009268EE">
        <w:rPr>
          <w:rFonts w:eastAsia="Times New Roman" w:cs="Arial"/>
          <w:color w:val="000000"/>
          <w:lang w:val="en-US"/>
        </w:rPr>
        <w:t xml:space="preserve">SSRI </w:t>
      </w:r>
      <w:r w:rsidRPr="009268EE">
        <w:rPr>
          <w:rFonts w:eastAsia="Times New Roman" w:cs="Arial"/>
          <w:color w:val="000000"/>
          <w:lang w:eastAsia="bg-BG"/>
        </w:rPr>
        <w:t>трициклични антидепресанти. Не е известен механизмът, който води до този риск.</w:t>
      </w:r>
    </w:p>
    <w:p w14:paraId="67B04E30" w14:textId="77777777" w:rsidR="009268EE" w:rsidRPr="009268EE" w:rsidRDefault="009268EE" w:rsidP="009268EE">
      <w:pPr>
        <w:spacing w:line="240" w:lineRule="auto"/>
        <w:rPr>
          <w:rFonts w:eastAsia="Times New Roman" w:cs="Arial"/>
          <w:color w:val="000000"/>
          <w:u w:val="single"/>
          <w:lang w:eastAsia="bg-BG"/>
        </w:rPr>
      </w:pPr>
    </w:p>
    <w:p w14:paraId="632B3D97" w14:textId="3D790B39"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Педиатрична популация</w:t>
      </w:r>
    </w:p>
    <w:p w14:paraId="0CE6BA67"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Следните нежелани събития са наблюдавани в клиничните изпитвания при деца: наддаване на тегло, уртикария и хипертриглицеридемия (виж точка 5.1).</w:t>
      </w:r>
    </w:p>
    <w:p w14:paraId="5879387D" w14:textId="77777777" w:rsidR="009268EE" w:rsidRPr="009268EE" w:rsidRDefault="009268EE" w:rsidP="009268EE">
      <w:pPr>
        <w:spacing w:line="240" w:lineRule="auto"/>
        <w:rPr>
          <w:rFonts w:eastAsia="Times New Roman" w:cs="Arial"/>
          <w:color w:val="000000"/>
          <w:u w:val="single"/>
          <w:lang w:eastAsia="bg-BG"/>
        </w:rPr>
      </w:pPr>
    </w:p>
    <w:p w14:paraId="0A89AE27" w14:textId="7C620C27"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Съобщаване на подозирани нежелани реакции</w:t>
      </w:r>
    </w:p>
    <w:p w14:paraId="5EEAD280"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9268EE">
        <w:rPr>
          <w:rFonts w:eastAsia="Times New Roman" w:cs="Arial"/>
          <w:lang w:eastAsia="bg-BG"/>
        </w:rPr>
        <w:fldChar w:fldCharType="begin"/>
      </w:r>
      <w:r w:rsidRPr="009268EE">
        <w:rPr>
          <w:rFonts w:eastAsia="Times New Roman" w:cs="Arial"/>
          <w:lang w:eastAsia="bg-BG"/>
        </w:rPr>
        <w:instrText xml:space="preserve"> HYPERLINK "http://www.bda.bg" </w:instrText>
      </w:r>
      <w:r w:rsidRPr="009268EE">
        <w:rPr>
          <w:rFonts w:eastAsia="Times New Roman" w:cs="Arial"/>
          <w:lang w:eastAsia="bg-BG"/>
        </w:rPr>
      </w:r>
      <w:r w:rsidRPr="009268EE">
        <w:rPr>
          <w:rFonts w:eastAsia="Times New Roman" w:cs="Arial"/>
          <w:lang w:eastAsia="bg-BG"/>
        </w:rPr>
        <w:fldChar w:fldCharType="separate"/>
      </w:r>
      <w:r w:rsidRPr="009268EE">
        <w:rPr>
          <w:rFonts w:eastAsia="Times New Roman" w:cs="Arial"/>
          <w:color w:val="000000"/>
          <w:lang w:val="en-US"/>
        </w:rPr>
        <w:t>www.bda.bg</w:t>
      </w:r>
      <w:r w:rsidRPr="009268EE">
        <w:rPr>
          <w:rFonts w:eastAsia="Times New Roman" w:cs="Arial"/>
          <w:lang w:eastAsia="bg-BG"/>
        </w:rPr>
        <w:fldChar w:fldCharType="end"/>
      </w:r>
      <w:r w:rsidRPr="009268EE">
        <w:rPr>
          <w:rFonts w:eastAsia="Times New Roman" w:cs="Arial"/>
          <w:color w:val="000000"/>
          <w:lang w:val="en-US"/>
        </w:rPr>
        <w:t>.</w:t>
      </w:r>
    </w:p>
    <w:p w14:paraId="3CAF24E1" w14:textId="77777777" w:rsidR="007641DA" w:rsidRPr="007641DA" w:rsidRDefault="007641DA" w:rsidP="007641DA"/>
    <w:p w14:paraId="378A0F20" w14:textId="6CB4FCBF" w:rsidR="001D095A" w:rsidRDefault="002C50EE" w:rsidP="00340E8D">
      <w:pPr>
        <w:pStyle w:val="Heading2"/>
      </w:pPr>
      <w:r>
        <w:t>4.9. Предозиране</w:t>
      </w:r>
    </w:p>
    <w:p w14:paraId="76511BED" w14:textId="20A94CB5" w:rsidR="009268EE" w:rsidRDefault="009268EE" w:rsidP="009268EE"/>
    <w:p w14:paraId="68D553D8"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 xml:space="preserve">Съществуващият опит по отношение предозирането на миртазапин показва, че симптомите обикновено са леки. Докладвани са потискане на ЦНС с дезориентация и продължителна седация, както и тахикардия и лека хипер- или хипотония. Възможни са обаче и много по-сериозни последствия (включително фатални) при дозировки много по-високи от тератевтичната доза, особено при смесено предозиране. В тези случаи са наблюдавани удължаване на </w:t>
      </w:r>
      <w:r w:rsidRPr="009268EE">
        <w:rPr>
          <w:rFonts w:eastAsia="Times New Roman" w:cs="Arial"/>
          <w:color w:val="000000"/>
          <w:lang w:val="en-US"/>
        </w:rPr>
        <w:t xml:space="preserve">QT </w:t>
      </w:r>
      <w:r w:rsidRPr="009268EE">
        <w:rPr>
          <w:rFonts w:eastAsia="Times New Roman" w:cs="Arial"/>
          <w:color w:val="000000"/>
          <w:lang w:eastAsia="bg-BG"/>
        </w:rPr>
        <w:t xml:space="preserve">интервала и </w:t>
      </w:r>
      <w:r w:rsidRPr="009268EE">
        <w:rPr>
          <w:rFonts w:eastAsia="Times New Roman" w:cs="Arial"/>
          <w:color w:val="000000"/>
          <w:lang w:val="en-US"/>
        </w:rPr>
        <w:t>torsade de pointes.</w:t>
      </w:r>
    </w:p>
    <w:p w14:paraId="5AFE654D"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lastRenderedPageBreak/>
        <w:t>При предозиране се препоръчва активен въглен, поддържане на жизнените функции. Трябва да се извърши мониторинг на ЕКГ Трябва да се обмисли даването на активен въглен или да се направи стомашна промивка при необходимост.</w:t>
      </w:r>
    </w:p>
    <w:p w14:paraId="669BBEBD" w14:textId="77777777" w:rsidR="009268EE" w:rsidRPr="009268EE" w:rsidRDefault="009268EE" w:rsidP="009268EE">
      <w:pPr>
        <w:spacing w:line="240" w:lineRule="auto"/>
        <w:rPr>
          <w:rFonts w:eastAsia="Times New Roman" w:cs="Arial"/>
          <w:color w:val="000000"/>
          <w:lang w:eastAsia="bg-BG"/>
        </w:rPr>
      </w:pPr>
    </w:p>
    <w:p w14:paraId="6C812106" w14:textId="43E94228"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Педиатрична популация</w:t>
      </w:r>
    </w:p>
    <w:p w14:paraId="30DCCC28"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Трябва да бъдат предприети подходящи действия при предозиране, както е описано при възрастни.</w:t>
      </w:r>
    </w:p>
    <w:p w14:paraId="19F08E1A" w14:textId="77777777" w:rsidR="009268EE" w:rsidRPr="009268EE" w:rsidRDefault="009268EE" w:rsidP="009268EE"/>
    <w:p w14:paraId="02081B24" w14:textId="36FE76F4" w:rsidR="00395555" w:rsidRPr="00395555" w:rsidRDefault="002C50EE" w:rsidP="008A6AF2">
      <w:pPr>
        <w:pStyle w:val="Heading1"/>
      </w:pPr>
      <w:r>
        <w:t>5. ФАРМАКОЛОГИЧНИ СВОЙСТВА</w:t>
      </w:r>
    </w:p>
    <w:p w14:paraId="7F6CC5E1" w14:textId="7D3631AC" w:rsidR="00F62E44" w:rsidRDefault="002C50EE" w:rsidP="00387A66">
      <w:pPr>
        <w:pStyle w:val="Heading2"/>
      </w:pPr>
      <w:r>
        <w:t>5.1. Фармакодинамични свойства</w:t>
      </w:r>
    </w:p>
    <w:p w14:paraId="231C8321" w14:textId="17DF5558" w:rsidR="009268EE" w:rsidRDefault="009268EE" w:rsidP="009268EE"/>
    <w:p w14:paraId="633CF42F"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 xml:space="preserve">Фармакотерапевтична група: </w:t>
      </w:r>
      <w:r w:rsidRPr="009268EE">
        <w:rPr>
          <w:rFonts w:eastAsia="Times New Roman" w:cs="Arial"/>
          <w:color w:val="000000"/>
          <w:lang w:eastAsia="bg-BG"/>
        </w:rPr>
        <w:t>Антидепресанти</w:t>
      </w:r>
      <w:r w:rsidRPr="009268EE">
        <w:rPr>
          <w:rFonts w:eastAsia="Times New Roman" w:cs="Arial"/>
          <w:color w:val="000000"/>
          <w:u w:val="single"/>
          <w:lang w:eastAsia="bg-BG"/>
        </w:rPr>
        <w:t xml:space="preserve">, АТС код: </w:t>
      </w:r>
      <w:r w:rsidRPr="009268EE">
        <w:rPr>
          <w:rFonts w:eastAsia="Times New Roman" w:cs="Arial"/>
          <w:color w:val="000000"/>
          <w:lang w:val="en-US"/>
        </w:rPr>
        <w:t xml:space="preserve">N06A </w:t>
      </w:r>
      <w:r w:rsidRPr="009268EE">
        <w:rPr>
          <w:rFonts w:eastAsia="Times New Roman" w:cs="Arial"/>
          <w:color w:val="000000"/>
          <w:lang w:eastAsia="bg-BG"/>
        </w:rPr>
        <w:t>X11</w:t>
      </w:r>
    </w:p>
    <w:p w14:paraId="05E979C2" w14:textId="77777777" w:rsidR="009268EE" w:rsidRDefault="009268EE" w:rsidP="009268EE">
      <w:pPr>
        <w:spacing w:line="240" w:lineRule="auto"/>
        <w:rPr>
          <w:rFonts w:eastAsia="Times New Roman" w:cs="Arial"/>
          <w:color w:val="000000"/>
          <w:lang w:eastAsia="bg-BG"/>
        </w:rPr>
      </w:pPr>
    </w:p>
    <w:p w14:paraId="34709B92" w14:textId="3AEBDF7C"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Механизъм на действие/фармакодинамични ефекти</w:t>
      </w:r>
    </w:p>
    <w:p w14:paraId="5F0D0A7A"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Миртазапин е централноактивен пресинаптичен алфа</w:t>
      </w:r>
      <w:r w:rsidRPr="009268EE">
        <w:rPr>
          <w:rFonts w:eastAsia="Times New Roman" w:cs="Arial"/>
          <w:color w:val="000000"/>
          <w:vertAlign w:val="subscript"/>
          <w:lang w:eastAsia="bg-BG"/>
        </w:rPr>
        <w:t>2</w:t>
      </w:r>
      <w:r w:rsidRPr="009268EE">
        <w:rPr>
          <w:rFonts w:eastAsia="Times New Roman" w:cs="Arial"/>
          <w:color w:val="000000"/>
          <w:lang w:eastAsia="bg-BG"/>
        </w:rPr>
        <w:t>-антагонист, който повишава централната норадренергична и серотонинергична невротрансмисия в централната нервна система. Повишаването на серотонинергичната невротрансмисия се осъществява специфично посредством 5-НТ</w:t>
      </w:r>
      <w:r w:rsidRPr="009268EE">
        <w:rPr>
          <w:rFonts w:eastAsia="Times New Roman" w:cs="Arial"/>
          <w:color w:val="000000"/>
          <w:vertAlign w:val="subscript"/>
          <w:lang w:eastAsia="bg-BG"/>
        </w:rPr>
        <w:t>1</w:t>
      </w:r>
      <w:r w:rsidRPr="009268EE">
        <w:rPr>
          <w:rFonts w:eastAsia="Times New Roman" w:cs="Arial"/>
          <w:color w:val="000000"/>
          <w:lang w:eastAsia="bg-BG"/>
        </w:rPr>
        <w:t xml:space="preserve"> рецепторите, тъй като 5-НТ</w:t>
      </w:r>
      <w:r w:rsidRPr="009268EE">
        <w:rPr>
          <w:rFonts w:eastAsia="Times New Roman" w:cs="Arial"/>
          <w:color w:val="000000"/>
          <w:vertAlign w:val="subscript"/>
          <w:lang w:eastAsia="bg-BG"/>
        </w:rPr>
        <w:t>2</w:t>
      </w:r>
      <w:r w:rsidRPr="009268EE">
        <w:rPr>
          <w:rFonts w:eastAsia="Times New Roman" w:cs="Arial"/>
          <w:color w:val="000000"/>
          <w:lang w:eastAsia="bg-BG"/>
        </w:rPr>
        <w:t xml:space="preserve"> и 5-НТ</w:t>
      </w:r>
      <w:r w:rsidRPr="009268EE">
        <w:rPr>
          <w:rFonts w:eastAsia="Times New Roman" w:cs="Arial"/>
          <w:color w:val="000000"/>
          <w:vertAlign w:val="subscript"/>
          <w:lang w:eastAsia="bg-BG"/>
        </w:rPr>
        <w:t>3</w:t>
      </w:r>
      <w:r w:rsidRPr="009268EE">
        <w:rPr>
          <w:rFonts w:eastAsia="Times New Roman" w:cs="Arial"/>
          <w:color w:val="000000"/>
          <w:lang w:eastAsia="bg-BG"/>
        </w:rPr>
        <w:t xml:space="preserve"> рецепторите се блокират от миртазапин. Предполага се, че и двата енантиомера на миртазапин допринасят за антидепресантното действие, </w:t>
      </w:r>
      <w:r w:rsidRPr="009268EE">
        <w:rPr>
          <w:rFonts w:eastAsia="Times New Roman" w:cs="Arial"/>
          <w:color w:val="000000"/>
          <w:lang w:val="en-US"/>
        </w:rPr>
        <w:t xml:space="preserve">S(+) </w:t>
      </w:r>
      <w:r w:rsidRPr="009268EE">
        <w:rPr>
          <w:rFonts w:eastAsia="Times New Roman" w:cs="Arial"/>
          <w:color w:val="000000"/>
          <w:lang w:eastAsia="bg-BG"/>
        </w:rPr>
        <w:t>енантиомерът чрез блокиране на алфа</w:t>
      </w:r>
      <w:r w:rsidRPr="009268EE">
        <w:rPr>
          <w:rFonts w:eastAsia="Times New Roman" w:cs="Arial"/>
          <w:color w:val="000000"/>
          <w:vertAlign w:val="subscript"/>
          <w:lang w:eastAsia="bg-BG"/>
        </w:rPr>
        <w:t>2</w:t>
      </w:r>
      <w:r w:rsidRPr="009268EE">
        <w:rPr>
          <w:rFonts w:eastAsia="Times New Roman" w:cs="Arial"/>
          <w:color w:val="000000"/>
          <w:lang w:eastAsia="bg-BG"/>
        </w:rPr>
        <w:t xml:space="preserve"> и 5-НТ</w:t>
      </w:r>
      <w:r w:rsidRPr="009268EE">
        <w:rPr>
          <w:rFonts w:eastAsia="Times New Roman" w:cs="Arial"/>
          <w:color w:val="000000"/>
          <w:vertAlign w:val="subscript"/>
          <w:lang w:eastAsia="bg-BG"/>
        </w:rPr>
        <w:t>2</w:t>
      </w:r>
      <w:r w:rsidRPr="009268EE">
        <w:rPr>
          <w:rFonts w:eastAsia="Times New Roman" w:cs="Arial"/>
          <w:color w:val="000000"/>
          <w:lang w:eastAsia="bg-BG"/>
        </w:rPr>
        <w:t xml:space="preserve"> рецепторите, </w:t>
      </w:r>
      <w:r w:rsidRPr="009268EE">
        <w:rPr>
          <w:rFonts w:eastAsia="Times New Roman" w:cs="Arial"/>
          <w:color w:val="000000"/>
          <w:lang w:val="en-US"/>
        </w:rPr>
        <w:t xml:space="preserve">a R(-) </w:t>
      </w:r>
      <w:r w:rsidRPr="009268EE">
        <w:rPr>
          <w:rFonts w:eastAsia="Times New Roman" w:cs="Arial"/>
          <w:color w:val="000000"/>
          <w:lang w:eastAsia="bg-BG"/>
        </w:rPr>
        <w:t>енантиомерът чрез блокиране на 5-НТ</w:t>
      </w:r>
      <w:r w:rsidRPr="009268EE">
        <w:rPr>
          <w:rFonts w:eastAsia="Times New Roman" w:cs="Arial"/>
          <w:color w:val="000000"/>
          <w:vertAlign w:val="subscript"/>
          <w:lang w:eastAsia="bg-BG"/>
        </w:rPr>
        <w:t xml:space="preserve">3 </w:t>
      </w:r>
      <w:r w:rsidRPr="009268EE">
        <w:rPr>
          <w:rFonts w:eastAsia="Times New Roman" w:cs="Arial"/>
          <w:color w:val="000000"/>
          <w:lang w:eastAsia="bg-BG"/>
        </w:rPr>
        <w:t>рецепторите.</w:t>
      </w:r>
    </w:p>
    <w:p w14:paraId="1257CD61"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Клинична ефикасност и безопасност</w:t>
      </w:r>
    </w:p>
    <w:p w14:paraId="4D6EBAA9"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Свързаната с хистамина Н1 антагонистична активност на миртазапин обяснява неговите седативни свойства. На практика той няма антихолинергична активност и приложен в терапевтични дози, има само ограничен ефект ( напр.ортостатична хипотония) върху сърдечно-съдовата система.</w:t>
      </w:r>
    </w:p>
    <w:p w14:paraId="62643FAE" w14:textId="77777777" w:rsidR="009268EE" w:rsidRDefault="009268EE" w:rsidP="009268EE">
      <w:pPr>
        <w:spacing w:line="240" w:lineRule="auto"/>
        <w:rPr>
          <w:rFonts w:eastAsia="Times New Roman" w:cs="Arial"/>
          <w:color w:val="000000"/>
          <w:u w:val="single"/>
          <w:lang w:eastAsia="bg-BG"/>
        </w:rPr>
      </w:pPr>
    </w:p>
    <w:p w14:paraId="2BFBB69E" w14:textId="352187D1"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Педиатрична популация</w:t>
      </w:r>
    </w:p>
    <w:p w14:paraId="6DD9C7F7" w14:textId="082D5587" w:rsidR="009268EE" w:rsidRPr="009268EE" w:rsidRDefault="009268EE" w:rsidP="009268EE">
      <w:pPr>
        <w:rPr>
          <w:rFonts w:ascii="Times New Roman" w:eastAsia="Times New Roman" w:hAnsi="Times New Roman" w:cs="Times New Roman"/>
          <w:sz w:val="24"/>
          <w:szCs w:val="24"/>
          <w:lang w:eastAsia="bg-BG"/>
        </w:rPr>
      </w:pPr>
      <w:r w:rsidRPr="009268EE">
        <w:rPr>
          <w:rFonts w:eastAsia="Times New Roman" w:cs="Arial"/>
          <w:color w:val="000000"/>
          <w:lang w:eastAsia="bg-BG"/>
        </w:rPr>
        <w:t>Две рандомизирани, двойно-слепи, плацебо-контролирани проучвания при деца на възраст между 7 и 18 години с голям депресивен епизод (</w:t>
      </w:r>
      <w:r w:rsidRPr="009268EE">
        <w:rPr>
          <w:rFonts w:eastAsia="Times New Roman" w:cs="Arial"/>
          <w:color w:val="000000"/>
          <w:lang w:val="en-US"/>
        </w:rPr>
        <w:t>n</w:t>
      </w:r>
      <w:r w:rsidRPr="009268EE">
        <w:rPr>
          <w:rFonts w:eastAsia="Times New Roman" w:cs="Arial"/>
          <w:color w:val="000000"/>
          <w:lang w:eastAsia="bg-BG"/>
        </w:rPr>
        <w:t>=259), приемащи доза през първите 4 седмици от 15</w:t>
      </w:r>
      <w:r w:rsidRPr="009268EE">
        <w:rPr>
          <w:rFonts w:eastAsia="Times New Roman" w:cs="Arial"/>
          <w:color w:val="000000"/>
          <w:lang w:val="en-US"/>
        </w:rPr>
        <w:t xml:space="preserve"> </w:t>
      </w:r>
      <w:r w:rsidRPr="009268EE">
        <w:rPr>
          <w:rFonts w:eastAsia="Times New Roman" w:cs="Arial"/>
          <w:color w:val="000000"/>
          <w:lang w:eastAsia="bg-BG"/>
        </w:rPr>
        <w:t xml:space="preserve">до 45 </w:t>
      </w:r>
      <w:r w:rsidRPr="009268EE">
        <w:rPr>
          <w:rFonts w:eastAsia="Times New Roman" w:cs="Arial"/>
          <w:color w:val="000000"/>
          <w:lang w:val="en-US"/>
        </w:rPr>
        <w:t xml:space="preserve">mg </w:t>
      </w:r>
      <w:r w:rsidRPr="009268EE">
        <w:rPr>
          <w:rFonts w:eastAsia="Times New Roman" w:cs="Arial"/>
          <w:color w:val="000000"/>
          <w:lang w:eastAsia="bg-BG"/>
        </w:rPr>
        <w:t xml:space="preserve">миртазапин, последвана от фиксирана доза ( 15, 30 и 45 </w:t>
      </w:r>
      <w:r w:rsidRPr="009268EE">
        <w:rPr>
          <w:rFonts w:eastAsia="Times New Roman" w:cs="Arial"/>
          <w:color w:val="000000"/>
          <w:lang w:val="en-US"/>
        </w:rPr>
        <w:t xml:space="preserve">mg </w:t>
      </w:r>
      <w:r w:rsidRPr="009268EE">
        <w:rPr>
          <w:rFonts w:eastAsia="Times New Roman" w:cs="Arial"/>
          <w:color w:val="000000"/>
          <w:lang w:eastAsia="bg-BG"/>
        </w:rPr>
        <w:t>миртазапин) за следващи</w:t>
      </w:r>
      <w:r w:rsidRPr="009268EE">
        <w:rPr>
          <w:rFonts w:eastAsia="Times New Roman" w:cs="Arial"/>
          <w:color w:val="000000"/>
          <w:lang w:val="en-US"/>
        </w:rPr>
        <w:t xml:space="preserve"> 4 </w:t>
      </w:r>
      <w:r w:rsidRPr="009268EE">
        <w:rPr>
          <w:rFonts w:eastAsia="Times New Roman" w:cs="Arial"/>
          <w:color w:val="000000"/>
          <w:lang w:eastAsia="bg-BG"/>
        </w:rPr>
        <w:t>седмици не показаха значителни разлики между миртазапин и плацебо на първичните и всички вторични крайни точки. Значително покачване на теглото (≥7 %) е наблюдавано в 48,8% от лекуваните с Еспритал в</w:t>
      </w:r>
      <w:r>
        <w:rPr>
          <w:rFonts w:eastAsia="Times New Roman" w:cs="Arial"/>
          <w:color w:val="000000"/>
          <w:lang w:eastAsia="bg-BG"/>
        </w:rPr>
        <w:t xml:space="preserve"> </w:t>
      </w:r>
      <w:r w:rsidRPr="009268EE">
        <w:rPr>
          <w:rFonts w:eastAsia="Times New Roman" w:cs="Arial"/>
          <w:color w:val="000000"/>
          <w:lang w:eastAsia="bg-BG"/>
        </w:rPr>
        <w:t>сравнение с 5.7% при плацебо случаите. Уртикария (11.8% срещу 6.8%) и хипертриглицеридемия (2.9% срещу 0%) също са често наблюдавани.</w:t>
      </w:r>
    </w:p>
    <w:p w14:paraId="456D7C7F" w14:textId="77777777" w:rsidR="009268EE" w:rsidRPr="009268EE" w:rsidRDefault="009268EE" w:rsidP="009268EE"/>
    <w:p w14:paraId="544FFDAF" w14:textId="6AAF08DA" w:rsidR="00F62E44" w:rsidRDefault="002C50EE" w:rsidP="00387A66">
      <w:pPr>
        <w:pStyle w:val="Heading2"/>
      </w:pPr>
      <w:r>
        <w:t>5.2. Фармакокинетични свойства</w:t>
      </w:r>
    </w:p>
    <w:p w14:paraId="57F380F7" w14:textId="33A7618B" w:rsidR="009268EE" w:rsidRDefault="009268EE" w:rsidP="009268EE"/>
    <w:p w14:paraId="3A3A3EEF"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Абсорбция</w:t>
      </w:r>
    </w:p>
    <w:p w14:paraId="678D280B"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При перорално приложение на Еспритал таблетки, лекарственото вещество миртазапин претърпява бърза и ефективна абсорбция (неговата бионаличност е около 50%), достигайки най-високи стойности на плазмените нива за около 2 часа. Приема на храна не влияе на фармакокинетиката на миртазапин.</w:t>
      </w:r>
    </w:p>
    <w:p w14:paraId="25B4F47A" w14:textId="77777777" w:rsidR="009268EE" w:rsidRDefault="009268EE" w:rsidP="009268EE">
      <w:pPr>
        <w:spacing w:line="240" w:lineRule="auto"/>
        <w:rPr>
          <w:rFonts w:eastAsia="Times New Roman" w:cs="Arial"/>
          <w:color w:val="000000"/>
          <w:u w:val="single"/>
          <w:lang w:eastAsia="bg-BG"/>
        </w:rPr>
      </w:pPr>
    </w:p>
    <w:p w14:paraId="2D462A4E" w14:textId="12F6EB7E"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Разпространение</w:t>
      </w:r>
    </w:p>
    <w:p w14:paraId="77D1B2EC"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Приблизително 85% от миртазапин се свързват с плазмените протеини.</w:t>
      </w:r>
    </w:p>
    <w:p w14:paraId="4FCED0CC" w14:textId="77777777" w:rsidR="009268EE" w:rsidRDefault="009268EE" w:rsidP="009268EE">
      <w:pPr>
        <w:spacing w:line="240" w:lineRule="auto"/>
        <w:rPr>
          <w:rFonts w:eastAsia="Times New Roman" w:cs="Arial"/>
          <w:color w:val="000000"/>
          <w:u w:val="single"/>
          <w:lang w:eastAsia="bg-BG"/>
        </w:rPr>
      </w:pPr>
    </w:p>
    <w:p w14:paraId="42C9F79A" w14:textId="4C2CF175"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lastRenderedPageBreak/>
        <w:t>Биотрансформация</w:t>
      </w:r>
    </w:p>
    <w:p w14:paraId="592CB020"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 xml:space="preserve">Главните процеси на биотрансформация са деметилиране и окисление, последвани от конюгация. </w:t>
      </w:r>
      <w:r w:rsidRPr="009268EE">
        <w:rPr>
          <w:rFonts w:eastAsia="Times New Roman" w:cs="Arial"/>
          <w:i/>
          <w:iCs/>
          <w:color w:val="000000"/>
          <w:lang w:val="en-US"/>
        </w:rPr>
        <w:t>In vitro</w:t>
      </w:r>
      <w:r w:rsidRPr="009268EE">
        <w:rPr>
          <w:rFonts w:eastAsia="Times New Roman" w:cs="Arial"/>
          <w:color w:val="000000"/>
          <w:lang w:val="en-US"/>
        </w:rPr>
        <w:t xml:space="preserve"> </w:t>
      </w:r>
      <w:r w:rsidRPr="009268EE">
        <w:rPr>
          <w:rFonts w:eastAsia="Times New Roman" w:cs="Arial"/>
          <w:color w:val="000000"/>
          <w:lang w:eastAsia="bg-BG"/>
        </w:rPr>
        <w:t xml:space="preserve">данни от човешки чернодробни микрозоми показват, че цитохром Р450 ензими </w:t>
      </w:r>
      <w:r w:rsidRPr="009268EE">
        <w:rPr>
          <w:rFonts w:eastAsia="Times New Roman" w:cs="Arial"/>
          <w:color w:val="000000"/>
          <w:lang w:val="en-US"/>
        </w:rPr>
        <w:t xml:space="preserve">CYP2D6 </w:t>
      </w:r>
      <w:r w:rsidRPr="009268EE">
        <w:rPr>
          <w:rFonts w:eastAsia="Times New Roman" w:cs="Arial"/>
          <w:color w:val="000000"/>
          <w:lang w:eastAsia="bg-BG"/>
        </w:rPr>
        <w:t xml:space="preserve">и </w:t>
      </w:r>
      <w:r w:rsidRPr="009268EE">
        <w:rPr>
          <w:rFonts w:eastAsia="Times New Roman" w:cs="Arial"/>
          <w:color w:val="000000"/>
          <w:lang w:val="en-US"/>
        </w:rPr>
        <w:t xml:space="preserve">CYP1A2 </w:t>
      </w:r>
      <w:r w:rsidRPr="009268EE">
        <w:rPr>
          <w:rFonts w:eastAsia="Times New Roman" w:cs="Arial"/>
          <w:color w:val="000000"/>
          <w:lang w:eastAsia="bg-BG"/>
        </w:rPr>
        <w:t xml:space="preserve">участват при образуването на 8-хидрокси метаболита на миртазапин, до като </w:t>
      </w:r>
      <w:r w:rsidRPr="009268EE">
        <w:rPr>
          <w:rFonts w:eastAsia="Times New Roman" w:cs="Arial"/>
          <w:color w:val="000000"/>
          <w:lang w:val="en-US"/>
        </w:rPr>
        <w:t xml:space="preserve">CYP3A4 </w:t>
      </w:r>
      <w:r w:rsidRPr="009268EE">
        <w:rPr>
          <w:rFonts w:eastAsia="Times New Roman" w:cs="Arial"/>
          <w:color w:val="000000"/>
          <w:lang w:eastAsia="bg-BG"/>
        </w:rPr>
        <w:t xml:space="preserve">се смята, че е отговорен за образуването на </w:t>
      </w:r>
      <w:r w:rsidRPr="009268EE">
        <w:rPr>
          <w:rFonts w:eastAsia="Times New Roman" w:cs="Arial"/>
          <w:color w:val="000000"/>
          <w:lang w:val="en-US"/>
        </w:rPr>
        <w:t>N</w:t>
      </w:r>
      <w:r w:rsidRPr="009268EE">
        <w:rPr>
          <w:rFonts w:eastAsia="Times New Roman" w:cs="Arial"/>
          <w:color w:val="000000"/>
          <w:lang w:eastAsia="bg-BG"/>
        </w:rPr>
        <w:t xml:space="preserve">-деметил и </w:t>
      </w:r>
      <w:r w:rsidRPr="009268EE">
        <w:rPr>
          <w:rFonts w:eastAsia="Times New Roman" w:cs="Arial"/>
          <w:color w:val="000000"/>
          <w:lang w:val="en-US"/>
        </w:rPr>
        <w:t>N</w:t>
      </w:r>
      <w:r w:rsidRPr="009268EE">
        <w:rPr>
          <w:rFonts w:eastAsia="Times New Roman" w:cs="Arial"/>
          <w:color w:val="000000"/>
          <w:lang w:eastAsia="bg-BG"/>
        </w:rPr>
        <w:t>-оксид метаболитите. Деметил метаболитът' е фармакологично активен и неговият фармакокинетичен профил е подобен на този на основното съединение.</w:t>
      </w:r>
    </w:p>
    <w:p w14:paraId="45F3DCF9" w14:textId="77777777" w:rsidR="009268EE" w:rsidRDefault="009268EE" w:rsidP="009268EE">
      <w:pPr>
        <w:spacing w:line="240" w:lineRule="auto"/>
        <w:rPr>
          <w:rFonts w:eastAsia="Times New Roman" w:cs="Arial"/>
          <w:color w:val="000000"/>
          <w:u w:val="single"/>
          <w:lang w:eastAsia="bg-BG"/>
        </w:rPr>
      </w:pPr>
    </w:p>
    <w:p w14:paraId="226DAC05" w14:textId="7337FD0D" w:rsidR="009268EE" w:rsidRPr="009268EE" w:rsidRDefault="009268EE" w:rsidP="009268EE">
      <w:pPr>
        <w:spacing w:line="240" w:lineRule="auto"/>
        <w:rPr>
          <w:rFonts w:eastAsia="Times New Roman" w:cs="Arial"/>
          <w:lang w:eastAsia="bg-BG"/>
        </w:rPr>
      </w:pPr>
      <w:r w:rsidRPr="009268EE">
        <w:rPr>
          <w:rFonts w:eastAsia="Times New Roman" w:cs="Arial"/>
          <w:color w:val="000000"/>
          <w:u w:val="single"/>
          <w:lang w:eastAsia="bg-BG"/>
        </w:rPr>
        <w:t>Елиминиране</w:t>
      </w:r>
    </w:p>
    <w:p w14:paraId="646D00F9"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Миртазапин се метаболизира и елиминира ефективно чрез урината и фекалиите в продължение на няколко дни_Времето на полуживот е 20 - 40 часа. Понякога е наблюдаван по-дълъг полуживот, до 65 часа и по-кратък при млади хора. Полуживотът е достатъчен за прием един път дневно. Плазмените нива се стабилизират след 3-4 дни, като не се наблюдава по-нататъшно натрупване.</w:t>
      </w:r>
    </w:p>
    <w:p w14:paraId="59EF1B79" w14:textId="77777777" w:rsidR="009268EE" w:rsidRDefault="009268EE" w:rsidP="009268EE">
      <w:pPr>
        <w:spacing w:line="240" w:lineRule="auto"/>
        <w:rPr>
          <w:rFonts w:eastAsia="Times New Roman" w:cs="Arial"/>
          <w:color w:val="000000"/>
          <w:lang w:eastAsia="bg-BG"/>
        </w:rPr>
      </w:pPr>
    </w:p>
    <w:p w14:paraId="44CB4366" w14:textId="661F4D8E" w:rsidR="009268EE" w:rsidRPr="009268EE" w:rsidRDefault="009268EE" w:rsidP="009268EE">
      <w:pPr>
        <w:spacing w:line="240" w:lineRule="auto"/>
        <w:rPr>
          <w:rFonts w:eastAsia="Times New Roman" w:cs="Arial"/>
          <w:color w:val="000000"/>
          <w:lang w:eastAsia="bg-BG"/>
        </w:rPr>
      </w:pPr>
      <w:r w:rsidRPr="009268EE">
        <w:rPr>
          <w:rFonts w:eastAsia="Times New Roman" w:cs="Arial"/>
          <w:color w:val="000000"/>
          <w:lang w:eastAsia="bg-BG"/>
        </w:rPr>
        <w:t>Линеарност/нелинеарност</w:t>
      </w:r>
    </w:p>
    <w:p w14:paraId="44E56BF5"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В границите на препоръчваната дозировка миртазапин показва линейна фармакокинетика.</w:t>
      </w:r>
    </w:p>
    <w:p w14:paraId="593F8FED" w14:textId="77777777" w:rsidR="009268EE" w:rsidRDefault="009268EE" w:rsidP="009268EE">
      <w:pPr>
        <w:spacing w:line="240" w:lineRule="auto"/>
        <w:rPr>
          <w:rFonts w:eastAsia="Times New Roman" w:cs="Arial"/>
          <w:color w:val="000000"/>
          <w:lang w:eastAsia="bg-BG"/>
        </w:rPr>
      </w:pPr>
    </w:p>
    <w:p w14:paraId="306B6FEB" w14:textId="44FDD775"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Специални популации</w:t>
      </w:r>
    </w:p>
    <w:p w14:paraId="24B16303"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Клирънсът на миртазапин може да бъде намален при пациенти с бъбречно или чернодробно увреждане.</w:t>
      </w:r>
    </w:p>
    <w:p w14:paraId="3755D4DC" w14:textId="77777777" w:rsidR="009268EE" w:rsidRPr="009268EE" w:rsidRDefault="009268EE" w:rsidP="009268EE"/>
    <w:p w14:paraId="6925FEB0" w14:textId="76814A91" w:rsidR="00F62E44" w:rsidRDefault="002C50EE" w:rsidP="00387A66">
      <w:pPr>
        <w:pStyle w:val="Heading2"/>
      </w:pPr>
      <w:r>
        <w:t>5.3. Предклинични данни за безопасност</w:t>
      </w:r>
    </w:p>
    <w:p w14:paraId="591683DA" w14:textId="4FCD20AE" w:rsidR="009268EE" w:rsidRDefault="009268EE" w:rsidP="009268EE"/>
    <w:p w14:paraId="3B1BBF87" w14:textId="77777777" w:rsidR="009268EE" w:rsidRPr="009268EE" w:rsidRDefault="009268EE" w:rsidP="009268EE">
      <w:pPr>
        <w:spacing w:line="240" w:lineRule="auto"/>
        <w:rPr>
          <w:rFonts w:eastAsia="Times New Roman" w:cs="Arial"/>
          <w:lang w:eastAsia="bg-BG"/>
        </w:rPr>
      </w:pPr>
      <w:r w:rsidRPr="009268EE">
        <w:rPr>
          <w:rFonts w:eastAsia="Times New Roman" w:cs="Arial"/>
          <w:color w:val="000000"/>
          <w:lang w:eastAsia="bg-BG"/>
        </w:rPr>
        <w:t>Предклиничните данни, получени при конвенционални изследвания на фармакологична безопасност, токсичност при многократно дозиране, канцерогенен потенциал, репродуктивна токсичност и развитие не показват особен риск за хората.</w:t>
      </w:r>
    </w:p>
    <w:p w14:paraId="0B6B8EED" w14:textId="328F6527" w:rsidR="009268EE" w:rsidRPr="009268EE" w:rsidRDefault="009268EE" w:rsidP="009268EE">
      <w:pPr>
        <w:rPr>
          <w:rFonts w:cs="Arial"/>
        </w:rPr>
      </w:pPr>
      <w:r w:rsidRPr="009268EE">
        <w:rPr>
          <w:rFonts w:eastAsia="Times New Roman" w:cs="Arial"/>
          <w:color w:val="000000"/>
          <w:lang w:eastAsia="bg-BG"/>
        </w:rPr>
        <w:t>Изследванията на репродуктивна токсичност върху плъхове и зайци не са показали тератогенно действие. При системна експозиция, два пъти по-висока в сравнение с максимална терапевтична експозиция при хора има обаче, повишаване на постимплантационните загуби, намаляване на теглото на новородените и намаляване на преживяемостта на новородените през първите три дни от кърменето при плъхове, Миртазапин не е генотоксичен при серия от тестове за генна мутация и увреждане на хромозомите и ДНК. При изследвания за канцерогенност са открити тумори на тироидната жлеза при плъхове и хепатоцелуларни неоплазми при мишки, които се приемат като видово-специфични, не-генотоскични отговори свързани с продължителната терапия с високи дози индуктори на чернодробните ензими.</w:t>
      </w:r>
    </w:p>
    <w:p w14:paraId="357049A8" w14:textId="37504C2F" w:rsidR="00BB22B4" w:rsidRDefault="002C50EE" w:rsidP="00471F10">
      <w:pPr>
        <w:pStyle w:val="Heading1"/>
      </w:pPr>
      <w:r>
        <w:t>7. ПРИТЕЖАТЕЛ НА РАЗРЕШЕНИЕТО ЗА УПОТРЕБА</w:t>
      </w:r>
    </w:p>
    <w:p w14:paraId="1E877D05" w14:textId="4ED3E967" w:rsidR="009268EE" w:rsidRDefault="009268EE" w:rsidP="009268EE"/>
    <w:p w14:paraId="209EF4EE" w14:textId="77777777" w:rsidR="009268EE" w:rsidRPr="009268EE" w:rsidRDefault="009268EE" w:rsidP="009268EE">
      <w:pPr>
        <w:rPr>
          <w:sz w:val="24"/>
          <w:szCs w:val="24"/>
          <w:lang w:val="en-US" w:eastAsia="bg-BG"/>
        </w:rPr>
      </w:pPr>
      <w:r w:rsidRPr="009268EE">
        <w:rPr>
          <w:lang w:val="en-US"/>
        </w:rPr>
        <w:t xml:space="preserve">Zentiva </w:t>
      </w:r>
      <w:proofErr w:type="spellStart"/>
      <w:r w:rsidRPr="009268EE">
        <w:rPr>
          <w:lang w:val="en-US"/>
        </w:rPr>
        <w:t>k.s</w:t>
      </w:r>
      <w:proofErr w:type="spellEnd"/>
    </w:p>
    <w:p w14:paraId="0D270BFB" w14:textId="77777777" w:rsidR="009268EE" w:rsidRPr="009268EE" w:rsidRDefault="009268EE" w:rsidP="009268EE">
      <w:pPr>
        <w:rPr>
          <w:sz w:val="24"/>
          <w:szCs w:val="24"/>
          <w:lang w:val="en-US" w:eastAsia="bg-BG"/>
        </w:rPr>
      </w:pPr>
      <w:r w:rsidRPr="009268EE">
        <w:rPr>
          <w:lang w:val="en-US"/>
        </w:rPr>
        <w:t xml:space="preserve">U </w:t>
      </w:r>
      <w:proofErr w:type="spellStart"/>
      <w:r w:rsidRPr="009268EE">
        <w:rPr>
          <w:lang w:val="en-US"/>
        </w:rPr>
        <w:t>kabelovny</w:t>
      </w:r>
      <w:proofErr w:type="spellEnd"/>
      <w:r w:rsidRPr="009268EE">
        <w:rPr>
          <w:lang w:val="en-US"/>
        </w:rPr>
        <w:t xml:space="preserve"> </w:t>
      </w:r>
      <w:r w:rsidRPr="009268EE">
        <w:rPr>
          <w:lang w:eastAsia="bg-BG"/>
        </w:rPr>
        <w:t>130,</w:t>
      </w:r>
    </w:p>
    <w:p w14:paraId="2798D04F" w14:textId="77777777" w:rsidR="009268EE" w:rsidRDefault="009268EE" w:rsidP="009268EE">
      <w:pPr>
        <w:rPr>
          <w:lang w:val="en-US"/>
        </w:rPr>
      </w:pPr>
      <w:proofErr w:type="spellStart"/>
      <w:r w:rsidRPr="009268EE">
        <w:rPr>
          <w:lang w:val="en-US"/>
        </w:rPr>
        <w:t>Dolni</w:t>
      </w:r>
      <w:proofErr w:type="spellEnd"/>
      <w:r w:rsidRPr="009268EE">
        <w:rPr>
          <w:lang w:val="en-US"/>
        </w:rPr>
        <w:t xml:space="preserve"> </w:t>
      </w:r>
      <w:proofErr w:type="spellStart"/>
      <w:r w:rsidRPr="009268EE">
        <w:rPr>
          <w:lang w:val="en-US"/>
        </w:rPr>
        <w:t>Mecholupy</w:t>
      </w:r>
      <w:proofErr w:type="spellEnd"/>
      <w:r w:rsidRPr="009268EE">
        <w:rPr>
          <w:lang w:val="en-US"/>
        </w:rPr>
        <w:t xml:space="preserve"> </w:t>
      </w:r>
    </w:p>
    <w:p w14:paraId="43A58270" w14:textId="3F89E166" w:rsidR="009268EE" w:rsidRDefault="009268EE" w:rsidP="009268EE">
      <w:pPr>
        <w:rPr>
          <w:lang w:val="en-US"/>
        </w:rPr>
      </w:pPr>
      <w:r w:rsidRPr="009268EE">
        <w:rPr>
          <w:lang w:val="en-US"/>
        </w:rPr>
        <w:t xml:space="preserve">102 37 Prague 10, </w:t>
      </w:r>
    </w:p>
    <w:p w14:paraId="32AE0449" w14:textId="53A031DB" w:rsidR="009268EE" w:rsidRPr="009268EE" w:rsidRDefault="009268EE" w:rsidP="009268EE">
      <w:pPr>
        <w:rPr>
          <w:lang w:val="en-US"/>
        </w:rPr>
      </w:pPr>
      <w:r w:rsidRPr="009268EE">
        <w:rPr>
          <w:lang w:eastAsia="bg-BG"/>
        </w:rPr>
        <w:t>Чешка република</w:t>
      </w:r>
    </w:p>
    <w:p w14:paraId="0A53321D" w14:textId="42FDFC60" w:rsidR="00EE6C97" w:rsidRDefault="00936AD0" w:rsidP="00A93499">
      <w:pPr>
        <w:pStyle w:val="Heading1"/>
      </w:pPr>
      <w:r>
        <w:lastRenderedPageBreak/>
        <w:t>8.</w:t>
      </w:r>
      <w:r w:rsidR="002C50EE">
        <w:t>НОМЕР НА РАЗРЕШЕНИЕТО ЗА УПОТРЕБА</w:t>
      </w:r>
    </w:p>
    <w:p w14:paraId="24C7CEC9" w14:textId="2054BBAE" w:rsidR="009268EE" w:rsidRDefault="009268EE" w:rsidP="009268EE"/>
    <w:p w14:paraId="6DB0C0B3" w14:textId="71D8BDA6" w:rsidR="009268EE" w:rsidRPr="009268EE" w:rsidRDefault="009268EE" w:rsidP="009268EE">
      <w:pPr>
        <w:rPr>
          <w:sz w:val="24"/>
          <w:szCs w:val="24"/>
          <w:lang w:eastAsia="bg-BG"/>
        </w:rPr>
      </w:pPr>
      <w:r w:rsidRPr="009268EE">
        <w:rPr>
          <w:lang w:eastAsia="bg-BG"/>
        </w:rPr>
        <w:t>ЕСПРИТАЛ 30: 20050339/22.06.2005</w:t>
      </w:r>
    </w:p>
    <w:p w14:paraId="7C2688F5" w14:textId="6D610EDF" w:rsidR="00F62E44" w:rsidRDefault="00F62E44" w:rsidP="00F62E44"/>
    <w:p w14:paraId="00481C21" w14:textId="10CBC473" w:rsidR="00F62E44" w:rsidRDefault="002C50EE" w:rsidP="00387A66">
      <w:pPr>
        <w:pStyle w:val="Heading1"/>
      </w:pPr>
      <w:r>
        <w:t>9. ДАТА НА ПЪРВО РАЗРЕШАВАНЕ/ПОДНОВЯВАНЕ НА РАЗРЕШЕНИЕТО ЗА УПОТРЕБА</w:t>
      </w:r>
    </w:p>
    <w:p w14:paraId="743C36CE" w14:textId="450F8488" w:rsidR="009268EE" w:rsidRDefault="009268EE" w:rsidP="009268EE"/>
    <w:p w14:paraId="7F5C2D72" w14:textId="6BF1CE50" w:rsidR="009268EE" w:rsidRPr="009268EE" w:rsidRDefault="009268EE" w:rsidP="009268EE">
      <w:r>
        <w:t>22.06.2005/24.02.2011</w:t>
      </w:r>
    </w:p>
    <w:p w14:paraId="43FB38A2" w14:textId="0C18A683" w:rsidR="007C605B" w:rsidRDefault="002C50EE" w:rsidP="005726E3">
      <w:pPr>
        <w:pStyle w:val="Heading1"/>
      </w:pPr>
      <w:r>
        <w:t>10. ДАТА НА АКТУАЛИЗИРАНЕ НА ТЕКСТА</w:t>
      </w:r>
      <w:bookmarkEnd w:id="0"/>
    </w:p>
    <w:p w14:paraId="472617BD" w14:textId="6E4999AD" w:rsidR="00BB22B4" w:rsidRDefault="00BB22B4" w:rsidP="008F7F23"/>
    <w:p w14:paraId="189978E9" w14:textId="30BAE069" w:rsidR="009268EE" w:rsidRPr="00BB22B4" w:rsidRDefault="009268EE" w:rsidP="009268EE">
      <w:r>
        <w:t>25.07.2015</w:t>
      </w:r>
    </w:p>
    <w:sectPr w:rsidR="009268EE"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D2D1E"/>
    <w:multiLevelType w:val="hybridMultilevel"/>
    <w:tmpl w:val="1794FC30"/>
    <w:lvl w:ilvl="0" w:tplc="E5325FAE">
      <w:start w:val="4"/>
      <w:numFmt w:val="bullet"/>
      <w:lvlText w:val="-"/>
      <w:lvlJc w:val="left"/>
      <w:pPr>
        <w:ind w:left="720" w:hanging="360"/>
      </w:pPr>
      <w:rPr>
        <w:rFonts w:ascii="Arial" w:eastAsia="Times New Roman" w:hAnsi="Arial" w:cs="Arial"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194955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300EE"/>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641DA"/>
    <w:rsid w:val="007C605B"/>
    <w:rsid w:val="008134C8"/>
    <w:rsid w:val="00814073"/>
    <w:rsid w:val="00826F0D"/>
    <w:rsid w:val="00875EEC"/>
    <w:rsid w:val="00893B92"/>
    <w:rsid w:val="008A6AF2"/>
    <w:rsid w:val="008C70A2"/>
    <w:rsid w:val="008F7F23"/>
    <w:rsid w:val="009268EE"/>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4250</Words>
  <Characters>24227</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2023-02-26T14:58:00Z</dcterms:created>
  <dcterms:modified xsi:type="dcterms:W3CDTF">2023-02-26T14:58:00Z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