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41E60D33" w:rsidR="00DF4C8E" w:rsidRDefault="00DD466D" w:rsidP="00F44498">
      <w:pPr>
        <w:pStyle w:val="Heading1"/>
      </w:pPr>
      <w:r>
        <w:t>1.ИМЕ НА ЛЕКАРСТВЕНИЯ ПРОДУКТ</w:t>
      </w:r>
    </w:p>
    <w:p w14:paraId="31952396" w14:textId="418304F6" w:rsidR="000314A0" w:rsidRDefault="000314A0" w:rsidP="000314A0"/>
    <w:p w14:paraId="690A56F6" w14:textId="77777777" w:rsidR="000314A0" w:rsidRPr="000314A0" w:rsidRDefault="000314A0" w:rsidP="000314A0">
      <w:pPr>
        <w:rPr>
          <w:sz w:val="24"/>
          <w:szCs w:val="24"/>
        </w:rPr>
      </w:pPr>
      <w:r w:rsidRPr="000314A0">
        <w:rPr>
          <w:lang w:eastAsia="bg-BG"/>
        </w:rPr>
        <w:t xml:space="preserve">Еторикоксиб Тева 60 </w:t>
      </w:r>
      <w:r w:rsidRPr="000314A0">
        <w:rPr>
          <w:lang w:val="en-US"/>
        </w:rPr>
        <w:t>mg</w:t>
      </w:r>
      <w:r w:rsidRPr="000314A0">
        <w:t xml:space="preserve"> </w:t>
      </w:r>
      <w:r w:rsidRPr="000314A0">
        <w:rPr>
          <w:lang w:eastAsia="bg-BG"/>
        </w:rPr>
        <w:t>филмирани таблетки</w:t>
      </w:r>
    </w:p>
    <w:p w14:paraId="4CB712BA" w14:textId="77777777" w:rsidR="000314A0" w:rsidRPr="000314A0" w:rsidRDefault="000314A0" w:rsidP="000314A0">
      <w:pPr>
        <w:rPr>
          <w:sz w:val="24"/>
          <w:szCs w:val="24"/>
        </w:rPr>
      </w:pPr>
      <w:proofErr w:type="spellStart"/>
      <w:r w:rsidRPr="000314A0">
        <w:rPr>
          <w:lang w:val="en-US"/>
        </w:rPr>
        <w:t>Etoricoxib</w:t>
      </w:r>
      <w:proofErr w:type="spellEnd"/>
      <w:r w:rsidRPr="000314A0">
        <w:t xml:space="preserve"> </w:t>
      </w:r>
      <w:proofErr w:type="spellStart"/>
      <w:r w:rsidRPr="000314A0">
        <w:rPr>
          <w:lang w:val="en-US"/>
        </w:rPr>
        <w:t>Teva</w:t>
      </w:r>
      <w:proofErr w:type="spellEnd"/>
      <w:r w:rsidRPr="000314A0">
        <w:t xml:space="preserve"> </w:t>
      </w:r>
      <w:r w:rsidRPr="000314A0">
        <w:rPr>
          <w:lang w:eastAsia="bg-BG"/>
        </w:rPr>
        <w:t xml:space="preserve">60 </w:t>
      </w:r>
      <w:r w:rsidRPr="000314A0">
        <w:rPr>
          <w:lang w:val="en-US"/>
        </w:rPr>
        <w:t>mg</w:t>
      </w:r>
      <w:r w:rsidRPr="000314A0">
        <w:t xml:space="preserve"> </w:t>
      </w:r>
      <w:r w:rsidRPr="000314A0">
        <w:rPr>
          <w:lang w:val="en-US"/>
        </w:rPr>
        <w:t>film</w:t>
      </w:r>
      <w:r w:rsidRPr="000314A0">
        <w:t>-</w:t>
      </w:r>
      <w:r w:rsidRPr="000314A0">
        <w:rPr>
          <w:lang w:val="en-US"/>
        </w:rPr>
        <w:t>coated</w:t>
      </w:r>
      <w:r w:rsidRPr="000314A0">
        <w:t xml:space="preserve"> </w:t>
      </w:r>
      <w:r w:rsidRPr="000314A0">
        <w:rPr>
          <w:lang w:val="en-US"/>
        </w:rPr>
        <w:t>tablets</w:t>
      </w:r>
    </w:p>
    <w:p w14:paraId="4B06495A" w14:textId="77777777" w:rsidR="000314A0" w:rsidRDefault="000314A0" w:rsidP="000314A0">
      <w:pPr>
        <w:rPr>
          <w:lang w:eastAsia="bg-BG"/>
        </w:rPr>
      </w:pPr>
    </w:p>
    <w:p w14:paraId="265650F9" w14:textId="6F73DD86" w:rsidR="000314A0" w:rsidRPr="000314A0" w:rsidRDefault="000314A0" w:rsidP="000314A0">
      <w:pPr>
        <w:rPr>
          <w:sz w:val="24"/>
          <w:szCs w:val="24"/>
        </w:rPr>
      </w:pPr>
      <w:r w:rsidRPr="000314A0">
        <w:rPr>
          <w:lang w:eastAsia="bg-BG"/>
        </w:rPr>
        <w:t xml:space="preserve">Еторикоксиб Тева </w:t>
      </w:r>
      <w:r w:rsidRPr="000314A0">
        <w:t xml:space="preserve">90 </w:t>
      </w:r>
      <w:r w:rsidRPr="000314A0">
        <w:rPr>
          <w:lang w:val="en-US"/>
        </w:rPr>
        <w:t>mg</w:t>
      </w:r>
      <w:r w:rsidRPr="000314A0">
        <w:t xml:space="preserve"> </w:t>
      </w:r>
      <w:r w:rsidRPr="000314A0">
        <w:rPr>
          <w:lang w:eastAsia="bg-BG"/>
        </w:rPr>
        <w:t>филмирани таблетки</w:t>
      </w:r>
    </w:p>
    <w:p w14:paraId="586D2D68" w14:textId="77777777" w:rsidR="000314A0" w:rsidRPr="000314A0" w:rsidRDefault="000314A0" w:rsidP="000314A0">
      <w:pPr>
        <w:rPr>
          <w:sz w:val="24"/>
          <w:szCs w:val="24"/>
        </w:rPr>
      </w:pPr>
      <w:proofErr w:type="spellStart"/>
      <w:r w:rsidRPr="000314A0">
        <w:rPr>
          <w:lang w:val="en-US"/>
        </w:rPr>
        <w:t>Etoricoxib</w:t>
      </w:r>
      <w:proofErr w:type="spellEnd"/>
      <w:r w:rsidRPr="000314A0">
        <w:t xml:space="preserve"> </w:t>
      </w:r>
      <w:proofErr w:type="spellStart"/>
      <w:r w:rsidRPr="000314A0">
        <w:rPr>
          <w:lang w:val="en-US"/>
        </w:rPr>
        <w:t>Teva</w:t>
      </w:r>
      <w:proofErr w:type="spellEnd"/>
      <w:r w:rsidRPr="000314A0">
        <w:t xml:space="preserve"> 90 </w:t>
      </w:r>
      <w:r w:rsidRPr="000314A0">
        <w:rPr>
          <w:lang w:val="en-US"/>
        </w:rPr>
        <w:t>mg</w:t>
      </w:r>
      <w:r w:rsidRPr="000314A0">
        <w:t xml:space="preserve"> </w:t>
      </w:r>
      <w:r w:rsidRPr="000314A0">
        <w:rPr>
          <w:lang w:val="en-US"/>
        </w:rPr>
        <w:t>film</w:t>
      </w:r>
      <w:r w:rsidRPr="000314A0">
        <w:t>-</w:t>
      </w:r>
      <w:r w:rsidRPr="000314A0">
        <w:rPr>
          <w:lang w:val="en-US"/>
        </w:rPr>
        <w:t>coated</w:t>
      </w:r>
      <w:r w:rsidRPr="000314A0">
        <w:t xml:space="preserve"> </w:t>
      </w:r>
      <w:r w:rsidRPr="000314A0">
        <w:rPr>
          <w:lang w:val="en-US"/>
        </w:rPr>
        <w:t>tablets</w:t>
      </w:r>
    </w:p>
    <w:p w14:paraId="5A62388B" w14:textId="77777777" w:rsidR="000314A0" w:rsidRPr="000314A0" w:rsidRDefault="000314A0" w:rsidP="000314A0"/>
    <w:p w14:paraId="2BF7ACB1" w14:textId="4B38DC49" w:rsidR="00DF4C8E" w:rsidRDefault="00DD466D" w:rsidP="00F44498">
      <w:pPr>
        <w:pStyle w:val="Heading1"/>
      </w:pPr>
      <w:r>
        <w:t>2. КАЧЕСТВЕН И КОЛИЧЕСТВЕН СЪСТАВ</w:t>
      </w:r>
    </w:p>
    <w:p w14:paraId="5F67A726" w14:textId="26843359" w:rsidR="000314A0" w:rsidRDefault="000314A0" w:rsidP="000314A0"/>
    <w:p w14:paraId="3ED3319B"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u w:val="single"/>
          <w:lang w:eastAsia="bg-BG"/>
        </w:rPr>
        <w:t xml:space="preserve">Еторикоксиб Тева 60 </w:t>
      </w:r>
      <w:r w:rsidRPr="000314A0">
        <w:rPr>
          <w:rFonts w:eastAsia="Times New Roman" w:cs="Arial"/>
          <w:color w:val="000000"/>
          <w:u w:val="single"/>
          <w:lang w:val="en-US"/>
        </w:rPr>
        <w:t>mg</w:t>
      </w:r>
      <w:r w:rsidRPr="000314A0">
        <w:rPr>
          <w:rFonts w:eastAsia="Times New Roman" w:cs="Arial"/>
          <w:color w:val="000000"/>
          <w:u w:val="single"/>
        </w:rPr>
        <w:t xml:space="preserve"> </w:t>
      </w:r>
      <w:r w:rsidRPr="000314A0">
        <w:rPr>
          <w:rFonts w:eastAsia="Times New Roman" w:cs="Arial"/>
          <w:color w:val="000000"/>
          <w:u w:val="single"/>
          <w:lang w:eastAsia="bg-BG"/>
        </w:rPr>
        <w:t>Филмирани таблетки</w:t>
      </w:r>
    </w:p>
    <w:p w14:paraId="4722E172"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Всяка филмирана таблетка съдържа 60 </w:t>
      </w:r>
      <w:r w:rsidRPr="000314A0">
        <w:rPr>
          <w:rFonts w:eastAsia="Times New Roman" w:cs="Arial"/>
          <w:color w:val="000000"/>
          <w:lang w:val="en-US"/>
        </w:rPr>
        <w:t>mg</w:t>
      </w:r>
      <w:r w:rsidRPr="000314A0">
        <w:rPr>
          <w:rFonts w:eastAsia="Times New Roman" w:cs="Arial"/>
          <w:color w:val="000000"/>
        </w:rPr>
        <w:t xml:space="preserve"> </w:t>
      </w:r>
      <w:r w:rsidRPr="000314A0">
        <w:rPr>
          <w:rFonts w:eastAsia="Times New Roman" w:cs="Arial"/>
          <w:color w:val="000000"/>
          <w:lang w:eastAsia="bg-BG"/>
        </w:rPr>
        <w:t xml:space="preserve">еторикоксиб </w:t>
      </w:r>
      <w:r w:rsidRPr="000314A0">
        <w:rPr>
          <w:rFonts w:eastAsia="Times New Roman" w:cs="Arial"/>
          <w:i/>
          <w:iCs/>
          <w:color w:val="000000"/>
        </w:rPr>
        <w:t>(</w:t>
      </w:r>
      <w:proofErr w:type="spellStart"/>
      <w:r w:rsidRPr="000314A0">
        <w:rPr>
          <w:rFonts w:eastAsia="Times New Roman" w:cs="Arial"/>
          <w:i/>
          <w:iCs/>
          <w:color w:val="000000"/>
          <w:lang w:val="en-US"/>
        </w:rPr>
        <w:t>etoricoxib</w:t>
      </w:r>
      <w:proofErr w:type="spellEnd"/>
      <w:r w:rsidRPr="000314A0">
        <w:rPr>
          <w:rFonts w:eastAsia="Times New Roman" w:cs="Arial"/>
          <w:i/>
          <w:iCs/>
          <w:color w:val="000000"/>
        </w:rPr>
        <w:t>).</w:t>
      </w:r>
    </w:p>
    <w:p w14:paraId="1EA7C633" w14:textId="77777777" w:rsidR="000314A0" w:rsidRPr="000314A0" w:rsidRDefault="000314A0" w:rsidP="000314A0">
      <w:pPr>
        <w:spacing w:line="240" w:lineRule="auto"/>
        <w:rPr>
          <w:rFonts w:eastAsia="Times New Roman" w:cs="Arial"/>
          <w:color w:val="000000"/>
          <w:u w:val="single"/>
          <w:lang w:eastAsia="bg-BG"/>
        </w:rPr>
      </w:pPr>
    </w:p>
    <w:p w14:paraId="202FBFF6" w14:textId="61449227" w:rsidR="000314A0" w:rsidRPr="000314A0" w:rsidRDefault="000314A0" w:rsidP="000314A0">
      <w:pPr>
        <w:spacing w:line="240" w:lineRule="auto"/>
        <w:rPr>
          <w:rFonts w:eastAsia="Times New Roman" w:cs="Arial"/>
          <w:sz w:val="24"/>
          <w:szCs w:val="24"/>
        </w:rPr>
      </w:pPr>
      <w:r w:rsidRPr="000314A0">
        <w:rPr>
          <w:rFonts w:eastAsia="Times New Roman" w:cs="Arial"/>
          <w:color w:val="000000"/>
          <w:u w:val="single"/>
          <w:lang w:eastAsia="bg-BG"/>
        </w:rPr>
        <w:t xml:space="preserve">Еторикоксиб Тева 90 </w:t>
      </w:r>
      <w:r w:rsidRPr="000314A0">
        <w:rPr>
          <w:rFonts w:eastAsia="Times New Roman" w:cs="Arial"/>
          <w:color w:val="000000"/>
          <w:u w:val="single"/>
          <w:lang w:val="en-US"/>
        </w:rPr>
        <w:t>mg</w:t>
      </w:r>
      <w:r w:rsidRPr="000314A0">
        <w:rPr>
          <w:rFonts w:eastAsia="Times New Roman" w:cs="Arial"/>
          <w:color w:val="000000"/>
          <w:u w:val="single"/>
        </w:rPr>
        <w:t xml:space="preserve"> </w:t>
      </w:r>
      <w:r w:rsidRPr="000314A0">
        <w:rPr>
          <w:rFonts w:eastAsia="Times New Roman" w:cs="Arial"/>
          <w:color w:val="000000"/>
          <w:u w:val="single"/>
          <w:lang w:eastAsia="bg-BG"/>
        </w:rPr>
        <w:t>филмирани таблетки</w:t>
      </w:r>
    </w:p>
    <w:p w14:paraId="62E40945"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Всяка филмирана таблетка съдържа 90 </w:t>
      </w:r>
      <w:r w:rsidRPr="000314A0">
        <w:rPr>
          <w:rFonts w:eastAsia="Times New Roman" w:cs="Arial"/>
          <w:color w:val="000000"/>
          <w:lang w:val="en-US"/>
        </w:rPr>
        <w:t>mg</w:t>
      </w:r>
      <w:r w:rsidRPr="000314A0">
        <w:rPr>
          <w:rFonts w:eastAsia="Times New Roman" w:cs="Arial"/>
          <w:color w:val="000000"/>
        </w:rPr>
        <w:t xml:space="preserve"> </w:t>
      </w:r>
      <w:r w:rsidRPr="000314A0">
        <w:rPr>
          <w:rFonts w:eastAsia="Times New Roman" w:cs="Arial"/>
          <w:color w:val="000000"/>
          <w:lang w:eastAsia="bg-BG"/>
        </w:rPr>
        <w:t xml:space="preserve">еторикоксиб </w:t>
      </w:r>
      <w:r w:rsidRPr="000314A0">
        <w:rPr>
          <w:rFonts w:eastAsia="Times New Roman" w:cs="Arial"/>
          <w:i/>
          <w:iCs/>
          <w:color w:val="000000"/>
        </w:rPr>
        <w:t>(</w:t>
      </w:r>
      <w:proofErr w:type="spellStart"/>
      <w:r w:rsidRPr="000314A0">
        <w:rPr>
          <w:rFonts w:eastAsia="Times New Roman" w:cs="Arial"/>
          <w:i/>
          <w:iCs/>
          <w:color w:val="000000"/>
          <w:lang w:val="en-US"/>
        </w:rPr>
        <w:t>etoricoxib</w:t>
      </w:r>
      <w:proofErr w:type="spellEnd"/>
      <w:r w:rsidRPr="000314A0">
        <w:rPr>
          <w:rFonts w:eastAsia="Times New Roman" w:cs="Arial"/>
          <w:i/>
          <w:iCs/>
          <w:color w:val="000000"/>
        </w:rPr>
        <w:t>).</w:t>
      </w:r>
    </w:p>
    <w:p w14:paraId="38B2AF4E" w14:textId="77777777" w:rsidR="000314A0" w:rsidRPr="000314A0" w:rsidRDefault="000314A0" w:rsidP="000314A0"/>
    <w:p w14:paraId="614984C4" w14:textId="2E660622" w:rsidR="008A6AF2" w:rsidRDefault="00DD466D" w:rsidP="002C50EE">
      <w:pPr>
        <w:pStyle w:val="Heading1"/>
      </w:pPr>
      <w:r>
        <w:t>3. ЛЕКАРСТВЕНА ФОРМА</w:t>
      </w:r>
    </w:p>
    <w:p w14:paraId="1B061973" w14:textId="540B151C" w:rsidR="000314A0" w:rsidRDefault="000314A0" w:rsidP="000314A0"/>
    <w:p w14:paraId="13F6FF03" w14:textId="77777777" w:rsidR="000314A0" w:rsidRPr="000314A0" w:rsidRDefault="000314A0" w:rsidP="000314A0">
      <w:pPr>
        <w:rPr>
          <w:sz w:val="24"/>
          <w:szCs w:val="24"/>
        </w:rPr>
      </w:pPr>
      <w:r w:rsidRPr="000314A0">
        <w:rPr>
          <w:lang w:eastAsia="bg-BG"/>
        </w:rPr>
        <w:t>Филмирани таблетки</w:t>
      </w:r>
    </w:p>
    <w:p w14:paraId="0942890C" w14:textId="77777777" w:rsidR="000314A0" w:rsidRDefault="000314A0" w:rsidP="000314A0">
      <w:pPr>
        <w:rPr>
          <w:lang w:eastAsia="bg-BG"/>
        </w:rPr>
      </w:pPr>
    </w:p>
    <w:p w14:paraId="05A1D1BD" w14:textId="369EE84C" w:rsidR="000314A0" w:rsidRPr="000314A0" w:rsidRDefault="000314A0" w:rsidP="000314A0">
      <w:pPr>
        <w:rPr>
          <w:sz w:val="24"/>
          <w:szCs w:val="24"/>
        </w:rPr>
      </w:pPr>
      <w:r w:rsidRPr="000314A0">
        <w:rPr>
          <w:lang w:eastAsia="bg-BG"/>
        </w:rPr>
        <w:t xml:space="preserve">Таблетка от 60 </w:t>
      </w:r>
      <w:r w:rsidRPr="000314A0">
        <w:rPr>
          <w:lang w:val="en-US"/>
        </w:rPr>
        <w:t>mg</w:t>
      </w:r>
      <w:r w:rsidRPr="000314A0">
        <w:rPr>
          <w:lang w:val="ru-RU"/>
        </w:rPr>
        <w:t xml:space="preserve">: </w:t>
      </w:r>
      <w:r w:rsidRPr="000314A0">
        <w:rPr>
          <w:lang w:eastAsia="bg-BG"/>
        </w:rPr>
        <w:t xml:space="preserve">тъмнозелена, кръгла двойноизпъкнала филмирана таблетка, с вдлъбнато релефно означение "60" от едната страна и гладка от другата с приблизителен диаметър 8 </w:t>
      </w:r>
      <w:r w:rsidRPr="000314A0">
        <w:rPr>
          <w:lang w:val="en-US"/>
        </w:rPr>
        <w:t>mm</w:t>
      </w:r>
      <w:r w:rsidRPr="000314A0">
        <w:rPr>
          <w:lang w:val="ru-RU"/>
        </w:rPr>
        <w:t>.</w:t>
      </w:r>
    </w:p>
    <w:p w14:paraId="2DD09989" w14:textId="77777777" w:rsidR="000314A0" w:rsidRDefault="000314A0" w:rsidP="000314A0">
      <w:pPr>
        <w:rPr>
          <w:lang w:eastAsia="bg-BG"/>
        </w:rPr>
      </w:pPr>
    </w:p>
    <w:p w14:paraId="2BF7E341" w14:textId="5FD5F2CD" w:rsidR="000314A0" w:rsidRPr="000314A0" w:rsidRDefault="000314A0" w:rsidP="000314A0">
      <w:pPr>
        <w:rPr>
          <w:sz w:val="24"/>
          <w:szCs w:val="24"/>
        </w:rPr>
      </w:pPr>
      <w:r w:rsidRPr="000314A0">
        <w:rPr>
          <w:lang w:eastAsia="bg-BG"/>
        </w:rPr>
        <w:t xml:space="preserve">Таблетка от 90 </w:t>
      </w:r>
      <w:r w:rsidRPr="000314A0">
        <w:rPr>
          <w:lang w:val="en-US"/>
        </w:rPr>
        <w:t>mg</w:t>
      </w:r>
      <w:r w:rsidRPr="000314A0">
        <w:rPr>
          <w:lang w:val="ru-RU"/>
        </w:rPr>
        <w:t xml:space="preserve">: </w:t>
      </w:r>
      <w:r w:rsidRPr="000314A0">
        <w:rPr>
          <w:lang w:eastAsia="bg-BG"/>
        </w:rPr>
        <w:t xml:space="preserve">бяла, кръгла, двойноизпъкнала филмирана таблетка, с вдлъбнато релефно означение "90" от едната страна и гладка от другата страна с приблизителен диаметър 9 </w:t>
      </w:r>
      <w:r w:rsidRPr="000314A0">
        <w:rPr>
          <w:lang w:val="en-US"/>
        </w:rPr>
        <w:t>mm</w:t>
      </w:r>
      <w:r w:rsidRPr="000314A0">
        <w:rPr>
          <w:lang w:val="ru-RU"/>
        </w:rPr>
        <w:t>.</w:t>
      </w:r>
    </w:p>
    <w:p w14:paraId="4835C630" w14:textId="77777777" w:rsidR="000314A0" w:rsidRPr="000314A0" w:rsidRDefault="000314A0" w:rsidP="000314A0"/>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5890583E" w:rsidR="00DF4C8E" w:rsidRDefault="00DF4C8E" w:rsidP="00DF4C8E">
      <w:pPr>
        <w:rPr>
          <w:rFonts w:cs="Arial"/>
          <w:sz w:val="24"/>
        </w:rPr>
      </w:pPr>
    </w:p>
    <w:p w14:paraId="50C94925" w14:textId="77777777" w:rsidR="000314A0" w:rsidRPr="000314A0" w:rsidRDefault="000314A0" w:rsidP="000314A0">
      <w:pPr>
        <w:rPr>
          <w:sz w:val="24"/>
          <w:szCs w:val="24"/>
        </w:rPr>
      </w:pPr>
      <w:r w:rsidRPr="000314A0">
        <w:rPr>
          <w:lang w:eastAsia="bg-BG"/>
        </w:rPr>
        <w:t>Еторикоксиб Тева е показан при възрастни и юноши на 16 и повече години за симптоматично облекчение на остеоартрит (ОА), ревматоиден артрит (РА), анкилозиращ спондилит и на болката и възпалителната симптоматика при остър подагрозен артрит.</w:t>
      </w:r>
    </w:p>
    <w:p w14:paraId="6C50DCC5" w14:textId="77777777" w:rsidR="000314A0" w:rsidRDefault="000314A0" w:rsidP="000314A0">
      <w:pPr>
        <w:rPr>
          <w:lang w:eastAsia="bg-BG"/>
        </w:rPr>
      </w:pPr>
    </w:p>
    <w:p w14:paraId="5507E496" w14:textId="704D9B6F" w:rsidR="000314A0" w:rsidRPr="000314A0" w:rsidRDefault="000314A0" w:rsidP="000314A0">
      <w:pPr>
        <w:rPr>
          <w:sz w:val="24"/>
          <w:szCs w:val="24"/>
        </w:rPr>
      </w:pPr>
      <w:r w:rsidRPr="000314A0">
        <w:rPr>
          <w:lang w:eastAsia="bg-BG"/>
        </w:rPr>
        <w:t>Еторикоксиб Тева е показан при възрастни и юноши на 16 и повече години за краткосрочно лечение на умерена болка, свързана с дентална операция.</w:t>
      </w:r>
    </w:p>
    <w:p w14:paraId="2D0D3F99" w14:textId="77777777" w:rsidR="000314A0" w:rsidRDefault="000314A0" w:rsidP="000314A0">
      <w:pPr>
        <w:rPr>
          <w:lang w:eastAsia="bg-BG"/>
        </w:rPr>
      </w:pPr>
    </w:p>
    <w:p w14:paraId="2AD927A9" w14:textId="67D337B6" w:rsidR="000314A0" w:rsidRPr="000314A0" w:rsidRDefault="000314A0" w:rsidP="000314A0">
      <w:pPr>
        <w:rPr>
          <w:sz w:val="24"/>
          <w:szCs w:val="24"/>
        </w:rPr>
      </w:pPr>
      <w:r w:rsidRPr="000314A0">
        <w:rPr>
          <w:lang w:eastAsia="bg-BG"/>
        </w:rPr>
        <w:t>Решението да се предпише селективен СОХ-2 инхибитор, трябва да се базира на цялостна преценка за индивидуалните рискове за пациента (вж. точки 4.3,4.4).</w:t>
      </w:r>
    </w:p>
    <w:p w14:paraId="349615EB" w14:textId="77777777" w:rsidR="000314A0" w:rsidRPr="00DF4C8E" w:rsidRDefault="000314A0" w:rsidP="00DF4C8E">
      <w:pPr>
        <w:rPr>
          <w:rFonts w:cs="Arial"/>
          <w:sz w:val="24"/>
        </w:rPr>
      </w:pPr>
    </w:p>
    <w:p w14:paraId="778B4979" w14:textId="75325DAF" w:rsidR="00DF4C8E" w:rsidRDefault="002C50EE" w:rsidP="00F44498">
      <w:pPr>
        <w:pStyle w:val="Heading2"/>
      </w:pPr>
      <w:r>
        <w:t>4.2. Дозировка и начин на приложение</w:t>
      </w:r>
    </w:p>
    <w:p w14:paraId="284106F9" w14:textId="61B556CC" w:rsidR="000314A0" w:rsidRDefault="000314A0" w:rsidP="000314A0"/>
    <w:p w14:paraId="01B8B88A" w14:textId="77777777" w:rsidR="000314A0" w:rsidRPr="000314A0" w:rsidRDefault="000314A0" w:rsidP="000314A0">
      <w:pPr>
        <w:pStyle w:val="Heading3"/>
        <w:rPr>
          <w:rFonts w:eastAsia="Times New Roman"/>
          <w:u w:val="single"/>
        </w:rPr>
      </w:pPr>
      <w:r w:rsidRPr="000314A0">
        <w:rPr>
          <w:rFonts w:eastAsia="Times New Roman"/>
          <w:u w:val="single"/>
          <w:lang w:eastAsia="bg-BG"/>
        </w:rPr>
        <w:t>Дозировка</w:t>
      </w:r>
    </w:p>
    <w:p w14:paraId="04CFAFDF" w14:textId="6E11D5C1" w:rsidR="000314A0" w:rsidRPr="000314A0" w:rsidRDefault="000314A0" w:rsidP="000314A0">
      <w:pPr>
        <w:rPr>
          <w:rFonts w:eastAsia="Times New Roman" w:cs="Arial"/>
          <w:color w:val="000000"/>
          <w:lang w:eastAsia="bg-BG"/>
        </w:rPr>
      </w:pPr>
      <w:r w:rsidRPr="000314A0">
        <w:rPr>
          <w:rFonts w:eastAsia="Times New Roman" w:cs="Arial"/>
          <w:color w:val="000000"/>
          <w:lang w:eastAsia="bg-BG"/>
        </w:rPr>
        <w:t>Тъй като сърдечно-съдовите рискове при еторикоксиб могат да се увеличат с</w:t>
      </w:r>
      <w:r w:rsidRPr="000314A0">
        <w:rPr>
          <w:rFonts w:eastAsia="Times New Roman" w:cs="Arial"/>
          <w:color w:val="000000"/>
          <w:lang w:val="ru-RU"/>
        </w:rPr>
        <w:t xml:space="preserve"> </w:t>
      </w:r>
      <w:r w:rsidRPr="000314A0">
        <w:rPr>
          <w:rFonts w:eastAsia="Times New Roman" w:cs="Arial"/>
          <w:color w:val="000000"/>
          <w:lang w:eastAsia="bg-BG"/>
        </w:rPr>
        <w:t xml:space="preserve">дозата и продължителността на приложение, трябва да се използва максимално ниска доза за максимално кратък период на приложение. Периодично следва да се прави преоценка на нуждите на пациента от симптоматично облекчение и на отговора на лечението, особено при </w:t>
      </w:r>
      <w:r w:rsidRPr="000314A0">
        <w:rPr>
          <w:rFonts w:eastAsia="Times New Roman" w:cs="Arial"/>
          <w:i/>
          <w:iCs/>
          <w:color w:val="000000"/>
          <w:lang w:eastAsia="bg-BG"/>
        </w:rPr>
        <w:t>пациенти с остеоартрит</w:t>
      </w:r>
      <w:r w:rsidRPr="000314A0">
        <w:rPr>
          <w:rFonts w:eastAsia="Times New Roman" w:cs="Arial"/>
          <w:color w:val="000000"/>
          <w:lang w:eastAsia="bg-BG"/>
        </w:rPr>
        <w:t>(вж. точки 4.3, 4.4,4.8 и 5.1).</w:t>
      </w:r>
    </w:p>
    <w:p w14:paraId="3D424C7E" w14:textId="337D4F85" w:rsidR="000314A0" w:rsidRPr="000314A0" w:rsidRDefault="000314A0" w:rsidP="000314A0">
      <w:pPr>
        <w:rPr>
          <w:rFonts w:eastAsia="Times New Roman" w:cs="Arial"/>
          <w:color w:val="000000"/>
          <w:lang w:eastAsia="bg-BG"/>
        </w:rPr>
      </w:pPr>
    </w:p>
    <w:p w14:paraId="3A49ADBA" w14:textId="77777777"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Остеоартрит</w:t>
      </w:r>
    </w:p>
    <w:p w14:paraId="379A98C7"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Препоръчителната доза е 30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дневно. При някои пациенти с недостатъчно облекчение на симптоматиката, повишаване на дозата на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един път дневно може да повиши ефикасността. При липса на повишаване на терапевтичния ефект следва да се обмислят други терапевтични възможности.</w:t>
      </w:r>
    </w:p>
    <w:p w14:paraId="1A4AD1AC" w14:textId="77777777" w:rsidR="000314A0" w:rsidRPr="000314A0" w:rsidRDefault="000314A0" w:rsidP="000314A0">
      <w:pPr>
        <w:spacing w:line="240" w:lineRule="auto"/>
        <w:rPr>
          <w:rFonts w:eastAsia="Times New Roman" w:cs="Arial"/>
          <w:i/>
          <w:iCs/>
          <w:color w:val="000000"/>
          <w:lang w:eastAsia="bg-BG"/>
        </w:rPr>
      </w:pPr>
    </w:p>
    <w:p w14:paraId="40E3ECD3" w14:textId="6CC9F1B6"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Ревматоиден артрит</w:t>
      </w:r>
    </w:p>
    <w:p w14:paraId="03012F07"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Препоръчителната доза е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дневно. При някои пациенти с недостатъчно облекчение на симптоматиката, повишаване на дозата на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един път дневно може да повиши ефикасността. След като пациентът е клинично стабилизиран, може да е подходящо низходящо титриране до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един път дневно. При липса на повишаване на терапевтичния ефект следва да се обмислят други терапевтични възможности.</w:t>
      </w:r>
    </w:p>
    <w:p w14:paraId="02BBC889" w14:textId="77777777" w:rsidR="000314A0" w:rsidRPr="000314A0" w:rsidRDefault="000314A0" w:rsidP="000314A0">
      <w:pPr>
        <w:spacing w:line="240" w:lineRule="auto"/>
        <w:rPr>
          <w:rFonts w:eastAsia="Times New Roman" w:cs="Arial"/>
          <w:i/>
          <w:iCs/>
          <w:color w:val="000000"/>
          <w:lang w:eastAsia="bg-BG"/>
        </w:rPr>
      </w:pPr>
    </w:p>
    <w:p w14:paraId="5F75C0E2" w14:textId="435A8562"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Анкилозиращ спондилит</w:t>
      </w:r>
    </w:p>
    <w:p w14:paraId="437597CA"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Препоръчителната доза е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дневно. При някои пациенти с недостатъчно облекчение на симптоматиката, повишаване на дозата на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един път дневно може да повиши ефикасността. След като пациентът е клинично стабилизиран, може да е подходящо низходящо титриране до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един път дневно. При липса на повишаване на терапевтичния ефект следва да се обмислят други терапевтични възможности.</w:t>
      </w:r>
    </w:p>
    <w:p w14:paraId="672AA0BA" w14:textId="77777777" w:rsidR="000314A0" w:rsidRPr="000314A0" w:rsidRDefault="000314A0" w:rsidP="000314A0">
      <w:pPr>
        <w:spacing w:line="240" w:lineRule="auto"/>
        <w:rPr>
          <w:rFonts w:eastAsia="Times New Roman" w:cs="Arial"/>
          <w:i/>
          <w:iCs/>
          <w:color w:val="000000"/>
          <w:lang w:eastAsia="bg-BG"/>
        </w:rPr>
      </w:pPr>
    </w:p>
    <w:p w14:paraId="114CEA44" w14:textId="7908F1A1"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Остри състояния на болка</w:t>
      </w:r>
    </w:p>
    <w:p w14:paraId="4EC3E9E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Еторикоксиб трябва да се използва само по време на острия симптоматичен период при състояния на силна болка.</w:t>
      </w:r>
    </w:p>
    <w:p w14:paraId="628162ED" w14:textId="77777777" w:rsidR="000314A0" w:rsidRPr="000314A0" w:rsidRDefault="000314A0" w:rsidP="000314A0">
      <w:pPr>
        <w:spacing w:line="240" w:lineRule="auto"/>
        <w:rPr>
          <w:rFonts w:eastAsia="Times New Roman" w:cs="Arial"/>
          <w:i/>
          <w:iCs/>
          <w:color w:val="000000"/>
          <w:lang w:eastAsia="bg-BG"/>
        </w:rPr>
      </w:pPr>
    </w:p>
    <w:p w14:paraId="4CF1FDEB" w14:textId="6964FE6C"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Остър подагрозен артрит</w:t>
      </w:r>
    </w:p>
    <w:p w14:paraId="7AA6EB85"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Препоръчителната доза е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веднъж дневно. По време на клинични изпитвания за лечение на остър подагрозен артрит еторикоксиб е даван в продължение на 8 дни.</w:t>
      </w:r>
    </w:p>
    <w:p w14:paraId="29CD46D2" w14:textId="77777777" w:rsidR="000314A0" w:rsidRPr="000314A0" w:rsidRDefault="000314A0" w:rsidP="000314A0">
      <w:pPr>
        <w:spacing w:line="240" w:lineRule="auto"/>
        <w:rPr>
          <w:rFonts w:eastAsia="Times New Roman" w:cs="Arial"/>
          <w:i/>
          <w:iCs/>
          <w:color w:val="000000"/>
          <w:lang w:eastAsia="bg-BG"/>
        </w:rPr>
      </w:pPr>
    </w:p>
    <w:p w14:paraId="70A654A2" w14:textId="18BD1B4E"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Постоперативна болка след дентална операция</w:t>
      </w:r>
    </w:p>
    <w:p w14:paraId="3809CCDA"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Препоръчителната доза е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веднъж дневно, ограничено максимум до 3 дни. Някои пациенти може да се нуждаят от друга постоперативна аналгезия в допълнение към Еторикоксиб Тева по време на тридневния период на лечение.</w:t>
      </w:r>
    </w:p>
    <w:p w14:paraId="231572FF" w14:textId="77777777" w:rsidR="000314A0" w:rsidRPr="000314A0" w:rsidRDefault="000314A0" w:rsidP="000314A0">
      <w:pPr>
        <w:spacing w:line="240" w:lineRule="auto"/>
        <w:rPr>
          <w:rFonts w:eastAsia="Times New Roman" w:cs="Arial"/>
          <w:color w:val="000000"/>
          <w:lang w:eastAsia="bg-BG"/>
        </w:rPr>
      </w:pPr>
    </w:p>
    <w:p w14:paraId="6B04A6BA" w14:textId="4322A4B4"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Дози, надхвърлящи препоръчителните за отделните индикации или не са показали по-голяма ефикасност, или не са били проучвани. Затова:</w:t>
      </w:r>
    </w:p>
    <w:p w14:paraId="7C0D1A07" w14:textId="77777777" w:rsidR="000314A0" w:rsidRPr="000314A0" w:rsidRDefault="000314A0" w:rsidP="000314A0">
      <w:pPr>
        <w:spacing w:line="240" w:lineRule="auto"/>
        <w:rPr>
          <w:rFonts w:eastAsia="Times New Roman" w:cs="Arial"/>
          <w:color w:val="000000"/>
          <w:lang w:eastAsia="bg-BG"/>
        </w:rPr>
      </w:pPr>
    </w:p>
    <w:p w14:paraId="2C7D1E1D" w14:textId="08E95FCE"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Дозата за ОА не трябва да надвишава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дневно.</w:t>
      </w:r>
    </w:p>
    <w:p w14:paraId="56F911C8"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Дозата за РА и анкилозиращ спондилит не трябва да надвишава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дневно.</w:t>
      </w:r>
    </w:p>
    <w:p w14:paraId="2C2BF7EE"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lastRenderedPageBreak/>
        <w:t xml:space="preserve">Дозата за остър подагрозен артрит не трябва да надвишава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дневно, като лечението се ограничава максимум до 8 дни.</w:t>
      </w:r>
    </w:p>
    <w:p w14:paraId="2DD329DF"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Дозата за постоперативна силна болка след дентална операция не трябва да надвишава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дневно, ограничено максимум до 3 дни.</w:t>
      </w:r>
    </w:p>
    <w:p w14:paraId="7EDA67DF" w14:textId="77777777" w:rsidR="000314A0" w:rsidRPr="000314A0" w:rsidRDefault="000314A0" w:rsidP="000314A0">
      <w:pPr>
        <w:spacing w:line="240" w:lineRule="auto"/>
        <w:rPr>
          <w:rFonts w:eastAsia="Times New Roman" w:cs="Arial"/>
          <w:color w:val="000000"/>
          <w:u w:val="single"/>
          <w:lang w:eastAsia="bg-BG"/>
        </w:rPr>
      </w:pPr>
    </w:p>
    <w:p w14:paraId="18FA23A2" w14:textId="1DAC8797" w:rsidR="000314A0" w:rsidRPr="000314A0" w:rsidRDefault="000314A0" w:rsidP="000314A0">
      <w:pPr>
        <w:spacing w:line="240" w:lineRule="auto"/>
        <w:rPr>
          <w:rFonts w:eastAsia="Times New Roman" w:cs="Arial"/>
          <w:sz w:val="24"/>
          <w:szCs w:val="24"/>
        </w:rPr>
      </w:pPr>
      <w:r w:rsidRPr="000314A0">
        <w:rPr>
          <w:rFonts w:eastAsia="Times New Roman" w:cs="Arial"/>
          <w:color w:val="000000"/>
          <w:u w:val="single"/>
          <w:lang w:eastAsia="bg-BG"/>
        </w:rPr>
        <w:t>Специални популации</w:t>
      </w:r>
    </w:p>
    <w:p w14:paraId="0C714F27" w14:textId="77777777" w:rsidR="000314A0" w:rsidRPr="000314A0" w:rsidRDefault="000314A0" w:rsidP="000314A0">
      <w:pPr>
        <w:spacing w:line="240" w:lineRule="auto"/>
        <w:rPr>
          <w:rFonts w:eastAsia="Times New Roman" w:cs="Arial"/>
          <w:i/>
          <w:iCs/>
          <w:color w:val="000000"/>
          <w:lang w:eastAsia="bg-BG"/>
        </w:rPr>
      </w:pPr>
    </w:p>
    <w:p w14:paraId="4F35CC9A" w14:textId="1BCFC2CF"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Старческа възраст</w:t>
      </w:r>
    </w:p>
    <w:p w14:paraId="5DF7061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Не се налага коригиране на дозата при пациенти в старческа възраст. Приложението при пациенти в старческа възраст следва да става внимателно (вж. точка 4.4).</w:t>
      </w:r>
    </w:p>
    <w:p w14:paraId="0DB73E29" w14:textId="77777777" w:rsidR="000314A0" w:rsidRPr="000314A0" w:rsidRDefault="000314A0" w:rsidP="000314A0">
      <w:pPr>
        <w:spacing w:line="240" w:lineRule="auto"/>
        <w:rPr>
          <w:rFonts w:eastAsia="Times New Roman" w:cs="Arial"/>
          <w:i/>
          <w:iCs/>
          <w:color w:val="000000"/>
          <w:lang w:eastAsia="bg-BG"/>
        </w:rPr>
      </w:pPr>
    </w:p>
    <w:p w14:paraId="68B25C07" w14:textId="71F6375F"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Чернодробно увреждане</w:t>
      </w:r>
    </w:p>
    <w:p w14:paraId="1D815C0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Независимо от индикацията при пациентите с лека степен на чернодробно увреждане </w:t>
      </w:r>
      <w:r w:rsidRPr="000314A0">
        <w:rPr>
          <w:rFonts w:eastAsia="Times New Roman" w:cs="Arial"/>
          <w:color w:val="000000"/>
          <w:lang w:val="ru-RU"/>
        </w:rPr>
        <w:t>(</w:t>
      </w:r>
      <w:r w:rsidRPr="000314A0">
        <w:rPr>
          <w:rFonts w:eastAsia="Times New Roman" w:cs="Arial"/>
          <w:color w:val="000000"/>
          <w:lang w:val="en-US"/>
        </w:rPr>
        <w:t>Child</w:t>
      </w:r>
      <w:r w:rsidRPr="000314A0">
        <w:rPr>
          <w:rFonts w:eastAsia="Times New Roman" w:cs="Arial"/>
          <w:color w:val="000000"/>
          <w:lang w:val="ru-RU"/>
        </w:rPr>
        <w:t xml:space="preserve">- </w:t>
      </w:r>
      <w:r w:rsidRPr="000314A0">
        <w:rPr>
          <w:rFonts w:eastAsia="Times New Roman" w:cs="Arial"/>
          <w:color w:val="000000"/>
          <w:lang w:val="en-US"/>
        </w:rPr>
        <w:t>Pugh</w:t>
      </w:r>
      <w:r w:rsidRPr="000314A0">
        <w:rPr>
          <w:rFonts w:eastAsia="Times New Roman" w:cs="Arial"/>
          <w:color w:val="000000"/>
          <w:lang w:val="ru-RU"/>
        </w:rPr>
        <w:t xml:space="preserve"> </w:t>
      </w:r>
      <w:r w:rsidRPr="000314A0">
        <w:rPr>
          <w:rFonts w:eastAsia="Times New Roman" w:cs="Arial"/>
          <w:color w:val="000000"/>
          <w:lang w:eastAsia="bg-BG"/>
        </w:rPr>
        <w:t xml:space="preserve">индекс 5-6) не трябва да се надвишава доза от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на ден. При пациентите с умерена степен на чернодробно увреждане </w:t>
      </w:r>
      <w:r w:rsidRPr="000314A0">
        <w:rPr>
          <w:rFonts w:eastAsia="Times New Roman" w:cs="Arial"/>
          <w:color w:val="000000"/>
          <w:lang w:val="ru-RU"/>
        </w:rPr>
        <w:t>(</w:t>
      </w:r>
      <w:r w:rsidRPr="000314A0">
        <w:rPr>
          <w:rFonts w:eastAsia="Times New Roman" w:cs="Arial"/>
          <w:color w:val="000000"/>
          <w:lang w:val="en-US"/>
        </w:rPr>
        <w:t>Child</w:t>
      </w:r>
      <w:r w:rsidRPr="000314A0">
        <w:rPr>
          <w:rFonts w:eastAsia="Times New Roman" w:cs="Arial"/>
          <w:color w:val="000000"/>
          <w:lang w:val="ru-RU"/>
        </w:rPr>
        <w:t>-</w:t>
      </w:r>
      <w:r w:rsidRPr="000314A0">
        <w:rPr>
          <w:rFonts w:eastAsia="Times New Roman" w:cs="Arial"/>
          <w:color w:val="000000"/>
          <w:lang w:val="en-US"/>
        </w:rPr>
        <w:t>Pugh</w:t>
      </w:r>
      <w:r w:rsidRPr="000314A0">
        <w:rPr>
          <w:rFonts w:eastAsia="Times New Roman" w:cs="Arial"/>
          <w:color w:val="000000"/>
          <w:lang w:val="ru-RU"/>
        </w:rPr>
        <w:t xml:space="preserve"> </w:t>
      </w:r>
      <w:r w:rsidRPr="000314A0">
        <w:rPr>
          <w:rFonts w:eastAsia="Times New Roman" w:cs="Arial"/>
          <w:color w:val="000000"/>
          <w:lang w:eastAsia="bg-BG"/>
        </w:rPr>
        <w:t xml:space="preserve">индекс 7-9), независимо от индикацията, дозата от 30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веднъж дневно не трябва да се надхвърля.</w:t>
      </w:r>
    </w:p>
    <w:p w14:paraId="0F04D907" w14:textId="77777777" w:rsidR="000314A0" w:rsidRPr="000314A0" w:rsidRDefault="000314A0" w:rsidP="000314A0">
      <w:pPr>
        <w:rPr>
          <w:rFonts w:eastAsia="Times New Roman" w:cs="Arial"/>
          <w:color w:val="000000"/>
          <w:lang w:eastAsia="bg-BG"/>
        </w:rPr>
      </w:pPr>
    </w:p>
    <w:p w14:paraId="758A02CC" w14:textId="77777777" w:rsidR="000314A0" w:rsidRPr="000314A0" w:rsidRDefault="000314A0" w:rsidP="000314A0">
      <w:pPr>
        <w:rPr>
          <w:rFonts w:eastAsia="Times New Roman" w:cs="Arial"/>
          <w:sz w:val="24"/>
          <w:szCs w:val="24"/>
        </w:rPr>
      </w:pPr>
      <w:r w:rsidRPr="000314A0">
        <w:rPr>
          <w:rFonts w:eastAsia="Times New Roman" w:cs="Arial"/>
          <w:color w:val="000000"/>
          <w:lang w:eastAsia="bg-BG"/>
        </w:rPr>
        <w:t>Клиничният опит е ограничен, особено при пациенти с умерена степен на чернодробно увреждане и затова е необходимо внимание. Няма клиничен опит при пациенти с тежка</w:t>
      </w:r>
      <w:r w:rsidRPr="000314A0">
        <w:rPr>
          <w:rFonts w:eastAsia="Times New Roman" w:cs="Arial"/>
          <w:color w:val="000000"/>
          <w:lang w:val="ru-RU" w:eastAsia="bg-BG"/>
        </w:rPr>
        <w:t xml:space="preserve"> </w:t>
      </w:r>
      <w:r w:rsidRPr="000314A0">
        <w:rPr>
          <w:rFonts w:eastAsia="Times New Roman" w:cs="Arial"/>
          <w:color w:val="000000"/>
          <w:lang w:eastAsia="bg-BG"/>
        </w:rPr>
        <w:t xml:space="preserve">чернодробна недостатъчност </w:t>
      </w:r>
      <w:r w:rsidRPr="000314A0">
        <w:rPr>
          <w:rFonts w:eastAsia="Times New Roman" w:cs="Arial"/>
          <w:color w:val="000000"/>
          <w:lang w:val="ru-RU"/>
        </w:rPr>
        <w:t>(</w:t>
      </w:r>
      <w:r w:rsidRPr="000314A0">
        <w:rPr>
          <w:rFonts w:eastAsia="Times New Roman" w:cs="Arial"/>
          <w:color w:val="000000"/>
          <w:lang w:val="en-US"/>
        </w:rPr>
        <w:t>Child</w:t>
      </w:r>
      <w:r w:rsidRPr="000314A0">
        <w:rPr>
          <w:rFonts w:eastAsia="Times New Roman" w:cs="Arial"/>
          <w:color w:val="000000"/>
          <w:lang w:val="ru-RU"/>
        </w:rPr>
        <w:t>-</w:t>
      </w:r>
      <w:r w:rsidRPr="000314A0">
        <w:rPr>
          <w:rFonts w:eastAsia="Times New Roman" w:cs="Arial"/>
          <w:color w:val="000000"/>
          <w:lang w:val="en-US"/>
        </w:rPr>
        <w:t>Pugh</w:t>
      </w:r>
      <w:r w:rsidRPr="000314A0">
        <w:rPr>
          <w:rFonts w:eastAsia="Times New Roman" w:cs="Arial"/>
          <w:color w:val="000000"/>
          <w:lang w:val="ru-RU"/>
        </w:rPr>
        <w:t xml:space="preserve"> </w:t>
      </w:r>
      <w:r w:rsidRPr="000314A0">
        <w:rPr>
          <w:rFonts w:eastAsia="Times New Roman" w:cs="Arial"/>
          <w:color w:val="000000"/>
          <w:lang w:eastAsia="bg-BG"/>
        </w:rPr>
        <w:t>индекс ≥10), затова прилагането на лекарството в такива случаи е противопоказано (вж. точки 4.3,4.4. и 5.2).</w:t>
      </w:r>
    </w:p>
    <w:p w14:paraId="11E57FA8" w14:textId="77777777" w:rsidR="000314A0" w:rsidRPr="000314A0" w:rsidRDefault="000314A0" w:rsidP="000314A0">
      <w:pPr>
        <w:spacing w:line="240" w:lineRule="auto"/>
        <w:rPr>
          <w:rFonts w:eastAsia="Times New Roman" w:cs="Arial"/>
          <w:i/>
          <w:iCs/>
          <w:color w:val="000000"/>
          <w:lang w:eastAsia="bg-BG"/>
        </w:rPr>
      </w:pPr>
    </w:p>
    <w:p w14:paraId="4A9A348F" w14:textId="609010E8"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Бъбречно увреждане</w:t>
      </w:r>
    </w:p>
    <w:p w14:paraId="18DF33E2"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Не се налага коригиране на дозата при пациенти с креатининов клирънс ≥30 </w:t>
      </w:r>
      <w:r w:rsidRPr="000314A0">
        <w:rPr>
          <w:rFonts w:eastAsia="Times New Roman" w:cs="Arial"/>
          <w:color w:val="000000"/>
          <w:lang w:val="en-US"/>
        </w:rPr>
        <w:t>ml</w:t>
      </w:r>
      <w:r w:rsidRPr="000314A0">
        <w:rPr>
          <w:rFonts w:eastAsia="Times New Roman" w:cs="Arial"/>
          <w:color w:val="000000"/>
          <w:lang w:eastAsia="bg-BG"/>
        </w:rPr>
        <w:t xml:space="preserve">/минута (вж. точка 5.2). Употребата на еторикоксиб при пациента с креатининов клирънс &lt;30 </w:t>
      </w:r>
      <w:r w:rsidRPr="000314A0">
        <w:rPr>
          <w:rFonts w:eastAsia="Times New Roman" w:cs="Arial"/>
          <w:color w:val="000000"/>
          <w:lang w:val="en-US"/>
        </w:rPr>
        <w:t>ml</w:t>
      </w:r>
      <w:r w:rsidRPr="000314A0">
        <w:rPr>
          <w:rFonts w:eastAsia="Times New Roman" w:cs="Arial"/>
          <w:color w:val="000000"/>
          <w:lang w:eastAsia="bg-BG"/>
        </w:rPr>
        <w:t>/минута е противопоказано (вж. точки 4.3 и 4.4).</w:t>
      </w:r>
    </w:p>
    <w:p w14:paraId="55C2B0A1" w14:textId="77777777" w:rsidR="000314A0" w:rsidRPr="000314A0" w:rsidRDefault="000314A0" w:rsidP="000314A0">
      <w:pPr>
        <w:spacing w:line="240" w:lineRule="auto"/>
        <w:rPr>
          <w:rFonts w:eastAsia="Times New Roman" w:cs="Arial"/>
          <w:i/>
          <w:iCs/>
          <w:color w:val="000000"/>
          <w:lang w:eastAsia="bg-BG"/>
        </w:rPr>
      </w:pPr>
    </w:p>
    <w:p w14:paraId="45D62816" w14:textId="2C5F0EAC"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Педиатрична популация</w:t>
      </w:r>
    </w:p>
    <w:p w14:paraId="43CCBCAB"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Еторикоксиб е противопоказан за употреба при деца и юноши на възраст под 16 години (вж. точка 4.3).</w:t>
      </w:r>
    </w:p>
    <w:p w14:paraId="56568B5A" w14:textId="77777777" w:rsidR="000314A0" w:rsidRPr="000314A0" w:rsidRDefault="000314A0" w:rsidP="000314A0">
      <w:pPr>
        <w:spacing w:line="240" w:lineRule="auto"/>
        <w:rPr>
          <w:rFonts w:eastAsia="Times New Roman" w:cs="Arial"/>
          <w:color w:val="000000"/>
          <w:u w:val="single"/>
          <w:lang w:eastAsia="bg-BG"/>
        </w:rPr>
      </w:pPr>
    </w:p>
    <w:p w14:paraId="206EBC72" w14:textId="28FEE9A8" w:rsidR="000314A0" w:rsidRPr="000314A0" w:rsidRDefault="000314A0" w:rsidP="000314A0">
      <w:pPr>
        <w:pStyle w:val="Heading3"/>
        <w:rPr>
          <w:rFonts w:eastAsia="Times New Roman"/>
          <w:u w:val="single"/>
        </w:rPr>
      </w:pPr>
      <w:r w:rsidRPr="000314A0">
        <w:rPr>
          <w:rFonts w:eastAsia="Times New Roman"/>
          <w:u w:val="single"/>
          <w:lang w:eastAsia="bg-BG"/>
        </w:rPr>
        <w:t>Начин на приложение</w:t>
      </w:r>
    </w:p>
    <w:p w14:paraId="3FC69D6B" w14:textId="77777777" w:rsidR="000314A0" w:rsidRPr="000314A0" w:rsidRDefault="000314A0" w:rsidP="000314A0">
      <w:pPr>
        <w:spacing w:line="240" w:lineRule="auto"/>
        <w:rPr>
          <w:rFonts w:eastAsia="Times New Roman" w:cs="Arial"/>
          <w:color w:val="000000"/>
          <w:lang w:eastAsia="bg-BG"/>
        </w:rPr>
      </w:pPr>
    </w:p>
    <w:p w14:paraId="53403076" w14:textId="512CD3CF"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Еторикоксиб Тева е за перорално приложение и може да бъде приеман на гладно или по време на хранене. Ефектът на лекарствения продукт може да настъпи по-бързо, когато Еторикоксиб Тева се приема на гладно. Това трябва да се има предвид, когато е необходимо да се постигне бързо повлияване на симптоматиката.</w:t>
      </w:r>
    </w:p>
    <w:p w14:paraId="0BAF91A4" w14:textId="6972EBF6" w:rsidR="000314A0" w:rsidRPr="000314A0" w:rsidRDefault="000314A0" w:rsidP="000314A0"/>
    <w:p w14:paraId="6A85390E" w14:textId="1402EF13" w:rsidR="00DF4C8E" w:rsidRDefault="002C50EE" w:rsidP="00F44498">
      <w:pPr>
        <w:pStyle w:val="Heading2"/>
      </w:pPr>
      <w:r>
        <w:t>4.3. Противопоказания</w:t>
      </w:r>
    </w:p>
    <w:p w14:paraId="4F9A6F6A" w14:textId="78D31CB9" w:rsidR="000314A0" w:rsidRDefault="000314A0" w:rsidP="000314A0"/>
    <w:p w14:paraId="63D1419F"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Свръхчувствителност към активната съставка или някое от помощните вещества, изброени в точка 6.1.</w:t>
      </w:r>
    </w:p>
    <w:p w14:paraId="1CA060F4"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Активна пептична язва или активно кървене от стомашно-чревния (СЧ) тракт.</w:t>
      </w:r>
    </w:p>
    <w:p w14:paraId="0C5430A5"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Пациенти, които след прием на ацетилсалицилова киселина или НСПВС, включително СОХ-2 (цикпооксигеназа-2) инхибитори, проявяват бронхоспазъм, остър ринит, носни полипи, ангионевротичен едем, уртикария или алергични реакции.</w:t>
      </w:r>
    </w:p>
    <w:p w14:paraId="4C7C431B"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Бременност и кърмене (вж. точки 4.6 и 5.3).</w:t>
      </w:r>
    </w:p>
    <w:p w14:paraId="448BA0FE"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lastRenderedPageBreak/>
        <w:t xml:space="preserve">Тежка чернодробна недостатъчност (серумен албумин &lt;25 </w:t>
      </w:r>
      <w:r w:rsidRPr="000314A0">
        <w:rPr>
          <w:rFonts w:eastAsia="Times New Roman" w:cs="Arial"/>
          <w:color w:val="000000"/>
          <w:lang w:val="en-US"/>
        </w:rPr>
        <w:t>g</w:t>
      </w:r>
      <w:r w:rsidRPr="000314A0">
        <w:rPr>
          <w:rFonts w:eastAsia="Times New Roman" w:cs="Arial"/>
          <w:color w:val="000000"/>
          <w:lang w:val="ru-RU"/>
        </w:rPr>
        <w:t>/</w:t>
      </w:r>
      <w:r w:rsidRPr="000314A0">
        <w:rPr>
          <w:rFonts w:eastAsia="Times New Roman" w:cs="Arial"/>
          <w:color w:val="000000"/>
          <w:lang w:val="en-US"/>
        </w:rPr>
        <w:t>l</w:t>
      </w:r>
      <w:r w:rsidRPr="000314A0">
        <w:rPr>
          <w:rFonts w:eastAsia="Times New Roman" w:cs="Arial"/>
          <w:color w:val="000000"/>
          <w:lang w:val="ru-RU"/>
        </w:rPr>
        <w:t xml:space="preserve"> </w:t>
      </w:r>
      <w:r w:rsidRPr="000314A0">
        <w:rPr>
          <w:rFonts w:eastAsia="Times New Roman" w:cs="Arial"/>
          <w:color w:val="000000"/>
          <w:lang w:eastAsia="bg-BG"/>
        </w:rPr>
        <w:t xml:space="preserve">или </w:t>
      </w:r>
      <w:r w:rsidRPr="000314A0">
        <w:rPr>
          <w:rFonts w:eastAsia="Times New Roman" w:cs="Arial"/>
          <w:color w:val="000000"/>
          <w:lang w:val="en-US"/>
        </w:rPr>
        <w:t>Child</w:t>
      </w:r>
      <w:r w:rsidRPr="000314A0">
        <w:rPr>
          <w:rFonts w:eastAsia="Times New Roman" w:cs="Arial"/>
          <w:color w:val="000000"/>
          <w:lang w:val="ru-RU"/>
        </w:rPr>
        <w:t>-</w:t>
      </w:r>
      <w:r w:rsidRPr="000314A0">
        <w:rPr>
          <w:rFonts w:eastAsia="Times New Roman" w:cs="Arial"/>
          <w:color w:val="000000"/>
          <w:lang w:val="en-US"/>
        </w:rPr>
        <w:t>Pugh</w:t>
      </w:r>
      <w:r w:rsidRPr="000314A0">
        <w:rPr>
          <w:rFonts w:eastAsia="Times New Roman" w:cs="Arial"/>
          <w:color w:val="000000"/>
          <w:lang w:val="ru-RU"/>
        </w:rPr>
        <w:t xml:space="preserve"> </w:t>
      </w:r>
      <w:r w:rsidRPr="000314A0">
        <w:rPr>
          <w:rFonts w:eastAsia="Times New Roman" w:cs="Arial"/>
          <w:color w:val="000000"/>
          <w:lang w:eastAsia="bg-BG"/>
        </w:rPr>
        <w:t>индекс &gt;10).</w:t>
      </w:r>
    </w:p>
    <w:p w14:paraId="0D74B80E"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 xml:space="preserve">Изследван бъбречен креатининов клирънс &lt;30 </w:t>
      </w:r>
      <w:r w:rsidRPr="000314A0">
        <w:rPr>
          <w:rFonts w:eastAsia="Times New Roman" w:cs="Arial"/>
          <w:color w:val="000000"/>
          <w:lang w:val="en-US"/>
        </w:rPr>
        <w:t>ml</w:t>
      </w:r>
      <w:r w:rsidRPr="000314A0">
        <w:rPr>
          <w:rFonts w:eastAsia="Times New Roman" w:cs="Arial"/>
          <w:color w:val="000000"/>
          <w:lang w:eastAsia="bg-BG"/>
        </w:rPr>
        <w:t>/минута.</w:t>
      </w:r>
    </w:p>
    <w:p w14:paraId="35C47776"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Деца и юноши под 16-годишна възраст.</w:t>
      </w:r>
    </w:p>
    <w:p w14:paraId="4ABB9CAA"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Възпалителни заболявания на червата.</w:t>
      </w:r>
    </w:p>
    <w:p w14:paraId="176748CB"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 xml:space="preserve">Застойна сърдечна недостатъчност </w:t>
      </w:r>
      <w:r w:rsidRPr="000314A0">
        <w:rPr>
          <w:rFonts w:eastAsia="Times New Roman" w:cs="Arial"/>
          <w:color w:val="000000"/>
          <w:lang w:val="ru-RU"/>
        </w:rPr>
        <w:t>(</w:t>
      </w:r>
      <w:r w:rsidRPr="000314A0">
        <w:rPr>
          <w:rFonts w:eastAsia="Times New Roman" w:cs="Arial"/>
          <w:color w:val="000000"/>
          <w:lang w:val="en-US"/>
        </w:rPr>
        <w:t>NYHA</w:t>
      </w:r>
      <w:r w:rsidRPr="000314A0">
        <w:rPr>
          <w:rFonts w:eastAsia="Times New Roman" w:cs="Arial"/>
          <w:color w:val="000000"/>
          <w:lang w:val="ru-RU"/>
        </w:rPr>
        <w:t xml:space="preserve"> </w:t>
      </w:r>
      <w:r w:rsidRPr="000314A0">
        <w:rPr>
          <w:rFonts w:eastAsia="Times New Roman" w:cs="Arial"/>
          <w:color w:val="000000"/>
          <w:lang w:val="en-US"/>
        </w:rPr>
        <w:t>II</w:t>
      </w:r>
      <w:r w:rsidRPr="000314A0">
        <w:rPr>
          <w:rFonts w:eastAsia="Times New Roman" w:cs="Arial"/>
          <w:color w:val="000000"/>
          <w:lang w:val="ru-RU"/>
        </w:rPr>
        <w:t>-</w:t>
      </w:r>
      <w:r w:rsidRPr="000314A0">
        <w:rPr>
          <w:rFonts w:eastAsia="Times New Roman" w:cs="Arial"/>
          <w:color w:val="000000"/>
          <w:lang w:val="en-US"/>
        </w:rPr>
        <w:t>IV</w:t>
      </w:r>
      <w:r w:rsidRPr="000314A0">
        <w:rPr>
          <w:rFonts w:eastAsia="Times New Roman" w:cs="Arial"/>
          <w:color w:val="000000"/>
          <w:lang w:val="ru-RU"/>
        </w:rPr>
        <w:t>).</w:t>
      </w:r>
    </w:p>
    <w:p w14:paraId="68EDC95E" w14:textId="77777777"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 xml:space="preserve">Пациенти с хипертония, чието кръвно налягане е трайно повишено над 140/90 </w:t>
      </w:r>
      <w:r w:rsidRPr="000314A0">
        <w:rPr>
          <w:rFonts w:eastAsia="Times New Roman" w:cs="Arial"/>
          <w:color w:val="000000"/>
          <w:lang w:val="en-US"/>
        </w:rPr>
        <w:t>mmHg</w:t>
      </w:r>
      <w:r w:rsidRPr="000314A0">
        <w:rPr>
          <w:rFonts w:eastAsia="Times New Roman" w:cs="Arial"/>
          <w:color w:val="000000"/>
          <w:lang w:val="ru-RU"/>
        </w:rPr>
        <w:t xml:space="preserve"> </w:t>
      </w:r>
      <w:r w:rsidRPr="000314A0">
        <w:rPr>
          <w:rFonts w:eastAsia="Times New Roman" w:cs="Arial"/>
          <w:color w:val="000000"/>
          <w:lang w:eastAsia="bg-BG"/>
        </w:rPr>
        <w:t>и не е адекватно контролирано.</w:t>
      </w:r>
    </w:p>
    <w:p w14:paraId="22232E3E" w14:textId="74DD4D5C" w:rsidR="000314A0" w:rsidRPr="000314A0" w:rsidRDefault="000314A0" w:rsidP="000314A0">
      <w:pPr>
        <w:pStyle w:val="ListParagraph"/>
        <w:numPr>
          <w:ilvl w:val="0"/>
          <w:numId w:val="34"/>
        </w:numPr>
        <w:spacing w:line="240" w:lineRule="auto"/>
        <w:rPr>
          <w:rFonts w:eastAsia="Times New Roman" w:cs="Arial"/>
          <w:sz w:val="24"/>
          <w:szCs w:val="24"/>
        </w:rPr>
      </w:pPr>
      <w:r w:rsidRPr="000314A0">
        <w:rPr>
          <w:rFonts w:eastAsia="Times New Roman" w:cs="Arial"/>
          <w:color w:val="000000"/>
          <w:lang w:eastAsia="bg-BG"/>
        </w:rPr>
        <w:t>Установена исхемична болест на сърцето, заболявания на периферните артериални съдове и/или мозъчно-съдово заболяване.</w:t>
      </w:r>
    </w:p>
    <w:p w14:paraId="5601D5AC" w14:textId="77777777" w:rsidR="000314A0" w:rsidRPr="000314A0" w:rsidRDefault="000314A0" w:rsidP="000314A0"/>
    <w:p w14:paraId="115C9528" w14:textId="231AEFB6" w:rsidR="00DF4C8E" w:rsidRDefault="002C50EE" w:rsidP="00F44498">
      <w:pPr>
        <w:pStyle w:val="Heading2"/>
      </w:pPr>
      <w:r>
        <w:t>4.4. Специални предупреждения и предпазни мерки при употреба</w:t>
      </w:r>
    </w:p>
    <w:p w14:paraId="5B6AEB89" w14:textId="2FDADF7B" w:rsidR="000314A0" w:rsidRDefault="000314A0" w:rsidP="000314A0"/>
    <w:p w14:paraId="24C984CE" w14:textId="77777777"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Стомашно-чревни ефекти</w:t>
      </w:r>
    </w:p>
    <w:p w14:paraId="61F88EC7"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Усложнения от горните отдели на стомашно-чревния тракт (перфорации, язви или кървене </w:t>
      </w:r>
      <w:r w:rsidRPr="000314A0">
        <w:rPr>
          <w:rFonts w:eastAsia="Times New Roman" w:cs="Arial"/>
          <w:color w:val="000000"/>
          <w:lang w:val="ru-RU"/>
        </w:rPr>
        <w:t>(</w:t>
      </w:r>
      <w:r w:rsidRPr="000314A0">
        <w:rPr>
          <w:rFonts w:eastAsia="Times New Roman" w:cs="Arial"/>
          <w:color w:val="000000"/>
          <w:lang w:val="en-US"/>
        </w:rPr>
        <w:t>PUBs</w:t>
      </w:r>
      <w:r w:rsidRPr="000314A0">
        <w:rPr>
          <w:rFonts w:eastAsia="Times New Roman" w:cs="Arial"/>
          <w:color w:val="000000"/>
          <w:lang w:val="ru-RU"/>
        </w:rPr>
        <w:t xml:space="preserve">), </w:t>
      </w:r>
      <w:r w:rsidRPr="000314A0">
        <w:rPr>
          <w:rFonts w:eastAsia="Times New Roman" w:cs="Arial"/>
          <w:color w:val="000000"/>
          <w:lang w:eastAsia="bg-BG"/>
        </w:rPr>
        <w:t>някои от които с фатален изход, са настъпили при пациента лекувани с еторикоксиб.</w:t>
      </w:r>
    </w:p>
    <w:p w14:paraId="05F1F797" w14:textId="77777777" w:rsidR="000314A0" w:rsidRPr="000314A0" w:rsidRDefault="000314A0" w:rsidP="000314A0">
      <w:pPr>
        <w:spacing w:line="240" w:lineRule="auto"/>
        <w:rPr>
          <w:rFonts w:eastAsia="Times New Roman" w:cs="Arial"/>
          <w:color w:val="000000"/>
          <w:lang w:eastAsia="bg-BG"/>
        </w:rPr>
      </w:pPr>
    </w:p>
    <w:p w14:paraId="178A4E20" w14:textId="2296957F"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Внимателно трябва да се подхожда при пациенти с риск от развитие на стомашно-чревни усложнения от НСПВС: пациенти в старческа възраст, пациенти, приемащи едновременно и други НСПВС или ацетилсалицилова киселина, или пациенти с прекарани стомашно-чревни заболявания, като язва и кървене от стомашно-чревния тракт.</w:t>
      </w:r>
    </w:p>
    <w:p w14:paraId="794336B4" w14:textId="77777777" w:rsidR="000314A0" w:rsidRPr="000314A0" w:rsidRDefault="000314A0" w:rsidP="000314A0">
      <w:pPr>
        <w:rPr>
          <w:rFonts w:eastAsia="Times New Roman" w:cs="Arial"/>
          <w:color w:val="000000"/>
          <w:lang w:eastAsia="bg-BG"/>
        </w:rPr>
      </w:pPr>
    </w:p>
    <w:p w14:paraId="7ABC3D0F" w14:textId="2EB41627" w:rsidR="000314A0" w:rsidRPr="000314A0" w:rsidRDefault="000314A0" w:rsidP="000314A0">
      <w:pPr>
        <w:rPr>
          <w:rFonts w:eastAsia="Times New Roman" w:cs="Arial"/>
          <w:color w:val="000000"/>
          <w:lang w:eastAsia="bg-BG"/>
        </w:rPr>
      </w:pPr>
      <w:r w:rsidRPr="000314A0">
        <w:rPr>
          <w:rFonts w:eastAsia="Times New Roman" w:cs="Arial"/>
          <w:color w:val="000000"/>
          <w:lang w:eastAsia="bg-BG"/>
        </w:rPr>
        <w:t xml:space="preserve">Има допълнително увеличаване на риска от стомашно-чревни нежелани лекарствени (стомашно-чревна язва или други стомашно-чревни усложнения), когато </w:t>
      </w:r>
      <w:r w:rsidRPr="000314A0">
        <w:rPr>
          <w:rFonts w:eastAsia="Times New Roman" w:cs="Arial"/>
          <w:i/>
          <w:iCs/>
          <w:color w:val="000000"/>
          <w:lang w:eastAsia="bg-BG"/>
        </w:rPr>
        <w:t xml:space="preserve">еторикоксиб се </w:t>
      </w:r>
      <w:r w:rsidRPr="000314A0">
        <w:rPr>
          <w:rFonts w:eastAsia="Times New Roman" w:cs="Arial"/>
          <w:color w:val="000000"/>
          <w:lang w:eastAsia="bg-BG"/>
        </w:rPr>
        <w:t>приема заедно с ацетилсалицилова киселина (дори и в ниски дози). Значителна разлика по отношение на стомашно-чревната безопасност между селективни СОХ-2 инхибитори+ ацетилсалицилова киселина спрямо НСПВС + ацетилсалицилова киселина демонстрирана в дългосрочни клинични проучвания (вж. точка 5.1).</w:t>
      </w:r>
    </w:p>
    <w:p w14:paraId="4DC295C8" w14:textId="3CF8FBAA" w:rsidR="000314A0" w:rsidRPr="000314A0" w:rsidRDefault="000314A0" w:rsidP="000314A0">
      <w:pPr>
        <w:rPr>
          <w:rFonts w:eastAsia="Times New Roman" w:cs="Arial"/>
          <w:color w:val="000000"/>
          <w:lang w:eastAsia="bg-BG"/>
        </w:rPr>
      </w:pPr>
    </w:p>
    <w:p w14:paraId="60E98F8A" w14:textId="77777777"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Сърдечносъдови ефекти</w:t>
      </w:r>
    </w:p>
    <w:p w14:paraId="7B34993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Клинични проучвания предполагат, че лекарственият клас на селективните СОХ-2 инхибитори може да бъде свързан с риск от тромботични инциденти (особено миокарден инфаркт (МИ) и инсулт), в сравнение с плацебо и някои НСПВС. Сърдечно-съдовите рискове при прилагането на еторикоксиб могат да нараснат с увеличаване на дозата и продължителността на прилагане, поради което трябва да се използват най-ниските ефективни дози за най-кратък период от време. Необходимостта на пациента от симптоматично облекчаване и отговора спрямо терапията трябва да бъде периодично преоценявана, особено при пациенти с остеоартрит (вж. точки 4.2, 4.3,4.8 и 5.1).</w:t>
      </w:r>
    </w:p>
    <w:p w14:paraId="372CF7F1" w14:textId="77777777" w:rsidR="000314A0" w:rsidRPr="000314A0" w:rsidRDefault="000314A0" w:rsidP="000314A0">
      <w:pPr>
        <w:spacing w:line="240" w:lineRule="auto"/>
        <w:rPr>
          <w:rFonts w:eastAsia="Times New Roman" w:cs="Arial"/>
          <w:color w:val="000000"/>
          <w:lang w:eastAsia="bg-BG"/>
        </w:rPr>
      </w:pPr>
    </w:p>
    <w:p w14:paraId="2BE7BFE2" w14:textId="594B41ED"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Пациенти със значителни рискови фактори за сърдечно-съдови инциденти (например хипертония, хиперлипидемия, диабет, тютюнопушене) трябва да бъдат лекувани с еторикоксиб след внимателно обмисляне (вж. точка 5.1).</w:t>
      </w:r>
    </w:p>
    <w:p w14:paraId="0B7837B0" w14:textId="77777777" w:rsidR="000314A0" w:rsidRPr="000314A0" w:rsidRDefault="000314A0" w:rsidP="000314A0">
      <w:pPr>
        <w:spacing w:line="240" w:lineRule="auto"/>
        <w:rPr>
          <w:rFonts w:eastAsia="Times New Roman" w:cs="Arial"/>
          <w:color w:val="000000"/>
          <w:lang w:eastAsia="bg-BG"/>
        </w:rPr>
      </w:pPr>
    </w:p>
    <w:p w14:paraId="74B90B5A" w14:textId="5330A008"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СОХ-2 селективните инхибитори не заместват ацетилсалициловата киселина (аспирин) при профилактика на сърдечно-съдови тромбоемболични заболявалия поради липсата на антиагрегантен ефект. Поради това антиагрегантната терапия не трябва да бъде прекъсвана (вж. точки 4.5 и 5.1.).</w:t>
      </w:r>
    </w:p>
    <w:p w14:paraId="11E215E1" w14:textId="77777777" w:rsidR="000314A0" w:rsidRPr="000314A0" w:rsidRDefault="000314A0" w:rsidP="000314A0">
      <w:pPr>
        <w:spacing w:line="240" w:lineRule="auto"/>
        <w:rPr>
          <w:rFonts w:eastAsia="Times New Roman" w:cs="Arial"/>
          <w:i/>
          <w:iCs/>
          <w:color w:val="000000"/>
          <w:lang w:eastAsia="bg-BG"/>
        </w:rPr>
      </w:pPr>
    </w:p>
    <w:p w14:paraId="79F57C1F" w14:textId="1DFD1A2E"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Ефекти върху бъбреците</w:t>
      </w:r>
    </w:p>
    <w:p w14:paraId="59A797F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Бъбречните простагландини може да имат важна роля в поддържането на бъбречната перфузия. Затова при наличието на компрометирана бъбречна перфузия, прилагането на еторикоксиб може да предизвика вторично, посредством намаляване на производството на простагландини, редуциране на бъбречния кръвоток и увреждане на бъбречната функция. Пациентите с най- висок риск в това отношение са тези, които имат предхождащо значимо увреждане на бъбречната функция, некомпенсирана сърдечна недостатъчност или цироза. При такива пациенти следва да се има предвид мониторирането на бъбречната функция.</w:t>
      </w:r>
    </w:p>
    <w:p w14:paraId="7E8C8380" w14:textId="77777777" w:rsidR="000314A0" w:rsidRPr="000314A0" w:rsidRDefault="000314A0" w:rsidP="000314A0">
      <w:pPr>
        <w:spacing w:line="240" w:lineRule="auto"/>
        <w:rPr>
          <w:rFonts w:eastAsia="Times New Roman" w:cs="Arial"/>
          <w:i/>
          <w:iCs/>
          <w:color w:val="000000"/>
          <w:lang w:eastAsia="bg-BG"/>
        </w:rPr>
      </w:pPr>
    </w:p>
    <w:p w14:paraId="0D7E9FF4" w14:textId="296E10F0"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Задръжка на течности, оток и хипертония</w:t>
      </w:r>
    </w:p>
    <w:p w14:paraId="4DCAFB5A"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Както и с други лекарствени продукти, за които е известно, че потискат простагландиновата синтеза, са били наблюдавани задръжка на течности, оток и хипертония при пациенти на лечение с еторикоксиб. Всички нестероидни противовъзпалителни средства (НСПВС), включително еторикоксиб, могат да се свържат с новопоявила се или рекурентна застойна сърдечна недостатъчност. За информация относно определяния от дозата отговор при еторикоксиб вижте точка 5.1. Внимателно трябва да се подхожда към пациентите с анамнеза за сърдечна недостатъчност, левокамерна дисфункция или хипертония, както и към пациенти с предхождащ оток по други причини. Ако има клинични данни за влошаване на състоянието на тези пациенти, следва да се предприемат подходящи мерки, в това число и прекратяване на лечението с еторикоксиб.</w:t>
      </w:r>
    </w:p>
    <w:p w14:paraId="13FB2D74" w14:textId="77777777" w:rsidR="000314A0" w:rsidRPr="000314A0" w:rsidRDefault="000314A0" w:rsidP="000314A0">
      <w:pPr>
        <w:spacing w:line="240" w:lineRule="auto"/>
        <w:rPr>
          <w:rFonts w:eastAsia="Times New Roman" w:cs="Arial"/>
          <w:color w:val="000000"/>
          <w:lang w:eastAsia="bg-BG"/>
        </w:rPr>
      </w:pPr>
    </w:p>
    <w:p w14:paraId="7F198FDF" w14:textId="6F9DCE2B"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Еторикоксиб може да бъде свързан с проява на по-честа и тежка хипертония в сравнение с други НСПВС и селективни СОХ-2 инхибитори, особено при високи дози. Поради това хипертонията трябва да бъде контролирана преди лечението с еторикоксиб (вж. точка 4.3) и трябва да се обърне особено внимание на проследяване на кръвното налягане по време на лечението с еторикоксиб. Кръвното налягане следва да бъде контролирано до две седмици от започване на лечението и периодично след това. Ако кръвното налягане значително се повиши трябва да се помисли за алтернативно лечение.</w:t>
      </w:r>
    </w:p>
    <w:p w14:paraId="1EC4FEE7" w14:textId="77777777" w:rsidR="000314A0" w:rsidRPr="000314A0" w:rsidRDefault="000314A0" w:rsidP="000314A0">
      <w:pPr>
        <w:spacing w:line="240" w:lineRule="auto"/>
        <w:rPr>
          <w:rFonts w:eastAsia="Times New Roman" w:cs="Arial"/>
          <w:i/>
          <w:iCs/>
          <w:color w:val="000000"/>
          <w:lang w:eastAsia="bg-BG"/>
        </w:rPr>
      </w:pPr>
    </w:p>
    <w:p w14:paraId="12B15899" w14:textId="260B68EC"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Ефекти върху черния дроб</w:t>
      </w:r>
    </w:p>
    <w:p w14:paraId="38A09F5A"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Повишаване на аланин аминотрансферазата </w:t>
      </w:r>
      <w:r w:rsidRPr="000314A0">
        <w:rPr>
          <w:rFonts w:eastAsia="Times New Roman" w:cs="Arial"/>
          <w:color w:val="000000"/>
          <w:lang w:val="ru-RU"/>
        </w:rPr>
        <w:t>(</w:t>
      </w:r>
      <w:r w:rsidRPr="000314A0">
        <w:rPr>
          <w:rFonts w:eastAsia="Times New Roman" w:cs="Arial"/>
          <w:color w:val="000000"/>
          <w:lang w:val="en-US"/>
        </w:rPr>
        <w:t>ALT</w:t>
      </w:r>
      <w:r w:rsidRPr="000314A0">
        <w:rPr>
          <w:rFonts w:eastAsia="Times New Roman" w:cs="Arial"/>
          <w:color w:val="000000"/>
          <w:lang w:val="ru-RU"/>
        </w:rPr>
        <w:t xml:space="preserve">) </w:t>
      </w:r>
      <w:r w:rsidRPr="000314A0">
        <w:rPr>
          <w:rFonts w:eastAsia="Times New Roman" w:cs="Arial"/>
          <w:color w:val="000000"/>
          <w:lang w:eastAsia="bg-BG"/>
        </w:rPr>
        <w:t xml:space="preserve">и/или аспартат аминотрансферазата </w:t>
      </w:r>
      <w:r w:rsidRPr="000314A0">
        <w:rPr>
          <w:rFonts w:eastAsia="Times New Roman" w:cs="Arial"/>
          <w:color w:val="000000"/>
          <w:lang w:val="ru-RU"/>
        </w:rPr>
        <w:t>(</w:t>
      </w:r>
      <w:r w:rsidRPr="000314A0">
        <w:rPr>
          <w:rFonts w:eastAsia="Times New Roman" w:cs="Arial"/>
          <w:color w:val="000000"/>
          <w:lang w:val="en-US"/>
        </w:rPr>
        <w:t>AST</w:t>
      </w:r>
      <w:r w:rsidRPr="000314A0">
        <w:rPr>
          <w:rFonts w:eastAsia="Times New Roman" w:cs="Arial"/>
          <w:color w:val="000000"/>
          <w:lang w:val="ru-RU"/>
        </w:rPr>
        <w:t xml:space="preserve">) </w:t>
      </w:r>
      <w:r w:rsidRPr="000314A0">
        <w:rPr>
          <w:rFonts w:eastAsia="Times New Roman" w:cs="Arial"/>
          <w:color w:val="000000"/>
          <w:lang w:eastAsia="bg-BG"/>
        </w:rPr>
        <w:t>(приблизително три или повече пъти над горната нормална граница) е било наблюдава</w:t>
      </w:r>
      <w:r w:rsidRPr="000314A0">
        <w:rPr>
          <w:rFonts w:eastAsia="Times New Roman" w:cs="Arial"/>
          <w:color w:val="000000"/>
          <w:u w:val="single"/>
          <w:lang w:eastAsia="bg-BG"/>
        </w:rPr>
        <w:t xml:space="preserve">но при </w:t>
      </w:r>
      <w:r w:rsidRPr="000314A0">
        <w:rPr>
          <w:rFonts w:eastAsia="Times New Roman" w:cs="Arial"/>
          <w:color w:val="000000"/>
          <w:lang w:eastAsia="bg-BG"/>
        </w:rPr>
        <w:t xml:space="preserve">около 1% от пациентите в клиничните проучвания, които са лекувани с еторикоксиб до 1 година при доза 30, 60 и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дневно.</w:t>
      </w:r>
    </w:p>
    <w:p w14:paraId="1C640547" w14:textId="77777777" w:rsidR="000314A0" w:rsidRPr="000314A0" w:rsidRDefault="000314A0" w:rsidP="000314A0">
      <w:pPr>
        <w:spacing w:line="240" w:lineRule="auto"/>
        <w:rPr>
          <w:rFonts w:eastAsia="Times New Roman" w:cs="Arial"/>
          <w:color w:val="000000"/>
          <w:lang w:eastAsia="bg-BG"/>
        </w:rPr>
      </w:pPr>
    </w:p>
    <w:p w14:paraId="36DB72B7" w14:textId="61003C6B"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Пациентите със симптоми и/или признаци за чернодробна дисфункция или тези при които е</w:t>
      </w:r>
      <w:r w:rsidRPr="000314A0">
        <w:rPr>
          <w:rFonts w:eastAsia="Times New Roman" w:cs="Arial"/>
          <w:sz w:val="24"/>
          <w:szCs w:val="24"/>
          <w:lang w:val="ru-RU"/>
        </w:rPr>
        <w:t xml:space="preserve"> </w:t>
      </w:r>
      <w:r w:rsidRPr="000314A0">
        <w:rPr>
          <w:rFonts w:eastAsia="Times New Roman" w:cs="Arial"/>
          <w:color w:val="000000"/>
          <w:lang w:eastAsia="bg-BG"/>
        </w:rPr>
        <w:t>налице патологичен тест за оценка на чернодробната функция, следва да бъдат мониторирани</w:t>
      </w:r>
      <w:r w:rsidRPr="000314A0">
        <w:rPr>
          <w:rFonts w:eastAsia="Times New Roman" w:cs="Arial"/>
          <w:color w:val="000000"/>
          <w:lang w:val="ru-RU" w:eastAsia="bg-BG"/>
        </w:rPr>
        <w:t>.</w:t>
      </w:r>
    </w:p>
    <w:p w14:paraId="02BE29F1" w14:textId="545BAC36" w:rsidR="000314A0" w:rsidRPr="000314A0" w:rsidRDefault="000314A0" w:rsidP="000314A0">
      <w:pPr>
        <w:rPr>
          <w:rFonts w:eastAsia="Times New Roman" w:cs="Arial"/>
          <w:color w:val="000000"/>
          <w:lang w:val="ru-RU" w:eastAsia="bg-BG"/>
        </w:rPr>
      </w:pPr>
    </w:p>
    <w:p w14:paraId="13D63E60"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Ако се наблюдават признаци на чернодробна недостатъчност или персистират патологични резултати от чернодробните тестове (три пъти над нормалната горна граница), лечението с еторикоксиб трябва да се прекрати.</w:t>
      </w:r>
    </w:p>
    <w:p w14:paraId="54B38874" w14:textId="77777777" w:rsidR="000314A0" w:rsidRPr="000314A0" w:rsidRDefault="000314A0" w:rsidP="000314A0">
      <w:pPr>
        <w:spacing w:line="240" w:lineRule="auto"/>
        <w:rPr>
          <w:rFonts w:eastAsia="Times New Roman" w:cs="Arial"/>
          <w:i/>
          <w:iCs/>
          <w:color w:val="000000"/>
          <w:lang w:eastAsia="bg-BG"/>
        </w:rPr>
      </w:pPr>
    </w:p>
    <w:p w14:paraId="1D23A92A" w14:textId="759448A3"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Общи ефекти</w:t>
      </w:r>
    </w:p>
    <w:p w14:paraId="7C1D8440"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Ако по време на лечението при пациентите се влошат функциите на някоя от по-горе описаните системи, трябва да се вземат подходящи мерки и да се помисли за прекъсване на терапията с еторикоксиб. Трябва да се осъществява адекватно медицинско </w:t>
      </w:r>
      <w:r w:rsidRPr="000314A0">
        <w:rPr>
          <w:rFonts w:eastAsia="Times New Roman" w:cs="Arial"/>
          <w:color w:val="000000"/>
          <w:lang w:eastAsia="bg-BG"/>
        </w:rPr>
        <w:lastRenderedPageBreak/>
        <w:t>наблюдение по време на провеждането на лечение с еторикоксиб на пациенти в старческа възраст и такива с налична бъбречна, чернодробна или сърдечна дисфункция.</w:t>
      </w:r>
    </w:p>
    <w:p w14:paraId="786A0D8A" w14:textId="77777777" w:rsidR="000314A0" w:rsidRPr="000314A0" w:rsidRDefault="000314A0" w:rsidP="000314A0">
      <w:pPr>
        <w:spacing w:line="240" w:lineRule="auto"/>
        <w:rPr>
          <w:rFonts w:eastAsia="Times New Roman" w:cs="Arial"/>
          <w:color w:val="000000"/>
          <w:lang w:eastAsia="bg-BG"/>
        </w:rPr>
      </w:pPr>
    </w:p>
    <w:p w14:paraId="7ED66DB2" w14:textId="77777777" w:rsidR="000314A0" w:rsidRPr="000314A0" w:rsidRDefault="000314A0" w:rsidP="000314A0">
      <w:pPr>
        <w:spacing w:line="240" w:lineRule="auto"/>
        <w:rPr>
          <w:rFonts w:eastAsia="Times New Roman" w:cs="Arial"/>
          <w:color w:val="000000"/>
          <w:lang w:eastAsia="bg-BG"/>
        </w:rPr>
      </w:pPr>
      <w:r w:rsidRPr="000314A0">
        <w:rPr>
          <w:rFonts w:eastAsia="Times New Roman" w:cs="Arial"/>
          <w:color w:val="000000"/>
          <w:lang w:eastAsia="bg-BG"/>
        </w:rPr>
        <w:t xml:space="preserve">Лечението с еторикоксиб трябва да се осъществява внимателно при дехидратирани пациенти. </w:t>
      </w:r>
    </w:p>
    <w:p w14:paraId="13677CD8" w14:textId="50256900"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Препоръчва се предварителна рехидратация на такива пациенти преди да започне терапията с еторикоксиб,</w:t>
      </w:r>
    </w:p>
    <w:p w14:paraId="3A682A7A" w14:textId="77777777" w:rsidR="000314A0" w:rsidRPr="000314A0" w:rsidRDefault="000314A0" w:rsidP="000314A0">
      <w:pPr>
        <w:spacing w:line="240" w:lineRule="auto"/>
        <w:rPr>
          <w:rFonts w:eastAsia="Times New Roman" w:cs="Arial"/>
          <w:color w:val="000000"/>
          <w:lang w:eastAsia="bg-BG"/>
        </w:rPr>
      </w:pPr>
    </w:p>
    <w:p w14:paraId="042D2C09" w14:textId="463A01E9"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Сериозни кожни реакции, някои от тях фатални, като ексфолиативен дерматит, синдром на Стивънс-Джонсън и токсична епидермална некролиза, са били докладвани много рядко във връзка с употребата на НСПВС и някои селективни СОХ-2 инхибитори по време на постмаркетинговото наблюдение (вж. точка 4.8). Пациентите са изложени на най-голям риск за появата на такива реакции в началото на терапията, като първата реакция се появява в повечето случаи през първия месец от лечението. Сериозни реакции на свръхчувствителност (като анафилаксия и ангиоедем) са били съобщавани при пациенти, приемащи еторикоксиб (вж. точка 4.8). Някои селективни СОХ-2 инхибитори са свързани с повишен риск от кожни реакции при пациенти, които са имали анамнеза за лекарствена алергия. Приемът на еторикоксиб трябва да бъде прекратен при първата проява на кожен обрив, лезия на лигавицата или други симптоми на свръхчувствителност.</w:t>
      </w:r>
    </w:p>
    <w:p w14:paraId="2AD5061D" w14:textId="77777777" w:rsidR="000314A0" w:rsidRPr="000314A0" w:rsidRDefault="000314A0" w:rsidP="000314A0">
      <w:pPr>
        <w:spacing w:line="240" w:lineRule="auto"/>
        <w:rPr>
          <w:rFonts w:eastAsia="Times New Roman" w:cs="Arial"/>
          <w:color w:val="000000"/>
          <w:lang w:eastAsia="bg-BG"/>
        </w:rPr>
      </w:pPr>
    </w:p>
    <w:p w14:paraId="53FF0646" w14:textId="49325433"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Еторикоксиб може да замаскира фебрилитет и други признаци на възпалителни заболявалия.</w:t>
      </w:r>
    </w:p>
    <w:p w14:paraId="5DB57D36" w14:textId="77777777" w:rsidR="000314A0" w:rsidRPr="000314A0" w:rsidRDefault="000314A0" w:rsidP="000314A0">
      <w:pPr>
        <w:spacing w:line="240" w:lineRule="auto"/>
        <w:rPr>
          <w:rFonts w:eastAsia="Times New Roman" w:cs="Arial"/>
          <w:color w:val="000000"/>
          <w:lang w:eastAsia="bg-BG"/>
        </w:rPr>
      </w:pPr>
    </w:p>
    <w:p w14:paraId="79A07D53" w14:textId="49585B5B"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Внимателно трябва да се подхожда при едновременно прилагане на еторикоксиб с варфарин или други перорални антикоагуланти (вж. точка 4.5).</w:t>
      </w:r>
    </w:p>
    <w:p w14:paraId="62591FE3" w14:textId="77777777" w:rsidR="000314A0" w:rsidRPr="000314A0" w:rsidRDefault="000314A0" w:rsidP="000314A0">
      <w:pPr>
        <w:spacing w:line="240" w:lineRule="auto"/>
        <w:rPr>
          <w:rFonts w:eastAsia="Times New Roman" w:cs="Arial"/>
          <w:color w:val="000000"/>
          <w:lang w:eastAsia="bg-BG"/>
        </w:rPr>
      </w:pPr>
    </w:p>
    <w:p w14:paraId="1CF4C773" w14:textId="16916194"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Използването на еторикоксиб, подобно на други лекарствени продукти, които потискат циклооксигеназната/простагландиновата синтеза, не се препоръчва при жени, които се опитват да забременеят (вж. точки 4.6, 5,1 и 5.3).</w:t>
      </w:r>
    </w:p>
    <w:p w14:paraId="024552C8" w14:textId="3885754F" w:rsidR="000314A0" w:rsidRPr="000314A0" w:rsidRDefault="000314A0" w:rsidP="000314A0"/>
    <w:p w14:paraId="070777EC" w14:textId="611ABF91" w:rsidR="00DF4C8E" w:rsidRDefault="002C50EE" w:rsidP="00F44498">
      <w:pPr>
        <w:pStyle w:val="Heading2"/>
      </w:pPr>
      <w:r>
        <w:t>4.5. Взаимодействие с други лекарствени продукти и други форми на взаимодействие</w:t>
      </w:r>
    </w:p>
    <w:p w14:paraId="5A3410B0" w14:textId="72F22972" w:rsidR="000314A0" w:rsidRDefault="000314A0" w:rsidP="000314A0"/>
    <w:p w14:paraId="233622DC" w14:textId="77777777"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Фармакодинамични взаимодействия</w:t>
      </w:r>
    </w:p>
    <w:p w14:paraId="1E04276C" w14:textId="77777777" w:rsidR="000314A0" w:rsidRPr="000314A0" w:rsidRDefault="000314A0" w:rsidP="000314A0">
      <w:pPr>
        <w:spacing w:line="240" w:lineRule="auto"/>
        <w:rPr>
          <w:rFonts w:eastAsia="Times New Roman" w:cs="Arial"/>
          <w:i/>
          <w:iCs/>
          <w:color w:val="000000"/>
          <w:lang w:eastAsia="bg-BG"/>
        </w:rPr>
      </w:pPr>
    </w:p>
    <w:p w14:paraId="6EE417D4" w14:textId="34F7B5BF"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Перорални антикоагуланти:</w:t>
      </w:r>
      <w:r w:rsidRPr="000314A0">
        <w:rPr>
          <w:rFonts w:eastAsia="Times New Roman" w:cs="Arial"/>
          <w:color w:val="000000"/>
          <w:lang w:eastAsia="bg-BG"/>
        </w:rPr>
        <w:t xml:space="preserve"> При пациенти, стабилизирани на хронично лечение с варфарин, прилагането на еторикоксиб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дневно е свързано с приблизително 13 % увеличение на </w:t>
      </w:r>
      <w:r w:rsidRPr="000314A0">
        <w:rPr>
          <w:rFonts w:eastAsia="Times New Roman" w:cs="Arial"/>
          <w:color w:val="000000"/>
          <w:lang w:val="en-US"/>
        </w:rPr>
        <w:t>INR</w:t>
      </w:r>
      <w:r w:rsidRPr="000314A0">
        <w:rPr>
          <w:rFonts w:eastAsia="Times New Roman" w:cs="Arial"/>
          <w:color w:val="000000"/>
          <w:lang w:val="ru-RU"/>
        </w:rPr>
        <w:t xml:space="preserve"> (</w:t>
      </w:r>
      <w:r w:rsidRPr="000314A0">
        <w:rPr>
          <w:rFonts w:eastAsia="Times New Roman" w:cs="Arial"/>
          <w:color w:val="000000"/>
          <w:lang w:val="en-US"/>
        </w:rPr>
        <w:t>International</w:t>
      </w:r>
      <w:r w:rsidRPr="000314A0">
        <w:rPr>
          <w:rFonts w:eastAsia="Times New Roman" w:cs="Arial"/>
          <w:color w:val="000000"/>
          <w:lang w:val="ru-RU"/>
        </w:rPr>
        <w:t xml:space="preserve"> </w:t>
      </w:r>
      <w:r w:rsidRPr="000314A0">
        <w:rPr>
          <w:rFonts w:eastAsia="Times New Roman" w:cs="Arial"/>
          <w:color w:val="000000"/>
          <w:lang w:val="en-US"/>
        </w:rPr>
        <w:t>Normalized</w:t>
      </w:r>
      <w:r w:rsidRPr="000314A0">
        <w:rPr>
          <w:rFonts w:eastAsia="Times New Roman" w:cs="Arial"/>
          <w:color w:val="000000"/>
          <w:lang w:val="ru-RU"/>
        </w:rPr>
        <w:t xml:space="preserve"> </w:t>
      </w:r>
      <w:r w:rsidRPr="000314A0">
        <w:rPr>
          <w:rFonts w:eastAsia="Times New Roman" w:cs="Arial"/>
          <w:color w:val="000000"/>
          <w:lang w:val="en-US"/>
        </w:rPr>
        <w:t>Ratio</w:t>
      </w:r>
      <w:r w:rsidRPr="000314A0">
        <w:rPr>
          <w:rFonts w:eastAsia="Times New Roman" w:cs="Arial"/>
          <w:color w:val="000000"/>
          <w:lang w:val="ru-RU"/>
        </w:rPr>
        <w:t xml:space="preserve"> </w:t>
      </w:r>
      <w:r w:rsidRPr="000314A0">
        <w:rPr>
          <w:rFonts w:eastAsia="Times New Roman" w:cs="Arial"/>
          <w:color w:val="000000"/>
          <w:lang w:eastAsia="bg-BG"/>
        </w:rPr>
        <w:t xml:space="preserve">= международно нормализирано отношение) на протромбиновото време. Затова пациенти, които се лекуват с перорални антикоагуланти, следва стриктно да бъдат мониторирани по отношение на протромбиновото време </w:t>
      </w:r>
      <w:r w:rsidRPr="000314A0">
        <w:rPr>
          <w:rFonts w:eastAsia="Times New Roman" w:cs="Arial"/>
          <w:color w:val="000000"/>
          <w:lang w:val="en-US"/>
        </w:rPr>
        <w:t>INR</w:t>
      </w:r>
      <w:r w:rsidRPr="000314A0">
        <w:rPr>
          <w:rFonts w:eastAsia="Times New Roman" w:cs="Arial"/>
          <w:color w:val="000000"/>
          <w:lang w:val="ru-RU"/>
        </w:rPr>
        <w:t xml:space="preserve">, </w:t>
      </w:r>
      <w:r w:rsidRPr="000314A0">
        <w:rPr>
          <w:rFonts w:eastAsia="Times New Roman" w:cs="Arial"/>
          <w:color w:val="000000"/>
          <w:lang w:eastAsia="bg-BG"/>
        </w:rPr>
        <w:t>особено в първите няколко дни, когато лечението с еторикоксиб започва или се променя дозата на лекарството (вж. точка 4.4).</w:t>
      </w:r>
    </w:p>
    <w:p w14:paraId="0B40187A" w14:textId="77777777" w:rsidR="000314A0" w:rsidRPr="000314A0" w:rsidRDefault="000314A0" w:rsidP="000314A0">
      <w:pPr>
        <w:spacing w:line="240" w:lineRule="auto"/>
        <w:rPr>
          <w:rFonts w:eastAsia="Times New Roman" w:cs="Arial"/>
          <w:i/>
          <w:iCs/>
          <w:color w:val="000000"/>
          <w:lang w:eastAsia="bg-BG"/>
        </w:rPr>
      </w:pPr>
    </w:p>
    <w:p w14:paraId="1D607A0C" w14:textId="77777777" w:rsidR="000314A0" w:rsidRPr="000314A0" w:rsidRDefault="000314A0" w:rsidP="000314A0">
      <w:pPr>
        <w:rPr>
          <w:rFonts w:eastAsia="Times New Roman" w:cs="Arial"/>
          <w:sz w:val="24"/>
          <w:szCs w:val="24"/>
        </w:rPr>
      </w:pPr>
      <w:r w:rsidRPr="000314A0">
        <w:rPr>
          <w:rFonts w:eastAsia="Times New Roman" w:cs="Arial"/>
          <w:i/>
          <w:iCs/>
          <w:color w:val="000000"/>
          <w:lang w:eastAsia="bg-BG"/>
        </w:rPr>
        <w:t>Диуретици, АСЕ инхибитори и Ангиотензин II Антагонисти:</w:t>
      </w:r>
      <w:r w:rsidRPr="000314A0">
        <w:rPr>
          <w:rFonts w:eastAsia="Times New Roman" w:cs="Arial"/>
          <w:color w:val="000000"/>
          <w:lang w:eastAsia="bg-BG"/>
        </w:rPr>
        <w:t xml:space="preserve"> НСПВС може да намалят ефекта на диуретиците и на другите антихипертензивни активни вещества. При някои пациенти с увредена бъбречна функция (напр. дехидратирани пациенти или пациенти в старческа </w:t>
      </w:r>
      <w:r w:rsidRPr="000314A0">
        <w:rPr>
          <w:rFonts w:eastAsia="Times New Roman" w:cs="Arial"/>
          <w:color w:val="000000"/>
          <w:u w:val="single"/>
          <w:lang w:eastAsia="bg-BG"/>
        </w:rPr>
        <w:t>възрас</w:t>
      </w:r>
      <w:r w:rsidRPr="000314A0">
        <w:rPr>
          <w:rFonts w:eastAsia="Times New Roman" w:cs="Arial"/>
          <w:color w:val="000000"/>
          <w:lang w:eastAsia="bg-BG"/>
        </w:rPr>
        <w:t xml:space="preserve">т с увредена бъбречна функция) едновременното използване на АСЕ-инхибитори или ангиотензин П антагонисти и средства, които инхибират циклооксигеназата може да предизвика допълнително влошаване на бъбречната </w:t>
      </w:r>
      <w:r w:rsidRPr="000314A0">
        <w:rPr>
          <w:rFonts w:eastAsia="Times New Roman" w:cs="Arial"/>
          <w:color w:val="000000"/>
          <w:lang w:eastAsia="bg-BG"/>
        </w:rPr>
        <w:lastRenderedPageBreak/>
        <w:t xml:space="preserve">функция, включително развитие на остра бъбречна недостатъчност, което обикновено е обратимо. Този факт следва да се има предвид при пациенти, които взимат едновременно еторикоксиб и АСЕ инхибитори или ангиотензин </w:t>
      </w:r>
      <w:r w:rsidRPr="000314A0">
        <w:rPr>
          <w:rFonts w:eastAsia="Times New Roman" w:cs="Arial"/>
          <w:color w:val="000000"/>
          <w:lang w:val="en-US"/>
        </w:rPr>
        <w:t>II</w:t>
      </w:r>
      <w:r w:rsidRPr="000314A0">
        <w:rPr>
          <w:rFonts w:eastAsia="Times New Roman" w:cs="Arial"/>
          <w:color w:val="000000"/>
          <w:lang w:eastAsia="bg-BG"/>
        </w:rPr>
        <w:t xml:space="preserve"> антагонисти. Поради това, тази комбинация трябва да се прилага внимателно,</w:t>
      </w:r>
      <w:r w:rsidRPr="000314A0">
        <w:rPr>
          <w:rFonts w:eastAsia="Times New Roman" w:cs="Arial"/>
          <w:color w:val="000000"/>
          <w:lang w:val="ru-RU"/>
        </w:rPr>
        <w:t xml:space="preserve"> </w:t>
      </w:r>
      <w:r w:rsidRPr="000314A0">
        <w:rPr>
          <w:rFonts w:eastAsia="Times New Roman" w:cs="Arial"/>
          <w:color w:val="000000"/>
          <w:lang w:eastAsia="bg-BG"/>
        </w:rPr>
        <w:t>особено при по-възрастни. Пациентите трябва да бъдат адекватно хидратирани и трябва да се обсъди мониториране на бъбречната функция след започване на комбинираната терапия и периодично след това.</w:t>
      </w:r>
    </w:p>
    <w:p w14:paraId="62CECB8F" w14:textId="77777777" w:rsidR="000314A0" w:rsidRPr="000314A0" w:rsidRDefault="000314A0" w:rsidP="000314A0">
      <w:pPr>
        <w:spacing w:line="240" w:lineRule="auto"/>
        <w:rPr>
          <w:rFonts w:eastAsia="Times New Roman" w:cs="Arial"/>
          <w:i/>
          <w:iCs/>
          <w:color w:val="000000"/>
          <w:lang w:eastAsia="bg-BG"/>
        </w:rPr>
      </w:pPr>
    </w:p>
    <w:p w14:paraId="1936D536" w14:textId="304BB0EA"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Ацетилсалициова киселина:</w:t>
      </w:r>
      <w:r w:rsidRPr="000314A0">
        <w:rPr>
          <w:rFonts w:eastAsia="Times New Roman" w:cs="Arial"/>
          <w:color w:val="000000"/>
          <w:lang w:eastAsia="bg-BG"/>
        </w:rPr>
        <w:t xml:space="preserve"> При проучване на здрави доброволци с постигнато равновесно състояние </w:t>
      </w:r>
      <w:r w:rsidRPr="000314A0">
        <w:rPr>
          <w:rFonts w:eastAsia="Times New Roman" w:cs="Arial"/>
          <w:color w:val="000000"/>
          <w:lang w:val="ru-RU"/>
        </w:rPr>
        <w:t>(</w:t>
      </w:r>
      <w:r w:rsidRPr="000314A0">
        <w:rPr>
          <w:rFonts w:eastAsia="Times New Roman" w:cs="Arial"/>
          <w:color w:val="000000"/>
          <w:lang w:val="en-US"/>
        </w:rPr>
        <w:t>steady</w:t>
      </w:r>
      <w:r w:rsidRPr="000314A0">
        <w:rPr>
          <w:rFonts w:eastAsia="Times New Roman" w:cs="Arial"/>
          <w:color w:val="000000"/>
          <w:lang w:val="ru-RU"/>
        </w:rPr>
        <w:t xml:space="preserve"> </w:t>
      </w:r>
      <w:r w:rsidRPr="000314A0">
        <w:rPr>
          <w:rFonts w:eastAsia="Times New Roman" w:cs="Arial"/>
          <w:color w:val="000000"/>
          <w:lang w:val="en-US"/>
        </w:rPr>
        <w:t>state</w:t>
      </w:r>
      <w:r w:rsidRPr="000314A0">
        <w:rPr>
          <w:rFonts w:eastAsia="Times New Roman" w:cs="Arial"/>
          <w:color w:val="000000"/>
          <w:lang w:val="ru-RU"/>
        </w:rPr>
        <w:t xml:space="preserve">) </w:t>
      </w:r>
      <w:r w:rsidRPr="000314A0">
        <w:rPr>
          <w:rFonts w:eastAsia="Times New Roman" w:cs="Arial"/>
          <w:color w:val="000000"/>
          <w:lang w:eastAsia="bg-BG"/>
        </w:rPr>
        <w:t xml:space="preserve">еторикоксиб в доза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на ден не е повлиял антиагрегантната активност на ацетилсалициловата киселина (доза 81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веднъж на ден). Еторикоксиб може да се използва едновременно с ацетилсалицилова киселина, дадена в доза за профилактика на сърдечно-съдови инциденти (ниска доза на ацетилсалицилова киселина (аспирин)). Все пак едновременното прилагане на ацетилсалицилова киселина (ниска доза) с еторикоксиб може да увеличи честотата на улцерациите и другите СЧ усложнения в сравнение със случаите, когато еторикоксиб се използва самостоятелно. Не се препоръчва едновременното прилагане на еторикоксиб с ацетилсалицилова киселина в по-високи от посочените за профилактика на сърдечно-съдови инциденти дози, както и с други НСПВС (вж. точки 5.1 и 4.4.).</w:t>
      </w:r>
    </w:p>
    <w:p w14:paraId="469B348F" w14:textId="77777777" w:rsidR="000314A0" w:rsidRPr="000314A0" w:rsidRDefault="000314A0" w:rsidP="000314A0">
      <w:pPr>
        <w:spacing w:line="240" w:lineRule="auto"/>
        <w:rPr>
          <w:rFonts w:eastAsia="Times New Roman" w:cs="Arial"/>
          <w:i/>
          <w:iCs/>
          <w:color w:val="000000"/>
          <w:lang w:eastAsia="bg-BG"/>
        </w:rPr>
      </w:pPr>
    </w:p>
    <w:p w14:paraId="679E2A98" w14:textId="326422E3"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Циклоспорин и такролимус:</w:t>
      </w:r>
      <w:r w:rsidRPr="000314A0">
        <w:rPr>
          <w:rFonts w:eastAsia="Times New Roman" w:cs="Arial"/>
          <w:color w:val="000000"/>
          <w:lang w:eastAsia="bg-BG"/>
        </w:rPr>
        <w:t xml:space="preserve"> Въпреки че това взаимодействие с еторикоксиб не е проучвано, се знае, че едновременното прилагане на циклоспорин или такролимус с НСПВС може да увеличи нефротоксичния ефект на циклоспорин или на такролимус. Бъбречната функция следва да бъде мониторирана, когато се прилага еторикоксиб в комбинация с някои от тези две активни вещества.</w:t>
      </w:r>
    </w:p>
    <w:p w14:paraId="5CB6A995" w14:textId="77777777" w:rsidR="000314A0" w:rsidRPr="000314A0" w:rsidRDefault="000314A0" w:rsidP="000314A0">
      <w:pPr>
        <w:spacing w:line="240" w:lineRule="auto"/>
        <w:rPr>
          <w:rFonts w:eastAsia="Times New Roman" w:cs="Arial"/>
          <w:i/>
          <w:iCs/>
          <w:color w:val="000000"/>
          <w:lang w:eastAsia="bg-BG"/>
        </w:rPr>
      </w:pPr>
    </w:p>
    <w:p w14:paraId="39D4E8FA" w14:textId="4B3C2079"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Фармакокинетични взаимодействия</w:t>
      </w:r>
    </w:p>
    <w:p w14:paraId="6E0A97ED" w14:textId="77777777" w:rsidR="000314A0" w:rsidRPr="000314A0" w:rsidRDefault="000314A0" w:rsidP="000314A0">
      <w:pPr>
        <w:spacing w:line="240" w:lineRule="auto"/>
        <w:rPr>
          <w:rFonts w:eastAsia="Times New Roman" w:cs="Arial"/>
          <w:i/>
          <w:iCs/>
          <w:color w:val="000000"/>
          <w:lang w:eastAsia="bg-BG"/>
        </w:rPr>
      </w:pPr>
    </w:p>
    <w:p w14:paraId="37FA9DE8" w14:textId="544332FE"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Ефект на еторикоксиб върху фармакокинетиката на други активни вещества</w:t>
      </w:r>
    </w:p>
    <w:p w14:paraId="1C887EC3" w14:textId="77777777" w:rsidR="000314A0" w:rsidRPr="000314A0" w:rsidRDefault="000314A0" w:rsidP="000314A0">
      <w:pPr>
        <w:spacing w:line="240" w:lineRule="auto"/>
        <w:rPr>
          <w:rFonts w:eastAsia="Times New Roman" w:cs="Arial"/>
          <w:i/>
          <w:iCs/>
          <w:color w:val="000000"/>
          <w:lang w:eastAsia="bg-BG"/>
        </w:rPr>
      </w:pPr>
    </w:p>
    <w:p w14:paraId="0D336025" w14:textId="31080A86" w:rsidR="000314A0" w:rsidRPr="000314A0" w:rsidRDefault="000314A0" w:rsidP="000314A0">
      <w:pPr>
        <w:spacing w:line="240" w:lineRule="auto"/>
        <w:rPr>
          <w:rFonts w:eastAsia="Times New Roman" w:cs="Arial"/>
          <w:color w:val="000000"/>
          <w:lang w:eastAsia="bg-BG"/>
        </w:rPr>
      </w:pPr>
      <w:r w:rsidRPr="000314A0">
        <w:rPr>
          <w:rFonts w:eastAsia="Times New Roman" w:cs="Arial"/>
          <w:i/>
          <w:iCs/>
          <w:color w:val="000000"/>
          <w:lang w:eastAsia="bg-BG"/>
        </w:rPr>
        <w:t>Литий:</w:t>
      </w:r>
      <w:r w:rsidRPr="000314A0">
        <w:rPr>
          <w:rFonts w:eastAsia="Times New Roman" w:cs="Arial"/>
          <w:color w:val="000000"/>
          <w:lang w:eastAsia="bg-BG"/>
        </w:rPr>
        <w:t xml:space="preserve"> НСПВС намаляват бъбречната екскреция на литий, поради което се увеличава плазмената му концентрация. При необходимост трябва да се мониторира стриктно концентрацията на литий в кръвта и да се адаптира дозата на лития, докато се приема тази лекарствена комбинация, както и </w:t>
      </w:r>
    </w:p>
    <w:p w14:paraId="24889404" w14:textId="27734BE5"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при спирането на НСПВС.</w:t>
      </w:r>
    </w:p>
    <w:p w14:paraId="64CB2E36" w14:textId="77777777" w:rsidR="000314A0" w:rsidRPr="000314A0" w:rsidRDefault="000314A0" w:rsidP="000314A0">
      <w:pPr>
        <w:spacing w:line="240" w:lineRule="auto"/>
        <w:rPr>
          <w:rFonts w:eastAsia="Times New Roman" w:cs="Arial"/>
          <w:i/>
          <w:iCs/>
          <w:color w:val="000000"/>
          <w:lang w:eastAsia="bg-BG"/>
        </w:rPr>
      </w:pPr>
    </w:p>
    <w:p w14:paraId="26A322EA" w14:textId="3B73CEA4"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Метотрексат:</w:t>
      </w:r>
      <w:r w:rsidRPr="000314A0">
        <w:rPr>
          <w:rFonts w:eastAsia="Times New Roman" w:cs="Arial"/>
          <w:color w:val="000000"/>
          <w:lang w:eastAsia="bg-BG"/>
        </w:rPr>
        <w:t xml:space="preserve"> Две проучвания са провеждани за изследване на ефекта на еторикоксиб в доза 60,90 или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един път на ден в продължение на 7 дни при пациенти на лечение с метотрексат в доза от 7,5 до 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седмично за лечение на ревматоиден артрит. Еторикоксиб при доза от 60 и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не е оказал ефект върху плазмената концентрация на метотрексат или бъбречния му клирънс. В едно проучване еторикоксиб в доза от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не е имал ефект, но в друго проучване при тази доза е увеличил плазмената концентрация на метотрексат с 28% и е намалил бъбречния клирънс на метотрексат с 13%. Препоръчва се мониториране за токсични ефекти на метотрексат, когато той се прилага в комбинация с еторикоксиб.</w:t>
      </w:r>
    </w:p>
    <w:p w14:paraId="06306BD5" w14:textId="77777777" w:rsidR="000314A0" w:rsidRPr="000314A0" w:rsidRDefault="000314A0" w:rsidP="000314A0">
      <w:pPr>
        <w:spacing w:line="240" w:lineRule="auto"/>
        <w:rPr>
          <w:rFonts w:eastAsia="Times New Roman" w:cs="Arial"/>
          <w:i/>
          <w:iCs/>
          <w:color w:val="000000"/>
          <w:lang w:eastAsia="bg-BG"/>
        </w:rPr>
      </w:pPr>
    </w:p>
    <w:p w14:paraId="5B7F2D18" w14:textId="61B8B624"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Перорални контрацептиви:</w:t>
      </w:r>
      <w:r w:rsidRPr="000314A0">
        <w:rPr>
          <w:rFonts w:eastAsia="Times New Roman" w:cs="Arial"/>
          <w:color w:val="000000"/>
          <w:lang w:eastAsia="bg-BG"/>
        </w:rPr>
        <w:t xml:space="preserve"> Прилагането на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еторикоксиб едновременно с перорални контрацептиви, съдържащи 35 микрограма етинилестрадиол (ЕЕ) и 0,5 до 1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норетиндрон в продължение на 21 дни, е увеличило площта под кривата при стационарно състояние </w:t>
      </w:r>
      <w:proofErr w:type="spellStart"/>
      <w:r w:rsidRPr="000314A0">
        <w:rPr>
          <w:rFonts w:eastAsia="Times New Roman" w:cs="Arial"/>
          <w:color w:val="000000"/>
          <w:lang w:val="en-US"/>
        </w:rPr>
        <w:t>AUCo</w:t>
      </w:r>
      <w:proofErr w:type="spellEnd"/>
      <w:r w:rsidRPr="000314A0">
        <w:rPr>
          <w:rFonts w:eastAsia="Times New Roman" w:cs="Arial"/>
          <w:color w:val="000000"/>
          <w:lang w:val="ru-RU"/>
        </w:rPr>
        <w:t xml:space="preserve">- </w:t>
      </w:r>
      <w:r w:rsidRPr="000314A0">
        <w:rPr>
          <w:rFonts w:eastAsia="Times New Roman" w:cs="Arial"/>
          <w:color w:val="000000"/>
          <w:lang w:eastAsia="bg-BG"/>
        </w:rPr>
        <w:t xml:space="preserve">244 за ЕЕ с 37 %. Прилагането на Еторикоксиб Тева 120 </w:t>
      </w:r>
      <w:r w:rsidRPr="000314A0">
        <w:rPr>
          <w:rFonts w:eastAsia="Times New Roman" w:cs="Arial"/>
          <w:color w:val="000000"/>
          <w:lang w:val="en-US"/>
        </w:rPr>
        <w:lastRenderedPageBreak/>
        <w:t>mg</w:t>
      </w:r>
      <w:r w:rsidRPr="000314A0">
        <w:rPr>
          <w:rFonts w:eastAsia="Times New Roman" w:cs="Arial"/>
          <w:color w:val="000000"/>
          <w:lang w:val="ru-RU"/>
        </w:rPr>
        <w:t xml:space="preserve"> </w:t>
      </w:r>
      <w:r w:rsidRPr="000314A0">
        <w:rPr>
          <w:rFonts w:eastAsia="Times New Roman" w:cs="Arial"/>
          <w:color w:val="000000"/>
          <w:lang w:eastAsia="bg-BG"/>
        </w:rPr>
        <w:t xml:space="preserve">със същия перорален контрацептив, едновременно или с интервал от 12 часа, е увеличило площта под кривата при стационарно състояние </w:t>
      </w:r>
      <w:r w:rsidRPr="000314A0">
        <w:rPr>
          <w:rFonts w:eastAsia="Times New Roman" w:cs="Arial"/>
          <w:color w:val="000000"/>
          <w:lang w:val="en-US"/>
        </w:rPr>
        <w:t>AUCO</w:t>
      </w:r>
      <w:r w:rsidRPr="000314A0">
        <w:rPr>
          <w:rFonts w:eastAsia="Times New Roman" w:cs="Arial"/>
          <w:color w:val="000000"/>
          <w:lang w:val="ru-RU"/>
        </w:rPr>
        <w:t xml:space="preserve">-244, </w:t>
      </w:r>
      <w:r w:rsidRPr="000314A0">
        <w:rPr>
          <w:rFonts w:eastAsia="Times New Roman" w:cs="Arial"/>
          <w:color w:val="000000"/>
          <w:lang w:eastAsia="bg-BG"/>
        </w:rPr>
        <w:t>за ЕЕ от 50 до 60 %. Това увеличение на концентрацията на ЕЕ следва да се има предвид, когато се избира перорален контрацептив, който да се използва по време на прилагането на еторикоксиб. Увеличената експозиция на ЕЕ може да повиши и честотата на нежеланите реакции, свързани с пероралните контрацептиви (напр. прояви на венозна тромбоемболия при рискови жени).</w:t>
      </w:r>
    </w:p>
    <w:p w14:paraId="097850A2" w14:textId="77777777" w:rsidR="000314A0" w:rsidRPr="000314A0" w:rsidRDefault="000314A0" w:rsidP="000314A0">
      <w:pPr>
        <w:spacing w:line="240" w:lineRule="auto"/>
        <w:rPr>
          <w:rFonts w:eastAsia="Times New Roman" w:cs="Arial"/>
          <w:i/>
          <w:iCs/>
          <w:color w:val="000000"/>
          <w:lang w:eastAsia="bg-BG"/>
        </w:rPr>
      </w:pPr>
    </w:p>
    <w:p w14:paraId="5F1DD5A1" w14:textId="77777777" w:rsidR="000314A0" w:rsidRPr="000314A0" w:rsidRDefault="000314A0" w:rsidP="000314A0">
      <w:pPr>
        <w:rPr>
          <w:rFonts w:eastAsia="Times New Roman" w:cs="Arial"/>
          <w:sz w:val="24"/>
          <w:szCs w:val="24"/>
        </w:rPr>
      </w:pPr>
      <w:r w:rsidRPr="000314A0">
        <w:rPr>
          <w:rFonts w:eastAsia="Times New Roman" w:cs="Arial"/>
          <w:i/>
          <w:iCs/>
          <w:color w:val="000000"/>
          <w:lang w:eastAsia="bg-BG"/>
        </w:rPr>
        <w:t>Хормонозаместителна терапия (ХЗТ):</w:t>
      </w:r>
      <w:r w:rsidRPr="000314A0">
        <w:rPr>
          <w:rFonts w:eastAsia="Times New Roman" w:cs="Arial"/>
          <w:color w:val="000000"/>
          <w:lang w:eastAsia="bg-BG"/>
        </w:rPr>
        <w:t xml:space="preserve"> Прилагането на еторикоксиб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с хормонозаместителна терапия, съставена от конюгирани естрогени (0,625 </w:t>
      </w:r>
      <w:r w:rsidRPr="000314A0">
        <w:rPr>
          <w:rFonts w:eastAsia="Times New Roman" w:cs="Arial"/>
          <w:color w:val="000000"/>
          <w:lang w:val="en-US"/>
        </w:rPr>
        <w:t>mg</w:t>
      </w:r>
      <w:r w:rsidRPr="000314A0">
        <w:rPr>
          <w:rFonts w:eastAsia="Times New Roman" w:cs="Arial"/>
          <w:color w:val="000000"/>
          <w:lang w:eastAsia="bg-BG"/>
        </w:rPr>
        <w:t xml:space="preserve"> </w:t>
      </w:r>
      <w:r w:rsidRPr="000314A0">
        <w:rPr>
          <w:rFonts w:eastAsia="Times New Roman" w:cs="Arial"/>
          <w:color w:val="000000"/>
          <w:lang w:val="en-US"/>
        </w:rPr>
        <w:t>PREMARIN</w:t>
      </w:r>
      <w:r w:rsidRPr="000314A0">
        <w:rPr>
          <w:rFonts w:eastAsia="Times New Roman" w:cs="Arial"/>
          <w:color w:val="000000"/>
          <w:vertAlign w:val="superscript"/>
          <w:lang w:eastAsia="bg-BG"/>
        </w:rPr>
        <w:t>тм</w:t>
      </w:r>
      <w:r w:rsidRPr="000314A0">
        <w:rPr>
          <w:rFonts w:eastAsia="Times New Roman" w:cs="Arial"/>
          <w:color w:val="000000"/>
          <w:lang w:eastAsia="bg-BG"/>
        </w:rPr>
        <w:t xml:space="preserve">) продължение на 28 дни, е увеличило площта под кривата при стационарно състояние </w:t>
      </w:r>
      <w:r w:rsidRPr="000314A0">
        <w:rPr>
          <w:rFonts w:eastAsia="Times New Roman" w:cs="Arial"/>
          <w:color w:val="000000"/>
          <w:lang w:val="en-US"/>
        </w:rPr>
        <w:t>AUC</w:t>
      </w:r>
      <w:r w:rsidRPr="000314A0">
        <w:rPr>
          <w:rFonts w:eastAsia="Times New Roman" w:cs="Arial"/>
          <w:color w:val="000000"/>
          <w:lang w:val="ru-RU"/>
        </w:rPr>
        <w:t xml:space="preserve"> </w:t>
      </w:r>
      <w:r w:rsidRPr="000314A0">
        <w:rPr>
          <w:rFonts w:eastAsia="Times New Roman" w:cs="Arial"/>
          <w:color w:val="000000"/>
          <w:vertAlign w:val="subscript"/>
          <w:lang w:val="ru-RU"/>
        </w:rPr>
        <w:t>0-24</w:t>
      </w:r>
      <w:r w:rsidRPr="000314A0">
        <w:rPr>
          <w:rFonts w:eastAsia="Times New Roman" w:cs="Arial"/>
          <w:color w:val="000000"/>
          <w:vertAlign w:val="subscript"/>
          <w:lang w:val="en-US"/>
        </w:rPr>
        <w:t>h</w:t>
      </w:r>
      <w:r w:rsidRPr="000314A0">
        <w:rPr>
          <w:rFonts w:eastAsia="Times New Roman" w:cs="Arial"/>
          <w:color w:val="000000"/>
          <w:lang w:val="ru-RU"/>
        </w:rPr>
        <w:t xml:space="preserve"> </w:t>
      </w:r>
      <w:r w:rsidRPr="000314A0">
        <w:rPr>
          <w:rFonts w:eastAsia="Times New Roman" w:cs="Arial"/>
          <w:color w:val="000000"/>
          <w:lang w:eastAsia="bg-BG"/>
        </w:rPr>
        <w:t xml:space="preserve">на неконюгирания естрон (41 %), еквилин (76 %), и 17-р-естрадиол (22 %). Ефектът на препоръчителните хронични дози еторикоксиб (30,60 и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не е бил проучен. Ефектите на</w:t>
      </w:r>
      <w:r w:rsidRPr="000314A0">
        <w:rPr>
          <w:rFonts w:eastAsia="Times New Roman" w:cs="Arial"/>
          <w:color w:val="000000"/>
          <w:lang w:val="ru-RU" w:eastAsia="bg-BG"/>
        </w:rPr>
        <w:t xml:space="preserve"> </w:t>
      </w:r>
      <w:r w:rsidRPr="000314A0">
        <w:rPr>
          <w:rFonts w:eastAsia="Times New Roman" w:cs="Arial"/>
          <w:color w:val="000000"/>
          <w:lang w:eastAsia="bg-BG"/>
        </w:rPr>
        <w:t xml:space="preserve">еторикоксиб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върху експозицията </w:t>
      </w:r>
      <w:r w:rsidRPr="000314A0">
        <w:rPr>
          <w:rFonts w:eastAsia="Times New Roman" w:cs="Arial"/>
          <w:color w:val="000000"/>
          <w:lang w:val="ru-RU"/>
        </w:rPr>
        <w:t>(</w:t>
      </w:r>
      <w:r w:rsidRPr="000314A0">
        <w:rPr>
          <w:rFonts w:eastAsia="Times New Roman" w:cs="Arial"/>
          <w:color w:val="000000"/>
          <w:lang w:val="en-US"/>
        </w:rPr>
        <w:t>AUC</w:t>
      </w:r>
      <w:r w:rsidRPr="000314A0">
        <w:rPr>
          <w:rFonts w:eastAsia="Times New Roman" w:cs="Arial"/>
          <w:color w:val="000000"/>
          <w:vertAlign w:val="subscript"/>
          <w:lang w:val="ru-RU"/>
        </w:rPr>
        <w:t>0-24</w:t>
      </w:r>
      <w:proofErr w:type="spellStart"/>
      <w:r w:rsidRPr="000314A0">
        <w:rPr>
          <w:rFonts w:eastAsia="Times New Roman" w:cs="Arial"/>
          <w:color w:val="000000"/>
          <w:vertAlign w:val="subscript"/>
          <w:lang w:val="en-US"/>
        </w:rPr>
        <w:t>hr</w:t>
      </w:r>
      <w:proofErr w:type="spellEnd"/>
      <w:r w:rsidRPr="000314A0">
        <w:rPr>
          <w:rFonts w:eastAsia="Times New Roman" w:cs="Arial"/>
          <w:color w:val="000000"/>
          <w:lang w:val="ru-RU"/>
        </w:rPr>
        <w:t xml:space="preserve">) </w:t>
      </w:r>
      <w:r w:rsidRPr="000314A0">
        <w:rPr>
          <w:rFonts w:eastAsia="Times New Roman" w:cs="Arial"/>
          <w:color w:val="000000"/>
          <w:lang w:eastAsia="bg-BG"/>
        </w:rPr>
        <w:t xml:space="preserve">на тези естрогенни съставки на </w:t>
      </w:r>
      <w:r w:rsidRPr="000314A0">
        <w:rPr>
          <w:rFonts w:eastAsia="Times New Roman" w:cs="Arial"/>
          <w:color w:val="000000"/>
          <w:lang w:val="en-US"/>
        </w:rPr>
        <w:t>PREMARIN</w:t>
      </w:r>
      <w:r w:rsidRPr="000314A0">
        <w:rPr>
          <w:rFonts w:eastAsia="Times New Roman" w:cs="Arial"/>
          <w:color w:val="000000"/>
          <w:lang w:val="ru-RU"/>
        </w:rPr>
        <w:t xml:space="preserve"> </w:t>
      </w:r>
      <w:r w:rsidRPr="000314A0">
        <w:rPr>
          <w:rFonts w:eastAsia="Times New Roman" w:cs="Arial"/>
          <w:color w:val="000000"/>
          <w:lang w:eastAsia="bg-BG"/>
        </w:rPr>
        <w:t xml:space="preserve">са били по-малко от половината, в сравнение с тези при самостоятелното прилагане на </w:t>
      </w:r>
      <w:r w:rsidRPr="000314A0">
        <w:rPr>
          <w:rFonts w:eastAsia="Times New Roman" w:cs="Arial"/>
          <w:color w:val="000000"/>
          <w:lang w:val="en-US"/>
        </w:rPr>
        <w:t>PREMARIN</w:t>
      </w:r>
      <w:r w:rsidRPr="000314A0">
        <w:rPr>
          <w:rFonts w:eastAsia="Times New Roman" w:cs="Arial"/>
          <w:color w:val="000000"/>
          <w:lang w:val="ru-RU"/>
        </w:rPr>
        <w:t xml:space="preserve"> </w:t>
      </w:r>
      <w:r w:rsidRPr="000314A0">
        <w:rPr>
          <w:rFonts w:eastAsia="Times New Roman" w:cs="Arial"/>
          <w:color w:val="000000"/>
          <w:lang w:eastAsia="bg-BG"/>
        </w:rPr>
        <w:t xml:space="preserve">и дозата е увеличена от 0,625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на 1,25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Клиничното значение на тези увеличения не е известно и по-високи дози на </w:t>
      </w:r>
      <w:r w:rsidRPr="000314A0">
        <w:rPr>
          <w:rFonts w:eastAsia="Times New Roman" w:cs="Arial"/>
          <w:color w:val="000000"/>
          <w:lang w:val="en-US"/>
        </w:rPr>
        <w:t>PREMARIN</w:t>
      </w:r>
      <w:r w:rsidRPr="000314A0">
        <w:rPr>
          <w:rFonts w:eastAsia="Times New Roman" w:cs="Arial"/>
          <w:color w:val="000000"/>
          <w:lang w:val="ru-RU"/>
        </w:rPr>
        <w:t xml:space="preserve"> </w:t>
      </w:r>
      <w:r w:rsidRPr="000314A0">
        <w:rPr>
          <w:rFonts w:eastAsia="Times New Roman" w:cs="Arial"/>
          <w:color w:val="000000"/>
          <w:lang w:eastAsia="bg-BG"/>
        </w:rPr>
        <w:t>не са били проучвани в комбинация с еторикоксиб. Тези повишения на естрогенната концентрация трябва да се имат предвид при избора на хормонална терапия след менопаузата, при прилагане заедно с еторикоксиб, защото експозицията на увеличени нива на естроген могат да увеличат риска от нежелани реакции, свързани с ХЗТ.</w:t>
      </w:r>
    </w:p>
    <w:p w14:paraId="7B743472" w14:textId="77777777" w:rsidR="000314A0" w:rsidRPr="000314A0" w:rsidRDefault="000314A0" w:rsidP="000314A0">
      <w:pPr>
        <w:spacing w:line="240" w:lineRule="auto"/>
        <w:rPr>
          <w:rFonts w:eastAsia="Times New Roman" w:cs="Arial"/>
          <w:i/>
          <w:iCs/>
          <w:color w:val="000000"/>
          <w:lang w:eastAsia="bg-BG"/>
        </w:rPr>
      </w:pPr>
    </w:p>
    <w:p w14:paraId="169957CF" w14:textId="46AD2513"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Преднизон/преднизолон:</w:t>
      </w:r>
      <w:r w:rsidRPr="000314A0">
        <w:rPr>
          <w:rFonts w:eastAsia="Times New Roman" w:cs="Arial"/>
          <w:color w:val="000000"/>
          <w:lang w:eastAsia="bg-BG"/>
        </w:rPr>
        <w:t xml:space="preserve"> Според данните от проведените клинични проучвания за оценка на лекарствени взаимодействия, еторикоксиб не е оказал клинично значимо въздействие върху фармакокинетиката на преднизон/преднизолон.</w:t>
      </w:r>
    </w:p>
    <w:p w14:paraId="728020BE" w14:textId="77777777" w:rsidR="000314A0" w:rsidRPr="000314A0" w:rsidRDefault="000314A0" w:rsidP="000314A0">
      <w:pPr>
        <w:spacing w:line="240" w:lineRule="auto"/>
        <w:rPr>
          <w:rFonts w:eastAsia="Times New Roman" w:cs="Arial"/>
          <w:i/>
          <w:iCs/>
          <w:color w:val="000000"/>
          <w:lang w:eastAsia="bg-BG"/>
        </w:rPr>
      </w:pPr>
    </w:p>
    <w:p w14:paraId="13CA5D45" w14:textId="340D04DB"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Дигоксин:</w:t>
      </w:r>
      <w:r w:rsidRPr="000314A0">
        <w:rPr>
          <w:rFonts w:eastAsia="Times New Roman" w:cs="Arial"/>
          <w:color w:val="000000"/>
          <w:lang w:eastAsia="bg-BG"/>
        </w:rPr>
        <w:t xml:space="preserve"> Еторикоксиб в доза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на ден в продължение на 10 дни при здрави доброволци не е променил площта под кривата при стационарно състояние </w:t>
      </w:r>
      <w:r w:rsidRPr="000314A0">
        <w:rPr>
          <w:rFonts w:eastAsia="Times New Roman" w:cs="Arial"/>
          <w:color w:val="000000"/>
          <w:lang w:val="en-US"/>
        </w:rPr>
        <w:t>AUC</w:t>
      </w:r>
      <w:r w:rsidRPr="000314A0">
        <w:rPr>
          <w:rFonts w:eastAsia="Times New Roman" w:cs="Arial"/>
          <w:color w:val="000000"/>
          <w:vertAlign w:val="subscript"/>
          <w:lang w:val="ru-RU"/>
        </w:rPr>
        <w:t>0-24</w:t>
      </w:r>
      <w:proofErr w:type="spellStart"/>
      <w:r w:rsidRPr="000314A0">
        <w:rPr>
          <w:rFonts w:eastAsia="Times New Roman" w:cs="Arial"/>
          <w:color w:val="000000"/>
          <w:vertAlign w:val="subscript"/>
          <w:lang w:val="en-US"/>
        </w:rPr>
        <w:t>hr</w:t>
      </w:r>
      <w:proofErr w:type="spellEnd"/>
      <w:r w:rsidRPr="000314A0">
        <w:rPr>
          <w:rFonts w:eastAsia="Times New Roman" w:cs="Arial"/>
          <w:color w:val="000000"/>
          <w:lang w:val="ru-RU"/>
        </w:rPr>
        <w:t xml:space="preserve"> </w:t>
      </w:r>
      <w:r w:rsidRPr="000314A0">
        <w:rPr>
          <w:rFonts w:eastAsia="Times New Roman" w:cs="Arial"/>
          <w:color w:val="000000"/>
          <w:lang w:eastAsia="bg-BG"/>
        </w:rPr>
        <w:t>или бъбречното елиминиране на дигоксин. Наблюдавано е увеличение на Стах (максимална концентрация) за дигоксин (приблизително 33 %). Това увеличение не е от съществено значение за повечето пациенти. Все пак пациентите, които са с повишен риск от дигоксинова интоксикация, трябва да бъдат проследявани за това, когато еторикоксиб и дигоксин, се прилагат едновременно.</w:t>
      </w:r>
    </w:p>
    <w:p w14:paraId="7FA8F3FD" w14:textId="77777777" w:rsidR="000314A0" w:rsidRPr="000314A0" w:rsidRDefault="000314A0" w:rsidP="000314A0">
      <w:pPr>
        <w:spacing w:line="240" w:lineRule="auto"/>
        <w:rPr>
          <w:rFonts w:eastAsia="Times New Roman" w:cs="Arial"/>
          <w:i/>
          <w:iCs/>
          <w:color w:val="000000"/>
          <w:lang w:eastAsia="bg-BG"/>
        </w:rPr>
      </w:pPr>
    </w:p>
    <w:p w14:paraId="5568D4F7" w14:textId="38751B66"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 xml:space="preserve">Ефект на еторикоксиб върху активните вещества, които се метаболизират чрез сулфотрансферази </w:t>
      </w:r>
      <w:r w:rsidRPr="000314A0">
        <w:rPr>
          <w:rFonts w:eastAsia="Times New Roman" w:cs="Arial"/>
          <w:color w:val="000000"/>
          <w:lang w:eastAsia="bg-BG"/>
        </w:rPr>
        <w:t xml:space="preserve">Еторикоксиб е инхибитор на сулфотрансферазата в човешкия организъм, по-специално </w:t>
      </w:r>
      <w:r w:rsidRPr="000314A0">
        <w:rPr>
          <w:rFonts w:eastAsia="Times New Roman" w:cs="Arial"/>
          <w:color w:val="000000"/>
          <w:lang w:val="en-US"/>
        </w:rPr>
        <w:t>SULT</w:t>
      </w:r>
      <w:r w:rsidRPr="000314A0">
        <w:rPr>
          <w:rFonts w:eastAsia="Times New Roman" w:cs="Arial"/>
          <w:color w:val="000000"/>
          <w:lang w:val="ru-RU"/>
        </w:rPr>
        <w:t>1</w:t>
      </w:r>
      <w:r w:rsidRPr="000314A0">
        <w:rPr>
          <w:rFonts w:eastAsia="Times New Roman" w:cs="Arial"/>
          <w:color w:val="000000"/>
          <w:lang w:val="en-US"/>
        </w:rPr>
        <w:t>E</w:t>
      </w:r>
      <w:r w:rsidRPr="000314A0">
        <w:rPr>
          <w:rFonts w:eastAsia="Times New Roman" w:cs="Arial"/>
          <w:color w:val="000000"/>
          <w:lang w:val="ru-RU"/>
        </w:rPr>
        <w:t xml:space="preserve">1 </w:t>
      </w:r>
      <w:r w:rsidRPr="000314A0">
        <w:rPr>
          <w:rFonts w:eastAsia="Times New Roman" w:cs="Arial"/>
          <w:color w:val="000000"/>
          <w:lang w:eastAsia="bg-BG"/>
        </w:rPr>
        <w:t>и е установено, че води до повишаване на серумната концентрация на етинилестрадиола (ЕЕ). Доколкото познанието за ефектите върху множеството сулфотранферази на настоящия етап е ограничено и клиничните последици от действието на множество лекарства са непълни и продължават да бъдат обект на изследване, трябва да се внимава, когато еторикоксиб се прилага едновременно с други лекарства, които се метаболизират главно от сулфотрансферазите (напр. перорални салбутамол и миноксидил).</w:t>
      </w:r>
    </w:p>
    <w:p w14:paraId="4E9F1FC3" w14:textId="77777777" w:rsidR="000314A0" w:rsidRPr="000314A0" w:rsidRDefault="000314A0" w:rsidP="000314A0">
      <w:pPr>
        <w:spacing w:line="240" w:lineRule="auto"/>
        <w:rPr>
          <w:rFonts w:eastAsia="Times New Roman" w:cs="Arial"/>
          <w:i/>
          <w:iCs/>
          <w:color w:val="000000"/>
          <w:lang w:eastAsia="bg-BG"/>
        </w:rPr>
      </w:pPr>
    </w:p>
    <w:p w14:paraId="31BEEAB6" w14:textId="0FA52C3F"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 xml:space="preserve">Ефект на еторикоксиб върху активните вещества, които се метаболизират от </w:t>
      </w:r>
      <w:r w:rsidRPr="000314A0">
        <w:rPr>
          <w:rFonts w:eastAsia="Times New Roman" w:cs="Arial"/>
          <w:i/>
          <w:iCs/>
          <w:color w:val="000000"/>
          <w:lang w:val="en-US"/>
        </w:rPr>
        <w:t>CYP</w:t>
      </w:r>
      <w:r w:rsidRPr="000314A0">
        <w:rPr>
          <w:rFonts w:eastAsia="Times New Roman" w:cs="Arial"/>
          <w:i/>
          <w:iCs/>
          <w:color w:val="000000"/>
          <w:lang w:val="ru-RU"/>
        </w:rPr>
        <w:t xml:space="preserve"> </w:t>
      </w:r>
      <w:r w:rsidRPr="000314A0">
        <w:rPr>
          <w:rFonts w:eastAsia="Times New Roman" w:cs="Arial"/>
          <w:i/>
          <w:iCs/>
          <w:color w:val="000000"/>
          <w:lang w:eastAsia="bg-BG"/>
        </w:rPr>
        <w:t>изоензимите</w:t>
      </w:r>
    </w:p>
    <w:p w14:paraId="043F1FF0"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Въз основа на изследвания </w:t>
      </w:r>
      <w:r w:rsidRPr="000314A0">
        <w:rPr>
          <w:rFonts w:eastAsia="Times New Roman" w:cs="Arial"/>
          <w:i/>
          <w:iCs/>
          <w:color w:val="000000"/>
          <w:lang w:val="en-US"/>
        </w:rPr>
        <w:t>in</w:t>
      </w:r>
      <w:r w:rsidRPr="000314A0">
        <w:rPr>
          <w:rFonts w:eastAsia="Times New Roman" w:cs="Arial"/>
          <w:i/>
          <w:iCs/>
          <w:color w:val="000000"/>
          <w:lang w:val="ru-RU"/>
        </w:rPr>
        <w:t xml:space="preserve"> </w:t>
      </w:r>
      <w:r w:rsidRPr="000314A0">
        <w:rPr>
          <w:rFonts w:eastAsia="Times New Roman" w:cs="Arial"/>
          <w:i/>
          <w:iCs/>
          <w:color w:val="000000"/>
          <w:lang w:val="en-US"/>
        </w:rPr>
        <w:t>vitro</w:t>
      </w:r>
      <w:r w:rsidRPr="000314A0">
        <w:rPr>
          <w:rFonts w:eastAsia="Times New Roman" w:cs="Arial"/>
          <w:i/>
          <w:iCs/>
          <w:color w:val="000000"/>
          <w:lang w:val="ru-RU"/>
        </w:rPr>
        <w:t>,</w:t>
      </w:r>
      <w:r w:rsidRPr="000314A0">
        <w:rPr>
          <w:rFonts w:eastAsia="Times New Roman" w:cs="Arial"/>
          <w:color w:val="000000"/>
          <w:lang w:val="ru-RU"/>
        </w:rPr>
        <w:t xml:space="preserve"> </w:t>
      </w:r>
      <w:r w:rsidRPr="000314A0">
        <w:rPr>
          <w:rFonts w:eastAsia="Times New Roman" w:cs="Arial"/>
          <w:color w:val="000000"/>
          <w:lang w:eastAsia="bg-BG"/>
        </w:rPr>
        <w:t xml:space="preserve">еторикоксиб не се очаква да инхибира цитохромите Р450 </w:t>
      </w:r>
      <w:r w:rsidRPr="000314A0">
        <w:rPr>
          <w:rFonts w:eastAsia="Times New Roman" w:cs="Arial"/>
          <w:color w:val="000000"/>
          <w:lang w:val="ru-RU"/>
        </w:rPr>
        <w:t>(</w:t>
      </w:r>
      <w:r w:rsidRPr="000314A0">
        <w:rPr>
          <w:rFonts w:eastAsia="Times New Roman" w:cs="Arial"/>
          <w:color w:val="000000"/>
          <w:lang w:val="en-US"/>
        </w:rPr>
        <w:t>CYP</w:t>
      </w:r>
      <w:r w:rsidRPr="000314A0">
        <w:rPr>
          <w:rFonts w:eastAsia="Times New Roman" w:cs="Arial"/>
          <w:color w:val="000000"/>
          <w:lang w:val="ru-RU"/>
        </w:rPr>
        <w:t xml:space="preserve">) </w:t>
      </w:r>
      <w:r w:rsidRPr="000314A0">
        <w:rPr>
          <w:rFonts w:eastAsia="Times New Roman" w:cs="Arial"/>
          <w:color w:val="000000"/>
          <w:lang w:eastAsia="bg-BG"/>
        </w:rPr>
        <w:t>1А2, 2С9, 2С19,</w:t>
      </w:r>
      <w:r w:rsidRPr="000314A0">
        <w:rPr>
          <w:rFonts w:eastAsia="Times New Roman" w:cs="Arial"/>
          <w:color w:val="000000"/>
          <w:lang w:val="ru-RU"/>
        </w:rPr>
        <w:t>2</w:t>
      </w:r>
      <w:r w:rsidRPr="000314A0">
        <w:rPr>
          <w:rFonts w:eastAsia="Times New Roman" w:cs="Arial"/>
          <w:color w:val="000000"/>
          <w:lang w:val="en-US"/>
        </w:rPr>
        <w:t>D</w:t>
      </w:r>
      <w:r w:rsidRPr="000314A0">
        <w:rPr>
          <w:rFonts w:eastAsia="Times New Roman" w:cs="Arial"/>
          <w:color w:val="000000"/>
          <w:lang w:val="ru-RU"/>
        </w:rPr>
        <w:t>6,</w:t>
      </w:r>
      <w:r w:rsidRPr="000314A0">
        <w:rPr>
          <w:rFonts w:eastAsia="Times New Roman" w:cs="Arial"/>
          <w:color w:val="000000"/>
          <w:lang w:eastAsia="bg-BG"/>
        </w:rPr>
        <w:t xml:space="preserve">2Е1 или ЗА4. В проучване при здрави хора, прилагането </w:t>
      </w:r>
      <w:r w:rsidRPr="000314A0">
        <w:rPr>
          <w:rFonts w:eastAsia="Times New Roman" w:cs="Arial"/>
          <w:color w:val="000000"/>
          <w:lang w:eastAsia="bg-BG"/>
        </w:rPr>
        <w:lastRenderedPageBreak/>
        <w:t xml:space="preserve">на еторикоксиб в доза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дневно не е довело до промяна в активността на чернодробния </w:t>
      </w:r>
      <w:r w:rsidRPr="000314A0">
        <w:rPr>
          <w:rFonts w:eastAsia="Times New Roman" w:cs="Arial"/>
          <w:color w:val="000000"/>
          <w:lang w:val="en-US"/>
        </w:rPr>
        <w:t>CYP</w:t>
      </w:r>
      <w:r w:rsidRPr="000314A0">
        <w:rPr>
          <w:rFonts w:eastAsia="Times New Roman" w:cs="Arial"/>
          <w:color w:val="000000"/>
          <w:lang w:val="ru-RU"/>
        </w:rPr>
        <w:t xml:space="preserve">3 </w:t>
      </w:r>
      <w:r w:rsidRPr="000314A0">
        <w:rPr>
          <w:rFonts w:eastAsia="Times New Roman" w:cs="Arial"/>
          <w:color w:val="000000"/>
          <w:lang w:eastAsia="bg-BG"/>
        </w:rPr>
        <w:t>А4, оценена чрез еритромициновия дихателен тест.</w:t>
      </w:r>
    </w:p>
    <w:p w14:paraId="0FD94FC5" w14:textId="77777777" w:rsidR="000314A0" w:rsidRPr="000314A0" w:rsidRDefault="000314A0" w:rsidP="000314A0">
      <w:pPr>
        <w:spacing w:line="240" w:lineRule="auto"/>
        <w:rPr>
          <w:rFonts w:eastAsia="Times New Roman" w:cs="Arial"/>
          <w:i/>
          <w:iCs/>
          <w:color w:val="000000"/>
          <w:lang w:eastAsia="bg-BG"/>
        </w:rPr>
      </w:pPr>
    </w:p>
    <w:p w14:paraId="04B8E92C" w14:textId="4992627E"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 xml:space="preserve">Ефект на други активни вещества върху фармакокинетиката на еторикоксиб </w:t>
      </w:r>
      <w:r w:rsidRPr="000314A0">
        <w:rPr>
          <w:rFonts w:eastAsia="Times New Roman" w:cs="Arial"/>
          <w:color w:val="000000"/>
          <w:lang w:eastAsia="bg-BG"/>
        </w:rPr>
        <w:t xml:space="preserve">Основният път на метаболизиране на еторикоксиб е зависим от </w:t>
      </w:r>
      <w:r w:rsidRPr="000314A0">
        <w:rPr>
          <w:rFonts w:eastAsia="Times New Roman" w:cs="Arial"/>
          <w:color w:val="000000"/>
          <w:lang w:val="en-US"/>
        </w:rPr>
        <w:t>CYP</w:t>
      </w:r>
      <w:r w:rsidRPr="000314A0">
        <w:rPr>
          <w:rFonts w:eastAsia="Times New Roman" w:cs="Arial"/>
          <w:color w:val="000000"/>
          <w:lang w:val="ru-RU"/>
        </w:rPr>
        <w:t xml:space="preserve"> </w:t>
      </w:r>
      <w:r w:rsidRPr="000314A0">
        <w:rPr>
          <w:rFonts w:eastAsia="Times New Roman" w:cs="Arial"/>
          <w:color w:val="000000"/>
          <w:lang w:eastAsia="bg-BG"/>
        </w:rPr>
        <w:t xml:space="preserve">ензимите. </w:t>
      </w:r>
      <w:r w:rsidRPr="000314A0">
        <w:rPr>
          <w:rFonts w:eastAsia="Times New Roman" w:cs="Arial"/>
          <w:color w:val="000000"/>
          <w:lang w:val="en-US"/>
        </w:rPr>
        <w:t>CYP</w:t>
      </w:r>
      <w:r w:rsidRPr="000314A0">
        <w:rPr>
          <w:rFonts w:eastAsia="Times New Roman" w:cs="Arial"/>
          <w:color w:val="000000"/>
          <w:lang w:val="ru-RU"/>
        </w:rPr>
        <w:t xml:space="preserve">3 </w:t>
      </w:r>
      <w:r w:rsidRPr="000314A0">
        <w:rPr>
          <w:rFonts w:eastAsia="Times New Roman" w:cs="Arial"/>
          <w:color w:val="000000"/>
          <w:lang w:eastAsia="bg-BG"/>
        </w:rPr>
        <w:t xml:space="preserve">А4 изглежда влияе върху метаболизма на еторикоксиб </w:t>
      </w:r>
      <w:r w:rsidRPr="000314A0">
        <w:rPr>
          <w:rFonts w:eastAsia="Times New Roman" w:cs="Arial"/>
          <w:i/>
          <w:iCs/>
          <w:color w:val="000000"/>
          <w:lang w:val="en-US"/>
        </w:rPr>
        <w:t>in</w:t>
      </w:r>
      <w:r w:rsidRPr="000314A0">
        <w:rPr>
          <w:rFonts w:eastAsia="Times New Roman" w:cs="Arial"/>
          <w:i/>
          <w:iCs/>
          <w:color w:val="000000"/>
          <w:lang w:val="ru-RU"/>
        </w:rPr>
        <w:t xml:space="preserve"> </w:t>
      </w:r>
      <w:r w:rsidRPr="000314A0">
        <w:rPr>
          <w:rFonts w:eastAsia="Times New Roman" w:cs="Arial"/>
          <w:i/>
          <w:iCs/>
          <w:color w:val="000000"/>
          <w:lang w:val="en-US"/>
        </w:rPr>
        <w:t>vivo</w:t>
      </w:r>
      <w:r w:rsidRPr="000314A0">
        <w:rPr>
          <w:rFonts w:eastAsia="Times New Roman" w:cs="Arial"/>
          <w:i/>
          <w:iCs/>
          <w:color w:val="000000"/>
          <w:lang w:val="ru-RU"/>
        </w:rPr>
        <w:t xml:space="preserve">. </w:t>
      </w:r>
      <w:r w:rsidRPr="000314A0">
        <w:rPr>
          <w:rFonts w:eastAsia="Times New Roman" w:cs="Arial"/>
          <w:i/>
          <w:iCs/>
          <w:color w:val="000000"/>
          <w:lang w:val="en-US"/>
        </w:rPr>
        <w:t>In</w:t>
      </w:r>
      <w:r w:rsidRPr="000314A0">
        <w:rPr>
          <w:rFonts w:eastAsia="Times New Roman" w:cs="Arial"/>
          <w:i/>
          <w:iCs/>
          <w:color w:val="000000"/>
          <w:lang w:val="ru-RU"/>
        </w:rPr>
        <w:t xml:space="preserve"> </w:t>
      </w:r>
      <w:r w:rsidRPr="000314A0">
        <w:rPr>
          <w:rFonts w:eastAsia="Times New Roman" w:cs="Arial"/>
          <w:i/>
          <w:iCs/>
          <w:color w:val="000000"/>
          <w:lang w:val="en-US"/>
        </w:rPr>
        <w:t>vitro</w:t>
      </w:r>
      <w:r w:rsidRPr="000314A0">
        <w:rPr>
          <w:rFonts w:eastAsia="Times New Roman" w:cs="Arial"/>
          <w:color w:val="000000"/>
          <w:lang w:val="ru-RU"/>
        </w:rPr>
        <w:t xml:space="preserve"> </w:t>
      </w:r>
      <w:r w:rsidRPr="000314A0">
        <w:rPr>
          <w:rFonts w:eastAsia="Times New Roman" w:cs="Arial"/>
          <w:color w:val="000000"/>
          <w:lang w:eastAsia="bg-BG"/>
        </w:rPr>
        <w:t xml:space="preserve">проучвания показват, че </w:t>
      </w:r>
      <w:r w:rsidRPr="000314A0">
        <w:rPr>
          <w:rFonts w:eastAsia="Times New Roman" w:cs="Arial"/>
          <w:color w:val="000000"/>
          <w:lang w:val="en-US"/>
        </w:rPr>
        <w:t>CYP</w:t>
      </w:r>
      <w:r w:rsidRPr="000314A0">
        <w:rPr>
          <w:rFonts w:eastAsia="Times New Roman" w:cs="Arial"/>
          <w:color w:val="000000"/>
          <w:lang w:val="ru-RU"/>
        </w:rPr>
        <w:t>2</w:t>
      </w:r>
      <w:r w:rsidRPr="000314A0">
        <w:rPr>
          <w:rFonts w:eastAsia="Times New Roman" w:cs="Arial"/>
          <w:color w:val="000000"/>
          <w:lang w:val="en-US"/>
        </w:rPr>
        <w:t>D</w:t>
      </w:r>
      <w:r w:rsidRPr="000314A0">
        <w:rPr>
          <w:rFonts w:eastAsia="Times New Roman" w:cs="Arial"/>
          <w:color w:val="000000"/>
          <w:lang w:val="ru-RU"/>
        </w:rPr>
        <w:t xml:space="preserve">6, </w:t>
      </w:r>
      <w:r w:rsidRPr="000314A0">
        <w:rPr>
          <w:rFonts w:eastAsia="Times New Roman" w:cs="Arial"/>
          <w:color w:val="000000"/>
          <w:lang w:val="en-US"/>
        </w:rPr>
        <w:t>CYP</w:t>
      </w:r>
      <w:r w:rsidRPr="000314A0">
        <w:rPr>
          <w:rFonts w:eastAsia="Times New Roman" w:cs="Arial"/>
          <w:color w:val="000000"/>
          <w:lang w:val="ru-RU"/>
        </w:rPr>
        <w:t>2</w:t>
      </w:r>
      <w:r w:rsidRPr="000314A0">
        <w:rPr>
          <w:rFonts w:eastAsia="Times New Roman" w:cs="Arial"/>
          <w:color w:val="000000"/>
          <w:lang w:val="en-US"/>
        </w:rPr>
        <w:t>C</w:t>
      </w:r>
      <w:r w:rsidRPr="000314A0">
        <w:rPr>
          <w:rFonts w:eastAsia="Times New Roman" w:cs="Arial"/>
          <w:color w:val="000000"/>
          <w:lang w:val="ru-RU"/>
        </w:rPr>
        <w:t xml:space="preserve">9, </w:t>
      </w:r>
      <w:r w:rsidRPr="000314A0">
        <w:rPr>
          <w:rFonts w:eastAsia="Times New Roman" w:cs="Arial"/>
          <w:color w:val="000000"/>
          <w:lang w:val="en-US"/>
        </w:rPr>
        <w:t>CYP</w:t>
      </w:r>
      <w:r w:rsidRPr="000314A0">
        <w:rPr>
          <w:rFonts w:eastAsia="Times New Roman" w:cs="Arial"/>
          <w:color w:val="000000"/>
          <w:lang w:val="ru-RU"/>
        </w:rPr>
        <w:t>1</w:t>
      </w:r>
      <w:r w:rsidRPr="000314A0">
        <w:rPr>
          <w:rFonts w:eastAsia="Times New Roman" w:cs="Arial"/>
          <w:color w:val="000000"/>
          <w:lang w:eastAsia="bg-BG"/>
        </w:rPr>
        <w:t xml:space="preserve">А2 и </w:t>
      </w:r>
      <w:r w:rsidRPr="000314A0">
        <w:rPr>
          <w:rFonts w:eastAsia="Times New Roman" w:cs="Arial"/>
          <w:color w:val="000000"/>
          <w:lang w:val="en-US"/>
        </w:rPr>
        <w:t>CYP</w:t>
      </w:r>
      <w:r w:rsidRPr="000314A0">
        <w:rPr>
          <w:rFonts w:eastAsia="Times New Roman" w:cs="Arial"/>
          <w:color w:val="000000"/>
          <w:lang w:val="ru-RU"/>
        </w:rPr>
        <w:t>2</w:t>
      </w:r>
      <w:r w:rsidRPr="000314A0">
        <w:rPr>
          <w:rFonts w:eastAsia="Times New Roman" w:cs="Arial"/>
          <w:color w:val="000000"/>
          <w:lang w:val="en-US"/>
        </w:rPr>
        <w:t>C</w:t>
      </w:r>
      <w:r w:rsidRPr="000314A0">
        <w:rPr>
          <w:rFonts w:eastAsia="Times New Roman" w:cs="Arial"/>
          <w:color w:val="000000"/>
          <w:lang w:val="ru-RU"/>
        </w:rPr>
        <w:t xml:space="preserve">19 </w:t>
      </w:r>
      <w:r w:rsidRPr="000314A0">
        <w:rPr>
          <w:rFonts w:eastAsia="Times New Roman" w:cs="Arial"/>
          <w:color w:val="000000"/>
          <w:lang w:eastAsia="bg-BG"/>
        </w:rPr>
        <w:t xml:space="preserve">също могат да катализират основните процеси, но точна количествена оценка на съучастието им не е провеждана в условия </w:t>
      </w:r>
      <w:r w:rsidRPr="000314A0">
        <w:rPr>
          <w:rFonts w:eastAsia="Times New Roman" w:cs="Arial"/>
          <w:i/>
          <w:iCs/>
          <w:color w:val="000000"/>
          <w:lang w:val="en-US"/>
        </w:rPr>
        <w:t>in</w:t>
      </w:r>
      <w:r w:rsidRPr="000314A0">
        <w:rPr>
          <w:rFonts w:eastAsia="Times New Roman" w:cs="Arial"/>
          <w:i/>
          <w:iCs/>
          <w:color w:val="000000"/>
          <w:lang w:val="ru-RU"/>
        </w:rPr>
        <w:t xml:space="preserve"> </w:t>
      </w:r>
      <w:r w:rsidRPr="000314A0">
        <w:rPr>
          <w:rFonts w:eastAsia="Times New Roman" w:cs="Arial"/>
          <w:i/>
          <w:iCs/>
          <w:color w:val="000000"/>
          <w:lang w:val="en-US"/>
        </w:rPr>
        <w:t>vivo</w:t>
      </w:r>
      <w:r w:rsidRPr="000314A0">
        <w:rPr>
          <w:rFonts w:eastAsia="Times New Roman" w:cs="Arial"/>
          <w:i/>
          <w:iCs/>
          <w:color w:val="000000"/>
          <w:lang w:val="ru-RU"/>
        </w:rPr>
        <w:t>.</w:t>
      </w:r>
    </w:p>
    <w:p w14:paraId="3753C018" w14:textId="77777777" w:rsidR="000314A0" w:rsidRPr="000314A0" w:rsidRDefault="000314A0" w:rsidP="000314A0">
      <w:pPr>
        <w:spacing w:line="240" w:lineRule="auto"/>
        <w:rPr>
          <w:rFonts w:eastAsia="Times New Roman" w:cs="Arial"/>
          <w:i/>
          <w:iCs/>
          <w:color w:val="000000"/>
          <w:lang w:eastAsia="bg-BG"/>
        </w:rPr>
      </w:pPr>
    </w:p>
    <w:p w14:paraId="44D5EC30" w14:textId="72B39598" w:rsidR="000314A0" w:rsidRPr="000314A0" w:rsidRDefault="000314A0" w:rsidP="000314A0">
      <w:pPr>
        <w:spacing w:line="240" w:lineRule="auto"/>
        <w:rPr>
          <w:rFonts w:eastAsia="Times New Roman" w:cs="Arial"/>
          <w:color w:val="000000"/>
          <w:lang w:eastAsia="bg-BG"/>
        </w:rPr>
      </w:pPr>
      <w:r w:rsidRPr="000314A0">
        <w:rPr>
          <w:rFonts w:eastAsia="Times New Roman" w:cs="Arial"/>
          <w:i/>
          <w:iCs/>
          <w:color w:val="000000"/>
          <w:lang w:eastAsia="bg-BG"/>
        </w:rPr>
        <w:t>Кетоконазол:</w:t>
      </w:r>
      <w:r w:rsidRPr="000314A0">
        <w:rPr>
          <w:rFonts w:eastAsia="Times New Roman" w:cs="Arial"/>
          <w:color w:val="000000"/>
          <w:lang w:eastAsia="bg-BG"/>
        </w:rPr>
        <w:t xml:space="preserve"> Кетоконазол е мощен инхибитор на </w:t>
      </w:r>
      <w:r w:rsidRPr="000314A0">
        <w:rPr>
          <w:rFonts w:eastAsia="Times New Roman" w:cs="Arial"/>
          <w:color w:val="000000"/>
          <w:lang w:val="en-US"/>
        </w:rPr>
        <w:t>CYP</w:t>
      </w:r>
      <w:r w:rsidRPr="000314A0">
        <w:rPr>
          <w:rFonts w:eastAsia="Times New Roman" w:cs="Arial"/>
          <w:color w:val="000000"/>
          <w:lang w:val="ru-RU"/>
        </w:rPr>
        <w:t xml:space="preserve">3 </w:t>
      </w:r>
      <w:r w:rsidRPr="000314A0">
        <w:rPr>
          <w:rFonts w:eastAsia="Times New Roman" w:cs="Arial"/>
          <w:color w:val="000000"/>
          <w:lang w:eastAsia="bg-BG"/>
        </w:rPr>
        <w:t xml:space="preserve">А4. В доза 400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веднъж на ден в </w:t>
      </w:r>
      <w:r w:rsidRPr="000314A0">
        <w:rPr>
          <w:rFonts w:eastAsia="Times New Roman" w:cs="Arial"/>
          <w:color w:val="000000"/>
          <w:lang w:val="ru-RU" w:eastAsia="bg-BG"/>
        </w:rPr>
        <w:t xml:space="preserve"> </w:t>
      </w:r>
      <w:r w:rsidRPr="000314A0">
        <w:rPr>
          <w:rFonts w:eastAsia="Times New Roman" w:cs="Arial"/>
          <w:color w:val="000000"/>
          <w:lang w:eastAsia="bg-BG"/>
        </w:rPr>
        <w:t xml:space="preserve">продължение на 11 дни при здрави доброволци не променя клинично значимо фармакокинетиката на еторикоксиб при еднократна доза от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еторикоксиб (43% увеличение на </w:t>
      </w:r>
      <w:r w:rsidRPr="000314A0">
        <w:rPr>
          <w:rFonts w:eastAsia="Times New Roman" w:cs="Arial"/>
          <w:color w:val="000000"/>
          <w:lang w:val="en-US"/>
        </w:rPr>
        <w:t>AUC</w:t>
      </w:r>
      <w:r w:rsidRPr="000314A0">
        <w:rPr>
          <w:rFonts w:eastAsia="Times New Roman" w:cs="Arial"/>
          <w:color w:val="000000"/>
          <w:lang w:val="ru-RU"/>
        </w:rPr>
        <w:t>).</w:t>
      </w:r>
    </w:p>
    <w:p w14:paraId="203D0FEF" w14:textId="77777777" w:rsidR="000314A0" w:rsidRPr="000314A0" w:rsidRDefault="000314A0" w:rsidP="000314A0">
      <w:pPr>
        <w:spacing w:line="240" w:lineRule="auto"/>
        <w:rPr>
          <w:rFonts w:eastAsia="Times New Roman" w:cs="Arial"/>
          <w:i/>
          <w:iCs/>
          <w:color w:val="000000"/>
          <w:lang w:eastAsia="bg-BG"/>
        </w:rPr>
      </w:pPr>
    </w:p>
    <w:p w14:paraId="5DD2D7E9" w14:textId="4CE8F648"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Вориконазол и миконазол:</w:t>
      </w:r>
      <w:r w:rsidRPr="000314A0">
        <w:rPr>
          <w:rFonts w:eastAsia="Times New Roman" w:cs="Arial"/>
          <w:color w:val="000000"/>
          <w:lang w:eastAsia="bg-BG"/>
        </w:rPr>
        <w:t xml:space="preserve"> Едновременното приложение на перорален вориконазол и миконазол перорален гел (мощни инхибитори на </w:t>
      </w:r>
      <w:r w:rsidRPr="000314A0">
        <w:rPr>
          <w:rFonts w:eastAsia="Times New Roman" w:cs="Arial"/>
          <w:color w:val="000000"/>
          <w:lang w:val="en-US"/>
        </w:rPr>
        <w:t>CYP</w:t>
      </w:r>
      <w:r w:rsidRPr="000314A0">
        <w:rPr>
          <w:rFonts w:eastAsia="Times New Roman" w:cs="Arial"/>
          <w:color w:val="000000"/>
          <w:lang w:val="ru-RU"/>
        </w:rPr>
        <w:t>3</w:t>
      </w:r>
      <w:r w:rsidRPr="000314A0">
        <w:rPr>
          <w:rFonts w:eastAsia="Times New Roman" w:cs="Arial"/>
          <w:color w:val="000000"/>
          <w:lang w:eastAsia="bg-BG"/>
        </w:rPr>
        <w:t>А4) с еторикоксиб води повишаване на експозицията на еторикоксиб, без това да се счита за клинично значимо според публикуваните данни.</w:t>
      </w:r>
    </w:p>
    <w:p w14:paraId="63DA6887" w14:textId="77777777" w:rsidR="000314A0" w:rsidRPr="000314A0" w:rsidRDefault="000314A0" w:rsidP="000314A0">
      <w:pPr>
        <w:spacing w:line="240" w:lineRule="auto"/>
        <w:rPr>
          <w:rFonts w:eastAsia="Times New Roman" w:cs="Arial"/>
          <w:i/>
          <w:iCs/>
          <w:color w:val="000000"/>
          <w:lang w:eastAsia="bg-BG"/>
        </w:rPr>
      </w:pPr>
    </w:p>
    <w:p w14:paraId="7BC0DA05" w14:textId="0578DA86"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Рифампицин:</w:t>
      </w:r>
      <w:r w:rsidRPr="000314A0">
        <w:rPr>
          <w:rFonts w:eastAsia="Times New Roman" w:cs="Arial"/>
          <w:color w:val="000000"/>
          <w:lang w:eastAsia="bg-BG"/>
        </w:rPr>
        <w:t xml:space="preserve"> Едновременното прилагане на еторикоксиб и рифампицин, мощен индуктор на</w:t>
      </w:r>
      <w:r w:rsidRPr="000314A0">
        <w:rPr>
          <w:rFonts w:eastAsia="Times New Roman" w:cs="Arial"/>
          <w:sz w:val="24"/>
          <w:szCs w:val="24"/>
          <w:lang w:val="ru-RU"/>
        </w:rPr>
        <w:t xml:space="preserve"> </w:t>
      </w:r>
      <w:r w:rsidRPr="000314A0">
        <w:rPr>
          <w:rFonts w:eastAsia="Times New Roman" w:cs="Arial"/>
          <w:color w:val="000000"/>
          <w:lang w:val="en-US"/>
        </w:rPr>
        <w:t>CYP</w:t>
      </w:r>
      <w:r w:rsidRPr="000314A0">
        <w:rPr>
          <w:rFonts w:eastAsia="Times New Roman" w:cs="Arial"/>
          <w:color w:val="000000"/>
          <w:lang w:val="ru-RU"/>
        </w:rPr>
        <w:t xml:space="preserve"> </w:t>
      </w:r>
      <w:r w:rsidRPr="000314A0">
        <w:rPr>
          <w:rFonts w:eastAsia="Times New Roman" w:cs="Arial"/>
          <w:color w:val="000000"/>
          <w:lang w:eastAsia="bg-BG"/>
        </w:rPr>
        <w:t>ензимите води до намаляване на плазмените концентрации на еторикоксиб 65%. Това</w:t>
      </w:r>
      <w:r w:rsidRPr="000314A0">
        <w:rPr>
          <w:rFonts w:eastAsia="Times New Roman" w:cs="Arial"/>
          <w:i/>
          <w:iCs/>
          <w:color w:val="000000"/>
          <w:lang w:eastAsia="bg-BG"/>
        </w:rPr>
        <w:t xml:space="preserve"> може</w:t>
      </w:r>
      <w:r w:rsidRPr="000314A0">
        <w:rPr>
          <w:rFonts w:eastAsia="Times New Roman" w:cs="Arial"/>
          <w:color w:val="000000"/>
          <w:lang w:eastAsia="bg-BG"/>
        </w:rPr>
        <w:t xml:space="preserve"> да доведе до рецидивиране на симптоматиката, когато еторикоксиб се прилага с</w:t>
      </w:r>
      <w:r w:rsidRPr="000314A0">
        <w:rPr>
          <w:rFonts w:eastAsia="Times New Roman" w:cs="Arial"/>
          <w:color w:val="000000"/>
          <w:lang w:val="ru-RU" w:eastAsia="bg-BG"/>
        </w:rPr>
        <w:t xml:space="preserve"> </w:t>
      </w:r>
      <w:r w:rsidRPr="000314A0">
        <w:rPr>
          <w:rFonts w:eastAsia="Times New Roman" w:cs="Arial"/>
          <w:color w:val="000000"/>
          <w:lang w:eastAsia="bg-BG"/>
        </w:rPr>
        <w:t>рифампицин. Тъй като тази информация предполага увеличаване на дозата, следва да се отбележи, че не са проучени дози на еторикоксиб, по-високи ог посочените за всяка индикация, когато се прилага едновременно с рифампицин и по тази причина не се и препоръчват по- високи дози (вж. точка 4.2).</w:t>
      </w:r>
    </w:p>
    <w:p w14:paraId="4CE5E739" w14:textId="77777777" w:rsidR="000314A0" w:rsidRPr="000314A0" w:rsidRDefault="000314A0" w:rsidP="000314A0">
      <w:pPr>
        <w:spacing w:line="240" w:lineRule="auto"/>
        <w:rPr>
          <w:rFonts w:eastAsia="Times New Roman" w:cs="Arial"/>
          <w:i/>
          <w:iCs/>
          <w:color w:val="000000"/>
          <w:lang w:eastAsia="bg-BG"/>
        </w:rPr>
      </w:pPr>
    </w:p>
    <w:p w14:paraId="3078DF23" w14:textId="28151C28"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Антиациди:</w:t>
      </w:r>
      <w:r w:rsidRPr="000314A0">
        <w:rPr>
          <w:rFonts w:eastAsia="Times New Roman" w:cs="Arial"/>
          <w:color w:val="000000"/>
          <w:lang w:eastAsia="bg-BG"/>
        </w:rPr>
        <w:t xml:space="preserve"> Антиацидите не влияят върху фармакокинетиката на еторикоксиб в клинично значима степен.</w:t>
      </w:r>
    </w:p>
    <w:p w14:paraId="7929B485" w14:textId="4FFF4435" w:rsidR="000314A0" w:rsidRPr="000314A0" w:rsidRDefault="000314A0" w:rsidP="000314A0"/>
    <w:p w14:paraId="29D2BD58" w14:textId="086400FA" w:rsidR="00DF4C8E" w:rsidRDefault="002C50EE" w:rsidP="00F44498">
      <w:pPr>
        <w:pStyle w:val="Heading2"/>
      </w:pPr>
      <w:r>
        <w:t>4.6. Фертилитет, бременност и кърмене</w:t>
      </w:r>
    </w:p>
    <w:p w14:paraId="7F86366E" w14:textId="5AE32254" w:rsidR="000314A0" w:rsidRDefault="000314A0" w:rsidP="000314A0"/>
    <w:p w14:paraId="153875C7" w14:textId="77777777" w:rsidR="000314A0" w:rsidRPr="000314A0" w:rsidRDefault="000314A0" w:rsidP="000314A0">
      <w:pPr>
        <w:pStyle w:val="Heading3"/>
        <w:rPr>
          <w:rFonts w:eastAsia="Times New Roman"/>
          <w:i/>
        </w:rPr>
      </w:pPr>
      <w:r w:rsidRPr="000314A0">
        <w:rPr>
          <w:rFonts w:eastAsia="Times New Roman"/>
          <w:i/>
          <w:lang w:eastAsia="bg-BG"/>
        </w:rPr>
        <w:t>Бременност</w:t>
      </w:r>
    </w:p>
    <w:p w14:paraId="320B13F5"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Няма клинични данни за влиянието на еторикоксиб върху протичането на бременността. Проучванията при животни са установили токсичен ефект върху репродуктивната функция (вж. точка 5.3). Потенциалният риск при бременни жени не е известен. Еторикоксиб, както другите лекарствени продукти, инхибиращи синтезата на простагландините, може да предизвика маточна слабост и преждевременно затваряне на Боталовия проток в последния триместьр. Еторикоксиб е противопоказан за прилагане по време на бременност (вж. точка 4.3). Ако една жена забременее по време на лечението с еторикоксиб, той трябва да бъде спрян.</w:t>
      </w:r>
    </w:p>
    <w:p w14:paraId="37835172" w14:textId="77777777" w:rsidR="000314A0" w:rsidRPr="000314A0" w:rsidRDefault="000314A0" w:rsidP="000314A0">
      <w:pPr>
        <w:spacing w:line="240" w:lineRule="auto"/>
        <w:rPr>
          <w:rFonts w:eastAsia="Times New Roman" w:cs="Arial"/>
          <w:i/>
          <w:iCs/>
          <w:color w:val="000000"/>
          <w:lang w:eastAsia="bg-BG"/>
        </w:rPr>
      </w:pPr>
    </w:p>
    <w:p w14:paraId="6E096E79" w14:textId="739508E6" w:rsidR="000314A0" w:rsidRPr="000314A0" w:rsidRDefault="000314A0" w:rsidP="000314A0">
      <w:pPr>
        <w:pStyle w:val="Heading3"/>
        <w:rPr>
          <w:rFonts w:eastAsia="Times New Roman"/>
          <w:i/>
        </w:rPr>
      </w:pPr>
      <w:r w:rsidRPr="000314A0">
        <w:rPr>
          <w:rFonts w:eastAsia="Times New Roman"/>
          <w:i/>
          <w:lang w:eastAsia="bg-BG"/>
        </w:rPr>
        <w:t>Кърмене</w:t>
      </w:r>
    </w:p>
    <w:p w14:paraId="7AE01B4E"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Не е известно дали еторикоксиб се отделя в човешката кърма. Еторикоксиб се отделя в кърмата на плъхове. Жените, които ползват еторикоксиб, не трябва да кърмят (вж. точки 4.3 и 5.3).</w:t>
      </w:r>
    </w:p>
    <w:p w14:paraId="1496ADC5" w14:textId="77777777" w:rsidR="000314A0" w:rsidRPr="000314A0" w:rsidRDefault="000314A0" w:rsidP="000314A0">
      <w:pPr>
        <w:spacing w:line="240" w:lineRule="auto"/>
        <w:rPr>
          <w:rFonts w:eastAsia="Times New Roman" w:cs="Arial"/>
          <w:i/>
          <w:iCs/>
          <w:color w:val="000000"/>
          <w:lang w:eastAsia="bg-BG"/>
        </w:rPr>
      </w:pPr>
    </w:p>
    <w:p w14:paraId="02846937" w14:textId="1E072EAF" w:rsidR="000314A0" w:rsidRPr="000314A0" w:rsidRDefault="000314A0" w:rsidP="000314A0">
      <w:pPr>
        <w:pStyle w:val="Heading3"/>
        <w:rPr>
          <w:rFonts w:eastAsia="Times New Roman"/>
          <w:i/>
        </w:rPr>
      </w:pPr>
      <w:r w:rsidRPr="000314A0">
        <w:rPr>
          <w:rFonts w:eastAsia="Times New Roman"/>
          <w:i/>
          <w:lang w:eastAsia="bg-BG"/>
        </w:rPr>
        <w:lastRenderedPageBreak/>
        <w:t>Фертнлитет</w:t>
      </w:r>
    </w:p>
    <w:p w14:paraId="2CC5096C"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Употребата на еторикоксиб, както и на всяко друго вещество, за което е известно, че инхибира СОХ-2, не се препоръчва при жени, опитващи се да забременеят.</w:t>
      </w:r>
    </w:p>
    <w:p w14:paraId="08EA8730" w14:textId="2850E979" w:rsidR="000314A0" w:rsidRPr="000314A0" w:rsidRDefault="000314A0" w:rsidP="000314A0"/>
    <w:p w14:paraId="4DF5A2E7" w14:textId="6491E201" w:rsidR="00DF4C8E" w:rsidRDefault="002C50EE" w:rsidP="00F44498">
      <w:pPr>
        <w:pStyle w:val="Heading2"/>
      </w:pPr>
      <w:r>
        <w:t>4.7. Ефекти върху способността за шофиране и работа с машини</w:t>
      </w:r>
    </w:p>
    <w:p w14:paraId="4B983A0C" w14:textId="29F7B79A" w:rsidR="000314A0" w:rsidRDefault="000314A0" w:rsidP="000314A0"/>
    <w:p w14:paraId="2C97291A" w14:textId="77777777" w:rsidR="000314A0" w:rsidRPr="000314A0" w:rsidRDefault="000314A0" w:rsidP="000314A0">
      <w:pPr>
        <w:rPr>
          <w:sz w:val="24"/>
          <w:szCs w:val="24"/>
        </w:rPr>
      </w:pPr>
      <w:r w:rsidRPr="000314A0">
        <w:rPr>
          <w:lang w:eastAsia="bg-BG"/>
        </w:rPr>
        <w:t>Еторикоксиб Тева може да има умерен ефект върху способността да се шофира и работи с машини.</w:t>
      </w:r>
    </w:p>
    <w:p w14:paraId="48C6A4D4" w14:textId="77777777" w:rsidR="000314A0" w:rsidRDefault="000314A0" w:rsidP="000314A0">
      <w:pPr>
        <w:rPr>
          <w:lang w:eastAsia="bg-BG"/>
        </w:rPr>
      </w:pPr>
    </w:p>
    <w:p w14:paraId="3E108244" w14:textId="1A6250E8" w:rsidR="000314A0" w:rsidRPr="000314A0" w:rsidRDefault="000314A0" w:rsidP="000314A0">
      <w:pPr>
        <w:rPr>
          <w:sz w:val="24"/>
          <w:szCs w:val="24"/>
        </w:rPr>
      </w:pPr>
      <w:r w:rsidRPr="000314A0">
        <w:rPr>
          <w:lang w:eastAsia="bg-BG"/>
        </w:rPr>
        <w:t>Пациентите, които чувстват замаяност, световъртеж или сънливост при употреба на еторикоксиб, трябва да избягват да шофират и да работят с машини.</w:t>
      </w:r>
    </w:p>
    <w:p w14:paraId="1F4B4F3C" w14:textId="77777777" w:rsidR="000314A0" w:rsidRPr="000314A0" w:rsidRDefault="000314A0" w:rsidP="000314A0"/>
    <w:p w14:paraId="28229498" w14:textId="07AE3CF9" w:rsidR="00DF4C8E" w:rsidRDefault="002C50EE" w:rsidP="00F44498">
      <w:pPr>
        <w:pStyle w:val="Heading2"/>
      </w:pPr>
      <w:r>
        <w:t>4.8. Нежелани лекарствени реакции</w:t>
      </w:r>
    </w:p>
    <w:p w14:paraId="4265DBC6" w14:textId="58AD0110" w:rsidR="000314A0" w:rsidRDefault="000314A0" w:rsidP="000314A0"/>
    <w:p w14:paraId="1C0D22C3" w14:textId="77777777"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Резюме на профила на безопасност</w:t>
      </w:r>
    </w:p>
    <w:p w14:paraId="3EFB5EF8"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В клинични проучвания, безопасността от прилагането на еторикоксиб е била оценена при 9 295 души, включително 6 757 пациенти с ОА, РА, хронична болка в кръста или анкилозиращ спондилит (приблизително 600 пациенти с ОА или РА са били лекувани в продължение на минимум една година).</w:t>
      </w:r>
    </w:p>
    <w:p w14:paraId="1B198637" w14:textId="77777777" w:rsidR="000314A0" w:rsidRPr="000314A0" w:rsidRDefault="000314A0" w:rsidP="000314A0">
      <w:pPr>
        <w:spacing w:line="240" w:lineRule="auto"/>
        <w:rPr>
          <w:rFonts w:eastAsia="Times New Roman" w:cs="Arial"/>
          <w:color w:val="000000"/>
          <w:lang w:eastAsia="bg-BG"/>
        </w:rPr>
      </w:pPr>
    </w:p>
    <w:p w14:paraId="4C77188D" w14:textId="3418163A"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При клиничните проучвания, профилът на нежеланите лекарствени реакции е бил сходен при пациенти с ОА или РА, лекувани с еторикоксиб в продължение на една година или повече.</w:t>
      </w:r>
    </w:p>
    <w:p w14:paraId="27E52CC1" w14:textId="77777777" w:rsidR="000314A0" w:rsidRPr="000314A0" w:rsidRDefault="000314A0" w:rsidP="000314A0">
      <w:pPr>
        <w:spacing w:line="240" w:lineRule="auto"/>
        <w:rPr>
          <w:rFonts w:eastAsia="Times New Roman" w:cs="Arial"/>
          <w:color w:val="000000"/>
          <w:lang w:eastAsia="bg-BG"/>
        </w:rPr>
      </w:pPr>
    </w:p>
    <w:p w14:paraId="0FF5A581" w14:textId="3D3EA8F9"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При клинично проучване за остър подагрозен артрит, пациентите са били лекувани със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дневна доза еторикоксиб, в продължение на осем дни. Профилът на нежеланите лекарствени реакции в това проучване е бил в общи линии близък до този, наблюдаван при комбинираните проучвания за ОА, РА и хронична болка в кръста.</w:t>
      </w:r>
    </w:p>
    <w:p w14:paraId="01448AA4" w14:textId="77777777" w:rsidR="000314A0" w:rsidRPr="000314A0" w:rsidRDefault="000314A0" w:rsidP="000314A0">
      <w:pPr>
        <w:rPr>
          <w:rFonts w:eastAsia="Times New Roman" w:cs="Arial"/>
          <w:color w:val="000000"/>
          <w:lang w:eastAsia="bg-BG"/>
        </w:rPr>
      </w:pPr>
    </w:p>
    <w:p w14:paraId="000E9D41" w14:textId="3D876815" w:rsidR="000314A0" w:rsidRPr="000314A0" w:rsidRDefault="000314A0" w:rsidP="000314A0">
      <w:pPr>
        <w:rPr>
          <w:rFonts w:eastAsia="Times New Roman" w:cs="Arial"/>
          <w:color w:val="000000"/>
          <w:lang w:eastAsia="bg-BG"/>
        </w:rPr>
      </w:pPr>
      <w:r w:rsidRPr="000314A0">
        <w:rPr>
          <w:rFonts w:eastAsia="Times New Roman" w:cs="Arial"/>
          <w:color w:val="000000"/>
          <w:lang w:eastAsia="bg-BG"/>
        </w:rPr>
        <w:t xml:space="preserve">В програма за проследяване на сърдечно-съдовата безопасност с обобщени данни от три клинични изпитвания с активен компонент, 17 412 пациенти с ОА или РА са били лекувани с еторикоксиб (60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или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при средна продължителност на лечението приблизително 18 месеца. Данните за безопасност и подробностите за тази програма са представени в точка 5.1.</w:t>
      </w:r>
    </w:p>
    <w:p w14:paraId="0EB0B172" w14:textId="2B9409C1" w:rsidR="000314A0" w:rsidRPr="000314A0" w:rsidRDefault="000314A0" w:rsidP="000314A0">
      <w:pPr>
        <w:rPr>
          <w:rFonts w:eastAsia="Times New Roman" w:cs="Arial"/>
          <w:color w:val="000000"/>
          <w:lang w:eastAsia="bg-BG"/>
        </w:rPr>
      </w:pPr>
    </w:p>
    <w:p w14:paraId="19E78AED"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Профилът на нежелани лекарствени реакции при клинични проучвания за остра постоперативна дентална болка след операция, включващи 614 пациенти, лекувани с еторикоксиб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и 120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като цяло е подобен на този, съобщен при проучвания за ОА, РА и хронична болка в долната част на гърба.</w:t>
      </w:r>
    </w:p>
    <w:p w14:paraId="79E2039E" w14:textId="77777777" w:rsidR="000314A0" w:rsidRPr="000314A0" w:rsidRDefault="000314A0" w:rsidP="000314A0">
      <w:pPr>
        <w:spacing w:line="240" w:lineRule="auto"/>
        <w:rPr>
          <w:rFonts w:eastAsia="Times New Roman" w:cs="Arial"/>
          <w:i/>
          <w:iCs/>
          <w:color w:val="000000"/>
          <w:lang w:eastAsia="bg-BG"/>
        </w:rPr>
      </w:pPr>
    </w:p>
    <w:p w14:paraId="62C97080" w14:textId="3B77B185" w:rsidR="000314A0" w:rsidRPr="000314A0" w:rsidRDefault="000314A0" w:rsidP="000314A0">
      <w:pPr>
        <w:spacing w:line="240" w:lineRule="auto"/>
        <w:rPr>
          <w:rFonts w:eastAsia="Times New Roman" w:cs="Arial"/>
          <w:sz w:val="24"/>
          <w:szCs w:val="24"/>
        </w:rPr>
      </w:pPr>
      <w:r w:rsidRPr="000314A0">
        <w:rPr>
          <w:rFonts w:eastAsia="Times New Roman" w:cs="Arial"/>
          <w:i/>
          <w:iCs/>
          <w:color w:val="000000"/>
          <w:lang w:eastAsia="bg-BG"/>
        </w:rPr>
        <w:t>Табличен списък на нежеланите реакции</w:t>
      </w:r>
    </w:p>
    <w:p w14:paraId="64EDC680" w14:textId="77777777" w:rsidR="000314A0" w:rsidRPr="000314A0" w:rsidRDefault="000314A0" w:rsidP="000314A0">
      <w:pPr>
        <w:spacing w:line="240" w:lineRule="auto"/>
        <w:rPr>
          <w:rFonts w:eastAsia="Times New Roman" w:cs="Arial"/>
          <w:sz w:val="24"/>
          <w:szCs w:val="24"/>
        </w:rPr>
      </w:pPr>
      <w:r w:rsidRPr="000314A0">
        <w:rPr>
          <w:rFonts w:eastAsia="Times New Roman" w:cs="Arial"/>
          <w:color w:val="000000"/>
          <w:lang w:eastAsia="bg-BG"/>
        </w:rPr>
        <w:t xml:space="preserve">По време на клиничните изпитвания са установени следните нежелани лекарствени реакции с честота по-голяма от тази при прилагането на плацебо при пациенти с ОА, РА, хронична болка в кръста или анкилозиращ спондилит лекувани с еторикоксиб 30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60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или 90 </w:t>
      </w:r>
      <w:r w:rsidRPr="000314A0">
        <w:rPr>
          <w:rFonts w:eastAsia="Times New Roman" w:cs="Arial"/>
          <w:color w:val="000000"/>
          <w:lang w:val="en-US"/>
        </w:rPr>
        <w:t>mg</w:t>
      </w:r>
      <w:r w:rsidRPr="000314A0">
        <w:rPr>
          <w:rFonts w:eastAsia="Times New Roman" w:cs="Arial"/>
          <w:color w:val="000000"/>
          <w:lang w:val="ru-RU"/>
        </w:rPr>
        <w:t xml:space="preserve"> </w:t>
      </w:r>
      <w:r w:rsidRPr="000314A0">
        <w:rPr>
          <w:rFonts w:eastAsia="Times New Roman" w:cs="Arial"/>
          <w:color w:val="000000"/>
          <w:lang w:eastAsia="bg-BG"/>
        </w:rPr>
        <w:t xml:space="preserve">до препоръчителната доза за срок на лечение до 12 седмици; в проучванията по програмата </w:t>
      </w:r>
      <w:r w:rsidRPr="000314A0">
        <w:rPr>
          <w:rFonts w:eastAsia="Times New Roman" w:cs="Arial"/>
          <w:color w:val="000000"/>
          <w:lang w:val="en-US"/>
        </w:rPr>
        <w:t>MEDAL</w:t>
      </w:r>
      <w:r w:rsidRPr="000314A0">
        <w:rPr>
          <w:rFonts w:eastAsia="Times New Roman" w:cs="Arial"/>
          <w:color w:val="000000"/>
          <w:lang w:val="ru-RU"/>
        </w:rPr>
        <w:t xml:space="preserve"> </w:t>
      </w:r>
      <w:r w:rsidRPr="000314A0">
        <w:rPr>
          <w:rFonts w:eastAsia="Times New Roman" w:cs="Arial"/>
          <w:color w:val="000000"/>
          <w:lang w:eastAsia="bg-BG"/>
        </w:rPr>
        <w:t>за срок на лечение до 3,5 години, в краткосрочни проучвания за срок на лечение до 7 дни за остра болка или в периода след пускане на пазара (вж. Таблица 1):</w:t>
      </w:r>
    </w:p>
    <w:p w14:paraId="3670E6DE" w14:textId="77777777" w:rsidR="000314A0" w:rsidRPr="000314A0" w:rsidRDefault="000314A0" w:rsidP="000314A0">
      <w:pPr>
        <w:spacing w:line="240" w:lineRule="auto"/>
        <w:rPr>
          <w:rFonts w:eastAsia="Times New Roman" w:cs="Arial"/>
          <w:b/>
          <w:bCs/>
          <w:color w:val="000000"/>
          <w:lang w:eastAsia="bg-BG"/>
        </w:rPr>
      </w:pPr>
    </w:p>
    <w:p w14:paraId="10E4FAD7" w14:textId="0450200C" w:rsidR="000314A0" w:rsidRDefault="000314A0" w:rsidP="000314A0">
      <w:pPr>
        <w:spacing w:line="240" w:lineRule="auto"/>
        <w:rPr>
          <w:rFonts w:eastAsia="Times New Roman" w:cs="Arial"/>
          <w:b/>
          <w:bCs/>
          <w:color w:val="000000"/>
          <w:lang w:eastAsia="bg-BG"/>
        </w:rPr>
      </w:pPr>
      <w:r w:rsidRPr="000314A0">
        <w:rPr>
          <w:rFonts w:eastAsia="Times New Roman" w:cs="Arial"/>
          <w:b/>
          <w:bCs/>
          <w:color w:val="000000"/>
          <w:lang w:eastAsia="bg-BG"/>
        </w:rPr>
        <w:lastRenderedPageBreak/>
        <w:t>Таблица 1:</w:t>
      </w:r>
    </w:p>
    <w:tbl>
      <w:tblPr>
        <w:tblStyle w:val="TableGrid"/>
        <w:tblW w:w="0" w:type="auto"/>
        <w:tblLook w:val="04A0" w:firstRow="1" w:lastRow="0" w:firstColumn="1" w:lastColumn="0" w:noHBand="0" w:noVBand="1"/>
      </w:tblPr>
      <w:tblGrid>
        <w:gridCol w:w="3116"/>
        <w:gridCol w:w="3117"/>
        <w:gridCol w:w="3117"/>
      </w:tblGrid>
      <w:tr w:rsidR="000314A0" w14:paraId="6EC6CFD1" w14:textId="77777777" w:rsidTr="000314A0">
        <w:tc>
          <w:tcPr>
            <w:tcW w:w="3116" w:type="dxa"/>
          </w:tcPr>
          <w:p w14:paraId="18839851" w14:textId="1225FEED" w:rsidR="000314A0" w:rsidRDefault="000314A0" w:rsidP="000314A0">
            <w:pPr>
              <w:spacing w:line="240" w:lineRule="auto"/>
              <w:rPr>
                <w:rFonts w:eastAsia="Times New Roman" w:cs="Arial"/>
                <w:sz w:val="24"/>
                <w:szCs w:val="24"/>
              </w:rPr>
            </w:pPr>
            <w:r>
              <w:rPr>
                <w:b/>
                <w:bCs/>
              </w:rPr>
              <w:t>Снстемо-органен клас</w:t>
            </w:r>
          </w:p>
        </w:tc>
        <w:tc>
          <w:tcPr>
            <w:tcW w:w="3117" w:type="dxa"/>
          </w:tcPr>
          <w:p w14:paraId="0B77272F" w14:textId="56B18690" w:rsidR="000314A0" w:rsidRDefault="000314A0" w:rsidP="000314A0">
            <w:pPr>
              <w:spacing w:line="240" w:lineRule="auto"/>
              <w:rPr>
                <w:rFonts w:eastAsia="Times New Roman" w:cs="Arial"/>
                <w:sz w:val="24"/>
                <w:szCs w:val="24"/>
              </w:rPr>
            </w:pPr>
            <w:r>
              <w:rPr>
                <w:b/>
                <w:bCs/>
              </w:rPr>
              <w:t>Нежелани реакции</w:t>
            </w:r>
          </w:p>
        </w:tc>
        <w:tc>
          <w:tcPr>
            <w:tcW w:w="3117" w:type="dxa"/>
          </w:tcPr>
          <w:p w14:paraId="7526DBAF" w14:textId="7384328D" w:rsidR="000314A0" w:rsidRDefault="000314A0" w:rsidP="000314A0">
            <w:pPr>
              <w:spacing w:line="240" w:lineRule="auto"/>
              <w:rPr>
                <w:rFonts w:eastAsia="Times New Roman" w:cs="Arial"/>
                <w:sz w:val="24"/>
                <w:szCs w:val="24"/>
              </w:rPr>
            </w:pPr>
            <w:r>
              <w:rPr>
                <w:b/>
                <w:bCs/>
              </w:rPr>
              <w:t>Категория честота*</w:t>
            </w:r>
          </w:p>
        </w:tc>
      </w:tr>
      <w:tr w:rsidR="000314A0" w14:paraId="106818F2" w14:textId="77777777" w:rsidTr="000314A0">
        <w:tc>
          <w:tcPr>
            <w:tcW w:w="3116" w:type="dxa"/>
            <w:vMerge w:val="restart"/>
          </w:tcPr>
          <w:p w14:paraId="5C1F7FE2" w14:textId="31944F2C" w:rsidR="000314A0" w:rsidRDefault="000314A0" w:rsidP="000314A0">
            <w:pPr>
              <w:spacing w:line="240" w:lineRule="auto"/>
              <w:rPr>
                <w:rFonts w:eastAsia="Times New Roman" w:cs="Arial"/>
                <w:sz w:val="24"/>
                <w:szCs w:val="24"/>
              </w:rPr>
            </w:pPr>
            <w:r>
              <w:rPr>
                <w:i/>
                <w:iCs/>
              </w:rPr>
              <w:t>Инфекции и инфестации</w:t>
            </w:r>
          </w:p>
        </w:tc>
        <w:tc>
          <w:tcPr>
            <w:tcW w:w="3117" w:type="dxa"/>
          </w:tcPr>
          <w:p w14:paraId="3F79DDCA" w14:textId="21AE1FE1" w:rsidR="000314A0" w:rsidRDefault="000314A0" w:rsidP="000314A0">
            <w:pPr>
              <w:spacing w:line="240" w:lineRule="auto"/>
              <w:rPr>
                <w:rFonts w:eastAsia="Times New Roman" w:cs="Arial"/>
                <w:sz w:val="24"/>
                <w:szCs w:val="24"/>
              </w:rPr>
            </w:pPr>
            <w:r>
              <w:t>алвеоларен остеит</w:t>
            </w:r>
          </w:p>
        </w:tc>
        <w:tc>
          <w:tcPr>
            <w:tcW w:w="3117" w:type="dxa"/>
          </w:tcPr>
          <w:p w14:paraId="413E5C4F" w14:textId="3009CCDC" w:rsidR="000314A0" w:rsidRDefault="000314A0" w:rsidP="000314A0">
            <w:pPr>
              <w:spacing w:line="240" w:lineRule="auto"/>
              <w:rPr>
                <w:rFonts w:eastAsia="Times New Roman" w:cs="Arial"/>
                <w:sz w:val="24"/>
                <w:szCs w:val="24"/>
              </w:rPr>
            </w:pPr>
            <w:r>
              <w:t>Чести</w:t>
            </w:r>
          </w:p>
        </w:tc>
      </w:tr>
      <w:tr w:rsidR="000314A0" w14:paraId="70E6BFA6" w14:textId="77777777" w:rsidTr="000314A0">
        <w:tc>
          <w:tcPr>
            <w:tcW w:w="3116" w:type="dxa"/>
            <w:vMerge/>
          </w:tcPr>
          <w:p w14:paraId="0491B204" w14:textId="77777777" w:rsidR="000314A0" w:rsidRDefault="000314A0" w:rsidP="000314A0">
            <w:pPr>
              <w:spacing w:line="240" w:lineRule="auto"/>
              <w:rPr>
                <w:rFonts w:eastAsia="Times New Roman" w:cs="Arial"/>
                <w:sz w:val="24"/>
                <w:szCs w:val="24"/>
              </w:rPr>
            </w:pPr>
          </w:p>
        </w:tc>
        <w:tc>
          <w:tcPr>
            <w:tcW w:w="3117" w:type="dxa"/>
          </w:tcPr>
          <w:p w14:paraId="6466FC79" w14:textId="0304F0C3" w:rsidR="000314A0" w:rsidRDefault="000314A0" w:rsidP="000314A0">
            <w:pPr>
              <w:spacing w:line="240" w:lineRule="auto"/>
              <w:rPr>
                <w:rFonts w:eastAsia="Times New Roman" w:cs="Arial"/>
                <w:sz w:val="24"/>
                <w:szCs w:val="24"/>
              </w:rPr>
            </w:pPr>
            <w:r>
              <w:t>гастроентерит, инфекции на горните дихателни пътища, уринарни инфекции</w:t>
            </w:r>
          </w:p>
        </w:tc>
        <w:tc>
          <w:tcPr>
            <w:tcW w:w="3117" w:type="dxa"/>
          </w:tcPr>
          <w:p w14:paraId="5DF09090" w14:textId="6F951E56" w:rsidR="000314A0" w:rsidRDefault="000314A0" w:rsidP="000314A0">
            <w:pPr>
              <w:spacing w:line="240" w:lineRule="auto"/>
              <w:rPr>
                <w:rFonts w:eastAsia="Times New Roman" w:cs="Arial"/>
                <w:sz w:val="24"/>
                <w:szCs w:val="24"/>
              </w:rPr>
            </w:pPr>
            <w:r>
              <w:t>Нечести</w:t>
            </w:r>
          </w:p>
        </w:tc>
      </w:tr>
      <w:tr w:rsidR="000314A0" w14:paraId="04B4E4B4" w14:textId="77777777" w:rsidTr="000314A0">
        <w:tc>
          <w:tcPr>
            <w:tcW w:w="3116" w:type="dxa"/>
          </w:tcPr>
          <w:p w14:paraId="5F532D40" w14:textId="46B9BD9C" w:rsidR="000314A0" w:rsidRDefault="000314A0" w:rsidP="000314A0">
            <w:pPr>
              <w:spacing w:line="240" w:lineRule="auto"/>
              <w:rPr>
                <w:rFonts w:eastAsia="Times New Roman" w:cs="Arial"/>
                <w:sz w:val="24"/>
                <w:szCs w:val="24"/>
              </w:rPr>
            </w:pPr>
            <w:r>
              <w:rPr>
                <w:i/>
                <w:iCs/>
              </w:rPr>
              <w:t>Нарушения на кръвта и лимфната система</w:t>
            </w:r>
          </w:p>
        </w:tc>
        <w:tc>
          <w:tcPr>
            <w:tcW w:w="3117" w:type="dxa"/>
          </w:tcPr>
          <w:p w14:paraId="14FBEA76" w14:textId="5EABD785" w:rsidR="000314A0" w:rsidRDefault="000314A0" w:rsidP="000314A0">
            <w:pPr>
              <w:spacing w:line="240" w:lineRule="auto"/>
              <w:rPr>
                <w:rFonts w:eastAsia="Times New Roman" w:cs="Arial"/>
                <w:sz w:val="24"/>
                <w:szCs w:val="24"/>
              </w:rPr>
            </w:pPr>
            <w:r>
              <w:t>анемия (предимно свързана със стомашно-чревно кървене), левкопения, тромбоцитопения</w:t>
            </w:r>
          </w:p>
        </w:tc>
        <w:tc>
          <w:tcPr>
            <w:tcW w:w="3117" w:type="dxa"/>
          </w:tcPr>
          <w:p w14:paraId="1F5E6E29" w14:textId="0177FEF5" w:rsidR="000314A0" w:rsidRDefault="000314A0" w:rsidP="000314A0">
            <w:pPr>
              <w:spacing w:line="240" w:lineRule="auto"/>
              <w:rPr>
                <w:rFonts w:eastAsia="Times New Roman" w:cs="Arial"/>
                <w:sz w:val="24"/>
                <w:szCs w:val="24"/>
              </w:rPr>
            </w:pPr>
            <w:r>
              <w:t>Нечести</w:t>
            </w:r>
          </w:p>
        </w:tc>
      </w:tr>
      <w:tr w:rsidR="000314A0" w14:paraId="5193B737" w14:textId="77777777" w:rsidTr="000314A0">
        <w:tc>
          <w:tcPr>
            <w:tcW w:w="3116" w:type="dxa"/>
            <w:vMerge w:val="restart"/>
          </w:tcPr>
          <w:p w14:paraId="2AB67DA5" w14:textId="737CB738" w:rsidR="000314A0" w:rsidRDefault="000314A0" w:rsidP="000314A0">
            <w:pPr>
              <w:spacing w:line="240" w:lineRule="auto"/>
              <w:rPr>
                <w:rFonts w:eastAsia="Times New Roman" w:cs="Arial"/>
                <w:sz w:val="24"/>
                <w:szCs w:val="24"/>
              </w:rPr>
            </w:pPr>
            <w:r>
              <w:rPr>
                <w:i/>
                <w:iCs/>
              </w:rPr>
              <w:t>Нарушения на имунната система</w:t>
            </w:r>
          </w:p>
        </w:tc>
        <w:tc>
          <w:tcPr>
            <w:tcW w:w="3117" w:type="dxa"/>
          </w:tcPr>
          <w:p w14:paraId="35FEFBE2" w14:textId="128DE4B8" w:rsidR="000314A0" w:rsidRDefault="000314A0" w:rsidP="000314A0">
            <w:pPr>
              <w:spacing w:line="240" w:lineRule="auto"/>
              <w:rPr>
                <w:rFonts w:eastAsia="Times New Roman" w:cs="Arial"/>
                <w:sz w:val="24"/>
                <w:szCs w:val="24"/>
              </w:rPr>
            </w:pPr>
            <w:r>
              <w:t>свръхчувствителност</w:t>
            </w:r>
            <w:r>
              <w:rPr>
                <w:vertAlign w:val="superscript"/>
              </w:rPr>
              <w:t>++β</w:t>
            </w:r>
          </w:p>
        </w:tc>
        <w:tc>
          <w:tcPr>
            <w:tcW w:w="3117" w:type="dxa"/>
          </w:tcPr>
          <w:p w14:paraId="1211D7E2" w14:textId="688C3225" w:rsidR="000314A0" w:rsidRDefault="000314A0" w:rsidP="000314A0">
            <w:pPr>
              <w:spacing w:line="240" w:lineRule="auto"/>
              <w:rPr>
                <w:rFonts w:eastAsia="Times New Roman" w:cs="Arial"/>
                <w:sz w:val="24"/>
                <w:szCs w:val="24"/>
              </w:rPr>
            </w:pPr>
            <w:r>
              <w:t>Нечести</w:t>
            </w:r>
          </w:p>
        </w:tc>
      </w:tr>
      <w:tr w:rsidR="000314A0" w14:paraId="0E0B35ED" w14:textId="77777777" w:rsidTr="000314A0">
        <w:tc>
          <w:tcPr>
            <w:tcW w:w="3116" w:type="dxa"/>
            <w:vMerge/>
          </w:tcPr>
          <w:p w14:paraId="2AE8A913" w14:textId="77777777" w:rsidR="000314A0" w:rsidRDefault="000314A0" w:rsidP="000314A0">
            <w:pPr>
              <w:spacing w:line="240" w:lineRule="auto"/>
              <w:rPr>
                <w:rFonts w:eastAsia="Times New Roman" w:cs="Arial"/>
                <w:sz w:val="24"/>
                <w:szCs w:val="24"/>
              </w:rPr>
            </w:pPr>
          </w:p>
        </w:tc>
        <w:tc>
          <w:tcPr>
            <w:tcW w:w="3117" w:type="dxa"/>
          </w:tcPr>
          <w:p w14:paraId="3AAB0D8D" w14:textId="656CA455" w:rsidR="000314A0" w:rsidRDefault="000314A0" w:rsidP="000314A0">
            <w:pPr>
              <w:spacing w:line="240" w:lineRule="auto"/>
              <w:rPr>
                <w:rFonts w:eastAsia="Times New Roman" w:cs="Arial"/>
                <w:sz w:val="24"/>
                <w:szCs w:val="24"/>
              </w:rPr>
            </w:pPr>
            <w:r>
              <w:t>ангиоедем/анафилактични/ анафилактоидни реакции, включително шок</w:t>
            </w:r>
            <w:r>
              <w:rPr>
                <w:vertAlign w:val="superscript"/>
              </w:rPr>
              <w:t>++</w:t>
            </w:r>
          </w:p>
        </w:tc>
        <w:tc>
          <w:tcPr>
            <w:tcW w:w="3117" w:type="dxa"/>
          </w:tcPr>
          <w:p w14:paraId="4F33B748" w14:textId="13E94A7E" w:rsidR="000314A0" w:rsidRDefault="000314A0" w:rsidP="000314A0">
            <w:pPr>
              <w:spacing w:line="240" w:lineRule="auto"/>
              <w:rPr>
                <w:rFonts w:eastAsia="Times New Roman" w:cs="Arial"/>
                <w:sz w:val="24"/>
                <w:szCs w:val="24"/>
              </w:rPr>
            </w:pPr>
            <w:r>
              <w:t>Редки</w:t>
            </w:r>
          </w:p>
        </w:tc>
      </w:tr>
      <w:tr w:rsidR="000314A0" w14:paraId="4482A4F2" w14:textId="77777777" w:rsidTr="000314A0">
        <w:tc>
          <w:tcPr>
            <w:tcW w:w="3116" w:type="dxa"/>
            <w:vMerge w:val="restart"/>
          </w:tcPr>
          <w:p w14:paraId="5F2086BC" w14:textId="77DB6FAE" w:rsidR="000314A0" w:rsidRDefault="000314A0" w:rsidP="000314A0">
            <w:pPr>
              <w:spacing w:line="240" w:lineRule="auto"/>
              <w:rPr>
                <w:rFonts w:eastAsia="Times New Roman" w:cs="Arial"/>
                <w:sz w:val="24"/>
                <w:szCs w:val="24"/>
              </w:rPr>
            </w:pPr>
            <w:r>
              <w:rPr>
                <w:i/>
                <w:iCs/>
              </w:rPr>
              <w:t>Нарушения на метаболизма и храненето</w:t>
            </w:r>
          </w:p>
        </w:tc>
        <w:tc>
          <w:tcPr>
            <w:tcW w:w="3117" w:type="dxa"/>
          </w:tcPr>
          <w:p w14:paraId="7DDDB8A1" w14:textId="385850FC" w:rsidR="000314A0" w:rsidRDefault="000314A0" w:rsidP="000314A0">
            <w:pPr>
              <w:spacing w:line="240" w:lineRule="auto"/>
              <w:rPr>
                <w:rFonts w:eastAsia="Times New Roman" w:cs="Arial"/>
                <w:sz w:val="24"/>
                <w:szCs w:val="24"/>
              </w:rPr>
            </w:pPr>
            <w:r>
              <w:t>едем/задръжка на течности</w:t>
            </w:r>
          </w:p>
        </w:tc>
        <w:tc>
          <w:tcPr>
            <w:tcW w:w="3117" w:type="dxa"/>
          </w:tcPr>
          <w:p w14:paraId="3E00ECA1" w14:textId="2F27A73E" w:rsidR="000314A0" w:rsidRDefault="000314A0" w:rsidP="000314A0">
            <w:pPr>
              <w:spacing w:line="240" w:lineRule="auto"/>
              <w:rPr>
                <w:rFonts w:eastAsia="Times New Roman" w:cs="Arial"/>
                <w:sz w:val="24"/>
                <w:szCs w:val="24"/>
              </w:rPr>
            </w:pPr>
            <w:r>
              <w:t>Чести</w:t>
            </w:r>
          </w:p>
        </w:tc>
      </w:tr>
      <w:tr w:rsidR="000314A0" w14:paraId="7923C7AA" w14:textId="77777777" w:rsidTr="000314A0">
        <w:tc>
          <w:tcPr>
            <w:tcW w:w="3116" w:type="dxa"/>
            <w:vMerge/>
          </w:tcPr>
          <w:p w14:paraId="62FEA430" w14:textId="77777777" w:rsidR="000314A0" w:rsidRDefault="000314A0" w:rsidP="000314A0">
            <w:pPr>
              <w:spacing w:line="240" w:lineRule="auto"/>
              <w:rPr>
                <w:rFonts w:eastAsia="Times New Roman" w:cs="Arial"/>
                <w:sz w:val="24"/>
                <w:szCs w:val="24"/>
              </w:rPr>
            </w:pPr>
          </w:p>
        </w:tc>
        <w:tc>
          <w:tcPr>
            <w:tcW w:w="3117" w:type="dxa"/>
          </w:tcPr>
          <w:p w14:paraId="5DEDC231" w14:textId="1F47CB3E" w:rsidR="000314A0" w:rsidRDefault="000314A0" w:rsidP="000314A0">
            <w:pPr>
              <w:spacing w:line="240" w:lineRule="auto"/>
              <w:rPr>
                <w:rFonts w:eastAsia="Times New Roman" w:cs="Arial"/>
                <w:sz w:val="24"/>
                <w:szCs w:val="24"/>
              </w:rPr>
            </w:pPr>
            <w:r>
              <w:t>увеличение или намаление на апетита, увеличение на теглото</w:t>
            </w:r>
          </w:p>
        </w:tc>
        <w:tc>
          <w:tcPr>
            <w:tcW w:w="3117" w:type="dxa"/>
          </w:tcPr>
          <w:p w14:paraId="053FBC34" w14:textId="204CDB92" w:rsidR="000314A0" w:rsidRDefault="000314A0" w:rsidP="000314A0">
            <w:pPr>
              <w:spacing w:line="240" w:lineRule="auto"/>
              <w:rPr>
                <w:rFonts w:eastAsia="Times New Roman" w:cs="Arial"/>
                <w:sz w:val="24"/>
                <w:szCs w:val="24"/>
              </w:rPr>
            </w:pPr>
            <w:r>
              <w:t>Нечести</w:t>
            </w:r>
          </w:p>
        </w:tc>
      </w:tr>
      <w:tr w:rsidR="000314A0" w14:paraId="25A9C1CF" w14:textId="77777777" w:rsidTr="000314A0">
        <w:tc>
          <w:tcPr>
            <w:tcW w:w="3116" w:type="dxa"/>
            <w:vMerge w:val="restart"/>
          </w:tcPr>
          <w:p w14:paraId="6CAFCE79" w14:textId="3F9045E8" w:rsidR="000314A0" w:rsidRDefault="000314A0" w:rsidP="000314A0">
            <w:pPr>
              <w:spacing w:line="240" w:lineRule="auto"/>
              <w:rPr>
                <w:rFonts w:eastAsia="Times New Roman" w:cs="Arial"/>
                <w:sz w:val="24"/>
                <w:szCs w:val="24"/>
              </w:rPr>
            </w:pPr>
            <w:r>
              <w:rPr>
                <w:i/>
                <w:iCs/>
              </w:rPr>
              <w:t>Психични нарушения</w:t>
            </w:r>
          </w:p>
        </w:tc>
        <w:tc>
          <w:tcPr>
            <w:tcW w:w="3117" w:type="dxa"/>
          </w:tcPr>
          <w:p w14:paraId="2F90F2C4" w14:textId="1CD6B544" w:rsidR="000314A0" w:rsidRDefault="000314A0" w:rsidP="000314A0">
            <w:pPr>
              <w:spacing w:line="240" w:lineRule="auto"/>
              <w:rPr>
                <w:rFonts w:eastAsia="Times New Roman" w:cs="Arial"/>
                <w:sz w:val="24"/>
                <w:szCs w:val="24"/>
              </w:rPr>
            </w:pPr>
            <w:r>
              <w:t>тревожност, депресия, намалена възможност за умствена работа, халюцинации</w:t>
            </w:r>
            <w:r>
              <w:rPr>
                <w:vertAlign w:val="superscript"/>
              </w:rPr>
              <w:t>++</w:t>
            </w:r>
          </w:p>
        </w:tc>
        <w:tc>
          <w:tcPr>
            <w:tcW w:w="3117" w:type="dxa"/>
          </w:tcPr>
          <w:p w14:paraId="66BE17F3" w14:textId="73F4BF53" w:rsidR="000314A0" w:rsidRDefault="000314A0" w:rsidP="000314A0">
            <w:pPr>
              <w:spacing w:line="240" w:lineRule="auto"/>
              <w:rPr>
                <w:rFonts w:eastAsia="Times New Roman" w:cs="Arial"/>
                <w:sz w:val="24"/>
                <w:szCs w:val="24"/>
              </w:rPr>
            </w:pPr>
            <w:r>
              <w:t>Нечести</w:t>
            </w:r>
          </w:p>
        </w:tc>
      </w:tr>
      <w:tr w:rsidR="000314A0" w14:paraId="5E79CC09" w14:textId="77777777" w:rsidTr="000314A0">
        <w:tc>
          <w:tcPr>
            <w:tcW w:w="3116" w:type="dxa"/>
            <w:vMerge/>
          </w:tcPr>
          <w:p w14:paraId="7C7CF7B0" w14:textId="77777777" w:rsidR="000314A0" w:rsidRDefault="000314A0" w:rsidP="000314A0">
            <w:pPr>
              <w:spacing w:line="240" w:lineRule="auto"/>
              <w:rPr>
                <w:rFonts w:eastAsia="Times New Roman" w:cs="Arial"/>
                <w:sz w:val="24"/>
                <w:szCs w:val="24"/>
              </w:rPr>
            </w:pPr>
          </w:p>
        </w:tc>
        <w:tc>
          <w:tcPr>
            <w:tcW w:w="3117" w:type="dxa"/>
          </w:tcPr>
          <w:p w14:paraId="613724CE" w14:textId="0F5CDA40" w:rsidR="000314A0" w:rsidRDefault="000314A0" w:rsidP="000314A0">
            <w:pPr>
              <w:spacing w:line="240" w:lineRule="auto"/>
              <w:rPr>
                <w:rFonts w:eastAsia="Times New Roman" w:cs="Arial"/>
                <w:sz w:val="24"/>
                <w:szCs w:val="24"/>
              </w:rPr>
            </w:pPr>
            <w:r>
              <w:t>обърканост</w:t>
            </w:r>
            <w:r>
              <w:rPr>
                <w:vertAlign w:val="superscript"/>
              </w:rPr>
              <w:t>++</w:t>
            </w:r>
            <w:r>
              <w:t>, безпокойство</w:t>
            </w:r>
            <w:r>
              <w:rPr>
                <w:vertAlign w:val="superscript"/>
              </w:rPr>
              <w:t>++</w:t>
            </w:r>
          </w:p>
        </w:tc>
        <w:tc>
          <w:tcPr>
            <w:tcW w:w="3117" w:type="dxa"/>
          </w:tcPr>
          <w:p w14:paraId="1B8BD512" w14:textId="782D8FE7" w:rsidR="000314A0" w:rsidRDefault="000314A0" w:rsidP="000314A0">
            <w:pPr>
              <w:spacing w:line="240" w:lineRule="auto"/>
              <w:rPr>
                <w:rFonts w:eastAsia="Times New Roman" w:cs="Arial"/>
                <w:sz w:val="24"/>
                <w:szCs w:val="24"/>
              </w:rPr>
            </w:pPr>
            <w:r>
              <w:t>Редки</w:t>
            </w:r>
          </w:p>
        </w:tc>
      </w:tr>
      <w:tr w:rsidR="000314A0" w14:paraId="3F6ACE27" w14:textId="77777777" w:rsidTr="000314A0">
        <w:tc>
          <w:tcPr>
            <w:tcW w:w="3116" w:type="dxa"/>
            <w:vMerge w:val="restart"/>
          </w:tcPr>
          <w:p w14:paraId="01954D77" w14:textId="1C8946E7" w:rsidR="000314A0" w:rsidRDefault="000314A0" w:rsidP="000314A0">
            <w:pPr>
              <w:spacing w:line="240" w:lineRule="auto"/>
              <w:rPr>
                <w:rFonts w:eastAsia="Times New Roman" w:cs="Arial"/>
                <w:sz w:val="24"/>
                <w:szCs w:val="24"/>
              </w:rPr>
            </w:pPr>
            <w:r>
              <w:rPr>
                <w:i/>
                <w:iCs/>
              </w:rPr>
              <w:t>Нарушения на нервната система</w:t>
            </w:r>
          </w:p>
        </w:tc>
        <w:tc>
          <w:tcPr>
            <w:tcW w:w="3117" w:type="dxa"/>
          </w:tcPr>
          <w:p w14:paraId="57C979B0" w14:textId="5971D92B" w:rsidR="000314A0" w:rsidRDefault="000314A0" w:rsidP="000314A0">
            <w:pPr>
              <w:spacing w:line="240" w:lineRule="auto"/>
              <w:rPr>
                <w:rFonts w:eastAsia="Times New Roman" w:cs="Arial"/>
                <w:sz w:val="24"/>
                <w:szCs w:val="24"/>
              </w:rPr>
            </w:pPr>
            <w:r>
              <w:t>замаяност, главоболие</w:t>
            </w:r>
          </w:p>
        </w:tc>
        <w:tc>
          <w:tcPr>
            <w:tcW w:w="3117" w:type="dxa"/>
          </w:tcPr>
          <w:p w14:paraId="674E3C43" w14:textId="7FA52ADF" w:rsidR="000314A0" w:rsidRDefault="000314A0" w:rsidP="000314A0">
            <w:pPr>
              <w:spacing w:line="240" w:lineRule="auto"/>
              <w:rPr>
                <w:rFonts w:eastAsia="Times New Roman" w:cs="Arial"/>
                <w:sz w:val="24"/>
                <w:szCs w:val="24"/>
              </w:rPr>
            </w:pPr>
            <w:r>
              <w:t>Чести</w:t>
            </w:r>
          </w:p>
        </w:tc>
      </w:tr>
      <w:tr w:rsidR="000314A0" w14:paraId="1B6409B9" w14:textId="77777777" w:rsidTr="000314A0">
        <w:tc>
          <w:tcPr>
            <w:tcW w:w="3116" w:type="dxa"/>
            <w:vMerge/>
          </w:tcPr>
          <w:p w14:paraId="7F7372A6" w14:textId="77777777" w:rsidR="000314A0" w:rsidRDefault="000314A0" w:rsidP="000314A0">
            <w:pPr>
              <w:spacing w:line="240" w:lineRule="auto"/>
              <w:rPr>
                <w:rFonts w:eastAsia="Times New Roman" w:cs="Arial"/>
                <w:sz w:val="24"/>
                <w:szCs w:val="24"/>
              </w:rPr>
            </w:pPr>
          </w:p>
        </w:tc>
        <w:tc>
          <w:tcPr>
            <w:tcW w:w="3117" w:type="dxa"/>
          </w:tcPr>
          <w:p w14:paraId="0B024B43" w14:textId="7E6AAE8F" w:rsidR="000314A0" w:rsidRDefault="000314A0" w:rsidP="000314A0">
            <w:pPr>
              <w:spacing w:line="240" w:lineRule="auto"/>
              <w:rPr>
                <w:rFonts w:eastAsia="Times New Roman" w:cs="Arial"/>
                <w:sz w:val="24"/>
                <w:szCs w:val="24"/>
              </w:rPr>
            </w:pPr>
            <w:r>
              <w:t>дисгеузия, безсъние, парестезия/хипоестезия, сънливост</w:t>
            </w:r>
          </w:p>
        </w:tc>
        <w:tc>
          <w:tcPr>
            <w:tcW w:w="3117" w:type="dxa"/>
          </w:tcPr>
          <w:p w14:paraId="720DEDAD" w14:textId="5DB7A666" w:rsidR="000314A0" w:rsidRDefault="000314A0" w:rsidP="000314A0">
            <w:pPr>
              <w:spacing w:line="240" w:lineRule="auto"/>
              <w:rPr>
                <w:rFonts w:eastAsia="Times New Roman" w:cs="Arial"/>
                <w:sz w:val="24"/>
                <w:szCs w:val="24"/>
              </w:rPr>
            </w:pPr>
            <w:r>
              <w:t>Нечести</w:t>
            </w:r>
          </w:p>
        </w:tc>
      </w:tr>
      <w:tr w:rsidR="000314A0" w14:paraId="0055B365" w14:textId="77777777" w:rsidTr="000314A0">
        <w:tc>
          <w:tcPr>
            <w:tcW w:w="3116" w:type="dxa"/>
          </w:tcPr>
          <w:p w14:paraId="67D5CC0E" w14:textId="69777A08" w:rsidR="000314A0" w:rsidRDefault="000314A0" w:rsidP="000314A0">
            <w:pPr>
              <w:spacing w:line="240" w:lineRule="auto"/>
              <w:rPr>
                <w:rFonts w:eastAsia="Times New Roman" w:cs="Arial"/>
                <w:sz w:val="24"/>
                <w:szCs w:val="24"/>
              </w:rPr>
            </w:pPr>
            <w:r>
              <w:rPr>
                <w:i/>
                <w:iCs/>
              </w:rPr>
              <w:t>Нарушения на очите</w:t>
            </w:r>
          </w:p>
        </w:tc>
        <w:tc>
          <w:tcPr>
            <w:tcW w:w="3117" w:type="dxa"/>
          </w:tcPr>
          <w:p w14:paraId="10022ABA" w14:textId="27918316" w:rsidR="000314A0" w:rsidRDefault="000314A0" w:rsidP="000314A0">
            <w:pPr>
              <w:spacing w:line="240" w:lineRule="auto"/>
              <w:rPr>
                <w:rFonts w:eastAsia="Times New Roman" w:cs="Arial"/>
                <w:sz w:val="24"/>
                <w:szCs w:val="24"/>
              </w:rPr>
            </w:pPr>
            <w:r>
              <w:t>замъглено зрение, конюнктивит</w:t>
            </w:r>
          </w:p>
        </w:tc>
        <w:tc>
          <w:tcPr>
            <w:tcW w:w="3117" w:type="dxa"/>
          </w:tcPr>
          <w:p w14:paraId="3E2DDBCA" w14:textId="145EB857" w:rsidR="000314A0" w:rsidRDefault="000314A0" w:rsidP="000314A0">
            <w:pPr>
              <w:spacing w:line="240" w:lineRule="auto"/>
              <w:rPr>
                <w:rFonts w:eastAsia="Times New Roman" w:cs="Arial"/>
                <w:sz w:val="24"/>
                <w:szCs w:val="24"/>
              </w:rPr>
            </w:pPr>
            <w:r>
              <w:t>Нечести</w:t>
            </w:r>
          </w:p>
        </w:tc>
      </w:tr>
      <w:tr w:rsidR="000314A0" w14:paraId="66826DDC" w14:textId="77777777" w:rsidTr="000314A0">
        <w:tc>
          <w:tcPr>
            <w:tcW w:w="3116" w:type="dxa"/>
          </w:tcPr>
          <w:p w14:paraId="72CFE974" w14:textId="10D290D0" w:rsidR="000314A0" w:rsidRDefault="000314A0" w:rsidP="000314A0">
            <w:pPr>
              <w:spacing w:line="240" w:lineRule="auto"/>
              <w:rPr>
                <w:rFonts w:eastAsia="Times New Roman" w:cs="Arial"/>
                <w:sz w:val="24"/>
                <w:szCs w:val="24"/>
              </w:rPr>
            </w:pPr>
            <w:r>
              <w:rPr>
                <w:i/>
                <w:iCs/>
              </w:rPr>
              <w:t>Нарушения на ухото и лабиринта</w:t>
            </w:r>
          </w:p>
        </w:tc>
        <w:tc>
          <w:tcPr>
            <w:tcW w:w="3117" w:type="dxa"/>
          </w:tcPr>
          <w:p w14:paraId="2D3BF716" w14:textId="790A3FAB" w:rsidR="000314A0" w:rsidRDefault="000314A0" w:rsidP="000314A0">
            <w:pPr>
              <w:spacing w:line="240" w:lineRule="auto"/>
              <w:rPr>
                <w:rFonts w:eastAsia="Times New Roman" w:cs="Arial"/>
                <w:sz w:val="24"/>
                <w:szCs w:val="24"/>
              </w:rPr>
            </w:pPr>
            <w:r>
              <w:t>шум в ушите, световъртеж</w:t>
            </w:r>
          </w:p>
        </w:tc>
        <w:tc>
          <w:tcPr>
            <w:tcW w:w="3117" w:type="dxa"/>
          </w:tcPr>
          <w:p w14:paraId="7082D717" w14:textId="19398799" w:rsidR="000314A0" w:rsidRDefault="000314A0" w:rsidP="000314A0">
            <w:pPr>
              <w:spacing w:line="240" w:lineRule="auto"/>
              <w:rPr>
                <w:rFonts w:eastAsia="Times New Roman" w:cs="Arial"/>
                <w:sz w:val="24"/>
                <w:szCs w:val="24"/>
              </w:rPr>
            </w:pPr>
            <w:r>
              <w:t>Нечести</w:t>
            </w:r>
          </w:p>
        </w:tc>
      </w:tr>
      <w:tr w:rsidR="000314A0" w14:paraId="457A8C5C" w14:textId="77777777" w:rsidTr="000314A0">
        <w:tc>
          <w:tcPr>
            <w:tcW w:w="3116" w:type="dxa"/>
            <w:vMerge w:val="restart"/>
          </w:tcPr>
          <w:p w14:paraId="34BD8F54" w14:textId="4F13B174" w:rsidR="000314A0" w:rsidRDefault="000314A0" w:rsidP="000314A0">
            <w:pPr>
              <w:spacing w:line="240" w:lineRule="auto"/>
              <w:rPr>
                <w:rFonts w:eastAsia="Times New Roman" w:cs="Arial"/>
                <w:sz w:val="24"/>
                <w:szCs w:val="24"/>
              </w:rPr>
            </w:pPr>
            <w:r>
              <w:rPr>
                <w:i/>
                <w:iCs/>
              </w:rPr>
              <w:t>Сърдечни нарушения</w:t>
            </w:r>
          </w:p>
        </w:tc>
        <w:tc>
          <w:tcPr>
            <w:tcW w:w="3117" w:type="dxa"/>
          </w:tcPr>
          <w:p w14:paraId="67304D66" w14:textId="418B83CF" w:rsidR="000314A0" w:rsidRDefault="000314A0" w:rsidP="000314A0">
            <w:pPr>
              <w:spacing w:line="240" w:lineRule="auto"/>
              <w:rPr>
                <w:rFonts w:eastAsia="Times New Roman" w:cs="Arial"/>
                <w:sz w:val="24"/>
                <w:szCs w:val="24"/>
              </w:rPr>
            </w:pPr>
            <w:r>
              <w:t>палпитации, аритмия</w:t>
            </w:r>
            <w:r>
              <w:rPr>
                <w:vertAlign w:val="superscript"/>
              </w:rPr>
              <w:t>++</w:t>
            </w:r>
          </w:p>
        </w:tc>
        <w:tc>
          <w:tcPr>
            <w:tcW w:w="3117" w:type="dxa"/>
          </w:tcPr>
          <w:p w14:paraId="431631A0" w14:textId="204C7FC8" w:rsidR="000314A0" w:rsidRDefault="000314A0" w:rsidP="000314A0">
            <w:pPr>
              <w:spacing w:line="240" w:lineRule="auto"/>
              <w:rPr>
                <w:rFonts w:eastAsia="Times New Roman" w:cs="Arial"/>
                <w:sz w:val="24"/>
                <w:szCs w:val="24"/>
              </w:rPr>
            </w:pPr>
            <w:r>
              <w:t>Чести</w:t>
            </w:r>
          </w:p>
        </w:tc>
      </w:tr>
      <w:tr w:rsidR="000314A0" w14:paraId="53CDBEE0" w14:textId="77777777" w:rsidTr="000314A0">
        <w:tc>
          <w:tcPr>
            <w:tcW w:w="3116" w:type="dxa"/>
            <w:vMerge/>
          </w:tcPr>
          <w:p w14:paraId="096778F8" w14:textId="77777777" w:rsidR="000314A0" w:rsidRDefault="000314A0" w:rsidP="000314A0">
            <w:pPr>
              <w:spacing w:line="240" w:lineRule="auto"/>
              <w:rPr>
                <w:rFonts w:eastAsia="Times New Roman" w:cs="Arial"/>
                <w:sz w:val="24"/>
                <w:szCs w:val="24"/>
              </w:rPr>
            </w:pPr>
          </w:p>
        </w:tc>
        <w:tc>
          <w:tcPr>
            <w:tcW w:w="3117" w:type="dxa"/>
          </w:tcPr>
          <w:p w14:paraId="619889E0" w14:textId="31CEDE7E" w:rsidR="000314A0" w:rsidRDefault="000314A0" w:rsidP="000314A0">
            <w:pPr>
              <w:spacing w:line="240" w:lineRule="auto"/>
              <w:rPr>
                <w:rFonts w:eastAsia="Times New Roman" w:cs="Arial"/>
                <w:sz w:val="24"/>
                <w:szCs w:val="24"/>
              </w:rPr>
            </w:pPr>
            <w:r>
              <w:t>предсърдно мъждене, тахикардия</w:t>
            </w:r>
            <w:r>
              <w:rPr>
                <w:vertAlign w:val="superscript"/>
              </w:rPr>
              <w:t>++</w:t>
            </w:r>
            <w:r>
              <w:t>, застойна сърдечна недостатъчност, неспецифични ЕКГ промени, стенокардия</w:t>
            </w:r>
            <w:r>
              <w:rPr>
                <w:vertAlign w:val="superscript"/>
              </w:rPr>
              <w:t>++</w:t>
            </w:r>
            <w:r>
              <w:t>, миокарден инфаркт</w:t>
            </w:r>
            <w:r>
              <w:rPr>
                <w:vertAlign w:val="superscript"/>
              </w:rPr>
              <w:t>§</w:t>
            </w:r>
          </w:p>
        </w:tc>
        <w:tc>
          <w:tcPr>
            <w:tcW w:w="3117" w:type="dxa"/>
          </w:tcPr>
          <w:p w14:paraId="33EE30AA" w14:textId="683A6282" w:rsidR="000314A0" w:rsidRDefault="000314A0" w:rsidP="000314A0">
            <w:pPr>
              <w:spacing w:line="240" w:lineRule="auto"/>
              <w:rPr>
                <w:rFonts w:eastAsia="Times New Roman" w:cs="Arial"/>
                <w:sz w:val="24"/>
                <w:szCs w:val="24"/>
              </w:rPr>
            </w:pPr>
            <w:r>
              <w:t>Нечести</w:t>
            </w:r>
          </w:p>
        </w:tc>
      </w:tr>
      <w:tr w:rsidR="000314A0" w14:paraId="4B0E8D5C" w14:textId="77777777" w:rsidTr="000314A0">
        <w:tc>
          <w:tcPr>
            <w:tcW w:w="3116" w:type="dxa"/>
            <w:vMerge w:val="restart"/>
          </w:tcPr>
          <w:p w14:paraId="17207E67" w14:textId="22E21428" w:rsidR="000314A0" w:rsidRDefault="000314A0" w:rsidP="000314A0">
            <w:pPr>
              <w:spacing w:line="240" w:lineRule="auto"/>
              <w:rPr>
                <w:rFonts w:eastAsia="Times New Roman" w:cs="Arial"/>
                <w:sz w:val="24"/>
                <w:szCs w:val="24"/>
              </w:rPr>
            </w:pPr>
            <w:r>
              <w:rPr>
                <w:i/>
                <w:iCs/>
              </w:rPr>
              <w:t>Съдови нарушения</w:t>
            </w:r>
          </w:p>
        </w:tc>
        <w:tc>
          <w:tcPr>
            <w:tcW w:w="3117" w:type="dxa"/>
          </w:tcPr>
          <w:p w14:paraId="549E05E4" w14:textId="562C10D5" w:rsidR="000314A0" w:rsidRDefault="000314A0" w:rsidP="000314A0">
            <w:pPr>
              <w:spacing w:line="240" w:lineRule="auto"/>
              <w:rPr>
                <w:rFonts w:eastAsia="Times New Roman" w:cs="Arial"/>
                <w:sz w:val="24"/>
                <w:szCs w:val="24"/>
              </w:rPr>
            </w:pPr>
            <w:r>
              <w:t>хипертония</w:t>
            </w:r>
          </w:p>
        </w:tc>
        <w:tc>
          <w:tcPr>
            <w:tcW w:w="3117" w:type="dxa"/>
          </w:tcPr>
          <w:p w14:paraId="4D54D8D0" w14:textId="738E8E19" w:rsidR="000314A0" w:rsidRDefault="000314A0" w:rsidP="000314A0">
            <w:pPr>
              <w:spacing w:line="240" w:lineRule="auto"/>
              <w:rPr>
                <w:rFonts w:eastAsia="Times New Roman" w:cs="Arial"/>
                <w:sz w:val="24"/>
                <w:szCs w:val="24"/>
              </w:rPr>
            </w:pPr>
            <w:r>
              <w:t>Чести</w:t>
            </w:r>
          </w:p>
        </w:tc>
      </w:tr>
      <w:tr w:rsidR="000314A0" w14:paraId="47D05262" w14:textId="77777777" w:rsidTr="000314A0">
        <w:tc>
          <w:tcPr>
            <w:tcW w:w="3116" w:type="dxa"/>
            <w:vMerge/>
          </w:tcPr>
          <w:p w14:paraId="0851EE8C" w14:textId="77777777" w:rsidR="000314A0" w:rsidRDefault="000314A0" w:rsidP="000314A0">
            <w:pPr>
              <w:spacing w:line="240" w:lineRule="auto"/>
              <w:rPr>
                <w:rFonts w:eastAsia="Times New Roman" w:cs="Arial"/>
                <w:sz w:val="24"/>
                <w:szCs w:val="24"/>
              </w:rPr>
            </w:pPr>
          </w:p>
        </w:tc>
        <w:tc>
          <w:tcPr>
            <w:tcW w:w="3117" w:type="dxa"/>
            <w:vAlign w:val="bottom"/>
          </w:tcPr>
          <w:p w14:paraId="132FD39F" w14:textId="77777777" w:rsidR="000314A0" w:rsidRDefault="000314A0" w:rsidP="000314A0">
            <w:r>
              <w:t>зачервяване, мозъчно-съдови инциденти</w:t>
            </w:r>
            <w:r>
              <w:rPr>
                <w:vertAlign w:val="superscript"/>
              </w:rPr>
              <w:t>§</w:t>
            </w:r>
            <w:r>
              <w:t>, преходен</w:t>
            </w:r>
          </w:p>
          <w:p w14:paraId="4A392875" w14:textId="2CD630A3" w:rsidR="000314A0" w:rsidRDefault="000314A0" w:rsidP="000314A0">
            <w:pPr>
              <w:spacing w:line="240" w:lineRule="auto"/>
              <w:rPr>
                <w:rFonts w:eastAsia="Times New Roman" w:cs="Arial"/>
                <w:sz w:val="24"/>
                <w:szCs w:val="24"/>
              </w:rPr>
            </w:pPr>
            <w:r>
              <w:t>исхемичен пристъп, хипертонична криза</w:t>
            </w:r>
            <w:r>
              <w:rPr>
                <w:vertAlign w:val="superscript"/>
              </w:rPr>
              <w:t>++</w:t>
            </w:r>
            <w:r>
              <w:t>, васкулит</w:t>
            </w:r>
            <w:r>
              <w:rPr>
                <w:vertAlign w:val="superscript"/>
              </w:rPr>
              <w:t>++</w:t>
            </w:r>
          </w:p>
        </w:tc>
        <w:tc>
          <w:tcPr>
            <w:tcW w:w="3117" w:type="dxa"/>
          </w:tcPr>
          <w:p w14:paraId="0DD1E1CE" w14:textId="3014A7B2" w:rsidR="000314A0" w:rsidRDefault="000314A0" w:rsidP="000314A0">
            <w:pPr>
              <w:spacing w:line="240" w:lineRule="auto"/>
              <w:rPr>
                <w:rFonts w:eastAsia="Times New Roman" w:cs="Arial"/>
                <w:sz w:val="24"/>
                <w:szCs w:val="24"/>
              </w:rPr>
            </w:pPr>
            <w:r>
              <w:t>Нечести</w:t>
            </w:r>
          </w:p>
        </w:tc>
      </w:tr>
      <w:tr w:rsidR="000314A0" w14:paraId="3310BD24" w14:textId="77777777" w:rsidTr="000314A0">
        <w:tc>
          <w:tcPr>
            <w:tcW w:w="3116" w:type="dxa"/>
            <w:vMerge w:val="restart"/>
            <w:vAlign w:val="bottom"/>
          </w:tcPr>
          <w:p w14:paraId="1DF55C6F" w14:textId="7825B808" w:rsidR="000314A0" w:rsidRDefault="000314A0" w:rsidP="000314A0">
            <w:pPr>
              <w:spacing w:line="240" w:lineRule="auto"/>
              <w:rPr>
                <w:rFonts w:eastAsia="Times New Roman" w:cs="Arial"/>
                <w:sz w:val="24"/>
                <w:szCs w:val="24"/>
              </w:rPr>
            </w:pPr>
            <w:r>
              <w:rPr>
                <w:i/>
                <w:iCs/>
              </w:rPr>
              <w:t>Респираторни, гръдни и медиастинални нарушения</w:t>
            </w:r>
          </w:p>
        </w:tc>
        <w:tc>
          <w:tcPr>
            <w:tcW w:w="3117" w:type="dxa"/>
          </w:tcPr>
          <w:p w14:paraId="68E7D834" w14:textId="5A11FF45" w:rsidR="000314A0" w:rsidRDefault="000314A0" w:rsidP="000314A0">
            <w:pPr>
              <w:spacing w:line="240" w:lineRule="auto"/>
              <w:rPr>
                <w:rFonts w:eastAsia="Times New Roman" w:cs="Arial"/>
                <w:sz w:val="24"/>
                <w:szCs w:val="24"/>
              </w:rPr>
            </w:pPr>
            <w:r>
              <w:t>бронхоспазъм</w:t>
            </w:r>
            <w:r>
              <w:rPr>
                <w:vertAlign w:val="superscript"/>
              </w:rPr>
              <w:t>++</w:t>
            </w:r>
          </w:p>
        </w:tc>
        <w:tc>
          <w:tcPr>
            <w:tcW w:w="3117" w:type="dxa"/>
          </w:tcPr>
          <w:p w14:paraId="215E207A" w14:textId="7F7AD759" w:rsidR="000314A0" w:rsidRDefault="000314A0" w:rsidP="000314A0">
            <w:pPr>
              <w:spacing w:line="240" w:lineRule="auto"/>
              <w:rPr>
                <w:rFonts w:eastAsia="Times New Roman" w:cs="Arial"/>
                <w:sz w:val="24"/>
                <w:szCs w:val="24"/>
              </w:rPr>
            </w:pPr>
            <w:r>
              <w:t>Чести</w:t>
            </w:r>
          </w:p>
        </w:tc>
      </w:tr>
      <w:tr w:rsidR="000314A0" w14:paraId="04A8F374" w14:textId="77777777" w:rsidTr="000314A0">
        <w:tc>
          <w:tcPr>
            <w:tcW w:w="3116" w:type="dxa"/>
            <w:vMerge/>
          </w:tcPr>
          <w:p w14:paraId="2434D93C" w14:textId="77777777" w:rsidR="000314A0" w:rsidRDefault="000314A0" w:rsidP="000314A0">
            <w:pPr>
              <w:spacing w:line="240" w:lineRule="auto"/>
              <w:rPr>
                <w:rFonts w:eastAsia="Times New Roman" w:cs="Arial"/>
                <w:sz w:val="24"/>
                <w:szCs w:val="24"/>
              </w:rPr>
            </w:pPr>
          </w:p>
        </w:tc>
        <w:tc>
          <w:tcPr>
            <w:tcW w:w="3117" w:type="dxa"/>
            <w:vAlign w:val="bottom"/>
          </w:tcPr>
          <w:p w14:paraId="1A7E8D65" w14:textId="26A47702" w:rsidR="000314A0" w:rsidRDefault="000314A0" w:rsidP="000314A0">
            <w:pPr>
              <w:spacing w:line="240" w:lineRule="auto"/>
              <w:rPr>
                <w:rFonts w:eastAsia="Times New Roman" w:cs="Arial"/>
                <w:sz w:val="24"/>
                <w:szCs w:val="24"/>
              </w:rPr>
            </w:pPr>
            <w:r>
              <w:t>кашлица, диспнея, епистаксис</w:t>
            </w:r>
          </w:p>
        </w:tc>
        <w:tc>
          <w:tcPr>
            <w:tcW w:w="3117" w:type="dxa"/>
            <w:vAlign w:val="bottom"/>
          </w:tcPr>
          <w:p w14:paraId="040310D2" w14:textId="0E763D01" w:rsidR="000314A0" w:rsidRDefault="000314A0" w:rsidP="000314A0">
            <w:pPr>
              <w:spacing w:line="240" w:lineRule="auto"/>
              <w:rPr>
                <w:rFonts w:eastAsia="Times New Roman" w:cs="Arial"/>
                <w:sz w:val="24"/>
                <w:szCs w:val="24"/>
              </w:rPr>
            </w:pPr>
            <w:r>
              <w:t>Нечести</w:t>
            </w:r>
          </w:p>
        </w:tc>
      </w:tr>
      <w:tr w:rsidR="000314A0" w14:paraId="465853C1" w14:textId="77777777" w:rsidTr="000314A0">
        <w:tc>
          <w:tcPr>
            <w:tcW w:w="3116" w:type="dxa"/>
            <w:vMerge w:val="restart"/>
            <w:vAlign w:val="bottom"/>
          </w:tcPr>
          <w:p w14:paraId="60904E3A" w14:textId="690F0875" w:rsidR="000314A0" w:rsidRDefault="000314A0" w:rsidP="000314A0">
            <w:pPr>
              <w:spacing w:line="240" w:lineRule="auto"/>
              <w:rPr>
                <w:rFonts w:eastAsia="Times New Roman" w:cs="Arial"/>
                <w:sz w:val="24"/>
                <w:szCs w:val="24"/>
              </w:rPr>
            </w:pPr>
            <w:r>
              <w:rPr>
                <w:i/>
                <w:iCs/>
              </w:rPr>
              <w:t>Стомашно-чревни нарушения</w:t>
            </w:r>
          </w:p>
        </w:tc>
        <w:tc>
          <w:tcPr>
            <w:tcW w:w="3117" w:type="dxa"/>
            <w:vAlign w:val="bottom"/>
          </w:tcPr>
          <w:p w14:paraId="1B1603E7" w14:textId="00C45A15" w:rsidR="000314A0" w:rsidRDefault="000314A0" w:rsidP="000314A0">
            <w:pPr>
              <w:spacing w:line="240" w:lineRule="auto"/>
              <w:rPr>
                <w:rFonts w:eastAsia="Times New Roman" w:cs="Arial"/>
                <w:sz w:val="24"/>
                <w:szCs w:val="24"/>
              </w:rPr>
            </w:pPr>
            <w:r>
              <w:t>коремна болка</w:t>
            </w:r>
          </w:p>
        </w:tc>
        <w:tc>
          <w:tcPr>
            <w:tcW w:w="3117" w:type="dxa"/>
            <w:vAlign w:val="bottom"/>
          </w:tcPr>
          <w:p w14:paraId="36A07FEC" w14:textId="07C0887C" w:rsidR="000314A0" w:rsidRDefault="000314A0" w:rsidP="000314A0">
            <w:pPr>
              <w:spacing w:line="240" w:lineRule="auto"/>
              <w:rPr>
                <w:rFonts w:eastAsia="Times New Roman" w:cs="Arial"/>
                <w:sz w:val="24"/>
                <w:szCs w:val="24"/>
              </w:rPr>
            </w:pPr>
            <w:r>
              <w:t>Много чести</w:t>
            </w:r>
          </w:p>
        </w:tc>
      </w:tr>
      <w:tr w:rsidR="000314A0" w14:paraId="239AD722" w14:textId="77777777" w:rsidTr="000314A0">
        <w:tc>
          <w:tcPr>
            <w:tcW w:w="3116" w:type="dxa"/>
            <w:vMerge/>
          </w:tcPr>
          <w:p w14:paraId="4591F6D8" w14:textId="77777777" w:rsidR="000314A0" w:rsidRDefault="000314A0" w:rsidP="000314A0">
            <w:pPr>
              <w:spacing w:line="240" w:lineRule="auto"/>
              <w:rPr>
                <w:rFonts w:eastAsia="Times New Roman" w:cs="Arial"/>
                <w:sz w:val="24"/>
                <w:szCs w:val="24"/>
              </w:rPr>
            </w:pPr>
          </w:p>
        </w:tc>
        <w:tc>
          <w:tcPr>
            <w:tcW w:w="3117" w:type="dxa"/>
            <w:vAlign w:val="bottom"/>
          </w:tcPr>
          <w:p w14:paraId="0BB78D3F" w14:textId="0040C103" w:rsidR="000314A0" w:rsidRDefault="000314A0" w:rsidP="000314A0">
            <w:pPr>
              <w:spacing w:line="240" w:lineRule="auto"/>
              <w:rPr>
                <w:rFonts w:eastAsia="Times New Roman" w:cs="Arial"/>
                <w:sz w:val="24"/>
                <w:szCs w:val="24"/>
              </w:rPr>
            </w:pPr>
            <w:r>
              <w:t>запек, флатуленция, гастрит, киселини/рефлукс, диария, диспепсия/епигастрален дискомфорт, гадене, повръщане, езофагит, язви в устата</w:t>
            </w:r>
          </w:p>
        </w:tc>
        <w:tc>
          <w:tcPr>
            <w:tcW w:w="3117" w:type="dxa"/>
          </w:tcPr>
          <w:p w14:paraId="1BB25606" w14:textId="4F394567" w:rsidR="000314A0" w:rsidRDefault="000314A0" w:rsidP="000314A0">
            <w:pPr>
              <w:spacing w:line="240" w:lineRule="auto"/>
              <w:rPr>
                <w:rFonts w:eastAsia="Times New Roman" w:cs="Arial"/>
                <w:sz w:val="24"/>
                <w:szCs w:val="24"/>
              </w:rPr>
            </w:pPr>
            <w:r>
              <w:t>Чести</w:t>
            </w:r>
          </w:p>
        </w:tc>
      </w:tr>
      <w:tr w:rsidR="000314A0" w14:paraId="591D1345" w14:textId="77777777" w:rsidTr="000314A0">
        <w:tc>
          <w:tcPr>
            <w:tcW w:w="3116" w:type="dxa"/>
            <w:vMerge/>
          </w:tcPr>
          <w:p w14:paraId="063BFA9D" w14:textId="77777777" w:rsidR="000314A0" w:rsidRDefault="000314A0" w:rsidP="000314A0">
            <w:pPr>
              <w:spacing w:line="240" w:lineRule="auto"/>
              <w:rPr>
                <w:rFonts w:eastAsia="Times New Roman" w:cs="Arial"/>
                <w:sz w:val="24"/>
                <w:szCs w:val="24"/>
              </w:rPr>
            </w:pPr>
          </w:p>
        </w:tc>
        <w:tc>
          <w:tcPr>
            <w:tcW w:w="3117" w:type="dxa"/>
            <w:vAlign w:val="bottom"/>
          </w:tcPr>
          <w:p w14:paraId="460A028C" w14:textId="6328502E" w:rsidR="000314A0" w:rsidRDefault="000314A0" w:rsidP="000314A0">
            <w:pPr>
              <w:spacing w:line="240" w:lineRule="auto"/>
              <w:rPr>
                <w:rFonts w:eastAsia="Times New Roman" w:cs="Arial"/>
                <w:sz w:val="24"/>
                <w:szCs w:val="24"/>
              </w:rPr>
            </w:pPr>
            <w:r>
              <w:t>подуване на корема, промени в перисталтиката, сухота в устата, гастродуоденална язва, пептични язви включващи перфорации и кървене от СЧ тракт, синдром на раздразненото черво, панкреатит</w:t>
            </w:r>
            <w:r>
              <w:rPr>
                <w:vertAlign w:val="superscript"/>
              </w:rPr>
              <w:t>++</w:t>
            </w:r>
          </w:p>
        </w:tc>
        <w:tc>
          <w:tcPr>
            <w:tcW w:w="3117" w:type="dxa"/>
          </w:tcPr>
          <w:p w14:paraId="09108077" w14:textId="1C98D765" w:rsidR="000314A0" w:rsidRDefault="000314A0" w:rsidP="000314A0">
            <w:pPr>
              <w:spacing w:line="240" w:lineRule="auto"/>
              <w:rPr>
                <w:rFonts w:eastAsia="Times New Roman" w:cs="Arial"/>
                <w:sz w:val="24"/>
                <w:szCs w:val="24"/>
              </w:rPr>
            </w:pPr>
            <w:r>
              <w:t>Нечести</w:t>
            </w:r>
          </w:p>
        </w:tc>
      </w:tr>
      <w:tr w:rsidR="000314A0" w14:paraId="1F3FDC80" w14:textId="77777777" w:rsidTr="000314A0">
        <w:tc>
          <w:tcPr>
            <w:tcW w:w="3116" w:type="dxa"/>
            <w:vMerge w:val="restart"/>
          </w:tcPr>
          <w:p w14:paraId="4B792731" w14:textId="2E8BF9A3" w:rsidR="000314A0" w:rsidRDefault="000314A0" w:rsidP="000314A0">
            <w:pPr>
              <w:spacing w:line="240" w:lineRule="auto"/>
              <w:rPr>
                <w:rFonts w:eastAsia="Times New Roman" w:cs="Arial"/>
                <w:sz w:val="24"/>
                <w:szCs w:val="24"/>
              </w:rPr>
            </w:pPr>
            <w:r>
              <w:rPr>
                <w:i/>
                <w:iCs/>
              </w:rPr>
              <w:t>Хепатобилиарни нарушения</w:t>
            </w:r>
          </w:p>
        </w:tc>
        <w:tc>
          <w:tcPr>
            <w:tcW w:w="3117" w:type="dxa"/>
            <w:vAlign w:val="bottom"/>
          </w:tcPr>
          <w:p w14:paraId="01E15693" w14:textId="4AF4A1AE" w:rsidR="000314A0" w:rsidRDefault="000314A0" w:rsidP="000314A0">
            <w:pPr>
              <w:spacing w:line="240" w:lineRule="auto"/>
              <w:rPr>
                <w:rFonts w:eastAsia="Times New Roman" w:cs="Arial"/>
                <w:sz w:val="24"/>
                <w:szCs w:val="24"/>
              </w:rPr>
            </w:pPr>
            <w:r>
              <w:t xml:space="preserve">увеличение на </w:t>
            </w:r>
            <w:r>
              <w:rPr>
                <w:lang w:val="en-US"/>
              </w:rPr>
              <w:t>ALT</w:t>
            </w:r>
            <w:r w:rsidRPr="000314A0">
              <w:rPr>
                <w:lang w:val="ru-RU"/>
              </w:rPr>
              <w:t xml:space="preserve">, </w:t>
            </w:r>
            <w:r>
              <w:t xml:space="preserve">увеличение на </w:t>
            </w:r>
            <w:r>
              <w:rPr>
                <w:lang w:val="en-US"/>
              </w:rPr>
              <w:t>AST</w:t>
            </w:r>
          </w:p>
        </w:tc>
        <w:tc>
          <w:tcPr>
            <w:tcW w:w="3117" w:type="dxa"/>
          </w:tcPr>
          <w:p w14:paraId="3CC2FBBA" w14:textId="25EB6448" w:rsidR="000314A0" w:rsidRDefault="000314A0" w:rsidP="000314A0">
            <w:pPr>
              <w:spacing w:line="240" w:lineRule="auto"/>
              <w:rPr>
                <w:rFonts w:eastAsia="Times New Roman" w:cs="Arial"/>
                <w:sz w:val="24"/>
                <w:szCs w:val="24"/>
              </w:rPr>
            </w:pPr>
            <w:r>
              <w:t>Чести</w:t>
            </w:r>
          </w:p>
        </w:tc>
      </w:tr>
      <w:tr w:rsidR="000314A0" w14:paraId="4A4495DF" w14:textId="77777777" w:rsidTr="000314A0">
        <w:tc>
          <w:tcPr>
            <w:tcW w:w="3116" w:type="dxa"/>
            <w:vMerge/>
          </w:tcPr>
          <w:p w14:paraId="6FFAE161" w14:textId="77777777" w:rsidR="000314A0" w:rsidRDefault="000314A0" w:rsidP="000314A0">
            <w:pPr>
              <w:spacing w:line="240" w:lineRule="auto"/>
              <w:rPr>
                <w:rFonts w:eastAsia="Times New Roman" w:cs="Arial"/>
                <w:sz w:val="24"/>
                <w:szCs w:val="24"/>
              </w:rPr>
            </w:pPr>
          </w:p>
        </w:tc>
        <w:tc>
          <w:tcPr>
            <w:tcW w:w="3117" w:type="dxa"/>
          </w:tcPr>
          <w:p w14:paraId="06A54000" w14:textId="5272F05A" w:rsidR="000314A0" w:rsidRDefault="000314A0" w:rsidP="000314A0">
            <w:pPr>
              <w:spacing w:line="240" w:lineRule="auto"/>
              <w:rPr>
                <w:rFonts w:eastAsia="Times New Roman" w:cs="Arial"/>
                <w:sz w:val="24"/>
                <w:szCs w:val="24"/>
              </w:rPr>
            </w:pPr>
            <w:r>
              <w:t>хепатит</w:t>
            </w:r>
            <w:r>
              <w:rPr>
                <w:vertAlign w:val="superscript"/>
              </w:rPr>
              <w:t>++</w:t>
            </w:r>
          </w:p>
        </w:tc>
        <w:tc>
          <w:tcPr>
            <w:tcW w:w="3117" w:type="dxa"/>
          </w:tcPr>
          <w:p w14:paraId="0C94F9EC" w14:textId="1E7B9081" w:rsidR="000314A0" w:rsidRDefault="000314A0" w:rsidP="000314A0">
            <w:pPr>
              <w:spacing w:line="240" w:lineRule="auto"/>
              <w:rPr>
                <w:rFonts w:eastAsia="Times New Roman" w:cs="Arial"/>
                <w:sz w:val="24"/>
                <w:szCs w:val="24"/>
              </w:rPr>
            </w:pPr>
            <w:r>
              <w:t>Редки</w:t>
            </w:r>
          </w:p>
        </w:tc>
      </w:tr>
      <w:tr w:rsidR="000314A0" w14:paraId="2F556EFB" w14:textId="77777777" w:rsidTr="000314A0">
        <w:tc>
          <w:tcPr>
            <w:tcW w:w="3116" w:type="dxa"/>
            <w:vMerge/>
          </w:tcPr>
          <w:p w14:paraId="44365C43" w14:textId="77777777" w:rsidR="000314A0" w:rsidRDefault="000314A0" w:rsidP="000314A0">
            <w:pPr>
              <w:spacing w:line="240" w:lineRule="auto"/>
              <w:rPr>
                <w:rFonts w:eastAsia="Times New Roman" w:cs="Arial"/>
                <w:sz w:val="24"/>
                <w:szCs w:val="24"/>
              </w:rPr>
            </w:pPr>
          </w:p>
        </w:tc>
        <w:tc>
          <w:tcPr>
            <w:tcW w:w="3117" w:type="dxa"/>
            <w:vAlign w:val="bottom"/>
          </w:tcPr>
          <w:p w14:paraId="747E3E6B" w14:textId="4CC480B2" w:rsidR="000314A0" w:rsidRDefault="000314A0" w:rsidP="000314A0">
            <w:pPr>
              <w:spacing w:line="240" w:lineRule="auto"/>
              <w:rPr>
                <w:rFonts w:eastAsia="Times New Roman" w:cs="Arial"/>
                <w:sz w:val="24"/>
                <w:szCs w:val="24"/>
              </w:rPr>
            </w:pPr>
            <w:r>
              <w:t>чернодробна недостатъчност</w:t>
            </w:r>
            <w:r w:rsidR="00872DEC">
              <w:rPr>
                <w:vertAlign w:val="superscript"/>
                <w:lang w:val="en-US"/>
              </w:rPr>
              <w:t>++</w:t>
            </w:r>
            <w:r>
              <w:t>, жълтеница</w:t>
            </w:r>
            <w:r>
              <w:rPr>
                <w:vertAlign w:val="superscript"/>
              </w:rPr>
              <w:t>++</w:t>
            </w:r>
          </w:p>
        </w:tc>
        <w:tc>
          <w:tcPr>
            <w:tcW w:w="3117" w:type="dxa"/>
          </w:tcPr>
          <w:p w14:paraId="2A2D8509" w14:textId="4EF056E6" w:rsidR="000314A0" w:rsidRDefault="000314A0" w:rsidP="000314A0">
            <w:pPr>
              <w:spacing w:line="240" w:lineRule="auto"/>
              <w:rPr>
                <w:rFonts w:eastAsia="Times New Roman" w:cs="Arial"/>
                <w:sz w:val="24"/>
                <w:szCs w:val="24"/>
              </w:rPr>
            </w:pPr>
            <w:r>
              <w:t>Редки</w:t>
            </w:r>
            <w:r>
              <w:rPr>
                <w:vertAlign w:val="superscript"/>
              </w:rPr>
              <w:t>+</w:t>
            </w:r>
          </w:p>
        </w:tc>
      </w:tr>
      <w:tr w:rsidR="00872DEC" w14:paraId="11A20F60" w14:textId="77777777" w:rsidTr="000314A0">
        <w:tc>
          <w:tcPr>
            <w:tcW w:w="3116" w:type="dxa"/>
            <w:vMerge w:val="restart"/>
            <w:vAlign w:val="bottom"/>
          </w:tcPr>
          <w:p w14:paraId="7B8F5C4F" w14:textId="75428F3E" w:rsidR="00872DEC" w:rsidRDefault="00872DEC" w:rsidP="000314A0">
            <w:pPr>
              <w:spacing w:line="240" w:lineRule="auto"/>
              <w:rPr>
                <w:rFonts w:eastAsia="Times New Roman" w:cs="Arial"/>
                <w:sz w:val="24"/>
                <w:szCs w:val="24"/>
              </w:rPr>
            </w:pPr>
            <w:r>
              <w:rPr>
                <w:i/>
                <w:iCs/>
              </w:rPr>
              <w:t>Нарушения на кожата и подкожната тъкан</w:t>
            </w:r>
          </w:p>
        </w:tc>
        <w:tc>
          <w:tcPr>
            <w:tcW w:w="3117" w:type="dxa"/>
          </w:tcPr>
          <w:p w14:paraId="45D54DB1" w14:textId="157E27A0" w:rsidR="00872DEC" w:rsidRDefault="00872DEC" w:rsidP="000314A0">
            <w:pPr>
              <w:spacing w:line="240" w:lineRule="auto"/>
              <w:rPr>
                <w:rFonts w:eastAsia="Times New Roman" w:cs="Arial"/>
                <w:sz w:val="24"/>
                <w:szCs w:val="24"/>
              </w:rPr>
            </w:pPr>
            <w:r>
              <w:t>екхимоза</w:t>
            </w:r>
          </w:p>
        </w:tc>
        <w:tc>
          <w:tcPr>
            <w:tcW w:w="3117" w:type="dxa"/>
          </w:tcPr>
          <w:p w14:paraId="2312570B" w14:textId="23C2E065" w:rsidR="00872DEC" w:rsidRDefault="00872DEC" w:rsidP="000314A0">
            <w:pPr>
              <w:spacing w:line="240" w:lineRule="auto"/>
              <w:rPr>
                <w:rFonts w:eastAsia="Times New Roman" w:cs="Arial"/>
                <w:sz w:val="24"/>
                <w:szCs w:val="24"/>
              </w:rPr>
            </w:pPr>
            <w:r>
              <w:t>Чести</w:t>
            </w:r>
          </w:p>
        </w:tc>
      </w:tr>
      <w:tr w:rsidR="00872DEC" w14:paraId="1E1799F4" w14:textId="77777777" w:rsidTr="000314A0">
        <w:tc>
          <w:tcPr>
            <w:tcW w:w="3116" w:type="dxa"/>
            <w:vMerge/>
          </w:tcPr>
          <w:p w14:paraId="11348934" w14:textId="77777777" w:rsidR="00872DEC" w:rsidRDefault="00872DEC" w:rsidP="000314A0">
            <w:pPr>
              <w:spacing w:line="240" w:lineRule="auto"/>
              <w:rPr>
                <w:rFonts w:eastAsia="Times New Roman" w:cs="Arial"/>
                <w:sz w:val="24"/>
                <w:szCs w:val="24"/>
              </w:rPr>
            </w:pPr>
          </w:p>
        </w:tc>
        <w:tc>
          <w:tcPr>
            <w:tcW w:w="3117" w:type="dxa"/>
            <w:vAlign w:val="bottom"/>
          </w:tcPr>
          <w:p w14:paraId="278053A1" w14:textId="0627502C" w:rsidR="00872DEC" w:rsidRDefault="00872DEC" w:rsidP="000314A0">
            <w:pPr>
              <w:spacing w:line="240" w:lineRule="auto"/>
              <w:rPr>
                <w:rFonts w:eastAsia="Times New Roman" w:cs="Arial"/>
                <w:sz w:val="24"/>
                <w:szCs w:val="24"/>
              </w:rPr>
            </w:pPr>
            <w:r>
              <w:t>оток на лицето, сърбеж, обрив, еритема</w:t>
            </w:r>
            <w:r>
              <w:rPr>
                <w:vertAlign w:val="superscript"/>
              </w:rPr>
              <w:t>++</w:t>
            </w:r>
            <w:r>
              <w:t>, уртикария</w:t>
            </w:r>
            <w:r>
              <w:rPr>
                <w:vertAlign w:val="superscript"/>
              </w:rPr>
              <w:t>++</w:t>
            </w:r>
          </w:p>
        </w:tc>
        <w:tc>
          <w:tcPr>
            <w:tcW w:w="3117" w:type="dxa"/>
          </w:tcPr>
          <w:p w14:paraId="011502C3" w14:textId="2D3B546B" w:rsidR="00872DEC" w:rsidRDefault="00872DEC" w:rsidP="000314A0">
            <w:pPr>
              <w:spacing w:line="240" w:lineRule="auto"/>
              <w:rPr>
                <w:rFonts w:eastAsia="Times New Roman" w:cs="Arial"/>
                <w:sz w:val="24"/>
                <w:szCs w:val="24"/>
              </w:rPr>
            </w:pPr>
            <w:r>
              <w:t>Нечести</w:t>
            </w:r>
          </w:p>
        </w:tc>
      </w:tr>
      <w:tr w:rsidR="00872DEC" w14:paraId="19BB5C29" w14:textId="77777777" w:rsidTr="005A5B63">
        <w:tc>
          <w:tcPr>
            <w:tcW w:w="3116" w:type="dxa"/>
            <w:vMerge/>
          </w:tcPr>
          <w:p w14:paraId="0A79F871" w14:textId="77777777" w:rsidR="00872DEC" w:rsidRDefault="00872DEC" w:rsidP="00872DEC">
            <w:pPr>
              <w:spacing w:line="240" w:lineRule="auto"/>
              <w:rPr>
                <w:rFonts w:eastAsia="Times New Roman" w:cs="Arial"/>
                <w:sz w:val="24"/>
                <w:szCs w:val="24"/>
              </w:rPr>
            </w:pPr>
          </w:p>
        </w:tc>
        <w:tc>
          <w:tcPr>
            <w:tcW w:w="3117" w:type="dxa"/>
            <w:vAlign w:val="bottom"/>
          </w:tcPr>
          <w:p w14:paraId="043CBB04" w14:textId="7B997BA2" w:rsidR="00872DEC" w:rsidRPr="00872DEC" w:rsidRDefault="00872DEC" w:rsidP="00872DEC">
            <w:pPr>
              <w:spacing w:line="240" w:lineRule="auto"/>
              <w:rPr>
                <w:rFonts w:eastAsia="Times New Roman" w:cs="Arial"/>
                <w:sz w:val="24"/>
                <w:szCs w:val="24"/>
                <w:lang w:val="ru-RU"/>
              </w:rPr>
            </w:pPr>
            <w:r>
              <w:t>синдром на Стивънс- Джонсън</w:t>
            </w:r>
            <w:r>
              <w:rPr>
                <w:vertAlign w:val="superscript"/>
              </w:rPr>
              <w:t>5</w:t>
            </w:r>
            <w:r>
              <w:t>, токсична епидермална некролиза</w:t>
            </w:r>
            <w:r w:rsidRPr="00872DEC">
              <w:rPr>
                <w:vertAlign w:val="superscript"/>
                <w:lang w:val="ru-RU"/>
              </w:rPr>
              <w:t>++</w:t>
            </w:r>
            <w:r>
              <w:t>, непрогресиращ лекарствен обрив</w:t>
            </w:r>
            <w:r w:rsidRPr="00872DEC">
              <w:rPr>
                <w:vertAlign w:val="superscript"/>
                <w:lang w:val="ru-RU"/>
              </w:rPr>
              <w:t>++</w:t>
            </w:r>
          </w:p>
        </w:tc>
        <w:tc>
          <w:tcPr>
            <w:tcW w:w="3117" w:type="dxa"/>
          </w:tcPr>
          <w:p w14:paraId="28DF4DE0" w14:textId="7CC6B2E5" w:rsidR="00872DEC" w:rsidRDefault="00872DEC" w:rsidP="00872DEC">
            <w:pPr>
              <w:spacing w:line="240" w:lineRule="auto"/>
              <w:rPr>
                <w:rFonts w:eastAsia="Times New Roman" w:cs="Arial"/>
                <w:sz w:val="24"/>
                <w:szCs w:val="24"/>
              </w:rPr>
            </w:pPr>
            <w:r>
              <w:t>Редки</w:t>
            </w:r>
            <w:r>
              <w:rPr>
                <w:vertAlign w:val="superscript"/>
              </w:rPr>
              <w:t>5</w:t>
            </w:r>
          </w:p>
        </w:tc>
      </w:tr>
      <w:tr w:rsidR="00872DEC" w14:paraId="097760A7" w14:textId="77777777" w:rsidTr="005A5B63">
        <w:tc>
          <w:tcPr>
            <w:tcW w:w="3116" w:type="dxa"/>
            <w:vAlign w:val="bottom"/>
          </w:tcPr>
          <w:p w14:paraId="43CB618E" w14:textId="6DC9F4A6" w:rsidR="00872DEC" w:rsidRDefault="00872DEC" w:rsidP="00872DEC">
            <w:pPr>
              <w:spacing w:line="240" w:lineRule="auto"/>
              <w:rPr>
                <w:rFonts w:eastAsia="Times New Roman" w:cs="Arial"/>
                <w:sz w:val="24"/>
                <w:szCs w:val="24"/>
              </w:rPr>
            </w:pPr>
            <w:r>
              <w:rPr>
                <w:i/>
                <w:iCs/>
              </w:rPr>
              <w:t>Нарушения на мускулно- скелетната система и съединителна тъкан</w:t>
            </w:r>
          </w:p>
        </w:tc>
        <w:tc>
          <w:tcPr>
            <w:tcW w:w="3117" w:type="dxa"/>
            <w:vAlign w:val="bottom"/>
          </w:tcPr>
          <w:p w14:paraId="6C6A5FCF" w14:textId="77BB6F13" w:rsidR="00872DEC" w:rsidRDefault="00872DEC" w:rsidP="00872DEC">
            <w:pPr>
              <w:spacing w:line="240" w:lineRule="auto"/>
              <w:rPr>
                <w:rFonts w:eastAsia="Times New Roman" w:cs="Arial"/>
                <w:sz w:val="24"/>
                <w:szCs w:val="24"/>
              </w:rPr>
            </w:pPr>
            <w:r>
              <w:t>мускулни крампи/спазми, мускулно-скелетна болка/ригидност</w:t>
            </w:r>
          </w:p>
        </w:tc>
        <w:tc>
          <w:tcPr>
            <w:tcW w:w="3117" w:type="dxa"/>
          </w:tcPr>
          <w:p w14:paraId="47EA7AD7" w14:textId="6CA125F5" w:rsidR="00872DEC" w:rsidRDefault="00872DEC" w:rsidP="00872DEC">
            <w:pPr>
              <w:spacing w:line="240" w:lineRule="auto"/>
              <w:rPr>
                <w:rFonts w:eastAsia="Times New Roman" w:cs="Arial"/>
                <w:sz w:val="24"/>
                <w:szCs w:val="24"/>
              </w:rPr>
            </w:pPr>
            <w:r>
              <w:t>Нечести</w:t>
            </w:r>
          </w:p>
        </w:tc>
      </w:tr>
      <w:tr w:rsidR="00872DEC" w14:paraId="679E4108" w14:textId="77777777" w:rsidTr="005A5B63">
        <w:tc>
          <w:tcPr>
            <w:tcW w:w="3116" w:type="dxa"/>
          </w:tcPr>
          <w:p w14:paraId="43C39247" w14:textId="7D3A2428" w:rsidR="00872DEC" w:rsidRDefault="00872DEC" w:rsidP="00872DEC">
            <w:pPr>
              <w:spacing w:line="240" w:lineRule="auto"/>
              <w:rPr>
                <w:rFonts w:eastAsia="Times New Roman" w:cs="Arial"/>
                <w:sz w:val="24"/>
                <w:szCs w:val="24"/>
              </w:rPr>
            </w:pPr>
            <w:r>
              <w:rPr>
                <w:i/>
                <w:iCs/>
              </w:rPr>
              <w:t>Нарушения на бъбреците и пикочните пътища</w:t>
            </w:r>
          </w:p>
        </w:tc>
        <w:tc>
          <w:tcPr>
            <w:tcW w:w="3117" w:type="dxa"/>
            <w:vAlign w:val="bottom"/>
          </w:tcPr>
          <w:p w14:paraId="40CF7CB1" w14:textId="3A8A11FC" w:rsidR="00872DEC" w:rsidRDefault="00872DEC" w:rsidP="00872DEC">
            <w:pPr>
              <w:spacing w:line="240" w:lineRule="auto"/>
              <w:rPr>
                <w:rFonts w:eastAsia="Times New Roman" w:cs="Arial"/>
                <w:sz w:val="24"/>
                <w:szCs w:val="24"/>
              </w:rPr>
            </w:pPr>
            <w:r>
              <w:t>протеинурия, повишение на серумния креатинин, бъбречно нарушение/ бъбречна недостатъчност</w:t>
            </w:r>
            <w:r>
              <w:rPr>
                <w:vertAlign w:val="superscript"/>
              </w:rPr>
              <w:t>++</w:t>
            </w:r>
            <w:r>
              <w:t xml:space="preserve"> (вж. точка 4.4)</w:t>
            </w:r>
          </w:p>
        </w:tc>
        <w:tc>
          <w:tcPr>
            <w:tcW w:w="3117" w:type="dxa"/>
          </w:tcPr>
          <w:p w14:paraId="72EF7667" w14:textId="5DE0C956" w:rsidR="00872DEC" w:rsidRDefault="00872DEC" w:rsidP="00872DEC">
            <w:pPr>
              <w:spacing w:line="240" w:lineRule="auto"/>
              <w:rPr>
                <w:rFonts w:eastAsia="Times New Roman" w:cs="Arial"/>
                <w:sz w:val="24"/>
                <w:szCs w:val="24"/>
              </w:rPr>
            </w:pPr>
            <w:r>
              <w:t>Нечести</w:t>
            </w:r>
          </w:p>
        </w:tc>
      </w:tr>
      <w:tr w:rsidR="00872DEC" w14:paraId="7EEBA0B7" w14:textId="77777777" w:rsidTr="005A5B63">
        <w:tc>
          <w:tcPr>
            <w:tcW w:w="3116" w:type="dxa"/>
            <w:vMerge w:val="restart"/>
            <w:vAlign w:val="bottom"/>
          </w:tcPr>
          <w:p w14:paraId="3D31B43C" w14:textId="1398CB73" w:rsidR="00872DEC" w:rsidRDefault="00872DEC" w:rsidP="00872DEC">
            <w:pPr>
              <w:spacing w:line="240" w:lineRule="auto"/>
              <w:rPr>
                <w:rFonts w:eastAsia="Times New Roman" w:cs="Arial"/>
                <w:sz w:val="24"/>
                <w:szCs w:val="24"/>
              </w:rPr>
            </w:pPr>
            <w:r>
              <w:rPr>
                <w:i/>
                <w:iCs/>
              </w:rPr>
              <w:t>Общи нарушения и ефекти на мястото на приложение</w:t>
            </w:r>
          </w:p>
        </w:tc>
        <w:tc>
          <w:tcPr>
            <w:tcW w:w="3117" w:type="dxa"/>
            <w:vAlign w:val="bottom"/>
          </w:tcPr>
          <w:p w14:paraId="36DC43F4" w14:textId="67C1C122" w:rsidR="00872DEC" w:rsidRDefault="00872DEC" w:rsidP="00872DEC">
            <w:pPr>
              <w:spacing w:line="240" w:lineRule="auto"/>
              <w:rPr>
                <w:rFonts w:eastAsia="Times New Roman" w:cs="Arial"/>
                <w:sz w:val="24"/>
                <w:szCs w:val="24"/>
              </w:rPr>
            </w:pPr>
            <w:r>
              <w:t>астения/умора, грипоподобно състояние</w:t>
            </w:r>
          </w:p>
        </w:tc>
        <w:tc>
          <w:tcPr>
            <w:tcW w:w="3117" w:type="dxa"/>
          </w:tcPr>
          <w:p w14:paraId="3B27BF88" w14:textId="0F1B24B3" w:rsidR="00872DEC" w:rsidRDefault="00872DEC" w:rsidP="00872DEC">
            <w:pPr>
              <w:spacing w:line="240" w:lineRule="auto"/>
              <w:rPr>
                <w:rFonts w:eastAsia="Times New Roman" w:cs="Arial"/>
                <w:sz w:val="24"/>
                <w:szCs w:val="24"/>
              </w:rPr>
            </w:pPr>
            <w:r>
              <w:t>Чести</w:t>
            </w:r>
          </w:p>
        </w:tc>
      </w:tr>
      <w:tr w:rsidR="00872DEC" w14:paraId="23BE065A" w14:textId="77777777" w:rsidTr="005A5B63">
        <w:tc>
          <w:tcPr>
            <w:tcW w:w="3116" w:type="dxa"/>
            <w:vMerge/>
          </w:tcPr>
          <w:p w14:paraId="3081844B" w14:textId="77777777" w:rsidR="00872DEC" w:rsidRDefault="00872DEC" w:rsidP="00872DEC">
            <w:pPr>
              <w:spacing w:line="240" w:lineRule="auto"/>
              <w:rPr>
                <w:rFonts w:eastAsia="Times New Roman" w:cs="Arial"/>
                <w:sz w:val="24"/>
                <w:szCs w:val="24"/>
              </w:rPr>
            </w:pPr>
          </w:p>
        </w:tc>
        <w:tc>
          <w:tcPr>
            <w:tcW w:w="3117" w:type="dxa"/>
            <w:vAlign w:val="bottom"/>
          </w:tcPr>
          <w:p w14:paraId="73BCF5CD" w14:textId="1F5B975C" w:rsidR="00872DEC" w:rsidRDefault="00872DEC" w:rsidP="00872DEC">
            <w:pPr>
              <w:spacing w:line="240" w:lineRule="auto"/>
              <w:rPr>
                <w:rFonts w:eastAsia="Times New Roman" w:cs="Arial"/>
                <w:sz w:val="24"/>
                <w:szCs w:val="24"/>
              </w:rPr>
            </w:pPr>
            <w:r>
              <w:t>гръдна болка</w:t>
            </w:r>
          </w:p>
        </w:tc>
        <w:tc>
          <w:tcPr>
            <w:tcW w:w="3117" w:type="dxa"/>
            <w:vAlign w:val="bottom"/>
          </w:tcPr>
          <w:p w14:paraId="332EC165" w14:textId="17CA5DF8" w:rsidR="00872DEC" w:rsidRDefault="00872DEC" w:rsidP="00872DEC">
            <w:pPr>
              <w:spacing w:line="240" w:lineRule="auto"/>
              <w:rPr>
                <w:rFonts w:eastAsia="Times New Roman" w:cs="Arial"/>
                <w:sz w:val="24"/>
                <w:szCs w:val="24"/>
              </w:rPr>
            </w:pPr>
            <w:r>
              <w:t>Нечести</w:t>
            </w:r>
          </w:p>
        </w:tc>
      </w:tr>
      <w:tr w:rsidR="00872DEC" w14:paraId="51F4C104" w14:textId="77777777" w:rsidTr="005A5B63">
        <w:tc>
          <w:tcPr>
            <w:tcW w:w="3116" w:type="dxa"/>
            <w:vMerge w:val="restart"/>
          </w:tcPr>
          <w:p w14:paraId="524B575E" w14:textId="4983B9C0" w:rsidR="00872DEC" w:rsidRDefault="00872DEC" w:rsidP="00872DEC">
            <w:pPr>
              <w:spacing w:line="240" w:lineRule="auto"/>
              <w:rPr>
                <w:rFonts w:eastAsia="Times New Roman" w:cs="Arial"/>
                <w:sz w:val="24"/>
                <w:szCs w:val="24"/>
              </w:rPr>
            </w:pPr>
            <w:r>
              <w:rPr>
                <w:i/>
                <w:iCs/>
              </w:rPr>
              <w:t>Изследвания</w:t>
            </w:r>
          </w:p>
        </w:tc>
        <w:tc>
          <w:tcPr>
            <w:tcW w:w="3117" w:type="dxa"/>
            <w:vAlign w:val="bottom"/>
          </w:tcPr>
          <w:p w14:paraId="2F6383CC" w14:textId="5D79DF9A" w:rsidR="00872DEC" w:rsidRDefault="00872DEC" w:rsidP="00872DEC">
            <w:pPr>
              <w:spacing w:line="240" w:lineRule="auto"/>
              <w:rPr>
                <w:rFonts w:eastAsia="Times New Roman" w:cs="Arial"/>
                <w:sz w:val="24"/>
                <w:szCs w:val="24"/>
              </w:rPr>
            </w:pPr>
            <w:r>
              <w:t xml:space="preserve">увеличение на уреята в кръвта, увеличение на креатинфосфокиназа, хиперкалиемия, </w:t>
            </w:r>
            <w:r>
              <w:lastRenderedPageBreak/>
              <w:t>увеличение на пикочната киселина</w:t>
            </w:r>
          </w:p>
        </w:tc>
        <w:tc>
          <w:tcPr>
            <w:tcW w:w="3117" w:type="dxa"/>
          </w:tcPr>
          <w:p w14:paraId="17C3EA00" w14:textId="27840385" w:rsidR="00872DEC" w:rsidRDefault="00872DEC" w:rsidP="00872DEC">
            <w:pPr>
              <w:spacing w:line="240" w:lineRule="auto"/>
              <w:rPr>
                <w:rFonts w:eastAsia="Times New Roman" w:cs="Arial"/>
                <w:sz w:val="24"/>
                <w:szCs w:val="24"/>
              </w:rPr>
            </w:pPr>
            <w:r>
              <w:lastRenderedPageBreak/>
              <w:t>Нечести</w:t>
            </w:r>
          </w:p>
        </w:tc>
      </w:tr>
      <w:tr w:rsidR="00872DEC" w14:paraId="43C19321" w14:textId="77777777" w:rsidTr="000314A0">
        <w:tc>
          <w:tcPr>
            <w:tcW w:w="3116" w:type="dxa"/>
            <w:vMerge/>
          </w:tcPr>
          <w:p w14:paraId="0C0A5CFB" w14:textId="77777777" w:rsidR="00872DEC" w:rsidRDefault="00872DEC" w:rsidP="00872DEC">
            <w:pPr>
              <w:spacing w:line="240" w:lineRule="auto"/>
              <w:rPr>
                <w:rFonts w:eastAsia="Times New Roman" w:cs="Arial"/>
                <w:sz w:val="24"/>
                <w:szCs w:val="24"/>
              </w:rPr>
            </w:pPr>
          </w:p>
        </w:tc>
        <w:tc>
          <w:tcPr>
            <w:tcW w:w="3117" w:type="dxa"/>
          </w:tcPr>
          <w:p w14:paraId="049DC1C2" w14:textId="6BCE79C8" w:rsidR="00872DEC" w:rsidRDefault="00872DEC" w:rsidP="00872DEC">
            <w:pPr>
              <w:spacing w:line="240" w:lineRule="auto"/>
              <w:rPr>
                <w:rFonts w:eastAsia="Times New Roman" w:cs="Arial"/>
                <w:sz w:val="24"/>
                <w:szCs w:val="24"/>
              </w:rPr>
            </w:pPr>
            <w:r>
              <w:t>понижаване нивата на натрий в кръвта</w:t>
            </w:r>
          </w:p>
        </w:tc>
        <w:tc>
          <w:tcPr>
            <w:tcW w:w="3117" w:type="dxa"/>
          </w:tcPr>
          <w:p w14:paraId="331EE846" w14:textId="6B22E9A9" w:rsidR="00872DEC" w:rsidRDefault="00872DEC" w:rsidP="00872DEC">
            <w:pPr>
              <w:spacing w:line="240" w:lineRule="auto"/>
              <w:rPr>
                <w:rFonts w:eastAsia="Times New Roman" w:cs="Arial"/>
                <w:sz w:val="24"/>
                <w:szCs w:val="24"/>
              </w:rPr>
            </w:pPr>
            <w:r>
              <w:t>Редки</w:t>
            </w:r>
          </w:p>
        </w:tc>
      </w:tr>
    </w:tbl>
    <w:p w14:paraId="15320902" w14:textId="642DB877" w:rsidR="00872DEC" w:rsidRPr="00872DEC" w:rsidRDefault="00872DEC" w:rsidP="00872DEC">
      <w:pPr>
        <w:spacing w:line="240" w:lineRule="auto"/>
        <w:rPr>
          <w:rFonts w:eastAsia="Times New Roman" w:cs="Arial"/>
        </w:rPr>
      </w:pPr>
      <w:r w:rsidRPr="00872DEC">
        <w:rPr>
          <w:rFonts w:eastAsia="Times New Roman" w:cs="Arial"/>
          <w:color w:val="000000"/>
          <w:lang w:eastAsia="bg-BG"/>
        </w:rPr>
        <w:t>*Категория честота: дефинирана за всеки термин на нежелана реакция по честотата, съобщена в базата данни на клиничните проучвания: много чести (≥1/10), чести (≥1/100 до &lt;1/10), нечести (≥1/1000 до &lt;1/100), редки (≥1/10 000 до &lt;1/1000), много редки (&lt;1/10 000).</w:t>
      </w:r>
    </w:p>
    <w:p w14:paraId="35A17B8E" w14:textId="77777777" w:rsidR="00872DEC" w:rsidRPr="00872DEC" w:rsidRDefault="00872DEC" w:rsidP="00872DEC">
      <w:pPr>
        <w:spacing w:line="240" w:lineRule="auto"/>
        <w:rPr>
          <w:rFonts w:eastAsia="Times New Roman" w:cs="Arial"/>
          <w:color w:val="000000"/>
          <w:vertAlign w:val="superscript"/>
          <w:lang w:val="ru-RU"/>
        </w:rPr>
      </w:pPr>
    </w:p>
    <w:p w14:paraId="3B905949" w14:textId="490A9275" w:rsidR="00872DEC" w:rsidRPr="00872DEC" w:rsidRDefault="00872DEC" w:rsidP="00872DEC">
      <w:pPr>
        <w:spacing w:line="240" w:lineRule="auto"/>
        <w:rPr>
          <w:rFonts w:eastAsia="Times New Roman" w:cs="Arial"/>
        </w:rPr>
      </w:pPr>
      <w:r w:rsidRPr="00872DEC">
        <w:rPr>
          <w:rFonts w:eastAsia="Times New Roman" w:cs="Arial"/>
          <w:color w:val="000000"/>
          <w:vertAlign w:val="superscript"/>
          <w:lang w:val="ru-RU"/>
        </w:rPr>
        <w:t>++</w:t>
      </w:r>
      <w:r w:rsidRPr="00872DEC">
        <w:rPr>
          <w:rFonts w:eastAsia="Times New Roman" w:cs="Arial"/>
          <w:color w:val="000000"/>
          <w:lang w:val="ru-RU"/>
        </w:rPr>
        <w:t xml:space="preserve"> </w:t>
      </w:r>
      <w:r w:rsidRPr="00872DEC">
        <w:rPr>
          <w:rFonts w:eastAsia="Times New Roman" w:cs="Arial"/>
          <w:color w:val="000000"/>
          <w:lang w:eastAsia="bg-BG"/>
        </w:rPr>
        <w:t>Тази нежелана реакция е идентифицирана през постмаркетинговото наблюдение. Честотата на нейното съобщаване е оценена на базата на най-високата честота, наблюдавана в данните от клинични изпитвания, обобщени по индикация и одобрена доза.</w:t>
      </w:r>
    </w:p>
    <w:p w14:paraId="1E0D8DC6" w14:textId="77777777" w:rsidR="00872DEC" w:rsidRPr="00872DEC" w:rsidRDefault="00872DEC" w:rsidP="00872DEC">
      <w:pPr>
        <w:spacing w:line="240" w:lineRule="auto"/>
        <w:rPr>
          <w:rFonts w:eastAsia="Times New Roman" w:cs="Arial"/>
          <w:color w:val="000000"/>
          <w:vertAlign w:val="superscript"/>
          <w:lang w:val="ru-RU"/>
        </w:rPr>
      </w:pPr>
    </w:p>
    <w:p w14:paraId="2BBE0AE8" w14:textId="0F0DC364" w:rsidR="00872DEC" w:rsidRPr="00872DEC" w:rsidRDefault="00872DEC" w:rsidP="00872DEC">
      <w:pPr>
        <w:spacing w:line="240" w:lineRule="auto"/>
        <w:rPr>
          <w:rFonts w:eastAsia="Times New Roman" w:cs="Arial"/>
        </w:rPr>
      </w:pPr>
      <w:r w:rsidRPr="00872DEC">
        <w:rPr>
          <w:rFonts w:eastAsia="Times New Roman" w:cs="Arial"/>
          <w:color w:val="000000"/>
          <w:vertAlign w:val="superscript"/>
          <w:lang w:val="ru-RU"/>
        </w:rPr>
        <w:t>+</w:t>
      </w:r>
      <w:r w:rsidRPr="00872DEC">
        <w:rPr>
          <w:rFonts w:eastAsia="Times New Roman" w:cs="Arial"/>
          <w:color w:val="000000"/>
          <w:lang w:val="ru-RU"/>
        </w:rPr>
        <w:t xml:space="preserve"> </w:t>
      </w:r>
      <w:r w:rsidRPr="00872DEC">
        <w:rPr>
          <w:rFonts w:eastAsia="Times New Roman" w:cs="Arial"/>
          <w:color w:val="000000"/>
          <w:lang w:eastAsia="bg-BG"/>
        </w:rPr>
        <w:t xml:space="preserve">Категорията честота „Редки“ е определена според ръководството за Кратката характеристика </w:t>
      </w:r>
      <w:proofErr w:type="gramStart"/>
      <w:r w:rsidRPr="00872DEC">
        <w:rPr>
          <w:rFonts w:eastAsia="Times New Roman" w:cs="Arial"/>
          <w:color w:val="000000"/>
          <w:lang w:eastAsia="bg-BG"/>
        </w:rPr>
        <w:t>на продукта</w:t>
      </w:r>
      <w:proofErr w:type="gramEnd"/>
      <w:r w:rsidRPr="00872DEC">
        <w:rPr>
          <w:rFonts w:eastAsia="Times New Roman" w:cs="Arial"/>
          <w:color w:val="000000"/>
          <w:lang w:eastAsia="bg-BG"/>
        </w:rPr>
        <w:t xml:space="preserve"> (КХП) (рев. 2, септември 2009) на база на определената горна граница от 95% доверителен интервал за 0 събития, като се има предвид броя участници, лекувани с еторикоксиб при анализа на данните от фаза III, обобщени по доза и индикация (п=15 470).</w:t>
      </w:r>
    </w:p>
    <w:p w14:paraId="143FF273" w14:textId="77777777" w:rsidR="00872DEC" w:rsidRPr="00872DEC" w:rsidRDefault="00872DEC" w:rsidP="00872DEC">
      <w:pPr>
        <w:spacing w:line="240" w:lineRule="auto"/>
        <w:rPr>
          <w:rFonts w:eastAsia="Times New Roman" w:cs="Arial"/>
          <w:color w:val="000000"/>
          <w:lang w:eastAsia="bg-BG"/>
        </w:rPr>
      </w:pPr>
    </w:p>
    <w:p w14:paraId="34B52167" w14:textId="0904B27C" w:rsidR="00872DEC" w:rsidRPr="00872DEC" w:rsidRDefault="00872DEC" w:rsidP="00872DEC">
      <w:pPr>
        <w:spacing w:line="240" w:lineRule="auto"/>
        <w:rPr>
          <w:rFonts w:eastAsia="Times New Roman" w:cs="Arial"/>
        </w:rPr>
      </w:pPr>
      <w:r w:rsidRPr="00872DEC">
        <w:rPr>
          <w:rFonts w:eastAsia="Times New Roman" w:cs="Arial"/>
          <w:color w:val="000000"/>
          <w:lang w:eastAsia="bg-BG"/>
        </w:rPr>
        <w:t>β Свръхчувствителност включва термините „алергия“, „лекарствена алергия“, „лекарствена свръхчувствителност'', „свръхчувствителност“, „неуточнена свръхчувствителност</w:t>
      </w:r>
      <w:r w:rsidRPr="00872DEC">
        <w:rPr>
          <w:rFonts w:eastAsia="Times New Roman" w:cs="Arial"/>
          <w:color w:val="000000"/>
          <w:vertAlign w:val="superscript"/>
          <w:lang w:eastAsia="bg-BG"/>
        </w:rPr>
        <w:t>44</w:t>
      </w:r>
      <w:r w:rsidRPr="00872DEC">
        <w:rPr>
          <w:rFonts w:eastAsia="Times New Roman" w:cs="Arial"/>
          <w:color w:val="000000"/>
          <w:lang w:eastAsia="bg-BG"/>
        </w:rPr>
        <w:t>, „реакция на свръхчувствителност“ и „неспецифична алергия''.</w:t>
      </w:r>
    </w:p>
    <w:p w14:paraId="23CF2BF6" w14:textId="77777777" w:rsidR="00872DEC" w:rsidRPr="00872DEC" w:rsidRDefault="00872DEC" w:rsidP="00872DEC">
      <w:pPr>
        <w:spacing w:line="240" w:lineRule="auto"/>
        <w:rPr>
          <w:rFonts w:eastAsia="Times New Roman" w:cs="Arial"/>
        </w:rPr>
      </w:pPr>
      <w:r w:rsidRPr="00872DEC">
        <w:rPr>
          <w:rFonts w:eastAsia="Times New Roman" w:cs="Arial"/>
          <w:color w:val="000000"/>
          <w:lang w:eastAsia="bg-BG"/>
        </w:rPr>
        <w:t>§На база на анализи на дългосрочни клинични изпитвания с плацебо и активна контрола, селективните СОХ-2 инхибитори са свързвани с повишен риск от сериозни тромботични артериални събития, включително миокарден инфаркт и инсулт. Повишаването на абсолютния риск за такива събития е малко вероятно да надвиши 1% за година на базата на съществуващи данни (нечести).</w:t>
      </w:r>
    </w:p>
    <w:p w14:paraId="13CA7C32" w14:textId="77777777" w:rsidR="00872DEC" w:rsidRPr="00872DEC" w:rsidRDefault="00872DEC" w:rsidP="00872DEC">
      <w:pPr>
        <w:spacing w:line="240" w:lineRule="auto"/>
        <w:rPr>
          <w:rFonts w:eastAsia="Times New Roman" w:cs="Arial"/>
          <w:color w:val="000000"/>
          <w:lang w:eastAsia="bg-BG"/>
        </w:rPr>
      </w:pPr>
    </w:p>
    <w:p w14:paraId="5DD6310A" w14:textId="7444F07A" w:rsidR="00872DEC" w:rsidRPr="00872DEC" w:rsidRDefault="00872DEC" w:rsidP="00872DEC">
      <w:pPr>
        <w:spacing w:line="240" w:lineRule="auto"/>
        <w:rPr>
          <w:rFonts w:eastAsia="Times New Roman" w:cs="Arial"/>
        </w:rPr>
      </w:pPr>
      <w:r w:rsidRPr="00872DEC">
        <w:rPr>
          <w:rFonts w:eastAsia="Times New Roman" w:cs="Arial"/>
          <w:color w:val="000000"/>
          <w:lang w:eastAsia="bg-BG"/>
        </w:rPr>
        <w:t>Следните сериозни нежелани лекарствени реакции са били наблюдавани при употребата на НСПВС и поради това не могат да се изключат и за еторикоксиб: нефротоксичност включително интерстициален нефрит и нефротичен синдром.</w:t>
      </w:r>
    </w:p>
    <w:p w14:paraId="003C60BB" w14:textId="77777777" w:rsidR="00872DEC" w:rsidRPr="00872DEC" w:rsidRDefault="00872DEC" w:rsidP="00872DEC">
      <w:pPr>
        <w:spacing w:line="240" w:lineRule="auto"/>
        <w:rPr>
          <w:rFonts w:eastAsia="Times New Roman" w:cs="Arial"/>
          <w:b/>
          <w:bCs/>
          <w:color w:val="000000"/>
          <w:lang w:eastAsia="bg-BG"/>
        </w:rPr>
      </w:pPr>
      <w:bookmarkStart w:id="1" w:name="bookmark0"/>
    </w:p>
    <w:p w14:paraId="7D244111" w14:textId="5A0B5803" w:rsidR="00872DEC" w:rsidRPr="00872DEC" w:rsidRDefault="00872DEC" w:rsidP="00872DEC">
      <w:pPr>
        <w:spacing w:line="240" w:lineRule="auto"/>
        <w:rPr>
          <w:rFonts w:eastAsia="Times New Roman" w:cs="Arial"/>
        </w:rPr>
      </w:pPr>
      <w:r w:rsidRPr="00872DEC">
        <w:rPr>
          <w:rFonts w:eastAsia="Times New Roman" w:cs="Arial"/>
          <w:b/>
          <w:bCs/>
          <w:color w:val="000000"/>
          <w:lang w:eastAsia="bg-BG"/>
        </w:rPr>
        <w:t>Съобщаване на подозирани нежелани реакции</w:t>
      </w:r>
      <w:bookmarkEnd w:id="1"/>
    </w:p>
    <w:p w14:paraId="72E133B7" w14:textId="77777777" w:rsidR="00872DEC" w:rsidRPr="00872DEC" w:rsidRDefault="00872DEC" w:rsidP="00872DEC">
      <w:pPr>
        <w:spacing w:line="240" w:lineRule="auto"/>
        <w:rPr>
          <w:rFonts w:eastAsia="Times New Roman" w:cs="Arial"/>
        </w:rPr>
      </w:pPr>
      <w:r w:rsidRPr="00872DE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позволявала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872DEC">
        <w:rPr>
          <w:rFonts w:eastAsia="Times New Roman" w:cs="Arial"/>
        </w:rPr>
        <w:fldChar w:fldCharType="begin"/>
      </w:r>
      <w:r w:rsidRPr="00872DEC">
        <w:rPr>
          <w:rFonts w:eastAsia="Times New Roman" w:cs="Arial"/>
        </w:rPr>
        <w:instrText xml:space="preserve"> HYPERLINK "http://www.bda.bg" </w:instrText>
      </w:r>
      <w:r w:rsidRPr="00872DEC">
        <w:rPr>
          <w:rFonts w:eastAsia="Times New Roman" w:cs="Arial"/>
        </w:rPr>
      </w:r>
      <w:r w:rsidRPr="00872DEC">
        <w:rPr>
          <w:rFonts w:eastAsia="Times New Roman" w:cs="Arial"/>
        </w:rPr>
        <w:fldChar w:fldCharType="separate"/>
      </w:r>
      <w:r w:rsidRPr="00872DEC">
        <w:rPr>
          <w:rFonts w:eastAsia="Times New Roman" w:cs="Arial"/>
          <w:color w:val="000000"/>
          <w:lang w:val="en-US"/>
        </w:rPr>
        <w:t>www.bda.bg</w:t>
      </w:r>
      <w:r w:rsidRPr="00872DEC">
        <w:rPr>
          <w:rFonts w:eastAsia="Times New Roman" w:cs="Arial"/>
        </w:rPr>
        <w:fldChar w:fldCharType="end"/>
      </w:r>
      <w:r w:rsidRPr="00872DEC">
        <w:rPr>
          <w:rFonts w:eastAsia="Times New Roman" w:cs="Arial"/>
          <w:color w:val="000000"/>
          <w:lang w:val="en-US"/>
        </w:rPr>
        <w:t>.</w:t>
      </w:r>
    </w:p>
    <w:p w14:paraId="6946F273" w14:textId="77777777" w:rsidR="000314A0" w:rsidRPr="000314A0" w:rsidRDefault="000314A0" w:rsidP="000314A0"/>
    <w:p w14:paraId="07687653" w14:textId="408CEEA3" w:rsidR="00DF4C8E" w:rsidRDefault="002C50EE" w:rsidP="00F44498">
      <w:pPr>
        <w:pStyle w:val="Heading2"/>
      </w:pPr>
      <w:r>
        <w:t>4.9. Предозиране</w:t>
      </w:r>
    </w:p>
    <w:p w14:paraId="79ABC3B8" w14:textId="4D80683F" w:rsidR="00872DEC" w:rsidRDefault="00872DEC" w:rsidP="00872DEC"/>
    <w:p w14:paraId="42E6501F" w14:textId="77777777" w:rsidR="00872DEC" w:rsidRPr="00872DEC" w:rsidRDefault="00872DEC" w:rsidP="00872DEC">
      <w:pPr>
        <w:rPr>
          <w:sz w:val="24"/>
          <w:szCs w:val="24"/>
        </w:rPr>
      </w:pPr>
      <w:r w:rsidRPr="00872DEC">
        <w:rPr>
          <w:lang w:eastAsia="bg-BG"/>
        </w:rPr>
        <w:t xml:space="preserve">По време на клинични проучвания еднократното прилагане на доза до 500 </w:t>
      </w:r>
      <w:r w:rsidRPr="00872DEC">
        <w:rPr>
          <w:lang w:val="en-US"/>
        </w:rPr>
        <w:t>mg</w:t>
      </w:r>
      <w:r w:rsidRPr="00872DEC">
        <w:rPr>
          <w:lang w:val="ru-RU"/>
        </w:rPr>
        <w:t xml:space="preserve"> </w:t>
      </w:r>
      <w:r w:rsidRPr="00872DEC">
        <w:rPr>
          <w:lang w:eastAsia="bg-BG"/>
        </w:rPr>
        <w:t xml:space="preserve">еторикоксиб и няколко дози до 150 </w:t>
      </w:r>
      <w:r w:rsidRPr="00872DEC">
        <w:rPr>
          <w:lang w:val="en-US"/>
        </w:rPr>
        <w:t>mg</w:t>
      </w:r>
      <w:r w:rsidRPr="00872DEC">
        <w:rPr>
          <w:lang w:eastAsia="bg-BG"/>
        </w:rPr>
        <w:t>/ден в продължение на 21 дни не са причинили токсичен ефект. Има съобщения за остро предозиране на еторикоксиб, макар че в повечето случаи не се съобщава за нежелани реакции. Най-често наблюдаваните нежелани реакции съответстват на профила на безопасност на еторикоксиб (напр. стомашно-чревни прояви, кардиоренални прояви).</w:t>
      </w:r>
    </w:p>
    <w:p w14:paraId="4050F6AF" w14:textId="77777777" w:rsidR="00872DEC" w:rsidRDefault="00872DEC" w:rsidP="00872DEC">
      <w:pPr>
        <w:rPr>
          <w:lang w:eastAsia="bg-BG"/>
        </w:rPr>
      </w:pPr>
    </w:p>
    <w:p w14:paraId="189C8909" w14:textId="20859925" w:rsidR="00872DEC" w:rsidRPr="00872DEC" w:rsidRDefault="00872DEC" w:rsidP="00872DEC">
      <w:pPr>
        <w:rPr>
          <w:sz w:val="24"/>
          <w:szCs w:val="24"/>
        </w:rPr>
      </w:pPr>
      <w:r w:rsidRPr="00872DEC">
        <w:rPr>
          <w:lang w:eastAsia="bg-BG"/>
        </w:rPr>
        <w:lastRenderedPageBreak/>
        <w:t>В случай на предозиране е логично да се приложат обичайните поддържащи мерки, напр. отстраняване на нерезорбираната част от СЧ тракт, клинично проследяване, симптоматична терапия и друга, ако е необходима.</w:t>
      </w:r>
    </w:p>
    <w:p w14:paraId="14B45CA8" w14:textId="77777777" w:rsidR="00872DEC" w:rsidRDefault="00872DEC" w:rsidP="00872DEC">
      <w:pPr>
        <w:rPr>
          <w:lang w:eastAsia="bg-BG"/>
        </w:rPr>
      </w:pPr>
    </w:p>
    <w:p w14:paraId="522C2336" w14:textId="66535559" w:rsidR="00872DEC" w:rsidRPr="00872DEC" w:rsidRDefault="00872DEC" w:rsidP="00872DEC">
      <w:pPr>
        <w:rPr>
          <w:lang w:val="ru-RU"/>
        </w:rPr>
      </w:pPr>
      <w:r w:rsidRPr="00872DEC">
        <w:rPr>
          <w:lang w:eastAsia="bg-BG"/>
        </w:rPr>
        <w:t>Еторикоксиб не се отстранява чрез хемодиализа; не се знае дали еторикоксиб може да бъде отстранен чрез перитонеална диализа</w:t>
      </w:r>
      <w:r w:rsidRPr="00872DEC">
        <w:rPr>
          <w:lang w:val="ru-RU" w:eastAsia="bg-BG"/>
        </w:rPr>
        <w:t>.</w:t>
      </w:r>
    </w:p>
    <w:p w14:paraId="02081B24" w14:textId="1F46E296" w:rsidR="00395555" w:rsidRPr="00395555" w:rsidRDefault="002C50EE" w:rsidP="008A6AF2">
      <w:pPr>
        <w:pStyle w:val="Heading1"/>
      </w:pPr>
      <w:r>
        <w:t>5. ФАРМАКОЛОГИЧНИ СВОЙСТВА</w:t>
      </w:r>
    </w:p>
    <w:p w14:paraId="4D47A490" w14:textId="25FE19A4" w:rsidR="00DF4C8E" w:rsidRDefault="002C50EE" w:rsidP="00F44498">
      <w:pPr>
        <w:pStyle w:val="Heading2"/>
      </w:pPr>
      <w:r>
        <w:t>5.1. Фармакодинамични свойства</w:t>
      </w:r>
    </w:p>
    <w:p w14:paraId="202A680B" w14:textId="15E64212" w:rsidR="00872DEC" w:rsidRDefault="00872DEC" w:rsidP="00872DEC"/>
    <w:p w14:paraId="1BD90F49"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Фармакотерапевтична група: противовъзпалителни и противоревматични продукти, нестероидни, коксиби, АТС код: </w:t>
      </w:r>
      <w:r w:rsidRPr="00872DEC">
        <w:rPr>
          <w:rFonts w:eastAsia="Times New Roman" w:cs="Arial"/>
          <w:color w:val="000000"/>
          <w:lang w:val="en-US"/>
        </w:rPr>
        <w:t>M</w:t>
      </w:r>
      <w:r w:rsidRPr="00872DEC">
        <w:rPr>
          <w:rFonts w:eastAsia="Times New Roman" w:cs="Arial"/>
          <w:color w:val="000000"/>
          <w:lang w:val="ru-RU"/>
        </w:rPr>
        <w:t xml:space="preserve">01 </w:t>
      </w:r>
      <w:r w:rsidRPr="00872DEC">
        <w:rPr>
          <w:rFonts w:eastAsia="Times New Roman" w:cs="Arial"/>
          <w:color w:val="000000"/>
          <w:lang w:eastAsia="bg-BG"/>
        </w:rPr>
        <w:t>АН05</w:t>
      </w:r>
    </w:p>
    <w:p w14:paraId="2369DF9A" w14:textId="77777777" w:rsidR="00872DEC" w:rsidRPr="00872DEC" w:rsidRDefault="00872DEC" w:rsidP="00872DEC">
      <w:pPr>
        <w:spacing w:line="240" w:lineRule="auto"/>
        <w:rPr>
          <w:rFonts w:eastAsia="Times New Roman" w:cs="Arial"/>
          <w:color w:val="000000"/>
          <w:u w:val="single"/>
          <w:lang w:eastAsia="bg-BG"/>
        </w:rPr>
      </w:pPr>
    </w:p>
    <w:p w14:paraId="712C1BDD" w14:textId="7AEAF946"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Механизъм на действие</w:t>
      </w:r>
    </w:p>
    <w:p w14:paraId="4435DDE7"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Еторикоксиб е перорален, селективен циклооксигеназа-2 (СОХ-2) инхибитор в рамките на клинично използвания дозов интервал.</w:t>
      </w:r>
    </w:p>
    <w:p w14:paraId="6F69336E" w14:textId="77777777" w:rsidR="00872DEC" w:rsidRPr="00872DEC" w:rsidRDefault="00872DEC" w:rsidP="00872DEC">
      <w:pPr>
        <w:spacing w:line="240" w:lineRule="auto"/>
        <w:rPr>
          <w:rFonts w:eastAsia="Times New Roman" w:cs="Arial"/>
          <w:color w:val="000000"/>
          <w:lang w:eastAsia="bg-BG"/>
        </w:rPr>
      </w:pPr>
    </w:p>
    <w:p w14:paraId="618EC10E" w14:textId="08E25F28"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По време на клиничните фармакологични проучвания еторикоксиб показва дозозависим ефект по отношение на инхибирането на СОХ-2, без да се инхибира СОХ-1 при дози по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дневно. Еторикоксиб не е инхибирал синтезата на простагландини в стомашната лигавица и не е повлиял функцията на тромбоцитите.</w:t>
      </w:r>
    </w:p>
    <w:p w14:paraId="232977B7" w14:textId="77777777" w:rsidR="00872DEC" w:rsidRPr="00872DEC" w:rsidRDefault="00872DEC" w:rsidP="00872DEC">
      <w:pPr>
        <w:spacing w:line="240" w:lineRule="auto"/>
        <w:rPr>
          <w:rFonts w:eastAsia="Times New Roman" w:cs="Arial"/>
          <w:color w:val="000000"/>
          <w:lang w:eastAsia="bg-BG"/>
        </w:rPr>
      </w:pPr>
    </w:p>
    <w:p w14:paraId="3C9123A2" w14:textId="2FB3E373"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Циклооксигеназата е отговорна за произвеждането на простагландини. Познати са две изоензимни форми СОХ-1 и СОХ-2. СОХ-2 е изоформата на ензима, която се индуцира от провъзпалителни стимули и се счита, че е основно отговорна за синтеза на простаноидни медиатори на болката, възпалението и температурата. СОХ-2 също така участва в овулацията, имплантирането и затварянето на Боталовия проток, регулацията на бъбречната функция и функциите на централната нервна система (появата на температура, усещането за болка и когнитивна функция). Може също така да играе роля в процеса на заздравяване на язва. СОХ-2 е установен в тъканите около стомашни язви у хора, но връзката му с излекуването на язвата не е установено.</w:t>
      </w:r>
    </w:p>
    <w:p w14:paraId="0648F5D2" w14:textId="77777777" w:rsidR="00872DEC" w:rsidRPr="00872DEC" w:rsidRDefault="00872DEC" w:rsidP="00872DEC">
      <w:pPr>
        <w:spacing w:line="240" w:lineRule="auto"/>
        <w:rPr>
          <w:rFonts w:eastAsia="Times New Roman" w:cs="Arial"/>
          <w:color w:val="000000"/>
          <w:u w:val="single"/>
          <w:lang w:eastAsia="bg-BG"/>
        </w:rPr>
      </w:pPr>
    </w:p>
    <w:p w14:paraId="2710C6C2" w14:textId="31E7021E"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Клинична ефикасност и безопасност</w:t>
      </w:r>
    </w:p>
    <w:p w14:paraId="1DE1227A" w14:textId="77777777" w:rsidR="00872DEC" w:rsidRPr="00872DEC" w:rsidRDefault="00872DEC" w:rsidP="00872DEC">
      <w:pPr>
        <w:spacing w:line="240" w:lineRule="auto"/>
        <w:rPr>
          <w:rFonts w:eastAsia="Times New Roman" w:cs="Arial"/>
          <w:color w:val="000000"/>
          <w:u w:val="single"/>
          <w:lang w:eastAsia="bg-BG"/>
        </w:rPr>
      </w:pPr>
    </w:p>
    <w:p w14:paraId="49A5D033" w14:textId="380B2041"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Ефикасност</w:t>
      </w:r>
    </w:p>
    <w:p w14:paraId="1821E992" w14:textId="77777777" w:rsidR="00872DEC" w:rsidRPr="00872DEC" w:rsidRDefault="00872DEC" w:rsidP="00872DEC">
      <w:pPr>
        <w:spacing w:line="240" w:lineRule="auto"/>
        <w:rPr>
          <w:rFonts w:eastAsia="Times New Roman" w:cs="Arial"/>
          <w:color w:val="000000"/>
          <w:lang w:eastAsia="bg-BG"/>
        </w:rPr>
      </w:pPr>
    </w:p>
    <w:p w14:paraId="7931188E" w14:textId="60F45306"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При пациенти с остеоартрит (ОА), еторикоксиб в доза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значително облекчава болката и повишава оценката на пациента за състоянието на заболяването. Тези благоприятни ефекти се наблюдават от втория ден на лечението и се запазват до 52 седмици. Проучванията върху еторикоксиб 30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показват ефикасност, превъзхождаща плацебо за 12-седмичен период на лечение (при сходна система за оценка като проучванията по-горе). При проучване с различни дози,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дава значително по-изразено подобрение от 30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по отношение на всички 3 първични крайни точки за период на лечение от 6 седмици. Дозата от 30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не е била проучвана при остеоартрит на ръцете.</w:t>
      </w:r>
    </w:p>
    <w:p w14:paraId="49BE00C4" w14:textId="77777777" w:rsidR="00872DEC" w:rsidRPr="00872DEC" w:rsidRDefault="00872DEC" w:rsidP="00872DEC">
      <w:pPr>
        <w:spacing w:line="240" w:lineRule="auto"/>
        <w:rPr>
          <w:rFonts w:eastAsia="Times New Roman" w:cs="Arial"/>
          <w:color w:val="000000"/>
          <w:lang w:eastAsia="bg-BG"/>
        </w:rPr>
      </w:pPr>
    </w:p>
    <w:p w14:paraId="6B87EC3B" w14:textId="02672333"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При пациентите с ревматоиден артрит (РА), и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и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осигурява значително подобрение по отношение на болка, възпаление и подвижност. При проучвания за оценка на дози 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и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тези благоприятни </w:t>
      </w:r>
      <w:r w:rsidRPr="00872DEC">
        <w:rPr>
          <w:rFonts w:eastAsia="Times New Roman" w:cs="Arial"/>
          <w:color w:val="000000"/>
          <w:lang w:eastAsia="bg-BG"/>
        </w:rPr>
        <w:lastRenderedPageBreak/>
        <w:t xml:space="preserve">ефекти се запазват за целия 12-седмичен период на лечение. При проучване, оценяващо дози 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 дози от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и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са били по-ефикасни от плацебо. Дозата от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превъзхожда дозата 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при Обща оценка за болка на пациентите (0-100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визуална аналогова скала), със средно подобрение от -2.71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(95% </w:t>
      </w:r>
      <w:r w:rsidRPr="00872DEC">
        <w:rPr>
          <w:rFonts w:eastAsia="Times New Roman" w:cs="Arial"/>
          <w:color w:val="000000"/>
          <w:lang w:val="en-US"/>
        </w:rPr>
        <w:t>CI</w:t>
      </w:r>
      <w:r w:rsidRPr="00872DEC">
        <w:rPr>
          <w:rFonts w:eastAsia="Times New Roman" w:cs="Arial"/>
          <w:color w:val="000000"/>
          <w:lang w:val="ru-RU"/>
        </w:rPr>
        <w:t>:</w:t>
      </w:r>
      <w:r w:rsidRPr="00872DEC">
        <w:rPr>
          <w:rFonts w:eastAsia="Times New Roman" w:cs="Arial"/>
          <w:color w:val="000000"/>
          <w:lang w:eastAsia="bg-BG"/>
        </w:rPr>
        <w:t xml:space="preserve">-4.98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-0.45 </w:t>
      </w:r>
      <w:r w:rsidRPr="00872DEC">
        <w:rPr>
          <w:rFonts w:eastAsia="Times New Roman" w:cs="Arial"/>
          <w:color w:val="000000"/>
          <w:lang w:val="en-US"/>
        </w:rPr>
        <w:t>mm</w:t>
      </w:r>
      <w:r w:rsidRPr="00872DEC">
        <w:rPr>
          <w:rFonts w:eastAsia="Times New Roman" w:cs="Arial"/>
          <w:color w:val="000000"/>
          <w:lang w:val="ru-RU"/>
        </w:rPr>
        <w:t>).</w:t>
      </w:r>
    </w:p>
    <w:p w14:paraId="3471877A" w14:textId="77777777" w:rsidR="00872DEC" w:rsidRPr="00872DEC" w:rsidRDefault="00872DEC" w:rsidP="00872DEC">
      <w:pPr>
        <w:spacing w:line="240" w:lineRule="auto"/>
        <w:rPr>
          <w:rFonts w:eastAsia="Times New Roman" w:cs="Arial"/>
          <w:color w:val="000000"/>
          <w:lang w:eastAsia="bg-BG"/>
        </w:rPr>
      </w:pPr>
    </w:p>
    <w:p w14:paraId="587E7BF5" w14:textId="60944D9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При пациентите с пристъп на остър подагрозен артрит, еторикоксиб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за период на лечение от осем дни, потиска умерената до силна болка и възпалението така, както индометацин 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три пъти дневно. Потискане на болката има на четвъртия час от започване на лечението.</w:t>
      </w:r>
    </w:p>
    <w:p w14:paraId="6B16B114" w14:textId="77777777" w:rsidR="00872DEC" w:rsidRPr="00872DEC" w:rsidRDefault="00872DEC" w:rsidP="00872DEC">
      <w:pPr>
        <w:spacing w:line="240" w:lineRule="auto"/>
        <w:rPr>
          <w:rFonts w:eastAsia="Times New Roman" w:cs="Arial"/>
          <w:color w:val="000000"/>
          <w:lang w:eastAsia="bg-BG"/>
        </w:rPr>
      </w:pPr>
    </w:p>
    <w:p w14:paraId="664E6954" w14:textId="77777777" w:rsidR="00872DEC" w:rsidRPr="00872DEC" w:rsidRDefault="00872DEC" w:rsidP="00872DEC">
      <w:pPr>
        <w:rPr>
          <w:rFonts w:eastAsia="Times New Roman" w:cs="Arial"/>
          <w:sz w:val="24"/>
          <w:szCs w:val="24"/>
        </w:rPr>
      </w:pPr>
      <w:r w:rsidRPr="00872DEC">
        <w:rPr>
          <w:rFonts w:eastAsia="Times New Roman" w:cs="Arial"/>
          <w:color w:val="000000"/>
          <w:lang w:eastAsia="bg-BG"/>
        </w:rPr>
        <w:t xml:space="preserve">При пациенти с анкилозиращ спондилит,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един път дневно дава значително подобрение по отношение на болка в гръбнака, възпаление, скованост и функционалност. Клиничният ефект на еторикоксиб се наблюдава още на втория ден от започване на лечението и се запазва през целия период на лечение от 52 седмици. При второ проучване, оценяващо дози</w:t>
      </w:r>
      <w:r w:rsidRPr="00872DEC">
        <w:rPr>
          <w:rFonts w:eastAsia="Times New Roman" w:cs="Arial"/>
          <w:color w:val="000000"/>
          <w:lang w:val="ru-RU" w:eastAsia="bg-BG"/>
        </w:rPr>
        <w:t xml:space="preserve"> </w:t>
      </w:r>
      <w:r w:rsidRPr="00872DEC">
        <w:rPr>
          <w:rFonts w:eastAsia="Times New Roman" w:cs="Arial"/>
          <w:color w:val="000000"/>
          <w:lang w:eastAsia="bg-BG"/>
        </w:rPr>
        <w:t xml:space="preserve">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 дози от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и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показват подобна ефективност в сравнение с напроксен 1 000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При отговорилите неадекватно на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за 6 седмици, покачване на дозата до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подобрява резултата за интензивност на гръбначната болка (0-100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визуална аналогова скала), в сравнение с </w:t>
      </w:r>
      <w:r w:rsidRPr="00872DEC">
        <w:rPr>
          <w:rFonts w:eastAsia="Times New Roman" w:cs="Arial"/>
          <w:color w:val="000000"/>
          <w:lang w:val="ru-RU"/>
        </w:rPr>
        <w:t>60</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със средно подобрение от -2.70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(95% </w:t>
      </w:r>
      <w:r w:rsidRPr="00872DEC">
        <w:rPr>
          <w:rFonts w:eastAsia="Times New Roman" w:cs="Arial"/>
          <w:color w:val="000000"/>
          <w:lang w:val="en-US"/>
        </w:rPr>
        <w:t>CI</w:t>
      </w:r>
      <w:r w:rsidRPr="00872DEC">
        <w:rPr>
          <w:rFonts w:eastAsia="Times New Roman" w:cs="Arial"/>
          <w:color w:val="000000"/>
          <w:lang w:val="ru-RU"/>
        </w:rPr>
        <w:t xml:space="preserve">-4.88 </w:t>
      </w:r>
      <w:r w:rsidRPr="00872DEC">
        <w:rPr>
          <w:rFonts w:eastAsia="Times New Roman" w:cs="Arial"/>
          <w:color w:val="000000"/>
          <w:lang w:val="en-US"/>
        </w:rPr>
        <w:t>mm</w:t>
      </w:r>
      <w:r w:rsidRPr="00872DEC">
        <w:rPr>
          <w:rFonts w:eastAsia="Times New Roman" w:cs="Arial"/>
          <w:color w:val="000000"/>
          <w:lang w:val="ru-RU"/>
        </w:rPr>
        <w:t xml:space="preserve">, </w:t>
      </w:r>
      <w:r w:rsidRPr="00872DEC">
        <w:rPr>
          <w:rFonts w:eastAsia="Times New Roman" w:cs="Arial"/>
          <w:color w:val="000000"/>
          <w:lang w:eastAsia="bg-BG"/>
        </w:rPr>
        <w:t xml:space="preserve">-0.52 </w:t>
      </w:r>
      <w:r w:rsidRPr="00872DEC">
        <w:rPr>
          <w:rFonts w:eastAsia="Times New Roman" w:cs="Arial"/>
          <w:color w:val="000000"/>
          <w:lang w:val="en-US"/>
        </w:rPr>
        <w:t>mm</w:t>
      </w:r>
      <w:r w:rsidRPr="00872DEC">
        <w:rPr>
          <w:rFonts w:eastAsia="Times New Roman" w:cs="Arial"/>
          <w:color w:val="000000"/>
          <w:lang w:val="ru-RU"/>
        </w:rPr>
        <w:t>).</w:t>
      </w:r>
    </w:p>
    <w:p w14:paraId="39FF5DC3" w14:textId="77777777" w:rsidR="00872DEC" w:rsidRPr="00872DEC" w:rsidRDefault="00872DEC" w:rsidP="00872DEC">
      <w:pPr>
        <w:spacing w:line="240" w:lineRule="auto"/>
        <w:rPr>
          <w:rFonts w:eastAsia="Times New Roman" w:cs="Arial"/>
          <w:color w:val="000000"/>
          <w:lang w:eastAsia="bg-BG"/>
        </w:rPr>
      </w:pPr>
    </w:p>
    <w:p w14:paraId="692B99EC" w14:textId="772DFAE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При клинични проучвания оценяващи постоперативна дентална болка,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 прилаган веднъж дневно за период до три дни. В подгрупата на пациенти с умерена болка в началото,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показва сходен аналгетичен ефект с този на ибупрофен 600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(16,11 срещу 16,39; Р=*0,722), и по-силен от този на парацетамол/кодеин 600 </w:t>
      </w:r>
      <w:r w:rsidRPr="00872DEC">
        <w:rPr>
          <w:rFonts w:eastAsia="Times New Roman" w:cs="Arial"/>
          <w:color w:val="000000"/>
          <w:lang w:val="en-US"/>
        </w:rPr>
        <w:t>mg</w:t>
      </w:r>
      <w:r w:rsidRPr="00872DEC">
        <w:rPr>
          <w:rFonts w:eastAsia="Times New Roman" w:cs="Arial"/>
          <w:color w:val="000000"/>
          <w:lang w:val="ru-RU"/>
        </w:rPr>
        <w:t xml:space="preserve">/60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(11,00; Р&lt;0,001) и плацебо (6,84; Р&lt;0,001), измерено като общо облекчение на болката за първите 6 часа </w:t>
      </w:r>
      <w:r w:rsidRPr="00872DEC">
        <w:rPr>
          <w:rFonts w:eastAsia="Times New Roman" w:cs="Arial"/>
          <w:color w:val="000000"/>
          <w:lang w:val="ru-RU"/>
        </w:rPr>
        <w:t>(</w:t>
      </w:r>
      <w:r w:rsidRPr="00872DEC">
        <w:rPr>
          <w:rFonts w:eastAsia="Times New Roman" w:cs="Arial"/>
          <w:color w:val="000000"/>
          <w:lang w:val="en-US"/>
        </w:rPr>
        <w:t>TOPAR</w:t>
      </w:r>
      <w:r w:rsidRPr="00872DEC">
        <w:rPr>
          <w:rFonts w:eastAsia="Times New Roman" w:cs="Arial"/>
          <w:color w:val="000000"/>
          <w:lang w:val="ru-RU"/>
        </w:rPr>
        <w:t xml:space="preserve">6). </w:t>
      </w:r>
      <w:r w:rsidRPr="00872DEC">
        <w:rPr>
          <w:rFonts w:eastAsia="Times New Roman" w:cs="Arial"/>
          <w:color w:val="000000"/>
          <w:lang w:eastAsia="bg-BG"/>
        </w:rPr>
        <w:t xml:space="preserve">Процентът на пациентите, съобщили за употребата на допълнително лекарство по време на първите 24 часа от дозирането е 40,8 % за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25,5 % за ибупрофен 600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val="en-US"/>
        </w:rPr>
        <w:t>Q</w:t>
      </w:r>
      <w:r w:rsidRPr="00872DEC">
        <w:rPr>
          <w:rFonts w:eastAsia="Times New Roman" w:cs="Arial"/>
          <w:color w:val="000000"/>
          <w:lang w:val="ru-RU"/>
        </w:rPr>
        <w:t>6</w:t>
      </w:r>
      <w:r w:rsidRPr="00872DEC">
        <w:rPr>
          <w:rFonts w:eastAsia="Times New Roman" w:cs="Arial"/>
          <w:color w:val="000000"/>
          <w:lang w:val="en-US"/>
        </w:rPr>
        <w:t>h</w:t>
      </w:r>
      <w:r w:rsidRPr="00872DEC">
        <w:rPr>
          <w:rFonts w:eastAsia="Times New Roman" w:cs="Arial"/>
          <w:color w:val="000000"/>
          <w:lang w:val="ru-RU"/>
        </w:rPr>
        <w:t xml:space="preserve"> </w:t>
      </w:r>
      <w:r w:rsidRPr="00872DEC">
        <w:rPr>
          <w:rFonts w:eastAsia="Times New Roman" w:cs="Arial"/>
          <w:color w:val="000000"/>
          <w:lang w:eastAsia="bg-BG"/>
        </w:rPr>
        <w:t xml:space="preserve">и 46,7 % за парацетамол/кодеин 600 </w:t>
      </w:r>
      <w:r w:rsidRPr="00872DEC">
        <w:rPr>
          <w:rFonts w:eastAsia="Times New Roman" w:cs="Arial"/>
          <w:color w:val="000000"/>
          <w:lang w:val="en-US"/>
        </w:rPr>
        <w:t>mg</w:t>
      </w:r>
      <w:r w:rsidRPr="00872DEC">
        <w:rPr>
          <w:rFonts w:eastAsia="Times New Roman" w:cs="Arial"/>
          <w:color w:val="000000"/>
          <w:lang w:val="ru-RU"/>
        </w:rPr>
        <w:t xml:space="preserve">/60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val="en-US"/>
        </w:rPr>
        <w:t>Q</w:t>
      </w:r>
      <w:r w:rsidRPr="00872DEC">
        <w:rPr>
          <w:rFonts w:eastAsia="Times New Roman" w:cs="Arial"/>
          <w:color w:val="000000"/>
          <w:lang w:val="ru-RU"/>
        </w:rPr>
        <w:t>6</w:t>
      </w:r>
      <w:r w:rsidRPr="00872DEC">
        <w:rPr>
          <w:rFonts w:eastAsia="Times New Roman" w:cs="Arial"/>
          <w:color w:val="000000"/>
          <w:lang w:val="en-US"/>
        </w:rPr>
        <w:t>h</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със 76,2 % за плацебо. В това проучване медианата на началото на действието (осезаемо облекчаване на болката) на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еторикоксиб е била 28 минути след приложението.</w:t>
      </w:r>
    </w:p>
    <w:p w14:paraId="2DEDE0BE" w14:textId="77777777" w:rsidR="00872DEC" w:rsidRPr="00872DEC" w:rsidRDefault="00872DEC" w:rsidP="00872DEC">
      <w:pPr>
        <w:spacing w:line="240" w:lineRule="auto"/>
        <w:rPr>
          <w:rFonts w:eastAsia="Times New Roman" w:cs="Arial"/>
          <w:color w:val="000000"/>
          <w:u w:val="single"/>
          <w:lang w:eastAsia="bg-BG"/>
        </w:rPr>
      </w:pPr>
    </w:p>
    <w:p w14:paraId="48BCEDD7" w14:textId="14BCE6C5"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Безопасност</w:t>
      </w:r>
    </w:p>
    <w:p w14:paraId="6A05D401" w14:textId="77777777" w:rsidR="00872DEC" w:rsidRPr="00872DEC" w:rsidRDefault="00872DEC" w:rsidP="00872DEC">
      <w:pPr>
        <w:spacing w:line="240" w:lineRule="auto"/>
        <w:rPr>
          <w:rFonts w:eastAsia="Times New Roman" w:cs="Arial"/>
          <w:color w:val="000000"/>
          <w:u w:val="single"/>
          <w:lang w:eastAsia="bg-BG"/>
        </w:rPr>
      </w:pPr>
    </w:p>
    <w:p w14:paraId="12FD3BA8" w14:textId="19D3B650"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 xml:space="preserve">Програма </w:t>
      </w:r>
      <w:r w:rsidRPr="00872DEC">
        <w:rPr>
          <w:rFonts w:eastAsia="Times New Roman" w:cs="Arial"/>
          <w:color w:val="000000"/>
          <w:u w:val="single"/>
          <w:lang w:val="en-US"/>
        </w:rPr>
        <w:t>Multinational</w:t>
      </w:r>
      <w:r w:rsidRPr="00872DEC">
        <w:rPr>
          <w:rFonts w:eastAsia="Times New Roman" w:cs="Arial"/>
          <w:color w:val="000000"/>
          <w:u w:val="single"/>
        </w:rPr>
        <w:t xml:space="preserve"> </w:t>
      </w:r>
      <w:proofErr w:type="spellStart"/>
      <w:r w:rsidRPr="00872DEC">
        <w:rPr>
          <w:rFonts w:eastAsia="Times New Roman" w:cs="Arial"/>
          <w:color w:val="000000"/>
          <w:u w:val="single"/>
          <w:lang w:val="en-US"/>
        </w:rPr>
        <w:t>Etoricoxib</w:t>
      </w:r>
      <w:proofErr w:type="spellEnd"/>
      <w:r w:rsidRPr="00872DEC">
        <w:rPr>
          <w:rFonts w:eastAsia="Times New Roman" w:cs="Arial"/>
          <w:color w:val="000000"/>
          <w:u w:val="single"/>
        </w:rPr>
        <w:t xml:space="preserve"> </w:t>
      </w:r>
      <w:r w:rsidRPr="00872DEC">
        <w:rPr>
          <w:rFonts w:eastAsia="Times New Roman" w:cs="Arial"/>
          <w:color w:val="000000"/>
          <w:u w:val="single"/>
          <w:lang w:val="en-US"/>
        </w:rPr>
        <w:t>and</w:t>
      </w:r>
      <w:r w:rsidRPr="00872DEC">
        <w:rPr>
          <w:rFonts w:eastAsia="Times New Roman" w:cs="Arial"/>
          <w:color w:val="000000"/>
          <w:u w:val="single"/>
        </w:rPr>
        <w:t xml:space="preserve"> </w:t>
      </w:r>
      <w:r w:rsidRPr="00872DEC">
        <w:rPr>
          <w:rFonts w:eastAsia="Times New Roman" w:cs="Arial"/>
          <w:color w:val="000000"/>
          <w:u w:val="single"/>
          <w:lang w:val="en-US"/>
        </w:rPr>
        <w:t>Diclofenac</w:t>
      </w:r>
      <w:r w:rsidRPr="00872DEC">
        <w:rPr>
          <w:rFonts w:eastAsia="Times New Roman" w:cs="Arial"/>
          <w:color w:val="000000"/>
          <w:u w:val="single"/>
        </w:rPr>
        <w:t xml:space="preserve"> </w:t>
      </w:r>
      <w:r w:rsidRPr="00872DEC">
        <w:rPr>
          <w:rFonts w:eastAsia="Times New Roman" w:cs="Arial"/>
          <w:color w:val="000000"/>
          <w:u w:val="single"/>
          <w:lang w:val="en-US"/>
        </w:rPr>
        <w:t>Arthritis</w:t>
      </w:r>
      <w:r w:rsidRPr="00872DEC">
        <w:rPr>
          <w:rFonts w:eastAsia="Times New Roman" w:cs="Arial"/>
          <w:color w:val="000000"/>
          <w:u w:val="single"/>
        </w:rPr>
        <w:t xml:space="preserve"> </w:t>
      </w:r>
      <w:r w:rsidRPr="00872DEC">
        <w:rPr>
          <w:rFonts w:eastAsia="Times New Roman" w:cs="Arial"/>
          <w:color w:val="000000"/>
          <w:u w:val="single"/>
          <w:lang w:val="en-US"/>
        </w:rPr>
        <w:t>Long</w:t>
      </w:r>
      <w:r w:rsidRPr="00872DEC">
        <w:rPr>
          <w:rFonts w:eastAsia="Times New Roman" w:cs="Arial"/>
          <w:color w:val="000000"/>
          <w:u w:val="single"/>
        </w:rPr>
        <w:t>-</w:t>
      </w:r>
      <w:r w:rsidRPr="00872DEC">
        <w:rPr>
          <w:rFonts w:eastAsia="Times New Roman" w:cs="Arial"/>
          <w:color w:val="000000"/>
          <w:u w:val="single"/>
          <w:lang w:val="en-US"/>
        </w:rPr>
        <w:t>term</w:t>
      </w:r>
      <w:r w:rsidRPr="00872DEC">
        <w:rPr>
          <w:rFonts w:eastAsia="Times New Roman" w:cs="Arial"/>
          <w:color w:val="000000"/>
          <w:u w:val="single"/>
        </w:rPr>
        <w:t xml:space="preserve"> (</w:t>
      </w:r>
      <w:r w:rsidRPr="00872DEC">
        <w:rPr>
          <w:rFonts w:eastAsia="Times New Roman" w:cs="Arial"/>
          <w:color w:val="000000"/>
          <w:u w:val="single"/>
          <w:lang w:val="en-US"/>
        </w:rPr>
        <w:t>MEDAL</w:t>
      </w:r>
      <w:r w:rsidRPr="00872DEC">
        <w:rPr>
          <w:rFonts w:eastAsia="Times New Roman" w:cs="Arial"/>
          <w:color w:val="000000"/>
          <w:u w:val="single"/>
        </w:rPr>
        <w:t xml:space="preserve">) </w:t>
      </w:r>
      <w:r w:rsidRPr="00872DEC">
        <w:rPr>
          <w:rFonts w:eastAsia="Times New Roman" w:cs="Arial"/>
          <w:color w:val="000000"/>
          <w:u w:val="single"/>
          <w:lang w:eastAsia="bg-BG"/>
        </w:rPr>
        <w:t>(Многонационална програма за продължително прилагани еторикоксиб и диклофенак)</w:t>
      </w:r>
    </w:p>
    <w:p w14:paraId="1AE9CB3F" w14:textId="77777777" w:rsidR="00872DEC" w:rsidRPr="00872DEC" w:rsidRDefault="00872DEC" w:rsidP="00872DEC">
      <w:pPr>
        <w:spacing w:line="240" w:lineRule="auto"/>
        <w:rPr>
          <w:rFonts w:eastAsia="Times New Roman" w:cs="Arial"/>
          <w:color w:val="000000"/>
          <w:lang w:eastAsia="bg-BG"/>
        </w:rPr>
      </w:pPr>
    </w:p>
    <w:p w14:paraId="17E65AC0" w14:textId="7CA32C5C"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Програмата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е проспективна програма за проследяване на резултатите, свързани със сърдечно-съдовата (СС) безопасност от обобщени данни от три рандомизирани, двойно-слепи контролирани с активна съставка изпитвания, проучването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val="en-US"/>
        </w:rPr>
        <w:t>II</w:t>
      </w:r>
      <w:r w:rsidRPr="00872DEC">
        <w:rPr>
          <w:rFonts w:eastAsia="Times New Roman" w:cs="Arial"/>
          <w:color w:val="000000"/>
          <w:lang w:eastAsia="bg-BG"/>
        </w:rPr>
        <w:t xml:space="preserve"> и </w:t>
      </w:r>
      <w:r w:rsidRPr="00872DEC">
        <w:rPr>
          <w:rFonts w:eastAsia="Times New Roman" w:cs="Arial"/>
          <w:color w:val="000000"/>
          <w:lang w:val="en-US"/>
        </w:rPr>
        <w:t>EDGE</w:t>
      </w:r>
      <w:r w:rsidRPr="00872DEC">
        <w:rPr>
          <w:rFonts w:eastAsia="Times New Roman" w:cs="Arial"/>
          <w:color w:val="000000"/>
          <w:lang w:val="ru-RU"/>
        </w:rPr>
        <w:t>.</w:t>
      </w:r>
    </w:p>
    <w:p w14:paraId="6F4E9D0A" w14:textId="77777777" w:rsidR="00872DEC" w:rsidRPr="00872DEC" w:rsidRDefault="00872DEC" w:rsidP="00872DEC">
      <w:pPr>
        <w:spacing w:line="240" w:lineRule="auto"/>
        <w:rPr>
          <w:rFonts w:eastAsia="Times New Roman" w:cs="Arial"/>
          <w:color w:val="000000"/>
          <w:lang w:eastAsia="bg-BG"/>
        </w:rPr>
      </w:pPr>
    </w:p>
    <w:p w14:paraId="7B342C7F" w14:textId="1626F340"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Проучването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е проучване с крайна точка, определена от СС изход при 17 804 пациенти с ОА и 5 700 с РА, лекувани с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(ОА) или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(ОА и РА) или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дневно за период средно от 20,3 месеца (максимум 42,3 месеца, медиана 21,3 месеца). В това изпитване се отчитат само сериозни нежелани реакции и преустановяване на участието поради каквато и да е нежелана реакция.</w:t>
      </w:r>
    </w:p>
    <w:p w14:paraId="2369BF7B" w14:textId="77777777" w:rsidR="00872DEC" w:rsidRPr="00872DEC" w:rsidRDefault="00872DEC" w:rsidP="00872DEC">
      <w:pPr>
        <w:spacing w:line="240" w:lineRule="auto"/>
        <w:rPr>
          <w:rFonts w:eastAsia="Times New Roman" w:cs="Arial"/>
          <w:color w:val="000000"/>
          <w:lang w:eastAsia="bg-BG"/>
        </w:rPr>
      </w:pPr>
    </w:p>
    <w:p w14:paraId="1B9BFF8C" w14:textId="35EB6AB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Проучванията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и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II сравняват стомашно-чревната поносимост на еторикоксиб спрямо диклофенак. Проучването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включва 7 111 пациенти с ОА, лекувани с доза еторикоксиб от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(1,5 пъти дозата препоръчителна за ОА) или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за период средно 9,1 месеца (максимум 16,6 месеца, медиана 11,4 месеца). Проучването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II включва 4 086 пациенти с РА, лекувани с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или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дневно за период средно 19,2 месеца (максимум 33,1 месеца, медиана 24 месеца).</w:t>
      </w:r>
    </w:p>
    <w:p w14:paraId="77809028" w14:textId="77777777" w:rsidR="00872DEC" w:rsidRPr="00872DEC" w:rsidRDefault="00872DEC" w:rsidP="00872DEC">
      <w:pPr>
        <w:spacing w:line="240" w:lineRule="auto"/>
        <w:rPr>
          <w:rFonts w:eastAsia="Times New Roman" w:cs="Arial"/>
          <w:color w:val="000000"/>
          <w:lang w:eastAsia="bg-BG"/>
        </w:rPr>
      </w:pPr>
    </w:p>
    <w:p w14:paraId="4AA757A1" w14:textId="2AE392B9"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В обобщената програма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34 701 пациенти с ОА или РА са лекувани за период средно 17,9 месеца (максимум 42,3 месеца, медиана 16,3 месеца) като приблизително 12 800 пациенти провеждат лечение по-продължително от 24 месеца. Пациентите, участващи в програмата имат като изходно състояние различни сърдечно-съдови и стомашно-чревни рискови фактори. Пациентите с анамнеза за неотдавнашен инфаркт на миокарда, байпас на коронарна артерия с присадка или перкутанна коронарна интервенция в предходните 6 месеца преди включването не се допускат до участие. В проучванията е разрешено използването на гастропротективни продукти и ниска доза аспирин.</w:t>
      </w:r>
    </w:p>
    <w:p w14:paraId="6E669240" w14:textId="77777777" w:rsidR="00872DEC" w:rsidRPr="00872DEC" w:rsidRDefault="00872DEC" w:rsidP="00872DEC">
      <w:pPr>
        <w:spacing w:line="240" w:lineRule="auto"/>
        <w:rPr>
          <w:rFonts w:eastAsia="Times New Roman" w:cs="Arial"/>
          <w:color w:val="000000"/>
          <w:lang w:eastAsia="bg-BG"/>
        </w:rPr>
      </w:pPr>
    </w:p>
    <w:p w14:paraId="10D9970E" w14:textId="1A273D4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Обща безопасност:</w:t>
      </w:r>
    </w:p>
    <w:p w14:paraId="1EF9B667" w14:textId="26FAD5C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Няма значителни разлики между еторикоксиб и диклофенак в честотата на сърдечно-съдовите тромботични прояви. Кардиоренални нежелани реакции се наблюдават по-често при</w:t>
      </w:r>
      <w:r w:rsidRPr="00872DEC">
        <w:rPr>
          <w:rFonts w:eastAsia="Times New Roman" w:cs="Arial"/>
          <w:sz w:val="24"/>
          <w:szCs w:val="24"/>
          <w:lang w:val="ru-RU"/>
        </w:rPr>
        <w:t xml:space="preserve"> </w:t>
      </w:r>
      <w:r w:rsidRPr="00872DEC">
        <w:rPr>
          <w:rFonts w:eastAsia="Times New Roman" w:cs="Arial"/>
          <w:color w:val="000000"/>
          <w:lang w:eastAsia="bg-BG"/>
        </w:rPr>
        <w:t xml:space="preserve">еторикоксиб, отколкото при диклофенак и тези ефекти са дозозависими (вижте специофичните резултати по-долу). Стомашно-чревните и чернодробни нежелани реакции се наблюдават значително по-често при диклофенак отколкото при еторикоксиб. Честотата на нежеканите реакции при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и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II и на нежеланите реакции, преценени като сериозни или водещи</w:t>
      </w:r>
      <w:r w:rsidRPr="00872DEC">
        <w:rPr>
          <w:rFonts w:eastAsia="Times New Roman" w:cs="Arial"/>
          <w:color w:val="000000"/>
          <w:lang w:val="ru-RU" w:eastAsia="bg-BG"/>
        </w:rPr>
        <w:t xml:space="preserve"> </w:t>
      </w:r>
      <w:r w:rsidRPr="00872DEC">
        <w:rPr>
          <w:rFonts w:eastAsia="Times New Roman" w:cs="Arial"/>
          <w:color w:val="000000"/>
          <w:lang w:eastAsia="bg-BG"/>
        </w:rPr>
        <w:t xml:space="preserve">до прекратяване участие в проучването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е по-висока при еторикоксиб в сравнение с диклофенак.</w:t>
      </w:r>
    </w:p>
    <w:p w14:paraId="663C182E" w14:textId="77777777" w:rsidR="00872DEC" w:rsidRPr="00872DEC" w:rsidRDefault="00872DEC" w:rsidP="00872DEC">
      <w:pPr>
        <w:spacing w:line="240" w:lineRule="auto"/>
        <w:rPr>
          <w:rFonts w:eastAsia="Times New Roman" w:cs="Arial"/>
          <w:color w:val="000000"/>
          <w:lang w:eastAsia="bg-BG"/>
        </w:rPr>
      </w:pPr>
    </w:p>
    <w:p w14:paraId="6CD74CCE" w14:textId="1756565E"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Сърдечно-съдови резултати за безопасността:</w:t>
      </w:r>
    </w:p>
    <w:p w14:paraId="1AAA6E4E"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Честотата на потвърдените тромботични сърдечно-съдови сериозни нежелани реакции (включващи сърдечни, мозъчно-съдови и периферно-съдови прояви) е сравнима за еторикоксиб и диклофенак, като резултатите са обобщени в таблицата по-долу. Няма статистически значими разлики в честотата на тромботичните събития между еторикоксиб и диклофенак при всички анализирани подгрупи, включително различни категории пациенти в цялата гама на изходния сърдечно-съдов риск. Когато се разглеждат поотделно, относителният риск за потвърдени тромботични сърдечно-съдови нежелани реакции при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или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е бил сходен.</w:t>
      </w:r>
    </w:p>
    <w:p w14:paraId="3D81585F" w14:textId="7FE7F90C" w:rsidR="00872DEC" w:rsidRDefault="00872DEC" w:rsidP="00872DEC"/>
    <w:tbl>
      <w:tblPr>
        <w:tblStyle w:val="TableGrid"/>
        <w:tblW w:w="0" w:type="auto"/>
        <w:tblLook w:val="04A0" w:firstRow="1" w:lastRow="0" w:firstColumn="1" w:lastColumn="0" w:noHBand="0" w:noVBand="1"/>
      </w:tblPr>
      <w:tblGrid>
        <w:gridCol w:w="2337"/>
        <w:gridCol w:w="2337"/>
        <w:gridCol w:w="2338"/>
        <w:gridCol w:w="2338"/>
      </w:tblGrid>
      <w:tr w:rsidR="00872DEC" w14:paraId="23A72C83" w14:textId="77777777" w:rsidTr="00D86F18">
        <w:tc>
          <w:tcPr>
            <w:tcW w:w="9350" w:type="dxa"/>
            <w:gridSpan w:val="4"/>
          </w:tcPr>
          <w:p w14:paraId="3E24393B" w14:textId="77777777" w:rsidR="00872DEC" w:rsidRPr="00872DEC" w:rsidRDefault="00872DEC" w:rsidP="00872DEC">
            <w:pPr>
              <w:spacing w:line="240" w:lineRule="auto"/>
              <w:rPr>
                <w:rFonts w:eastAsia="Times New Roman" w:cs="Arial"/>
                <w:sz w:val="24"/>
                <w:szCs w:val="24"/>
              </w:rPr>
            </w:pPr>
            <w:r w:rsidRPr="00872DEC">
              <w:rPr>
                <w:rFonts w:eastAsia="Times New Roman" w:cs="Arial"/>
                <w:b/>
                <w:bCs/>
                <w:color w:val="000000"/>
                <w:lang w:eastAsia="bg-BG"/>
              </w:rPr>
              <w:t>Таблица 2: Честота на потвърдени тромботични СС събития (обобщена програма</w:t>
            </w:r>
          </w:p>
          <w:p w14:paraId="65204FED" w14:textId="0EB45E7C" w:rsidR="00872DEC" w:rsidRPr="00872DEC" w:rsidRDefault="00872DEC" w:rsidP="00872DEC">
            <w:pPr>
              <w:rPr>
                <w:rFonts w:cs="Arial"/>
              </w:rPr>
            </w:pPr>
            <w:r w:rsidRPr="00872DEC">
              <w:rPr>
                <w:rFonts w:eastAsia="Times New Roman" w:cs="Arial"/>
                <w:b/>
                <w:bCs/>
                <w:color w:val="000000"/>
                <w:lang w:val="en-US"/>
              </w:rPr>
              <w:t>MEDAL)</w:t>
            </w:r>
          </w:p>
        </w:tc>
      </w:tr>
      <w:tr w:rsidR="00872DEC" w14:paraId="159710C4" w14:textId="77777777" w:rsidTr="00872DEC">
        <w:tc>
          <w:tcPr>
            <w:tcW w:w="2337" w:type="dxa"/>
          </w:tcPr>
          <w:p w14:paraId="5F636944" w14:textId="77777777" w:rsidR="00872DEC" w:rsidRPr="00872DEC" w:rsidRDefault="00872DEC" w:rsidP="00872DEC">
            <w:pPr>
              <w:rPr>
                <w:rFonts w:cs="Arial"/>
              </w:rPr>
            </w:pPr>
          </w:p>
        </w:tc>
        <w:tc>
          <w:tcPr>
            <w:tcW w:w="2337" w:type="dxa"/>
          </w:tcPr>
          <w:p w14:paraId="03CA4114" w14:textId="52B7ADEA" w:rsidR="00872DEC" w:rsidRPr="00872DEC" w:rsidRDefault="00872DEC" w:rsidP="00872DEC">
            <w:pPr>
              <w:rPr>
                <w:rFonts w:cs="Arial"/>
              </w:rPr>
            </w:pPr>
            <w:r w:rsidRPr="00872DEC">
              <w:rPr>
                <w:rFonts w:cs="Arial"/>
                <w:b/>
                <w:bCs/>
              </w:rPr>
              <w:t xml:space="preserve">Еторикоксиб </w:t>
            </w:r>
            <w:r w:rsidRPr="00872DEC">
              <w:rPr>
                <w:rFonts w:cs="Arial"/>
                <w:b/>
                <w:bCs/>
                <w:lang w:val="en-US"/>
              </w:rPr>
              <w:t xml:space="preserve">(N=16819) </w:t>
            </w:r>
            <w:r w:rsidRPr="00872DEC">
              <w:rPr>
                <w:rFonts w:cs="Arial"/>
                <w:b/>
                <w:bCs/>
              </w:rPr>
              <w:t>25836 пациент- години</w:t>
            </w:r>
          </w:p>
        </w:tc>
        <w:tc>
          <w:tcPr>
            <w:tcW w:w="2338" w:type="dxa"/>
          </w:tcPr>
          <w:p w14:paraId="012F5AE9" w14:textId="6B97C63E" w:rsidR="00872DEC" w:rsidRDefault="00872DEC" w:rsidP="00872DEC">
            <w:r>
              <w:rPr>
                <w:b/>
                <w:bCs/>
              </w:rPr>
              <w:t xml:space="preserve">Диклофенак </w:t>
            </w:r>
            <w:r>
              <w:rPr>
                <w:b/>
                <w:bCs/>
                <w:lang w:val="en-US"/>
              </w:rPr>
              <w:t xml:space="preserve">(N=16483) </w:t>
            </w:r>
            <w:r>
              <w:rPr>
                <w:b/>
                <w:bCs/>
              </w:rPr>
              <w:t>24766 пациент- години</w:t>
            </w:r>
          </w:p>
        </w:tc>
        <w:tc>
          <w:tcPr>
            <w:tcW w:w="2338" w:type="dxa"/>
          </w:tcPr>
          <w:p w14:paraId="10BF4A6E" w14:textId="389D295E" w:rsidR="00872DEC" w:rsidRDefault="00872DEC" w:rsidP="00872DEC">
            <w:r>
              <w:rPr>
                <w:b/>
                <w:bCs/>
              </w:rPr>
              <w:t>Сравнение между лечения</w:t>
            </w:r>
          </w:p>
        </w:tc>
      </w:tr>
      <w:tr w:rsidR="00872DEC" w14:paraId="4BDAEDBB" w14:textId="77777777" w:rsidTr="00872DEC">
        <w:tc>
          <w:tcPr>
            <w:tcW w:w="2337" w:type="dxa"/>
          </w:tcPr>
          <w:p w14:paraId="5F6AF406" w14:textId="77777777" w:rsidR="00872DEC" w:rsidRPr="00872DEC" w:rsidRDefault="00872DEC" w:rsidP="00872DEC">
            <w:pPr>
              <w:rPr>
                <w:rFonts w:cs="Arial"/>
              </w:rPr>
            </w:pPr>
          </w:p>
        </w:tc>
        <w:tc>
          <w:tcPr>
            <w:tcW w:w="2337" w:type="dxa"/>
          </w:tcPr>
          <w:p w14:paraId="252070F2" w14:textId="0048C3E8" w:rsidR="00872DEC" w:rsidRPr="00872DEC" w:rsidRDefault="00872DEC" w:rsidP="00872DEC">
            <w:pPr>
              <w:rPr>
                <w:rFonts w:cs="Arial"/>
              </w:rPr>
            </w:pPr>
            <w:r w:rsidRPr="00872DEC">
              <w:rPr>
                <w:rFonts w:cs="Arial"/>
                <w:b/>
                <w:bCs/>
              </w:rPr>
              <w:t>Честота</w:t>
            </w:r>
            <w:r w:rsidRPr="00872DEC">
              <w:rPr>
                <w:rFonts w:cs="Arial"/>
                <w:b/>
                <w:bCs/>
                <w:vertAlign w:val="superscript"/>
              </w:rPr>
              <w:t>+</w:t>
            </w:r>
            <w:r w:rsidRPr="00872DEC">
              <w:rPr>
                <w:rFonts w:cs="Arial"/>
                <w:b/>
                <w:bCs/>
              </w:rPr>
              <w:t xml:space="preserve"> (95% </w:t>
            </w:r>
            <w:r w:rsidRPr="00872DEC">
              <w:rPr>
                <w:rFonts w:cs="Arial"/>
                <w:b/>
                <w:bCs/>
                <w:lang w:val="en-US"/>
              </w:rPr>
              <w:t>CI)</w:t>
            </w:r>
          </w:p>
        </w:tc>
        <w:tc>
          <w:tcPr>
            <w:tcW w:w="2338" w:type="dxa"/>
          </w:tcPr>
          <w:p w14:paraId="6899BF24" w14:textId="02905D13" w:rsidR="00872DEC" w:rsidRDefault="00872DEC" w:rsidP="00872DEC">
            <w:r>
              <w:rPr>
                <w:b/>
                <w:bCs/>
              </w:rPr>
              <w:t>Честота</w:t>
            </w:r>
            <w:r>
              <w:rPr>
                <w:b/>
                <w:bCs/>
                <w:vertAlign w:val="superscript"/>
              </w:rPr>
              <w:t>+</w:t>
            </w:r>
            <w:r>
              <w:rPr>
                <w:b/>
                <w:bCs/>
              </w:rPr>
              <w:t xml:space="preserve"> (95% </w:t>
            </w:r>
            <w:r>
              <w:rPr>
                <w:b/>
                <w:bCs/>
                <w:lang w:val="en-US"/>
              </w:rPr>
              <w:t>CI)</w:t>
            </w:r>
          </w:p>
        </w:tc>
        <w:tc>
          <w:tcPr>
            <w:tcW w:w="2338" w:type="dxa"/>
          </w:tcPr>
          <w:p w14:paraId="6D46B000" w14:textId="774F4172" w:rsidR="00872DEC" w:rsidRDefault="00872DEC" w:rsidP="00872DEC">
            <w:r>
              <w:rPr>
                <w:b/>
                <w:bCs/>
              </w:rPr>
              <w:t xml:space="preserve">Относителен риск (95% </w:t>
            </w:r>
            <w:r>
              <w:rPr>
                <w:b/>
                <w:bCs/>
                <w:lang w:val="en-US"/>
              </w:rPr>
              <w:t>CI)</w:t>
            </w:r>
          </w:p>
        </w:tc>
      </w:tr>
      <w:tr w:rsidR="00872DEC" w14:paraId="0EDD93F9" w14:textId="77777777" w:rsidTr="00CB0D33">
        <w:tc>
          <w:tcPr>
            <w:tcW w:w="9350" w:type="dxa"/>
            <w:gridSpan w:val="4"/>
          </w:tcPr>
          <w:p w14:paraId="51143261" w14:textId="1FC6D695" w:rsidR="00872DEC" w:rsidRPr="00872DEC" w:rsidRDefault="00872DEC" w:rsidP="00872DEC">
            <w:pPr>
              <w:rPr>
                <w:rFonts w:cs="Arial"/>
              </w:rPr>
            </w:pPr>
            <w:r w:rsidRPr="00872DEC">
              <w:rPr>
                <w:rFonts w:eastAsia="Times New Roman" w:cs="Arial"/>
                <w:color w:val="000000"/>
                <w:lang w:eastAsia="bg-BG"/>
              </w:rPr>
              <w:t>Потвърдени тромботични сърдечносъдови нежелани събития</w:t>
            </w:r>
          </w:p>
        </w:tc>
      </w:tr>
      <w:tr w:rsidR="00872DEC" w14:paraId="506A4BEA" w14:textId="77777777" w:rsidTr="00872DEC">
        <w:tc>
          <w:tcPr>
            <w:tcW w:w="2337" w:type="dxa"/>
          </w:tcPr>
          <w:p w14:paraId="65827E0A" w14:textId="4390FD0B" w:rsidR="00872DEC" w:rsidRPr="00872DEC" w:rsidRDefault="00872DEC" w:rsidP="00872DEC">
            <w:pPr>
              <w:rPr>
                <w:rFonts w:cs="Arial"/>
              </w:rPr>
            </w:pPr>
            <w:r w:rsidRPr="00872DEC">
              <w:rPr>
                <w:rFonts w:cs="Arial"/>
              </w:rPr>
              <w:t>По протокол</w:t>
            </w:r>
          </w:p>
        </w:tc>
        <w:tc>
          <w:tcPr>
            <w:tcW w:w="2337" w:type="dxa"/>
          </w:tcPr>
          <w:p w14:paraId="5A2A2384" w14:textId="2C485535" w:rsidR="00872DEC" w:rsidRPr="00872DEC" w:rsidRDefault="00872DEC" w:rsidP="00872DEC">
            <w:pPr>
              <w:rPr>
                <w:rFonts w:cs="Arial"/>
              </w:rPr>
            </w:pPr>
            <w:r w:rsidRPr="00872DEC">
              <w:rPr>
                <w:rFonts w:cs="Arial"/>
              </w:rPr>
              <w:t>1,24(1,11; 1,38)</w:t>
            </w:r>
          </w:p>
        </w:tc>
        <w:tc>
          <w:tcPr>
            <w:tcW w:w="2338" w:type="dxa"/>
          </w:tcPr>
          <w:p w14:paraId="1DA16FA6" w14:textId="6DF98D4C" w:rsidR="00872DEC" w:rsidRDefault="00872DEC" w:rsidP="00872DEC">
            <w:r>
              <w:t>1,30(1,17; 1,45)</w:t>
            </w:r>
          </w:p>
        </w:tc>
        <w:tc>
          <w:tcPr>
            <w:tcW w:w="2338" w:type="dxa"/>
          </w:tcPr>
          <w:p w14:paraId="5544EDF9" w14:textId="19AE7B8C" w:rsidR="00872DEC" w:rsidRDefault="00872DEC" w:rsidP="00872DEC">
            <w:r>
              <w:t>0,95 (0,81; 1,11)</w:t>
            </w:r>
          </w:p>
        </w:tc>
      </w:tr>
      <w:tr w:rsidR="00872DEC" w14:paraId="68C020C1" w14:textId="77777777" w:rsidTr="00872DEC">
        <w:tc>
          <w:tcPr>
            <w:tcW w:w="2337" w:type="dxa"/>
          </w:tcPr>
          <w:p w14:paraId="18EF1D69" w14:textId="55C662BB" w:rsidR="00872DEC" w:rsidRPr="00872DEC" w:rsidRDefault="00872DEC" w:rsidP="00872DEC">
            <w:pPr>
              <w:rPr>
                <w:rFonts w:cs="Arial"/>
              </w:rPr>
            </w:pPr>
            <w:r w:rsidRPr="00872DEC">
              <w:rPr>
                <w:rFonts w:cs="Arial"/>
              </w:rPr>
              <w:lastRenderedPageBreak/>
              <w:t>Намерение за лечение</w:t>
            </w:r>
          </w:p>
        </w:tc>
        <w:tc>
          <w:tcPr>
            <w:tcW w:w="2337" w:type="dxa"/>
          </w:tcPr>
          <w:p w14:paraId="284810F9" w14:textId="36C6749A" w:rsidR="00872DEC" w:rsidRPr="00872DEC" w:rsidRDefault="00872DEC" w:rsidP="00872DEC">
            <w:pPr>
              <w:rPr>
                <w:rFonts w:cs="Arial"/>
              </w:rPr>
            </w:pPr>
            <w:r w:rsidRPr="00872DEC">
              <w:rPr>
                <w:rFonts w:cs="Arial"/>
              </w:rPr>
              <w:t>1,25 (1,14; 1,36)</w:t>
            </w:r>
          </w:p>
        </w:tc>
        <w:tc>
          <w:tcPr>
            <w:tcW w:w="2338" w:type="dxa"/>
          </w:tcPr>
          <w:p w14:paraId="6FBFF366" w14:textId="76741B86" w:rsidR="00872DEC" w:rsidRDefault="00872DEC" w:rsidP="00872DEC">
            <w:r>
              <w:t>1,19(1,08; 1,30)</w:t>
            </w:r>
          </w:p>
        </w:tc>
        <w:tc>
          <w:tcPr>
            <w:tcW w:w="2338" w:type="dxa"/>
          </w:tcPr>
          <w:p w14:paraId="31E9932E" w14:textId="5F50CCE1" w:rsidR="00872DEC" w:rsidRDefault="00872DEC" w:rsidP="00872DEC">
            <w:r>
              <w:t>1,05(0,93; 1,19)</w:t>
            </w:r>
          </w:p>
        </w:tc>
      </w:tr>
      <w:tr w:rsidR="00872DEC" w14:paraId="2C178A87" w14:textId="77777777" w:rsidTr="00A66D3E">
        <w:tc>
          <w:tcPr>
            <w:tcW w:w="9350" w:type="dxa"/>
            <w:gridSpan w:val="4"/>
          </w:tcPr>
          <w:p w14:paraId="7C38DA31" w14:textId="25799644" w:rsidR="00872DEC" w:rsidRPr="00872DEC" w:rsidRDefault="00872DEC" w:rsidP="00872DEC">
            <w:pPr>
              <w:rPr>
                <w:rFonts w:cs="Arial"/>
              </w:rPr>
            </w:pPr>
            <w:r w:rsidRPr="00872DEC">
              <w:rPr>
                <w:rFonts w:cs="Arial"/>
              </w:rPr>
              <w:t>Потвърдени сърдечни събития</w:t>
            </w:r>
          </w:p>
        </w:tc>
      </w:tr>
      <w:tr w:rsidR="00872DEC" w14:paraId="0E3AF704" w14:textId="77777777" w:rsidTr="00872DEC">
        <w:tc>
          <w:tcPr>
            <w:tcW w:w="2337" w:type="dxa"/>
          </w:tcPr>
          <w:p w14:paraId="1E2A3948" w14:textId="750E45DB" w:rsidR="00872DEC" w:rsidRPr="00872DEC" w:rsidRDefault="00872DEC" w:rsidP="00872DEC">
            <w:pPr>
              <w:rPr>
                <w:rFonts w:cs="Arial"/>
              </w:rPr>
            </w:pPr>
            <w:r w:rsidRPr="00872DEC">
              <w:rPr>
                <w:rFonts w:cs="Arial"/>
              </w:rPr>
              <w:t>По протокол</w:t>
            </w:r>
          </w:p>
        </w:tc>
        <w:tc>
          <w:tcPr>
            <w:tcW w:w="2337" w:type="dxa"/>
          </w:tcPr>
          <w:p w14:paraId="54E449A2" w14:textId="3F9AC70A" w:rsidR="00872DEC" w:rsidRPr="00872DEC" w:rsidRDefault="00872DEC" w:rsidP="00872DEC">
            <w:pPr>
              <w:rPr>
                <w:rFonts w:cs="Arial"/>
              </w:rPr>
            </w:pPr>
            <w:r w:rsidRPr="00872DEC">
              <w:rPr>
                <w:rFonts w:cs="Arial"/>
              </w:rPr>
              <w:t>0,71 (0,61; 0,82)</w:t>
            </w:r>
          </w:p>
        </w:tc>
        <w:tc>
          <w:tcPr>
            <w:tcW w:w="2338" w:type="dxa"/>
          </w:tcPr>
          <w:p w14:paraId="54E9BAD2" w14:textId="2FD29470" w:rsidR="00872DEC" w:rsidRDefault="00872DEC" w:rsidP="00872DEC">
            <w:r>
              <w:t>0,78 (0,68; 0,90)</w:t>
            </w:r>
          </w:p>
        </w:tc>
        <w:tc>
          <w:tcPr>
            <w:tcW w:w="2338" w:type="dxa"/>
          </w:tcPr>
          <w:p w14:paraId="25B0E481" w14:textId="3C95634E" w:rsidR="00872DEC" w:rsidRDefault="00872DEC" w:rsidP="00872DEC">
            <w:r>
              <w:t>0,90 (0,74; 1,10)</w:t>
            </w:r>
          </w:p>
        </w:tc>
      </w:tr>
      <w:tr w:rsidR="00872DEC" w14:paraId="4C00E03D" w14:textId="77777777" w:rsidTr="00872DEC">
        <w:tc>
          <w:tcPr>
            <w:tcW w:w="2337" w:type="dxa"/>
          </w:tcPr>
          <w:p w14:paraId="0723193E" w14:textId="4A0F8047" w:rsidR="00872DEC" w:rsidRPr="00872DEC" w:rsidRDefault="00872DEC" w:rsidP="00872DEC">
            <w:pPr>
              <w:rPr>
                <w:rFonts w:cs="Arial"/>
              </w:rPr>
            </w:pPr>
            <w:r w:rsidRPr="00872DEC">
              <w:rPr>
                <w:rFonts w:cs="Arial"/>
              </w:rPr>
              <w:t>Намерение за лечение</w:t>
            </w:r>
          </w:p>
        </w:tc>
        <w:tc>
          <w:tcPr>
            <w:tcW w:w="2337" w:type="dxa"/>
          </w:tcPr>
          <w:p w14:paraId="688C0942" w14:textId="4FB8EE92" w:rsidR="00872DEC" w:rsidRPr="00872DEC" w:rsidRDefault="00872DEC" w:rsidP="00872DEC">
            <w:pPr>
              <w:rPr>
                <w:rFonts w:cs="Arial"/>
              </w:rPr>
            </w:pPr>
            <w:r w:rsidRPr="00872DEC">
              <w:rPr>
                <w:rFonts w:cs="Arial"/>
              </w:rPr>
              <w:t>0,69 (0,61; 0,78)</w:t>
            </w:r>
          </w:p>
        </w:tc>
        <w:tc>
          <w:tcPr>
            <w:tcW w:w="2338" w:type="dxa"/>
          </w:tcPr>
          <w:p w14:paraId="5F4C097C" w14:textId="04A53B86" w:rsidR="00872DEC" w:rsidRDefault="00872DEC" w:rsidP="00872DEC">
            <w:r>
              <w:t>0,70 (0,62; 0,79)</w:t>
            </w:r>
          </w:p>
        </w:tc>
        <w:tc>
          <w:tcPr>
            <w:tcW w:w="2338" w:type="dxa"/>
          </w:tcPr>
          <w:p w14:paraId="0314B217" w14:textId="51E9270C" w:rsidR="00872DEC" w:rsidRDefault="00872DEC" w:rsidP="00872DEC">
            <w:r>
              <w:t>0,99 (0,84; 1,17)</w:t>
            </w:r>
          </w:p>
        </w:tc>
      </w:tr>
      <w:tr w:rsidR="00872DEC" w14:paraId="0E8233F6" w14:textId="77777777" w:rsidTr="009B0DD2">
        <w:tc>
          <w:tcPr>
            <w:tcW w:w="9350" w:type="dxa"/>
            <w:gridSpan w:val="4"/>
          </w:tcPr>
          <w:p w14:paraId="47C5E8D6" w14:textId="67E0D2E9" w:rsidR="00872DEC" w:rsidRPr="00872DEC" w:rsidRDefault="00872DEC" w:rsidP="00872DEC">
            <w:pPr>
              <w:rPr>
                <w:rFonts w:cs="Arial"/>
              </w:rPr>
            </w:pPr>
            <w:r w:rsidRPr="00872DEC">
              <w:rPr>
                <w:rFonts w:cs="Arial"/>
              </w:rPr>
              <w:t>Потвърдени мозъчно-съдови събития</w:t>
            </w:r>
          </w:p>
        </w:tc>
      </w:tr>
      <w:tr w:rsidR="00872DEC" w14:paraId="380C707B" w14:textId="77777777" w:rsidTr="00872DEC">
        <w:tc>
          <w:tcPr>
            <w:tcW w:w="2337" w:type="dxa"/>
          </w:tcPr>
          <w:p w14:paraId="34100C28" w14:textId="68F1E1D2" w:rsidR="00872DEC" w:rsidRPr="00872DEC" w:rsidRDefault="00872DEC" w:rsidP="00872DEC">
            <w:pPr>
              <w:rPr>
                <w:rFonts w:cs="Arial"/>
              </w:rPr>
            </w:pPr>
            <w:r w:rsidRPr="00872DEC">
              <w:rPr>
                <w:rFonts w:cs="Arial"/>
              </w:rPr>
              <w:t>По протокол</w:t>
            </w:r>
          </w:p>
        </w:tc>
        <w:tc>
          <w:tcPr>
            <w:tcW w:w="2337" w:type="dxa"/>
          </w:tcPr>
          <w:p w14:paraId="66AF1F50" w14:textId="227130B3" w:rsidR="00872DEC" w:rsidRPr="00872DEC" w:rsidRDefault="00872DEC" w:rsidP="00872DEC">
            <w:pPr>
              <w:rPr>
                <w:rFonts w:cs="Arial"/>
              </w:rPr>
            </w:pPr>
            <w:r w:rsidRPr="00872DEC">
              <w:rPr>
                <w:rFonts w:cs="Arial"/>
              </w:rPr>
              <w:t>0.34 (0.28; 0.42)</w:t>
            </w:r>
          </w:p>
        </w:tc>
        <w:tc>
          <w:tcPr>
            <w:tcW w:w="2338" w:type="dxa"/>
          </w:tcPr>
          <w:p w14:paraId="67513686" w14:textId="6B65FCB8" w:rsidR="00872DEC" w:rsidRDefault="00872DEC" w:rsidP="00872DEC">
            <w:r>
              <w:t>0.32 (0.25; 0.40)</w:t>
            </w:r>
          </w:p>
        </w:tc>
        <w:tc>
          <w:tcPr>
            <w:tcW w:w="2338" w:type="dxa"/>
          </w:tcPr>
          <w:p w14:paraId="31A59330" w14:textId="429D19CD" w:rsidR="00872DEC" w:rsidRDefault="00872DEC" w:rsidP="00872DEC">
            <w:r>
              <w:t>1.08(0.80; 1.46)</w:t>
            </w:r>
          </w:p>
        </w:tc>
      </w:tr>
      <w:tr w:rsidR="00872DEC" w14:paraId="4E799EFB" w14:textId="77777777" w:rsidTr="00872DEC">
        <w:tc>
          <w:tcPr>
            <w:tcW w:w="2337" w:type="dxa"/>
          </w:tcPr>
          <w:p w14:paraId="5043E291" w14:textId="1FF3AA29" w:rsidR="00872DEC" w:rsidRPr="00872DEC" w:rsidRDefault="00872DEC" w:rsidP="00872DEC">
            <w:pPr>
              <w:rPr>
                <w:rFonts w:cs="Arial"/>
              </w:rPr>
            </w:pPr>
            <w:r w:rsidRPr="00872DEC">
              <w:rPr>
                <w:rFonts w:cs="Arial"/>
              </w:rPr>
              <w:t>Намерение за лечение</w:t>
            </w:r>
          </w:p>
        </w:tc>
        <w:tc>
          <w:tcPr>
            <w:tcW w:w="2337" w:type="dxa"/>
          </w:tcPr>
          <w:p w14:paraId="5757C43E" w14:textId="61D3B4D1" w:rsidR="00872DEC" w:rsidRPr="00872DEC" w:rsidRDefault="00872DEC" w:rsidP="00872DEC">
            <w:pPr>
              <w:rPr>
                <w:rFonts w:cs="Arial"/>
              </w:rPr>
            </w:pPr>
            <w:r w:rsidRPr="00872DEC">
              <w:rPr>
                <w:rFonts w:cs="Arial"/>
              </w:rPr>
              <w:t>0.33 (0.28; 0.39)</w:t>
            </w:r>
          </w:p>
        </w:tc>
        <w:tc>
          <w:tcPr>
            <w:tcW w:w="2338" w:type="dxa"/>
          </w:tcPr>
          <w:p w14:paraId="5D106A1E" w14:textId="11CCB289" w:rsidR="00872DEC" w:rsidRDefault="00872DEC" w:rsidP="00872DEC">
            <w:r>
              <w:t>0.29 (0.24; 0.35)</w:t>
            </w:r>
          </w:p>
        </w:tc>
        <w:tc>
          <w:tcPr>
            <w:tcW w:w="2338" w:type="dxa"/>
          </w:tcPr>
          <w:p w14:paraId="59C3FACE" w14:textId="74E9E7DD" w:rsidR="00872DEC" w:rsidRDefault="00872DEC" w:rsidP="00872DEC">
            <w:r>
              <w:t>1.12(0.87; 1.44)</w:t>
            </w:r>
          </w:p>
        </w:tc>
      </w:tr>
      <w:tr w:rsidR="00872DEC" w14:paraId="188F36D0" w14:textId="77777777" w:rsidTr="00732D25">
        <w:tc>
          <w:tcPr>
            <w:tcW w:w="9350" w:type="dxa"/>
            <w:gridSpan w:val="4"/>
          </w:tcPr>
          <w:p w14:paraId="00BE1DF0" w14:textId="2187A1C3" w:rsidR="00872DEC" w:rsidRPr="00872DEC" w:rsidRDefault="00872DEC" w:rsidP="00872DEC">
            <w:pPr>
              <w:rPr>
                <w:rFonts w:cs="Arial"/>
              </w:rPr>
            </w:pPr>
            <w:r w:rsidRPr="00872DEC">
              <w:rPr>
                <w:rFonts w:cs="Arial"/>
              </w:rPr>
              <w:t>Потвърдени периферни съдови събития</w:t>
            </w:r>
          </w:p>
        </w:tc>
      </w:tr>
      <w:tr w:rsidR="00872DEC" w14:paraId="5D97E787" w14:textId="77777777" w:rsidTr="00872DEC">
        <w:tc>
          <w:tcPr>
            <w:tcW w:w="2337" w:type="dxa"/>
          </w:tcPr>
          <w:p w14:paraId="49368D00" w14:textId="2FED4DFE" w:rsidR="00872DEC" w:rsidRPr="00872DEC" w:rsidRDefault="00872DEC" w:rsidP="00872DEC">
            <w:pPr>
              <w:rPr>
                <w:rFonts w:cs="Arial"/>
              </w:rPr>
            </w:pPr>
            <w:r w:rsidRPr="00872DEC">
              <w:rPr>
                <w:rFonts w:cs="Arial"/>
              </w:rPr>
              <w:t>По протокол</w:t>
            </w:r>
          </w:p>
        </w:tc>
        <w:tc>
          <w:tcPr>
            <w:tcW w:w="2337" w:type="dxa"/>
          </w:tcPr>
          <w:p w14:paraId="4CCC0A42" w14:textId="3DD5D39A" w:rsidR="00872DEC" w:rsidRPr="00872DEC" w:rsidRDefault="00872DEC" w:rsidP="00872DEC">
            <w:pPr>
              <w:rPr>
                <w:rFonts w:cs="Arial"/>
              </w:rPr>
            </w:pPr>
            <w:r w:rsidRPr="00872DEC">
              <w:rPr>
                <w:rFonts w:cs="Arial"/>
              </w:rPr>
              <w:t>0.20 (0.15; 0.27)</w:t>
            </w:r>
          </w:p>
        </w:tc>
        <w:tc>
          <w:tcPr>
            <w:tcW w:w="2338" w:type="dxa"/>
          </w:tcPr>
          <w:p w14:paraId="4AB2729F" w14:textId="4F239BFA" w:rsidR="00872DEC" w:rsidRDefault="00872DEC" w:rsidP="00872DEC">
            <w:r>
              <w:t>0.22(0.17; 0.29)</w:t>
            </w:r>
          </w:p>
        </w:tc>
        <w:tc>
          <w:tcPr>
            <w:tcW w:w="2338" w:type="dxa"/>
          </w:tcPr>
          <w:p w14:paraId="3AE42623" w14:textId="2423A847" w:rsidR="00872DEC" w:rsidRDefault="00872DEC" w:rsidP="00872DEC">
            <w:r>
              <w:t>0.92 (0.63; 1.35)</w:t>
            </w:r>
          </w:p>
        </w:tc>
      </w:tr>
      <w:tr w:rsidR="00872DEC" w14:paraId="00021441" w14:textId="77777777" w:rsidTr="00872DEC">
        <w:tc>
          <w:tcPr>
            <w:tcW w:w="2337" w:type="dxa"/>
          </w:tcPr>
          <w:p w14:paraId="279A0594" w14:textId="06FB7933" w:rsidR="00872DEC" w:rsidRPr="00872DEC" w:rsidRDefault="00872DEC" w:rsidP="00872DEC">
            <w:pPr>
              <w:rPr>
                <w:rFonts w:cs="Arial"/>
              </w:rPr>
            </w:pPr>
            <w:r w:rsidRPr="00872DEC">
              <w:rPr>
                <w:rFonts w:cs="Arial"/>
              </w:rPr>
              <w:t>Намерение за лечение</w:t>
            </w:r>
          </w:p>
        </w:tc>
        <w:tc>
          <w:tcPr>
            <w:tcW w:w="2337" w:type="dxa"/>
          </w:tcPr>
          <w:p w14:paraId="5AD4C8F1" w14:textId="78653EFD" w:rsidR="00872DEC" w:rsidRPr="00872DEC" w:rsidRDefault="00872DEC" w:rsidP="00872DEC">
            <w:pPr>
              <w:rPr>
                <w:rFonts w:cs="Arial"/>
              </w:rPr>
            </w:pPr>
            <w:r w:rsidRPr="00872DEC">
              <w:rPr>
                <w:rFonts w:cs="Arial"/>
              </w:rPr>
              <w:t>0.24 (0.20; 0.30)</w:t>
            </w:r>
          </w:p>
        </w:tc>
        <w:tc>
          <w:tcPr>
            <w:tcW w:w="2338" w:type="dxa"/>
          </w:tcPr>
          <w:p w14:paraId="302DBF03" w14:textId="5F2E6938" w:rsidR="00872DEC" w:rsidRDefault="00872DEC" w:rsidP="00872DEC">
            <w:r>
              <w:t>0.23 (0.18; 0.28)</w:t>
            </w:r>
          </w:p>
        </w:tc>
        <w:tc>
          <w:tcPr>
            <w:tcW w:w="2338" w:type="dxa"/>
          </w:tcPr>
          <w:p w14:paraId="66059A6C" w14:textId="1287662F" w:rsidR="00872DEC" w:rsidRDefault="00872DEC" w:rsidP="00872DEC">
            <w:r>
              <w:t>1.08 (0.81; 1.44)</w:t>
            </w:r>
          </w:p>
        </w:tc>
      </w:tr>
      <w:tr w:rsidR="00872DEC" w14:paraId="0497AFEF" w14:textId="77777777" w:rsidTr="00A97255">
        <w:tc>
          <w:tcPr>
            <w:tcW w:w="9350" w:type="dxa"/>
            <w:gridSpan w:val="4"/>
          </w:tcPr>
          <w:p w14:paraId="7479C3EC"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vertAlign w:val="superscript"/>
                <w:lang w:eastAsia="bg-BG"/>
              </w:rPr>
              <w:t>+</w:t>
            </w:r>
            <w:r w:rsidRPr="00872DEC">
              <w:rPr>
                <w:rFonts w:eastAsia="Times New Roman" w:cs="Arial"/>
                <w:color w:val="000000"/>
                <w:lang w:eastAsia="bg-BG"/>
              </w:rPr>
              <w:t xml:space="preserve">Събития на 100 пациент - години; </w:t>
            </w:r>
            <w:r w:rsidRPr="00872DEC">
              <w:rPr>
                <w:rFonts w:eastAsia="Times New Roman" w:cs="Arial"/>
                <w:color w:val="000000"/>
                <w:lang w:val="en-US"/>
              </w:rPr>
              <w:t>CI</w:t>
            </w:r>
            <w:r w:rsidRPr="00872DEC">
              <w:rPr>
                <w:rFonts w:eastAsia="Times New Roman" w:cs="Arial"/>
                <w:color w:val="000000"/>
                <w:lang w:eastAsia="bg-BG"/>
              </w:rPr>
              <w:t>-доверителен интервал</w:t>
            </w:r>
          </w:p>
          <w:p w14:paraId="7E5E238D"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val="en-US"/>
              </w:rPr>
              <w:t>N</w:t>
            </w:r>
            <w:r w:rsidRPr="00872DEC">
              <w:rPr>
                <w:rFonts w:eastAsia="Times New Roman" w:cs="Arial"/>
                <w:color w:val="000000"/>
                <w:lang w:eastAsia="bg-BG"/>
              </w:rPr>
              <w:t>=Общия брой пациенти, включени в популацията по протокол</w:t>
            </w:r>
          </w:p>
          <w:p w14:paraId="385C82FE" w14:textId="77777777" w:rsidR="00872DEC" w:rsidRPr="00872DEC" w:rsidRDefault="00872DEC" w:rsidP="00872DEC">
            <w:pPr>
              <w:spacing w:line="240" w:lineRule="auto"/>
              <w:rPr>
                <w:rFonts w:eastAsia="Times New Roman" w:cs="Arial"/>
                <w:color w:val="000000"/>
                <w:lang w:eastAsia="bg-BG"/>
              </w:rPr>
            </w:pPr>
          </w:p>
          <w:p w14:paraId="7C86CAEF" w14:textId="3A505F15"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По протокол: всички събития при изпитваното лечение или до 14 дни след прекратяването му (изключени: пациенти, приели &lt; 75% от изпитваното лечение или приемали невключен в проучването НСПВС &gt;10% от времето).</w:t>
            </w:r>
          </w:p>
          <w:p w14:paraId="163E7A55" w14:textId="77777777" w:rsidR="00872DEC" w:rsidRPr="00872DEC" w:rsidRDefault="00872DEC" w:rsidP="00872DEC">
            <w:pPr>
              <w:rPr>
                <w:rFonts w:eastAsia="Times New Roman" w:cs="Arial"/>
                <w:color w:val="000000"/>
                <w:lang w:eastAsia="bg-BG"/>
              </w:rPr>
            </w:pPr>
          </w:p>
          <w:p w14:paraId="57056244" w14:textId="501A265C" w:rsidR="00872DEC" w:rsidRPr="00872DEC" w:rsidRDefault="00872DEC" w:rsidP="00872DEC">
            <w:pPr>
              <w:rPr>
                <w:rFonts w:cs="Arial"/>
              </w:rPr>
            </w:pPr>
            <w:r w:rsidRPr="00872DEC">
              <w:rPr>
                <w:rFonts w:eastAsia="Times New Roman" w:cs="Arial"/>
                <w:color w:val="000000"/>
                <w:lang w:eastAsia="bg-BG"/>
              </w:rPr>
              <w:t xml:space="preserve">Намерение за лечение: всички потвърдени събития до края на изпитването (включително пациенти, потенциално изложени на невключени в проучването интервенции след преустановяване на изпитваното лечение). Общ брой рандомизирани пациенти, </w:t>
            </w:r>
            <w:r w:rsidRPr="00872DEC">
              <w:rPr>
                <w:rFonts w:eastAsia="Times New Roman" w:cs="Arial"/>
                <w:color w:val="000000"/>
                <w:lang w:val="en-US"/>
              </w:rPr>
              <w:t>n</w:t>
            </w:r>
            <w:r w:rsidRPr="00872DEC">
              <w:rPr>
                <w:rFonts w:eastAsia="Times New Roman" w:cs="Arial"/>
                <w:color w:val="000000"/>
                <w:lang w:eastAsia="bg-BG"/>
              </w:rPr>
              <w:t>= 17 412 на еторикоксиб и 17 289 на диклофенак.</w:t>
            </w:r>
          </w:p>
        </w:tc>
      </w:tr>
    </w:tbl>
    <w:p w14:paraId="014A45B0" w14:textId="63C4777E" w:rsidR="00872DEC" w:rsidRDefault="00872DEC" w:rsidP="00872DEC"/>
    <w:p w14:paraId="1284C114"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СС смъртност, както и общата смъртност, са сходни при лекуваните групи с еторикоксиб и диклофенак.</w:t>
      </w:r>
    </w:p>
    <w:p w14:paraId="64080819" w14:textId="77777777" w:rsidR="00872DEC" w:rsidRPr="00872DEC" w:rsidRDefault="00872DEC" w:rsidP="00872DEC">
      <w:pPr>
        <w:spacing w:line="240" w:lineRule="auto"/>
        <w:rPr>
          <w:rFonts w:eastAsia="Times New Roman" w:cs="Arial"/>
          <w:color w:val="000000"/>
          <w:lang w:eastAsia="bg-BG"/>
        </w:rPr>
      </w:pPr>
    </w:p>
    <w:p w14:paraId="09EFD4D7" w14:textId="2EF40F9F"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Кардиоренални събития:</w:t>
      </w:r>
    </w:p>
    <w:p w14:paraId="02515D3E" w14:textId="77777777" w:rsidR="00872DEC" w:rsidRPr="00872DEC" w:rsidRDefault="00872DEC" w:rsidP="00872DEC">
      <w:pPr>
        <w:rPr>
          <w:rFonts w:eastAsia="Times New Roman" w:cs="Arial"/>
          <w:sz w:val="24"/>
          <w:szCs w:val="24"/>
        </w:rPr>
      </w:pPr>
      <w:r w:rsidRPr="00872DEC">
        <w:rPr>
          <w:rFonts w:eastAsia="Times New Roman" w:cs="Arial"/>
          <w:color w:val="000000"/>
          <w:lang w:eastAsia="bg-BG"/>
        </w:rPr>
        <w:t xml:space="preserve">Приблизително 50 % от пациентите, включени в проучването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са с анамнеза за хипертония при изходно състояние. В това проучване честотата на прекратяване на участието,</w:t>
      </w:r>
      <w:r w:rsidRPr="00872DEC">
        <w:rPr>
          <w:rFonts w:eastAsia="Times New Roman" w:cs="Arial"/>
          <w:color w:val="000000"/>
          <w:lang w:val="ru-RU" w:eastAsia="bg-BG"/>
        </w:rPr>
        <w:t xml:space="preserve"> </w:t>
      </w:r>
      <w:r w:rsidRPr="00872DEC">
        <w:rPr>
          <w:rFonts w:eastAsia="Times New Roman" w:cs="Arial"/>
          <w:color w:val="000000"/>
          <w:lang w:eastAsia="bg-BG"/>
        </w:rPr>
        <w:t xml:space="preserve">поради свързани с хипертония нежелани реакции, е статистически значимо по-висока за еторикоксиб в сравнение с диклофенак. Честотата на застойната сърдечна недостатъчност като нежелани събития (прекратявания и сериозни събития) се проявява еднакво при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но е по-висока при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(статистически значима за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еторикоксиб спрямо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диклофенак при групата в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с ОА). Честотата на потвърдените събития, свързани със застойна сърдечна недостатъчност (събития, които са сериозни и водят до хоспитализация или посещение в спешно отделение) е незначимо по-висока при еторикоксиб в сравнение с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като този ефект е дозозависим. Честотата на прекратяванията поради свързани с оток нежелани събития е по-висока при еторикоксиб, отколкото при диклофенак 150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и този ефект е дозозависим (статистически значим за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но не за еторикоксиб 60 </w:t>
      </w:r>
      <w:r w:rsidRPr="00872DEC">
        <w:rPr>
          <w:rFonts w:eastAsia="Times New Roman" w:cs="Arial"/>
          <w:color w:val="000000"/>
          <w:lang w:val="en-US"/>
        </w:rPr>
        <w:t>mg</w:t>
      </w:r>
      <w:r w:rsidRPr="00872DEC">
        <w:rPr>
          <w:rFonts w:eastAsia="Times New Roman" w:cs="Arial"/>
          <w:color w:val="000000"/>
          <w:lang w:val="ru-RU"/>
        </w:rPr>
        <w:t>).</w:t>
      </w:r>
    </w:p>
    <w:p w14:paraId="12095EB7" w14:textId="77777777" w:rsidR="00872DEC" w:rsidRPr="00872DEC" w:rsidRDefault="00872DEC" w:rsidP="00872DEC">
      <w:pPr>
        <w:spacing w:line="240" w:lineRule="auto"/>
        <w:rPr>
          <w:rFonts w:eastAsia="Times New Roman" w:cs="Arial"/>
          <w:color w:val="000000"/>
          <w:lang w:eastAsia="bg-BG"/>
        </w:rPr>
      </w:pPr>
    </w:p>
    <w:p w14:paraId="0672B77E" w14:textId="0F1E21F5"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Кардиореналните резултати при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и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II съответстват на описаните при проучването </w:t>
      </w:r>
      <w:r w:rsidRPr="00872DEC">
        <w:rPr>
          <w:rFonts w:eastAsia="Times New Roman" w:cs="Arial"/>
          <w:color w:val="000000"/>
          <w:lang w:val="en-US"/>
        </w:rPr>
        <w:t>MEDAL</w:t>
      </w:r>
      <w:r w:rsidRPr="00872DEC">
        <w:rPr>
          <w:rFonts w:eastAsia="Times New Roman" w:cs="Arial"/>
          <w:color w:val="000000"/>
          <w:lang w:val="ru-RU"/>
        </w:rPr>
        <w:t>.</w:t>
      </w:r>
    </w:p>
    <w:p w14:paraId="2EF8854A" w14:textId="77777777" w:rsidR="00872DEC" w:rsidRPr="00872DEC" w:rsidRDefault="00872DEC" w:rsidP="00872DEC">
      <w:pPr>
        <w:spacing w:line="240" w:lineRule="auto"/>
        <w:rPr>
          <w:rFonts w:eastAsia="Times New Roman" w:cs="Arial"/>
          <w:color w:val="000000"/>
          <w:lang w:eastAsia="bg-BG"/>
        </w:rPr>
      </w:pPr>
    </w:p>
    <w:p w14:paraId="79F61771" w14:textId="71B10422"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lastRenderedPageBreak/>
        <w:t xml:space="preserve">В отделните проучвания от програмата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върху еторикоксиб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или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абсолютната честота на прекратяванията в която и да е от групите е до 2,6 % за хипертония, до 1,9 % за оток и до 1,1 % за застойна сърдечна недостатъчност, като по-висока честота на прекратявания има при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отколкото при еторикоксиб 60 </w:t>
      </w:r>
      <w:r w:rsidRPr="00872DEC">
        <w:rPr>
          <w:rFonts w:eastAsia="Times New Roman" w:cs="Arial"/>
          <w:color w:val="000000"/>
          <w:lang w:val="en-US"/>
        </w:rPr>
        <w:t>mg</w:t>
      </w:r>
      <w:r w:rsidRPr="00872DEC">
        <w:rPr>
          <w:rFonts w:eastAsia="Times New Roman" w:cs="Arial"/>
          <w:color w:val="000000"/>
          <w:lang w:val="ru-RU"/>
        </w:rPr>
        <w:t>.</w:t>
      </w:r>
    </w:p>
    <w:p w14:paraId="2633363E" w14:textId="77777777" w:rsidR="00872DEC" w:rsidRPr="00872DEC" w:rsidRDefault="00872DEC" w:rsidP="00872DEC">
      <w:pPr>
        <w:spacing w:line="240" w:lineRule="auto"/>
        <w:rPr>
          <w:rFonts w:eastAsia="Times New Roman" w:cs="Arial"/>
          <w:color w:val="000000"/>
          <w:lang w:eastAsia="bg-BG"/>
        </w:rPr>
      </w:pPr>
    </w:p>
    <w:p w14:paraId="70EE437F" w14:textId="0C835A7D"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Програма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резултати за стомашно-чревна поносимост:</w:t>
      </w:r>
    </w:p>
    <w:p w14:paraId="7FA060FC"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Значително по-ниска честота на прекратяване на лечението поради каквото и да е клинично (напр. диспепсия, коремна болка, язва) нежелано събитие от стомашно-чревния тракт се наблюдава при еторикоксиб в сравнение с диклофенак във всяко от трите проучвания съставляващи програмата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Честотата на прекратяване поради нежелано събитие от стомашно-чревния тракт на сто пациент-години за целия период на проучване е както следва: 3,23 за еторикоксиб и 4,96 за диклофенак в проучването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9,12 за еторикоксиб и 12,28 за диклофенак в проучването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 xml:space="preserve">и 3,71 за еторикоксиб и 4,81 за диклофенак в проучването </w:t>
      </w:r>
      <w:r w:rsidRPr="00872DEC">
        <w:rPr>
          <w:rFonts w:eastAsia="Times New Roman" w:cs="Arial"/>
          <w:color w:val="000000"/>
          <w:lang w:val="en-US"/>
        </w:rPr>
        <w:t>EDGE</w:t>
      </w:r>
      <w:r w:rsidRPr="00872DEC">
        <w:rPr>
          <w:rFonts w:eastAsia="Times New Roman" w:cs="Arial"/>
          <w:color w:val="000000"/>
          <w:lang w:val="ru-RU"/>
        </w:rPr>
        <w:t xml:space="preserve"> </w:t>
      </w:r>
      <w:r w:rsidRPr="00872DEC">
        <w:rPr>
          <w:rFonts w:eastAsia="Times New Roman" w:cs="Arial"/>
          <w:color w:val="000000"/>
          <w:lang w:eastAsia="bg-BG"/>
        </w:rPr>
        <w:t>II.</w:t>
      </w:r>
    </w:p>
    <w:p w14:paraId="5001D8F1" w14:textId="77777777" w:rsidR="00872DEC" w:rsidRPr="00872DEC" w:rsidRDefault="00872DEC" w:rsidP="00872DEC">
      <w:pPr>
        <w:spacing w:line="240" w:lineRule="auto"/>
        <w:rPr>
          <w:rFonts w:eastAsia="Times New Roman" w:cs="Arial"/>
          <w:color w:val="000000"/>
          <w:lang w:eastAsia="bg-BG"/>
        </w:rPr>
      </w:pPr>
    </w:p>
    <w:p w14:paraId="46B59B82" w14:textId="15B4B148"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Програма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резултати за стомашно-чревна безопасност:</w:t>
      </w:r>
    </w:p>
    <w:p w14:paraId="401B9CB9"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Всички събития от горната част на стомашно-чревния тракт се определят като перфорации, язви и кървене. Подгрупата на всички събития от горната част на стомашно-чревния тракт, определени като усложнени, включва перфорации, обструкции и усложнено кървене; подгрупата на всички събития от горната част на стомашно-чревния тракт, определени като неусложнени, включва неусложнено кървене и неусложнени язви. Значително по-ниска честота на всички събития от горната част на стомашно-чревния тракт се наблюдава при еторикоксиб в сравнение с диклофенак. Няма значима разлика между еторикоксиб и диклофенак в честотата на усложнените събития. За подгрупата на събития като кръвоизливи от горния СЧ тракт (усложнени и неусложнени комбинирани), няма значима разлика между еторикоксиб и диклофенак. Ползата от приложението по отношение на горния СЧ тракт на еторикоксиб в сравнение с диклофенак не е статистически значима за пациенти, приемащи едновременно ниска доза аспирин (приблизително 33 % от пациентите).</w:t>
      </w:r>
    </w:p>
    <w:p w14:paraId="193D4130" w14:textId="77777777" w:rsidR="00872DEC" w:rsidRPr="00872DEC" w:rsidRDefault="00872DEC" w:rsidP="00872DEC">
      <w:pPr>
        <w:spacing w:line="240" w:lineRule="auto"/>
        <w:rPr>
          <w:rFonts w:eastAsia="Times New Roman" w:cs="Arial"/>
          <w:color w:val="000000"/>
          <w:lang w:eastAsia="bg-BG"/>
        </w:rPr>
      </w:pPr>
    </w:p>
    <w:p w14:paraId="7E583E85" w14:textId="71EC81D2"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Честотата за сто пациент-години на потвърдените усложнени и неусложнени клинични събития от горната част на стомашно-чревния тракт (перфорации, язви и кървене </w:t>
      </w:r>
      <w:r w:rsidRPr="00872DEC">
        <w:rPr>
          <w:rFonts w:eastAsia="Times New Roman" w:cs="Arial"/>
          <w:color w:val="000000"/>
          <w:lang w:val="ru-RU"/>
        </w:rPr>
        <w:t>(</w:t>
      </w:r>
      <w:r w:rsidRPr="00872DEC">
        <w:rPr>
          <w:rFonts w:eastAsia="Times New Roman" w:cs="Arial"/>
          <w:color w:val="000000"/>
          <w:lang w:val="en-US"/>
        </w:rPr>
        <w:t>PUB</w:t>
      </w:r>
      <w:r w:rsidRPr="00872DEC">
        <w:rPr>
          <w:rFonts w:eastAsia="Times New Roman" w:cs="Arial"/>
          <w:color w:val="000000"/>
          <w:lang w:val="ru-RU"/>
        </w:rPr>
        <w:t xml:space="preserve">)) </w:t>
      </w:r>
      <w:r w:rsidRPr="00872DEC">
        <w:rPr>
          <w:rFonts w:eastAsia="Times New Roman" w:cs="Arial"/>
          <w:color w:val="000000"/>
          <w:lang w:eastAsia="bg-BG"/>
        </w:rPr>
        <w:t xml:space="preserve">е 0,67 (95 % </w:t>
      </w:r>
      <w:r w:rsidRPr="00872DEC">
        <w:rPr>
          <w:rFonts w:eastAsia="Times New Roman" w:cs="Arial"/>
          <w:color w:val="000000"/>
          <w:lang w:val="en-US"/>
        </w:rPr>
        <w:t>CI</w:t>
      </w:r>
      <w:r w:rsidRPr="00872DEC">
        <w:rPr>
          <w:rFonts w:eastAsia="Times New Roman" w:cs="Arial"/>
          <w:color w:val="000000"/>
          <w:lang w:val="ru-RU"/>
        </w:rPr>
        <w:t xml:space="preserve"> </w:t>
      </w:r>
      <w:r w:rsidRPr="00872DEC">
        <w:rPr>
          <w:rFonts w:eastAsia="Times New Roman" w:cs="Arial"/>
          <w:color w:val="000000"/>
          <w:lang w:eastAsia="bg-BG"/>
        </w:rPr>
        <w:t xml:space="preserve">0,57,0,77) за еторикоксиб и 0,97 (95 % </w:t>
      </w:r>
      <w:r w:rsidRPr="00872DEC">
        <w:rPr>
          <w:rFonts w:eastAsia="Times New Roman" w:cs="Arial"/>
          <w:color w:val="000000"/>
          <w:lang w:val="en-US"/>
        </w:rPr>
        <w:t>CI</w:t>
      </w:r>
      <w:r w:rsidRPr="00872DEC">
        <w:rPr>
          <w:rFonts w:eastAsia="Times New Roman" w:cs="Arial"/>
          <w:color w:val="000000"/>
          <w:lang w:val="ru-RU"/>
        </w:rPr>
        <w:t xml:space="preserve"> </w:t>
      </w:r>
      <w:r w:rsidRPr="00872DEC">
        <w:rPr>
          <w:rFonts w:eastAsia="Times New Roman" w:cs="Arial"/>
          <w:color w:val="000000"/>
          <w:lang w:eastAsia="bg-BG"/>
        </w:rPr>
        <w:t xml:space="preserve">0,85, 1,10) за диклофенак, даващо относителен риск от 0,69 (95 % </w:t>
      </w:r>
      <w:r w:rsidRPr="00872DEC">
        <w:rPr>
          <w:rFonts w:eastAsia="Times New Roman" w:cs="Arial"/>
          <w:color w:val="000000"/>
          <w:lang w:val="en-US"/>
        </w:rPr>
        <w:t>CI</w:t>
      </w:r>
      <w:r w:rsidRPr="00872DEC">
        <w:rPr>
          <w:rFonts w:eastAsia="Times New Roman" w:cs="Arial"/>
          <w:color w:val="000000"/>
          <w:lang w:val="ru-RU"/>
        </w:rPr>
        <w:t xml:space="preserve"> </w:t>
      </w:r>
      <w:r w:rsidRPr="00872DEC">
        <w:rPr>
          <w:rFonts w:eastAsia="Times New Roman" w:cs="Arial"/>
          <w:color w:val="000000"/>
          <w:lang w:eastAsia="bg-BG"/>
        </w:rPr>
        <w:t>0,57,0,83).</w:t>
      </w:r>
    </w:p>
    <w:p w14:paraId="71929A6E" w14:textId="77777777" w:rsidR="00872DEC" w:rsidRPr="00872DEC" w:rsidRDefault="00872DEC" w:rsidP="00872DEC">
      <w:pPr>
        <w:spacing w:line="240" w:lineRule="auto"/>
        <w:rPr>
          <w:rFonts w:eastAsia="Times New Roman" w:cs="Arial"/>
          <w:color w:val="000000"/>
          <w:lang w:eastAsia="bg-BG"/>
        </w:rPr>
      </w:pPr>
    </w:p>
    <w:p w14:paraId="50C4F4E7" w14:textId="203B701D" w:rsidR="00872DEC" w:rsidRPr="00872DEC" w:rsidRDefault="00872DEC" w:rsidP="00872DEC">
      <w:pPr>
        <w:spacing w:line="240" w:lineRule="auto"/>
        <w:rPr>
          <w:rFonts w:eastAsia="Times New Roman" w:cs="Arial"/>
          <w:color w:val="000000"/>
          <w:lang w:eastAsia="bg-BG"/>
        </w:rPr>
      </w:pPr>
      <w:r w:rsidRPr="00872DEC">
        <w:rPr>
          <w:rFonts w:eastAsia="Times New Roman" w:cs="Arial"/>
          <w:color w:val="000000"/>
          <w:lang w:eastAsia="bg-BG"/>
        </w:rPr>
        <w:t xml:space="preserve">Определена е честотата на потвърдените събития от горната част на стомашно-чревният тракт при пациенти в старческа възраст като най-голямо намаление се наблюдава при пацинети на възраст &gt; 75 години (1,35 [95 % </w:t>
      </w:r>
      <w:r w:rsidRPr="00872DEC">
        <w:rPr>
          <w:rFonts w:eastAsia="Times New Roman" w:cs="Arial"/>
          <w:color w:val="000000"/>
          <w:lang w:val="en-US"/>
        </w:rPr>
        <w:t>CI</w:t>
      </w:r>
      <w:r w:rsidRPr="00872DEC">
        <w:rPr>
          <w:rFonts w:eastAsia="Times New Roman" w:cs="Arial"/>
          <w:color w:val="000000"/>
          <w:lang w:val="ru-RU"/>
        </w:rPr>
        <w:t xml:space="preserve"> </w:t>
      </w:r>
      <w:r w:rsidRPr="00872DEC">
        <w:rPr>
          <w:rFonts w:eastAsia="Times New Roman" w:cs="Arial"/>
          <w:color w:val="000000"/>
          <w:lang w:eastAsia="bg-BG"/>
        </w:rPr>
        <w:t xml:space="preserve">0,94,1,87] срещу 2,78 [95 % </w:t>
      </w:r>
      <w:r w:rsidRPr="00872DEC">
        <w:rPr>
          <w:rFonts w:eastAsia="Times New Roman" w:cs="Arial"/>
          <w:color w:val="000000"/>
          <w:lang w:val="en-US"/>
        </w:rPr>
        <w:t>CI</w:t>
      </w:r>
      <w:r w:rsidRPr="00872DEC">
        <w:rPr>
          <w:rFonts w:eastAsia="Times New Roman" w:cs="Arial"/>
          <w:color w:val="000000"/>
          <w:lang w:val="ru-RU"/>
        </w:rPr>
        <w:t xml:space="preserve"> </w:t>
      </w:r>
      <w:r w:rsidRPr="00872DEC">
        <w:rPr>
          <w:rFonts w:eastAsia="Times New Roman" w:cs="Arial"/>
          <w:color w:val="000000"/>
          <w:lang w:eastAsia="bg-BG"/>
        </w:rPr>
        <w:t>2,14,3,56] прояви за сто пациент-години съответно за еторикоксиб и диклофенак).</w:t>
      </w:r>
    </w:p>
    <w:p w14:paraId="2348CFA5" w14:textId="3B52AEE1" w:rsidR="00872DEC" w:rsidRPr="00872DEC" w:rsidRDefault="00872DEC" w:rsidP="00872DEC">
      <w:pPr>
        <w:spacing w:line="240" w:lineRule="auto"/>
        <w:rPr>
          <w:rFonts w:eastAsia="Times New Roman" w:cs="Arial"/>
          <w:color w:val="000000"/>
          <w:lang w:eastAsia="bg-BG"/>
        </w:rPr>
      </w:pPr>
    </w:p>
    <w:p w14:paraId="65D0CDB3"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Честотата на потвърдените събития от долната част на стомашно-чревния тракт (перфорация на тънки и дебело черво, обструкция или кръвоизлив (РОВ)) не показва значителна разлика между еторикоксиб и диклофенак.</w:t>
      </w:r>
    </w:p>
    <w:p w14:paraId="3F3ABBC8" w14:textId="77777777" w:rsidR="00872DEC" w:rsidRPr="00872DEC" w:rsidRDefault="00872DEC" w:rsidP="00872DEC">
      <w:pPr>
        <w:spacing w:line="240" w:lineRule="auto"/>
        <w:rPr>
          <w:rFonts w:eastAsia="Times New Roman" w:cs="Arial"/>
          <w:color w:val="000000"/>
          <w:lang w:eastAsia="bg-BG"/>
        </w:rPr>
      </w:pPr>
    </w:p>
    <w:p w14:paraId="16702BCA" w14:textId="3B5ECF12"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Програма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резултати за чернодробна безопасност:</w:t>
      </w:r>
    </w:p>
    <w:p w14:paraId="684C9D1A"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Еторикоксиб се свързва със статистически значимо по-ниска честота на прекратяване поради чернодробно свързани нежелани реакции в сравнение с диклофенак. В обобщената програма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0,3 % от пациентите на еторикоксиб и 2,7 % от тези на диклофенак прекратяват поради свързана с черния дроб нежелана реакция. Честотата за сто пациентогодини е 0,22 за еторикоксиб и 1,84 за диклофенак (р-стойност &lt; 0,001 за </w:t>
      </w:r>
      <w:r w:rsidRPr="00872DEC">
        <w:rPr>
          <w:rFonts w:eastAsia="Times New Roman" w:cs="Arial"/>
          <w:color w:val="000000"/>
          <w:lang w:eastAsia="bg-BG"/>
        </w:rPr>
        <w:lastRenderedPageBreak/>
        <w:t xml:space="preserve">еторикоксиб спрямо диклофенак). В същото време повечето от нежеланите реакции с чернодробни прояви в програмата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не са сериозни.</w:t>
      </w:r>
    </w:p>
    <w:p w14:paraId="5B6A9248" w14:textId="77777777" w:rsidR="00872DEC" w:rsidRPr="00872DEC" w:rsidRDefault="00872DEC" w:rsidP="00872DEC">
      <w:pPr>
        <w:spacing w:line="240" w:lineRule="auto"/>
        <w:rPr>
          <w:rFonts w:eastAsia="Times New Roman" w:cs="Arial"/>
          <w:color w:val="000000"/>
          <w:u w:val="single"/>
          <w:lang w:eastAsia="bg-BG"/>
        </w:rPr>
      </w:pPr>
    </w:p>
    <w:p w14:paraId="5E33DB8A" w14:textId="4B42C41E"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Допълнителни данни за тромботична сърдечно-съдова безопасност</w:t>
      </w:r>
    </w:p>
    <w:p w14:paraId="067A28F5"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В клинични проучвания извън тези от програмата </w:t>
      </w:r>
      <w:r w:rsidRPr="00872DEC">
        <w:rPr>
          <w:rFonts w:eastAsia="Times New Roman" w:cs="Arial"/>
          <w:color w:val="000000"/>
          <w:lang w:val="en-US"/>
        </w:rPr>
        <w:t>MEDAL</w:t>
      </w:r>
      <w:r w:rsidRPr="00872DEC">
        <w:rPr>
          <w:rFonts w:eastAsia="Times New Roman" w:cs="Arial"/>
          <w:color w:val="000000"/>
          <w:lang w:val="ru-RU"/>
        </w:rPr>
        <w:t xml:space="preserve">, </w:t>
      </w:r>
      <w:r w:rsidRPr="00872DEC">
        <w:rPr>
          <w:rFonts w:eastAsia="Times New Roman" w:cs="Arial"/>
          <w:color w:val="000000"/>
          <w:lang w:eastAsia="bg-BG"/>
        </w:rPr>
        <w:t xml:space="preserve">приблизително 3 100 пациенти са лекувани с еторикоксиб &gt;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за 12 или повече седмици. Не се наблюдава видима разлика в честотата на потвърдените сериозни тромботични сърдечно-съдови събития между пациентите на еторикоксиб &gt;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плацебо или ненапроксенови НСПВС. В същото време честотата на тези прояви е по-висока при пациентите, получавали еторикоксиб в сравнение с тези, получавали напроксен 500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два пъти дневно. Разликата в антитромбоцитната активност между някои СОХ-1 потискащи НСПВС и селективни СОХ-2 инхибитори може да е от клинично значение при пациенти, рискови за тромбоемболични събития. Селективните СОХ-2 инхибитори намаляват формирането на системен (и поради това възможно ендотелен) простациклин, без да засягат тромбоксана на тромбоцитите. Клиничното значение на тези наблюдения не е установено.</w:t>
      </w:r>
    </w:p>
    <w:p w14:paraId="398F814E" w14:textId="77777777" w:rsidR="00872DEC" w:rsidRPr="00872DEC" w:rsidRDefault="00872DEC" w:rsidP="00872DEC">
      <w:pPr>
        <w:spacing w:line="240" w:lineRule="auto"/>
        <w:rPr>
          <w:rFonts w:eastAsia="Times New Roman" w:cs="Arial"/>
          <w:color w:val="000000"/>
          <w:u w:val="single"/>
          <w:lang w:eastAsia="bg-BG"/>
        </w:rPr>
      </w:pPr>
    </w:p>
    <w:p w14:paraId="17820118" w14:textId="2D0BD24C"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Допълнителни данни за стомашно-чревна безопасност</w:t>
      </w:r>
    </w:p>
    <w:p w14:paraId="7170B122"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В две 12-седмични, двойнослепи ендоскопски проучвания кумулативната честота на стомашно- чревните улцерации е значително по-ниска при пациентите, лекувани с еторикоксиб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един път дневно, отколкото при пациентите, лекувани с напроксен 500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два пъти дневно и ибупрофен 800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три пъти дневно. Еторикоксиб е бил с по-висока честота на улцерациите в сравнение с плацебо.</w:t>
      </w:r>
    </w:p>
    <w:p w14:paraId="58C2322D" w14:textId="77777777" w:rsidR="00872DEC" w:rsidRPr="00872DEC" w:rsidRDefault="00872DEC" w:rsidP="00872DEC">
      <w:pPr>
        <w:spacing w:line="240" w:lineRule="auto"/>
        <w:rPr>
          <w:rFonts w:eastAsia="Times New Roman" w:cs="Arial"/>
          <w:color w:val="000000"/>
          <w:u w:val="single"/>
          <w:lang w:eastAsia="bg-BG"/>
        </w:rPr>
      </w:pPr>
    </w:p>
    <w:p w14:paraId="0B486722" w14:textId="227AB6C4" w:rsidR="00872DEC" w:rsidRPr="00872DEC" w:rsidRDefault="00872DEC" w:rsidP="00872DEC">
      <w:pPr>
        <w:spacing w:line="240" w:lineRule="auto"/>
        <w:rPr>
          <w:rFonts w:eastAsia="Times New Roman" w:cs="Arial"/>
          <w:sz w:val="24"/>
          <w:szCs w:val="24"/>
        </w:rPr>
      </w:pPr>
      <w:r w:rsidRPr="00872DEC">
        <w:rPr>
          <w:rFonts w:eastAsia="Times New Roman" w:cs="Arial"/>
          <w:color w:val="000000"/>
          <w:u w:val="single"/>
          <w:lang w:eastAsia="bg-BG"/>
        </w:rPr>
        <w:t>Проучване на бъбречната функция в старческа възраст:</w:t>
      </w:r>
    </w:p>
    <w:p w14:paraId="6E0BC195" w14:textId="3327D423"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Рандомизирано, двойносляпо, паралелногрупово, плацебо-контролирано проучване оценява ефекта от 15-дневно лечение с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целекоксиб (200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два пъти дневно), напроксен (500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два пъти дневно) и плацебо, върху екскрецията на натрий в урината, кръвното налягане и други параметри на бъбречната функция, при пациенти на възраст от 60 до 85 години на диета от 200 </w:t>
      </w:r>
      <w:proofErr w:type="spellStart"/>
      <w:r w:rsidRPr="00872DEC">
        <w:rPr>
          <w:rFonts w:eastAsia="Times New Roman" w:cs="Arial"/>
          <w:color w:val="000000"/>
          <w:lang w:val="en-US"/>
        </w:rPr>
        <w:t>mEq</w:t>
      </w:r>
      <w:proofErr w:type="spellEnd"/>
      <w:r w:rsidRPr="00872DEC">
        <w:rPr>
          <w:rFonts w:eastAsia="Times New Roman" w:cs="Arial"/>
          <w:color w:val="000000"/>
          <w:lang w:eastAsia="bg-BG"/>
        </w:rPr>
        <w:t xml:space="preserve">/ден натрий. Еторикоксиб, целекоксиб и напроксен имат близък ефект върху уринарната екскреция на натрий за двуседмичния период на лечение. Всички продукти за активно сравнение показват повишение в сравнение с плацебо на систоличното кръвно налягане, еторикоксиб обаче се свързва със статистически значимо повишение на ден 14 в сравнение с целекоксиб и напроксен (средната промяна спрямо изходното ниво за систоличното артериално налягане: еторикоксиб 7,7 </w:t>
      </w:r>
      <w:r w:rsidRPr="00872DEC">
        <w:rPr>
          <w:rFonts w:eastAsia="Times New Roman" w:cs="Arial"/>
          <w:color w:val="000000"/>
          <w:lang w:val="en-US"/>
        </w:rPr>
        <w:t>mmHg</w:t>
      </w:r>
      <w:r w:rsidRPr="00872DEC">
        <w:rPr>
          <w:rFonts w:eastAsia="Times New Roman" w:cs="Arial"/>
          <w:color w:val="000000"/>
          <w:lang w:val="ru-RU"/>
        </w:rPr>
        <w:t xml:space="preserve">, </w:t>
      </w:r>
      <w:r w:rsidRPr="00872DEC">
        <w:rPr>
          <w:rFonts w:eastAsia="Times New Roman" w:cs="Arial"/>
          <w:color w:val="000000"/>
          <w:lang w:eastAsia="bg-BG"/>
        </w:rPr>
        <w:t xml:space="preserve">целекоксиб 2,4 </w:t>
      </w:r>
      <w:r w:rsidRPr="00872DEC">
        <w:rPr>
          <w:rFonts w:eastAsia="Times New Roman" w:cs="Arial"/>
          <w:color w:val="000000"/>
          <w:lang w:val="en-US"/>
        </w:rPr>
        <w:t>mmHg</w:t>
      </w:r>
      <w:r w:rsidRPr="00872DEC">
        <w:rPr>
          <w:rFonts w:eastAsia="Times New Roman" w:cs="Arial"/>
          <w:color w:val="000000"/>
          <w:lang w:val="ru-RU"/>
        </w:rPr>
        <w:t xml:space="preserve">, </w:t>
      </w:r>
      <w:r w:rsidRPr="00872DEC">
        <w:rPr>
          <w:rFonts w:eastAsia="Times New Roman" w:cs="Arial"/>
          <w:color w:val="000000"/>
          <w:lang w:eastAsia="bg-BG"/>
        </w:rPr>
        <w:t xml:space="preserve">напроксен 3,6 </w:t>
      </w:r>
      <w:r w:rsidRPr="00872DEC">
        <w:rPr>
          <w:rFonts w:eastAsia="Times New Roman" w:cs="Arial"/>
          <w:color w:val="000000"/>
          <w:lang w:val="en-US"/>
        </w:rPr>
        <w:t>mmHg</w:t>
      </w:r>
      <w:r w:rsidRPr="00872DEC">
        <w:rPr>
          <w:rFonts w:eastAsia="Times New Roman" w:cs="Arial"/>
          <w:color w:val="000000"/>
          <w:lang w:val="ru-RU"/>
        </w:rPr>
        <w:t>).</w:t>
      </w:r>
    </w:p>
    <w:p w14:paraId="0328FAE3" w14:textId="77777777" w:rsidR="00872DEC" w:rsidRPr="00872DEC" w:rsidRDefault="00872DEC" w:rsidP="00872DEC"/>
    <w:p w14:paraId="79643DB7" w14:textId="21231FE3" w:rsidR="00DF4C8E" w:rsidRDefault="002C50EE" w:rsidP="00F44498">
      <w:pPr>
        <w:pStyle w:val="Heading2"/>
      </w:pPr>
      <w:r>
        <w:t>5.2. Фармакокинетични свойства</w:t>
      </w:r>
    </w:p>
    <w:p w14:paraId="5B8AF997" w14:textId="7D96038C" w:rsidR="00872DEC" w:rsidRDefault="00872DEC" w:rsidP="00872DEC"/>
    <w:p w14:paraId="563835CC" w14:textId="77777777"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Абсорбция</w:t>
      </w:r>
    </w:p>
    <w:p w14:paraId="7F130F10" w14:textId="27B9FC59" w:rsidR="00872DEC" w:rsidRPr="00872DEC" w:rsidRDefault="00872DEC" w:rsidP="00872DEC">
      <w:pPr>
        <w:rPr>
          <w:rFonts w:eastAsia="Times New Roman" w:cs="Arial"/>
          <w:color w:val="000000"/>
          <w:lang w:eastAsia="bg-BG"/>
        </w:rPr>
      </w:pPr>
      <w:r w:rsidRPr="00872DEC">
        <w:rPr>
          <w:rFonts w:eastAsia="Times New Roman" w:cs="Arial"/>
          <w:color w:val="000000"/>
          <w:lang w:eastAsia="bg-BG"/>
        </w:rPr>
        <w:t xml:space="preserve">Перорално приложен еторикоксиб се абсорбира добре. Абсолютната бионаличност е приблизително 100 %. След приложение на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веднъж на ден до постигане на равновесно състояние </w:t>
      </w:r>
      <w:r w:rsidRPr="00872DEC">
        <w:rPr>
          <w:rFonts w:eastAsia="Times New Roman" w:cs="Arial"/>
          <w:color w:val="000000"/>
          <w:lang w:val="ru-RU"/>
        </w:rPr>
        <w:t>(</w:t>
      </w:r>
      <w:r w:rsidRPr="00872DEC">
        <w:rPr>
          <w:rFonts w:eastAsia="Times New Roman" w:cs="Arial"/>
          <w:color w:val="000000"/>
          <w:lang w:val="en-US"/>
        </w:rPr>
        <w:t>steady</w:t>
      </w:r>
      <w:r w:rsidRPr="00872DEC">
        <w:rPr>
          <w:rFonts w:eastAsia="Times New Roman" w:cs="Arial"/>
          <w:color w:val="000000"/>
          <w:lang w:val="ru-RU"/>
        </w:rPr>
        <w:t xml:space="preserve"> </w:t>
      </w:r>
      <w:r w:rsidRPr="00872DEC">
        <w:rPr>
          <w:rFonts w:eastAsia="Times New Roman" w:cs="Arial"/>
          <w:color w:val="000000"/>
          <w:lang w:val="en-US"/>
        </w:rPr>
        <w:t>state</w:t>
      </w:r>
      <w:r w:rsidRPr="00872DEC">
        <w:rPr>
          <w:rFonts w:eastAsia="Times New Roman" w:cs="Arial"/>
          <w:color w:val="000000"/>
          <w:lang w:val="ru-RU"/>
        </w:rPr>
        <w:t xml:space="preserve">), </w:t>
      </w:r>
      <w:r w:rsidRPr="00872DEC">
        <w:rPr>
          <w:rFonts w:eastAsia="Times New Roman" w:cs="Arial"/>
          <w:color w:val="000000"/>
          <w:lang w:eastAsia="bg-BG"/>
        </w:rPr>
        <w:t>пикова плазмена концентрация (средна С</w:t>
      </w:r>
      <w:r w:rsidRPr="00872DEC">
        <w:rPr>
          <w:rFonts w:eastAsia="Times New Roman" w:cs="Arial"/>
          <w:color w:val="000000"/>
          <w:vertAlign w:val="subscript"/>
          <w:lang w:val="en-US"/>
        </w:rPr>
        <w:t>max</w:t>
      </w:r>
      <w:r w:rsidRPr="00872DEC">
        <w:rPr>
          <w:rFonts w:eastAsia="Times New Roman" w:cs="Arial"/>
          <w:color w:val="000000"/>
          <w:vertAlign w:val="subscript"/>
          <w:lang w:eastAsia="bg-BG"/>
        </w:rPr>
        <w:t xml:space="preserve"> </w:t>
      </w:r>
      <w:r w:rsidRPr="00872DEC">
        <w:rPr>
          <w:rFonts w:eastAsia="Times New Roman" w:cs="Arial"/>
          <w:color w:val="000000"/>
          <w:lang w:eastAsia="bg-BG"/>
        </w:rPr>
        <w:t xml:space="preserve">= 3,6 </w:t>
      </w:r>
      <w:proofErr w:type="spellStart"/>
      <w:r w:rsidRPr="00872DEC">
        <w:rPr>
          <w:rFonts w:eastAsia="Times New Roman" w:cs="Arial"/>
          <w:color w:val="000000"/>
          <w:lang w:val="en-US"/>
        </w:rPr>
        <w:t>pg</w:t>
      </w:r>
      <w:proofErr w:type="spellEnd"/>
      <w:r w:rsidRPr="00872DEC">
        <w:rPr>
          <w:rFonts w:eastAsia="Times New Roman" w:cs="Arial"/>
          <w:color w:val="000000"/>
          <w:lang w:val="ru-RU"/>
        </w:rPr>
        <w:t>/</w:t>
      </w:r>
      <w:r w:rsidRPr="00872DEC">
        <w:rPr>
          <w:rFonts w:eastAsia="Times New Roman" w:cs="Arial"/>
          <w:color w:val="000000"/>
          <w:lang w:val="en-US"/>
        </w:rPr>
        <w:t>ml</w:t>
      </w:r>
      <w:r w:rsidRPr="00872DEC">
        <w:rPr>
          <w:rFonts w:eastAsia="Times New Roman" w:cs="Arial"/>
          <w:color w:val="000000"/>
          <w:lang w:val="ru-RU"/>
        </w:rPr>
        <w:t xml:space="preserve">) </w:t>
      </w:r>
      <w:r w:rsidRPr="00872DEC">
        <w:rPr>
          <w:rFonts w:eastAsia="Times New Roman" w:cs="Arial"/>
          <w:color w:val="000000"/>
          <w:lang w:eastAsia="bg-BG"/>
        </w:rPr>
        <w:t>е наблюдавана приблизително 1 час (Т</w:t>
      </w:r>
      <w:r w:rsidRPr="00872DEC">
        <w:rPr>
          <w:rFonts w:eastAsia="Times New Roman" w:cs="Arial"/>
          <w:color w:val="000000"/>
          <w:vertAlign w:val="subscript"/>
          <w:lang w:val="en-US"/>
        </w:rPr>
        <w:t>max</w:t>
      </w:r>
      <w:r w:rsidRPr="00872DEC">
        <w:rPr>
          <w:rFonts w:eastAsia="Times New Roman" w:cs="Arial"/>
          <w:color w:val="000000"/>
          <w:lang w:eastAsia="bg-BG"/>
        </w:rPr>
        <w:t xml:space="preserve">) при възрастни пациенти на гладно. Средно геометричната площ под кривата </w:t>
      </w:r>
      <w:r w:rsidRPr="00872DEC">
        <w:rPr>
          <w:rFonts w:eastAsia="Times New Roman" w:cs="Arial"/>
          <w:color w:val="000000"/>
          <w:lang w:val="ru-RU"/>
        </w:rPr>
        <w:t>(</w:t>
      </w:r>
      <w:r w:rsidRPr="00872DEC">
        <w:rPr>
          <w:rFonts w:eastAsia="Times New Roman" w:cs="Arial"/>
          <w:color w:val="000000"/>
          <w:lang w:val="en-US"/>
        </w:rPr>
        <w:t>AUC</w:t>
      </w:r>
      <w:r w:rsidRPr="00872DEC">
        <w:rPr>
          <w:rFonts w:eastAsia="Times New Roman" w:cs="Arial"/>
          <w:color w:val="000000"/>
          <w:vertAlign w:val="subscript"/>
          <w:lang w:val="ru-RU"/>
        </w:rPr>
        <w:t>0-24</w:t>
      </w:r>
      <w:proofErr w:type="spellStart"/>
      <w:r w:rsidRPr="00872DEC">
        <w:rPr>
          <w:rFonts w:eastAsia="Times New Roman" w:cs="Arial"/>
          <w:color w:val="000000"/>
          <w:vertAlign w:val="subscript"/>
          <w:lang w:val="en-US"/>
        </w:rPr>
        <w:t>hr</w:t>
      </w:r>
      <w:proofErr w:type="spellEnd"/>
      <w:r w:rsidRPr="00872DEC">
        <w:rPr>
          <w:rFonts w:eastAsia="Times New Roman" w:cs="Arial"/>
          <w:color w:val="000000"/>
          <w:lang w:val="ru-RU"/>
        </w:rPr>
        <w:t xml:space="preserve">) </w:t>
      </w:r>
      <w:r w:rsidRPr="00872DEC">
        <w:rPr>
          <w:rFonts w:eastAsia="Times New Roman" w:cs="Arial"/>
          <w:color w:val="000000"/>
          <w:lang w:eastAsia="bg-BG"/>
        </w:rPr>
        <w:t xml:space="preserve">е 37,8 </w:t>
      </w:r>
      <w:proofErr w:type="spellStart"/>
      <w:r w:rsidRPr="00872DEC">
        <w:rPr>
          <w:rFonts w:eastAsia="Times New Roman" w:cs="Arial"/>
          <w:color w:val="000000"/>
          <w:lang w:val="en-US"/>
        </w:rPr>
        <w:t>pg</w:t>
      </w:r>
      <w:proofErr w:type="spellEnd"/>
      <w:r w:rsidRPr="00872DEC">
        <w:rPr>
          <w:rFonts w:eastAsia="Times New Roman" w:cs="Arial"/>
          <w:color w:val="000000"/>
          <w:lang w:val="ru-RU"/>
        </w:rPr>
        <w:t>.</w:t>
      </w:r>
      <w:proofErr w:type="spellStart"/>
      <w:r w:rsidRPr="00872DEC">
        <w:rPr>
          <w:rFonts w:eastAsia="Times New Roman" w:cs="Arial"/>
          <w:color w:val="000000"/>
          <w:lang w:val="en-US"/>
        </w:rPr>
        <w:t>hr</w:t>
      </w:r>
      <w:proofErr w:type="spellEnd"/>
      <w:r w:rsidRPr="00872DEC">
        <w:rPr>
          <w:rFonts w:eastAsia="Times New Roman" w:cs="Arial"/>
          <w:color w:val="000000"/>
          <w:lang w:val="ru-RU"/>
        </w:rPr>
        <w:t>/</w:t>
      </w:r>
      <w:r w:rsidRPr="00872DEC">
        <w:rPr>
          <w:rFonts w:eastAsia="Times New Roman" w:cs="Arial"/>
          <w:color w:val="000000"/>
          <w:lang w:val="en-US"/>
        </w:rPr>
        <w:t>ml</w:t>
      </w:r>
      <w:r w:rsidRPr="00872DEC">
        <w:rPr>
          <w:rFonts w:eastAsia="Times New Roman" w:cs="Arial"/>
          <w:color w:val="000000"/>
          <w:lang w:val="ru-RU"/>
        </w:rPr>
        <w:t xml:space="preserve">. </w:t>
      </w:r>
      <w:r w:rsidRPr="00872DEC">
        <w:rPr>
          <w:rFonts w:eastAsia="Times New Roman" w:cs="Arial"/>
          <w:color w:val="000000"/>
          <w:lang w:eastAsia="bg-BG"/>
        </w:rPr>
        <w:t>Фармакокинетиката на еторикоксиб е линейна в рамките на клиничния дозов интервал.</w:t>
      </w:r>
    </w:p>
    <w:p w14:paraId="44AEAB8A" w14:textId="663AD6B9" w:rsidR="00872DEC" w:rsidRPr="00872DEC" w:rsidRDefault="00872DEC" w:rsidP="00872DEC">
      <w:pPr>
        <w:rPr>
          <w:rFonts w:eastAsia="Times New Roman" w:cs="Arial"/>
          <w:color w:val="000000"/>
          <w:lang w:eastAsia="bg-BG"/>
        </w:rPr>
      </w:pPr>
    </w:p>
    <w:p w14:paraId="51544D76"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Приемът с храна, богата на мазнини, няма ефект върху степента на абсорбция на еторикоксиб след приложение на доза от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Скоростта на абсорбцията е била повлияна в следните граници: 36 % намаление на </w:t>
      </w:r>
      <w:proofErr w:type="spellStart"/>
      <w:r w:rsidRPr="00872DEC">
        <w:rPr>
          <w:rFonts w:eastAsia="Times New Roman" w:cs="Arial"/>
          <w:color w:val="000000"/>
          <w:lang w:val="en-US"/>
        </w:rPr>
        <w:t>C</w:t>
      </w:r>
      <w:r w:rsidRPr="00872DEC">
        <w:rPr>
          <w:rFonts w:eastAsia="Times New Roman" w:cs="Arial"/>
          <w:color w:val="000000"/>
          <w:vertAlign w:val="subscript"/>
          <w:lang w:val="en-US"/>
        </w:rPr>
        <w:t>max</w:t>
      </w:r>
      <w:proofErr w:type="spellEnd"/>
      <w:r w:rsidRPr="00872DEC">
        <w:rPr>
          <w:rFonts w:eastAsia="Times New Roman" w:cs="Arial"/>
          <w:color w:val="000000"/>
          <w:lang w:val="ru-RU"/>
        </w:rPr>
        <w:t xml:space="preserve"> </w:t>
      </w:r>
      <w:r w:rsidRPr="00872DEC">
        <w:rPr>
          <w:rFonts w:eastAsia="Times New Roman" w:cs="Arial"/>
          <w:color w:val="000000"/>
          <w:lang w:eastAsia="bg-BG"/>
        </w:rPr>
        <w:t>и увеличение на Т</w:t>
      </w:r>
      <w:r w:rsidRPr="00872DEC">
        <w:rPr>
          <w:rFonts w:eastAsia="Times New Roman" w:cs="Arial"/>
          <w:color w:val="000000"/>
          <w:lang w:val="en-US"/>
        </w:rPr>
        <w:t>max</w:t>
      </w:r>
      <w:r w:rsidRPr="00872DEC">
        <w:rPr>
          <w:rFonts w:eastAsia="Times New Roman" w:cs="Arial"/>
          <w:color w:val="000000"/>
          <w:lang w:eastAsia="bg-BG"/>
        </w:rPr>
        <w:t xml:space="preserve"> с 2 часа. </w:t>
      </w:r>
      <w:r w:rsidRPr="00872DEC">
        <w:rPr>
          <w:rFonts w:eastAsia="Times New Roman" w:cs="Arial"/>
          <w:color w:val="000000"/>
          <w:lang w:eastAsia="bg-BG"/>
        </w:rPr>
        <w:lastRenderedPageBreak/>
        <w:t>Тези данни не са били счетени за клинично значими. В клиничните изследвания еторикоксиб е бил преман независимо от приема на храна.</w:t>
      </w:r>
    </w:p>
    <w:p w14:paraId="4B28724E" w14:textId="77777777" w:rsidR="00872DEC" w:rsidRPr="00872DEC" w:rsidRDefault="00872DEC" w:rsidP="00872DEC">
      <w:pPr>
        <w:spacing w:line="240" w:lineRule="auto"/>
        <w:rPr>
          <w:rFonts w:eastAsia="Times New Roman" w:cs="Arial"/>
          <w:i/>
          <w:iCs/>
          <w:color w:val="000000"/>
          <w:lang w:eastAsia="bg-BG"/>
        </w:rPr>
      </w:pPr>
    </w:p>
    <w:p w14:paraId="2A2C7D83" w14:textId="480A388E"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Разпределение</w:t>
      </w:r>
    </w:p>
    <w:p w14:paraId="07D7D5AC"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Еторикоксиб се свързва с плазмените протеини в приблизително 92 % при концентрации от 0,05 до 5 </w:t>
      </w:r>
      <w:proofErr w:type="spellStart"/>
      <w:r w:rsidRPr="00872DEC">
        <w:rPr>
          <w:rFonts w:eastAsia="Times New Roman" w:cs="Arial"/>
          <w:color w:val="000000"/>
          <w:lang w:val="en-US"/>
        </w:rPr>
        <w:t>pg</w:t>
      </w:r>
      <w:proofErr w:type="spellEnd"/>
      <w:r w:rsidRPr="00872DEC">
        <w:rPr>
          <w:rFonts w:eastAsia="Times New Roman" w:cs="Arial"/>
          <w:color w:val="000000"/>
          <w:lang w:val="ru-RU"/>
        </w:rPr>
        <w:t>/</w:t>
      </w:r>
      <w:r w:rsidRPr="00872DEC">
        <w:rPr>
          <w:rFonts w:eastAsia="Times New Roman" w:cs="Arial"/>
          <w:color w:val="000000"/>
          <w:lang w:val="en-US"/>
        </w:rPr>
        <w:t>ml</w:t>
      </w:r>
      <w:r w:rsidRPr="00872DEC">
        <w:rPr>
          <w:rFonts w:eastAsia="Times New Roman" w:cs="Arial"/>
          <w:color w:val="000000"/>
          <w:lang w:val="ru-RU"/>
        </w:rPr>
        <w:t xml:space="preserve">. </w:t>
      </w:r>
      <w:r w:rsidRPr="00872DEC">
        <w:rPr>
          <w:rFonts w:eastAsia="Times New Roman" w:cs="Arial"/>
          <w:color w:val="000000"/>
          <w:lang w:eastAsia="bg-BG"/>
        </w:rPr>
        <w:t xml:space="preserve">Обемът на разпределение в състояние на равновесие </w:t>
      </w:r>
      <w:r w:rsidRPr="00872DEC">
        <w:rPr>
          <w:rFonts w:eastAsia="Times New Roman" w:cs="Arial"/>
          <w:color w:val="000000"/>
          <w:lang w:val="ru-RU"/>
        </w:rPr>
        <w:t>(</w:t>
      </w:r>
      <w:proofErr w:type="spellStart"/>
      <w:r w:rsidRPr="00872DEC">
        <w:rPr>
          <w:rFonts w:eastAsia="Times New Roman" w:cs="Arial"/>
          <w:color w:val="000000"/>
          <w:lang w:val="en-US"/>
        </w:rPr>
        <w:t>VdSS</w:t>
      </w:r>
      <w:proofErr w:type="spellEnd"/>
      <w:r w:rsidRPr="00872DEC">
        <w:rPr>
          <w:rFonts w:eastAsia="Times New Roman" w:cs="Arial"/>
          <w:color w:val="000000"/>
          <w:lang w:val="ru-RU"/>
        </w:rPr>
        <w:t xml:space="preserve">) </w:t>
      </w:r>
      <w:r w:rsidRPr="00872DEC">
        <w:rPr>
          <w:rFonts w:eastAsia="Times New Roman" w:cs="Arial"/>
          <w:color w:val="000000"/>
          <w:lang w:eastAsia="bg-BG"/>
        </w:rPr>
        <w:t>е бил приблизително 120 1 при хората.</w:t>
      </w:r>
    </w:p>
    <w:p w14:paraId="077310D9" w14:textId="77777777" w:rsidR="00872DEC" w:rsidRPr="00872DEC" w:rsidRDefault="00872DEC" w:rsidP="00872DEC">
      <w:pPr>
        <w:spacing w:line="240" w:lineRule="auto"/>
        <w:rPr>
          <w:rFonts w:eastAsia="Times New Roman" w:cs="Arial"/>
          <w:color w:val="000000"/>
          <w:lang w:eastAsia="bg-BG"/>
        </w:rPr>
      </w:pPr>
    </w:p>
    <w:p w14:paraId="7E2CDB1B" w14:textId="69B6088E"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Еторикоксиб преминава плацентарната бариера при плъхове и зайци и хематоенцефалната бариера при плъхове.</w:t>
      </w:r>
    </w:p>
    <w:p w14:paraId="6BAA5FA1" w14:textId="77777777" w:rsidR="00872DEC" w:rsidRPr="00872DEC" w:rsidRDefault="00872DEC" w:rsidP="00872DEC">
      <w:pPr>
        <w:spacing w:line="240" w:lineRule="auto"/>
        <w:rPr>
          <w:rFonts w:eastAsia="Times New Roman" w:cs="Arial"/>
          <w:i/>
          <w:iCs/>
          <w:color w:val="000000"/>
          <w:lang w:eastAsia="bg-BG"/>
        </w:rPr>
      </w:pPr>
    </w:p>
    <w:p w14:paraId="19DEA0C8" w14:textId="6459FF77"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Биотрансформация</w:t>
      </w:r>
    </w:p>
    <w:p w14:paraId="0CCAE9CF"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Еторикоксиб се метаболизира напълно като &lt; 1 % от дозата се установява в урината под формата на изходното лекарство. Основният път на метаболизиране с формиране на 6’- хидроксиметил дериват се катализира от </w:t>
      </w:r>
      <w:r w:rsidRPr="00872DEC">
        <w:rPr>
          <w:rFonts w:eastAsia="Times New Roman" w:cs="Arial"/>
          <w:color w:val="000000"/>
          <w:lang w:val="en-US"/>
        </w:rPr>
        <w:t>CYP</w:t>
      </w:r>
      <w:r w:rsidRPr="00872DEC">
        <w:rPr>
          <w:rFonts w:eastAsia="Times New Roman" w:cs="Arial"/>
          <w:color w:val="000000"/>
          <w:lang w:val="ru-RU"/>
        </w:rPr>
        <w:t xml:space="preserve"> </w:t>
      </w:r>
      <w:r w:rsidRPr="00872DEC">
        <w:rPr>
          <w:rFonts w:eastAsia="Times New Roman" w:cs="Arial"/>
          <w:color w:val="000000"/>
          <w:lang w:eastAsia="bg-BG"/>
        </w:rPr>
        <w:t xml:space="preserve">ензимите. </w:t>
      </w:r>
      <w:r w:rsidRPr="00872DEC">
        <w:rPr>
          <w:rFonts w:eastAsia="Times New Roman" w:cs="Arial"/>
          <w:color w:val="000000"/>
          <w:lang w:val="en-US"/>
        </w:rPr>
        <w:t>CYP</w:t>
      </w:r>
      <w:r w:rsidRPr="00872DEC">
        <w:rPr>
          <w:rFonts w:eastAsia="Times New Roman" w:cs="Arial"/>
          <w:color w:val="000000"/>
          <w:lang w:val="ru-RU"/>
        </w:rPr>
        <w:t>3</w:t>
      </w:r>
      <w:r w:rsidRPr="00872DEC">
        <w:rPr>
          <w:rFonts w:eastAsia="Times New Roman" w:cs="Arial"/>
          <w:color w:val="000000"/>
          <w:lang w:val="en-US"/>
        </w:rPr>
        <w:t>A</w:t>
      </w:r>
      <w:r w:rsidRPr="00872DEC">
        <w:rPr>
          <w:rFonts w:eastAsia="Times New Roman" w:cs="Arial"/>
          <w:color w:val="000000"/>
          <w:lang w:val="ru-RU"/>
        </w:rPr>
        <w:t xml:space="preserve">4 </w:t>
      </w:r>
      <w:r w:rsidRPr="00872DEC">
        <w:rPr>
          <w:rFonts w:eastAsia="Times New Roman" w:cs="Arial"/>
          <w:color w:val="000000"/>
          <w:lang w:eastAsia="bg-BG"/>
        </w:rPr>
        <w:t xml:space="preserve">вероятно допринася за метаболизирането на еторикоксиб </w:t>
      </w:r>
      <w:r w:rsidRPr="00872DEC">
        <w:rPr>
          <w:rFonts w:eastAsia="Times New Roman" w:cs="Arial"/>
          <w:i/>
          <w:iCs/>
          <w:color w:val="000000"/>
          <w:lang w:val="en-US"/>
        </w:rPr>
        <w:t>in</w:t>
      </w:r>
      <w:r w:rsidRPr="00872DEC">
        <w:rPr>
          <w:rFonts w:eastAsia="Times New Roman" w:cs="Arial"/>
          <w:i/>
          <w:iCs/>
          <w:color w:val="000000"/>
          <w:lang w:val="ru-RU"/>
        </w:rPr>
        <w:t xml:space="preserve"> </w:t>
      </w:r>
      <w:r w:rsidRPr="00872DEC">
        <w:rPr>
          <w:rFonts w:eastAsia="Times New Roman" w:cs="Arial"/>
          <w:i/>
          <w:iCs/>
          <w:color w:val="000000"/>
          <w:lang w:val="en-US"/>
        </w:rPr>
        <w:t>vivo</w:t>
      </w:r>
      <w:r w:rsidRPr="00872DEC">
        <w:rPr>
          <w:rFonts w:eastAsia="Times New Roman" w:cs="Arial"/>
          <w:i/>
          <w:iCs/>
          <w:color w:val="000000"/>
          <w:lang w:val="ru-RU"/>
        </w:rPr>
        <w:t xml:space="preserve">. </w:t>
      </w:r>
      <w:r w:rsidRPr="00872DEC">
        <w:rPr>
          <w:rFonts w:eastAsia="Times New Roman" w:cs="Arial"/>
          <w:i/>
          <w:iCs/>
          <w:color w:val="000000"/>
          <w:lang w:val="en-US"/>
        </w:rPr>
        <w:t>In</w:t>
      </w:r>
      <w:r w:rsidRPr="00872DEC">
        <w:rPr>
          <w:rFonts w:eastAsia="Times New Roman" w:cs="Arial"/>
          <w:i/>
          <w:iCs/>
          <w:color w:val="000000"/>
          <w:lang w:val="ru-RU"/>
        </w:rPr>
        <w:t xml:space="preserve"> </w:t>
      </w:r>
      <w:r w:rsidRPr="00872DEC">
        <w:rPr>
          <w:rFonts w:eastAsia="Times New Roman" w:cs="Arial"/>
          <w:i/>
          <w:iCs/>
          <w:color w:val="000000"/>
          <w:lang w:val="en-US"/>
        </w:rPr>
        <w:t>vitro</w:t>
      </w:r>
      <w:r w:rsidRPr="00872DEC">
        <w:rPr>
          <w:rFonts w:eastAsia="Times New Roman" w:cs="Arial"/>
          <w:color w:val="000000"/>
          <w:lang w:val="ru-RU"/>
        </w:rPr>
        <w:t xml:space="preserve"> </w:t>
      </w:r>
      <w:r w:rsidRPr="00872DEC">
        <w:rPr>
          <w:rFonts w:eastAsia="Times New Roman" w:cs="Arial"/>
          <w:color w:val="000000"/>
          <w:lang w:eastAsia="bg-BG"/>
        </w:rPr>
        <w:t xml:space="preserve">проучванията установяват, че </w:t>
      </w:r>
      <w:r w:rsidRPr="00872DEC">
        <w:rPr>
          <w:rFonts w:eastAsia="Times New Roman" w:cs="Arial"/>
          <w:color w:val="000000"/>
          <w:lang w:val="en-US"/>
        </w:rPr>
        <w:t>CYP</w:t>
      </w:r>
      <w:r w:rsidRPr="00872DEC">
        <w:rPr>
          <w:rFonts w:eastAsia="Times New Roman" w:cs="Arial"/>
          <w:color w:val="000000"/>
          <w:lang w:val="ru-RU"/>
        </w:rPr>
        <w:t>2</w:t>
      </w:r>
      <w:r w:rsidRPr="00872DEC">
        <w:rPr>
          <w:rFonts w:eastAsia="Times New Roman" w:cs="Arial"/>
          <w:color w:val="000000"/>
          <w:lang w:val="en-US"/>
        </w:rPr>
        <w:t>D</w:t>
      </w:r>
      <w:r w:rsidRPr="00872DEC">
        <w:rPr>
          <w:rFonts w:eastAsia="Times New Roman" w:cs="Arial"/>
          <w:color w:val="000000"/>
          <w:lang w:val="ru-RU"/>
        </w:rPr>
        <w:t xml:space="preserve">6, </w:t>
      </w:r>
      <w:r w:rsidRPr="00872DEC">
        <w:rPr>
          <w:rFonts w:eastAsia="Times New Roman" w:cs="Arial"/>
          <w:color w:val="000000"/>
          <w:lang w:val="en-US"/>
        </w:rPr>
        <w:t>CYP</w:t>
      </w:r>
      <w:r w:rsidRPr="00872DEC">
        <w:rPr>
          <w:rFonts w:eastAsia="Times New Roman" w:cs="Arial"/>
          <w:color w:val="000000"/>
          <w:lang w:val="ru-RU"/>
        </w:rPr>
        <w:t>2</w:t>
      </w:r>
      <w:r w:rsidRPr="00872DEC">
        <w:rPr>
          <w:rFonts w:eastAsia="Times New Roman" w:cs="Arial"/>
          <w:color w:val="000000"/>
          <w:lang w:val="en-US"/>
        </w:rPr>
        <w:t>C</w:t>
      </w:r>
      <w:r w:rsidRPr="00872DEC">
        <w:rPr>
          <w:rFonts w:eastAsia="Times New Roman" w:cs="Arial"/>
          <w:color w:val="000000"/>
          <w:lang w:val="ru-RU"/>
        </w:rPr>
        <w:t xml:space="preserve">9, </w:t>
      </w:r>
      <w:r w:rsidRPr="00872DEC">
        <w:rPr>
          <w:rFonts w:eastAsia="Times New Roman" w:cs="Arial"/>
          <w:color w:val="000000"/>
          <w:lang w:val="en-US"/>
        </w:rPr>
        <w:t>CYP</w:t>
      </w:r>
      <w:r w:rsidRPr="00872DEC">
        <w:rPr>
          <w:rFonts w:eastAsia="Times New Roman" w:cs="Arial"/>
          <w:color w:val="000000"/>
          <w:lang w:val="ru-RU"/>
        </w:rPr>
        <w:t xml:space="preserve"> </w:t>
      </w:r>
      <w:r w:rsidRPr="00872DEC">
        <w:rPr>
          <w:rFonts w:eastAsia="Times New Roman" w:cs="Arial"/>
          <w:color w:val="000000"/>
          <w:lang w:eastAsia="bg-BG"/>
        </w:rPr>
        <w:t xml:space="preserve">1А2 и </w:t>
      </w:r>
      <w:r w:rsidRPr="00872DEC">
        <w:rPr>
          <w:rFonts w:eastAsia="Times New Roman" w:cs="Arial"/>
          <w:color w:val="000000"/>
          <w:lang w:val="en-US"/>
        </w:rPr>
        <w:t>CYP</w:t>
      </w:r>
      <w:r w:rsidRPr="00872DEC">
        <w:rPr>
          <w:rFonts w:eastAsia="Times New Roman" w:cs="Arial"/>
          <w:color w:val="000000"/>
          <w:lang w:val="ru-RU"/>
        </w:rPr>
        <w:t>2</w:t>
      </w:r>
      <w:r w:rsidRPr="00872DEC">
        <w:rPr>
          <w:rFonts w:eastAsia="Times New Roman" w:cs="Arial"/>
          <w:color w:val="000000"/>
          <w:lang w:val="en-US"/>
        </w:rPr>
        <w:t>C</w:t>
      </w:r>
      <w:r w:rsidRPr="00872DEC">
        <w:rPr>
          <w:rFonts w:eastAsia="Times New Roman" w:cs="Arial"/>
          <w:color w:val="000000"/>
          <w:lang w:val="ru-RU"/>
        </w:rPr>
        <w:t xml:space="preserve">19 </w:t>
      </w:r>
      <w:r w:rsidRPr="00872DEC">
        <w:rPr>
          <w:rFonts w:eastAsia="Times New Roman" w:cs="Arial"/>
          <w:color w:val="000000"/>
          <w:lang w:eastAsia="bg-BG"/>
        </w:rPr>
        <w:t xml:space="preserve">също може да катализират основната метаболитна верига, но техните количествени отношения </w:t>
      </w:r>
      <w:r w:rsidRPr="00872DEC">
        <w:rPr>
          <w:rFonts w:eastAsia="Times New Roman" w:cs="Arial"/>
          <w:i/>
          <w:iCs/>
          <w:color w:val="000000"/>
          <w:lang w:val="en-US"/>
        </w:rPr>
        <w:t>in</w:t>
      </w:r>
      <w:r w:rsidRPr="00872DEC">
        <w:rPr>
          <w:rFonts w:eastAsia="Times New Roman" w:cs="Arial"/>
          <w:i/>
          <w:iCs/>
          <w:color w:val="000000"/>
          <w:lang w:val="ru-RU"/>
        </w:rPr>
        <w:t xml:space="preserve"> </w:t>
      </w:r>
      <w:r w:rsidRPr="00872DEC">
        <w:rPr>
          <w:rFonts w:eastAsia="Times New Roman" w:cs="Arial"/>
          <w:i/>
          <w:iCs/>
          <w:color w:val="000000"/>
          <w:lang w:val="en-US"/>
        </w:rPr>
        <w:t>vivo</w:t>
      </w:r>
      <w:r w:rsidRPr="00872DEC">
        <w:rPr>
          <w:rFonts w:eastAsia="Times New Roman" w:cs="Arial"/>
          <w:color w:val="000000"/>
          <w:lang w:val="ru-RU"/>
        </w:rPr>
        <w:t xml:space="preserve"> </w:t>
      </w:r>
      <w:r w:rsidRPr="00872DEC">
        <w:rPr>
          <w:rFonts w:eastAsia="Times New Roman" w:cs="Arial"/>
          <w:color w:val="000000"/>
          <w:lang w:eastAsia="bg-BG"/>
        </w:rPr>
        <w:t>не са проучвани.</w:t>
      </w:r>
    </w:p>
    <w:p w14:paraId="2A5D254B" w14:textId="77777777" w:rsidR="00872DEC" w:rsidRPr="00872DEC" w:rsidRDefault="00872DEC" w:rsidP="00872DEC">
      <w:pPr>
        <w:spacing w:line="240" w:lineRule="auto"/>
        <w:rPr>
          <w:rFonts w:eastAsia="Times New Roman" w:cs="Arial"/>
          <w:color w:val="000000"/>
          <w:lang w:eastAsia="bg-BG"/>
        </w:rPr>
      </w:pPr>
    </w:p>
    <w:p w14:paraId="5F7852CF" w14:textId="022396CF"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Идентифицирани са пет метаболита при човека. Основният метаболитен продукт е 6’-карбокси киселинно производно на еторикоксиб, образувано чрез по-нататъшно окисление на 6’- хидроксиметил производното. Тези основни метаболитни продукти или нямат измерима активност, или са слабо активни като СОХ-2 инхибитори. Нито един от тези метаболити не инхибира СОХ-1.</w:t>
      </w:r>
    </w:p>
    <w:p w14:paraId="26A55414" w14:textId="77777777" w:rsidR="00872DEC" w:rsidRPr="00872DEC" w:rsidRDefault="00872DEC" w:rsidP="00872DEC">
      <w:pPr>
        <w:spacing w:line="240" w:lineRule="auto"/>
        <w:rPr>
          <w:rFonts w:eastAsia="Times New Roman" w:cs="Arial"/>
          <w:i/>
          <w:iCs/>
          <w:color w:val="000000"/>
          <w:lang w:eastAsia="bg-BG"/>
        </w:rPr>
      </w:pPr>
    </w:p>
    <w:p w14:paraId="260DBA46" w14:textId="526C7A86"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Елиминиране</w:t>
      </w:r>
    </w:p>
    <w:p w14:paraId="77AFD88E"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След прилагането на еднократна, маркирана с радиоизотоп доза от 25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еторикоксиб интравенозно на здрави лица, 70 % от радиоактивността е била установена в урината и 20% във фекалиите, главно под формата на метаболити. По-малко от 2 % е установена под формата на непроменено лекарство.</w:t>
      </w:r>
    </w:p>
    <w:p w14:paraId="583B5BC3" w14:textId="77777777" w:rsidR="00872DEC" w:rsidRPr="00872DEC" w:rsidRDefault="00872DEC" w:rsidP="00872DEC">
      <w:pPr>
        <w:spacing w:line="240" w:lineRule="auto"/>
        <w:rPr>
          <w:rFonts w:eastAsia="Times New Roman" w:cs="Arial"/>
          <w:color w:val="000000"/>
          <w:lang w:eastAsia="bg-BG"/>
        </w:rPr>
      </w:pPr>
    </w:p>
    <w:p w14:paraId="3013CA94" w14:textId="2F973E3C"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Елиминирането на еторикоксиб става предимно чрез метаболизиране и последваща бъбречна екскреция. Концентрации в състояние на равновесие за еторикоксиб се установяват в рамките на седем дни при еднократно прилагане на доза от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при отношение на кумулиране на приблизително 2, отговарящо на време на полуживот от приблизително 22 часа. Плазменият клирънс след интравенозна доза от 25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е приблизително 50 </w:t>
      </w:r>
      <w:r w:rsidRPr="00872DEC">
        <w:rPr>
          <w:rFonts w:eastAsia="Times New Roman" w:cs="Arial"/>
          <w:color w:val="000000"/>
          <w:lang w:val="en-US"/>
        </w:rPr>
        <w:t>ml</w:t>
      </w:r>
      <w:r w:rsidRPr="00872DEC">
        <w:rPr>
          <w:rFonts w:eastAsia="Times New Roman" w:cs="Arial"/>
          <w:color w:val="000000"/>
          <w:lang w:eastAsia="bg-BG"/>
        </w:rPr>
        <w:t>/минута.</w:t>
      </w:r>
    </w:p>
    <w:p w14:paraId="374F1197" w14:textId="77777777" w:rsidR="00872DEC" w:rsidRPr="00872DEC" w:rsidRDefault="00872DEC" w:rsidP="00872DEC">
      <w:pPr>
        <w:spacing w:line="240" w:lineRule="auto"/>
        <w:rPr>
          <w:rFonts w:eastAsia="Times New Roman" w:cs="Arial"/>
          <w:i/>
          <w:iCs/>
          <w:color w:val="000000"/>
          <w:lang w:eastAsia="bg-BG"/>
        </w:rPr>
      </w:pPr>
    </w:p>
    <w:p w14:paraId="024F6783" w14:textId="783C2B1E"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Специални групи пациенти</w:t>
      </w:r>
    </w:p>
    <w:p w14:paraId="3B42B49A" w14:textId="77777777"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Старческа възраст:</w:t>
      </w:r>
      <w:r w:rsidRPr="00872DEC">
        <w:rPr>
          <w:rFonts w:eastAsia="Times New Roman" w:cs="Arial"/>
          <w:color w:val="000000"/>
          <w:lang w:eastAsia="bg-BG"/>
        </w:rPr>
        <w:t xml:space="preserve"> Фармакокинетиката в старческа възраст (възраст &gt; 65 години) е близка до тази при младите.</w:t>
      </w:r>
    </w:p>
    <w:p w14:paraId="33A34D8C" w14:textId="77777777" w:rsidR="00872DEC" w:rsidRPr="00872DEC" w:rsidRDefault="00872DEC" w:rsidP="00872DEC">
      <w:pPr>
        <w:spacing w:line="240" w:lineRule="auto"/>
        <w:rPr>
          <w:rFonts w:eastAsia="Times New Roman" w:cs="Arial"/>
          <w:i/>
          <w:iCs/>
          <w:color w:val="000000"/>
          <w:lang w:eastAsia="bg-BG"/>
        </w:rPr>
      </w:pPr>
    </w:p>
    <w:p w14:paraId="091751A4" w14:textId="6F6292B6"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Пол:</w:t>
      </w:r>
      <w:r w:rsidRPr="00872DEC">
        <w:rPr>
          <w:rFonts w:eastAsia="Times New Roman" w:cs="Arial"/>
          <w:color w:val="000000"/>
          <w:lang w:eastAsia="bg-BG"/>
        </w:rPr>
        <w:t xml:space="preserve"> Не се установява разлика във фармакокинетиката при мъже и жени.</w:t>
      </w:r>
    </w:p>
    <w:p w14:paraId="0A61990C" w14:textId="77777777" w:rsidR="00872DEC" w:rsidRPr="00872DEC" w:rsidRDefault="00872DEC" w:rsidP="00872DEC">
      <w:pPr>
        <w:spacing w:line="240" w:lineRule="auto"/>
        <w:rPr>
          <w:rFonts w:eastAsia="Times New Roman" w:cs="Arial"/>
          <w:i/>
          <w:iCs/>
          <w:color w:val="000000"/>
          <w:lang w:eastAsia="bg-BG"/>
        </w:rPr>
      </w:pPr>
    </w:p>
    <w:p w14:paraId="5EA3B4F4" w14:textId="1AE2D066"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Чернодробно увреждане:</w:t>
      </w:r>
      <w:r w:rsidRPr="00872DEC">
        <w:rPr>
          <w:rFonts w:eastAsia="Times New Roman" w:cs="Arial"/>
          <w:color w:val="000000"/>
          <w:lang w:eastAsia="bg-BG"/>
        </w:rPr>
        <w:t xml:space="preserve"> При пациенти с лека степен на чернодробно увреждане </w:t>
      </w:r>
      <w:r w:rsidRPr="00872DEC">
        <w:rPr>
          <w:rFonts w:eastAsia="Times New Roman" w:cs="Arial"/>
          <w:color w:val="000000"/>
          <w:lang w:val="ru-RU"/>
        </w:rPr>
        <w:t>(</w:t>
      </w:r>
      <w:r w:rsidRPr="00872DEC">
        <w:rPr>
          <w:rFonts w:eastAsia="Times New Roman" w:cs="Arial"/>
          <w:color w:val="000000"/>
          <w:lang w:val="en-US"/>
        </w:rPr>
        <w:t>Child</w:t>
      </w:r>
      <w:r w:rsidRPr="00872DEC">
        <w:rPr>
          <w:rFonts w:eastAsia="Times New Roman" w:cs="Arial"/>
          <w:color w:val="000000"/>
          <w:lang w:val="ru-RU"/>
        </w:rPr>
        <w:t>-</w:t>
      </w:r>
      <w:r w:rsidRPr="00872DEC">
        <w:rPr>
          <w:rFonts w:eastAsia="Times New Roman" w:cs="Arial"/>
          <w:color w:val="000000"/>
          <w:lang w:val="en-US"/>
        </w:rPr>
        <w:t>Pugh</w:t>
      </w:r>
      <w:r w:rsidRPr="00872DEC">
        <w:rPr>
          <w:rFonts w:eastAsia="Times New Roman" w:cs="Arial"/>
          <w:color w:val="000000"/>
          <w:lang w:val="ru-RU"/>
        </w:rPr>
        <w:t xml:space="preserve"> </w:t>
      </w:r>
      <w:r w:rsidRPr="00872DEC">
        <w:rPr>
          <w:rFonts w:eastAsia="Times New Roman" w:cs="Arial"/>
          <w:color w:val="000000"/>
          <w:lang w:eastAsia="bg-BG"/>
        </w:rPr>
        <w:t xml:space="preserve">индекс 5-6), прилагането на еторикоксиб в доза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веднъж на ден е довело до приблизително 16 % по-голяма средна </w:t>
      </w:r>
      <w:r w:rsidRPr="00872DEC">
        <w:rPr>
          <w:rFonts w:eastAsia="Times New Roman" w:cs="Arial"/>
          <w:color w:val="000000"/>
          <w:lang w:val="en-US"/>
        </w:rPr>
        <w:t>AUC</w:t>
      </w:r>
      <w:r w:rsidRPr="00872DEC">
        <w:rPr>
          <w:rFonts w:eastAsia="Times New Roman" w:cs="Arial"/>
          <w:color w:val="000000"/>
          <w:lang w:val="ru-RU"/>
        </w:rPr>
        <w:t xml:space="preserve">, </w:t>
      </w:r>
      <w:r w:rsidRPr="00872DEC">
        <w:rPr>
          <w:rFonts w:eastAsia="Times New Roman" w:cs="Arial"/>
          <w:color w:val="000000"/>
          <w:lang w:eastAsia="bg-BG"/>
        </w:rPr>
        <w:t xml:space="preserve">в сравнение със здрави лица на същия дозов режим. При пациентите с умерена степен на чернодробно увреждане </w:t>
      </w:r>
      <w:r w:rsidRPr="00872DEC">
        <w:rPr>
          <w:rFonts w:eastAsia="Times New Roman" w:cs="Arial"/>
          <w:color w:val="000000"/>
          <w:lang w:val="ru-RU"/>
        </w:rPr>
        <w:t>(</w:t>
      </w:r>
      <w:r w:rsidRPr="00872DEC">
        <w:rPr>
          <w:rFonts w:eastAsia="Times New Roman" w:cs="Arial"/>
          <w:color w:val="000000"/>
          <w:lang w:val="en-US"/>
        </w:rPr>
        <w:t>Child</w:t>
      </w:r>
      <w:r w:rsidRPr="00872DEC">
        <w:rPr>
          <w:rFonts w:eastAsia="Times New Roman" w:cs="Arial"/>
          <w:color w:val="000000"/>
          <w:lang w:val="ru-RU"/>
        </w:rPr>
        <w:t>-</w:t>
      </w:r>
      <w:r w:rsidRPr="00872DEC">
        <w:rPr>
          <w:rFonts w:eastAsia="Times New Roman" w:cs="Arial"/>
          <w:color w:val="000000"/>
          <w:lang w:val="en-US"/>
        </w:rPr>
        <w:t>Pugh</w:t>
      </w:r>
      <w:r w:rsidRPr="00872DEC">
        <w:rPr>
          <w:rFonts w:eastAsia="Times New Roman" w:cs="Arial"/>
          <w:color w:val="000000"/>
          <w:lang w:val="ru-RU"/>
        </w:rPr>
        <w:t xml:space="preserve"> </w:t>
      </w:r>
      <w:r w:rsidRPr="00872DEC">
        <w:rPr>
          <w:rFonts w:eastAsia="Times New Roman" w:cs="Arial"/>
          <w:color w:val="000000"/>
          <w:lang w:eastAsia="bg-BG"/>
        </w:rPr>
        <w:t xml:space="preserve">индекс 7-9), прилагането на еторикоксиб в доза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през ден е довело до средна </w:t>
      </w:r>
      <w:r w:rsidRPr="00872DEC">
        <w:rPr>
          <w:rFonts w:eastAsia="Times New Roman" w:cs="Arial"/>
          <w:color w:val="000000"/>
          <w:lang w:val="en-US"/>
        </w:rPr>
        <w:t>AUC</w:t>
      </w:r>
      <w:r w:rsidRPr="00872DEC">
        <w:rPr>
          <w:rFonts w:eastAsia="Times New Roman" w:cs="Arial"/>
          <w:color w:val="000000"/>
          <w:lang w:val="ru-RU"/>
        </w:rPr>
        <w:t xml:space="preserve">, </w:t>
      </w:r>
      <w:r w:rsidRPr="00872DEC">
        <w:rPr>
          <w:rFonts w:eastAsia="Times New Roman" w:cs="Arial"/>
          <w:color w:val="000000"/>
          <w:lang w:eastAsia="bg-BG"/>
        </w:rPr>
        <w:t xml:space="preserve">близка до тази на здравите лица при дозов режим 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дневно; еторикоксиб 30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веднъж дневно не е проучван в тази популация. Няма клинични и фармакокинетични </w:t>
      </w:r>
      <w:r w:rsidRPr="00872DEC">
        <w:rPr>
          <w:rFonts w:eastAsia="Times New Roman" w:cs="Arial"/>
          <w:color w:val="000000"/>
          <w:lang w:eastAsia="bg-BG"/>
        </w:rPr>
        <w:lastRenderedPageBreak/>
        <w:t xml:space="preserve">данни за пациенти с тежка степен на чернодробно увреждане </w:t>
      </w:r>
      <w:r w:rsidRPr="00872DEC">
        <w:rPr>
          <w:rFonts w:eastAsia="Times New Roman" w:cs="Arial"/>
          <w:color w:val="000000"/>
          <w:lang w:val="ru-RU"/>
        </w:rPr>
        <w:t>(</w:t>
      </w:r>
      <w:r w:rsidRPr="00872DEC">
        <w:rPr>
          <w:rFonts w:eastAsia="Times New Roman" w:cs="Arial"/>
          <w:color w:val="000000"/>
          <w:lang w:val="en-US"/>
        </w:rPr>
        <w:t>Child</w:t>
      </w:r>
      <w:r w:rsidRPr="00872DEC">
        <w:rPr>
          <w:rFonts w:eastAsia="Times New Roman" w:cs="Arial"/>
          <w:color w:val="000000"/>
          <w:lang w:val="ru-RU"/>
        </w:rPr>
        <w:t>-</w:t>
      </w:r>
      <w:r w:rsidRPr="00872DEC">
        <w:rPr>
          <w:rFonts w:eastAsia="Times New Roman" w:cs="Arial"/>
          <w:color w:val="000000"/>
          <w:lang w:val="en-US"/>
        </w:rPr>
        <w:t>Pugh</w:t>
      </w:r>
      <w:r w:rsidRPr="00872DEC">
        <w:rPr>
          <w:rFonts w:eastAsia="Times New Roman" w:cs="Arial"/>
          <w:color w:val="000000"/>
          <w:lang w:val="ru-RU"/>
        </w:rPr>
        <w:t xml:space="preserve"> </w:t>
      </w:r>
      <w:r w:rsidRPr="00872DEC">
        <w:rPr>
          <w:rFonts w:eastAsia="Times New Roman" w:cs="Arial"/>
          <w:color w:val="000000"/>
          <w:lang w:eastAsia="bg-BG"/>
        </w:rPr>
        <w:t>индекс &gt; 10) (вж. точки 4.2 и 4.3).</w:t>
      </w:r>
    </w:p>
    <w:p w14:paraId="72935F65" w14:textId="77777777" w:rsidR="00872DEC" w:rsidRPr="00872DEC" w:rsidRDefault="00872DEC" w:rsidP="00872DEC">
      <w:pPr>
        <w:spacing w:line="240" w:lineRule="auto"/>
        <w:rPr>
          <w:rFonts w:eastAsia="Times New Roman" w:cs="Arial"/>
          <w:i/>
          <w:iCs/>
          <w:color w:val="000000"/>
          <w:lang w:eastAsia="bg-BG"/>
        </w:rPr>
      </w:pPr>
    </w:p>
    <w:p w14:paraId="0E8A299F" w14:textId="77777777" w:rsidR="00872DEC" w:rsidRPr="00872DEC" w:rsidRDefault="00872DEC" w:rsidP="00872DEC">
      <w:pPr>
        <w:rPr>
          <w:rFonts w:eastAsia="Times New Roman" w:cs="Arial"/>
          <w:sz w:val="24"/>
          <w:szCs w:val="24"/>
        </w:rPr>
      </w:pPr>
      <w:r w:rsidRPr="00872DEC">
        <w:rPr>
          <w:rFonts w:eastAsia="Times New Roman" w:cs="Arial"/>
          <w:i/>
          <w:iCs/>
          <w:color w:val="000000"/>
          <w:lang w:eastAsia="bg-BG"/>
        </w:rPr>
        <w:t>Бъбречно увреждане:</w:t>
      </w:r>
      <w:r w:rsidRPr="00872DEC">
        <w:rPr>
          <w:rFonts w:eastAsia="Times New Roman" w:cs="Arial"/>
          <w:color w:val="000000"/>
          <w:lang w:eastAsia="bg-BG"/>
        </w:rPr>
        <w:t xml:space="preserve"> Фармакокинетиката при еднократна доза от 120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еторикоксиб, приложена на пациенти с умерена до тежка бъбречна недостатъчност и такива с крайна фаза на</w:t>
      </w:r>
      <w:r w:rsidRPr="00872DEC">
        <w:rPr>
          <w:rFonts w:eastAsia="Times New Roman" w:cs="Arial"/>
          <w:color w:val="000000"/>
          <w:lang w:val="ru-RU" w:eastAsia="bg-BG"/>
        </w:rPr>
        <w:t xml:space="preserve"> </w:t>
      </w:r>
      <w:r w:rsidRPr="00872DEC">
        <w:rPr>
          <w:rFonts w:eastAsia="Times New Roman" w:cs="Arial"/>
          <w:color w:val="000000"/>
          <w:lang w:eastAsia="bg-BG"/>
        </w:rPr>
        <w:t xml:space="preserve">бъбречно заболяване на хемодиализа, не се е различавала значимо спрямо тази при здрави лица. Хемодиализата е имала пренебрежимо малък принос по отношение на елиминирането (диализен клирънс приблизително 50 </w:t>
      </w:r>
      <w:r w:rsidRPr="00872DEC">
        <w:rPr>
          <w:rFonts w:eastAsia="Times New Roman" w:cs="Arial"/>
          <w:color w:val="000000"/>
          <w:lang w:val="en-US"/>
        </w:rPr>
        <w:t>ml</w:t>
      </w:r>
      <w:r w:rsidRPr="00872DEC">
        <w:rPr>
          <w:rFonts w:eastAsia="Times New Roman" w:cs="Arial"/>
          <w:color w:val="000000"/>
          <w:lang w:eastAsia="bg-BG"/>
        </w:rPr>
        <w:t>/минута) (вж. точки 4.3 и 4.4).</w:t>
      </w:r>
    </w:p>
    <w:p w14:paraId="4AF008DD" w14:textId="77777777" w:rsidR="00872DEC" w:rsidRPr="00872DEC" w:rsidRDefault="00872DEC" w:rsidP="00872DEC">
      <w:pPr>
        <w:spacing w:line="240" w:lineRule="auto"/>
        <w:rPr>
          <w:rFonts w:eastAsia="Times New Roman" w:cs="Arial"/>
          <w:i/>
          <w:iCs/>
          <w:color w:val="000000"/>
          <w:lang w:eastAsia="bg-BG"/>
        </w:rPr>
      </w:pPr>
    </w:p>
    <w:p w14:paraId="656B6365" w14:textId="6423C2AB" w:rsidR="00872DEC" w:rsidRPr="00872DEC" w:rsidRDefault="00872DEC" w:rsidP="00872DEC">
      <w:pPr>
        <w:spacing w:line="240" w:lineRule="auto"/>
        <w:rPr>
          <w:rFonts w:eastAsia="Times New Roman" w:cs="Arial"/>
          <w:sz w:val="24"/>
          <w:szCs w:val="24"/>
        </w:rPr>
      </w:pPr>
      <w:r w:rsidRPr="00872DEC">
        <w:rPr>
          <w:rFonts w:eastAsia="Times New Roman" w:cs="Arial"/>
          <w:i/>
          <w:iCs/>
          <w:color w:val="000000"/>
          <w:lang w:eastAsia="bg-BG"/>
        </w:rPr>
        <w:t>Педиатрични пациенти:</w:t>
      </w:r>
      <w:r w:rsidRPr="00872DEC">
        <w:rPr>
          <w:rFonts w:eastAsia="Times New Roman" w:cs="Arial"/>
          <w:color w:val="000000"/>
          <w:lang w:eastAsia="bg-BG"/>
        </w:rPr>
        <w:t xml:space="preserve"> Фармакокинетиката на еторикоксиб при педиатрични пациенти (възраст &lt; 12 години) не е изследвана.</w:t>
      </w:r>
    </w:p>
    <w:p w14:paraId="549F1E84" w14:textId="77777777" w:rsidR="00872DEC" w:rsidRPr="00872DEC" w:rsidRDefault="00872DEC" w:rsidP="00872DEC">
      <w:pPr>
        <w:spacing w:line="240" w:lineRule="auto"/>
        <w:rPr>
          <w:rFonts w:eastAsia="Times New Roman" w:cs="Arial"/>
          <w:color w:val="000000"/>
          <w:lang w:eastAsia="bg-BG"/>
        </w:rPr>
      </w:pPr>
    </w:p>
    <w:p w14:paraId="63D10117" w14:textId="7590F1F4"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При фармакокинетично проучване (</w:t>
      </w:r>
      <w:r w:rsidRPr="00872DEC">
        <w:rPr>
          <w:rFonts w:eastAsia="Times New Roman" w:cs="Arial"/>
          <w:color w:val="000000"/>
          <w:lang w:val="en-US"/>
        </w:rPr>
        <w:t>n</w:t>
      </w:r>
      <w:r w:rsidRPr="00872DEC">
        <w:rPr>
          <w:rFonts w:eastAsia="Times New Roman" w:cs="Arial"/>
          <w:color w:val="000000"/>
          <w:lang w:eastAsia="bg-BG"/>
        </w:rPr>
        <w:t xml:space="preserve">=16) проведено сред юноши (възраст от 12 до 17 години) фармакокинетиката при юношите с тегло от 40 до 60 </w:t>
      </w:r>
      <w:r w:rsidRPr="00872DEC">
        <w:rPr>
          <w:rFonts w:eastAsia="Times New Roman" w:cs="Arial"/>
          <w:color w:val="000000"/>
          <w:lang w:val="en-US"/>
        </w:rPr>
        <w:t>kg</w:t>
      </w:r>
      <w:r w:rsidRPr="00872DEC">
        <w:rPr>
          <w:rFonts w:eastAsia="Times New Roman" w:cs="Arial"/>
          <w:color w:val="000000"/>
          <w:lang w:val="ru-RU"/>
        </w:rPr>
        <w:t xml:space="preserve"> </w:t>
      </w:r>
      <w:r w:rsidRPr="00872DEC">
        <w:rPr>
          <w:rFonts w:eastAsia="Times New Roman" w:cs="Arial"/>
          <w:color w:val="000000"/>
          <w:lang w:eastAsia="bg-BG"/>
        </w:rPr>
        <w:t xml:space="preserve">при доза на еторикоксиб от 60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веднъж на ден и при юношите с тегло &gt;60 </w:t>
      </w:r>
      <w:r w:rsidRPr="00872DEC">
        <w:rPr>
          <w:rFonts w:eastAsia="Times New Roman" w:cs="Arial"/>
          <w:color w:val="000000"/>
          <w:lang w:val="en-US"/>
        </w:rPr>
        <w:t>kg</w:t>
      </w:r>
      <w:r w:rsidRPr="00872DEC">
        <w:rPr>
          <w:rFonts w:eastAsia="Times New Roman" w:cs="Arial"/>
          <w:color w:val="000000"/>
          <w:lang w:val="ru-RU"/>
        </w:rPr>
        <w:t xml:space="preserve"> </w:t>
      </w:r>
      <w:r w:rsidRPr="00872DEC">
        <w:rPr>
          <w:rFonts w:eastAsia="Times New Roman" w:cs="Arial"/>
          <w:color w:val="000000"/>
          <w:lang w:eastAsia="bg-BG"/>
        </w:rPr>
        <w:t xml:space="preserve">(доза на еторикоксиб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веднъж на ден) е била сходна с тази при възрастни, получили еторикоксиб в доза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веднъж на ден. Безопасността и ефективността на еторикоксиб при педиатрични пациенти не са изследвани (вж. точка 4.2).</w:t>
      </w:r>
    </w:p>
    <w:p w14:paraId="4961CD35" w14:textId="1ABF8C1F" w:rsidR="00872DEC" w:rsidRPr="00872DEC" w:rsidRDefault="00872DEC" w:rsidP="00872DEC">
      <w:pPr>
        <w:spacing w:line="240" w:lineRule="auto"/>
        <w:rPr>
          <w:rFonts w:ascii="Times New Roman" w:eastAsia="Times New Roman" w:hAnsi="Times New Roman" w:cs="Times New Roman"/>
          <w:sz w:val="24"/>
          <w:szCs w:val="24"/>
        </w:rPr>
      </w:pPr>
    </w:p>
    <w:p w14:paraId="7A4C6307" w14:textId="77777777" w:rsidR="00872DEC" w:rsidRPr="00872DEC" w:rsidRDefault="00872DEC" w:rsidP="00872DEC"/>
    <w:p w14:paraId="028E658A" w14:textId="1A020B2C" w:rsidR="00395555" w:rsidRDefault="002C50EE" w:rsidP="008A6AF2">
      <w:pPr>
        <w:pStyle w:val="Heading2"/>
      </w:pPr>
      <w:r>
        <w:t>5.3. Предклинични данни за безопасност</w:t>
      </w:r>
    </w:p>
    <w:p w14:paraId="5B736343" w14:textId="74B3D7BB" w:rsidR="00872DEC" w:rsidRDefault="00872DEC" w:rsidP="00872DEC"/>
    <w:p w14:paraId="42EDEEBE"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В предклиничните проучвания с еторикоксиб не е била установена генна токсичност. Еторикоксиб не е бил канцерогенен при мишки. Плъховете са развили хепатоцелуларен и тиреоиден фоликулоцелуларен аденом при дозировка &gt; 2 пъти дневната доза при хора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и системна ежедневна експозиция в продължение на приблизително 2 години.</w:t>
      </w:r>
    </w:p>
    <w:p w14:paraId="3CECC378" w14:textId="77777777"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Хепатоцелударният и тиреоидният фоликулоцелуларен аденом, наблюдавани при плъховете, са били счетени за резултат от специфичен за плъховете механизъм, свързан с индукция на чернодробните </w:t>
      </w:r>
      <w:r w:rsidRPr="00872DEC">
        <w:rPr>
          <w:rFonts w:eastAsia="Times New Roman" w:cs="Arial"/>
          <w:color w:val="000000"/>
          <w:lang w:val="en-US"/>
        </w:rPr>
        <w:t>CYP</w:t>
      </w:r>
      <w:r w:rsidRPr="00872DEC">
        <w:rPr>
          <w:rFonts w:eastAsia="Times New Roman" w:cs="Arial"/>
          <w:color w:val="000000"/>
          <w:lang w:val="ru-RU"/>
        </w:rPr>
        <w:t xml:space="preserve"> </w:t>
      </w:r>
      <w:r w:rsidRPr="00872DEC">
        <w:rPr>
          <w:rFonts w:eastAsia="Times New Roman" w:cs="Arial"/>
          <w:color w:val="000000"/>
          <w:lang w:eastAsia="bg-BG"/>
        </w:rPr>
        <w:t xml:space="preserve">ензими. Не е установено еторикоксиб да предизвиква индукция на чернодробния </w:t>
      </w:r>
      <w:r w:rsidRPr="00872DEC">
        <w:rPr>
          <w:rFonts w:eastAsia="Times New Roman" w:cs="Arial"/>
          <w:color w:val="000000"/>
          <w:lang w:val="en-US"/>
        </w:rPr>
        <w:t>CYP</w:t>
      </w:r>
      <w:r w:rsidRPr="00872DEC">
        <w:rPr>
          <w:rFonts w:eastAsia="Times New Roman" w:cs="Arial"/>
          <w:color w:val="000000"/>
          <w:lang w:val="ru-RU"/>
        </w:rPr>
        <w:t>3</w:t>
      </w:r>
      <w:r w:rsidRPr="00872DEC">
        <w:rPr>
          <w:rFonts w:eastAsia="Times New Roman" w:cs="Arial"/>
          <w:color w:val="000000"/>
          <w:lang w:val="en-US"/>
        </w:rPr>
        <w:t>A</w:t>
      </w:r>
      <w:r w:rsidRPr="00872DEC">
        <w:rPr>
          <w:rFonts w:eastAsia="Times New Roman" w:cs="Arial"/>
          <w:color w:val="000000"/>
          <w:lang w:val="ru-RU"/>
        </w:rPr>
        <w:t xml:space="preserve"> </w:t>
      </w:r>
      <w:r w:rsidRPr="00872DEC">
        <w:rPr>
          <w:rFonts w:eastAsia="Times New Roman" w:cs="Arial"/>
          <w:color w:val="000000"/>
          <w:lang w:eastAsia="bg-BG"/>
        </w:rPr>
        <w:t>ензим при хората.</w:t>
      </w:r>
    </w:p>
    <w:p w14:paraId="4B18D451" w14:textId="77777777" w:rsidR="00872DEC" w:rsidRPr="00872DEC" w:rsidRDefault="00872DEC" w:rsidP="00872DEC">
      <w:pPr>
        <w:spacing w:line="240" w:lineRule="auto"/>
        <w:rPr>
          <w:rFonts w:eastAsia="Times New Roman" w:cs="Arial"/>
          <w:color w:val="000000"/>
          <w:lang w:eastAsia="bg-BG"/>
        </w:rPr>
      </w:pPr>
    </w:p>
    <w:p w14:paraId="6213A144" w14:textId="6560BBFD"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Гастроинтестиналната токсичност на еторикоксиб при плъховете се увеличава с дозата и времето на експозиция. В проучване за токсичността на еторикоксиб продължило 14 седмици, улцерации на СЧ тракт са били наблюдавани при експозиция, надхвърляща тази при човек при прилагането на терапевтичната доза. При проучванията за токсичност в продължение на 53 и 106 седмици, язви на СЧ тракт са били наблюдавани също така при експозиции, сравними с тези при хора с прилагане на терапевтичната доза. При кучета бъбречни и гастроинтестинални аномалии са били наблюдавани при висока дозова експозиция.</w:t>
      </w:r>
    </w:p>
    <w:p w14:paraId="24297456" w14:textId="77777777" w:rsidR="00872DEC" w:rsidRPr="00872DEC" w:rsidRDefault="00872DEC" w:rsidP="00872DEC">
      <w:pPr>
        <w:spacing w:line="240" w:lineRule="auto"/>
        <w:rPr>
          <w:rFonts w:eastAsia="Times New Roman" w:cs="Arial"/>
          <w:color w:val="000000"/>
          <w:lang w:eastAsia="bg-BG"/>
        </w:rPr>
      </w:pPr>
    </w:p>
    <w:p w14:paraId="261EA344" w14:textId="5B213635"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t xml:space="preserve">Еторикоксиб не е показал тератогенност при проучвания за репродуктивна токсичност проведени върху плъхове с доза 15 </w:t>
      </w:r>
      <w:r w:rsidRPr="00872DEC">
        <w:rPr>
          <w:rFonts w:eastAsia="Times New Roman" w:cs="Arial"/>
          <w:color w:val="000000"/>
          <w:lang w:val="en-US"/>
        </w:rPr>
        <w:t>mg</w:t>
      </w:r>
      <w:r w:rsidRPr="00872DEC">
        <w:rPr>
          <w:rFonts w:eastAsia="Times New Roman" w:cs="Arial"/>
          <w:color w:val="000000"/>
          <w:lang w:val="ru-RU"/>
        </w:rPr>
        <w:t>/</w:t>
      </w:r>
      <w:r w:rsidRPr="00872DEC">
        <w:rPr>
          <w:rFonts w:eastAsia="Times New Roman" w:cs="Arial"/>
          <w:color w:val="000000"/>
          <w:lang w:val="en-US"/>
        </w:rPr>
        <w:t>kg</w:t>
      </w:r>
      <w:r w:rsidRPr="00872DEC">
        <w:rPr>
          <w:rFonts w:eastAsia="Times New Roman" w:cs="Arial"/>
          <w:color w:val="000000"/>
          <w:lang w:eastAsia="bg-BG"/>
        </w:rPr>
        <w:t xml:space="preserve">/дневно (това е приблизително 1,5 пъти дневната доза за хора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 xml:space="preserve">при системна експозиция). При зайци е наблюдавано свързано с лечението повишение на сърдечно-съдовите малформации при нива на експозиция под клиничната експозиция при дневната доза за хората (90 </w:t>
      </w:r>
      <w:r w:rsidRPr="00872DEC">
        <w:rPr>
          <w:rFonts w:eastAsia="Times New Roman" w:cs="Arial"/>
          <w:color w:val="000000"/>
          <w:lang w:val="en-US"/>
        </w:rPr>
        <w:t>mg</w:t>
      </w:r>
      <w:r w:rsidRPr="00872DEC">
        <w:rPr>
          <w:rFonts w:eastAsia="Times New Roman" w:cs="Arial"/>
          <w:color w:val="000000"/>
          <w:lang w:val="ru-RU"/>
        </w:rPr>
        <w:t xml:space="preserve">). </w:t>
      </w:r>
      <w:r w:rsidRPr="00872DEC">
        <w:rPr>
          <w:rFonts w:eastAsia="Times New Roman" w:cs="Arial"/>
          <w:color w:val="000000"/>
          <w:lang w:eastAsia="bg-BG"/>
        </w:rPr>
        <w:t>Въпреки това, не са наблюдавани свързани с лечението външни малформации или промени във феталния скелет. При плъховете и зайците е наблюдавано дозозависимо увеличение на постимплантационна загуба при експозиция, еквивалентна на или 1,5 пъти по-голяма от тази при хората (вж. точки 4.3 и 4.6).</w:t>
      </w:r>
    </w:p>
    <w:p w14:paraId="6E876456" w14:textId="77777777" w:rsidR="00872DEC" w:rsidRPr="00872DEC" w:rsidRDefault="00872DEC" w:rsidP="00872DEC">
      <w:pPr>
        <w:spacing w:line="240" w:lineRule="auto"/>
        <w:rPr>
          <w:rFonts w:eastAsia="Times New Roman" w:cs="Arial"/>
          <w:color w:val="000000"/>
          <w:lang w:eastAsia="bg-BG"/>
        </w:rPr>
      </w:pPr>
    </w:p>
    <w:p w14:paraId="006A4152" w14:textId="0758A38F" w:rsidR="00872DEC" w:rsidRPr="00872DEC" w:rsidRDefault="00872DEC" w:rsidP="00872DEC">
      <w:pPr>
        <w:spacing w:line="240" w:lineRule="auto"/>
        <w:rPr>
          <w:rFonts w:eastAsia="Times New Roman" w:cs="Arial"/>
          <w:sz w:val="24"/>
          <w:szCs w:val="24"/>
        </w:rPr>
      </w:pPr>
      <w:r w:rsidRPr="00872DEC">
        <w:rPr>
          <w:rFonts w:eastAsia="Times New Roman" w:cs="Arial"/>
          <w:color w:val="000000"/>
          <w:lang w:eastAsia="bg-BG"/>
        </w:rPr>
        <w:lastRenderedPageBreak/>
        <w:t>Еторикоксиб се екскретира в млякото на плъховете при лактация, като концентрациите са приблизително два пъти над тези в плазмата. Теглото на малките е намаляло при захранването с мляко от женски плъхове, които са получавали еторикоксиб по време на лактация.</w:t>
      </w:r>
    </w:p>
    <w:p w14:paraId="32680B55" w14:textId="77777777" w:rsidR="00872DEC" w:rsidRPr="00872DEC" w:rsidRDefault="00872DEC" w:rsidP="00872DEC"/>
    <w:p w14:paraId="6A7820AB" w14:textId="77F386D6" w:rsidR="008A6AF2" w:rsidRDefault="002C50EE" w:rsidP="00395555">
      <w:pPr>
        <w:pStyle w:val="Heading1"/>
      </w:pPr>
      <w:r>
        <w:t>7. ПРИТЕЖАТЕЛ НА РАЗРЕШЕНИЕТО ЗА УПОТРЕБА</w:t>
      </w:r>
    </w:p>
    <w:p w14:paraId="5488C231" w14:textId="1D8EB4C9" w:rsidR="00872DEC" w:rsidRDefault="00872DEC" w:rsidP="00872DEC"/>
    <w:p w14:paraId="5B15556A" w14:textId="77777777" w:rsidR="00872DEC" w:rsidRPr="00872DEC" w:rsidRDefault="00872DEC" w:rsidP="00872DEC">
      <w:pPr>
        <w:rPr>
          <w:sz w:val="24"/>
          <w:szCs w:val="24"/>
          <w:lang w:val="ru-RU"/>
        </w:rPr>
      </w:pPr>
      <w:proofErr w:type="spellStart"/>
      <w:r w:rsidRPr="00872DEC">
        <w:rPr>
          <w:lang w:val="en-US"/>
        </w:rPr>
        <w:t>TevaB</w:t>
      </w:r>
      <w:proofErr w:type="spellEnd"/>
      <w:r w:rsidRPr="00872DEC">
        <w:rPr>
          <w:lang w:val="ru-RU"/>
        </w:rPr>
        <w:t>.</w:t>
      </w:r>
      <w:r w:rsidRPr="00872DEC">
        <w:rPr>
          <w:lang w:val="en-US"/>
        </w:rPr>
        <w:t>V</w:t>
      </w:r>
      <w:r w:rsidRPr="00872DEC">
        <w:rPr>
          <w:lang w:val="ru-RU"/>
        </w:rPr>
        <w:t>.</w:t>
      </w:r>
    </w:p>
    <w:p w14:paraId="06ADFB43" w14:textId="77777777" w:rsidR="00872DEC" w:rsidRDefault="00872DEC" w:rsidP="00872DEC">
      <w:pPr>
        <w:rPr>
          <w:lang w:val="ru-RU"/>
        </w:rPr>
      </w:pPr>
      <w:proofErr w:type="spellStart"/>
      <w:r w:rsidRPr="00872DEC">
        <w:rPr>
          <w:lang w:val="en-US"/>
        </w:rPr>
        <w:t>Swensweg</w:t>
      </w:r>
      <w:proofErr w:type="spellEnd"/>
      <w:r w:rsidRPr="00872DEC">
        <w:rPr>
          <w:lang w:val="ru-RU"/>
        </w:rPr>
        <w:t xml:space="preserve"> </w:t>
      </w:r>
      <w:r w:rsidRPr="00872DEC">
        <w:rPr>
          <w:lang w:eastAsia="bg-BG"/>
        </w:rPr>
        <w:t>5</w:t>
      </w:r>
      <w:proofErr w:type="gramStart"/>
      <w:r w:rsidRPr="00872DEC">
        <w:rPr>
          <w:lang w:eastAsia="bg-BG"/>
        </w:rPr>
        <w:t>,2031</w:t>
      </w:r>
      <w:proofErr w:type="gramEnd"/>
      <w:r w:rsidRPr="00872DEC">
        <w:rPr>
          <w:lang w:eastAsia="bg-BG"/>
        </w:rPr>
        <w:t xml:space="preserve"> </w:t>
      </w:r>
      <w:r w:rsidRPr="00872DEC">
        <w:rPr>
          <w:lang w:val="en-US"/>
        </w:rPr>
        <w:t>GA</w:t>
      </w:r>
      <w:r w:rsidRPr="00872DEC">
        <w:rPr>
          <w:lang w:val="ru-RU"/>
        </w:rPr>
        <w:t xml:space="preserve"> </w:t>
      </w:r>
      <w:r w:rsidRPr="00872DEC">
        <w:rPr>
          <w:lang w:val="en-US"/>
        </w:rPr>
        <w:t>Haarlem</w:t>
      </w:r>
      <w:r w:rsidRPr="00872DEC">
        <w:rPr>
          <w:lang w:val="ru-RU"/>
        </w:rPr>
        <w:t xml:space="preserve"> </w:t>
      </w:r>
    </w:p>
    <w:p w14:paraId="06BA347A" w14:textId="68BF1C4F" w:rsidR="00872DEC" w:rsidRPr="00872DEC" w:rsidRDefault="00872DEC" w:rsidP="00872DEC">
      <w:r w:rsidRPr="00872DEC">
        <w:rPr>
          <w:lang w:eastAsia="bg-BG"/>
        </w:rPr>
        <w:t>Нидерландия</w:t>
      </w:r>
    </w:p>
    <w:p w14:paraId="04840D59" w14:textId="5B8CF6C8" w:rsidR="002C50EE" w:rsidRDefault="002C50EE" w:rsidP="00395555">
      <w:pPr>
        <w:pStyle w:val="Heading1"/>
      </w:pPr>
      <w:r>
        <w:t>8. НОМЕР НА РАЗРЕШЕНИЕТО ЗА УПОТРЕБА</w:t>
      </w:r>
    </w:p>
    <w:p w14:paraId="49E42E66" w14:textId="51D4CD6E" w:rsidR="00872DEC" w:rsidRDefault="00872DEC" w:rsidP="00872DEC"/>
    <w:p w14:paraId="0A4E6274" w14:textId="77777777" w:rsidR="00872DEC" w:rsidRPr="00872DEC" w:rsidRDefault="00872DEC" w:rsidP="00872DEC">
      <w:pPr>
        <w:rPr>
          <w:sz w:val="24"/>
          <w:szCs w:val="24"/>
        </w:rPr>
      </w:pPr>
      <w:r w:rsidRPr="00872DEC">
        <w:rPr>
          <w:lang w:eastAsia="bg-BG"/>
        </w:rPr>
        <w:t xml:space="preserve">Еторикоксиб Тева 60 </w:t>
      </w:r>
      <w:r w:rsidRPr="00872DEC">
        <w:rPr>
          <w:lang w:val="en-US"/>
        </w:rPr>
        <w:t>mg</w:t>
      </w:r>
      <w:r w:rsidRPr="00872DEC">
        <w:rPr>
          <w:lang w:val="ru-RU"/>
        </w:rPr>
        <w:t xml:space="preserve"> </w:t>
      </w:r>
      <w:r w:rsidRPr="00872DEC">
        <w:rPr>
          <w:lang w:eastAsia="bg-BG"/>
        </w:rPr>
        <w:t xml:space="preserve">филмирани таблетки - </w:t>
      </w:r>
      <w:r w:rsidRPr="00872DEC">
        <w:rPr>
          <w:lang w:val="en-US"/>
        </w:rPr>
        <w:t>Per</w:t>
      </w:r>
      <w:r w:rsidRPr="00872DEC">
        <w:rPr>
          <w:lang w:val="ru-RU"/>
        </w:rPr>
        <w:t xml:space="preserve">. </w:t>
      </w:r>
      <w:r w:rsidRPr="00872DEC">
        <w:rPr>
          <w:lang w:eastAsia="bg-BG"/>
        </w:rPr>
        <w:t>№ 20160112</w:t>
      </w:r>
    </w:p>
    <w:p w14:paraId="6BD9CEA6" w14:textId="7C23BE60" w:rsidR="00872DEC" w:rsidRPr="00872DEC" w:rsidRDefault="00872DEC" w:rsidP="00872DEC">
      <w:r w:rsidRPr="00872DEC">
        <w:rPr>
          <w:lang w:eastAsia="bg-BG"/>
        </w:rPr>
        <w:t xml:space="preserve">Еторикоксиб Тева 90 </w:t>
      </w:r>
      <w:r w:rsidRPr="00872DEC">
        <w:rPr>
          <w:lang w:val="en-US"/>
        </w:rPr>
        <w:t>mg</w:t>
      </w:r>
      <w:r w:rsidRPr="00872DEC">
        <w:rPr>
          <w:lang w:val="ru-RU"/>
        </w:rPr>
        <w:t xml:space="preserve"> </w:t>
      </w:r>
      <w:r w:rsidRPr="00872DEC">
        <w:rPr>
          <w:lang w:eastAsia="bg-BG"/>
        </w:rPr>
        <w:t xml:space="preserve">филмирани таблетки - </w:t>
      </w:r>
      <w:r w:rsidRPr="00872DEC">
        <w:rPr>
          <w:lang w:val="en-US"/>
        </w:rPr>
        <w:t>Per</w:t>
      </w:r>
      <w:r w:rsidRPr="00872DEC">
        <w:rPr>
          <w:lang w:val="ru-RU"/>
        </w:rPr>
        <w:t xml:space="preserve">. </w:t>
      </w:r>
      <w:r w:rsidRPr="00872DEC">
        <w:rPr>
          <w:lang w:eastAsia="bg-BG"/>
        </w:rPr>
        <w:t>№ 20160113</w:t>
      </w:r>
    </w:p>
    <w:p w14:paraId="2CCB5832" w14:textId="024B5899" w:rsidR="007C605B" w:rsidRDefault="002C50EE" w:rsidP="007C605B">
      <w:pPr>
        <w:pStyle w:val="Heading1"/>
      </w:pPr>
      <w:r>
        <w:t>9. ДАТА НА ПЪРВО РАЗРЕШАВАНЕ/ПОДНОВЯВАНЕ НА РАЗРЕШЕНИЕТО ЗА УПОТРЕБА</w:t>
      </w:r>
    </w:p>
    <w:p w14:paraId="1F929277" w14:textId="5509B181" w:rsidR="00872DEC" w:rsidRDefault="00872DEC" w:rsidP="00872DEC"/>
    <w:p w14:paraId="0B909542" w14:textId="77777777" w:rsidR="00872DEC" w:rsidRPr="00872DEC" w:rsidRDefault="00872DEC" w:rsidP="00872DEC">
      <w:pPr>
        <w:rPr>
          <w:sz w:val="24"/>
          <w:szCs w:val="24"/>
        </w:rPr>
      </w:pPr>
      <w:bookmarkStart w:id="2" w:name="_GoBack"/>
      <w:r w:rsidRPr="00872DEC">
        <w:rPr>
          <w:lang w:eastAsia="bg-BG"/>
        </w:rPr>
        <w:t>Дата на първо разрешаване: 05 април 2016 г.</w:t>
      </w:r>
    </w:p>
    <w:p w14:paraId="6FEB7D46" w14:textId="18ED2B27" w:rsidR="00872DEC" w:rsidRPr="00872DEC" w:rsidRDefault="00872DEC" w:rsidP="00872DEC">
      <w:pPr>
        <w:rPr>
          <w:sz w:val="24"/>
          <w:szCs w:val="24"/>
        </w:rPr>
      </w:pPr>
      <w:r w:rsidRPr="00872DEC">
        <w:rPr>
          <w:lang w:eastAsia="bg-BG"/>
        </w:rPr>
        <w:t>Дата на последно подновяване:</w:t>
      </w:r>
    </w:p>
    <w:bookmarkEnd w:id="2"/>
    <w:p w14:paraId="0E9D0119" w14:textId="0245C6D7" w:rsidR="002C50EE" w:rsidRDefault="002C50EE" w:rsidP="002C50EE">
      <w:pPr>
        <w:pStyle w:val="Heading1"/>
      </w:pPr>
      <w:r>
        <w:t>10. ДАТА НА АКТУАЛИЗИРАНЕ НА ТЕКСТА</w:t>
      </w:r>
    </w:p>
    <w:bookmarkEnd w:id="0"/>
    <w:p w14:paraId="43FB38A2" w14:textId="619A12D1" w:rsidR="007C605B" w:rsidRPr="002B0A88" w:rsidRDefault="007C605B" w:rsidP="002B0A88">
      <w:pPr>
        <w:rPr>
          <w:sz w:val="24"/>
          <w:szCs w:val="24"/>
        </w:rPr>
      </w:pPr>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12FCB"/>
    <w:multiLevelType w:val="hybridMultilevel"/>
    <w:tmpl w:val="664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29"/>
  </w:num>
  <w:num w:numId="12">
    <w:abstractNumId w:val="13"/>
  </w:num>
  <w:num w:numId="13">
    <w:abstractNumId w:val="19"/>
  </w:num>
  <w:num w:numId="14">
    <w:abstractNumId w:val="11"/>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3"/>
  </w:num>
  <w:num w:numId="31">
    <w:abstractNumId w:val="5"/>
  </w:num>
  <w:num w:numId="32">
    <w:abstractNumId w:val="14"/>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314A0"/>
    <w:rsid w:val="00185A46"/>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72DEC"/>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8325</Words>
  <Characters>47455</Characters>
  <Application>Microsoft Office Word</Application>
  <DocSecurity>0</DocSecurity>
  <Lines>395</Lines>
  <Paragraphs>111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2023-02-22T13:53:00Z</dcterms:created>
  <dcterms:modified xsi:type="dcterms:W3CDTF">2023-02-22T13:53:00Z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