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997096A" w:rsidR="009F77A4" w:rsidRDefault="00DD466D" w:rsidP="00387A66">
      <w:pPr>
        <w:pStyle w:val="Heading1"/>
      </w:pPr>
      <w:r>
        <w:t>1.ИМЕ НА ЛЕКАРСТВЕНИЯ ПРОДУКТ</w:t>
      </w:r>
    </w:p>
    <w:p w14:paraId="0250E541" w14:textId="74779580" w:rsidR="007E6202" w:rsidRDefault="007E6202" w:rsidP="007E6202"/>
    <w:p w14:paraId="052936F9" w14:textId="77777777" w:rsidR="007E6202" w:rsidRPr="007E6202" w:rsidRDefault="007E6202" w:rsidP="007E6202">
      <w:pPr>
        <w:rPr>
          <w:sz w:val="24"/>
          <w:szCs w:val="24"/>
          <w:lang w:val="en-US" w:eastAsia="bg-BG"/>
        </w:rPr>
      </w:pPr>
      <w:r w:rsidRPr="007E6202">
        <w:rPr>
          <w:lang w:eastAsia="bg-BG"/>
        </w:rPr>
        <w:t xml:space="preserve">Етористад 60 </w:t>
      </w:r>
      <w:r w:rsidRPr="007E6202">
        <w:rPr>
          <w:lang w:val="en-US"/>
        </w:rPr>
        <w:t xml:space="preserve">mg </w:t>
      </w:r>
      <w:r w:rsidRPr="007E6202">
        <w:rPr>
          <w:lang w:eastAsia="bg-BG"/>
        </w:rPr>
        <w:t>филмирани таблетки</w:t>
      </w:r>
    </w:p>
    <w:p w14:paraId="192E9B44" w14:textId="77777777" w:rsidR="007E6202" w:rsidRPr="007E6202" w:rsidRDefault="007E6202" w:rsidP="007E6202">
      <w:pPr>
        <w:rPr>
          <w:sz w:val="24"/>
          <w:szCs w:val="24"/>
          <w:lang w:val="en-US" w:eastAsia="bg-BG"/>
        </w:rPr>
      </w:pPr>
      <w:r w:rsidRPr="007E6202">
        <w:rPr>
          <w:lang w:eastAsia="bg-BG"/>
        </w:rPr>
        <w:t xml:space="preserve">Етористад 90 </w:t>
      </w:r>
      <w:r w:rsidRPr="007E6202">
        <w:rPr>
          <w:lang w:val="en-US"/>
        </w:rPr>
        <w:t xml:space="preserve">mg </w:t>
      </w:r>
      <w:r w:rsidRPr="007E6202">
        <w:rPr>
          <w:lang w:eastAsia="bg-BG"/>
        </w:rPr>
        <w:t>филмирани таблетки</w:t>
      </w:r>
    </w:p>
    <w:p w14:paraId="2C074B02" w14:textId="77777777" w:rsidR="007E6202" w:rsidRPr="007E6202" w:rsidRDefault="007E6202" w:rsidP="007E6202">
      <w:pPr>
        <w:rPr>
          <w:sz w:val="24"/>
          <w:szCs w:val="24"/>
          <w:lang w:val="en-US" w:eastAsia="bg-BG"/>
        </w:rPr>
      </w:pPr>
      <w:r w:rsidRPr="007E6202">
        <w:rPr>
          <w:lang w:eastAsia="bg-BG"/>
        </w:rPr>
        <w:t xml:space="preserve">Етористад 120 </w:t>
      </w:r>
      <w:r w:rsidRPr="007E6202">
        <w:rPr>
          <w:lang w:val="en-US"/>
        </w:rPr>
        <w:t xml:space="preserve">mg </w:t>
      </w:r>
      <w:r w:rsidRPr="007E6202">
        <w:rPr>
          <w:lang w:eastAsia="bg-BG"/>
        </w:rPr>
        <w:t>филмирани таблетки</w:t>
      </w:r>
    </w:p>
    <w:p w14:paraId="6416C492" w14:textId="77777777" w:rsidR="007E6202" w:rsidRDefault="007E6202" w:rsidP="007E6202">
      <w:pPr>
        <w:rPr>
          <w:lang w:val="en-US"/>
        </w:rPr>
      </w:pPr>
    </w:p>
    <w:p w14:paraId="2ED55442" w14:textId="7CCD1E77" w:rsidR="007E6202" w:rsidRPr="007E6202" w:rsidRDefault="007E6202" w:rsidP="007E6202">
      <w:pPr>
        <w:rPr>
          <w:sz w:val="24"/>
          <w:szCs w:val="24"/>
          <w:lang w:val="en-US" w:eastAsia="bg-BG"/>
        </w:rPr>
      </w:pPr>
      <w:proofErr w:type="spellStart"/>
      <w:r w:rsidRPr="007E6202">
        <w:rPr>
          <w:lang w:val="en-US"/>
        </w:rPr>
        <w:t>Etoristad</w:t>
      </w:r>
      <w:proofErr w:type="spellEnd"/>
      <w:r w:rsidRPr="007E6202">
        <w:rPr>
          <w:lang w:val="en-US"/>
        </w:rPr>
        <w:t xml:space="preserve"> </w:t>
      </w:r>
      <w:r w:rsidRPr="007E6202">
        <w:rPr>
          <w:lang w:eastAsia="bg-BG"/>
        </w:rPr>
        <w:t xml:space="preserve">60 </w:t>
      </w:r>
      <w:r w:rsidRPr="007E6202">
        <w:rPr>
          <w:lang w:val="en-US"/>
        </w:rPr>
        <w:t>mg film-coated tablets</w:t>
      </w:r>
    </w:p>
    <w:p w14:paraId="490E3B39" w14:textId="77777777" w:rsidR="007E6202" w:rsidRPr="007E6202" w:rsidRDefault="007E6202" w:rsidP="007E6202">
      <w:pPr>
        <w:rPr>
          <w:sz w:val="24"/>
          <w:szCs w:val="24"/>
          <w:lang w:val="en-US" w:eastAsia="bg-BG"/>
        </w:rPr>
      </w:pPr>
      <w:proofErr w:type="spellStart"/>
      <w:r w:rsidRPr="007E6202">
        <w:rPr>
          <w:lang w:val="en-US"/>
        </w:rPr>
        <w:t>Etoristad</w:t>
      </w:r>
      <w:proofErr w:type="spellEnd"/>
      <w:r w:rsidRPr="007E6202">
        <w:rPr>
          <w:lang w:val="en-US"/>
        </w:rPr>
        <w:t xml:space="preserve"> 90 mg film-coated tablets</w:t>
      </w:r>
    </w:p>
    <w:p w14:paraId="2AAF33C2" w14:textId="4202CBFA" w:rsidR="007E6202" w:rsidRPr="007E6202" w:rsidRDefault="007E6202" w:rsidP="007E6202">
      <w:proofErr w:type="spellStart"/>
      <w:r w:rsidRPr="007E6202">
        <w:rPr>
          <w:lang w:val="en-US"/>
        </w:rPr>
        <w:t>Etoristad</w:t>
      </w:r>
      <w:proofErr w:type="spellEnd"/>
      <w:r w:rsidRPr="007E6202">
        <w:rPr>
          <w:lang w:val="en-US"/>
        </w:rPr>
        <w:t xml:space="preserve"> 120 mg film-coated tablets</w:t>
      </w:r>
    </w:p>
    <w:p w14:paraId="0DF202EC" w14:textId="65466E00" w:rsidR="00F53FB7" w:rsidRDefault="00DD466D" w:rsidP="00A93499">
      <w:pPr>
        <w:pStyle w:val="Heading1"/>
      </w:pPr>
      <w:r>
        <w:t>2. КАЧЕСТВЕН И КОЛИЧЕСТВЕН СЪСТАВ</w:t>
      </w:r>
    </w:p>
    <w:p w14:paraId="59F6E903" w14:textId="70561152" w:rsidR="007E6202" w:rsidRDefault="007E6202" w:rsidP="007E6202"/>
    <w:p w14:paraId="6BDDF54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60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3D1724B8"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90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3BE879CA"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120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7AFEF389" w14:textId="77777777" w:rsidR="007E6202" w:rsidRPr="007E6202" w:rsidRDefault="007E6202" w:rsidP="007E6202">
      <w:pPr>
        <w:spacing w:line="240" w:lineRule="auto"/>
        <w:rPr>
          <w:rFonts w:eastAsia="Times New Roman" w:cs="Arial"/>
          <w:b/>
          <w:bCs/>
          <w:color w:val="000000"/>
          <w:lang w:eastAsia="bg-BG"/>
        </w:rPr>
      </w:pPr>
      <w:bookmarkStart w:id="1" w:name="bookmark0"/>
    </w:p>
    <w:p w14:paraId="60951724" w14:textId="7DB09988" w:rsidR="007E6202" w:rsidRPr="007E6202" w:rsidRDefault="007E6202" w:rsidP="007E6202">
      <w:pPr>
        <w:spacing w:line="240" w:lineRule="auto"/>
        <w:rPr>
          <w:rFonts w:eastAsia="Times New Roman" w:cs="Arial"/>
          <w:sz w:val="28"/>
          <w:szCs w:val="28"/>
          <w:lang w:eastAsia="bg-BG"/>
        </w:rPr>
      </w:pPr>
      <w:r w:rsidRPr="007E6202">
        <w:rPr>
          <w:rFonts w:eastAsia="Times New Roman" w:cs="Arial"/>
          <w:b/>
          <w:bCs/>
          <w:color w:val="000000"/>
          <w:lang w:eastAsia="bg-BG"/>
        </w:rPr>
        <w:t>Помощно вещество с известно действие:</w:t>
      </w:r>
      <w:bookmarkEnd w:id="1"/>
    </w:p>
    <w:p w14:paraId="52A5BB56"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60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1,06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3B10A45D"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90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1,60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087E60A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120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2,13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30E372F2" w14:textId="77777777" w:rsidR="007E6202" w:rsidRPr="007E6202" w:rsidRDefault="007E6202" w:rsidP="007E6202"/>
    <w:p w14:paraId="4CABB9ED" w14:textId="55D9529D" w:rsidR="00F53FB7" w:rsidRDefault="00DD466D" w:rsidP="00A93499">
      <w:pPr>
        <w:pStyle w:val="Heading1"/>
      </w:pPr>
      <w:r>
        <w:t>3. ЛЕКАРСТВЕНА ФОРМА</w:t>
      </w:r>
    </w:p>
    <w:p w14:paraId="0D434481" w14:textId="68A7B8D1" w:rsidR="007E6202" w:rsidRDefault="007E6202" w:rsidP="007E6202"/>
    <w:p w14:paraId="571DF452" w14:textId="77777777" w:rsidR="007E6202" w:rsidRPr="007E6202" w:rsidRDefault="007E6202" w:rsidP="007E6202">
      <w:pPr>
        <w:rPr>
          <w:sz w:val="24"/>
          <w:szCs w:val="24"/>
          <w:lang w:eastAsia="bg-BG"/>
        </w:rPr>
      </w:pPr>
      <w:r w:rsidRPr="007E6202">
        <w:rPr>
          <w:lang w:eastAsia="bg-BG"/>
        </w:rPr>
        <w:t>Филмирана таблетка.</w:t>
      </w:r>
    </w:p>
    <w:p w14:paraId="3332DD49" w14:textId="77777777" w:rsidR="007E6202" w:rsidRPr="007E6202" w:rsidRDefault="007E6202" w:rsidP="007E6202">
      <w:pPr>
        <w:rPr>
          <w:sz w:val="24"/>
          <w:szCs w:val="24"/>
          <w:lang w:eastAsia="bg-BG"/>
        </w:rPr>
      </w:pPr>
      <w:r w:rsidRPr="007E6202">
        <w:rPr>
          <w:lang w:eastAsia="bg-BG"/>
        </w:rPr>
        <w:t xml:space="preserve">Етористад 60 </w:t>
      </w:r>
      <w:r w:rsidRPr="007E6202">
        <w:rPr>
          <w:lang w:val="en-US"/>
        </w:rPr>
        <w:t xml:space="preserve">mg: </w:t>
      </w:r>
      <w:r w:rsidRPr="007E6202">
        <w:rPr>
          <w:lang w:eastAsia="bg-BG"/>
        </w:rPr>
        <w:t xml:space="preserve">Тъмнозелена, кръгла, двойноизпъкнала филмирана таблетка с диаметър 6,5 </w:t>
      </w:r>
      <w:r w:rsidRPr="007E6202">
        <w:rPr>
          <w:lang w:val="en-US"/>
        </w:rPr>
        <w:t>mm.</w:t>
      </w:r>
    </w:p>
    <w:p w14:paraId="415FF7C9" w14:textId="77777777" w:rsidR="007E6202" w:rsidRPr="007E6202" w:rsidRDefault="007E6202" w:rsidP="007E6202">
      <w:pPr>
        <w:rPr>
          <w:sz w:val="24"/>
          <w:szCs w:val="24"/>
          <w:lang w:eastAsia="bg-BG"/>
        </w:rPr>
      </w:pPr>
      <w:r w:rsidRPr="007E6202">
        <w:rPr>
          <w:lang w:eastAsia="bg-BG"/>
        </w:rPr>
        <w:t xml:space="preserve">Етористад 90 </w:t>
      </w:r>
      <w:r w:rsidRPr="007E6202">
        <w:rPr>
          <w:lang w:val="en-US"/>
        </w:rPr>
        <w:t xml:space="preserve">mg: </w:t>
      </w:r>
      <w:r w:rsidRPr="007E6202">
        <w:rPr>
          <w:lang w:eastAsia="bg-BG"/>
        </w:rPr>
        <w:t xml:space="preserve">Бяла, кръгла, двойноизпъкнала филмирана таблетка с диаметър 7,5 </w:t>
      </w:r>
      <w:r w:rsidRPr="007E6202">
        <w:rPr>
          <w:lang w:val="en-US"/>
        </w:rPr>
        <w:t>mm.</w:t>
      </w:r>
    </w:p>
    <w:p w14:paraId="056A0D5C" w14:textId="19B1B1B0" w:rsidR="007E6202" w:rsidRPr="007E6202" w:rsidRDefault="007E6202" w:rsidP="007E6202">
      <w:r w:rsidRPr="007E6202">
        <w:rPr>
          <w:lang w:eastAsia="bg-BG"/>
        </w:rPr>
        <w:t xml:space="preserve">Етористад 120 </w:t>
      </w:r>
      <w:r w:rsidRPr="007E6202">
        <w:rPr>
          <w:lang w:val="en-US"/>
        </w:rPr>
        <w:t xml:space="preserve">mg: </w:t>
      </w:r>
      <w:r w:rsidRPr="007E6202">
        <w:rPr>
          <w:lang w:eastAsia="bg-BG"/>
        </w:rPr>
        <w:t xml:space="preserve">Светлозелена, кръгла, двойноизпъкнала филмирана таблетка с диаметър 8,5 </w:t>
      </w:r>
      <w:r w:rsidRPr="007E6202">
        <w:rPr>
          <w:lang w:val="en-US"/>
        </w:rPr>
        <w:t>mm.</w:t>
      </w:r>
    </w:p>
    <w:p w14:paraId="490FC2C4" w14:textId="6899DE43" w:rsidR="002C50EE" w:rsidRDefault="002C50EE" w:rsidP="002C50EE">
      <w:pPr>
        <w:pStyle w:val="Heading1"/>
      </w:pPr>
      <w:r>
        <w:t>4. КЛИНИЧНИ ДАННИ</w:t>
      </w:r>
    </w:p>
    <w:p w14:paraId="461901E4" w14:textId="1D207120" w:rsidR="009F77A4" w:rsidRDefault="002C50EE" w:rsidP="00387A66">
      <w:pPr>
        <w:pStyle w:val="Heading2"/>
      </w:pPr>
      <w:r>
        <w:t>4.1. Терапевтични показания</w:t>
      </w:r>
    </w:p>
    <w:p w14:paraId="00A08A88" w14:textId="29EF35D6" w:rsidR="007E6202" w:rsidRDefault="007E6202" w:rsidP="007E6202"/>
    <w:p w14:paraId="443662BA"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показан при възрастни и юноши над 16 години за симптоматично облекчение на остеоартрит, ревматоиден артрит и анкилозиращ спондилит и на болката и възпалителната симптоматика при остър подагрозен артрит.</w:t>
      </w:r>
    </w:p>
    <w:p w14:paraId="64A04236" w14:textId="77777777" w:rsidR="007E6202" w:rsidRPr="007E6202" w:rsidRDefault="007E6202" w:rsidP="007E6202">
      <w:pPr>
        <w:spacing w:line="240" w:lineRule="auto"/>
        <w:rPr>
          <w:rFonts w:eastAsia="Times New Roman" w:cs="Arial"/>
          <w:color w:val="000000"/>
          <w:lang w:eastAsia="bg-BG"/>
        </w:rPr>
      </w:pPr>
    </w:p>
    <w:p w14:paraId="75764B77" w14:textId="43EFE13A"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lastRenderedPageBreak/>
        <w:t>Етористад е показан за краткосрочно лечение на умерена болка, свързана с дентална операция.</w:t>
      </w:r>
    </w:p>
    <w:p w14:paraId="1600B2C0" w14:textId="77777777" w:rsidR="007E6202" w:rsidRPr="007E6202" w:rsidRDefault="007E6202" w:rsidP="007E6202">
      <w:pPr>
        <w:spacing w:line="240" w:lineRule="auto"/>
        <w:rPr>
          <w:rFonts w:eastAsia="Times New Roman" w:cs="Arial"/>
          <w:color w:val="000000"/>
          <w:lang w:eastAsia="bg-BG"/>
        </w:rPr>
      </w:pPr>
    </w:p>
    <w:p w14:paraId="563A0286" w14:textId="3BDFDBD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Решението за предписване на селективен СОХ - 2 инхибитор трябва да се основава на оценка на цялостния риск при отделния пациент (вж. точки 4.3, 4.4).</w:t>
      </w:r>
    </w:p>
    <w:p w14:paraId="23B39820" w14:textId="77777777" w:rsidR="007E6202" w:rsidRPr="007E6202" w:rsidRDefault="007E6202" w:rsidP="007E6202">
      <w:pPr>
        <w:spacing w:line="240" w:lineRule="auto"/>
        <w:rPr>
          <w:rFonts w:eastAsia="Times New Roman" w:cs="Arial"/>
          <w:color w:val="000000"/>
          <w:lang w:eastAsia="bg-BG"/>
        </w:rPr>
      </w:pPr>
    </w:p>
    <w:p w14:paraId="0A7FB6E9" w14:textId="73191124"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показан при възрастни и юноши над 16 години.</w:t>
      </w:r>
    </w:p>
    <w:p w14:paraId="58F10F95" w14:textId="77777777" w:rsidR="007E6202" w:rsidRPr="007E6202" w:rsidRDefault="007E6202" w:rsidP="007E6202"/>
    <w:p w14:paraId="31744E5A" w14:textId="4DDF1922" w:rsidR="009F77A4" w:rsidRDefault="002C50EE" w:rsidP="00387A66">
      <w:pPr>
        <w:pStyle w:val="Heading2"/>
      </w:pPr>
      <w:r>
        <w:t>4.2. Дозировка и начин на приложение</w:t>
      </w:r>
    </w:p>
    <w:p w14:paraId="02D40087" w14:textId="1A24DFFC" w:rsidR="007E6202" w:rsidRDefault="007E6202" w:rsidP="007E6202"/>
    <w:p w14:paraId="194B391D" w14:textId="77777777" w:rsidR="007E6202" w:rsidRPr="007E6202" w:rsidRDefault="007E6202" w:rsidP="007E6202">
      <w:pPr>
        <w:pStyle w:val="Heading3"/>
        <w:rPr>
          <w:rFonts w:eastAsia="Times New Roman"/>
          <w:sz w:val="28"/>
          <w:szCs w:val="28"/>
          <w:u w:val="single"/>
          <w:lang w:eastAsia="bg-BG"/>
        </w:rPr>
      </w:pPr>
      <w:r w:rsidRPr="007E6202">
        <w:rPr>
          <w:rFonts w:eastAsia="Times New Roman"/>
          <w:u w:val="single"/>
          <w:lang w:eastAsia="bg-BG"/>
        </w:rPr>
        <w:t>Дозировка</w:t>
      </w:r>
    </w:p>
    <w:p w14:paraId="75DACB2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Тъй като сърдечно-съдовите рискове на еторикоксиб могат да нарастват с дозата и продължителността на експозиция, трябва да се използват възможно най-кратката продължителност на лечение и най-ниската ефективна дневна доза. Нуждите на пациента от симптоматично облекчение и отговора към лечението трябва да бъдат преоценявани периодично, особено при пациенти с остеоартрит (вж. точки 4.3,4.4,4.8 и 5.1).</w:t>
      </w:r>
    </w:p>
    <w:p w14:paraId="244F41DA" w14:textId="77777777" w:rsidR="007E6202" w:rsidRPr="007E6202" w:rsidRDefault="007E6202" w:rsidP="007E6202">
      <w:pPr>
        <w:spacing w:line="240" w:lineRule="auto"/>
        <w:rPr>
          <w:rFonts w:eastAsia="Times New Roman" w:cs="Arial"/>
          <w:color w:val="000000"/>
          <w:u w:val="single"/>
          <w:lang w:eastAsia="bg-BG"/>
        </w:rPr>
      </w:pPr>
    </w:p>
    <w:p w14:paraId="65AF704D" w14:textId="1FA55233"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Остеоартрит:</w:t>
      </w:r>
    </w:p>
    <w:p w14:paraId="1674268C"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Обичайната препоръчителна дневна доза е 30 </w:t>
      </w:r>
      <w:r w:rsidRPr="007E6202">
        <w:rPr>
          <w:rFonts w:eastAsia="Times New Roman" w:cs="Arial"/>
          <w:color w:val="000000"/>
          <w:lang w:val="en-US"/>
        </w:rPr>
        <w:t xml:space="preserve">mg. </w:t>
      </w:r>
      <w:r w:rsidRPr="007E6202">
        <w:rPr>
          <w:rFonts w:eastAsia="Times New Roman" w:cs="Arial"/>
          <w:color w:val="000000"/>
          <w:lang w:eastAsia="bg-BG"/>
        </w:rPr>
        <w:t xml:space="preserve">При някои пациенти с недостатъчно облекчаване на симптомите, повишаване на дозата до 60 </w:t>
      </w:r>
      <w:r w:rsidRPr="007E6202">
        <w:rPr>
          <w:rFonts w:eastAsia="Times New Roman" w:cs="Arial"/>
          <w:color w:val="000000"/>
          <w:lang w:val="en-US"/>
        </w:rPr>
        <w:t xml:space="preserve">mg </w:t>
      </w:r>
      <w:r w:rsidRPr="007E6202">
        <w:rPr>
          <w:rFonts w:eastAsia="Times New Roman" w:cs="Arial"/>
          <w:color w:val="000000"/>
          <w:lang w:eastAsia="bg-BG"/>
        </w:rPr>
        <w:t>един път дневно може да повиши ефикасността.</w:t>
      </w:r>
    </w:p>
    <w:p w14:paraId="00F783E8"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липса на терапевтичен ефект следва да се прецени използването на други терапевтични възможности.</w:t>
      </w:r>
    </w:p>
    <w:p w14:paraId="3AB5C831" w14:textId="77777777" w:rsidR="007E6202" w:rsidRPr="007E6202" w:rsidRDefault="007E6202" w:rsidP="007E6202">
      <w:pPr>
        <w:spacing w:line="240" w:lineRule="auto"/>
        <w:rPr>
          <w:rFonts w:eastAsia="Times New Roman" w:cs="Arial"/>
          <w:color w:val="000000"/>
          <w:u w:val="single"/>
          <w:lang w:eastAsia="bg-BG"/>
        </w:rPr>
      </w:pPr>
    </w:p>
    <w:p w14:paraId="328C13DA" w14:textId="0F9DFB13"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Ревматоиден артрит:</w:t>
      </w:r>
    </w:p>
    <w:p w14:paraId="42E2715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w:t>
      </w:r>
    </w:p>
    <w:p w14:paraId="75430456" w14:textId="77777777" w:rsidR="007E6202" w:rsidRPr="007E6202" w:rsidRDefault="007E6202" w:rsidP="007E6202">
      <w:pPr>
        <w:spacing w:line="240" w:lineRule="auto"/>
        <w:rPr>
          <w:rFonts w:eastAsia="Times New Roman" w:cs="Arial"/>
          <w:color w:val="000000"/>
          <w:u w:val="single"/>
          <w:lang w:eastAsia="bg-BG"/>
        </w:rPr>
      </w:pPr>
    </w:p>
    <w:p w14:paraId="04238944" w14:textId="6ACDD3C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Анкилозиращ спондилит:</w:t>
      </w:r>
    </w:p>
    <w:p w14:paraId="62559F5D"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w:t>
      </w:r>
    </w:p>
    <w:p w14:paraId="09CF8C5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трябва да се използва само по време на острия симптоматичен период при състояния на силна болка.</w:t>
      </w:r>
    </w:p>
    <w:p w14:paraId="4F262C10" w14:textId="77777777" w:rsidR="007E6202" w:rsidRPr="007E6202" w:rsidRDefault="007E6202" w:rsidP="007E6202">
      <w:pPr>
        <w:spacing w:line="240" w:lineRule="auto"/>
        <w:rPr>
          <w:rFonts w:eastAsia="Times New Roman" w:cs="Arial"/>
          <w:color w:val="000000"/>
          <w:u w:val="single"/>
          <w:lang w:eastAsia="bg-BG"/>
        </w:rPr>
      </w:pPr>
    </w:p>
    <w:p w14:paraId="7A472850" w14:textId="270A3F2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Остър подагрозен артрит</w:t>
      </w:r>
    </w:p>
    <w:p w14:paraId="16E26EF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120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По време на клинични изпитвания за лечение на остър подагрозен артрит еторикоксиб е приеман в продължение на 8 дни.</w:t>
      </w:r>
    </w:p>
    <w:p w14:paraId="5A58E905" w14:textId="77777777" w:rsidR="007E6202" w:rsidRPr="007E6202" w:rsidRDefault="007E6202" w:rsidP="007E6202">
      <w:pPr>
        <w:spacing w:line="240" w:lineRule="auto"/>
        <w:rPr>
          <w:rFonts w:eastAsia="Times New Roman" w:cs="Arial"/>
          <w:color w:val="000000"/>
          <w:u w:val="single"/>
          <w:lang w:eastAsia="bg-BG"/>
        </w:rPr>
      </w:pPr>
    </w:p>
    <w:p w14:paraId="07C6B9FE" w14:textId="06753AA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Постоперативна болка след дентална операция</w:t>
      </w:r>
    </w:p>
    <w:p w14:paraId="6DD9FFB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ограничено максимум до 3 дни. Някои пациенти може да се нуждаят от друга постоперативна аналгезия в допълнение към Етористад по време на тридневния период на лечение.</w:t>
      </w:r>
    </w:p>
    <w:p w14:paraId="35036CD4" w14:textId="77777777" w:rsidR="007E6202" w:rsidRPr="007E6202" w:rsidRDefault="007E6202" w:rsidP="007E6202">
      <w:pPr>
        <w:spacing w:line="240" w:lineRule="auto"/>
        <w:rPr>
          <w:rFonts w:eastAsia="Times New Roman" w:cs="Arial"/>
          <w:color w:val="000000"/>
          <w:lang w:eastAsia="bg-BG"/>
        </w:rPr>
      </w:pPr>
    </w:p>
    <w:p w14:paraId="5F340365" w14:textId="2B3F433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Дози, надхвърлящи препоръчителните за отделните индикации или не са показали по-голяма ефикасност, или не са били проучвани. Затова:</w:t>
      </w:r>
    </w:p>
    <w:p w14:paraId="51AAD31B" w14:textId="77777777" w:rsidR="007E6202" w:rsidRPr="007E6202" w:rsidRDefault="007E6202" w:rsidP="007E6202">
      <w:pPr>
        <w:spacing w:line="240" w:lineRule="auto"/>
        <w:rPr>
          <w:rFonts w:eastAsia="Times New Roman" w:cs="Arial"/>
          <w:color w:val="000000"/>
          <w:lang w:eastAsia="bg-BG"/>
        </w:rPr>
      </w:pPr>
    </w:p>
    <w:p w14:paraId="69731387" w14:textId="5F72C98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Дозата за остеоартрит не трябва да надвишава 60 </w:t>
      </w:r>
      <w:r w:rsidRPr="007E6202">
        <w:rPr>
          <w:rFonts w:eastAsia="Times New Roman" w:cs="Arial"/>
          <w:color w:val="000000"/>
          <w:lang w:val="en-US"/>
        </w:rPr>
        <w:t xml:space="preserve">mg </w:t>
      </w:r>
      <w:r w:rsidRPr="007E6202">
        <w:rPr>
          <w:rFonts w:eastAsia="Times New Roman" w:cs="Arial"/>
          <w:color w:val="000000"/>
          <w:lang w:eastAsia="bg-BG"/>
        </w:rPr>
        <w:t>дневно.</w:t>
      </w:r>
    </w:p>
    <w:p w14:paraId="7EC11A1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Дозата за ревматоиден артрит и анкилозиращ спондилит не трябва да надвишава 90 </w:t>
      </w:r>
      <w:r w:rsidRPr="007E6202">
        <w:rPr>
          <w:rFonts w:eastAsia="Times New Roman" w:cs="Arial"/>
          <w:color w:val="000000"/>
          <w:lang w:val="en-US"/>
        </w:rPr>
        <w:t xml:space="preserve">mg </w:t>
      </w:r>
      <w:r w:rsidRPr="007E6202">
        <w:rPr>
          <w:rFonts w:eastAsia="Times New Roman" w:cs="Arial"/>
          <w:color w:val="000000"/>
          <w:lang w:eastAsia="bg-BG"/>
        </w:rPr>
        <w:t xml:space="preserve">дневно. Дозата за остър подагрозен артрит не трябва да надвишава 120 </w:t>
      </w:r>
      <w:r w:rsidRPr="007E6202">
        <w:rPr>
          <w:rFonts w:eastAsia="Times New Roman" w:cs="Arial"/>
          <w:color w:val="000000"/>
          <w:lang w:val="en-US"/>
        </w:rPr>
        <w:t xml:space="preserve">mg </w:t>
      </w:r>
      <w:r w:rsidRPr="007E6202">
        <w:rPr>
          <w:rFonts w:eastAsia="Times New Roman" w:cs="Arial"/>
          <w:color w:val="000000"/>
          <w:lang w:eastAsia="bg-BG"/>
        </w:rPr>
        <w:t>дневно, като лечението се ограничава максимум до 8 дни.</w:t>
      </w:r>
    </w:p>
    <w:p w14:paraId="1B0B3B0B" w14:textId="77777777" w:rsidR="007E6202" w:rsidRPr="007E6202" w:rsidRDefault="007E6202" w:rsidP="007E6202">
      <w:pPr>
        <w:spacing w:line="240" w:lineRule="auto"/>
        <w:rPr>
          <w:rFonts w:eastAsia="Times New Roman" w:cs="Arial"/>
          <w:color w:val="000000"/>
          <w:lang w:eastAsia="bg-BG"/>
        </w:rPr>
      </w:pPr>
    </w:p>
    <w:p w14:paraId="51124AA8" w14:textId="21718515"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lastRenderedPageBreak/>
        <w:t xml:space="preserve">Дозата за постоперативна силна болка след дентална операция не трябва да надвишава 90 </w:t>
      </w:r>
      <w:r w:rsidRPr="007E6202">
        <w:rPr>
          <w:rFonts w:eastAsia="Times New Roman" w:cs="Arial"/>
          <w:color w:val="000000"/>
          <w:lang w:val="en-US"/>
        </w:rPr>
        <w:t xml:space="preserve">mg </w:t>
      </w:r>
      <w:r w:rsidRPr="007E6202">
        <w:rPr>
          <w:rFonts w:eastAsia="Times New Roman" w:cs="Arial"/>
          <w:color w:val="000000"/>
          <w:lang w:eastAsia="bg-BG"/>
        </w:rPr>
        <w:t>дневно, ограничено максимум до 3 дни.</w:t>
      </w:r>
    </w:p>
    <w:p w14:paraId="60D6CB39" w14:textId="77777777" w:rsidR="007E6202" w:rsidRPr="007E6202" w:rsidRDefault="007E6202" w:rsidP="007E6202">
      <w:pPr>
        <w:spacing w:line="240" w:lineRule="auto"/>
        <w:rPr>
          <w:rFonts w:eastAsia="Times New Roman" w:cs="Arial"/>
          <w:color w:val="000000"/>
          <w:u w:val="single"/>
          <w:lang w:eastAsia="bg-BG"/>
        </w:rPr>
      </w:pPr>
    </w:p>
    <w:p w14:paraId="45C6DD55" w14:textId="1FF04D6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Специални популации</w:t>
      </w:r>
    </w:p>
    <w:p w14:paraId="7925D899" w14:textId="77E9F3F3"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в старческа възраст:</w:t>
      </w:r>
    </w:p>
    <w:p w14:paraId="00E2C0CF" w14:textId="1AFD065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Не се налага коригиране на дозата при пациенти в старческа възраст. Както при други лекарства приложението при пациенти в старческа възраст следва да става внимателно (вж, точка 4.4).</w:t>
      </w:r>
    </w:p>
    <w:p w14:paraId="6E7B97A8" w14:textId="77777777" w:rsidR="007E6202" w:rsidRPr="007E6202" w:rsidRDefault="007E6202" w:rsidP="007E6202">
      <w:pPr>
        <w:spacing w:line="240" w:lineRule="auto"/>
        <w:rPr>
          <w:rFonts w:eastAsia="Times New Roman" w:cs="Arial"/>
          <w:i/>
          <w:iCs/>
          <w:color w:val="000000"/>
          <w:lang w:eastAsia="bg-BG"/>
        </w:rPr>
      </w:pPr>
    </w:p>
    <w:p w14:paraId="160B76CE" w14:textId="7D3ED4EE"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с чернодробно увреждане:</w:t>
      </w:r>
    </w:p>
    <w:p w14:paraId="60548668" w14:textId="77777777" w:rsidR="007E6202" w:rsidRPr="007E6202" w:rsidRDefault="007E6202" w:rsidP="007E6202">
      <w:pPr>
        <w:rPr>
          <w:rFonts w:eastAsia="Times New Roman" w:cs="Arial"/>
          <w:sz w:val="28"/>
          <w:szCs w:val="28"/>
          <w:lang w:eastAsia="bg-BG"/>
        </w:rPr>
      </w:pPr>
      <w:r w:rsidRPr="007E6202">
        <w:rPr>
          <w:rFonts w:eastAsia="Times New Roman" w:cs="Arial"/>
          <w:color w:val="000000"/>
          <w:lang w:eastAsia="bg-BG"/>
        </w:rPr>
        <w:t>Независимо от индикацията при пациентите с лека степен на чернодробно увреждане (</w:t>
      </w:r>
      <w:r w:rsidRPr="007E6202">
        <w:rPr>
          <w:rFonts w:eastAsia="Times New Roman" w:cs="Arial"/>
          <w:color w:val="000000"/>
          <w:lang w:val="en-US"/>
        </w:rPr>
        <w:t>Child-Pugh</w:t>
      </w:r>
      <w:r w:rsidRPr="007E6202">
        <w:rPr>
          <w:rFonts w:eastAsia="Times New Roman" w:cs="Arial"/>
          <w:color w:val="000000"/>
          <w:lang w:eastAsia="bg-BG"/>
        </w:rPr>
        <w:t xml:space="preserve"> индекс 5-6) не трябва да се надвишава доза от 60 </w:t>
      </w:r>
      <w:r w:rsidRPr="007E6202">
        <w:rPr>
          <w:rFonts w:eastAsia="Times New Roman" w:cs="Arial"/>
          <w:color w:val="000000"/>
          <w:lang w:val="en-US"/>
        </w:rPr>
        <w:t xml:space="preserve">mg </w:t>
      </w:r>
      <w:r w:rsidRPr="007E6202">
        <w:rPr>
          <w:rFonts w:eastAsia="Times New Roman" w:cs="Arial"/>
          <w:color w:val="000000"/>
          <w:lang w:eastAsia="bg-BG"/>
        </w:rPr>
        <w:t>веднъж на ден. При пациентите с умерен</w:t>
      </w:r>
      <w:r w:rsidRPr="007E6202">
        <w:rPr>
          <w:rFonts w:eastAsia="Times New Roman" w:cs="Arial"/>
          <w:color w:val="000000"/>
          <w:lang w:val="en-US" w:eastAsia="bg-BG"/>
        </w:rPr>
        <w:t xml:space="preserve"> </w:t>
      </w:r>
      <w:r w:rsidRPr="007E6202">
        <w:rPr>
          <w:rFonts w:eastAsia="Times New Roman" w:cs="Arial"/>
          <w:color w:val="000000"/>
          <w:lang w:eastAsia="bg-BG"/>
        </w:rPr>
        <w:t xml:space="preserve">степен на чернодробно увреждане </w:t>
      </w:r>
      <w:r w:rsidRPr="007E6202">
        <w:rPr>
          <w:rFonts w:eastAsia="Times New Roman" w:cs="Arial"/>
          <w:color w:val="000000"/>
          <w:lang w:val="en-US"/>
        </w:rPr>
        <w:t xml:space="preserve">(Child-Pugh </w:t>
      </w:r>
      <w:r w:rsidRPr="007E6202">
        <w:rPr>
          <w:rFonts w:eastAsia="Times New Roman" w:cs="Arial"/>
          <w:color w:val="000000"/>
          <w:lang w:eastAsia="bg-BG"/>
        </w:rPr>
        <w:t xml:space="preserve">индекс 7-9), независимо от индикацията, дозата от 30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не трябва да се надхвърля.</w:t>
      </w:r>
    </w:p>
    <w:p w14:paraId="32B04B6F" w14:textId="77777777" w:rsidR="007E6202" w:rsidRPr="007E6202" w:rsidRDefault="007E6202" w:rsidP="007E6202">
      <w:pPr>
        <w:spacing w:line="240" w:lineRule="auto"/>
        <w:rPr>
          <w:rFonts w:eastAsia="Times New Roman" w:cs="Arial"/>
          <w:color w:val="000000"/>
          <w:lang w:eastAsia="bg-BG"/>
        </w:rPr>
      </w:pPr>
    </w:p>
    <w:p w14:paraId="25B52172" w14:textId="1D7F2B64"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Клиничният опит е ограничен, особено при пациенти с умерена степен на чернодробно увреждане и затова е необходимо внимание. Няма клиничен опит при пациенти с тежка чернодробна недостатъчност </w:t>
      </w:r>
      <w:r w:rsidRPr="007E6202">
        <w:rPr>
          <w:rFonts w:eastAsia="Times New Roman" w:cs="Arial"/>
          <w:color w:val="000000"/>
          <w:lang w:val="en-US"/>
        </w:rPr>
        <w:t xml:space="preserve">(Child-Pugh </w:t>
      </w:r>
      <w:r w:rsidRPr="007E6202">
        <w:rPr>
          <w:rFonts w:eastAsia="Times New Roman" w:cs="Arial"/>
          <w:color w:val="000000"/>
          <w:lang w:eastAsia="bg-BG"/>
        </w:rPr>
        <w:t>индекс ≥10), затова прилагането на лекарството в такива случаи е противопоказано (вж. точки 4.3, 4.4 и 5.2).</w:t>
      </w:r>
    </w:p>
    <w:p w14:paraId="625622BA" w14:textId="77777777" w:rsidR="007E6202" w:rsidRPr="007E6202" w:rsidRDefault="007E6202" w:rsidP="007E6202">
      <w:pPr>
        <w:spacing w:line="240" w:lineRule="auto"/>
        <w:rPr>
          <w:rFonts w:eastAsia="Times New Roman" w:cs="Arial"/>
          <w:i/>
          <w:iCs/>
          <w:color w:val="000000"/>
          <w:lang w:eastAsia="bg-BG"/>
        </w:rPr>
      </w:pPr>
    </w:p>
    <w:p w14:paraId="30D0C7D7" w14:textId="12DA78BA"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с бъбречно увреждане:</w:t>
      </w:r>
    </w:p>
    <w:p w14:paraId="548F4A2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Не се налага коригиране на дозата при пациенти с креатининов клирънс ≥30 </w:t>
      </w:r>
      <w:r w:rsidRPr="007E6202">
        <w:rPr>
          <w:rFonts w:eastAsia="Times New Roman" w:cs="Arial"/>
          <w:color w:val="000000"/>
          <w:lang w:val="en-US"/>
        </w:rPr>
        <w:t xml:space="preserve">ml /min </w:t>
      </w:r>
      <w:r w:rsidRPr="007E6202">
        <w:rPr>
          <w:rFonts w:eastAsia="Times New Roman" w:cs="Arial"/>
          <w:color w:val="000000"/>
          <w:lang w:eastAsia="bg-BG"/>
        </w:rPr>
        <w:t xml:space="preserve">(вж. точка 5.2). Използването на еторикоксиб при пациенти с креатининов клирънс &lt;30 </w:t>
      </w:r>
      <w:r w:rsidRPr="007E6202">
        <w:rPr>
          <w:rFonts w:eastAsia="Times New Roman" w:cs="Arial"/>
          <w:color w:val="000000"/>
          <w:lang w:val="en-US"/>
        </w:rPr>
        <w:t xml:space="preserve">ml/min </w:t>
      </w:r>
      <w:r w:rsidRPr="007E6202">
        <w:rPr>
          <w:rFonts w:eastAsia="Times New Roman" w:cs="Arial"/>
          <w:color w:val="000000"/>
          <w:lang w:eastAsia="bg-BG"/>
        </w:rPr>
        <w:t>е противопоказано (вж. точки 4.3 и 4.4).</w:t>
      </w:r>
    </w:p>
    <w:p w14:paraId="430491EC" w14:textId="77777777" w:rsidR="007E6202" w:rsidRPr="007E6202" w:rsidRDefault="007E6202" w:rsidP="007E6202">
      <w:pPr>
        <w:spacing w:line="240" w:lineRule="auto"/>
        <w:rPr>
          <w:rFonts w:eastAsia="Times New Roman" w:cs="Arial"/>
          <w:i/>
          <w:iCs/>
          <w:color w:val="000000"/>
          <w:u w:val="single"/>
          <w:lang w:eastAsia="bg-BG"/>
        </w:rPr>
      </w:pPr>
    </w:p>
    <w:p w14:paraId="181C020D" w14:textId="79DD8A03"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u w:val="single"/>
          <w:lang w:eastAsia="bg-BG"/>
        </w:rPr>
        <w:t>Педиатрична популация</w:t>
      </w:r>
    </w:p>
    <w:p w14:paraId="05875E5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е противопоказан за употреба при деца и юноши под 16 години (вж. точка 4.3).</w:t>
      </w:r>
    </w:p>
    <w:p w14:paraId="4E40466C" w14:textId="77777777" w:rsidR="007E6202" w:rsidRPr="007E6202" w:rsidRDefault="007E6202" w:rsidP="007E6202">
      <w:pPr>
        <w:spacing w:line="240" w:lineRule="auto"/>
        <w:rPr>
          <w:rFonts w:eastAsia="Times New Roman" w:cs="Arial"/>
          <w:color w:val="000000"/>
          <w:lang w:eastAsia="bg-BG"/>
        </w:rPr>
      </w:pPr>
    </w:p>
    <w:p w14:paraId="353A796F" w14:textId="215ED5E4" w:rsidR="007E6202" w:rsidRPr="007E6202" w:rsidRDefault="007E6202" w:rsidP="007E6202">
      <w:pPr>
        <w:pStyle w:val="Heading3"/>
        <w:rPr>
          <w:rFonts w:eastAsia="Times New Roman"/>
          <w:sz w:val="28"/>
          <w:szCs w:val="28"/>
          <w:u w:val="single"/>
          <w:lang w:eastAsia="bg-BG"/>
        </w:rPr>
      </w:pPr>
      <w:r w:rsidRPr="007E6202">
        <w:rPr>
          <w:rFonts w:eastAsia="Times New Roman"/>
          <w:u w:val="single"/>
          <w:lang w:eastAsia="bg-BG"/>
        </w:rPr>
        <w:t>Начин на приложение:</w:t>
      </w:r>
    </w:p>
    <w:p w14:paraId="1F5164A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предназначен за перорално приложение. Може да се приема на гладно или по време на хранене. Ефектът на лекарствения продукт може да настъпи по-бързо, когато Етористад се приема на гладно. Това трябва да се има предвид, когато е необходимо да се постигне бързо повлияване на симптоматиката.</w:t>
      </w:r>
    </w:p>
    <w:p w14:paraId="13B18F15" w14:textId="108F1F88" w:rsidR="007E6202" w:rsidRPr="007E6202" w:rsidRDefault="007E6202" w:rsidP="007E6202">
      <w:pPr>
        <w:rPr>
          <w:lang w:val="en-US"/>
        </w:rPr>
      </w:pPr>
    </w:p>
    <w:p w14:paraId="5D9E65DA" w14:textId="371A1D45" w:rsidR="009F77A4" w:rsidRDefault="002C50EE" w:rsidP="00387A66">
      <w:pPr>
        <w:pStyle w:val="Heading2"/>
      </w:pPr>
      <w:r>
        <w:t>4.3. Противопоказания</w:t>
      </w:r>
    </w:p>
    <w:p w14:paraId="7FE1C2AB" w14:textId="12F61BD3" w:rsidR="007E6202" w:rsidRDefault="007E6202" w:rsidP="007E6202"/>
    <w:p w14:paraId="1A52C450"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CDDD1A9"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активна пептична язва или кървене от гастро-интестиналния (ГИ) тракт;</w:t>
      </w:r>
    </w:p>
    <w:p w14:paraId="179F29E3"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пациенти, които след прием на ацетилсалицилова киселина или НСПВС, включително СОХ- 2 (циклооксигеназа-2) инхибитори са проявяват бронхоспазъм, остър ринит, носни полипи, ангионевротичен едем, уртикария или други алергични реакции;</w:t>
      </w:r>
    </w:p>
    <w:p w14:paraId="1A41A3F0"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бременност и кърмене (вж. точки 4.6 и 5.3).</w:t>
      </w:r>
    </w:p>
    <w:p w14:paraId="5137F7B7"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тежко нарушение на чернодробната функция (серумен албумин &lt; 25 </w:t>
      </w:r>
      <w:r w:rsidRPr="007E6202">
        <w:rPr>
          <w:rFonts w:eastAsia="Times New Roman" w:cs="Arial"/>
          <w:color w:val="000000"/>
          <w:lang w:val="en-US"/>
        </w:rPr>
        <w:t xml:space="preserve">g/l </w:t>
      </w:r>
      <w:r w:rsidRPr="007E6202">
        <w:rPr>
          <w:rFonts w:eastAsia="Times New Roman" w:cs="Arial"/>
          <w:color w:val="000000"/>
          <w:lang w:eastAsia="bg-BG"/>
        </w:rPr>
        <w:t xml:space="preserve">или индекс на </w:t>
      </w:r>
      <w:r w:rsidRPr="007E6202">
        <w:rPr>
          <w:rFonts w:eastAsia="Times New Roman" w:cs="Arial"/>
          <w:color w:val="000000"/>
          <w:lang w:val="en-US"/>
        </w:rPr>
        <w:t xml:space="preserve">Child </w:t>
      </w:r>
      <w:r w:rsidRPr="007E6202">
        <w:rPr>
          <w:rFonts w:eastAsia="Times New Roman" w:cs="Arial"/>
          <w:color w:val="000000"/>
          <w:lang w:eastAsia="bg-BG"/>
        </w:rPr>
        <w:t xml:space="preserve">- </w:t>
      </w:r>
      <w:r w:rsidRPr="007E6202">
        <w:rPr>
          <w:rFonts w:eastAsia="Times New Roman" w:cs="Arial"/>
          <w:color w:val="000000"/>
          <w:lang w:val="en-US"/>
        </w:rPr>
        <w:t>Pugh</w:t>
      </w:r>
      <w:r w:rsidRPr="007E6202">
        <w:rPr>
          <w:rFonts w:eastAsia="Times New Roman" w:cs="Arial"/>
          <w:color w:val="000000"/>
          <w:lang w:eastAsia="bg-BG"/>
        </w:rPr>
        <w:t>≥10);</w:t>
      </w:r>
    </w:p>
    <w:p w14:paraId="2CCD0A5C"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пациенти с креатининов клирънс &lt; 30 </w:t>
      </w:r>
      <w:r w:rsidRPr="007E6202">
        <w:rPr>
          <w:rFonts w:eastAsia="Times New Roman" w:cs="Arial"/>
          <w:color w:val="000000"/>
          <w:lang w:val="en-US"/>
        </w:rPr>
        <w:t>ml/min;</w:t>
      </w:r>
    </w:p>
    <w:p w14:paraId="4E3F5F93"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деца и юноши под 16 годишна възраст;</w:t>
      </w:r>
    </w:p>
    <w:p w14:paraId="245C69A6"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възпалителни заболявания на червата;</w:t>
      </w:r>
    </w:p>
    <w:p w14:paraId="5D77D98E"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lastRenderedPageBreak/>
        <w:t xml:space="preserve">застойна сърдечна недостатъчност </w:t>
      </w:r>
      <w:r w:rsidRPr="007E6202">
        <w:rPr>
          <w:rFonts w:eastAsia="Times New Roman" w:cs="Arial"/>
          <w:color w:val="000000"/>
          <w:lang w:val="en-US"/>
        </w:rPr>
        <w:t xml:space="preserve">(I1-IV </w:t>
      </w:r>
      <w:r w:rsidRPr="007E6202">
        <w:rPr>
          <w:rFonts w:eastAsia="Times New Roman" w:cs="Arial"/>
          <w:color w:val="000000"/>
          <w:lang w:eastAsia="bg-BG"/>
        </w:rPr>
        <w:t xml:space="preserve">клас по </w:t>
      </w:r>
      <w:r w:rsidRPr="007E6202">
        <w:rPr>
          <w:rFonts w:eastAsia="Times New Roman" w:cs="Arial"/>
          <w:color w:val="000000"/>
          <w:lang w:val="en-US"/>
        </w:rPr>
        <w:t>NYHA);</w:t>
      </w:r>
    </w:p>
    <w:p w14:paraId="6B3F6EDA"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пациенти с хипертония, чието кръвно налягане е трайно увеличено над 140/90 </w:t>
      </w:r>
      <w:r w:rsidRPr="007E6202">
        <w:rPr>
          <w:rFonts w:eastAsia="Times New Roman" w:cs="Arial"/>
          <w:color w:val="000000"/>
          <w:lang w:val="en-US"/>
        </w:rPr>
        <w:t xml:space="preserve">mmHg </w:t>
      </w:r>
      <w:r w:rsidRPr="007E6202">
        <w:rPr>
          <w:rFonts w:eastAsia="Times New Roman" w:cs="Arial"/>
          <w:color w:val="000000"/>
          <w:lang w:eastAsia="bg-BG"/>
        </w:rPr>
        <w:t>и не е адекватно контролирано;</w:t>
      </w:r>
    </w:p>
    <w:p w14:paraId="78FD37A4" w14:textId="4230F54D" w:rsidR="007E6202" w:rsidRPr="007E6202" w:rsidRDefault="007E6202" w:rsidP="007E6202">
      <w:pPr>
        <w:pStyle w:val="ListParagraph"/>
        <w:numPr>
          <w:ilvl w:val="0"/>
          <w:numId w:val="40"/>
        </w:numPr>
        <w:spacing w:line="240" w:lineRule="auto"/>
        <w:rPr>
          <w:rFonts w:ascii="Times New Roman" w:eastAsia="Times New Roman" w:hAnsi="Times New Roman" w:cs="Times New Roman"/>
          <w:sz w:val="24"/>
          <w:szCs w:val="24"/>
          <w:lang w:eastAsia="bg-BG"/>
        </w:rPr>
      </w:pPr>
      <w:r w:rsidRPr="007E6202">
        <w:rPr>
          <w:rFonts w:eastAsia="Times New Roman" w:cs="Arial"/>
          <w:color w:val="000000"/>
          <w:lang w:eastAsia="bg-BG"/>
        </w:rPr>
        <w:t>установена исхемична болест на сърцето, периферна артериална болест и/или мозъчно- съдова болест</w:t>
      </w:r>
    </w:p>
    <w:p w14:paraId="06963151" w14:textId="77777777" w:rsidR="007E6202" w:rsidRPr="007E6202" w:rsidRDefault="007E6202" w:rsidP="007E6202"/>
    <w:p w14:paraId="1C27CE53" w14:textId="6BA77A9C" w:rsidR="009F77A4" w:rsidRDefault="002C50EE" w:rsidP="00387A66">
      <w:pPr>
        <w:pStyle w:val="Heading2"/>
      </w:pPr>
      <w:r>
        <w:t>4.4. Специални предупреждения и предпазни мерки при употреба</w:t>
      </w:r>
    </w:p>
    <w:p w14:paraId="1317A0E5" w14:textId="0C842C2A" w:rsidR="007E6202" w:rsidRDefault="007E6202" w:rsidP="007E6202"/>
    <w:p w14:paraId="452570E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Стомашно-чревни ефекти</w:t>
      </w:r>
    </w:p>
    <w:p w14:paraId="3803EB6A" w14:textId="77777777" w:rsidR="007E6202" w:rsidRPr="007E6202" w:rsidRDefault="007E6202" w:rsidP="007E6202">
      <w:pPr>
        <w:rPr>
          <w:rFonts w:eastAsia="Times New Roman" w:cs="Arial"/>
          <w:sz w:val="28"/>
          <w:szCs w:val="28"/>
          <w:lang w:eastAsia="bg-BG"/>
        </w:rPr>
      </w:pPr>
      <w:r w:rsidRPr="007E6202">
        <w:rPr>
          <w:rFonts w:eastAsia="Times New Roman" w:cs="Arial"/>
          <w:color w:val="000000"/>
          <w:lang w:eastAsia="bg-BG"/>
        </w:rPr>
        <w:t>При пациенти, лекувани с еторикоксиб, са били наблюдавани усложнения на горните отдели</w:t>
      </w:r>
      <w:r w:rsidRPr="007E6202">
        <w:rPr>
          <w:rFonts w:eastAsia="Times New Roman" w:cs="Arial"/>
          <w:color w:val="000000"/>
          <w:lang w:val="en-US"/>
        </w:rPr>
        <w:t xml:space="preserve"> </w:t>
      </w:r>
      <w:r w:rsidRPr="007E6202">
        <w:rPr>
          <w:rFonts w:eastAsia="Times New Roman" w:cs="Arial"/>
          <w:color w:val="000000"/>
          <w:lang w:eastAsia="bg-BG"/>
        </w:rPr>
        <w:t>на</w:t>
      </w:r>
      <w:r w:rsidRPr="007E6202">
        <w:rPr>
          <w:rFonts w:eastAsia="Times New Roman" w:cs="Arial"/>
          <w:color w:val="000000"/>
          <w:u w:val="single"/>
          <w:lang w:eastAsia="bg-BG"/>
        </w:rPr>
        <w:t xml:space="preserve"> </w:t>
      </w:r>
      <w:r w:rsidRPr="007E6202">
        <w:rPr>
          <w:rFonts w:eastAsia="Times New Roman" w:cs="Arial"/>
          <w:color w:val="000000"/>
          <w:lang w:eastAsia="bg-BG"/>
        </w:rPr>
        <w:t>стомашно-чревния тракт (перфорации, язви или кървене), като някои от тях са били с фатален изход. Внимателно трябва да се подхожда при лечение на пациенти с висок риск от развитие на</w:t>
      </w:r>
      <w:r w:rsidRPr="007E6202">
        <w:rPr>
          <w:rFonts w:eastAsia="Times New Roman" w:cs="Arial"/>
          <w:sz w:val="28"/>
          <w:szCs w:val="28"/>
          <w:lang w:val="en-US" w:eastAsia="bg-BG"/>
        </w:rPr>
        <w:t xml:space="preserve"> </w:t>
      </w:r>
      <w:r w:rsidRPr="007E6202">
        <w:rPr>
          <w:rFonts w:eastAsia="Times New Roman" w:cs="Arial"/>
          <w:color w:val="000000"/>
          <w:lang w:eastAsia="bg-BG"/>
        </w:rPr>
        <w:t>стомашно-чревни усложнения от НСПВС: пациенти в старческа възраст, пациенти, употрежяващи</w:t>
      </w:r>
      <w:r w:rsidRPr="007E6202">
        <w:rPr>
          <w:rFonts w:eastAsia="Times New Roman" w:cs="Arial"/>
          <w:color w:val="000000"/>
          <w:lang w:val="en-US" w:eastAsia="bg-BG"/>
        </w:rPr>
        <w:t xml:space="preserve"> </w:t>
      </w:r>
      <w:r w:rsidRPr="007E6202">
        <w:rPr>
          <w:rFonts w:eastAsia="Times New Roman" w:cs="Arial"/>
          <w:color w:val="000000"/>
          <w:lang w:eastAsia="bg-BG"/>
        </w:rPr>
        <w:t>едновременно друго НСПВС или ацетилсалицилова киселина или пациенти с анамнеза за стомашно-чревно заболяване като язва и кървене от стомашно-чревния тракт.</w:t>
      </w:r>
    </w:p>
    <w:p w14:paraId="32B660CF" w14:textId="77777777" w:rsidR="007E6202" w:rsidRPr="007E6202" w:rsidRDefault="007E6202" w:rsidP="007E6202">
      <w:pPr>
        <w:spacing w:line="240" w:lineRule="auto"/>
        <w:rPr>
          <w:rFonts w:eastAsia="Times New Roman" w:cs="Arial"/>
          <w:color w:val="000000"/>
          <w:lang w:eastAsia="bg-BG"/>
        </w:rPr>
      </w:pPr>
    </w:p>
    <w:p w14:paraId="096B2039" w14:textId="1A57BB3A"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едновременно лечение с ацетилсалицилова киселина (дори и в ниски дози) и еторикоксиб съществува допълнително увеличаване на риска от стомашно-чревни нежелани реакции за еторикоксиб (стомашно-чревна язва или други стомашно-чревни усложнения).</w:t>
      </w:r>
    </w:p>
    <w:p w14:paraId="781BD02E" w14:textId="77777777" w:rsidR="007E6202" w:rsidRPr="007E6202" w:rsidRDefault="007E6202" w:rsidP="007E6202">
      <w:pPr>
        <w:spacing w:line="240" w:lineRule="auto"/>
        <w:rPr>
          <w:rFonts w:eastAsia="Times New Roman" w:cs="Arial"/>
          <w:color w:val="000000"/>
          <w:lang w:eastAsia="bg-BG"/>
        </w:rPr>
      </w:pPr>
    </w:p>
    <w:p w14:paraId="6DBFCE98" w14:textId="2722AB8C"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Значителна разлика по отношение на гастро-интестиналната безопасност между селективни СОХ- 2 инхибитори + ацетилсалицилова киселина спрямо НСПВС + ацетилсалицилова киселина не е демонстрирана в дългосрочни клинични проучвания (вж. точка 5.1).</w:t>
      </w:r>
    </w:p>
    <w:p w14:paraId="43336E7E" w14:textId="77777777" w:rsidR="007E6202" w:rsidRPr="007E6202" w:rsidRDefault="007E6202" w:rsidP="007E6202">
      <w:pPr>
        <w:spacing w:line="240" w:lineRule="auto"/>
        <w:rPr>
          <w:rFonts w:eastAsia="Times New Roman" w:cs="Arial"/>
          <w:i/>
          <w:iCs/>
          <w:color w:val="000000"/>
          <w:lang w:eastAsia="bg-BG"/>
        </w:rPr>
      </w:pPr>
    </w:p>
    <w:p w14:paraId="72659DA5" w14:textId="5F9DC8F6"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Сърдечно-съдови ефекти</w:t>
      </w:r>
    </w:p>
    <w:p w14:paraId="3F5DA9A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Клинични проучвания предполагат, че лекарствения клас на селективните СОХ-2 инхибитори, може да бъде свързан с риск от тромботични инциденти (особено миокарден инфаркт (МИ) и инсулт), в сравнение с плацебо и някои НСПВС.</w:t>
      </w:r>
    </w:p>
    <w:p w14:paraId="69DEFB3E" w14:textId="77777777" w:rsidR="007E6202" w:rsidRPr="007E6202" w:rsidRDefault="007E6202" w:rsidP="007E6202">
      <w:pPr>
        <w:spacing w:line="240" w:lineRule="auto"/>
        <w:rPr>
          <w:rFonts w:eastAsia="Times New Roman" w:cs="Arial"/>
          <w:color w:val="000000"/>
          <w:lang w:eastAsia="bg-BG"/>
        </w:rPr>
      </w:pPr>
    </w:p>
    <w:p w14:paraId="0742E02A" w14:textId="5E0E690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Тъй като сърдечно-съдовите рискове на еторикоксиб могат да нарастнат с дозата и продължителността на прилагане, трябва да се използват възможно най-ниската ефективна дневна доза за най-кратък период от време. Необходимостта на пациента от симптоматично облекчение и отговора към лечението трябва да бъдат оценявани периодично, особено при пациенти с остеоартрит (вж. точка 4.2, 4.3, 4.8 и 5,1).</w:t>
      </w:r>
    </w:p>
    <w:p w14:paraId="78227B83" w14:textId="77777777" w:rsidR="007E6202" w:rsidRPr="007E6202" w:rsidRDefault="007E6202" w:rsidP="007E6202">
      <w:pPr>
        <w:spacing w:line="240" w:lineRule="auto"/>
        <w:rPr>
          <w:rFonts w:eastAsia="Times New Roman" w:cs="Arial"/>
          <w:color w:val="000000"/>
          <w:lang w:eastAsia="bg-BG"/>
        </w:rPr>
      </w:pPr>
    </w:p>
    <w:p w14:paraId="2B9E52F9" w14:textId="1F86241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Пациенти със значими рискови фактори за сърдечно-съдови събития (например хипертония, хиперлипедимия, захарен диабет, тютюнопушене) трябва да бъдат лекувани с еторикоксиб само след внимателна преценка (вж. точка 5.1).</w:t>
      </w:r>
    </w:p>
    <w:p w14:paraId="577793FA" w14:textId="77777777" w:rsidR="007E6202" w:rsidRPr="007E6202" w:rsidRDefault="007E6202" w:rsidP="007E6202">
      <w:pPr>
        <w:spacing w:line="240" w:lineRule="auto"/>
        <w:rPr>
          <w:rFonts w:eastAsia="Times New Roman" w:cs="Arial"/>
          <w:color w:val="000000"/>
          <w:lang w:eastAsia="bg-BG"/>
        </w:rPr>
      </w:pPr>
    </w:p>
    <w:p w14:paraId="73E1D845" w14:textId="5DE93A89"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Селективните СОХ-2 инхибитори не заместват ацетилсалициловата киселина за профилактика на сърдечно-съдови тромбоемболични заболявания поради липсата на антиагрегантни ефекти. Ето защо, антиагрегантното лечение не трябва да бъде прекъсвано (вж. точка 5.1).</w:t>
      </w:r>
    </w:p>
    <w:p w14:paraId="404483EE" w14:textId="77777777" w:rsidR="007E6202" w:rsidRPr="007E6202" w:rsidRDefault="007E6202" w:rsidP="007E6202">
      <w:pPr>
        <w:spacing w:line="240" w:lineRule="auto"/>
        <w:rPr>
          <w:rFonts w:eastAsia="Times New Roman" w:cs="Arial"/>
          <w:i/>
          <w:iCs/>
          <w:color w:val="000000"/>
          <w:lang w:eastAsia="bg-BG"/>
        </w:rPr>
      </w:pPr>
    </w:p>
    <w:p w14:paraId="3A32C9A6" w14:textId="2A5955FD"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върху бъбреците</w:t>
      </w:r>
    </w:p>
    <w:p w14:paraId="496EC57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Бъбречните простагландини може да имат важна роля в поддържането на бъбречната перфузия. Затова при наличието на компрометирана бъбречна перфузия, прилагането на </w:t>
      </w:r>
      <w:r w:rsidRPr="007E6202">
        <w:rPr>
          <w:rFonts w:eastAsia="Times New Roman" w:cs="Arial"/>
          <w:color w:val="000000"/>
          <w:lang w:eastAsia="bg-BG"/>
        </w:rPr>
        <w:lastRenderedPageBreak/>
        <w:t>еторикоксиб може да предизвика вторично, посредством намаляване на производството на простагландини, редуциране на бъбречния кръвоток и увреждане на бъбречната функция. Пациентите с най-висок риск в това отношение са тези, които имат предхождащо значимо увреждане на бъбречната функция, некомпенсирана сърдечна недостатъчност или цироза. При такива пациенти следва да се има предвид мониторирането на бъбречната функция.</w:t>
      </w:r>
    </w:p>
    <w:p w14:paraId="172F2F21" w14:textId="77777777" w:rsidR="007E6202" w:rsidRPr="007E6202" w:rsidRDefault="007E6202" w:rsidP="007E6202">
      <w:pPr>
        <w:spacing w:line="240" w:lineRule="auto"/>
        <w:rPr>
          <w:rFonts w:eastAsia="Times New Roman" w:cs="Arial"/>
          <w:i/>
          <w:iCs/>
          <w:color w:val="000000"/>
          <w:lang w:eastAsia="bg-BG"/>
        </w:rPr>
      </w:pPr>
    </w:p>
    <w:p w14:paraId="39993540" w14:textId="2174C17A"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Задръжка на течности, оток и хипертония</w:t>
      </w:r>
    </w:p>
    <w:p w14:paraId="459CB0BE"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Както и при други лекарства, инхибиращи простагландиновата синтеза, при пациенти, вземащи еторикоксиб, е възможна задръжка на течности и поява на отоци.</w:t>
      </w:r>
    </w:p>
    <w:p w14:paraId="2735305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Всички НСПВС, включително еторикоксиб може да се свържат с новопоявила се или рекурентна застойна сърдечна недостатъчност. За информация относно определяния от дозата отговор при еторикоксиб вижте точка 5.1. Внимателно трябва да се подхожда към пациентите с анамнеза за сърдечна недостатъчност, левокамерна дисфункция, хипертония, както и към пациенти с предхождащ оток по други причини. Ако има клинични данни за влошаване на състоянието на тези пациенти, следва да се предприемат подходящи мерки, в това число и прекратяване на лечението с еторикоксиб.</w:t>
      </w:r>
    </w:p>
    <w:p w14:paraId="6ECED081" w14:textId="3E8CE9E7" w:rsidR="007E6202" w:rsidRPr="007E6202" w:rsidRDefault="007E6202" w:rsidP="007E6202">
      <w:pPr>
        <w:spacing w:line="240" w:lineRule="auto"/>
        <w:rPr>
          <w:rFonts w:eastAsia="Times New Roman" w:cs="Arial"/>
          <w:sz w:val="28"/>
          <w:szCs w:val="28"/>
          <w:lang w:val="en-US" w:eastAsia="bg-BG"/>
        </w:rPr>
      </w:pPr>
    </w:p>
    <w:p w14:paraId="42C34DD5"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бъде свързан с проява на по-честа и тежка хипертония в сравнение с други НСПВС и селективни СОХ-2 инхибитори, особено във високи дози. Поради това хипертонията трябва да бъде контролирана преди лечението с еторикоксиб и трябва да се обърне особено внимание на проследяване на кръвното налягане по време на лечението е еторикоксиб. Кръвното налягане следва да бъде контролирано до две седмици от започване на лечението и периодично след това. Ако кръвното налягане значително се повиши трябва да се помисли за алтернативно лечение.</w:t>
      </w:r>
    </w:p>
    <w:p w14:paraId="55BEA24B" w14:textId="77777777" w:rsidR="007E6202" w:rsidRPr="007E6202" w:rsidRDefault="007E6202" w:rsidP="007E6202">
      <w:pPr>
        <w:spacing w:line="240" w:lineRule="auto"/>
        <w:rPr>
          <w:rFonts w:eastAsia="Times New Roman" w:cs="Arial"/>
          <w:i/>
          <w:iCs/>
          <w:color w:val="000000"/>
          <w:lang w:eastAsia="bg-BG"/>
        </w:rPr>
      </w:pPr>
    </w:p>
    <w:p w14:paraId="598DB154" w14:textId="133790E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върху черния дроб</w:t>
      </w:r>
    </w:p>
    <w:p w14:paraId="2BD8D24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Повишаване на аланин аминотрансферазата </w:t>
      </w:r>
      <w:r w:rsidRPr="007E6202">
        <w:rPr>
          <w:rFonts w:eastAsia="Times New Roman" w:cs="Arial"/>
          <w:color w:val="000000"/>
          <w:lang w:val="en-US"/>
        </w:rPr>
        <w:t xml:space="preserve">(ALT) </w:t>
      </w:r>
      <w:r w:rsidRPr="007E6202">
        <w:rPr>
          <w:rFonts w:eastAsia="Times New Roman" w:cs="Arial"/>
          <w:color w:val="000000"/>
          <w:lang w:eastAsia="bg-BG"/>
        </w:rPr>
        <w:t xml:space="preserve">и/или аспартат аминотрансферазата </w:t>
      </w:r>
      <w:r w:rsidRPr="007E6202">
        <w:rPr>
          <w:rFonts w:eastAsia="Times New Roman" w:cs="Arial"/>
          <w:color w:val="000000"/>
          <w:lang w:val="en-US"/>
        </w:rPr>
        <w:t xml:space="preserve">(AST) </w:t>
      </w:r>
      <w:r w:rsidRPr="007E6202">
        <w:rPr>
          <w:rFonts w:eastAsia="Times New Roman" w:cs="Arial"/>
          <w:color w:val="000000"/>
          <w:lang w:eastAsia="bg-BG"/>
        </w:rPr>
        <w:t xml:space="preserve">(приблизително три или повече пъти над горната нормална граница) е било наблюдавано около 1% от пациентите в клиничните проучвания, които са лекувани с еторикоксиб до 1 година при доза 60 и 90 </w:t>
      </w:r>
      <w:r w:rsidRPr="007E6202">
        <w:rPr>
          <w:rFonts w:eastAsia="Times New Roman" w:cs="Arial"/>
          <w:color w:val="000000"/>
          <w:lang w:val="en-US"/>
        </w:rPr>
        <w:t xml:space="preserve">mg </w:t>
      </w:r>
      <w:r w:rsidRPr="007E6202">
        <w:rPr>
          <w:rFonts w:eastAsia="Times New Roman" w:cs="Arial"/>
          <w:color w:val="000000"/>
          <w:lang w:eastAsia="bg-BG"/>
        </w:rPr>
        <w:t>дневно.</w:t>
      </w:r>
    </w:p>
    <w:p w14:paraId="7A972371" w14:textId="77777777" w:rsidR="007E6202" w:rsidRPr="007E6202" w:rsidRDefault="007E6202" w:rsidP="007E6202">
      <w:pPr>
        <w:spacing w:line="240" w:lineRule="auto"/>
        <w:rPr>
          <w:rFonts w:eastAsia="Times New Roman" w:cs="Arial"/>
          <w:color w:val="000000"/>
          <w:lang w:eastAsia="bg-BG"/>
        </w:rPr>
      </w:pPr>
    </w:p>
    <w:p w14:paraId="472581B3" w14:textId="16489C0C" w:rsidR="007E6202" w:rsidRPr="007E6202" w:rsidRDefault="007E6202" w:rsidP="007E6202">
      <w:pPr>
        <w:spacing w:line="240" w:lineRule="auto"/>
        <w:rPr>
          <w:rFonts w:eastAsia="Times New Roman" w:cs="Arial"/>
          <w:color w:val="000000"/>
          <w:lang w:eastAsia="bg-BG"/>
        </w:rPr>
      </w:pPr>
      <w:r w:rsidRPr="007E6202">
        <w:rPr>
          <w:rFonts w:eastAsia="Times New Roman" w:cs="Arial"/>
          <w:color w:val="000000"/>
          <w:lang w:eastAsia="bg-BG"/>
        </w:rPr>
        <w:t xml:space="preserve">Пациентите със симптоми и/или признаци за чернодробна дисфункция или тези, при които е налице патологичен тест за оценка на чернодробната функция, следва да бъдат мониторирани. Ако се наблюдават признаци на чернодробна недостатъчност или персистират патологични резултати от чернодробните тестове </w:t>
      </w:r>
    </w:p>
    <w:p w14:paraId="380719A6" w14:textId="10E89EEC"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(три пъти над нормалната горна граница), лечението с еторикоксиб трябва да се прекрати.</w:t>
      </w:r>
    </w:p>
    <w:p w14:paraId="290DECF8" w14:textId="77777777" w:rsidR="007E6202" w:rsidRPr="007E6202" w:rsidRDefault="007E6202" w:rsidP="007E6202">
      <w:pPr>
        <w:spacing w:line="240" w:lineRule="auto"/>
        <w:rPr>
          <w:rFonts w:eastAsia="Times New Roman" w:cs="Arial"/>
          <w:i/>
          <w:iCs/>
          <w:color w:val="000000"/>
          <w:u w:val="single"/>
          <w:lang w:eastAsia="bg-BG"/>
        </w:rPr>
      </w:pPr>
    </w:p>
    <w:p w14:paraId="036FCFD2" w14:textId="04ED9230"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u w:val="single"/>
          <w:lang w:eastAsia="bg-BG"/>
        </w:rPr>
        <w:t>Обши ефекти:</w:t>
      </w:r>
    </w:p>
    <w:p w14:paraId="73846EF2"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Ако по време на лечение се влошат функциите на която и да е органна система, описани по-горе, трябва да бъдат предприети подходящи мерки и да се обмисли прекратяване на лечението с еторикоксиб. Трябва да се осъществява адекватно медицинско наблюдение по време на провеждането на лечение с еторикоксиб на пациенти в старческа възраст и такива с налична бъбречна, чернодробна или сърдечна дисфункция.</w:t>
      </w:r>
    </w:p>
    <w:p w14:paraId="6AD53895" w14:textId="77777777" w:rsidR="007E6202" w:rsidRPr="007E6202" w:rsidRDefault="007E6202" w:rsidP="007E6202">
      <w:pPr>
        <w:spacing w:line="240" w:lineRule="auto"/>
        <w:rPr>
          <w:rFonts w:eastAsia="Times New Roman" w:cs="Arial"/>
          <w:color w:val="000000"/>
          <w:lang w:eastAsia="bg-BG"/>
        </w:rPr>
      </w:pPr>
    </w:p>
    <w:p w14:paraId="3AA13AF1" w14:textId="69F4AE7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Много рядко са съобщавани сериозни кожни реакции, някои от които фатални, включително ексфолиативен дерматит, синдром на </w:t>
      </w:r>
      <w:r w:rsidRPr="007E6202">
        <w:rPr>
          <w:rFonts w:eastAsia="Times New Roman" w:cs="Arial"/>
          <w:color w:val="000000"/>
          <w:lang w:val="en-US"/>
        </w:rPr>
        <w:t xml:space="preserve">Stevens-Johnson </w:t>
      </w:r>
      <w:r w:rsidRPr="007E6202">
        <w:rPr>
          <w:rFonts w:eastAsia="Times New Roman" w:cs="Arial"/>
          <w:color w:val="000000"/>
          <w:lang w:eastAsia="bg-BG"/>
        </w:rPr>
        <w:t xml:space="preserve">и токсична епидермална некролиза, във връзка с употребата на еторикоксиб (вж. точка 4.8). Пациентите са изложени на най-висок риск от такива реакции в началото на лечението; </w:t>
      </w:r>
      <w:r w:rsidRPr="007E6202">
        <w:rPr>
          <w:rFonts w:eastAsia="Times New Roman" w:cs="Arial"/>
          <w:color w:val="000000"/>
          <w:lang w:eastAsia="bg-BG"/>
        </w:rPr>
        <w:lastRenderedPageBreak/>
        <w:t>появата на реакцията в повечето случаи се наблюдава през първия месец от лечението. При пациенти, получаващи еторикоксиб, има съобщения за сериозни реакции на свръхчувствителност (анафилаксия и ангиоедем) (вж. точка 4.8). При пациенти с анамнеза за алергия към сулфонамиди или алергия към всяко друго лекарство може да съществува по-висок риск от сериозни кожни реакции или реакции на свръхчувствителност (вж. точка 4.3). Еторикоксиб трябва да бъде спрян при първата поява на кожен обрив, лигавични лезии или всяка друга проява на свръхчувствителност.</w:t>
      </w:r>
    </w:p>
    <w:p w14:paraId="2CC3ADF1" w14:textId="77777777" w:rsidR="007E6202" w:rsidRPr="007E6202" w:rsidRDefault="007E6202" w:rsidP="007E6202">
      <w:pPr>
        <w:spacing w:line="240" w:lineRule="auto"/>
        <w:rPr>
          <w:rFonts w:eastAsia="Times New Roman" w:cs="Arial"/>
          <w:color w:val="000000"/>
          <w:lang w:eastAsia="bg-BG"/>
        </w:rPr>
      </w:pPr>
    </w:p>
    <w:p w14:paraId="565F014C" w14:textId="6191ADC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замаскира фебрилитет или други прояви на възпаление.</w:t>
      </w:r>
    </w:p>
    <w:p w14:paraId="7205BF88" w14:textId="77777777" w:rsidR="007E6202" w:rsidRPr="007E6202" w:rsidRDefault="007E6202" w:rsidP="007E6202">
      <w:pPr>
        <w:spacing w:line="240" w:lineRule="auto"/>
        <w:rPr>
          <w:rFonts w:eastAsia="Times New Roman" w:cs="Arial"/>
          <w:color w:val="000000"/>
          <w:lang w:eastAsia="bg-BG"/>
        </w:rPr>
      </w:pPr>
    </w:p>
    <w:p w14:paraId="15C1A0F8" w14:textId="45D4066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пациенти на съпътстващо лечение с варфарин са наблюдавани сериозни кръвоизливи. Необходимо е повишено внимание при комбиниране на еторикоксиб с варфарин и други перорални антикоагуланти (вж. точка 4.5).</w:t>
      </w:r>
    </w:p>
    <w:p w14:paraId="67C9DA99" w14:textId="77777777" w:rsidR="007E6202" w:rsidRPr="007E6202" w:rsidRDefault="007E6202" w:rsidP="007E6202">
      <w:pPr>
        <w:spacing w:line="240" w:lineRule="auto"/>
        <w:rPr>
          <w:rFonts w:eastAsia="Times New Roman" w:cs="Arial"/>
          <w:color w:val="000000"/>
          <w:lang w:eastAsia="bg-BG"/>
        </w:rPr>
      </w:pPr>
    </w:p>
    <w:p w14:paraId="40491433" w14:textId="632D9C16"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Използването на еторикоксиб, подобно на други лекарствени продукти, които потискат циклооксигеназата / простагландиновата синтеза, не се препоръчва при жени, които се опитват да забременеят (вж, точка 4,6, 5.1 и 5.3).</w:t>
      </w:r>
    </w:p>
    <w:p w14:paraId="4B5D6108" w14:textId="77777777" w:rsidR="007E6202" w:rsidRPr="007E6202" w:rsidRDefault="007E6202" w:rsidP="007E6202">
      <w:pPr>
        <w:spacing w:line="240" w:lineRule="auto"/>
        <w:rPr>
          <w:rFonts w:eastAsia="Times New Roman" w:cs="Arial"/>
          <w:color w:val="000000"/>
          <w:u w:val="single"/>
          <w:lang w:eastAsia="bg-BG"/>
        </w:rPr>
      </w:pPr>
    </w:p>
    <w:p w14:paraId="006FFC45" w14:textId="77777777" w:rsidR="007E6202" w:rsidRPr="007E6202" w:rsidRDefault="007E6202" w:rsidP="007E6202">
      <w:pPr>
        <w:spacing w:line="240" w:lineRule="auto"/>
        <w:rPr>
          <w:rFonts w:eastAsia="Times New Roman" w:cs="Arial"/>
          <w:color w:val="000000"/>
          <w:u w:val="single"/>
          <w:lang w:eastAsia="bg-BG"/>
        </w:rPr>
      </w:pPr>
      <w:r w:rsidRPr="007E6202">
        <w:rPr>
          <w:rFonts w:eastAsia="Times New Roman" w:cs="Arial"/>
          <w:color w:val="000000"/>
          <w:u w:val="single"/>
          <w:lang w:eastAsia="bg-BG"/>
        </w:rPr>
        <w:t xml:space="preserve">Помощни вещества </w:t>
      </w:r>
    </w:p>
    <w:p w14:paraId="4E98B4A7" w14:textId="58604626"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Лактоза</w:t>
      </w:r>
    </w:p>
    <w:p w14:paraId="459EF8DC" w14:textId="3B5ED9FC" w:rsidR="007E6202" w:rsidRPr="007E6202" w:rsidRDefault="007E6202" w:rsidP="007E6202">
      <w:pPr>
        <w:rPr>
          <w:rFonts w:cs="Arial"/>
          <w:sz w:val="24"/>
          <w:szCs w:val="24"/>
        </w:rPr>
      </w:pPr>
    </w:p>
    <w:p w14:paraId="2217105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AA8DFD8" w14:textId="77777777" w:rsidR="007E6202" w:rsidRPr="007E6202" w:rsidRDefault="007E6202" w:rsidP="007E6202">
      <w:pPr>
        <w:spacing w:line="240" w:lineRule="auto"/>
        <w:rPr>
          <w:rFonts w:eastAsia="Times New Roman" w:cs="Arial"/>
          <w:color w:val="000000"/>
          <w:lang w:eastAsia="bg-BG"/>
        </w:rPr>
      </w:pPr>
    </w:p>
    <w:p w14:paraId="69D9FB7E" w14:textId="7FFD7CC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Натрий</w:t>
      </w:r>
    </w:p>
    <w:p w14:paraId="6A920B9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Този лекарствен продукт съдържа по-малко от 1 </w:t>
      </w:r>
      <w:r w:rsidRPr="007E6202">
        <w:rPr>
          <w:rFonts w:eastAsia="Times New Roman" w:cs="Arial"/>
          <w:color w:val="000000"/>
          <w:lang w:val="en-US"/>
        </w:rPr>
        <w:t xml:space="preserve">mmol </w:t>
      </w:r>
      <w:r w:rsidRPr="007E6202">
        <w:rPr>
          <w:rFonts w:eastAsia="Times New Roman" w:cs="Arial"/>
          <w:color w:val="000000"/>
          <w:lang w:eastAsia="bg-BG"/>
        </w:rPr>
        <w:t xml:space="preserve">натрий (23 </w:t>
      </w:r>
      <w:r w:rsidRPr="007E6202">
        <w:rPr>
          <w:rFonts w:eastAsia="Times New Roman" w:cs="Arial"/>
          <w:color w:val="000000"/>
          <w:lang w:val="en-US"/>
        </w:rPr>
        <w:t xml:space="preserve">mg) </w:t>
      </w:r>
      <w:r w:rsidRPr="007E6202">
        <w:rPr>
          <w:rFonts w:eastAsia="Times New Roman" w:cs="Arial"/>
          <w:color w:val="000000"/>
          <w:lang w:eastAsia="bg-BG"/>
        </w:rPr>
        <w:t>на таблетка, т.е. може да се каже, че практически не съдържа натрий.</w:t>
      </w:r>
    </w:p>
    <w:p w14:paraId="40DD6709" w14:textId="77777777" w:rsidR="007E6202" w:rsidRPr="007E6202" w:rsidRDefault="007E6202" w:rsidP="007E6202"/>
    <w:p w14:paraId="1DA47448" w14:textId="40DE61D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E5B61DF" w14:textId="02C684C7" w:rsidR="007E6202" w:rsidRDefault="007E6202" w:rsidP="007E6202"/>
    <w:p w14:paraId="1FD95556"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Фармакодинамични взаимодействия</w:t>
      </w:r>
    </w:p>
    <w:p w14:paraId="564C5260" w14:textId="77777777" w:rsidR="007E6202" w:rsidRPr="00B85D2E" w:rsidRDefault="007E6202" w:rsidP="007E6202">
      <w:pPr>
        <w:spacing w:line="240" w:lineRule="auto"/>
        <w:rPr>
          <w:rFonts w:eastAsia="Times New Roman" w:cs="Arial"/>
          <w:i/>
          <w:iCs/>
          <w:color w:val="000000"/>
          <w:lang w:eastAsia="bg-BG"/>
        </w:rPr>
      </w:pPr>
    </w:p>
    <w:p w14:paraId="6FAB7924" w14:textId="17DB620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Перорални антикоагуланти:</w:t>
      </w:r>
    </w:p>
    <w:p w14:paraId="20533D1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При пациенти, стабилизирани на хронично лечение с варфарин, прилагането на 120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е свързано с 13% увеличение на </w:t>
      </w:r>
      <w:r w:rsidRPr="007E6202">
        <w:rPr>
          <w:rFonts w:eastAsia="Times New Roman" w:cs="Arial"/>
          <w:color w:val="000000"/>
          <w:lang w:val="en-US"/>
        </w:rPr>
        <w:t xml:space="preserve">INR </w:t>
      </w:r>
      <w:r w:rsidRPr="007E6202">
        <w:rPr>
          <w:rFonts w:eastAsia="Times New Roman" w:cs="Arial"/>
          <w:color w:val="000000"/>
          <w:lang w:eastAsia="bg-BG"/>
        </w:rPr>
        <w:t xml:space="preserve">(международен нормализиран коефициент) и на протромбиновото време. Затова при пациенти, получаващи антикоагуланти, е необходимо стриктно проследяване по отношение на протромбиновото време/международен нормализиран коефициент </w:t>
      </w:r>
      <w:r w:rsidRPr="007E6202">
        <w:rPr>
          <w:rFonts w:eastAsia="Times New Roman" w:cs="Arial"/>
          <w:color w:val="000000"/>
          <w:lang w:val="en-US"/>
        </w:rPr>
        <w:t xml:space="preserve">(INR), </w:t>
      </w:r>
      <w:r w:rsidRPr="007E6202">
        <w:rPr>
          <w:rFonts w:eastAsia="Times New Roman" w:cs="Arial"/>
          <w:color w:val="000000"/>
          <w:lang w:eastAsia="bg-BG"/>
        </w:rPr>
        <w:t>особено през първите дни от започване на лечението с еторикоксиб или промяна в дозата на еторикоксиб (вж. точка 4.4).</w:t>
      </w:r>
    </w:p>
    <w:p w14:paraId="48E9BAF4" w14:textId="77777777" w:rsidR="007E6202" w:rsidRPr="00B85D2E" w:rsidRDefault="007E6202" w:rsidP="007E6202">
      <w:pPr>
        <w:spacing w:line="240" w:lineRule="auto"/>
        <w:rPr>
          <w:rFonts w:eastAsia="Times New Roman" w:cs="Arial"/>
          <w:i/>
          <w:iCs/>
          <w:color w:val="000000"/>
          <w:lang w:eastAsia="bg-BG"/>
        </w:rPr>
      </w:pPr>
    </w:p>
    <w:p w14:paraId="345A4057" w14:textId="490110AE"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 xml:space="preserve">Диуретици, </w:t>
      </w:r>
      <w:r w:rsidRPr="007E6202">
        <w:rPr>
          <w:rFonts w:eastAsia="Times New Roman" w:cs="Arial"/>
          <w:i/>
          <w:iCs/>
          <w:color w:val="000000"/>
          <w:lang w:val="en-US"/>
        </w:rPr>
        <w:t xml:space="preserve">AURA, </w:t>
      </w:r>
      <w:r w:rsidRPr="007E6202">
        <w:rPr>
          <w:rFonts w:eastAsia="Times New Roman" w:cs="Arial"/>
          <w:i/>
          <w:iCs/>
          <w:color w:val="000000"/>
          <w:lang w:eastAsia="bg-BG"/>
        </w:rPr>
        <w:t>АСЕ инхибитори</w:t>
      </w:r>
    </w:p>
    <w:p w14:paraId="056325EC"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НСПВС могат да намалят ефекта на диуретици и антихипертензивни лекарствени продукти. При някои пациенти с компрометирана бъбречна функция (напр. дехидратирани пациенти, пациенти на диуретично лечение или пациенти в старческа възраст), едновременното използване на АСЕ инхибитори или ангиотензин II рецепторни антагонисти, които инхибират циклооксигензата може да предизвика допълнително влошаване на бъбречната функция, включително развитие на остра бъбречна </w:t>
      </w:r>
      <w:r w:rsidRPr="007E6202">
        <w:rPr>
          <w:rFonts w:eastAsia="Times New Roman" w:cs="Arial"/>
          <w:color w:val="000000"/>
          <w:lang w:eastAsia="bg-BG"/>
        </w:rPr>
        <w:lastRenderedPageBreak/>
        <w:t>недостатъчност, което обикновено е обратимо. Този факт трябва да се има предвид при пациенти, които приемат едновременно еторикоксиб и АСЕ инхибитори или ангиотензин II антагонисти. Поради това тази комбинация трябва да се прилага внимателно, особено при по-възрастни пациенти. Пациентите трябва да бъдат адекватно хидратирани и да се има предвид проследяване на бъбречната функция след започване на съпътстващата терапия и периодично след това.</w:t>
      </w:r>
    </w:p>
    <w:p w14:paraId="63EC0024" w14:textId="77777777" w:rsidR="007E6202" w:rsidRPr="00B85D2E" w:rsidRDefault="007E6202" w:rsidP="007E6202">
      <w:pPr>
        <w:spacing w:line="240" w:lineRule="auto"/>
        <w:rPr>
          <w:rFonts w:eastAsia="Times New Roman" w:cs="Arial"/>
          <w:i/>
          <w:iCs/>
          <w:color w:val="000000"/>
          <w:lang w:eastAsia="bg-BG"/>
        </w:rPr>
      </w:pPr>
    </w:p>
    <w:p w14:paraId="47B279D1" w14:textId="49B5F104"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Ацетилсалицилова киселина</w:t>
      </w:r>
    </w:p>
    <w:p w14:paraId="24F831C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При проучване на здрави доброволци с постигнато равновесно състояние </w:t>
      </w:r>
      <w:r w:rsidRPr="007E6202">
        <w:rPr>
          <w:rFonts w:eastAsia="Times New Roman" w:cs="Arial"/>
          <w:color w:val="000000"/>
          <w:lang w:val="en-US"/>
        </w:rPr>
        <w:t xml:space="preserve">(steady state) </w:t>
      </w:r>
      <w:r w:rsidRPr="007E6202">
        <w:rPr>
          <w:rFonts w:eastAsia="Times New Roman" w:cs="Arial"/>
          <w:color w:val="000000"/>
          <w:lang w:eastAsia="bg-BG"/>
        </w:rPr>
        <w:t xml:space="preserve">еторикоксиб в доза 120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на ден не е повлиял антиагрегатната активност на ацетилсалициловата киселина (доза 81 </w:t>
      </w:r>
      <w:r w:rsidRPr="007E6202">
        <w:rPr>
          <w:rFonts w:eastAsia="Times New Roman" w:cs="Arial"/>
          <w:color w:val="000000"/>
          <w:lang w:val="en-US"/>
        </w:rPr>
        <w:t xml:space="preserve">mg </w:t>
      </w:r>
      <w:r w:rsidRPr="007E6202">
        <w:rPr>
          <w:rFonts w:eastAsia="Times New Roman" w:cs="Arial"/>
          <w:color w:val="000000"/>
          <w:lang w:eastAsia="bg-BG"/>
        </w:rPr>
        <w:t>веднъж на ден).</w:t>
      </w:r>
    </w:p>
    <w:p w14:paraId="609A538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бъде прилаган с ниски дози ацетилсалицилова киселина, но не е заместител на ацетилсалициловата киселина за целите на сърдечно-съдовата профилактика. Както и при другите НСПВС, представените проучвания показват повишен риск от гастро-интестинални разязвявания и други гастро-интестинални усложнения при едновременното приложение на еторикоксиб и ацетилсалицилова киселина в ниски дози в сравнение със самостоятелното му приложение (виж точка 5.1).Не се препоръчва едновременното прилагане на еторикоксиб с по- високи от посочените за профилактика на сърдечно-съдови инциденти дози ацетилсалицилова киселина, както и с други НСПВС (виж точки 5.1 и 4.4).</w:t>
      </w:r>
    </w:p>
    <w:p w14:paraId="58C052FA" w14:textId="77777777" w:rsidR="007E6202" w:rsidRPr="00B85D2E" w:rsidRDefault="007E6202" w:rsidP="007E6202">
      <w:pPr>
        <w:spacing w:line="240" w:lineRule="auto"/>
        <w:rPr>
          <w:rFonts w:eastAsia="Times New Roman" w:cs="Arial"/>
          <w:i/>
          <w:iCs/>
          <w:color w:val="000000"/>
          <w:lang w:eastAsia="bg-BG"/>
        </w:rPr>
      </w:pPr>
    </w:p>
    <w:p w14:paraId="1B82DFF3" w14:textId="6FCE4F2D"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Циклоспорин и такролимус:</w:t>
      </w:r>
    </w:p>
    <w:p w14:paraId="06D61D76" w14:textId="653C34BC" w:rsidR="007E6202" w:rsidRPr="00B85D2E" w:rsidRDefault="007E6202" w:rsidP="007E6202">
      <w:pPr>
        <w:spacing w:line="240" w:lineRule="auto"/>
        <w:rPr>
          <w:rFonts w:eastAsia="Times New Roman" w:cs="Arial"/>
          <w:color w:val="000000"/>
          <w:lang w:eastAsia="bg-BG"/>
        </w:rPr>
      </w:pPr>
      <w:r w:rsidRPr="007E6202">
        <w:rPr>
          <w:rFonts w:eastAsia="Times New Roman" w:cs="Arial"/>
          <w:color w:val="000000"/>
          <w:lang w:eastAsia="bg-BG"/>
        </w:rPr>
        <w:t>Въпреки, че това взаимодействие с еторикоксиб не е проучвано, предполага се, че едновременното приложение на НСПВС и циклоспорин или такролимус увеличава нефротоксичния ефект на двете лекарства: циклоспорин и такролимус. При комбиниране на еторикоксиб и някое от тези лекараства бъбречната функция трябва да бъде мониторирана.</w:t>
      </w:r>
    </w:p>
    <w:p w14:paraId="51BFEA0F" w14:textId="4A833284" w:rsidR="007E6202" w:rsidRPr="00B85D2E" w:rsidRDefault="007E6202" w:rsidP="007E6202">
      <w:pPr>
        <w:spacing w:line="240" w:lineRule="auto"/>
        <w:rPr>
          <w:rFonts w:eastAsia="Times New Roman" w:cs="Arial"/>
          <w:color w:val="000000"/>
          <w:lang w:eastAsia="bg-BG"/>
        </w:rPr>
      </w:pPr>
    </w:p>
    <w:p w14:paraId="021FF6D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Фармакокинетични взаимодействия</w:t>
      </w:r>
    </w:p>
    <w:p w14:paraId="1F4D580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на целекоксиб върху фармакокинетиката на други лекарства</w:t>
      </w:r>
    </w:p>
    <w:p w14:paraId="753771D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Литий: НСПВС намаляват бъбречната екскреция на литий, поради което се увеличава плазмената му концентрация. При необходимост трябва да се мониторира стриктно концентрацията на литий в кръвта и да се адаптира дозата на лития, докато се приема тази лекарствена комбинация, както и при спирането на НСПВС.</w:t>
      </w:r>
    </w:p>
    <w:p w14:paraId="1E8A2390" w14:textId="77777777" w:rsidR="007E6202" w:rsidRPr="00B85D2E" w:rsidRDefault="007E6202" w:rsidP="007E6202">
      <w:pPr>
        <w:spacing w:line="240" w:lineRule="auto"/>
        <w:rPr>
          <w:rFonts w:eastAsia="Times New Roman" w:cs="Arial"/>
          <w:color w:val="000000"/>
          <w:lang w:eastAsia="bg-BG"/>
        </w:rPr>
      </w:pPr>
    </w:p>
    <w:p w14:paraId="6B173FC3" w14:textId="2D0471AF"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Метотрексат: Две проучвания са провеждани за изследване на еторикоксиб в доза 60, 90 или 120 </w:t>
      </w:r>
      <w:r w:rsidRPr="007E6202">
        <w:rPr>
          <w:rFonts w:eastAsia="Times New Roman" w:cs="Arial"/>
          <w:color w:val="000000"/>
          <w:lang w:val="en-US"/>
        </w:rPr>
        <w:t xml:space="preserve">mg </w:t>
      </w:r>
      <w:r w:rsidRPr="007E6202">
        <w:rPr>
          <w:rFonts w:eastAsia="Times New Roman" w:cs="Arial"/>
          <w:color w:val="000000"/>
          <w:lang w:eastAsia="bg-BG"/>
        </w:rPr>
        <w:t xml:space="preserve">един път на ден в продължение на 7 дни при пациенти на лечение с метотрексат в доза от 7,5 до 20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седмично за лечение на ревматоиден артрит. Еторикоксиб при доза от 60 и 90 </w:t>
      </w:r>
      <w:r w:rsidRPr="007E6202">
        <w:rPr>
          <w:rFonts w:eastAsia="Times New Roman" w:cs="Arial"/>
          <w:color w:val="000000"/>
          <w:lang w:val="en-US"/>
        </w:rPr>
        <w:t xml:space="preserve">mg </w:t>
      </w:r>
      <w:r w:rsidRPr="007E6202">
        <w:rPr>
          <w:rFonts w:eastAsia="Times New Roman" w:cs="Arial"/>
          <w:color w:val="000000"/>
          <w:lang w:eastAsia="bg-BG"/>
        </w:rPr>
        <w:t xml:space="preserve">не е оказал ефект върху плазмената концентрация на метотрексат или бъбречния му клирънс. В едно проучване еторикоксиб в доза от 120 </w:t>
      </w:r>
      <w:r w:rsidRPr="007E6202">
        <w:rPr>
          <w:rFonts w:eastAsia="Times New Roman" w:cs="Arial"/>
          <w:color w:val="000000"/>
          <w:lang w:val="en-US"/>
        </w:rPr>
        <w:t xml:space="preserve">mg </w:t>
      </w:r>
      <w:r w:rsidRPr="007E6202">
        <w:rPr>
          <w:rFonts w:eastAsia="Times New Roman" w:cs="Arial"/>
          <w:color w:val="000000"/>
          <w:lang w:eastAsia="bg-BG"/>
        </w:rPr>
        <w:t>не е имал ефект, но в друго проучване при тази доза е увеличил плазмената концентрация на метотрексат с 28% и е намалил бъбречният клирънс на метотрексат с 13%. Препоръчва се мониториране на токсични ефекти на метотрексат, когато той се прилага в комбинация с еторикоксиб.</w:t>
      </w:r>
    </w:p>
    <w:p w14:paraId="22D9A183" w14:textId="77777777" w:rsidR="007E6202" w:rsidRPr="00B85D2E" w:rsidRDefault="007E6202" w:rsidP="007E6202">
      <w:pPr>
        <w:spacing w:line="240" w:lineRule="auto"/>
        <w:rPr>
          <w:rFonts w:eastAsia="Times New Roman" w:cs="Arial"/>
          <w:color w:val="000000"/>
          <w:lang w:eastAsia="bg-BG"/>
        </w:rPr>
      </w:pPr>
    </w:p>
    <w:p w14:paraId="75F60303" w14:textId="34830EC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Перорални контрацептиви: Прилагането на 60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едновременно с перорални контрацептиви, съдържащи 35 микрограма етинилестрадиол (ЕЕ) и 0,5 до 1 </w:t>
      </w:r>
      <w:r w:rsidRPr="007E6202">
        <w:rPr>
          <w:rFonts w:eastAsia="Times New Roman" w:cs="Arial"/>
          <w:color w:val="000000"/>
          <w:lang w:val="en-US"/>
        </w:rPr>
        <w:t xml:space="preserve">mg </w:t>
      </w:r>
      <w:r w:rsidRPr="007E6202">
        <w:rPr>
          <w:rFonts w:eastAsia="Times New Roman" w:cs="Arial"/>
          <w:color w:val="000000"/>
          <w:lang w:eastAsia="bg-BG"/>
        </w:rPr>
        <w:t xml:space="preserve">норетиндрон в продължение на 21 дни,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за ЕЕ с 37%. Прилагането на Етористад 120 </w:t>
      </w:r>
      <w:r w:rsidRPr="007E6202">
        <w:rPr>
          <w:rFonts w:eastAsia="Times New Roman" w:cs="Arial"/>
          <w:color w:val="000000"/>
          <w:lang w:val="en-US"/>
        </w:rPr>
        <w:t xml:space="preserve">mg </w:t>
      </w:r>
      <w:r w:rsidRPr="007E6202">
        <w:rPr>
          <w:rFonts w:eastAsia="Times New Roman" w:cs="Arial"/>
          <w:color w:val="000000"/>
          <w:lang w:eastAsia="bg-BG"/>
        </w:rPr>
        <w:t xml:space="preserve">със същия перорален контрацептив, едновременно или с интервал от 12 часа,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за ЕЕ от 50 до 60%. Това </w:t>
      </w:r>
      <w:r w:rsidRPr="007E6202">
        <w:rPr>
          <w:rFonts w:eastAsia="Times New Roman" w:cs="Arial"/>
          <w:color w:val="000000"/>
          <w:lang w:eastAsia="bg-BG"/>
        </w:rPr>
        <w:lastRenderedPageBreak/>
        <w:t>увеличение на концентрацията на ЕЕ следва да се има предвид, когато се избира перорален контрацептив, който да се използва по време на прилагането на еторикоксиб. Увеличеното въздействие на ЕЕ може да повиши честотата на нежеланите реакции, свързани с пероралните контрацептиви (например прояви на венозна тромбемболия при рискови жени).</w:t>
      </w:r>
    </w:p>
    <w:p w14:paraId="6AC6C0BB" w14:textId="77777777" w:rsidR="007E6202" w:rsidRPr="00B85D2E" w:rsidRDefault="007E6202" w:rsidP="007E6202">
      <w:pPr>
        <w:spacing w:line="240" w:lineRule="auto"/>
        <w:rPr>
          <w:rFonts w:eastAsia="Times New Roman" w:cs="Arial"/>
          <w:color w:val="000000"/>
          <w:lang w:eastAsia="bg-BG"/>
        </w:rPr>
      </w:pPr>
    </w:p>
    <w:p w14:paraId="79DE8EEF" w14:textId="1215D63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Хормонозаместителна терапия: Прилагането на еторикоксиб заедно с хормонозаместителна терапия, съставена от конюгирани естрогени (0,625 </w:t>
      </w:r>
      <w:r w:rsidRPr="007E6202">
        <w:rPr>
          <w:rFonts w:eastAsia="Times New Roman" w:cs="Arial"/>
          <w:color w:val="000000"/>
          <w:lang w:val="en-US"/>
        </w:rPr>
        <w:t xml:space="preserve">mg </w:t>
      </w:r>
      <w:r w:rsidRPr="007E6202">
        <w:rPr>
          <w:rFonts w:eastAsia="Times New Roman" w:cs="Arial"/>
          <w:color w:val="000000"/>
          <w:lang w:eastAsia="bg-BG"/>
        </w:rPr>
        <w:t xml:space="preserve">премарин) в продължение на 28 дни,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на неконюгирания естрон (41%), еквилин (76%), и 17-β-естрадиол (22%). Ефектът на препоръчителните хронични дози еторикоксиб (30, 60 и 90 </w:t>
      </w:r>
      <w:r w:rsidRPr="007E6202">
        <w:rPr>
          <w:rFonts w:eastAsia="Times New Roman" w:cs="Arial"/>
          <w:color w:val="000000"/>
          <w:lang w:val="en-US"/>
        </w:rPr>
        <w:t xml:space="preserve">mg) </w:t>
      </w:r>
      <w:r w:rsidRPr="007E6202">
        <w:rPr>
          <w:rFonts w:eastAsia="Times New Roman" w:cs="Arial"/>
          <w:color w:val="000000"/>
          <w:lang w:eastAsia="bg-BG"/>
        </w:rPr>
        <w:t xml:space="preserve">не е бил проучен. Площите под кривата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на тези естрогенни съставки на Премарин при едновременното му прилагане с еторикоксиб са били по- малко от половината, в сравнение с тези при самостоятелното прилагане на Премарин и увеличаване на дозата му от 0,625 </w:t>
      </w:r>
      <w:r w:rsidRPr="007E6202">
        <w:rPr>
          <w:rFonts w:eastAsia="Times New Roman" w:cs="Arial"/>
          <w:color w:val="000000"/>
          <w:lang w:val="en-US"/>
        </w:rPr>
        <w:t xml:space="preserve">mg </w:t>
      </w:r>
      <w:r w:rsidRPr="007E6202">
        <w:rPr>
          <w:rFonts w:eastAsia="Times New Roman" w:cs="Arial"/>
          <w:color w:val="000000"/>
          <w:lang w:eastAsia="bg-BG"/>
        </w:rPr>
        <w:t xml:space="preserve">на 1,25 </w:t>
      </w:r>
      <w:r w:rsidRPr="007E6202">
        <w:rPr>
          <w:rFonts w:eastAsia="Times New Roman" w:cs="Arial"/>
          <w:color w:val="000000"/>
          <w:lang w:val="en-US"/>
        </w:rPr>
        <w:t xml:space="preserve">mg. </w:t>
      </w:r>
      <w:r w:rsidRPr="007E6202">
        <w:rPr>
          <w:rFonts w:eastAsia="Times New Roman" w:cs="Arial"/>
          <w:color w:val="000000"/>
          <w:lang w:eastAsia="bg-BG"/>
        </w:rPr>
        <w:t>Клиничното значение на тези увеличения не е известно и по-високи дози на Премарин не са били проучвани в комбинация с еторикоксиб. Тези повишения на естрогенната концентрация трябва да се имат предвид при избора на хормонална терапия след менопаузата, при прилагане заедно с еторикоксиб, защото експозицията на увеличени нива на естроген могат да увеличат риска от нежелани реакции, свързани с хормонозаместителна терапия.</w:t>
      </w:r>
    </w:p>
    <w:p w14:paraId="621FD915" w14:textId="77777777" w:rsidR="007E6202" w:rsidRPr="00B85D2E" w:rsidRDefault="007E6202" w:rsidP="007E6202">
      <w:pPr>
        <w:spacing w:line="240" w:lineRule="auto"/>
        <w:rPr>
          <w:rFonts w:eastAsia="Times New Roman" w:cs="Arial"/>
          <w:color w:val="000000"/>
          <w:lang w:eastAsia="bg-BG"/>
        </w:rPr>
      </w:pPr>
    </w:p>
    <w:p w14:paraId="6A1E68F9" w14:textId="65DCC935"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Преднизон /преднизолон: Според данните от проведените клинични проучвания за оценка на лекарствените взаимодействия, еторикоксиб не е оказал клинично значимо въздействие върху фармакокинетиката на преднизон /преднизолон.</w:t>
      </w:r>
    </w:p>
    <w:p w14:paraId="485A4A99" w14:textId="77777777" w:rsidR="007E6202" w:rsidRPr="00B85D2E" w:rsidRDefault="007E6202" w:rsidP="007E6202">
      <w:pPr>
        <w:spacing w:line="240" w:lineRule="auto"/>
        <w:rPr>
          <w:rFonts w:eastAsia="Times New Roman" w:cs="Arial"/>
          <w:color w:val="000000"/>
          <w:lang w:eastAsia="bg-BG"/>
        </w:rPr>
      </w:pPr>
    </w:p>
    <w:p w14:paraId="2635CF77" w14:textId="7AD7EADE" w:rsidR="007E6202" w:rsidRPr="007E6202" w:rsidRDefault="007E6202" w:rsidP="007E6202">
      <w:pPr>
        <w:spacing w:line="240" w:lineRule="auto"/>
        <w:rPr>
          <w:rFonts w:eastAsia="Times New Roman" w:cs="Arial"/>
          <w:sz w:val="28"/>
          <w:szCs w:val="28"/>
          <w:lang w:eastAsia="bg-BG"/>
        </w:rPr>
      </w:pPr>
      <w:r w:rsidRPr="00B85D2E">
        <w:rPr>
          <w:rFonts w:eastAsia="Times New Roman" w:cs="Arial"/>
          <w:color w:val="000000"/>
          <w:lang w:eastAsia="bg-BG"/>
        </w:rPr>
        <w:t xml:space="preserve">Дигоксин: еторикоксиб в доза 120 </w:t>
      </w:r>
      <w:r w:rsidRPr="00B85D2E">
        <w:rPr>
          <w:rFonts w:eastAsia="Times New Roman" w:cs="Arial"/>
          <w:color w:val="000000"/>
          <w:lang w:val="en-US"/>
        </w:rPr>
        <w:t xml:space="preserve">mg </w:t>
      </w:r>
      <w:r w:rsidRPr="00B85D2E">
        <w:rPr>
          <w:rFonts w:eastAsia="Times New Roman" w:cs="Arial"/>
          <w:color w:val="000000"/>
          <w:lang w:eastAsia="bg-BG"/>
        </w:rPr>
        <w:t xml:space="preserve">веднъж на ден в продължение на 10 дни при здрави доброволци не е променил площта под кривата при стационарно състояние </w:t>
      </w:r>
      <w:r w:rsidRPr="00B85D2E">
        <w:rPr>
          <w:rFonts w:eastAsia="Times New Roman" w:cs="Arial"/>
          <w:color w:val="000000"/>
          <w:lang w:val="en-US"/>
        </w:rPr>
        <w:t xml:space="preserve">AUC </w:t>
      </w:r>
      <w:r w:rsidRPr="00B85D2E">
        <w:rPr>
          <w:rFonts w:eastAsia="Times New Roman" w:cs="Arial"/>
          <w:color w:val="000000"/>
          <w:lang w:eastAsia="bg-BG"/>
        </w:rPr>
        <w:t xml:space="preserve">0-24 </w:t>
      </w:r>
      <w:r w:rsidRPr="00B85D2E">
        <w:rPr>
          <w:rFonts w:eastAsia="Times New Roman" w:cs="Arial"/>
          <w:color w:val="000000"/>
          <w:lang w:val="en-US"/>
        </w:rPr>
        <w:t xml:space="preserve">h </w:t>
      </w:r>
      <w:r w:rsidRPr="00B85D2E">
        <w:rPr>
          <w:rFonts w:eastAsia="Times New Roman" w:cs="Arial"/>
          <w:color w:val="000000"/>
          <w:lang w:eastAsia="bg-BG"/>
        </w:rPr>
        <w:t>или бъбречно елиминиране на дигоксин. Наблюдавано е увеличение на Стах (максимална концентрация) за дигоксин (приблизително 33%). Това увеличение не е от съществено значение за</w:t>
      </w:r>
      <w:r w:rsidRPr="00B85D2E">
        <w:rPr>
          <w:rFonts w:eastAsia="Times New Roman" w:cs="Arial"/>
          <w:b/>
          <w:bCs/>
          <w:color w:val="000000"/>
          <w:lang w:eastAsia="bg-BG"/>
        </w:rPr>
        <w:t xml:space="preserve"> </w:t>
      </w:r>
      <w:r w:rsidRPr="00B85D2E">
        <w:rPr>
          <w:rFonts w:eastAsia="Times New Roman" w:cs="Arial"/>
          <w:color w:val="000000"/>
          <w:lang w:eastAsia="bg-BG"/>
        </w:rPr>
        <w:t>повечето пациенти. Все пак пациентите, които са с повишен риск за дигоксинова интоксикация, трябва да бъдат проследявани за проявите на такава интоксикация, когато двете лекарства, еторикоксиб и дигоксин, се прилагат едновременно.</w:t>
      </w:r>
    </w:p>
    <w:p w14:paraId="14E074D4" w14:textId="4AECA47A" w:rsidR="007E6202" w:rsidRPr="00B85D2E" w:rsidRDefault="007E6202" w:rsidP="007E6202">
      <w:pPr>
        <w:rPr>
          <w:rFonts w:cs="Arial"/>
          <w:sz w:val="24"/>
          <w:szCs w:val="24"/>
        </w:rPr>
      </w:pPr>
    </w:p>
    <w:p w14:paraId="3BCB882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 на еторикоксиб върху лекарствата, които се метаболизират чрез сулфотрансферази</w:t>
      </w:r>
    </w:p>
    <w:p w14:paraId="0A33A75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Еторикоксиб е инхибитор на сулфотрансферазата в човешкия организъм, по-специално </w:t>
      </w:r>
      <w:r w:rsidRPr="007E6202">
        <w:rPr>
          <w:rFonts w:eastAsia="Times New Roman" w:cs="Arial"/>
          <w:color w:val="000000"/>
          <w:lang w:val="en-US"/>
        </w:rPr>
        <w:t xml:space="preserve">SULT1E1 </w:t>
      </w:r>
      <w:r w:rsidRPr="007E6202">
        <w:rPr>
          <w:rFonts w:eastAsia="Times New Roman" w:cs="Arial"/>
          <w:color w:val="000000"/>
          <w:lang w:eastAsia="bg-BG"/>
        </w:rPr>
        <w:t>и е установено, че води до повишаване на серумната концентрация на етинилестрадиола (ЕЕ). Доколкото познанието за ефектите върху множеството сулфотрансферази на настоящия етап е ограничено и клиничните последици от действието на множество лекарства са непълни и продължават да бъдат обект на изследване, трябва да се внимава, когато еторикоксиб се прилага едновременно с други лекарства, които се метаболизират главно от сулфотрансферазите (напр. перорални салбутамол и миноксидил).</w:t>
      </w:r>
    </w:p>
    <w:p w14:paraId="70F0EC7E" w14:textId="77777777" w:rsidR="007E6202" w:rsidRPr="00B85D2E" w:rsidRDefault="007E6202" w:rsidP="007E6202">
      <w:pPr>
        <w:spacing w:line="240" w:lineRule="auto"/>
        <w:rPr>
          <w:rFonts w:eastAsia="Times New Roman" w:cs="Arial"/>
          <w:i/>
          <w:iCs/>
          <w:color w:val="000000"/>
          <w:lang w:eastAsia="bg-BG"/>
        </w:rPr>
      </w:pPr>
    </w:p>
    <w:p w14:paraId="7AA6DC7D" w14:textId="0E410F34"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 xml:space="preserve">Ефект на еторикоксиб върху лекарствата, които се метаболизират от </w:t>
      </w:r>
      <w:r w:rsidRPr="007E6202">
        <w:rPr>
          <w:rFonts w:eastAsia="Times New Roman" w:cs="Arial"/>
          <w:i/>
          <w:iCs/>
          <w:color w:val="000000"/>
          <w:lang w:val="en-US"/>
        </w:rPr>
        <w:t xml:space="preserve">CYP </w:t>
      </w:r>
      <w:r w:rsidRPr="007E6202">
        <w:rPr>
          <w:rFonts w:eastAsia="Times New Roman" w:cs="Arial"/>
          <w:i/>
          <w:iCs/>
          <w:color w:val="000000"/>
          <w:lang w:eastAsia="bg-BG"/>
        </w:rPr>
        <w:t xml:space="preserve">изоензимите </w:t>
      </w:r>
      <w:r w:rsidRPr="007E6202">
        <w:rPr>
          <w:rFonts w:eastAsia="Times New Roman" w:cs="Arial"/>
          <w:color w:val="000000"/>
          <w:lang w:eastAsia="bg-BG"/>
        </w:rPr>
        <w:t xml:space="preserve">Въз основа на изследвания </w:t>
      </w:r>
      <w:r w:rsidRPr="007E6202">
        <w:rPr>
          <w:rFonts w:eastAsia="Times New Roman" w:cs="Arial"/>
          <w:i/>
          <w:iCs/>
          <w:color w:val="000000"/>
          <w:lang w:val="en-US"/>
        </w:rPr>
        <w:t>in vitro,</w:t>
      </w:r>
      <w:r w:rsidRPr="007E6202">
        <w:rPr>
          <w:rFonts w:eastAsia="Times New Roman" w:cs="Arial"/>
          <w:color w:val="000000"/>
          <w:lang w:val="en-US"/>
        </w:rPr>
        <w:t xml:space="preserve"> </w:t>
      </w:r>
      <w:r w:rsidRPr="007E6202">
        <w:rPr>
          <w:rFonts w:eastAsia="Times New Roman" w:cs="Arial"/>
          <w:color w:val="000000"/>
          <w:lang w:eastAsia="bg-BG"/>
        </w:rPr>
        <w:t xml:space="preserve">еторикоксиб не се очаква да инхибира цитохромите Р450 </w:t>
      </w:r>
      <w:r w:rsidRPr="007E6202">
        <w:rPr>
          <w:rFonts w:eastAsia="Times New Roman" w:cs="Arial"/>
          <w:color w:val="000000"/>
          <w:lang w:val="en-US"/>
        </w:rPr>
        <w:t xml:space="preserve">(CYP) </w:t>
      </w:r>
      <w:r w:rsidRPr="007E6202">
        <w:rPr>
          <w:rFonts w:eastAsia="Times New Roman" w:cs="Arial"/>
          <w:color w:val="000000"/>
          <w:lang w:eastAsia="bg-BG"/>
        </w:rPr>
        <w:t xml:space="preserve">1А2, 2С9, 2С19, </w:t>
      </w:r>
      <w:r w:rsidRPr="007E6202">
        <w:rPr>
          <w:rFonts w:eastAsia="Times New Roman" w:cs="Arial"/>
          <w:color w:val="000000"/>
          <w:lang w:val="en-US"/>
        </w:rPr>
        <w:t xml:space="preserve">2D6, </w:t>
      </w:r>
      <w:r w:rsidRPr="007E6202">
        <w:rPr>
          <w:rFonts w:eastAsia="Times New Roman" w:cs="Arial"/>
          <w:color w:val="000000"/>
          <w:lang w:eastAsia="bg-BG"/>
        </w:rPr>
        <w:t xml:space="preserve">2Е1 или ЗА4. В проучване при здрави хора, прилагането на еторикоксиб в доза 120 </w:t>
      </w:r>
      <w:r w:rsidRPr="007E6202">
        <w:rPr>
          <w:rFonts w:eastAsia="Times New Roman" w:cs="Arial"/>
          <w:color w:val="000000"/>
          <w:lang w:val="en-US"/>
        </w:rPr>
        <w:t xml:space="preserve">mg </w:t>
      </w:r>
      <w:r w:rsidRPr="007E6202">
        <w:rPr>
          <w:rFonts w:eastAsia="Times New Roman" w:cs="Arial"/>
          <w:color w:val="000000"/>
          <w:lang w:eastAsia="bg-BG"/>
        </w:rPr>
        <w:t xml:space="preserve">дневно не е довело до промяна в активността на чернодробния </w:t>
      </w:r>
      <w:r w:rsidRPr="007E6202">
        <w:rPr>
          <w:rFonts w:eastAsia="Times New Roman" w:cs="Arial"/>
          <w:color w:val="000000"/>
          <w:lang w:val="en-US"/>
        </w:rPr>
        <w:t xml:space="preserve">CYP3A4, </w:t>
      </w:r>
      <w:r w:rsidRPr="007E6202">
        <w:rPr>
          <w:rFonts w:eastAsia="Times New Roman" w:cs="Arial"/>
          <w:color w:val="000000"/>
          <w:lang w:eastAsia="bg-BG"/>
        </w:rPr>
        <w:t>оценена чрез еритромициновия дихателен тест.</w:t>
      </w:r>
    </w:p>
    <w:p w14:paraId="507592DC" w14:textId="77777777" w:rsidR="007E6202" w:rsidRPr="00B85D2E" w:rsidRDefault="007E6202" w:rsidP="007E6202">
      <w:pPr>
        <w:spacing w:line="240" w:lineRule="auto"/>
        <w:rPr>
          <w:rFonts w:eastAsia="Times New Roman" w:cs="Arial"/>
          <w:i/>
          <w:iCs/>
          <w:color w:val="000000"/>
          <w:lang w:eastAsia="bg-BG"/>
        </w:rPr>
      </w:pPr>
    </w:p>
    <w:p w14:paraId="6E65903B" w14:textId="65AD9D39"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lastRenderedPageBreak/>
        <w:t>Ефект на други лекарства върху фармакокинетиката на еторикоксиб</w:t>
      </w:r>
    </w:p>
    <w:p w14:paraId="495B2C22"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Основният път на метаболизиране на еторикоксиб е зависим от </w:t>
      </w:r>
      <w:r w:rsidRPr="007E6202">
        <w:rPr>
          <w:rFonts w:eastAsia="Times New Roman" w:cs="Arial"/>
          <w:color w:val="000000"/>
          <w:lang w:val="en-US"/>
        </w:rPr>
        <w:t xml:space="preserve">CYP </w:t>
      </w:r>
      <w:r w:rsidRPr="007E6202">
        <w:rPr>
          <w:rFonts w:eastAsia="Times New Roman" w:cs="Arial"/>
          <w:color w:val="000000"/>
          <w:lang w:eastAsia="bg-BG"/>
        </w:rPr>
        <w:t xml:space="preserve">ензимите. </w:t>
      </w:r>
      <w:r w:rsidRPr="007E6202">
        <w:rPr>
          <w:rFonts w:eastAsia="Times New Roman" w:cs="Arial"/>
          <w:color w:val="000000"/>
          <w:lang w:val="en-US"/>
        </w:rPr>
        <w:t xml:space="preserve">CYP3A4 </w:t>
      </w:r>
      <w:r w:rsidRPr="007E6202">
        <w:rPr>
          <w:rFonts w:eastAsia="Times New Roman" w:cs="Arial"/>
          <w:color w:val="000000"/>
          <w:lang w:eastAsia="bg-BG"/>
        </w:rPr>
        <w:t xml:space="preserve">изглежда влияе върху метаболизма на еторикоксиб </w:t>
      </w:r>
      <w:r w:rsidRPr="007E6202">
        <w:rPr>
          <w:rFonts w:eastAsia="Times New Roman" w:cs="Arial"/>
          <w:i/>
          <w:iCs/>
          <w:color w:val="000000"/>
          <w:lang w:val="en-US"/>
        </w:rPr>
        <w:t>in vivo.</w:t>
      </w:r>
      <w:r w:rsidRPr="007E6202">
        <w:rPr>
          <w:rFonts w:eastAsia="Times New Roman" w:cs="Arial"/>
          <w:color w:val="000000"/>
          <w:lang w:val="en-US"/>
        </w:rPr>
        <w:t xml:space="preserve"> In vitro </w:t>
      </w:r>
      <w:r w:rsidRPr="007E6202">
        <w:rPr>
          <w:rFonts w:eastAsia="Times New Roman" w:cs="Arial"/>
          <w:color w:val="000000"/>
          <w:lang w:eastAsia="bg-BG"/>
        </w:rPr>
        <w:t xml:space="preserve">проучвания показват, че </w:t>
      </w:r>
      <w:r w:rsidRPr="007E6202">
        <w:rPr>
          <w:rFonts w:eastAsia="Times New Roman" w:cs="Arial"/>
          <w:color w:val="000000"/>
          <w:lang w:val="en-US"/>
        </w:rPr>
        <w:t xml:space="preserve">CYP2D6, CYP2C9, CYP1A2 </w:t>
      </w:r>
      <w:r w:rsidRPr="007E6202">
        <w:rPr>
          <w:rFonts w:eastAsia="Times New Roman" w:cs="Arial"/>
          <w:color w:val="000000"/>
          <w:lang w:eastAsia="bg-BG"/>
        </w:rPr>
        <w:t xml:space="preserve">и </w:t>
      </w:r>
      <w:r w:rsidRPr="007E6202">
        <w:rPr>
          <w:rFonts w:eastAsia="Times New Roman" w:cs="Arial"/>
          <w:color w:val="000000"/>
          <w:lang w:val="en-US"/>
        </w:rPr>
        <w:t xml:space="preserve">CYP2C19 </w:t>
      </w:r>
      <w:r w:rsidRPr="007E6202">
        <w:rPr>
          <w:rFonts w:eastAsia="Times New Roman" w:cs="Arial"/>
          <w:color w:val="000000"/>
          <w:lang w:eastAsia="bg-BG"/>
        </w:rPr>
        <w:t xml:space="preserve">също могат да катализират основните процеси, но точна количествена оценка на съучастието им не е провеждана в условия </w:t>
      </w:r>
      <w:r w:rsidRPr="007E6202">
        <w:rPr>
          <w:rFonts w:eastAsia="Times New Roman" w:cs="Arial"/>
          <w:i/>
          <w:iCs/>
          <w:color w:val="000000"/>
          <w:lang w:val="en-US"/>
        </w:rPr>
        <w:t>in vivo.</w:t>
      </w:r>
    </w:p>
    <w:p w14:paraId="3055E959" w14:textId="77777777" w:rsidR="007E6202" w:rsidRPr="00B85D2E" w:rsidRDefault="007E6202" w:rsidP="007E6202">
      <w:pPr>
        <w:spacing w:line="240" w:lineRule="auto"/>
        <w:rPr>
          <w:rFonts w:eastAsia="Times New Roman" w:cs="Arial"/>
          <w:color w:val="000000"/>
          <w:lang w:eastAsia="bg-BG"/>
        </w:rPr>
      </w:pPr>
    </w:p>
    <w:p w14:paraId="49B8E234" w14:textId="498FE52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Кетоконазол: Кетоконазолът е мощен инхибитор на </w:t>
      </w:r>
      <w:r w:rsidRPr="007E6202">
        <w:rPr>
          <w:rFonts w:eastAsia="Times New Roman" w:cs="Arial"/>
          <w:color w:val="000000"/>
          <w:lang w:val="en-US"/>
        </w:rPr>
        <w:t xml:space="preserve">CYP3A4. </w:t>
      </w:r>
      <w:r w:rsidRPr="007E6202">
        <w:rPr>
          <w:rFonts w:eastAsia="Times New Roman" w:cs="Arial"/>
          <w:color w:val="000000"/>
          <w:lang w:eastAsia="bg-BG"/>
        </w:rPr>
        <w:t xml:space="preserve">В доза 400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на ден в продължение на 11 дни при здрави доброволци не променя клинично значимо фармакокинетиката на еторикоксиб при еднократна доза от 60 </w:t>
      </w:r>
      <w:r w:rsidRPr="007E6202">
        <w:rPr>
          <w:rFonts w:eastAsia="Times New Roman" w:cs="Arial"/>
          <w:color w:val="000000"/>
          <w:lang w:val="en-US"/>
        </w:rPr>
        <w:t xml:space="preserve">mg </w:t>
      </w:r>
      <w:r w:rsidRPr="007E6202">
        <w:rPr>
          <w:rFonts w:eastAsia="Times New Roman" w:cs="Arial"/>
          <w:color w:val="000000"/>
          <w:lang w:eastAsia="bg-BG"/>
        </w:rPr>
        <w:t xml:space="preserve">(43% увеличение на </w:t>
      </w:r>
      <w:r w:rsidRPr="007E6202">
        <w:rPr>
          <w:rFonts w:eastAsia="Times New Roman" w:cs="Arial"/>
          <w:color w:val="000000"/>
          <w:lang w:val="en-US"/>
        </w:rPr>
        <w:t>AUC).</w:t>
      </w:r>
    </w:p>
    <w:p w14:paraId="0BA907C2" w14:textId="77777777" w:rsidR="007E6202" w:rsidRPr="00B85D2E" w:rsidRDefault="007E6202" w:rsidP="007E6202">
      <w:pPr>
        <w:spacing w:line="240" w:lineRule="auto"/>
        <w:rPr>
          <w:rFonts w:eastAsia="Times New Roman" w:cs="Arial"/>
          <w:color w:val="000000"/>
          <w:lang w:eastAsia="bg-BG"/>
        </w:rPr>
      </w:pPr>
    </w:p>
    <w:p w14:paraId="54CAB42A" w14:textId="6AE5C44F"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Вориконазол и миконазол: Едновременното приложение на перорален вориконазол или локален миконазол перорален гел (мощни инхибитори на </w:t>
      </w:r>
      <w:r w:rsidRPr="007E6202">
        <w:rPr>
          <w:rFonts w:eastAsia="Times New Roman" w:cs="Arial"/>
          <w:color w:val="000000"/>
          <w:lang w:val="en-US"/>
        </w:rPr>
        <w:t xml:space="preserve">CYP3A4) </w:t>
      </w:r>
      <w:r w:rsidRPr="007E6202">
        <w:rPr>
          <w:rFonts w:eastAsia="Times New Roman" w:cs="Arial"/>
          <w:color w:val="000000"/>
          <w:lang w:eastAsia="bg-BG"/>
        </w:rPr>
        <w:t>с еторикоксиб води до леко повишаване на експозицията на еторикоксиб, без това да се счита за клинично значимо на база на публикуваните данни.</w:t>
      </w:r>
    </w:p>
    <w:p w14:paraId="586927B5" w14:textId="77777777" w:rsidR="007E6202" w:rsidRPr="00B85D2E" w:rsidRDefault="007E6202" w:rsidP="007E6202">
      <w:pPr>
        <w:spacing w:line="240" w:lineRule="auto"/>
        <w:rPr>
          <w:rFonts w:eastAsia="Times New Roman" w:cs="Arial"/>
          <w:color w:val="000000"/>
          <w:lang w:eastAsia="bg-BG"/>
        </w:rPr>
      </w:pPr>
    </w:p>
    <w:p w14:paraId="7F6E8FD6" w14:textId="6E9B5718"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Рифампицин: Едновременното прилагане на еторикоксиб и рифампицин (мощен индуктор на </w:t>
      </w:r>
      <w:r w:rsidRPr="007E6202">
        <w:rPr>
          <w:rFonts w:eastAsia="Times New Roman" w:cs="Arial"/>
          <w:color w:val="000000"/>
          <w:lang w:val="en-US"/>
        </w:rPr>
        <w:t xml:space="preserve">CYP </w:t>
      </w:r>
      <w:r w:rsidRPr="007E6202">
        <w:rPr>
          <w:rFonts w:eastAsia="Times New Roman" w:cs="Arial"/>
          <w:color w:val="000000"/>
          <w:lang w:eastAsia="bg-BG"/>
        </w:rPr>
        <w:t>ензимите) води до намаляване на плазмените концентрации на еторикоксиб с 65%. Това може да доведе до рецидивиране на симптоматиката, за която се прилага еторикоксиб. Тъй като това предполага увеличаване на дозата на лекарството, следва да се отбележи, че не са проучени дози на еторикоксиб, по-високи от посочените за всяка индикация, когато се прилага едновременно с рифампицин. По тази причина не се препоръчват по-високи дози (виж точка 4.2).</w:t>
      </w:r>
    </w:p>
    <w:p w14:paraId="21BFCF96" w14:textId="77777777" w:rsidR="00B85D2E" w:rsidRPr="00B85D2E" w:rsidRDefault="00B85D2E" w:rsidP="007E6202">
      <w:pPr>
        <w:spacing w:line="240" w:lineRule="auto"/>
        <w:rPr>
          <w:rFonts w:eastAsia="Times New Roman" w:cs="Arial"/>
          <w:color w:val="000000"/>
          <w:lang w:eastAsia="bg-BG"/>
        </w:rPr>
      </w:pPr>
    </w:p>
    <w:p w14:paraId="4F910A1D" w14:textId="779ECA3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Антиациди: Антиацидите не влияят върху фармакокинетиката на еторикоксиб в клинично значима степен.</w:t>
      </w:r>
    </w:p>
    <w:p w14:paraId="736EAE70" w14:textId="77777777" w:rsidR="007E6202" w:rsidRPr="007E6202" w:rsidRDefault="007E6202" w:rsidP="007E6202"/>
    <w:p w14:paraId="48846BBA" w14:textId="7994EBF8" w:rsidR="009F77A4" w:rsidRDefault="002C50EE" w:rsidP="00387A66">
      <w:pPr>
        <w:pStyle w:val="Heading2"/>
      </w:pPr>
      <w:r>
        <w:t>4.6. Фертилитет, бременност и кърмене</w:t>
      </w:r>
    </w:p>
    <w:p w14:paraId="612D7909" w14:textId="2889367F" w:rsidR="00B85D2E" w:rsidRDefault="00B85D2E" w:rsidP="00B85D2E"/>
    <w:p w14:paraId="60A6B33A" w14:textId="77777777"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Бременност</w:t>
      </w:r>
    </w:p>
    <w:p w14:paraId="7636AE87"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Няма клинични данни за влиянието на еторикоксиб по време на бременност. Проучванията при животни (плъхове и зайци) са установили репродуктивна токсичност (вж. точка 5.3).</w:t>
      </w:r>
    </w:p>
    <w:p w14:paraId="12A29FFD" w14:textId="77777777" w:rsidR="00B85D2E" w:rsidRPr="00B85D2E" w:rsidRDefault="00B85D2E" w:rsidP="00B85D2E">
      <w:pPr>
        <w:rPr>
          <w:rFonts w:eastAsia="Times New Roman" w:cs="Arial"/>
          <w:sz w:val="28"/>
          <w:szCs w:val="28"/>
          <w:lang w:eastAsia="bg-BG"/>
        </w:rPr>
      </w:pPr>
      <w:r w:rsidRPr="00B85D2E">
        <w:rPr>
          <w:rFonts w:eastAsia="Times New Roman" w:cs="Arial"/>
          <w:color w:val="000000"/>
          <w:lang w:eastAsia="bg-BG"/>
        </w:rPr>
        <w:t>Потенциалният риск по време на бременност при хора е неизвестен. Еторикоксиб, както и другите лекарствени продукти, които инхибират синтеза на простагландин, може да предизвика маточна слабост и преждевременно затваряне на дуктус артериозус (Боталовия проток) през последният</w:t>
      </w:r>
      <w:r w:rsidRPr="00B85D2E">
        <w:rPr>
          <w:rFonts w:eastAsia="Times New Roman" w:cs="Arial"/>
          <w:color w:val="000000"/>
          <w:lang w:val="en-US" w:eastAsia="bg-BG"/>
        </w:rPr>
        <w:t xml:space="preserve"> </w:t>
      </w:r>
      <w:r w:rsidRPr="00B85D2E">
        <w:rPr>
          <w:rFonts w:eastAsia="Times New Roman" w:cs="Arial"/>
          <w:color w:val="000000"/>
          <w:lang w:eastAsia="bg-BG"/>
        </w:rPr>
        <w:t>триместър. Еторикоксиб е противопоказен за прилагане по време на бременност (вж. точка 4.3). При забременяване по време на лечение, приемът на еторикоксиб трябва да бъде прекратен.</w:t>
      </w:r>
    </w:p>
    <w:p w14:paraId="29D447E0" w14:textId="77777777" w:rsidR="00B85D2E" w:rsidRPr="00B85D2E" w:rsidRDefault="00B85D2E" w:rsidP="00B85D2E">
      <w:pPr>
        <w:spacing w:line="240" w:lineRule="auto"/>
        <w:rPr>
          <w:rFonts w:eastAsia="Times New Roman" w:cs="Arial"/>
          <w:color w:val="000000"/>
          <w:lang w:eastAsia="bg-BG"/>
        </w:rPr>
      </w:pPr>
    </w:p>
    <w:p w14:paraId="03E056B9" w14:textId="555E9DB0"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Кърмене</w:t>
      </w:r>
    </w:p>
    <w:p w14:paraId="506BB85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Еторикоксиб се екскретира в млякото на плъхове в концентрации, подобни на тези в плазмата. Не е известно дали еторикоксиб се отделя в човешката кърма. Жени, които приемат еторикоксиб, не трябва да кърмят (вж. точки 4.3 и 5.3).</w:t>
      </w:r>
    </w:p>
    <w:p w14:paraId="62F706AF" w14:textId="77777777" w:rsidR="00B85D2E" w:rsidRPr="00B85D2E" w:rsidRDefault="00B85D2E" w:rsidP="00B85D2E">
      <w:pPr>
        <w:spacing w:line="240" w:lineRule="auto"/>
        <w:rPr>
          <w:rFonts w:eastAsia="Times New Roman" w:cs="Arial"/>
          <w:color w:val="000000"/>
          <w:lang w:eastAsia="bg-BG"/>
        </w:rPr>
      </w:pPr>
    </w:p>
    <w:p w14:paraId="4F8AF5B5" w14:textId="4FD6152C"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Фертилитет</w:t>
      </w:r>
    </w:p>
    <w:p w14:paraId="21010B61"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Употребата на еторикоксиб, както и на всяко друго вещество, за което е известно, че инхибира СОХ-2, не се препоръчва при жени, опитващи се да забременеят.</w:t>
      </w:r>
    </w:p>
    <w:p w14:paraId="2AD277EA" w14:textId="401E4DEC" w:rsidR="00B85D2E" w:rsidRPr="00B85D2E" w:rsidRDefault="00B85D2E" w:rsidP="00B85D2E">
      <w:pPr>
        <w:spacing w:line="240" w:lineRule="auto"/>
        <w:rPr>
          <w:rFonts w:ascii="Times New Roman" w:eastAsia="Times New Roman" w:hAnsi="Times New Roman" w:cs="Times New Roman"/>
          <w:sz w:val="24"/>
          <w:szCs w:val="24"/>
          <w:lang w:val="en-US" w:eastAsia="bg-BG"/>
        </w:rPr>
      </w:pPr>
    </w:p>
    <w:p w14:paraId="32FC7304" w14:textId="77777777" w:rsidR="00B85D2E" w:rsidRPr="00B85D2E" w:rsidRDefault="00B85D2E" w:rsidP="00B85D2E"/>
    <w:p w14:paraId="321AAB00" w14:textId="2C9D6418" w:rsidR="009F77A4" w:rsidRDefault="002C50EE" w:rsidP="00387A66">
      <w:pPr>
        <w:pStyle w:val="Heading2"/>
      </w:pPr>
      <w:r>
        <w:t>4.7. Ефекти върху способността за шофиране и работа с машини</w:t>
      </w:r>
    </w:p>
    <w:p w14:paraId="2D15AFEE" w14:textId="340B14AE" w:rsidR="00B85D2E" w:rsidRDefault="00B85D2E" w:rsidP="00B85D2E"/>
    <w:p w14:paraId="362451E8" w14:textId="77777777" w:rsidR="00B85D2E" w:rsidRPr="00B85D2E" w:rsidRDefault="00B85D2E" w:rsidP="00B85D2E">
      <w:pPr>
        <w:rPr>
          <w:sz w:val="24"/>
          <w:szCs w:val="24"/>
          <w:lang w:eastAsia="bg-BG"/>
        </w:rPr>
      </w:pPr>
      <w:r w:rsidRPr="00B85D2E">
        <w:rPr>
          <w:lang w:eastAsia="bg-BG"/>
        </w:rPr>
        <w:t>Пациенти, които усещат замаяност, световъртеж или сънливост, докато приемат еторикоксиб, трябва да избягват да шофират или да работят с машини.</w:t>
      </w:r>
    </w:p>
    <w:p w14:paraId="28251B2C" w14:textId="77777777" w:rsidR="00B85D2E" w:rsidRPr="00B85D2E" w:rsidRDefault="00B85D2E" w:rsidP="00B85D2E"/>
    <w:p w14:paraId="136C86B8" w14:textId="7035CDE3" w:rsidR="009F77A4" w:rsidRDefault="002C50EE" w:rsidP="00387A66">
      <w:pPr>
        <w:pStyle w:val="Heading2"/>
      </w:pPr>
      <w:r>
        <w:t>4.8. Нежелани лекарствени реакции</w:t>
      </w:r>
    </w:p>
    <w:p w14:paraId="5B287952" w14:textId="3AC3225F" w:rsidR="00B85D2E" w:rsidRDefault="00B85D2E" w:rsidP="00B85D2E"/>
    <w:p w14:paraId="4008031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Резюме на профила на безопасност</w:t>
      </w:r>
    </w:p>
    <w:p w14:paraId="0E6B4B39"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В клинични проучвания, безопасността от прилагането на еторикоксиб е била оценена при 7152 души, включително 4614 пациенти с остеоартрит, ревматоиден артрит, хронична болка в кръста или анкилозиращ спондилит (приблизително 600 пациенти с остеоартрит или ревматоиден артрит са били лекувани в продължение на минимум една година).</w:t>
      </w:r>
    </w:p>
    <w:p w14:paraId="45317038"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При клиничните проучвания, профила на нежеланите реакции е бил сходен при пациенти с остеоартрит (ОА) или ревматоиден артрит (РА), лекувани с еторикоксиб в продължение на една година или повече.</w:t>
      </w:r>
    </w:p>
    <w:p w14:paraId="14AAFC1F"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клинично проучване за остър подагрозен артрит, пациентите са били лекувани със 120 </w:t>
      </w:r>
      <w:r w:rsidRPr="00B85D2E">
        <w:rPr>
          <w:rFonts w:eastAsia="Times New Roman" w:cs="Arial"/>
          <w:color w:val="000000"/>
          <w:lang w:val="en-US"/>
        </w:rPr>
        <w:t xml:space="preserve">mg </w:t>
      </w:r>
      <w:r w:rsidRPr="00B85D2E">
        <w:rPr>
          <w:rFonts w:eastAsia="Times New Roman" w:cs="Arial"/>
          <w:color w:val="000000"/>
          <w:lang w:eastAsia="bg-BG"/>
        </w:rPr>
        <w:t>дневна доза, в продължение на осем дни. Профилът на нежеланите реакции при това проучване е бил в общи линии близък до този, наблюдаван при комбинираните проучвания за ОА, РА и болка в кръста.</w:t>
      </w:r>
    </w:p>
    <w:p w14:paraId="08274347" w14:textId="77777777" w:rsidR="00B85D2E" w:rsidRPr="00B85D2E" w:rsidRDefault="00B85D2E" w:rsidP="00B85D2E">
      <w:pPr>
        <w:spacing w:line="240" w:lineRule="auto"/>
        <w:rPr>
          <w:rFonts w:eastAsia="Times New Roman" w:cs="Arial"/>
          <w:color w:val="000000"/>
          <w:lang w:eastAsia="bg-BG"/>
        </w:rPr>
      </w:pPr>
    </w:p>
    <w:p w14:paraId="7E96FAB0" w14:textId="38CC13F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програма за проследяване на сърдечно-съдовата безопасност с обобщени данни от три клинични изпитвания спрямо активен компонент, 17412 пациенти с ОА или РА са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при средна продължителност на лечението 18 месеца. Данните за безопасност и подробностите за тази програма са представени в точка 5.1.</w:t>
      </w:r>
    </w:p>
    <w:p w14:paraId="011C327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Профилът на безопасност на нежелани реакции при клинични проучвания за остра постоперативна дентална болка след операция, включващи 614 пациенти, лекувани с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и 120 </w:t>
      </w:r>
      <w:r w:rsidRPr="00B85D2E">
        <w:rPr>
          <w:rFonts w:eastAsia="Times New Roman" w:cs="Arial"/>
          <w:color w:val="000000"/>
          <w:lang w:val="en-US"/>
        </w:rPr>
        <w:t xml:space="preserve">mg), </w:t>
      </w:r>
      <w:r w:rsidRPr="00B85D2E">
        <w:rPr>
          <w:rFonts w:eastAsia="Times New Roman" w:cs="Arial"/>
          <w:color w:val="000000"/>
          <w:lang w:eastAsia="bg-BG"/>
        </w:rPr>
        <w:t>като цяло е подобен на този, съобщен при проучвания за ОА, РА и хронична болка в долната част на гърба.</w:t>
      </w:r>
    </w:p>
    <w:p w14:paraId="4970229E" w14:textId="77777777" w:rsidR="00B85D2E" w:rsidRPr="00B85D2E" w:rsidRDefault="00B85D2E" w:rsidP="00B85D2E">
      <w:pPr>
        <w:spacing w:line="240" w:lineRule="auto"/>
        <w:rPr>
          <w:rFonts w:eastAsia="Times New Roman" w:cs="Arial"/>
          <w:color w:val="000000"/>
          <w:lang w:eastAsia="bg-BG"/>
        </w:rPr>
      </w:pPr>
    </w:p>
    <w:p w14:paraId="31C7E04F" w14:textId="654CAC05"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Табличен списък на нежеланите реакции</w:t>
      </w:r>
    </w:p>
    <w:p w14:paraId="5BF50693" w14:textId="6DECE954" w:rsidR="00B85D2E" w:rsidRPr="00B85D2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По време на клиничните изпитвания са установени следните нежелани лекарствени реакции с честота по-голяма от тази при прилагането на плацебо при пациенти с ОА, РА, хронична болка в кръста или анкилозиращ спондилит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до препоръчителната доза за срок на лечение до 12 седмици, в проучванията по програмата </w:t>
      </w:r>
      <w:r w:rsidRPr="00B85D2E">
        <w:rPr>
          <w:rFonts w:eastAsia="Times New Roman" w:cs="Arial"/>
          <w:color w:val="000000"/>
          <w:lang w:val="en-US"/>
        </w:rPr>
        <w:t xml:space="preserve">MEDAL </w:t>
      </w:r>
      <w:r w:rsidRPr="00B85D2E">
        <w:rPr>
          <w:rFonts w:eastAsia="Times New Roman" w:cs="Arial"/>
          <w:color w:val="000000"/>
          <w:lang w:eastAsia="bg-BG"/>
        </w:rPr>
        <w:t>за срок на лечение до 3</w:t>
      </w:r>
      <w:r w:rsidRPr="00B85D2E">
        <w:rPr>
          <w:rFonts w:eastAsia="Times New Roman" w:cs="Arial"/>
          <w:color w:val="000000"/>
          <w:vertAlign w:val="superscript"/>
          <w:lang w:eastAsia="bg-BG"/>
        </w:rPr>
        <w:t xml:space="preserve">1/2 </w:t>
      </w:r>
      <w:r w:rsidRPr="00B85D2E">
        <w:rPr>
          <w:rFonts w:eastAsia="Times New Roman" w:cs="Arial"/>
          <w:color w:val="000000"/>
          <w:lang w:eastAsia="bg-BG"/>
        </w:rPr>
        <w:t>години, в краткосрочни проучвания за срок на лечение до 7 дни за остра болка или в периода след пускане на пазара (вж таблица 1).</w:t>
      </w:r>
    </w:p>
    <w:p w14:paraId="34C024DE" w14:textId="4A531B1C" w:rsidR="00B85D2E" w:rsidRPr="00B85D2E" w:rsidRDefault="00B85D2E" w:rsidP="00B85D2E">
      <w:pPr>
        <w:spacing w:line="240" w:lineRule="auto"/>
        <w:rPr>
          <w:rFonts w:eastAsia="Times New Roman" w:cs="Arial"/>
          <w:color w:val="000000"/>
          <w:lang w:eastAsia="bg-BG"/>
        </w:rPr>
      </w:pPr>
    </w:p>
    <w:p w14:paraId="7143DF6E" w14:textId="56A0BA75" w:rsidR="00B85D2E" w:rsidRPr="00B85D2E" w:rsidRDefault="00B85D2E" w:rsidP="00B85D2E">
      <w:pPr>
        <w:spacing w:line="240" w:lineRule="auto"/>
        <w:rPr>
          <w:rFonts w:eastAsia="Times New Roman" w:cs="Arial"/>
          <w:sz w:val="28"/>
          <w:szCs w:val="28"/>
          <w:lang w:eastAsia="bg-BG"/>
        </w:rPr>
      </w:pPr>
      <w:r w:rsidRPr="00B85D2E">
        <w:rPr>
          <w:rFonts w:cs="Arial"/>
          <w:u w:val="single"/>
        </w:rPr>
        <w:t>Таблица 1</w:t>
      </w:r>
    </w:p>
    <w:tbl>
      <w:tblPr>
        <w:tblStyle w:val="TableGrid"/>
        <w:tblW w:w="0" w:type="auto"/>
        <w:tblLook w:val="04A0" w:firstRow="1" w:lastRow="0" w:firstColumn="1" w:lastColumn="0" w:noHBand="0" w:noVBand="1"/>
      </w:tblPr>
      <w:tblGrid>
        <w:gridCol w:w="2891"/>
        <w:gridCol w:w="3686"/>
        <w:gridCol w:w="2773"/>
      </w:tblGrid>
      <w:tr w:rsidR="00B85D2E" w14:paraId="0FEC1794" w14:textId="77777777" w:rsidTr="00B85D2E">
        <w:tc>
          <w:tcPr>
            <w:tcW w:w="2971" w:type="dxa"/>
            <w:vAlign w:val="bottom"/>
          </w:tcPr>
          <w:p w14:paraId="2FADF9D4" w14:textId="47A67867" w:rsidR="00B85D2E" w:rsidRPr="00B85D2E" w:rsidRDefault="00B85D2E" w:rsidP="00B85D2E">
            <w:r w:rsidRPr="00B85D2E">
              <w:t>Системо-органен клас</w:t>
            </w:r>
          </w:p>
        </w:tc>
        <w:tc>
          <w:tcPr>
            <w:tcW w:w="3686" w:type="dxa"/>
          </w:tcPr>
          <w:p w14:paraId="4055F68F" w14:textId="5865E0A8" w:rsidR="00B85D2E" w:rsidRPr="00B85D2E" w:rsidRDefault="00B85D2E" w:rsidP="00B85D2E">
            <w:r w:rsidRPr="00B85D2E">
              <w:t>Нежелани реакции</w:t>
            </w:r>
          </w:p>
        </w:tc>
        <w:tc>
          <w:tcPr>
            <w:tcW w:w="2919" w:type="dxa"/>
          </w:tcPr>
          <w:p w14:paraId="3CE09CCC" w14:textId="576873AF" w:rsidR="00B85D2E" w:rsidRPr="00B85D2E" w:rsidRDefault="00B85D2E" w:rsidP="00B85D2E">
            <w:r w:rsidRPr="00B85D2E">
              <w:t>Категория честота</w:t>
            </w:r>
          </w:p>
        </w:tc>
      </w:tr>
      <w:tr w:rsidR="00B85D2E" w14:paraId="3C726C3D" w14:textId="77777777" w:rsidTr="00B85D2E">
        <w:tc>
          <w:tcPr>
            <w:tcW w:w="2971" w:type="dxa"/>
            <w:vMerge w:val="restart"/>
          </w:tcPr>
          <w:p w14:paraId="5D2AD491" w14:textId="1F58EA55" w:rsidR="00B85D2E" w:rsidRPr="00B85D2E" w:rsidRDefault="00B85D2E" w:rsidP="00B85D2E">
            <w:r w:rsidRPr="00B85D2E">
              <w:rPr>
                <w:i/>
                <w:iCs/>
              </w:rPr>
              <w:t>Инфекции</w:t>
            </w:r>
            <w:r>
              <w:rPr>
                <w:i/>
                <w:iCs/>
                <w:lang w:val="en-US"/>
              </w:rPr>
              <w:t xml:space="preserve"> </w:t>
            </w:r>
            <w:r w:rsidRPr="00B85D2E">
              <w:rPr>
                <w:i/>
                <w:iCs/>
              </w:rPr>
              <w:t>и</w:t>
            </w:r>
          </w:p>
          <w:p w14:paraId="6F513798" w14:textId="4F29B044" w:rsidR="00B85D2E" w:rsidRPr="00B85D2E" w:rsidRDefault="00B85D2E" w:rsidP="00B85D2E">
            <w:r w:rsidRPr="00B85D2E">
              <w:rPr>
                <w:i/>
                <w:iCs/>
              </w:rPr>
              <w:t>инфестации</w:t>
            </w:r>
          </w:p>
        </w:tc>
        <w:tc>
          <w:tcPr>
            <w:tcW w:w="3686" w:type="dxa"/>
            <w:vAlign w:val="bottom"/>
          </w:tcPr>
          <w:p w14:paraId="19CEB037" w14:textId="0D5C08A2" w:rsidR="00B85D2E" w:rsidRPr="00B85D2E" w:rsidRDefault="00B85D2E" w:rsidP="00B85D2E">
            <w:r w:rsidRPr="00B85D2E">
              <w:t>алвеоларен остеит</w:t>
            </w:r>
          </w:p>
        </w:tc>
        <w:tc>
          <w:tcPr>
            <w:tcW w:w="2919" w:type="dxa"/>
            <w:vAlign w:val="bottom"/>
          </w:tcPr>
          <w:p w14:paraId="294AFA56" w14:textId="1EC3DFDB" w:rsidR="00B85D2E" w:rsidRPr="00B85D2E" w:rsidRDefault="00B85D2E" w:rsidP="00B85D2E">
            <w:r w:rsidRPr="00B85D2E">
              <w:t>Чести</w:t>
            </w:r>
          </w:p>
        </w:tc>
      </w:tr>
      <w:tr w:rsidR="00B85D2E" w14:paraId="6C655F42" w14:textId="77777777" w:rsidTr="00B85D2E">
        <w:tc>
          <w:tcPr>
            <w:tcW w:w="2971" w:type="dxa"/>
            <w:vMerge/>
          </w:tcPr>
          <w:p w14:paraId="0CAF4671" w14:textId="77777777" w:rsidR="00B85D2E" w:rsidRPr="00B85D2E" w:rsidRDefault="00B85D2E" w:rsidP="00B85D2E"/>
        </w:tc>
        <w:tc>
          <w:tcPr>
            <w:tcW w:w="3686" w:type="dxa"/>
            <w:vAlign w:val="bottom"/>
          </w:tcPr>
          <w:p w14:paraId="3B2E0E34" w14:textId="5B6FA674" w:rsidR="00B85D2E" w:rsidRPr="00B85D2E" w:rsidRDefault="00B85D2E" w:rsidP="00B85D2E">
            <w:r w:rsidRPr="00B85D2E">
              <w:t>гастроентерит, инфекции на горните дихателни пътища, уринарни инфекции</w:t>
            </w:r>
          </w:p>
        </w:tc>
        <w:tc>
          <w:tcPr>
            <w:tcW w:w="2919" w:type="dxa"/>
          </w:tcPr>
          <w:p w14:paraId="70E3C0B9" w14:textId="65519E6F" w:rsidR="00B85D2E" w:rsidRPr="00B85D2E" w:rsidRDefault="00B85D2E" w:rsidP="00B85D2E">
            <w:r w:rsidRPr="00B85D2E">
              <w:t>Нечести</w:t>
            </w:r>
          </w:p>
        </w:tc>
      </w:tr>
      <w:tr w:rsidR="00B85D2E" w14:paraId="183F1AF1" w14:textId="77777777" w:rsidTr="00B85D2E">
        <w:tc>
          <w:tcPr>
            <w:tcW w:w="2971" w:type="dxa"/>
            <w:vAlign w:val="bottom"/>
          </w:tcPr>
          <w:p w14:paraId="0737F08E" w14:textId="7AE1EF34" w:rsidR="00B85D2E" w:rsidRPr="00B85D2E" w:rsidRDefault="00B85D2E" w:rsidP="00B85D2E">
            <w:r w:rsidRPr="00B85D2E">
              <w:rPr>
                <w:i/>
                <w:iCs/>
              </w:rPr>
              <w:t>Нарушения</w:t>
            </w:r>
            <w:r>
              <w:rPr>
                <w:i/>
                <w:iCs/>
                <w:lang w:val="en-US"/>
              </w:rPr>
              <w:t xml:space="preserve"> </w:t>
            </w:r>
            <w:r w:rsidRPr="00B85D2E">
              <w:rPr>
                <w:i/>
                <w:iCs/>
              </w:rPr>
              <w:t>на</w:t>
            </w:r>
          </w:p>
          <w:p w14:paraId="08141E1A" w14:textId="201BF865" w:rsidR="00B85D2E" w:rsidRPr="00B85D2E" w:rsidRDefault="00B85D2E" w:rsidP="00B85D2E">
            <w:r w:rsidRPr="00B85D2E">
              <w:rPr>
                <w:i/>
                <w:iCs/>
              </w:rPr>
              <w:t>Кръвта</w:t>
            </w:r>
            <w:r>
              <w:rPr>
                <w:i/>
                <w:iCs/>
                <w:lang w:val="en-US"/>
              </w:rPr>
              <w:t xml:space="preserve"> </w:t>
            </w:r>
            <w:r w:rsidRPr="00B85D2E">
              <w:rPr>
                <w:i/>
                <w:iCs/>
              </w:rPr>
              <w:t>и</w:t>
            </w:r>
          </w:p>
          <w:p w14:paraId="0804501B" w14:textId="06D38CDD" w:rsidR="00B85D2E" w:rsidRPr="00B85D2E" w:rsidRDefault="00B85D2E" w:rsidP="00B85D2E">
            <w:r w:rsidRPr="00B85D2E">
              <w:rPr>
                <w:i/>
                <w:iCs/>
              </w:rPr>
              <w:t>лимфната система</w:t>
            </w:r>
          </w:p>
        </w:tc>
        <w:tc>
          <w:tcPr>
            <w:tcW w:w="3686" w:type="dxa"/>
            <w:vAlign w:val="bottom"/>
          </w:tcPr>
          <w:p w14:paraId="7CCF9D59" w14:textId="77777777" w:rsidR="00B85D2E" w:rsidRPr="00B85D2E" w:rsidRDefault="00B85D2E" w:rsidP="00B85D2E">
            <w:r w:rsidRPr="00B85D2E">
              <w:t>анемия (предимно свързана със стомашно-чревно</w:t>
            </w:r>
            <w:r w:rsidRPr="00B85D2E">
              <w:tab/>
              <w:t>кървене),</w:t>
            </w:r>
          </w:p>
          <w:p w14:paraId="2881C94B" w14:textId="43D45FD6" w:rsidR="00B85D2E" w:rsidRPr="00B85D2E" w:rsidRDefault="00B85D2E" w:rsidP="00B85D2E">
            <w:r w:rsidRPr="00B85D2E">
              <w:t>левкопения, тромбоцитопения</w:t>
            </w:r>
          </w:p>
        </w:tc>
        <w:tc>
          <w:tcPr>
            <w:tcW w:w="2919" w:type="dxa"/>
          </w:tcPr>
          <w:p w14:paraId="1613FF8A" w14:textId="456D5C00" w:rsidR="00B85D2E" w:rsidRPr="00B85D2E" w:rsidRDefault="00B85D2E" w:rsidP="00B85D2E">
            <w:r w:rsidRPr="00B85D2E">
              <w:t>Нечести</w:t>
            </w:r>
          </w:p>
        </w:tc>
      </w:tr>
      <w:tr w:rsidR="00B85D2E" w14:paraId="7F5C8A04" w14:textId="77777777" w:rsidTr="00B85D2E">
        <w:tc>
          <w:tcPr>
            <w:tcW w:w="2971" w:type="dxa"/>
            <w:vMerge w:val="restart"/>
          </w:tcPr>
          <w:p w14:paraId="0F6F3BE0" w14:textId="77777777" w:rsidR="00B85D2E" w:rsidRPr="00B85D2E" w:rsidRDefault="00B85D2E" w:rsidP="00B85D2E">
            <w:r w:rsidRPr="00B85D2E">
              <w:rPr>
                <w:i/>
                <w:iCs/>
              </w:rPr>
              <w:t>Нарушения</w:t>
            </w:r>
            <w:r w:rsidRPr="00B85D2E">
              <w:rPr>
                <w:i/>
                <w:iCs/>
              </w:rPr>
              <w:tab/>
              <w:t>на</w:t>
            </w:r>
          </w:p>
          <w:p w14:paraId="47F93FCE" w14:textId="3958CBFA" w:rsidR="00B85D2E" w:rsidRPr="00B85D2E" w:rsidRDefault="00B85D2E" w:rsidP="00B85D2E">
            <w:r w:rsidRPr="00B85D2E">
              <w:rPr>
                <w:i/>
                <w:iCs/>
              </w:rPr>
              <w:lastRenderedPageBreak/>
              <w:t>имунната система</w:t>
            </w:r>
          </w:p>
        </w:tc>
        <w:tc>
          <w:tcPr>
            <w:tcW w:w="3686" w:type="dxa"/>
            <w:vAlign w:val="bottom"/>
          </w:tcPr>
          <w:p w14:paraId="40119AC7" w14:textId="1E961A3A" w:rsidR="00B85D2E" w:rsidRPr="00B85D2E" w:rsidRDefault="00B85D2E" w:rsidP="00B85D2E">
            <w:r w:rsidRPr="00B85D2E">
              <w:lastRenderedPageBreak/>
              <w:t>свръхчувствителност</w:t>
            </w:r>
            <w:r w:rsidRPr="00B85D2E">
              <w:rPr>
                <w:vertAlign w:val="superscript"/>
              </w:rPr>
              <w:t>++</w:t>
            </w:r>
          </w:p>
        </w:tc>
        <w:tc>
          <w:tcPr>
            <w:tcW w:w="2919" w:type="dxa"/>
            <w:vAlign w:val="bottom"/>
          </w:tcPr>
          <w:p w14:paraId="7E6B8F11" w14:textId="7F78E5D4" w:rsidR="00B85D2E" w:rsidRPr="00B85D2E" w:rsidRDefault="00B85D2E" w:rsidP="00B85D2E">
            <w:r w:rsidRPr="00B85D2E">
              <w:t>Нечести</w:t>
            </w:r>
          </w:p>
        </w:tc>
      </w:tr>
      <w:tr w:rsidR="00B85D2E" w14:paraId="25828462" w14:textId="77777777" w:rsidTr="00B85D2E">
        <w:tc>
          <w:tcPr>
            <w:tcW w:w="2971" w:type="dxa"/>
            <w:vMerge/>
          </w:tcPr>
          <w:p w14:paraId="1C27ABA0" w14:textId="77777777" w:rsidR="00B85D2E" w:rsidRPr="00B85D2E" w:rsidRDefault="00B85D2E" w:rsidP="00B85D2E"/>
        </w:tc>
        <w:tc>
          <w:tcPr>
            <w:tcW w:w="3686" w:type="dxa"/>
            <w:vAlign w:val="bottom"/>
          </w:tcPr>
          <w:p w14:paraId="5C15F026" w14:textId="77777777" w:rsidR="00B85D2E" w:rsidRPr="00B85D2E" w:rsidRDefault="00B85D2E" w:rsidP="00B85D2E">
            <w:r w:rsidRPr="00B85D2E">
              <w:t>Ангиоедем</w:t>
            </w:r>
          </w:p>
          <w:p w14:paraId="38EFC974" w14:textId="50AABEA4" w:rsidR="00B85D2E" w:rsidRPr="00B85D2E" w:rsidRDefault="00B85D2E" w:rsidP="00B85D2E">
            <w:r w:rsidRPr="00B85D2E">
              <w:t>(анафилактични/анафилактоидни реакции, включително шок)</w:t>
            </w:r>
            <w:r w:rsidRPr="00B85D2E">
              <w:rPr>
                <w:vertAlign w:val="superscript"/>
              </w:rPr>
              <w:t>++</w:t>
            </w:r>
          </w:p>
        </w:tc>
        <w:tc>
          <w:tcPr>
            <w:tcW w:w="2919" w:type="dxa"/>
          </w:tcPr>
          <w:p w14:paraId="6210470C" w14:textId="41607571" w:rsidR="00B85D2E" w:rsidRPr="00B85D2E" w:rsidRDefault="00B85D2E" w:rsidP="00B85D2E">
            <w:r w:rsidRPr="00B85D2E">
              <w:t>редки</w:t>
            </w:r>
          </w:p>
        </w:tc>
      </w:tr>
      <w:tr w:rsidR="00B85D2E" w14:paraId="64159CCC" w14:textId="77777777" w:rsidTr="00B85D2E">
        <w:tc>
          <w:tcPr>
            <w:tcW w:w="2971" w:type="dxa"/>
            <w:vMerge w:val="restart"/>
            <w:vAlign w:val="bottom"/>
          </w:tcPr>
          <w:p w14:paraId="1B1D6218" w14:textId="2C863E0D" w:rsidR="00B85D2E" w:rsidRPr="00B85D2E" w:rsidRDefault="00B85D2E" w:rsidP="00B85D2E">
            <w:r w:rsidRPr="00B85D2E">
              <w:rPr>
                <w:i/>
                <w:iCs/>
              </w:rPr>
              <w:t>Нарушения на метаболизма и храненето</w:t>
            </w:r>
          </w:p>
        </w:tc>
        <w:tc>
          <w:tcPr>
            <w:tcW w:w="3686" w:type="dxa"/>
            <w:vAlign w:val="bottom"/>
          </w:tcPr>
          <w:p w14:paraId="5148F8ED" w14:textId="350755EF" w:rsidR="00B85D2E" w:rsidRPr="00B85D2E" w:rsidRDefault="00B85D2E" w:rsidP="00B85D2E">
            <w:r w:rsidRPr="00B85D2E">
              <w:t>едем /задръжка на течности</w:t>
            </w:r>
          </w:p>
        </w:tc>
        <w:tc>
          <w:tcPr>
            <w:tcW w:w="2919" w:type="dxa"/>
            <w:vAlign w:val="bottom"/>
          </w:tcPr>
          <w:p w14:paraId="77827D80" w14:textId="75788A29" w:rsidR="00B85D2E" w:rsidRPr="00B85D2E" w:rsidRDefault="00B85D2E" w:rsidP="00B85D2E">
            <w:r w:rsidRPr="00B85D2E">
              <w:t>Чести</w:t>
            </w:r>
          </w:p>
        </w:tc>
      </w:tr>
      <w:tr w:rsidR="00B85D2E" w14:paraId="7C8419F1" w14:textId="77777777" w:rsidTr="00B85D2E">
        <w:tc>
          <w:tcPr>
            <w:tcW w:w="2971" w:type="dxa"/>
            <w:vMerge/>
            <w:vAlign w:val="bottom"/>
          </w:tcPr>
          <w:p w14:paraId="2C2D1D58" w14:textId="77777777" w:rsidR="00B85D2E" w:rsidRPr="00B85D2E" w:rsidRDefault="00B85D2E" w:rsidP="00B85D2E"/>
        </w:tc>
        <w:tc>
          <w:tcPr>
            <w:tcW w:w="3686" w:type="dxa"/>
            <w:vAlign w:val="bottom"/>
          </w:tcPr>
          <w:p w14:paraId="59CB8DA3" w14:textId="2C594D05" w:rsidR="00B85D2E" w:rsidRPr="00B85D2E" w:rsidRDefault="00B85D2E" w:rsidP="00B85D2E">
            <w:r w:rsidRPr="00B85D2E">
              <w:t>увеличение или намаление на апетита, увеличение на теглото</w:t>
            </w:r>
          </w:p>
        </w:tc>
        <w:tc>
          <w:tcPr>
            <w:tcW w:w="2919" w:type="dxa"/>
          </w:tcPr>
          <w:p w14:paraId="710589CB" w14:textId="78EC71AF" w:rsidR="00B85D2E" w:rsidRPr="00B85D2E" w:rsidRDefault="00B85D2E" w:rsidP="00B85D2E">
            <w:r w:rsidRPr="00B85D2E">
              <w:t>Нечести</w:t>
            </w:r>
          </w:p>
        </w:tc>
      </w:tr>
      <w:tr w:rsidR="00B85D2E" w14:paraId="53390D90" w14:textId="77777777" w:rsidTr="00B85D2E">
        <w:tc>
          <w:tcPr>
            <w:tcW w:w="2971" w:type="dxa"/>
            <w:vMerge w:val="restart"/>
          </w:tcPr>
          <w:p w14:paraId="72E433A6" w14:textId="21D2419C" w:rsidR="00B85D2E" w:rsidRPr="00B85D2E" w:rsidRDefault="00B85D2E" w:rsidP="00B85D2E">
            <w:r w:rsidRPr="00B85D2E">
              <w:rPr>
                <w:i/>
                <w:iCs/>
              </w:rPr>
              <w:t>Психични нарушения</w:t>
            </w:r>
          </w:p>
        </w:tc>
        <w:tc>
          <w:tcPr>
            <w:tcW w:w="3686" w:type="dxa"/>
            <w:vAlign w:val="bottom"/>
          </w:tcPr>
          <w:p w14:paraId="379E664F" w14:textId="1A2BBB0A" w:rsidR="00B85D2E" w:rsidRPr="00B85D2E" w:rsidRDefault="00B85D2E" w:rsidP="00B85D2E">
            <w:r w:rsidRPr="00B85D2E">
              <w:t>Тревожност, депресия, намалена възможност за умствена работа, халюцинации</w:t>
            </w:r>
            <w:r w:rsidRPr="00B85D2E">
              <w:rPr>
                <w:vertAlign w:val="superscript"/>
                <w:lang w:val="en-US"/>
              </w:rPr>
              <w:t>v++</w:t>
            </w:r>
          </w:p>
        </w:tc>
        <w:tc>
          <w:tcPr>
            <w:tcW w:w="2919" w:type="dxa"/>
          </w:tcPr>
          <w:p w14:paraId="52C7BA0B" w14:textId="1AB33F68" w:rsidR="00B85D2E" w:rsidRPr="00B85D2E" w:rsidRDefault="00B85D2E" w:rsidP="00B85D2E">
            <w:r w:rsidRPr="00B85D2E">
              <w:t>Нечести</w:t>
            </w:r>
          </w:p>
        </w:tc>
      </w:tr>
      <w:tr w:rsidR="00B85D2E" w14:paraId="44090460" w14:textId="77777777" w:rsidTr="00B85D2E">
        <w:tc>
          <w:tcPr>
            <w:tcW w:w="2971" w:type="dxa"/>
            <w:vMerge/>
          </w:tcPr>
          <w:p w14:paraId="4ECA37C9" w14:textId="77777777" w:rsidR="00B85D2E" w:rsidRPr="00B85D2E" w:rsidRDefault="00B85D2E" w:rsidP="00B85D2E"/>
        </w:tc>
        <w:tc>
          <w:tcPr>
            <w:tcW w:w="3686" w:type="dxa"/>
            <w:vAlign w:val="bottom"/>
          </w:tcPr>
          <w:p w14:paraId="3ECAF821" w14:textId="69944B46" w:rsidR="00B85D2E" w:rsidRPr="00B85D2E" w:rsidRDefault="00B85D2E" w:rsidP="00B85D2E">
            <w:r w:rsidRPr="00B85D2E">
              <w:t>Обърканост, безпокойство</w:t>
            </w:r>
            <w:r w:rsidRPr="00B85D2E">
              <w:rPr>
                <w:vertAlign w:val="superscript"/>
              </w:rPr>
              <w:t>++</w:t>
            </w:r>
          </w:p>
        </w:tc>
        <w:tc>
          <w:tcPr>
            <w:tcW w:w="2919" w:type="dxa"/>
            <w:vAlign w:val="bottom"/>
          </w:tcPr>
          <w:p w14:paraId="0B9DE93A" w14:textId="7918BC1B" w:rsidR="00B85D2E" w:rsidRPr="00B85D2E" w:rsidRDefault="00B85D2E" w:rsidP="00B85D2E">
            <w:r w:rsidRPr="00B85D2E">
              <w:t>Редки</w:t>
            </w:r>
          </w:p>
        </w:tc>
      </w:tr>
      <w:tr w:rsidR="00B85D2E" w14:paraId="1CB26189" w14:textId="77777777" w:rsidTr="00F12D81">
        <w:tc>
          <w:tcPr>
            <w:tcW w:w="2971" w:type="dxa"/>
            <w:vMerge w:val="restart"/>
          </w:tcPr>
          <w:p w14:paraId="66757EF3" w14:textId="77777777" w:rsidR="00B85D2E" w:rsidRPr="00B85D2E" w:rsidRDefault="00B85D2E" w:rsidP="00B85D2E">
            <w:r w:rsidRPr="00B85D2E">
              <w:rPr>
                <w:i/>
                <w:iCs/>
              </w:rPr>
              <w:t>Нарушения</w:t>
            </w:r>
            <w:r w:rsidRPr="00B85D2E">
              <w:rPr>
                <w:i/>
                <w:iCs/>
              </w:rPr>
              <w:tab/>
              <w:t>на</w:t>
            </w:r>
          </w:p>
          <w:p w14:paraId="28F9BA75" w14:textId="44940DF0" w:rsidR="00B85D2E" w:rsidRPr="00B85D2E" w:rsidRDefault="00B85D2E" w:rsidP="00B85D2E">
            <w:r w:rsidRPr="00B85D2E">
              <w:rPr>
                <w:i/>
                <w:iCs/>
              </w:rPr>
              <w:t>нервната система</w:t>
            </w:r>
          </w:p>
        </w:tc>
        <w:tc>
          <w:tcPr>
            <w:tcW w:w="3686" w:type="dxa"/>
            <w:vAlign w:val="bottom"/>
          </w:tcPr>
          <w:p w14:paraId="0F72DD58" w14:textId="7EE78BF9" w:rsidR="00B85D2E" w:rsidRPr="00B85D2E" w:rsidRDefault="00B85D2E" w:rsidP="00B85D2E">
            <w:r w:rsidRPr="00B85D2E">
              <w:t>Замаяност, главоболие</w:t>
            </w:r>
          </w:p>
        </w:tc>
        <w:tc>
          <w:tcPr>
            <w:tcW w:w="2919" w:type="dxa"/>
            <w:vAlign w:val="bottom"/>
          </w:tcPr>
          <w:p w14:paraId="44A22D58" w14:textId="13F1BCDB" w:rsidR="00B85D2E" w:rsidRPr="00B85D2E" w:rsidRDefault="00B85D2E" w:rsidP="00B85D2E">
            <w:r w:rsidRPr="00B85D2E">
              <w:t>Чести</w:t>
            </w:r>
          </w:p>
        </w:tc>
      </w:tr>
      <w:tr w:rsidR="00B85D2E" w14:paraId="0C6A0C6C" w14:textId="77777777" w:rsidTr="00F12D81">
        <w:tc>
          <w:tcPr>
            <w:tcW w:w="2971" w:type="dxa"/>
            <w:vMerge/>
          </w:tcPr>
          <w:p w14:paraId="02549313" w14:textId="77777777" w:rsidR="00B85D2E" w:rsidRPr="00B85D2E" w:rsidRDefault="00B85D2E" w:rsidP="00B85D2E"/>
        </w:tc>
        <w:tc>
          <w:tcPr>
            <w:tcW w:w="3686" w:type="dxa"/>
            <w:vAlign w:val="bottom"/>
          </w:tcPr>
          <w:p w14:paraId="019AEC44" w14:textId="3BE6D887" w:rsidR="00B85D2E" w:rsidRPr="00B85D2E" w:rsidRDefault="00B85D2E" w:rsidP="00B85D2E">
            <w:r w:rsidRPr="00B85D2E">
              <w:t>Дисгеузия, безсъние, парестезия/хипестезия, сънливост</w:t>
            </w:r>
          </w:p>
        </w:tc>
        <w:tc>
          <w:tcPr>
            <w:tcW w:w="2919" w:type="dxa"/>
          </w:tcPr>
          <w:p w14:paraId="2F668E33" w14:textId="220D8B03" w:rsidR="00B85D2E" w:rsidRPr="00B85D2E" w:rsidRDefault="00B85D2E" w:rsidP="00B85D2E">
            <w:r w:rsidRPr="00B85D2E">
              <w:t>Нечести</w:t>
            </w:r>
          </w:p>
        </w:tc>
      </w:tr>
      <w:tr w:rsidR="00B85D2E" w14:paraId="19FBB0C5" w14:textId="77777777" w:rsidTr="00F12D81">
        <w:tc>
          <w:tcPr>
            <w:tcW w:w="2971" w:type="dxa"/>
            <w:vAlign w:val="bottom"/>
          </w:tcPr>
          <w:p w14:paraId="7C9AAF01" w14:textId="77777777" w:rsidR="00B85D2E" w:rsidRPr="00B85D2E" w:rsidRDefault="00B85D2E" w:rsidP="00B85D2E">
            <w:r w:rsidRPr="00B85D2E">
              <w:rPr>
                <w:i/>
                <w:iCs/>
              </w:rPr>
              <w:t>Нарушения</w:t>
            </w:r>
            <w:r w:rsidRPr="00B85D2E">
              <w:rPr>
                <w:i/>
                <w:iCs/>
              </w:rPr>
              <w:tab/>
              <w:t>на</w:t>
            </w:r>
          </w:p>
          <w:p w14:paraId="5B6B4005" w14:textId="5538AD0D" w:rsidR="00B85D2E" w:rsidRPr="00B85D2E" w:rsidRDefault="00B85D2E" w:rsidP="00B85D2E">
            <w:r w:rsidRPr="00B85D2E">
              <w:rPr>
                <w:i/>
                <w:iCs/>
              </w:rPr>
              <w:t>очите</w:t>
            </w:r>
          </w:p>
        </w:tc>
        <w:tc>
          <w:tcPr>
            <w:tcW w:w="3686" w:type="dxa"/>
          </w:tcPr>
          <w:p w14:paraId="3C83EB87" w14:textId="7A53B6F1" w:rsidR="00B85D2E" w:rsidRPr="00B85D2E" w:rsidRDefault="00B85D2E" w:rsidP="00B85D2E">
            <w:r w:rsidRPr="00B85D2E">
              <w:t>Замъглено зрение, конюнктивит</w:t>
            </w:r>
          </w:p>
        </w:tc>
        <w:tc>
          <w:tcPr>
            <w:tcW w:w="2919" w:type="dxa"/>
          </w:tcPr>
          <w:p w14:paraId="2BEF64D3" w14:textId="789E38FA" w:rsidR="00B85D2E" w:rsidRPr="00B85D2E" w:rsidRDefault="00B85D2E" w:rsidP="00B85D2E">
            <w:r w:rsidRPr="00B85D2E">
              <w:t>Нечести</w:t>
            </w:r>
          </w:p>
        </w:tc>
      </w:tr>
      <w:tr w:rsidR="00B85D2E" w14:paraId="3075AD0A" w14:textId="77777777" w:rsidTr="00F12D81">
        <w:tc>
          <w:tcPr>
            <w:tcW w:w="2971" w:type="dxa"/>
            <w:vAlign w:val="bottom"/>
          </w:tcPr>
          <w:p w14:paraId="68FCD1B8" w14:textId="77777777" w:rsidR="00B85D2E" w:rsidRPr="00B85D2E" w:rsidRDefault="00B85D2E" w:rsidP="00B85D2E">
            <w:r w:rsidRPr="00B85D2E">
              <w:rPr>
                <w:i/>
                <w:iCs/>
              </w:rPr>
              <w:t>Нарушения</w:t>
            </w:r>
            <w:r w:rsidRPr="00B85D2E">
              <w:rPr>
                <w:i/>
                <w:iCs/>
              </w:rPr>
              <w:tab/>
              <w:t>на</w:t>
            </w:r>
          </w:p>
          <w:p w14:paraId="67B93F4B" w14:textId="46066645" w:rsidR="00B85D2E" w:rsidRPr="00B85D2E" w:rsidRDefault="00B85D2E" w:rsidP="00B85D2E">
            <w:r w:rsidRPr="00B85D2E">
              <w:rPr>
                <w:i/>
                <w:iCs/>
              </w:rPr>
              <w:t>ухото и лабиринта</w:t>
            </w:r>
          </w:p>
        </w:tc>
        <w:tc>
          <w:tcPr>
            <w:tcW w:w="3686" w:type="dxa"/>
          </w:tcPr>
          <w:p w14:paraId="48BE1642" w14:textId="7E8E4A84" w:rsidR="00B85D2E" w:rsidRPr="00B85D2E" w:rsidRDefault="00B85D2E" w:rsidP="00B85D2E">
            <w:r w:rsidRPr="00B85D2E">
              <w:t>шум в ушите, световъртеж</w:t>
            </w:r>
          </w:p>
        </w:tc>
        <w:tc>
          <w:tcPr>
            <w:tcW w:w="2919" w:type="dxa"/>
          </w:tcPr>
          <w:p w14:paraId="3F68BF0A" w14:textId="33CDA7E9" w:rsidR="00B85D2E" w:rsidRPr="00B85D2E" w:rsidRDefault="00B85D2E" w:rsidP="00B85D2E">
            <w:r w:rsidRPr="00B85D2E">
              <w:t>Нечести</w:t>
            </w:r>
          </w:p>
        </w:tc>
      </w:tr>
      <w:tr w:rsidR="00B85D2E" w14:paraId="5D7A8E78" w14:textId="77777777" w:rsidTr="00F12D81">
        <w:tc>
          <w:tcPr>
            <w:tcW w:w="2971" w:type="dxa"/>
            <w:vMerge w:val="restart"/>
          </w:tcPr>
          <w:p w14:paraId="2D7C1A45" w14:textId="73AF5628" w:rsidR="00B85D2E" w:rsidRPr="00B85D2E" w:rsidRDefault="00B85D2E" w:rsidP="00B85D2E">
            <w:r w:rsidRPr="00B85D2E">
              <w:rPr>
                <w:i/>
                <w:iCs/>
              </w:rPr>
              <w:t>Сърдечни нарушения</w:t>
            </w:r>
          </w:p>
        </w:tc>
        <w:tc>
          <w:tcPr>
            <w:tcW w:w="3686" w:type="dxa"/>
            <w:vAlign w:val="bottom"/>
          </w:tcPr>
          <w:p w14:paraId="0D08A768" w14:textId="2889256F" w:rsidR="00B85D2E" w:rsidRPr="00B85D2E" w:rsidRDefault="00B85D2E" w:rsidP="00B85D2E">
            <w:r w:rsidRPr="00B85D2E">
              <w:t>Палпитации, аритмия</w:t>
            </w:r>
            <w:r w:rsidRPr="00B85D2E">
              <w:rPr>
                <w:vertAlign w:val="superscript"/>
              </w:rPr>
              <w:t>++</w:t>
            </w:r>
          </w:p>
        </w:tc>
        <w:tc>
          <w:tcPr>
            <w:tcW w:w="2919" w:type="dxa"/>
          </w:tcPr>
          <w:p w14:paraId="200AE832" w14:textId="77777777" w:rsidR="00B85D2E" w:rsidRPr="00B85D2E" w:rsidRDefault="00B85D2E" w:rsidP="00B85D2E"/>
        </w:tc>
      </w:tr>
      <w:tr w:rsidR="00B85D2E" w14:paraId="516C7A2B" w14:textId="77777777" w:rsidTr="00F12D81">
        <w:tc>
          <w:tcPr>
            <w:tcW w:w="2971" w:type="dxa"/>
            <w:vMerge/>
          </w:tcPr>
          <w:p w14:paraId="41B8764C" w14:textId="77777777" w:rsidR="00B85D2E" w:rsidRPr="00B85D2E" w:rsidRDefault="00B85D2E" w:rsidP="00B85D2E"/>
        </w:tc>
        <w:tc>
          <w:tcPr>
            <w:tcW w:w="3686" w:type="dxa"/>
            <w:vAlign w:val="bottom"/>
          </w:tcPr>
          <w:p w14:paraId="5C9F203E" w14:textId="306DD231" w:rsidR="00B85D2E" w:rsidRPr="00B85D2E" w:rsidRDefault="00B85D2E" w:rsidP="00B85D2E">
            <w:r w:rsidRPr="00B85D2E">
              <w:t>Предсърдно мъждене, тахикардия, застойна сърдечна недостатъчност, неспецифични промени в ЕКГ, стенокардия}, миокарден инфаркт}</w:t>
            </w:r>
          </w:p>
        </w:tc>
        <w:tc>
          <w:tcPr>
            <w:tcW w:w="2919" w:type="dxa"/>
          </w:tcPr>
          <w:p w14:paraId="5FA4D42C" w14:textId="0025647E" w:rsidR="00B85D2E" w:rsidRPr="00B85D2E" w:rsidRDefault="00B85D2E" w:rsidP="00B85D2E">
            <w:r w:rsidRPr="00B85D2E">
              <w:t>Нечести</w:t>
            </w:r>
          </w:p>
        </w:tc>
      </w:tr>
      <w:tr w:rsidR="00B85D2E" w14:paraId="2999305D" w14:textId="77777777" w:rsidTr="0029129C">
        <w:tc>
          <w:tcPr>
            <w:tcW w:w="2971" w:type="dxa"/>
            <w:vMerge w:val="restart"/>
          </w:tcPr>
          <w:p w14:paraId="4997A9D3" w14:textId="1E8340F5" w:rsidR="00B85D2E" w:rsidRPr="00B85D2E" w:rsidRDefault="00B85D2E" w:rsidP="00B85D2E">
            <w:r w:rsidRPr="00B85D2E">
              <w:rPr>
                <w:i/>
                <w:iCs/>
              </w:rPr>
              <w:t>Съдови нарушения</w:t>
            </w:r>
          </w:p>
        </w:tc>
        <w:tc>
          <w:tcPr>
            <w:tcW w:w="3686" w:type="dxa"/>
            <w:vAlign w:val="bottom"/>
          </w:tcPr>
          <w:p w14:paraId="5A5AD433" w14:textId="2C5FC23C" w:rsidR="00B85D2E" w:rsidRPr="00B85D2E" w:rsidRDefault="00B85D2E" w:rsidP="00B85D2E">
            <w:r w:rsidRPr="00B85D2E">
              <w:t>хипертония</w:t>
            </w:r>
          </w:p>
        </w:tc>
        <w:tc>
          <w:tcPr>
            <w:tcW w:w="2919" w:type="dxa"/>
            <w:vAlign w:val="bottom"/>
          </w:tcPr>
          <w:p w14:paraId="698B8C7B" w14:textId="70AB395B" w:rsidR="00B85D2E" w:rsidRPr="00B85D2E" w:rsidRDefault="00B85D2E" w:rsidP="00B85D2E">
            <w:r w:rsidRPr="00B85D2E">
              <w:t>Чести</w:t>
            </w:r>
          </w:p>
        </w:tc>
      </w:tr>
      <w:tr w:rsidR="00B85D2E" w14:paraId="2F14D658" w14:textId="77777777" w:rsidTr="0029129C">
        <w:tc>
          <w:tcPr>
            <w:tcW w:w="2971" w:type="dxa"/>
            <w:vMerge/>
          </w:tcPr>
          <w:p w14:paraId="74E125EA" w14:textId="77777777" w:rsidR="00B85D2E" w:rsidRPr="00B85D2E" w:rsidRDefault="00B85D2E" w:rsidP="00B85D2E"/>
        </w:tc>
        <w:tc>
          <w:tcPr>
            <w:tcW w:w="3686" w:type="dxa"/>
            <w:vAlign w:val="bottom"/>
          </w:tcPr>
          <w:p w14:paraId="73C455C9" w14:textId="77777777" w:rsidR="00B85D2E" w:rsidRPr="00B85D2E" w:rsidRDefault="00B85D2E" w:rsidP="00B85D2E">
            <w:r w:rsidRPr="00B85D2E">
              <w:t>Зачервяване,</w:t>
            </w:r>
            <w:r w:rsidRPr="00B85D2E">
              <w:rPr>
                <w:lang w:val="en-US"/>
              </w:rPr>
              <w:t xml:space="preserve"> </w:t>
            </w:r>
            <w:r w:rsidRPr="00B85D2E">
              <w:t>мозъчно-съдови</w:t>
            </w:r>
          </w:p>
          <w:p w14:paraId="7C7882CE" w14:textId="4E1BF86E" w:rsidR="00B85D2E" w:rsidRPr="00B85D2E" w:rsidRDefault="00B85D2E" w:rsidP="00B85D2E">
            <w:r w:rsidRPr="00B85D2E">
              <w:t>инциденти</w:t>
            </w:r>
            <w:r w:rsidRPr="00B85D2E">
              <w:rPr>
                <w:vertAlign w:val="superscript"/>
              </w:rPr>
              <w:t>++</w:t>
            </w:r>
            <w:r w:rsidRPr="00B85D2E">
              <w:t>,</w:t>
            </w:r>
            <w:r w:rsidRPr="00B85D2E">
              <w:rPr>
                <w:lang w:val="en-US"/>
              </w:rPr>
              <w:t xml:space="preserve"> </w:t>
            </w:r>
            <w:r w:rsidRPr="00B85D2E">
              <w:t>преходна</w:t>
            </w:r>
            <w:r w:rsidRPr="00B85D2E">
              <w:rPr>
                <w:lang w:val="en-US"/>
              </w:rPr>
              <w:t xml:space="preserve"> </w:t>
            </w:r>
            <w:r w:rsidRPr="00B85D2E">
              <w:t>исхемична атака, хипертонична криза</w:t>
            </w:r>
            <w:r w:rsidRPr="00B85D2E">
              <w:rPr>
                <w:vertAlign w:val="superscript"/>
              </w:rPr>
              <w:t>++</w:t>
            </w:r>
            <w:r w:rsidRPr="00B85D2E">
              <w:t>, васкулит</w:t>
            </w:r>
            <w:r w:rsidRPr="00B85D2E">
              <w:rPr>
                <w:vertAlign w:val="superscript"/>
              </w:rPr>
              <w:t>++</w:t>
            </w:r>
          </w:p>
        </w:tc>
        <w:tc>
          <w:tcPr>
            <w:tcW w:w="2919" w:type="dxa"/>
          </w:tcPr>
          <w:p w14:paraId="363F2255" w14:textId="221669E8" w:rsidR="00B85D2E" w:rsidRPr="00B85D2E" w:rsidRDefault="00B85D2E" w:rsidP="00B85D2E">
            <w:r w:rsidRPr="00B85D2E">
              <w:t>Нечести</w:t>
            </w:r>
          </w:p>
        </w:tc>
      </w:tr>
      <w:tr w:rsidR="00B85D2E" w14:paraId="131EBB08" w14:textId="77777777" w:rsidTr="0029129C">
        <w:tc>
          <w:tcPr>
            <w:tcW w:w="2971" w:type="dxa"/>
            <w:vMerge w:val="restart"/>
            <w:vAlign w:val="bottom"/>
          </w:tcPr>
          <w:p w14:paraId="50E9A9DE" w14:textId="77777777" w:rsidR="00B85D2E" w:rsidRPr="00B85D2E" w:rsidRDefault="00B85D2E" w:rsidP="00B85D2E">
            <w:r w:rsidRPr="00B85D2E">
              <w:rPr>
                <w:i/>
                <w:iCs/>
              </w:rPr>
              <w:t>Респираторни, гръдни</w:t>
            </w:r>
            <w:r w:rsidRPr="00B85D2E">
              <w:rPr>
                <w:i/>
                <w:iCs/>
              </w:rPr>
              <w:tab/>
              <w:t>и</w:t>
            </w:r>
          </w:p>
          <w:p w14:paraId="4D6FC20A" w14:textId="2F269985" w:rsidR="00B85D2E" w:rsidRPr="00B85D2E" w:rsidRDefault="00B85D2E" w:rsidP="00B85D2E">
            <w:r w:rsidRPr="00B85D2E">
              <w:rPr>
                <w:i/>
                <w:iCs/>
              </w:rPr>
              <w:t>медиастинални нарушения</w:t>
            </w:r>
          </w:p>
        </w:tc>
        <w:tc>
          <w:tcPr>
            <w:tcW w:w="3686" w:type="dxa"/>
            <w:vAlign w:val="bottom"/>
          </w:tcPr>
          <w:p w14:paraId="5373CBD4" w14:textId="76DC3E0F" w:rsidR="00B85D2E" w:rsidRPr="00B85D2E" w:rsidRDefault="00B85D2E" w:rsidP="00B85D2E">
            <w:r w:rsidRPr="00B85D2E">
              <w:t>бронхоспазъм</w:t>
            </w:r>
            <w:r w:rsidRPr="00B85D2E">
              <w:rPr>
                <w:vertAlign w:val="superscript"/>
              </w:rPr>
              <w:t>++</w:t>
            </w:r>
          </w:p>
        </w:tc>
        <w:tc>
          <w:tcPr>
            <w:tcW w:w="2919" w:type="dxa"/>
            <w:vAlign w:val="bottom"/>
          </w:tcPr>
          <w:p w14:paraId="1C5F67D3" w14:textId="7A45AEDF" w:rsidR="00B85D2E" w:rsidRPr="00B85D2E" w:rsidRDefault="00B85D2E" w:rsidP="00B85D2E">
            <w:r w:rsidRPr="00B85D2E">
              <w:t>Чести</w:t>
            </w:r>
          </w:p>
        </w:tc>
      </w:tr>
      <w:tr w:rsidR="00B85D2E" w14:paraId="2D8D6F4F" w14:textId="77777777" w:rsidTr="0029129C">
        <w:tc>
          <w:tcPr>
            <w:tcW w:w="2971" w:type="dxa"/>
            <w:vMerge/>
            <w:vAlign w:val="bottom"/>
          </w:tcPr>
          <w:p w14:paraId="1CF9F049" w14:textId="77777777" w:rsidR="00B85D2E" w:rsidRPr="00B85D2E" w:rsidRDefault="00B85D2E" w:rsidP="00B85D2E"/>
        </w:tc>
        <w:tc>
          <w:tcPr>
            <w:tcW w:w="3686" w:type="dxa"/>
          </w:tcPr>
          <w:p w14:paraId="3B83D3D9" w14:textId="5E5290BA" w:rsidR="00B85D2E" w:rsidRPr="00B85D2E" w:rsidRDefault="00B85D2E" w:rsidP="00B85D2E">
            <w:r w:rsidRPr="00B85D2E">
              <w:t>Кашлица, диспнея, епистаксис</w:t>
            </w:r>
          </w:p>
        </w:tc>
        <w:tc>
          <w:tcPr>
            <w:tcW w:w="2919" w:type="dxa"/>
          </w:tcPr>
          <w:p w14:paraId="4B62EF91" w14:textId="2087292E" w:rsidR="00B85D2E" w:rsidRPr="00B85D2E" w:rsidRDefault="00B85D2E" w:rsidP="00B85D2E">
            <w:r w:rsidRPr="00B85D2E">
              <w:t>Нечести</w:t>
            </w:r>
          </w:p>
        </w:tc>
      </w:tr>
      <w:tr w:rsidR="00B85D2E" w14:paraId="79436BD6" w14:textId="77777777" w:rsidTr="0029129C">
        <w:tc>
          <w:tcPr>
            <w:tcW w:w="2971" w:type="dxa"/>
            <w:vMerge w:val="restart"/>
          </w:tcPr>
          <w:p w14:paraId="25F3F72D" w14:textId="7C439BFB" w:rsidR="00B85D2E" w:rsidRPr="00B85D2E" w:rsidRDefault="00B85D2E" w:rsidP="00B85D2E">
            <w:r w:rsidRPr="00B85D2E">
              <w:rPr>
                <w:i/>
                <w:iCs/>
              </w:rPr>
              <w:t>Стомашно-чревни нарушения</w:t>
            </w:r>
          </w:p>
        </w:tc>
        <w:tc>
          <w:tcPr>
            <w:tcW w:w="3686" w:type="dxa"/>
            <w:vAlign w:val="bottom"/>
          </w:tcPr>
          <w:p w14:paraId="1B5E4C25" w14:textId="48C3D6F5" w:rsidR="00B85D2E" w:rsidRPr="00B85D2E" w:rsidRDefault="00B85D2E" w:rsidP="00B85D2E">
            <w:r w:rsidRPr="00B85D2E">
              <w:t>Коремна болка</w:t>
            </w:r>
          </w:p>
        </w:tc>
        <w:tc>
          <w:tcPr>
            <w:tcW w:w="2919" w:type="dxa"/>
            <w:vAlign w:val="bottom"/>
          </w:tcPr>
          <w:p w14:paraId="0B9BF645" w14:textId="1C1A48B4" w:rsidR="00B85D2E" w:rsidRPr="00B85D2E" w:rsidRDefault="00B85D2E" w:rsidP="00B85D2E">
            <w:r w:rsidRPr="00B85D2E">
              <w:t>Много чести</w:t>
            </w:r>
          </w:p>
        </w:tc>
      </w:tr>
      <w:tr w:rsidR="00B85D2E" w14:paraId="1E7E6D59" w14:textId="77777777" w:rsidTr="0029129C">
        <w:tc>
          <w:tcPr>
            <w:tcW w:w="2971" w:type="dxa"/>
            <w:vMerge/>
          </w:tcPr>
          <w:p w14:paraId="2A8CE87B" w14:textId="77777777" w:rsidR="00B85D2E" w:rsidRPr="00B85D2E" w:rsidRDefault="00B85D2E" w:rsidP="00B85D2E"/>
        </w:tc>
        <w:tc>
          <w:tcPr>
            <w:tcW w:w="3686" w:type="dxa"/>
            <w:vAlign w:val="bottom"/>
          </w:tcPr>
          <w:p w14:paraId="3763D0BF" w14:textId="13BF4F20" w:rsidR="00B85D2E" w:rsidRPr="00B85D2E" w:rsidRDefault="00B85D2E" w:rsidP="00B85D2E">
            <w:r w:rsidRPr="00B85D2E">
              <w:t>Запек,</w:t>
            </w:r>
            <w:r w:rsidRPr="00B85D2E">
              <w:tab/>
              <w:t>флатуленция,</w:t>
            </w:r>
            <w:r>
              <w:rPr>
                <w:lang w:val="en-US"/>
              </w:rPr>
              <w:t xml:space="preserve"> </w:t>
            </w:r>
            <w:r w:rsidRPr="00B85D2E">
              <w:t>гастрит,</w:t>
            </w:r>
          </w:p>
          <w:p w14:paraId="0B4C0170" w14:textId="7FCD44E8" w:rsidR="00B85D2E" w:rsidRPr="00B85D2E" w:rsidRDefault="00B85D2E" w:rsidP="00B85D2E">
            <w:r w:rsidRPr="00B85D2E">
              <w:t>киселини/рефлукс,</w:t>
            </w:r>
            <w:r>
              <w:rPr>
                <w:lang w:val="en-US"/>
              </w:rPr>
              <w:t xml:space="preserve"> </w:t>
            </w:r>
            <w:r w:rsidRPr="00B85D2E">
              <w:t>диария,</w:t>
            </w:r>
          </w:p>
          <w:p w14:paraId="7ABF7459" w14:textId="7DDFD530" w:rsidR="00B85D2E" w:rsidRPr="00B85D2E" w:rsidRDefault="00B85D2E" w:rsidP="00B85D2E">
            <w:r w:rsidRPr="00B85D2E">
              <w:t>диспепсия/епигастрален дискомфорт, гадене, повръщане, езофагит, язви в устата</w:t>
            </w:r>
          </w:p>
        </w:tc>
        <w:tc>
          <w:tcPr>
            <w:tcW w:w="2919" w:type="dxa"/>
          </w:tcPr>
          <w:p w14:paraId="1DDF66FB" w14:textId="0F0298CA" w:rsidR="00B85D2E" w:rsidRPr="00B85D2E" w:rsidRDefault="00B85D2E" w:rsidP="00B85D2E">
            <w:r w:rsidRPr="00B85D2E">
              <w:t>Чести</w:t>
            </w:r>
          </w:p>
        </w:tc>
      </w:tr>
      <w:tr w:rsidR="00B85D2E" w14:paraId="725D59F0" w14:textId="77777777" w:rsidTr="0029129C">
        <w:tc>
          <w:tcPr>
            <w:tcW w:w="2971" w:type="dxa"/>
            <w:vMerge/>
          </w:tcPr>
          <w:p w14:paraId="7335B1B7" w14:textId="77777777" w:rsidR="00B85D2E" w:rsidRPr="00B85D2E" w:rsidRDefault="00B85D2E" w:rsidP="00B85D2E"/>
        </w:tc>
        <w:tc>
          <w:tcPr>
            <w:tcW w:w="3686" w:type="dxa"/>
            <w:vAlign w:val="bottom"/>
          </w:tcPr>
          <w:p w14:paraId="6DEFB722" w14:textId="58395934" w:rsidR="00B85D2E" w:rsidRPr="00B85D2E" w:rsidRDefault="00B85D2E" w:rsidP="00B85D2E">
            <w:pPr>
              <w:rPr>
                <w:rFonts w:eastAsia="Times New Roman" w:cs="Arial"/>
                <w:lang w:eastAsia="bg-BG"/>
              </w:rPr>
            </w:pPr>
            <w:r w:rsidRPr="00B85D2E">
              <w:rPr>
                <w:rFonts w:cs="Arial"/>
              </w:rPr>
              <w:t>Подуване на корема, промени в перисталтиката, сухота в устата,</w:t>
            </w:r>
            <w:r w:rsidRPr="00B85D2E">
              <w:rPr>
                <w:rFonts w:cs="Arial"/>
                <w:lang w:val="en-US"/>
              </w:rPr>
              <w:t xml:space="preserve"> </w:t>
            </w:r>
            <w:r w:rsidRPr="00B85D2E">
              <w:rPr>
                <w:rFonts w:eastAsia="Times New Roman" w:cs="Arial"/>
                <w:color w:val="000000"/>
                <w:lang w:eastAsia="bg-BG"/>
              </w:rPr>
              <w:t>гастродуоденална язва, пептични язви, включващи перфорации и кървене от стомашно-чревния, синдром на раздразненото черво, панкреатит</w:t>
            </w:r>
            <w:r w:rsidRPr="00B85D2E">
              <w:rPr>
                <w:rFonts w:eastAsia="Times New Roman" w:cs="Arial"/>
                <w:color w:val="000000"/>
                <w:vertAlign w:val="superscript"/>
                <w:lang w:eastAsia="bg-BG"/>
              </w:rPr>
              <w:t>++</w:t>
            </w:r>
          </w:p>
        </w:tc>
        <w:tc>
          <w:tcPr>
            <w:tcW w:w="2919" w:type="dxa"/>
            <w:vAlign w:val="bottom"/>
          </w:tcPr>
          <w:p w14:paraId="205184B8" w14:textId="74098E8B" w:rsidR="00B85D2E" w:rsidRPr="00B85D2E" w:rsidRDefault="00B85D2E" w:rsidP="00B85D2E">
            <w:r w:rsidRPr="00B85D2E">
              <w:t>Нечести</w:t>
            </w:r>
          </w:p>
        </w:tc>
      </w:tr>
      <w:tr w:rsidR="00B85D2E" w14:paraId="114B065E" w14:textId="77777777" w:rsidTr="00B85D2E">
        <w:tc>
          <w:tcPr>
            <w:tcW w:w="2971" w:type="dxa"/>
            <w:vMerge w:val="restart"/>
          </w:tcPr>
          <w:p w14:paraId="025036E4" w14:textId="49EB1187" w:rsidR="00B85D2E" w:rsidRPr="00B85D2E" w:rsidRDefault="00B85D2E" w:rsidP="00B85D2E">
            <w:r w:rsidRPr="00B85D2E">
              <w:rPr>
                <w:i/>
                <w:iCs/>
              </w:rPr>
              <w:lastRenderedPageBreak/>
              <w:t>Хепато-билиарн и нарушения</w:t>
            </w:r>
          </w:p>
        </w:tc>
        <w:tc>
          <w:tcPr>
            <w:tcW w:w="3686" w:type="dxa"/>
          </w:tcPr>
          <w:p w14:paraId="5A566F1D" w14:textId="5A0C3A9D" w:rsidR="00B85D2E" w:rsidRPr="00B85D2E" w:rsidRDefault="00B85D2E" w:rsidP="00B85D2E">
            <w:r w:rsidRPr="00B85D2E">
              <w:t xml:space="preserve">Увеличение на </w:t>
            </w:r>
            <w:r w:rsidRPr="00B85D2E">
              <w:rPr>
                <w:lang w:val="en-US"/>
              </w:rPr>
              <w:t xml:space="preserve">ALT, </w:t>
            </w:r>
            <w:r w:rsidRPr="00B85D2E">
              <w:t xml:space="preserve">увеличение на </w:t>
            </w:r>
            <w:r w:rsidRPr="00B85D2E">
              <w:rPr>
                <w:lang w:val="en-US"/>
              </w:rPr>
              <w:t>AST</w:t>
            </w:r>
          </w:p>
        </w:tc>
        <w:tc>
          <w:tcPr>
            <w:tcW w:w="2919" w:type="dxa"/>
          </w:tcPr>
          <w:p w14:paraId="40F1A4C6" w14:textId="22317952" w:rsidR="00B85D2E" w:rsidRPr="00B85D2E" w:rsidRDefault="00B85D2E" w:rsidP="00B85D2E">
            <w:r w:rsidRPr="00B85D2E">
              <w:t>Чести</w:t>
            </w:r>
          </w:p>
        </w:tc>
      </w:tr>
      <w:tr w:rsidR="00B85D2E" w14:paraId="5468B6F6" w14:textId="77777777" w:rsidTr="00B85D2E">
        <w:tc>
          <w:tcPr>
            <w:tcW w:w="2971" w:type="dxa"/>
            <w:vMerge/>
          </w:tcPr>
          <w:p w14:paraId="063FEDBD" w14:textId="77777777" w:rsidR="00B85D2E" w:rsidRPr="00B85D2E" w:rsidRDefault="00B85D2E" w:rsidP="00B85D2E"/>
        </w:tc>
        <w:tc>
          <w:tcPr>
            <w:tcW w:w="3686" w:type="dxa"/>
          </w:tcPr>
          <w:p w14:paraId="5D9017DE" w14:textId="5F0801EC" w:rsidR="00B85D2E" w:rsidRPr="00B85D2E" w:rsidRDefault="00B85D2E" w:rsidP="00B85D2E">
            <w:r w:rsidRPr="00B85D2E">
              <w:t>хепатит</w:t>
            </w:r>
            <w:r w:rsidRPr="00B85D2E">
              <w:rPr>
                <w:vertAlign w:val="superscript"/>
              </w:rPr>
              <w:t>++</w:t>
            </w:r>
          </w:p>
        </w:tc>
        <w:tc>
          <w:tcPr>
            <w:tcW w:w="2919" w:type="dxa"/>
          </w:tcPr>
          <w:p w14:paraId="7BF07FEE" w14:textId="513EB158" w:rsidR="00B85D2E" w:rsidRPr="00B85D2E" w:rsidRDefault="00B85D2E" w:rsidP="00B85D2E">
            <w:r w:rsidRPr="00B85D2E">
              <w:t>Редки</w:t>
            </w:r>
          </w:p>
        </w:tc>
      </w:tr>
      <w:tr w:rsidR="00B85D2E" w14:paraId="5684B3AE" w14:textId="77777777" w:rsidTr="00B85D2E">
        <w:tc>
          <w:tcPr>
            <w:tcW w:w="2971" w:type="dxa"/>
            <w:vMerge/>
          </w:tcPr>
          <w:p w14:paraId="503FCB9D" w14:textId="77777777" w:rsidR="00B85D2E" w:rsidRPr="00B85D2E" w:rsidRDefault="00B85D2E" w:rsidP="00B85D2E"/>
        </w:tc>
        <w:tc>
          <w:tcPr>
            <w:tcW w:w="3686" w:type="dxa"/>
          </w:tcPr>
          <w:p w14:paraId="6D266B69" w14:textId="77777777" w:rsidR="00B85D2E" w:rsidRPr="00B85D2E" w:rsidRDefault="00B85D2E" w:rsidP="00B85D2E">
            <w:r w:rsidRPr="00B85D2E">
              <w:t>Чернодробна</w:t>
            </w:r>
            <w:r w:rsidRPr="00B85D2E">
              <w:tab/>
              <w:t>недостатъчност,</w:t>
            </w:r>
          </w:p>
          <w:p w14:paraId="3A73347B" w14:textId="75F3914E" w:rsidR="00B85D2E" w:rsidRPr="00B85D2E" w:rsidRDefault="00B85D2E" w:rsidP="00B85D2E">
            <w:r w:rsidRPr="00B85D2E">
              <w:t>жълтеница</w:t>
            </w:r>
            <w:r w:rsidRPr="00B85D2E">
              <w:rPr>
                <w:vertAlign w:val="superscript"/>
              </w:rPr>
              <w:t>++</w:t>
            </w:r>
          </w:p>
        </w:tc>
        <w:tc>
          <w:tcPr>
            <w:tcW w:w="2919" w:type="dxa"/>
          </w:tcPr>
          <w:p w14:paraId="70B1227B" w14:textId="1C1A4869" w:rsidR="00B85D2E" w:rsidRPr="00B85D2E" w:rsidRDefault="00B85D2E" w:rsidP="00B85D2E">
            <w:r w:rsidRPr="00B85D2E">
              <w:t>Редки</w:t>
            </w:r>
          </w:p>
        </w:tc>
      </w:tr>
      <w:tr w:rsidR="00B85D2E" w14:paraId="31A18F99" w14:textId="77777777" w:rsidTr="00B85D2E">
        <w:tc>
          <w:tcPr>
            <w:tcW w:w="2971" w:type="dxa"/>
            <w:vMerge w:val="restart"/>
          </w:tcPr>
          <w:p w14:paraId="3758AD5A" w14:textId="22C4F4E9" w:rsidR="00B85D2E" w:rsidRPr="00B85D2E" w:rsidRDefault="00B85D2E" w:rsidP="00B85D2E">
            <w:r w:rsidRPr="00B85D2E">
              <w:rPr>
                <w:i/>
                <w:iCs/>
              </w:rPr>
              <w:t>Нарушения</w:t>
            </w:r>
            <w:r>
              <w:rPr>
                <w:i/>
                <w:iCs/>
                <w:lang w:val="en-US"/>
              </w:rPr>
              <w:t xml:space="preserve"> </w:t>
            </w:r>
            <w:r w:rsidRPr="00B85D2E">
              <w:rPr>
                <w:i/>
                <w:iCs/>
              </w:rPr>
              <w:t>на</w:t>
            </w:r>
          </w:p>
          <w:p w14:paraId="5FFF1AED" w14:textId="7313984C" w:rsidR="00B85D2E" w:rsidRPr="00B85D2E" w:rsidRDefault="00B85D2E" w:rsidP="00B85D2E">
            <w:r w:rsidRPr="00B85D2E">
              <w:rPr>
                <w:i/>
                <w:iCs/>
              </w:rPr>
              <w:t>кожата</w:t>
            </w:r>
            <w:r>
              <w:rPr>
                <w:i/>
                <w:iCs/>
                <w:lang w:val="en-US"/>
              </w:rPr>
              <w:t xml:space="preserve"> </w:t>
            </w:r>
            <w:r w:rsidRPr="00B85D2E">
              <w:rPr>
                <w:i/>
                <w:iCs/>
              </w:rPr>
              <w:t>и</w:t>
            </w:r>
          </w:p>
          <w:p w14:paraId="3BEE02BD" w14:textId="58B8F001" w:rsidR="00B85D2E" w:rsidRPr="00B85D2E" w:rsidRDefault="00B85D2E" w:rsidP="00B85D2E">
            <w:r w:rsidRPr="00B85D2E">
              <w:rPr>
                <w:i/>
                <w:iCs/>
              </w:rPr>
              <w:t>подкожната тъкан</w:t>
            </w:r>
          </w:p>
        </w:tc>
        <w:tc>
          <w:tcPr>
            <w:tcW w:w="3686" w:type="dxa"/>
          </w:tcPr>
          <w:p w14:paraId="34EBCF0C" w14:textId="49DC4482" w:rsidR="00B85D2E" w:rsidRPr="00B85D2E" w:rsidRDefault="00B85D2E" w:rsidP="00B85D2E">
            <w:r w:rsidRPr="00B85D2E">
              <w:t>екхимози</w:t>
            </w:r>
          </w:p>
        </w:tc>
        <w:tc>
          <w:tcPr>
            <w:tcW w:w="2919" w:type="dxa"/>
          </w:tcPr>
          <w:p w14:paraId="5572D6A6" w14:textId="223D0984" w:rsidR="00B85D2E" w:rsidRPr="00B85D2E" w:rsidRDefault="00B85D2E" w:rsidP="00B85D2E">
            <w:r w:rsidRPr="00B85D2E">
              <w:t>Чести</w:t>
            </w:r>
          </w:p>
        </w:tc>
      </w:tr>
      <w:tr w:rsidR="00B85D2E" w14:paraId="46459A67" w14:textId="77777777" w:rsidTr="00B85D2E">
        <w:tc>
          <w:tcPr>
            <w:tcW w:w="2971" w:type="dxa"/>
            <w:vMerge/>
          </w:tcPr>
          <w:p w14:paraId="1E0EACA3" w14:textId="77777777" w:rsidR="00B85D2E" w:rsidRPr="00B85D2E" w:rsidRDefault="00B85D2E" w:rsidP="00B85D2E"/>
        </w:tc>
        <w:tc>
          <w:tcPr>
            <w:tcW w:w="3686" w:type="dxa"/>
          </w:tcPr>
          <w:p w14:paraId="3401AAB4" w14:textId="1AA2E213" w:rsidR="00B85D2E" w:rsidRPr="00B85D2E" w:rsidRDefault="00B85D2E" w:rsidP="00B85D2E">
            <w:r w:rsidRPr="00B85D2E">
              <w:t>Оток на лицето, сърбеж, обрив, еритема</w:t>
            </w:r>
            <w:r w:rsidRPr="00B85D2E">
              <w:rPr>
                <w:vertAlign w:val="superscript"/>
              </w:rPr>
              <w:t>++</w:t>
            </w:r>
            <w:r w:rsidRPr="00B85D2E">
              <w:t>, уртикария</w:t>
            </w:r>
            <w:r w:rsidRPr="00B85D2E">
              <w:rPr>
                <w:vertAlign w:val="superscript"/>
              </w:rPr>
              <w:t>++</w:t>
            </w:r>
          </w:p>
        </w:tc>
        <w:tc>
          <w:tcPr>
            <w:tcW w:w="2919" w:type="dxa"/>
          </w:tcPr>
          <w:p w14:paraId="3EFE8BCA" w14:textId="75C7B390" w:rsidR="00B85D2E" w:rsidRPr="00B85D2E" w:rsidRDefault="00B85D2E" w:rsidP="00B85D2E">
            <w:r w:rsidRPr="00B85D2E">
              <w:t>Нечести</w:t>
            </w:r>
          </w:p>
        </w:tc>
      </w:tr>
      <w:tr w:rsidR="00B85D2E" w14:paraId="6B6E4227" w14:textId="77777777" w:rsidTr="00B85D2E">
        <w:tc>
          <w:tcPr>
            <w:tcW w:w="2971" w:type="dxa"/>
            <w:vMerge/>
          </w:tcPr>
          <w:p w14:paraId="774128F9" w14:textId="77777777" w:rsidR="00B85D2E" w:rsidRPr="00B85D2E" w:rsidRDefault="00B85D2E" w:rsidP="00B85D2E"/>
        </w:tc>
        <w:tc>
          <w:tcPr>
            <w:tcW w:w="3686" w:type="dxa"/>
          </w:tcPr>
          <w:p w14:paraId="19CDC435" w14:textId="09409227" w:rsidR="00B85D2E" w:rsidRPr="00B85D2E" w:rsidRDefault="00B85D2E" w:rsidP="00B85D2E">
            <w:r w:rsidRPr="00B85D2E">
              <w:t>Синдром на Стивънс-Джонсън, токсична епидермална некролиза, непрогресиращ лекарствен обрив</w:t>
            </w:r>
            <w:r w:rsidRPr="00B85D2E">
              <w:rPr>
                <w:vertAlign w:val="superscript"/>
              </w:rPr>
              <w:t>++</w:t>
            </w:r>
          </w:p>
        </w:tc>
        <w:tc>
          <w:tcPr>
            <w:tcW w:w="2919" w:type="dxa"/>
          </w:tcPr>
          <w:p w14:paraId="05ECE087" w14:textId="0D3398F2" w:rsidR="00B85D2E" w:rsidRPr="00B85D2E" w:rsidRDefault="00B85D2E" w:rsidP="00B85D2E">
            <w:r w:rsidRPr="00B85D2E">
              <w:t>Редки</w:t>
            </w:r>
          </w:p>
        </w:tc>
      </w:tr>
      <w:tr w:rsidR="00B85D2E" w14:paraId="6AB86628" w14:textId="77777777" w:rsidTr="00B85D2E">
        <w:tc>
          <w:tcPr>
            <w:tcW w:w="2971" w:type="dxa"/>
          </w:tcPr>
          <w:p w14:paraId="0F7F26ED" w14:textId="77777777" w:rsidR="00B85D2E" w:rsidRPr="00B85D2E" w:rsidRDefault="00B85D2E" w:rsidP="00B85D2E">
            <w:r w:rsidRPr="00B85D2E">
              <w:rPr>
                <w:i/>
                <w:iCs/>
              </w:rPr>
              <w:t>Нарушения</w:t>
            </w:r>
            <w:r w:rsidRPr="00B85D2E">
              <w:rPr>
                <w:i/>
                <w:iCs/>
              </w:rPr>
              <w:tab/>
              <w:t>на</w:t>
            </w:r>
          </w:p>
          <w:p w14:paraId="1C050F9E" w14:textId="457B2E94" w:rsidR="00B85D2E" w:rsidRPr="00B85D2E" w:rsidRDefault="00B85D2E" w:rsidP="00B85D2E">
            <w:r w:rsidRPr="00B85D2E">
              <w:rPr>
                <w:i/>
                <w:iCs/>
              </w:rPr>
              <w:t>мускулно- скелетната система</w:t>
            </w:r>
            <w:r>
              <w:rPr>
                <w:i/>
                <w:iCs/>
                <w:lang w:val="en-US"/>
              </w:rPr>
              <w:t xml:space="preserve"> </w:t>
            </w:r>
            <w:r w:rsidRPr="00B85D2E">
              <w:rPr>
                <w:i/>
                <w:iCs/>
              </w:rPr>
              <w:t>и</w:t>
            </w:r>
          </w:p>
          <w:p w14:paraId="7FECCB53" w14:textId="0934D8C0" w:rsidR="00B85D2E" w:rsidRPr="00B85D2E" w:rsidRDefault="00B85D2E" w:rsidP="00B85D2E">
            <w:r w:rsidRPr="00B85D2E">
              <w:rPr>
                <w:i/>
                <w:iCs/>
              </w:rPr>
              <w:t>съединителната тъкан</w:t>
            </w:r>
          </w:p>
        </w:tc>
        <w:tc>
          <w:tcPr>
            <w:tcW w:w="3686" w:type="dxa"/>
          </w:tcPr>
          <w:p w14:paraId="4B6BE1A4" w14:textId="17C69221" w:rsidR="00B85D2E" w:rsidRPr="00B85D2E" w:rsidRDefault="00B85D2E" w:rsidP="00B85D2E">
            <w:r w:rsidRPr="00B85D2E">
              <w:t>Мускулни</w:t>
            </w:r>
            <w:r>
              <w:rPr>
                <w:lang w:val="en-US"/>
              </w:rPr>
              <w:t xml:space="preserve"> </w:t>
            </w:r>
            <w:r w:rsidRPr="00B85D2E">
              <w:t>крампи/спазми,</w:t>
            </w:r>
          </w:p>
          <w:p w14:paraId="3A41246A" w14:textId="04BC2AA5" w:rsidR="00B85D2E" w:rsidRPr="00B85D2E" w:rsidRDefault="00B85D2E" w:rsidP="00B85D2E">
            <w:r w:rsidRPr="00B85D2E">
              <w:t>болка/ригидност на мускулатурата</w:t>
            </w:r>
          </w:p>
        </w:tc>
        <w:tc>
          <w:tcPr>
            <w:tcW w:w="2919" w:type="dxa"/>
          </w:tcPr>
          <w:p w14:paraId="701EDAAF" w14:textId="41BCBC28" w:rsidR="00B85D2E" w:rsidRPr="00B85D2E" w:rsidRDefault="00B85D2E" w:rsidP="00B85D2E">
            <w:r w:rsidRPr="00B85D2E">
              <w:t>Нечести</w:t>
            </w:r>
          </w:p>
        </w:tc>
      </w:tr>
      <w:tr w:rsidR="00B85D2E" w14:paraId="0782447E" w14:textId="77777777" w:rsidTr="00B85D2E">
        <w:tc>
          <w:tcPr>
            <w:tcW w:w="2971" w:type="dxa"/>
            <w:vMerge w:val="restart"/>
          </w:tcPr>
          <w:p w14:paraId="5E4326CC" w14:textId="6F68AE46" w:rsidR="00B85D2E" w:rsidRPr="00B85D2E" w:rsidRDefault="00B85D2E" w:rsidP="00B85D2E">
            <w:r w:rsidRPr="00B85D2E">
              <w:rPr>
                <w:i/>
                <w:iCs/>
              </w:rPr>
              <w:t>Общи нарушения и ефекти</w:t>
            </w:r>
            <w:r>
              <w:rPr>
                <w:i/>
                <w:iCs/>
                <w:lang w:val="en-US"/>
              </w:rPr>
              <w:t xml:space="preserve"> </w:t>
            </w:r>
            <w:r w:rsidRPr="00B85D2E">
              <w:rPr>
                <w:i/>
                <w:iCs/>
              </w:rPr>
              <w:t>на</w:t>
            </w:r>
          </w:p>
          <w:p w14:paraId="51344530" w14:textId="02FEDE4F" w:rsidR="00B85D2E" w:rsidRPr="00B85D2E" w:rsidRDefault="00B85D2E" w:rsidP="00B85D2E">
            <w:r w:rsidRPr="00B85D2E">
              <w:rPr>
                <w:i/>
                <w:iCs/>
              </w:rPr>
              <w:t>мястото</w:t>
            </w:r>
            <w:r>
              <w:rPr>
                <w:i/>
                <w:iCs/>
                <w:lang w:val="en-US"/>
              </w:rPr>
              <w:t xml:space="preserve"> </w:t>
            </w:r>
            <w:r w:rsidRPr="00B85D2E">
              <w:rPr>
                <w:i/>
                <w:iCs/>
              </w:rPr>
              <w:t>на</w:t>
            </w:r>
          </w:p>
          <w:p w14:paraId="3F33ECAA" w14:textId="5D4F1D8D" w:rsidR="00B85D2E" w:rsidRPr="00B85D2E" w:rsidRDefault="00B85D2E" w:rsidP="00B85D2E">
            <w:r w:rsidRPr="00B85D2E">
              <w:rPr>
                <w:i/>
                <w:iCs/>
              </w:rPr>
              <w:t>приложение</w:t>
            </w:r>
          </w:p>
        </w:tc>
        <w:tc>
          <w:tcPr>
            <w:tcW w:w="3686" w:type="dxa"/>
          </w:tcPr>
          <w:p w14:paraId="460B1152" w14:textId="3F2D7F44" w:rsidR="00B85D2E" w:rsidRPr="00B85D2E" w:rsidRDefault="00B85D2E" w:rsidP="00B85D2E">
            <w:r w:rsidRPr="00B85D2E">
              <w:t>Астения /умора, грипоподобно състояние</w:t>
            </w:r>
          </w:p>
        </w:tc>
        <w:tc>
          <w:tcPr>
            <w:tcW w:w="2919" w:type="dxa"/>
          </w:tcPr>
          <w:p w14:paraId="31A44F48" w14:textId="4F7833C3" w:rsidR="00B85D2E" w:rsidRPr="00B85D2E" w:rsidRDefault="00B85D2E" w:rsidP="00B85D2E">
            <w:r w:rsidRPr="00B85D2E">
              <w:t>Чести</w:t>
            </w:r>
          </w:p>
        </w:tc>
      </w:tr>
      <w:tr w:rsidR="00B85D2E" w14:paraId="14EE21D1" w14:textId="77777777" w:rsidTr="00B85D2E">
        <w:tc>
          <w:tcPr>
            <w:tcW w:w="2971" w:type="dxa"/>
            <w:vMerge/>
          </w:tcPr>
          <w:p w14:paraId="2B8A4641" w14:textId="77777777" w:rsidR="00B85D2E" w:rsidRPr="00B85D2E" w:rsidRDefault="00B85D2E" w:rsidP="00B85D2E"/>
        </w:tc>
        <w:tc>
          <w:tcPr>
            <w:tcW w:w="3686" w:type="dxa"/>
          </w:tcPr>
          <w:p w14:paraId="72B5F318" w14:textId="5166946F" w:rsidR="00B85D2E" w:rsidRPr="00B85D2E" w:rsidRDefault="00B85D2E" w:rsidP="00B85D2E">
            <w:r w:rsidRPr="00B85D2E">
              <w:t>Гръдна болка</w:t>
            </w:r>
          </w:p>
        </w:tc>
        <w:tc>
          <w:tcPr>
            <w:tcW w:w="2919" w:type="dxa"/>
          </w:tcPr>
          <w:p w14:paraId="493BC47F" w14:textId="675942EF" w:rsidR="00B85D2E" w:rsidRPr="00B85D2E" w:rsidRDefault="00B85D2E" w:rsidP="00B85D2E">
            <w:r w:rsidRPr="00B85D2E">
              <w:t>Нечести</w:t>
            </w:r>
          </w:p>
        </w:tc>
      </w:tr>
      <w:tr w:rsidR="00B85D2E" w14:paraId="4510C21A" w14:textId="77777777" w:rsidTr="00B85D2E">
        <w:tc>
          <w:tcPr>
            <w:tcW w:w="2971" w:type="dxa"/>
            <w:vMerge w:val="restart"/>
          </w:tcPr>
          <w:p w14:paraId="0E941510" w14:textId="6669B824" w:rsidR="00B85D2E" w:rsidRPr="00B85D2E" w:rsidRDefault="00B85D2E" w:rsidP="00B85D2E">
            <w:r w:rsidRPr="00B85D2E">
              <w:t>Изследвания</w:t>
            </w:r>
          </w:p>
        </w:tc>
        <w:tc>
          <w:tcPr>
            <w:tcW w:w="3686" w:type="dxa"/>
          </w:tcPr>
          <w:p w14:paraId="61F8BAE3" w14:textId="00CA3DCF" w:rsidR="00B85D2E" w:rsidRPr="00B85D2E" w:rsidRDefault="00B85D2E" w:rsidP="00B85D2E">
            <w:r w:rsidRPr="00B85D2E">
              <w:t>Увеличение на уреята в кръвта, увеличение на креатинфосфокиназата, хиперкалиемия, увеличение на пикочната киселина</w:t>
            </w:r>
          </w:p>
        </w:tc>
        <w:tc>
          <w:tcPr>
            <w:tcW w:w="2919" w:type="dxa"/>
          </w:tcPr>
          <w:p w14:paraId="1E267986" w14:textId="69B1E3EC" w:rsidR="00B85D2E" w:rsidRPr="00B85D2E" w:rsidRDefault="00B85D2E" w:rsidP="00B85D2E">
            <w:r w:rsidRPr="00B85D2E">
              <w:t>Нечести</w:t>
            </w:r>
          </w:p>
        </w:tc>
      </w:tr>
      <w:tr w:rsidR="00B85D2E" w14:paraId="6D915AB5" w14:textId="77777777" w:rsidTr="00B85D2E">
        <w:tc>
          <w:tcPr>
            <w:tcW w:w="2971" w:type="dxa"/>
            <w:vMerge/>
          </w:tcPr>
          <w:p w14:paraId="2EF330AB" w14:textId="77777777" w:rsidR="00B85D2E" w:rsidRPr="00B85D2E" w:rsidRDefault="00B85D2E" w:rsidP="00B85D2E"/>
        </w:tc>
        <w:tc>
          <w:tcPr>
            <w:tcW w:w="3686" w:type="dxa"/>
          </w:tcPr>
          <w:p w14:paraId="429EE610" w14:textId="6881B7A4" w:rsidR="00B85D2E" w:rsidRPr="00B85D2E" w:rsidRDefault="00B85D2E" w:rsidP="00B85D2E">
            <w:r w:rsidRPr="00B85D2E">
              <w:t>Понижаване на нивата на натрий в кръвта</w:t>
            </w:r>
          </w:p>
        </w:tc>
        <w:tc>
          <w:tcPr>
            <w:tcW w:w="2919" w:type="dxa"/>
          </w:tcPr>
          <w:p w14:paraId="64ECDAC3" w14:textId="536EEAE4" w:rsidR="00B85D2E" w:rsidRPr="00B85D2E" w:rsidRDefault="00B85D2E" w:rsidP="00B85D2E">
            <w:r w:rsidRPr="00B85D2E">
              <w:t>Редки</w:t>
            </w:r>
          </w:p>
        </w:tc>
      </w:tr>
    </w:tbl>
    <w:p w14:paraId="081D8CB5" w14:textId="77777777" w:rsidR="00B85D2E" w:rsidRDefault="00B85D2E" w:rsidP="00B85D2E">
      <w:pPr>
        <w:spacing w:line="240" w:lineRule="auto"/>
        <w:rPr>
          <w:rFonts w:ascii="Times New Roman" w:eastAsia="Times New Roman" w:hAnsi="Times New Roman" w:cs="Times New Roman"/>
          <w:color w:val="000000"/>
          <w:sz w:val="20"/>
          <w:szCs w:val="20"/>
          <w:lang w:eastAsia="bg-BG"/>
        </w:rPr>
      </w:pPr>
    </w:p>
    <w:p w14:paraId="2941AB75" w14:textId="4984D649"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*Категория честота: дефинирана за всеки термин на нежелана реакция по честотата, съобщена в базата данни на клиничните проучвания: много чести (&gt;1/10), чести (&gt;1/100 до &lt; 1/10), нечести (&gt;1/1000 до &lt;1/100), редки (&gt;1/10 000 до 1/1000), много редки</w:t>
      </w:r>
    </w:p>
    <w:p w14:paraId="575B81A4"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(&lt;1/10 000).</w:t>
      </w:r>
    </w:p>
    <w:p w14:paraId="54512EFF" w14:textId="77777777" w:rsidR="00B85D2E" w:rsidRPr="00B85D2E" w:rsidRDefault="00B85D2E" w:rsidP="00B85D2E">
      <w:pPr>
        <w:spacing w:line="240" w:lineRule="auto"/>
        <w:rPr>
          <w:rFonts w:eastAsia="Times New Roman" w:cs="Arial"/>
          <w:color w:val="000000"/>
          <w:lang w:eastAsia="bg-BG"/>
        </w:rPr>
      </w:pPr>
    </w:p>
    <w:p w14:paraId="6C895E1F" w14:textId="107E3202" w:rsidR="00B85D2E" w:rsidRPr="00B85D2E" w:rsidRDefault="00B85D2E" w:rsidP="00B85D2E">
      <w:pPr>
        <w:spacing w:line="240" w:lineRule="auto"/>
        <w:rPr>
          <w:rFonts w:eastAsia="Times New Roman" w:cs="Arial"/>
          <w:lang w:eastAsia="bg-BG"/>
        </w:rPr>
      </w:pPr>
      <w:r w:rsidRPr="00B85D2E">
        <w:rPr>
          <w:rFonts w:eastAsia="Times New Roman" w:cs="Arial"/>
          <w:color w:val="000000"/>
          <w:vertAlign w:val="superscript"/>
          <w:lang w:eastAsia="bg-BG"/>
        </w:rPr>
        <w:t>++</w:t>
      </w:r>
      <w:r w:rsidRPr="00B85D2E">
        <w:rPr>
          <w:rFonts w:eastAsia="Times New Roman" w:cs="Arial"/>
          <w:color w:val="000000"/>
          <w:lang w:eastAsia="bg-BG"/>
        </w:rPr>
        <w:t>Тази нежелана реакция е идентифицирана през постмаркетинговото наблюдение. Честотата на нейното съобщаване е оценена на базата на най-високата честота, наблюдавана в данните от клинични изпитвания, обобщени по индикация и одобрена доза.</w:t>
      </w:r>
    </w:p>
    <w:p w14:paraId="79AD82C1" w14:textId="77777777" w:rsidR="00B85D2E" w:rsidRPr="00B85D2E" w:rsidRDefault="00B85D2E" w:rsidP="00B85D2E">
      <w:pPr>
        <w:spacing w:line="240" w:lineRule="auto"/>
        <w:rPr>
          <w:rFonts w:eastAsia="Times New Roman" w:cs="Arial"/>
          <w:color w:val="000000"/>
          <w:lang w:eastAsia="bg-BG"/>
        </w:rPr>
      </w:pPr>
    </w:p>
    <w:p w14:paraId="01922272" w14:textId="77777777" w:rsidR="00B85D2E" w:rsidRPr="00B85D2E" w:rsidRDefault="00B85D2E" w:rsidP="00B85D2E">
      <w:pPr>
        <w:rPr>
          <w:rFonts w:eastAsia="Times New Roman" w:cs="Arial"/>
          <w:lang w:eastAsia="bg-BG"/>
        </w:rPr>
      </w:pPr>
      <w:r w:rsidRPr="00B85D2E">
        <w:rPr>
          <w:rFonts w:eastAsia="Times New Roman" w:cs="Arial"/>
          <w:color w:val="000000"/>
          <w:lang w:eastAsia="bg-BG"/>
        </w:rPr>
        <w:t>Категорията честота „редки“ е определена според ръководството за Кратка характеристика на продукта (КХП) (рев.2, септември 2009) на база определената горна граница на 95% доверителен</w:t>
      </w:r>
      <w:r w:rsidRPr="00B85D2E">
        <w:rPr>
          <w:rFonts w:eastAsia="Times New Roman" w:cs="Arial"/>
          <w:color w:val="000000"/>
          <w:lang w:val="en-US" w:eastAsia="bg-BG"/>
        </w:rPr>
        <w:t xml:space="preserve"> </w:t>
      </w:r>
      <w:r w:rsidRPr="00B85D2E">
        <w:rPr>
          <w:rFonts w:eastAsia="Times New Roman" w:cs="Arial"/>
          <w:color w:val="000000"/>
          <w:lang w:eastAsia="bg-BG"/>
        </w:rPr>
        <w:t xml:space="preserve">интервал за 0 събития, като се има предвид броя участници, лекувани с Етористад, в анализа на данните от фаза </w:t>
      </w:r>
      <w:r w:rsidRPr="00B85D2E">
        <w:rPr>
          <w:rFonts w:eastAsia="Times New Roman" w:cs="Arial"/>
          <w:color w:val="000000"/>
          <w:lang w:val="en-US"/>
        </w:rPr>
        <w:t xml:space="preserve">III, </w:t>
      </w:r>
      <w:r w:rsidRPr="00B85D2E">
        <w:rPr>
          <w:rFonts w:eastAsia="Times New Roman" w:cs="Arial"/>
          <w:color w:val="000000"/>
          <w:lang w:eastAsia="bg-BG"/>
        </w:rPr>
        <w:t xml:space="preserve">обобщени по доза и индикация </w:t>
      </w:r>
      <w:r w:rsidRPr="00B85D2E">
        <w:rPr>
          <w:rFonts w:eastAsia="Times New Roman" w:cs="Arial"/>
          <w:color w:val="000000"/>
          <w:lang w:val="en-US"/>
        </w:rPr>
        <w:t>(n=</w:t>
      </w:r>
      <w:r w:rsidRPr="00B85D2E">
        <w:rPr>
          <w:rFonts w:eastAsia="Times New Roman" w:cs="Arial"/>
          <w:color w:val="000000"/>
          <w:lang w:eastAsia="bg-BG"/>
        </w:rPr>
        <w:t>15 470).</w:t>
      </w:r>
    </w:p>
    <w:p w14:paraId="38FC7F73" w14:textId="77777777" w:rsidR="00B85D2E" w:rsidRPr="00B85D2E" w:rsidRDefault="00B85D2E" w:rsidP="00B85D2E">
      <w:pPr>
        <w:spacing w:line="240" w:lineRule="auto"/>
        <w:rPr>
          <w:rFonts w:eastAsia="Times New Roman" w:cs="Arial"/>
          <w:color w:val="000000"/>
          <w:lang w:eastAsia="bg-BG"/>
        </w:rPr>
      </w:pPr>
    </w:p>
    <w:p w14:paraId="5E400FB5" w14:textId="05B983A8"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β Свръхчувствителност включва термините „ алергия“, „ лекарствена алергия“, „ лекарствена свръхчувствителност“, „свръхчувствителност“, „неуточнена свръхчувствителност“, „ реакция на свръхчувствителност“ и неспецифична алергия.“</w:t>
      </w:r>
    </w:p>
    <w:p w14:paraId="556F345A" w14:textId="77777777" w:rsidR="00B85D2E" w:rsidRPr="00B85D2E" w:rsidRDefault="00B85D2E" w:rsidP="00B85D2E">
      <w:pPr>
        <w:spacing w:line="240" w:lineRule="auto"/>
        <w:rPr>
          <w:rFonts w:eastAsia="Times New Roman" w:cs="Arial"/>
          <w:color w:val="000000"/>
          <w:lang w:eastAsia="bg-BG"/>
        </w:rPr>
      </w:pPr>
    </w:p>
    <w:p w14:paraId="5AA7779B" w14:textId="49B23A31"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lastRenderedPageBreak/>
        <w:t>§ На база на анализи на дългосрочни клинични изпитвания с плацебо и активна контрола, селективните СОХ-2 инхибитори са свързани с повишен риск от сериозни тромботични артериални събития, включително миокарден инфаркт и инсулт. Повишаването на абсолютния риск за такива събития е малко вероятно да надвиши 1% за година на базата на съществуващи данни (нечести).</w:t>
      </w:r>
    </w:p>
    <w:p w14:paraId="5A605AF1" w14:textId="77777777" w:rsidR="00B85D2E" w:rsidRPr="00B85D2E" w:rsidRDefault="00B85D2E" w:rsidP="00B85D2E">
      <w:pPr>
        <w:spacing w:line="240" w:lineRule="auto"/>
        <w:rPr>
          <w:rFonts w:eastAsia="Times New Roman" w:cs="Arial"/>
          <w:color w:val="000000"/>
          <w:lang w:eastAsia="bg-BG"/>
        </w:rPr>
      </w:pPr>
    </w:p>
    <w:p w14:paraId="65A46D57" w14:textId="263856A2"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 xml:space="preserve">Следните сериозни нежелани лекарствени реакции са били наблюдавани при употребата на НСПВС и поради това не могат да се изключат </w:t>
      </w:r>
      <w:r w:rsidRPr="00B85D2E">
        <w:rPr>
          <w:rFonts w:eastAsia="Times New Roman" w:cs="Arial"/>
          <w:i/>
          <w:iCs/>
          <w:color w:val="000000"/>
          <w:lang w:eastAsia="bg-BG"/>
        </w:rPr>
        <w:t>и за</w:t>
      </w:r>
      <w:r w:rsidRPr="00B85D2E">
        <w:rPr>
          <w:rFonts w:eastAsia="Times New Roman" w:cs="Arial"/>
          <w:color w:val="000000"/>
          <w:lang w:eastAsia="bg-BG"/>
        </w:rPr>
        <w:t xml:space="preserve"> еторикоксиб: нефротоксичност включително интерстициален нефрит и нефротичен синдром.</w:t>
      </w:r>
    </w:p>
    <w:p w14:paraId="02B5E451" w14:textId="77777777" w:rsidR="00B85D2E" w:rsidRPr="00B85D2E" w:rsidRDefault="00B85D2E" w:rsidP="00B85D2E">
      <w:pPr>
        <w:spacing w:line="240" w:lineRule="auto"/>
        <w:rPr>
          <w:rFonts w:eastAsia="Times New Roman" w:cs="Arial"/>
          <w:color w:val="000000"/>
          <w:u w:val="single"/>
          <w:lang w:eastAsia="bg-BG"/>
        </w:rPr>
      </w:pPr>
    </w:p>
    <w:p w14:paraId="7003A25B" w14:textId="3D8DC470" w:rsidR="00B85D2E" w:rsidRPr="00B85D2E" w:rsidRDefault="00B85D2E" w:rsidP="00B85D2E">
      <w:pPr>
        <w:spacing w:line="240" w:lineRule="auto"/>
        <w:rPr>
          <w:rFonts w:eastAsia="Times New Roman" w:cs="Arial"/>
          <w:lang w:eastAsia="bg-BG"/>
        </w:rPr>
      </w:pPr>
      <w:r w:rsidRPr="00B85D2E">
        <w:rPr>
          <w:rFonts w:eastAsia="Times New Roman" w:cs="Arial"/>
          <w:color w:val="000000"/>
          <w:u w:val="single"/>
          <w:lang w:eastAsia="bg-BG"/>
        </w:rPr>
        <w:t>Съобщаване на подозирани нежелани реакции</w:t>
      </w:r>
    </w:p>
    <w:p w14:paraId="567871A5"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A50C3C2" w14:textId="77777777" w:rsidR="00B85D2E" w:rsidRPr="00B85D2E" w:rsidRDefault="00B85D2E" w:rsidP="00B85D2E">
      <w:pPr>
        <w:spacing w:line="240" w:lineRule="auto"/>
        <w:rPr>
          <w:rFonts w:eastAsia="Times New Roman" w:cs="Arial"/>
          <w:b/>
          <w:bCs/>
          <w:color w:val="000000"/>
          <w:lang w:eastAsia="bg-BG"/>
        </w:rPr>
      </w:pPr>
    </w:p>
    <w:p w14:paraId="65ACB90E" w14:textId="1704B2EC" w:rsidR="00B85D2E" w:rsidRPr="00B85D2E" w:rsidRDefault="00B85D2E" w:rsidP="00B85D2E">
      <w:pPr>
        <w:spacing w:line="240" w:lineRule="auto"/>
        <w:rPr>
          <w:rFonts w:eastAsia="Times New Roman" w:cs="Arial"/>
          <w:lang w:eastAsia="bg-BG"/>
        </w:rPr>
      </w:pPr>
      <w:r w:rsidRPr="00B85D2E">
        <w:rPr>
          <w:rFonts w:eastAsia="Times New Roman" w:cs="Arial"/>
          <w:b/>
          <w:bCs/>
          <w:color w:val="000000"/>
          <w:lang w:eastAsia="bg-BG"/>
        </w:rPr>
        <w:t>Изпълнителна агенция по лекарствата</w:t>
      </w:r>
    </w:p>
    <w:p w14:paraId="2E44406E"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ул. „Дамян Груев“ № 8</w:t>
      </w:r>
    </w:p>
    <w:p w14:paraId="0B68767C"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1303 София</w:t>
      </w:r>
    </w:p>
    <w:p w14:paraId="41962134"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тел.:+359 2 8903417</w:t>
      </w:r>
    </w:p>
    <w:p w14:paraId="37849D89"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 xml:space="preserve">уебсайт: </w:t>
      </w:r>
      <w:hyperlink r:id="rId5" w:history="1">
        <w:r w:rsidRPr="00B85D2E">
          <w:rPr>
            <w:rFonts w:eastAsia="Times New Roman" w:cs="Arial"/>
            <w:color w:val="000000"/>
            <w:u w:val="single"/>
            <w:lang w:val="en-US"/>
          </w:rPr>
          <w:t>www.bda.bg</w:t>
        </w:r>
      </w:hyperlink>
    </w:p>
    <w:p w14:paraId="6B0A5958" w14:textId="77777777" w:rsidR="00B85D2E" w:rsidRPr="00B85D2E" w:rsidRDefault="00B85D2E" w:rsidP="00B85D2E"/>
    <w:p w14:paraId="378A0F20" w14:textId="05B04600" w:rsidR="001D095A" w:rsidRDefault="002C50EE" w:rsidP="00340E8D">
      <w:pPr>
        <w:pStyle w:val="Heading2"/>
      </w:pPr>
      <w:r>
        <w:t>4.9. Предозиране</w:t>
      </w:r>
    </w:p>
    <w:p w14:paraId="567A1DE1" w14:textId="25D91D34" w:rsidR="00B85D2E" w:rsidRDefault="00B85D2E" w:rsidP="00B85D2E"/>
    <w:p w14:paraId="31B8D6C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По време на клинични проучвания еднократното прилагане на доза до 500 </w:t>
      </w:r>
      <w:r w:rsidRPr="00B85D2E">
        <w:rPr>
          <w:rFonts w:eastAsia="Times New Roman" w:cs="Arial"/>
          <w:color w:val="000000"/>
          <w:lang w:val="en-US"/>
        </w:rPr>
        <w:t xml:space="preserve">mg </w:t>
      </w:r>
      <w:r w:rsidRPr="00B85D2E">
        <w:rPr>
          <w:rFonts w:eastAsia="Times New Roman" w:cs="Arial"/>
          <w:color w:val="000000"/>
          <w:lang w:eastAsia="bg-BG"/>
        </w:rPr>
        <w:t xml:space="preserve">еторикоксиб и няколко дози до 150 </w:t>
      </w:r>
      <w:r w:rsidRPr="00B85D2E">
        <w:rPr>
          <w:rFonts w:eastAsia="Times New Roman" w:cs="Arial"/>
          <w:color w:val="000000"/>
          <w:lang w:val="en-US"/>
        </w:rPr>
        <w:t>mg</w:t>
      </w:r>
      <w:r w:rsidRPr="00B85D2E">
        <w:rPr>
          <w:rFonts w:eastAsia="Times New Roman" w:cs="Arial"/>
          <w:color w:val="000000"/>
          <w:lang w:eastAsia="bg-BG"/>
        </w:rPr>
        <w:t>/ден в продължение на 21 дни не са причинили токсичен ефект. Има съобщения за остро предозиране на еторикоксиб, макар че в повечето случаи не се съобщава за нежелани реакции. Най-често наблюдаваните нежелани реакции съответстват на профила на безопасност на еторикоксиб (напр. стомашно-чревни прояви, кардио-ренални прояви).</w:t>
      </w:r>
    </w:p>
    <w:p w14:paraId="22D0CE1A" w14:textId="77777777" w:rsidR="00B85D2E" w:rsidRPr="00B85D2E" w:rsidRDefault="00B85D2E" w:rsidP="00B85D2E">
      <w:pPr>
        <w:spacing w:line="240" w:lineRule="auto"/>
        <w:rPr>
          <w:rFonts w:eastAsia="Times New Roman" w:cs="Arial"/>
          <w:color w:val="000000"/>
          <w:lang w:eastAsia="bg-BG"/>
        </w:rPr>
      </w:pPr>
    </w:p>
    <w:p w14:paraId="1B1563B8" w14:textId="0926712F"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В случай на предозиране е логично да се приложат обичайните поддържащи мерки, напр. отстраняване на нерезорбираната част от стомашно-чревния тракт, клинично проследяване, симптоматична терапия и друга, ако е необходима.</w:t>
      </w:r>
    </w:p>
    <w:p w14:paraId="530886C1" w14:textId="77777777" w:rsidR="00B85D2E" w:rsidRPr="00B85D2E" w:rsidRDefault="00B85D2E" w:rsidP="00B85D2E">
      <w:pPr>
        <w:spacing w:line="240" w:lineRule="auto"/>
        <w:rPr>
          <w:rFonts w:eastAsia="Times New Roman" w:cs="Arial"/>
          <w:color w:val="000000"/>
          <w:lang w:eastAsia="bg-BG"/>
        </w:rPr>
      </w:pPr>
    </w:p>
    <w:p w14:paraId="15420CEA" w14:textId="169887D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Еторикоксиб не се отстранява чрез хемодиализа; не се знае дали еторикоксиб може да бъде отстранен чрез перитонеална диализа.</w:t>
      </w:r>
    </w:p>
    <w:p w14:paraId="74A1043F" w14:textId="77777777" w:rsidR="00B85D2E" w:rsidRPr="00B85D2E" w:rsidRDefault="00B85D2E" w:rsidP="00B85D2E">
      <w:pPr>
        <w:spacing w:line="240" w:lineRule="auto"/>
        <w:rPr>
          <w:rFonts w:ascii="Times New Roman" w:eastAsia="Times New Roman" w:hAnsi="Times New Roman" w:cs="Times New Roman"/>
          <w:sz w:val="24"/>
          <w:szCs w:val="24"/>
          <w:lang w:eastAsia="bg-BG"/>
        </w:rPr>
      </w:pPr>
    </w:p>
    <w:p w14:paraId="02081B24" w14:textId="36FE76F4" w:rsidR="00395555" w:rsidRPr="00395555" w:rsidRDefault="002C50EE" w:rsidP="008A6AF2">
      <w:pPr>
        <w:pStyle w:val="Heading1"/>
      </w:pPr>
      <w:r>
        <w:t>5. ФАРМАКОЛОГИЧНИ СВОЙСТВА</w:t>
      </w:r>
    </w:p>
    <w:p w14:paraId="7F6CC5E1" w14:textId="6CCE1407" w:rsidR="00F62E44" w:rsidRDefault="002C50EE" w:rsidP="00387A66">
      <w:pPr>
        <w:pStyle w:val="Heading2"/>
      </w:pPr>
      <w:r>
        <w:t>5.1. Фармакодинамични свойства</w:t>
      </w:r>
    </w:p>
    <w:p w14:paraId="38E34788" w14:textId="023BF0F8" w:rsidR="00B85D2E" w:rsidRDefault="00B85D2E" w:rsidP="00B85D2E"/>
    <w:p w14:paraId="23A94CE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Фармакотерапевтична група: противовъзпалителни и противоревматични продукти нестероидни средства, Коксиби АТС код: М01АН05</w:t>
      </w:r>
    </w:p>
    <w:p w14:paraId="50981549" w14:textId="66E40028" w:rsidR="00B85D2E" w:rsidRPr="00B85D2E" w:rsidRDefault="00B85D2E" w:rsidP="00B85D2E">
      <w:pPr>
        <w:rPr>
          <w:rFonts w:cs="Arial"/>
          <w:sz w:val="24"/>
          <w:szCs w:val="24"/>
        </w:rPr>
      </w:pPr>
    </w:p>
    <w:p w14:paraId="5202A30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Механизъм на действие</w:t>
      </w:r>
    </w:p>
    <w:p w14:paraId="4A34532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Еторикоксиб е перорален селективен инхибитор на циклооксигеназа-2 (СОХ-2) в рамките на клинично използвания дозов интервал. По време на клиничните фармакологични проучвания е бил отчетен дозозависим ефект на еторикоксиб по отношение на </w:t>
      </w:r>
      <w:r w:rsidRPr="00B85D2E">
        <w:rPr>
          <w:rFonts w:eastAsia="Times New Roman" w:cs="Arial"/>
          <w:color w:val="000000"/>
          <w:lang w:eastAsia="bg-BG"/>
        </w:rPr>
        <w:lastRenderedPageBreak/>
        <w:t xml:space="preserve">инхибирането на СОХ-2, без да се инхибира СОХ-1 при дози до 150 </w:t>
      </w:r>
      <w:r w:rsidRPr="00B85D2E">
        <w:rPr>
          <w:rFonts w:eastAsia="Times New Roman" w:cs="Arial"/>
          <w:color w:val="000000"/>
          <w:lang w:val="en-US"/>
        </w:rPr>
        <w:t xml:space="preserve">mg </w:t>
      </w:r>
      <w:r w:rsidRPr="00B85D2E">
        <w:rPr>
          <w:rFonts w:eastAsia="Times New Roman" w:cs="Arial"/>
          <w:color w:val="000000"/>
          <w:lang w:eastAsia="bg-BG"/>
        </w:rPr>
        <w:t>дневно. Еторикоксиб не е инхибирал синтезата на простагландини в стомашната лигавица и не е повлиял функцията на тромбоцитите.</w:t>
      </w:r>
    </w:p>
    <w:p w14:paraId="335AD832" w14:textId="77777777" w:rsidR="00B85D2E" w:rsidRPr="00B85D2E" w:rsidRDefault="00B85D2E" w:rsidP="00B85D2E">
      <w:pPr>
        <w:spacing w:line="240" w:lineRule="auto"/>
        <w:rPr>
          <w:rFonts w:eastAsia="Times New Roman" w:cs="Arial"/>
          <w:color w:val="000000"/>
          <w:u w:val="single"/>
          <w:lang w:eastAsia="bg-BG"/>
        </w:rPr>
      </w:pPr>
    </w:p>
    <w:p w14:paraId="5466C753" w14:textId="08A4BFB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Фармакодинамични ефекти</w:t>
      </w:r>
    </w:p>
    <w:p w14:paraId="05F991EC"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Циклооксигеназата е отговорна за произвеждането на простагландини. Познати са две изоензимни форми, СОХ-1 и СОХ-2. СОХ-2 е изоформата на ензима, която индуцира провъзпалителни стимули и за която се предполага, че е основно отговорна за синтезата на простаноидни медиатори на болката, възпалението и температурата. СОХ-2 участва също и в овулацията, имплантацията и затварянето на дуктус артериозус, регулацията на бъбречната функция и функциите на централната нервна система (повишение на телесната температура, усещане за болка и когнитивната функция). Възможно е да играе роля и при заздравяване на язвите. СОХ-2 е идентифицирана в тъканите около стомашни язви при човек, но връзката му с излекуването на язвите не е уточнено.</w:t>
      </w:r>
    </w:p>
    <w:p w14:paraId="014F936C" w14:textId="77777777" w:rsidR="00B85D2E" w:rsidRPr="00B85D2E" w:rsidRDefault="00B85D2E" w:rsidP="00B85D2E">
      <w:pPr>
        <w:spacing w:line="240" w:lineRule="auto"/>
        <w:rPr>
          <w:rFonts w:eastAsia="Times New Roman" w:cs="Arial"/>
          <w:color w:val="000000"/>
          <w:u w:val="single"/>
          <w:lang w:eastAsia="bg-BG"/>
        </w:rPr>
      </w:pPr>
    </w:p>
    <w:p w14:paraId="525FCB3F" w14:textId="3F24C969"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Клинична ефикасност и безопасност</w:t>
      </w:r>
    </w:p>
    <w:p w14:paraId="400518C9"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Ефикасност</w:t>
      </w:r>
    </w:p>
    <w:p w14:paraId="1E94BC40"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 с остеоартрит, еторикоксиб в доза 60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значително облекчава болката и повишава оценката на пациента за състоянието на заболяването. Тези благоприятни ефекти се наблюдават от втория ден на лечението и се запазват до 52 седмици. Проучванията върху еторикоксиб 30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показват ефикасност превъзхождаща плацебо за 12-седмичен период на лечение (при сходна система за оценка като проучванията по-горе). При проучване с различни дози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дава значително по-изразено подобрение от 30 </w:t>
      </w:r>
      <w:r w:rsidRPr="00B85D2E">
        <w:rPr>
          <w:rFonts w:eastAsia="Times New Roman" w:cs="Arial"/>
          <w:color w:val="000000"/>
          <w:lang w:val="en-US"/>
        </w:rPr>
        <w:t xml:space="preserve">mg </w:t>
      </w:r>
      <w:r w:rsidRPr="00B85D2E">
        <w:rPr>
          <w:rFonts w:eastAsia="Times New Roman" w:cs="Arial"/>
          <w:color w:val="000000"/>
          <w:lang w:eastAsia="bg-BG"/>
        </w:rPr>
        <w:t xml:space="preserve">по отношение на всички 3 първични крайни точки за период на лечение от 6 седмици. Дозата от 30 </w:t>
      </w:r>
      <w:r w:rsidRPr="00B85D2E">
        <w:rPr>
          <w:rFonts w:eastAsia="Times New Roman" w:cs="Arial"/>
          <w:color w:val="000000"/>
          <w:lang w:val="en-US"/>
        </w:rPr>
        <w:t xml:space="preserve">mg </w:t>
      </w:r>
      <w:r w:rsidRPr="00B85D2E">
        <w:rPr>
          <w:rFonts w:eastAsia="Times New Roman" w:cs="Arial"/>
          <w:color w:val="000000"/>
          <w:lang w:eastAsia="bg-BG"/>
        </w:rPr>
        <w:t>не е била проучвана при остеоартрит на ръцете.</w:t>
      </w:r>
    </w:p>
    <w:p w14:paraId="1B700E61" w14:textId="77777777" w:rsidR="00B85D2E" w:rsidRPr="00B85D2E" w:rsidRDefault="00B85D2E" w:rsidP="00B85D2E">
      <w:pPr>
        <w:spacing w:line="240" w:lineRule="auto"/>
        <w:rPr>
          <w:rFonts w:eastAsia="Times New Roman" w:cs="Arial"/>
          <w:color w:val="000000"/>
          <w:lang w:eastAsia="bg-BG"/>
        </w:rPr>
      </w:pPr>
    </w:p>
    <w:p w14:paraId="4B06A5F0" w14:textId="4E68898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пациентите с ревматоиден артрит, еторикоксиб 90 </w:t>
      </w:r>
      <w:r w:rsidRPr="00B85D2E">
        <w:rPr>
          <w:rFonts w:eastAsia="Times New Roman" w:cs="Arial"/>
          <w:color w:val="000000"/>
          <w:lang w:val="en-US"/>
        </w:rPr>
        <w:t xml:space="preserve">mg </w:t>
      </w:r>
      <w:r w:rsidRPr="00B85D2E">
        <w:rPr>
          <w:rFonts w:eastAsia="Times New Roman" w:cs="Arial"/>
          <w:color w:val="000000"/>
          <w:lang w:eastAsia="bg-BG"/>
        </w:rPr>
        <w:t>един път дневно осигурява значително подобрение по отношение на болка, възпаление и подвижност. Тези благоприятни ефекти се запазват за целия 12-седмичен период на лечение.</w:t>
      </w:r>
    </w:p>
    <w:p w14:paraId="2EFD81C7" w14:textId="77777777" w:rsidR="00B85D2E" w:rsidRPr="00B85D2E" w:rsidRDefault="00B85D2E" w:rsidP="00B85D2E">
      <w:pPr>
        <w:spacing w:line="240" w:lineRule="auto"/>
        <w:rPr>
          <w:rFonts w:eastAsia="Times New Roman" w:cs="Arial"/>
          <w:color w:val="000000"/>
          <w:lang w:eastAsia="bg-BG"/>
        </w:rPr>
      </w:pPr>
    </w:p>
    <w:p w14:paraId="5918B4FD" w14:textId="64D7344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пациентите с пристъп на остър подагрозен артрит, еторикоксиб 120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за период на лечение от осем дни, потиска умерена до силна болка и възпаление така, както индометацин 50 </w:t>
      </w:r>
      <w:r w:rsidRPr="00B85D2E">
        <w:rPr>
          <w:rFonts w:eastAsia="Times New Roman" w:cs="Arial"/>
          <w:color w:val="000000"/>
          <w:lang w:val="en-US"/>
        </w:rPr>
        <w:t xml:space="preserve">mg </w:t>
      </w:r>
      <w:r w:rsidRPr="00B85D2E">
        <w:rPr>
          <w:rFonts w:eastAsia="Times New Roman" w:cs="Arial"/>
          <w:color w:val="000000"/>
          <w:lang w:eastAsia="bg-BG"/>
        </w:rPr>
        <w:t>три пъти дневно. Потискане на болката има на четвъртия час от започване на лечението.</w:t>
      </w:r>
    </w:p>
    <w:p w14:paraId="38DE0A47" w14:textId="77777777" w:rsidR="00B85D2E" w:rsidRPr="00B85D2E" w:rsidRDefault="00B85D2E" w:rsidP="00B85D2E">
      <w:pPr>
        <w:spacing w:line="240" w:lineRule="auto"/>
        <w:rPr>
          <w:rFonts w:eastAsia="Times New Roman" w:cs="Arial"/>
          <w:color w:val="000000"/>
          <w:lang w:eastAsia="bg-BG"/>
        </w:rPr>
      </w:pPr>
    </w:p>
    <w:p w14:paraId="23E42EB8" w14:textId="34E46406"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 с анкилозиращ спондилит, еторикоксиб 90 </w:t>
      </w:r>
      <w:r w:rsidRPr="00B85D2E">
        <w:rPr>
          <w:rFonts w:eastAsia="Times New Roman" w:cs="Arial"/>
          <w:color w:val="000000"/>
          <w:lang w:val="en-US"/>
        </w:rPr>
        <w:t xml:space="preserve">mg </w:t>
      </w:r>
      <w:r w:rsidRPr="00B85D2E">
        <w:rPr>
          <w:rFonts w:eastAsia="Times New Roman" w:cs="Arial"/>
          <w:color w:val="000000"/>
          <w:lang w:eastAsia="bg-BG"/>
        </w:rPr>
        <w:t>веднъж дневно дава значително подобрение по отношение на болка в гръбнака, възпаление, скованост и функционалност. Клиничният ефект от приложението на еторикоксиб се наблюдава още на втория ден от започване на лечението и се запазва през целия период на лечение 52 седмици.</w:t>
      </w:r>
    </w:p>
    <w:p w14:paraId="79F33003" w14:textId="77777777" w:rsidR="00B85D2E" w:rsidRPr="00B85D2E" w:rsidRDefault="00B85D2E" w:rsidP="00B85D2E">
      <w:pPr>
        <w:spacing w:line="240" w:lineRule="auto"/>
        <w:rPr>
          <w:rFonts w:eastAsia="Times New Roman" w:cs="Arial"/>
          <w:color w:val="000000"/>
          <w:lang w:eastAsia="bg-BG"/>
        </w:rPr>
      </w:pPr>
    </w:p>
    <w:p w14:paraId="73620DF4" w14:textId="77777777" w:rsidR="00B85D2E" w:rsidRPr="00B85D2E" w:rsidRDefault="00B85D2E" w:rsidP="00B85D2E">
      <w:pPr>
        <w:rPr>
          <w:rFonts w:eastAsia="Times New Roman" w:cs="Arial"/>
          <w:sz w:val="28"/>
          <w:szCs w:val="28"/>
          <w:lang w:eastAsia="bg-BG"/>
        </w:rPr>
      </w:pPr>
      <w:r w:rsidRPr="00B85D2E">
        <w:rPr>
          <w:rFonts w:eastAsia="Times New Roman" w:cs="Arial"/>
          <w:color w:val="000000"/>
          <w:lang w:eastAsia="bg-BG"/>
        </w:rPr>
        <w:t xml:space="preserve">При клинични проучвания оценяващи постоперативна дентална болка,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е прилаган веднъж дневно за период до три дни. В подгрупата на пациенти с умерена болка в началото, еторикоксиб 90 </w:t>
      </w:r>
      <w:r w:rsidRPr="00B85D2E">
        <w:rPr>
          <w:rFonts w:eastAsia="Times New Roman" w:cs="Arial"/>
          <w:color w:val="000000"/>
          <w:lang w:val="en-US"/>
        </w:rPr>
        <w:t xml:space="preserve">mg </w:t>
      </w:r>
      <w:r w:rsidRPr="00B85D2E">
        <w:rPr>
          <w:rFonts w:eastAsia="Times New Roman" w:cs="Arial"/>
          <w:color w:val="000000"/>
          <w:lang w:eastAsia="bg-BG"/>
        </w:rPr>
        <w:t>показва сходен аналгетичен ефект с този на ибупрофен 600</w:t>
      </w:r>
      <w:r w:rsidRPr="00B85D2E">
        <w:rPr>
          <w:rFonts w:eastAsia="Times New Roman" w:cs="Arial"/>
          <w:color w:val="000000"/>
          <w:lang w:val="en-US"/>
        </w:rPr>
        <w:t>mg (16,</w:t>
      </w:r>
      <w:r w:rsidRPr="00B85D2E">
        <w:rPr>
          <w:rFonts w:eastAsia="Times New Roman" w:cs="Arial"/>
          <w:color w:val="000000"/>
          <w:lang w:eastAsia="bg-BG"/>
        </w:rPr>
        <w:t xml:space="preserve"> 11 срещу 16,39; Р=0,722), и по-силен от този на парацетамол/кодеин 600 </w:t>
      </w:r>
      <w:r w:rsidRPr="00B85D2E">
        <w:rPr>
          <w:rFonts w:eastAsia="Times New Roman" w:cs="Arial"/>
          <w:color w:val="000000"/>
          <w:lang w:val="en-US"/>
        </w:rPr>
        <w:t>mg/ 60 mg (11,00; P</w:t>
      </w:r>
      <w:r w:rsidRPr="00B85D2E">
        <w:rPr>
          <w:rFonts w:eastAsia="Times New Roman" w:cs="Arial"/>
          <w:sz w:val="28"/>
          <w:szCs w:val="28"/>
          <w:lang w:val="en-US" w:eastAsia="bg-BG"/>
        </w:rPr>
        <w:t xml:space="preserve"> </w:t>
      </w:r>
      <w:r w:rsidRPr="00B85D2E">
        <w:rPr>
          <w:rFonts w:eastAsia="Times New Roman" w:cs="Arial"/>
          <w:color w:val="000000"/>
          <w:lang w:eastAsia="bg-BG"/>
        </w:rPr>
        <w:t>&lt;0,001) и плацебо (6,84; Р &lt; 0,001), измерено като общо облекчение на болкат</w:t>
      </w:r>
      <w:r w:rsidRPr="00B85D2E">
        <w:rPr>
          <w:rFonts w:eastAsia="Times New Roman" w:cs="Arial"/>
          <w:color w:val="000000"/>
          <w:lang w:val="en-US"/>
        </w:rPr>
        <w:t>a</w:t>
      </w:r>
      <w:r w:rsidRPr="00B85D2E">
        <w:rPr>
          <w:rFonts w:eastAsia="Times New Roman" w:cs="Arial"/>
          <w:color w:val="000000"/>
          <w:lang w:eastAsia="bg-BG"/>
        </w:rPr>
        <w:t xml:space="preserve"> за първите 6 часа </w:t>
      </w:r>
      <w:r w:rsidRPr="00B85D2E">
        <w:rPr>
          <w:rFonts w:eastAsia="Times New Roman" w:cs="Arial"/>
          <w:color w:val="000000"/>
          <w:lang w:val="en-US"/>
        </w:rPr>
        <w:t xml:space="preserve">(TOPAR6). </w:t>
      </w:r>
      <w:r w:rsidRPr="00B85D2E">
        <w:rPr>
          <w:rFonts w:eastAsia="Times New Roman" w:cs="Arial"/>
          <w:color w:val="000000"/>
          <w:lang w:eastAsia="bg-BG"/>
        </w:rPr>
        <w:t>Частта пациенти, съобщили за употреба на допълнително лекарство по време на</w:t>
      </w:r>
      <w:r w:rsidRPr="00B85D2E">
        <w:rPr>
          <w:rFonts w:eastAsia="Times New Roman" w:cs="Arial"/>
          <w:sz w:val="28"/>
          <w:szCs w:val="28"/>
          <w:lang w:val="en-US" w:eastAsia="bg-BG"/>
        </w:rPr>
        <w:t xml:space="preserve"> </w:t>
      </w:r>
      <w:r w:rsidRPr="00B85D2E">
        <w:rPr>
          <w:rFonts w:eastAsia="Times New Roman" w:cs="Arial"/>
          <w:color w:val="000000"/>
          <w:lang w:eastAsia="bg-BG"/>
        </w:rPr>
        <w:t xml:space="preserve">първите 24 часа от дозирането, са 40,8% за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25,5% за ибупрофен 600 </w:t>
      </w:r>
      <w:r w:rsidRPr="00B85D2E">
        <w:rPr>
          <w:rFonts w:eastAsia="Times New Roman" w:cs="Arial"/>
          <w:color w:val="000000"/>
          <w:lang w:val="en-US"/>
        </w:rPr>
        <w:t xml:space="preserve">mg Q6h </w:t>
      </w:r>
      <w:r w:rsidRPr="00B85D2E">
        <w:rPr>
          <w:rFonts w:eastAsia="Times New Roman" w:cs="Arial"/>
          <w:color w:val="000000"/>
          <w:lang w:eastAsia="bg-BG"/>
        </w:rPr>
        <w:t>и</w:t>
      </w:r>
      <w:r w:rsidRPr="00B85D2E">
        <w:rPr>
          <w:rFonts w:eastAsia="Times New Roman" w:cs="Arial"/>
          <w:color w:val="000000"/>
          <w:lang w:val="en-US" w:eastAsia="bg-BG"/>
        </w:rPr>
        <w:t xml:space="preserve"> </w:t>
      </w:r>
      <w:r w:rsidRPr="00B85D2E">
        <w:rPr>
          <w:rFonts w:eastAsia="Times New Roman" w:cs="Arial"/>
          <w:color w:val="000000"/>
          <w:lang w:eastAsia="bg-BG"/>
        </w:rPr>
        <w:lastRenderedPageBreak/>
        <w:t xml:space="preserve">46,7% за парацетамол /кодеин 600 </w:t>
      </w:r>
      <w:r w:rsidRPr="00B85D2E">
        <w:rPr>
          <w:rFonts w:eastAsia="Times New Roman" w:cs="Arial"/>
          <w:color w:val="000000"/>
          <w:lang w:val="en-US"/>
        </w:rPr>
        <w:t xml:space="preserve">mg </w:t>
      </w:r>
      <w:r w:rsidRPr="00B85D2E">
        <w:rPr>
          <w:rFonts w:eastAsia="Times New Roman" w:cs="Arial"/>
          <w:color w:val="000000"/>
          <w:lang w:eastAsia="bg-BG"/>
        </w:rPr>
        <w:t xml:space="preserve">/60 </w:t>
      </w:r>
      <w:r w:rsidRPr="00B85D2E">
        <w:rPr>
          <w:rFonts w:eastAsia="Times New Roman" w:cs="Arial"/>
          <w:color w:val="000000"/>
          <w:lang w:val="en-US"/>
        </w:rPr>
        <w:t xml:space="preserve">mg Q6h </w:t>
      </w:r>
      <w:r w:rsidRPr="00B85D2E">
        <w:rPr>
          <w:rFonts w:eastAsia="Times New Roman" w:cs="Arial"/>
          <w:color w:val="000000"/>
          <w:lang w:eastAsia="bg-BG"/>
        </w:rPr>
        <w:t xml:space="preserve">в сравнение със 76,2% за плацебо. В това проучване медианата на началото на действието (осезаемо облекчаване на болката) на 90 </w:t>
      </w:r>
      <w:r w:rsidRPr="00B85D2E">
        <w:rPr>
          <w:rFonts w:eastAsia="Times New Roman" w:cs="Arial"/>
          <w:color w:val="000000"/>
          <w:lang w:val="en-US"/>
        </w:rPr>
        <w:t xml:space="preserve">mg </w:t>
      </w:r>
      <w:r w:rsidRPr="00B85D2E">
        <w:rPr>
          <w:rFonts w:eastAsia="Times New Roman" w:cs="Arial"/>
          <w:color w:val="000000"/>
          <w:lang w:eastAsia="bg-BG"/>
        </w:rPr>
        <w:t>еторикоксиб е била 28 минути след приложението.</w:t>
      </w:r>
    </w:p>
    <w:p w14:paraId="5EE301BC" w14:textId="77777777" w:rsidR="00B85D2E" w:rsidRPr="00B85D2E" w:rsidRDefault="00B85D2E" w:rsidP="00B85D2E">
      <w:pPr>
        <w:spacing w:line="240" w:lineRule="auto"/>
        <w:rPr>
          <w:rFonts w:eastAsia="Times New Roman" w:cs="Arial"/>
          <w:b/>
          <w:bCs/>
          <w:color w:val="000000"/>
          <w:lang w:eastAsia="bg-BG"/>
        </w:rPr>
      </w:pPr>
    </w:p>
    <w:p w14:paraId="13BE3D8F" w14:textId="148574EA"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Безопасност</w:t>
      </w:r>
    </w:p>
    <w:p w14:paraId="044C4A6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Multinational Etoricoxib and Diclofenac Arthritis Long-term (MEDAL) </w:t>
      </w:r>
      <w:r w:rsidRPr="00B85D2E">
        <w:rPr>
          <w:rFonts w:eastAsia="Times New Roman" w:cs="Arial"/>
          <w:color w:val="000000"/>
          <w:lang w:eastAsia="bg-BG"/>
        </w:rPr>
        <w:t>(Многонационална програма за продължително прилагани еторикоксиб и диклофенак)</w:t>
      </w:r>
    </w:p>
    <w:p w14:paraId="7DD00944"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е проспективна промяна за проследяване на резултатите, свързани със сърдечно-съдовата (СС) безопасност, от обобщени данни от три рандомизирани, двойни-слепи, срещу активна съставка контролирани изпитвания, проучването </w:t>
      </w:r>
      <w:r w:rsidRPr="00B85D2E">
        <w:rPr>
          <w:rFonts w:eastAsia="Times New Roman" w:cs="Arial"/>
          <w:color w:val="000000"/>
          <w:lang w:val="en-US"/>
        </w:rPr>
        <w:t xml:space="preserve">MEDAL, EDGE </w:t>
      </w:r>
      <w:r w:rsidRPr="00B85D2E">
        <w:rPr>
          <w:rFonts w:eastAsia="Times New Roman" w:cs="Arial"/>
          <w:color w:val="000000"/>
          <w:lang w:eastAsia="bg-BG"/>
        </w:rPr>
        <w:t xml:space="preserve">II и </w:t>
      </w:r>
      <w:r w:rsidRPr="00B85D2E">
        <w:rPr>
          <w:rFonts w:eastAsia="Times New Roman" w:cs="Arial"/>
          <w:color w:val="000000"/>
          <w:lang w:val="en-US"/>
        </w:rPr>
        <w:t>EDGE.</w:t>
      </w:r>
    </w:p>
    <w:p w14:paraId="66D60762" w14:textId="77777777" w:rsidR="00B85D2E" w:rsidRPr="00B85D2E" w:rsidRDefault="00B85D2E" w:rsidP="00B85D2E">
      <w:pPr>
        <w:spacing w:line="240" w:lineRule="auto"/>
        <w:rPr>
          <w:rFonts w:eastAsia="Times New Roman" w:cs="Arial"/>
          <w:color w:val="000000"/>
          <w:lang w:eastAsia="bg-BG"/>
        </w:rPr>
      </w:pPr>
    </w:p>
    <w:p w14:paraId="31007575" w14:textId="45C66323"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Проучването </w:t>
      </w:r>
      <w:r w:rsidRPr="00B85D2E">
        <w:rPr>
          <w:rFonts w:eastAsia="Times New Roman" w:cs="Arial"/>
          <w:color w:val="000000"/>
          <w:lang w:val="en-US"/>
        </w:rPr>
        <w:t xml:space="preserve">MEDAL </w:t>
      </w:r>
      <w:r w:rsidRPr="00B85D2E">
        <w:rPr>
          <w:rFonts w:eastAsia="Times New Roman" w:cs="Arial"/>
          <w:color w:val="000000"/>
          <w:lang w:eastAsia="bg-BG"/>
        </w:rPr>
        <w:t xml:space="preserve">е проучване с крайна точка, определена от СС резултатите при 17 804 пациенти с остеоартрит и 5 700 с ревматоиден артрит,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(остеоартрит) или 90 </w:t>
      </w:r>
      <w:r w:rsidRPr="00B85D2E">
        <w:rPr>
          <w:rFonts w:eastAsia="Times New Roman" w:cs="Arial"/>
          <w:color w:val="000000"/>
          <w:lang w:val="en-US"/>
        </w:rPr>
        <w:t xml:space="preserve">mg </w:t>
      </w:r>
      <w:r w:rsidRPr="00B85D2E">
        <w:rPr>
          <w:rFonts w:eastAsia="Times New Roman" w:cs="Arial"/>
          <w:color w:val="000000"/>
          <w:lang w:eastAsia="bg-BG"/>
        </w:rPr>
        <w:t xml:space="preserve">(остеоартрит и ревматоиден артрит) или диклофенак 150 </w:t>
      </w:r>
      <w:r w:rsidRPr="00B85D2E">
        <w:rPr>
          <w:rFonts w:eastAsia="Times New Roman" w:cs="Arial"/>
          <w:color w:val="000000"/>
          <w:lang w:val="en-US"/>
        </w:rPr>
        <w:t xml:space="preserve">mg </w:t>
      </w:r>
      <w:r w:rsidRPr="00B85D2E">
        <w:rPr>
          <w:rFonts w:eastAsia="Times New Roman" w:cs="Arial"/>
          <w:color w:val="000000"/>
          <w:lang w:eastAsia="bg-BG"/>
        </w:rPr>
        <w:t>дневно за период средно от 20,3 месеца (максимум 42,3 месеца, медиана 21,3 месеца). В това изпитване се отчитат само сериозни нежелани реакции и преустановяване на участието поради каквато и да е нежелана реакция.</w:t>
      </w:r>
    </w:p>
    <w:p w14:paraId="0A59834A" w14:textId="77777777" w:rsidR="00B85D2E" w:rsidRPr="00B85D2E" w:rsidRDefault="00B85D2E" w:rsidP="00B85D2E">
      <w:pPr>
        <w:spacing w:line="240" w:lineRule="auto"/>
        <w:rPr>
          <w:rFonts w:eastAsia="Times New Roman" w:cs="Arial"/>
          <w:color w:val="000000"/>
          <w:lang w:eastAsia="bg-BG"/>
        </w:rPr>
      </w:pPr>
    </w:p>
    <w:p w14:paraId="79A6D7CD" w14:textId="3BE63A5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Проучванията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сравняват стомашно-чревната поносимост на еторикоксиб и диклофенак. Проучването </w:t>
      </w:r>
      <w:r w:rsidRPr="00B85D2E">
        <w:rPr>
          <w:rFonts w:eastAsia="Times New Roman" w:cs="Arial"/>
          <w:color w:val="000000"/>
          <w:lang w:val="en-US"/>
        </w:rPr>
        <w:t xml:space="preserve">EDGE </w:t>
      </w:r>
      <w:r w:rsidRPr="00B85D2E">
        <w:rPr>
          <w:rFonts w:eastAsia="Times New Roman" w:cs="Arial"/>
          <w:color w:val="000000"/>
          <w:lang w:eastAsia="bg-BG"/>
        </w:rPr>
        <w:t xml:space="preserve">включва 7111 пациенти с остеоартрит, лекувани с доза еторикоксиб от 90 </w:t>
      </w:r>
      <w:r w:rsidRPr="00B85D2E">
        <w:rPr>
          <w:rFonts w:eastAsia="Times New Roman" w:cs="Arial"/>
          <w:color w:val="000000"/>
          <w:lang w:val="en-US"/>
        </w:rPr>
        <w:t xml:space="preserve">mg </w:t>
      </w:r>
      <w:r w:rsidRPr="00B85D2E">
        <w:rPr>
          <w:rFonts w:eastAsia="Times New Roman" w:cs="Arial"/>
          <w:color w:val="000000"/>
          <w:lang w:eastAsia="bg-BG"/>
        </w:rPr>
        <w:t xml:space="preserve">дневно (1,5 пъти дозата препоръчителна за остеоартрит) или диклофенак 150 </w:t>
      </w:r>
      <w:r w:rsidRPr="00B85D2E">
        <w:rPr>
          <w:rFonts w:eastAsia="Times New Roman" w:cs="Arial"/>
          <w:color w:val="000000"/>
          <w:lang w:val="en-US"/>
        </w:rPr>
        <w:t xml:space="preserve">mg </w:t>
      </w:r>
      <w:r w:rsidRPr="00B85D2E">
        <w:rPr>
          <w:rFonts w:eastAsia="Times New Roman" w:cs="Arial"/>
          <w:color w:val="000000"/>
          <w:lang w:eastAsia="bg-BG"/>
        </w:rPr>
        <w:t>дневно за период средно 9,1 месеца (максимум 33,1 месеца, медиана 24 месеца).</w:t>
      </w:r>
    </w:p>
    <w:p w14:paraId="6B9D7068" w14:textId="77777777" w:rsidR="00B85D2E" w:rsidRPr="00B85D2E" w:rsidRDefault="00B85D2E" w:rsidP="00B85D2E">
      <w:pPr>
        <w:spacing w:line="240" w:lineRule="auto"/>
        <w:rPr>
          <w:rFonts w:eastAsia="Times New Roman" w:cs="Arial"/>
          <w:color w:val="000000"/>
          <w:lang w:eastAsia="bg-BG"/>
        </w:rPr>
      </w:pPr>
    </w:p>
    <w:p w14:paraId="10B1CC8F" w14:textId="270E5346"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обобщената програма </w:t>
      </w:r>
      <w:r w:rsidRPr="00B85D2E">
        <w:rPr>
          <w:rFonts w:eastAsia="Times New Roman" w:cs="Arial"/>
          <w:color w:val="000000"/>
          <w:lang w:val="en-US"/>
        </w:rPr>
        <w:t xml:space="preserve">MEDAL </w:t>
      </w:r>
      <w:r w:rsidRPr="00B85D2E">
        <w:rPr>
          <w:rFonts w:eastAsia="Times New Roman" w:cs="Arial"/>
          <w:color w:val="000000"/>
          <w:lang w:eastAsia="bg-BG"/>
        </w:rPr>
        <w:t>34 701 пациенти с остеоартрит или ревматоиден артрит са лекувани за период средно 17,9 месеца (максимум 42,3 месеца, медиана 16,3 месеца) като приблизително 12 800 пациенти провеждат лечение по-продължително от 24 месеца. Пациентите, участващи в програмата имат като изходно състояние различни сърдечно-съдови и стомашно- чревни рискови фактори. Пациентите с анамнеза за неотдавнашен инфаркт на миокарда, байпас на коронарна артерия с присадка или перкутанна коронарна интервенция в предходните 6 месеца преди включването не се допускат до участие. В проучванията е разрешено използването на гастропротективни продукти и ниска доза аспирин.</w:t>
      </w:r>
    </w:p>
    <w:p w14:paraId="784E1C59" w14:textId="77777777" w:rsidR="00B85D2E" w:rsidRPr="00B85D2E" w:rsidRDefault="00B85D2E" w:rsidP="00B85D2E">
      <w:pPr>
        <w:spacing w:line="240" w:lineRule="auto"/>
        <w:rPr>
          <w:rFonts w:eastAsia="Times New Roman" w:cs="Arial"/>
          <w:b/>
          <w:bCs/>
          <w:color w:val="000000"/>
          <w:lang w:eastAsia="bg-BG"/>
        </w:rPr>
      </w:pPr>
      <w:bookmarkStart w:id="2" w:name="bookmark2"/>
    </w:p>
    <w:p w14:paraId="100151CF" w14:textId="11EE26AB"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Обща безопасност:</w:t>
      </w:r>
      <w:bookmarkEnd w:id="2"/>
    </w:p>
    <w:p w14:paraId="1DAC2D18"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Няма значителни разлики между еторикоксиб и диклофенак в честотата на сърдечно-съдовите тромботични прояви. Кардио-ренални нежелани реакции се наблюдават по-често при еторикоксиб, отколкото при диклофенак и тези ефекти са дозозависими (вижте специфичните резултати по- долу). Стомашно-чревните и чернодробни нежелани реакции се наблюдават значително по-често при диклофенак, отколкото при еторикоксиб. Честотата на нежеланите реакции при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и на нежеланите реакции, преценени като сериозни или водещи до прекратяване участие в проучването </w:t>
      </w:r>
      <w:r w:rsidRPr="00B85D2E">
        <w:rPr>
          <w:rFonts w:eastAsia="Times New Roman" w:cs="Arial"/>
          <w:color w:val="000000"/>
          <w:lang w:val="en-US"/>
        </w:rPr>
        <w:t xml:space="preserve">MEDAL </w:t>
      </w:r>
      <w:r w:rsidRPr="00B85D2E">
        <w:rPr>
          <w:rFonts w:eastAsia="Times New Roman" w:cs="Arial"/>
          <w:color w:val="000000"/>
          <w:lang w:eastAsia="bg-BG"/>
        </w:rPr>
        <w:t>е по-висока при еторикоксиб в сравнение с диклофенак.</w:t>
      </w:r>
    </w:p>
    <w:p w14:paraId="60E0EEA8" w14:textId="77777777" w:rsidR="00B85D2E" w:rsidRPr="00B85D2E" w:rsidRDefault="00B85D2E" w:rsidP="00B85D2E">
      <w:pPr>
        <w:spacing w:line="240" w:lineRule="auto"/>
        <w:rPr>
          <w:rFonts w:eastAsia="Times New Roman" w:cs="Arial"/>
          <w:color w:val="000000"/>
          <w:lang w:eastAsia="bg-BG"/>
        </w:rPr>
      </w:pPr>
    </w:p>
    <w:p w14:paraId="714AC2B7" w14:textId="67A2854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Сърдечно-съдови резултати за безопасността:</w:t>
      </w:r>
    </w:p>
    <w:p w14:paraId="53E6EFBF" w14:textId="30307D65" w:rsidR="00B85D2E" w:rsidRPr="00B85D2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Честотата на потвърдените тромботични сърдечно-съдови сериозни нежелани реакции (включващи сърдечни, мозъчно-съдови и периферно-съдови прояви) е сравнима за еторикоксиб и диклофенак, като резултатите са обобщени в таблицата по-долу. Няма статистически значими разлики в честотата на тромботичните събития между еторикоксиб и диклофенак при всички анализирани подгрупи, включително различни </w:t>
      </w:r>
      <w:r w:rsidRPr="00B85D2E">
        <w:rPr>
          <w:rFonts w:eastAsia="Times New Roman" w:cs="Arial"/>
          <w:color w:val="000000"/>
          <w:lang w:eastAsia="bg-BG"/>
        </w:rPr>
        <w:lastRenderedPageBreak/>
        <w:t>пациенти в цялата гама на изходния сърдечно-съдов риск. Когато се разглеждат поотделно, относителният риск за потвърдени тромботични сърдечно-съдови</w:t>
      </w:r>
      <w:r w:rsidRPr="00B85D2E">
        <w:rPr>
          <w:rFonts w:eastAsia="Times New Roman" w:cs="Arial"/>
          <w:b/>
          <w:bCs/>
          <w:color w:val="000000"/>
          <w:lang w:eastAsia="bg-BG"/>
        </w:rPr>
        <w:t xml:space="preserve"> </w:t>
      </w:r>
      <w:r w:rsidRPr="00B85D2E">
        <w:rPr>
          <w:rFonts w:eastAsia="Times New Roman" w:cs="Arial"/>
          <w:color w:val="000000"/>
          <w:lang w:eastAsia="bg-BG"/>
        </w:rPr>
        <w:t xml:space="preserve">нежелани реакции при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е бил сходен.</w:t>
      </w:r>
    </w:p>
    <w:p w14:paraId="4F4767C7" w14:textId="01652034" w:rsidR="00B85D2E" w:rsidRDefault="00B85D2E" w:rsidP="00B85D2E">
      <w:pPr>
        <w:spacing w:line="240" w:lineRule="auto"/>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2331"/>
        <w:gridCol w:w="2341"/>
        <w:gridCol w:w="2339"/>
        <w:gridCol w:w="2339"/>
      </w:tblGrid>
      <w:tr w:rsidR="00B85D2E" w14:paraId="26480FA1" w14:textId="77777777" w:rsidTr="00F53E93">
        <w:tc>
          <w:tcPr>
            <w:tcW w:w="9500" w:type="dxa"/>
            <w:gridSpan w:val="4"/>
          </w:tcPr>
          <w:p w14:paraId="36B3AEDC" w14:textId="3C3880F3" w:rsidR="00B85D2E" w:rsidRPr="00B85D2E" w:rsidRDefault="00B85D2E" w:rsidP="00B85D2E">
            <w:pPr>
              <w:spacing w:line="240" w:lineRule="auto"/>
              <w:rPr>
                <w:rFonts w:eastAsia="Times New Roman" w:cs="Arial"/>
                <w:lang w:val="en-US" w:eastAsia="bg-BG"/>
              </w:rPr>
            </w:pPr>
            <w:r w:rsidRPr="00B85D2E">
              <w:rPr>
                <w:rFonts w:cs="Arial"/>
                <w:b/>
                <w:bCs/>
              </w:rPr>
              <w:t xml:space="preserve">Таблица 2: Честота на потвърдени тромботични сърдечно-съдови прояви (обобщена програма </w:t>
            </w:r>
            <w:r w:rsidRPr="00B85D2E">
              <w:rPr>
                <w:rFonts w:cs="Arial"/>
                <w:b/>
                <w:bCs/>
                <w:lang w:val="en-US"/>
              </w:rPr>
              <w:t>MEDAL)</w:t>
            </w:r>
          </w:p>
        </w:tc>
      </w:tr>
      <w:tr w:rsidR="00B85D2E" w14:paraId="2F39C9B6" w14:textId="77777777" w:rsidTr="00B85D2E">
        <w:tc>
          <w:tcPr>
            <w:tcW w:w="2375" w:type="dxa"/>
          </w:tcPr>
          <w:p w14:paraId="358C67EF" w14:textId="77777777" w:rsidR="00B85D2E" w:rsidRPr="00B85D2E" w:rsidRDefault="00B85D2E" w:rsidP="00B85D2E">
            <w:pPr>
              <w:spacing w:line="240" w:lineRule="auto"/>
              <w:rPr>
                <w:rFonts w:eastAsia="Times New Roman" w:cs="Arial"/>
                <w:lang w:val="en-US" w:eastAsia="bg-BG"/>
              </w:rPr>
            </w:pPr>
          </w:p>
        </w:tc>
        <w:tc>
          <w:tcPr>
            <w:tcW w:w="2375" w:type="dxa"/>
          </w:tcPr>
          <w:p w14:paraId="667C0A7F" w14:textId="01444D01" w:rsidR="00B85D2E" w:rsidRPr="00B85D2E" w:rsidRDefault="00B85D2E" w:rsidP="00B85D2E">
            <w:pPr>
              <w:spacing w:line="240" w:lineRule="auto"/>
              <w:rPr>
                <w:rFonts w:eastAsia="Times New Roman" w:cs="Arial"/>
                <w:lang w:val="en-US" w:eastAsia="bg-BG"/>
              </w:rPr>
            </w:pPr>
            <w:r w:rsidRPr="00B85D2E">
              <w:rPr>
                <w:rFonts w:cs="Arial"/>
                <w:b/>
                <w:bCs/>
              </w:rPr>
              <w:t xml:space="preserve">Еторикоксиб </w:t>
            </w:r>
            <w:r w:rsidRPr="00B85D2E">
              <w:rPr>
                <w:rFonts w:cs="Arial"/>
                <w:b/>
                <w:bCs/>
                <w:lang w:val="en-US"/>
              </w:rPr>
              <w:t xml:space="preserve">(N=16819) </w:t>
            </w:r>
            <w:r w:rsidRPr="00B85D2E">
              <w:rPr>
                <w:rFonts w:cs="Arial"/>
                <w:b/>
                <w:bCs/>
              </w:rPr>
              <w:t>25 836 пациент години</w:t>
            </w:r>
          </w:p>
        </w:tc>
        <w:tc>
          <w:tcPr>
            <w:tcW w:w="2375" w:type="dxa"/>
          </w:tcPr>
          <w:p w14:paraId="3FAB9FB3" w14:textId="344AC85A" w:rsidR="00B85D2E" w:rsidRPr="00B85D2E" w:rsidRDefault="00B85D2E" w:rsidP="00B85D2E">
            <w:pPr>
              <w:spacing w:line="240" w:lineRule="auto"/>
              <w:rPr>
                <w:rFonts w:eastAsia="Times New Roman" w:cs="Arial"/>
                <w:lang w:val="en-US" w:eastAsia="bg-BG"/>
              </w:rPr>
            </w:pPr>
            <w:r w:rsidRPr="00B85D2E">
              <w:rPr>
                <w:rFonts w:cs="Arial"/>
                <w:b/>
                <w:bCs/>
              </w:rPr>
              <w:t xml:space="preserve">Диклофенак </w:t>
            </w:r>
            <w:r w:rsidRPr="00B85D2E">
              <w:rPr>
                <w:rFonts w:cs="Arial"/>
                <w:b/>
                <w:bCs/>
                <w:lang w:val="en-US"/>
              </w:rPr>
              <w:t xml:space="preserve">(N=16483) </w:t>
            </w:r>
            <w:r w:rsidRPr="00B85D2E">
              <w:rPr>
                <w:rFonts w:cs="Arial"/>
                <w:b/>
                <w:bCs/>
              </w:rPr>
              <w:t>24766 пациент години</w:t>
            </w:r>
          </w:p>
        </w:tc>
        <w:tc>
          <w:tcPr>
            <w:tcW w:w="2375" w:type="dxa"/>
          </w:tcPr>
          <w:p w14:paraId="33F4E5E3" w14:textId="77777777" w:rsidR="00B85D2E" w:rsidRPr="00B85D2E" w:rsidRDefault="00B85D2E" w:rsidP="00B85D2E">
            <w:r w:rsidRPr="00B85D2E">
              <w:t>Сравнения</w:t>
            </w:r>
            <w:r w:rsidRPr="00B85D2E">
              <w:tab/>
              <w:t>между</w:t>
            </w:r>
          </w:p>
          <w:p w14:paraId="361A6FA4" w14:textId="5523F57D" w:rsidR="00B85D2E" w:rsidRPr="00B85D2E" w:rsidRDefault="00B85D2E" w:rsidP="00B85D2E">
            <w:pPr>
              <w:spacing w:line="240" w:lineRule="auto"/>
              <w:rPr>
                <w:rFonts w:ascii="Times New Roman" w:eastAsia="Times New Roman" w:hAnsi="Times New Roman" w:cs="Times New Roman"/>
                <w:lang w:val="en-US" w:eastAsia="bg-BG"/>
              </w:rPr>
            </w:pPr>
            <w:r w:rsidRPr="00B85D2E">
              <w:t>лечения</w:t>
            </w:r>
          </w:p>
        </w:tc>
      </w:tr>
      <w:tr w:rsidR="00B85D2E" w14:paraId="04641477" w14:textId="77777777" w:rsidTr="00B85D2E">
        <w:tc>
          <w:tcPr>
            <w:tcW w:w="2375" w:type="dxa"/>
          </w:tcPr>
          <w:p w14:paraId="56FC0A81" w14:textId="77777777" w:rsidR="00B85D2E" w:rsidRPr="00B85D2E" w:rsidRDefault="00B85D2E" w:rsidP="00B85D2E">
            <w:pPr>
              <w:spacing w:line="240" w:lineRule="auto"/>
              <w:rPr>
                <w:rFonts w:eastAsia="Times New Roman" w:cs="Arial"/>
                <w:lang w:val="en-US" w:eastAsia="bg-BG"/>
              </w:rPr>
            </w:pPr>
          </w:p>
        </w:tc>
        <w:tc>
          <w:tcPr>
            <w:tcW w:w="2375" w:type="dxa"/>
          </w:tcPr>
          <w:p w14:paraId="1E2BEA55" w14:textId="5F8DB18F" w:rsidR="00B85D2E" w:rsidRPr="00B85D2E" w:rsidRDefault="00B85D2E" w:rsidP="00B85D2E">
            <w:pPr>
              <w:spacing w:line="240" w:lineRule="auto"/>
              <w:rPr>
                <w:rFonts w:eastAsia="Times New Roman" w:cs="Arial"/>
                <w:lang w:val="en-US" w:eastAsia="bg-BG"/>
              </w:rPr>
            </w:pPr>
            <w:r w:rsidRPr="00B85D2E">
              <w:rPr>
                <w:rFonts w:cs="Arial"/>
              </w:rPr>
              <w:t xml:space="preserve">Честота * (95% </w:t>
            </w:r>
            <w:r w:rsidRPr="00B85D2E">
              <w:rPr>
                <w:rFonts w:cs="Arial"/>
                <w:lang w:val="en-US"/>
              </w:rPr>
              <w:t>CI)</w:t>
            </w:r>
          </w:p>
        </w:tc>
        <w:tc>
          <w:tcPr>
            <w:tcW w:w="2375" w:type="dxa"/>
          </w:tcPr>
          <w:p w14:paraId="15C96ED6" w14:textId="59E1A7BE" w:rsidR="00B85D2E" w:rsidRPr="00B85D2E" w:rsidRDefault="00B85D2E" w:rsidP="00B85D2E">
            <w:pPr>
              <w:spacing w:line="240" w:lineRule="auto"/>
              <w:rPr>
                <w:rFonts w:eastAsia="Times New Roman" w:cs="Arial"/>
                <w:lang w:val="en-US" w:eastAsia="bg-BG"/>
              </w:rPr>
            </w:pPr>
            <w:r w:rsidRPr="00B85D2E">
              <w:rPr>
                <w:rFonts w:cs="Arial"/>
              </w:rPr>
              <w:t xml:space="preserve">Честота * (95% </w:t>
            </w:r>
            <w:r w:rsidRPr="00B85D2E">
              <w:rPr>
                <w:rFonts w:cs="Arial"/>
                <w:lang w:val="en-US"/>
              </w:rPr>
              <w:t>CI)</w:t>
            </w:r>
          </w:p>
        </w:tc>
        <w:tc>
          <w:tcPr>
            <w:tcW w:w="2375" w:type="dxa"/>
          </w:tcPr>
          <w:p w14:paraId="40ED1A56" w14:textId="77777777" w:rsidR="00B85D2E" w:rsidRPr="00B85D2E" w:rsidRDefault="00B85D2E" w:rsidP="00B85D2E">
            <w:r w:rsidRPr="00B85D2E">
              <w:t>Относителен</w:t>
            </w:r>
            <w:r w:rsidRPr="00B85D2E">
              <w:tab/>
              <w:t>риск</w:t>
            </w:r>
          </w:p>
          <w:p w14:paraId="6BADC4CE" w14:textId="631827D0" w:rsidR="00B85D2E" w:rsidRPr="00B85D2E" w:rsidRDefault="00B85D2E" w:rsidP="00B85D2E">
            <w:pPr>
              <w:spacing w:line="240" w:lineRule="auto"/>
              <w:rPr>
                <w:rFonts w:ascii="Times New Roman" w:eastAsia="Times New Roman" w:hAnsi="Times New Roman" w:cs="Times New Roman"/>
                <w:lang w:val="en-US" w:eastAsia="bg-BG"/>
              </w:rPr>
            </w:pPr>
            <w:r w:rsidRPr="00B85D2E">
              <w:t xml:space="preserve">(95% </w:t>
            </w:r>
            <w:r w:rsidRPr="00B85D2E">
              <w:rPr>
                <w:lang w:val="en-US"/>
              </w:rPr>
              <w:t>CI)</w:t>
            </w:r>
          </w:p>
        </w:tc>
      </w:tr>
      <w:tr w:rsidR="00B85D2E" w14:paraId="53A19339" w14:textId="77777777" w:rsidTr="00322882">
        <w:tc>
          <w:tcPr>
            <w:tcW w:w="9500" w:type="dxa"/>
            <w:gridSpan w:val="4"/>
          </w:tcPr>
          <w:p w14:paraId="54797C47" w14:textId="2E5B0885" w:rsidR="00B85D2E" w:rsidRPr="00B85D2E" w:rsidRDefault="00B85D2E" w:rsidP="00B85D2E">
            <w:pPr>
              <w:spacing w:line="240" w:lineRule="auto"/>
              <w:rPr>
                <w:rFonts w:eastAsia="Times New Roman" w:cs="Arial"/>
                <w:lang w:val="en-US" w:eastAsia="bg-BG"/>
              </w:rPr>
            </w:pPr>
            <w:r w:rsidRPr="00B85D2E">
              <w:rPr>
                <w:rFonts w:cs="Arial"/>
              </w:rPr>
              <w:t>Потвърдени тромботични сърдечно-съдови сериозни нежелани реакции</w:t>
            </w:r>
          </w:p>
        </w:tc>
      </w:tr>
      <w:tr w:rsidR="00B85D2E" w14:paraId="3A7F35E6" w14:textId="77777777" w:rsidTr="00B85D2E">
        <w:tc>
          <w:tcPr>
            <w:tcW w:w="2375" w:type="dxa"/>
          </w:tcPr>
          <w:p w14:paraId="7899CCF7" w14:textId="584598D4"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3F592913" w14:textId="0104E53F" w:rsidR="00B85D2E" w:rsidRPr="00B85D2E" w:rsidRDefault="00B85D2E" w:rsidP="00B85D2E">
            <w:pPr>
              <w:spacing w:line="240" w:lineRule="auto"/>
              <w:rPr>
                <w:rFonts w:eastAsia="Times New Roman" w:cs="Arial"/>
                <w:lang w:val="en-US" w:eastAsia="bg-BG"/>
              </w:rPr>
            </w:pPr>
            <w:r w:rsidRPr="00B85D2E">
              <w:rPr>
                <w:rFonts w:cs="Arial"/>
              </w:rPr>
              <w:t>1,24(1,11 1,38)</w:t>
            </w:r>
          </w:p>
        </w:tc>
        <w:tc>
          <w:tcPr>
            <w:tcW w:w="2375" w:type="dxa"/>
          </w:tcPr>
          <w:p w14:paraId="5A8995CB" w14:textId="33DB4867" w:rsidR="00B85D2E" w:rsidRPr="00B85D2E" w:rsidRDefault="00B85D2E" w:rsidP="00B85D2E">
            <w:pPr>
              <w:spacing w:line="240" w:lineRule="auto"/>
              <w:rPr>
                <w:rFonts w:eastAsia="Times New Roman" w:cs="Arial"/>
                <w:lang w:val="en-US" w:eastAsia="bg-BG"/>
              </w:rPr>
            </w:pPr>
            <w:r w:rsidRPr="00B85D2E">
              <w:rPr>
                <w:rFonts w:cs="Arial"/>
              </w:rPr>
              <w:t>1,30(1,17 1,45)</w:t>
            </w:r>
          </w:p>
        </w:tc>
        <w:tc>
          <w:tcPr>
            <w:tcW w:w="2375" w:type="dxa"/>
          </w:tcPr>
          <w:p w14:paraId="6B44690E" w14:textId="7E7558D4"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0,95(0,81 1,11)</w:t>
            </w:r>
          </w:p>
        </w:tc>
      </w:tr>
      <w:tr w:rsidR="00B85D2E" w14:paraId="7116895B" w14:textId="77777777" w:rsidTr="00B85D2E">
        <w:tc>
          <w:tcPr>
            <w:tcW w:w="2375" w:type="dxa"/>
          </w:tcPr>
          <w:p w14:paraId="3D437D1D" w14:textId="76DDB84F"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6123A317" w14:textId="32F49786" w:rsidR="00B85D2E" w:rsidRPr="00B85D2E" w:rsidRDefault="00B85D2E" w:rsidP="00B85D2E">
            <w:pPr>
              <w:spacing w:line="240" w:lineRule="auto"/>
              <w:rPr>
                <w:rFonts w:eastAsia="Times New Roman" w:cs="Arial"/>
                <w:lang w:val="en-US" w:eastAsia="bg-BG"/>
              </w:rPr>
            </w:pPr>
            <w:r w:rsidRPr="00B85D2E">
              <w:rPr>
                <w:rFonts w:cs="Arial"/>
              </w:rPr>
              <w:t>1,25(1,14 1,36)</w:t>
            </w:r>
          </w:p>
        </w:tc>
        <w:tc>
          <w:tcPr>
            <w:tcW w:w="2375" w:type="dxa"/>
          </w:tcPr>
          <w:p w14:paraId="2F34963A" w14:textId="6C65CE03" w:rsidR="00B85D2E" w:rsidRPr="00B85D2E" w:rsidRDefault="00B85D2E" w:rsidP="00B85D2E">
            <w:pPr>
              <w:spacing w:line="240" w:lineRule="auto"/>
              <w:rPr>
                <w:rFonts w:eastAsia="Times New Roman" w:cs="Arial"/>
                <w:lang w:val="en-US" w:eastAsia="bg-BG"/>
              </w:rPr>
            </w:pPr>
            <w:r w:rsidRPr="00B85D2E">
              <w:rPr>
                <w:rFonts w:cs="Arial"/>
              </w:rPr>
              <w:t>1,19(1,08 1,30)</w:t>
            </w:r>
          </w:p>
        </w:tc>
        <w:tc>
          <w:tcPr>
            <w:tcW w:w="2375" w:type="dxa"/>
          </w:tcPr>
          <w:p w14:paraId="0F7405FE" w14:textId="189D3D3B"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1,05 (0.93 1,19)</w:t>
            </w:r>
          </w:p>
        </w:tc>
      </w:tr>
      <w:tr w:rsidR="00B85D2E" w14:paraId="08E19163" w14:textId="77777777" w:rsidTr="000A318A">
        <w:tc>
          <w:tcPr>
            <w:tcW w:w="9500" w:type="dxa"/>
            <w:gridSpan w:val="4"/>
          </w:tcPr>
          <w:p w14:paraId="6EA9F324" w14:textId="470446DD" w:rsidR="00B85D2E" w:rsidRPr="00B85D2E" w:rsidRDefault="00B85D2E" w:rsidP="00B85D2E">
            <w:pPr>
              <w:spacing w:line="240" w:lineRule="auto"/>
              <w:rPr>
                <w:rFonts w:eastAsia="Times New Roman" w:cs="Arial"/>
                <w:lang w:val="en-US" w:eastAsia="bg-BG"/>
              </w:rPr>
            </w:pPr>
            <w:r w:rsidRPr="00B85D2E">
              <w:rPr>
                <w:rFonts w:cs="Arial"/>
              </w:rPr>
              <w:t>Потвърдени сърдечни прояви</w:t>
            </w:r>
          </w:p>
        </w:tc>
      </w:tr>
      <w:tr w:rsidR="00B85D2E" w14:paraId="2A558040" w14:textId="77777777" w:rsidTr="00B85D2E">
        <w:tc>
          <w:tcPr>
            <w:tcW w:w="2375" w:type="dxa"/>
          </w:tcPr>
          <w:p w14:paraId="50932641" w14:textId="1EC6BF55"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382F7AA8" w14:textId="49A6D18E" w:rsidR="00B85D2E" w:rsidRPr="00B85D2E" w:rsidRDefault="00B85D2E" w:rsidP="00B85D2E">
            <w:pPr>
              <w:spacing w:line="240" w:lineRule="auto"/>
              <w:rPr>
                <w:rFonts w:eastAsia="Times New Roman" w:cs="Arial"/>
                <w:lang w:val="en-US" w:eastAsia="bg-BG"/>
              </w:rPr>
            </w:pPr>
            <w:r w:rsidRPr="00B85D2E">
              <w:rPr>
                <w:rFonts w:cs="Arial"/>
              </w:rPr>
              <w:t>0,71(0,61 0,82)</w:t>
            </w:r>
          </w:p>
        </w:tc>
        <w:tc>
          <w:tcPr>
            <w:tcW w:w="2375" w:type="dxa"/>
          </w:tcPr>
          <w:p w14:paraId="10816037" w14:textId="1FC21ED6" w:rsidR="00B85D2E" w:rsidRPr="00B85D2E" w:rsidRDefault="00B85D2E" w:rsidP="00B85D2E">
            <w:pPr>
              <w:spacing w:line="240" w:lineRule="auto"/>
              <w:rPr>
                <w:rFonts w:eastAsia="Times New Roman" w:cs="Arial"/>
                <w:lang w:val="en-US" w:eastAsia="bg-BG"/>
              </w:rPr>
            </w:pPr>
            <w:r w:rsidRPr="00B85D2E">
              <w:rPr>
                <w:rFonts w:cs="Arial"/>
              </w:rPr>
              <w:t>0,78 (0,68 0,90)</w:t>
            </w:r>
          </w:p>
        </w:tc>
        <w:tc>
          <w:tcPr>
            <w:tcW w:w="2375" w:type="dxa"/>
          </w:tcPr>
          <w:p w14:paraId="4E54E802" w14:textId="7525C0F2"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0,90(0,74 1,10)</w:t>
            </w:r>
          </w:p>
        </w:tc>
      </w:tr>
      <w:tr w:rsidR="00B85D2E" w14:paraId="01797B2B" w14:textId="77777777" w:rsidTr="00B85D2E">
        <w:tc>
          <w:tcPr>
            <w:tcW w:w="2375" w:type="dxa"/>
          </w:tcPr>
          <w:p w14:paraId="2D25E3D4" w14:textId="4467EF83"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1A207EC" w14:textId="625C4822" w:rsidR="00B85D2E" w:rsidRPr="00B85D2E" w:rsidRDefault="00B85D2E" w:rsidP="00B85D2E">
            <w:pPr>
              <w:spacing w:line="240" w:lineRule="auto"/>
              <w:rPr>
                <w:rFonts w:eastAsia="Times New Roman" w:cs="Arial"/>
                <w:lang w:val="en-US" w:eastAsia="bg-BG"/>
              </w:rPr>
            </w:pPr>
            <w:r w:rsidRPr="00B85D2E">
              <w:rPr>
                <w:rFonts w:cs="Arial"/>
              </w:rPr>
              <w:t>0,69 (0,61 0,78)</w:t>
            </w:r>
          </w:p>
        </w:tc>
        <w:tc>
          <w:tcPr>
            <w:tcW w:w="2375" w:type="dxa"/>
          </w:tcPr>
          <w:p w14:paraId="60169C49" w14:textId="09482E80" w:rsidR="00B85D2E" w:rsidRPr="00B85D2E" w:rsidRDefault="00B85D2E" w:rsidP="00B85D2E">
            <w:pPr>
              <w:spacing w:line="240" w:lineRule="auto"/>
              <w:rPr>
                <w:rFonts w:eastAsia="Times New Roman" w:cs="Arial"/>
                <w:lang w:val="en-US" w:eastAsia="bg-BG"/>
              </w:rPr>
            </w:pPr>
            <w:r w:rsidRPr="00B85D2E">
              <w:rPr>
                <w:rFonts w:cs="Arial"/>
              </w:rPr>
              <w:t>0,70 (0,62 0,79)</w:t>
            </w:r>
          </w:p>
        </w:tc>
        <w:tc>
          <w:tcPr>
            <w:tcW w:w="2375" w:type="dxa"/>
          </w:tcPr>
          <w:p w14:paraId="5E767528" w14:textId="312C986D"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 xml:space="preserve">0,99(0,84 </w:t>
            </w:r>
            <w:r>
              <w:rPr>
                <w:sz w:val="20"/>
                <w:szCs w:val="20"/>
                <w:u w:val="single"/>
              </w:rPr>
              <w:t>1,17)</w:t>
            </w:r>
          </w:p>
        </w:tc>
      </w:tr>
      <w:tr w:rsidR="00B85D2E" w14:paraId="614942E9" w14:textId="77777777" w:rsidTr="001E1B56">
        <w:tc>
          <w:tcPr>
            <w:tcW w:w="9500" w:type="dxa"/>
            <w:gridSpan w:val="4"/>
          </w:tcPr>
          <w:p w14:paraId="19D025DD" w14:textId="77242F4B" w:rsidR="00B85D2E" w:rsidRPr="00B85D2E" w:rsidRDefault="00B85D2E" w:rsidP="00B85D2E">
            <w:pPr>
              <w:spacing w:line="240" w:lineRule="auto"/>
              <w:rPr>
                <w:rFonts w:eastAsia="Times New Roman" w:cs="Arial"/>
                <w:lang w:val="en-US" w:eastAsia="bg-BG"/>
              </w:rPr>
            </w:pPr>
            <w:r w:rsidRPr="00B85D2E">
              <w:rPr>
                <w:rFonts w:eastAsia="Times New Roman" w:cs="Arial"/>
                <w:color w:val="000000"/>
                <w:lang w:eastAsia="bg-BG"/>
              </w:rPr>
              <w:t>Потвърдени мозъчни-съдови прояви</w:t>
            </w:r>
          </w:p>
        </w:tc>
      </w:tr>
      <w:tr w:rsidR="00B85D2E" w14:paraId="2F8C7D59" w14:textId="77777777" w:rsidTr="00B85D2E">
        <w:tc>
          <w:tcPr>
            <w:tcW w:w="2375" w:type="dxa"/>
          </w:tcPr>
          <w:p w14:paraId="5298C441" w14:textId="10572B2C"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49ADC2C3" w14:textId="7B2003A2" w:rsidR="00B85D2E" w:rsidRPr="00B85D2E" w:rsidRDefault="00B85D2E" w:rsidP="00B85D2E">
            <w:pPr>
              <w:spacing w:line="240" w:lineRule="auto"/>
              <w:rPr>
                <w:rFonts w:eastAsia="Times New Roman" w:cs="Arial"/>
                <w:lang w:val="en-US" w:eastAsia="bg-BG"/>
              </w:rPr>
            </w:pPr>
            <w:r w:rsidRPr="00B85D2E">
              <w:rPr>
                <w:rFonts w:cs="Arial"/>
              </w:rPr>
              <w:t>0,34 (0,28 0,42)</w:t>
            </w:r>
          </w:p>
        </w:tc>
        <w:tc>
          <w:tcPr>
            <w:tcW w:w="2375" w:type="dxa"/>
          </w:tcPr>
          <w:p w14:paraId="2A1581D1" w14:textId="16385717" w:rsidR="00B85D2E" w:rsidRPr="00B85D2E" w:rsidRDefault="00B85D2E" w:rsidP="00B85D2E">
            <w:pPr>
              <w:spacing w:line="240" w:lineRule="auto"/>
              <w:rPr>
                <w:rFonts w:eastAsia="Times New Roman" w:cs="Arial"/>
                <w:lang w:val="en-US" w:eastAsia="bg-BG"/>
              </w:rPr>
            </w:pPr>
            <w:r w:rsidRPr="00B85D2E">
              <w:rPr>
                <w:rFonts w:cs="Arial"/>
              </w:rPr>
              <w:t>0,32 (0,25 0,40)</w:t>
            </w:r>
          </w:p>
        </w:tc>
        <w:tc>
          <w:tcPr>
            <w:tcW w:w="2375" w:type="dxa"/>
          </w:tcPr>
          <w:p w14:paraId="1621F3A3" w14:textId="0A71BCF0"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1,08 (0,80 1,46)</w:t>
            </w:r>
          </w:p>
        </w:tc>
      </w:tr>
      <w:tr w:rsidR="00B85D2E" w14:paraId="253D77D5" w14:textId="77777777" w:rsidTr="00B85D2E">
        <w:tc>
          <w:tcPr>
            <w:tcW w:w="2375" w:type="dxa"/>
          </w:tcPr>
          <w:p w14:paraId="3BB17D99" w14:textId="486A03C7"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32C2E40" w14:textId="261FB2CD" w:rsidR="00B85D2E" w:rsidRPr="00B85D2E" w:rsidRDefault="00B85D2E" w:rsidP="00B85D2E">
            <w:pPr>
              <w:spacing w:line="240" w:lineRule="auto"/>
              <w:rPr>
                <w:rFonts w:eastAsia="Times New Roman" w:cs="Arial"/>
                <w:lang w:val="en-US" w:eastAsia="bg-BG"/>
              </w:rPr>
            </w:pPr>
            <w:r w:rsidRPr="00B85D2E">
              <w:rPr>
                <w:rFonts w:cs="Arial"/>
              </w:rPr>
              <w:t>0,33 (0,28 0,39)</w:t>
            </w:r>
          </w:p>
        </w:tc>
        <w:tc>
          <w:tcPr>
            <w:tcW w:w="2375" w:type="dxa"/>
          </w:tcPr>
          <w:p w14:paraId="70F714A7" w14:textId="291B1D38" w:rsidR="00B85D2E" w:rsidRPr="00B85D2E" w:rsidRDefault="00B85D2E" w:rsidP="00B85D2E">
            <w:pPr>
              <w:spacing w:line="240" w:lineRule="auto"/>
              <w:rPr>
                <w:rFonts w:eastAsia="Times New Roman" w:cs="Arial"/>
                <w:lang w:val="en-US" w:eastAsia="bg-BG"/>
              </w:rPr>
            </w:pPr>
            <w:r w:rsidRPr="00B85D2E">
              <w:rPr>
                <w:rFonts w:cs="Arial"/>
              </w:rPr>
              <w:t>0,29 (0,24 0,35)</w:t>
            </w:r>
          </w:p>
        </w:tc>
        <w:tc>
          <w:tcPr>
            <w:tcW w:w="2375" w:type="dxa"/>
          </w:tcPr>
          <w:p w14:paraId="51E04ED7" w14:textId="103CB068"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1,12(0,87 1,44)</w:t>
            </w:r>
          </w:p>
        </w:tc>
      </w:tr>
      <w:tr w:rsidR="00B85D2E" w14:paraId="7CB66735" w14:textId="77777777" w:rsidTr="00C84AC1">
        <w:tc>
          <w:tcPr>
            <w:tcW w:w="9500" w:type="dxa"/>
            <w:gridSpan w:val="4"/>
          </w:tcPr>
          <w:p w14:paraId="60BAE37F" w14:textId="0C688F25" w:rsidR="00B85D2E" w:rsidRPr="00B85D2E" w:rsidRDefault="00B85D2E" w:rsidP="00B85D2E">
            <w:pPr>
              <w:spacing w:line="240" w:lineRule="auto"/>
              <w:rPr>
                <w:rFonts w:eastAsia="Times New Roman" w:cs="Arial"/>
                <w:lang w:val="en-US" w:eastAsia="bg-BG"/>
              </w:rPr>
            </w:pPr>
            <w:r w:rsidRPr="00B85D2E">
              <w:rPr>
                <w:rFonts w:cs="Arial"/>
              </w:rPr>
              <w:t>Потвърдени периферни съдови прояви</w:t>
            </w:r>
          </w:p>
        </w:tc>
      </w:tr>
      <w:tr w:rsidR="00B85D2E" w14:paraId="599EDE6F" w14:textId="77777777" w:rsidTr="00B85D2E">
        <w:tc>
          <w:tcPr>
            <w:tcW w:w="2375" w:type="dxa"/>
          </w:tcPr>
          <w:p w14:paraId="7CA267EB" w14:textId="6723555F"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7D799263" w14:textId="518F00CA" w:rsidR="00B85D2E" w:rsidRPr="00B85D2E" w:rsidRDefault="00B85D2E" w:rsidP="00B85D2E">
            <w:pPr>
              <w:spacing w:line="240" w:lineRule="auto"/>
              <w:rPr>
                <w:rFonts w:eastAsia="Times New Roman" w:cs="Arial"/>
                <w:lang w:val="en-US" w:eastAsia="bg-BG"/>
              </w:rPr>
            </w:pPr>
            <w:r w:rsidRPr="00B85D2E">
              <w:rPr>
                <w:rFonts w:cs="Arial"/>
              </w:rPr>
              <w:t>0,20 (0,15 0,27)</w:t>
            </w:r>
          </w:p>
        </w:tc>
        <w:tc>
          <w:tcPr>
            <w:tcW w:w="2375" w:type="dxa"/>
          </w:tcPr>
          <w:p w14:paraId="3BF1CF16" w14:textId="761E3912" w:rsidR="00B85D2E" w:rsidRPr="00B85D2E" w:rsidRDefault="00B85D2E" w:rsidP="00B85D2E">
            <w:pPr>
              <w:spacing w:line="240" w:lineRule="auto"/>
              <w:rPr>
                <w:rFonts w:eastAsia="Times New Roman" w:cs="Arial"/>
                <w:lang w:val="en-US" w:eastAsia="bg-BG"/>
              </w:rPr>
            </w:pPr>
            <w:r w:rsidRPr="00B85D2E">
              <w:rPr>
                <w:rFonts w:cs="Arial"/>
              </w:rPr>
              <w:t>0,22 (0,17 0,29)</w:t>
            </w:r>
          </w:p>
        </w:tc>
        <w:tc>
          <w:tcPr>
            <w:tcW w:w="2375" w:type="dxa"/>
          </w:tcPr>
          <w:p w14:paraId="46A240DB" w14:textId="008052C4"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0,92 (0,63 1,35)</w:t>
            </w:r>
          </w:p>
        </w:tc>
      </w:tr>
      <w:tr w:rsidR="00B85D2E" w14:paraId="029393A0" w14:textId="77777777" w:rsidTr="00B85D2E">
        <w:tc>
          <w:tcPr>
            <w:tcW w:w="2375" w:type="dxa"/>
          </w:tcPr>
          <w:p w14:paraId="3EC8301A" w14:textId="55F3D9FB"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0EA1EE1" w14:textId="06FE558B" w:rsidR="00B85D2E" w:rsidRPr="00B85D2E" w:rsidRDefault="00B85D2E" w:rsidP="00B85D2E">
            <w:pPr>
              <w:spacing w:line="240" w:lineRule="auto"/>
              <w:rPr>
                <w:rFonts w:eastAsia="Times New Roman" w:cs="Arial"/>
                <w:lang w:val="en-US" w:eastAsia="bg-BG"/>
              </w:rPr>
            </w:pPr>
            <w:r w:rsidRPr="00B85D2E">
              <w:rPr>
                <w:rFonts w:cs="Arial"/>
              </w:rPr>
              <w:t>0,24 (0,20 0,30)</w:t>
            </w:r>
          </w:p>
        </w:tc>
        <w:tc>
          <w:tcPr>
            <w:tcW w:w="2375" w:type="dxa"/>
          </w:tcPr>
          <w:p w14:paraId="50AF5183" w14:textId="66246EE4" w:rsidR="00B85D2E" w:rsidRPr="00B85D2E" w:rsidRDefault="00B85D2E" w:rsidP="00B85D2E">
            <w:pPr>
              <w:spacing w:line="240" w:lineRule="auto"/>
              <w:rPr>
                <w:rFonts w:eastAsia="Times New Roman" w:cs="Arial"/>
                <w:lang w:val="en-US" w:eastAsia="bg-BG"/>
              </w:rPr>
            </w:pPr>
            <w:r w:rsidRPr="00B85D2E">
              <w:rPr>
                <w:rFonts w:cs="Arial"/>
              </w:rPr>
              <w:t xml:space="preserve">0,23 </w:t>
            </w:r>
            <w:r w:rsidRPr="00B85D2E">
              <w:rPr>
                <w:rFonts w:cs="Arial"/>
                <w:u w:val="single"/>
                <w:lang w:val="en-US"/>
              </w:rPr>
              <w:t xml:space="preserve">(0,18 </w:t>
            </w:r>
            <w:r w:rsidRPr="00B85D2E">
              <w:rPr>
                <w:rFonts w:cs="Arial"/>
              </w:rPr>
              <w:t>0,28)</w:t>
            </w:r>
          </w:p>
        </w:tc>
        <w:tc>
          <w:tcPr>
            <w:tcW w:w="2375" w:type="dxa"/>
          </w:tcPr>
          <w:p w14:paraId="70D6FC22" w14:textId="1EBEFFEA"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1,08 (0,81 1,44)</w:t>
            </w:r>
          </w:p>
        </w:tc>
      </w:tr>
      <w:tr w:rsidR="00B85D2E" w14:paraId="5C78C14D" w14:textId="77777777" w:rsidTr="00927108">
        <w:tc>
          <w:tcPr>
            <w:tcW w:w="9500" w:type="dxa"/>
            <w:gridSpan w:val="4"/>
          </w:tcPr>
          <w:p w14:paraId="7DC91940"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*Събития на 100 пациенто/години; С</w:t>
            </w:r>
            <w:r w:rsidRPr="00B85D2E">
              <w:rPr>
                <w:rFonts w:eastAsia="Times New Roman" w:cs="Arial"/>
                <w:color w:val="000000"/>
                <w:lang w:val="en-US"/>
              </w:rPr>
              <w:t>I</w:t>
            </w:r>
            <w:r w:rsidRPr="00B85D2E">
              <w:rPr>
                <w:rFonts w:eastAsia="Times New Roman" w:cs="Arial"/>
                <w:color w:val="000000"/>
                <w:lang w:eastAsia="bg-BG"/>
              </w:rPr>
              <w:t xml:space="preserve">=доверителен интервал; </w:t>
            </w:r>
            <w:r w:rsidRPr="00B85D2E">
              <w:rPr>
                <w:rFonts w:eastAsia="Times New Roman" w:cs="Arial"/>
                <w:color w:val="000000"/>
                <w:lang w:val="en-US"/>
              </w:rPr>
              <w:t>N=</w:t>
            </w:r>
            <w:r w:rsidRPr="00B85D2E">
              <w:rPr>
                <w:rFonts w:eastAsia="Times New Roman" w:cs="Arial"/>
                <w:color w:val="000000"/>
                <w:lang w:eastAsia="bg-BG"/>
              </w:rPr>
              <w:t>общ</w:t>
            </w:r>
            <w:r w:rsidRPr="00B85D2E">
              <w:rPr>
                <w:rFonts w:eastAsia="Times New Roman" w:cs="Arial"/>
                <w:color w:val="000000"/>
                <w:lang w:val="en-US"/>
              </w:rPr>
              <w:t xml:space="preserve"> </w:t>
            </w:r>
            <w:r w:rsidRPr="00B85D2E">
              <w:rPr>
                <w:rFonts w:eastAsia="Times New Roman" w:cs="Arial"/>
                <w:color w:val="000000"/>
                <w:lang w:eastAsia="bg-BG"/>
              </w:rPr>
              <w:t>брой пациенти, включени в популацията по протокол</w:t>
            </w:r>
          </w:p>
          <w:p w14:paraId="26DA9813"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По протокол: всички прояви при приложението на проучваното лечение или до 14 дни след прекратяването му (изключени: пациенти, приели &lt;75% от изпитваното лечение или приемали невключено в проучването НСПВС &gt;10% от времето).</w:t>
            </w:r>
          </w:p>
          <w:p w14:paraId="77964F9A" w14:textId="2B08D311" w:rsidR="00B85D2E" w:rsidRPr="00B85D2E" w:rsidRDefault="00B85D2E" w:rsidP="00B85D2E">
            <w:pPr>
              <w:spacing w:line="240" w:lineRule="auto"/>
              <w:rPr>
                <w:rFonts w:eastAsia="Times New Roman" w:cs="Arial"/>
                <w:lang w:val="en-US" w:eastAsia="bg-BG"/>
              </w:rPr>
            </w:pPr>
            <w:r w:rsidRPr="00B85D2E">
              <w:rPr>
                <w:rFonts w:eastAsia="Times New Roman" w:cs="Arial"/>
                <w:color w:val="000000"/>
                <w:lang w:eastAsia="bg-BG"/>
              </w:rPr>
              <w:t xml:space="preserve">Намерение за лечение: всички потвърдени прояви до края на изпитването (включително пациенти, потенциално изложени на невключени в проучването интервенции след преустановяване на изпитваното лечение). Общ брой рандомизирани пациенти, </w:t>
            </w:r>
            <w:r w:rsidRPr="00B85D2E">
              <w:rPr>
                <w:rFonts w:eastAsia="Times New Roman" w:cs="Arial"/>
                <w:color w:val="000000"/>
                <w:lang w:val="en-US"/>
              </w:rPr>
              <w:t>n</w:t>
            </w:r>
            <w:r w:rsidRPr="00B85D2E">
              <w:rPr>
                <w:rFonts w:eastAsia="Times New Roman" w:cs="Arial"/>
                <w:color w:val="000000"/>
                <w:lang w:eastAsia="bg-BG"/>
              </w:rPr>
              <w:t>=17 412 на еторикоксиб и 17 289 на диклофенак.</w:t>
            </w:r>
          </w:p>
        </w:tc>
      </w:tr>
    </w:tbl>
    <w:p w14:paraId="308AEAC2" w14:textId="77777777" w:rsidR="00B85D2E" w:rsidRDefault="00B85D2E" w:rsidP="00B85D2E">
      <w:pPr>
        <w:spacing w:line="240" w:lineRule="auto"/>
        <w:rPr>
          <w:rFonts w:ascii="Times New Roman" w:eastAsia="Times New Roman" w:hAnsi="Times New Roman" w:cs="Times New Roman"/>
          <w:color w:val="000000"/>
          <w:sz w:val="20"/>
          <w:szCs w:val="20"/>
          <w:lang w:eastAsia="bg-BG"/>
        </w:rPr>
      </w:pPr>
    </w:p>
    <w:p w14:paraId="000C3FF9" w14:textId="10D4032F"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Сърдечно-съдова смъртност, както и общата смъртност, са сходни при лекуваните групи с еторикоксиб и диклофенак.</w:t>
      </w:r>
    </w:p>
    <w:p w14:paraId="6F8960A3" w14:textId="77777777" w:rsidR="00B85D2E" w:rsidRPr="00E5543E" w:rsidRDefault="00B85D2E" w:rsidP="00B85D2E">
      <w:pPr>
        <w:spacing w:line="240" w:lineRule="auto"/>
        <w:rPr>
          <w:rFonts w:eastAsia="Times New Roman" w:cs="Arial"/>
          <w:color w:val="000000"/>
          <w:lang w:eastAsia="bg-BG"/>
        </w:rPr>
      </w:pPr>
    </w:p>
    <w:p w14:paraId="70FEEC53" w14:textId="5C5CCF4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Кардиоренални прояви:</w:t>
      </w:r>
    </w:p>
    <w:p w14:paraId="7EBD272F" w14:textId="044D38BE" w:rsidR="00B85D2E" w:rsidRPr="00E5543E" w:rsidRDefault="00B85D2E" w:rsidP="00B85D2E">
      <w:pPr>
        <w:spacing w:line="240" w:lineRule="auto"/>
        <w:rPr>
          <w:rFonts w:eastAsia="Times New Roman" w:cs="Arial"/>
          <w:color w:val="000000"/>
          <w:lang w:val="en-US"/>
        </w:rPr>
      </w:pPr>
      <w:r w:rsidRPr="00B85D2E">
        <w:rPr>
          <w:rFonts w:eastAsia="Times New Roman" w:cs="Arial"/>
          <w:color w:val="000000"/>
          <w:lang w:eastAsia="bg-BG"/>
        </w:rPr>
        <w:t xml:space="preserve">Приблизително 50% от пациентите, включени в проучването </w:t>
      </w:r>
      <w:r w:rsidRPr="00B85D2E">
        <w:rPr>
          <w:rFonts w:eastAsia="Times New Roman" w:cs="Arial"/>
          <w:color w:val="000000"/>
          <w:lang w:val="en-US"/>
        </w:rPr>
        <w:t xml:space="preserve">MEDAL, </w:t>
      </w:r>
      <w:r w:rsidRPr="00B85D2E">
        <w:rPr>
          <w:rFonts w:eastAsia="Times New Roman" w:cs="Arial"/>
          <w:color w:val="000000"/>
          <w:lang w:eastAsia="bg-BG"/>
        </w:rPr>
        <w:t xml:space="preserve">са с анамнеза за изходна хипертония. В това проучване честотата на прекратяване на участието, поради свързани с хипертония нежелани реакции, е статистически значимо по-висока за еторикоксиб в сравнение с диклофенак. Честотата на застойната сърдечна недостатъчност като нежелана реакция (прекратявания и сериозни реакции) се проявява еднакво при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 xml:space="preserve">но е по-висока при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 xml:space="preserve">(статистически значима за 90 </w:t>
      </w:r>
      <w:r w:rsidRPr="00B85D2E">
        <w:rPr>
          <w:rFonts w:eastAsia="Times New Roman" w:cs="Arial"/>
          <w:color w:val="000000"/>
          <w:lang w:val="en-US"/>
        </w:rPr>
        <w:t xml:space="preserve">mg </w:t>
      </w:r>
      <w:r w:rsidRPr="00B85D2E">
        <w:rPr>
          <w:rFonts w:eastAsia="Times New Roman" w:cs="Arial"/>
          <w:color w:val="000000"/>
          <w:lang w:eastAsia="bg-BG"/>
        </w:rPr>
        <w:t xml:space="preserve">еторикоксиб спрямо 150 </w:t>
      </w:r>
      <w:r w:rsidRPr="00B85D2E">
        <w:rPr>
          <w:rFonts w:eastAsia="Times New Roman" w:cs="Arial"/>
          <w:color w:val="000000"/>
          <w:lang w:val="en-US"/>
        </w:rPr>
        <w:t xml:space="preserve">mg </w:t>
      </w:r>
      <w:r w:rsidRPr="00B85D2E">
        <w:rPr>
          <w:rFonts w:eastAsia="Times New Roman" w:cs="Arial"/>
          <w:color w:val="000000"/>
          <w:lang w:eastAsia="bg-BG"/>
        </w:rPr>
        <w:t xml:space="preserve">диклофенак при групата в </w:t>
      </w:r>
      <w:r w:rsidRPr="00B85D2E">
        <w:rPr>
          <w:rFonts w:eastAsia="Times New Roman" w:cs="Arial"/>
          <w:color w:val="000000"/>
          <w:lang w:val="en-US"/>
        </w:rPr>
        <w:t xml:space="preserve">MEDAL </w:t>
      </w:r>
      <w:r w:rsidRPr="00B85D2E">
        <w:rPr>
          <w:rFonts w:eastAsia="Times New Roman" w:cs="Arial"/>
          <w:color w:val="000000"/>
          <w:lang w:eastAsia="bg-BG"/>
        </w:rPr>
        <w:t xml:space="preserve">с остеоартрит). Честотата </w:t>
      </w:r>
      <w:r w:rsidRPr="00B85D2E">
        <w:rPr>
          <w:rFonts w:eastAsia="Times New Roman" w:cs="Arial"/>
          <w:color w:val="000000"/>
          <w:lang w:eastAsia="bg-BG"/>
        </w:rPr>
        <w:lastRenderedPageBreak/>
        <w:t>на потвърдените прояви на нежелани реакции, свързани със застойна сърдечна недостатъчност (прояви, които са сериозни и водят до хоспитализация или посещение в спешно отделение) е незначимо по-висока при еторикоксиб, отколкото при диклофен</w:t>
      </w:r>
      <w:r w:rsidRPr="00B85D2E">
        <w:rPr>
          <w:rFonts w:eastAsia="Times New Roman" w:cs="Arial"/>
          <w:color w:val="000000"/>
          <w:u w:val="single"/>
          <w:lang w:eastAsia="bg-BG"/>
        </w:rPr>
        <w:t>ак 150</w:t>
      </w:r>
      <w:r w:rsidRPr="00B85D2E">
        <w:rPr>
          <w:rFonts w:eastAsia="Times New Roman" w:cs="Arial"/>
          <w:color w:val="000000"/>
          <w:lang w:eastAsia="bg-BG"/>
        </w:rPr>
        <w:t xml:space="preserve"> </w:t>
      </w:r>
      <w:r w:rsidRPr="00B85D2E">
        <w:rPr>
          <w:rFonts w:eastAsia="Times New Roman" w:cs="Arial"/>
          <w:color w:val="000000"/>
          <w:lang w:val="en-US"/>
        </w:rPr>
        <w:t xml:space="preserve">mg, </w:t>
      </w:r>
      <w:r w:rsidRPr="00B85D2E">
        <w:rPr>
          <w:rFonts w:eastAsia="Times New Roman" w:cs="Arial"/>
          <w:color w:val="000000"/>
          <w:lang w:eastAsia="bg-BG"/>
        </w:rPr>
        <w:t xml:space="preserve">и този ефект е дозозависим (статистически значим за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но не за</w:t>
      </w:r>
      <w:r w:rsidRPr="00B85D2E">
        <w:rPr>
          <w:rFonts w:eastAsia="Times New Roman" w:cs="Arial"/>
          <w:color w:val="000000"/>
          <w:lang w:val="en-US"/>
        </w:rPr>
        <w:t xml:space="preserve"> </w:t>
      </w:r>
      <w:r w:rsidRPr="00B85D2E">
        <w:rPr>
          <w:rFonts w:eastAsia="Times New Roman" w:cs="Arial"/>
          <w:color w:val="000000"/>
          <w:lang w:eastAsia="bg-BG"/>
        </w:rPr>
        <w:t xml:space="preserve">еторикоксиб 60 </w:t>
      </w:r>
      <w:r w:rsidRPr="00B85D2E">
        <w:rPr>
          <w:rFonts w:eastAsia="Times New Roman" w:cs="Arial"/>
          <w:color w:val="000000"/>
          <w:lang w:val="en-US"/>
        </w:rPr>
        <w:t>mg).</w:t>
      </w:r>
    </w:p>
    <w:p w14:paraId="21867750" w14:textId="3E9C0AEF" w:rsidR="00B85D2E" w:rsidRPr="00E5543E" w:rsidRDefault="00B85D2E" w:rsidP="00B85D2E">
      <w:pPr>
        <w:spacing w:line="240" w:lineRule="auto"/>
        <w:rPr>
          <w:rFonts w:eastAsia="Times New Roman" w:cs="Arial"/>
          <w:color w:val="000000"/>
          <w:lang w:val="en-US"/>
        </w:rPr>
      </w:pPr>
    </w:p>
    <w:p w14:paraId="5CA8DA4F"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Кардиореналните резултати при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съответстват на описаните при проучването </w:t>
      </w:r>
      <w:r w:rsidRPr="00B85D2E">
        <w:rPr>
          <w:rFonts w:eastAsia="Times New Roman" w:cs="Arial"/>
          <w:color w:val="000000"/>
          <w:lang w:val="en-US"/>
        </w:rPr>
        <w:t>MEDAL.</w:t>
      </w:r>
    </w:p>
    <w:p w14:paraId="59E0F068" w14:textId="77777777" w:rsidR="00B85D2E" w:rsidRPr="00E5543E" w:rsidRDefault="00B85D2E" w:rsidP="00B85D2E">
      <w:pPr>
        <w:spacing w:line="240" w:lineRule="auto"/>
        <w:rPr>
          <w:rFonts w:eastAsia="Times New Roman" w:cs="Arial"/>
          <w:color w:val="000000"/>
          <w:lang w:eastAsia="bg-BG"/>
        </w:rPr>
      </w:pPr>
    </w:p>
    <w:p w14:paraId="54CBDE57" w14:textId="026E3B2D"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отделните проучвания на 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върху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абсолютната честота на прекратяванията, в която и да е от групите е до 2,6% за хипертония, до 1,9% за оток и до 1,1% за застойна сърдечна недостатъчност, като по-висока честота на прекратявания има при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отколкото при еторикоксиб 60 </w:t>
      </w:r>
      <w:r w:rsidRPr="00B85D2E">
        <w:rPr>
          <w:rFonts w:eastAsia="Times New Roman" w:cs="Arial"/>
          <w:color w:val="000000"/>
          <w:lang w:val="en-US"/>
        </w:rPr>
        <w:t>mg.</w:t>
      </w:r>
    </w:p>
    <w:p w14:paraId="6303F9CD" w14:textId="77777777" w:rsidR="00B85D2E" w:rsidRPr="00E5543E" w:rsidRDefault="00B85D2E" w:rsidP="00B85D2E">
      <w:pPr>
        <w:spacing w:line="240" w:lineRule="auto"/>
        <w:rPr>
          <w:rFonts w:eastAsia="Times New Roman" w:cs="Arial"/>
          <w:color w:val="000000"/>
          <w:lang w:eastAsia="bg-BG"/>
        </w:rPr>
      </w:pPr>
    </w:p>
    <w:p w14:paraId="2C1DA10C" w14:textId="2573B56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-резултати за стомашно-чревна поносимост:</w:t>
      </w:r>
    </w:p>
    <w:p w14:paraId="07B8235A"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Значително по-ниска честота на прекратяване на лечението поради каквато и да е клинична стомашно-чревна нежелана реакция (напр. диспепсия, коремна болка, язва) се наблюдава при еторикоксиб в сравнение с диклофенак във всяко от трите проучвания съставляващи 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Честотата на прекратяване поради нежелана стомашно-чревна реакция на сто пациенто/години за целия период на проучване е както следва: 3,23 за еторикоксиб и 4,96 за диклофенак в проучването </w:t>
      </w:r>
      <w:r w:rsidRPr="00B85D2E">
        <w:rPr>
          <w:rFonts w:eastAsia="Times New Roman" w:cs="Arial"/>
          <w:color w:val="000000"/>
          <w:lang w:val="en-US"/>
        </w:rPr>
        <w:t xml:space="preserve">EDGE; </w:t>
      </w:r>
      <w:r w:rsidRPr="00B85D2E">
        <w:rPr>
          <w:rFonts w:eastAsia="Times New Roman" w:cs="Arial"/>
          <w:color w:val="000000"/>
          <w:lang w:eastAsia="bg-BG"/>
        </w:rPr>
        <w:t xml:space="preserve">и 3,71 за еторикоксиб и 4,81 за диклофенак в проучването </w:t>
      </w:r>
      <w:r w:rsidRPr="00B85D2E">
        <w:rPr>
          <w:rFonts w:eastAsia="Times New Roman" w:cs="Arial"/>
          <w:color w:val="000000"/>
          <w:lang w:val="en-US"/>
        </w:rPr>
        <w:t>EDGE IL</w:t>
      </w:r>
    </w:p>
    <w:p w14:paraId="6860B924" w14:textId="77777777" w:rsidR="00B85D2E" w:rsidRPr="00E5543E" w:rsidRDefault="00B85D2E" w:rsidP="00B85D2E">
      <w:pPr>
        <w:spacing w:line="240" w:lineRule="auto"/>
        <w:rPr>
          <w:rFonts w:eastAsia="Times New Roman" w:cs="Arial"/>
          <w:color w:val="000000"/>
          <w:lang w:eastAsia="bg-BG"/>
        </w:rPr>
      </w:pPr>
    </w:p>
    <w:p w14:paraId="3E30ECF1" w14:textId="2A931A3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 резултати за стомашно-чревна безопасност</w:t>
      </w:r>
    </w:p>
    <w:p w14:paraId="75FEAAB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Общите горни стомашно-чревни прояви се определят като перфорации, язви и кървене. Подгрупата общи горни стомашно-чревни прояви, определени като усложнени, включва перфорации, обструкции и усложнено кървене; подгрупата общи горни стомашно-чревни прояви, определени като неусложнени, включва неусложнено кървене и неусложнени язви. Значително по- ниска честота на общи горни стомашно-чревни прояви се наблюдава при еторикоксиб в сравнение с диклофенак. Няма значима разлика между еторикоксиб и диклофенак в честотата на усложнените прояви. За подгрупата на кръвоизливи от горния стомашно-чревен тракт (усложнени и неусложнени комбинирани), няма значима разлика между еторикоксиб и диклофенак. Ползата от приложението по отношение на горния стомашно-чревен тракт на еторикоксиб в сравнение с диклофенак не е статистически значима за пациенти, приемащи едновременно ниска доза аспирин (приблизително 33% от пациентите).</w:t>
      </w:r>
    </w:p>
    <w:p w14:paraId="0ED1D343" w14:textId="77777777" w:rsidR="00B85D2E" w:rsidRPr="00E5543E" w:rsidRDefault="00B85D2E" w:rsidP="00B85D2E">
      <w:pPr>
        <w:spacing w:line="240" w:lineRule="auto"/>
        <w:rPr>
          <w:rFonts w:eastAsia="Times New Roman" w:cs="Arial"/>
          <w:color w:val="000000"/>
          <w:lang w:eastAsia="bg-BG"/>
        </w:rPr>
      </w:pPr>
    </w:p>
    <w:p w14:paraId="45E76400" w14:textId="61AB972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Честотата за сто пациентогодини на потвърдени усложнени и неусложнени клинични прояви от горния стомашно-чревен тракт (перфорации, язви и кървене е 0,67 (95% </w:t>
      </w:r>
      <w:r w:rsidRPr="00B85D2E">
        <w:rPr>
          <w:rFonts w:eastAsia="Times New Roman" w:cs="Arial"/>
          <w:color w:val="000000"/>
          <w:lang w:val="en-US"/>
        </w:rPr>
        <w:t xml:space="preserve">CI </w:t>
      </w:r>
      <w:r w:rsidRPr="00B85D2E">
        <w:rPr>
          <w:rFonts w:eastAsia="Times New Roman" w:cs="Arial"/>
          <w:color w:val="000000"/>
          <w:lang w:eastAsia="bg-BG"/>
        </w:rPr>
        <w:t xml:space="preserve">0,57 0,77) за еторикоксиб и 0,97 (95% </w:t>
      </w:r>
      <w:r w:rsidRPr="00B85D2E">
        <w:rPr>
          <w:rFonts w:eastAsia="Times New Roman" w:cs="Arial"/>
          <w:color w:val="000000"/>
          <w:lang w:val="en-US"/>
        </w:rPr>
        <w:t xml:space="preserve">CI </w:t>
      </w:r>
      <w:r w:rsidRPr="00B85D2E">
        <w:rPr>
          <w:rFonts w:eastAsia="Times New Roman" w:cs="Arial"/>
          <w:color w:val="000000"/>
          <w:lang w:eastAsia="bg-BG"/>
        </w:rPr>
        <w:t xml:space="preserve">0,85 1,10) за диклофенак, даващо относителен риск от 0,69 (95% </w:t>
      </w:r>
      <w:r w:rsidRPr="00B85D2E">
        <w:rPr>
          <w:rFonts w:eastAsia="Times New Roman" w:cs="Arial"/>
          <w:color w:val="000000"/>
          <w:lang w:val="en-US"/>
        </w:rPr>
        <w:t xml:space="preserve">CI </w:t>
      </w:r>
      <w:r w:rsidRPr="00B85D2E">
        <w:rPr>
          <w:rFonts w:eastAsia="Times New Roman" w:cs="Arial"/>
          <w:color w:val="000000"/>
          <w:lang w:eastAsia="bg-BG"/>
        </w:rPr>
        <w:t>0,57 0,83).</w:t>
      </w:r>
    </w:p>
    <w:p w14:paraId="4DE2567D" w14:textId="77777777" w:rsidR="00B85D2E" w:rsidRPr="00E5543E" w:rsidRDefault="00B85D2E" w:rsidP="00B85D2E">
      <w:pPr>
        <w:spacing w:line="240" w:lineRule="auto"/>
        <w:rPr>
          <w:rFonts w:eastAsia="Times New Roman" w:cs="Arial"/>
          <w:color w:val="000000"/>
          <w:lang w:eastAsia="bg-BG"/>
        </w:rPr>
      </w:pPr>
    </w:p>
    <w:p w14:paraId="58F43F39" w14:textId="22A27800"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Определена е честотата на потвърдените горни стомашно-чревни прояви при пациенти в старческа възраст като най-голямо намаление се наблюдава при пациенти на възраст</w:t>
      </w:r>
      <w:r w:rsidRPr="00B85D2E">
        <w:rPr>
          <w:rFonts w:eastAsia="Times New Roman" w:cs="Arial"/>
          <w:color w:val="000000"/>
          <w:lang w:val="en-US"/>
        </w:rPr>
        <w:t xml:space="preserve"> </w:t>
      </w:r>
      <w:r w:rsidRPr="00B85D2E">
        <w:rPr>
          <w:rFonts w:eastAsia="Times New Roman" w:cs="Arial"/>
          <w:color w:val="000000"/>
          <w:lang w:eastAsia="bg-BG"/>
        </w:rPr>
        <w:t>≥75 години</w:t>
      </w:r>
    </w:p>
    <w:p w14:paraId="2D2A44C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(1,35 [95% </w:t>
      </w:r>
      <w:r w:rsidRPr="00B85D2E">
        <w:rPr>
          <w:rFonts w:eastAsia="Times New Roman" w:cs="Arial"/>
          <w:color w:val="000000"/>
          <w:lang w:val="en-US"/>
        </w:rPr>
        <w:t xml:space="preserve">CI </w:t>
      </w:r>
      <w:r w:rsidRPr="00B85D2E">
        <w:rPr>
          <w:rFonts w:eastAsia="Times New Roman" w:cs="Arial"/>
          <w:color w:val="000000"/>
          <w:lang w:eastAsia="bg-BG"/>
        </w:rPr>
        <w:t xml:space="preserve">0,94 1,87] срещу 2,87 [95% </w:t>
      </w:r>
      <w:r w:rsidRPr="00B85D2E">
        <w:rPr>
          <w:rFonts w:eastAsia="Times New Roman" w:cs="Arial"/>
          <w:color w:val="000000"/>
          <w:lang w:val="en-US"/>
        </w:rPr>
        <w:t xml:space="preserve">CI </w:t>
      </w:r>
      <w:r w:rsidRPr="00B85D2E">
        <w:rPr>
          <w:rFonts w:eastAsia="Times New Roman" w:cs="Arial"/>
          <w:color w:val="000000"/>
          <w:lang w:eastAsia="bg-BG"/>
        </w:rPr>
        <w:t>2,14 3,56] прояви за сто пациентогодини съответно за еторикоксиб и диклофенак).</w:t>
      </w:r>
    </w:p>
    <w:p w14:paraId="12AFAF98" w14:textId="77777777" w:rsidR="00B85D2E" w:rsidRPr="00E5543E" w:rsidRDefault="00B85D2E" w:rsidP="00B85D2E">
      <w:pPr>
        <w:spacing w:line="240" w:lineRule="auto"/>
        <w:rPr>
          <w:rFonts w:eastAsia="Times New Roman" w:cs="Arial"/>
          <w:color w:val="000000"/>
          <w:lang w:eastAsia="bg-BG"/>
        </w:rPr>
      </w:pPr>
    </w:p>
    <w:p w14:paraId="2D0DAE8B" w14:textId="77777777" w:rsidR="00B85D2E" w:rsidRPr="00E5543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Честотата на потвърдените прояви от долния стомашно-чревен тракт (перфорация на тънко и дебело черво, </w:t>
      </w:r>
    </w:p>
    <w:p w14:paraId="499D3C51" w14:textId="78F012C9"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lastRenderedPageBreak/>
        <w:t>обструкция или кръвоизлив) не показва значителна разлика между еторикоксиб и диклофенак.</w:t>
      </w:r>
    </w:p>
    <w:p w14:paraId="3F919D9B" w14:textId="77777777" w:rsidR="00B85D2E" w:rsidRPr="00E5543E" w:rsidRDefault="00B85D2E" w:rsidP="00B85D2E">
      <w:pPr>
        <w:spacing w:line="240" w:lineRule="auto"/>
        <w:rPr>
          <w:rFonts w:eastAsia="Times New Roman" w:cs="Arial"/>
          <w:color w:val="000000"/>
          <w:lang w:eastAsia="bg-BG"/>
        </w:rPr>
      </w:pPr>
    </w:p>
    <w:p w14:paraId="301FC7D8" w14:textId="00EDD85A"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 резултати за чернодробна безопасност</w:t>
      </w:r>
    </w:p>
    <w:p w14:paraId="035C489F" w14:textId="774A4C5C" w:rsidR="00B85D2E" w:rsidRPr="00E5543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Еторикоксиб се свързва със статистически значимо по-ниска честота на прекратяване поради чернодробно свързани нежелани реакции в сравнение с диклофенак, В обобщената програма </w:t>
      </w:r>
      <w:r w:rsidRPr="00B85D2E">
        <w:rPr>
          <w:rFonts w:eastAsia="Times New Roman" w:cs="Arial"/>
          <w:color w:val="000000"/>
          <w:lang w:val="en-US"/>
        </w:rPr>
        <w:t xml:space="preserve">MEDAL </w:t>
      </w:r>
      <w:r w:rsidRPr="00B85D2E">
        <w:rPr>
          <w:rFonts w:eastAsia="Times New Roman" w:cs="Arial"/>
          <w:color w:val="000000"/>
          <w:lang w:eastAsia="bg-BG"/>
        </w:rPr>
        <w:t>0,3 % от пациентите на еторикоксиб и 2,7% от тези на диклофенак прекратяват поради свързана с черния дроб нежелана реакция. Честотата за сто пациентогодини е 0,22 за еторикоксиб</w:t>
      </w:r>
      <w:r w:rsidR="00E5543E" w:rsidRPr="00E5543E">
        <w:rPr>
          <w:rFonts w:eastAsia="Times New Roman" w:cs="Arial"/>
          <w:sz w:val="28"/>
          <w:szCs w:val="28"/>
          <w:lang w:val="en-US" w:eastAsia="bg-BG"/>
        </w:rPr>
        <w:t xml:space="preserve"> </w:t>
      </w:r>
      <w:r w:rsidRPr="00E5543E">
        <w:rPr>
          <w:rFonts w:eastAsia="Times New Roman" w:cs="Arial"/>
          <w:color w:val="000000"/>
          <w:lang w:eastAsia="bg-BG"/>
        </w:rPr>
        <w:t xml:space="preserve">и 1,84 за диклофенак (р-стойност &lt; 0,001 за еторикоксиб спрямо диклофенак). В същото време повечето от нежеланите чернодробно проявени реакции в програмата </w:t>
      </w:r>
      <w:r w:rsidRPr="00E5543E">
        <w:rPr>
          <w:rFonts w:eastAsia="Times New Roman" w:cs="Arial"/>
          <w:color w:val="000000"/>
          <w:lang w:val="en-US"/>
        </w:rPr>
        <w:t>MEDAL</w:t>
      </w:r>
      <w:r w:rsidRPr="00E5543E">
        <w:rPr>
          <w:rFonts w:eastAsia="Times New Roman" w:cs="Arial"/>
          <w:color w:val="000000"/>
          <w:lang w:eastAsia="bg-BG"/>
        </w:rPr>
        <w:t xml:space="preserve"> не са сериозни.</w:t>
      </w:r>
    </w:p>
    <w:p w14:paraId="78605A15" w14:textId="236CD0CA" w:rsidR="00E5543E" w:rsidRPr="00E5543E" w:rsidRDefault="00E5543E" w:rsidP="00B85D2E">
      <w:pPr>
        <w:spacing w:line="240" w:lineRule="auto"/>
        <w:rPr>
          <w:rFonts w:eastAsia="Times New Roman" w:cs="Arial"/>
          <w:color w:val="000000"/>
          <w:lang w:eastAsia="bg-BG"/>
        </w:rPr>
      </w:pPr>
    </w:p>
    <w:p w14:paraId="3CCFA5D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Допълнителни данни за тромботична сърдечно-съдова безопасност</w:t>
      </w:r>
    </w:p>
    <w:p w14:paraId="051A4B8E"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клинични проучвания извън тези от програма </w:t>
      </w:r>
      <w:r w:rsidRPr="00E5543E">
        <w:rPr>
          <w:rFonts w:eastAsia="Times New Roman" w:cs="Arial"/>
          <w:color w:val="000000"/>
          <w:lang w:val="en-US"/>
        </w:rPr>
        <w:t xml:space="preserve">MEDAL, </w:t>
      </w:r>
      <w:r w:rsidRPr="00E5543E">
        <w:rPr>
          <w:rFonts w:eastAsia="Times New Roman" w:cs="Arial"/>
          <w:color w:val="000000"/>
          <w:lang w:eastAsia="bg-BG"/>
        </w:rPr>
        <w:t xml:space="preserve">приблизително 3100 индивида са лекувани с еторикоксиб ≥ 60 </w:t>
      </w:r>
      <w:r w:rsidRPr="00E5543E">
        <w:rPr>
          <w:rFonts w:eastAsia="Times New Roman" w:cs="Arial"/>
          <w:color w:val="000000"/>
          <w:lang w:val="en-US"/>
        </w:rPr>
        <w:t xml:space="preserve">mg </w:t>
      </w:r>
      <w:r w:rsidRPr="00E5543E">
        <w:rPr>
          <w:rFonts w:eastAsia="Times New Roman" w:cs="Arial"/>
          <w:color w:val="000000"/>
          <w:lang w:eastAsia="bg-BG"/>
        </w:rPr>
        <w:t xml:space="preserve">дневно за 12 или повече седмици. Не се наблюдава видима разлика в честотата на потвърдените сериозни тромботични сърдечно-съдови прояви между пациентите на еторикоксиб ≥60 </w:t>
      </w:r>
      <w:r w:rsidRPr="00E5543E">
        <w:rPr>
          <w:rFonts w:eastAsia="Times New Roman" w:cs="Arial"/>
          <w:color w:val="000000"/>
          <w:lang w:val="en-US"/>
        </w:rPr>
        <w:t xml:space="preserve">mg, </w:t>
      </w:r>
      <w:r w:rsidRPr="00E5543E">
        <w:rPr>
          <w:rFonts w:eastAsia="Times New Roman" w:cs="Arial"/>
          <w:color w:val="000000"/>
          <w:lang w:eastAsia="bg-BG"/>
        </w:rPr>
        <w:t xml:space="preserve">плацебо или ненапроксенови НСПВС. В същото време честотата на тези прояви е по-висока при пациентите, получавали еторикоксиб в сравнение с тези, получавали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Разликата в антитромбоцитната активност между някои </w:t>
      </w:r>
      <w:r w:rsidRPr="00E5543E">
        <w:rPr>
          <w:rFonts w:eastAsia="Times New Roman" w:cs="Arial"/>
          <w:color w:val="000000"/>
          <w:lang w:val="en-US"/>
        </w:rPr>
        <w:t xml:space="preserve">COX </w:t>
      </w:r>
      <w:r w:rsidRPr="00E5543E">
        <w:rPr>
          <w:rFonts w:eastAsia="Times New Roman" w:cs="Arial"/>
          <w:color w:val="000000"/>
          <w:lang w:eastAsia="bg-BG"/>
        </w:rPr>
        <w:t>- 1 потискащи НСПВС и селективни СОХ-2 инхибитори може да е от клинично значение при пациенти, рискови за тромбоемболични прояви. Селективните СОХ-2 инхибитори намаляват формирането на системен (и поради това възможно ендотелен) простациклин, без да засягат тромбоксана на тромбоцитите. Клиничното значение на тези наблюдения не е установено.</w:t>
      </w:r>
    </w:p>
    <w:p w14:paraId="6A695ACC" w14:textId="77777777" w:rsidR="00E5543E" w:rsidRPr="00E5543E" w:rsidRDefault="00E5543E" w:rsidP="00E5543E">
      <w:pPr>
        <w:spacing w:line="240" w:lineRule="auto"/>
        <w:rPr>
          <w:rFonts w:eastAsia="Times New Roman" w:cs="Arial"/>
          <w:color w:val="000000"/>
          <w:u w:val="single"/>
          <w:lang w:eastAsia="bg-BG"/>
        </w:rPr>
      </w:pPr>
    </w:p>
    <w:p w14:paraId="5CD13245" w14:textId="44BB8EFD"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Допълнителни данни за стомашно-чревна безопасност</w:t>
      </w:r>
    </w:p>
    <w:p w14:paraId="608256EF"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две 12-седмични, двойнослепи ендоскопски проучвания кумулативната честота на стомашно- чревните улцерации е значително по-ниска при пациентите, лекувани с еторикоксиб 120 </w:t>
      </w:r>
      <w:r w:rsidRPr="00E5543E">
        <w:rPr>
          <w:rFonts w:eastAsia="Times New Roman" w:cs="Arial"/>
          <w:color w:val="000000"/>
          <w:lang w:val="en-US"/>
        </w:rPr>
        <w:t xml:space="preserve">mg </w:t>
      </w:r>
      <w:r w:rsidRPr="00E5543E">
        <w:rPr>
          <w:rFonts w:eastAsia="Times New Roman" w:cs="Arial"/>
          <w:color w:val="000000"/>
          <w:lang w:eastAsia="bg-BG"/>
        </w:rPr>
        <w:t xml:space="preserve">един път дневно, отколкото при пациентите, лекувани с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или ибупрофен 800 </w:t>
      </w:r>
      <w:r w:rsidRPr="00E5543E">
        <w:rPr>
          <w:rFonts w:eastAsia="Times New Roman" w:cs="Arial"/>
          <w:color w:val="000000"/>
          <w:lang w:val="en-US"/>
        </w:rPr>
        <w:t xml:space="preserve">mg </w:t>
      </w:r>
      <w:r w:rsidRPr="00E5543E">
        <w:rPr>
          <w:rFonts w:eastAsia="Times New Roman" w:cs="Arial"/>
          <w:color w:val="000000"/>
          <w:lang w:eastAsia="bg-BG"/>
        </w:rPr>
        <w:t>три пъти дневно. Еторикоксиб е бил с по-висока честота на улцерациите в сравнение с плацебо.</w:t>
      </w:r>
    </w:p>
    <w:p w14:paraId="67E88F17" w14:textId="77777777" w:rsidR="00E5543E" w:rsidRPr="00E5543E" w:rsidRDefault="00E5543E" w:rsidP="00E5543E">
      <w:pPr>
        <w:spacing w:line="240" w:lineRule="auto"/>
        <w:rPr>
          <w:rFonts w:eastAsia="Times New Roman" w:cs="Arial"/>
          <w:color w:val="000000"/>
          <w:u w:val="single"/>
          <w:lang w:eastAsia="bg-BG"/>
        </w:rPr>
      </w:pPr>
    </w:p>
    <w:p w14:paraId="034DEED0" w14:textId="66CD2A9C"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Проучване на бъбречната функция при пациенти в старческа възраст</w:t>
      </w:r>
    </w:p>
    <w:p w14:paraId="5FCF48D3"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Рандомизирано, двойно-сляпо, паралелно-групово, плацебо-контролирано проучване оценява ефекта от 15 дневно лечение с еторикоксиб (90 </w:t>
      </w:r>
      <w:r w:rsidRPr="00E5543E">
        <w:rPr>
          <w:rFonts w:eastAsia="Times New Roman" w:cs="Arial"/>
          <w:color w:val="000000"/>
          <w:lang w:val="en-US"/>
        </w:rPr>
        <w:t xml:space="preserve">mg), </w:t>
      </w:r>
      <w:r w:rsidRPr="00E5543E">
        <w:rPr>
          <w:rFonts w:eastAsia="Times New Roman" w:cs="Arial"/>
          <w:color w:val="000000"/>
          <w:lang w:eastAsia="bg-BG"/>
        </w:rPr>
        <w:t xml:space="preserve">целекоксиб (200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и плацебо, върху екскрецията на натрий в урината, кръвното налягане и други параметри на бъбречната функция, при пациенти на възраст 60 и 85 години на диета от 200 </w:t>
      </w:r>
      <w:proofErr w:type="spellStart"/>
      <w:r w:rsidRPr="00E5543E">
        <w:rPr>
          <w:rFonts w:eastAsia="Times New Roman" w:cs="Arial"/>
          <w:color w:val="000000"/>
          <w:lang w:val="en-US"/>
        </w:rPr>
        <w:t>mEq</w:t>
      </w:r>
      <w:proofErr w:type="spellEnd"/>
      <w:r w:rsidRPr="00E5543E">
        <w:rPr>
          <w:rFonts w:eastAsia="Times New Roman" w:cs="Arial"/>
          <w:color w:val="000000"/>
          <w:lang w:eastAsia="bg-BG"/>
        </w:rPr>
        <w:t xml:space="preserve">/ден натрий. Еторикоксиб, целекоксиб и напроксен имат близък ефект върху уринарната екскреция на натрий за двуседмичния период на лечение. Всички продукти за активно сравнение показват повишение в сравнение с плацебо на систоличното кръвно налягане, еторикоксиб се свързва обаче със статистически значимо повишение на Ден 14 в сравнение с целекоксиб и напроксен (средната промяна спрямо изходното ниво за систоличното аретериално налягане: еторикоксиб 7,7 </w:t>
      </w:r>
      <w:r w:rsidRPr="00E5543E">
        <w:rPr>
          <w:rFonts w:eastAsia="Times New Roman" w:cs="Arial"/>
          <w:color w:val="000000"/>
          <w:lang w:val="en-US"/>
        </w:rPr>
        <w:t xml:space="preserve">mmHg, </w:t>
      </w:r>
      <w:r w:rsidRPr="00E5543E">
        <w:rPr>
          <w:rFonts w:eastAsia="Times New Roman" w:cs="Arial"/>
          <w:color w:val="000000"/>
          <w:lang w:eastAsia="bg-BG"/>
        </w:rPr>
        <w:t xml:space="preserve">целекоксиб 2,4 </w:t>
      </w:r>
      <w:r w:rsidRPr="00E5543E">
        <w:rPr>
          <w:rFonts w:eastAsia="Times New Roman" w:cs="Arial"/>
          <w:color w:val="000000"/>
          <w:lang w:val="en-US"/>
        </w:rPr>
        <w:t xml:space="preserve">mmHg, </w:t>
      </w:r>
      <w:r w:rsidRPr="00E5543E">
        <w:rPr>
          <w:rFonts w:eastAsia="Times New Roman" w:cs="Arial"/>
          <w:color w:val="000000"/>
          <w:lang w:eastAsia="bg-BG"/>
        </w:rPr>
        <w:t>напроксен).</w:t>
      </w:r>
    </w:p>
    <w:p w14:paraId="1F911561" w14:textId="77777777" w:rsidR="00B85D2E" w:rsidRPr="00B85D2E" w:rsidRDefault="00B85D2E" w:rsidP="00B85D2E">
      <w:pPr>
        <w:spacing w:line="240" w:lineRule="auto"/>
        <w:rPr>
          <w:rFonts w:ascii="Times New Roman" w:eastAsia="Times New Roman" w:hAnsi="Times New Roman" w:cs="Times New Roman"/>
          <w:sz w:val="24"/>
          <w:szCs w:val="24"/>
          <w:lang w:val="en-US" w:eastAsia="bg-BG"/>
        </w:rPr>
      </w:pPr>
    </w:p>
    <w:p w14:paraId="544FFDAF" w14:textId="64235F0B" w:rsidR="00F62E44" w:rsidRDefault="002C50EE" w:rsidP="00387A66">
      <w:pPr>
        <w:pStyle w:val="Heading2"/>
      </w:pPr>
      <w:r>
        <w:t>5.2. Фармакокинетични свойства</w:t>
      </w:r>
    </w:p>
    <w:p w14:paraId="3C020B87" w14:textId="35810E6A" w:rsidR="00E5543E" w:rsidRDefault="00E5543E" w:rsidP="00E5543E"/>
    <w:p w14:paraId="58DB349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Абсорбция</w:t>
      </w:r>
    </w:p>
    <w:p w14:paraId="6C7DBA68"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Перорално приложен еторикоксиб се абсорбира добре. Абсолютната бионаличност е приблизително 100%. След 120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до постигане на устойчиво равновесие </w:t>
      </w:r>
      <w:r w:rsidRPr="00E5543E">
        <w:rPr>
          <w:rFonts w:eastAsia="Times New Roman" w:cs="Arial"/>
          <w:color w:val="000000"/>
          <w:lang w:val="en-US"/>
        </w:rPr>
        <w:lastRenderedPageBreak/>
        <w:t xml:space="preserve">(steady state), </w:t>
      </w:r>
      <w:r w:rsidRPr="00E5543E">
        <w:rPr>
          <w:rFonts w:eastAsia="Times New Roman" w:cs="Arial"/>
          <w:color w:val="000000"/>
          <w:lang w:eastAsia="bg-BG"/>
        </w:rPr>
        <w:t xml:space="preserve">пикова плазмена концентрация (средна </w:t>
      </w:r>
      <w:proofErr w:type="spellStart"/>
      <w:r w:rsidRPr="00E5543E">
        <w:rPr>
          <w:rFonts w:eastAsia="Times New Roman" w:cs="Arial"/>
          <w:color w:val="000000"/>
          <w:lang w:val="en-US"/>
        </w:rPr>
        <w:t>Cmax</w:t>
      </w:r>
      <w:proofErr w:type="spellEnd"/>
      <w:r w:rsidRPr="00E5543E">
        <w:rPr>
          <w:rFonts w:eastAsia="Times New Roman" w:cs="Arial"/>
          <w:color w:val="000000"/>
          <w:lang w:val="en-US"/>
        </w:rPr>
        <w:t xml:space="preserve">=3,6 </w:t>
      </w:r>
      <w:r w:rsidRPr="00E5543E">
        <w:rPr>
          <w:rFonts w:eastAsia="Times New Roman" w:cs="Arial"/>
          <w:color w:val="000000"/>
          <w:lang w:eastAsia="bg-BG"/>
        </w:rPr>
        <w:t>μ</w:t>
      </w:r>
      <w:r w:rsidRPr="00E5543E">
        <w:rPr>
          <w:rFonts w:eastAsia="Times New Roman" w:cs="Arial"/>
          <w:color w:val="000000"/>
          <w:lang w:val="en-US"/>
        </w:rPr>
        <w:t xml:space="preserve">g/ml) </w:t>
      </w:r>
      <w:r w:rsidRPr="00E5543E">
        <w:rPr>
          <w:rFonts w:eastAsia="Times New Roman" w:cs="Arial"/>
          <w:color w:val="000000"/>
          <w:lang w:eastAsia="bg-BG"/>
        </w:rPr>
        <w:t>е наблюдавана приблизително 1 час (Т</w:t>
      </w:r>
      <w:r w:rsidRPr="00E5543E">
        <w:rPr>
          <w:rFonts w:eastAsia="Times New Roman" w:cs="Arial"/>
          <w:color w:val="000000"/>
          <w:lang w:val="en-US"/>
        </w:rPr>
        <w:t>max</w:t>
      </w:r>
      <w:r w:rsidRPr="00E5543E">
        <w:rPr>
          <w:rFonts w:eastAsia="Times New Roman" w:cs="Arial"/>
          <w:color w:val="000000"/>
          <w:lang w:eastAsia="bg-BG"/>
        </w:rPr>
        <w:t xml:space="preserve">) след приложението при възрастни пациенти на гладно. Средногеометричната </w:t>
      </w:r>
      <w:r w:rsidRPr="00E5543E">
        <w:rPr>
          <w:rFonts w:eastAsia="Times New Roman" w:cs="Arial"/>
          <w:color w:val="000000"/>
          <w:lang w:val="en-US"/>
        </w:rPr>
        <w:t xml:space="preserve">AUC </w:t>
      </w:r>
      <w:r w:rsidRPr="00E5543E">
        <w:rPr>
          <w:rFonts w:eastAsia="Times New Roman" w:cs="Arial"/>
          <w:color w:val="000000"/>
          <w:lang w:eastAsia="bg-BG"/>
        </w:rPr>
        <w:t xml:space="preserve">0-24 </w:t>
      </w:r>
      <w:r w:rsidRPr="00E5543E">
        <w:rPr>
          <w:rFonts w:eastAsia="Times New Roman" w:cs="Arial"/>
          <w:color w:val="000000"/>
          <w:lang w:val="en-US"/>
        </w:rPr>
        <w:t xml:space="preserve">h </w:t>
      </w:r>
      <w:r w:rsidRPr="00E5543E">
        <w:rPr>
          <w:rFonts w:eastAsia="Times New Roman" w:cs="Arial"/>
          <w:color w:val="000000"/>
          <w:lang w:eastAsia="bg-BG"/>
        </w:rPr>
        <w:t>е 37.8 μ</w:t>
      </w:r>
      <w:r w:rsidRPr="00E5543E">
        <w:rPr>
          <w:rFonts w:eastAsia="Times New Roman" w:cs="Arial"/>
          <w:color w:val="000000"/>
          <w:lang w:val="en-US"/>
        </w:rPr>
        <w:t xml:space="preserve">g.hr/ml. </w:t>
      </w:r>
      <w:r w:rsidRPr="00E5543E">
        <w:rPr>
          <w:rFonts w:eastAsia="Times New Roman" w:cs="Arial"/>
          <w:color w:val="000000"/>
          <w:lang w:eastAsia="bg-BG"/>
        </w:rPr>
        <w:t>Фармакокинетиката на еторикоксиб е линейна в рамките на клиничния дозов интервал.</w:t>
      </w:r>
    </w:p>
    <w:p w14:paraId="657567AA" w14:textId="77777777" w:rsidR="00E5543E" w:rsidRPr="00E5543E" w:rsidRDefault="00E5543E" w:rsidP="00E5543E">
      <w:pPr>
        <w:spacing w:line="240" w:lineRule="auto"/>
        <w:rPr>
          <w:rFonts w:eastAsia="Times New Roman" w:cs="Arial"/>
          <w:color w:val="000000"/>
          <w:lang w:eastAsia="bg-BG"/>
        </w:rPr>
      </w:pPr>
    </w:p>
    <w:p w14:paraId="2E65060B" w14:textId="7523475B"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Приемът с храна, богата на мазнини няма ефект върху степента на абсорбция на еторикоксиб след приложение на доза от 120 </w:t>
      </w:r>
      <w:r w:rsidRPr="00E5543E">
        <w:rPr>
          <w:rFonts w:eastAsia="Times New Roman" w:cs="Arial"/>
          <w:color w:val="000000"/>
          <w:lang w:val="en-US"/>
        </w:rPr>
        <w:t xml:space="preserve">mg. </w:t>
      </w:r>
      <w:r w:rsidRPr="00E5543E">
        <w:rPr>
          <w:rFonts w:eastAsia="Times New Roman" w:cs="Arial"/>
          <w:color w:val="000000"/>
          <w:lang w:eastAsia="bg-BG"/>
        </w:rPr>
        <w:t>Скоростта на абсорбцията е била повлияна в следните граници: 36% намаление на С</w:t>
      </w:r>
      <w:r w:rsidRPr="00E5543E">
        <w:rPr>
          <w:rFonts w:eastAsia="Times New Roman" w:cs="Arial"/>
          <w:color w:val="000000"/>
          <w:lang w:val="en-US"/>
        </w:rPr>
        <w:t>max</w:t>
      </w:r>
      <w:r w:rsidRPr="00E5543E">
        <w:rPr>
          <w:rFonts w:eastAsia="Times New Roman" w:cs="Arial"/>
          <w:color w:val="000000"/>
          <w:lang w:eastAsia="bg-BG"/>
        </w:rPr>
        <w:t xml:space="preserve"> и увеличение на Т</w:t>
      </w:r>
      <w:r w:rsidRPr="00E5543E">
        <w:rPr>
          <w:rFonts w:eastAsia="Times New Roman" w:cs="Arial"/>
          <w:color w:val="000000"/>
          <w:lang w:val="en-US"/>
        </w:rPr>
        <w:t>max</w:t>
      </w:r>
      <w:r w:rsidRPr="00E5543E">
        <w:rPr>
          <w:rFonts w:eastAsia="Times New Roman" w:cs="Arial"/>
          <w:color w:val="000000"/>
          <w:lang w:eastAsia="bg-BG"/>
        </w:rPr>
        <w:t xml:space="preserve"> с 2 часа. Тези данни не са били счетени за клинично значими. В клиничните изследвания еторикоксиб е бил взиман независимо от приема на храна.</w:t>
      </w:r>
    </w:p>
    <w:p w14:paraId="1A2B163D" w14:textId="77777777" w:rsidR="00E5543E" w:rsidRPr="00E5543E" w:rsidRDefault="00E5543E" w:rsidP="00E5543E">
      <w:pPr>
        <w:spacing w:line="240" w:lineRule="auto"/>
        <w:rPr>
          <w:rFonts w:eastAsia="Times New Roman" w:cs="Arial"/>
          <w:i/>
          <w:iCs/>
          <w:color w:val="000000"/>
          <w:lang w:eastAsia="bg-BG"/>
        </w:rPr>
      </w:pPr>
    </w:p>
    <w:p w14:paraId="74A59AF3" w14:textId="1295DC24"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Разпределение</w:t>
      </w:r>
    </w:p>
    <w:p w14:paraId="10365D02"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Еторикоксиб се свързва с плазмените протеини в приблизително 92% при концентрации от 0,03 до</w:t>
      </w:r>
    </w:p>
    <w:p w14:paraId="109ACB9A" w14:textId="6416DD77" w:rsidR="00E5543E" w:rsidRPr="00E5543E" w:rsidRDefault="00E5543E" w:rsidP="00E5543E">
      <w:pPr>
        <w:spacing w:line="240" w:lineRule="auto"/>
        <w:rPr>
          <w:rFonts w:eastAsia="Times New Roman" w:cs="Arial"/>
          <w:color w:val="000000"/>
          <w:lang w:eastAsia="bg-BG"/>
        </w:rPr>
      </w:pPr>
      <w:r w:rsidRPr="00E5543E">
        <w:rPr>
          <w:rFonts w:eastAsia="Times New Roman" w:cs="Arial"/>
          <w:color w:val="000000"/>
          <w:lang w:eastAsia="bg-BG"/>
        </w:rPr>
        <w:t>5 μ</w:t>
      </w:r>
      <w:r w:rsidRPr="00E5543E">
        <w:rPr>
          <w:rFonts w:eastAsia="Times New Roman" w:cs="Arial"/>
          <w:color w:val="000000"/>
          <w:lang w:val="en-US"/>
        </w:rPr>
        <w:t xml:space="preserve">g /ml. </w:t>
      </w:r>
      <w:r w:rsidRPr="00E5543E">
        <w:rPr>
          <w:rFonts w:eastAsia="Times New Roman" w:cs="Arial"/>
          <w:color w:val="000000"/>
          <w:lang w:eastAsia="bg-BG"/>
        </w:rPr>
        <w:t xml:space="preserve">Обемът на разпределение в равновесно състояние </w:t>
      </w:r>
      <w:r w:rsidRPr="00E5543E">
        <w:rPr>
          <w:rFonts w:eastAsia="Times New Roman" w:cs="Arial"/>
          <w:color w:val="000000"/>
          <w:lang w:val="en-US"/>
        </w:rPr>
        <w:t>(</w:t>
      </w:r>
      <w:proofErr w:type="spellStart"/>
      <w:r w:rsidRPr="00E5543E">
        <w:rPr>
          <w:rFonts w:eastAsia="Times New Roman" w:cs="Arial"/>
          <w:color w:val="000000"/>
          <w:lang w:val="en-US"/>
        </w:rPr>
        <w:t>Vdss</w:t>
      </w:r>
      <w:proofErr w:type="spellEnd"/>
      <w:r w:rsidRPr="00E5543E">
        <w:rPr>
          <w:rFonts w:eastAsia="Times New Roman" w:cs="Arial"/>
          <w:color w:val="000000"/>
          <w:lang w:val="en-US"/>
        </w:rPr>
        <w:t xml:space="preserve">) </w:t>
      </w:r>
      <w:r w:rsidRPr="00E5543E">
        <w:rPr>
          <w:rFonts w:eastAsia="Times New Roman" w:cs="Arial"/>
          <w:color w:val="000000"/>
          <w:lang w:eastAsia="bg-BG"/>
        </w:rPr>
        <w:t>е бил приблизително 120</w:t>
      </w:r>
      <w:r w:rsidRPr="00E5543E">
        <w:rPr>
          <w:rFonts w:eastAsia="Times New Roman" w:cs="Arial"/>
          <w:color w:val="000000"/>
          <w:lang w:val="en-US"/>
        </w:rPr>
        <w:t xml:space="preserve"> 1 </w:t>
      </w:r>
      <w:r w:rsidRPr="00E5543E">
        <w:rPr>
          <w:rFonts w:eastAsia="Times New Roman" w:cs="Arial"/>
          <w:color w:val="000000"/>
          <w:lang w:eastAsia="bg-BG"/>
        </w:rPr>
        <w:t>при хората.</w:t>
      </w:r>
    </w:p>
    <w:p w14:paraId="5C3B0FF8" w14:textId="60E092F4" w:rsidR="00E5543E" w:rsidRPr="00E5543E" w:rsidRDefault="00E5543E" w:rsidP="00E5543E">
      <w:pPr>
        <w:spacing w:line="240" w:lineRule="auto"/>
        <w:rPr>
          <w:rFonts w:eastAsia="Times New Roman" w:cs="Arial"/>
          <w:color w:val="000000"/>
          <w:lang w:eastAsia="bg-BG"/>
        </w:rPr>
      </w:pPr>
    </w:p>
    <w:p w14:paraId="604A53F7"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Еторикоксиб преминава плацентарната бариера при плъхове и зайци и хематоенцефалната бариера при плъхове.</w:t>
      </w:r>
    </w:p>
    <w:p w14:paraId="2788E499" w14:textId="77777777" w:rsidR="00E5543E" w:rsidRPr="00E5543E" w:rsidRDefault="00E5543E" w:rsidP="00E5543E">
      <w:pPr>
        <w:spacing w:line="240" w:lineRule="auto"/>
        <w:rPr>
          <w:rFonts w:eastAsia="Times New Roman" w:cs="Arial"/>
          <w:i/>
          <w:iCs/>
          <w:color w:val="000000"/>
          <w:lang w:eastAsia="bg-BG"/>
        </w:rPr>
      </w:pPr>
    </w:p>
    <w:p w14:paraId="1E8423D1" w14:textId="2BA301CD"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Биотрансформация</w:t>
      </w:r>
    </w:p>
    <w:p w14:paraId="4E5ED0C8"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Еторикоксиб се метаболизира напълно като &lt; 1% от дозата се установява в урината под формата на изходното лекарство. Основният път на метаболизиране с формиране на 6-хидроксиметил дериват се катализира от </w:t>
      </w:r>
      <w:r w:rsidRPr="00E5543E">
        <w:rPr>
          <w:rFonts w:eastAsia="Times New Roman" w:cs="Arial"/>
          <w:color w:val="000000"/>
          <w:lang w:val="en-US"/>
        </w:rPr>
        <w:t xml:space="preserve">CYP </w:t>
      </w:r>
      <w:r w:rsidRPr="00E5543E">
        <w:rPr>
          <w:rFonts w:eastAsia="Times New Roman" w:cs="Arial"/>
          <w:color w:val="000000"/>
          <w:lang w:eastAsia="bg-BG"/>
        </w:rPr>
        <w:t xml:space="preserve">ензимите. </w:t>
      </w:r>
      <w:r w:rsidRPr="00E5543E">
        <w:rPr>
          <w:rFonts w:eastAsia="Times New Roman" w:cs="Arial"/>
          <w:color w:val="000000"/>
          <w:lang w:val="en-US"/>
        </w:rPr>
        <w:t xml:space="preserve">CYP3A4 </w:t>
      </w:r>
      <w:r w:rsidRPr="00E5543E">
        <w:rPr>
          <w:rFonts w:eastAsia="Times New Roman" w:cs="Arial"/>
          <w:color w:val="000000"/>
          <w:lang w:eastAsia="bg-BG"/>
        </w:rPr>
        <w:t xml:space="preserve">вероятно допринася за метаболизирането на еторикоксиб </w:t>
      </w:r>
      <w:r w:rsidRPr="00E5543E">
        <w:rPr>
          <w:rFonts w:eastAsia="Times New Roman" w:cs="Arial"/>
          <w:i/>
          <w:iCs/>
          <w:color w:val="000000"/>
          <w:lang w:val="en-US"/>
        </w:rPr>
        <w:t>in vivo. In vitro</w:t>
      </w:r>
      <w:r w:rsidRPr="00E5543E">
        <w:rPr>
          <w:rFonts w:eastAsia="Times New Roman" w:cs="Arial"/>
          <w:color w:val="000000"/>
          <w:lang w:val="en-US"/>
        </w:rPr>
        <w:t xml:space="preserve"> </w:t>
      </w:r>
      <w:r w:rsidRPr="00E5543E">
        <w:rPr>
          <w:rFonts w:eastAsia="Times New Roman" w:cs="Arial"/>
          <w:color w:val="000000"/>
          <w:lang w:eastAsia="bg-BG"/>
        </w:rPr>
        <w:t xml:space="preserve">проучванията установяват, че </w:t>
      </w:r>
      <w:r w:rsidRPr="00E5543E">
        <w:rPr>
          <w:rFonts w:eastAsia="Times New Roman" w:cs="Arial"/>
          <w:color w:val="000000"/>
          <w:lang w:val="en-US"/>
        </w:rPr>
        <w:t xml:space="preserve">CYP2D6, CYP2C9, CYP1A2 </w:t>
      </w:r>
      <w:r w:rsidRPr="00E5543E">
        <w:rPr>
          <w:rFonts w:eastAsia="Times New Roman" w:cs="Arial"/>
          <w:color w:val="000000"/>
          <w:lang w:eastAsia="bg-BG"/>
        </w:rPr>
        <w:t xml:space="preserve">и </w:t>
      </w:r>
      <w:r w:rsidRPr="00E5543E">
        <w:rPr>
          <w:rFonts w:eastAsia="Times New Roman" w:cs="Arial"/>
          <w:color w:val="000000"/>
          <w:lang w:val="en-US"/>
        </w:rPr>
        <w:t xml:space="preserve">CYP2C19 </w:t>
      </w:r>
      <w:r w:rsidRPr="00E5543E">
        <w:rPr>
          <w:rFonts w:eastAsia="Times New Roman" w:cs="Arial"/>
          <w:color w:val="000000"/>
          <w:lang w:eastAsia="bg-BG"/>
        </w:rPr>
        <w:t xml:space="preserve">също може да катализират основната метаболитна верига, но техните количествени отношения </w:t>
      </w:r>
      <w:r w:rsidRPr="00E5543E">
        <w:rPr>
          <w:rFonts w:eastAsia="Times New Roman" w:cs="Arial"/>
          <w:i/>
          <w:iCs/>
          <w:color w:val="000000"/>
          <w:lang w:val="en-US"/>
        </w:rPr>
        <w:t>in vivo</w:t>
      </w:r>
      <w:r w:rsidRPr="00E5543E">
        <w:rPr>
          <w:rFonts w:eastAsia="Times New Roman" w:cs="Arial"/>
          <w:color w:val="000000"/>
          <w:lang w:val="en-US"/>
        </w:rPr>
        <w:t xml:space="preserve"> </w:t>
      </w:r>
      <w:r w:rsidRPr="00E5543E">
        <w:rPr>
          <w:rFonts w:eastAsia="Times New Roman" w:cs="Arial"/>
          <w:color w:val="000000"/>
          <w:lang w:eastAsia="bg-BG"/>
        </w:rPr>
        <w:t>не са проучвани.</w:t>
      </w:r>
    </w:p>
    <w:p w14:paraId="7C615C51" w14:textId="77777777" w:rsidR="00E5543E" w:rsidRPr="00E5543E" w:rsidRDefault="00E5543E" w:rsidP="00E5543E">
      <w:pPr>
        <w:spacing w:line="240" w:lineRule="auto"/>
        <w:rPr>
          <w:rFonts w:eastAsia="Times New Roman" w:cs="Arial"/>
          <w:color w:val="000000"/>
          <w:lang w:eastAsia="bg-BG"/>
        </w:rPr>
      </w:pPr>
    </w:p>
    <w:p w14:paraId="267C69EA" w14:textId="49B6943A"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Идентифицирани са пет метаболита при човека. Основният метаболитен продукт е 6'-карбокси киселинно производно на еторикоксиб, образувано чрез по-нататъшно окисление на 6’- хидроксиметил производното. Тези основни метаболитни продукти или нямат измерима активност, или са слабо активни като СОХ-2 инхибитори. Нито един от тези метаболити не инхибира СОХ-1.</w:t>
      </w:r>
    </w:p>
    <w:p w14:paraId="5D909151" w14:textId="77777777" w:rsidR="00E5543E" w:rsidRPr="00E5543E" w:rsidRDefault="00E5543E" w:rsidP="00E5543E">
      <w:pPr>
        <w:spacing w:line="240" w:lineRule="auto"/>
        <w:rPr>
          <w:rFonts w:eastAsia="Times New Roman" w:cs="Arial"/>
          <w:i/>
          <w:iCs/>
          <w:color w:val="000000"/>
          <w:lang w:eastAsia="bg-BG"/>
        </w:rPr>
      </w:pPr>
    </w:p>
    <w:p w14:paraId="0DF80702" w14:textId="3E1F9B2B"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Елиминиране</w:t>
      </w:r>
    </w:p>
    <w:p w14:paraId="7F3198C3"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След прилагането на еднократна, маркирана с радиоизотоп доза от 25 </w:t>
      </w:r>
      <w:r w:rsidRPr="00E5543E">
        <w:rPr>
          <w:rFonts w:eastAsia="Times New Roman" w:cs="Arial"/>
          <w:color w:val="000000"/>
          <w:lang w:val="en-US"/>
        </w:rPr>
        <w:t xml:space="preserve">mg </w:t>
      </w:r>
      <w:r w:rsidRPr="00E5543E">
        <w:rPr>
          <w:rFonts w:eastAsia="Times New Roman" w:cs="Arial"/>
          <w:color w:val="000000"/>
          <w:lang w:eastAsia="bg-BG"/>
        </w:rPr>
        <w:t>еторикоксиб интравенозно на здрави лица, 70% от радиоактивността е била установена в урината и 20% във фекалиите, главно под формата на метаболити. По-малко от 2% е установена под формата на непроменено лекарство.</w:t>
      </w:r>
    </w:p>
    <w:p w14:paraId="0CE27ADD" w14:textId="77777777" w:rsidR="00E5543E" w:rsidRPr="00E5543E" w:rsidRDefault="00E5543E" w:rsidP="00E5543E">
      <w:pPr>
        <w:spacing w:line="240" w:lineRule="auto"/>
        <w:rPr>
          <w:rFonts w:eastAsia="Times New Roman" w:cs="Arial"/>
          <w:color w:val="000000"/>
          <w:lang w:eastAsia="bg-BG"/>
        </w:rPr>
      </w:pPr>
    </w:p>
    <w:p w14:paraId="2CBE6428" w14:textId="0E23C252"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Елиминирането на еторикоксиб става предимно чрез метаболизиране и последваща ренална екскреция. Устойчиви равновесни концентрации на еторикоксиб се установяват в рамките на седем дни при еднократно прилагане на доза от 120 </w:t>
      </w:r>
      <w:r w:rsidRPr="00E5543E">
        <w:rPr>
          <w:rFonts w:eastAsia="Times New Roman" w:cs="Arial"/>
          <w:color w:val="000000"/>
          <w:lang w:val="en-US"/>
        </w:rPr>
        <w:t xml:space="preserve">mg, </w:t>
      </w:r>
      <w:r w:rsidRPr="00E5543E">
        <w:rPr>
          <w:rFonts w:eastAsia="Times New Roman" w:cs="Arial"/>
          <w:color w:val="000000"/>
          <w:lang w:eastAsia="bg-BG"/>
        </w:rPr>
        <w:t xml:space="preserve">при отношение на кумулиране приблизително 2, отговарящо на полуживот от приблизително 22 часа. Плазменият клирънс след интравенозна доза от 25 </w:t>
      </w:r>
      <w:r w:rsidRPr="00E5543E">
        <w:rPr>
          <w:rFonts w:eastAsia="Times New Roman" w:cs="Arial"/>
          <w:color w:val="000000"/>
          <w:lang w:val="en-US"/>
        </w:rPr>
        <w:t xml:space="preserve">mg </w:t>
      </w:r>
      <w:r w:rsidRPr="00E5543E">
        <w:rPr>
          <w:rFonts w:eastAsia="Times New Roman" w:cs="Arial"/>
          <w:color w:val="000000"/>
          <w:lang w:eastAsia="bg-BG"/>
        </w:rPr>
        <w:t xml:space="preserve">е приблизително 50 </w:t>
      </w:r>
      <w:r w:rsidRPr="00E5543E">
        <w:rPr>
          <w:rFonts w:eastAsia="Times New Roman" w:cs="Arial"/>
          <w:color w:val="000000"/>
          <w:lang w:val="en-US"/>
        </w:rPr>
        <w:t xml:space="preserve">ml </w:t>
      </w:r>
      <w:r w:rsidRPr="00E5543E">
        <w:rPr>
          <w:rFonts w:eastAsia="Times New Roman" w:cs="Arial"/>
          <w:color w:val="000000"/>
          <w:lang w:eastAsia="bg-BG"/>
        </w:rPr>
        <w:t>/минута.</w:t>
      </w:r>
    </w:p>
    <w:p w14:paraId="22A14005" w14:textId="77777777" w:rsidR="00E5543E" w:rsidRPr="00E5543E" w:rsidRDefault="00E5543E" w:rsidP="00E5543E">
      <w:pPr>
        <w:spacing w:line="240" w:lineRule="auto"/>
        <w:rPr>
          <w:rFonts w:eastAsia="Times New Roman" w:cs="Arial"/>
          <w:i/>
          <w:iCs/>
          <w:color w:val="000000"/>
          <w:lang w:eastAsia="bg-BG"/>
        </w:rPr>
      </w:pPr>
    </w:p>
    <w:p w14:paraId="1F151AFD" w14:textId="6790372A"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Специални групи пациенти</w:t>
      </w:r>
    </w:p>
    <w:p w14:paraId="07B92831"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Пациенти в старческа възраст'.</w:t>
      </w:r>
      <w:r w:rsidRPr="00E5543E">
        <w:rPr>
          <w:rFonts w:eastAsia="Times New Roman" w:cs="Arial"/>
          <w:color w:val="000000"/>
          <w:lang w:eastAsia="bg-BG"/>
        </w:rPr>
        <w:t xml:space="preserve"> Фармакокинетиката при пациенти в старческа възраст (възраст &gt; 65 години) е близка до тази при младите.</w:t>
      </w:r>
    </w:p>
    <w:p w14:paraId="290FF574" w14:textId="77777777" w:rsidR="00E5543E" w:rsidRPr="00E5543E" w:rsidRDefault="00E5543E" w:rsidP="00E5543E">
      <w:pPr>
        <w:spacing w:line="240" w:lineRule="auto"/>
        <w:rPr>
          <w:rFonts w:eastAsia="Times New Roman" w:cs="Arial"/>
          <w:i/>
          <w:iCs/>
          <w:color w:val="000000"/>
          <w:lang w:eastAsia="bg-BG"/>
        </w:rPr>
      </w:pPr>
    </w:p>
    <w:p w14:paraId="65478FD4" w14:textId="01FEDA79"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Пол:</w:t>
      </w:r>
      <w:r w:rsidRPr="00E5543E">
        <w:rPr>
          <w:rFonts w:eastAsia="Times New Roman" w:cs="Arial"/>
          <w:color w:val="000000"/>
          <w:lang w:eastAsia="bg-BG"/>
        </w:rPr>
        <w:t xml:space="preserve"> Не се установява разлика във фармакокинетиката при мъже и жени.</w:t>
      </w:r>
    </w:p>
    <w:p w14:paraId="6BDC6AEC" w14:textId="77777777" w:rsidR="00E5543E" w:rsidRPr="00E5543E" w:rsidRDefault="00E5543E" w:rsidP="00E5543E">
      <w:pPr>
        <w:spacing w:line="240" w:lineRule="auto"/>
        <w:rPr>
          <w:rFonts w:eastAsia="Times New Roman" w:cs="Arial"/>
          <w:i/>
          <w:iCs/>
          <w:color w:val="000000"/>
          <w:lang w:eastAsia="bg-BG"/>
        </w:rPr>
      </w:pPr>
    </w:p>
    <w:p w14:paraId="0565A26B" w14:textId="1F21B9AA"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Чернодробно увреждане:</w:t>
      </w:r>
      <w:r w:rsidRPr="00E5543E">
        <w:rPr>
          <w:rFonts w:eastAsia="Times New Roman" w:cs="Arial"/>
          <w:color w:val="000000"/>
          <w:lang w:eastAsia="bg-BG"/>
        </w:rPr>
        <w:t xml:space="preserve"> При пациенти с лека степен на чернодробната увреждане </w:t>
      </w:r>
      <w:r w:rsidRPr="00E5543E">
        <w:rPr>
          <w:rFonts w:eastAsia="Times New Roman" w:cs="Arial"/>
          <w:color w:val="000000"/>
          <w:lang w:val="en-US"/>
        </w:rPr>
        <w:t xml:space="preserve">(Child-Pugh </w:t>
      </w:r>
      <w:r w:rsidRPr="00E5543E">
        <w:rPr>
          <w:rFonts w:eastAsia="Times New Roman" w:cs="Arial"/>
          <w:color w:val="000000"/>
          <w:lang w:eastAsia="bg-BG"/>
        </w:rPr>
        <w:t xml:space="preserve">индекс 5-6), прилагането на еторикоксиб в доза 60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е довело до приблизително 16% по-голяма средна </w:t>
      </w:r>
      <w:r w:rsidRPr="00E5543E">
        <w:rPr>
          <w:rFonts w:eastAsia="Times New Roman" w:cs="Arial"/>
          <w:color w:val="000000"/>
          <w:lang w:val="en-US"/>
        </w:rPr>
        <w:t xml:space="preserve">AUC </w:t>
      </w:r>
      <w:r w:rsidRPr="00E5543E">
        <w:rPr>
          <w:rFonts w:eastAsia="Times New Roman" w:cs="Arial"/>
          <w:color w:val="000000"/>
          <w:lang w:eastAsia="bg-BG"/>
        </w:rPr>
        <w:t xml:space="preserve">в сравнение със здрави лица на същия дозов режим. При пациентите с умерена степен на чернодробно увреждане </w:t>
      </w:r>
      <w:r w:rsidRPr="00E5543E">
        <w:rPr>
          <w:rFonts w:eastAsia="Times New Roman" w:cs="Arial"/>
          <w:color w:val="000000"/>
          <w:lang w:val="en-US"/>
        </w:rPr>
        <w:t xml:space="preserve">(Child-Pugh </w:t>
      </w:r>
      <w:r w:rsidRPr="00E5543E">
        <w:rPr>
          <w:rFonts w:eastAsia="Times New Roman" w:cs="Arial"/>
          <w:color w:val="000000"/>
          <w:lang w:eastAsia="bg-BG"/>
        </w:rPr>
        <w:t xml:space="preserve">индекс 7-9), прилагането на еторикоксиб в доза 60 </w:t>
      </w:r>
      <w:r w:rsidRPr="00E5543E">
        <w:rPr>
          <w:rFonts w:eastAsia="Times New Roman" w:cs="Arial"/>
          <w:color w:val="000000"/>
          <w:lang w:val="en-US"/>
        </w:rPr>
        <w:t xml:space="preserve">mg </w:t>
      </w:r>
      <w:r w:rsidRPr="00E5543E">
        <w:rPr>
          <w:rFonts w:eastAsia="Times New Roman" w:cs="Arial"/>
          <w:color w:val="000000"/>
          <w:lang w:eastAsia="bg-BG"/>
        </w:rPr>
        <w:t xml:space="preserve">през ден е довело до средна </w:t>
      </w:r>
      <w:r w:rsidRPr="00E5543E">
        <w:rPr>
          <w:rFonts w:eastAsia="Times New Roman" w:cs="Arial"/>
          <w:color w:val="000000"/>
          <w:lang w:val="en-US"/>
        </w:rPr>
        <w:t xml:space="preserve">AUC, </w:t>
      </w:r>
      <w:r w:rsidRPr="00E5543E">
        <w:rPr>
          <w:rFonts w:eastAsia="Times New Roman" w:cs="Arial"/>
          <w:color w:val="000000"/>
          <w:lang w:eastAsia="bg-BG"/>
        </w:rPr>
        <w:t xml:space="preserve">близка до тази на здравите лица при дозов режим от 60 </w:t>
      </w:r>
      <w:r w:rsidRPr="00E5543E">
        <w:rPr>
          <w:rFonts w:eastAsia="Times New Roman" w:cs="Arial"/>
          <w:color w:val="000000"/>
          <w:lang w:val="en-US"/>
        </w:rPr>
        <w:t xml:space="preserve">mg; </w:t>
      </w:r>
      <w:r w:rsidRPr="00E5543E">
        <w:rPr>
          <w:rFonts w:eastAsia="Times New Roman" w:cs="Arial"/>
          <w:color w:val="000000"/>
          <w:lang w:eastAsia="bg-BG"/>
        </w:rPr>
        <w:t xml:space="preserve">еторикоксиб 30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дневно не е проучван в тази популация. Няма клинични и фармакокинетични данни за пациенти с тежка степен на чернодробно увреждане </w:t>
      </w:r>
      <w:r w:rsidRPr="00E5543E">
        <w:rPr>
          <w:rFonts w:eastAsia="Times New Roman" w:cs="Arial"/>
          <w:color w:val="000000"/>
          <w:lang w:val="en-US"/>
        </w:rPr>
        <w:t xml:space="preserve">(Child-Pugh </w:t>
      </w:r>
      <w:r w:rsidRPr="00E5543E">
        <w:rPr>
          <w:rFonts w:eastAsia="Times New Roman" w:cs="Arial"/>
          <w:color w:val="000000"/>
          <w:lang w:eastAsia="bg-BG"/>
        </w:rPr>
        <w:t>индекс ≥10) (вж. точки 4.2 и 4.3).</w:t>
      </w:r>
    </w:p>
    <w:p w14:paraId="3DB52745" w14:textId="77777777" w:rsidR="00E5543E" w:rsidRPr="00E5543E" w:rsidRDefault="00E5543E" w:rsidP="00E5543E">
      <w:pPr>
        <w:spacing w:line="240" w:lineRule="auto"/>
        <w:rPr>
          <w:rFonts w:eastAsia="Times New Roman" w:cs="Arial"/>
          <w:i/>
          <w:iCs/>
          <w:color w:val="000000"/>
          <w:lang w:eastAsia="bg-BG"/>
        </w:rPr>
      </w:pPr>
    </w:p>
    <w:p w14:paraId="271493A7" w14:textId="64481E09"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Бъбречно увреждане:</w:t>
      </w:r>
      <w:r w:rsidRPr="00E5543E">
        <w:rPr>
          <w:rFonts w:eastAsia="Times New Roman" w:cs="Arial"/>
          <w:color w:val="000000"/>
          <w:lang w:eastAsia="bg-BG"/>
        </w:rPr>
        <w:t xml:space="preserve"> Фармакокинетиката при еднократна доза от 120 </w:t>
      </w:r>
      <w:r w:rsidRPr="00E5543E">
        <w:rPr>
          <w:rFonts w:eastAsia="Times New Roman" w:cs="Arial"/>
          <w:color w:val="000000"/>
          <w:lang w:val="en-US"/>
        </w:rPr>
        <w:t xml:space="preserve">mg </w:t>
      </w:r>
      <w:r w:rsidRPr="00E5543E">
        <w:rPr>
          <w:rFonts w:eastAsia="Times New Roman" w:cs="Arial"/>
          <w:color w:val="000000"/>
          <w:lang w:eastAsia="bg-BG"/>
        </w:rPr>
        <w:t>еторикоксиб, приложена на пациенти с умерена до тежка бъбречна недостатъчност и такива с крайна фаза на бъбречно заболяване на хемодиализа, не се е различавала значимо спрямо тази при здрави лица.</w:t>
      </w:r>
    </w:p>
    <w:p w14:paraId="5B712AA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Хемодиализата е имала малък принос по отношение на елиминирането (диализен клирънс</w:t>
      </w:r>
      <w:r w:rsidRPr="00E5543E">
        <w:rPr>
          <w:rFonts w:eastAsia="Times New Roman" w:cs="Arial"/>
          <w:smallCaps/>
          <w:color w:val="000000"/>
          <w:sz w:val="20"/>
          <w:szCs w:val="20"/>
          <w:lang w:eastAsia="bg-BG"/>
        </w:rPr>
        <w:t xml:space="preserve"> </w:t>
      </w:r>
      <w:r w:rsidRPr="00E5543E">
        <w:rPr>
          <w:rFonts w:eastAsia="Times New Roman" w:cs="Arial"/>
          <w:color w:val="000000"/>
          <w:lang w:eastAsia="bg-BG"/>
        </w:rPr>
        <w:t xml:space="preserve">приблизително 50 </w:t>
      </w:r>
      <w:r w:rsidRPr="00E5543E">
        <w:rPr>
          <w:rFonts w:eastAsia="Times New Roman" w:cs="Arial"/>
          <w:color w:val="000000"/>
          <w:lang w:val="en-US"/>
        </w:rPr>
        <w:t>ml</w:t>
      </w:r>
      <w:r w:rsidRPr="00E5543E">
        <w:rPr>
          <w:rFonts w:eastAsia="Times New Roman" w:cs="Arial"/>
          <w:color w:val="000000"/>
          <w:lang w:eastAsia="bg-BG"/>
        </w:rPr>
        <w:t>/минута) (вж. точки 4.3 и 4.4).</w:t>
      </w:r>
    </w:p>
    <w:p w14:paraId="2E6F1D32" w14:textId="77777777" w:rsidR="00E5543E" w:rsidRPr="00E5543E" w:rsidRDefault="00E5543E" w:rsidP="00E5543E">
      <w:pPr>
        <w:spacing w:line="240" w:lineRule="auto"/>
        <w:rPr>
          <w:rFonts w:eastAsia="Times New Roman" w:cs="Arial"/>
          <w:i/>
          <w:iCs/>
          <w:color w:val="000000"/>
          <w:lang w:eastAsia="bg-BG"/>
        </w:rPr>
      </w:pPr>
    </w:p>
    <w:p w14:paraId="1F7E69B1" w14:textId="69B06066"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Педиатрична популация:</w:t>
      </w:r>
      <w:r w:rsidRPr="00E5543E">
        <w:rPr>
          <w:rFonts w:eastAsia="Times New Roman" w:cs="Arial"/>
          <w:color w:val="000000"/>
          <w:lang w:eastAsia="bg-BG"/>
        </w:rPr>
        <w:t xml:space="preserve"> Фармакокинетиката на еторикоксиб при педиатрични пациенти (възраст &lt; 12 години) не е изследвана.</w:t>
      </w:r>
    </w:p>
    <w:p w14:paraId="22729021" w14:textId="77BFCF77" w:rsidR="00E5543E" w:rsidRPr="00E5543E" w:rsidRDefault="00E5543E" w:rsidP="00E5543E">
      <w:pPr>
        <w:spacing w:line="240" w:lineRule="auto"/>
        <w:rPr>
          <w:rFonts w:eastAsia="Times New Roman" w:cs="Arial"/>
          <w:sz w:val="28"/>
          <w:szCs w:val="28"/>
          <w:lang w:eastAsia="bg-BG"/>
        </w:rPr>
      </w:pPr>
    </w:p>
    <w:p w14:paraId="1487134D" w14:textId="13442294"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При фармакокинетично проучване (</w:t>
      </w:r>
      <w:r w:rsidRPr="00E5543E">
        <w:rPr>
          <w:rFonts w:eastAsia="Times New Roman" w:cs="Arial"/>
          <w:color w:val="000000"/>
          <w:lang w:val="en-US"/>
        </w:rPr>
        <w:t>n</w:t>
      </w:r>
      <w:r w:rsidRPr="00E5543E">
        <w:rPr>
          <w:rFonts w:eastAsia="Times New Roman" w:cs="Arial"/>
          <w:color w:val="000000"/>
          <w:lang w:eastAsia="bg-BG"/>
        </w:rPr>
        <w:t xml:space="preserve">=16) проведено сред юноши (възраст 12-17 години) фармакокинетиката при юношите с тегло от 40 до 60 кг при доза еторикоксиб от 60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и при юношите с тегло &gt; 60 </w:t>
      </w:r>
      <w:r w:rsidRPr="00E5543E">
        <w:rPr>
          <w:rFonts w:eastAsia="Times New Roman" w:cs="Arial"/>
          <w:color w:val="000000"/>
          <w:lang w:val="en-US"/>
        </w:rPr>
        <w:t xml:space="preserve">kg </w:t>
      </w:r>
      <w:r w:rsidRPr="00E5543E">
        <w:rPr>
          <w:rFonts w:eastAsia="Times New Roman" w:cs="Arial"/>
          <w:color w:val="000000"/>
          <w:lang w:eastAsia="bg-BG"/>
        </w:rPr>
        <w:t xml:space="preserve">(доза еторикоксиб 90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е била близка до тази на възрастни, получили еторикоксиб в доза 90 </w:t>
      </w:r>
      <w:r w:rsidRPr="00E5543E">
        <w:rPr>
          <w:rFonts w:eastAsia="Times New Roman" w:cs="Arial"/>
          <w:color w:val="000000"/>
          <w:lang w:val="en-US"/>
        </w:rPr>
        <w:t xml:space="preserve">mg </w:t>
      </w:r>
      <w:r w:rsidRPr="00E5543E">
        <w:rPr>
          <w:rFonts w:eastAsia="Times New Roman" w:cs="Arial"/>
          <w:color w:val="000000"/>
          <w:lang w:eastAsia="bg-BG"/>
        </w:rPr>
        <w:t>веднъж на ден. Безопасността и ефективността на еторикоксиб при педиатрични пациенти не са изследвани (вж. точка 4.2).</w:t>
      </w:r>
    </w:p>
    <w:p w14:paraId="3312C037" w14:textId="77777777" w:rsidR="00E5543E" w:rsidRPr="00E5543E" w:rsidRDefault="00E5543E" w:rsidP="00E5543E">
      <w:pPr>
        <w:rPr>
          <w:rFonts w:cs="Arial"/>
          <w:sz w:val="24"/>
          <w:szCs w:val="24"/>
        </w:rPr>
      </w:pPr>
    </w:p>
    <w:p w14:paraId="6925FEB0" w14:textId="37EF3F97" w:rsidR="00F62E44" w:rsidRDefault="002C50EE" w:rsidP="00387A66">
      <w:pPr>
        <w:pStyle w:val="Heading2"/>
      </w:pPr>
      <w:r>
        <w:t>5.3. Предклинични данни за безопасност</w:t>
      </w:r>
    </w:p>
    <w:p w14:paraId="706743B1" w14:textId="449CD436" w:rsidR="00E5543E" w:rsidRDefault="00E5543E" w:rsidP="00E5543E"/>
    <w:p w14:paraId="056090B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предклиничните проучвания е еторикоксиб не е била установена генна токсичност. Еторикоксиб не е бил канцерогенен при мишки. Плъховете са развили хепатоцелуларен и тиреоиден фоликулоцелуларен аденом при дозировка &gt; 2 пъти дневната при хора [90 </w:t>
      </w:r>
      <w:r w:rsidRPr="00E5543E">
        <w:rPr>
          <w:rFonts w:eastAsia="Times New Roman" w:cs="Arial"/>
          <w:color w:val="000000"/>
          <w:lang w:val="en-US"/>
        </w:rPr>
        <w:t xml:space="preserve">mg] </w:t>
      </w:r>
      <w:r w:rsidRPr="00E5543E">
        <w:rPr>
          <w:rFonts w:eastAsia="Times New Roman" w:cs="Arial"/>
          <w:color w:val="000000"/>
          <w:lang w:eastAsia="bg-BG"/>
        </w:rPr>
        <w:t>и системна ежедневна експозиция в продължение на приблизително 2 години.</w:t>
      </w:r>
    </w:p>
    <w:p w14:paraId="649CCB71" w14:textId="4B29A0C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Хепатоцелуларният и тиреоидният фоликулоцелуларен аденом, наблюдавани при плъховете, са били счетени за резултат на специфичен за плъховете механизъм, свързан с индукция на чернодробните </w:t>
      </w:r>
      <w:r w:rsidRPr="00E5543E">
        <w:rPr>
          <w:rFonts w:eastAsia="Times New Roman" w:cs="Arial"/>
          <w:color w:val="000000"/>
          <w:lang w:val="en-US"/>
        </w:rPr>
        <w:t xml:space="preserve">CYP </w:t>
      </w:r>
      <w:r w:rsidRPr="00E5543E">
        <w:rPr>
          <w:rFonts w:eastAsia="Times New Roman" w:cs="Arial"/>
          <w:color w:val="000000"/>
          <w:lang w:eastAsia="bg-BG"/>
        </w:rPr>
        <w:t xml:space="preserve">ензими. Не е установено еторикоксиб да предизвиква индукция на чернодробния </w:t>
      </w:r>
      <w:r w:rsidRPr="00E5543E">
        <w:rPr>
          <w:rFonts w:eastAsia="Times New Roman" w:cs="Arial"/>
          <w:color w:val="000000"/>
          <w:lang w:val="en-US"/>
        </w:rPr>
        <w:t xml:space="preserve">CYP3A </w:t>
      </w:r>
      <w:r w:rsidRPr="00E5543E">
        <w:rPr>
          <w:rFonts w:eastAsia="Times New Roman" w:cs="Arial"/>
          <w:color w:val="000000"/>
          <w:lang w:eastAsia="bg-BG"/>
        </w:rPr>
        <w:t>ензим при хората.</w:t>
      </w:r>
    </w:p>
    <w:p w14:paraId="2DC2F5C4" w14:textId="77777777" w:rsidR="00E5543E" w:rsidRPr="00E5543E" w:rsidRDefault="00E5543E" w:rsidP="00E5543E">
      <w:pPr>
        <w:spacing w:line="240" w:lineRule="auto"/>
        <w:rPr>
          <w:rFonts w:eastAsia="Times New Roman" w:cs="Arial"/>
          <w:color w:val="000000"/>
          <w:lang w:eastAsia="bg-BG"/>
        </w:rPr>
      </w:pPr>
    </w:p>
    <w:p w14:paraId="6E359DC4" w14:textId="6BA18046"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Гастро-интестиналната токсичност на еторикоксиб при плъховете се увеличава с дозата и времето на експозиция. В проучване на токсичността на еторикоксиб продължило 14 седмици, улцерации на стомашно-чревния тракт са били наблюдавани при експозиция, надхвърлящи тази при човек с прилагането на терапевтичната доза. При проучванията за токсичност в продължение на 53 и 106 седмици, язви в стомашно-чревния тракт са били наблюдавани също така при експозиции, сравними с тези при хора с прилагане на терапевтичната доза. При кучета бъбречни и гастро- интестинални аномалии са били наблюдавани при висока дозова експозиция.</w:t>
      </w:r>
    </w:p>
    <w:p w14:paraId="64309C4A" w14:textId="77777777" w:rsidR="00E5543E" w:rsidRPr="00E5543E" w:rsidRDefault="00E5543E" w:rsidP="00E5543E">
      <w:pPr>
        <w:spacing w:line="240" w:lineRule="auto"/>
        <w:rPr>
          <w:rFonts w:eastAsia="Times New Roman" w:cs="Arial"/>
          <w:color w:val="000000"/>
          <w:lang w:eastAsia="bg-BG"/>
        </w:rPr>
      </w:pPr>
    </w:p>
    <w:p w14:paraId="19F261BD" w14:textId="2B5B2F41"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Еторикоксиб не е показал тератогенност при проучвания за репродуктивна токсичност, проведени върху плъхове с доза 15 </w:t>
      </w:r>
      <w:r w:rsidRPr="00E5543E">
        <w:rPr>
          <w:rFonts w:eastAsia="Times New Roman" w:cs="Arial"/>
          <w:color w:val="000000"/>
          <w:lang w:val="en-US"/>
        </w:rPr>
        <w:t>mg/kg</w:t>
      </w:r>
      <w:r w:rsidRPr="00E5543E">
        <w:rPr>
          <w:rFonts w:eastAsia="Times New Roman" w:cs="Arial"/>
          <w:color w:val="000000"/>
          <w:lang w:eastAsia="bg-BG"/>
        </w:rPr>
        <w:t xml:space="preserve">/дневно (това е приблизително 1,5 пъти над </w:t>
      </w:r>
      <w:r w:rsidRPr="00E5543E">
        <w:rPr>
          <w:rFonts w:eastAsia="Times New Roman" w:cs="Arial"/>
          <w:color w:val="000000"/>
          <w:lang w:eastAsia="bg-BG"/>
        </w:rPr>
        <w:lastRenderedPageBreak/>
        <w:t xml:space="preserve">дневната доза за хора [90 </w:t>
      </w:r>
      <w:r w:rsidRPr="00E5543E">
        <w:rPr>
          <w:rFonts w:eastAsia="Times New Roman" w:cs="Arial"/>
          <w:color w:val="000000"/>
          <w:lang w:val="en-US"/>
        </w:rPr>
        <w:t xml:space="preserve">mg] </w:t>
      </w:r>
      <w:r w:rsidRPr="00E5543E">
        <w:rPr>
          <w:rFonts w:eastAsia="Times New Roman" w:cs="Arial"/>
          <w:color w:val="000000"/>
          <w:lang w:eastAsia="bg-BG"/>
        </w:rPr>
        <w:t xml:space="preserve">при системна експозиция). При зайци е наблюдавано свързано с лечението повишение на сърдечно-съдовите малформации при нива на експозиция под клиничната експозиция при дневната доза за хората (90 </w:t>
      </w:r>
      <w:r w:rsidRPr="00E5543E">
        <w:rPr>
          <w:rFonts w:eastAsia="Times New Roman" w:cs="Arial"/>
          <w:color w:val="000000"/>
          <w:lang w:val="en-US"/>
        </w:rPr>
        <w:t xml:space="preserve">mg). </w:t>
      </w:r>
      <w:r w:rsidRPr="00E5543E">
        <w:rPr>
          <w:rFonts w:eastAsia="Times New Roman" w:cs="Arial"/>
          <w:color w:val="000000"/>
          <w:lang w:eastAsia="bg-BG"/>
        </w:rPr>
        <w:t>Въпреки това, че не са наблюдавани свързани с лечението външни малформации или промени във феталния скелет. При плъховете и зайците е наблюдавано дозозависимо увеличение на постимплантационна загуба при експозиция, еквивалентна на или 1,5 пъти по-голяма от тази при хората (вж. точки 4.3 и 4.6).</w:t>
      </w:r>
    </w:p>
    <w:p w14:paraId="7471D89D" w14:textId="77777777" w:rsidR="00E5543E" w:rsidRPr="00E5543E" w:rsidRDefault="00E5543E" w:rsidP="00E5543E">
      <w:pPr>
        <w:rPr>
          <w:rFonts w:eastAsia="Times New Roman" w:cs="Arial"/>
          <w:color w:val="000000"/>
          <w:lang w:eastAsia="bg-BG"/>
        </w:rPr>
      </w:pPr>
    </w:p>
    <w:p w14:paraId="4F85FFA5" w14:textId="37E8AE42" w:rsidR="00E5543E" w:rsidRPr="00E5543E" w:rsidRDefault="00E5543E" w:rsidP="00E5543E">
      <w:pPr>
        <w:rPr>
          <w:rFonts w:cs="Arial"/>
          <w:sz w:val="24"/>
          <w:szCs w:val="24"/>
        </w:rPr>
      </w:pPr>
      <w:r w:rsidRPr="00E5543E">
        <w:rPr>
          <w:rFonts w:eastAsia="Times New Roman" w:cs="Arial"/>
          <w:color w:val="000000"/>
          <w:lang w:eastAsia="bg-BG"/>
        </w:rPr>
        <w:t>Еторикоксиб се екскретира в млякото на плъховете при лактация, като концентрациите са приблизително два пъти над тези в плазмата. Теглото на малките е намаляло при захранването с мляко от женски плъхове, които са получавали еторикоксиб по време на лактация.</w:t>
      </w:r>
    </w:p>
    <w:p w14:paraId="357049A8" w14:textId="47290726" w:rsidR="00BB22B4" w:rsidRDefault="002C50EE" w:rsidP="00471F10">
      <w:pPr>
        <w:pStyle w:val="Heading1"/>
      </w:pPr>
      <w:r>
        <w:t>7. ПРИТЕЖАТЕЛ НА РАЗРЕШЕНИЕТО ЗА УПОТРЕБА</w:t>
      </w:r>
    </w:p>
    <w:p w14:paraId="0C0422EF" w14:textId="15BCF468" w:rsidR="00E5543E" w:rsidRDefault="00E5543E" w:rsidP="00E5543E"/>
    <w:p w14:paraId="4F74B749" w14:textId="77777777" w:rsidR="00E5543E" w:rsidRPr="00E5543E" w:rsidRDefault="00E5543E" w:rsidP="00E5543E">
      <w:pPr>
        <w:rPr>
          <w:sz w:val="24"/>
          <w:szCs w:val="24"/>
          <w:lang w:val="en-US" w:eastAsia="bg-BG"/>
        </w:rPr>
      </w:pPr>
      <w:r w:rsidRPr="00E5543E">
        <w:rPr>
          <w:lang w:val="en-US"/>
        </w:rPr>
        <w:t xml:space="preserve">STADA </w:t>
      </w:r>
      <w:proofErr w:type="spellStart"/>
      <w:r w:rsidRPr="00E5543E">
        <w:rPr>
          <w:lang w:val="en-US"/>
        </w:rPr>
        <w:t>Arzneimittel</w:t>
      </w:r>
      <w:proofErr w:type="spellEnd"/>
      <w:r w:rsidRPr="00E5543E">
        <w:rPr>
          <w:lang w:val="en-US"/>
        </w:rPr>
        <w:t xml:space="preserve"> AG</w:t>
      </w:r>
    </w:p>
    <w:p w14:paraId="4BA83CE4" w14:textId="77777777" w:rsidR="00E5543E" w:rsidRPr="00E5543E" w:rsidRDefault="00E5543E" w:rsidP="00E5543E">
      <w:pPr>
        <w:rPr>
          <w:sz w:val="24"/>
          <w:szCs w:val="24"/>
          <w:lang w:val="en-US" w:eastAsia="bg-BG"/>
        </w:rPr>
      </w:pPr>
      <w:proofErr w:type="spellStart"/>
      <w:r w:rsidRPr="00E5543E">
        <w:rPr>
          <w:lang w:val="en-US"/>
        </w:rPr>
        <w:t>Stadastrasse</w:t>
      </w:r>
      <w:proofErr w:type="spellEnd"/>
      <w:r w:rsidRPr="00E5543E">
        <w:rPr>
          <w:lang w:val="en-US"/>
        </w:rPr>
        <w:t xml:space="preserve"> </w:t>
      </w:r>
      <w:r w:rsidRPr="00E5543E">
        <w:rPr>
          <w:lang w:eastAsia="bg-BG"/>
        </w:rPr>
        <w:t>2-18</w:t>
      </w:r>
    </w:p>
    <w:p w14:paraId="1034DAB6" w14:textId="77777777" w:rsidR="00E5543E" w:rsidRPr="00E5543E" w:rsidRDefault="00E5543E" w:rsidP="00E5543E">
      <w:pPr>
        <w:rPr>
          <w:sz w:val="24"/>
          <w:szCs w:val="24"/>
          <w:lang w:val="en-US" w:eastAsia="bg-BG"/>
        </w:rPr>
      </w:pPr>
      <w:r w:rsidRPr="00E5543E">
        <w:rPr>
          <w:lang w:eastAsia="bg-BG"/>
        </w:rPr>
        <w:t xml:space="preserve">61118 </w:t>
      </w:r>
      <w:r w:rsidRPr="00E5543E">
        <w:rPr>
          <w:lang w:val="en-US"/>
        </w:rPr>
        <w:t xml:space="preserve">Bad </w:t>
      </w:r>
      <w:proofErr w:type="spellStart"/>
      <w:r w:rsidRPr="00E5543E">
        <w:rPr>
          <w:lang w:val="en-US"/>
        </w:rPr>
        <w:t>Vilbel</w:t>
      </w:r>
      <w:proofErr w:type="spellEnd"/>
    </w:p>
    <w:p w14:paraId="0CF8FB7F" w14:textId="56B73076" w:rsidR="00E5543E" w:rsidRPr="00E5543E" w:rsidRDefault="00E5543E" w:rsidP="00E5543E">
      <w:r w:rsidRPr="00E5543E">
        <w:rPr>
          <w:lang w:eastAsia="bg-BG"/>
        </w:rPr>
        <w:t>Германия</w:t>
      </w:r>
    </w:p>
    <w:p w14:paraId="0A53321D" w14:textId="2F869674" w:rsidR="00EE6C97" w:rsidRDefault="00936AD0" w:rsidP="00A93499">
      <w:pPr>
        <w:pStyle w:val="Heading1"/>
      </w:pPr>
      <w:r>
        <w:t>8.</w:t>
      </w:r>
      <w:r w:rsidR="002C50EE">
        <w:t>НОМЕР НА РАЗРЕШЕНИЕТО ЗА УПОТРЕБА</w:t>
      </w:r>
    </w:p>
    <w:p w14:paraId="5946A42D" w14:textId="0615297E" w:rsidR="00E5543E" w:rsidRDefault="00E5543E" w:rsidP="00E5543E"/>
    <w:p w14:paraId="3797B968" w14:textId="77777777" w:rsidR="00E5543E" w:rsidRPr="00E5543E" w:rsidRDefault="00E5543E" w:rsidP="00E5543E">
      <w:pPr>
        <w:rPr>
          <w:sz w:val="24"/>
          <w:szCs w:val="24"/>
          <w:lang w:eastAsia="bg-BG"/>
        </w:rPr>
      </w:pPr>
      <w:r w:rsidRPr="00E5543E">
        <w:rPr>
          <w:lang w:eastAsia="bg-BG"/>
        </w:rPr>
        <w:t xml:space="preserve">Етористад 60 </w:t>
      </w:r>
      <w:r w:rsidRPr="00E5543E">
        <w:rPr>
          <w:lang w:val="en-US"/>
        </w:rPr>
        <w:t xml:space="preserve">mg </w:t>
      </w:r>
      <w:r w:rsidRPr="00E5543E">
        <w:rPr>
          <w:lang w:eastAsia="bg-BG"/>
        </w:rPr>
        <w:t>филмирани таблетки: 20170295</w:t>
      </w:r>
    </w:p>
    <w:p w14:paraId="52B097BB" w14:textId="77777777" w:rsidR="00E5543E" w:rsidRPr="00E5543E" w:rsidRDefault="00E5543E" w:rsidP="00E5543E">
      <w:pPr>
        <w:rPr>
          <w:sz w:val="24"/>
          <w:szCs w:val="24"/>
          <w:lang w:eastAsia="bg-BG"/>
        </w:rPr>
      </w:pPr>
      <w:r w:rsidRPr="00E5543E">
        <w:rPr>
          <w:lang w:eastAsia="bg-BG"/>
        </w:rPr>
        <w:t xml:space="preserve">Етористад 90 </w:t>
      </w:r>
      <w:r w:rsidRPr="00E5543E">
        <w:rPr>
          <w:lang w:val="en-US"/>
        </w:rPr>
        <w:t xml:space="preserve">mg </w:t>
      </w:r>
      <w:r w:rsidRPr="00E5543E">
        <w:rPr>
          <w:lang w:eastAsia="bg-BG"/>
        </w:rPr>
        <w:t>филмирани таблетки: 20170296</w:t>
      </w:r>
    </w:p>
    <w:p w14:paraId="74E583C3" w14:textId="0FA34805" w:rsidR="00E5543E" w:rsidRPr="00E5543E" w:rsidRDefault="00E5543E" w:rsidP="00E5543E">
      <w:pPr>
        <w:rPr>
          <w:sz w:val="24"/>
          <w:szCs w:val="24"/>
          <w:lang w:eastAsia="bg-BG"/>
        </w:rPr>
      </w:pPr>
      <w:r w:rsidRPr="00E5543E">
        <w:rPr>
          <w:lang w:eastAsia="bg-BG"/>
        </w:rPr>
        <w:t xml:space="preserve">Етористад 120 </w:t>
      </w:r>
      <w:r w:rsidRPr="00E5543E">
        <w:rPr>
          <w:lang w:val="en-US"/>
        </w:rPr>
        <w:t xml:space="preserve">mg </w:t>
      </w:r>
      <w:r w:rsidRPr="00E5543E">
        <w:rPr>
          <w:lang w:eastAsia="bg-BG"/>
        </w:rPr>
        <w:t>филмирани таблетки: 20170297</w:t>
      </w:r>
    </w:p>
    <w:p w14:paraId="7C2688F5" w14:textId="6D610EDF" w:rsidR="00F62E44" w:rsidRDefault="00F62E44" w:rsidP="00F62E44"/>
    <w:p w14:paraId="00481C21" w14:textId="370ADD11" w:rsidR="00F62E44" w:rsidRDefault="002C50EE" w:rsidP="00387A66">
      <w:pPr>
        <w:pStyle w:val="Heading1"/>
      </w:pPr>
      <w:r>
        <w:t>9. ДАТА НА ПЪРВО РАЗРЕШАВАНЕ/ПОДНОВЯВАНЕ НА РАЗРЕШЕНИЕТО ЗА УПОТРЕБА</w:t>
      </w:r>
    </w:p>
    <w:p w14:paraId="36CFB263" w14:textId="58FB584E" w:rsidR="00E5543E" w:rsidRDefault="00E5543E" w:rsidP="00E5543E"/>
    <w:p w14:paraId="52480F66" w14:textId="77777777" w:rsidR="00E5543E" w:rsidRPr="00E5543E" w:rsidRDefault="00E5543E" w:rsidP="00E5543E">
      <w:pPr>
        <w:rPr>
          <w:sz w:val="24"/>
          <w:szCs w:val="24"/>
          <w:lang w:eastAsia="bg-BG"/>
        </w:rPr>
      </w:pPr>
      <w:r w:rsidRPr="00E5543E">
        <w:rPr>
          <w:lang w:eastAsia="bg-BG"/>
        </w:rPr>
        <w:t>Дата на първо разрешаване: 05.10.2017</w:t>
      </w:r>
    </w:p>
    <w:p w14:paraId="3D778818" w14:textId="3183AEEC" w:rsidR="00E5543E" w:rsidRPr="00E5543E" w:rsidRDefault="00E5543E" w:rsidP="00E5543E">
      <w:r w:rsidRPr="00E5543E">
        <w:rPr>
          <w:lang w:eastAsia="bg-BG"/>
        </w:rPr>
        <w:t>Дата на последно подновяване:</w:t>
      </w:r>
    </w:p>
    <w:p w14:paraId="43FB38A2" w14:textId="0C18A683" w:rsidR="007C605B" w:rsidRDefault="002C50EE" w:rsidP="005726E3">
      <w:pPr>
        <w:pStyle w:val="Heading1"/>
      </w:pPr>
      <w:r>
        <w:t>10. ДАТА НА АКТУАЛИЗИРАНЕ НА ТЕКСТА</w:t>
      </w:r>
      <w:bookmarkEnd w:id="0"/>
    </w:p>
    <w:p w14:paraId="472617BD" w14:textId="674000F6" w:rsidR="00BB22B4" w:rsidRPr="00BB22B4" w:rsidRDefault="00E5543E" w:rsidP="00E5543E">
      <w:r>
        <w:t>Ноември 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02CE6"/>
    <w:multiLevelType w:val="hybridMultilevel"/>
    <w:tmpl w:val="3E166116"/>
    <w:lvl w:ilvl="0" w:tplc="86BC3B7A">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15322622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7E6202"/>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85D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5543E"/>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8062</Words>
  <Characters>45960</Characters>
  <Application>Microsoft Office Word</Application>
  <DocSecurity>0</DocSecurity>
  <Lines>383</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2023-02-25T10:30:00Z</dcterms:created>
  <dcterms:modified xsi:type="dcterms:W3CDTF">2023-02-25T10:30:00Z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