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6AA1DB4" w:rsidR="00AA23EC" w:rsidRDefault="00DD466D" w:rsidP="00DD466D">
      <w:pPr>
        <w:pStyle w:val="Heading1"/>
      </w:pPr>
      <w:r>
        <w:t>1.ИМЕ НА ЛЕКАРСТВЕНИЯ ПРОДУКТ</w:t>
      </w:r>
    </w:p>
    <w:p w14:paraId="47422BFA" w14:textId="509DE864" w:rsidR="0005639D" w:rsidRDefault="0005639D" w:rsidP="0005639D"/>
    <w:p w14:paraId="5A370CAB" w14:textId="77777777" w:rsidR="0005639D" w:rsidRPr="0005639D" w:rsidRDefault="0005639D" w:rsidP="0005639D">
      <w:pPr>
        <w:rPr>
          <w:sz w:val="24"/>
          <w:szCs w:val="24"/>
        </w:rPr>
      </w:pPr>
      <w:r w:rsidRPr="0005639D">
        <w:rPr>
          <w:lang w:eastAsia="bg-BG"/>
        </w:rPr>
        <w:t>Еутирокс 25 микрограма таблетки</w:t>
      </w:r>
    </w:p>
    <w:p w14:paraId="0CEDF50F" w14:textId="77777777" w:rsidR="0005639D" w:rsidRPr="0005639D" w:rsidRDefault="0005639D" w:rsidP="0005639D">
      <w:pPr>
        <w:rPr>
          <w:sz w:val="24"/>
          <w:szCs w:val="24"/>
        </w:rPr>
      </w:pPr>
      <w:r w:rsidRPr="0005639D">
        <w:rPr>
          <w:lang w:eastAsia="bg-BG"/>
        </w:rPr>
        <w:t>Еутирокс 50 микрограма таблетки</w:t>
      </w:r>
    </w:p>
    <w:p w14:paraId="1FDEFA5F" w14:textId="77777777" w:rsidR="0005639D" w:rsidRPr="0005639D" w:rsidRDefault="0005639D" w:rsidP="0005639D">
      <w:pPr>
        <w:rPr>
          <w:sz w:val="24"/>
          <w:szCs w:val="24"/>
        </w:rPr>
      </w:pPr>
      <w:r w:rsidRPr="0005639D">
        <w:rPr>
          <w:lang w:eastAsia="bg-BG"/>
        </w:rPr>
        <w:t>Еутирокс 75 микрограма таблетки</w:t>
      </w:r>
    </w:p>
    <w:p w14:paraId="4837D1A6" w14:textId="77777777" w:rsidR="0005639D" w:rsidRPr="0005639D" w:rsidRDefault="0005639D" w:rsidP="0005639D">
      <w:pPr>
        <w:rPr>
          <w:sz w:val="24"/>
          <w:szCs w:val="24"/>
        </w:rPr>
      </w:pPr>
      <w:r w:rsidRPr="0005639D">
        <w:rPr>
          <w:lang w:eastAsia="bg-BG"/>
        </w:rPr>
        <w:t>Еутирокс 100 микрограма таблетки</w:t>
      </w:r>
    </w:p>
    <w:p w14:paraId="20729D8E" w14:textId="77777777" w:rsidR="0005639D" w:rsidRPr="0005639D" w:rsidRDefault="0005639D" w:rsidP="0005639D">
      <w:pPr>
        <w:rPr>
          <w:sz w:val="24"/>
          <w:szCs w:val="24"/>
        </w:rPr>
      </w:pPr>
      <w:r w:rsidRPr="0005639D">
        <w:rPr>
          <w:lang w:eastAsia="bg-BG"/>
        </w:rPr>
        <w:t>Еутирокс 125 микрограма таблетки</w:t>
      </w:r>
    </w:p>
    <w:p w14:paraId="5C95D848" w14:textId="77777777" w:rsidR="0005639D" w:rsidRPr="0005639D" w:rsidRDefault="0005639D" w:rsidP="0005639D"/>
    <w:p w14:paraId="681318AA" w14:textId="46AC5717" w:rsidR="0005639D" w:rsidRPr="0005639D" w:rsidRDefault="0005639D" w:rsidP="0005639D">
      <w:pPr>
        <w:rPr>
          <w:sz w:val="24"/>
          <w:szCs w:val="24"/>
        </w:rPr>
      </w:pPr>
      <w:proofErr w:type="spellStart"/>
      <w:r w:rsidRPr="0005639D">
        <w:rPr>
          <w:lang w:val="en-US"/>
        </w:rPr>
        <w:t>Euthyrox</w:t>
      </w:r>
      <w:proofErr w:type="spellEnd"/>
      <w:r w:rsidRPr="0005639D">
        <w:t xml:space="preserve"> </w:t>
      </w:r>
      <w:r w:rsidRPr="0005639D">
        <w:rPr>
          <w:lang w:eastAsia="bg-BG"/>
        </w:rPr>
        <w:t xml:space="preserve">25 </w:t>
      </w:r>
      <w:r w:rsidRPr="0005639D">
        <w:rPr>
          <w:lang w:val="en-US"/>
        </w:rPr>
        <w:t>micrograms</w:t>
      </w:r>
      <w:r w:rsidRPr="0005639D">
        <w:t xml:space="preserve"> </w:t>
      </w:r>
      <w:r w:rsidRPr="0005639D">
        <w:rPr>
          <w:lang w:val="en-US"/>
        </w:rPr>
        <w:t>tablets</w:t>
      </w:r>
    </w:p>
    <w:p w14:paraId="3FA627EC"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50 micrograms tablets</w:t>
      </w:r>
    </w:p>
    <w:p w14:paraId="64564D5E"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75 micrograms tablets</w:t>
      </w:r>
    </w:p>
    <w:p w14:paraId="5DE2F7AC"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100 micrograms tablets</w:t>
      </w:r>
    </w:p>
    <w:p w14:paraId="67446A3B"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125 micrograms tablets</w:t>
      </w:r>
    </w:p>
    <w:p w14:paraId="54E9249C" w14:textId="77777777" w:rsidR="0005639D" w:rsidRPr="0005639D" w:rsidRDefault="0005639D" w:rsidP="0005639D"/>
    <w:p w14:paraId="0A368469" w14:textId="4281790C" w:rsidR="00C0049F" w:rsidRDefault="00DD466D" w:rsidP="009F1313">
      <w:pPr>
        <w:pStyle w:val="Heading1"/>
      </w:pPr>
      <w:r>
        <w:t>2. КАЧЕСТВЕН И КОЛИЧЕСТВЕН СЪСТАВ</w:t>
      </w:r>
    </w:p>
    <w:p w14:paraId="7C0D9CC5" w14:textId="3144227C" w:rsidR="0005639D" w:rsidRDefault="0005639D" w:rsidP="0005639D"/>
    <w:p w14:paraId="550BBA66"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25 микрограма</w:t>
      </w:r>
    </w:p>
    <w:p w14:paraId="3DFABD5C"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573F584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25 микрограма (еквивалентни на 24.31 микрограма левотироксин)</w:t>
      </w:r>
    </w:p>
    <w:p w14:paraId="34296352"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(0.0182 </w:t>
      </w:r>
      <w:r w:rsidRPr="0005639D">
        <w:rPr>
          <w:rFonts w:eastAsia="Times New Roman" w:cs="Arial"/>
          <w:color w:val="000000"/>
          <w:szCs w:val="44"/>
          <w:lang w:val="en-US"/>
        </w:rPr>
        <w:t>mg</w:t>
      </w:r>
      <w:r w:rsidRPr="0005639D">
        <w:rPr>
          <w:rFonts w:eastAsia="Times New Roman" w:cs="Arial"/>
          <w:color w:val="000000"/>
          <w:szCs w:val="44"/>
          <w:lang w:val="ru-RU"/>
        </w:rPr>
        <w:t>)</w:t>
      </w:r>
    </w:p>
    <w:p w14:paraId="42B96854" w14:textId="77777777" w:rsidR="0005639D" w:rsidRDefault="0005639D" w:rsidP="0005639D">
      <w:pPr>
        <w:spacing w:line="240" w:lineRule="auto"/>
        <w:rPr>
          <w:rFonts w:eastAsia="Times New Roman" w:cs="Arial"/>
          <w:color w:val="000000"/>
          <w:szCs w:val="44"/>
          <w:lang w:eastAsia="bg-BG"/>
        </w:rPr>
      </w:pPr>
    </w:p>
    <w:p w14:paraId="32D412FD" w14:textId="7DDA81FB"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50 микрограма</w:t>
      </w:r>
    </w:p>
    <w:p w14:paraId="0CE9315B"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6917216F"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50 микрограма (еквивалентни на 48.62 микрограма левотироксин)</w:t>
      </w:r>
    </w:p>
    <w:p w14:paraId="376A941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(0.0190 </w:t>
      </w:r>
      <w:r w:rsidRPr="0005639D">
        <w:rPr>
          <w:rFonts w:eastAsia="Times New Roman" w:cs="Arial"/>
          <w:color w:val="000000"/>
          <w:szCs w:val="44"/>
          <w:lang w:val="en-US"/>
        </w:rPr>
        <w:t>mg</w:t>
      </w:r>
      <w:r w:rsidRPr="0005639D">
        <w:rPr>
          <w:rFonts w:eastAsia="Times New Roman" w:cs="Arial"/>
          <w:color w:val="000000"/>
          <w:szCs w:val="44"/>
          <w:lang w:val="ru-RU"/>
        </w:rPr>
        <w:t>)</w:t>
      </w:r>
    </w:p>
    <w:p w14:paraId="3EDEA130" w14:textId="77777777" w:rsidR="0005639D" w:rsidRDefault="0005639D" w:rsidP="0005639D">
      <w:pPr>
        <w:spacing w:line="240" w:lineRule="auto"/>
        <w:rPr>
          <w:rFonts w:eastAsia="Times New Roman" w:cs="Arial"/>
          <w:color w:val="000000"/>
          <w:szCs w:val="44"/>
          <w:lang w:eastAsia="bg-BG"/>
        </w:rPr>
      </w:pPr>
    </w:p>
    <w:p w14:paraId="0EBF0381" w14:textId="602D2483"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75 микрограма</w:t>
      </w:r>
    </w:p>
    <w:p w14:paraId="50F62F99"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0F8CE238"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75 микрограма (еквивалентни на 72.96 микрограма левотироксин)</w:t>
      </w:r>
    </w:p>
    <w:p w14:paraId="2ACF2575"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(0.0197 </w:t>
      </w:r>
      <w:r w:rsidRPr="0005639D">
        <w:rPr>
          <w:rFonts w:eastAsia="Times New Roman" w:cs="Arial"/>
          <w:color w:val="000000"/>
          <w:szCs w:val="44"/>
          <w:lang w:val="en-US"/>
        </w:rPr>
        <w:t>mg</w:t>
      </w:r>
      <w:r w:rsidRPr="0005639D">
        <w:rPr>
          <w:rFonts w:eastAsia="Times New Roman" w:cs="Arial"/>
          <w:color w:val="000000"/>
          <w:szCs w:val="44"/>
          <w:lang w:val="ru-RU"/>
        </w:rPr>
        <w:t>)</w:t>
      </w:r>
    </w:p>
    <w:p w14:paraId="62A49D23" w14:textId="77777777" w:rsidR="0005639D" w:rsidRDefault="0005639D" w:rsidP="0005639D">
      <w:pPr>
        <w:spacing w:line="240" w:lineRule="auto"/>
        <w:rPr>
          <w:rFonts w:eastAsia="Times New Roman" w:cs="Arial"/>
          <w:color w:val="000000"/>
          <w:szCs w:val="44"/>
          <w:lang w:eastAsia="bg-BG"/>
        </w:rPr>
      </w:pPr>
    </w:p>
    <w:p w14:paraId="67DCCC4C" w14:textId="21D0CF12"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100 микрограма</w:t>
      </w:r>
    </w:p>
    <w:p w14:paraId="1C9674CD"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530B933F"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100 микрограма (еквивалентни на 97.28 микрограма левотироксин)</w:t>
      </w:r>
    </w:p>
    <w:p w14:paraId="7E1CA941"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(0.0204 </w:t>
      </w:r>
      <w:r w:rsidRPr="0005639D">
        <w:rPr>
          <w:rFonts w:eastAsia="Times New Roman" w:cs="Arial"/>
          <w:color w:val="000000"/>
          <w:szCs w:val="44"/>
          <w:lang w:val="en-US"/>
        </w:rPr>
        <w:t>mg</w:t>
      </w:r>
      <w:r w:rsidRPr="0005639D">
        <w:rPr>
          <w:rFonts w:eastAsia="Times New Roman" w:cs="Arial"/>
          <w:color w:val="000000"/>
          <w:szCs w:val="44"/>
          <w:lang w:val="ru-RU"/>
        </w:rPr>
        <w:t>)</w:t>
      </w:r>
    </w:p>
    <w:p w14:paraId="01151B9C" w14:textId="77777777" w:rsidR="0005639D" w:rsidRDefault="0005639D" w:rsidP="0005639D">
      <w:pPr>
        <w:spacing w:line="240" w:lineRule="auto"/>
        <w:rPr>
          <w:rFonts w:eastAsia="Times New Roman" w:cs="Arial"/>
          <w:color w:val="000000"/>
          <w:szCs w:val="44"/>
          <w:lang w:eastAsia="bg-BG"/>
        </w:rPr>
      </w:pPr>
    </w:p>
    <w:p w14:paraId="2C962CDC" w14:textId="48E4802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125 микрограма</w:t>
      </w:r>
    </w:p>
    <w:p w14:paraId="1843AC58"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77377D3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125 микрограма (еквивалентни на 121.59 микрограма левотироксин)</w:t>
      </w:r>
    </w:p>
    <w:p w14:paraId="26CA96BF"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lastRenderedPageBreak/>
        <w:t xml:space="preserve">Помощно вещество с установен ефект: натрий (0.0211 </w:t>
      </w:r>
      <w:r w:rsidRPr="0005639D">
        <w:rPr>
          <w:rFonts w:eastAsia="Times New Roman" w:cs="Arial"/>
          <w:color w:val="000000"/>
          <w:szCs w:val="44"/>
          <w:lang w:val="en-US"/>
        </w:rPr>
        <w:t>mg</w:t>
      </w:r>
      <w:r w:rsidRPr="0005639D">
        <w:rPr>
          <w:rFonts w:eastAsia="Times New Roman" w:cs="Arial"/>
          <w:color w:val="000000"/>
          <w:szCs w:val="44"/>
          <w:lang w:val="ru-RU"/>
        </w:rPr>
        <w:t>)</w:t>
      </w:r>
    </w:p>
    <w:p w14:paraId="1DEBBEB3" w14:textId="77777777" w:rsidR="0005639D" w:rsidRPr="0005639D" w:rsidRDefault="0005639D" w:rsidP="0005639D"/>
    <w:p w14:paraId="614984C4" w14:textId="5DE438F4" w:rsidR="008A6AF2" w:rsidRDefault="00DD466D" w:rsidP="002C50EE">
      <w:pPr>
        <w:pStyle w:val="Heading1"/>
      </w:pPr>
      <w:r>
        <w:t>3. ЛЕКАРСТВЕНА ФОРМА</w:t>
      </w:r>
    </w:p>
    <w:p w14:paraId="1769CBB3" w14:textId="50B84A73" w:rsidR="0005639D" w:rsidRDefault="0005639D" w:rsidP="0005639D"/>
    <w:p w14:paraId="490CEF00" w14:textId="0B3E2D9F" w:rsidR="0005639D" w:rsidRPr="0005639D" w:rsidRDefault="0005639D" w:rsidP="0005639D">
      <w:pPr>
        <w:rPr>
          <w:rFonts w:cs="Arial"/>
        </w:rPr>
      </w:pPr>
      <w:r w:rsidRPr="0005639D">
        <w:rPr>
          <w:rFonts w:cs="Arial"/>
        </w:rPr>
        <w:t>Таблетка.</w:t>
      </w:r>
    </w:p>
    <w:p w14:paraId="2B7DC6B3"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Почти бели, кръгли, двустранно плоски таблетки, с делителна черта, със скосени ръбове и с надпис от едната страна:</w:t>
      </w:r>
    </w:p>
    <w:p w14:paraId="00D22613" w14:textId="77777777" w:rsidR="0005639D" w:rsidRPr="0005639D" w:rsidRDefault="0005639D" w:rsidP="0005639D">
      <w:pPr>
        <w:rPr>
          <w:rFonts w:eastAsia="Times New Roman" w:cs="Arial"/>
          <w:color w:val="000000"/>
          <w:lang w:eastAsia="bg-BG"/>
        </w:rPr>
      </w:pPr>
    </w:p>
    <w:p w14:paraId="133C84FE" w14:textId="443D5AD3"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25 микрограма</w:t>
      </w:r>
      <w:r w:rsidRPr="0005639D">
        <w:rPr>
          <w:rFonts w:eastAsia="Times New Roman" w:cs="Arial"/>
          <w:color w:val="000000"/>
          <w:lang w:eastAsia="bg-BG"/>
        </w:rPr>
        <w:tab/>
        <w:t>ЕМ</w:t>
      </w:r>
      <w:r w:rsidRPr="0005639D">
        <w:rPr>
          <w:rFonts w:eastAsia="Times New Roman" w:cs="Arial"/>
          <w:color w:val="000000"/>
          <w:lang w:eastAsia="bg-BG"/>
        </w:rPr>
        <w:tab/>
        <w:t>25</w:t>
      </w:r>
    </w:p>
    <w:p w14:paraId="13C6AE16"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50 микрограма</w:t>
      </w:r>
      <w:r w:rsidRPr="0005639D">
        <w:rPr>
          <w:rFonts w:eastAsia="Times New Roman" w:cs="Arial"/>
          <w:color w:val="000000"/>
          <w:lang w:eastAsia="bg-BG"/>
        </w:rPr>
        <w:tab/>
        <w:t>ЕМ</w:t>
      </w:r>
      <w:r w:rsidRPr="0005639D">
        <w:rPr>
          <w:rFonts w:eastAsia="Times New Roman" w:cs="Arial"/>
          <w:color w:val="000000"/>
          <w:lang w:eastAsia="bg-BG"/>
        </w:rPr>
        <w:tab/>
        <w:t>50</w:t>
      </w:r>
    </w:p>
    <w:p w14:paraId="4811431B"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75 микрограма</w:t>
      </w:r>
      <w:r w:rsidRPr="0005639D">
        <w:rPr>
          <w:rFonts w:eastAsia="Times New Roman" w:cs="Arial"/>
          <w:color w:val="000000"/>
          <w:lang w:eastAsia="bg-BG"/>
        </w:rPr>
        <w:tab/>
        <w:t>ЕМ</w:t>
      </w:r>
      <w:r w:rsidRPr="0005639D">
        <w:rPr>
          <w:rFonts w:eastAsia="Times New Roman" w:cs="Arial"/>
          <w:color w:val="000000"/>
          <w:lang w:eastAsia="bg-BG"/>
        </w:rPr>
        <w:tab/>
        <w:t>75</w:t>
      </w:r>
    </w:p>
    <w:p w14:paraId="594836BA"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100 микрограма</w:t>
      </w:r>
      <w:r w:rsidRPr="0005639D">
        <w:rPr>
          <w:rFonts w:eastAsia="Times New Roman" w:cs="Arial"/>
          <w:color w:val="000000"/>
          <w:lang w:eastAsia="bg-BG"/>
        </w:rPr>
        <w:tab/>
      </w:r>
      <w:r w:rsidRPr="0005639D">
        <w:rPr>
          <w:rFonts w:eastAsia="Times New Roman" w:cs="Arial"/>
          <w:color w:val="000000"/>
          <w:lang w:val="en-US"/>
        </w:rPr>
        <w:t>EM</w:t>
      </w:r>
      <w:r w:rsidRPr="0005639D">
        <w:rPr>
          <w:rFonts w:eastAsia="Times New Roman" w:cs="Arial"/>
          <w:color w:val="000000"/>
          <w:lang w:val="ru-RU"/>
        </w:rPr>
        <w:tab/>
      </w:r>
      <w:r w:rsidRPr="0005639D">
        <w:rPr>
          <w:rFonts w:eastAsia="Times New Roman" w:cs="Arial"/>
          <w:color w:val="000000"/>
          <w:lang w:eastAsia="bg-BG"/>
        </w:rPr>
        <w:t>100</w:t>
      </w:r>
    </w:p>
    <w:p w14:paraId="42686832"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125 микрограма</w:t>
      </w:r>
      <w:r w:rsidRPr="0005639D">
        <w:rPr>
          <w:rFonts w:eastAsia="Times New Roman" w:cs="Arial"/>
          <w:color w:val="000000"/>
          <w:lang w:eastAsia="bg-BG"/>
        </w:rPr>
        <w:tab/>
        <w:t>ЕМ</w:t>
      </w:r>
      <w:r w:rsidRPr="0005639D">
        <w:rPr>
          <w:rFonts w:eastAsia="Times New Roman" w:cs="Arial"/>
          <w:color w:val="000000"/>
          <w:lang w:eastAsia="bg-BG"/>
        </w:rPr>
        <w:tab/>
        <w:t>125</w:t>
      </w:r>
    </w:p>
    <w:p w14:paraId="63FE8841" w14:textId="77777777" w:rsidR="0005639D" w:rsidRPr="0005639D" w:rsidRDefault="0005639D" w:rsidP="0005639D">
      <w:pPr>
        <w:rPr>
          <w:rFonts w:eastAsia="Times New Roman" w:cs="Arial"/>
          <w:color w:val="000000"/>
          <w:lang w:eastAsia="bg-BG"/>
        </w:rPr>
      </w:pPr>
    </w:p>
    <w:p w14:paraId="3A720BD9" w14:textId="190B5D14" w:rsidR="0005639D" w:rsidRPr="0005639D" w:rsidRDefault="0005639D" w:rsidP="0005639D">
      <w:pPr>
        <w:rPr>
          <w:rFonts w:eastAsia="Times New Roman" w:cs="Arial"/>
          <w:sz w:val="24"/>
          <w:szCs w:val="24"/>
        </w:rPr>
      </w:pPr>
      <w:r w:rsidRPr="0005639D">
        <w:rPr>
          <w:rFonts w:eastAsia="Times New Roman" w:cs="Arial"/>
          <w:color w:val="000000"/>
          <w:lang w:eastAsia="bg-BG"/>
        </w:rPr>
        <w:t>Таблетката може да бъде разделена на две равни дози.</w:t>
      </w:r>
    </w:p>
    <w:p w14:paraId="6B68EA6D" w14:textId="77777777" w:rsidR="0005639D" w:rsidRPr="0005639D" w:rsidRDefault="0005639D" w:rsidP="0005639D"/>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466E5653" w:rsidR="00395555" w:rsidRDefault="00395555" w:rsidP="00395555"/>
    <w:p w14:paraId="14788E1F" w14:textId="77777777" w:rsidR="0005639D" w:rsidRPr="0005639D" w:rsidRDefault="0005639D" w:rsidP="0005639D">
      <w:pPr>
        <w:rPr>
          <w:sz w:val="24"/>
          <w:szCs w:val="24"/>
        </w:rPr>
      </w:pPr>
      <w:r w:rsidRPr="0005639D">
        <w:rPr>
          <w:lang w:eastAsia="bg-BG"/>
        </w:rPr>
        <w:t>Еутирокс 25 - 125 микрограма:</w:t>
      </w:r>
    </w:p>
    <w:p w14:paraId="6FF0FF72" w14:textId="50BE5836" w:rsidR="0005639D" w:rsidRPr="0005639D" w:rsidRDefault="0005639D" w:rsidP="0005639D">
      <w:pPr>
        <w:pStyle w:val="ListParagraph"/>
        <w:numPr>
          <w:ilvl w:val="0"/>
          <w:numId w:val="32"/>
        </w:numPr>
        <w:rPr>
          <w:sz w:val="24"/>
          <w:szCs w:val="24"/>
        </w:rPr>
      </w:pPr>
      <w:r w:rsidRPr="0005639D">
        <w:rPr>
          <w:lang w:eastAsia="bg-BG"/>
        </w:rPr>
        <w:t>Лечение на доброкачествена еутиреоидна струма</w:t>
      </w:r>
    </w:p>
    <w:p w14:paraId="0B849D7F" w14:textId="3BE978A7" w:rsidR="0005639D" w:rsidRPr="0005639D" w:rsidRDefault="0005639D" w:rsidP="0005639D">
      <w:pPr>
        <w:pStyle w:val="ListParagraph"/>
        <w:numPr>
          <w:ilvl w:val="0"/>
          <w:numId w:val="32"/>
        </w:numPr>
        <w:rPr>
          <w:sz w:val="24"/>
          <w:szCs w:val="24"/>
        </w:rPr>
      </w:pPr>
      <w:r w:rsidRPr="0005639D">
        <w:rPr>
          <w:lang w:eastAsia="bg-BG"/>
        </w:rPr>
        <w:t>Профилактика на рецидив след хирургично лечение на еутиреоидна струма, в зависимост от постоперативния хормонален статус</w:t>
      </w:r>
    </w:p>
    <w:p w14:paraId="799AC5F5" w14:textId="35B168A0" w:rsidR="0005639D" w:rsidRPr="0005639D" w:rsidRDefault="0005639D" w:rsidP="0005639D">
      <w:pPr>
        <w:pStyle w:val="ListParagraph"/>
        <w:numPr>
          <w:ilvl w:val="0"/>
          <w:numId w:val="32"/>
        </w:numPr>
        <w:rPr>
          <w:sz w:val="24"/>
          <w:szCs w:val="24"/>
        </w:rPr>
      </w:pPr>
      <w:r w:rsidRPr="0005639D">
        <w:rPr>
          <w:lang w:eastAsia="bg-BG"/>
        </w:rPr>
        <w:t>Заместително лечение на хипотиреоидизъм</w:t>
      </w:r>
    </w:p>
    <w:p w14:paraId="41A94A61" w14:textId="1F4F55AC" w:rsidR="0005639D" w:rsidRPr="0005639D" w:rsidRDefault="0005639D" w:rsidP="0005639D">
      <w:pPr>
        <w:pStyle w:val="ListParagraph"/>
        <w:numPr>
          <w:ilvl w:val="0"/>
          <w:numId w:val="32"/>
        </w:numPr>
        <w:rPr>
          <w:sz w:val="24"/>
          <w:szCs w:val="24"/>
        </w:rPr>
      </w:pPr>
      <w:r w:rsidRPr="0005639D">
        <w:rPr>
          <w:lang w:eastAsia="bg-BG"/>
        </w:rPr>
        <w:t>Супресивно лечение при рак на щитовидната жлеза</w:t>
      </w:r>
    </w:p>
    <w:p w14:paraId="50E8E9E6" w14:textId="77777777" w:rsidR="0005639D" w:rsidRDefault="0005639D" w:rsidP="0005639D">
      <w:pPr>
        <w:rPr>
          <w:lang w:eastAsia="bg-BG"/>
        </w:rPr>
      </w:pPr>
    </w:p>
    <w:p w14:paraId="1697472E" w14:textId="34B64E5C" w:rsidR="0005639D" w:rsidRPr="0005639D" w:rsidRDefault="0005639D" w:rsidP="0005639D">
      <w:pPr>
        <w:rPr>
          <w:sz w:val="24"/>
          <w:szCs w:val="24"/>
        </w:rPr>
      </w:pPr>
      <w:r w:rsidRPr="0005639D">
        <w:rPr>
          <w:lang w:eastAsia="bg-BG"/>
        </w:rPr>
        <w:t>Еутирокс 25-100 микрограма:</w:t>
      </w:r>
    </w:p>
    <w:p w14:paraId="44925E51" w14:textId="424D445B" w:rsidR="0005639D" w:rsidRPr="0005639D" w:rsidRDefault="0005639D" w:rsidP="0005639D">
      <w:pPr>
        <w:pStyle w:val="ListParagraph"/>
        <w:numPr>
          <w:ilvl w:val="0"/>
          <w:numId w:val="32"/>
        </w:numPr>
        <w:rPr>
          <w:sz w:val="24"/>
          <w:szCs w:val="24"/>
        </w:rPr>
      </w:pPr>
      <w:r w:rsidRPr="0005639D">
        <w:rPr>
          <w:lang w:eastAsia="bg-BG"/>
        </w:rPr>
        <w:t>Съпътстващо лечение при антитиреоидна терапия на хипертиреоидизъм</w:t>
      </w:r>
    </w:p>
    <w:p w14:paraId="5660EDE4" w14:textId="77777777" w:rsidR="0005639D" w:rsidRDefault="0005639D" w:rsidP="0005639D">
      <w:pPr>
        <w:rPr>
          <w:lang w:eastAsia="bg-BG"/>
        </w:rPr>
      </w:pPr>
    </w:p>
    <w:p w14:paraId="3E392284" w14:textId="12620B87" w:rsidR="0005639D" w:rsidRPr="0005639D" w:rsidRDefault="0005639D" w:rsidP="0005639D">
      <w:pPr>
        <w:rPr>
          <w:sz w:val="24"/>
          <w:szCs w:val="24"/>
        </w:rPr>
      </w:pPr>
      <w:r w:rsidRPr="0005639D">
        <w:rPr>
          <w:lang w:eastAsia="bg-BG"/>
        </w:rPr>
        <w:t>Еутирокс 100 микрограма:</w:t>
      </w:r>
    </w:p>
    <w:p w14:paraId="30EDFAAB" w14:textId="1A02CDF9" w:rsidR="0005639D" w:rsidRPr="0005639D" w:rsidRDefault="0005639D" w:rsidP="0005639D">
      <w:pPr>
        <w:pStyle w:val="ListParagraph"/>
        <w:numPr>
          <w:ilvl w:val="0"/>
          <w:numId w:val="32"/>
        </w:numPr>
        <w:rPr>
          <w:sz w:val="24"/>
          <w:szCs w:val="24"/>
        </w:rPr>
      </w:pPr>
      <w:r w:rsidRPr="0005639D">
        <w:rPr>
          <w:lang w:eastAsia="bg-BG"/>
        </w:rPr>
        <w:t>Диагностично приложение при супресивно изследване на щитовидната жлеза</w:t>
      </w:r>
    </w:p>
    <w:p w14:paraId="11F29183" w14:textId="77777777" w:rsidR="0005639D" w:rsidRPr="00395555" w:rsidRDefault="0005639D" w:rsidP="00395555"/>
    <w:p w14:paraId="7C0CA5EB" w14:textId="505995DB" w:rsidR="00C0049F" w:rsidRDefault="002C50EE" w:rsidP="009F1313">
      <w:pPr>
        <w:pStyle w:val="Heading2"/>
      </w:pPr>
      <w:r>
        <w:t>4.2. Дозировка и начин на приложение</w:t>
      </w:r>
    </w:p>
    <w:p w14:paraId="17D6DD56" w14:textId="28F5D980" w:rsidR="0005639D" w:rsidRDefault="0005639D" w:rsidP="0005639D"/>
    <w:p w14:paraId="6BCE8C85" w14:textId="77777777" w:rsidR="0005639D" w:rsidRPr="0005639D" w:rsidRDefault="0005639D" w:rsidP="0005639D">
      <w:pPr>
        <w:pStyle w:val="Heading3"/>
        <w:rPr>
          <w:rFonts w:eastAsia="Times New Roman"/>
          <w:sz w:val="12"/>
          <w:u w:val="single"/>
        </w:rPr>
      </w:pPr>
      <w:r w:rsidRPr="0005639D">
        <w:rPr>
          <w:rFonts w:eastAsia="Times New Roman"/>
          <w:u w:val="single"/>
          <w:lang w:eastAsia="bg-BG"/>
        </w:rPr>
        <w:t>Дозировка</w:t>
      </w:r>
    </w:p>
    <w:p w14:paraId="3064C5A1" w14:textId="77777777" w:rsidR="0005639D" w:rsidRPr="0005639D" w:rsidRDefault="0005639D" w:rsidP="0005639D">
      <w:pPr>
        <w:spacing w:line="240" w:lineRule="auto"/>
        <w:rPr>
          <w:rFonts w:eastAsia="Times New Roman" w:cs="Arial"/>
          <w:color w:val="000000"/>
          <w:szCs w:val="44"/>
          <w:lang w:eastAsia="bg-BG"/>
        </w:rPr>
      </w:pPr>
    </w:p>
    <w:p w14:paraId="6DF1CE43" w14:textId="5D0F560B"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За да се лекува всеки пациент според индивидуалните му нужди, има таблетки, съдържащи левотироксин натрий от 25 до 125 микрограма. Затова обикновено пациентите приемат само по една таблетка дневно.</w:t>
      </w:r>
    </w:p>
    <w:p w14:paraId="1933389B" w14:textId="77777777" w:rsidR="0005639D" w:rsidRPr="0005639D" w:rsidRDefault="0005639D" w:rsidP="0005639D">
      <w:pPr>
        <w:spacing w:line="240" w:lineRule="auto"/>
        <w:rPr>
          <w:rFonts w:eastAsia="Times New Roman" w:cs="Arial"/>
          <w:color w:val="000000"/>
          <w:szCs w:val="44"/>
          <w:lang w:eastAsia="bg-BG"/>
        </w:rPr>
      </w:pPr>
    </w:p>
    <w:p w14:paraId="7082DB98" w14:textId="2452D7F3"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Препоръчителните дози могат да служат само за насока.</w:t>
      </w:r>
    </w:p>
    <w:p w14:paraId="727241CA" w14:textId="77777777" w:rsidR="0005639D" w:rsidRPr="0005639D" w:rsidRDefault="0005639D" w:rsidP="0005639D">
      <w:pPr>
        <w:spacing w:line="240" w:lineRule="auto"/>
        <w:rPr>
          <w:rFonts w:eastAsia="Times New Roman" w:cs="Arial"/>
          <w:color w:val="000000"/>
          <w:szCs w:val="44"/>
          <w:lang w:eastAsia="bg-BG"/>
        </w:rPr>
      </w:pPr>
    </w:p>
    <w:p w14:paraId="672F4EC7" w14:textId="1FD611B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Индивидуалната дневна доза трябва да се определя на базата на лабораторни тестове и клинични прегледи.</w:t>
      </w:r>
    </w:p>
    <w:p w14:paraId="1CEE0C2D"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lastRenderedPageBreak/>
        <w:t>Тъй като при определен брой пациенти има повишени концентрации на Т</w:t>
      </w:r>
      <w:r w:rsidRPr="0005639D">
        <w:rPr>
          <w:rFonts w:eastAsia="Times New Roman" w:cs="Arial"/>
          <w:color w:val="000000"/>
          <w:szCs w:val="44"/>
          <w:vertAlign w:val="subscript"/>
          <w:lang w:eastAsia="bg-BG"/>
        </w:rPr>
        <w:t>4</w:t>
      </w:r>
      <w:r w:rsidRPr="0005639D">
        <w:rPr>
          <w:rFonts w:eastAsia="Times New Roman" w:cs="Arial"/>
          <w:color w:val="000000"/>
          <w:szCs w:val="44"/>
          <w:lang w:eastAsia="bg-BG"/>
        </w:rPr>
        <w:t xml:space="preserve"> и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vertAlign w:val="subscript"/>
          <w:lang w:val="ru-RU"/>
        </w:rPr>
        <w:t>4</w:t>
      </w:r>
      <w:r w:rsidRPr="0005639D">
        <w:rPr>
          <w:rFonts w:eastAsia="Times New Roman" w:cs="Arial"/>
          <w:color w:val="000000"/>
          <w:szCs w:val="44"/>
          <w:lang w:eastAsia="bg-BG"/>
        </w:rPr>
        <w:t>, базалната серумна концентрация на тиреостимулиращия хормон осигурява по-надеждна основа за посочения курс на лечение.</w:t>
      </w:r>
    </w:p>
    <w:p w14:paraId="7355D2B1"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Тиреоидната хормонална терапия трябва да се започне с ниска доза и постепенно да се увеличава на всеки 2 до 4 седмици до достигане на окончателната заместваща доза.</w:t>
      </w:r>
    </w:p>
    <w:p w14:paraId="333F5614" w14:textId="77777777" w:rsidR="0005639D" w:rsidRPr="0005639D" w:rsidRDefault="0005639D" w:rsidP="0005639D">
      <w:pPr>
        <w:spacing w:line="240" w:lineRule="auto"/>
        <w:rPr>
          <w:rFonts w:eastAsia="Times New Roman" w:cs="Arial"/>
          <w:i/>
          <w:iCs/>
          <w:color w:val="000000"/>
          <w:szCs w:val="44"/>
          <w:lang w:eastAsia="bg-BG"/>
        </w:rPr>
      </w:pPr>
    </w:p>
    <w:p w14:paraId="3E80C0EB" w14:textId="4B3E61EB"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Педиатрична популация</w:t>
      </w:r>
    </w:p>
    <w:p w14:paraId="6C75D182"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новородени и кърмачета с вроден хипотиреоидизъм, при които е важно бързото заместване, първоначалната препоръчвана доза е от 10 до 15 микрограма на килограм телесно тегло за първите 3 месеца. След това дозата трябва да се адаптира индивидуално, в зависимост от клиничните данни и нивата на тироидния хормон и ТСХ.</w:t>
      </w:r>
    </w:p>
    <w:p w14:paraId="7EF355C5"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Когато при пациенти в старческа възраст, при пациенти с коронарно сърдечно заболяване и при пациенти с тежък или съществуващ от дълго време хипотиреоидизъм се започне терапия с тиреоидни хормони, се изисква специално внимание, т.е. трябва да се започне с ниска начална доза (например 12,5 микрограма/ден), която след това да се повишава бавно и на големи интервали (например постепенно повишаване на дозата на всеки две седмици с 12,5 микрограма/ден), при често изследване на тиреоидните хормони. Възможно е да се назначи доза, по-ниска от оптималната, осигуряваща напълно заместителната терапия, въпреки че това може да не доведе до пълна корекция на нивата на ТСХ.</w:t>
      </w:r>
    </w:p>
    <w:p w14:paraId="5C83E6E9" w14:textId="77777777" w:rsidR="0005639D" w:rsidRPr="0005639D" w:rsidRDefault="0005639D" w:rsidP="0005639D">
      <w:pPr>
        <w:rPr>
          <w:rFonts w:eastAsia="Times New Roman" w:cs="Arial"/>
          <w:color w:val="000000"/>
          <w:szCs w:val="44"/>
          <w:lang w:eastAsia="bg-BG"/>
        </w:rPr>
      </w:pPr>
    </w:p>
    <w:p w14:paraId="7AA5D23F" w14:textId="52D6B5DE" w:rsidR="0005639D" w:rsidRDefault="0005639D" w:rsidP="0005639D">
      <w:pPr>
        <w:rPr>
          <w:rFonts w:eastAsia="Times New Roman" w:cs="Arial"/>
          <w:color w:val="000000"/>
          <w:szCs w:val="44"/>
          <w:lang w:eastAsia="bg-BG"/>
        </w:rPr>
      </w:pPr>
      <w:r w:rsidRPr="0005639D">
        <w:rPr>
          <w:rFonts w:eastAsia="Times New Roman" w:cs="Arial"/>
          <w:color w:val="000000"/>
          <w:szCs w:val="44"/>
          <w:lang w:eastAsia="bg-BG"/>
        </w:rPr>
        <w:t>Опитът показва, че по-ниски дози са достатъчни за лечението на пациенти с</w:t>
      </w:r>
      <w:r w:rsidRPr="0005639D">
        <w:rPr>
          <w:rFonts w:eastAsia="Times New Roman" w:cs="Arial"/>
          <w:color w:val="000000"/>
          <w:szCs w:val="44"/>
          <w:lang w:val="ru-RU"/>
        </w:rPr>
        <w:t xml:space="preserve"> </w:t>
      </w:r>
      <w:r w:rsidRPr="0005639D">
        <w:rPr>
          <w:rFonts w:eastAsia="Times New Roman" w:cs="Arial"/>
          <w:color w:val="000000"/>
          <w:szCs w:val="44"/>
          <w:lang w:eastAsia="bg-BG"/>
        </w:rPr>
        <w:t>ниско тегло или при пациенти с голяма нодозна струма.</w:t>
      </w:r>
    </w:p>
    <w:p w14:paraId="120BE2CA" w14:textId="6D080A64" w:rsidR="0005639D" w:rsidRDefault="0005639D" w:rsidP="0005639D">
      <w:pPr>
        <w:rPr>
          <w:rFonts w:eastAsia="Times New Roman" w:cs="Arial"/>
          <w:color w:val="000000"/>
          <w:szCs w:val="44"/>
          <w:lang w:eastAsia="bg-BG"/>
        </w:rPr>
      </w:pPr>
    </w:p>
    <w:tbl>
      <w:tblPr>
        <w:tblStyle w:val="TableGrid"/>
        <w:tblW w:w="9890" w:type="dxa"/>
        <w:tblLook w:val="04A0" w:firstRow="1" w:lastRow="0" w:firstColumn="1" w:lastColumn="0" w:noHBand="0" w:noVBand="1"/>
      </w:tblPr>
      <w:tblGrid>
        <w:gridCol w:w="3434"/>
        <w:gridCol w:w="1430"/>
        <w:gridCol w:w="1257"/>
        <w:gridCol w:w="1257"/>
        <w:gridCol w:w="1256"/>
        <w:gridCol w:w="1036"/>
        <w:gridCol w:w="220"/>
      </w:tblGrid>
      <w:tr w:rsidR="0005639D" w14:paraId="44D2FC47" w14:textId="77777777" w:rsidTr="0005639D">
        <w:trPr>
          <w:gridAfter w:val="1"/>
          <w:wAfter w:w="238" w:type="dxa"/>
        </w:trPr>
        <w:tc>
          <w:tcPr>
            <w:tcW w:w="3978" w:type="dxa"/>
          </w:tcPr>
          <w:p w14:paraId="3C9A71A8" w14:textId="4A61B0CA" w:rsidR="0005639D" w:rsidRPr="0005639D" w:rsidRDefault="0005639D" w:rsidP="0005639D">
            <w:pPr>
              <w:rPr>
                <w:rFonts w:cs="Arial"/>
              </w:rPr>
            </w:pPr>
            <w:r w:rsidRPr="0005639D">
              <w:rPr>
                <w:b/>
                <w:bCs/>
                <w:szCs w:val="44"/>
              </w:rPr>
              <w:t>Показание</w:t>
            </w:r>
          </w:p>
        </w:tc>
        <w:tc>
          <w:tcPr>
            <w:tcW w:w="5674" w:type="dxa"/>
            <w:gridSpan w:val="5"/>
          </w:tcPr>
          <w:p w14:paraId="79120EE9" w14:textId="20C801A9" w:rsidR="0005639D" w:rsidRPr="0005639D" w:rsidRDefault="0005639D" w:rsidP="0005639D">
            <w:pPr>
              <w:rPr>
                <w:rFonts w:cs="Arial"/>
              </w:rPr>
            </w:pPr>
            <w:r w:rsidRPr="0005639D">
              <w:rPr>
                <w:b/>
                <w:bCs/>
                <w:szCs w:val="44"/>
              </w:rPr>
              <w:t xml:space="preserve">Препоръчителна доза </w:t>
            </w:r>
            <w:r w:rsidRPr="0005639D">
              <w:rPr>
                <w:szCs w:val="44"/>
              </w:rPr>
              <w:t>(микрограма левотироксин натрий/дневно)</w:t>
            </w:r>
          </w:p>
        </w:tc>
      </w:tr>
      <w:tr w:rsidR="0005639D" w14:paraId="473E04BA" w14:textId="77777777" w:rsidTr="0005639D">
        <w:trPr>
          <w:gridAfter w:val="1"/>
          <w:wAfter w:w="238" w:type="dxa"/>
        </w:trPr>
        <w:tc>
          <w:tcPr>
            <w:tcW w:w="3978" w:type="dxa"/>
          </w:tcPr>
          <w:p w14:paraId="6D24FE8A" w14:textId="33F486CA" w:rsidR="0005639D" w:rsidRPr="0005639D" w:rsidRDefault="0005639D" w:rsidP="0005639D">
            <w:pPr>
              <w:rPr>
                <w:rFonts w:cs="Arial"/>
              </w:rPr>
            </w:pPr>
            <w:r w:rsidRPr="0005639D">
              <w:rPr>
                <w:szCs w:val="44"/>
              </w:rPr>
              <w:t>Лечение на доброкачествена еутиреоидна струма</w:t>
            </w:r>
          </w:p>
        </w:tc>
        <w:tc>
          <w:tcPr>
            <w:tcW w:w="5674" w:type="dxa"/>
            <w:gridSpan w:val="5"/>
          </w:tcPr>
          <w:p w14:paraId="755489F9" w14:textId="46E3B76B" w:rsidR="0005639D" w:rsidRPr="0005639D" w:rsidRDefault="0005639D" w:rsidP="0005639D">
            <w:pPr>
              <w:rPr>
                <w:rFonts w:cs="Arial"/>
              </w:rPr>
            </w:pPr>
            <w:r w:rsidRPr="0005639D">
              <w:rPr>
                <w:szCs w:val="44"/>
              </w:rPr>
              <w:t>75 - 200</w:t>
            </w:r>
          </w:p>
        </w:tc>
      </w:tr>
      <w:tr w:rsidR="0005639D" w14:paraId="777532CD" w14:textId="77777777" w:rsidTr="0005639D">
        <w:trPr>
          <w:gridAfter w:val="1"/>
          <w:wAfter w:w="238" w:type="dxa"/>
        </w:trPr>
        <w:tc>
          <w:tcPr>
            <w:tcW w:w="3978" w:type="dxa"/>
          </w:tcPr>
          <w:p w14:paraId="3148235F" w14:textId="29005B04" w:rsidR="0005639D" w:rsidRPr="0005639D" w:rsidRDefault="0005639D" w:rsidP="0005639D">
            <w:pPr>
              <w:rPr>
                <w:rFonts w:cs="Arial"/>
              </w:rPr>
            </w:pPr>
            <w:r w:rsidRPr="0005639D">
              <w:rPr>
                <w:szCs w:val="44"/>
              </w:rPr>
              <w:t>Профилактика на рецидив след операция на еутиреоидна струма</w:t>
            </w:r>
          </w:p>
        </w:tc>
        <w:tc>
          <w:tcPr>
            <w:tcW w:w="5674" w:type="dxa"/>
            <w:gridSpan w:val="5"/>
          </w:tcPr>
          <w:p w14:paraId="1F5E15C0" w14:textId="3CBDF51A" w:rsidR="0005639D" w:rsidRPr="0005639D" w:rsidRDefault="0005639D" w:rsidP="0005639D">
            <w:pPr>
              <w:rPr>
                <w:rFonts w:cs="Arial"/>
                <w:lang w:val="en-US"/>
              </w:rPr>
            </w:pPr>
            <w:r>
              <w:rPr>
                <w:rFonts w:cs="Arial"/>
                <w:lang w:val="en-US"/>
              </w:rPr>
              <w:t>75-200</w:t>
            </w:r>
          </w:p>
        </w:tc>
      </w:tr>
      <w:tr w:rsidR="0005639D" w14:paraId="6D854EC1" w14:textId="77777777" w:rsidTr="0005639D">
        <w:trPr>
          <w:gridAfter w:val="1"/>
          <w:wAfter w:w="238" w:type="dxa"/>
        </w:trPr>
        <w:tc>
          <w:tcPr>
            <w:tcW w:w="3978" w:type="dxa"/>
          </w:tcPr>
          <w:p w14:paraId="43309AB5" w14:textId="77777777" w:rsidR="0005639D" w:rsidRPr="0005639D" w:rsidRDefault="0005639D" w:rsidP="0005639D">
            <w:r w:rsidRPr="0005639D">
              <w:rPr>
                <w:szCs w:val="44"/>
              </w:rPr>
              <w:t>Заместително лечение на хипотиреоидизъм при възрастни</w:t>
            </w:r>
          </w:p>
          <w:p w14:paraId="3AABF8DB" w14:textId="7D688DDD" w:rsidR="0005639D" w:rsidRPr="0005639D" w:rsidRDefault="0005639D" w:rsidP="0005639D">
            <w:pPr>
              <w:pStyle w:val="ListParagraph"/>
              <w:numPr>
                <w:ilvl w:val="0"/>
                <w:numId w:val="2"/>
              </w:numPr>
              <w:spacing w:line="240" w:lineRule="auto"/>
              <w:rPr>
                <w:szCs w:val="44"/>
              </w:rPr>
            </w:pPr>
            <w:r w:rsidRPr="0005639D">
              <w:rPr>
                <w:szCs w:val="44"/>
              </w:rPr>
              <w:t>начална доза</w:t>
            </w:r>
          </w:p>
          <w:p w14:paraId="662ACA52" w14:textId="56B4CD92" w:rsidR="0005639D" w:rsidRPr="0005639D" w:rsidRDefault="0005639D" w:rsidP="0005639D">
            <w:pPr>
              <w:pStyle w:val="ListParagraph"/>
              <w:numPr>
                <w:ilvl w:val="0"/>
                <w:numId w:val="2"/>
              </w:numPr>
              <w:rPr>
                <w:rFonts w:cs="Arial"/>
              </w:rPr>
            </w:pPr>
            <w:r w:rsidRPr="0005639D">
              <w:rPr>
                <w:szCs w:val="44"/>
              </w:rPr>
              <w:t>поддържаща доза</w:t>
            </w:r>
          </w:p>
        </w:tc>
        <w:tc>
          <w:tcPr>
            <w:tcW w:w="5674" w:type="dxa"/>
            <w:gridSpan w:val="5"/>
          </w:tcPr>
          <w:p w14:paraId="62454265" w14:textId="77777777" w:rsidR="0005639D" w:rsidRDefault="0005639D" w:rsidP="0005639D">
            <w:pPr>
              <w:rPr>
                <w:szCs w:val="44"/>
              </w:rPr>
            </w:pPr>
          </w:p>
          <w:p w14:paraId="2771E72E" w14:textId="77777777" w:rsidR="0005639D" w:rsidRDefault="0005639D" w:rsidP="0005639D">
            <w:pPr>
              <w:rPr>
                <w:szCs w:val="44"/>
              </w:rPr>
            </w:pPr>
          </w:p>
          <w:p w14:paraId="43C9CDF4" w14:textId="77777777" w:rsidR="0005639D" w:rsidRDefault="0005639D" w:rsidP="0005639D">
            <w:pPr>
              <w:rPr>
                <w:szCs w:val="44"/>
              </w:rPr>
            </w:pPr>
          </w:p>
          <w:p w14:paraId="50D6F5DD" w14:textId="57BE8A3B" w:rsidR="0005639D" w:rsidRPr="0005639D" w:rsidRDefault="0005639D" w:rsidP="0005639D">
            <w:r w:rsidRPr="0005639D">
              <w:rPr>
                <w:szCs w:val="44"/>
              </w:rPr>
              <w:t>25-50</w:t>
            </w:r>
          </w:p>
          <w:p w14:paraId="138B9950" w14:textId="61A3099B" w:rsidR="0005639D" w:rsidRPr="0005639D" w:rsidRDefault="0005639D" w:rsidP="0005639D">
            <w:pPr>
              <w:rPr>
                <w:rFonts w:cs="Arial"/>
              </w:rPr>
            </w:pPr>
            <w:r w:rsidRPr="0005639D">
              <w:rPr>
                <w:szCs w:val="44"/>
              </w:rPr>
              <w:t>100-200</w:t>
            </w:r>
          </w:p>
        </w:tc>
      </w:tr>
      <w:tr w:rsidR="0005639D" w14:paraId="1C893A11" w14:textId="77777777" w:rsidTr="0005639D">
        <w:trPr>
          <w:gridAfter w:val="1"/>
          <w:wAfter w:w="238" w:type="dxa"/>
        </w:trPr>
        <w:tc>
          <w:tcPr>
            <w:tcW w:w="3978" w:type="dxa"/>
          </w:tcPr>
          <w:p w14:paraId="46B475D8" w14:textId="77777777" w:rsidR="0005639D" w:rsidRPr="0005639D" w:rsidRDefault="0005639D" w:rsidP="0005639D">
            <w:r w:rsidRPr="0005639D">
              <w:rPr>
                <w:szCs w:val="44"/>
              </w:rPr>
              <w:t>Заместително лечение на хипотиреоидизъм при деца</w:t>
            </w:r>
          </w:p>
          <w:p w14:paraId="5B676E44" w14:textId="77777777" w:rsidR="0005639D" w:rsidRDefault="0005639D" w:rsidP="0005639D">
            <w:pPr>
              <w:pStyle w:val="ListParagraph"/>
              <w:numPr>
                <w:ilvl w:val="0"/>
                <w:numId w:val="2"/>
              </w:numPr>
              <w:spacing w:line="240" w:lineRule="auto"/>
              <w:rPr>
                <w:szCs w:val="44"/>
              </w:rPr>
            </w:pPr>
            <w:r w:rsidRPr="0005639D">
              <w:rPr>
                <w:szCs w:val="44"/>
              </w:rPr>
              <w:t>начална доза</w:t>
            </w:r>
          </w:p>
          <w:p w14:paraId="2E2B20E6" w14:textId="336F99AE" w:rsidR="0005639D" w:rsidRPr="0005639D" w:rsidRDefault="0005639D" w:rsidP="0005639D">
            <w:pPr>
              <w:pStyle w:val="ListParagraph"/>
              <w:numPr>
                <w:ilvl w:val="0"/>
                <w:numId w:val="2"/>
              </w:numPr>
              <w:spacing w:line="240" w:lineRule="auto"/>
              <w:rPr>
                <w:szCs w:val="44"/>
              </w:rPr>
            </w:pPr>
            <w:r w:rsidRPr="0005639D">
              <w:rPr>
                <w:szCs w:val="44"/>
              </w:rPr>
              <w:t>поддържаща доза</w:t>
            </w:r>
          </w:p>
        </w:tc>
        <w:tc>
          <w:tcPr>
            <w:tcW w:w="5674" w:type="dxa"/>
            <w:gridSpan w:val="5"/>
          </w:tcPr>
          <w:p w14:paraId="4DE2F544" w14:textId="77777777" w:rsidR="0005639D" w:rsidRDefault="0005639D" w:rsidP="0005639D">
            <w:pPr>
              <w:rPr>
                <w:szCs w:val="44"/>
              </w:rPr>
            </w:pPr>
          </w:p>
          <w:p w14:paraId="5D075C93" w14:textId="77777777" w:rsidR="0005639D" w:rsidRDefault="0005639D" w:rsidP="0005639D">
            <w:pPr>
              <w:rPr>
                <w:szCs w:val="44"/>
              </w:rPr>
            </w:pPr>
          </w:p>
          <w:p w14:paraId="4ED6A700" w14:textId="62D13852" w:rsidR="0005639D" w:rsidRPr="0005639D" w:rsidRDefault="0005639D" w:rsidP="0005639D">
            <w:r w:rsidRPr="0005639D">
              <w:rPr>
                <w:szCs w:val="44"/>
              </w:rPr>
              <w:t>12.5-50</w:t>
            </w:r>
          </w:p>
          <w:p w14:paraId="68A4FCF5" w14:textId="1BD1970D" w:rsidR="0005639D" w:rsidRPr="0005639D" w:rsidRDefault="0005639D" w:rsidP="0005639D">
            <w:pPr>
              <w:rPr>
                <w:rFonts w:cs="Arial"/>
              </w:rPr>
            </w:pPr>
            <w:r w:rsidRPr="0005639D">
              <w:rPr>
                <w:szCs w:val="44"/>
              </w:rPr>
              <w:t>100- 150 микрограма</w:t>
            </w:r>
            <w:r w:rsidRPr="0005639D">
              <w:rPr>
                <w:szCs w:val="44"/>
                <w:lang w:val="en-US"/>
              </w:rPr>
              <w:t>/m</w:t>
            </w:r>
            <w:r w:rsidRPr="0005639D">
              <w:rPr>
                <w:szCs w:val="44"/>
                <w:vertAlign w:val="superscript"/>
                <w:lang w:val="en-US"/>
              </w:rPr>
              <w:t>2</w:t>
            </w:r>
            <w:r w:rsidRPr="0005639D">
              <w:rPr>
                <w:szCs w:val="44"/>
                <w:lang w:val="en-US"/>
              </w:rPr>
              <w:t xml:space="preserve"> </w:t>
            </w:r>
            <w:r w:rsidRPr="0005639D">
              <w:rPr>
                <w:szCs w:val="44"/>
              </w:rPr>
              <w:t>телесна повърхност</w:t>
            </w:r>
          </w:p>
        </w:tc>
      </w:tr>
      <w:tr w:rsidR="0005639D" w14:paraId="4D40ECE5" w14:textId="77777777" w:rsidTr="0005639D">
        <w:trPr>
          <w:gridAfter w:val="1"/>
          <w:wAfter w:w="238" w:type="dxa"/>
        </w:trPr>
        <w:tc>
          <w:tcPr>
            <w:tcW w:w="3978" w:type="dxa"/>
          </w:tcPr>
          <w:p w14:paraId="578569B4" w14:textId="529C7E5A" w:rsidR="0005639D" w:rsidRPr="0005639D" w:rsidRDefault="0005639D" w:rsidP="0005639D">
            <w:pPr>
              <w:rPr>
                <w:rFonts w:cs="Arial"/>
              </w:rPr>
            </w:pPr>
            <w:r w:rsidRPr="0005639D">
              <w:rPr>
                <w:szCs w:val="44"/>
              </w:rPr>
              <w:t>Съпътстваща терапия при лечение на хипертиреоидизъм с тиреостатици</w:t>
            </w:r>
          </w:p>
        </w:tc>
        <w:tc>
          <w:tcPr>
            <w:tcW w:w="5674" w:type="dxa"/>
            <w:gridSpan w:val="5"/>
          </w:tcPr>
          <w:p w14:paraId="7A7DF585" w14:textId="58A8181D" w:rsidR="0005639D" w:rsidRPr="0005639D" w:rsidRDefault="0005639D" w:rsidP="0005639D">
            <w:pPr>
              <w:rPr>
                <w:rFonts w:cs="Arial"/>
              </w:rPr>
            </w:pPr>
            <w:r w:rsidRPr="0005639D">
              <w:rPr>
                <w:szCs w:val="44"/>
              </w:rPr>
              <w:t>50-100</w:t>
            </w:r>
          </w:p>
        </w:tc>
      </w:tr>
      <w:tr w:rsidR="0005639D" w14:paraId="06893A03" w14:textId="77777777" w:rsidTr="0005639D">
        <w:trPr>
          <w:gridAfter w:val="1"/>
          <w:wAfter w:w="238" w:type="dxa"/>
        </w:trPr>
        <w:tc>
          <w:tcPr>
            <w:tcW w:w="3978" w:type="dxa"/>
          </w:tcPr>
          <w:p w14:paraId="4ECCF784" w14:textId="43B1ED12" w:rsidR="0005639D" w:rsidRPr="0005639D" w:rsidRDefault="0005639D" w:rsidP="0005639D">
            <w:pPr>
              <w:rPr>
                <w:rFonts w:cs="Arial"/>
              </w:rPr>
            </w:pPr>
            <w:r w:rsidRPr="0005639D">
              <w:rPr>
                <w:szCs w:val="44"/>
              </w:rPr>
              <w:t>Супресивно лечение на карцином на щитовидната жлеза</w:t>
            </w:r>
          </w:p>
        </w:tc>
        <w:tc>
          <w:tcPr>
            <w:tcW w:w="5674" w:type="dxa"/>
            <w:gridSpan w:val="5"/>
          </w:tcPr>
          <w:p w14:paraId="120936D5" w14:textId="1BE0B1E5" w:rsidR="0005639D" w:rsidRPr="0005639D" w:rsidRDefault="0005639D" w:rsidP="0005639D">
            <w:pPr>
              <w:rPr>
                <w:rFonts w:cs="Arial"/>
              </w:rPr>
            </w:pPr>
            <w:r w:rsidRPr="0005639D">
              <w:rPr>
                <w:szCs w:val="44"/>
              </w:rPr>
              <w:t>150-300</w:t>
            </w:r>
          </w:p>
        </w:tc>
      </w:tr>
      <w:tr w:rsidR="0005639D" w14:paraId="1926155F" w14:textId="77777777" w:rsidTr="0005639D">
        <w:tc>
          <w:tcPr>
            <w:tcW w:w="3978" w:type="dxa"/>
            <w:vMerge w:val="restart"/>
          </w:tcPr>
          <w:p w14:paraId="59833425" w14:textId="7EAC0D47" w:rsidR="0005639D" w:rsidRDefault="0005639D" w:rsidP="0005639D">
            <w:pPr>
              <w:rPr>
                <w:rFonts w:cs="Arial"/>
                <w:sz w:val="10"/>
              </w:rPr>
            </w:pPr>
            <w:r w:rsidRPr="0005639D">
              <w:rPr>
                <w:szCs w:val="44"/>
              </w:rPr>
              <w:lastRenderedPageBreak/>
              <w:t>Диагностично приложение за супресивно изследване на щитовидната жлеза</w:t>
            </w:r>
          </w:p>
        </w:tc>
        <w:tc>
          <w:tcPr>
            <w:tcW w:w="814" w:type="dxa"/>
          </w:tcPr>
          <w:p w14:paraId="19744BFB" w14:textId="77777777" w:rsidR="0005639D" w:rsidRPr="0005639D" w:rsidRDefault="0005639D" w:rsidP="0005639D">
            <w:pPr>
              <w:rPr>
                <w:rFonts w:cs="Arial"/>
              </w:rPr>
            </w:pPr>
          </w:p>
        </w:tc>
        <w:tc>
          <w:tcPr>
            <w:tcW w:w="1275" w:type="dxa"/>
          </w:tcPr>
          <w:p w14:paraId="1D939C2D" w14:textId="6321D954" w:rsidR="0005639D" w:rsidRPr="0005639D" w:rsidRDefault="0005639D" w:rsidP="0005639D">
            <w:pPr>
              <w:rPr>
                <w:rFonts w:cs="Arial"/>
              </w:rPr>
            </w:pPr>
            <w:r w:rsidRPr="0005639D">
              <w:rPr>
                <w:szCs w:val="40"/>
              </w:rPr>
              <w:t>Седмица 4 преди изследва</w:t>
            </w:r>
            <w:r w:rsidRPr="0005639D">
              <w:rPr>
                <w:szCs w:val="40"/>
              </w:rPr>
              <w:softHyphen/>
              <w:t>нето</w:t>
            </w:r>
          </w:p>
        </w:tc>
        <w:tc>
          <w:tcPr>
            <w:tcW w:w="1275" w:type="dxa"/>
          </w:tcPr>
          <w:p w14:paraId="42DB2278" w14:textId="249B602E" w:rsidR="0005639D" w:rsidRPr="0005639D" w:rsidRDefault="0005639D" w:rsidP="0005639D">
            <w:pPr>
              <w:rPr>
                <w:rFonts w:cs="Arial"/>
              </w:rPr>
            </w:pPr>
            <w:r w:rsidRPr="0005639D">
              <w:rPr>
                <w:szCs w:val="40"/>
              </w:rPr>
              <w:t>Седмица 3 преди изследва</w:t>
            </w:r>
            <w:r w:rsidRPr="0005639D">
              <w:rPr>
                <w:szCs w:val="40"/>
              </w:rPr>
              <w:softHyphen/>
              <w:t>нето</w:t>
            </w:r>
          </w:p>
        </w:tc>
        <w:tc>
          <w:tcPr>
            <w:tcW w:w="1274" w:type="dxa"/>
          </w:tcPr>
          <w:p w14:paraId="6BC6314E" w14:textId="77C5976E" w:rsidR="0005639D" w:rsidRPr="0005639D" w:rsidRDefault="0005639D" w:rsidP="0005639D">
            <w:pPr>
              <w:rPr>
                <w:rFonts w:cs="Arial"/>
              </w:rPr>
            </w:pPr>
            <w:r w:rsidRPr="0005639D">
              <w:rPr>
                <w:szCs w:val="40"/>
              </w:rPr>
              <w:t>Седмица 2 преди изследва</w:t>
            </w:r>
            <w:r w:rsidRPr="0005639D">
              <w:rPr>
                <w:szCs w:val="40"/>
              </w:rPr>
              <w:softHyphen/>
              <w:t>нето</w:t>
            </w:r>
          </w:p>
        </w:tc>
        <w:tc>
          <w:tcPr>
            <w:tcW w:w="1274" w:type="dxa"/>
            <w:gridSpan w:val="2"/>
          </w:tcPr>
          <w:p w14:paraId="2D5E63C4" w14:textId="724F452D" w:rsidR="0005639D" w:rsidRPr="0005639D" w:rsidRDefault="0005639D" w:rsidP="0005639D">
            <w:pPr>
              <w:rPr>
                <w:rFonts w:cs="Arial"/>
              </w:rPr>
            </w:pPr>
            <w:r w:rsidRPr="0005639D">
              <w:rPr>
                <w:szCs w:val="40"/>
              </w:rPr>
              <w:t>Седмица 1 преди изследва</w:t>
            </w:r>
            <w:r w:rsidRPr="0005639D">
              <w:rPr>
                <w:szCs w:val="40"/>
              </w:rPr>
              <w:softHyphen/>
              <w:t>нето</w:t>
            </w:r>
          </w:p>
        </w:tc>
      </w:tr>
      <w:tr w:rsidR="0005639D" w14:paraId="19990AC3" w14:textId="77777777" w:rsidTr="0005639D">
        <w:tc>
          <w:tcPr>
            <w:tcW w:w="3978" w:type="dxa"/>
            <w:vMerge/>
          </w:tcPr>
          <w:p w14:paraId="650E95B5" w14:textId="77777777" w:rsidR="0005639D" w:rsidRDefault="0005639D" w:rsidP="0005639D">
            <w:pPr>
              <w:rPr>
                <w:rFonts w:cs="Arial"/>
                <w:sz w:val="10"/>
              </w:rPr>
            </w:pPr>
          </w:p>
        </w:tc>
        <w:tc>
          <w:tcPr>
            <w:tcW w:w="814" w:type="dxa"/>
          </w:tcPr>
          <w:p w14:paraId="7B92236E" w14:textId="661DD70A" w:rsidR="0005639D" w:rsidRPr="0005639D" w:rsidRDefault="0005639D" w:rsidP="0005639D">
            <w:pPr>
              <w:rPr>
                <w:rFonts w:cs="Arial"/>
              </w:rPr>
            </w:pPr>
            <w:r w:rsidRPr="0005639D">
              <w:rPr>
                <w:szCs w:val="40"/>
              </w:rPr>
              <w:t>Еутирокс 200 микрограма</w:t>
            </w:r>
          </w:p>
        </w:tc>
        <w:tc>
          <w:tcPr>
            <w:tcW w:w="1275" w:type="dxa"/>
          </w:tcPr>
          <w:p w14:paraId="30663BA2" w14:textId="77777777" w:rsidR="0005639D" w:rsidRPr="0005639D" w:rsidRDefault="0005639D" w:rsidP="0005639D">
            <w:pPr>
              <w:rPr>
                <w:rFonts w:cs="Arial"/>
              </w:rPr>
            </w:pPr>
          </w:p>
        </w:tc>
        <w:tc>
          <w:tcPr>
            <w:tcW w:w="1275" w:type="dxa"/>
          </w:tcPr>
          <w:p w14:paraId="5D0A7550" w14:textId="77777777" w:rsidR="0005639D" w:rsidRPr="0005639D" w:rsidRDefault="0005639D" w:rsidP="0005639D">
            <w:pPr>
              <w:rPr>
                <w:rFonts w:cs="Arial"/>
              </w:rPr>
            </w:pPr>
          </w:p>
        </w:tc>
        <w:tc>
          <w:tcPr>
            <w:tcW w:w="1274" w:type="dxa"/>
          </w:tcPr>
          <w:p w14:paraId="7543787E" w14:textId="21CF990A" w:rsidR="0005639D" w:rsidRPr="0005639D" w:rsidRDefault="0005639D" w:rsidP="0005639D">
            <w:pPr>
              <w:rPr>
                <w:rFonts w:cs="Arial"/>
              </w:rPr>
            </w:pPr>
            <w:r w:rsidRPr="0005639D">
              <w:rPr>
                <w:szCs w:val="40"/>
              </w:rPr>
              <w:t>1 табл./ден</w:t>
            </w:r>
          </w:p>
        </w:tc>
        <w:tc>
          <w:tcPr>
            <w:tcW w:w="1274" w:type="dxa"/>
            <w:gridSpan w:val="2"/>
          </w:tcPr>
          <w:p w14:paraId="38727255" w14:textId="342ED885" w:rsidR="0005639D" w:rsidRPr="0005639D" w:rsidRDefault="0005639D" w:rsidP="0005639D">
            <w:pPr>
              <w:rPr>
                <w:rFonts w:cs="Arial"/>
              </w:rPr>
            </w:pPr>
            <w:r w:rsidRPr="0005639D">
              <w:rPr>
                <w:szCs w:val="40"/>
              </w:rPr>
              <w:t>1 табл./ден</w:t>
            </w:r>
          </w:p>
        </w:tc>
      </w:tr>
      <w:tr w:rsidR="0005639D" w14:paraId="48EA8832" w14:textId="77777777" w:rsidTr="0005639D">
        <w:tc>
          <w:tcPr>
            <w:tcW w:w="3978" w:type="dxa"/>
            <w:vMerge/>
          </w:tcPr>
          <w:p w14:paraId="1F3E9330" w14:textId="77777777" w:rsidR="0005639D" w:rsidRDefault="0005639D" w:rsidP="0005639D">
            <w:pPr>
              <w:rPr>
                <w:rFonts w:cs="Arial"/>
                <w:sz w:val="10"/>
              </w:rPr>
            </w:pPr>
          </w:p>
        </w:tc>
        <w:tc>
          <w:tcPr>
            <w:tcW w:w="814" w:type="dxa"/>
          </w:tcPr>
          <w:p w14:paraId="3EA162B1" w14:textId="04352F86" w:rsidR="0005639D" w:rsidRPr="0005639D" w:rsidRDefault="0005639D" w:rsidP="0005639D">
            <w:pPr>
              <w:rPr>
                <w:rFonts w:cs="Arial"/>
              </w:rPr>
            </w:pPr>
            <w:r w:rsidRPr="0005639D">
              <w:rPr>
                <w:szCs w:val="40"/>
              </w:rPr>
              <w:t>Еутирокс 100 микрограма</w:t>
            </w:r>
          </w:p>
        </w:tc>
        <w:tc>
          <w:tcPr>
            <w:tcW w:w="1275" w:type="dxa"/>
          </w:tcPr>
          <w:p w14:paraId="5053FA5D" w14:textId="77777777" w:rsidR="0005639D" w:rsidRPr="0005639D" w:rsidRDefault="0005639D" w:rsidP="0005639D">
            <w:pPr>
              <w:rPr>
                <w:rFonts w:cs="Arial"/>
              </w:rPr>
            </w:pPr>
          </w:p>
        </w:tc>
        <w:tc>
          <w:tcPr>
            <w:tcW w:w="1275" w:type="dxa"/>
          </w:tcPr>
          <w:p w14:paraId="40B8A85D" w14:textId="77777777" w:rsidR="0005639D" w:rsidRPr="0005639D" w:rsidRDefault="0005639D" w:rsidP="0005639D">
            <w:pPr>
              <w:rPr>
                <w:rFonts w:cs="Arial"/>
              </w:rPr>
            </w:pPr>
          </w:p>
        </w:tc>
        <w:tc>
          <w:tcPr>
            <w:tcW w:w="1274" w:type="dxa"/>
          </w:tcPr>
          <w:p w14:paraId="071FC4D1" w14:textId="076CECEB" w:rsidR="0005639D" w:rsidRPr="0005639D" w:rsidRDefault="0005639D" w:rsidP="0005639D">
            <w:pPr>
              <w:rPr>
                <w:rFonts w:cs="Arial"/>
              </w:rPr>
            </w:pPr>
            <w:r w:rsidRPr="0005639D">
              <w:rPr>
                <w:szCs w:val="40"/>
              </w:rPr>
              <w:t>2 табл./ден</w:t>
            </w:r>
          </w:p>
        </w:tc>
        <w:tc>
          <w:tcPr>
            <w:tcW w:w="1274" w:type="dxa"/>
            <w:gridSpan w:val="2"/>
          </w:tcPr>
          <w:p w14:paraId="68CE2EE9" w14:textId="78C9A08D" w:rsidR="0005639D" w:rsidRPr="0005639D" w:rsidRDefault="0005639D" w:rsidP="0005639D">
            <w:pPr>
              <w:rPr>
                <w:rFonts w:cs="Arial"/>
              </w:rPr>
            </w:pPr>
            <w:r w:rsidRPr="0005639D">
              <w:rPr>
                <w:szCs w:val="40"/>
              </w:rPr>
              <w:t>2 табл./ден</w:t>
            </w:r>
          </w:p>
        </w:tc>
      </w:tr>
      <w:tr w:rsidR="0005639D" w14:paraId="732D1A81" w14:textId="77777777" w:rsidTr="0005639D">
        <w:tc>
          <w:tcPr>
            <w:tcW w:w="3978" w:type="dxa"/>
            <w:vMerge/>
          </w:tcPr>
          <w:p w14:paraId="6877C10D" w14:textId="77777777" w:rsidR="0005639D" w:rsidRDefault="0005639D" w:rsidP="0005639D">
            <w:pPr>
              <w:rPr>
                <w:rFonts w:cs="Arial"/>
                <w:sz w:val="10"/>
              </w:rPr>
            </w:pPr>
          </w:p>
        </w:tc>
        <w:tc>
          <w:tcPr>
            <w:tcW w:w="814" w:type="dxa"/>
          </w:tcPr>
          <w:p w14:paraId="5535F639" w14:textId="6A212F5D" w:rsidR="0005639D" w:rsidRPr="0005639D" w:rsidRDefault="0005639D" w:rsidP="0005639D">
            <w:pPr>
              <w:rPr>
                <w:rFonts w:cs="Arial"/>
              </w:rPr>
            </w:pPr>
            <w:r w:rsidRPr="0005639D">
              <w:rPr>
                <w:szCs w:val="40"/>
              </w:rPr>
              <w:t>Еутирокс 150 микрограма</w:t>
            </w:r>
          </w:p>
        </w:tc>
        <w:tc>
          <w:tcPr>
            <w:tcW w:w="1275" w:type="dxa"/>
          </w:tcPr>
          <w:p w14:paraId="1233D522" w14:textId="16230397" w:rsidR="0005639D" w:rsidRPr="0005639D" w:rsidRDefault="0005639D" w:rsidP="0005639D">
            <w:pPr>
              <w:rPr>
                <w:rFonts w:cs="Arial"/>
              </w:rPr>
            </w:pPr>
            <w:r w:rsidRPr="0005639D">
              <w:rPr>
                <w:szCs w:val="40"/>
              </w:rPr>
              <w:t>1/2 табл./ден</w:t>
            </w:r>
          </w:p>
        </w:tc>
        <w:tc>
          <w:tcPr>
            <w:tcW w:w="1275" w:type="dxa"/>
          </w:tcPr>
          <w:p w14:paraId="69842675" w14:textId="584D748C" w:rsidR="0005639D" w:rsidRPr="0005639D" w:rsidRDefault="0005639D" w:rsidP="0005639D">
            <w:pPr>
              <w:rPr>
                <w:rFonts w:cs="Arial"/>
              </w:rPr>
            </w:pPr>
            <w:r w:rsidRPr="0005639D">
              <w:rPr>
                <w:szCs w:val="40"/>
              </w:rPr>
              <w:t>1/2 табл./ден</w:t>
            </w:r>
          </w:p>
        </w:tc>
        <w:tc>
          <w:tcPr>
            <w:tcW w:w="1274" w:type="dxa"/>
          </w:tcPr>
          <w:p w14:paraId="0DC43DAF" w14:textId="2E7CFDA5" w:rsidR="0005639D" w:rsidRPr="0005639D" w:rsidRDefault="0005639D" w:rsidP="0005639D">
            <w:pPr>
              <w:rPr>
                <w:rFonts w:cs="Arial"/>
              </w:rPr>
            </w:pPr>
            <w:r w:rsidRPr="0005639D">
              <w:rPr>
                <w:szCs w:val="40"/>
              </w:rPr>
              <w:t>1 табл./ден</w:t>
            </w:r>
          </w:p>
        </w:tc>
        <w:tc>
          <w:tcPr>
            <w:tcW w:w="1274" w:type="dxa"/>
            <w:gridSpan w:val="2"/>
          </w:tcPr>
          <w:p w14:paraId="3C7F1A9F" w14:textId="0C1B742B" w:rsidR="0005639D" w:rsidRPr="0005639D" w:rsidRDefault="0005639D" w:rsidP="0005639D">
            <w:pPr>
              <w:rPr>
                <w:rFonts w:cs="Arial"/>
              </w:rPr>
            </w:pPr>
            <w:r w:rsidRPr="0005639D">
              <w:rPr>
                <w:szCs w:val="40"/>
              </w:rPr>
              <w:t>1 табл./ден</w:t>
            </w:r>
          </w:p>
        </w:tc>
      </w:tr>
    </w:tbl>
    <w:p w14:paraId="68838235" w14:textId="0F6A9CE6" w:rsidR="0005639D" w:rsidRDefault="0005639D" w:rsidP="0005639D">
      <w:pPr>
        <w:rPr>
          <w:rFonts w:cs="Arial"/>
          <w:sz w:val="10"/>
        </w:rPr>
      </w:pPr>
    </w:p>
    <w:p w14:paraId="6B8EA924" w14:textId="77777777" w:rsidR="0005639D" w:rsidRPr="0005639D" w:rsidRDefault="0005639D" w:rsidP="0005639D">
      <w:pPr>
        <w:pStyle w:val="Heading3"/>
        <w:rPr>
          <w:rFonts w:eastAsia="Times New Roman"/>
          <w:sz w:val="12"/>
          <w:u w:val="single"/>
        </w:rPr>
      </w:pPr>
      <w:r w:rsidRPr="0005639D">
        <w:rPr>
          <w:rFonts w:eastAsia="Times New Roman"/>
          <w:u w:val="single"/>
          <w:lang w:eastAsia="bg-BG"/>
        </w:rPr>
        <w:t>Начин на приложение</w:t>
      </w:r>
    </w:p>
    <w:p w14:paraId="5AFBBF57"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Дневните дози могат да бъдат давани при еднократен прием.</w:t>
      </w:r>
    </w:p>
    <w:p w14:paraId="06E850CA"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Приемане: като еднократна дневна доза сутрин, на гладно, половин час преди закуска, за предпочитане с малко количество течност (например половин чаша вода).</w:t>
      </w:r>
    </w:p>
    <w:p w14:paraId="0241C8D8" w14:textId="77777777" w:rsidR="0005639D" w:rsidRPr="0005639D" w:rsidRDefault="0005639D" w:rsidP="0005639D">
      <w:pPr>
        <w:spacing w:line="240" w:lineRule="auto"/>
        <w:rPr>
          <w:rFonts w:eastAsia="Times New Roman" w:cs="Arial"/>
          <w:color w:val="000000"/>
          <w:szCs w:val="44"/>
          <w:lang w:eastAsia="bg-BG"/>
        </w:rPr>
      </w:pPr>
    </w:p>
    <w:p w14:paraId="1970033E" w14:textId="1ED8E7D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Кърмачетата получават цялата дневна доза наведнъж най-малко 30 минути преди първото хранене за деня. Таблетките трябва да се разтворят в малко вода и получената суспензия, която се приготвя непосредствено преди употреба, да се приеме с допълнително количество течност.</w:t>
      </w:r>
    </w:p>
    <w:p w14:paraId="38B4F27A" w14:textId="77777777" w:rsidR="0005639D" w:rsidRPr="0005639D" w:rsidRDefault="0005639D" w:rsidP="0005639D">
      <w:pPr>
        <w:rPr>
          <w:rFonts w:eastAsia="Times New Roman" w:cs="Arial"/>
          <w:color w:val="000000"/>
          <w:szCs w:val="44"/>
          <w:lang w:eastAsia="bg-BG"/>
        </w:rPr>
      </w:pPr>
    </w:p>
    <w:p w14:paraId="29F0775F" w14:textId="77777777" w:rsidR="0005639D" w:rsidRPr="0005639D" w:rsidRDefault="0005639D" w:rsidP="0005639D">
      <w:pPr>
        <w:rPr>
          <w:rFonts w:eastAsia="Times New Roman" w:cs="Arial"/>
          <w:sz w:val="12"/>
          <w:szCs w:val="24"/>
        </w:rPr>
      </w:pPr>
      <w:r w:rsidRPr="0005639D">
        <w:rPr>
          <w:rFonts w:eastAsia="Times New Roman" w:cs="Arial"/>
          <w:color w:val="000000"/>
          <w:szCs w:val="44"/>
          <w:lang w:eastAsia="bg-BG"/>
        </w:rPr>
        <w:t>Продължителността на лечението обикновено е за цял живот при случаите на заместване при хипотиреоидизъм и след струмектомия или тиреоидектомия, и за предотвратяване на рецидив след оперативно отстраняване на еутиреоидна струма. Съпътстващата терапия при</w:t>
      </w:r>
      <w:r w:rsidRPr="0005639D">
        <w:rPr>
          <w:rFonts w:eastAsia="Times New Roman" w:cs="Arial"/>
          <w:color w:val="000000"/>
          <w:szCs w:val="44"/>
          <w:lang w:val="ru-RU" w:eastAsia="bg-BG"/>
        </w:rPr>
        <w:t xml:space="preserve"> </w:t>
      </w:r>
      <w:r w:rsidRPr="0005639D">
        <w:rPr>
          <w:rFonts w:eastAsia="Times New Roman" w:cs="Arial"/>
          <w:color w:val="000000"/>
          <w:szCs w:val="44"/>
          <w:lang w:eastAsia="bg-BG"/>
        </w:rPr>
        <w:t>хипертиреоидизъм след постигане на еутиреоиден статус е показана за периода, през който се приема антитиреоидното лекарствено средство.</w:t>
      </w:r>
    </w:p>
    <w:p w14:paraId="37720F7F" w14:textId="77777777" w:rsidR="0005639D" w:rsidRPr="0005639D" w:rsidRDefault="0005639D" w:rsidP="0005639D">
      <w:pPr>
        <w:spacing w:line="240" w:lineRule="auto"/>
        <w:rPr>
          <w:rFonts w:eastAsia="Times New Roman" w:cs="Arial"/>
          <w:color w:val="000000"/>
          <w:szCs w:val="44"/>
          <w:lang w:eastAsia="bg-BG"/>
        </w:rPr>
      </w:pPr>
    </w:p>
    <w:p w14:paraId="09203807" w14:textId="3412271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доброкачествена еутиреоидна струма е необходимо лечението да продължи от 6 месеца до 2 години. Ако медикаментозното лечение не е достатъчно през този период, трябва да се предприеме хирургична интервенция или радиотерапия с йод.</w:t>
      </w:r>
    </w:p>
    <w:p w14:paraId="0811E7BE" w14:textId="3FCFA886" w:rsidR="0005639D" w:rsidRDefault="0005639D" w:rsidP="0005639D">
      <w:pPr>
        <w:rPr>
          <w:rFonts w:cs="Arial"/>
          <w:sz w:val="10"/>
        </w:rPr>
      </w:pPr>
    </w:p>
    <w:p w14:paraId="1C80E643" w14:textId="77777777" w:rsidR="0005639D" w:rsidRPr="0005639D" w:rsidRDefault="0005639D" w:rsidP="0005639D">
      <w:pPr>
        <w:rPr>
          <w:rFonts w:cs="Arial"/>
          <w:sz w:val="10"/>
        </w:rPr>
      </w:pPr>
    </w:p>
    <w:p w14:paraId="62B13D0B" w14:textId="5E70BF4F" w:rsidR="00395555" w:rsidRDefault="002C50EE" w:rsidP="008A6AF2">
      <w:pPr>
        <w:pStyle w:val="Heading2"/>
      </w:pPr>
      <w:r>
        <w:t>4.3. Противопоказания</w:t>
      </w:r>
    </w:p>
    <w:p w14:paraId="26682F57" w14:textId="05ECD6D4" w:rsidR="0005639D" w:rsidRDefault="0005639D" w:rsidP="0005639D"/>
    <w:p w14:paraId="2597CBC6" w14:textId="0F26D4BF" w:rsidR="0005639D" w:rsidRPr="0005639D" w:rsidRDefault="0005639D" w:rsidP="0005639D">
      <w:pPr>
        <w:pStyle w:val="ListParagraph"/>
        <w:numPr>
          <w:ilvl w:val="0"/>
          <w:numId w:val="2"/>
        </w:numPr>
        <w:rPr>
          <w:sz w:val="24"/>
          <w:szCs w:val="24"/>
        </w:rPr>
      </w:pPr>
      <w:r w:rsidRPr="0005639D">
        <w:rPr>
          <w:lang w:eastAsia="bg-BG"/>
        </w:rPr>
        <w:t>Свръхчувствителност към активното вещество или към някое от помощните вещества, посочени в точка 6.1.</w:t>
      </w:r>
    </w:p>
    <w:p w14:paraId="4B7132DC" w14:textId="47187783" w:rsidR="0005639D" w:rsidRPr="0005639D" w:rsidRDefault="0005639D" w:rsidP="0005639D">
      <w:pPr>
        <w:pStyle w:val="ListParagraph"/>
        <w:numPr>
          <w:ilvl w:val="0"/>
          <w:numId w:val="2"/>
        </w:numPr>
        <w:rPr>
          <w:sz w:val="24"/>
          <w:szCs w:val="24"/>
        </w:rPr>
      </w:pPr>
      <w:r w:rsidRPr="0005639D">
        <w:rPr>
          <w:lang w:eastAsia="bg-BG"/>
        </w:rPr>
        <w:t>Нелекувана недостатъчност на надбъбречната жлеза и на хипофизата, както и нелекувана тиреотоксикоза.</w:t>
      </w:r>
    </w:p>
    <w:p w14:paraId="50B90A25" w14:textId="3EC9DA1D" w:rsidR="0005639D" w:rsidRPr="0005639D" w:rsidRDefault="0005639D" w:rsidP="0005639D">
      <w:pPr>
        <w:pStyle w:val="ListParagraph"/>
        <w:numPr>
          <w:ilvl w:val="0"/>
          <w:numId w:val="2"/>
        </w:numPr>
        <w:rPr>
          <w:sz w:val="24"/>
          <w:szCs w:val="24"/>
        </w:rPr>
      </w:pPr>
      <w:r w:rsidRPr="0005639D">
        <w:rPr>
          <w:lang w:eastAsia="bg-BG"/>
        </w:rPr>
        <w:t>Лечение с Еутирокс не трябва да се започва при остър инфаркт на миокарда, остър миокардит и остър панкардит.</w:t>
      </w:r>
    </w:p>
    <w:p w14:paraId="65C720AE" w14:textId="5F2C348B" w:rsidR="0005639D" w:rsidRPr="0005639D" w:rsidRDefault="0005639D" w:rsidP="0005639D">
      <w:pPr>
        <w:pStyle w:val="ListParagraph"/>
        <w:numPr>
          <w:ilvl w:val="0"/>
          <w:numId w:val="2"/>
        </w:numPr>
        <w:rPr>
          <w:sz w:val="24"/>
          <w:szCs w:val="24"/>
        </w:rPr>
      </w:pPr>
      <w:r w:rsidRPr="0005639D">
        <w:rPr>
          <w:lang w:eastAsia="bg-BG"/>
        </w:rPr>
        <w:t>По време на бременност не е показана комбинирана терапия с левотироксин и антитиреоиден агент за лечение на хипертиреоидизъм (виж точка 4.6).</w:t>
      </w:r>
    </w:p>
    <w:p w14:paraId="69FA3BA9" w14:textId="77777777" w:rsidR="0005639D" w:rsidRPr="0005639D" w:rsidRDefault="0005639D" w:rsidP="0005639D"/>
    <w:p w14:paraId="5A4AC413" w14:textId="23FD8B00" w:rsidR="00395555" w:rsidRDefault="002C50EE" w:rsidP="008A6AF2">
      <w:pPr>
        <w:pStyle w:val="Heading2"/>
      </w:pPr>
      <w:r>
        <w:lastRenderedPageBreak/>
        <w:t>4.4. Специални предупреждения и предпазни мерки при употреба</w:t>
      </w:r>
    </w:p>
    <w:p w14:paraId="50CA3207" w14:textId="77EE04C4" w:rsidR="0005639D" w:rsidRPr="0005639D" w:rsidRDefault="0005639D" w:rsidP="0005639D">
      <w:pPr>
        <w:rPr>
          <w:rFonts w:cs="Arial"/>
          <w:sz w:val="10"/>
        </w:rPr>
      </w:pPr>
    </w:p>
    <w:p w14:paraId="37E46EC7"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Преди започване на терапия с тиреоидни хормони или преди супресивно изследване на щитовидната жлеза трябва да се изключат или лекуват следните заболявания или медицински състояния: коронарна недостатъчност, стенокардия, атеросклероза, хипертония, хипофизарна недостатъчност, надбъбречна недостатъчност. Тиреоидната автономия също трябва да бъде изключена или лекувана преди започване на терапия с тиреоидни хормони.</w:t>
      </w:r>
    </w:p>
    <w:p w14:paraId="4ACC428E" w14:textId="77777777" w:rsidR="0005639D" w:rsidRPr="0005639D" w:rsidRDefault="0005639D" w:rsidP="0005639D">
      <w:pPr>
        <w:spacing w:line="240" w:lineRule="auto"/>
        <w:rPr>
          <w:rFonts w:eastAsia="Times New Roman" w:cs="Arial"/>
          <w:color w:val="000000"/>
          <w:szCs w:val="44"/>
          <w:lang w:eastAsia="bg-BG"/>
        </w:rPr>
      </w:pPr>
    </w:p>
    <w:p w14:paraId="517AAAD3" w14:textId="124DB95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иницииране на терапия с левотироксин при пациенти, изложени на риск от психотични разстройства, се препоръчва да се започне с ниска доза левотироксин и бавно да се увеличи дозата в началото на терапията. Препоръчва се мониторинг на пациента. Ако се появят признаци на психични разстройства, трябва да се обмисли адаптиране на дозата на левотироксин.</w:t>
      </w:r>
    </w:p>
    <w:p w14:paraId="3C75E7E3" w14:textId="77777777" w:rsidR="0005639D" w:rsidRPr="0005639D" w:rsidRDefault="0005639D" w:rsidP="0005639D">
      <w:pPr>
        <w:spacing w:line="240" w:lineRule="auto"/>
        <w:rPr>
          <w:rFonts w:eastAsia="Times New Roman" w:cs="Arial"/>
          <w:color w:val="000000"/>
          <w:szCs w:val="44"/>
          <w:lang w:eastAsia="bg-BG"/>
        </w:rPr>
      </w:pPr>
    </w:p>
    <w:p w14:paraId="69F83505" w14:textId="1E2CEC6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пациенти с коронарна недостатъчност, сърдечна недостатъчност или тахикардиална аритмия трябва да се избягва дори и слаб лекарствено предизвикан хипертиреоидизъм. Затова в тези случаи тиреоидните хормонални показатели трябва да се изследват често.</w:t>
      </w:r>
    </w:p>
    <w:p w14:paraId="4EEABBA1" w14:textId="77777777" w:rsidR="0005639D" w:rsidRPr="0005639D" w:rsidRDefault="0005639D" w:rsidP="0005639D">
      <w:pPr>
        <w:spacing w:line="240" w:lineRule="auto"/>
        <w:rPr>
          <w:rFonts w:eastAsia="Times New Roman" w:cs="Arial"/>
          <w:color w:val="000000"/>
          <w:szCs w:val="44"/>
          <w:lang w:eastAsia="bg-BG"/>
        </w:rPr>
      </w:pPr>
    </w:p>
    <w:p w14:paraId="7216EEE2" w14:textId="3A61A45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В случай на вторичен хипотиреоидизъм, причината трябва да се определи преди началото на заместителната терапия и, ако е необходимо, да се започне заместително лечение за компенсиране на надбъбречната недостатъчност.</w:t>
      </w:r>
    </w:p>
    <w:p w14:paraId="7E3E62CF" w14:textId="77777777" w:rsidR="0005639D" w:rsidRPr="0005639D" w:rsidRDefault="0005639D" w:rsidP="0005639D">
      <w:pPr>
        <w:spacing w:line="240" w:lineRule="auto"/>
        <w:rPr>
          <w:rFonts w:eastAsia="Times New Roman" w:cs="Arial"/>
          <w:color w:val="000000"/>
          <w:szCs w:val="44"/>
          <w:lang w:eastAsia="bg-BG"/>
        </w:rPr>
      </w:pPr>
    </w:p>
    <w:p w14:paraId="74D74DC8" w14:textId="592BBEAA"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Когато се предполага тиреоидна автономия, трябва да се проведе </w:t>
      </w:r>
      <w:r w:rsidRPr="0005639D">
        <w:rPr>
          <w:rFonts w:eastAsia="Times New Roman" w:cs="Arial"/>
          <w:color w:val="000000"/>
          <w:szCs w:val="44"/>
          <w:lang w:val="en-US"/>
        </w:rPr>
        <w:t>TRH</w:t>
      </w:r>
      <w:r w:rsidRPr="0005639D">
        <w:rPr>
          <w:rFonts w:eastAsia="Times New Roman" w:cs="Arial"/>
          <w:color w:val="000000"/>
          <w:szCs w:val="44"/>
          <w:lang w:val="ru-RU"/>
        </w:rPr>
        <w:t xml:space="preserve"> </w:t>
      </w:r>
      <w:r w:rsidRPr="0005639D">
        <w:rPr>
          <w:rFonts w:eastAsia="Times New Roman" w:cs="Arial"/>
          <w:color w:val="000000"/>
          <w:szCs w:val="44"/>
          <w:lang w:eastAsia="bg-BG"/>
        </w:rPr>
        <w:t>тест или да се направи супресивна сцинтиграфия преди лечението.</w:t>
      </w:r>
    </w:p>
    <w:p w14:paraId="03907D83" w14:textId="77777777" w:rsidR="0005639D" w:rsidRPr="0005639D" w:rsidRDefault="0005639D" w:rsidP="0005639D">
      <w:pPr>
        <w:spacing w:line="240" w:lineRule="auto"/>
        <w:rPr>
          <w:rFonts w:eastAsia="Times New Roman" w:cs="Arial"/>
          <w:color w:val="000000"/>
          <w:szCs w:val="44"/>
          <w:lang w:eastAsia="bg-BG"/>
        </w:rPr>
      </w:pPr>
    </w:p>
    <w:p w14:paraId="02CFF143" w14:textId="06BC5EE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Хемодинамичните параметри трябва да се проследяват при започване на терапия с левотироксин при преждевременно родени деца с много ниско тегло при раждането, заради вероятност от възникване на циркулаторен колапс поради незряла функция на надбъбречните жлези.При жени в постменопауза с хипотиреоидизъм и повишен риск от остеопороза трябва да се избягват супрафизиологични серумни нива на левотироксин и затова тиреоидната функция трябва да се изследва редовно.</w:t>
      </w:r>
    </w:p>
    <w:p w14:paraId="458126DA" w14:textId="77777777" w:rsidR="0005639D" w:rsidRPr="0005639D" w:rsidRDefault="0005639D" w:rsidP="0005639D">
      <w:pPr>
        <w:spacing w:line="240" w:lineRule="auto"/>
        <w:rPr>
          <w:rFonts w:eastAsia="Times New Roman" w:cs="Arial"/>
          <w:color w:val="000000"/>
          <w:szCs w:val="44"/>
          <w:lang w:eastAsia="bg-BG"/>
        </w:rPr>
      </w:pPr>
    </w:p>
    <w:p w14:paraId="7E6757B3" w14:textId="5D2A941E"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Левотироксин не трябва да се назначава при хипертиреоидни състояния, освен лечение по време на антитиреоидна терапия на хипертиреоидизъм.</w:t>
      </w:r>
    </w:p>
    <w:p w14:paraId="31A334BA" w14:textId="77777777" w:rsidR="0005639D" w:rsidRPr="0005639D" w:rsidRDefault="0005639D" w:rsidP="0005639D">
      <w:pPr>
        <w:spacing w:line="240" w:lineRule="auto"/>
        <w:rPr>
          <w:rFonts w:eastAsia="Times New Roman" w:cs="Arial"/>
          <w:color w:val="000000"/>
          <w:szCs w:val="44"/>
          <w:lang w:eastAsia="bg-BG"/>
        </w:rPr>
      </w:pPr>
    </w:p>
    <w:p w14:paraId="1B507149" w14:textId="77777777" w:rsidR="0005639D" w:rsidRPr="0005639D" w:rsidRDefault="0005639D" w:rsidP="0005639D">
      <w:pPr>
        <w:rPr>
          <w:rFonts w:eastAsia="Times New Roman" w:cs="Arial"/>
          <w:sz w:val="12"/>
          <w:szCs w:val="24"/>
        </w:rPr>
      </w:pPr>
      <w:r w:rsidRPr="0005639D">
        <w:rPr>
          <w:rFonts w:eastAsia="Times New Roman" w:cs="Arial"/>
          <w:color w:val="000000"/>
          <w:szCs w:val="44"/>
          <w:lang w:eastAsia="bg-BG"/>
        </w:rPr>
        <w:t>Тиреоидните хормони не трябва да се приемат за намаляване на теглото. При еутироидни пациенти лечението с левотироксин не води до намаляване на теглото. По-високите дози могат да доведат до сериозни или дори живото застрашаващи нежелани реакции. Левотироксин във</w:t>
      </w:r>
      <w:r w:rsidRPr="0005639D">
        <w:rPr>
          <w:rFonts w:eastAsia="Times New Roman" w:cs="Arial"/>
          <w:color w:val="000000"/>
          <w:szCs w:val="44"/>
          <w:lang w:val="ru-RU" w:eastAsia="bg-BG"/>
        </w:rPr>
        <w:t xml:space="preserve"> </w:t>
      </w:r>
      <w:r w:rsidRPr="0005639D">
        <w:rPr>
          <w:rFonts w:eastAsia="Times New Roman" w:cs="Arial"/>
          <w:color w:val="000000"/>
          <w:szCs w:val="44"/>
          <w:lang w:eastAsia="bg-BG"/>
        </w:rPr>
        <w:t>високи дози не трябва да се комбинира с определени лекарствени вещества за намаляване на теглото, напр. симпатомиметици (виж точка 4.9).</w:t>
      </w:r>
    </w:p>
    <w:p w14:paraId="7EF3A602" w14:textId="77777777" w:rsidR="0005639D" w:rsidRPr="0005639D" w:rsidRDefault="0005639D" w:rsidP="0005639D">
      <w:pPr>
        <w:spacing w:line="240" w:lineRule="auto"/>
        <w:rPr>
          <w:rFonts w:eastAsia="Times New Roman" w:cs="Arial"/>
          <w:color w:val="000000"/>
          <w:szCs w:val="44"/>
          <w:lang w:eastAsia="bg-BG"/>
        </w:rPr>
      </w:pPr>
    </w:p>
    <w:p w14:paraId="7816CFCA" w14:textId="44F826C1"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Ако се налага смяна на терапията с друг лекарствен продукт, съдържащ левотироксин, задължително се провежда внимателно наблюдение, включващо клиничен и биологичен мониторинг по време на преходния период, поради потенциален риск от тиреоиден дисбаланс. При някои пациенти би могло да се наложи коригиране на дозата.</w:t>
      </w:r>
    </w:p>
    <w:p w14:paraId="4A9804AC" w14:textId="77777777" w:rsidR="0005639D" w:rsidRPr="0005639D" w:rsidRDefault="0005639D" w:rsidP="0005639D">
      <w:pPr>
        <w:spacing w:line="240" w:lineRule="auto"/>
        <w:rPr>
          <w:rFonts w:eastAsia="Times New Roman" w:cs="Arial"/>
          <w:color w:val="000000"/>
          <w:szCs w:val="44"/>
          <w:lang w:eastAsia="bg-BG"/>
        </w:rPr>
      </w:pPr>
    </w:p>
    <w:p w14:paraId="1E2E6328" w14:textId="1B87FA3F"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Хипотиреоидизъм и / или намален контрол на хипотиреоидизъм може да настъпи, когато орлистат и левотироксин се прилагат едновременно (виж точка 4.5). Пациенти, приемащи левотироксин, трябва да се консултират с лекар преди да започнат или да преустановят лечение с орлистат, тъй като може да се наложи орлистат и левотироксин да се приемат </w:t>
      </w:r>
      <w:r w:rsidRPr="0005639D">
        <w:rPr>
          <w:rFonts w:eastAsia="Times New Roman" w:cs="Arial"/>
          <w:color w:val="000000"/>
          <w:szCs w:val="44"/>
          <w:lang w:eastAsia="bg-BG"/>
        </w:rPr>
        <w:lastRenderedPageBreak/>
        <w:t>по различно време и да е необходимо дозата на левотироксин да бъде адаптирана. Освен това се препоръчва мониториране на пациента чрез проверка на хормоналните нива в серума.</w:t>
      </w:r>
    </w:p>
    <w:p w14:paraId="557C45A0" w14:textId="77777777" w:rsidR="0005639D" w:rsidRPr="0005639D" w:rsidRDefault="0005639D" w:rsidP="0005639D">
      <w:pPr>
        <w:spacing w:line="240" w:lineRule="auto"/>
        <w:rPr>
          <w:rFonts w:eastAsia="Times New Roman" w:cs="Arial"/>
          <w:color w:val="000000"/>
          <w:szCs w:val="44"/>
          <w:lang w:eastAsia="bg-BG"/>
        </w:rPr>
      </w:pPr>
    </w:p>
    <w:p w14:paraId="749EC939" w14:textId="1F45D80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За диабетици и пациенти на антикоагулантна терапия, виж точка 4.5.</w:t>
      </w:r>
    </w:p>
    <w:p w14:paraId="0024CFD5" w14:textId="77777777" w:rsidR="0005639D" w:rsidRPr="0005639D" w:rsidRDefault="0005639D" w:rsidP="0005639D">
      <w:pPr>
        <w:spacing w:line="240" w:lineRule="auto"/>
        <w:rPr>
          <w:rFonts w:eastAsia="Times New Roman" w:cs="Arial"/>
          <w:color w:val="000000"/>
          <w:szCs w:val="44"/>
          <w:lang w:eastAsia="bg-BG"/>
        </w:rPr>
      </w:pPr>
    </w:p>
    <w:p w14:paraId="0A9A8BCB" w14:textId="65F1966D"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Това лекарство съдържа по-малко от 1 </w:t>
      </w:r>
      <w:proofErr w:type="spellStart"/>
      <w:r w:rsidRPr="0005639D">
        <w:rPr>
          <w:rFonts w:eastAsia="Times New Roman" w:cs="Arial"/>
          <w:color w:val="000000"/>
          <w:szCs w:val="44"/>
          <w:lang w:val="en-US"/>
        </w:rPr>
        <w:t>mmol</w:t>
      </w:r>
      <w:proofErr w:type="spellEnd"/>
      <w:r w:rsidRPr="0005639D">
        <w:rPr>
          <w:rFonts w:eastAsia="Times New Roman" w:cs="Arial"/>
          <w:color w:val="000000"/>
          <w:szCs w:val="44"/>
          <w:lang w:val="ru-RU"/>
        </w:rPr>
        <w:t xml:space="preserve"> </w:t>
      </w:r>
      <w:r w:rsidRPr="0005639D">
        <w:rPr>
          <w:rFonts w:eastAsia="Times New Roman" w:cs="Arial"/>
          <w:color w:val="000000"/>
          <w:szCs w:val="44"/>
          <w:lang w:eastAsia="bg-BG"/>
        </w:rPr>
        <w:t xml:space="preserve">натрий (23 </w:t>
      </w:r>
      <w:r w:rsidRPr="0005639D">
        <w:rPr>
          <w:rFonts w:eastAsia="Times New Roman" w:cs="Arial"/>
          <w:color w:val="000000"/>
          <w:szCs w:val="44"/>
          <w:lang w:val="en-US"/>
        </w:rPr>
        <w:t>mg</w:t>
      </w:r>
      <w:r w:rsidRPr="0005639D">
        <w:rPr>
          <w:rFonts w:eastAsia="Times New Roman" w:cs="Arial"/>
          <w:color w:val="000000"/>
          <w:szCs w:val="44"/>
          <w:lang w:val="ru-RU"/>
        </w:rPr>
        <w:t xml:space="preserve">) </w:t>
      </w:r>
      <w:r w:rsidRPr="0005639D">
        <w:rPr>
          <w:rFonts w:eastAsia="Times New Roman" w:cs="Arial"/>
          <w:color w:val="000000"/>
          <w:szCs w:val="44"/>
          <w:lang w:eastAsia="bg-BG"/>
        </w:rPr>
        <w:t>за таблетка, т.е. може да се каже, че практически не съдържа натрий.</w:t>
      </w:r>
    </w:p>
    <w:p w14:paraId="5D9C6F5B" w14:textId="7AC0D7C7" w:rsidR="0005639D" w:rsidRPr="0005639D" w:rsidRDefault="0005639D" w:rsidP="0005639D">
      <w:pPr>
        <w:spacing w:line="240" w:lineRule="auto"/>
        <w:rPr>
          <w:rFonts w:eastAsia="Times New Roman" w:cs="Arial"/>
          <w:sz w:val="12"/>
          <w:szCs w:val="24"/>
        </w:rPr>
      </w:pPr>
    </w:p>
    <w:p w14:paraId="0139C553" w14:textId="77777777" w:rsidR="0005639D" w:rsidRPr="0005639D" w:rsidRDefault="0005639D" w:rsidP="0005639D"/>
    <w:p w14:paraId="1244F76A" w14:textId="197C201B" w:rsidR="00395555" w:rsidRDefault="002C50EE" w:rsidP="008A6AF2">
      <w:pPr>
        <w:pStyle w:val="Heading2"/>
      </w:pPr>
      <w:r>
        <w:t>4.5. Взаимодействие с други лекарствени продукти и други форми на взаимодействие</w:t>
      </w:r>
    </w:p>
    <w:p w14:paraId="49E86EB8" w14:textId="74EC6A8C" w:rsidR="0005639D" w:rsidRDefault="0005639D" w:rsidP="0005639D"/>
    <w:p w14:paraId="2D8AA662" w14:textId="77777777"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Антидиабетни средства:</w:t>
      </w:r>
    </w:p>
    <w:p w14:paraId="373CDCFF" w14:textId="77777777" w:rsidR="0005639D" w:rsidRPr="0005639D" w:rsidRDefault="0005639D" w:rsidP="0005639D">
      <w:pPr>
        <w:spacing w:line="240" w:lineRule="auto"/>
        <w:rPr>
          <w:rFonts w:eastAsia="Times New Roman" w:cs="Arial"/>
          <w:color w:val="000000"/>
          <w:szCs w:val="44"/>
          <w:lang w:eastAsia="bg-BG"/>
        </w:rPr>
      </w:pPr>
    </w:p>
    <w:p w14:paraId="3B1DDA10" w14:textId="2AEBE855" w:rsidR="0005639D" w:rsidRPr="0005639D" w:rsidRDefault="0005639D" w:rsidP="0005639D">
      <w:pPr>
        <w:spacing w:line="240" w:lineRule="auto"/>
        <w:rPr>
          <w:rFonts w:eastAsia="Times New Roman" w:cs="Arial"/>
          <w:color w:val="000000"/>
          <w:szCs w:val="44"/>
          <w:lang w:eastAsia="bg-BG"/>
        </w:rPr>
      </w:pPr>
      <w:r w:rsidRPr="0005639D">
        <w:rPr>
          <w:rFonts w:eastAsia="Times New Roman" w:cs="Arial"/>
          <w:color w:val="000000"/>
          <w:szCs w:val="44"/>
          <w:lang w:eastAsia="bg-BG"/>
        </w:rPr>
        <w:t>Левотироксин може да намали ефекта на антидиабетните средства. Затова при започване на терапия с тиреоидни хормони трябва да се изследва често нивото на кръвната захар и, ако е необходимо, да се адаптира дозата на антидиабетното средство.</w:t>
      </w:r>
    </w:p>
    <w:p w14:paraId="6D1FAFF9" w14:textId="77777777" w:rsidR="0005639D" w:rsidRPr="0005639D" w:rsidRDefault="0005639D" w:rsidP="0005639D">
      <w:pPr>
        <w:spacing w:line="240" w:lineRule="auto"/>
        <w:rPr>
          <w:rFonts w:eastAsia="Times New Roman" w:cs="Arial"/>
          <w:i/>
          <w:iCs/>
          <w:color w:val="000000"/>
          <w:szCs w:val="44"/>
          <w:lang w:eastAsia="bg-BG"/>
        </w:rPr>
      </w:pPr>
    </w:p>
    <w:p w14:paraId="03437733" w14:textId="072337C8"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Кумаринови производни:</w:t>
      </w:r>
    </w:p>
    <w:p w14:paraId="4EA0BA98" w14:textId="77777777" w:rsidR="0005639D" w:rsidRPr="0005639D" w:rsidRDefault="0005639D" w:rsidP="0005639D">
      <w:pPr>
        <w:spacing w:line="240" w:lineRule="auto"/>
        <w:rPr>
          <w:rFonts w:eastAsia="Times New Roman" w:cs="Arial"/>
          <w:color w:val="000000"/>
          <w:szCs w:val="44"/>
          <w:lang w:eastAsia="bg-BG"/>
        </w:rPr>
      </w:pPr>
    </w:p>
    <w:p w14:paraId="4E409BC5" w14:textId="425B964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Ефектът от антикоагулантната терапия може да се повиши, тъй като левотироксин измества антикоагулантните лекарства от плазмените протеини което може да повиши риска от кръвоизлив, напр. ЦНС или гастроинтестинално кървене, по-специално при възрастни пациенти. Затова при започване и по време на съпътстваща терапия е необходимо редовно да се проверяват коагулационните параметри. Ако е необходимо, дозата на антикоантикоагулантното лекарство трябва да се адаптира.</w:t>
      </w:r>
    </w:p>
    <w:p w14:paraId="4FF0B728" w14:textId="77777777" w:rsidR="0005639D" w:rsidRPr="0005639D" w:rsidRDefault="0005639D" w:rsidP="0005639D">
      <w:pPr>
        <w:spacing w:line="240" w:lineRule="auto"/>
        <w:rPr>
          <w:rFonts w:eastAsia="Times New Roman" w:cs="Arial"/>
          <w:i/>
          <w:iCs/>
          <w:color w:val="000000"/>
          <w:szCs w:val="44"/>
          <w:lang w:eastAsia="bg-BG"/>
        </w:rPr>
      </w:pPr>
    </w:p>
    <w:p w14:paraId="1FA4AFE9" w14:textId="40EC9A85"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Протеазни инхибитори:</w:t>
      </w:r>
    </w:p>
    <w:p w14:paraId="441DB2A7" w14:textId="77777777" w:rsidR="0005639D" w:rsidRPr="0005639D" w:rsidRDefault="0005639D" w:rsidP="0005639D">
      <w:pPr>
        <w:spacing w:line="240" w:lineRule="auto"/>
        <w:rPr>
          <w:rFonts w:eastAsia="Times New Roman" w:cs="Arial"/>
          <w:color w:val="000000"/>
          <w:szCs w:val="44"/>
          <w:lang w:eastAsia="bg-BG"/>
        </w:rPr>
      </w:pPr>
    </w:p>
    <w:p w14:paraId="0BFD31E0" w14:textId="60AF676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Протеазните инхибитори (напр. ритонавир, индинавир, лопинавир) може да повлияят ефекта на левотироксин. Препоръчва се стриктно наблюдаване на нивата на тироидните хормони. При необходимост, дозата на левотироксин трябва да бъде коригирана.</w:t>
      </w:r>
    </w:p>
    <w:p w14:paraId="5B40F112" w14:textId="77777777" w:rsidR="0005639D" w:rsidRPr="0005639D" w:rsidRDefault="0005639D" w:rsidP="0005639D">
      <w:pPr>
        <w:spacing w:line="240" w:lineRule="auto"/>
        <w:rPr>
          <w:rFonts w:eastAsia="Times New Roman" w:cs="Arial"/>
          <w:i/>
          <w:iCs/>
          <w:color w:val="000000"/>
          <w:szCs w:val="44"/>
          <w:lang w:eastAsia="bg-BG"/>
        </w:rPr>
      </w:pPr>
    </w:p>
    <w:p w14:paraId="0B6F02A5" w14:textId="176365B1"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Фенитоин:</w:t>
      </w:r>
    </w:p>
    <w:p w14:paraId="25B58CF0" w14:textId="77777777" w:rsidR="0005639D" w:rsidRPr="0005639D" w:rsidRDefault="0005639D" w:rsidP="0005639D">
      <w:pPr>
        <w:spacing w:line="240" w:lineRule="auto"/>
        <w:rPr>
          <w:rFonts w:eastAsia="Times New Roman" w:cs="Arial"/>
          <w:color w:val="000000"/>
          <w:szCs w:val="44"/>
          <w:lang w:eastAsia="bg-BG"/>
        </w:rPr>
      </w:pPr>
    </w:p>
    <w:p w14:paraId="3CC5241F" w14:textId="656D1B1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Фенитоин може да повлияе на ефекта на левотироксин чрез изместване на левотироксина от плазмените протеини, което да доведе до повишена фракция на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lang w:val="ru-RU"/>
        </w:rPr>
        <w:t xml:space="preserve">4 </w:t>
      </w:r>
      <w:r w:rsidRPr="0005639D">
        <w:rPr>
          <w:rFonts w:eastAsia="Times New Roman" w:cs="Arial"/>
          <w:color w:val="000000"/>
          <w:szCs w:val="44"/>
          <w:lang w:eastAsia="bg-BG"/>
        </w:rPr>
        <w:t xml:space="preserve">и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lang w:val="ru-RU"/>
        </w:rPr>
        <w:t xml:space="preserve">3. </w:t>
      </w:r>
      <w:r w:rsidRPr="0005639D">
        <w:rPr>
          <w:rFonts w:eastAsia="Times New Roman" w:cs="Arial"/>
          <w:color w:val="000000"/>
          <w:szCs w:val="44"/>
          <w:lang w:eastAsia="bg-BG"/>
        </w:rPr>
        <w:t>От друга страна фенитоин увеличава метаболизирането на левотироксина в черния дроб. Препоръчва се стриктно проследяване нивата на тироидния хормон.</w:t>
      </w:r>
    </w:p>
    <w:p w14:paraId="7CE5CFD7" w14:textId="77777777" w:rsidR="0005639D" w:rsidRPr="0005639D" w:rsidRDefault="0005639D" w:rsidP="0005639D">
      <w:pPr>
        <w:rPr>
          <w:rFonts w:eastAsia="Times New Roman" w:cs="Arial"/>
          <w:i/>
          <w:iCs/>
          <w:color w:val="000000"/>
          <w:szCs w:val="44"/>
          <w:lang w:eastAsia="bg-BG"/>
        </w:rPr>
      </w:pPr>
    </w:p>
    <w:p w14:paraId="2CC077AB" w14:textId="4C25505D" w:rsidR="0005639D" w:rsidRDefault="0005639D" w:rsidP="0005639D">
      <w:pPr>
        <w:rPr>
          <w:rFonts w:eastAsia="Times New Roman" w:cs="Arial"/>
          <w:i/>
          <w:iCs/>
          <w:color w:val="000000"/>
          <w:szCs w:val="44"/>
          <w:lang w:eastAsia="bg-BG"/>
        </w:rPr>
      </w:pPr>
      <w:r w:rsidRPr="0005639D">
        <w:rPr>
          <w:rFonts w:eastAsia="Times New Roman" w:cs="Arial"/>
          <w:i/>
          <w:iCs/>
          <w:color w:val="000000"/>
          <w:szCs w:val="44"/>
          <w:lang w:eastAsia="bg-BG"/>
        </w:rPr>
        <w:t>Холестирамин, холестипол:</w:t>
      </w:r>
    </w:p>
    <w:p w14:paraId="3E2A266B"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Приемът на йонообменни смоли, като холестирамин и холестипол, потиска абсорбцията на левотироксин натрий. Затова левотироксин натрий трябва да се взема 4-5 часа преди приемането на такива продукти.</w:t>
      </w:r>
    </w:p>
    <w:p w14:paraId="6A8E1326" w14:textId="77777777" w:rsidR="0005639D" w:rsidRPr="0005639D" w:rsidRDefault="0005639D" w:rsidP="0005639D">
      <w:pPr>
        <w:spacing w:line="240" w:lineRule="auto"/>
        <w:rPr>
          <w:rFonts w:eastAsia="Times New Roman" w:cs="Arial"/>
          <w:i/>
          <w:iCs/>
          <w:color w:val="000000"/>
          <w:szCs w:val="44"/>
          <w:lang w:eastAsia="bg-BG"/>
        </w:rPr>
      </w:pPr>
    </w:p>
    <w:p w14:paraId="7210ACBC" w14:textId="1D51EA16"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Алуминиеви, желязни и калциеви соли:</w:t>
      </w:r>
    </w:p>
    <w:p w14:paraId="6FDAEA49" w14:textId="77777777" w:rsidR="0005639D" w:rsidRPr="0005639D" w:rsidRDefault="0005639D" w:rsidP="0005639D">
      <w:pPr>
        <w:spacing w:line="240" w:lineRule="auto"/>
        <w:rPr>
          <w:rFonts w:eastAsia="Times New Roman" w:cs="Arial"/>
          <w:color w:val="000000"/>
          <w:szCs w:val="44"/>
          <w:lang w:eastAsia="bg-BG"/>
        </w:rPr>
      </w:pPr>
    </w:p>
    <w:p w14:paraId="04BFAEA6" w14:textId="67818BBE"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За алуминий съдържащите лекарства (антациди, сукралфат) има съобщения в литературата, че са потенциално намаляващи ефекта на левотироксин. Затова </w:t>
      </w:r>
      <w:r w:rsidRPr="0005639D">
        <w:rPr>
          <w:rFonts w:eastAsia="Times New Roman" w:cs="Arial"/>
          <w:color w:val="000000"/>
          <w:szCs w:val="44"/>
          <w:lang w:eastAsia="bg-BG"/>
        </w:rPr>
        <w:lastRenderedPageBreak/>
        <w:t>лекарствата, съдържащи левотироксин, трябва да се приемат най-малко 2 часа преди приема на алуминий съдържащи лекарства.</w:t>
      </w:r>
    </w:p>
    <w:p w14:paraId="489BBDA4" w14:textId="6BF7D27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Същото важи и за лекарствата, съдържащи железни и калциеви соли.</w:t>
      </w:r>
    </w:p>
    <w:p w14:paraId="61AF785C" w14:textId="77777777" w:rsidR="0005639D" w:rsidRPr="0005639D" w:rsidRDefault="0005639D" w:rsidP="0005639D">
      <w:pPr>
        <w:spacing w:line="240" w:lineRule="auto"/>
        <w:rPr>
          <w:rFonts w:eastAsia="Times New Roman" w:cs="Arial"/>
          <w:i/>
          <w:iCs/>
          <w:color w:val="000000"/>
          <w:szCs w:val="44"/>
          <w:lang w:eastAsia="bg-BG"/>
        </w:rPr>
      </w:pPr>
    </w:p>
    <w:p w14:paraId="19C72448" w14:textId="2AC1A3A3"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Салицилати, дикумарол, фуроземид, клофибрат:</w:t>
      </w:r>
    </w:p>
    <w:p w14:paraId="22EE4B0B" w14:textId="77777777" w:rsidR="0005639D" w:rsidRPr="0005639D" w:rsidRDefault="0005639D" w:rsidP="0005639D">
      <w:pPr>
        <w:spacing w:line="240" w:lineRule="auto"/>
        <w:rPr>
          <w:rFonts w:eastAsia="Times New Roman" w:cs="Arial"/>
          <w:color w:val="000000"/>
          <w:szCs w:val="44"/>
          <w:lang w:eastAsia="bg-BG"/>
        </w:rPr>
      </w:pPr>
    </w:p>
    <w:p w14:paraId="07C7A09F" w14:textId="20922DA8"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Салицилати, дикумарол, фуроземид във високи дози (250 </w:t>
      </w:r>
      <w:r w:rsidRPr="0005639D">
        <w:rPr>
          <w:rFonts w:eastAsia="Times New Roman" w:cs="Arial"/>
          <w:color w:val="000000"/>
          <w:szCs w:val="44"/>
          <w:lang w:val="en-US"/>
        </w:rPr>
        <w:t>mg</w:t>
      </w:r>
      <w:r w:rsidRPr="0005639D">
        <w:rPr>
          <w:rFonts w:eastAsia="Times New Roman" w:cs="Arial"/>
          <w:color w:val="000000"/>
          <w:szCs w:val="44"/>
          <w:lang w:val="ru-RU"/>
        </w:rPr>
        <w:t xml:space="preserve">), </w:t>
      </w:r>
      <w:r w:rsidRPr="0005639D">
        <w:rPr>
          <w:rFonts w:eastAsia="Times New Roman" w:cs="Arial"/>
          <w:color w:val="000000"/>
          <w:szCs w:val="44"/>
          <w:lang w:eastAsia="bg-BG"/>
        </w:rPr>
        <w:t xml:space="preserve">клофибрат, и други субстанции могат да изместят левотироксин натрий от плазмените протеини и в резултат да се повиши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vertAlign w:val="subscript"/>
          <w:lang w:val="ru-RU"/>
        </w:rPr>
        <w:t>4</w:t>
      </w:r>
      <w:r w:rsidRPr="0005639D">
        <w:rPr>
          <w:rFonts w:eastAsia="Times New Roman" w:cs="Arial"/>
          <w:color w:val="000000"/>
          <w:szCs w:val="44"/>
          <w:lang w:eastAsia="bg-BG"/>
        </w:rPr>
        <w:t xml:space="preserve"> фракцията.</w:t>
      </w:r>
    </w:p>
    <w:p w14:paraId="18F59642" w14:textId="77777777" w:rsidR="0005639D" w:rsidRPr="0005639D" w:rsidRDefault="0005639D" w:rsidP="0005639D">
      <w:pPr>
        <w:spacing w:line="240" w:lineRule="auto"/>
        <w:rPr>
          <w:rFonts w:eastAsia="Times New Roman" w:cs="Arial"/>
          <w:i/>
          <w:iCs/>
          <w:color w:val="000000"/>
          <w:szCs w:val="44"/>
          <w:lang w:eastAsia="bg-BG"/>
        </w:rPr>
      </w:pPr>
    </w:p>
    <w:p w14:paraId="1069ABA9" w14:textId="385466B9"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Орлистат:</w:t>
      </w:r>
    </w:p>
    <w:p w14:paraId="13FEFD9F" w14:textId="77777777" w:rsidR="0005639D" w:rsidRPr="0005639D" w:rsidRDefault="0005639D" w:rsidP="0005639D">
      <w:pPr>
        <w:spacing w:line="240" w:lineRule="auto"/>
        <w:rPr>
          <w:rFonts w:eastAsia="Times New Roman" w:cs="Arial"/>
          <w:color w:val="000000"/>
          <w:szCs w:val="44"/>
          <w:lang w:eastAsia="bg-BG"/>
        </w:rPr>
      </w:pPr>
    </w:p>
    <w:p w14:paraId="40EB3934" w14:textId="469317A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Хипотиреоидизъм и/или намален контрол на хипотиреоидизъм може да настъпи, когато орлистат и левотироксин се приемат по едно и също време. Това може да се дължи на намалена абсорбция на йодни соли и / или левотироксин.</w:t>
      </w:r>
    </w:p>
    <w:p w14:paraId="31E2362E" w14:textId="77777777" w:rsidR="0005639D" w:rsidRPr="0005639D" w:rsidRDefault="0005639D" w:rsidP="0005639D">
      <w:pPr>
        <w:spacing w:line="240" w:lineRule="auto"/>
        <w:rPr>
          <w:rFonts w:eastAsia="Times New Roman" w:cs="Arial"/>
          <w:i/>
          <w:iCs/>
          <w:color w:val="000000"/>
          <w:szCs w:val="44"/>
          <w:lang w:eastAsia="bg-BG"/>
        </w:rPr>
      </w:pPr>
    </w:p>
    <w:p w14:paraId="1AFE4C52" w14:textId="50B1038E"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Севеламер:</w:t>
      </w:r>
    </w:p>
    <w:p w14:paraId="522DEABC" w14:textId="77777777" w:rsidR="0005639D" w:rsidRPr="0005639D" w:rsidRDefault="0005639D" w:rsidP="0005639D">
      <w:pPr>
        <w:spacing w:line="240" w:lineRule="auto"/>
        <w:rPr>
          <w:rFonts w:eastAsia="Times New Roman" w:cs="Arial"/>
          <w:color w:val="000000"/>
          <w:szCs w:val="44"/>
          <w:lang w:eastAsia="bg-BG"/>
        </w:rPr>
      </w:pPr>
    </w:p>
    <w:p w14:paraId="28C2A3C2" w14:textId="4E45432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Севеламер може да намали абсорбцията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2E8A3A1F" w14:textId="77777777" w:rsidR="0005639D" w:rsidRPr="0005639D" w:rsidRDefault="0005639D" w:rsidP="0005639D">
      <w:pPr>
        <w:spacing w:line="240" w:lineRule="auto"/>
        <w:rPr>
          <w:rFonts w:eastAsia="Times New Roman" w:cs="Arial"/>
          <w:i/>
          <w:iCs/>
          <w:color w:val="000000"/>
          <w:szCs w:val="44"/>
          <w:lang w:eastAsia="bg-BG"/>
        </w:rPr>
      </w:pPr>
    </w:p>
    <w:p w14:paraId="4E110545" w14:textId="425769FF"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Инхибитори на тирозинкиназата:</w:t>
      </w:r>
    </w:p>
    <w:p w14:paraId="66E740E2" w14:textId="77777777" w:rsidR="0005639D" w:rsidRPr="0005639D" w:rsidRDefault="0005639D" w:rsidP="0005639D">
      <w:pPr>
        <w:spacing w:line="240" w:lineRule="auto"/>
        <w:rPr>
          <w:rFonts w:eastAsia="Times New Roman" w:cs="Arial"/>
          <w:color w:val="000000"/>
          <w:szCs w:val="44"/>
          <w:lang w:eastAsia="bg-BG"/>
        </w:rPr>
      </w:pPr>
    </w:p>
    <w:p w14:paraId="7E03FFF4" w14:textId="07E492FA"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Инхибиторите на тирозинкиназата (напр. иматиниб, сунитиниб) могат да намалят ефикасността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7DD07CF9" w14:textId="77777777" w:rsidR="0005639D" w:rsidRPr="0005639D" w:rsidRDefault="0005639D" w:rsidP="0005639D">
      <w:pPr>
        <w:spacing w:line="240" w:lineRule="auto"/>
        <w:rPr>
          <w:rFonts w:eastAsia="Times New Roman" w:cs="Arial"/>
          <w:i/>
          <w:iCs/>
          <w:color w:val="000000"/>
          <w:szCs w:val="44"/>
          <w:lang w:eastAsia="bg-BG"/>
        </w:rPr>
      </w:pPr>
    </w:p>
    <w:p w14:paraId="7A7F3650" w14:textId="7E437AF1"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Пропилтиоурацил, глюкокортикоиди, бета-симпатолитици, амиодарон и йод съдържащи рентгеноконтрастни средства:</w:t>
      </w:r>
    </w:p>
    <w:p w14:paraId="17B7B911" w14:textId="77777777" w:rsidR="0005639D" w:rsidRPr="0005639D" w:rsidRDefault="0005639D" w:rsidP="0005639D">
      <w:pPr>
        <w:spacing w:line="240" w:lineRule="auto"/>
        <w:rPr>
          <w:rFonts w:eastAsia="Times New Roman" w:cs="Arial"/>
          <w:color w:val="000000"/>
          <w:szCs w:val="44"/>
          <w:lang w:eastAsia="bg-BG"/>
        </w:rPr>
      </w:pPr>
    </w:p>
    <w:p w14:paraId="7D5392DF" w14:textId="00F37AB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Тези вещества инхибират периферното превръщане на Т</w:t>
      </w:r>
      <w:r w:rsidRPr="0005639D">
        <w:rPr>
          <w:rFonts w:eastAsia="Times New Roman" w:cs="Arial"/>
          <w:color w:val="000000"/>
          <w:szCs w:val="44"/>
          <w:vertAlign w:val="subscript"/>
          <w:lang w:eastAsia="bg-BG"/>
        </w:rPr>
        <w:t xml:space="preserve">4 </w:t>
      </w:r>
      <w:r w:rsidRPr="0005639D">
        <w:rPr>
          <w:rFonts w:eastAsia="Times New Roman" w:cs="Arial"/>
          <w:color w:val="000000"/>
          <w:szCs w:val="44"/>
          <w:lang w:eastAsia="bg-BG"/>
        </w:rPr>
        <w:t>в Т</w:t>
      </w:r>
      <w:r w:rsidRPr="0005639D">
        <w:rPr>
          <w:rFonts w:eastAsia="Times New Roman" w:cs="Arial"/>
          <w:color w:val="000000"/>
          <w:szCs w:val="44"/>
          <w:vertAlign w:val="subscript"/>
          <w:lang w:eastAsia="bg-BG"/>
        </w:rPr>
        <w:t>3</w:t>
      </w:r>
      <w:r w:rsidRPr="0005639D">
        <w:rPr>
          <w:rFonts w:eastAsia="Times New Roman" w:cs="Arial"/>
          <w:color w:val="000000"/>
          <w:szCs w:val="44"/>
          <w:lang w:eastAsia="bg-BG"/>
        </w:rPr>
        <w:t>.</w:t>
      </w:r>
    </w:p>
    <w:p w14:paraId="0A365FF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Поради високото си съдържание на йод, амиодарон може да предизвика хипертиреоидизъм, както и хипотиреоидизъм. Особено внимание се препоръчва в случай на нодозна гуша с възможна неустановена автономия.</w:t>
      </w:r>
    </w:p>
    <w:p w14:paraId="22ED3413" w14:textId="77777777" w:rsidR="0005639D" w:rsidRPr="0005639D" w:rsidRDefault="0005639D" w:rsidP="0005639D">
      <w:pPr>
        <w:spacing w:line="240" w:lineRule="auto"/>
        <w:rPr>
          <w:rFonts w:eastAsia="Times New Roman" w:cs="Arial"/>
          <w:i/>
          <w:iCs/>
          <w:color w:val="000000"/>
          <w:szCs w:val="44"/>
          <w:lang w:eastAsia="bg-BG"/>
        </w:rPr>
      </w:pPr>
    </w:p>
    <w:p w14:paraId="630B3574" w14:textId="70C3CF1B"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Сертралин, хлорохин/прогванил:</w:t>
      </w:r>
    </w:p>
    <w:p w14:paraId="556A797F" w14:textId="77777777" w:rsidR="0005639D" w:rsidRPr="0005639D" w:rsidRDefault="0005639D" w:rsidP="0005639D">
      <w:pPr>
        <w:spacing w:line="240" w:lineRule="auto"/>
        <w:rPr>
          <w:rFonts w:eastAsia="Times New Roman" w:cs="Arial"/>
          <w:color w:val="000000"/>
          <w:szCs w:val="44"/>
          <w:lang w:eastAsia="bg-BG"/>
        </w:rPr>
      </w:pPr>
    </w:p>
    <w:p w14:paraId="400E96FB" w14:textId="05BD978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Тези вещества намаляват ефикасността на левотироксин и повишават серумните нива на </w:t>
      </w:r>
      <w:r w:rsidRPr="0005639D">
        <w:rPr>
          <w:rFonts w:eastAsia="Times New Roman" w:cs="Arial"/>
          <w:color w:val="000000"/>
          <w:szCs w:val="44"/>
          <w:lang w:val="en-US"/>
        </w:rPr>
        <w:t>TSH</w:t>
      </w:r>
      <w:r w:rsidRPr="0005639D">
        <w:rPr>
          <w:rFonts w:eastAsia="Times New Roman" w:cs="Arial"/>
          <w:color w:val="000000"/>
          <w:szCs w:val="44"/>
          <w:lang w:val="ru-RU"/>
        </w:rPr>
        <w:t>.</w:t>
      </w:r>
    </w:p>
    <w:p w14:paraId="68970C3E" w14:textId="77777777" w:rsidR="0005639D" w:rsidRPr="0005639D" w:rsidRDefault="0005639D" w:rsidP="0005639D">
      <w:pPr>
        <w:spacing w:line="240" w:lineRule="auto"/>
        <w:rPr>
          <w:rFonts w:eastAsia="Times New Roman" w:cs="Arial"/>
          <w:i/>
          <w:iCs/>
          <w:color w:val="000000"/>
          <w:szCs w:val="44"/>
          <w:lang w:eastAsia="bg-BG"/>
        </w:rPr>
      </w:pPr>
    </w:p>
    <w:p w14:paraId="0AC2EDFC" w14:textId="1EC78DC9"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Лекарствени продукти, индуциращи ензимите:</w:t>
      </w:r>
    </w:p>
    <w:p w14:paraId="615541BB" w14:textId="77777777" w:rsidR="0005639D" w:rsidRPr="0005639D" w:rsidRDefault="0005639D" w:rsidP="0005639D">
      <w:pPr>
        <w:rPr>
          <w:rFonts w:eastAsia="Times New Roman" w:cs="Arial"/>
          <w:color w:val="000000"/>
          <w:szCs w:val="44"/>
          <w:lang w:eastAsia="bg-BG"/>
        </w:rPr>
      </w:pPr>
    </w:p>
    <w:p w14:paraId="4E88CCBC" w14:textId="107DBE1C" w:rsidR="0005639D" w:rsidRDefault="0005639D" w:rsidP="0005639D">
      <w:pPr>
        <w:rPr>
          <w:rFonts w:eastAsia="Times New Roman" w:cs="Arial"/>
          <w:color w:val="000000"/>
          <w:szCs w:val="44"/>
          <w:lang w:eastAsia="bg-BG"/>
        </w:rPr>
      </w:pPr>
      <w:r w:rsidRPr="0005639D">
        <w:rPr>
          <w:rFonts w:eastAsia="Times New Roman" w:cs="Arial"/>
          <w:color w:val="000000"/>
          <w:szCs w:val="44"/>
          <w:lang w:eastAsia="bg-BG"/>
        </w:rPr>
        <w:t>Лекарствените продукти, индуциращи ензимите, като барбитуратите</w:t>
      </w:r>
      <w:r w:rsidRPr="0005639D">
        <w:rPr>
          <w:rFonts w:eastAsia="Times New Roman" w:cs="Arial"/>
          <w:color w:val="000000"/>
          <w:szCs w:val="44"/>
          <w:lang w:val="ru-RU"/>
        </w:rPr>
        <w:t xml:space="preserve"> </w:t>
      </w:r>
      <w:r w:rsidRPr="0005639D">
        <w:rPr>
          <w:rFonts w:eastAsia="Times New Roman" w:cs="Arial"/>
          <w:color w:val="000000"/>
          <w:szCs w:val="44"/>
          <w:lang w:eastAsia="bg-BG"/>
        </w:rPr>
        <w:t>или карбамазепин могат да увеличат чернодробния клирънс на левотироксина.</w:t>
      </w:r>
    </w:p>
    <w:p w14:paraId="55514681" w14:textId="77777777" w:rsidR="0005639D" w:rsidRDefault="0005639D" w:rsidP="0005639D">
      <w:pPr>
        <w:spacing w:line="240" w:lineRule="auto"/>
        <w:rPr>
          <w:rFonts w:eastAsia="Times New Roman" w:cs="Arial"/>
          <w:color w:val="000000"/>
          <w:sz w:val="10"/>
          <w:szCs w:val="44"/>
          <w:lang w:eastAsia="bg-BG"/>
        </w:rPr>
      </w:pPr>
    </w:p>
    <w:p w14:paraId="4A460BAD" w14:textId="6510EC97"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Естрогени:</w:t>
      </w:r>
    </w:p>
    <w:p w14:paraId="6A83ED6F" w14:textId="77777777" w:rsidR="0005639D" w:rsidRPr="0005639D" w:rsidRDefault="0005639D" w:rsidP="0005639D">
      <w:pPr>
        <w:spacing w:line="240" w:lineRule="auto"/>
        <w:rPr>
          <w:rFonts w:eastAsia="Times New Roman" w:cs="Arial"/>
          <w:color w:val="000000"/>
          <w:szCs w:val="44"/>
          <w:lang w:eastAsia="bg-BG"/>
        </w:rPr>
      </w:pPr>
    </w:p>
    <w:p w14:paraId="7C3AB845" w14:textId="08D4E5E3"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lastRenderedPageBreak/>
        <w:t>Жени, които използват естроген съдържащи контрацептиви или жени в постменопауза, които са на хормонозаместителна терапия, могат да имат повишена нужда от левотироксин.</w:t>
      </w:r>
    </w:p>
    <w:p w14:paraId="0BAC361A" w14:textId="77777777" w:rsidR="0005639D" w:rsidRPr="0005639D" w:rsidRDefault="0005639D" w:rsidP="0005639D">
      <w:pPr>
        <w:spacing w:line="240" w:lineRule="auto"/>
        <w:rPr>
          <w:rFonts w:eastAsia="Times New Roman" w:cs="Arial"/>
          <w:i/>
          <w:iCs/>
          <w:color w:val="000000"/>
          <w:szCs w:val="44"/>
          <w:lang w:eastAsia="bg-BG"/>
        </w:rPr>
      </w:pPr>
    </w:p>
    <w:p w14:paraId="73BC39C1" w14:textId="0F7B63B1"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Съединения, съдържащи соя:</w:t>
      </w:r>
    </w:p>
    <w:p w14:paraId="7D0A225B" w14:textId="77777777" w:rsidR="0005639D" w:rsidRPr="0005639D" w:rsidRDefault="0005639D" w:rsidP="0005639D">
      <w:pPr>
        <w:spacing w:line="240" w:lineRule="auto"/>
        <w:rPr>
          <w:rFonts w:eastAsia="Times New Roman" w:cs="Arial"/>
          <w:color w:val="000000"/>
          <w:szCs w:val="44"/>
          <w:lang w:eastAsia="bg-BG"/>
        </w:rPr>
      </w:pPr>
    </w:p>
    <w:p w14:paraId="1700A9B6" w14:textId="2A0AA10D" w:rsidR="0005639D" w:rsidRDefault="0005639D" w:rsidP="0005639D">
      <w:pPr>
        <w:spacing w:line="240" w:lineRule="auto"/>
        <w:rPr>
          <w:rFonts w:eastAsia="Times New Roman" w:cs="Arial"/>
          <w:color w:val="000000"/>
          <w:szCs w:val="44"/>
          <w:lang w:eastAsia="bg-BG"/>
        </w:rPr>
      </w:pPr>
      <w:r w:rsidRPr="0005639D">
        <w:rPr>
          <w:rFonts w:eastAsia="Times New Roman" w:cs="Arial"/>
          <w:color w:val="000000"/>
          <w:szCs w:val="44"/>
          <w:lang w:eastAsia="bg-BG"/>
        </w:rPr>
        <w:t>Съединенията, съдържащи соя, могат да намалят чревната абсорбция на левотироксин. Затова може да е необходимо адаптиране на дозата на Еутирокс, по-специално в началото или след прекратяване на приема на соеви хранителни добавки.</w:t>
      </w:r>
    </w:p>
    <w:p w14:paraId="74D12F8F" w14:textId="77777777" w:rsidR="0005639D" w:rsidRPr="0005639D" w:rsidRDefault="0005639D" w:rsidP="0005639D">
      <w:pPr>
        <w:spacing w:line="240" w:lineRule="auto"/>
        <w:rPr>
          <w:rFonts w:ascii="Times New Roman" w:eastAsia="Times New Roman" w:hAnsi="Times New Roman" w:cs="Times New Roman"/>
          <w:sz w:val="24"/>
          <w:szCs w:val="24"/>
        </w:rPr>
      </w:pPr>
    </w:p>
    <w:p w14:paraId="654DD6F0" w14:textId="77777777" w:rsidR="0005639D" w:rsidRPr="0005639D" w:rsidRDefault="0005639D" w:rsidP="0005639D">
      <w:pPr>
        <w:rPr>
          <w:rFonts w:cs="Arial"/>
          <w:sz w:val="2"/>
        </w:rPr>
      </w:pPr>
    </w:p>
    <w:p w14:paraId="6EADE4D6" w14:textId="181A77DD" w:rsidR="00395555" w:rsidRDefault="002C50EE" w:rsidP="008A6AF2">
      <w:pPr>
        <w:pStyle w:val="Heading2"/>
      </w:pPr>
      <w:r>
        <w:t>4.6. Фертилитет, бременност и кърмене</w:t>
      </w:r>
    </w:p>
    <w:p w14:paraId="4A7516F3" w14:textId="08FE54ED" w:rsidR="0005639D" w:rsidRDefault="0005639D" w:rsidP="0005639D"/>
    <w:p w14:paraId="110AEA7A"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Лечението с левотироксин трябва да се провежда последователно, особено по време на бременност и кърмене. По време на бременност дори може да е необходимо увеличаване на дозата.</w:t>
      </w:r>
    </w:p>
    <w:p w14:paraId="6AD209B5"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Тъй като може да се появи повишаване на серумните нива на ТСХ по време на 4 гестационна седмица, бременните жени, приемащи левотироксин, трябва да проследяват нивата си на ТСХ през всеки триместър, за да се потвърди че серумните нива на майчния ТСХ попада в границите на референтните стойности за съответния триместър от бременността. Повишените серумни нива на ТСХ трябва да се коригират с повишаване на дозата на левотироксин. Тъй като след родилните нива на ТСХ са подобни на нивата му преди забременяване, след раждане дозата на левотироксин трябва незабавно да се върне до тази преди забременяване. Серумните нива на ТСХ трябва да се изследват 6-8 седмици след раждането.</w:t>
      </w:r>
    </w:p>
    <w:p w14:paraId="0898847A" w14:textId="77777777" w:rsidR="0005639D" w:rsidRPr="0005639D" w:rsidRDefault="0005639D" w:rsidP="0005639D">
      <w:pPr>
        <w:spacing w:line="240" w:lineRule="auto"/>
        <w:rPr>
          <w:rFonts w:eastAsia="Times New Roman" w:cs="Arial"/>
          <w:color w:val="000000"/>
          <w:szCs w:val="44"/>
          <w:u w:val="single"/>
          <w:lang w:eastAsia="bg-BG"/>
        </w:rPr>
      </w:pPr>
    </w:p>
    <w:p w14:paraId="16CB5839" w14:textId="5D97189F" w:rsidR="0005639D" w:rsidRPr="0005639D" w:rsidRDefault="0005639D" w:rsidP="0005639D">
      <w:pPr>
        <w:pStyle w:val="Heading3"/>
        <w:rPr>
          <w:rFonts w:eastAsia="Times New Roman"/>
          <w:sz w:val="12"/>
          <w:u w:val="single"/>
        </w:rPr>
      </w:pPr>
      <w:r w:rsidRPr="0005639D">
        <w:rPr>
          <w:rFonts w:eastAsia="Times New Roman"/>
          <w:u w:val="single"/>
          <w:lang w:eastAsia="bg-BG"/>
        </w:rPr>
        <w:t>Бременност</w:t>
      </w:r>
    </w:p>
    <w:p w14:paraId="120432BD"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Опитът показва, че няма доказателства за лекарствено индуцирани тератогенност и/или фетотоксичност при хора при препоръчаните терапевтични дозови нива. Изключително високи дози левотироксин по време на бременност могат да имат отрицателен ефект върху феталното и постнатално развитие.</w:t>
      </w:r>
    </w:p>
    <w:p w14:paraId="797A22D4" w14:textId="77777777" w:rsidR="0005639D" w:rsidRPr="0005639D" w:rsidRDefault="0005639D" w:rsidP="0005639D">
      <w:pPr>
        <w:spacing w:line="240" w:lineRule="auto"/>
        <w:rPr>
          <w:rFonts w:eastAsia="Times New Roman" w:cs="Arial"/>
          <w:color w:val="000000"/>
          <w:szCs w:val="44"/>
          <w:lang w:eastAsia="bg-BG"/>
        </w:rPr>
      </w:pPr>
    </w:p>
    <w:p w14:paraId="461B40B2" w14:textId="771EF3C1"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бременност не е показано комбинирано лечение на хипертиреоидизъм с левотироксин и антитиреоидни средства. Такава комбинация ще изисква по-високи дози антитиреоидни средства, за които е известно, че преминават през плацентата и причиняват хипотиреоидизъм на кърмачето.</w:t>
      </w:r>
    </w:p>
    <w:p w14:paraId="770E3548" w14:textId="77777777" w:rsidR="0005639D" w:rsidRPr="0005639D" w:rsidRDefault="0005639D" w:rsidP="0005639D">
      <w:pPr>
        <w:spacing w:line="240" w:lineRule="auto"/>
        <w:rPr>
          <w:rFonts w:eastAsia="Times New Roman" w:cs="Arial"/>
          <w:color w:val="000000"/>
          <w:szCs w:val="44"/>
          <w:lang w:eastAsia="bg-BG"/>
        </w:rPr>
      </w:pPr>
    </w:p>
    <w:p w14:paraId="1E8DC3CF" w14:textId="42B00DCC"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Диагностичните тестове с тиреоидна супресия не трябва да се провеждат по време на бременност, тъй като приложението на радиоактивни вещества при бременни е противопоказано.</w:t>
      </w:r>
    </w:p>
    <w:p w14:paraId="56F2FBBB" w14:textId="77777777" w:rsidR="0005639D" w:rsidRPr="0005639D" w:rsidRDefault="0005639D" w:rsidP="0005639D">
      <w:pPr>
        <w:spacing w:line="240" w:lineRule="auto"/>
        <w:rPr>
          <w:rFonts w:eastAsia="Times New Roman" w:cs="Arial"/>
          <w:color w:val="000000"/>
          <w:szCs w:val="44"/>
          <w:u w:val="single"/>
          <w:lang w:eastAsia="bg-BG"/>
        </w:rPr>
      </w:pPr>
    </w:p>
    <w:p w14:paraId="3F9D9931" w14:textId="639E9CD1" w:rsidR="0005639D" w:rsidRPr="0005639D" w:rsidRDefault="0005639D" w:rsidP="0005639D">
      <w:pPr>
        <w:pStyle w:val="Heading3"/>
        <w:rPr>
          <w:rFonts w:eastAsia="Times New Roman"/>
          <w:sz w:val="12"/>
          <w:u w:val="single"/>
        </w:rPr>
      </w:pPr>
      <w:r w:rsidRPr="0005639D">
        <w:rPr>
          <w:rFonts w:eastAsia="Times New Roman"/>
          <w:u w:val="single"/>
          <w:lang w:eastAsia="bg-BG"/>
        </w:rPr>
        <w:t>Кърмене</w:t>
      </w:r>
    </w:p>
    <w:p w14:paraId="200CCA1D" w14:textId="1C0AC119" w:rsidR="0005639D" w:rsidRPr="0005639D" w:rsidRDefault="0005639D" w:rsidP="0005639D">
      <w:pPr>
        <w:rPr>
          <w:rFonts w:cs="Arial"/>
          <w:sz w:val="10"/>
        </w:rPr>
      </w:pPr>
      <w:r w:rsidRPr="0005639D">
        <w:rPr>
          <w:rFonts w:eastAsia="Times New Roman" w:cs="Arial"/>
          <w:color w:val="000000"/>
          <w:szCs w:val="44"/>
          <w:lang w:eastAsia="bg-BG"/>
        </w:rPr>
        <w:t>Левотироксин се отделя с кърмата по време на кърмене, но концентрациите, които се достигат при препоръчаните терапевтични дози, не са достатъчни да причинят развитие на хипертиреоидизъм или да потиснат секрецията на ТСХпри кърмачето.</w:t>
      </w:r>
    </w:p>
    <w:p w14:paraId="5766770B" w14:textId="6A4ECA07" w:rsidR="00395555" w:rsidRDefault="002C50EE" w:rsidP="008A6AF2">
      <w:pPr>
        <w:pStyle w:val="Heading2"/>
      </w:pPr>
      <w:r>
        <w:t>4.7. Ефекти върху способността за шофиране и работа с машини</w:t>
      </w:r>
    </w:p>
    <w:p w14:paraId="6BA953EB" w14:textId="5A05555B" w:rsidR="0005639D" w:rsidRDefault="0005639D" w:rsidP="0005639D"/>
    <w:p w14:paraId="174A39CC" w14:textId="77777777" w:rsidR="0005639D" w:rsidRPr="0005639D" w:rsidRDefault="0005639D" w:rsidP="0005639D">
      <w:pPr>
        <w:rPr>
          <w:sz w:val="24"/>
          <w:szCs w:val="24"/>
        </w:rPr>
      </w:pPr>
      <w:r w:rsidRPr="0005639D">
        <w:rPr>
          <w:lang w:eastAsia="bg-BG"/>
        </w:rPr>
        <w:t xml:space="preserve">Не са провеждани проучвания за ефектите върху способността за шофиране и работа с машини. Но тъй като левотироксин е същият като естествено съществуващия тиреоиден </w:t>
      </w:r>
      <w:r w:rsidRPr="0005639D">
        <w:rPr>
          <w:lang w:eastAsia="bg-BG"/>
        </w:rPr>
        <w:lastRenderedPageBreak/>
        <w:t>хормон, не се очаква Еутирокс да повлиява способността за шофиране и работа с машини.</w:t>
      </w:r>
    </w:p>
    <w:p w14:paraId="19A86EFC" w14:textId="77777777" w:rsidR="0005639D" w:rsidRPr="0005639D" w:rsidRDefault="0005639D" w:rsidP="0005639D"/>
    <w:p w14:paraId="4FE16E21" w14:textId="34439E5D" w:rsidR="00395555" w:rsidRDefault="002C50EE" w:rsidP="008A6AF2">
      <w:pPr>
        <w:pStyle w:val="Heading2"/>
      </w:pPr>
      <w:r>
        <w:t>4.8. Нежелани лекарствени реакции</w:t>
      </w:r>
    </w:p>
    <w:p w14:paraId="211F18B3" w14:textId="4103465F" w:rsidR="0005639D" w:rsidRDefault="0005639D" w:rsidP="0005639D"/>
    <w:p w14:paraId="5E298B2D" w14:textId="77777777" w:rsidR="0005639D" w:rsidRPr="0005639D" w:rsidRDefault="0005639D" w:rsidP="0005639D">
      <w:pPr>
        <w:rPr>
          <w:rFonts w:eastAsia="Times New Roman" w:cs="Arial"/>
        </w:rPr>
      </w:pPr>
      <w:r w:rsidRPr="0005639D">
        <w:rPr>
          <w:rFonts w:cs="Arial"/>
        </w:rPr>
        <w:t>Когато се превиши индивидуалната граница на поносимост към левотироксин</w:t>
      </w:r>
      <w:r w:rsidRPr="0005639D">
        <w:rPr>
          <w:rFonts w:cs="Arial"/>
          <w:lang w:val="ru-RU"/>
        </w:rPr>
        <w:t xml:space="preserve"> </w:t>
      </w:r>
      <w:r w:rsidRPr="0005639D">
        <w:rPr>
          <w:rFonts w:cs="Arial"/>
        </w:rPr>
        <w:t>натрии или след предозиране е възможно да се наблюдават следните клинични симптомите типични за</w:t>
      </w:r>
      <w:r w:rsidRPr="0005639D">
        <w:rPr>
          <w:rFonts w:cs="Arial"/>
          <w:lang w:val="ru-RU"/>
        </w:rPr>
        <w:t xml:space="preserve"> </w:t>
      </w:r>
      <w:r w:rsidRPr="0005639D">
        <w:rPr>
          <w:rFonts w:eastAsia="Times New Roman" w:cs="Arial"/>
          <w:color w:val="000000"/>
          <w:lang w:eastAsia="bg-BG"/>
        </w:rPr>
        <w:t>хипертиреоидизма, особено ако дозата е повишена твърде бързо в началото на лечението: сърдечни аритмии (напр. атриална фибрилация и екстрасистоли), тахикардия, сърцебиене, ангинозни пристъпи, главоболие, мускулна слабост и крампи, зачервяване, повишена температура, повръщане, менструални нарушения, псевдотумор на мозъка, тремор, неспокойствие, безсъние, прекомерно изпотяване, загуба на тегло, диария.</w:t>
      </w:r>
    </w:p>
    <w:p w14:paraId="7ACD2293"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В такива случаи дневната доза трябва да се намали или лекарството да се спре за няколко дни. След изчезване на нежеланите реакции лечението може внимателно да се започне отново.</w:t>
      </w:r>
    </w:p>
    <w:p w14:paraId="27F87B87" w14:textId="77777777" w:rsidR="0005639D" w:rsidRPr="0005639D" w:rsidRDefault="0005639D" w:rsidP="0005639D">
      <w:pPr>
        <w:spacing w:line="240" w:lineRule="auto"/>
        <w:rPr>
          <w:rFonts w:eastAsia="Times New Roman" w:cs="Arial"/>
          <w:color w:val="000000"/>
          <w:lang w:eastAsia="bg-BG"/>
        </w:rPr>
      </w:pPr>
    </w:p>
    <w:p w14:paraId="2AB44A74" w14:textId="5BE980A1" w:rsidR="0005639D" w:rsidRPr="0005639D" w:rsidRDefault="0005639D" w:rsidP="0005639D">
      <w:pPr>
        <w:spacing w:line="240" w:lineRule="auto"/>
        <w:rPr>
          <w:rFonts w:eastAsia="Times New Roman" w:cs="Arial"/>
        </w:rPr>
      </w:pPr>
      <w:r w:rsidRPr="0005639D">
        <w:rPr>
          <w:rFonts w:eastAsia="Times New Roman" w:cs="Arial"/>
          <w:color w:val="000000"/>
          <w:lang w:eastAsia="bg-BG"/>
        </w:rPr>
        <w:t>В случай на свръхчувствителност към някоя от съставките на Еутирокс може да се наблюдават алергични реакции, особено на кожата и на дихателните пътища. Съобщени са случаи на ангиоедема.</w:t>
      </w:r>
    </w:p>
    <w:p w14:paraId="502CA602" w14:textId="77777777" w:rsidR="0005639D" w:rsidRPr="0005639D" w:rsidRDefault="0005639D" w:rsidP="0005639D">
      <w:pPr>
        <w:spacing w:line="240" w:lineRule="auto"/>
        <w:rPr>
          <w:rFonts w:eastAsia="Times New Roman" w:cs="Arial"/>
          <w:color w:val="000000"/>
          <w:u w:val="single"/>
          <w:lang w:eastAsia="bg-BG"/>
        </w:rPr>
      </w:pPr>
    </w:p>
    <w:p w14:paraId="61991117" w14:textId="43B6A033" w:rsidR="0005639D" w:rsidRPr="0005639D" w:rsidRDefault="0005639D" w:rsidP="0005639D">
      <w:pPr>
        <w:spacing w:line="240" w:lineRule="auto"/>
        <w:rPr>
          <w:rFonts w:eastAsia="Times New Roman" w:cs="Arial"/>
          <w:color w:val="000000"/>
          <w:u w:val="single"/>
          <w:lang w:eastAsia="bg-BG"/>
        </w:rPr>
      </w:pPr>
      <w:r w:rsidRPr="0005639D">
        <w:rPr>
          <w:rFonts w:eastAsia="Times New Roman" w:cs="Arial"/>
          <w:color w:val="000000"/>
          <w:u w:val="single"/>
          <w:lang w:eastAsia="bg-BG"/>
        </w:rPr>
        <w:t>Съобщаване на подозирани нежелани реакции</w:t>
      </w:r>
    </w:p>
    <w:p w14:paraId="48318E19"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02540C1"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Изпълнителна агенция по лекарствата</w:t>
      </w:r>
    </w:p>
    <w:p w14:paraId="203206A1"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ул. „Дамян Груев” № 8</w:t>
      </w:r>
    </w:p>
    <w:p w14:paraId="3A351226"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1303 София</w:t>
      </w:r>
    </w:p>
    <w:p w14:paraId="21061678"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Тел.:+35 928903417</w:t>
      </w:r>
    </w:p>
    <w:p w14:paraId="0198CB32"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 xml:space="preserve">уебсайт: </w:t>
      </w:r>
      <w:r w:rsidRPr="0005639D">
        <w:rPr>
          <w:rFonts w:eastAsia="Times New Roman" w:cs="Arial"/>
        </w:rPr>
        <w:fldChar w:fldCharType="begin"/>
      </w:r>
      <w:r w:rsidRPr="0005639D">
        <w:rPr>
          <w:rFonts w:eastAsia="Times New Roman" w:cs="Arial"/>
        </w:rPr>
        <w:instrText xml:space="preserve"> HYPERLINK "http://www.bda.bg" </w:instrText>
      </w:r>
      <w:r w:rsidRPr="0005639D">
        <w:rPr>
          <w:rFonts w:eastAsia="Times New Roman" w:cs="Arial"/>
        </w:rPr>
      </w:r>
      <w:r w:rsidRPr="0005639D">
        <w:rPr>
          <w:rFonts w:eastAsia="Times New Roman" w:cs="Arial"/>
        </w:rPr>
        <w:fldChar w:fldCharType="separate"/>
      </w:r>
      <w:r w:rsidRPr="0005639D">
        <w:rPr>
          <w:rFonts w:eastAsia="Times New Roman" w:cs="Arial"/>
          <w:color w:val="000000"/>
          <w:u w:val="single"/>
          <w:lang w:val="en-US"/>
        </w:rPr>
        <w:t>www</w:t>
      </w:r>
      <w:r w:rsidRPr="0005639D">
        <w:rPr>
          <w:rFonts w:eastAsia="Times New Roman" w:cs="Arial"/>
          <w:color w:val="000000"/>
          <w:u w:val="single"/>
          <w:lang w:val="ru-RU"/>
        </w:rPr>
        <w:t>.</w:t>
      </w:r>
      <w:proofErr w:type="spellStart"/>
      <w:r w:rsidRPr="0005639D">
        <w:rPr>
          <w:rFonts w:eastAsia="Times New Roman" w:cs="Arial"/>
          <w:color w:val="000000"/>
          <w:u w:val="single"/>
          <w:lang w:val="en-US"/>
        </w:rPr>
        <w:t>bda</w:t>
      </w:r>
      <w:proofErr w:type="spellEnd"/>
      <w:r w:rsidRPr="0005639D">
        <w:rPr>
          <w:rFonts w:eastAsia="Times New Roman" w:cs="Arial"/>
          <w:color w:val="000000"/>
          <w:u w:val="single"/>
          <w:lang w:val="ru-RU"/>
        </w:rPr>
        <w:t>.</w:t>
      </w:r>
      <w:proofErr w:type="spellStart"/>
      <w:r w:rsidRPr="0005639D">
        <w:rPr>
          <w:rFonts w:eastAsia="Times New Roman" w:cs="Arial"/>
          <w:color w:val="000000"/>
          <w:u w:val="single"/>
          <w:lang w:val="en-US"/>
        </w:rPr>
        <w:t>bg</w:t>
      </w:r>
      <w:proofErr w:type="spellEnd"/>
      <w:r w:rsidRPr="0005639D">
        <w:rPr>
          <w:rFonts w:eastAsia="Times New Roman" w:cs="Arial"/>
        </w:rPr>
        <w:fldChar w:fldCharType="end"/>
      </w:r>
    </w:p>
    <w:p w14:paraId="35AF7EF5" w14:textId="14D33F0F" w:rsidR="0005639D" w:rsidRPr="0005639D" w:rsidRDefault="0005639D" w:rsidP="0005639D"/>
    <w:p w14:paraId="4ED30546" w14:textId="15E32F43" w:rsidR="007C605B" w:rsidRDefault="002C50EE" w:rsidP="009F1313">
      <w:pPr>
        <w:pStyle w:val="Heading2"/>
      </w:pPr>
      <w:r>
        <w:t>4.9. Предозиране</w:t>
      </w:r>
    </w:p>
    <w:p w14:paraId="4798E173" w14:textId="4F0DD6E3" w:rsidR="0005639D" w:rsidRDefault="0005639D" w:rsidP="0005639D"/>
    <w:p w14:paraId="77505B55"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Повишеното ниво на Т</w:t>
      </w:r>
      <w:r w:rsidRPr="0005639D">
        <w:rPr>
          <w:rFonts w:eastAsia="Times New Roman" w:cs="Arial"/>
          <w:color w:val="000000"/>
          <w:vertAlign w:val="subscript"/>
          <w:lang w:eastAsia="bg-BG"/>
        </w:rPr>
        <w:t>3</w:t>
      </w:r>
      <w:r w:rsidRPr="0005639D">
        <w:rPr>
          <w:rFonts w:eastAsia="Times New Roman" w:cs="Arial"/>
          <w:color w:val="000000"/>
          <w:lang w:eastAsia="bg-BG"/>
        </w:rPr>
        <w:t xml:space="preserve"> е по-надежден индикатор за предозиране, отколкото повишените нива на Т</w:t>
      </w:r>
      <w:r w:rsidRPr="0005639D">
        <w:rPr>
          <w:rFonts w:eastAsia="Times New Roman" w:cs="Arial"/>
          <w:color w:val="000000"/>
          <w:vertAlign w:val="subscript"/>
          <w:lang w:eastAsia="bg-BG"/>
        </w:rPr>
        <w:t>4</w:t>
      </w:r>
      <w:r w:rsidRPr="0005639D">
        <w:rPr>
          <w:rFonts w:eastAsia="Times New Roman" w:cs="Arial"/>
          <w:color w:val="000000"/>
          <w:lang w:eastAsia="bg-BG"/>
        </w:rPr>
        <w:t xml:space="preserve"> или </w:t>
      </w:r>
      <w:proofErr w:type="spellStart"/>
      <w:r w:rsidRPr="0005639D">
        <w:rPr>
          <w:rFonts w:eastAsia="Times New Roman" w:cs="Arial"/>
          <w:color w:val="000000"/>
          <w:lang w:val="en-US"/>
        </w:rPr>
        <w:t>fT</w:t>
      </w:r>
      <w:proofErr w:type="spellEnd"/>
      <w:r w:rsidRPr="0005639D">
        <w:rPr>
          <w:rFonts w:eastAsia="Times New Roman" w:cs="Arial"/>
          <w:color w:val="000000"/>
          <w:vertAlign w:val="subscript"/>
          <w:lang w:val="ru-RU"/>
        </w:rPr>
        <w:t>4</w:t>
      </w:r>
      <w:r w:rsidRPr="0005639D">
        <w:rPr>
          <w:rFonts w:eastAsia="Times New Roman" w:cs="Arial"/>
          <w:color w:val="000000"/>
          <w:lang w:val="ru-RU"/>
        </w:rPr>
        <w:t>.</w:t>
      </w:r>
    </w:p>
    <w:p w14:paraId="60CCB7ED"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След предозиране се наблюдават симптоми на рязко повишаване скоростта на метаболитниге процеси (виж точка 4.8).</w:t>
      </w:r>
    </w:p>
    <w:p w14:paraId="28B8D63E"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В зависимост от степента на предозиране се препоръчва лечението с таблетките да бъде спряно и да се направят изследвания.</w:t>
      </w:r>
    </w:p>
    <w:p w14:paraId="7BE8321F" w14:textId="77777777" w:rsidR="0005639D" w:rsidRPr="0005639D" w:rsidRDefault="0005639D" w:rsidP="0005639D">
      <w:pPr>
        <w:spacing w:line="240" w:lineRule="auto"/>
        <w:rPr>
          <w:rFonts w:eastAsia="Times New Roman" w:cs="Arial"/>
          <w:color w:val="000000"/>
          <w:lang w:eastAsia="bg-BG"/>
        </w:rPr>
      </w:pPr>
    </w:p>
    <w:p w14:paraId="55FFC584" w14:textId="048BA290" w:rsidR="0005639D" w:rsidRPr="0005639D" w:rsidRDefault="0005639D" w:rsidP="0005639D">
      <w:pPr>
        <w:spacing w:line="240" w:lineRule="auto"/>
        <w:rPr>
          <w:rFonts w:eastAsia="Times New Roman" w:cs="Arial"/>
        </w:rPr>
      </w:pPr>
      <w:r w:rsidRPr="0005639D">
        <w:rPr>
          <w:rFonts w:eastAsia="Times New Roman" w:cs="Arial"/>
          <w:color w:val="000000"/>
          <w:lang w:eastAsia="bg-BG"/>
        </w:rPr>
        <w:t>Симптомите на интензивни бета-симпатикомиметични ефекти, като тахикардия, тревожност, възбуда и хиперкинезия, могат да бъдат повлияни от бета-блокери. След прекалено високи дози може да се използва плазмафереза.</w:t>
      </w:r>
    </w:p>
    <w:p w14:paraId="0FB562A5" w14:textId="77777777" w:rsidR="0005639D" w:rsidRPr="0005639D" w:rsidRDefault="0005639D" w:rsidP="0005639D">
      <w:pPr>
        <w:spacing w:line="240" w:lineRule="auto"/>
        <w:rPr>
          <w:rFonts w:eastAsia="Times New Roman" w:cs="Arial"/>
          <w:color w:val="000000"/>
          <w:lang w:eastAsia="bg-BG"/>
        </w:rPr>
      </w:pPr>
    </w:p>
    <w:p w14:paraId="50492D3F" w14:textId="15D7B7DD" w:rsidR="0005639D" w:rsidRPr="0005639D" w:rsidRDefault="0005639D" w:rsidP="0005639D">
      <w:pPr>
        <w:spacing w:line="240" w:lineRule="auto"/>
        <w:rPr>
          <w:rFonts w:eastAsia="Times New Roman" w:cs="Arial"/>
        </w:rPr>
      </w:pPr>
      <w:r w:rsidRPr="0005639D">
        <w:rPr>
          <w:rFonts w:eastAsia="Times New Roman" w:cs="Arial"/>
          <w:color w:val="000000"/>
          <w:lang w:eastAsia="bg-BG"/>
        </w:rPr>
        <w:t>При предразположени пациенти са наблюдавани изолирани случаи на припадъци, когато е превишен индивиуалния дозов толеранс.</w:t>
      </w:r>
    </w:p>
    <w:p w14:paraId="61A7910D" w14:textId="77777777" w:rsidR="0005639D" w:rsidRPr="0005639D" w:rsidRDefault="0005639D" w:rsidP="0005639D">
      <w:pPr>
        <w:spacing w:line="240" w:lineRule="auto"/>
        <w:rPr>
          <w:rFonts w:eastAsia="Times New Roman" w:cs="Arial"/>
          <w:color w:val="000000"/>
          <w:lang w:eastAsia="bg-BG"/>
        </w:rPr>
      </w:pPr>
    </w:p>
    <w:p w14:paraId="2259B0FD" w14:textId="3C9600C0" w:rsidR="0005639D" w:rsidRPr="0005639D" w:rsidRDefault="0005639D" w:rsidP="0005639D">
      <w:pPr>
        <w:spacing w:line="240" w:lineRule="auto"/>
        <w:rPr>
          <w:rFonts w:eastAsia="Times New Roman" w:cs="Arial"/>
        </w:rPr>
      </w:pPr>
      <w:r w:rsidRPr="0005639D">
        <w:rPr>
          <w:rFonts w:eastAsia="Times New Roman" w:cs="Arial"/>
          <w:color w:val="000000"/>
          <w:lang w:eastAsia="bg-BG"/>
        </w:rPr>
        <w:t>Предозирането на левотироксин може да доведе до симптоми на хипертиреоидизъм и до остра психоза, особено при пациенти с риск от психични разстройства.</w:t>
      </w:r>
    </w:p>
    <w:p w14:paraId="369016A5" w14:textId="77777777" w:rsidR="0005639D" w:rsidRPr="0005639D" w:rsidRDefault="0005639D" w:rsidP="0005639D">
      <w:pPr>
        <w:spacing w:line="240" w:lineRule="auto"/>
        <w:rPr>
          <w:rFonts w:eastAsia="Times New Roman" w:cs="Arial"/>
          <w:color w:val="000000"/>
          <w:lang w:eastAsia="bg-BG"/>
        </w:rPr>
      </w:pPr>
    </w:p>
    <w:p w14:paraId="65E7B159" w14:textId="74748E9D" w:rsidR="0005639D" w:rsidRPr="0005639D" w:rsidRDefault="0005639D" w:rsidP="0005639D">
      <w:pPr>
        <w:spacing w:line="240" w:lineRule="auto"/>
        <w:rPr>
          <w:rFonts w:eastAsia="Times New Roman" w:cs="Arial"/>
        </w:rPr>
      </w:pPr>
      <w:r w:rsidRPr="0005639D">
        <w:rPr>
          <w:rFonts w:eastAsia="Times New Roman" w:cs="Arial"/>
          <w:color w:val="000000"/>
          <w:lang w:eastAsia="bg-BG"/>
        </w:rPr>
        <w:t>Съобщени са няколко случая на внезапна сърдечна смърт при пациенти с дългогодишна злоупотреба с левотироксин.</w:t>
      </w:r>
    </w:p>
    <w:p w14:paraId="60F9A1B2" w14:textId="77777777" w:rsidR="0005639D" w:rsidRPr="0005639D" w:rsidRDefault="0005639D" w:rsidP="0005639D"/>
    <w:p w14:paraId="02081B24" w14:textId="1F46E296" w:rsidR="00395555" w:rsidRPr="00395555" w:rsidRDefault="002C50EE" w:rsidP="008A6AF2">
      <w:pPr>
        <w:pStyle w:val="Heading1"/>
      </w:pPr>
      <w:r>
        <w:t>5. ФАРМАКОЛОГИЧНИ СВОЙСТВА</w:t>
      </w:r>
    </w:p>
    <w:p w14:paraId="5350637D" w14:textId="362FAA15" w:rsidR="00395555" w:rsidRDefault="002C50EE" w:rsidP="008A6AF2">
      <w:pPr>
        <w:pStyle w:val="Heading2"/>
      </w:pPr>
      <w:r>
        <w:t>5.1. Фармакодинамични свойства</w:t>
      </w:r>
    </w:p>
    <w:p w14:paraId="5D9CA884" w14:textId="5DF9B554" w:rsidR="0005639D" w:rsidRDefault="0005639D" w:rsidP="0005639D"/>
    <w:p w14:paraId="438885B9" w14:textId="77777777" w:rsidR="0005639D" w:rsidRPr="0005639D" w:rsidRDefault="0005639D" w:rsidP="0005639D">
      <w:pPr>
        <w:rPr>
          <w:sz w:val="24"/>
          <w:szCs w:val="24"/>
        </w:rPr>
      </w:pPr>
      <w:r w:rsidRPr="0005639D">
        <w:rPr>
          <w:lang w:eastAsia="bg-BG"/>
        </w:rPr>
        <w:t>Фармакотерапевтична група: Тиреоидни хормони</w:t>
      </w:r>
    </w:p>
    <w:p w14:paraId="577CC6A5" w14:textId="77777777" w:rsidR="0005639D" w:rsidRDefault="0005639D" w:rsidP="0005639D">
      <w:pPr>
        <w:rPr>
          <w:lang w:eastAsia="bg-BG"/>
        </w:rPr>
      </w:pPr>
    </w:p>
    <w:p w14:paraId="4FAE4E80" w14:textId="68DD8EF7" w:rsidR="0005639D" w:rsidRDefault="0005639D" w:rsidP="0005639D">
      <w:pPr>
        <w:rPr>
          <w:lang w:eastAsia="bg-BG"/>
        </w:rPr>
      </w:pPr>
      <w:r w:rsidRPr="0005639D">
        <w:rPr>
          <w:lang w:eastAsia="bg-BG"/>
        </w:rPr>
        <w:t>АТСкод: Н03АА01</w:t>
      </w:r>
    </w:p>
    <w:p w14:paraId="16C29092" w14:textId="0CACCCA8" w:rsidR="0005639D" w:rsidRDefault="0005639D" w:rsidP="0005639D">
      <w:r>
        <w:t>Синтетичният левотироксин, съдържащ се в Еутирокс, има същия ефект като естествения главен хормон, отделян от щитовидната жлеза. Той се превръща в Т</w:t>
      </w:r>
      <w:r>
        <w:rPr>
          <w:vertAlign w:val="subscript"/>
        </w:rPr>
        <w:t>3</w:t>
      </w:r>
      <w:r>
        <w:t xml:space="preserve"> в периферните органи и, както ендогенния хормон, оказва специфичното си действие върху Т</w:t>
      </w:r>
      <w:r>
        <w:rPr>
          <w:vertAlign w:val="subscript"/>
        </w:rPr>
        <w:t>3</w:t>
      </w:r>
      <w:r>
        <w:t xml:space="preserve"> рецепторите. Организмът не е в състояние да различи ендогенния от екзогенния левотироксин.</w:t>
      </w:r>
    </w:p>
    <w:p w14:paraId="5C340B7E" w14:textId="77777777" w:rsidR="0005639D" w:rsidRPr="0005639D" w:rsidRDefault="0005639D" w:rsidP="0005639D"/>
    <w:p w14:paraId="26535098" w14:textId="53A9BF08" w:rsidR="00395555" w:rsidRDefault="002C50EE" w:rsidP="008A6AF2">
      <w:pPr>
        <w:pStyle w:val="Heading2"/>
      </w:pPr>
      <w:r>
        <w:t>5.2. Фармакокинетични свойства</w:t>
      </w:r>
    </w:p>
    <w:p w14:paraId="32128314" w14:textId="0B3B62B2" w:rsidR="0005639D" w:rsidRDefault="0005639D" w:rsidP="0005639D"/>
    <w:p w14:paraId="389ED5A6"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При перорално приложение левотироксин се абсорбира почти напълно в горното тънко черво. В зависимост от галеновата форма абсорбцията му достига до 80 %. Т</w:t>
      </w:r>
      <w:r w:rsidRPr="00956E38">
        <w:rPr>
          <w:rFonts w:eastAsia="Times New Roman" w:cs="Arial"/>
          <w:color w:val="000000"/>
          <w:szCs w:val="44"/>
          <w:vertAlign w:val="subscript"/>
          <w:lang w:val="en-US"/>
        </w:rPr>
        <w:t>max</w:t>
      </w:r>
      <w:r w:rsidRPr="00956E38">
        <w:rPr>
          <w:rFonts w:eastAsia="Times New Roman" w:cs="Arial"/>
          <w:color w:val="000000"/>
          <w:szCs w:val="44"/>
          <w:lang w:eastAsia="bg-BG"/>
        </w:rPr>
        <w:t xml:space="preserve"> е приблизително 5 до 6 часа.</w:t>
      </w:r>
    </w:p>
    <w:p w14:paraId="28E014A2" w14:textId="77777777" w:rsidR="00956E38" w:rsidRPr="00956E38" w:rsidRDefault="00956E38" w:rsidP="00956E38">
      <w:pPr>
        <w:spacing w:line="240" w:lineRule="auto"/>
        <w:rPr>
          <w:rFonts w:eastAsia="Times New Roman" w:cs="Arial"/>
          <w:color w:val="000000"/>
          <w:szCs w:val="44"/>
          <w:lang w:eastAsia="bg-BG"/>
        </w:rPr>
      </w:pPr>
    </w:p>
    <w:p w14:paraId="407704F7" w14:textId="08BF2AF8"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След перорално приложение началото на действието се наблюдава след 3-5 дни. Левотироксин се свързва в изключително висока степен, около 99,97 %, със специфични транспортни протеини. Този протеин хормонален комплекс не е ковалентен и затова свързаният хормон в плазмата е в непрекъсната и много бърза размяна с фракцията на свободния хормон.</w:t>
      </w:r>
    </w:p>
    <w:p w14:paraId="03C07117" w14:textId="77777777" w:rsidR="00956E38" w:rsidRPr="00956E38" w:rsidRDefault="00956E38" w:rsidP="00956E38">
      <w:pPr>
        <w:spacing w:line="240" w:lineRule="auto"/>
        <w:rPr>
          <w:rFonts w:eastAsia="Times New Roman" w:cs="Arial"/>
          <w:color w:val="000000"/>
          <w:szCs w:val="44"/>
          <w:lang w:eastAsia="bg-BG"/>
        </w:rPr>
      </w:pPr>
    </w:p>
    <w:p w14:paraId="31065265" w14:textId="2577E60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Поради високата степен на свързване с протеините, левотироксин не се отделя при хемодиализа и при хемоперфузия.</w:t>
      </w:r>
    </w:p>
    <w:p w14:paraId="72A455AE" w14:textId="77777777" w:rsidR="00956E38" w:rsidRPr="00956E38" w:rsidRDefault="00956E38" w:rsidP="00956E38">
      <w:pPr>
        <w:rPr>
          <w:rFonts w:eastAsia="Times New Roman" w:cs="Arial"/>
          <w:color w:val="000000"/>
          <w:szCs w:val="44"/>
          <w:lang w:eastAsia="bg-BG"/>
        </w:rPr>
      </w:pPr>
    </w:p>
    <w:p w14:paraId="004604A2" w14:textId="08F23ED5" w:rsidR="0005639D" w:rsidRDefault="00956E38" w:rsidP="00956E38">
      <w:pPr>
        <w:rPr>
          <w:rFonts w:eastAsia="Times New Roman" w:cs="Arial"/>
          <w:color w:val="000000"/>
          <w:szCs w:val="44"/>
          <w:lang w:eastAsia="bg-BG"/>
        </w:rPr>
      </w:pPr>
      <w:r w:rsidRPr="00956E38">
        <w:rPr>
          <w:rFonts w:eastAsia="Times New Roman" w:cs="Arial"/>
          <w:color w:val="000000"/>
          <w:szCs w:val="44"/>
          <w:lang w:eastAsia="bg-BG"/>
        </w:rPr>
        <w:t>Времето на полуживот на левотироксин е средно 7 дни. При хипертиреоидизъм е по-кратко (3-4 дни), а при хипотиреоидизъм е по-дълго (приблизително 9-10 дни). Обемът на разпределение възлиза на около 10-12 1. Черният дроб съдържа 1/3 от целия екстратиреоидален левотироксин, който бързо се разменя с левотироксина в серума. Тиреоидните хормони се метаболизират основно в черния дроб, бъбреците, мозъка и мускулите. Метаболитите се отделят с урината и фекалиите. Пълният метаболитен клирънс на левотироксин е около 1,2 1 плазма/ден.</w:t>
      </w:r>
    </w:p>
    <w:p w14:paraId="506126F4" w14:textId="77777777" w:rsidR="00956E38" w:rsidRPr="00956E38" w:rsidRDefault="00956E38" w:rsidP="00956E38">
      <w:pPr>
        <w:rPr>
          <w:rFonts w:cs="Arial"/>
          <w:sz w:val="10"/>
        </w:rPr>
      </w:pPr>
    </w:p>
    <w:p w14:paraId="028E658A" w14:textId="37082BD9" w:rsidR="00395555" w:rsidRDefault="002C50EE" w:rsidP="008A6AF2">
      <w:pPr>
        <w:pStyle w:val="Heading2"/>
      </w:pPr>
      <w:r>
        <w:t>5.3. Предклинични данни за безопасност</w:t>
      </w:r>
    </w:p>
    <w:p w14:paraId="4F86FF05" w14:textId="3A20339C" w:rsidR="00956E38" w:rsidRDefault="00956E38" w:rsidP="00956E38"/>
    <w:p w14:paraId="6FBEA385" w14:textId="77777777"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Остра токсичност:</w:t>
      </w:r>
    </w:p>
    <w:p w14:paraId="7F9411CF"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Левотироксин има много ниска остра токсичност.</w:t>
      </w:r>
    </w:p>
    <w:p w14:paraId="06BB6FF1" w14:textId="77777777" w:rsidR="00956E38" w:rsidRPr="00956E38" w:rsidRDefault="00956E38" w:rsidP="00956E38">
      <w:pPr>
        <w:spacing w:line="240" w:lineRule="auto"/>
        <w:rPr>
          <w:rFonts w:eastAsia="Times New Roman" w:cs="Arial"/>
          <w:i/>
          <w:iCs/>
          <w:color w:val="000000"/>
          <w:szCs w:val="44"/>
          <w:lang w:eastAsia="bg-BG"/>
        </w:rPr>
      </w:pPr>
    </w:p>
    <w:p w14:paraId="6E7C3300" w14:textId="5D725889"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Хронична токсичност:</w:t>
      </w:r>
    </w:p>
    <w:p w14:paraId="2DBD6A22"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 xml:space="preserve">Хроничната токсичност на левотироксин е била изследвана при различни животински видове (плъх, куче). При високи дози, при плъхове са наблюдавани признаци на </w:t>
      </w:r>
      <w:r w:rsidRPr="00956E38">
        <w:rPr>
          <w:rFonts w:eastAsia="Times New Roman" w:cs="Arial"/>
          <w:color w:val="000000"/>
          <w:szCs w:val="44"/>
          <w:lang w:eastAsia="bg-BG"/>
        </w:rPr>
        <w:lastRenderedPageBreak/>
        <w:t>хепатопатия, повишена честота на спонтанните нефрози, както и промени в теглото на органите.</w:t>
      </w:r>
    </w:p>
    <w:p w14:paraId="21A1F64B" w14:textId="77777777" w:rsidR="00956E38" w:rsidRPr="00956E38" w:rsidRDefault="00956E38" w:rsidP="00956E38">
      <w:pPr>
        <w:spacing w:line="240" w:lineRule="auto"/>
        <w:rPr>
          <w:rFonts w:eastAsia="Times New Roman" w:cs="Arial"/>
          <w:i/>
          <w:iCs/>
          <w:color w:val="000000"/>
          <w:szCs w:val="44"/>
          <w:lang w:eastAsia="bg-BG"/>
        </w:rPr>
      </w:pPr>
    </w:p>
    <w:p w14:paraId="569D59D1" w14:textId="47A8611A"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Репродуктивна токсичност:</w:t>
      </w:r>
    </w:p>
    <w:p w14:paraId="6D8B7AFE"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Не са провеждани изследвания на репродуктивната токсичност при животни.</w:t>
      </w:r>
    </w:p>
    <w:p w14:paraId="0B409532" w14:textId="77777777" w:rsidR="00956E38" w:rsidRPr="00956E38" w:rsidRDefault="00956E38" w:rsidP="00956E38">
      <w:pPr>
        <w:spacing w:line="240" w:lineRule="auto"/>
        <w:rPr>
          <w:rFonts w:eastAsia="Times New Roman" w:cs="Arial"/>
          <w:i/>
          <w:iCs/>
          <w:color w:val="000000"/>
          <w:szCs w:val="44"/>
          <w:lang w:eastAsia="bg-BG"/>
        </w:rPr>
      </w:pPr>
    </w:p>
    <w:p w14:paraId="1AFA5AD6" w14:textId="5DD3390D"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Мутагенност:</w:t>
      </w:r>
    </w:p>
    <w:p w14:paraId="117B8143"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Няма налична информация в тази насока. Засега няма никакви показания, предполагащи увреждане на потомството поради промени в генома, предизвикани от тиреоидни хормони.</w:t>
      </w:r>
    </w:p>
    <w:p w14:paraId="4E48E703" w14:textId="77777777" w:rsidR="00956E38" w:rsidRPr="00956E38" w:rsidRDefault="00956E38" w:rsidP="00956E38">
      <w:pPr>
        <w:spacing w:line="240" w:lineRule="auto"/>
        <w:rPr>
          <w:rFonts w:eastAsia="Times New Roman" w:cs="Arial"/>
          <w:i/>
          <w:iCs/>
          <w:color w:val="000000"/>
          <w:szCs w:val="44"/>
          <w:lang w:eastAsia="bg-BG"/>
        </w:rPr>
      </w:pPr>
    </w:p>
    <w:p w14:paraId="4A1A9FB0" w14:textId="3FD44ADD"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Канцерогенност:</w:t>
      </w:r>
    </w:p>
    <w:p w14:paraId="0068C0C4" w14:textId="7A6CED30" w:rsidR="00956E38" w:rsidRPr="00956E38" w:rsidRDefault="00956E38" w:rsidP="00956E38">
      <w:pPr>
        <w:rPr>
          <w:rFonts w:cs="Arial"/>
          <w:sz w:val="10"/>
        </w:rPr>
      </w:pPr>
      <w:r w:rsidRPr="00956E38">
        <w:rPr>
          <w:rFonts w:eastAsia="Times New Roman" w:cs="Arial"/>
          <w:color w:val="000000"/>
          <w:szCs w:val="44"/>
          <w:lang w:eastAsia="bg-BG"/>
        </w:rPr>
        <w:t>Не са провеждани продължителни изследвания с левотироксин при животни.</w:t>
      </w:r>
    </w:p>
    <w:p w14:paraId="6A7820AB" w14:textId="79AE5C8B" w:rsidR="008A6AF2" w:rsidRDefault="002C50EE" w:rsidP="00395555">
      <w:pPr>
        <w:pStyle w:val="Heading1"/>
      </w:pPr>
      <w:r>
        <w:t>7. ПРИТЕЖАТЕЛ НА РАЗРЕШЕНИЕТО ЗА УПОТРЕБА</w:t>
      </w:r>
    </w:p>
    <w:p w14:paraId="31213682" w14:textId="6234F65C" w:rsidR="00956E38" w:rsidRDefault="00956E38" w:rsidP="00956E38"/>
    <w:p w14:paraId="0C487749" w14:textId="77777777" w:rsidR="00956E38" w:rsidRDefault="00956E38" w:rsidP="00956E38">
      <w:r>
        <w:t xml:space="preserve">Мерк България ЕАД </w:t>
      </w:r>
    </w:p>
    <w:p w14:paraId="65E649D6" w14:textId="77777777" w:rsidR="00956E38" w:rsidRDefault="00956E38" w:rsidP="00956E38">
      <w:r>
        <w:t xml:space="preserve">Бул. „Ситняково” № 48 </w:t>
      </w:r>
    </w:p>
    <w:p w14:paraId="260A27C3" w14:textId="77777777" w:rsidR="00956E38" w:rsidRDefault="00956E38" w:rsidP="00956E38">
      <w:r>
        <w:t xml:space="preserve">Сердика Офиси, ет. 6 </w:t>
      </w:r>
    </w:p>
    <w:p w14:paraId="2C695EB2" w14:textId="77777777" w:rsidR="00956E38" w:rsidRDefault="00956E38" w:rsidP="00956E38">
      <w:r>
        <w:t xml:space="preserve">София 1505 </w:t>
      </w:r>
    </w:p>
    <w:p w14:paraId="24DC1F29" w14:textId="6EA433F0" w:rsidR="00956E38" w:rsidRPr="00956E38" w:rsidRDefault="00956E38" w:rsidP="00956E38">
      <w:r>
        <w:t>България</w:t>
      </w:r>
    </w:p>
    <w:p w14:paraId="04840D59" w14:textId="6162AAB4" w:rsidR="002C50EE" w:rsidRDefault="002C50EE" w:rsidP="00395555">
      <w:pPr>
        <w:pStyle w:val="Heading1"/>
      </w:pPr>
      <w:r>
        <w:t>8. НОМЕР НА РАЗРЕШЕНИЕТО ЗА УПОТРЕБА</w:t>
      </w:r>
    </w:p>
    <w:p w14:paraId="213BA5A4" w14:textId="084E4DC9" w:rsidR="00956E38" w:rsidRDefault="00956E38" w:rsidP="00956E38"/>
    <w:p w14:paraId="3F0ADD41" w14:textId="41FBBA89" w:rsidR="00956E38" w:rsidRPr="00956E38" w:rsidRDefault="00956E38" w:rsidP="00956E38">
      <w:r>
        <w:t>20010693; 20010694; 20010695;20010696;20010697</w:t>
      </w:r>
    </w:p>
    <w:p w14:paraId="2CCB5832" w14:textId="2FA8A995" w:rsidR="007C605B" w:rsidRDefault="002C50EE" w:rsidP="007C605B">
      <w:pPr>
        <w:pStyle w:val="Heading1"/>
      </w:pPr>
      <w:r>
        <w:t>9. ДАТА НА ПЪРВО РАЗРЕШАВАНЕ/ПОДНОВЯВАНЕ НА РАЗРЕШЕНИЕТО ЗА УПОТРЕБА</w:t>
      </w:r>
    </w:p>
    <w:p w14:paraId="747E8301" w14:textId="3474C150" w:rsidR="00956E38" w:rsidRDefault="00956E38" w:rsidP="00956E38"/>
    <w:p w14:paraId="4729C696" w14:textId="77777777" w:rsidR="00956E38" w:rsidRPr="00956E38" w:rsidRDefault="00956E38" w:rsidP="00956E38">
      <w:pPr>
        <w:rPr>
          <w:sz w:val="24"/>
          <w:szCs w:val="24"/>
        </w:rPr>
      </w:pPr>
      <w:r w:rsidRPr="00956E38">
        <w:rPr>
          <w:lang w:eastAsia="bg-BG"/>
        </w:rPr>
        <w:t>Дата на първо разрешаване на разрешението за употреба: 22.06.2006</w:t>
      </w:r>
    </w:p>
    <w:p w14:paraId="7E28EEF4" w14:textId="28B43A04" w:rsidR="00956E38" w:rsidRPr="00956E38" w:rsidRDefault="00956E38" w:rsidP="00956E38">
      <w:r w:rsidRPr="00956E38">
        <w:rPr>
          <w:lang w:eastAsia="bg-BG"/>
        </w:rPr>
        <w:t>Дата на подновяване на разрешението за употреба: 09.08.2011</w:t>
      </w:r>
    </w:p>
    <w:p w14:paraId="0E9D0119" w14:textId="0245C6D7" w:rsidR="002C50EE" w:rsidRDefault="002C50EE" w:rsidP="002C50EE">
      <w:pPr>
        <w:pStyle w:val="Heading1"/>
      </w:pPr>
      <w:r>
        <w:t>10. ДАТА НА АКТУАЛИЗИРАНЕ НА ТЕКСТА</w:t>
      </w:r>
    </w:p>
    <w:bookmarkEnd w:id="0"/>
    <w:p w14:paraId="43FB38A2" w14:textId="252276E8" w:rsidR="007C605B" w:rsidRDefault="007C605B" w:rsidP="00395555"/>
    <w:p w14:paraId="363878C0" w14:textId="36BDC222" w:rsidR="00956E38" w:rsidRPr="003E3126" w:rsidRDefault="00956E38" w:rsidP="00956E38">
      <w:bookmarkStart w:id="1" w:name="_GoBack"/>
      <w:r>
        <w:t>декември 2019г.</w:t>
      </w:r>
      <w:bookmarkEnd w:id="1"/>
    </w:p>
    <w:sectPr w:rsidR="00956E38"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A22EA"/>
    <w:multiLevelType w:val="hybridMultilevel"/>
    <w:tmpl w:val="53A42626"/>
    <w:lvl w:ilvl="0" w:tplc="62EA2276">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F492E"/>
    <w:multiLevelType w:val="hybridMultilevel"/>
    <w:tmpl w:val="59742814"/>
    <w:lvl w:ilvl="0" w:tplc="491E8824">
      <w:start w:val="75"/>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5"/>
  </w:num>
  <w:num w:numId="18">
    <w:abstractNumId w:val="7"/>
  </w:num>
  <w:num w:numId="19">
    <w:abstractNumId w:val="27"/>
  </w:num>
  <w:num w:numId="20">
    <w:abstractNumId w:val="23"/>
  </w:num>
  <w:num w:numId="21">
    <w:abstractNumId w:val="17"/>
  </w:num>
  <w:num w:numId="22">
    <w:abstractNumId w:val="26"/>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5639D"/>
    <w:rsid w:val="00185A46"/>
    <w:rsid w:val="001915B6"/>
    <w:rsid w:val="001D1B23"/>
    <w:rsid w:val="002B3C38"/>
    <w:rsid w:val="002B4DBB"/>
    <w:rsid w:val="002B588F"/>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12BAE"/>
    <w:rsid w:val="00956E38"/>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3263</Words>
  <Characters>18601</Characters>
  <Application>Microsoft Office Word</Application>
  <DocSecurity>0</DocSecurity>
  <Lines>155</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2021-11-27T18:42:00Z</dcterms:created>
  <dcterms:modified xsi:type="dcterms:W3CDTF">2021-11-27T18:42:00Z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