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3E45F485" w14:textId="77777777" w:rsidR="00843133" w:rsidRPr="0066269F" w:rsidRDefault="00843133" w:rsidP="00843133">
      <w:pPr>
        <w:spacing w:line="240" w:lineRule="auto"/>
        <w:rPr>
          <w:rFonts w:eastAsia="Times New Roman" w:cs="Arial"/>
          <w:sz w:val="24"/>
          <w:szCs w:val="24"/>
          <w:lang w:eastAsia="bg-BG"/>
        </w:rPr>
      </w:pPr>
      <w:r w:rsidRPr="0066269F">
        <w:rPr>
          <w:rFonts w:eastAsia="Times New Roman" w:cs="Arial"/>
          <w:color w:val="000000"/>
          <w:lang w:eastAsia="bg-BG"/>
        </w:rPr>
        <w:t xml:space="preserve">Езетимиб Актавис 10 </w:t>
      </w:r>
      <w:r w:rsidRPr="0066269F">
        <w:rPr>
          <w:rFonts w:eastAsia="Times New Roman" w:cs="Arial"/>
          <w:color w:val="000000"/>
          <w:lang w:val="en-US"/>
        </w:rPr>
        <w:t xml:space="preserve">mg </w:t>
      </w:r>
      <w:r w:rsidRPr="0066269F">
        <w:rPr>
          <w:rFonts w:eastAsia="Times New Roman" w:cs="Arial"/>
          <w:color w:val="000000"/>
          <w:lang w:eastAsia="bg-BG"/>
        </w:rPr>
        <w:t>таблетки</w:t>
      </w:r>
    </w:p>
    <w:p w14:paraId="5015A1FD" w14:textId="1CC270A7" w:rsidR="00A73575" w:rsidRPr="0066269F" w:rsidRDefault="00843133" w:rsidP="00843133">
      <w:pPr>
        <w:rPr>
          <w:rFonts w:cs="Arial"/>
        </w:rPr>
      </w:pPr>
      <w:r w:rsidRPr="0066269F">
        <w:rPr>
          <w:rFonts w:eastAsia="Times New Roman" w:cs="Arial"/>
          <w:color w:val="000000"/>
          <w:lang w:val="en-US"/>
        </w:rPr>
        <w:t xml:space="preserve">Ezetimibe Actavis </w:t>
      </w:r>
      <w:r w:rsidRPr="0066269F">
        <w:rPr>
          <w:rFonts w:eastAsia="Times New Roman" w:cs="Arial"/>
          <w:color w:val="000000"/>
          <w:lang w:eastAsia="bg-BG"/>
        </w:rPr>
        <w:t xml:space="preserve">10 </w:t>
      </w:r>
      <w:r w:rsidRPr="0066269F">
        <w:rPr>
          <w:rFonts w:eastAsia="Times New Roman" w:cs="Arial"/>
          <w:color w:val="00000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4F3794C9" w14:textId="77777777" w:rsidR="00843133" w:rsidRPr="0066269F" w:rsidRDefault="00843133" w:rsidP="00843133">
      <w:pPr>
        <w:spacing w:line="240" w:lineRule="auto"/>
        <w:rPr>
          <w:rFonts w:eastAsia="Times New Roman" w:cs="Arial"/>
          <w:sz w:val="24"/>
          <w:szCs w:val="24"/>
          <w:lang w:eastAsia="bg-BG"/>
        </w:rPr>
      </w:pPr>
      <w:r w:rsidRPr="0066269F">
        <w:rPr>
          <w:rFonts w:eastAsia="Times New Roman" w:cs="Arial"/>
          <w:color w:val="000000"/>
          <w:lang w:eastAsia="bg-BG"/>
        </w:rPr>
        <w:t xml:space="preserve">Всяка таблетка съдържа 10 </w:t>
      </w:r>
      <w:r w:rsidRPr="0066269F">
        <w:rPr>
          <w:rFonts w:eastAsia="Times New Roman" w:cs="Arial"/>
          <w:color w:val="000000"/>
          <w:lang w:val="en-US"/>
        </w:rPr>
        <w:t xml:space="preserve">mg </w:t>
      </w:r>
      <w:r w:rsidRPr="0066269F">
        <w:rPr>
          <w:rFonts w:eastAsia="Times New Roman" w:cs="Arial"/>
          <w:color w:val="000000"/>
          <w:lang w:eastAsia="bg-BG"/>
        </w:rPr>
        <w:t xml:space="preserve">езетимиб </w:t>
      </w:r>
      <w:r w:rsidRPr="0066269F">
        <w:rPr>
          <w:rFonts w:eastAsia="Times New Roman" w:cs="Arial"/>
          <w:color w:val="000000"/>
          <w:lang w:val="en-US"/>
        </w:rPr>
        <w:t>(ezetimibe).</w:t>
      </w:r>
    </w:p>
    <w:p w14:paraId="5DC14E6A" w14:textId="77777777" w:rsidR="00843133" w:rsidRPr="0066269F" w:rsidRDefault="00843133" w:rsidP="00843133">
      <w:pPr>
        <w:spacing w:line="240" w:lineRule="auto"/>
        <w:rPr>
          <w:rFonts w:eastAsia="Times New Roman" w:cs="Arial"/>
          <w:color w:val="000000"/>
          <w:u w:val="single"/>
          <w:lang w:eastAsia="bg-BG"/>
        </w:rPr>
      </w:pPr>
    </w:p>
    <w:p w14:paraId="7D793977" w14:textId="2F40A331" w:rsidR="00843133" w:rsidRPr="0066269F" w:rsidRDefault="00843133" w:rsidP="00843133">
      <w:pPr>
        <w:spacing w:line="240" w:lineRule="auto"/>
        <w:rPr>
          <w:rFonts w:eastAsia="Times New Roman" w:cs="Arial"/>
          <w:sz w:val="24"/>
          <w:szCs w:val="24"/>
          <w:lang w:eastAsia="bg-BG"/>
        </w:rPr>
      </w:pPr>
      <w:r w:rsidRPr="0066269F">
        <w:rPr>
          <w:rFonts w:eastAsia="Times New Roman" w:cs="Arial"/>
          <w:color w:val="000000"/>
          <w:u w:val="single"/>
          <w:lang w:eastAsia="bg-BG"/>
        </w:rPr>
        <w:t>Помощно вещество с известно действие:</w:t>
      </w:r>
    </w:p>
    <w:p w14:paraId="2E9E7874" w14:textId="77777777" w:rsidR="00843133" w:rsidRPr="0066269F" w:rsidRDefault="00843133" w:rsidP="00843133">
      <w:pPr>
        <w:spacing w:line="240" w:lineRule="auto"/>
        <w:rPr>
          <w:rFonts w:eastAsia="Times New Roman" w:cs="Arial"/>
          <w:sz w:val="24"/>
          <w:szCs w:val="24"/>
          <w:lang w:eastAsia="bg-BG"/>
        </w:rPr>
      </w:pPr>
      <w:r w:rsidRPr="0066269F">
        <w:rPr>
          <w:rFonts w:eastAsia="Times New Roman" w:cs="Arial"/>
          <w:color w:val="000000"/>
          <w:lang w:eastAsia="bg-BG"/>
        </w:rPr>
        <w:t xml:space="preserve">Всяка таблетка съдържа 63 </w:t>
      </w:r>
      <w:r w:rsidRPr="0066269F">
        <w:rPr>
          <w:rFonts w:eastAsia="Times New Roman" w:cs="Arial"/>
          <w:color w:val="000000"/>
          <w:lang w:val="en-US"/>
        </w:rPr>
        <w:t xml:space="preserve">mg </w:t>
      </w:r>
      <w:r w:rsidRPr="0066269F">
        <w:rPr>
          <w:rFonts w:eastAsia="Times New Roman" w:cs="Arial"/>
          <w:color w:val="000000"/>
          <w:lang w:eastAsia="bg-BG"/>
        </w:rPr>
        <w:t>лактоза мон оки драг.</w:t>
      </w:r>
    </w:p>
    <w:p w14:paraId="16009429" w14:textId="77777777" w:rsidR="00843133" w:rsidRPr="0066269F" w:rsidRDefault="00843133" w:rsidP="00843133">
      <w:pPr>
        <w:rPr>
          <w:rFonts w:eastAsia="Times New Roman" w:cs="Arial"/>
          <w:color w:val="000000"/>
          <w:lang w:eastAsia="bg-BG"/>
        </w:rPr>
      </w:pPr>
    </w:p>
    <w:p w14:paraId="03110A50" w14:textId="100E773A" w:rsidR="0091385D" w:rsidRPr="0066269F" w:rsidRDefault="00843133" w:rsidP="00843133">
      <w:pPr>
        <w:rPr>
          <w:rFonts w:cs="Arial"/>
        </w:rPr>
      </w:pPr>
      <w:r w:rsidRPr="0066269F">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288192A3" w14:textId="77777777" w:rsidR="00843133" w:rsidRPr="0066269F" w:rsidRDefault="00843133" w:rsidP="00843133">
      <w:pPr>
        <w:spacing w:line="240" w:lineRule="auto"/>
        <w:rPr>
          <w:rFonts w:eastAsia="Times New Roman" w:cs="Arial"/>
          <w:sz w:val="24"/>
          <w:szCs w:val="24"/>
          <w:lang w:eastAsia="bg-BG"/>
        </w:rPr>
      </w:pPr>
      <w:r w:rsidRPr="0066269F">
        <w:rPr>
          <w:rFonts w:eastAsia="Times New Roman" w:cs="Arial"/>
          <w:color w:val="000000"/>
          <w:lang w:eastAsia="bg-BG"/>
        </w:rPr>
        <w:t>Таблетка</w:t>
      </w:r>
    </w:p>
    <w:p w14:paraId="2651915A" w14:textId="77777777" w:rsidR="00843133" w:rsidRPr="0066269F" w:rsidRDefault="00843133" w:rsidP="00843133">
      <w:pPr>
        <w:rPr>
          <w:rFonts w:eastAsia="Times New Roman" w:cs="Arial"/>
          <w:color w:val="000000"/>
          <w:lang w:eastAsia="bg-BG"/>
        </w:rPr>
      </w:pPr>
    </w:p>
    <w:p w14:paraId="4129ADBB" w14:textId="64337D0F" w:rsidR="0091385D" w:rsidRPr="0066269F" w:rsidRDefault="00843133" w:rsidP="00843133">
      <w:pPr>
        <w:rPr>
          <w:rFonts w:cs="Arial"/>
        </w:rPr>
      </w:pPr>
      <w:r w:rsidRPr="0066269F">
        <w:rPr>
          <w:rFonts w:eastAsia="Times New Roman" w:cs="Arial"/>
          <w:color w:val="000000"/>
          <w:lang w:eastAsia="bg-BG"/>
        </w:rPr>
        <w:t xml:space="preserve">Бели до почти бели, продълговати, с размери 8 </w:t>
      </w:r>
      <w:r w:rsidRPr="0066269F">
        <w:rPr>
          <w:rFonts w:eastAsia="Times New Roman" w:cs="Arial"/>
          <w:color w:val="000000"/>
          <w:lang w:val="en-US"/>
        </w:rPr>
        <w:t xml:space="preserve">mm </w:t>
      </w:r>
      <w:r w:rsidRPr="0066269F">
        <w:rPr>
          <w:rFonts w:eastAsia="Times New Roman" w:cs="Arial"/>
          <w:color w:val="000000"/>
          <w:lang w:eastAsia="bg-BG"/>
        </w:rPr>
        <w:t xml:space="preserve">х 4 </w:t>
      </w:r>
      <w:r w:rsidRPr="0066269F">
        <w:rPr>
          <w:rFonts w:eastAsia="Times New Roman" w:cs="Arial"/>
          <w:color w:val="000000"/>
          <w:lang w:val="en-US"/>
        </w:rPr>
        <w:t xml:space="preserve">mm, </w:t>
      </w:r>
      <w:r w:rsidRPr="0066269F">
        <w:rPr>
          <w:rFonts w:eastAsia="Times New Roman" w:cs="Arial"/>
          <w:color w:val="000000"/>
          <w:lang w:eastAsia="bg-BG"/>
        </w:rPr>
        <w:t>с надпис "713" от едната страна и гладки от другата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545B207D"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Първична хиперхолестеролемия</w:t>
      </w:r>
    </w:p>
    <w:p w14:paraId="46FA400A"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Езетимиб Актавис, приеман едновременно с </w:t>
      </w:r>
      <w:r w:rsidRPr="00843133">
        <w:rPr>
          <w:rFonts w:eastAsia="Times New Roman" w:cs="Arial"/>
          <w:color w:val="000000"/>
          <w:lang w:val="en-US"/>
        </w:rPr>
        <w:t xml:space="preserve">HMG-CoA </w:t>
      </w:r>
      <w:r w:rsidRPr="00843133">
        <w:rPr>
          <w:rFonts w:eastAsia="Times New Roman" w:cs="Arial"/>
          <w:color w:val="000000"/>
          <w:lang w:eastAsia="bg-BG"/>
        </w:rPr>
        <w:t>редуктазен инхибитор (статии) е показан за употреба като допълваща терапия към диетата при пациенти с първична (хетероз</w:t>
      </w:r>
      <w:bookmarkStart w:id="1" w:name="_GoBack"/>
      <w:bookmarkEnd w:id="1"/>
      <w:r w:rsidRPr="00843133">
        <w:rPr>
          <w:rFonts w:eastAsia="Times New Roman" w:cs="Arial"/>
          <w:color w:val="000000"/>
          <w:lang w:eastAsia="bg-BG"/>
        </w:rPr>
        <w:t>иготна фамилна и нефамилна) хиперхолестеролемия, които не са се повлияли достатъчно само от статии.</w:t>
      </w:r>
    </w:p>
    <w:p w14:paraId="0977974D"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Монотерапия с Езетимиб Актавис е показана за употреба като допълваща терапия към диетата при пациенти с първична (хетерозиготна фамилна и не-фамилна) хиперхолестеролемия, при които стативът се смята за неподходящ или употребата му не се понася.</w:t>
      </w:r>
    </w:p>
    <w:p w14:paraId="7BBC722D" w14:textId="77777777" w:rsidR="00843133" w:rsidRPr="00843133" w:rsidRDefault="00843133" w:rsidP="00843133">
      <w:pPr>
        <w:spacing w:line="240" w:lineRule="auto"/>
        <w:rPr>
          <w:rFonts w:eastAsia="Times New Roman" w:cs="Arial"/>
          <w:i/>
          <w:iCs/>
          <w:color w:val="000000"/>
          <w:lang w:eastAsia="bg-BG"/>
        </w:rPr>
      </w:pPr>
    </w:p>
    <w:p w14:paraId="4BF42C61" w14:textId="33AFD649"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Профилактика на сърдечно-съдови инциденти</w:t>
      </w:r>
    </w:p>
    <w:p w14:paraId="7157630C"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При пациенти с исхемична болест на сърцето </w:t>
      </w:r>
      <w:r w:rsidRPr="00843133">
        <w:rPr>
          <w:rFonts w:eastAsia="Times New Roman" w:cs="Arial"/>
          <w:color w:val="000000"/>
          <w:lang w:val="en-US"/>
        </w:rPr>
        <w:t xml:space="preserve">(CHD) </w:t>
      </w:r>
      <w:r w:rsidRPr="00843133">
        <w:rPr>
          <w:rFonts w:eastAsia="Times New Roman" w:cs="Arial"/>
          <w:color w:val="000000"/>
          <w:lang w:eastAsia="bg-BG"/>
        </w:rPr>
        <w:t xml:space="preserve">и анамнеза за остър коронарен синдром </w:t>
      </w:r>
      <w:r w:rsidRPr="00843133">
        <w:rPr>
          <w:rFonts w:eastAsia="Times New Roman" w:cs="Arial"/>
          <w:color w:val="000000"/>
          <w:lang w:val="en-US"/>
        </w:rPr>
        <w:t xml:space="preserve">(ACS) </w:t>
      </w:r>
      <w:r w:rsidRPr="00843133">
        <w:rPr>
          <w:rFonts w:eastAsia="Times New Roman" w:cs="Arial"/>
          <w:color w:val="000000"/>
          <w:lang w:eastAsia="bg-BG"/>
        </w:rPr>
        <w:t>Езетимиб Акгавис е показан за намаляване на риска от сърдечно-съдови събития (вж. точка 5.1), когато се добавя към текуща терапия със стативи или се инициира едновременно със статии.</w:t>
      </w:r>
    </w:p>
    <w:p w14:paraId="6E790488" w14:textId="77777777" w:rsidR="00843133" w:rsidRPr="00843133" w:rsidRDefault="00843133" w:rsidP="00843133">
      <w:pPr>
        <w:spacing w:line="240" w:lineRule="auto"/>
        <w:rPr>
          <w:rFonts w:eastAsia="Times New Roman" w:cs="Arial"/>
          <w:i/>
          <w:iCs/>
          <w:color w:val="000000"/>
          <w:lang w:eastAsia="bg-BG"/>
        </w:rPr>
      </w:pPr>
    </w:p>
    <w:p w14:paraId="407FAD15" w14:textId="29279482"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 xml:space="preserve">Хомозиготна фамилна хиперхолестеролемия </w:t>
      </w:r>
      <w:r w:rsidRPr="00843133">
        <w:rPr>
          <w:rFonts w:eastAsia="Times New Roman" w:cs="Arial"/>
          <w:i/>
          <w:iCs/>
          <w:color w:val="000000"/>
          <w:lang w:val="en-US"/>
        </w:rPr>
        <w:t>(</w:t>
      </w:r>
      <w:proofErr w:type="spellStart"/>
      <w:r w:rsidRPr="00843133">
        <w:rPr>
          <w:rFonts w:eastAsia="Times New Roman" w:cs="Arial"/>
          <w:i/>
          <w:iCs/>
          <w:color w:val="000000"/>
          <w:lang w:val="en-US"/>
        </w:rPr>
        <w:t>HoFH</w:t>
      </w:r>
      <w:proofErr w:type="spellEnd"/>
      <w:r w:rsidRPr="00843133">
        <w:rPr>
          <w:rFonts w:eastAsia="Times New Roman" w:cs="Arial"/>
          <w:i/>
          <w:iCs/>
          <w:color w:val="000000"/>
          <w:lang w:val="en-US"/>
        </w:rPr>
        <w:t>)</w:t>
      </w:r>
    </w:p>
    <w:p w14:paraId="7D1FE3DB"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Приложен едновременно със статии Езетимиб Актавис е показан като допълваща терапия към диетата при пациенти с </w:t>
      </w:r>
      <w:proofErr w:type="spellStart"/>
      <w:r w:rsidRPr="00843133">
        <w:rPr>
          <w:rFonts w:eastAsia="Times New Roman" w:cs="Arial"/>
          <w:color w:val="000000"/>
          <w:lang w:val="en-US"/>
        </w:rPr>
        <w:t>HoFH</w:t>
      </w:r>
      <w:proofErr w:type="spellEnd"/>
      <w:r w:rsidRPr="00843133">
        <w:rPr>
          <w:rFonts w:eastAsia="Times New Roman" w:cs="Arial"/>
          <w:color w:val="000000"/>
          <w:lang w:val="en-US"/>
        </w:rPr>
        <w:t xml:space="preserve">. </w:t>
      </w:r>
      <w:r w:rsidRPr="00843133">
        <w:rPr>
          <w:rFonts w:eastAsia="Times New Roman" w:cs="Arial"/>
          <w:color w:val="000000"/>
          <w:lang w:eastAsia="bg-BG"/>
        </w:rPr>
        <w:t xml:space="preserve">Пациентите могат да ползват и друга допълваща терапия (например афереза на липопротеините с ниска плътност </w:t>
      </w:r>
      <w:r w:rsidRPr="00843133">
        <w:rPr>
          <w:rFonts w:eastAsia="Times New Roman" w:cs="Arial"/>
          <w:color w:val="000000"/>
          <w:lang w:val="en-US"/>
        </w:rPr>
        <w:t>[LDL]).</w:t>
      </w:r>
    </w:p>
    <w:p w14:paraId="34C1199F" w14:textId="77777777" w:rsidR="00843133" w:rsidRPr="00843133" w:rsidRDefault="00843133" w:rsidP="00843133">
      <w:pPr>
        <w:spacing w:line="240" w:lineRule="auto"/>
        <w:rPr>
          <w:rFonts w:eastAsia="Times New Roman" w:cs="Arial"/>
          <w:i/>
          <w:iCs/>
          <w:color w:val="000000"/>
          <w:lang w:eastAsia="bg-BG"/>
        </w:rPr>
      </w:pPr>
    </w:p>
    <w:p w14:paraId="4B75319C" w14:textId="07752961"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Хомозиготна ситостеролемия (фитостеролемия)</w:t>
      </w:r>
    </w:p>
    <w:p w14:paraId="04B2E99C" w14:textId="69FCFA9F" w:rsidR="0091385D" w:rsidRPr="00843133" w:rsidRDefault="00843133" w:rsidP="00843133">
      <w:pPr>
        <w:rPr>
          <w:rFonts w:cs="Arial"/>
        </w:rPr>
      </w:pPr>
      <w:r w:rsidRPr="00843133">
        <w:rPr>
          <w:rFonts w:eastAsia="Times New Roman" w:cs="Arial"/>
          <w:color w:val="000000"/>
          <w:lang w:eastAsia="bg-BG"/>
        </w:rPr>
        <w:t>Езетимиб Акгавис е показан за употреба като допълнителна терапия към диетата на пациентите с хомозиготна фамилна ситостеролемия.</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36BCC485" w14:textId="77777777" w:rsidR="00843133" w:rsidRPr="00843133" w:rsidRDefault="00843133" w:rsidP="00843133">
      <w:pPr>
        <w:pStyle w:val="Heading3"/>
        <w:rPr>
          <w:rFonts w:eastAsia="Times New Roman"/>
          <w:u w:val="single"/>
          <w:lang w:eastAsia="bg-BG"/>
        </w:rPr>
      </w:pPr>
      <w:r w:rsidRPr="00843133">
        <w:rPr>
          <w:rFonts w:eastAsia="Times New Roman"/>
          <w:u w:val="single"/>
          <w:lang w:eastAsia="bg-BG"/>
        </w:rPr>
        <w:t>Дозировка</w:t>
      </w:r>
    </w:p>
    <w:p w14:paraId="146558C1" w14:textId="77777777" w:rsidR="00843133" w:rsidRPr="00843133" w:rsidRDefault="00843133" w:rsidP="00843133">
      <w:pPr>
        <w:spacing w:line="240" w:lineRule="auto"/>
        <w:rPr>
          <w:rFonts w:eastAsia="Times New Roman" w:cs="Arial"/>
          <w:color w:val="000000"/>
          <w:lang w:eastAsia="bg-BG"/>
        </w:rPr>
      </w:pPr>
    </w:p>
    <w:p w14:paraId="02CBF15F" w14:textId="50A63C55"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Пациентът трябва да провежда подходяща липидопонижаваща диета и трябва да продължи да спазва тази диета и по време на лечението с Езетимиб Актавис.</w:t>
      </w:r>
    </w:p>
    <w:p w14:paraId="13420AD8" w14:textId="77777777" w:rsidR="00843133" w:rsidRPr="00843133" w:rsidRDefault="00843133" w:rsidP="00843133">
      <w:pPr>
        <w:spacing w:line="240" w:lineRule="auto"/>
        <w:rPr>
          <w:rFonts w:eastAsia="Times New Roman" w:cs="Arial"/>
          <w:color w:val="000000"/>
          <w:lang w:eastAsia="bg-BG"/>
        </w:rPr>
      </w:pPr>
    </w:p>
    <w:p w14:paraId="64F76ED3" w14:textId="384A3E3A"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Начинът на приложение е перорален. Препоръчителната доза е една таблетка Езетимиб Актавис от 10 </w:t>
      </w:r>
      <w:r w:rsidRPr="00843133">
        <w:rPr>
          <w:rFonts w:eastAsia="Times New Roman" w:cs="Arial"/>
          <w:color w:val="000000"/>
          <w:lang w:val="en-US"/>
        </w:rPr>
        <w:t xml:space="preserve">mg </w:t>
      </w:r>
      <w:r w:rsidRPr="00843133">
        <w:rPr>
          <w:rFonts w:eastAsia="Times New Roman" w:cs="Arial"/>
          <w:color w:val="000000"/>
          <w:lang w:eastAsia="bg-BG"/>
        </w:rPr>
        <w:t>дневно, която може да се приложи по всяко време на деня със или без храна,</w:t>
      </w:r>
    </w:p>
    <w:p w14:paraId="2803E3E3" w14:textId="77777777" w:rsidR="00843133" w:rsidRPr="00843133" w:rsidRDefault="00843133" w:rsidP="00843133">
      <w:pPr>
        <w:spacing w:line="240" w:lineRule="auto"/>
        <w:rPr>
          <w:rFonts w:eastAsia="Times New Roman" w:cs="Arial"/>
          <w:color w:val="000000"/>
          <w:lang w:eastAsia="bg-BG"/>
        </w:rPr>
      </w:pPr>
    </w:p>
    <w:p w14:paraId="03638008" w14:textId="0F0AAFB8"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Когато Езетимиб Актавис се добавя към статии, лечението със статии трябва да продължи </w:t>
      </w:r>
      <w:r w:rsidRPr="00843133">
        <w:rPr>
          <w:rFonts w:eastAsia="Times New Roman" w:cs="Arial"/>
          <w:i/>
          <w:iCs/>
          <w:color w:val="000000"/>
          <w:lang w:eastAsia="bg-BG"/>
        </w:rPr>
        <w:t>или с</w:t>
      </w:r>
      <w:r w:rsidRPr="00843133">
        <w:rPr>
          <w:rFonts w:eastAsia="Times New Roman" w:cs="Arial"/>
          <w:color w:val="000000"/>
          <w:lang w:eastAsia="bg-BG"/>
        </w:rPr>
        <w:t xml:space="preserve"> обичайната първоначална доза за конкретния статии или с вече утвърдената по-висока доза. В тези случаи, трябва да се имат предвид указанията относно дозировката за конкретния статии.</w:t>
      </w:r>
    </w:p>
    <w:p w14:paraId="01BF57AD" w14:textId="77777777" w:rsidR="00843133" w:rsidRDefault="00843133" w:rsidP="00843133">
      <w:pPr>
        <w:spacing w:line="240" w:lineRule="auto"/>
        <w:rPr>
          <w:rFonts w:ascii="Times New Roman" w:eastAsia="Times New Roman" w:hAnsi="Times New Roman" w:cs="Times New Roman"/>
          <w:i/>
          <w:iCs/>
          <w:color w:val="000000"/>
          <w:lang w:eastAsia="bg-BG"/>
        </w:rPr>
      </w:pPr>
    </w:p>
    <w:p w14:paraId="1B336230" w14:textId="67A6B6CA"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 xml:space="preserve">Употреба при пациенти с исхемична болест на сърцето и анамнеза за </w:t>
      </w:r>
      <w:r w:rsidRPr="00843133">
        <w:rPr>
          <w:rFonts w:eastAsia="Times New Roman" w:cs="Arial"/>
          <w:i/>
          <w:iCs/>
          <w:color w:val="000000"/>
          <w:lang w:val="en-US"/>
        </w:rPr>
        <w:t xml:space="preserve">ACS </w:t>
      </w:r>
      <w:r w:rsidRPr="00843133">
        <w:rPr>
          <w:rFonts w:eastAsia="Times New Roman" w:cs="Arial"/>
          <w:i/>
          <w:iCs/>
          <w:color w:val="000000"/>
          <w:lang w:eastAsia="bg-BG"/>
        </w:rPr>
        <w:t>събития</w:t>
      </w:r>
    </w:p>
    <w:p w14:paraId="1D4A9685"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За частичното намаляване на сърдечно-съдово събитие при пациенти с исхемична болест на сърцето и анамнеза за </w:t>
      </w:r>
      <w:r w:rsidRPr="00843133">
        <w:rPr>
          <w:rFonts w:eastAsia="Times New Roman" w:cs="Arial"/>
          <w:color w:val="000000"/>
          <w:lang w:val="en-US"/>
        </w:rPr>
        <w:t xml:space="preserve">ACS </w:t>
      </w:r>
      <w:r w:rsidRPr="00843133">
        <w:rPr>
          <w:rFonts w:eastAsia="Times New Roman" w:cs="Arial"/>
          <w:color w:val="000000"/>
          <w:lang w:eastAsia="bg-BG"/>
        </w:rPr>
        <w:t xml:space="preserve">събитие, 10 </w:t>
      </w:r>
      <w:r w:rsidRPr="00843133">
        <w:rPr>
          <w:rFonts w:eastAsia="Times New Roman" w:cs="Arial"/>
          <w:color w:val="000000"/>
          <w:lang w:val="en-US"/>
        </w:rPr>
        <w:t xml:space="preserve">mg </w:t>
      </w:r>
      <w:r w:rsidRPr="00843133">
        <w:rPr>
          <w:rFonts w:eastAsia="Times New Roman" w:cs="Arial"/>
          <w:color w:val="000000"/>
          <w:lang w:eastAsia="bg-BG"/>
        </w:rPr>
        <w:t>Езетимиб Актавис могат да се приложат със статии с доказана сърдечносъдова полза.</w:t>
      </w:r>
    </w:p>
    <w:p w14:paraId="3ECDB709" w14:textId="77777777" w:rsidR="00843133" w:rsidRPr="00843133" w:rsidRDefault="00843133" w:rsidP="00843133">
      <w:pPr>
        <w:spacing w:line="240" w:lineRule="auto"/>
        <w:rPr>
          <w:rFonts w:eastAsia="Times New Roman" w:cs="Arial"/>
          <w:i/>
          <w:iCs/>
          <w:color w:val="000000"/>
          <w:lang w:eastAsia="bg-BG"/>
        </w:rPr>
      </w:pPr>
    </w:p>
    <w:p w14:paraId="517D1FF1" w14:textId="249337BB"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Едновременно приложение със секвестрант на жлъчната киселина</w:t>
      </w:r>
    </w:p>
    <w:p w14:paraId="483F4029"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Дозировката на Езетимиб Актавис трябва да се прилага или ≥2 часа преди или ≥4 часа след прилагане на секвестрант на жлъчната киселина.</w:t>
      </w:r>
    </w:p>
    <w:p w14:paraId="41F2AAC9" w14:textId="77777777" w:rsidR="00843133" w:rsidRPr="00843133" w:rsidRDefault="00843133" w:rsidP="00843133">
      <w:pPr>
        <w:spacing w:line="240" w:lineRule="auto"/>
        <w:rPr>
          <w:rFonts w:eastAsia="Times New Roman" w:cs="Arial"/>
          <w:i/>
          <w:iCs/>
          <w:color w:val="000000"/>
          <w:lang w:eastAsia="bg-BG"/>
        </w:rPr>
      </w:pPr>
    </w:p>
    <w:p w14:paraId="3D8D360B" w14:textId="74F3A44A"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Старческа възраст</w:t>
      </w:r>
    </w:p>
    <w:p w14:paraId="6D5F12F8"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Не се налага адаптиране на дозата при пациенти в старческа възраст (вж. точка 5.2).</w:t>
      </w:r>
    </w:p>
    <w:p w14:paraId="1FFF5775" w14:textId="77777777" w:rsidR="00843133" w:rsidRPr="00843133" w:rsidRDefault="00843133" w:rsidP="00843133">
      <w:pPr>
        <w:spacing w:line="240" w:lineRule="auto"/>
        <w:rPr>
          <w:rFonts w:eastAsia="Times New Roman" w:cs="Arial"/>
          <w:i/>
          <w:iCs/>
          <w:color w:val="000000"/>
          <w:lang w:eastAsia="bg-BG"/>
        </w:rPr>
      </w:pPr>
    </w:p>
    <w:p w14:paraId="73679F2A" w14:textId="158EBD42"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Педиатрична популация</w:t>
      </w:r>
    </w:p>
    <w:p w14:paraId="6951FDD3"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Началото на лечението трябва да се извършва под наблюдението на специалист.</w:t>
      </w:r>
    </w:p>
    <w:p w14:paraId="09837354"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Деца и юноши на възраст ≥ 6 години: Безопасността и ефикасността на езетимиб при деца на възраст от 6 до 17 години не са установени. Наличните понастоящем данни са описани в точки 4.4,4.8, 5.1 и 5.2, но препоръки за дозировката не могат да се направят.</w:t>
      </w:r>
    </w:p>
    <w:p w14:paraId="12EC11AB"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Когато Езетимиб Актавис се прилага със статии, трябва да се съблюдават инструкциите за дозата на статините при деца.</w:t>
      </w:r>
    </w:p>
    <w:p w14:paraId="056E90C9"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Деца &lt; 6 години: Безопасността и ефикасността на езетимиб при деца на възраст под 6 години не са установени. Няма налични данни.</w:t>
      </w:r>
    </w:p>
    <w:p w14:paraId="00D0C864" w14:textId="77777777" w:rsidR="00843133" w:rsidRPr="00843133" w:rsidRDefault="00843133" w:rsidP="00843133">
      <w:pPr>
        <w:spacing w:line="240" w:lineRule="auto"/>
        <w:rPr>
          <w:rFonts w:eastAsia="Times New Roman" w:cs="Arial"/>
          <w:i/>
          <w:iCs/>
          <w:color w:val="000000"/>
          <w:lang w:eastAsia="bg-BG"/>
        </w:rPr>
      </w:pPr>
    </w:p>
    <w:p w14:paraId="7DB52351" w14:textId="21CAEC1D"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Чернодробно увреждане</w:t>
      </w:r>
    </w:p>
    <w:p w14:paraId="2918D263"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lastRenderedPageBreak/>
        <w:t>Не</w:t>
      </w:r>
      <w:r w:rsidRPr="00843133">
        <w:rPr>
          <w:rFonts w:eastAsia="Times New Roman" w:cs="Arial"/>
          <w:color w:val="000000"/>
          <w:lang w:eastAsia="bg-BG"/>
        </w:rPr>
        <w:t xml:space="preserve"> се налага адаптиране на дозата при пациенти с лека степен на чернодробна недостатъчност (степен 5 до 6 по </w:t>
      </w:r>
      <w:r w:rsidRPr="00843133">
        <w:rPr>
          <w:rFonts w:eastAsia="Times New Roman" w:cs="Arial"/>
          <w:color w:val="000000"/>
          <w:lang w:val="en-US"/>
        </w:rPr>
        <w:t xml:space="preserve">Child-Pugh). </w:t>
      </w:r>
      <w:r w:rsidRPr="00843133">
        <w:rPr>
          <w:rFonts w:eastAsia="Times New Roman" w:cs="Arial"/>
          <w:color w:val="000000"/>
          <w:lang w:eastAsia="bg-BG"/>
        </w:rPr>
        <w:t xml:space="preserve">Лечение с Езетимиб Актавис не се препоръчва при пациенти с умерено (степен 7 до 9 по </w:t>
      </w:r>
      <w:r w:rsidRPr="00843133">
        <w:rPr>
          <w:rFonts w:eastAsia="Times New Roman" w:cs="Arial"/>
          <w:color w:val="000000"/>
          <w:lang w:val="en-US"/>
        </w:rPr>
        <w:t xml:space="preserve">Child-Pugh) </w:t>
      </w:r>
      <w:r w:rsidRPr="00843133">
        <w:rPr>
          <w:rFonts w:eastAsia="Times New Roman" w:cs="Arial"/>
          <w:color w:val="000000"/>
          <w:lang w:eastAsia="bg-BG"/>
        </w:rPr>
        <w:t xml:space="preserve">или тежко изразена </w:t>
      </w:r>
      <w:r w:rsidRPr="00843133">
        <w:rPr>
          <w:rFonts w:eastAsia="Times New Roman" w:cs="Arial"/>
          <w:color w:val="000000"/>
          <w:lang w:val="en-US"/>
        </w:rPr>
        <w:t xml:space="preserve">(Child-Pugh&gt; </w:t>
      </w:r>
      <w:r w:rsidRPr="00843133">
        <w:rPr>
          <w:rFonts w:eastAsia="Times New Roman" w:cs="Arial"/>
          <w:color w:val="000000"/>
          <w:lang w:eastAsia="bg-BG"/>
        </w:rPr>
        <w:t>9) чернодробна дисфункция (вж. точки 4.4 и 5.2).</w:t>
      </w:r>
    </w:p>
    <w:p w14:paraId="0E08DFB0" w14:textId="77777777" w:rsidR="00843133" w:rsidRPr="00843133" w:rsidRDefault="00843133" w:rsidP="00843133">
      <w:pPr>
        <w:spacing w:line="240" w:lineRule="auto"/>
        <w:rPr>
          <w:rFonts w:eastAsia="Times New Roman" w:cs="Arial"/>
          <w:i/>
          <w:iCs/>
          <w:color w:val="000000"/>
          <w:lang w:eastAsia="bg-BG"/>
        </w:rPr>
      </w:pPr>
    </w:p>
    <w:p w14:paraId="384BF276" w14:textId="64A44C1D"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Бъбречно увреждане</w:t>
      </w:r>
    </w:p>
    <w:p w14:paraId="475300EC" w14:textId="54A1722E" w:rsidR="0091385D" w:rsidRPr="00843133" w:rsidRDefault="00843133" w:rsidP="00843133">
      <w:pPr>
        <w:rPr>
          <w:rFonts w:cs="Arial"/>
        </w:rPr>
      </w:pPr>
      <w:r w:rsidRPr="00843133">
        <w:rPr>
          <w:rFonts w:eastAsia="Times New Roman" w:cs="Arial"/>
          <w:color w:val="000000"/>
          <w:lang w:eastAsia="bg-BG"/>
        </w:rPr>
        <w:t>Не е необходимо адаптиране на дозата при пациенти с бъбречно увреждане (вж. точка 5.2).</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77819BB"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4CDEE69F" w14:textId="77777777" w:rsidR="00843133" w:rsidRPr="00843133" w:rsidRDefault="00843133" w:rsidP="00843133">
      <w:pPr>
        <w:spacing w:line="240" w:lineRule="auto"/>
        <w:rPr>
          <w:rFonts w:eastAsia="Times New Roman" w:cs="Arial"/>
          <w:color w:val="000000"/>
          <w:lang w:eastAsia="bg-BG"/>
        </w:rPr>
      </w:pPr>
    </w:p>
    <w:p w14:paraId="55801969" w14:textId="113C2EDF"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Когато Езетимиб Актавис се прилага едновременно със статии, моля прочетете кратката характеристика на конкретния лекарствен продукт.</w:t>
      </w:r>
    </w:p>
    <w:p w14:paraId="6C7CC58E" w14:textId="77777777" w:rsidR="00843133" w:rsidRPr="00843133" w:rsidRDefault="00843133" w:rsidP="00843133">
      <w:pPr>
        <w:rPr>
          <w:rFonts w:eastAsia="Times New Roman" w:cs="Arial"/>
          <w:color w:val="000000"/>
          <w:lang w:eastAsia="bg-BG"/>
        </w:rPr>
      </w:pPr>
    </w:p>
    <w:p w14:paraId="2309EAB0" w14:textId="2AB44675" w:rsidR="0091385D" w:rsidRDefault="00843133" w:rsidP="00843133">
      <w:pPr>
        <w:rPr>
          <w:rFonts w:eastAsia="Times New Roman" w:cs="Arial"/>
          <w:color w:val="000000"/>
          <w:lang w:eastAsia="bg-BG"/>
        </w:rPr>
      </w:pPr>
      <w:r w:rsidRPr="00843133">
        <w:rPr>
          <w:rFonts w:eastAsia="Times New Roman" w:cs="Arial"/>
          <w:color w:val="000000"/>
          <w:lang w:eastAsia="bg-BG"/>
        </w:rPr>
        <w:t>Едновременна терапия с Езетимиб Актавис заедно със статии е противопокана по време на бременност и кърмене.</w:t>
      </w:r>
    </w:p>
    <w:p w14:paraId="60FFC8D9" w14:textId="4FC91E93" w:rsidR="00843133" w:rsidRDefault="00843133" w:rsidP="00843133">
      <w:pPr>
        <w:rPr>
          <w:rFonts w:eastAsia="Times New Roman" w:cs="Arial"/>
          <w:color w:val="000000"/>
          <w:lang w:eastAsia="bg-BG"/>
        </w:rPr>
      </w:pPr>
    </w:p>
    <w:p w14:paraId="71A6BCE6" w14:textId="0A69C66A" w:rsidR="00843133" w:rsidRPr="00843133" w:rsidRDefault="00843133" w:rsidP="00843133">
      <w:pPr>
        <w:rPr>
          <w:rFonts w:cs="Arial"/>
        </w:rPr>
      </w:pPr>
      <w:r>
        <w:t>Едновременно със статии Езетимиб Актавис е противопоказан при пациенти с активно чернодробно заболяване или необяснимо персистиращо повишение на серумните трансаминази.</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EB8F60C"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Когато Езетимиб Актавис се прилага едновременно със статии, моля прочетете кратката характеристика на конкретния лекарствен продукт.</w:t>
      </w:r>
    </w:p>
    <w:p w14:paraId="43326916" w14:textId="77777777" w:rsidR="00843133" w:rsidRPr="00843133" w:rsidRDefault="00843133" w:rsidP="00843133">
      <w:pPr>
        <w:spacing w:line="240" w:lineRule="auto"/>
        <w:rPr>
          <w:rFonts w:eastAsia="Times New Roman" w:cs="Arial"/>
          <w:i/>
          <w:iCs/>
          <w:color w:val="000000"/>
          <w:lang w:eastAsia="bg-BG"/>
        </w:rPr>
      </w:pPr>
    </w:p>
    <w:p w14:paraId="68C3D7FD" w14:textId="317DD3C8"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Чернодробни ензими</w:t>
      </w:r>
    </w:p>
    <w:p w14:paraId="3C41F681" w14:textId="1E1C895F"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В контролирани проучвания, при пациенти, които приемат едновременно езетимиб и статии е наблюдавано последователно повишение на трансаминазите (≥ 3 X над горната граница на нормата </w:t>
      </w:r>
      <w:r w:rsidRPr="00843133">
        <w:rPr>
          <w:rFonts w:eastAsia="Times New Roman" w:cs="Arial"/>
          <w:color w:val="000000"/>
          <w:lang w:val="en-US"/>
        </w:rPr>
        <w:t xml:space="preserve">[ULN]). </w:t>
      </w:r>
      <w:r w:rsidRPr="00843133">
        <w:rPr>
          <w:rFonts w:eastAsia="Times New Roman" w:cs="Arial"/>
          <w:color w:val="000000"/>
          <w:lang w:eastAsia="bg-BG"/>
        </w:rPr>
        <w:t>При едновременното приложение на езетимиб със статин трябва да се провеждат изследвания на чернодробната функция в началото на лечението и съгласно препоръките за стотина (вж. точка 4.8).</w:t>
      </w:r>
    </w:p>
    <w:p w14:paraId="77391A4F" w14:textId="77777777" w:rsidR="00843133" w:rsidRPr="00843133" w:rsidRDefault="00843133" w:rsidP="00843133">
      <w:pPr>
        <w:spacing w:line="240" w:lineRule="auto"/>
        <w:rPr>
          <w:rFonts w:eastAsia="Times New Roman" w:cs="Arial"/>
          <w:color w:val="000000"/>
          <w:lang w:eastAsia="bg-BG"/>
        </w:rPr>
      </w:pPr>
    </w:p>
    <w:p w14:paraId="499A746D" w14:textId="5A7936D3"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В проучването </w:t>
      </w:r>
      <w:r w:rsidRPr="00843133">
        <w:rPr>
          <w:rFonts w:eastAsia="Times New Roman" w:cs="Arial"/>
          <w:color w:val="000000"/>
          <w:lang w:val="en-US"/>
        </w:rPr>
        <w:t xml:space="preserve">IMPROVE-IT </w:t>
      </w:r>
      <w:r w:rsidRPr="00843133">
        <w:rPr>
          <w:rFonts w:eastAsia="Times New Roman" w:cs="Arial"/>
          <w:color w:val="000000"/>
          <w:lang w:eastAsia="bg-BG"/>
        </w:rPr>
        <w:t xml:space="preserve">(Подобрено Намаляване на Неблагоприятните Резултати: Международно проучване за ефикасността на </w:t>
      </w:r>
      <w:proofErr w:type="spellStart"/>
      <w:r w:rsidRPr="00843133">
        <w:rPr>
          <w:rFonts w:eastAsia="Times New Roman" w:cs="Arial"/>
          <w:color w:val="000000"/>
          <w:lang w:val="en-US"/>
        </w:rPr>
        <w:t>Vytorin</w:t>
      </w:r>
      <w:proofErr w:type="spellEnd"/>
      <w:r w:rsidRPr="00843133">
        <w:rPr>
          <w:rFonts w:eastAsia="Times New Roman" w:cs="Arial"/>
          <w:color w:val="000000"/>
          <w:lang w:val="en-US"/>
        </w:rPr>
        <w:t xml:space="preserve"> (</w:t>
      </w:r>
      <w:proofErr w:type="spellStart"/>
      <w:r w:rsidRPr="00843133">
        <w:rPr>
          <w:rFonts w:eastAsia="Times New Roman" w:cs="Arial"/>
          <w:color w:val="000000"/>
          <w:lang w:val="en-US"/>
        </w:rPr>
        <w:t>IMProved</w:t>
      </w:r>
      <w:proofErr w:type="spellEnd"/>
      <w:r w:rsidRPr="00843133">
        <w:rPr>
          <w:rFonts w:eastAsia="Times New Roman" w:cs="Arial"/>
          <w:color w:val="000000"/>
          <w:lang w:val="en-US"/>
        </w:rPr>
        <w:t xml:space="preserve"> Reduction of Outcomes: </w:t>
      </w:r>
      <w:proofErr w:type="spellStart"/>
      <w:r w:rsidRPr="00843133">
        <w:rPr>
          <w:rFonts w:eastAsia="Times New Roman" w:cs="Arial"/>
          <w:color w:val="000000"/>
          <w:lang w:val="en-US"/>
        </w:rPr>
        <w:t>Vytorin</w:t>
      </w:r>
      <w:proofErr w:type="spellEnd"/>
      <w:r w:rsidRPr="00843133">
        <w:rPr>
          <w:rFonts w:eastAsia="Times New Roman" w:cs="Arial"/>
          <w:color w:val="000000"/>
          <w:lang w:val="en-US"/>
        </w:rPr>
        <w:t xml:space="preserve"> Efficacy International Trial) 18 144 </w:t>
      </w:r>
      <w:r w:rsidRPr="00843133">
        <w:rPr>
          <w:rFonts w:eastAsia="Times New Roman" w:cs="Arial"/>
          <w:color w:val="000000"/>
          <w:lang w:eastAsia="bg-BG"/>
        </w:rPr>
        <w:t xml:space="preserve">пациенти </w:t>
      </w:r>
      <w:r w:rsidRPr="00843133">
        <w:rPr>
          <w:rFonts w:eastAsia="Times New Roman" w:cs="Arial"/>
          <w:color w:val="000000"/>
          <w:lang w:val="en-US"/>
        </w:rPr>
        <w:t xml:space="preserve">c </w:t>
      </w:r>
      <w:r w:rsidRPr="00843133">
        <w:rPr>
          <w:rFonts w:eastAsia="Times New Roman" w:cs="Arial"/>
          <w:color w:val="000000"/>
          <w:lang w:eastAsia="bg-BG"/>
        </w:rPr>
        <w:t xml:space="preserve">исхемична болест на сърцето и анамнеза за </w:t>
      </w:r>
      <w:r w:rsidRPr="00843133">
        <w:rPr>
          <w:rFonts w:eastAsia="Times New Roman" w:cs="Arial"/>
          <w:color w:val="000000"/>
          <w:lang w:val="en-US"/>
        </w:rPr>
        <w:t xml:space="preserve">ACS </w:t>
      </w:r>
      <w:r w:rsidRPr="00843133">
        <w:rPr>
          <w:rFonts w:eastAsia="Times New Roman" w:cs="Arial"/>
          <w:color w:val="000000"/>
          <w:lang w:eastAsia="bg-BG"/>
        </w:rPr>
        <w:t xml:space="preserve">събитие са рандомизирани да приемат 10/40 </w:t>
      </w:r>
      <w:r w:rsidRPr="00843133">
        <w:rPr>
          <w:rFonts w:eastAsia="Times New Roman" w:cs="Arial"/>
          <w:color w:val="000000"/>
          <w:lang w:val="en-US"/>
        </w:rPr>
        <w:t xml:space="preserve">mg </w:t>
      </w:r>
      <w:r w:rsidRPr="00843133">
        <w:rPr>
          <w:rFonts w:eastAsia="Times New Roman" w:cs="Arial"/>
          <w:color w:val="000000"/>
          <w:lang w:eastAsia="bg-BG"/>
        </w:rPr>
        <w:t>езетимиб/симвастатин дневно ((</w:t>
      </w:r>
      <w:r w:rsidRPr="00843133">
        <w:rPr>
          <w:rFonts w:eastAsia="Times New Roman" w:cs="Arial"/>
          <w:color w:val="000000"/>
          <w:lang w:val="en-US"/>
        </w:rPr>
        <w:t>n</w:t>
      </w:r>
      <w:r w:rsidRPr="00843133">
        <w:rPr>
          <w:rFonts w:eastAsia="Times New Roman" w:cs="Arial"/>
          <w:color w:val="000000"/>
          <w:lang w:eastAsia="bg-BG"/>
        </w:rPr>
        <w:t xml:space="preserve"> = 9 067) или 40 </w:t>
      </w:r>
      <w:r w:rsidRPr="00843133">
        <w:rPr>
          <w:rFonts w:eastAsia="Times New Roman" w:cs="Arial"/>
          <w:color w:val="000000"/>
          <w:lang w:val="en-US"/>
        </w:rPr>
        <w:t xml:space="preserve">mg </w:t>
      </w:r>
      <w:r w:rsidRPr="00843133">
        <w:rPr>
          <w:rFonts w:eastAsia="Times New Roman" w:cs="Arial"/>
          <w:color w:val="000000"/>
          <w:lang w:eastAsia="bg-BG"/>
        </w:rPr>
        <w:t>симвастатин дневно (</w:t>
      </w:r>
      <w:r w:rsidRPr="00843133">
        <w:rPr>
          <w:rFonts w:eastAsia="Times New Roman" w:cs="Arial"/>
          <w:color w:val="000000"/>
          <w:lang w:val="en-US"/>
        </w:rPr>
        <w:t>n</w:t>
      </w:r>
      <w:r w:rsidRPr="00843133">
        <w:rPr>
          <w:rFonts w:eastAsia="Times New Roman" w:cs="Arial"/>
          <w:color w:val="000000"/>
          <w:lang w:eastAsia="bg-BG"/>
        </w:rPr>
        <w:t xml:space="preserve"> = 9077). При медиана на проследяване от 6,0 години, честотата на последователно повишаване на трансаминазите (&gt;3 X </w:t>
      </w:r>
      <w:r w:rsidRPr="00843133">
        <w:rPr>
          <w:rFonts w:eastAsia="Times New Roman" w:cs="Arial"/>
          <w:color w:val="000000"/>
          <w:lang w:val="en-US"/>
        </w:rPr>
        <w:t xml:space="preserve">ULN) </w:t>
      </w:r>
      <w:r w:rsidRPr="00843133">
        <w:rPr>
          <w:rFonts w:eastAsia="Times New Roman" w:cs="Arial"/>
          <w:color w:val="000000"/>
          <w:lang w:eastAsia="bg-BG"/>
        </w:rPr>
        <w:t xml:space="preserve">е 2,5% </w:t>
      </w:r>
      <w:r w:rsidRPr="00843133">
        <w:rPr>
          <w:rFonts w:eastAsia="Times New Roman" w:cs="Arial"/>
          <w:i/>
          <w:iCs/>
          <w:color w:val="000000"/>
          <w:lang w:eastAsia="bg-BG"/>
        </w:rPr>
        <w:t>при</w:t>
      </w:r>
      <w:r w:rsidRPr="00843133">
        <w:rPr>
          <w:rFonts w:eastAsia="Times New Roman" w:cs="Arial"/>
          <w:color w:val="000000"/>
          <w:lang w:eastAsia="bg-BG"/>
        </w:rPr>
        <w:t xml:space="preserve"> езетимиб/симвастатин и 2,3% при симвастатин (вж. точка 4.8).</w:t>
      </w:r>
    </w:p>
    <w:p w14:paraId="7D50C182" w14:textId="77777777" w:rsidR="00843133" w:rsidRPr="00843133" w:rsidRDefault="00843133" w:rsidP="00843133">
      <w:pPr>
        <w:spacing w:line="240" w:lineRule="auto"/>
        <w:rPr>
          <w:rFonts w:eastAsia="Times New Roman" w:cs="Arial"/>
          <w:color w:val="000000"/>
          <w:lang w:eastAsia="bg-BG"/>
        </w:rPr>
      </w:pPr>
    </w:p>
    <w:p w14:paraId="457150F7" w14:textId="69159DB9"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В контролирано клинично проучване, при което над 9 000 пациенти с хронично бъбречно заболяване са рандомизирани да приемат</w:t>
      </w:r>
      <w:r w:rsidRPr="00843133">
        <w:rPr>
          <w:rFonts w:eastAsia="Times New Roman" w:cs="Arial"/>
          <w:color w:val="000000"/>
          <w:lang w:val="en-US"/>
        </w:rPr>
        <w:t xml:space="preserve"> 1</w:t>
      </w:r>
      <w:r w:rsidRPr="00843133">
        <w:rPr>
          <w:rFonts w:eastAsia="Times New Roman" w:cs="Arial"/>
          <w:color w:val="000000"/>
          <w:lang w:eastAsia="bg-BG"/>
        </w:rPr>
        <w:t xml:space="preserve">0 </w:t>
      </w:r>
      <w:r w:rsidRPr="00843133">
        <w:rPr>
          <w:rFonts w:eastAsia="Times New Roman" w:cs="Arial"/>
          <w:color w:val="000000"/>
          <w:lang w:val="en-US"/>
        </w:rPr>
        <w:t xml:space="preserve">mg </w:t>
      </w:r>
      <w:r w:rsidRPr="00843133">
        <w:rPr>
          <w:rFonts w:eastAsia="Times New Roman" w:cs="Arial"/>
          <w:color w:val="000000"/>
          <w:lang w:eastAsia="bg-BG"/>
        </w:rPr>
        <w:t xml:space="preserve">езетимиб в комбинация с 20 </w:t>
      </w:r>
      <w:r w:rsidRPr="00843133">
        <w:rPr>
          <w:rFonts w:eastAsia="Times New Roman" w:cs="Arial"/>
          <w:color w:val="000000"/>
          <w:lang w:val="en-US"/>
        </w:rPr>
        <w:t xml:space="preserve">mg </w:t>
      </w:r>
      <w:r w:rsidRPr="00843133">
        <w:rPr>
          <w:rFonts w:eastAsia="Times New Roman" w:cs="Arial"/>
          <w:color w:val="000000"/>
          <w:lang w:eastAsia="bg-BG"/>
        </w:rPr>
        <w:t>симвастатин дневно (</w:t>
      </w:r>
      <w:r w:rsidRPr="00843133">
        <w:rPr>
          <w:rFonts w:eastAsia="Times New Roman" w:cs="Arial"/>
          <w:color w:val="000000"/>
          <w:lang w:val="en-US"/>
        </w:rPr>
        <w:t>n</w:t>
      </w:r>
      <w:r w:rsidRPr="00843133">
        <w:rPr>
          <w:rFonts w:eastAsia="Times New Roman" w:cs="Arial"/>
          <w:color w:val="000000"/>
          <w:lang w:eastAsia="bg-BG"/>
        </w:rPr>
        <w:t xml:space="preserve"> = 4 650) или плацебо (</w:t>
      </w:r>
      <w:r w:rsidRPr="00843133">
        <w:rPr>
          <w:rFonts w:eastAsia="Times New Roman" w:cs="Arial"/>
          <w:color w:val="000000"/>
          <w:lang w:val="en-US"/>
        </w:rPr>
        <w:t>n</w:t>
      </w:r>
      <w:r w:rsidRPr="00843133">
        <w:rPr>
          <w:rFonts w:eastAsia="Times New Roman" w:cs="Arial"/>
          <w:color w:val="000000"/>
          <w:lang w:eastAsia="bg-BG"/>
        </w:rPr>
        <w:t xml:space="preserve"> = 4 620) (медиана на периода на </w:t>
      </w:r>
      <w:r w:rsidRPr="00843133">
        <w:rPr>
          <w:rFonts w:eastAsia="Times New Roman" w:cs="Arial"/>
          <w:color w:val="000000"/>
          <w:lang w:eastAsia="bg-BG"/>
        </w:rPr>
        <w:lastRenderedPageBreak/>
        <w:t xml:space="preserve">проследяване от 4,9 години), честотата на последващото повишаване на трансаминазите </w:t>
      </w:r>
      <w:r w:rsidRPr="00843133">
        <w:rPr>
          <w:rFonts w:eastAsia="Times New Roman" w:cs="Arial"/>
          <w:i/>
          <w:iCs/>
          <w:color w:val="000000"/>
          <w:lang w:eastAsia="bg-BG"/>
        </w:rPr>
        <w:t xml:space="preserve">(≥3 X </w:t>
      </w:r>
      <w:r w:rsidRPr="00843133">
        <w:rPr>
          <w:rFonts w:eastAsia="Times New Roman" w:cs="Arial"/>
          <w:i/>
          <w:iCs/>
          <w:color w:val="000000"/>
          <w:lang w:val="en-US"/>
        </w:rPr>
        <w:t xml:space="preserve">ULN) </w:t>
      </w:r>
      <w:r w:rsidRPr="00843133">
        <w:rPr>
          <w:rFonts w:eastAsia="Times New Roman" w:cs="Arial"/>
          <w:i/>
          <w:iCs/>
          <w:color w:val="000000"/>
          <w:lang w:eastAsia="bg-BG"/>
        </w:rPr>
        <w:t>е</w:t>
      </w:r>
      <w:r w:rsidRPr="00843133">
        <w:rPr>
          <w:rFonts w:eastAsia="Times New Roman" w:cs="Arial"/>
          <w:color w:val="000000"/>
          <w:lang w:eastAsia="bg-BG"/>
        </w:rPr>
        <w:t xml:space="preserve"> 0,7% при езетимиб/симвастатин и 0,6% при плацебо (вж. точка 4.8).</w:t>
      </w:r>
    </w:p>
    <w:p w14:paraId="4D4B544D" w14:textId="77777777" w:rsidR="00843133" w:rsidRPr="00843133" w:rsidRDefault="00843133" w:rsidP="00843133">
      <w:pPr>
        <w:spacing w:line="240" w:lineRule="auto"/>
        <w:rPr>
          <w:rFonts w:eastAsia="Times New Roman" w:cs="Arial"/>
          <w:i/>
          <w:iCs/>
          <w:color w:val="000000"/>
          <w:lang w:eastAsia="bg-BG"/>
        </w:rPr>
      </w:pPr>
    </w:p>
    <w:p w14:paraId="273BE5A1" w14:textId="64B34AD9"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Скелетна мускулатура</w:t>
      </w:r>
    </w:p>
    <w:p w14:paraId="3FE5196B"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От постмаркетинговия опит с езетимиб са докладвани случаи на миопатия и рабдомиолиза. Повечето пациенти, при които възниква рабдомиолиза, са приемали статии едновременно с езетимиб. Въпреки това, за рабдомиолиза се съобщава много рядко при моногерапия с езетимиб и много рядко при добавянето на езетимиб към други средства, за които е известно, че са свързани с повишен риск от рабдомиолиза. Ако въз основа на мускулните симптоми има съмнения за миопатия или миопатията е потвърдена чрез нива на креатин фосфокиназата (СРК) &gt;10 пъти над горната граница на нормата, употребата на езетимиб, на всеки статии, и на всяко друго средство, което пациентът същевременно приема трябва веднага да се прекрати. Всички пациенти, започващи терапия с Езетимиб Актавис трябва да бъдат предупредени за риска от поява на миопатия и да бъдат посъветвани да съобщават веднага за всяка необяснима мускулна болка, болезненост или слабост (вж. точка 4.8).</w:t>
      </w:r>
    </w:p>
    <w:p w14:paraId="0D0DAF47" w14:textId="77777777" w:rsidR="00843133" w:rsidRPr="00843133" w:rsidRDefault="00843133" w:rsidP="00843133">
      <w:pPr>
        <w:spacing w:line="240" w:lineRule="auto"/>
        <w:rPr>
          <w:rFonts w:eastAsia="Times New Roman" w:cs="Arial"/>
          <w:color w:val="000000"/>
          <w:lang w:eastAsia="bg-BG"/>
        </w:rPr>
      </w:pPr>
    </w:p>
    <w:p w14:paraId="530D0618" w14:textId="5DEDF645"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В проучването </w:t>
      </w:r>
      <w:r w:rsidRPr="00843133">
        <w:rPr>
          <w:rFonts w:eastAsia="Times New Roman" w:cs="Arial"/>
          <w:color w:val="000000"/>
          <w:lang w:val="en-US"/>
        </w:rPr>
        <w:t>IMPROVE</w:t>
      </w:r>
      <w:r w:rsidRPr="00843133">
        <w:rPr>
          <w:rFonts w:eastAsia="Times New Roman" w:cs="Arial"/>
          <w:color w:val="000000"/>
          <w:lang w:eastAsia="bg-BG"/>
        </w:rPr>
        <w:t>-</w:t>
      </w:r>
      <w:r w:rsidRPr="00843133">
        <w:rPr>
          <w:rFonts w:eastAsia="Times New Roman" w:cs="Arial"/>
          <w:color w:val="000000"/>
          <w:lang w:val="en-US"/>
        </w:rPr>
        <w:t>IT</w:t>
      </w:r>
      <w:r w:rsidRPr="00843133">
        <w:rPr>
          <w:rFonts w:eastAsia="Times New Roman" w:cs="Arial"/>
          <w:color w:val="000000"/>
          <w:lang w:eastAsia="bg-BG"/>
        </w:rPr>
        <w:t xml:space="preserve"> 18 144 пациенти с исхемична болест на сърцето и анамнеза за </w:t>
      </w:r>
      <w:r w:rsidRPr="00843133">
        <w:rPr>
          <w:rFonts w:eastAsia="Times New Roman" w:cs="Arial"/>
          <w:color w:val="000000"/>
          <w:lang w:val="en-US"/>
        </w:rPr>
        <w:t xml:space="preserve">ACS </w:t>
      </w:r>
      <w:r w:rsidRPr="00843133">
        <w:rPr>
          <w:rFonts w:eastAsia="Times New Roman" w:cs="Arial"/>
          <w:color w:val="000000"/>
          <w:lang w:eastAsia="bg-BG"/>
        </w:rPr>
        <w:t xml:space="preserve">събитие са рандомизирани да приемат 10/40 </w:t>
      </w:r>
      <w:r w:rsidRPr="00843133">
        <w:rPr>
          <w:rFonts w:eastAsia="Times New Roman" w:cs="Arial"/>
          <w:color w:val="000000"/>
          <w:lang w:val="en-US"/>
        </w:rPr>
        <w:t xml:space="preserve">mg </w:t>
      </w:r>
      <w:r w:rsidRPr="00843133">
        <w:rPr>
          <w:rFonts w:eastAsia="Times New Roman" w:cs="Arial"/>
          <w:color w:val="000000"/>
          <w:lang w:eastAsia="bg-BG"/>
        </w:rPr>
        <w:t>езетимиб/симвастатин дневно ((</w:t>
      </w:r>
      <w:r w:rsidRPr="00843133">
        <w:rPr>
          <w:rFonts w:eastAsia="Times New Roman" w:cs="Arial"/>
          <w:color w:val="000000"/>
          <w:lang w:val="en-US"/>
        </w:rPr>
        <w:t>n</w:t>
      </w:r>
      <w:r w:rsidRPr="00843133">
        <w:rPr>
          <w:rFonts w:eastAsia="Times New Roman" w:cs="Arial"/>
          <w:color w:val="000000"/>
          <w:lang w:eastAsia="bg-BG"/>
        </w:rPr>
        <w:t xml:space="preserve"> = 9 067) или 40 </w:t>
      </w:r>
      <w:r w:rsidRPr="00843133">
        <w:rPr>
          <w:rFonts w:eastAsia="Times New Roman" w:cs="Arial"/>
          <w:color w:val="000000"/>
          <w:lang w:val="en-US"/>
        </w:rPr>
        <w:t xml:space="preserve">mg </w:t>
      </w:r>
      <w:r w:rsidRPr="00843133">
        <w:rPr>
          <w:rFonts w:eastAsia="Times New Roman" w:cs="Arial"/>
          <w:color w:val="000000"/>
          <w:lang w:eastAsia="bg-BG"/>
        </w:rPr>
        <w:t>симвастатин дневно (</w:t>
      </w:r>
      <w:r w:rsidRPr="00843133">
        <w:rPr>
          <w:rFonts w:eastAsia="Times New Roman" w:cs="Arial"/>
          <w:color w:val="000000"/>
          <w:lang w:val="en-US"/>
        </w:rPr>
        <w:t>n</w:t>
      </w:r>
      <w:r w:rsidRPr="00843133">
        <w:rPr>
          <w:rFonts w:eastAsia="Times New Roman" w:cs="Arial"/>
          <w:color w:val="000000"/>
          <w:lang w:eastAsia="bg-BG"/>
        </w:rPr>
        <w:t xml:space="preserve"> = 9 077). При медиана на проследяване от 6,0 години, честотата на миопатия е 0,2% при езетимиб/симвастатин и 0,1% при симвастатин, където миопатията е дефинирана като необяснима мускулна слабост или болка със серумна СК ≥10 пъти </w:t>
      </w:r>
      <w:r w:rsidRPr="00843133">
        <w:rPr>
          <w:rFonts w:eastAsia="Times New Roman" w:cs="Arial"/>
          <w:color w:val="000000"/>
          <w:lang w:val="en-US"/>
        </w:rPr>
        <w:t xml:space="preserve">ULN </w:t>
      </w:r>
      <w:r w:rsidRPr="00843133">
        <w:rPr>
          <w:rFonts w:eastAsia="Times New Roman" w:cs="Arial"/>
          <w:color w:val="000000"/>
          <w:lang w:eastAsia="bg-BG"/>
        </w:rPr>
        <w:t xml:space="preserve">или два последователни случая на СК ≥5 и &lt;10 пъти </w:t>
      </w:r>
      <w:r w:rsidRPr="00843133">
        <w:rPr>
          <w:rFonts w:eastAsia="Times New Roman" w:cs="Arial"/>
          <w:color w:val="000000"/>
          <w:lang w:val="en-US"/>
        </w:rPr>
        <w:t xml:space="preserve">ULN </w:t>
      </w:r>
      <w:r w:rsidRPr="00843133">
        <w:rPr>
          <w:rFonts w:eastAsia="Times New Roman" w:cs="Arial"/>
          <w:color w:val="000000"/>
          <w:lang w:eastAsia="bg-BG"/>
        </w:rPr>
        <w:t>с данни за бъбречно увреждане или СК ≥</w:t>
      </w:r>
      <w:r w:rsidRPr="00843133">
        <w:rPr>
          <w:rFonts w:eastAsia="Times New Roman" w:cs="Arial"/>
          <w:color w:val="000000"/>
          <w:lang w:val="en-US"/>
        </w:rPr>
        <w:t xml:space="preserve"> </w:t>
      </w:r>
      <w:r w:rsidRPr="00843133">
        <w:rPr>
          <w:rFonts w:eastAsia="Times New Roman" w:cs="Arial"/>
          <w:color w:val="000000"/>
          <w:lang w:eastAsia="bg-BG"/>
        </w:rPr>
        <w:t>10 000</w:t>
      </w:r>
      <w:r w:rsidRPr="00843133">
        <w:rPr>
          <w:rFonts w:eastAsia="Times New Roman" w:cs="Arial"/>
          <w:color w:val="000000"/>
          <w:lang w:val="en-US"/>
        </w:rPr>
        <w:t xml:space="preserve"> IU</w:t>
      </w:r>
      <w:r w:rsidRPr="00843133">
        <w:rPr>
          <w:rFonts w:eastAsia="Times New Roman" w:cs="Arial"/>
          <w:color w:val="000000"/>
          <w:lang w:eastAsia="bg-BG"/>
        </w:rPr>
        <w:t>/</w:t>
      </w:r>
      <w:r w:rsidRPr="00843133">
        <w:rPr>
          <w:rFonts w:eastAsia="Times New Roman" w:cs="Arial"/>
          <w:color w:val="000000"/>
          <w:lang w:val="en-US"/>
        </w:rPr>
        <w:t>l</w:t>
      </w:r>
      <w:r w:rsidRPr="00843133">
        <w:rPr>
          <w:rFonts w:eastAsia="Times New Roman" w:cs="Arial"/>
          <w:color w:val="000000"/>
          <w:lang w:eastAsia="bg-BG"/>
        </w:rPr>
        <w:t xml:space="preserve"> без данни за бъбречно увреждане (вж. точка 4.8).</w:t>
      </w:r>
    </w:p>
    <w:p w14:paraId="55E5B9CC" w14:textId="77777777" w:rsidR="00843133" w:rsidRPr="00843133" w:rsidRDefault="00843133" w:rsidP="00843133">
      <w:pPr>
        <w:rPr>
          <w:rFonts w:eastAsia="Times New Roman" w:cs="Arial"/>
          <w:color w:val="000000"/>
          <w:lang w:eastAsia="bg-BG"/>
        </w:rPr>
      </w:pPr>
    </w:p>
    <w:p w14:paraId="0B3BEE35" w14:textId="1F1EF1C2" w:rsidR="0091385D" w:rsidRDefault="00843133" w:rsidP="00843133">
      <w:pPr>
        <w:rPr>
          <w:rFonts w:eastAsia="Times New Roman" w:cs="Arial"/>
          <w:color w:val="000000"/>
          <w:lang w:eastAsia="bg-BG"/>
        </w:rPr>
      </w:pPr>
      <w:r w:rsidRPr="00843133">
        <w:rPr>
          <w:rFonts w:eastAsia="Times New Roman" w:cs="Arial"/>
          <w:color w:val="000000"/>
          <w:lang w:eastAsia="bg-BG"/>
        </w:rPr>
        <w:t>В клинично проучване, при което над 9 000 пациенти с хронично бъбречно заболяване са рандомизирани да приемат</w:t>
      </w:r>
      <w:r w:rsidRPr="00843133">
        <w:rPr>
          <w:rFonts w:eastAsia="Times New Roman" w:cs="Arial"/>
          <w:color w:val="000000"/>
          <w:lang w:val="en-US"/>
        </w:rPr>
        <w:t xml:space="preserve"> 10</w:t>
      </w:r>
      <w:r w:rsidRPr="00843133">
        <w:rPr>
          <w:rFonts w:eastAsia="Times New Roman" w:cs="Arial"/>
          <w:color w:val="000000"/>
          <w:lang w:eastAsia="bg-BG"/>
        </w:rPr>
        <w:t xml:space="preserve"> </w:t>
      </w:r>
      <w:r w:rsidRPr="00843133">
        <w:rPr>
          <w:rFonts w:eastAsia="Times New Roman" w:cs="Arial"/>
          <w:color w:val="000000"/>
          <w:lang w:val="en-US"/>
        </w:rPr>
        <w:t xml:space="preserve">mg </w:t>
      </w:r>
      <w:r w:rsidRPr="00843133">
        <w:rPr>
          <w:rFonts w:eastAsia="Times New Roman" w:cs="Arial"/>
          <w:color w:val="000000"/>
          <w:lang w:eastAsia="bg-BG"/>
        </w:rPr>
        <w:t xml:space="preserve">езетимиб, заедно с 20 </w:t>
      </w:r>
      <w:r w:rsidRPr="00843133">
        <w:rPr>
          <w:rFonts w:eastAsia="Times New Roman" w:cs="Arial"/>
          <w:color w:val="000000"/>
          <w:lang w:val="en-US"/>
        </w:rPr>
        <w:t xml:space="preserve">mg </w:t>
      </w:r>
      <w:r w:rsidRPr="00843133">
        <w:rPr>
          <w:rFonts w:eastAsia="Times New Roman" w:cs="Arial"/>
          <w:color w:val="000000"/>
          <w:lang w:eastAsia="bg-BG"/>
        </w:rPr>
        <w:t>симвастатин дневно</w:t>
      </w:r>
      <w:r w:rsidRPr="00843133">
        <w:rPr>
          <w:rFonts w:eastAsia="Times New Roman" w:cs="Arial"/>
          <w:color w:val="000000"/>
          <w:lang w:val="en-US"/>
        </w:rPr>
        <w:t xml:space="preserve"> (n = 4 650) </w:t>
      </w:r>
      <w:r w:rsidRPr="00843133">
        <w:rPr>
          <w:rFonts w:eastAsia="Times New Roman" w:cs="Arial"/>
          <w:color w:val="000000"/>
          <w:lang w:eastAsia="bg-BG"/>
        </w:rPr>
        <w:t xml:space="preserve">или плацебо (n = 4 620) (медиана на проследяване 4,9 години), честотата на </w:t>
      </w:r>
      <w:r w:rsidRPr="00843133">
        <w:rPr>
          <w:rFonts w:eastAsia="Times New Roman" w:cs="Arial"/>
          <w:i/>
          <w:iCs/>
          <w:color w:val="000000"/>
          <w:lang w:eastAsia="bg-BG"/>
        </w:rPr>
        <w:t xml:space="preserve"> </w:t>
      </w:r>
      <w:r w:rsidRPr="00843133">
        <w:rPr>
          <w:rFonts w:eastAsia="Times New Roman" w:cs="Arial"/>
          <w:color w:val="000000"/>
          <w:lang w:eastAsia="bg-BG"/>
        </w:rPr>
        <w:t>миопатия/рабдомиолиза е 0,2% при езетимиб, комбиниран със симвастатин и 0,1%</w:t>
      </w:r>
      <w:r w:rsidRPr="00843133">
        <w:rPr>
          <w:rFonts w:eastAsia="Times New Roman" w:cs="Arial"/>
          <w:color w:val="000000"/>
          <w:lang w:val="en-US"/>
        </w:rPr>
        <w:t xml:space="preserve"> </w:t>
      </w:r>
      <w:r w:rsidRPr="00843133">
        <w:rPr>
          <w:rFonts w:eastAsia="Times New Roman" w:cs="Arial"/>
          <w:color w:val="000000"/>
          <w:lang w:eastAsia="bg-BG"/>
        </w:rPr>
        <w:t>при плацебо (вж. точка 4.8).</w:t>
      </w:r>
    </w:p>
    <w:p w14:paraId="012D5B59" w14:textId="44161DD4" w:rsidR="00843133" w:rsidRDefault="00843133" w:rsidP="00843133">
      <w:pPr>
        <w:rPr>
          <w:rFonts w:eastAsia="Times New Roman" w:cs="Arial"/>
          <w:color w:val="000000"/>
          <w:lang w:eastAsia="bg-BG"/>
        </w:rPr>
      </w:pPr>
    </w:p>
    <w:p w14:paraId="41D8935B"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Чернодробно увреждане</w:t>
      </w:r>
    </w:p>
    <w:p w14:paraId="2C99ECD1"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При пациенти с умерено или тежко чернодробно увреждане Езетимиб Актавис не се препоръчва, тъй като не са известни ефектите от повишената експозиция на езетимиб (вж. точка 5.2).</w:t>
      </w:r>
    </w:p>
    <w:p w14:paraId="49610B4C" w14:textId="77777777" w:rsidR="00843133" w:rsidRPr="00843133" w:rsidRDefault="00843133" w:rsidP="00843133">
      <w:pPr>
        <w:spacing w:line="240" w:lineRule="auto"/>
        <w:rPr>
          <w:rFonts w:eastAsia="Times New Roman" w:cs="Arial"/>
          <w:i/>
          <w:iCs/>
          <w:color w:val="000000"/>
          <w:lang w:eastAsia="bg-BG"/>
        </w:rPr>
      </w:pPr>
    </w:p>
    <w:p w14:paraId="281ED0D7" w14:textId="3113383B"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Педиатрична популация</w:t>
      </w:r>
    </w:p>
    <w:p w14:paraId="413E8373"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Ефикасността и безопасността на езетимиб при пациенти от 6 до 10 годишна възраст с хетерозиготна фамилна или нефамилна хиперхолестеролемия са оценени в 12-седмично плацебо-контролирано клинично изпитване. Ефектите на езетимиб за периоди на лечение &gt; 12 седмици не са изследвани в тази възрастова група (вж. точки 4.2,4.8, 5.1 и 5.2).</w:t>
      </w:r>
    </w:p>
    <w:p w14:paraId="1645A739" w14:textId="0B0F614A"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Езетимиб Актавис не е проучван при пациенти под 6-годишна възраст. (Вижте точки 4.2 и 4.8.) Ефикасността и безопасността на езетимиб, приложен едновременно със симвастатин при пациенти от 10 до 17 годишна възраст с хетерозиготна фамилна хиперхолестеролемия са оценени в контролирано клинично проуч</w:t>
      </w:r>
      <w:r>
        <w:rPr>
          <w:rFonts w:eastAsia="Times New Roman" w:cs="Arial"/>
          <w:color w:val="000000"/>
          <w:lang w:eastAsia="bg-BG"/>
        </w:rPr>
        <w:t xml:space="preserve">ване при юноши момчета (степен </w:t>
      </w:r>
      <w:r>
        <w:rPr>
          <w:rFonts w:cs="Arial"/>
          <w:color w:val="333333"/>
          <w:shd w:val="clear" w:color="auto" w:fill="FFFFFF"/>
        </w:rPr>
        <w:t>II</w:t>
      </w:r>
      <w:r w:rsidRPr="00843133">
        <w:rPr>
          <w:rFonts w:eastAsia="Times New Roman" w:cs="Arial"/>
          <w:color w:val="000000"/>
          <w:lang w:eastAsia="bg-BG"/>
        </w:rPr>
        <w:t xml:space="preserve"> по Танер или по- висока и при девойки, при които е изминала поне една година след първата поява на менструация).</w:t>
      </w:r>
    </w:p>
    <w:p w14:paraId="092D0463"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lastRenderedPageBreak/>
        <w:t>В това ограничено контролирано проучване, принципно не се установява ефект върху растежа или половото съзряване при момчета или девойки в юношеска възраст, или някакъв ефект върху продължителността на менструалния цикъл при момичетата. Въпреки това, ефектите на езетимиб за период на лечение &gt;33 седмици върху растежа и половото съзряване не са проучени (вж. точки 4.2 и 4.8).</w:t>
      </w:r>
    </w:p>
    <w:p w14:paraId="1F0DF2CE"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Безопасността и ефикасността на Езетимиб Актавис, приложен съвместно със симвастатин в дневни дози над 40 </w:t>
      </w:r>
      <w:r w:rsidRPr="00843133">
        <w:rPr>
          <w:rFonts w:eastAsia="Times New Roman" w:cs="Arial"/>
          <w:color w:val="000000"/>
          <w:lang w:val="en-US"/>
        </w:rPr>
        <w:t xml:space="preserve">mg </w:t>
      </w:r>
      <w:r w:rsidRPr="00843133">
        <w:rPr>
          <w:rFonts w:eastAsia="Times New Roman" w:cs="Arial"/>
          <w:color w:val="000000"/>
          <w:lang w:eastAsia="bg-BG"/>
        </w:rPr>
        <w:t>не са проучвани при педиатрични пациенти от 10 до 17-годишна възраст.</w:t>
      </w:r>
    </w:p>
    <w:p w14:paraId="75287C15"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Безопасността и ефикасността на Езетимиб Актавис, приложен едновременно със симвастатин не са проучвани при педиатрични пациенти &lt;10-годишна възраст (вж. точки 4.2 и 4.8).</w:t>
      </w:r>
    </w:p>
    <w:p w14:paraId="2D2D3B20"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Дългосрочната ефикасност на терапията с Езетимиб Актавис при пациенти под 17-годишна възраст за редуциране на заболеваемостта и смъртността в зряла възраст не е проучена.</w:t>
      </w:r>
    </w:p>
    <w:p w14:paraId="4D1D9DC7" w14:textId="77777777" w:rsidR="00843133" w:rsidRPr="00843133" w:rsidRDefault="00843133" w:rsidP="00843133">
      <w:pPr>
        <w:spacing w:line="240" w:lineRule="auto"/>
        <w:rPr>
          <w:rFonts w:eastAsia="Times New Roman" w:cs="Arial"/>
          <w:i/>
          <w:iCs/>
          <w:color w:val="000000"/>
          <w:lang w:eastAsia="bg-BG"/>
        </w:rPr>
      </w:pPr>
    </w:p>
    <w:p w14:paraId="3B41FA17" w14:textId="2B1E8694"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Фибратпи</w:t>
      </w:r>
    </w:p>
    <w:p w14:paraId="6D24186C"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Безопасността и ефикасността на Езетимиб Актавис, приложен с фибрата, не са установени. Ако при пациенти, които приемат Езетимиб Актавис и фенофибрат има съмнения за холелитиаза, са показани изследвания на жлъчния мехур и тази терапия трябва да се прекрати (вж. точки 4.5 и 4.8).</w:t>
      </w:r>
    </w:p>
    <w:p w14:paraId="5B690957" w14:textId="77777777" w:rsidR="00843133" w:rsidRPr="00843133" w:rsidRDefault="00843133" w:rsidP="00843133">
      <w:pPr>
        <w:spacing w:line="240" w:lineRule="auto"/>
        <w:rPr>
          <w:rFonts w:eastAsia="Times New Roman" w:cs="Arial"/>
          <w:i/>
          <w:iCs/>
          <w:color w:val="000000"/>
          <w:lang w:eastAsia="bg-BG"/>
        </w:rPr>
      </w:pPr>
    </w:p>
    <w:p w14:paraId="1CC9DFCC" w14:textId="043AB61C"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Циклоспорин</w:t>
      </w:r>
    </w:p>
    <w:p w14:paraId="079B52A1"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Необходимо е повишено внимание при назначаването на Езетимиб Актавис по време на лечение с циклоспорин. При пациенти, които приемат Езетимиб Актавис и циклоспорин концентрациите на циклоспорин трябва да се проследяват (вж. точка 4.5).</w:t>
      </w:r>
    </w:p>
    <w:p w14:paraId="56BB67E6" w14:textId="77777777" w:rsidR="00843133" w:rsidRPr="00843133" w:rsidRDefault="00843133" w:rsidP="00843133">
      <w:pPr>
        <w:spacing w:line="240" w:lineRule="auto"/>
        <w:rPr>
          <w:rFonts w:eastAsia="Times New Roman" w:cs="Arial"/>
          <w:i/>
          <w:iCs/>
          <w:color w:val="000000"/>
          <w:lang w:eastAsia="bg-BG"/>
        </w:rPr>
      </w:pPr>
    </w:p>
    <w:p w14:paraId="6CBDA2D5" w14:textId="67983F25"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Антикоагуланти</w:t>
      </w:r>
    </w:p>
    <w:p w14:paraId="421CB5FF"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Ако Езетимиб Актавис се добавя към варфарин, друг кумаринов антикоагулант или флуиндион, Международното Нормализирано Отношение </w:t>
      </w:r>
      <w:r w:rsidRPr="00843133">
        <w:rPr>
          <w:rFonts w:eastAsia="Times New Roman" w:cs="Arial"/>
          <w:color w:val="000000"/>
          <w:lang w:val="en-US"/>
        </w:rPr>
        <w:t xml:space="preserve">(1NR) </w:t>
      </w:r>
      <w:r w:rsidRPr="00843133">
        <w:rPr>
          <w:rFonts w:eastAsia="Times New Roman" w:cs="Arial"/>
          <w:color w:val="000000"/>
          <w:lang w:eastAsia="bg-BG"/>
        </w:rPr>
        <w:t>трябва да се проследява внимателно (вж. точка 4.5).</w:t>
      </w:r>
    </w:p>
    <w:p w14:paraId="627ED1C6" w14:textId="2AFB309D"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Помощни вещества</w:t>
      </w:r>
    </w:p>
    <w:p w14:paraId="3642867A" w14:textId="0184ADE3"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Лактоза</w:t>
      </w:r>
    </w:p>
    <w:p w14:paraId="312DBF3A"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Пациенти с редки наследствени проблеми на непоносимост към галактоза, пълен лакгазен дефицит или глюкозо-галактозна малабсорбция, не трябва да приемат това лекарство.</w:t>
      </w:r>
    </w:p>
    <w:p w14:paraId="430DE3CB" w14:textId="5A0F8F71"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Натрий</w:t>
      </w:r>
    </w:p>
    <w:p w14:paraId="1F832636" w14:textId="06E8C6C7" w:rsidR="00843133" w:rsidRPr="00843133" w:rsidRDefault="00843133" w:rsidP="00843133">
      <w:pPr>
        <w:rPr>
          <w:rFonts w:cs="Arial"/>
        </w:rPr>
      </w:pPr>
      <w:r w:rsidRPr="00843133">
        <w:rPr>
          <w:rFonts w:eastAsia="Times New Roman" w:cs="Arial"/>
          <w:color w:val="000000"/>
          <w:lang w:eastAsia="bg-BG"/>
        </w:rPr>
        <w:t xml:space="preserve">Това лекарство съдържа по-малко от 1 </w:t>
      </w:r>
      <w:proofErr w:type="spellStart"/>
      <w:r w:rsidRPr="00843133">
        <w:rPr>
          <w:rFonts w:eastAsia="Times New Roman" w:cs="Arial"/>
          <w:color w:val="000000"/>
          <w:lang w:val="en-US"/>
        </w:rPr>
        <w:t>mmol</w:t>
      </w:r>
      <w:proofErr w:type="spellEnd"/>
      <w:r w:rsidRPr="00843133">
        <w:rPr>
          <w:rFonts w:eastAsia="Times New Roman" w:cs="Arial"/>
          <w:color w:val="000000"/>
          <w:lang w:val="en-US"/>
        </w:rPr>
        <w:t xml:space="preserve"> </w:t>
      </w:r>
      <w:r w:rsidRPr="00843133">
        <w:rPr>
          <w:rFonts w:eastAsia="Times New Roman" w:cs="Arial"/>
          <w:color w:val="000000"/>
          <w:lang w:eastAsia="bg-BG"/>
        </w:rPr>
        <w:t xml:space="preserve">натрий (23 </w:t>
      </w:r>
      <w:r w:rsidRPr="00843133">
        <w:rPr>
          <w:rFonts w:eastAsia="Times New Roman" w:cs="Arial"/>
          <w:color w:val="000000"/>
          <w:lang w:val="en-US"/>
        </w:rPr>
        <w:t xml:space="preserve">mg) </w:t>
      </w:r>
      <w:r w:rsidRPr="00843133">
        <w:rPr>
          <w:rFonts w:eastAsia="Times New Roman" w:cs="Arial"/>
          <w:color w:val="000000"/>
          <w:lang w:eastAsia="bg-BG"/>
        </w:rPr>
        <w:t>на таблетка, т.е. може да се каже, че практически не съдържа натрий.</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AACCC41"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В предклинични проучвания е установено, че езетимиб не индуцира ензимите на цитохром Р450, които метаболизират лекарствата. Не са наблюдавани клинично значими фармакокинетични взаимодействия между езетимиб и лекарствени продукти, за които е известно, че се метаболизират чрез цитохром Р450 1А2,</w:t>
      </w:r>
      <w:r w:rsidRPr="00843133">
        <w:rPr>
          <w:rFonts w:eastAsia="Times New Roman" w:cs="Arial"/>
          <w:color w:val="000000"/>
          <w:lang w:val="en-US"/>
        </w:rPr>
        <w:t xml:space="preserve">2D6, </w:t>
      </w:r>
      <w:r w:rsidRPr="00843133">
        <w:rPr>
          <w:rFonts w:eastAsia="Times New Roman" w:cs="Arial"/>
          <w:color w:val="000000"/>
          <w:lang w:eastAsia="bg-BG"/>
        </w:rPr>
        <w:t xml:space="preserve">2С8, 2С9 и ЗА4, или </w:t>
      </w:r>
      <w:r w:rsidRPr="00843133">
        <w:rPr>
          <w:rFonts w:eastAsia="Times New Roman" w:cs="Arial"/>
          <w:color w:val="000000"/>
          <w:lang w:val="en-US"/>
        </w:rPr>
        <w:t>N</w:t>
      </w:r>
      <w:r w:rsidRPr="00843133">
        <w:rPr>
          <w:rFonts w:eastAsia="Times New Roman" w:cs="Arial"/>
          <w:color w:val="000000"/>
          <w:lang w:eastAsia="bg-BG"/>
        </w:rPr>
        <w:t>-ацетилтрансфераза.</w:t>
      </w:r>
    </w:p>
    <w:p w14:paraId="05A9FB9D" w14:textId="77777777" w:rsidR="00843133" w:rsidRPr="00843133" w:rsidRDefault="00843133" w:rsidP="00843133">
      <w:pPr>
        <w:spacing w:line="240" w:lineRule="auto"/>
        <w:rPr>
          <w:rFonts w:eastAsia="Times New Roman" w:cs="Arial"/>
          <w:color w:val="000000"/>
          <w:lang w:eastAsia="bg-BG"/>
        </w:rPr>
      </w:pPr>
    </w:p>
    <w:p w14:paraId="42249B2D" w14:textId="7C207EB6"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В клинични проучвания за взаимодействия, езетимиб няма ефект върху фармакокннетиката на дапсон, декстрометорфан, дитоксин, пероралните контрацептиви </w:t>
      </w:r>
      <w:r w:rsidRPr="00843133">
        <w:rPr>
          <w:rFonts w:eastAsia="Times New Roman" w:cs="Arial"/>
          <w:color w:val="000000"/>
          <w:lang w:eastAsia="bg-BG"/>
        </w:rPr>
        <w:lastRenderedPageBreak/>
        <w:t>(етинилестрадиол и левоноргестрел), глипизид, толбутамид, или мидазолам, при едновременното им приложение. Циметидин, прилаган съвместно с езетимиб, няма ефект върху бионаличността на езетимиб.</w:t>
      </w:r>
    </w:p>
    <w:p w14:paraId="0F4885A4" w14:textId="77777777" w:rsidR="00843133" w:rsidRPr="00843133" w:rsidRDefault="00843133" w:rsidP="00843133">
      <w:pPr>
        <w:spacing w:line="240" w:lineRule="auto"/>
        <w:rPr>
          <w:rFonts w:eastAsia="Times New Roman" w:cs="Arial"/>
          <w:i/>
          <w:iCs/>
          <w:color w:val="000000"/>
          <w:lang w:eastAsia="bg-BG"/>
        </w:rPr>
      </w:pPr>
    </w:p>
    <w:p w14:paraId="1161E4B8" w14:textId="6526744C"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Антиациди</w:t>
      </w:r>
    </w:p>
    <w:p w14:paraId="73901260"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Едновременното прилагане на антиацид намалява скоростта на абсорбция на езетимиб, но не оказва ефект върху бионаличността на езетимиб. Това намаляване на скоростта на абсорбция не се счита за клинично значимо.</w:t>
      </w:r>
    </w:p>
    <w:p w14:paraId="4841C05B" w14:textId="77777777" w:rsidR="00843133" w:rsidRPr="00843133" w:rsidRDefault="00843133" w:rsidP="00843133">
      <w:pPr>
        <w:spacing w:line="240" w:lineRule="auto"/>
        <w:rPr>
          <w:rFonts w:eastAsia="Times New Roman" w:cs="Arial"/>
          <w:i/>
          <w:iCs/>
          <w:color w:val="000000"/>
          <w:lang w:eastAsia="bg-BG"/>
        </w:rPr>
      </w:pPr>
    </w:p>
    <w:p w14:paraId="791DDB2B" w14:textId="6C3BABFB"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Колестирамин</w:t>
      </w:r>
    </w:p>
    <w:p w14:paraId="096DE8DA"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Едновременното приложение на колестирамин намалява средната площ под кривата </w:t>
      </w:r>
      <w:r w:rsidRPr="00843133">
        <w:rPr>
          <w:rFonts w:eastAsia="Times New Roman" w:cs="Arial"/>
          <w:color w:val="000000"/>
          <w:lang w:val="en-US"/>
        </w:rPr>
        <w:t xml:space="preserve">(AUC) </w:t>
      </w:r>
      <w:r w:rsidRPr="00843133">
        <w:rPr>
          <w:rFonts w:eastAsia="Times New Roman" w:cs="Arial"/>
          <w:color w:val="000000"/>
          <w:lang w:eastAsia="bg-BG"/>
        </w:rPr>
        <w:t xml:space="preserve">на общия езетимиб (езетимиб + езетимиб глюкуронид) приблизително с 55%. Редукцията на повишения </w:t>
      </w:r>
      <w:r w:rsidRPr="00843133">
        <w:rPr>
          <w:rFonts w:eastAsia="Times New Roman" w:cs="Arial"/>
          <w:color w:val="000000"/>
          <w:lang w:val="en-US"/>
        </w:rPr>
        <w:t>LDL</w:t>
      </w:r>
      <w:r w:rsidRPr="00843133">
        <w:rPr>
          <w:rFonts w:eastAsia="Times New Roman" w:cs="Arial"/>
          <w:color w:val="000000"/>
          <w:lang w:eastAsia="bg-BG"/>
        </w:rPr>
        <w:t>-холестерол, предизвикана от добавянето на Езетимиб Актавис към колестирамин може да се намали чрез това взаимодействие (вж. точка 4.2).</w:t>
      </w:r>
    </w:p>
    <w:p w14:paraId="6AF779CF" w14:textId="77777777" w:rsidR="00843133" w:rsidRPr="00843133" w:rsidRDefault="00843133" w:rsidP="00843133">
      <w:pPr>
        <w:spacing w:line="240" w:lineRule="auto"/>
        <w:rPr>
          <w:rFonts w:eastAsia="Times New Roman" w:cs="Arial"/>
          <w:i/>
          <w:iCs/>
          <w:color w:val="000000"/>
          <w:lang w:eastAsia="bg-BG"/>
        </w:rPr>
      </w:pPr>
    </w:p>
    <w:p w14:paraId="588A99C8" w14:textId="1D7D4CC9"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Фибрати</w:t>
      </w:r>
    </w:p>
    <w:p w14:paraId="583A7C66"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При пациенти, които приемат фенофибрат и Езетимиб Актавис, лекарите трябва да са наясно с възможния риск от холелитиаза и заболяване на жлъчния мехур (вж. точки 4.4 и 4.8).</w:t>
      </w:r>
    </w:p>
    <w:p w14:paraId="56C340BA"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Ако при пациенти, които приемат Езетимиб Актавис и фенофибрат има съмнение за холелитиаза, са показани изследвания на жлъчния мехур и тази терапия трябва да се преустанови (вж. точка 4.8).</w:t>
      </w:r>
    </w:p>
    <w:p w14:paraId="1B96FA16"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Едновременното приложение на фенофибрат или гемфиброзил увеличава незначително общата концентрация на езетимиб (приблизително с 1,5 и съответно 1,7 пъти).</w:t>
      </w:r>
    </w:p>
    <w:p w14:paraId="0A04E1A8"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Едновременното приложение на Езетимиб Актавис с други фибрати не е проучено. Фибратите могат да увеличат екскрецията на холестерол в жлъчката, което води до холелитиаза. При проучвания върху животни, езетимиб понякога повишава холестерола в жлъчния сок на жлъчния мехур, но не при всички видове (вж. точка 5.3). Не може да се изключи литогенен риск, свързан с терапевтичната употреба на Езетимиб Акгавис.</w:t>
      </w:r>
    </w:p>
    <w:p w14:paraId="75F78727" w14:textId="77777777" w:rsidR="00843133" w:rsidRPr="00843133" w:rsidRDefault="00843133" w:rsidP="00843133">
      <w:pPr>
        <w:spacing w:line="240" w:lineRule="auto"/>
        <w:rPr>
          <w:rFonts w:eastAsia="Times New Roman" w:cs="Arial"/>
          <w:i/>
          <w:iCs/>
          <w:color w:val="000000"/>
          <w:lang w:eastAsia="bg-BG"/>
        </w:rPr>
      </w:pPr>
    </w:p>
    <w:p w14:paraId="78519E54" w14:textId="3308DC48"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Статини</w:t>
      </w:r>
    </w:p>
    <w:p w14:paraId="6E33F479"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Не са наблюдавани клинично значими фармакокинетични взаимодействия при едновременно приложение на езетимиб с аторвастатин, симвастатин, правастатин, ловастатин, флувастатин или розувастатин.</w:t>
      </w:r>
    </w:p>
    <w:p w14:paraId="50500FFD" w14:textId="77777777" w:rsidR="00843133" w:rsidRPr="00843133" w:rsidRDefault="00843133" w:rsidP="00843133">
      <w:pPr>
        <w:spacing w:line="240" w:lineRule="auto"/>
        <w:rPr>
          <w:rFonts w:eastAsia="Times New Roman" w:cs="Arial"/>
          <w:i/>
          <w:iCs/>
          <w:color w:val="000000"/>
          <w:lang w:eastAsia="bg-BG"/>
        </w:rPr>
      </w:pPr>
    </w:p>
    <w:p w14:paraId="5A36BED1" w14:textId="3408CA92"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Циклоспорин</w:t>
      </w:r>
    </w:p>
    <w:p w14:paraId="01433152"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При проучване на осем пациенти след бъбречна трансплантация и с креатининов клирънс</w:t>
      </w:r>
    </w:p>
    <w:p w14:paraId="09C7BEA8"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 50 </w:t>
      </w:r>
      <w:r w:rsidRPr="00843133">
        <w:rPr>
          <w:rFonts w:eastAsia="Times New Roman" w:cs="Arial"/>
          <w:color w:val="000000"/>
          <w:lang w:val="en-US"/>
        </w:rPr>
        <w:t xml:space="preserve">ml/min, </w:t>
      </w:r>
      <w:r w:rsidRPr="00843133">
        <w:rPr>
          <w:rFonts w:eastAsia="Times New Roman" w:cs="Arial"/>
          <w:color w:val="000000"/>
          <w:lang w:eastAsia="bg-BG"/>
        </w:rPr>
        <w:t xml:space="preserve">провеждащи лечение с постоянна доза циклоспорин, приложението на еднократна доза от 10 </w:t>
      </w:r>
      <w:r w:rsidRPr="00843133">
        <w:rPr>
          <w:rFonts w:eastAsia="Times New Roman" w:cs="Arial"/>
          <w:color w:val="000000"/>
          <w:lang w:val="en-US"/>
        </w:rPr>
        <w:t xml:space="preserve">mg </w:t>
      </w:r>
      <w:r w:rsidRPr="00843133">
        <w:rPr>
          <w:rFonts w:eastAsia="Times New Roman" w:cs="Arial"/>
          <w:color w:val="000000"/>
          <w:lang w:eastAsia="bg-BG"/>
        </w:rPr>
        <w:t xml:space="preserve">езетимиб води до увеличение от 3,4 пъти (от 2,3- до 7,9-кратно) на средната </w:t>
      </w:r>
      <w:r w:rsidRPr="00843133">
        <w:rPr>
          <w:rFonts w:eastAsia="Times New Roman" w:cs="Arial"/>
          <w:color w:val="000000"/>
          <w:lang w:val="en-US"/>
        </w:rPr>
        <w:t xml:space="preserve">AUC </w:t>
      </w:r>
      <w:r w:rsidRPr="00843133">
        <w:rPr>
          <w:rFonts w:eastAsia="Times New Roman" w:cs="Arial"/>
          <w:color w:val="000000"/>
          <w:lang w:eastAsia="bg-BG"/>
        </w:rPr>
        <w:t>за общия езетимиб в сравнение със здравата контролна популация, участвала в друго проучване (</w:t>
      </w:r>
      <w:r w:rsidRPr="00843133">
        <w:rPr>
          <w:rFonts w:eastAsia="Times New Roman" w:cs="Arial"/>
          <w:color w:val="000000"/>
          <w:lang w:val="en-US"/>
        </w:rPr>
        <w:t>n</w:t>
      </w:r>
      <w:r w:rsidRPr="00843133">
        <w:rPr>
          <w:rFonts w:eastAsia="Times New Roman" w:cs="Arial"/>
          <w:color w:val="000000"/>
          <w:lang w:eastAsia="bg-BG"/>
        </w:rPr>
        <w:t xml:space="preserve"> = 17) и приемала само езетимиб. В друго проучване при пациент с бъбречна трансплантация с тежко бъбречно увреждане, който е получавал циклоспорин и множество други лекарства се наблюдава 12-кратно по-голяма експозиция на общия езетимиб в сравнение с контроли, получаващи само езетимиб. В кръстосано проучване с два периода при 12 здрави доброволци, </w:t>
      </w:r>
    </w:p>
    <w:p w14:paraId="3B3665FC" w14:textId="77777777" w:rsidR="00843133" w:rsidRPr="00843133" w:rsidRDefault="00843133" w:rsidP="00843133">
      <w:pPr>
        <w:rPr>
          <w:rFonts w:eastAsia="Times New Roman" w:cs="Arial"/>
          <w:sz w:val="24"/>
          <w:szCs w:val="24"/>
          <w:lang w:eastAsia="bg-BG"/>
        </w:rPr>
      </w:pPr>
      <w:r w:rsidRPr="00843133">
        <w:rPr>
          <w:rFonts w:eastAsia="Times New Roman" w:cs="Arial"/>
          <w:color w:val="000000"/>
          <w:lang w:eastAsia="bg-BG"/>
        </w:rPr>
        <w:t xml:space="preserve">ежедневното прилагане на 20 </w:t>
      </w:r>
      <w:r w:rsidRPr="00843133">
        <w:rPr>
          <w:rFonts w:eastAsia="Times New Roman" w:cs="Arial"/>
          <w:color w:val="000000"/>
          <w:lang w:val="en-US"/>
        </w:rPr>
        <w:t xml:space="preserve">mg </w:t>
      </w:r>
      <w:r w:rsidRPr="00843133">
        <w:rPr>
          <w:rFonts w:eastAsia="Times New Roman" w:cs="Arial"/>
          <w:color w:val="000000"/>
          <w:lang w:eastAsia="bg-BG"/>
        </w:rPr>
        <w:t>езетимиб в продължение на 8 дни с еднократна доза от 100</w:t>
      </w:r>
      <w:r w:rsidRPr="00843133">
        <w:rPr>
          <w:rFonts w:eastAsia="Times New Roman" w:cs="Arial"/>
          <w:color w:val="000000"/>
          <w:lang w:val="en-US"/>
        </w:rPr>
        <w:t xml:space="preserve"> mg</w:t>
      </w:r>
      <w:r w:rsidRPr="00843133">
        <w:rPr>
          <w:rFonts w:eastAsia="Times New Roman" w:cs="Arial"/>
          <w:color w:val="000000"/>
          <w:lang w:eastAsia="bg-BG"/>
        </w:rPr>
        <w:t xml:space="preserve"> циклоспорин в ден 7 води до средно увеличение на </w:t>
      </w:r>
      <w:r w:rsidRPr="00843133">
        <w:rPr>
          <w:rFonts w:eastAsia="Times New Roman" w:cs="Arial"/>
          <w:color w:val="000000"/>
          <w:lang w:val="en-US"/>
        </w:rPr>
        <w:t xml:space="preserve">AUC </w:t>
      </w:r>
      <w:r w:rsidRPr="00843133">
        <w:rPr>
          <w:rFonts w:eastAsia="Times New Roman" w:cs="Arial"/>
          <w:color w:val="000000"/>
          <w:lang w:eastAsia="bg-BG"/>
        </w:rPr>
        <w:t xml:space="preserve">на циклоспорин с 15% (в диапазона от намаление с 10% до увеличение с 51%) в сравнение със самостоятелното приложение на еднократна доза от 100 </w:t>
      </w:r>
      <w:r w:rsidRPr="00843133">
        <w:rPr>
          <w:rFonts w:eastAsia="Times New Roman" w:cs="Arial"/>
          <w:color w:val="000000"/>
          <w:lang w:val="en-US"/>
        </w:rPr>
        <w:t xml:space="preserve">mg </w:t>
      </w:r>
      <w:r w:rsidRPr="00843133">
        <w:rPr>
          <w:rFonts w:eastAsia="Times New Roman" w:cs="Arial"/>
          <w:color w:val="000000"/>
          <w:lang w:eastAsia="bg-BG"/>
        </w:rPr>
        <w:t>циклоспорин. Контролирано проучване за ефекта от едновременно</w:t>
      </w:r>
      <w:r>
        <w:rPr>
          <w:rFonts w:eastAsia="Times New Roman" w:cs="Arial"/>
          <w:color w:val="000000"/>
          <w:lang w:val="en-US" w:eastAsia="bg-BG"/>
        </w:rPr>
        <w:t xml:space="preserve"> </w:t>
      </w:r>
      <w:r w:rsidRPr="00843133">
        <w:rPr>
          <w:rFonts w:eastAsia="Times New Roman" w:cs="Arial"/>
          <w:color w:val="000000"/>
          <w:lang w:eastAsia="bg-BG"/>
        </w:rPr>
        <w:t xml:space="preserve">приложение на езетимиб върху експозицията на циклоспорин </w:t>
      </w:r>
      <w:r w:rsidRPr="00843133">
        <w:rPr>
          <w:rFonts w:eastAsia="Times New Roman" w:cs="Arial"/>
          <w:color w:val="000000"/>
          <w:lang w:eastAsia="bg-BG"/>
        </w:rPr>
        <w:lastRenderedPageBreak/>
        <w:t>при пациенти с бъбречна трансплантация не е провеждано. Необходимо е повишено внимание при започване на лечението с Езетимиб Акгавис на фона на лечение с циклоспорин. При пациенти, които приемат Езетимиб Актавис и циклоспорин концентрациите на циклоспорин трябва да се проследяват (вж. точка 4,4).</w:t>
      </w:r>
    </w:p>
    <w:p w14:paraId="31A39C36" w14:textId="77777777" w:rsidR="00843133" w:rsidRPr="00843133" w:rsidRDefault="00843133" w:rsidP="00843133">
      <w:pPr>
        <w:spacing w:line="240" w:lineRule="auto"/>
        <w:rPr>
          <w:rFonts w:eastAsia="Times New Roman" w:cs="Arial"/>
          <w:i/>
          <w:iCs/>
          <w:color w:val="000000"/>
          <w:lang w:eastAsia="bg-BG"/>
        </w:rPr>
      </w:pPr>
    </w:p>
    <w:p w14:paraId="30F341CD" w14:textId="67D6AC79"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Антикоагуланти</w:t>
      </w:r>
    </w:p>
    <w:p w14:paraId="7F30135C"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Едновременното приложение на езетимиб (10 </w:t>
      </w:r>
      <w:r w:rsidRPr="00843133">
        <w:rPr>
          <w:rFonts w:eastAsia="Times New Roman" w:cs="Arial"/>
          <w:color w:val="000000"/>
          <w:lang w:val="en-US"/>
        </w:rPr>
        <w:t xml:space="preserve">mg </w:t>
      </w:r>
      <w:r w:rsidRPr="00843133">
        <w:rPr>
          <w:rFonts w:eastAsia="Times New Roman" w:cs="Arial"/>
          <w:color w:val="000000"/>
          <w:lang w:eastAsia="bg-BG"/>
        </w:rPr>
        <w:t xml:space="preserve">веднъж дневно) не оказва съществено влияние върху бионаличността на варфарин и прогромбиновото време в проучване, проведено при дванадесет здрави възрастни мъже. Въпреки това, има постмаркетингови съобщения за повишено Международно Нормализирано Отношение </w:t>
      </w:r>
      <w:r w:rsidRPr="00843133">
        <w:rPr>
          <w:rFonts w:eastAsia="Times New Roman" w:cs="Arial"/>
          <w:color w:val="000000"/>
          <w:lang w:val="en-US"/>
        </w:rPr>
        <w:t xml:space="preserve">(INR) </w:t>
      </w:r>
      <w:r w:rsidRPr="00843133">
        <w:rPr>
          <w:rFonts w:eastAsia="Times New Roman" w:cs="Arial"/>
          <w:color w:val="000000"/>
          <w:lang w:eastAsia="bg-BG"/>
        </w:rPr>
        <w:t xml:space="preserve">при пациенти, при които езетимиб е добавян към варфарин или флуиндион. Ако Езетимиб Актавис се добавя към варфарин, друг кумаринов антикоагулант или флуиндион, </w:t>
      </w:r>
      <w:r w:rsidRPr="00843133">
        <w:rPr>
          <w:rFonts w:eastAsia="Times New Roman" w:cs="Arial"/>
          <w:color w:val="000000"/>
          <w:lang w:val="en-US"/>
        </w:rPr>
        <w:t xml:space="preserve">INR </w:t>
      </w:r>
      <w:r w:rsidRPr="00843133">
        <w:rPr>
          <w:rFonts w:eastAsia="Times New Roman" w:cs="Arial"/>
          <w:color w:val="000000"/>
          <w:lang w:eastAsia="bg-BG"/>
        </w:rPr>
        <w:t>трябва да се проследява по подходящ начин (вж. точка 4.4).</w:t>
      </w:r>
    </w:p>
    <w:p w14:paraId="7263B1F8"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i/>
          <w:iCs/>
          <w:color w:val="000000"/>
          <w:lang w:eastAsia="bg-BG"/>
        </w:rPr>
        <w:t>Педиатрична популация</w:t>
      </w:r>
    </w:p>
    <w:p w14:paraId="172AE819" w14:textId="75AF798A" w:rsidR="0091385D" w:rsidRPr="00843133" w:rsidRDefault="00843133" w:rsidP="00843133">
      <w:pPr>
        <w:rPr>
          <w:rFonts w:cs="Arial"/>
          <w:lang w:val="en-US"/>
        </w:rPr>
      </w:pPr>
      <w:r w:rsidRPr="00843133">
        <w:rPr>
          <w:rFonts w:eastAsia="Times New Roman" w:cs="Arial"/>
          <w:color w:val="000000"/>
          <w:lang w:eastAsia="bg-BG"/>
        </w:rPr>
        <w:t>Проучвания за взаимодействие са провеждани само при възрастни.</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02DFC2A7"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По време на бременност и кърмене е противопоказано едновременното приложение на Езетимиб Актавис със статии (вж. точка 4.3); моля реферирайте се към КХП на този конкретен статии.</w:t>
      </w:r>
    </w:p>
    <w:p w14:paraId="3448E769" w14:textId="77777777" w:rsidR="00843133" w:rsidRPr="00843133" w:rsidRDefault="00843133" w:rsidP="00843133">
      <w:pPr>
        <w:spacing w:line="240" w:lineRule="auto"/>
        <w:rPr>
          <w:rFonts w:eastAsia="Times New Roman" w:cs="Arial"/>
          <w:color w:val="000000"/>
          <w:u w:val="single"/>
          <w:lang w:eastAsia="bg-BG"/>
        </w:rPr>
      </w:pPr>
    </w:p>
    <w:p w14:paraId="5D3B2F92" w14:textId="1322ACB9" w:rsidR="00843133" w:rsidRPr="00843133" w:rsidRDefault="00843133" w:rsidP="00843133">
      <w:pPr>
        <w:pStyle w:val="Heading3"/>
        <w:rPr>
          <w:rFonts w:eastAsia="Times New Roman"/>
          <w:u w:val="single"/>
          <w:lang w:eastAsia="bg-BG"/>
        </w:rPr>
      </w:pPr>
      <w:r w:rsidRPr="00843133">
        <w:rPr>
          <w:rFonts w:eastAsia="Times New Roman"/>
          <w:u w:val="single"/>
          <w:lang w:eastAsia="bg-BG"/>
        </w:rPr>
        <w:t>Бременност</w:t>
      </w:r>
    </w:p>
    <w:p w14:paraId="429CE901"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Езетимиб Актавис трябва да се предписва на бременни жени само при категорична необходимост. Няма налични клинични данни за употребата на Езетимиб Актавис по време на бременност. Проучванията върху животни при монотерапия с езетимиб не показват признаци на преки или непреки вредни ефекти по отношение на бременността, ембриофеталното развитие, раждането или постнаталното развитие (вж. точка 5.3).</w:t>
      </w:r>
    </w:p>
    <w:p w14:paraId="69C06922" w14:textId="77777777" w:rsidR="00843133" w:rsidRPr="00843133" w:rsidRDefault="00843133" w:rsidP="00843133">
      <w:pPr>
        <w:spacing w:line="240" w:lineRule="auto"/>
        <w:rPr>
          <w:rFonts w:eastAsia="Times New Roman" w:cs="Arial"/>
          <w:color w:val="000000"/>
          <w:u w:val="single"/>
          <w:lang w:eastAsia="bg-BG"/>
        </w:rPr>
      </w:pPr>
    </w:p>
    <w:p w14:paraId="18A3AA9A" w14:textId="6BE27571" w:rsidR="00843133" w:rsidRPr="00843133" w:rsidRDefault="00843133" w:rsidP="00843133">
      <w:pPr>
        <w:pStyle w:val="Heading3"/>
        <w:rPr>
          <w:rFonts w:eastAsia="Times New Roman"/>
          <w:u w:val="single"/>
          <w:lang w:eastAsia="bg-BG"/>
        </w:rPr>
      </w:pPr>
      <w:r w:rsidRPr="00843133">
        <w:rPr>
          <w:rFonts w:eastAsia="Times New Roman"/>
          <w:u w:val="single"/>
          <w:lang w:eastAsia="bg-BG"/>
        </w:rPr>
        <w:t>Кърмене</w:t>
      </w:r>
    </w:p>
    <w:p w14:paraId="59D48440"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Езетимиб Актавис не трябва да се употребява по време на кърмене. Проучвания върху плъхове показват, че езетимиб се екскретира в кърмата. Не е известно дали езетимиб се отделя в кърмата при хора.</w:t>
      </w:r>
    </w:p>
    <w:p w14:paraId="0A2A614D" w14:textId="77777777" w:rsidR="00843133" w:rsidRPr="00843133" w:rsidRDefault="00843133" w:rsidP="00843133">
      <w:pPr>
        <w:spacing w:line="240" w:lineRule="auto"/>
        <w:rPr>
          <w:rFonts w:eastAsia="Times New Roman" w:cs="Arial"/>
          <w:color w:val="000000"/>
          <w:u w:val="single"/>
          <w:lang w:eastAsia="bg-BG"/>
        </w:rPr>
      </w:pPr>
    </w:p>
    <w:p w14:paraId="48E26ED4" w14:textId="158E2B93" w:rsidR="00843133" w:rsidRPr="00843133" w:rsidRDefault="00843133" w:rsidP="00843133">
      <w:pPr>
        <w:pStyle w:val="Heading3"/>
        <w:rPr>
          <w:rFonts w:eastAsia="Times New Roman"/>
          <w:u w:val="single"/>
          <w:lang w:eastAsia="bg-BG"/>
        </w:rPr>
      </w:pPr>
      <w:r w:rsidRPr="00843133">
        <w:rPr>
          <w:rFonts w:eastAsia="Times New Roman"/>
          <w:u w:val="single"/>
          <w:lang w:eastAsia="bg-BG"/>
        </w:rPr>
        <w:t>Фертилитет</w:t>
      </w:r>
    </w:p>
    <w:p w14:paraId="776662C5" w14:textId="31C2A437" w:rsidR="0091385D" w:rsidRPr="00843133" w:rsidRDefault="00843133" w:rsidP="00843133">
      <w:pPr>
        <w:rPr>
          <w:rFonts w:cs="Arial"/>
        </w:rPr>
      </w:pPr>
      <w:r w:rsidRPr="00843133">
        <w:rPr>
          <w:rFonts w:eastAsia="Times New Roman" w:cs="Arial"/>
          <w:color w:val="000000"/>
          <w:lang w:eastAsia="bg-BG"/>
        </w:rPr>
        <w:t>Няма данни от клинични проучвания за ефектите на езетимиб върху фертилитета при хора. Езетимиб не оказва влияние върху фертилитета на мъжки или женски плъхове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5526CBE7" w:rsidR="0091385D" w:rsidRDefault="00843133" w:rsidP="0091385D">
      <w:r>
        <w:t>Не са провеждани проучвания за ефектите върху способността за шофиране и работа с машини. Въпреки това, когато се шофира или работи с машини, трябва да се вземе предвид, че има съобщения за замайване.</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6FADECA"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u w:val="single"/>
          <w:lang w:eastAsia="bg-BG"/>
        </w:rPr>
        <w:lastRenderedPageBreak/>
        <w:t>Списък на нежеланите реакции в табличен вид (от клинични проучвания и постмаркетинговия опит)</w:t>
      </w:r>
    </w:p>
    <w:p w14:paraId="1141D0B0"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В клинични проучвания с продължителност до 112 седмици езетимиб в доза 10 </w:t>
      </w:r>
      <w:r w:rsidRPr="00843133">
        <w:rPr>
          <w:rFonts w:eastAsia="Times New Roman" w:cs="Arial"/>
          <w:color w:val="000000"/>
          <w:lang w:val="en-US"/>
        </w:rPr>
        <w:t xml:space="preserve">mg </w:t>
      </w:r>
      <w:r w:rsidRPr="00843133">
        <w:rPr>
          <w:rFonts w:eastAsia="Times New Roman" w:cs="Arial"/>
          <w:color w:val="000000"/>
          <w:lang w:eastAsia="bg-BG"/>
        </w:rPr>
        <w:t>дневно е прилаган самостоятелно при 2 396 пациенти, или със статии при 11 308 пациенти или е  фенофибрат при 185 пациенти. Нежеланите реакции обикновено са леки и преходни. Общата честота на нежелани реакции е сходна между езетимиб и плацебо. По същия начин, степента на прекратяване на лечението поради нежелани реакции е сравнима между езетимиб и плацебо.</w:t>
      </w:r>
    </w:p>
    <w:p w14:paraId="41218CBD" w14:textId="77777777" w:rsidR="00843133" w:rsidRPr="00843133" w:rsidRDefault="00843133" w:rsidP="00843133">
      <w:pPr>
        <w:rPr>
          <w:rFonts w:eastAsia="Times New Roman" w:cs="Arial"/>
          <w:color w:val="000000"/>
          <w:lang w:eastAsia="bg-BG"/>
        </w:rPr>
      </w:pPr>
    </w:p>
    <w:p w14:paraId="570508C4" w14:textId="1BAFC4E7" w:rsidR="0091385D" w:rsidRPr="00843133" w:rsidRDefault="00843133" w:rsidP="00843133">
      <w:pPr>
        <w:rPr>
          <w:rFonts w:cs="Arial"/>
        </w:rPr>
      </w:pPr>
      <w:r w:rsidRPr="00843133">
        <w:rPr>
          <w:rFonts w:eastAsia="Times New Roman" w:cs="Arial"/>
          <w:color w:val="000000"/>
          <w:lang w:eastAsia="bg-BG"/>
        </w:rPr>
        <w:t>Езетимиб, приложен самостоятелно или приложен едновременно със статин:</w:t>
      </w:r>
    </w:p>
    <w:p w14:paraId="4481EF11" w14:textId="77777777" w:rsidR="00843133" w:rsidRDefault="00843133" w:rsidP="00843133">
      <w:pPr>
        <w:spacing w:line="240" w:lineRule="auto"/>
        <w:rPr>
          <w:rFonts w:ascii="Times New Roman" w:eastAsia="Times New Roman" w:hAnsi="Times New Roman" w:cs="Times New Roman"/>
          <w:color w:val="000000"/>
          <w:lang w:eastAsia="bg-BG"/>
        </w:rPr>
      </w:pPr>
    </w:p>
    <w:p w14:paraId="04D9CB08" w14:textId="5811F8C8"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Следните нежелани реакции са наблюдавани при пациенти, лекувани с Езетимиб Акгавис (</w:t>
      </w:r>
      <w:r w:rsidRPr="00843133">
        <w:rPr>
          <w:rFonts w:eastAsia="Times New Roman" w:cs="Arial"/>
          <w:color w:val="000000"/>
          <w:lang w:val="en-US"/>
        </w:rPr>
        <w:t>n</w:t>
      </w:r>
      <w:r w:rsidRPr="00843133">
        <w:rPr>
          <w:rFonts w:eastAsia="Times New Roman" w:cs="Arial"/>
          <w:color w:val="000000"/>
          <w:lang w:eastAsia="bg-BG"/>
        </w:rPr>
        <w:t xml:space="preserve"> = 2 396) и с честота по-висока в сравнение с плацебо </w:t>
      </w:r>
      <w:r w:rsidRPr="00843133">
        <w:rPr>
          <w:rFonts w:eastAsia="Times New Roman" w:cs="Arial"/>
          <w:color w:val="000000"/>
          <w:lang w:val="en-US"/>
        </w:rPr>
        <w:t xml:space="preserve">(n </w:t>
      </w:r>
      <w:r w:rsidRPr="00843133">
        <w:rPr>
          <w:rFonts w:eastAsia="Times New Roman" w:cs="Arial"/>
          <w:color w:val="000000"/>
          <w:lang w:eastAsia="bg-BG"/>
        </w:rPr>
        <w:t xml:space="preserve">= 1 159) или при пациенти, лекувани с Езетимиб Актавис едновременно със статии </w:t>
      </w:r>
      <w:r w:rsidRPr="00843133">
        <w:rPr>
          <w:rFonts w:eastAsia="Times New Roman" w:cs="Arial"/>
          <w:color w:val="000000"/>
          <w:lang w:val="en-US"/>
        </w:rPr>
        <w:t xml:space="preserve">(n </w:t>
      </w:r>
      <w:r w:rsidRPr="00843133">
        <w:rPr>
          <w:rFonts w:eastAsia="Times New Roman" w:cs="Arial"/>
          <w:color w:val="000000"/>
          <w:lang w:eastAsia="bg-BG"/>
        </w:rPr>
        <w:t>= 11 308) и с по-висока честота от самостоятелното приложен статии (</w:t>
      </w:r>
      <w:r w:rsidRPr="00843133">
        <w:rPr>
          <w:rFonts w:eastAsia="Times New Roman" w:cs="Arial"/>
          <w:color w:val="000000"/>
          <w:lang w:val="en-US"/>
        </w:rPr>
        <w:t>n</w:t>
      </w:r>
      <w:r w:rsidRPr="00843133">
        <w:rPr>
          <w:rFonts w:eastAsia="Times New Roman" w:cs="Arial"/>
          <w:color w:val="000000"/>
          <w:lang w:eastAsia="bg-BG"/>
        </w:rPr>
        <w:t xml:space="preserve"> =</w:t>
      </w:r>
      <w:r w:rsidRPr="00843133">
        <w:rPr>
          <w:rFonts w:eastAsia="Times New Roman" w:cs="Arial"/>
          <w:color w:val="000000"/>
          <w:lang w:val="en-US"/>
        </w:rPr>
        <w:t xml:space="preserve"> </w:t>
      </w:r>
      <w:r w:rsidRPr="00843133">
        <w:rPr>
          <w:rFonts w:eastAsia="Times New Roman" w:cs="Arial"/>
          <w:color w:val="000000"/>
          <w:lang w:eastAsia="bg-BG"/>
        </w:rPr>
        <w:t>9 361). Постмаркетинговите нежелани реакции са получени от доклади, съдържащи данни за Езетимиб Актавис, прилаган или самостоятелно или със статии. Нежеланите реакции, наблюдавани в клинични проучвания с езетимиб (като монотерапия или едновременно прилаган със статии) или съобщени от постмаркетинговата употреба с езетимиб, прилаган самостоятелно или със статии, са изброени в Таблица 1. Тези реакции са представени по системо-органни класове и по честота.</w:t>
      </w:r>
    </w:p>
    <w:p w14:paraId="324EB20C" w14:textId="77777777" w:rsidR="00843133" w:rsidRPr="00843133" w:rsidRDefault="00843133" w:rsidP="00843133">
      <w:pPr>
        <w:spacing w:line="240" w:lineRule="auto"/>
        <w:rPr>
          <w:rFonts w:eastAsia="Times New Roman" w:cs="Arial"/>
          <w:sz w:val="24"/>
          <w:szCs w:val="24"/>
          <w:lang w:eastAsia="bg-BG"/>
        </w:rPr>
      </w:pPr>
      <w:r w:rsidRPr="00843133">
        <w:rPr>
          <w:rFonts w:eastAsia="Times New Roman" w:cs="Arial"/>
          <w:color w:val="000000"/>
          <w:lang w:eastAsia="bg-BG"/>
        </w:rPr>
        <w:t xml:space="preserve">Честотите на нежеланите реакции са определени като: много чести (≥ 1/10), чести </w:t>
      </w:r>
      <w:r w:rsidRPr="00843133">
        <w:rPr>
          <w:rFonts w:eastAsia="Times New Roman" w:cs="Arial"/>
          <w:i/>
          <w:iCs/>
          <w:color w:val="000000"/>
          <w:lang w:eastAsia="bg-BG"/>
        </w:rPr>
        <w:t>(≥ 1/100</w:t>
      </w:r>
      <w:r w:rsidRPr="00843133">
        <w:rPr>
          <w:rFonts w:eastAsia="Times New Roman" w:cs="Arial"/>
          <w:color w:val="000000"/>
          <w:lang w:eastAsia="bg-BG"/>
        </w:rPr>
        <w:t xml:space="preserve"> до &lt;1/10), нечести (≥ 1/1 000, &lt;1/100), редки (≥ 1/10 000 до &lt;1/1 000), много редки (&lt;1/10 000), и с неизвестна честота (от наличните данни не може да бъде направена оценка).</w:t>
      </w:r>
    </w:p>
    <w:p w14:paraId="10113C6C" w14:textId="77777777" w:rsidR="00843133" w:rsidRPr="00843133" w:rsidRDefault="00843133" w:rsidP="00843133">
      <w:pPr>
        <w:spacing w:line="240" w:lineRule="auto"/>
        <w:jc w:val="center"/>
        <w:rPr>
          <w:rFonts w:eastAsia="Times New Roman" w:cs="Arial"/>
          <w:sz w:val="24"/>
          <w:szCs w:val="24"/>
          <w:lang w:eastAsia="bg-BG"/>
        </w:rPr>
      </w:pPr>
      <w:r w:rsidRPr="00843133">
        <w:rPr>
          <w:rFonts w:eastAsia="Times New Roman" w:cs="Arial"/>
          <w:b/>
          <w:bCs/>
          <w:color w:val="000000"/>
          <w:u w:val="single"/>
          <w:lang w:eastAsia="bg-BG"/>
        </w:rPr>
        <w:t>Таблица 1</w:t>
      </w:r>
    </w:p>
    <w:p w14:paraId="43E3C48F" w14:textId="0047A858" w:rsidR="0091385D" w:rsidRPr="00843133" w:rsidRDefault="00843133" w:rsidP="00843133">
      <w:pPr>
        <w:jc w:val="center"/>
        <w:rPr>
          <w:rFonts w:cs="Arial"/>
        </w:rPr>
      </w:pPr>
      <w:r w:rsidRPr="00843133">
        <w:rPr>
          <w:rFonts w:eastAsia="Times New Roman" w:cs="Arial"/>
          <w:color w:val="000000"/>
          <w:lang w:eastAsia="bg-BG"/>
        </w:rPr>
        <w:t>Нежелани реакции</w:t>
      </w:r>
    </w:p>
    <w:tbl>
      <w:tblPr>
        <w:tblStyle w:val="TableGrid"/>
        <w:tblW w:w="0" w:type="auto"/>
        <w:tblLook w:val="04A0" w:firstRow="1" w:lastRow="0" w:firstColumn="1" w:lastColumn="0" w:noHBand="0" w:noVBand="1"/>
      </w:tblPr>
      <w:tblGrid>
        <w:gridCol w:w="4750"/>
        <w:gridCol w:w="4750"/>
      </w:tblGrid>
      <w:tr w:rsidR="00672405" w14:paraId="5C8B464D" w14:textId="77777777" w:rsidTr="00A30F5A">
        <w:tc>
          <w:tcPr>
            <w:tcW w:w="4750" w:type="dxa"/>
            <w:vAlign w:val="center"/>
          </w:tcPr>
          <w:p w14:paraId="5DAE275B" w14:textId="77777777" w:rsidR="00672405" w:rsidRPr="00672405" w:rsidRDefault="00672405" w:rsidP="00672405">
            <w:pPr>
              <w:rPr>
                <w:rFonts w:cs="Arial"/>
              </w:rPr>
            </w:pPr>
            <w:r w:rsidRPr="00672405">
              <w:rPr>
                <w:rFonts w:cs="Arial"/>
                <w:b/>
                <w:bCs/>
              </w:rPr>
              <w:t>Системо органни класове</w:t>
            </w:r>
          </w:p>
          <w:p w14:paraId="3FFAEAC7" w14:textId="41C4F116" w:rsidR="00672405" w:rsidRPr="00672405" w:rsidRDefault="00672405" w:rsidP="00672405">
            <w:pPr>
              <w:rPr>
                <w:rFonts w:cs="Arial"/>
              </w:rPr>
            </w:pPr>
            <w:r w:rsidRPr="00672405">
              <w:rPr>
                <w:rFonts w:cs="Arial"/>
              </w:rPr>
              <w:t>Честота</w:t>
            </w:r>
          </w:p>
        </w:tc>
        <w:tc>
          <w:tcPr>
            <w:tcW w:w="4750" w:type="dxa"/>
          </w:tcPr>
          <w:p w14:paraId="180D97F5" w14:textId="1B2E3AB2" w:rsidR="00672405" w:rsidRPr="00672405" w:rsidRDefault="00672405" w:rsidP="00672405">
            <w:pPr>
              <w:rPr>
                <w:rFonts w:cs="Arial"/>
              </w:rPr>
            </w:pPr>
            <w:r w:rsidRPr="00672405">
              <w:rPr>
                <w:rFonts w:cs="Arial"/>
              </w:rPr>
              <w:t>Нежелани реакции</w:t>
            </w:r>
          </w:p>
        </w:tc>
      </w:tr>
      <w:tr w:rsidR="00672405" w14:paraId="44AC0308" w14:textId="77777777" w:rsidTr="00A30F5A">
        <w:tc>
          <w:tcPr>
            <w:tcW w:w="9500" w:type="dxa"/>
            <w:gridSpan w:val="2"/>
            <w:vAlign w:val="center"/>
          </w:tcPr>
          <w:p w14:paraId="62507BD8" w14:textId="1A5352F0" w:rsidR="00672405" w:rsidRPr="00672405" w:rsidRDefault="00672405" w:rsidP="00672405">
            <w:pPr>
              <w:rPr>
                <w:rFonts w:cs="Arial"/>
              </w:rPr>
            </w:pPr>
            <w:r w:rsidRPr="00672405">
              <w:rPr>
                <w:rFonts w:cs="Arial"/>
                <w:b/>
                <w:bCs/>
              </w:rPr>
              <w:t>Нарушения на кръвта и лимфната система</w:t>
            </w:r>
          </w:p>
        </w:tc>
      </w:tr>
      <w:tr w:rsidR="00672405" w14:paraId="18A7632B" w14:textId="77777777" w:rsidTr="00A30F5A">
        <w:tc>
          <w:tcPr>
            <w:tcW w:w="4750" w:type="dxa"/>
            <w:vAlign w:val="bottom"/>
          </w:tcPr>
          <w:p w14:paraId="15FD2386" w14:textId="35D2171A" w:rsidR="00672405" w:rsidRPr="00672405" w:rsidRDefault="00672405" w:rsidP="00672405">
            <w:pPr>
              <w:rPr>
                <w:rFonts w:cs="Arial"/>
              </w:rPr>
            </w:pPr>
            <w:r w:rsidRPr="00672405">
              <w:rPr>
                <w:rFonts w:cs="Arial"/>
              </w:rPr>
              <w:t>с неизвестна честота</w:t>
            </w:r>
          </w:p>
        </w:tc>
        <w:tc>
          <w:tcPr>
            <w:tcW w:w="4750" w:type="dxa"/>
            <w:vAlign w:val="bottom"/>
          </w:tcPr>
          <w:p w14:paraId="2B488873" w14:textId="57CD1EB4" w:rsidR="00672405" w:rsidRPr="00672405" w:rsidRDefault="00672405" w:rsidP="00672405">
            <w:pPr>
              <w:rPr>
                <w:rFonts w:cs="Arial"/>
              </w:rPr>
            </w:pPr>
            <w:r w:rsidRPr="00672405">
              <w:rPr>
                <w:rFonts w:cs="Arial"/>
              </w:rPr>
              <w:t>тромбоцитопения</w:t>
            </w:r>
          </w:p>
        </w:tc>
      </w:tr>
      <w:tr w:rsidR="00672405" w14:paraId="1095881D" w14:textId="77777777" w:rsidTr="00A30F5A">
        <w:tc>
          <w:tcPr>
            <w:tcW w:w="9500" w:type="dxa"/>
            <w:gridSpan w:val="2"/>
            <w:vAlign w:val="bottom"/>
          </w:tcPr>
          <w:p w14:paraId="18DDD087" w14:textId="64291462" w:rsidR="00672405" w:rsidRPr="00672405" w:rsidRDefault="00672405" w:rsidP="00672405">
            <w:pPr>
              <w:rPr>
                <w:rFonts w:cs="Arial"/>
              </w:rPr>
            </w:pPr>
            <w:r w:rsidRPr="00672405">
              <w:rPr>
                <w:rFonts w:cs="Arial"/>
                <w:b/>
                <w:bCs/>
              </w:rPr>
              <w:t>Нарушения на имунната система</w:t>
            </w:r>
          </w:p>
        </w:tc>
      </w:tr>
      <w:tr w:rsidR="00672405" w14:paraId="1DB7B628" w14:textId="77777777" w:rsidTr="00A30F5A">
        <w:tc>
          <w:tcPr>
            <w:tcW w:w="4750" w:type="dxa"/>
            <w:vAlign w:val="center"/>
          </w:tcPr>
          <w:p w14:paraId="5393756F" w14:textId="25F77CBE" w:rsidR="00672405" w:rsidRPr="00672405" w:rsidRDefault="00672405" w:rsidP="00672405">
            <w:pPr>
              <w:rPr>
                <w:rFonts w:cs="Arial"/>
              </w:rPr>
            </w:pPr>
            <w:r w:rsidRPr="00672405">
              <w:rPr>
                <w:rFonts w:cs="Arial"/>
              </w:rPr>
              <w:t>с неизвестна честота</w:t>
            </w:r>
          </w:p>
        </w:tc>
        <w:tc>
          <w:tcPr>
            <w:tcW w:w="4750" w:type="dxa"/>
            <w:vAlign w:val="bottom"/>
          </w:tcPr>
          <w:p w14:paraId="5B0D064E" w14:textId="227942FE" w:rsidR="00672405" w:rsidRPr="00672405" w:rsidRDefault="00672405" w:rsidP="00672405">
            <w:pPr>
              <w:rPr>
                <w:rFonts w:cs="Arial"/>
              </w:rPr>
            </w:pPr>
            <w:r w:rsidRPr="00672405">
              <w:rPr>
                <w:rFonts w:cs="Arial"/>
              </w:rPr>
              <w:t>свръхчувствителност, включително обрив, уртикария, анафилаксия и ангиоедем</w:t>
            </w:r>
          </w:p>
        </w:tc>
      </w:tr>
      <w:tr w:rsidR="00672405" w14:paraId="02B18702" w14:textId="77777777" w:rsidTr="00A30F5A">
        <w:tc>
          <w:tcPr>
            <w:tcW w:w="9500" w:type="dxa"/>
            <w:gridSpan w:val="2"/>
            <w:vAlign w:val="bottom"/>
          </w:tcPr>
          <w:p w14:paraId="77333628" w14:textId="1DE31B3A" w:rsidR="00672405" w:rsidRPr="00672405" w:rsidRDefault="00672405" w:rsidP="00672405">
            <w:pPr>
              <w:rPr>
                <w:rFonts w:cs="Arial"/>
              </w:rPr>
            </w:pPr>
            <w:r w:rsidRPr="00672405">
              <w:rPr>
                <w:rFonts w:cs="Arial"/>
                <w:b/>
                <w:bCs/>
              </w:rPr>
              <w:t>Нарушения на метаболизма и храненето</w:t>
            </w:r>
          </w:p>
        </w:tc>
      </w:tr>
      <w:tr w:rsidR="00672405" w14:paraId="56DFD170" w14:textId="77777777" w:rsidTr="00A30F5A">
        <w:tc>
          <w:tcPr>
            <w:tcW w:w="4750" w:type="dxa"/>
            <w:vAlign w:val="center"/>
          </w:tcPr>
          <w:p w14:paraId="6F950F8C" w14:textId="5BBA5211" w:rsidR="00672405" w:rsidRPr="00672405" w:rsidRDefault="00672405" w:rsidP="00672405">
            <w:pPr>
              <w:rPr>
                <w:rFonts w:cs="Arial"/>
              </w:rPr>
            </w:pPr>
            <w:r w:rsidRPr="00672405">
              <w:rPr>
                <w:rFonts w:cs="Arial"/>
              </w:rPr>
              <w:t>с неизвестна честота</w:t>
            </w:r>
          </w:p>
        </w:tc>
        <w:tc>
          <w:tcPr>
            <w:tcW w:w="4750" w:type="dxa"/>
            <w:vAlign w:val="center"/>
          </w:tcPr>
          <w:p w14:paraId="44825410" w14:textId="15EB327E" w:rsidR="00672405" w:rsidRPr="00672405" w:rsidRDefault="00672405" w:rsidP="00672405">
            <w:pPr>
              <w:rPr>
                <w:rFonts w:cs="Arial"/>
              </w:rPr>
            </w:pPr>
            <w:r w:rsidRPr="00672405">
              <w:rPr>
                <w:rFonts w:cs="Arial"/>
              </w:rPr>
              <w:t>намален апетит</w:t>
            </w:r>
          </w:p>
        </w:tc>
      </w:tr>
      <w:tr w:rsidR="00672405" w14:paraId="4EE52B2C" w14:textId="77777777" w:rsidTr="00A30F5A">
        <w:tc>
          <w:tcPr>
            <w:tcW w:w="9500" w:type="dxa"/>
            <w:gridSpan w:val="2"/>
            <w:vAlign w:val="center"/>
          </w:tcPr>
          <w:p w14:paraId="3E2C91E1" w14:textId="0A95627E" w:rsidR="00672405" w:rsidRPr="00672405" w:rsidRDefault="00672405" w:rsidP="00672405">
            <w:pPr>
              <w:rPr>
                <w:rFonts w:cs="Arial"/>
              </w:rPr>
            </w:pPr>
            <w:r w:rsidRPr="00672405">
              <w:rPr>
                <w:rFonts w:cs="Arial"/>
                <w:b/>
                <w:bCs/>
              </w:rPr>
              <w:t>Психични нарушения</w:t>
            </w:r>
          </w:p>
        </w:tc>
      </w:tr>
      <w:tr w:rsidR="00672405" w14:paraId="2751EFFA" w14:textId="77777777" w:rsidTr="00A30F5A">
        <w:tc>
          <w:tcPr>
            <w:tcW w:w="4750" w:type="dxa"/>
            <w:vAlign w:val="bottom"/>
          </w:tcPr>
          <w:p w14:paraId="48B606EF" w14:textId="15AE4024" w:rsidR="00672405" w:rsidRPr="00672405" w:rsidRDefault="00672405" w:rsidP="00672405">
            <w:pPr>
              <w:rPr>
                <w:rFonts w:cs="Arial"/>
              </w:rPr>
            </w:pPr>
            <w:r w:rsidRPr="00672405">
              <w:rPr>
                <w:rFonts w:cs="Arial"/>
              </w:rPr>
              <w:t>С неизвестна честота</w:t>
            </w:r>
          </w:p>
        </w:tc>
        <w:tc>
          <w:tcPr>
            <w:tcW w:w="4750" w:type="dxa"/>
            <w:vAlign w:val="bottom"/>
          </w:tcPr>
          <w:p w14:paraId="0A34D166" w14:textId="58DF751A" w:rsidR="00672405" w:rsidRPr="00672405" w:rsidRDefault="00672405" w:rsidP="00672405">
            <w:pPr>
              <w:rPr>
                <w:rFonts w:cs="Arial"/>
              </w:rPr>
            </w:pPr>
            <w:r w:rsidRPr="00672405">
              <w:rPr>
                <w:rFonts w:cs="Arial"/>
              </w:rPr>
              <w:t>депресия</w:t>
            </w:r>
          </w:p>
        </w:tc>
      </w:tr>
      <w:tr w:rsidR="00672405" w14:paraId="0FF3FCB3" w14:textId="77777777" w:rsidTr="00A30F5A">
        <w:tc>
          <w:tcPr>
            <w:tcW w:w="9500" w:type="dxa"/>
            <w:gridSpan w:val="2"/>
            <w:vAlign w:val="center"/>
          </w:tcPr>
          <w:p w14:paraId="1EADE341" w14:textId="2A95542F" w:rsidR="00672405" w:rsidRPr="00672405" w:rsidRDefault="00672405" w:rsidP="00672405">
            <w:pPr>
              <w:rPr>
                <w:rFonts w:cs="Arial"/>
              </w:rPr>
            </w:pPr>
            <w:r w:rsidRPr="00672405">
              <w:rPr>
                <w:rFonts w:cs="Arial"/>
                <w:b/>
                <w:bCs/>
              </w:rPr>
              <w:t>Нарушения на нервната система</w:t>
            </w:r>
          </w:p>
        </w:tc>
      </w:tr>
      <w:tr w:rsidR="00672405" w14:paraId="1D31E3D0" w14:textId="77777777" w:rsidTr="00A30F5A">
        <w:tc>
          <w:tcPr>
            <w:tcW w:w="4750" w:type="dxa"/>
            <w:vAlign w:val="center"/>
          </w:tcPr>
          <w:p w14:paraId="1E320877" w14:textId="784F82B5" w:rsidR="00672405" w:rsidRPr="00672405" w:rsidRDefault="00672405" w:rsidP="00672405">
            <w:pPr>
              <w:rPr>
                <w:rFonts w:cs="Arial"/>
              </w:rPr>
            </w:pPr>
            <w:r w:rsidRPr="00672405">
              <w:rPr>
                <w:rFonts w:cs="Arial"/>
              </w:rPr>
              <w:t>чести</w:t>
            </w:r>
          </w:p>
        </w:tc>
        <w:tc>
          <w:tcPr>
            <w:tcW w:w="4750" w:type="dxa"/>
            <w:vAlign w:val="center"/>
          </w:tcPr>
          <w:p w14:paraId="007B81DE" w14:textId="1D5643A1" w:rsidR="00672405" w:rsidRPr="00672405" w:rsidRDefault="00672405" w:rsidP="00672405">
            <w:pPr>
              <w:rPr>
                <w:rFonts w:cs="Arial"/>
              </w:rPr>
            </w:pPr>
            <w:r w:rsidRPr="00672405">
              <w:rPr>
                <w:rFonts w:cs="Arial"/>
              </w:rPr>
              <w:t>главоболие</w:t>
            </w:r>
          </w:p>
        </w:tc>
      </w:tr>
      <w:tr w:rsidR="00672405" w14:paraId="082E091F" w14:textId="77777777" w:rsidTr="00A30F5A">
        <w:tc>
          <w:tcPr>
            <w:tcW w:w="4750" w:type="dxa"/>
            <w:vAlign w:val="center"/>
          </w:tcPr>
          <w:p w14:paraId="1DFD64F4" w14:textId="116D444B" w:rsidR="00672405" w:rsidRPr="00672405" w:rsidRDefault="00672405" w:rsidP="00672405">
            <w:pPr>
              <w:rPr>
                <w:rFonts w:cs="Arial"/>
              </w:rPr>
            </w:pPr>
            <w:r w:rsidRPr="00672405">
              <w:rPr>
                <w:rFonts w:cs="Arial"/>
              </w:rPr>
              <w:t>нечести</w:t>
            </w:r>
          </w:p>
        </w:tc>
        <w:tc>
          <w:tcPr>
            <w:tcW w:w="4750" w:type="dxa"/>
            <w:vAlign w:val="center"/>
          </w:tcPr>
          <w:p w14:paraId="1D16A113" w14:textId="27E1ABB1" w:rsidR="00672405" w:rsidRPr="00672405" w:rsidRDefault="00672405" w:rsidP="00672405">
            <w:pPr>
              <w:rPr>
                <w:rFonts w:cs="Arial"/>
              </w:rPr>
            </w:pPr>
            <w:r w:rsidRPr="00672405">
              <w:rPr>
                <w:rFonts w:cs="Arial"/>
              </w:rPr>
              <w:t>парестезия</w:t>
            </w:r>
          </w:p>
        </w:tc>
      </w:tr>
      <w:tr w:rsidR="00672405" w14:paraId="71CF19BF" w14:textId="77777777" w:rsidTr="00A30F5A">
        <w:tc>
          <w:tcPr>
            <w:tcW w:w="4750" w:type="dxa"/>
            <w:vAlign w:val="center"/>
          </w:tcPr>
          <w:p w14:paraId="6920905C" w14:textId="178472DB" w:rsidR="00672405" w:rsidRPr="00672405" w:rsidRDefault="00672405" w:rsidP="00672405">
            <w:pPr>
              <w:rPr>
                <w:rFonts w:cs="Arial"/>
              </w:rPr>
            </w:pPr>
            <w:r w:rsidRPr="00672405">
              <w:rPr>
                <w:rFonts w:cs="Arial"/>
              </w:rPr>
              <w:t>с неизвестна честота</w:t>
            </w:r>
          </w:p>
        </w:tc>
        <w:tc>
          <w:tcPr>
            <w:tcW w:w="4750" w:type="dxa"/>
            <w:vAlign w:val="center"/>
          </w:tcPr>
          <w:p w14:paraId="214F146B" w14:textId="4F36EEF5" w:rsidR="00672405" w:rsidRPr="00672405" w:rsidRDefault="00672405" w:rsidP="00672405">
            <w:pPr>
              <w:rPr>
                <w:rFonts w:cs="Arial"/>
              </w:rPr>
            </w:pPr>
            <w:r w:rsidRPr="00672405">
              <w:rPr>
                <w:rFonts w:cs="Arial"/>
              </w:rPr>
              <w:t>замаяност</w:t>
            </w:r>
          </w:p>
        </w:tc>
      </w:tr>
      <w:tr w:rsidR="00672405" w14:paraId="1AE9D9F3" w14:textId="77777777" w:rsidTr="00A30F5A">
        <w:tc>
          <w:tcPr>
            <w:tcW w:w="9500" w:type="dxa"/>
            <w:gridSpan w:val="2"/>
            <w:vAlign w:val="bottom"/>
          </w:tcPr>
          <w:p w14:paraId="0B42C0C4" w14:textId="126C2EF2" w:rsidR="00672405" w:rsidRPr="00672405" w:rsidRDefault="00672405" w:rsidP="00672405">
            <w:pPr>
              <w:rPr>
                <w:rFonts w:cs="Arial"/>
              </w:rPr>
            </w:pPr>
            <w:r w:rsidRPr="00672405">
              <w:rPr>
                <w:rFonts w:cs="Arial"/>
                <w:b/>
                <w:bCs/>
              </w:rPr>
              <w:t>Съдови нарушения</w:t>
            </w:r>
          </w:p>
        </w:tc>
      </w:tr>
      <w:tr w:rsidR="00672405" w14:paraId="16AAACAB" w14:textId="77777777" w:rsidTr="00A30F5A">
        <w:tc>
          <w:tcPr>
            <w:tcW w:w="4750" w:type="dxa"/>
            <w:vAlign w:val="center"/>
          </w:tcPr>
          <w:p w14:paraId="185B0257" w14:textId="2CE0760D" w:rsidR="00672405" w:rsidRPr="00672405" w:rsidRDefault="00672405" w:rsidP="00672405">
            <w:pPr>
              <w:rPr>
                <w:rFonts w:cs="Arial"/>
              </w:rPr>
            </w:pPr>
            <w:r w:rsidRPr="00672405">
              <w:rPr>
                <w:rFonts w:cs="Arial"/>
              </w:rPr>
              <w:t>нечести</w:t>
            </w:r>
          </w:p>
        </w:tc>
        <w:tc>
          <w:tcPr>
            <w:tcW w:w="4750" w:type="dxa"/>
            <w:vAlign w:val="center"/>
          </w:tcPr>
          <w:p w14:paraId="76758CE2" w14:textId="3A1D9E93" w:rsidR="00672405" w:rsidRPr="00672405" w:rsidRDefault="00672405" w:rsidP="00672405">
            <w:pPr>
              <w:rPr>
                <w:rFonts w:cs="Arial"/>
              </w:rPr>
            </w:pPr>
            <w:r w:rsidRPr="00672405">
              <w:rPr>
                <w:rFonts w:cs="Arial"/>
              </w:rPr>
              <w:t>горещи вълни, хипертония</w:t>
            </w:r>
          </w:p>
        </w:tc>
      </w:tr>
      <w:tr w:rsidR="00672405" w14:paraId="755F341C" w14:textId="77777777" w:rsidTr="00A30F5A">
        <w:tc>
          <w:tcPr>
            <w:tcW w:w="9500" w:type="dxa"/>
            <w:gridSpan w:val="2"/>
          </w:tcPr>
          <w:p w14:paraId="4D9201E3" w14:textId="771C4998" w:rsidR="00672405" w:rsidRPr="00672405" w:rsidRDefault="00672405" w:rsidP="0091385D">
            <w:pPr>
              <w:rPr>
                <w:rFonts w:cs="Arial"/>
              </w:rPr>
            </w:pPr>
            <w:r w:rsidRPr="00672405">
              <w:rPr>
                <w:rFonts w:cs="Arial"/>
                <w:b/>
                <w:bCs/>
              </w:rPr>
              <w:t>Респираторни, гръдни и медиастннални нарушения</w:t>
            </w:r>
          </w:p>
        </w:tc>
      </w:tr>
      <w:tr w:rsidR="00843133" w14:paraId="54100066" w14:textId="77777777" w:rsidTr="00843133">
        <w:tc>
          <w:tcPr>
            <w:tcW w:w="4750" w:type="dxa"/>
          </w:tcPr>
          <w:p w14:paraId="32966D62" w14:textId="77777777" w:rsidR="00672405" w:rsidRPr="00672405" w:rsidRDefault="00672405" w:rsidP="00672405">
            <w:pPr>
              <w:spacing w:line="240" w:lineRule="auto"/>
              <w:rPr>
                <w:rFonts w:eastAsia="Times New Roman" w:cs="Arial"/>
                <w:lang w:eastAsia="bg-BG"/>
              </w:rPr>
            </w:pPr>
            <w:r w:rsidRPr="00672405">
              <w:rPr>
                <w:rFonts w:eastAsia="Times New Roman" w:cs="Arial"/>
                <w:color w:val="000000"/>
                <w:lang w:eastAsia="bg-BG"/>
              </w:rPr>
              <w:t>нечести</w:t>
            </w:r>
          </w:p>
          <w:p w14:paraId="605EFD6C" w14:textId="77777777" w:rsidR="00843133" w:rsidRPr="00672405" w:rsidRDefault="00843133" w:rsidP="0091385D">
            <w:pPr>
              <w:rPr>
                <w:rFonts w:cs="Arial"/>
              </w:rPr>
            </w:pPr>
          </w:p>
        </w:tc>
        <w:tc>
          <w:tcPr>
            <w:tcW w:w="4750" w:type="dxa"/>
          </w:tcPr>
          <w:p w14:paraId="372CFDC3" w14:textId="1F49EDE2" w:rsidR="00843133" w:rsidRPr="00672405" w:rsidRDefault="00672405" w:rsidP="0091385D">
            <w:pPr>
              <w:rPr>
                <w:rFonts w:cs="Arial"/>
              </w:rPr>
            </w:pPr>
            <w:r w:rsidRPr="00672405">
              <w:rPr>
                <w:rFonts w:cs="Arial"/>
              </w:rPr>
              <w:t>кашлица</w:t>
            </w:r>
          </w:p>
        </w:tc>
      </w:tr>
      <w:tr w:rsidR="00672405" w14:paraId="5F4ED2C5" w14:textId="77777777" w:rsidTr="00A30F5A">
        <w:tc>
          <w:tcPr>
            <w:tcW w:w="4750" w:type="dxa"/>
            <w:vAlign w:val="center"/>
          </w:tcPr>
          <w:p w14:paraId="04EC2BBD" w14:textId="53684D10" w:rsidR="00672405" w:rsidRPr="00672405" w:rsidRDefault="00672405" w:rsidP="00672405">
            <w:pPr>
              <w:rPr>
                <w:rFonts w:cs="Arial"/>
              </w:rPr>
            </w:pPr>
            <w:r w:rsidRPr="00672405">
              <w:rPr>
                <w:rFonts w:cs="Arial"/>
              </w:rPr>
              <w:t>с неизвестна честота</w:t>
            </w:r>
          </w:p>
        </w:tc>
        <w:tc>
          <w:tcPr>
            <w:tcW w:w="4750" w:type="dxa"/>
            <w:vAlign w:val="center"/>
          </w:tcPr>
          <w:p w14:paraId="7356AD9A" w14:textId="636143BD" w:rsidR="00672405" w:rsidRPr="00672405" w:rsidRDefault="00672405" w:rsidP="00672405">
            <w:pPr>
              <w:rPr>
                <w:rFonts w:cs="Arial"/>
              </w:rPr>
            </w:pPr>
            <w:r w:rsidRPr="00672405">
              <w:rPr>
                <w:rFonts w:cs="Arial"/>
              </w:rPr>
              <w:t>диспнея</w:t>
            </w:r>
          </w:p>
        </w:tc>
      </w:tr>
      <w:tr w:rsidR="00672405" w14:paraId="7FA7B001" w14:textId="77777777" w:rsidTr="00A30F5A">
        <w:tc>
          <w:tcPr>
            <w:tcW w:w="9500" w:type="dxa"/>
            <w:gridSpan w:val="2"/>
            <w:vAlign w:val="bottom"/>
          </w:tcPr>
          <w:p w14:paraId="7C6D1410" w14:textId="16246131" w:rsidR="00672405" w:rsidRPr="00672405" w:rsidRDefault="00672405" w:rsidP="00672405">
            <w:pPr>
              <w:rPr>
                <w:rFonts w:cs="Arial"/>
              </w:rPr>
            </w:pPr>
            <w:r w:rsidRPr="00672405">
              <w:rPr>
                <w:rFonts w:cs="Arial"/>
                <w:b/>
                <w:bCs/>
              </w:rPr>
              <w:lastRenderedPageBreak/>
              <w:t>Стомашно-чревни нарушения</w:t>
            </w:r>
          </w:p>
        </w:tc>
      </w:tr>
      <w:tr w:rsidR="00672405" w14:paraId="18B507AA" w14:textId="77777777" w:rsidTr="00A30F5A">
        <w:tc>
          <w:tcPr>
            <w:tcW w:w="4750" w:type="dxa"/>
            <w:vAlign w:val="center"/>
          </w:tcPr>
          <w:p w14:paraId="5F1822DA" w14:textId="6C4B8AD0" w:rsidR="00672405" w:rsidRPr="00672405" w:rsidRDefault="00672405" w:rsidP="00672405">
            <w:pPr>
              <w:rPr>
                <w:rFonts w:cs="Arial"/>
              </w:rPr>
            </w:pPr>
            <w:r w:rsidRPr="00672405">
              <w:rPr>
                <w:rFonts w:cs="Arial"/>
              </w:rPr>
              <w:t>чести</w:t>
            </w:r>
          </w:p>
        </w:tc>
        <w:tc>
          <w:tcPr>
            <w:tcW w:w="4750" w:type="dxa"/>
            <w:vAlign w:val="center"/>
          </w:tcPr>
          <w:p w14:paraId="3BFDF537" w14:textId="29192CDF" w:rsidR="00672405" w:rsidRPr="00672405" w:rsidRDefault="00672405" w:rsidP="00672405">
            <w:pPr>
              <w:rPr>
                <w:rFonts w:cs="Arial"/>
              </w:rPr>
            </w:pPr>
            <w:r w:rsidRPr="00672405">
              <w:rPr>
                <w:rFonts w:cs="Arial"/>
              </w:rPr>
              <w:t>абдоминална болка, диария,</w:t>
            </w:r>
            <w:r w:rsidRPr="00672405">
              <w:rPr>
                <w:rFonts w:cs="Arial"/>
                <w:lang w:val="en-US"/>
              </w:rPr>
              <w:t xml:space="preserve"> </w:t>
            </w:r>
            <w:r w:rsidRPr="00672405">
              <w:rPr>
                <w:rFonts w:cs="Arial"/>
              </w:rPr>
              <w:t>флатуленция</w:t>
            </w:r>
          </w:p>
        </w:tc>
      </w:tr>
      <w:tr w:rsidR="00672405" w14:paraId="26ED0945" w14:textId="77777777" w:rsidTr="00A30F5A">
        <w:tc>
          <w:tcPr>
            <w:tcW w:w="4750" w:type="dxa"/>
            <w:vAlign w:val="center"/>
          </w:tcPr>
          <w:p w14:paraId="73F3BF93" w14:textId="45DB42A6" w:rsidR="00672405" w:rsidRPr="00672405" w:rsidRDefault="00672405" w:rsidP="00672405">
            <w:pPr>
              <w:rPr>
                <w:rFonts w:cs="Arial"/>
              </w:rPr>
            </w:pPr>
            <w:r w:rsidRPr="00672405">
              <w:rPr>
                <w:rFonts w:cs="Arial"/>
              </w:rPr>
              <w:t>нечести</w:t>
            </w:r>
          </w:p>
        </w:tc>
        <w:tc>
          <w:tcPr>
            <w:tcW w:w="4750" w:type="dxa"/>
            <w:vAlign w:val="bottom"/>
          </w:tcPr>
          <w:p w14:paraId="69095ACB" w14:textId="7FDF3ABE" w:rsidR="00672405" w:rsidRPr="00672405" w:rsidRDefault="00672405" w:rsidP="00672405">
            <w:pPr>
              <w:rPr>
                <w:rFonts w:cs="Arial"/>
              </w:rPr>
            </w:pPr>
            <w:r w:rsidRPr="00672405">
              <w:rPr>
                <w:rFonts w:cs="Arial"/>
              </w:rPr>
              <w:t>диспепсия, гастроезофагеална рефлуксна болест, гадене, повръщане, сухота в устата, гастрит</w:t>
            </w:r>
          </w:p>
        </w:tc>
      </w:tr>
      <w:tr w:rsidR="00672405" w14:paraId="5D373175" w14:textId="77777777" w:rsidTr="00A30F5A">
        <w:tc>
          <w:tcPr>
            <w:tcW w:w="4750" w:type="dxa"/>
            <w:vAlign w:val="center"/>
          </w:tcPr>
          <w:p w14:paraId="6E8968A4" w14:textId="67EEB6D9" w:rsidR="00672405" w:rsidRPr="00672405" w:rsidRDefault="00672405" w:rsidP="00672405">
            <w:pPr>
              <w:rPr>
                <w:rFonts w:cs="Arial"/>
              </w:rPr>
            </w:pPr>
            <w:r w:rsidRPr="00672405">
              <w:rPr>
                <w:rFonts w:cs="Arial"/>
              </w:rPr>
              <w:t>с неизвестна честота</w:t>
            </w:r>
          </w:p>
        </w:tc>
        <w:tc>
          <w:tcPr>
            <w:tcW w:w="4750" w:type="dxa"/>
            <w:vAlign w:val="center"/>
          </w:tcPr>
          <w:p w14:paraId="28804DD8" w14:textId="4BE99326" w:rsidR="00672405" w:rsidRPr="00672405" w:rsidRDefault="00672405" w:rsidP="00672405">
            <w:pPr>
              <w:rPr>
                <w:rFonts w:cs="Arial"/>
              </w:rPr>
            </w:pPr>
            <w:r w:rsidRPr="00672405">
              <w:rPr>
                <w:rFonts w:cs="Arial"/>
              </w:rPr>
              <w:t>панкреатит, запек</w:t>
            </w:r>
          </w:p>
        </w:tc>
      </w:tr>
      <w:tr w:rsidR="00672405" w14:paraId="257C8A8D" w14:textId="77777777" w:rsidTr="00A30F5A">
        <w:tc>
          <w:tcPr>
            <w:tcW w:w="9500" w:type="dxa"/>
            <w:gridSpan w:val="2"/>
            <w:vAlign w:val="bottom"/>
          </w:tcPr>
          <w:p w14:paraId="770F6AAE" w14:textId="3A4578B2" w:rsidR="00672405" w:rsidRPr="00672405" w:rsidRDefault="00672405" w:rsidP="00672405">
            <w:pPr>
              <w:rPr>
                <w:rFonts w:cs="Arial"/>
              </w:rPr>
            </w:pPr>
            <w:r w:rsidRPr="00672405">
              <w:rPr>
                <w:rFonts w:cs="Arial"/>
                <w:b/>
                <w:bCs/>
              </w:rPr>
              <w:t>Хепятобилнарни нарушения</w:t>
            </w:r>
          </w:p>
        </w:tc>
      </w:tr>
      <w:tr w:rsidR="00672405" w14:paraId="03085D0E" w14:textId="77777777" w:rsidTr="00A30F5A">
        <w:tc>
          <w:tcPr>
            <w:tcW w:w="4750" w:type="dxa"/>
            <w:vAlign w:val="center"/>
          </w:tcPr>
          <w:p w14:paraId="35DC0815" w14:textId="6C0A831E" w:rsidR="00672405" w:rsidRPr="00672405" w:rsidRDefault="00672405" w:rsidP="00672405">
            <w:pPr>
              <w:rPr>
                <w:rFonts w:cs="Arial"/>
              </w:rPr>
            </w:pPr>
            <w:r w:rsidRPr="00672405">
              <w:rPr>
                <w:rFonts w:cs="Arial"/>
              </w:rPr>
              <w:t>с неизвестна честота</w:t>
            </w:r>
          </w:p>
        </w:tc>
        <w:tc>
          <w:tcPr>
            <w:tcW w:w="4750" w:type="dxa"/>
            <w:vAlign w:val="center"/>
          </w:tcPr>
          <w:p w14:paraId="552EE4B2" w14:textId="6A5507CA" w:rsidR="00672405" w:rsidRPr="00672405" w:rsidRDefault="00672405" w:rsidP="00672405">
            <w:pPr>
              <w:rPr>
                <w:rFonts w:cs="Arial"/>
              </w:rPr>
            </w:pPr>
            <w:r w:rsidRPr="00672405">
              <w:rPr>
                <w:rFonts w:cs="Arial"/>
              </w:rPr>
              <w:t>хепатит, холелитиаза, холецистит</w:t>
            </w:r>
          </w:p>
        </w:tc>
      </w:tr>
      <w:tr w:rsidR="00672405" w14:paraId="00818605" w14:textId="77777777" w:rsidTr="00A30F5A">
        <w:tc>
          <w:tcPr>
            <w:tcW w:w="9500" w:type="dxa"/>
            <w:gridSpan w:val="2"/>
            <w:vAlign w:val="bottom"/>
          </w:tcPr>
          <w:p w14:paraId="12CDE972" w14:textId="7FACE0AE" w:rsidR="00672405" w:rsidRPr="00672405" w:rsidRDefault="00672405" w:rsidP="00672405">
            <w:pPr>
              <w:rPr>
                <w:rFonts w:cs="Arial"/>
              </w:rPr>
            </w:pPr>
            <w:r w:rsidRPr="00672405">
              <w:rPr>
                <w:rFonts w:cs="Arial"/>
                <w:b/>
                <w:bCs/>
              </w:rPr>
              <w:t>Нарушения на кожата и подкожната тъкан</w:t>
            </w:r>
          </w:p>
        </w:tc>
      </w:tr>
      <w:tr w:rsidR="00672405" w14:paraId="5F776DD7" w14:textId="77777777" w:rsidTr="00A30F5A">
        <w:tc>
          <w:tcPr>
            <w:tcW w:w="4750" w:type="dxa"/>
            <w:vAlign w:val="center"/>
          </w:tcPr>
          <w:p w14:paraId="03FF2BDC" w14:textId="5CD1182B" w:rsidR="00672405" w:rsidRPr="00672405" w:rsidRDefault="00672405" w:rsidP="00672405">
            <w:pPr>
              <w:rPr>
                <w:rFonts w:cs="Arial"/>
              </w:rPr>
            </w:pPr>
            <w:r w:rsidRPr="00672405">
              <w:rPr>
                <w:rFonts w:cs="Arial"/>
              </w:rPr>
              <w:t>нечести</w:t>
            </w:r>
          </w:p>
        </w:tc>
        <w:tc>
          <w:tcPr>
            <w:tcW w:w="4750" w:type="dxa"/>
            <w:vAlign w:val="center"/>
          </w:tcPr>
          <w:p w14:paraId="6F4259AE" w14:textId="5C992361" w:rsidR="00672405" w:rsidRPr="00672405" w:rsidRDefault="00672405" w:rsidP="00672405">
            <w:pPr>
              <w:rPr>
                <w:rFonts w:cs="Arial"/>
              </w:rPr>
            </w:pPr>
            <w:r w:rsidRPr="00672405">
              <w:rPr>
                <w:rFonts w:cs="Arial"/>
              </w:rPr>
              <w:t>пруритус, обрив, уртикария</w:t>
            </w:r>
          </w:p>
        </w:tc>
      </w:tr>
      <w:tr w:rsidR="00672405" w14:paraId="6DD10872" w14:textId="77777777" w:rsidTr="00A30F5A">
        <w:tc>
          <w:tcPr>
            <w:tcW w:w="4750" w:type="dxa"/>
            <w:vAlign w:val="center"/>
          </w:tcPr>
          <w:p w14:paraId="03BDB4D7" w14:textId="79EF2071" w:rsidR="00672405" w:rsidRPr="00672405" w:rsidRDefault="00672405" w:rsidP="00672405">
            <w:pPr>
              <w:rPr>
                <w:rFonts w:cs="Arial"/>
              </w:rPr>
            </w:pPr>
            <w:r w:rsidRPr="00672405">
              <w:rPr>
                <w:rFonts w:cs="Arial"/>
              </w:rPr>
              <w:t>с неизвестна честота</w:t>
            </w:r>
          </w:p>
        </w:tc>
        <w:tc>
          <w:tcPr>
            <w:tcW w:w="4750" w:type="dxa"/>
            <w:vAlign w:val="center"/>
          </w:tcPr>
          <w:p w14:paraId="1FCF4684" w14:textId="65BC97F1" w:rsidR="00672405" w:rsidRPr="00672405" w:rsidRDefault="00672405" w:rsidP="00672405">
            <w:pPr>
              <w:rPr>
                <w:rFonts w:cs="Arial"/>
              </w:rPr>
            </w:pPr>
            <w:r w:rsidRPr="00672405">
              <w:rPr>
                <w:rFonts w:cs="Arial"/>
              </w:rPr>
              <w:t>еритема мултиформе</w:t>
            </w:r>
          </w:p>
        </w:tc>
      </w:tr>
      <w:tr w:rsidR="00672405" w14:paraId="14B36EB2" w14:textId="77777777" w:rsidTr="00A30F5A">
        <w:tc>
          <w:tcPr>
            <w:tcW w:w="9500" w:type="dxa"/>
            <w:gridSpan w:val="2"/>
          </w:tcPr>
          <w:p w14:paraId="702348F9" w14:textId="4A1B9A67" w:rsidR="00672405" w:rsidRPr="00672405" w:rsidRDefault="00672405" w:rsidP="0091385D">
            <w:pPr>
              <w:rPr>
                <w:rFonts w:cs="Arial"/>
              </w:rPr>
            </w:pPr>
            <w:r w:rsidRPr="00672405">
              <w:rPr>
                <w:rFonts w:cs="Arial"/>
                <w:b/>
                <w:bCs/>
              </w:rPr>
              <w:t xml:space="preserve">Нарушения иа мускулно-скелетната система </w:t>
            </w:r>
            <w:r w:rsidRPr="00672405">
              <w:rPr>
                <w:rFonts w:cs="Arial"/>
                <w:b/>
                <w:bCs/>
                <w:iCs/>
              </w:rPr>
              <w:t>и</w:t>
            </w:r>
            <w:r w:rsidRPr="00672405">
              <w:rPr>
                <w:rFonts w:cs="Arial"/>
                <w:b/>
                <w:bCs/>
              </w:rPr>
              <w:t xml:space="preserve"> на съединителната тъкан</w:t>
            </w:r>
          </w:p>
        </w:tc>
      </w:tr>
      <w:tr w:rsidR="00672405" w14:paraId="7924C7B6" w14:textId="77777777" w:rsidTr="00A30F5A">
        <w:tc>
          <w:tcPr>
            <w:tcW w:w="4750" w:type="dxa"/>
            <w:vAlign w:val="center"/>
          </w:tcPr>
          <w:p w14:paraId="42AA6E6B" w14:textId="33FDFDAA" w:rsidR="00672405" w:rsidRPr="00672405" w:rsidRDefault="00672405" w:rsidP="00672405">
            <w:pPr>
              <w:rPr>
                <w:rFonts w:cs="Arial"/>
              </w:rPr>
            </w:pPr>
            <w:r w:rsidRPr="00672405">
              <w:rPr>
                <w:rFonts w:cs="Arial"/>
              </w:rPr>
              <w:t>чести</w:t>
            </w:r>
          </w:p>
        </w:tc>
        <w:tc>
          <w:tcPr>
            <w:tcW w:w="4750" w:type="dxa"/>
            <w:vAlign w:val="center"/>
          </w:tcPr>
          <w:p w14:paraId="1F5ACADA" w14:textId="31F927B1" w:rsidR="00672405" w:rsidRPr="00672405" w:rsidRDefault="00672405" w:rsidP="00672405">
            <w:pPr>
              <w:rPr>
                <w:rFonts w:cs="Arial"/>
              </w:rPr>
            </w:pPr>
            <w:r w:rsidRPr="00672405">
              <w:rPr>
                <w:rFonts w:cs="Arial"/>
              </w:rPr>
              <w:t>миалгия</w:t>
            </w:r>
          </w:p>
        </w:tc>
      </w:tr>
      <w:tr w:rsidR="00672405" w14:paraId="7E34D204" w14:textId="77777777" w:rsidTr="00A30F5A">
        <w:tc>
          <w:tcPr>
            <w:tcW w:w="4750" w:type="dxa"/>
          </w:tcPr>
          <w:p w14:paraId="130E8C01" w14:textId="3E748F56" w:rsidR="00672405" w:rsidRPr="00672405" w:rsidRDefault="00672405" w:rsidP="00672405">
            <w:pPr>
              <w:rPr>
                <w:rFonts w:cs="Arial"/>
              </w:rPr>
            </w:pPr>
            <w:r w:rsidRPr="00672405">
              <w:rPr>
                <w:rFonts w:cs="Arial"/>
              </w:rPr>
              <w:t>нечести</w:t>
            </w:r>
          </w:p>
        </w:tc>
        <w:tc>
          <w:tcPr>
            <w:tcW w:w="4750" w:type="dxa"/>
            <w:vAlign w:val="bottom"/>
          </w:tcPr>
          <w:p w14:paraId="301DB1A5" w14:textId="18ABAE83" w:rsidR="00672405" w:rsidRPr="00672405" w:rsidRDefault="00672405" w:rsidP="00672405">
            <w:pPr>
              <w:rPr>
                <w:rFonts w:cs="Arial"/>
              </w:rPr>
            </w:pPr>
            <w:r w:rsidRPr="00672405">
              <w:rPr>
                <w:rFonts w:cs="Arial"/>
              </w:rPr>
              <w:t>артралгия, мускулни спазми, болка във врата, болка в грьба, мускулна слабост, болка в крайниците</w:t>
            </w:r>
          </w:p>
        </w:tc>
      </w:tr>
      <w:tr w:rsidR="00672405" w14:paraId="37F3076F" w14:textId="77777777" w:rsidTr="00A30F5A">
        <w:tc>
          <w:tcPr>
            <w:tcW w:w="4750" w:type="dxa"/>
            <w:vAlign w:val="center"/>
          </w:tcPr>
          <w:p w14:paraId="4B69E3CE" w14:textId="0D528A05" w:rsidR="00672405" w:rsidRPr="00672405" w:rsidRDefault="00672405" w:rsidP="00672405">
            <w:pPr>
              <w:rPr>
                <w:rFonts w:cs="Arial"/>
              </w:rPr>
            </w:pPr>
            <w:r w:rsidRPr="00672405">
              <w:rPr>
                <w:rFonts w:cs="Arial"/>
              </w:rPr>
              <w:t>с неизвестна честота</w:t>
            </w:r>
          </w:p>
        </w:tc>
        <w:tc>
          <w:tcPr>
            <w:tcW w:w="4750" w:type="dxa"/>
            <w:vAlign w:val="center"/>
          </w:tcPr>
          <w:p w14:paraId="38553585" w14:textId="32859EA9" w:rsidR="00672405" w:rsidRPr="00672405" w:rsidRDefault="00672405" w:rsidP="00672405">
            <w:pPr>
              <w:rPr>
                <w:rFonts w:cs="Arial"/>
              </w:rPr>
            </w:pPr>
            <w:r w:rsidRPr="00672405">
              <w:rPr>
                <w:rFonts w:cs="Arial"/>
              </w:rPr>
              <w:t>миопатия/рабдомиолиза (вж. точка 4.4)</w:t>
            </w:r>
          </w:p>
        </w:tc>
      </w:tr>
      <w:tr w:rsidR="00672405" w14:paraId="6D3074B7" w14:textId="77777777" w:rsidTr="00A30F5A">
        <w:tc>
          <w:tcPr>
            <w:tcW w:w="9500" w:type="dxa"/>
            <w:gridSpan w:val="2"/>
          </w:tcPr>
          <w:p w14:paraId="65EDC1CB" w14:textId="26E9ABC0" w:rsidR="00672405" w:rsidRPr="00672405" w:rsidRDefault="00672405" w:rsidP="0091385D">
            <w:pPr>
              <w:rPr>
                <w:rFonts w:cs="Arial"/>
              </w:rPr>
            </w:pPr>
            <w:r w:rsidRPr="00672405">
              <w:rPr>
                <w:rFonts w:cs="Arial"/>
                <w:b/>
                <w:bCs/>
              </w:rPr>
              <w:t>Изследвания</w:t>
            </w:r>
          </w:p>
        </w:tc>
      </w:tr>
      <w:tr w:rsidR="00672405" w14:paraId="150252D2" w14:textId="77777777" w:rsidTr="00A30F5A">
        <w:tc>
          <w:tcPr>
            <w:tcW w:w="4750" w:type="dxa"/>
            <w:vAlign w:val="center"/>
          </w:tcPr>
          <w:p w14:paraId="76FA9254" w14:textId="4083D914" w:rsidR="00672405" w:rsidRPr="00672405" w:rsidRDefault="00672405" w:rsidP="00672405">
            <w:pPr>
              <w:rPr>
                <w:rFonts w:cs="Arial"/>
              </w:rPr>
            </w:pPr>
            <w:r w:rsidRPr="00672405">
              <w:rPr>
                <w:rFonts w:cs="Arial"/>
              </w:rPr>
              <w:t>чести</w:t>
            </w:r>
          </w:p>
        </w:tc>
        <w:tc>
          <w:tcPr>
            <w:tcW w:w="4750" w:type="dxa"/>
            <w:vAlign w:val="center"/>
          </w:tcPr>
          <w:p w14:paraId="05CC987B" w14:textId="1D2BBDB1" w:rsidR="00672405" w:rsidRPr="00672405" w:rsidRDefault="00672405" w:rsidP="00672405">
            <w:pPr>
              <w:rPr>
                <w:rFonts w:cs="Arial"/>
              </w:rPr>
            </w:pPr>
            <w:r w:rsidRPr="00672405">
              <w:rPr>
                <w:rFonts w:cs="Arial"/>
              </w:rPr>
              <w:t>умора</w:t>
            </w:r>
          </w:p>
        </w:tc>
      </w:tr>
      <w:tr w:rsidR="00672405" w14:paraId="0E3D5288" w14:textId="77777777" w:rsidTr="00A30F5A">
        <w:tc>
          <w:tcPr>
            <w:tcW w:w="4750" w:type="dxa"/>
          </w:tcPr>
          <w:p w14:paraId="152FF53E" w14:textId="3218F895" w:rsidR="00672405" w:rsidRPr="00672405" w:rsidRDefault="00672405" w:rsidP="00672405">
            <w:pPr>
              <w:rPr>
                <w:rFonts w:cs="Arial"/>
              </w:rPr>
            </w:pPr>
            <w:r w:rsidRPr="00672405">
              <w:rPr>
                <w:rFonts w:cs="Arial"/>
              </w:rPr>
              <w:t>нечести</w:t>
            </w:r>
          </w:p>
        </w:tc>
        <w:tc>
          <w:tcPr>
            <w:tcW w:w="4750" w:type="dxa"/>
            <w:vAlign w:val="center"/>
          </w:tcPr>
          <w:p w14:paraId="6BE012C7" w14:textId="03053856" w:rsidR="00672405" w:rsidRPr="00672405" w:rsidRDefault="00672405" w:rsidP="00672405">
            <w:pPr>
              <w:rPr>
                <w:rFonts w:cs="Arial"/>
              </w:rPr>
            </w:pPr>
            <w:r w:rsidRPr="00672405">
              <w:rPr>
                <w:rFonts w:cs="Arial"/>
              </w:rPr>
              <w:t>болка в гърдите, болка, астения, периферен оток</w:t>
            </w:r>
          </w:p>
        </w:tc>
      </w:tr>
      <w:tr w:rsidR="00672405" w14:paraId="64376AE4" w14:textId="77777777" w:rsidTr="00A30F5A">
        <w:tc>
          <w:tcPr>
            <w:tcW w:w="9500" w:type="dxa"/>
            <w:gridSpan w:val="2"/>
          </w:tcPr>
          <w:p w14:paraId="047DABE0" w14:textId="06D13B2E" w:rsidR="00672405" w:rsidRPr="00672405" w:rsidRDefault="00672405" w:rsidP="0091385D">
            <w:pPr>
              <w:rPr>
                <w:rFonts w:cs="Arial"/>
              </w:rPr>
            </w:pPr>
            <w:r w:rsidRPr="00672405">
              <w:rPr>
                <w:rFonts w:cs="Arial"/>
                <w:b/>
                <w:bCs/>
              </w:rPr>
              <w:t>Общи нарушения и ефекти на мястото на приложение</w:t>
            </w:r>
          </w:p>
        </w:tc>
      </w:tr>
      <w:tr w:rsidR="00672405" w14:paraId="4BF7F1EB" w14:textId="77777777" w:rsidTr="00A30F5A">
        <w:tc>
          <w:tcPr>
            <w:tcW w:w="4750" w:type="dxa"/>
            <w:vAlign w:val="center"/>
          </w:tcPr>
          <w:p w14:paraId="3D0CA7B6" w14:textId="4AAEB84D" w:rsidR="00672405" w:rsidRPr="00672405" w:rsidRDefault="00672405" w:rsidP="00672405">
            <w:pPr>
              <w:rPr>
                <w:rFonts w:cs="Arial"/>
              </w:rPr>
            </w:pPr>
            <w:r w:rsidRPr="00672405">
              <w:rPr>
                <w:rFonts w:cs="Arial"/>
              </w:rPr>
              <w:t>чести</w:t>
            </w:r>
          </w:p>
        </w:tc>
        <w:tc>
          <w:tcPr>
            <w:tcW w:w="4750" w:type="dxa"/>
            <w:vAlign w:val="center"/>
          </w:tcPr>
          <w:p w14:paraId="298AC6C3" w14:textId="2BE12CAD" w:rsidR="00672405" w:rsidRPr="00672405" w:rsidRDefault="00672405" w:rsidP="00672405">
            <w:pPr>
              <w:rPr>
                <w:rFonts w:cs="Arial"/>
              </w:rPr>
            </w:pPr>
            <w:r w:rsidRPr="00672405">
              <w:rPr>
                <w:rFonts w:cs="Arial"/>
              </w:rPr>
              <w:t xml:space="preserve">повишен </w:t>
            </w:r>
            <w:r w:rsidRPr="00672405">
              <w:rPr>
                <w:rFonts w:cs="Arial"/>
                <w:lang w:val="en-US"/>
              </w:rPr>
              <w:t xml:space="preserve">ALT </w:t>
            </w:r>
            <w:r w:rsidRPr="00672405">
              <w:rPr>
                <w:rFonts w:cs="Arial"/>
              </w:rPr>
              <w:t xml:space="preserve">и/или </w:t>
            </w:r>
            <w:r w:rsidRPr="00672405">
              <w:rPr>
                <w:rFonts w:cs="Arial"/>
                <w:lang w:val="en-US"/>
              </w:rPr>
              <w:t>AST</w:t>
            </w:r>
          </w:p>
        </w:tc>
      </w:tr>
      <w:tr w:rsidR="00672405" w14:paraId="403D770E" w14:textId="77777777" w:rsidTr="00A30F5A">
        <w:tc>
          <w:tcPr>
            <w:tcW w:w="4750" w:type="dxa"/>
          </w:tcPr>
          <w:p w14:paraId="02089E5D" w14:textId="787BC65B" w:rsidR="00672405" w:rsidRPr="00672405" w:rsidRDefault="00672405" w:rsidP="00672405">
            <w:pPr>
              <w:rPr>
                <w:rFonts w:cs="Arial"/>
              </w:rPr>
            </w:pPr>
            <w:r w:rsidRPr="00672405">
              <w:rPr>
                <w:rFonts w:cs="Arial"/>
              </w:rPr>
              <w:t>нечести</w:t>
            </w:r>
          </w:p>
        </w:tc>
        <w:tc>
          <w:tcPr>
            <w:tcW w:w="4750" w:type="dxa"/>
            <w:vAlign w:val="center"/>
          </w:tcPr>
          <w:p w14:paraId="3F758546" w14:textId="77777777" w:rsidR="00672405" w:rsidRPr="00672405" w:rsidRDefault="00672405" w:rsidP="00672405">
            <w:pPr>
              <w:rPr>
                <w:rFonts w:cs="Arial"/>
              </w:rPr>
            </w:pPr>
            <w:r w:rsidRPr="00672405">
              <w:rPr>
                <w:rFonts w:cs="Arial"/>
              </w:rPr>
              <w:t>повишена СРК в кръвта; повишена гамаглутамилтрансфераза; отклонения в изследванията, отразяващи чернодробната</w:t>
            </w:r>
          </w:p>
          <w:p w14:paraId="1FB00F08" w14:textId="1A869DC8" w:rsidR="00672405" w:rsidRPr="00672405" w:rsidRDefault="00672405" w:rsidP="00672405">
            <w:pPr>
              <w:rPr>
                <w:rFonts w:cs="Arial"/>
              </w:rPr>
            </w:pPr>
            <w:r w:rsidRPr="00672405">
              <w:rPr>
                <w:rFonts w:cs="Arial"/>
              </w:rPr>
              <w:t>функция</w:t>
            </w:r>
          </w:p>
        </w:tc>
      </w:tr>
    </w:tbl>
    <w:p w14:paraId="2A104B78" w14:textId="23959A3D" w:rsidR="00843133" w:rsidRDefault="00843133" w:rsidP="0091385D"/>
    <w:p w14:paraId="2D2E214C"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Езетимиб, </w:t>
      </w:r>
      <w:r w:rsidRPr="00672405">
        <w:rPr>
          <w:rFonts w:eastAsia="Times New Roman" w:cs="Arial"/>
          <w:i/>
          <w:iCs/>
          <w:color w:val="000000"/>
          <w:lang w:eastAsia="bg-BG"/>
        </w:rPr>
        <w:t xml:space="preserve">приложен едновременно с фенофибрат: </w:t>
      </w:r>
      <w:r w:rsidRPr="00672405">
        <w:rPr>
          <w:rFonts w:eastAsia="Times New Roman" w:cs="Arial"/>
          <w:color w:val="000000"/>
          <w:lang w:eastAsia="bg-BG"/>
        </w:rPr>
        <w:t>Стомашно-чревни нарушения: коремна болка (често).</w:t>
      </w:r>
    </w:p>
    <w:p w14:paraId="5DC03547"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многоцентрово, двойно-сляпо, плацебо-контролирано клинично проучване при пациенти с смесена хиперлипидемия, 625 пациенти са лекувани в продължение на до 12 седмици и 576 пациенти за период до 1 година. В това проучване, 172 пациенти, лекувани с езетимиб и фенофибрат са завършили 12-седмичния курс на лечение, и 230 пациенти, лекувани с езетимиб и фенофибрат (включително 109, които са провели монотерапия с езетимиб през първите 12 седмици) са завършили едногодишната терапия. Това проучване не е предназначено да сравнява лекуваните групи относно редки събития. Честотата на случаите (95% </w:t>
      </w:r>
      <w:r w:rsidRPr="00672405">
        <w:rPr>
          <w:rFonts w:eastAsia="Times New Roman" w:cs="Arial"/>
          <w:color w:val="000000"/>
          <w:lang w:val="en-US"/>
        </w:rPr>
        <w:t xml:space="preserve">CI) </w:t>
      </w:r>
      <w:r w:rsidRPr="00672405">
        <w:rPr>
          <w:rFonts w:eastAsia="Times New Roman" w:cs="Arial"/>
          <w:color w:val="000000"/>
          <w:lang w:eastAsia="bg-BG"/>
        </w:rPr>
        <w:t xml:space="preserve">на клинично значимо повишение (&gt; 3 пъти </w:t>
      </w:r>
      <w:r w:rsidRPr="00672405">
        <w:rPr>
          <w:rFonts w:eastAsia="Times New Roman" w:cs="Arial"/>
          <w:color w:val="000000"/>
          <w:lang w:val="en-US"/>
        </w:rPr>
        <w:t xml:space="preserve">ULN, </w:t>
      </w:r>
      <w:r w:rsidRPr="00672405">
        <w:rPr>
          <w:rFonts w:eastAsia="Times New Roman" w:cs="Arial"/>
          <w:color w:val="000000"/>
          <w:lang w:eastAsia="bg-BG"/>
        </w:rPr>
        <w:t>последователно) на серумните трансаминази е 4,5% (1,9; 8,8) и 2,7% (1,2; 5,4) съответно при монотерапия с фенофибрат и за езетимиб, приложен заедно с фенофибрат, адаптирани спрямо експозиция на лечение. Съответните проценти на холецистектомия са 0,6% (0,0; 3,1) при монотерапия с фенофибрат и респективно</w:t>
      </w:r>
    </w:p>
    <w:p w14:paraId="31C8C860"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1,7% (0,6; 4,0) за езетимиб, прилаган съвместно с фенофибрат (вж. точки 4.4 и 4.5).</w:t>
      </w:r>
    </w:p>
    <w:p w14:paraId="3CDB5CCC" w14:textId="77777777" w:rsidR="00672405" w:rsidRPr="00672405" w:rsidRDefault="00672405" w:rsidP="00672405">
      <w:pPr>
        <w:spacing w:line="240" w:lineRule="auto"/>
        <w:rPr>
          <w:rFonts w:eastAsia="Times New Roman" w:cs="Arial"/>
          <w:i/>
          <w:iCs/>
          <w:color w:val="000000"/>
          <w:lang w:eastAsia="bg-BG"/>
        </w:rPr>
      </w:pPr>
    </w:p>
    <w:p w14:paraId="7EBBCDB5" w14:textId="084E3F34" w:rsidR="00672405" w:rsidRPr="00672405" w:rsidRDefault="00672405" w:rsidP="00672405">
      <w:pPr>
        <w:spacing w:line="240" w:lineRule="auto"/>
        <w:rPr>
          <w:rFonts w:eastAsia="Times New Roman" w:cs="Arial"/>
          <w:sz w:val="24"/>
          <w:szCs w:val="24"/>
          <w:lang w:eastAsia="bg-BG"/>
        </w:rPr>
      </w:pPr>
      <w:r w:rsidRPr="00672405">
        <w:rPr>
          <w:rFonts w:eastAsia="Times New Roman" w:cs="Arial"/>
          <w:i/>
          <w:iCs/>
          <w:color w:val="000000"/>
          <w:lang w:eastAsia="bg-BG"/>
        </w:rPr>
        <w:t>Педиатрична популация (6 до 17-годишна възраст)</w:t>
      </w:r>
    </w:p>
    <w:p w14:paraId="31EB8111" w14:textId="77777777" w:rsidR="00672405" w:rsidRPr="00672405" w:rsidRDefault="00672405" w:rsidP="00672405">
      <w:pPr>
        <w:rPr>
          <w:rFonts w:eastAsia="Times New Roman" w:cs="Arial"/>
          <w:sz w:val="24"/>
          <w:szCs w:val="24"/>
          <w:lang w:eastAsia="bg-BG"/>
        </w:rPr>
      </w:pPr>
      <w:r w:rsidRPr="00672405">
        <w:rPr>
          <w:rFonts w:eastAsia="Times New Roman" w:cs="Arial"/>
          <w:color w:val="000000"/>
          <w:lang w:eastAsia="bg-BG"/>
        </w:rPr>
        <w:t>В проучване, което включва педиатрични пациенти (от 6 до 10 годишна възраст, пациенти с хетерозиготна фамилна или нефамилна хиперхолестеролемия (</w:t>
      </w:r>
      <w:r w:rsidRPr="00672405">
        <w:rPr>
          <w:rFonts w:eastAsia="Times New Roman" w:cs="Arial"/>
          <w:color w:val="000000"/>
          <w:lang w:val="en-US"/>
        </w:rPr>
        <w:t xml:space="preserve"> n</w:t>
      </w:r>
      <w:r w:rsidRPr="00672405">
        <w:rPr>
          <w:rFonts w:eastAsia="Times New Roman" w:cs="Arial"/>
          <w:color w:val="000000"/>
          <w:lang w:eastAsia="bg-BG"/>
        </w:rPr>
        <w:t xml:space="preserve"> = 138) се</w:t>
      </w:r>
      <w:r w:rsidRPr="00672405">
        <w:rPr>
          <w:rFonts w:eastAsia="Times New Roman" w:cs="Arial"/>
          <w:color w:val="000000"/>
          <w:lang w:val="en-US"/>
        </w:rPr>
        <w:t xml:space="preserve"> </w:t>
      </w:r>
      <w:r w:rsidRPr="00672405">
        <w:rPr>
          <w:rFonts w:eastAsia="Times New Roman" w:cs="Arial"/>
          <w:color w:val="000000"/>
          <w:lang w:eastAsia="bg-BG"/>
        </w:rPr>
        <w:t>наблюдават</w:t>
      </w:r>
      <w:r>
        <w:rPr>
          <w:rFonts w:eastAsia="Times New Roman" w:cs="Arial"/>
          <w:color w:val="000000"/>
          <w:lang w:eastAsia="bg-BG"/>
        </w:rPr>
        <w:t xml:space="preserve"> </w:t>
      </w:r>
      <w:r w:rsidRPr="00672405">
        <w:rPr>
          <w:rFonts w:eastAsia="Times New Roman" w:cs="Arial"/>
          <w:color w:val="000000"/>
          <w:lang w:eastAsia="bg-BG"/>
        </w:rPr>
        <w:t xml:space="preserve">повишени нива на </w:t>
      </w:r>
      <w:r w:rsidRPr="00672405">
        <w:rPr>
          <w:rFonts w:eastAsia="Times New Roman" w:cs="Arial"/>
          <w:color w:val="000000"/>
          <w:lang w:val="en-US"/>
        </w:rPr>
        <w:t xml:space="preserve">ALT </w:t>
      </w:r>
      <w:r w:rsidRPr="00672405">
        <w:rPr>
          <w:rFonts w:eastAsia="Times New Roman" w:cs="Arial"/>
          <w:color w:val="000000"/>
          <w:lang w:eastAsia="bg-BG"/>
        </w:rPr>
        <w:t xml:space="preserve">и/или </w:t>
      </w:r>
      <w:r w:rsidRPr="00672405">
        <w:rPr>
          <w:rFonts w:eastAsia="Times New Roman" w:cs="Arial"/>
          <w:color w:val="000000"/>
          <w:lang w:val="en-US"/>
        </w:rPr>
        <w:t xml:space="preserve">AST </w:t>
      </w:r>
      <w:r w:rsidRPr="00672405">
        <w:rPr>
          <w:rFonts w:eastAsia="Times New Roman" w:cs="Arial"/>
          <w:color w:val="000000"/>
          <w:lang w:eastAsia="bg-BG"/>
        </w:rPr>
        <w:t xml:space="preserve">(≥ 3Х </w:t>
      </w:r>
      <w:r w:rsidRPr="00672405">
        <w:rPr>
          <w:rFonts w:eastAsia="Times New Roman" w:cs="Arial"/>
          <w:color w:val="000000"/>
          <w:lang w:val="en-US"/>
        </w:rPr>
        <w:t xml:space="preserve">ULN, </w:t>
      </w:r>
      <w:r w:rsidRPr="00672405">
        <w:rPr>
          <w:rFonts w:eastAsia="Times New Roman" w:cs="Arial"/>
          <w:color w:val="000000"/>
          <w:lang w:eastAsia="bg-BG"/>
        </w:rPr>
        <w:t xml:space="preserve">последователно) при 1,1% (1 пациент) от </w:t>
      </w:r>
      <w:r w:rsidRPr="00672405">
        <w:rPr>
          <w:rFonts w:eastAsia="Times New Roman" w:cs="Arial"/>
          <w:color w:val="000000"/>
          <w:lang w:eastAsia="bg-BG"/>
        </w:rPr>
        <w:lastRenderedPageBreak/>
        <w:t xml:space="preserve">пациентите на лечение с езетимиб в сравнение с 0% в групата с плацебо. Не се наблюдава повишение на СРК (≥10Х </w:t>
      </w:r>
      <w:r w:rsidRPr="00672405">
        <w:rPr>
          <w:rFonts w:eastAsia="Times New Roman" w:cs="Arial"/>
          <w:color w:val="000000"/>
          <w:lang w:val="en-US"/>
        </w:rPr>
        <w:t xml:space="preserve">ULN). </w:t>
      </w:r>
      <w:r w:rsidRPr="00672405">
        <w:rPr>
          <w:rFonts w:eastAsia="Times New Roman" w:cs="Arial"/>
          <w:color w:val="000000"/>
          <w:lang w:eastAsia="bg-BG"/>
        </w:rPr>
        <w:t>Не се съобщава за случаи на миопатия.</w:t>
      </w:r>
    </w:p>
    <w:p w14:paraId="1BFD8A51" w14:textId="77777777" w:rsidR="00672405" w:rsidRPr="00672405" w:rsidRDefault="00672405" w:rsidP="00672405">
      <w:pPr>
        <w:spacing w:line="240" w:lineRule="auto"/>
        <w:rPr>
          <w:rFonts w:eastAsia="Times New Roman" w:cs="Arial"/>
          <w:color w:val="000000"/>
          <w:lang w:eastAsia="bg-BG"/>
        </w:rPr>
      </w:pPr>
    </w:p>
    <w:p w14:paraId="32C33C1F" w14:textId="37ED0C4C"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В проучване, включващо пациенти в юношеска възраст (от 10 до 17-годишна възраст) с</w:t>
      </w:r>
      <w:r w:rsidRPr="00672405">
        <w:rPr>
          <w:rFonts w:eastAsia="Times New Roman" w:cs="Arial"/>
          <w:i/>
          <w:iCs/>
          <w:color w:val="000000"/>
          <w:lang w:eastAsia="bg-BG"/>
        </w:rPr>
        <w:t xml:space="preserve"> </w:t>
      </w:r>
      <w:r w:rsidRPr="00672405">
        <w:rPr>
          <w:rFonts w:eastAsia="Times New Roman" w:cs="Arial"/>
          <w:color w:val="000000"/>
          <w:lang w:eastAsia="bg-BG"/>
        </w:rPr>
        <w:t>хетерозиготна фамилна хиперхолестеролемия (</w:t>
      </w:r>
      <w:r w:rsidRPr="00672405">
        <w:rPr>
          <w:rFonts w:eastAsia="Times New Roman" w:cs="Arial"/>
          <w:color w:val="000000"/>
          <w:lang w:val="en-US"/>
        </w:rPr>
        <w:t>n</w:t>
      </w:r>
      <w:r w:rsidRPr="00672405">
        <w:rPr>
          <w:rFonts w:eastAsia="Times New Roman" w:cs="Arial"/>
          <w:color w:val="000000"/>
          <w:lang w:eastAsia="bg-BG"/>
        </w:rPr>
        <w:t xml:space="preserve"> = 248), са наблюдавани повишени стойности на </w:t>
      </w:r>
      <w:r w:rsidRPr="00672405">
        <w:rPr>
          <w:rFonts w:eastAsia="Times New Roman" w:cs="Arial"/>
          <w:color w:val="000000"/>
          <w:lang w:val="en-US"/>
        </w:rPr>
        <w:t xml:space="preserve">ALT </w:t>
      </w:r>
      <w:r w:rsidRPr="00672405">
        <w:rPr>
          <w:rFonts w:eastAsia="Times New Roman" w:cs="Arial"/>
          <w:color w:val="000000"/>
          <w:lang w:eastAsia="bg-BG"/>
        </w:rPr>
        <w:t xml:space="preserve">и/или </w:t>
      </w:r>
      <w:r w:rsidRPr="00672405">
        <w:rPr>
          <w:rFonts w:eastAsia="Times New Roman" w:cs="Arial"/>
          <w:color w:val="000000"/>
          <w:lang w:val="en-US"/>
        </w:rPr>
        <w:t xml:space="preserve">AST </w:t>
      </w:r>
      <w:r w:rsidRPr="00672405">
        <w:rPr>
          <w:rFonts w:eastAsia="Times New Roman" w:cs="Arial"/>
          <w:color w:val="000000"/>
          <w:lang w:eastAsia="bg-BG"/>
        </w:rPr>
        <w:t xml:space="preserve">(≥3 X </w:t>
      </w:r>
      <w:r w:rsidRPr="00672405">
        <w:rPr>
          <w:rFonts w:eastAsia="Times New Roman" w:cs="Arial"/>
          <w:color w:val="000000"/>
          <w:lang w:val="en-US"/>
        </w:rPr>
        <w:t xml:space="preserve">ULN, </w:t>
      </w:r>
      <w:r w:rsidRPr="00672405">
        <w:rPr>
          <w:rFonts w:eastAsia="Times New Roman" w:cs="Arial"/>
          <w:color w:val="000000"/>
          <w:lang w:eastAsia="bg-BG"/>
        </w:rPr>
        <w:t xml:space="preserve">последователно) при 3% от пациентите (4 пациенти) на терапия с езетимиб/симвастатин в сравнение с 2% (2 пациенти) от групата на монотерапия със симвастатин; тези цифри са съответно 2% (2-ма пациенти) и 0% за повишаване на СРК (≥ 10 X </w:t>
      </w:r>
      <w:r w:rsidRPr="00672405">
        <w:rPr>
          <w:rFonts w:eastAsia="Times New Roman" w:cs="Arial"/>
          <w:color w:val="000000"/>
          <w:lang w:val="en-US"/>
        </w:rPr>
        <w:t xml:space="preserve">ULN). </w:t>
      </w:r>
      <w:r w:rsidRPr="00672405">
        <w:rPr>
          <w:rFonts w:eastAsia="Times New Roman" w:cs="Arial"/>
          <w:color w:val="000000"/>
          <w:lang w:eastAsia="bg-BG"/>
        </w:rPr>
        <w:t>Не се съобщава за случаи на миопатия, Това проучване не е подходящо за сравнение на редки нежелани лекарствени реакции.</w:t>
      </w:r>
    </w:p>
    <w:p w14:paraId="2FB7C428" w14:textId="77777777" w:rsidR="00672405" w:rsidRPr="00672405" w:rsidRDefault="00672405" w:rsidP="00672405">
      <w:pPr>
        <w:spacing w:line="240" w:lineRule="auto"/>
        <w:rPr>
          <w:rFonts w:eastAsia="Times New Roman" w:cs="Arial"/>
          <w:i/>
          <w:iCs/>
          <w:color w:val="000000"/>
          <w:lang w:eastAsia="bg-BG"/>
        </w:rPr>
      </w:pPr>
    </w:p>
    <w:p w14:paraId="06E64E07" w14:textId="5DBCD156" w:rsidR="00672405" w:rsidRPr="00672405" w:rsidRDefault="00672405" w:rsidP="00672405">
      <w:pPr>
        <w:spacing w:line="240" w:lineRule="auto"/>
        <w:rPr>
          <w:rFonts w:eastAsia="Times New Roman" w:cs="Arial"/>
          <w:sz w:val="24"/>
          <w:szCs w:val="24"/>
          <w:lang w:eastAsia="bg-BG"/>
        </w:rPr>
      </w:pPr>
      <w:r w:rsidRPr="00672405">
        <w:rPr>
          <w:rFonts w:eastAsia="Times New Roman" w:cs="Arial"/>
          <w:i/>
          <w:iCs/>
          <w:color w:val="000000"/>
          <w:lang w:eastAsia="bg-BG"/>
        </w:rPr>
        <w:t xml:space="preserve">Пациенти с исхемична болест на сърцето и анамнеза за </w:t>
      </w:r>
      <w:r w:rsidRPr="00672405">
        <w:rPr>
          <w:rFonts w:eastAsia="Times New Roman" w:cs="Arial"/>
          <w:i/>
          <w:iCs/>
          <w:color w:val="000000"/>
          <w:lang w:val="en-US"/>
        </w:rPr>
        <w:t xml:space="preserve">ACS </w:t>
      </w:r>
      <w:r w:rsidRPr="00672405">
        <w:rPr>
          <w:rFonts w:eastAsia="Times New Roman" w:cs="Arial"/>
          <w:i/>
          <w:iCs/>
          <w:color w:val="000000"/>
          <w:lang w:eastAsia="bg-BG"/>
        </w:rPr>
        <w:t>събития</w:t>
      </w:r>
    </w:p>
    <w:p w14:paraId="4C4C1113"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проучването </w:t>
      </w:r>
      <w:r w:rsidRPr="00672405">
        <w:rPr>
          <w:rFonts w:eastAsia="Times New Roman" w:cs="Arial"/>
          <w:color w:val="000000"/>
          <w:lang w:val="en-US"/>
        </w:rPr>
        <w:t xml:space="preserve">IMPROVE-IT </w:t>
      </w:r>
      <w:r w:rsidRPr="00672405">
        <w:rPr>
          <w:rFonts w:eastAsia="Times New Roman" w:cs="Arial"/>
          <w:color w:val="000000"/>
          <w:lang w:eastAsia="bg-BG"/>
        </w:rPr>
        <w:t xml:space="preserve">(вж. точка 5.1), включващо 18 144 пациенти лекувани или с 10/40 </w:t>
      </w:r>
      <w:r w:rsidRPr="00672405">
        <w:rPr>
          <w:rFonts w:eastAsia="Times New Roman" w:cs="Arial"/>
          <w:color w:val="000000"/>
          <w:lang w:val="en-US"/>
        </w:rPr>
        <w:t xml:space="preserve">mg </w:t>
      </w:r>
      <w:r w:rsidRPr="00672405">
        <w:rPr>
          <w:rFonts w:eastAsia="Times New Roman" w:cs="Arial"/>
          <w:color w:val="000000"/>
          <w:lang w:eastAsia="bg-BG"/>
        </w:rPr>
        <w:t>езетимиб/симвастатин (</w:t>
      </w:r>
      <w:r w:rsidRPr="00672405">
        <w:rPr>
          <w:rFonts w:eastAsia="Times New Roman" w:cs="Arial"/>
          <w:color w:val="000000"/>
          <w:lang w:val="en-US"/>
        </w:rPr>
        <w:t>n</w:t>
      </w:r>
      <w:r w:rsidRPr="00672405">
        <w:rPr>
          <w:rFonts w:eastAsia="Times New Roman" w:cs="Arial"/>
          <w:color w:val="000000"/>
          <w:lang w:eastAsia="bg-BG"/>
        </w:rPr>
        <w:t xml:space="preserve">=9 067, от които 6% са тигри рани до по-висока доза от 10/80 </w:t>
      </w:r>
      <w:r w:rsidRPr="00672405">
        <w:rPr>
          <w:rFonts w:eastAsia="Times New Roman" w:cs="Arial"/>
          <w:color w:val="000000"/>
          <w:lang w:val="en-US"/>
        </w:rPr>
        <w:t xml:space="preserve">mg </w:t>
      </w:r>
      <w:r w:rsidRPr="00672405">
        <w:rPr>
          <w:rFonts w:eastAsia="Times New Roman" w:cs="Arial"/>
          <w:color w:val="000000"/>
          <w:lang w:eastAsia="bg-BG"/>
        </w:rPr>
        <w:t xml:space="preserve">езетимиб/симвастатин) или с 40 </w:t>
      </w:r>
      <w:r w:rsidRPr="00672405">
        <w:rPr>
          <w:rFonts w:eastAsia="Times New Roman" w:cs="Arial"/>
          <w:color w:val="000000"/>
          <w:lang w:val="en-US"/>
        </w:rPr>
        <w:t xml:space="preserve">mg </w:t>
      </w:r>
      <w:r w:rsidRPr="00672405">
        <w:rPr>
          <w:rFonts w:eastAsia="Times New Roman" w:cs="Arial"/>
          <w:color w:val="000000"/>
          <w:lang w:eastAsia="bg-BG"/>
        </w:rPr>
        <w:t>симвастатин (</w:t>
      </w:r>
      <w:r w:rsidRPr="00672405">
        <w:rPr>
          <w:rFonts w:eastAsia="Times New Roman" w:cs="Arial"/>
          <w:color w:val="000000"/>
          <w:lang w:val="en-US"/>
        </w:rPr>
        <w:t>n</w:t>
      </w:r>
      <w:r w:rsidRPr="00672405">
        <w:rPr>
          <w:rFonts w:eastAsia="Times New Roman" w:cs="Arial"/>
          <w:color w:val="000000"/>
          <w:lang w:eastAsia="bg-BG"/>
        </w:rPr>
        <w:t xml:space="preserve">=9 077, от които 27% са титрирани до 80 </w:t>
      </w:r>
      <w:r w:rsidRPr="00672405">
        <w:rPr>
          <w:rFonts w:eastAsia="Times New Roman" w:cs="Arial"/>
          <w:color w:val="000000"/>
          <w:lang w:val="en-US"/>
        </w:rPr>
        <w:t xml:space="preserve">mg </w:t>
      </w:r>
      <w:r w:rsidRPr="00672405">
        <w:rPr>
          <w:rFonts w:eastAsia="Times New Roman" w:cs="Arial"/>
          <w:color w:val="000000"/>
          <w:lang w:eastAsia="bg-BG"/>
        </w:rPr>
        <w:t>симвастатин), профилите на безопасност са подобни при медиана на проследяване от 6,0 години. Процентът на прекъсналите лечението поради нежелани лекарствени реакции е 10,6% при пациентите, лекувани с езетимиб/симвастатин и 10,1% при пациентите, лекувани със симвастатин. Честотата на миопатия е 0,2% за езетимиб/симвастатин и 0,1% за симвастатин, където миопатията е определена като необяснима мускулна слабост или болка със серумна СК</w:t>
      </w:r>
    </w:p>
    <w:p w14:paraId="1D37D807"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≥10 пъти </w:t>
      </w:r>
      <w:r w:rsidRPr="00672405">
        <w:rPr>
          <w:rFonts w:eastAsia="Times New Roman" w:cs="Arial"/>
          <w:color w:val="000000"/>
          <w:lang w:val="en-US"/>
        </w:rPr>
        <w:t xml:space="preserve">ULN </w:t>
      </w:r>
      <w:r w:rsidRPr="00672405">
        <w:rPr>
          <w:rFonts w:eastAsia="Times New Roman" w:cs="Arial"/>
          <w:color w:val="000000"/>
          <w:lang w:eastAsia="bg-BG"/>
        </w:rPr>
        <w:t>или две последователни наблюдения на СК ≥</w:t>
      </w:r>
      <w:r w:rsidRPr="00672405">
        <w:rPr>
          <w:rFonts w:eastAsia="Times New Roman" w:cs="Arial"/>
          <w:color w:val="000000"/>
          <w:lang w:val="en-US"/>
        </w:rPr>
        <w:t xml:space="preserve"> </w:t>
      </w:r>
      <w:r w:rsidRPr="00672405">
        <w:rPr>
          <w:rFonts w:eastAsia="Times New Roman" w:cs="Arial"/>
          <w:color w:val="000000"/>
          <w:lang w:eastAsia="bg-BG"/>
        </w:rPr>
        <w:t xml:space="preserve">5 и &lt;10 пъти </w:t>
      </w:r>
      <w:r w:rsidRPr="00672405">
        <w:rPr>
          <w:rFonts w:eastAsia="Times New Roman" w:cs="Arial"/>
          <w:color w:val="000000"/>
          <w:lang w:val="en-US"/>
        </w:rPr>
        <w:t xml:space="preserve">ULN. </w:t>
      </w:r>
      <w:r w:rsidRPr="00672405">
        <w:rPr>
          <w:rFonts w:eastAsia="Times New Roman" w:cs="Arial"/>
          <w:color w:val="000000"/>
          <w:lang w:eastAsia="bg-BG"/>
        </w:rPr>
        <w:t xml:space="preserve">Честотата на рабдомиолиза е 0,1% за езетимиб/симвастатин и 0,2% за симвастатин, където рабдомиолизата е определена като необяснима мускулна слабост или болка със серумна СК &gt;10 пъти </w:t>
      </w:r>
      <w:r w:rsidRPr="00672405">
        <w:rPr>
          <w:rFonts w:eastAsia="Times New Roman" w:cs="Arial"/>
          <w:color w:val="000000"/>
          <w:lang w:val="en-US"/>
        </w:rPr>
        <w:t xml:space="preserve">ULN </w:t>
      </w:r>
      <w:r w:rsidRPr="00672405">
        <w:rPr>
          <w:rFonts w:eastAsia="Times New Roman" w:cs="Arial"/>
          <w:color w:val="000000"/>
          <w:lang w:eastAsia="bg-BG"/>
        </w:rPr>
        <w:t>с данни за бъбречно увреждане, ≥</w:t>
      </w:r>
      <w:r w:rsidRPr="00672405">
        <w:rPr>
          <w:rFonts w:eastAsia="Times New Roman" w:cs="Arial"/>
          <w:color w:val="000000"/>
          <w:lang w:val="en-US"/>
        </w:rPr>
        <w:t xml:space="preserve"> </w:t>
      </w:r>
      <w:r w:rsidRPr="00672405">
        <w:rPr>
          <w:rFonts w:eastAsia="Times New Roman" w:cs="Arial"/>
          <w:color w:val="000000"/>
          <w:lang w:eastAsia="bg-BG"/>
        </w:rPr>
        <w:t xml:space="preserve">5 пъти </w:t>
      </w:r>
      <w:r w:rsidRPr="00672405">
        <w:rPr>
          <w:rFonts w:eastAsia="Times New Roman" w:cs="Arial"/>
          <w:color w:val="000000"/>
          <w:lang w:val="en-US"/>
        </w:rPr>
        <w:t xml:space="preserve">ULN </w:t>
      </w:r>
      <w:r w:rsidRPr="00672405">
        <w:rPr>
          <w:rFonts w:eastAsia="Times New Roman" w:cs="Arial"/>
          <w:color w:val="000000"/>
          <w:lang w:eastAsia="bg-BG"/>
        </w:rPr>
        <w:t xml:space="preserve">и &lt;10 пъти </w:t>
      </w:r>
      <w:r w:rsidRPr="00672405">
        <w:rPr>
          <w:rFonts w:eastAsia="Times New Roman" w:cs="Arial"/>
          <w:color w:val="000000"/>
          <w:lang w:val="en-US"/>
        </w:rPr>
        <w:t xml:space="preserve">ULN </w:t>
      </w:r>
      <w:r w:rsidRPr="00672405">
        <w:rPr>
          <w:rFonts w:eastAsia="Times New Roman" w:cs="Arial"/>
          <w:color w:val="000000"/>
          <w:lang w:eastAsia="bg-BG"/>
        </w:rPr>
        <w:t>два пъти последователно с данни за бъбречно увреждане или СК ≥</w:t>
      </w:r>
      <w:r w:rsidRPr="00672405">
        <w:rPr>
          <w:rFonts w:eastAsia="Times New Roman" w:cs="Arial"/>
          <w:color w:val="000000"/>
          <w:lang w:val="en-US"/>
        </w:rPr>
        <w:t xml:space="preserve"> </w:t>
      </w:r>
      <w:r w:rsidRPr="00672405">
        <w:rPr>
          <w:rFonts w:eastAsia="Times New Roman" w:cs="Arial"/>
          <w:color w:val="000000"/>
          <w:lang w:eastAsia="bg-BG"/>
        </w:rPr>
        <w:t xml:space="preserve">10 000 </w:t>
      </w:r>
      <w:r w:rsidRPr="00672405">
        <w:rPr>
          <w:rFonts w:eastAsia="Times New Roman" w:cs="Arial"/>
          <w:color w:val="000000"/>
          <w:lang w:val="en-US"/>
        </w:rPr>
        <w:t xml:space="preserve">IU/l </w:t>
      </w:r>
      <w:r w:rsidRPr="00672405">
        <w:rPr>
          <w:rFonts w:eastAsia="Times New Roman" w:cs="Arial"/>
          <w:color w:val="000000"/>
          <w:lang w:eastAsia="bg-BG"/>
        </w:rPr>
        <w:t>без доказателства за бъбречно увреждане.</w:t>
      </w:r>
    </w:p>
    <w:p w14:paraId="02673B05"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Честотата на последователно повишение на трансаминазите (≥3 X </w:t>
      </w:r>
      <w:r w:rsidRPr="00672405">
        <w:rPr>
          <w:rFonts w:eastAsia="Times New Roman" w:cs="Arial"/>
          <w:color w:val="000000"/>
          <w:lang w:val="en-US"/>
        </w:rPr>
        <w:t xml:space="preserve">ULN) </w:t>
      </w:r>
      <w:r w:rsidRPr="00672405">
        <w:rPr>
          <w:rFonts w:eastAsia="Times New Roman" w:cs="Arial"/>
          <w:color w:val="000000"/>
          <w:lang w:eastAsia="bg-BG"/>
        </w:rPr>
        <w:t>е 2,5% при езетимиб/симвастатин и 2,3% при симвастатин (вж. точка 4.4). Нежелани реакции, свързани с жлъчния мехур са съобщени при 3,1% срещу 3,5% от пациентите, разпределени на езетимиб/симвастатин и съответно на симвастатин. Честотата на хоспитализации по повод холецистектомия е 1,5% в двете групи на лечение. Рак (дефиниран като всяко ново злокачествено заболяване) е диагностициран по време на проучването при 9,4% срещу 9,5%, съответно.</w:t>
      </w:r>
    </w:p>
    <w:p w14:paraId="6E3AB84A" w14:textId="77777777" w:rsidR="00672405" w:rsidRPr="00672405" w:rsidRDefault="00672405" w:rsidP="00672405">
      <w:pPr>
        <w:spacing w:line="240" w:lineRule="auto"/>
        <w:rPr>
          <w:rFonts w:eastAsia="Times New Roman" w:cs="Arial"/>
          <w:i/>
          <w:iCs/>
          <w:color w:val="000000"/>
          <w:lang w:eastAsia="bg-BG"/>
        </w:rPr>
      </w:pPr>
    </w:p>
    <w:p w14:paraId="4D4FE451" w14:textId="44B4FC2A" w:rsidR="00672405" w:rsidRPr="00672405" w:rsidRDefault="00672405" w:rsidP="00672405">
      <w:pPr>
        <w:spacing w:line="240" w:lineRule="auto"/>
        <w:rPr>
          <w:rFonts w:eastAsia="Times New Roman" w:cs="Arial"/>
          <w:sz w:val="24"/>
          <w:szCs w:val="24"/>
          <w:lang w:eastAsia="bg-BG"/>
        </w:rPr>
      </w:pPr>
      <w:r w:rsidRPr="00672405">
        <w:rPr>
          <w:rFonts w:eastAsia="Times New Roman" w:cs="Arial"/>
          <w:i/>
          <w:iCs/>
          <w:color w:val="000000"/>
          <w:lang w:eastAsia="bg-BG"/>
        </w:rPr>
        <w:t>Пациенти с хронично бъбречно заболяване</w:t>
      </w:r>
    </w:p>
    <w:p w14:paraId="0CF6C56F"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проучването за сърдечна и бъбречна протекция </w:t>
      </w:r>
      <w:r w:rsidRPr="00672405">
        <w:rPr>
          <w:rFonts w:eastAsia="Times New Roman" w:cs="Arial"/>
          <w:color w:val="000000"/>
          <w:lang w:val="en-US"/>
        </w:rPr>
        <w:t xml:space="preserve">SHARP (Study of Heart and Renal Protection) </w:t>
      </w:r>
      <w:r w:rsidRPr="00672405">
        <w:rPr>
          <w:rFonts w:eastAsia="Times New Roman" w:cs="Arial"/>
          <w:color w:val="000000"/>
          <w:lang w:eastAsia="bg-BG"/>
        </w:rPr>
        <w:t xml:space="preserve">(вж. точка </w:t>
      </w:r>
      <w:r w:rsidRPr="00672405">
        <w:rPr>
          <w:rFonts w:eastAsia="Times New Roman" w:cs="Arial"/>
          <w:color w:val="000000"/>
          <w:lang w:val="en-US"/>
        </w:rPr>
        <w:t xml:space="preserve">5.1), c </w:t>
      </w:r>
      <w:r w:rsidRPr="00672405">
        <w:rPr>
          <w:rFonts w:eastAsia="Times New Roman" w:cs="Arial"/>
          <w:color w:val="000000"/>
          <w:lang w:eastAsia="bg-BG"/>
        </w:rPr>
        <w:t xml:space="preserve">участието на над 9 000 пациенти, лекувани с </w:t>
      </w:r>
      <w:r w:rsidRPr="00672405">
        <w:rPr>
          <w:rFonts w:eastAsia="Times New Roman" w:cs="Arial"/>
          <w:i/>
          <w:iCs/>
          <w:color w:val="000000"/>
          <w:lang w:eastAsia="bg-BG"/>
        </w:rPr>
        <w:t>комбинация</w:t>
      </w:r>
      <w:r w:rsidRPr="00672405">
        <w:rPr>
          <w:rFonts w:eastAsia="Times New Roman" w:cs="Arial"/>
          <w:color w:val="000000"/>
          <w:lang w:eastAsia="bg-BG"/>
        </w:rPr>
        <w:t xml:space="preserve"> на фиксирана доза от 10 </w:t>
      </w:r>
      <w:r w:rsidRPr="00672405">
        <w:rPr>
          <w:rFonts w:eastAsia="Times New Roman" w:cs="Arial"/>
          <w:color w:val="000000"/>
          <w:lang w:val="en-US"/>
        </w:rPr>
        <w:t xml:space="preserve">mg </w:t>
      </w:r>
      <w:r w:rsidRPr="00672405">
        <w:rPr>
          <w:rFonts w:eastAsia="Times New Roman" w:cs="Arial"/>
          <w:color w:val="000000"/>
          <w:lang w:eastAsia="bg-BG"/>
        </w:rPr>
        <w:t xml:space="preserve">езетимиб и 20 </w:t>
      </w:r>
      <w:r w:rsidRPr="00672405">
        <w:rPr>
          <w:rFonts w:eastAsia="Times New Roman" w:cs="Arial"/>
          <w:color w:val="000000"/>
          <w:lang w:val="en-US"/>
        </w:rPr>
        <w:t xml:space="preserve">mg </w:t>
      </w:r>
      <w:r w:rsidRPr="00672405">
        <w:rPr>
          <w:rFonts w:eastAsia="Times New Roman" w:cs="Arial"/>
          <w:color w:val="000000"/>
          <w:lang w:eastAsia="bg-BG"/>
        </w:rPr>
        <w:t xml:space="preserve">симвастатин дневно (п = 4 650) или плацебо (п = 4 620), профилите на безопасност са сравними при медиана на проследяване от 4,9 години. В това проучване са описвани само сериозните нежелани събития и прекратяване на лечението поради нежелани събития. Честотата на прекратяване на участието поради настъпване на нежелани събития е сравнима (10,4% при пациентите, лекувани с езетимиб комбиниран със симвастатин, 9,8% при пациентите, лекувани с плацебо). Честотата на миопатия/рабдомиолиза е 0,2% при пациентите, лекувани с езетимиб/симвастатин и 0,1% при пациентите, лекувани с плацебо. Последователно повишаване на трансаминазите (&gt; 3 пъти </w:t>
      </w:r>
      <w:r w:rsidRPr="00672405">
        <w:rPr>
          <w:rFonts w:eastAsia="Times New Roman" w:cs="Arial"/>
          <w:color w:val="000000"/>
          <w:lang w:val="en-US"/>
        </w:rPr>
        <w:t xml:space="preserve">ULN) </w:t>
      </w:r>
      <w:r w:rsidRPr="00672405">
        <w:rPr>
          <w:rFonts w:eastAsia="Times New Roman" w:cs="Arial"/>
          <w:color w:val="000000"/>
          <w:lang w:eastAsia="bg-BG"/>
        </w:rPr>
        <w:t>се наблюдава при 0,7% от пациентите, лекувани с езетимиб/симвастатин в сравнение с 0,6% от пациентите, лекувани с плацебо (вж. точка 4.4).</w:t>
      </w:r>
    </w:p>
    <w:p w14:paraId="7200DACF"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това проучване не се наблюдава статистически значимо повишаване на честотата на предварително определени нежелани събития, включително рак (9,4% за </w:t>
      </w:r>
      <w:r w:rsidRPr="00672405">
        <w:rPr>
          <w:rFonts w:eastAsia="Times New Roman" w:cs="Arial"/>
          <w:color w:val="000000"/>
          <w:lang w:eastAsia="bg-BG"/>
        </w:rPr>
        <w:lastRenderedPageBreak/>
        <w:t>езетимиб/симвастатин, 9,5% за плацебо), хепатит, холецистектомия или усложнения от камъни в жлъчката или панкреатит.</w:t>
      </w:r>
    </w:p>
    <w:p w14:paraId="40136FCE" w14:textId="77777777" w:rsidR="00672405" w:rsidRPr="00672405" w:rsidRDefault="00672405" w:rsidP="00672405">
      <w:pPr>
        <w:spacing w:line="240" w:lineRule="auto"/>
        <w:rPr>
          <w:rFonts w:eastAsia="Times New Roman" w:cs="Arial"/>
          <w:i/>
          <w:iCs/>
          <w:color w:val="000000"/>
          <w:lang w:eastAsia="bg-BG"/>
        </w:rPr>
      </w:pPr>
    </w:p>
    <w:p w14:paraId="25D72CD7" w14:textId="0BCC84E8" w:rsidR="00672405" w:rsidRPr="00672405" w:rsidRDefault="00672405" w:rsidP="00672405">
      <w:pPr>
        <w:spacing w:line="240" w:lineRule="auto"/>
        <w:rPr>
          <w:rFonts w:eastAsia="Times New Roman" w:cs="Arial"/>
          <w:sz w:val="24"/>
          <w:szCs w:val="24"/>
          <w:lang w:eastAsia="bg-BG"/>
        </w:rPr>
      </w:pPr>
      <w:r w:rsidRPr="00672405">
        <w:rPr>
          <w:rFonts w:eastAsia="Times New Roman" w:cs="Arial"/>
          <w:i/>
          <w:iCs/>
          <w:color w:val="000000"/>
          <w:lang w:eastAsia="bg-BG"/>
        </w:rPr>
        <w:t>Лабораторни стойности</w:t>
      </w:r>
    </w:p>
    <w:p w14:paraId="181E3419" w14:textId="77777777" w:rsidR="00672405" w:rsidRPr="00672405" w:rsidRDefault="00672405" w:rsidP="00672405">
      <w:pPr>
        <w:rPr>
          <w:rFonts w:eastAsia="Times New Roman" w:cs="Arial"/>
          <w:lang w:eastAsia="bg-BG"/>
        </w:rPr>
      </w:pPr>
      <w:r w:rsidRPr="00672405">
        <w:rPr>
          <w:rFonts w:eastAsia="Times New Roman" w:cs="Arial"/>
          <w:color w:val="000000"/>
          <w:lang w:eastAsia="bg-BG"/>
        </w:rPr>
        <w:t xml:space="preserve">В контролирани клинични проучвания с монотерапия, честотата на клинично значими повишения на серумните трансаминази </w:t>
      </w:r>
      <w:r w:rsidRPr="00672405">
        <w:rPr>
          <w:rFonts w:eastAsia="Times New Roman" w:cs="Arial"/>
          <w:color w:val="000000"/>
          <w:lang w:val="en-US"/>
        </w:rPr>
        <w:t xml:space="preserve">(ALT </w:t>
      </w:r>
      <w:r w:rsidRPr="00672405">
        <w:rPr>
          <w:rFonts w:eastAsia="Times New Roman" w:cs="Arial"/>
          <w:color w:val="000000"/>
          <w:lang w:eastAsia="bg-BG"/>
        </w:rPr>
        <w:t xml:space="preserve">и/или </w:t>
      </w:r>
      <w:r w:rsidRPr="00672405">
        <w:rPr>
          <w:rFonts w:eastAsia="Times New Roman" w:cs="Arial"/>
          <w:color w:val="000000"/>
          <w:lang w:val="en-US"/>
        </w:rPr>
        <w:t xml:space="preserve">AST </w:t>
      </w:r>
      <w:r w:rsidRPr="00672405">
        <w:rPr>
          <w:rFonts w:eastAsia="Times New Roman" w:cs="Arial"/>
          <w:color w:val="000000"/>
          <w:lang w:eastAsia="bg-BG"/>
        </w:rPr>
        <w:t xml:space="preserve">&gt;3 X </w:t>
      </w:r>
      <w:r w:rsidRPr="00672405">
        <w:rPr>
          <w:rFonts w:eastAsia="Times New Roman" w:cs="Arial"/>
          <w:color w:val="000000"/>
          <w:lang w:val="en-US"/>
        </w:rPr>
        <w:t xml:space="preserve">ULN, </w:t>
      </w:r>
      <w:r w:rsidRPr="00672405">
        <w:rPr>
          <w:rFonts w:eastAsia="Times New Roman" w:cs="Arial"/>
          <w:color w:val="000000"/>
          <w:lang w:eastAsia="bg-BG"/>
        </w:rPr>
        <w:t>последователно) е сходна  между езетимиб (0,5%) и плацебо (0,3%). В проучвания с едновременното приложение,  честотата е 1,3% при пациентите, лекувани с Езетимиб Актавис, прилаган едновременно със статии и 0,4% при пациентите, лекувани само със статии. Тези повишения обикновено са асимптоматични, не са свързани с холестаза, и се връщат до норма след прекратяване на лечението или при продължаване на лечението (Вж. точка 4.4).</w:t>
      </w:r>
    </w:p>
    <w:p w14:paraId="59C1628C" w14:textId="77777777" w:rsidR="00672405" w:rsidRPr="00672405" w:rsidRDefault="00672405" w:rsidP="00672405">
      <w:pPr>
        <w:spacing w:line="240" w:lineRule="auto"/>
        <w:rPr>
          <w:rFonts w:eastAsia="Times New Roman" w:cs="Arial"/>
          <w:lang w:eastAsia="bg-BG"/>
        </w:rPr>
      </w:pPr>
      <w:r w:rsidRPr="00672405">
        <w:rPr>
          <w:rFonts w:eastAsia="Times New Roman" w:cs="Arial"/>
          <w:color w:val="000000"/>
          <w:lang w:eastAsia="bg-BG"/>
        </w:rPr>
        <w:t xml:space="preserve">В клинични проучвания СРК&gt; 10 X </w:t>
      </w:r>
      <w:r w:rsidRPr="00672405">
        <w:rPr>
          <w:rFonts w:eastAsia="Times New Roman" w:cs="Arial"/>
          <w:color w:val="000000"/>
          <w:lang w:val="en-US"/>
        </w:rPr>
        <w:t xml:space="preserve">ULN </w:t>
      </w:r>
      <w:r w:rsidRPr="00672405">
        <w:rPr>
          <w:rFonts w:eastAsia="Times New Roman" w:cs="Arial"/>
          <w:color w:val="000000"/>
          <w:lang w:eastAsia="bg-BG"/>
        </w:rPr>
        <w:t>е съобщено за 4 от 1 674 (0,2%) пациенти, приемали само езетимиб срещу 1 от 786 (0,1%) пациенти, приемали плацебо и за 1 от 917 (0,1%) пациенти, приемали едновременно езетимиб и статии срещу 4 от 929 (0,4%) пациенти, приемали само статии. Честотата на миопатия или рабдомиолиза, свързана с езетимиб не е по- висока в сравнение със съответното контролно рамо (плацебо или само статии) (Вж. точка 4.4).</w:t>
      </w:r>
    </w:p>
    <w:p w14:paraId="56E8FD5A" w14:textId="77777777" w:rsidR="00672405" w:rsidRPr="00672405" w:rsidRDefault="00672405" w:rsidP="00672405">
      <w:pPr>
        <w:spacing w:line="240" w:lineRule="auto"/>
        <w:rPr>
          <w:rFonts w:eastAsia="Times New Roman" w:cs="Arial"/>
          <w:color w:val="000000"/>
          <w:u w:val="single"/>
          <w:lang w:eastAsia="bg-BG"/>
        </w:rPr>
      </w:pPr>
    </w:p>
    <w:p w14:paraId="6AEE68ED" w14:textId="3E22C4E9" w:rsidR="00672405" w:rsidRPr="00672405" w:rsidRDefault="00672405" w:rsidP="00672405">
      <w:pPr>
        <w:spacing w:line="240" w:lineRule="auto"/>
        <w:rPr>
          <w:rFonts w:eastAsia="Times New Roman" w:cs="Arial"/>
          <w:lang w:eastAsia="bg-BG"/>
        </w:rPr>
      </w:pPr>
      <w:r w:rsidRPr="00672405">
        <w:rPr>
          <w:rFonts w:eastAsia="Times New Roman" w:cs="Arial"/>
          <w:color w:val="000000"/>
          <w:u w:val="single"/>
          <w:lang w:eastAsia="bg-BG"/>
        </w:rPr>
        <w:t>Съобщаване на подозирани нежелани реакции</w:t>
      </w:r>
    </w:p>
    <w:p w14:paraId="3D4AD819" w14:textId="573C44A8" w:rsidR="00672405" w:rsidRPr="00672405" w:rsidRDefault="00672405" w:rsidP="00672405">
      <w:pPr>
        <w:rPr>
          <w:rFonts w:cs="Arial"/>
        </w:rPr>
      </w:pPr>
      <w:r w:rsidRPr="0067240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w:t>
      </w:r>
      <w:r w:rsidRPr="00672405">
        <w:rPr>
          <w:rFonts w:eastAsia="Times New Roman" w:cs="Arial"/>
          <w:i/>
          <w:iCs/>
          <w:color w:val="000000"/>
          <w:lang w:eastAsia="bg-BG"/>
        </w:rPr>
        <w:t>1303</w:t>
      </w:r>
      <w:r w:rsidRPr="00672405">
        <w:rPr>
          <w:rFonts w:eastAsia="Times New Roman" w:cs="Arial"/>
          <w:color w:val="000000"/>
          <w:lang w:eastAsia="bg-BG"/>
        </w:rPr>
        <w:t xml:space="preserve"> София, тел.: 02 8903417, уебсайт: </w:t>
      </w:r>
      <w:r w:rsidRPr="00672405">
        <w:rPr>
          <w:rFonts w:eastAsia="Times New Roman" w:cs="Arial"/>
          <w:lang w:eastAsia="bg-BG"/>
        </w:rPr>
        <w:fldChar w:fldCharType="begin"/>
      </w:r>
      <w:r w:rsidRPr="00672405">
        <w:rPr>
          <w:rFonts w:eastAsia="Times New Roman" w:cs="Arial"/>
          <w:lang w:eastAsia="bg-BG"/>
        </w:rPr>
        <w:instrText xml:space="preserve"> HYPERLINK "http://www.bda.bg" </w:instrText>
      </w:r>
      <w:r w:rsidRPr="00672405">
        <w:rPr>
          <w:rFonts w:eastAsia="Times New Roman" w:cs="Arial"/>
          <w:lang w:eastAsia="bg-BG"/>
        </w:rPr>
      </w:r>
      <w:r w:rsidRPr="00672405">
        <w:rPr>
          <w:rFonts w:eastAsia="Times New Roman" w:cs="Arial"/>
          <w:lang w:eastAsia="bg-BG"/>
        </w:rPr>
        <w:fldChar w:fldCharType="separate"/>
      </w:r>
      <w:r w:rsidRPr="00672405">
        <w:rPr>
          <w:rFonts w:eastAsia="Times New Roman" w:cs="Arial"/>
          <w:color w:val="000000"/>
          <w:lang w:val="en-US"/>
        </w:rPr>
        <w:t>www.bda.bg</w:t>
      </w:r>
      <w:r w:rsidRPr="00672405">
        <w:rPr>
          <w:rFonts w:eastAsia="Times New Roman" w:cs="Arial"/>
          <w:lang w:eastAsia="bg-BG"/>
        </w:rPr>
        <w:fldChar w:fldCharType="end"/>
      </w:r>
      <w:r w:rsidRPr="00672405">
        <w:rPr>
          <w:rFonts w:eastAsia="Times New Roman" w:cs="Arial"/>
          <w:color w:val="000000"/>
          <w:lang w:val="en-US"/>
        </w:rPr>
        <w:t>.</w:t>
      </w:r>
    </w:p>
    <w:p w14:paraId="08009695" w14:textId="2A084CEF" w:rsidR="00843133" w:rsidRPr="0091385D" w:rsidRDefault="00843133"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56ECA350"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клинични проучвания, приложението на езетимиб 50 </w:t>
      </w:r>
      <w:r w:rsidRPr="00672405">
        <w:rPr>
          <w:rFonts w:eastAsia="Times New Roman" w:cs="Arial"/>
          <w:color w:val="000000"/>
          <w:lang w:val="en-US"/>
        </w:rPr>
        <w:t xml:space="preserve">mg </w:t>
      </w:r>
      <w:r w:rsidRPr="00672405">
        <w:rPr>
          <w:rFonts w:eastAsia="Times New Roman" w:cs="Arial"/>
          <w:color w:val="000000"/>
          <w:lang w:eastAsia="bg-BG"/>
        </w:rPr>
        <w:t xml:space="preserve">дневно при 15 здрави доброволци за период до 14 дни, или 40 </w:t>
      </w:r>
      <w:r w:rsidRPr="00672405">
        <w:rPr>
          <w:rFonts w:eastAsia="Times New Roman" w:cs="Arial"/>
          <w:color w:val="000000"/>
          <w:lang w:val="en-US"/>
        </w:rPr>
        <w:t xml:space="preserve">mg </w:t>
      </w:r>
      <w:r w:rsidRPr="00672405">
        <w:rPr>
          <w:rFonts w:eastAsia="Times New Roman" w:cs="Arial"/>
          <w:color w:val="000000"/>
          <w:lang w:eastAsia="bg-BG"/>
        </w:rPr>
        <w:t xml:space="preserve">дневно на 18 пациенти с първична хиперхолестеролемия за период до 56 дни като цяло е понесено добре. При животни не се наблюдава токсичност след прилагане на еднократни перорални дози от 5 000 </w:t>
      </w:r>
      <w:r w:rsidRPr="00672405">
        <w:rPr>
          <w:rFonts w:eastAsia="Times New Roman" w:cs="Arial"/>
          <w:color w:val="000000"/>
          <w:lang w:val="en-US"/>
        </w:rPr>
        <w:t xml:space="preserve">mg/kg </w:t>
      </w:r>
      <w:r w:rsidRPr="00672405">
        <w:rPr>
          <w:rFonts w:eastAsia="Times New Roman" w:cs="Arial"/>
          <w:color w:val="000000"/>
          <w:lang w:eastAsia="bg-BG"/>
        </w:rPr>
        <w:t xml:space="preserve">на езетимиб при плъхове и мишки и 3 000 </w:t>
      </w:r>
      <w:r w:rsidRPr="00672405">
        <w:rPr>
          <w:rFonts w:eastAsia="Times New Roman" w:cs="Arial"/>
          <w:color w:val="000000"/>
          <w:lang w:val="en-US"/>
        </w:rPr>
        <w:t xml:space="preserve">mg/kg </w:t>
      </w:r>
      <w:r w:rsidRPr="00672405">
        <w:rPr>
          <w:rFonts w:eastAsia="Times New Roman" w:cs="Arial"/>
          <w:color w:val="000000"/>
          <w:lang w:eastAsia="bg-BG"/>
        </w:rPr>
        <w:t>при кучета.</w:t>
      </w:r>
    </w:p>
    <w:p w14:paraId="5A82F440" w14:textId="77777777" w:rsidR="00672405" w:rsidRPr="00672405" w:rsidRDefault="00672405" w:rsidP="00672405">
      <w:pPr>
        <w:rPr>
          <w:rFonts w:eastAsia="Times New Roman" w:cs="Arial"/>
          <w:color w:val="000000"/>
          <w:lang w:eastAsia="bg-BG"/>
        </w:rPr>
      </w:pPr>
    </w:p>
    <w:p w14:paraId="0F0079CB" w14:textId="358C1809" w:rsidR="0091385D" w:rsidRPr="00672405" w:rsidRDefault="00672405" w:rsidP="00672405">
      <w:pPr>
        <w:rPr>
          <w:rFonts w:cs="Arial"/>
        </w:rPr>
      </w:pPr>
      <w:r w:rsidRPr="00672405">
        <w:rPr>
          <w:rFonts w:eastAsia="Times New Roman" w:cs="Arial"/>
          <w:color w:val="000000"/>
          <w:lang w:eastAsia="bg-BG"/>
        </w:rPr>
        <w:t>Докладвани са няколко случая на предозиране с езетимиб - повечето от тях не са свързани с поява на нежелани лекарствени реакции. Съобщените нежелани лекарствени реакции не са сериозни. При предозиране трябва да се приложат симптоматични и поддържащи мерки.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7FB09F2A"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Фармакотерапевтична група: Липидомодифициращи средства, самостоятелно; други липидомодифициращи средства, АТС код: С10А Х09</w:t>
      </w:r>
    </w:p>
    <w:p w14:paraId="4212E784" w14:textId="77777777" w:rsidR="00672405" w:rsidRPr="00672405" w:rsidRDefault="00672405" w:rsidP="00672405">
      <w:pPr>
        <w:spacing w:line="240" w:lineRule="auto"/>
        <w:rPr>
          <w:rFonts w:eastAsia="Times New Roman" w:cs="Arial"/>
          <w:color w:val="000000"/>
          <w:u w:val="single"/>
          <w:lang w:eastAsia="bg-BG"/>
        </w:rPr>
      </w:pPr>
    </w:p>
    <w:p w14:paraId="35D70C10" w14:textId="032BCAE2"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u w:val="single"/>
          <w:lang w:eastAsia="bg-BG"/>
        </w:rPr>
        <w:lastRenderedPageBreak/>
        <w:t>Механизъм на действие</w:t>
      </w:r>
    </w:p>
    <w:p w14:paraId="15F69AC1"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Езетимиб принадлежи към нов клас липидопонижаващи съединения, които селективно инхибират чревната абсорбция на холестерола и сродните растителни стероли. Езетимиб е активен при перорално приложение и има механизъм на действие, който се различава от този на останалите класове холестеролопонижаващи вещества (например статини, секвестранти на жлъчните киселини [смоли], производни на фибратите и растителните станели). Прицелната точка на молекулно ниво на езетимиб е стероловият транспортер </w:t>
      </w:r>
      <w:proofErr w:type="spellStart"/>
      <w:r w:rsidRPr="00672405">
        <w:rPr>
          <w:rFonts w:eastAsia="Times New Roman" w:cs="Arial"/>
          <w:color w:val="000000"/>
          <w:lang w:val="en-US"/>
        </w:rPr>
        <w:t>Niemann</w:t>
      </w:r>
      <w:proofErr w:type="spellEnd"/>
      <w:r w:rsidRPr="00672405">
        <w:rPr>
          <w:rFonts w:eastAsia="Times New Roman" w:cs="Arial"/>
          <w:color w:val="000000"/>
          <w:lang w:val="en-US"/>
        </w:rPr>
        <w:t xml:space="preserve">-Pick Cl-Like </w:t>
      </w:r>
      <w:r w:rsidRPr="00672405">
        <w:rPr>
          <w:rFonts w:eastAsia="Times New Roman" w:cs="Arial"/>
          <w:color w:val="000000"/>
          <w:lang w:eastAsia="bg-BG"/>
        </w:rPr>
        <w:t xml:space="preserve">1 </w:t>
      </w:r>
      <w:r w:rsidRPr="00672405">
        <w:rPr>
          <w:rFonts w:eastAsia="Times New Roman" w:cs="Arial"/>
          <w:color w:val="000000"/>
          <w:lang w:val="en-US"/>
        </w:rPr>
        <w:t xml:space="preserve">(NPC1L1), </w:t>
      </w:r>
      <w:r w:rsidRPr="00672405">
        <w:rPr>
          <w:rFonts w:eastAsia="Times New Roman" w:cs="Arial"/>
          <w:color w:val="000000"/>
          <w:lang w:eastAsia="bg-BG"/>
        </w:rPr>
        <w:t>който е отговорен за абсорбцията на холестерол и фитостероли от тънките черва.</w:t>
      </w:r>
    </w:p>
    <w:p w14:paraId="4EF76007" w14:textId="77777777" w:rsidR="00672405" w:rsidRPr="00672405" w:rsidRDefault="00672405" w:rsidP="00672405">
      <w:pPr>
        <w:spacing w:line="240" w:lineRule="auto"/>
        <w:rPr>
          <w:rFonts w:eastAsia="Times New Roman" w:cs="Arial"/>
          <w:color w:val="000000"/>
          <w:lang w:eastAsia="bg-BG"/>
        </w:rPr>
      </w:pPr>
    </w:p>
    <w:p w14:paraId="309BA8E5" w14:textId="5C29E9B3"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Езетимиб се локализира на повърхността на ресничките на тънките черва и инхибира абсорбцията на холестерол, като по този начин намалява транспортирането на холестерола от тънките черва в черния дроб; статините намаляват синтеза на холестерол в черния дроб и заедно, посредством тези два различни механизма на действие, се осигурява допълнително намаляване на холестерола. В 2-седмично клинично проучване на 18 пациенти с хиперхолестеролемия, езетимиб потиска чревната абсорбция на холестерола с 54%, в сравнение с плацебо.</w:t>
      </w:r>
    </w:p>
    <w:p w14:paraId="1AAF8FBC" w14:textId="77777777" w:rsidR="00672405" w:rsidRPr="00672405" w:rsidRDefault="00672405" w:rsidP="00672405">
      <w:pPr>
        <w:spacing w:line="240" w:lineRule="auto"/>
        <w:rPr>
          <w:rFonts w:eastAsia="Times New Roman" w:cs="Arial"/>
          <w:color w:val="000000"/>
          <w:u w:val="single"/>
          <w:lang w:eastAsia="bg-BG"/>
        </w:rPr>
      </w:pPr>
    </w:p>
    <w:p w14:paraId="5EAB174E" w14:textId="681F7A9C"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u w:val="single"/>
          <w:lang w:eastAsia="bg-BG"/>
        </w:rPr>
        <w:t>Фармакодинамични ефекти</w:t>
      </w:r>
    </w:p>
    <w:p w14:paraId="61C9ED0A" w14:textId="77777777" w:rsidR="00672405" w:rsidRPr="00A30F5A" w:rsidRDefault="00672405" w:rsidP="00672405">
      <w:pPr>
        <w:rPr>
          <w:rFonts w:eastAsia="Times New Roman" w:cs="Arial"/>
          <w:sz w:val="24"/>
          <w:szCs w:val="24"/>
          <w:lang w:eastAsia="bg-BG"/>
        </w:rPr>
      </w:pPr>
      <w:r w:rsidRPr="00672405">
        <w:rPr>
          <w:rFonts w:eastAsia="Times New Roman" w:cs="Arial"/>
          <w:color w:val="000000"/>
          <w:lang w:eastAsia="bg-BG"/>
        </w:rPr>
        <w:t>Проведена е серия от предклинични проучвания за определяне на селективността на езетимиб при инхибиране на абсорбцията на холестерол. Езетимиб инхибира абсорбцията на [1/2</w:t>
      </w:r>
      <w:r w:rsidRPr="00672405">
        <w:rPr>
          <w:rFonts w:eastAsia="Times New Roman" w:cs="Arial"/>
          <w:color w:val="000000"/>
          <w:lang w:val="en-US"/>
        </w:rPr>
        <w:t xml:space="preserve"> C]</w:t>
      </w:r>
      <w:r w:rsidRPr="00672405">
        <w:rPr>
          <w:rFonts w:eastAsia="Times New Roman" w:cs="Arial"/>
          <w:color w:val="000000"/>
          <w:lang w:eastAsia="bg-BG"/>
        </w:rPr>
        <w:t xml:space="preserve"> белязания холестерол без да оказва ефект върху абсорбцията на триглицеридите, мастните</w:t>
      </w:r>
      <w:r>
        <w:rPr>
          <w:rFonts w:eastAsia="Times New Roman" w:cs="Arial"/>
          <w:color w:val="000000"/>
          <w:lang w:eastAsia="bg-BG"/>
        </w:rPr>
        <w:t xml:space="preserve"> </w:t>
      </w:r>
      <w:r w:rsidRPr="00A30F5A">
        <w:rPr>
          <w:rFonts w:eastAsia="Times New Roman" w:cs="Arial"/>
          <w:color w:val="000000"/>
          <w:lang w:eastAsia="bg-BG"/>
        </w:rPr>
        <w:t xml:space="preserve">киселини, жлъчните киселини, прогестерона, етинилестрадиола, или мастноразтворимите витамини А и </w:t>
      </w:r>
      <w:r w:rsidRPr="00A30F5A">
        <w:rPr>
          <w:rFonts w:eastAsia="Times New Roman" w:cs="Arial"/>
          <w:color w:val="000000"/>
          <w:lang w:val="en-US"/>
        </w:rPr>
        <w:t>D.</w:t>
      </w:r>
    </w:p>
    <w:p w14:paraId="0098117C" w14:textId="77777777" w:rsidR="00A30F5A" w:rsidRPr="00A30F5A" w:rsidRDefault="00A30F5A" w:rsidP="00672405">
      <w:pPr>
        <w:spacing w:line="240" w:lineRule="auto"/>
        <w:rPr>
          <w:rFonts w:eastAsia="Times New Roman" w:cs="Arial"/>
          <w:color w:val="000000"/>
          <w:lang w:eastAsia="bg-BG"/>
        </w:rPr>
      </w:pPr>
    </w:p>
    <w:p w14:paraId="1A978043" w14:textId="7364E452"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епидемиологични проучвания е установено, че сърдечно-съдовата заболеваемост и смъртност варират пряко с нивото на общия холестерол, </w:t>
      </w:r>
      <w:r w:rsidRPr="00672405">
        <w:rPr>
          <w:rFonts w:eastAsia="Times New Roman" w:cs="Arial"/>
          <w:color w:val="000000"/>
          <w:lang w:val="en-US"/>
        </w:rPr>
        <w:t xml:space="preserve">LDL </w:t>
      </w:r>
      <w:r w:rsidRPr="00672405">
        <w:rPr>
          <w:rFonts w:eastAsia="Times New Roman" w:cs="Arial"/>
          <w:color w:val="000000"/>
          <w:lang w:eastAsia="bg-BG"/>
        </w:rPr>
        <w:t xml:space="preserve">холестерола и обратно пропорционално на нивото на </w:t>
      </w:r>
      <w:r w:rsidRPr="00672405">
        <w:rPr>
          <w:rFonts w:eastAsia="Times New Roman" w:cs="Arial"/>
          <w:color w:val="000000"/>
          <w:lang w:val="en-US"/>
        </w:rPr>
        <w:t xml:space="preserve">HDL </w:t>
      </w:r>
      <w:r w:rsidRPr="00672405">
        <w:rPr>
          <w:rFonts w:eastAsia="Times New Roman" w:cs="Arial"/>
          <w:color w:val="000000"/>
          <w:lang w:eastAsia="bg-BG"/>
        </w:rPr>
        <w:t>холестерола.</w:t>
      </w:r>
    </w:p>
    <w:p w14:paraId="2A4172B8" w14:textId="77777777" w:rsidR="00A30F5A" w:rsidRPr="00A30F5A" w:rsidRDefault="00A30F5A" w:rsidP="00672405">
      <w:pPr>
        <w:spacing w:line="240" w:lineRule="auto"/>
        <w:rPr>
          <w:rFonts w:eastAsia="Times New Roman" w:cs="Arial"/>
          <w:color w:val="000000"/>
          <w:lang w:eastAsia="bg-BG"/>
        </w:rPr>
      </w:pPr>
    </w:p>
    <w:p w14:paraId="412045D5" w14:textId="276D617B"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Приложението на езетимиб със статии е ефективно за намаляване на риска от сърдечно-съдови събития при пациенти с исхемична болест на сърцето и анамнеза за </w:t>
      </w:r>
      <w:r w:rsidRPr="00672405">
        <w:rPr>
          <w:rFonts w:eastAsia="Times New Roman" w:cs="Arial"/>
          <w:color w:val="000000"/>
          <w:lang w:val="en-US"/>
        </w:rPr>
        <w:t xml:space="preserve">ACS </w:t>
      </w:r>
      <w:r w:rsidRPr="00672405">
        <w:rPr>
          <w:rFonts w:eastAsia="Times New Roman" w:cs="Arial"/>
          <w:color w:val="000000"/>
          <w:lang w:eastAsia="bg-BG"/>
        </w:rPr>
        <w:t>събитие.</w:t>
      </w:r>
    </w:p>
    <w:p w14:paraId="0E23DEC3"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u w:val="single"/>
          <w:lang w:eastAsia="bg-BG"/>
        </w:rPr>
        <w:t>Клинична ефикасност и безопасност</w:t>
      </w:r>
    </w:p>
    <w:p w14:paraId="1125A547"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контролирани клинични проучвания езетимиб, или като монотерапия, или приложен заедно със статии намалява значително общия холестерол (общ-С), холестерола с ниска плътност на липопротеините </w:t>
      </w:r>
      <w:r w:rsidRPr="00672405">
        <w:rPr>
          <w:rFonts w:eastAsia="Times New Roman" w:cs="Arial"/>
          <w:color w:val="000000"/>
          <w:lang w:val="en-US"/>
        </w:rPr>
        <w:t>(LDL</w:t>
      </w:r>
      <w:r w:rsidRPr="00672405">
        <w:rPr>
          <w:rFonts w:eastAsia="Times New Roman" w:cs="Arial"/>
          <w:color w:val="000000"/>
          <w:lang w:eastAsia="bg-BG"/>
        </w:rPr>
        <w:t xml:space="preserve">-С), аполипопротеин В (Аро В) и триглицеридите </w:t>
      </w:r>
      <w:r w:rsidRPr="00672405">
        <w:rPr>
          <w:rFonts w:eastAsia="Times New Roman" w:cs="Arial"/>
          <w:color w:val="000000"/>
          <w:lang w:val="en-US"/>
        </w:rPr>
        <w:t xml:space="preserve">(TG) </w:t>
      </w:r>
      <w:r w:rsidRPr="00672405">
        <w:rPr>
          <w:rFonts w:eastAsia="Times New Roman" w:cs="Arial"/>
          <w:color w:val="000000"/>
          <w:lang w:eastAsia="bg-BG"/>
        </w:rPr>
        <w:t xml:space="preserve">и повишава холестерола с висока плътност на липопротеините </w:t>
      </w:r>
      <w:r w:rsidRPr="00672405">
        <w:rPr>
          <w:rFonts w:eastAsia="Times New Roman" w:cs="Arial"/>
          <w:color w:val="000000"/>
          <w:lang w:val="en-US"/>
        </w:rPr>
        <w:t>(HDL</w:t>
      </w:r>
      <w:r w:rsidRPr="00672405">
        <w:rPr>
          <w:rFonts w:eastAsia="Times New Roman" w:cs="Arial"/>
          <w:color w:val="000000"/>
          <w:lang w:eastAsia="bg-BG"/>
        </w:rPr>
        <w:t>-С) при пациенти с хиперхолестеролемия.</w:t>
      </w:r>
    </w:p>
    <w:p w14:paraId="00CA7E88" w14:textId="77777777" w:rsidR="00A30F5A" w:rsidRPr="00A30F5A" w:rsidRDefault="00A30F5A" w:rsidP="00672405">
      <w:pPr>
        <w:spacing w:line="240" w:lineRule="auto"/>
        <w:rPr>
          <w:rFonts w:eastAsia="Times New Roman" w:cs="Arial"/>
          <w:i/>
          <w:iCs/>
          <w:color w:val="000000"/>
          <w:lang w:eastAsia="bg-BG"/>
        </w:rPr>
      </w:pPr>
    </w:p>
    <w:p w14:paraId="6C423E60" w14:textId="2BDAB7D0" w:rsidR="00672405" w:rsidRPr="00672405" w:rsidRDefault="00672405" w:rsidP="00672405">
      <w:pPr>
        <w:spacing w:line="240" w:lineRule="auto"/>
        <w:rPr>
          <w:rFonts w:eastAsia="Times New Roman" w:cs="Arial"/>
          <w:sz w:val="24"/>
          <w:szCs w:val="24"/>
          <w:lang w:eastAsia="bg-BG"/>
        </w:rPr>
      </w:pPr>
      <w:r w:rsidRPr="00672405">
        <w:rPr>
          <w:rFonts w:eastAsia="Times New Roman" w:cs="Arial"/>
          <w:i/>
          <w:iCs/>
          <w:color w:val="000000"/>
          <w:lang w:eastAsia="bg-BG"/>
        </w:rPr>
        <w:t>Първична хиперхолестеролемия</w:t>
      </w:r>
    </w:p>
    <w:p w14:paraId="445FE1CF"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двойно-сляпо, плацебо-контролирано, 8-седмично проучване, 769 пациенти с хиперхолестеролемия, които вече са приемали монотерапия със симвастатин и при които не са достигнати таргетните стойности на </w:t>
      </w:r>
      <w:r w:rsidRPr="00672405">
        <w:rPr>
          <w:rFonts w:eastAsia="Times New Roman" w:cs="Arial"/>
          <w:color w:val="000000"/>
          <w:lang w:val="en-US"/>
        </w:rPr>
        <w:t xml:space="preserve">LDL-C </w:t>
      </w:r>
      <w:r w:rsidRPr="00672405">
        <w:rPr>
          <w:rFonts w:eastAsia="Times New Roman" w:cs="Arial"/>
          <w:color w:val="000000"/>
          <w:lang w:eastAsia="bg-BG"/>
        </w:rPr>
        <w:t xml:space="preserve">(2,6 до 4,1 </w:t>
      </w:r>
      <w:proofErr w:type="spellStart"/>
      <w:r w:rsidRPr="00672405">
        <w:rPr>
          <w:rFonts w:eastAsia="Times New Roman" w:cs="Arial"/>
          <w:color w:val="000000"/>
          <w:lang w:val="en-US"/>
        </w:rPr>
        <w:t>mmol</w:t>
      </w:r>
      <w:proofErr w:type="spellEnd"/>
      <w:r w:rsidRPr="00672405">
        <w:rPr>
          <w:rFonts w:eastAsia="Times New Roman" w:cs="Arial"/>
          <w:color w:val="000000"/>
          <w:lang w:val="en-US"/>
        </w:rPr>
        <w:t xml:space="preserve">/1 </w:t>
      </w:r>
      <w:r w:rsidRPr="00672405">
        <w:rPr>
          <w:rFonts w:eastAsia="Times New Roman" w:cs="Arial"/>
          <w:color w:val="000000"/>
          <w:lang w:eastAsia="bg-BG"/>
        </w:rPr>
        <w:t xml:space="preserve">[100-160 </w:t>
      </w:r>
      <w:r w:rsidRPr="00672405">
        <w:rPr>
          <w:rFonts w:eastAsia="Times New Roman" w:cs="Arial"/>
          <w:color w:val="000000"/>
          <w:lang w:val="en-US"/>
        </w:rPr>
        <w:t xml:space="preserve">mg/dl], </w:t>
      </w:r>
      <w:r w:rsidRPr="00672405">
        <w:rPr>
          <w:rFonts w:eastAsia="Times New Roman" w:cs="Arial"/>
          <w:color w:val="000000"/>
          <w:lang w:eastAsia="bg-BG"/>
        </w:rPr>
        <w:t xml:space="preserve">посочени от </w:t>
      </w:r>
      <w:r w:rsidRPr="00672405">
        <w:rPr>
          <w:rFonts w:eastAsia="Times New Roman" w:cs="Arial"/>
          <w:color w:val="000000"/>
          <w:lang w:val="en-US"/>
        </w:rPr>
        <w:t xml:space="preserve">National Cholesterol Education Program (NCEP), </w:t>
      </w:r>
      <w:r w:rsidRPr="00672405">
        <w:rPr>
          <w:rFonts w:eastAsia="Times New Roman" w:cs="Arial"/>
          <w:color w:val="000000"/>
          <w:lang w:eastAsia="bg-BG"/>
        </w:rPr>
        <w:t xml:space="preserve">въз основа на изходните стойности са рандомизирани да приемат или 10 </w:t>
      </w:r>
      <w:r w:rsidRPr="00672405">
        <w:rPr>
          <w:rFonts w:eastAsia="Times New Roman" w:cs="Arial"/>
          <w:color w:val="000000"/>
          <w:lang w:val="en-US"/>
        </w:rPr>
        <w:t xml:space="preserve">mg </w:t>
      </w:r>
      <w:r w:rsidRPr="00672405">
        <w:rPr>
          <w:rFonts w:eastAsia="Times New Roman" w:cs="Arial"/>
          <w:color w:val="000000"/>
          <w:lang w:eastAsia="bg-BG"/>
        </w:rPr>
        <w:t>езетимиб или плацебо в допълнение към текущата терапия със симвастатин.</w:t>
      </w:r>
    </w:p>
    <w:p w14:paraId="03B637A7" w14:textId="77777777" w:rsidR="00A30F5A" w:rsidRPr="00A30F5A" w:rsidRDefault="00A30F5A" w:rsidP="00672405">
      <w:pPr>
        <w:spacing w:line="240" w:lineRule="auto"/>
        <w:rPr>
          <w:rFonts w:eastAsia="Times New Roman" w:cs="Arial"/>
          <w:color w:val="000000"/>
          <w:lang w:eastAsia="bg-BG"/>
        </w:rPr>
      </w:pPr>
    </w:p>
    <w:p w14:paraId="2D66A2A2" w14:textId="64E36C14"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Сред пациентите, лекувани със статии, при които изходната стойност на </w:t>
      </w:r>
      <w:r w:rsidRPr="00672405">
        <w:rPr>
          <w:rFonts w:eastAsia="Times New Roman" w:cs="Arial"/>
          <w:color w:val="000000"/>
          <w:lang w:val="en-US"/>
        </w:rPr>
        <w:t>LDL</w:t>
      </w:r>
      <w:r w:rsidRPr="00672405">
        <w:rPr>
          <w:rFonts w:eastAsia="Times New Roman" w:cs="Arial"/>
          <w:color w:val="000000"/>
          <w:lang w:eastAsia="bg-BG"/>
        </w:rPr>
        <w:t xml:space="preserve">-С не е целевата (~ 82%), значително повече пациенти, рандомизирани на езетимиб постигат целевото </w:t>
      </w:r>
      <w:r w:rsidRPr="00672405">
        <w:rPr>
          <w:rFonts w:eastAsia="Times New Roman" w:cs="Arial"/>
          <w:color w:val="000000"/>
          <w:lang w:val="en-US"/>
        </w:rPr>
        <w:t>LDL</w:t>
      </w:r>
      <w:r w:rsidRPr="00672405">
        <w:rPr>
          <w:rFonts w:eastAsia="Times New Roman" w:cs="Arial"/>
          <w:color w:val="000000"/>
          <w:lang w:eastAsia="bg-BG"/>
        </w:rPr>
        <w:t xml:space="preserve">-С в края на проучването в сравнение с пациентите, рандомизирани на </w:t>
      </w:r>
      <w:r w:rsidRPr="00672405">
        <w:rPr>
          <w:rFonts w:eastAsia="Times New Roman" w:cs="Arial"/>
          <w:color w:val="000000"/>
          <w:lang w:eastAsia="bg-BG"/>
        </w:rPr>
        <w:lastRenderedPageBreak/>
        <w:t xml:space="preserve">плацебо - съответно 76% и 19%. Съответните намаления на </w:t>
      </w:r>
      <w:r w:rsidRPr="00672405">
        <w:rPr>
          <w:rFonts w:eastAsia="Times New Roman" w:cs="Arial"/>
          <w:color w:val="000000"/>
          <w:lang w:val="en-US"/>
        </w:rPr>
        <w:t>LDL</w:t>
      </w:r>
      <w:r w:rsidRPr="00672405">
        <w:rPr>
          <w:rFonts w:eastAsia="Times New Roman" w:cs="Arial"/>
          <w:color w:val="000000"/>
          <w:lang w:eastAsia="bg-BG"/>
        </w:rPr>
        <w:t xml:space="preserve">-С също се различават значително (25% и 4% съответно за езетимиб срещу плацебо). В допълнение, езетимиб прилаган към текущата терапия със симвастатин значително намалява общия-С, Аро В, </w:t>
      </w:r>
      <w:r w:rsidRPr="00672405">
        <w:rPr>
          <w:rFonts w:eastAsia="Times New Roman" w:cs="Arial"/>
          <w:color w:val="000000"/>
          <w:lang w:val="en-US"/>
        </w:rPr>
        <w:t xml:space="preserve">TG </w:t>
      </w:r>
      <w:r w:rsidRPr="00672405">
        <w:rPr>
          <w:rFonts w:eastAsia="Times New Roman" w:cs="Arial"/>
          <w:color w:val="000000"/>
          <w:lang w:eastAsia="bg-BG"/>
        </w:rPr>
        <w:t xml:space="preserve">и повишава </w:t>
      </w:r>
      <w:r w:rsidRPr="00672405">
        <w:rPr>
          <w:rFonts w:eastAsia="Times New Roman" w:cs="Arial"/>
          <w:color w:val="000000"/>
          <w:lang w:val="en-US"/>
        </w:rPr>
        <w:t>HDL</w:t>
      </w:r>
      <w:r w:rsidRPr="00672405">
        <w:rPr>
          <w:rFonts w:eastAsia="Times New Roman" w:cs="Arial"/>
          <w:color w:val="000000"/>
          <w:lang w:eastAsia="bg-BG"/>
        </w:rPr>
        <w:t>-С в сравнение с плацебо. Езетимиб или плацебо добавени към терапия със статии редуцират медианата на С- реактивния протеин съответно с 10% или 0% спрямо изходната стойност.</w:t>
      </w:r>
    </w:p>
    <w:p w14:paraId="5579F1EC"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две, двойно-слепи, рандомизирани, плацебо контролирани, 12-седмични проучвания при 1719 пациенти с първична хиперхолестеролемия, 10 </w:t>
      </w:r>
      <w:r w:rsidRPr="00672405">
        <w:rPr>
          <w:rFonts w:eastAsia="Times New Roman" w:cs="Arial"/>
          <w:color w:val="000000"/>
          <w:lang w:val="en-US"/>
        </w:rPr>
        <w:t xml:space="preserve">mg </w:t>
      </w:r>
      <w:r w:rsidRPr="00672405">
        <w:rPr>
          <w:rFonts w:eastAsia="Times New Roman" w:cs="Arial"/>
          <w:color w:val="000000"/>
          <w:lang w:eastAsia="bg-BG"/>
        </w:rPr>
        <w:t xml:space="preserve">езетимиб значително понижава общия- С (13%), </w:t>
      </w:r>
      <w:r w:rsidRPr="00672405">
        <w:rPr>
          <w:rFonts w:eastAsia="Times New Roman" w:cs="Arial"/>
          <w:color w:val="000000"/>
          <w:lang w:val="en-US"/>
        </w:rPr>
        <w:t xml:space="preserve">LDL-C </w:t>
      </w:r>
      <w:r w:rsidRPr="00672405">
        <w:rPr>
          <w:rFonts w:eastAsia="Times New Roman" w:cs="Arial"/>
          <w:color w:val="000000"/>
          <w:lang w:eastAsia="bg-BG"/>
        </w:rPr>
        <w:t xml:space="preserve">(19%), Аро В (14%) и </w:t>
      </w:r>
      <w:r w:rsidRPr="00672405">
        <w:rPr>
          <w:rFonts w:eastAsia="Times New Roman" w:cs="Arial"/>
          <w:color w:val="000000"/>
          <w:lang w:val="en-US"/>
        </w:rPr>
        <w:t xml:space="preserve">TG </w:t>
      </w:r>
      <w:r w:rsidRPr="00672405">
        <w:rPr>
          <w:rFonts w:eastAsia="Times New Roman" w:cs="Arial"/>
          <w:color w:val="000000"/>
          <w:lang w:eastAsia="bg-BG"/>
        </w:rPr>
        <w:t xml:space="preserve">(8%) и увеличава </w:t>
      </w:r>
      <w:r w:rsidRPr="00672405">
        <w:rPr>
          <w:rFonts w:eastAsia="Times New Roman" w:cs="Arial"/>
          <w:color w:val="000000"/>
          <w:lang w:val="en-US"/>
        </w:rPr>
        <w:t xml:space="preserve">HDL-C </w:t>
      </w:r>
      <w:r w:rsidRPr="00672405">
        <w:rPr>
          <w:rFonts w:eastAsia="Times New Roman" w:cs="Arial"/>
          <w:color w:val="000000"/>
          <w:lang w:eastAsia="bg-BG"/>
        </w:rPr>
        <w:t>(3%) в сравнение с плацебо.</w:t>
      </w:r>
    </w:p>
    <w:p w14:paraId="4242D91B" w14:textId="77777777"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допълнение, езетимиб няма ефект върху плазмените концентрации на мастноразтворимите витамини </w:t>
      </w:r>
      <w:r w:rsidRPr="00672405">
        <w:rPr>
          <w:rFonts w:eastAsia="Times New Roman" w:cs="Arial"/>
          <w:color w:val="000000"/>
          <w:lang w:val="en-US"/>
        </w:rPr>
        <w:t xml:space="preserve">A, D </w:t>
      </w:r>
      <w:r w:rsidRPr="00672405">
        <w:rPr>
          <w:rFonts w:eastAsia="Times New Roman" w:cs="Arial"/>
          <w:color w:val="000000"/>
          <w:lang w:eastAsia="bg-BG"/>
        </w:rPr>
        <w:t>и Е, няма ефект върху протромбиновото време, и подобно на други липидопонижаващи средства не нарушава образуването на адренокортикални стероиди и хормони.</w:t>
      </w:r>
    </w:p>
    <w:p w14:paraId="7D7C89FC" w14:textId="77777777" w:rsidR="00A30F5A" w:rsidRPr="00A30F5A" w:rsidRDefault="00A30F5A" w:rsidP="00672405">
      <w:pPr>
        <w:spacing w:line="240" w:lineRule="auto"/>
        <w:rPr>
          <w:rFonts w:eastAsia="Times New Roman" w:cs="Arial"/>
          <w:color w:val="000000"/>
          <w:lang w:eastAsia="bg-BG"/>
        </w:rPr>
      </w:pPr>
    </w:p>
    <w:p w14:paraId="198FA9A4" w14:textId="0FC7C27A"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В мултицентрово, двойно-сляпо, контролирано клинично проучване </w:t>
      </w:r>
      <w:r w:rsidRPr="00672405">
        <w:rPr>
          <w:rFonts w:eastAsia="Times New Roman" w:cs="Arial"/>
          <w:color w:val="000000"/>
          <w:lang w:val="en-US"/>
        </w:rPr>
        <w:t xml:space="preserve">(ENHANCE), </w:t>
      </w:r>
      <w:r w:rsidRPr="00672405">
        <w:rPr>
          <w:rFonts w:eastAsia="Times New Roman" w:cs="Arial"/>
          <w:color w:val="000000"/>
          <w:lang w:eastAsia="bg-BG"/>
        </w:rPr>
        <w:t xml:space="preserve">720 пациенти с хетерозиготна фамилна хиперхолестеролемия са рандомизирани да приемат 10 </w:t>
      </w:r>
      <w:r w:rsidRPr="00672405">
        <w:rPr>
          <w:rFonts w:eastAsia="Times New Roman" w:cs="Arial"/>
          <w:color w:val="000000"/>
          <w:lang w:val="en-US"/>
        </w:rPr>
        <w:t xml:space="preserve">mg </w:t>
      </w:r>
      <w:r w:rsidRPr="00672405">
        <w:rPr>
          <w:rFonts w:eastAsia="Times New Roman" w:cs="Arial"/>
          <w:color w:val="000000"/>
          <w:lang w:eastAsia="bg-BG"/>
        </w:rPr>
        <w:t xml:space="preserve">езетимиб в комбинация с 80 </w:t>
      </w:r>
      <w:r w:rsidRPr="00672405">
        <w:rPr>
          <w:rFonts w:eastAsia="Times New Roman" w:cs="Arial"/>
          <w:color w:val="000000"/>
          <w:lang w:val="en-US"/>
        </w:rPr>
        <w:t xml:space="preserve">mg </w:t>
      </w:r>
      <w:r w:rsidRPr="00672405">
        <w:rPr>
          <w:rFonts w:eastAsia="Times New Roman" w:cs="Arial"/>
          <w:color w:val="000000"/>
          <w:lang w:eastAsia="bg-BG"/>
        </w:rPr>
        <w:t xml:space="preserve">симвастатин (п = 357) или симвастатин 80 </w:t>
      </w:r>
      <w:r w:rsidRPr="00672405">
        <w:rPr>
          <w:rFonts w:eastAsia="Times New Roman" w:cs="Arial"/>
          <w:color w:val="000000"/>
          <w:lang w:val="en-US"/>
        </w:rPr>
        <w:t xml:space="preserve">mg </w:t>
      </w:r>
      <w:r w:rsidRPr="00672405">
        <w:rPr>
          <w:rFonts w:eastAsia="Times New Roman" w:cs="Arial"/>
          <w:color w:val="000000"/>
          <w:lang w:eastAsia="bg-BG"/>
        </w:rPr>
        <w:t>(</w:t>
      </w:r>
      <w:r w:rsidRPr="00672405">
        <w:rPr>
          <w:rFonts w:eastAsia="Times New Roman" w:cs="Arial"/>
          <w:color w:val="000000"/>
          <w:lang w:val="en-US"/>
        </w:rPr>
        <w:t>n</w:t>
      </w:r>
      <w:r w:rsidRPr="00672405">
        <w:rPr>
          <w:rFonts w:eastAsia="Times New Roman" w:cs="Arial"/>
          <w:color w:val="000000"/>
          <w:lang w:eastAsia="bg-BG"/>
        </w:rPr>
        <w:t xml:space="preserve"> = 363) в продължение на 2 години. Основната цел на проучването е да се изследва ефектът от комбинираната терапия езетимиб/симвастатин върху дебелината на интима-медия на каротидната артерия </w:t>
      </w:r>
      <w:r w:rsidRPr="00672405">
        <w:rPr>
          <w:rFonts w:eastAsia="Times New Roman" w:cs="Arial"/>
          <w:color w:val="000000"/>
          <w:lang w:val="en-US"/>
        </w:rPr>
        <w:t xml:space="preserve">(IMT) </w:t>
      </w:r>
      <w:r w:rsidRPr="00672405">
        <w:rPr>
          <w:rFonts w:eastAsia="Times New Roman" w:cs="Arial"/>
          <w:color w:val="000000"/>
          <w:lang w:eastAsia="bg-BG"/>
        </w:rPr>
        <w:t>в сравнение с монотерапия симвастатин. Влиянието на този сурогатен маркер върху сърдечно-съдовата заболеваемост и смъртност все още не е установено.</w:t>
      </w:r>
    </w:p>
    <w:p w14:paraId="0B993660" w14:textId="77777777" w:rsidR="00A30F5A" w:rsidRPr="00A30F5A" w:rsidRDefault="00A30F5A" w:rsidP="00672405">
      <w:pPr>
        <w:spacing w:line="240" w:lineRule="auto"/>
        <w:rPr>
          <w:rFonts w:eastAsia="Times New Roman" w:cs="Arial"/>
          <w:color w:val="000000"/>
          <w:lang w:eastAsia="bg-BG"/>
        </w:rPr>
      </w:pPr>
    </w:p>
    <w:p w14:paraId="376BC156" w14:textId="2AFB73E1" w:rsidR="00672405" w:rsidRPr="00672405" w:rsidRDefault="00672405" w:rsidP="00672405">
      <w:pPr>
        <w:spacing w:line="240" w:lineRule="auto"/>
        <w:rPr>
          <w:rFonts w:eastAsia="Times New Roman" w:cs="Arial"/>
          <w:sz w:val="24"/>
          <w:szCs w:val="24"/>
          <w:lang w:eastAsia="bg-BG"/>
        </w:rPr>
      </w:pPr>
      <w:r w:rsidRPr="00672405">
        <w:rPr>
          <w:rFonts w:eastAsia="Times New Roman" w:cs="Arial"/>
          <w:color w:val="000000"/>
          <w:lang w:eastAsia="bg-BG"/>
        </w:rPr>
        <w:t xml:space="preserve">Първичната крайна цел, промяната на средната </w:t>
      </w:r>
      <w:r w:rsidRPr="00672405">
        <w:rPr>
          <w:rFonts w:eastAsia="Times New Roman" w:cs="Arial"/>
          <w:color w:val="000000"/>
          <w:lang w:val="en-US"/>
        </w:rPr>
        <w:t xml:space="preserve">IMT </w:t>
      </w:r>
      <w:r w:rsidRPr="00672405">
        <w:rPr>
          <w:rFonts w:eastAsia="Times New Roman" w:cs="Arial"/>
          <w:color w:val="000000"/>
          <w:lang w:eastAsia="bg-BG"/>
        </w:rPr>
        <w:t xml:space="preserve">на всичките шест каротидни сегменти, не се различават значително (р = 0,29) между двете лечебни групи, измерено чрез В-режим на ултразвук. С комбинацията езетимиб 10 </w:t>
      </w:r>
      <w:r w:rsidRPr="00672405">
        <w:rPr>
          <w:rFonts w:eastAsia="Times New Roman" w:cs="Arial"/>
          <w:color w:val="000000"/>
          <w:lang w:val="en-US"/>
        </w:rPr>
        <w:t>mg</w:t>
      </w:r>
      <w:r w:rsidRPr="00672405">
        <w:rPr>
          <w:rFonts w:eastAsia="Times New Roman" w:cs="Arial"/>
          <w:color w:val="000000"/>
          <w:lang w:eastAsia="bg-BG"/>
        </w:rPr>
        <w:t xml:space="preserve">/симвастатин 80 </w:t>
      </w:r>
      <w:r w:rsidRPr="00672405">
        <w:rPr>
          <w:rFonts w:eastAsia="Times New Roman" w:cs="Arial"/>
          <w:color w:val="000000"/>
          <w:lang w:val="en-US"/>
        </w:rPr>
        <w:t xml:space="preserve">mg </w:t>
      </w:r>
      <w:r w:rsidRPr="00672405">
        <w:rPr>
          <w:rFonts w:eastAsia="Times New Roman" w:cs="Arial"/>
          <w:color w:val="000000"/>
          <w:lang w:eastAsia="bg-BG"/>
        </w:rPr>
        <w:t xml:space="preserve">или при монотерапия с 80 </w:t>
      </w:r>
      <w:r w:rsidRPr="00672405">
        <w:rPr>
          <w:rFonts w:eastAsia="Times New Roman" w:cs="Arial"/>
          <w:color w:val="000000"/>
          <w:lang w:val="en-US"/>
        </w:rPr>
        <w:t xml:space="preserve">mg </w:t>
      </w:r>
      <w:r w:rsidRPr="00672405">
        <w:rPr>
          <w:rFonts w:eastAsia="Times New Roman" w:cs="Arial"/>
          <w:color w:val="000000"/>
          <w:lang w:eastAsia="bg-BG"/>
        </w:rPr>
        <w:t xml:space="preserve">симвастатин, задебеляването на интима-медия се увеличава с 0,0111 </w:t>
      </w:r>
      <w:r w:rsidRPr="00672405">
        <w:rPr>
          <w:rFonts w:eastAsia="Times New Roman" w:cs="Arial"/>
          <w:color w:val="000000"/>
          <w:lang w:val="en-US"/>
        </w:rPr>
        <w:t xml:space="preserve">mm </w:t>
      </w:r>
      <w:r w:rsidRPr="00672405">
        <w:rPr>
          <w:rFonts w:eastAsia="Times New Roman" w:cs="Arial"/>
          <w:color w:val="000000"/>
          <w:lang w:eastAsia="bg-BG"/>
        </w:rPr>
        <w:t>и 0,0058</w:t>
      </w:r>
      <w:r w:rsidRPr="00672405">
        <w:rPr>
          <w:rFonts w:eastAsia="Times New Roman" w:cs="Arial"/>
          <w:color w:val="000000"/>
          <w:lang w:val="en-US"/>
        </w:rPr>
        <w:t xml:space="preserve"> mm,</w:t>
      </w:r>
      <w:r w:rsidRPr="00672405">
        <w:rPr>
          <w:rFonts w:eastAsia="Times New Roman" w:cs="Arial"/>
          <w:color w:val="000000"/>
          <w:lang w:eastAsia="bg-BG"/>
        </w:rPr>
        <w:t xml:space="preserve"> съответно при продължителност на проучването 2 години (изходна средна каротидна </w:t>
      </w:r>
      <w:r w:rsidRPr="00672405">
        <w:rPr>
          <w:rFonts w:eastAsia="Times New Roman" w:cs="Arial"/>
          <w:color w:val="000000"/>
          <w:lang w:val="en-US"/>
        </w:rPr>
        <w:t>IMT</w:t>
      </w:r>
      <w:r w:rsidRPr="00672405">
        <w:rPr>
          <w:rFonts w:eastAsia="Times New Roman" w:cs="Arial"/>
          <w:color w:val="000000"/>
          <w:lang w:eastAsia="bg-BG"/>
        </w:rPr>
        <w:t xml:space="preserve"> 0,68 </w:t>
      </w:r>
      <w:r w:rsidRPr="00672405">
        <w:rPr>
          <w:rFonts w:eastAsia="Times New Roman" w:cs="Arial"/>
          <w:color w:val="000000"/>
          <w:lang w:val="en-US"/>
        </w:rPr>
        <w:t xml:space="preserve">mm </w:t>
      </w:r>
      <w:r w:rsidRPr="00672405">
        <w:rPr>
          <w:rFonts w:eastAsia="Times New Roman" w:cs="Arial"/>
          <w:color w:val="000000"/>
          <w:lang w:eastAsia="bg-BG"/>
        </w:rPr>
        <w:t xml:space="preserve">и 0,69 </w:t>
      </w:r>
      <w:r w:rsidRPr="00672405">
        <w:rPr>
          <w:rFonts w:eastAsia="Times New Roman" w:cs="Arial"/>
          <w:color w:val="000000"/>
          <w:lang w:val="en-US"/>
        </w:rPr>
        <w:t xml:space="preserve">mm, </w:t>
      </w:r>
      <w:r w:rsidRPr="00672405">
        <w:rPr>
          <w:rFonts w:eastAsia="Times New Roman" w:cs="Arial"/>
          <w:color w:val="000000"/>
          <w:lang w:eastAsia="bg-BG"/>
        </w:rPr>
        <w:t>съответно).</w:t>
      </w:r>
    </w:p>
    <w:p w14:paraId="0A0989E3" w14:textId="77777777" w:rsidR="00A30F5A" w:rsidRPr="00A30F5A" w:rsidRDefault="00A30F5A" w:rsidP="00672405">
      <w:pPr>
        <w:rPr>
          <w:rFonts w:eastAsia="Times New Roman" w:cs="Arial"/>
          <w:color w:val="000000"/>
          <w:lang w:eastAsia="bg-BG"/>
        </w:rPr>
      </w:pPr>
    </w:p>
    <w:p w14:paraId="1D5AE6D6" w14:textId="77777777" w:rsidR="00A30F5A" w:rsidRPr="00A30F5A" w:rsidRDefault="00672405" w:rsidP="00A30F5A">
      <w:pPr>
        <w:rPr>
          <w:rFonts w:eastAsia="Times New Roman" w:cs="Arial"/>
          <w:sz w:val="24"/>
          <w:szCs w:val="24"/>
          <w:lang w:eastAsia="bg-BG"/>
        </w:rPr>
      </w:pPr>
      <w:r w:rsidRPr="00A30F5A">
        <w:rPr>
          <w:rFonts w:eastAsia="Times New Roman" w:cs="Arial"/>
          <w:color w:val="000000"/>
          <w:lang w:eastAsia="bg-BG"/>
        </w:rPr>
        <w:t xml:space="preserve">Езетимиб 10 </w:t>
      </w:r>
      <w:r w:rsidRPr="00A30F5A">
        <w:rPr>
          <w:rFonts w:eastAsia="Times New Roman" w:cs="Arial"/>
          <w:color w:val="000000"/>
          <w:lang w:val="en-US"/>
        </w:rPr>
        <w:t xml:space="preserve">mg </w:t>
      </w:r>
      <w:r w:rsidRPr="00A30F5A">
        <w:rPr>
          <w:rFonts w:eastAsia="Times New Roman" w:cs="Arial"/>
          <w:color w:val="000000"/>
          <w:lang w:eastAsia="bg-BG"/>
        </w:rPr>
        <w:t xml:space="preserve">в комбинация с 80 </w:t>
      </w:r>
      <w:r w:rsidRPr="00A30F5A">
        <w:rPr>
          <w:rFonts w:eastAsia="Times New Roman" w:cs="Arial"/>
          <w:color w:val="000000"/>
          <w:lang w:val="en-US"/>
        </w:rPr>
        <w:t xml:space="preserve">mg </w:t>
      </w:r>
      <w:r w:rsidRPr="00A30F5A">
        <w:rPr>
          <w:rFonts w:eastAsia="Times New Roman" w:cs="Arial"/>
          <w:color w:val="000000"/>
          <w:lang w:eastAsia="bg-BG"/>
        </w:rPr>
        <w:t xml:space="preserve">симвастатин намалява </w:t>
      </w:r>
      <w:r w:rsidRPr="00A30F5A">
        <w:rPr>
          <w:rFonts w:eastAsia="Times New Roman" w:cs="Arial"/>
          <w:color w:val="000000"/>
          <w:lang w:val="en-US"/>
        </w:rPr>
        <w:t xml:space="preserve">LDL-C, </w:t>
      </w:r>
      <w:r w:rsidRPr="00A30F5A">
        <w:rPr>
          <w:rFonts w:eastAsia="Times New Roman" w:cs="Arial"/>
          <w:color w:val="000000"/>
          <w:lang w:eastAsia="bg-BG"/>
        </w:rPr>
        <w:t>общия-</w:t>
      </w:r>
      <w:r w:rsidRPr="00A30F5A">
        <w:rPr>
          <w:rFonts w:eastAsia="Times New Roman" w:cs="Arial"/>
          <w:color w:val="000000"/>
          <w:lang w:val="en-US"/>
        </w:rPr>
        <w:t xml:space="preserve">C, Apo B </w:t>
      </w:r>
      <w:r w:rsidRPr="00A30F5A">
        <w:rPr>
          <w:rFonts w:eastAsia="Times New Roman" w:cs="Arial"/>
          <w:color w:val="000000"/>
          <w:lang w:eastAsia="bg-BG"/>
        </w:rPr>
        <w:t xml:space="preserve">и </w:t>
      </w:r>
      <w:r w:rsidRPr="00A30F5A">
        <w:rPr>
          <w:rFonts w:eastAsia="Times New Roman" w:cs="Arial"/>
          <w:color w:val="000000"/>
          <w:lang w:val="en-US"/>
        </w:rPr>
        <w:t>TG</w:t>
      </w:r>
      <w:r w:rsidRPr="00A30F5A">
        <w:rPr>
          <w:rFonts w:eastAsia="Times New Roman" w:cs="Arial"/>
          <w:color w:val="000000"/>
          <w:lang w:eastAsia="bg-BG"/>
        </w:rPr>
        <w:t xml:space="preserve"> значително повече от 80 </w:t>
      </w:r>
      <w:r w:rsidRPr="00A30F5A">
        <w:rPr>
          <w:rFonts w:eastAsia="Times New Roman" w:cs="Arial"/>
          <w:color w:val="000000"/>
          <w:lang w:val="en-US"/>
        </w:rPr>
        <w:t xml:space="preserve">mg </w:t>
      </w:r>
      <w:r w:rsidRPr="00A30F5A">
        <w:rPr>
          <w:rFonts w:eastAsia="Times New Roman" w:cs="Arial"/>
          <w:color w:val="000000"/>
          <w:lang w:eastAsia="bg-BG"/>
        </w:rPr>
        <w:t xml:space="preserve">симвастатин. Процентът на увеличение на </w:t>
      </w:r>
      <w:r w:rsidRPr="00A30F5A">
        <w:rPr>
          <w:rFonts w:eastAsia="Times New Roman" w:cs="Arial"/>
          <w:color w:val="000000"/>
          <w:lang w:val="en-US"/>
        </w:rPr>
        <w:t xml:space="preserve">HDL-C </w:t>
      </w:r>
      <w:r w:rsidRPr="00A30F5A">
        <w:rPr>
          <w:rFonts w:eastAsia="Times New Roman" w:cs="Arial"/>
          <w:color w:val="000000"/>
          <w:lang w:eastAsia="bg-BG"/>
        </w:rPr>
        <w:t>е сходен за двете</w:t>
      </w:r>
      <w:r w:rsidR="00A30F5A">
        <w:rPr>
          <w:rFonts w:eastAsia="Times New Roman" w:cs="Arial"/>
          <w:color w:val="000000"/>
          <w:lang w:eastAsia="bg-BG"/>
        </w:rPr>
        <w:t xml:space="preserve"> </w:t>
      </w:r>
      <w:r w:rsidR="00A30F5A" w:rsidRPr="00A30F5A">
        <w:rPr>
          <w:rFonts w:eastAsia="Times New Roman" w:cs="Arial"/>
          <w:color w:val="000000"/>
          <w:lang w:eastAsia="bg-BG"/>
        </w:rPr>
        <w:t xml:space="preserve">лечебни групи. Нежеланите реакции, наблюдавани при комбинацията езетимиб 10 </w:t>
      </w:r>
      <w:r w:rsidR="00A30F5A" w:rsidRPr="00A30F5A">
        <w:rPr>
          <w:rFonts w:eastAsia="Times New Roman" w:cs="Arial"/>
          <w:color w:val="000000"/>
          <w:lang w:val="en-US"/>
        </w:rPr>
        <w:t>mg</w:t>
      </w:r>
      <w:r w:rsidR="00A30F5A" w:rsidRPr="00A30F5A">
        <w:rPr>
          <w:rFonts w:eastAsia="Times New Roman" w:cs="Arial"/>
          <w:color w:val="000000"/>
          <w:lang w:eastAsia="bg-BG"/>
        </w:rPr>
        <w:t xml:space="preserve">/симвастатин 80 </w:t>
      </w:r>
      <w:r w:rsidR="00A30F5A" w:rsidRPr="00A30F5A">
        <w:rPr>
          <w:rFonts w:eastAsia="Times New Roman" w:cs="Arial"/>
          <w:color w:val="000000"/>
          <w:lang w:val="en-US"/>
        </w:rPr>
        <w:t xml:space="preserve">mg </w:t>
      </w:r>
      <w:r w:rsidR="00A30F5A" w:rsidRPr="00A30F5A">
        <w:rPr>
          <w:rFonts w:eastAsia="Times New Roman" w:cs="Arial"/>
          <w:color w:val="000000"/>
          <w:lang w:eastAsia="bg-BG"/>
        </w:rPr>
        <w:t>съответстват на техния установен профил на безопасност.</w:t>
      </w:r>
    </w:p>
    <w:p w14:paraId="708FD0A8" w14:textId="77777777" w:rsidR="00A30F5A" w:rsidRPr="00A30F5A" w:rsidRDefault="00A30F5A" w:rsidP="00A30F5A">
      <w:pPr>
        <w:spacing w:line="240" w:lineRule="auto"/>
        <w:rPr>
          <w:rFonts w:eastAsia="Times New Roman" w:cs="Arial"/>
          <w:i/>
          <w:iCs/>
          <w:color w:val="000000"/>
          <w:lang w:eastAsia="bg-BG"/>
        </w:rPr>
      </w:pPr>
    </w:p>
    <w:p w14:paraId="4356734A" w14:textId="785BB085" w:rsidR="00A30F5A" w:rsidRPr="00A30F5A" w:rsidRDefault="00A30F5A" w:rsidP="00A30F5A">
      <w:pPr>
        <w:spacing w:line="240" w:lineRule="auto"/>
        <w:rPr>
          <w:rFonts w:eastAsia="Times New Roman" w:cs="Arial"/>
          <w:sz w:val="24"/>
          <w:szCs w:val="24"/>
          <w:lang w:eastAsia="bg-BG"/>
        </w:rPr>
      </w:pPr>
      <w:r w:rsidRPr="00A30F5A">
        <w:rPr>
          <w:rFonts w:eastAsia="Times New Roman" w:cs="Arial"/>
          <w:i/>
          <w:iCs/>
          <w:color w:val="000000"/>
          <w:lang w:eastAsia="bg-BG"/>
        </w:rPr>
        <w:t>Педиатрична популация</w:t>
      </w:r>
    </w:p>
    <w:p w14:paraId="6691A5A9" w14:textId="77777777"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 xml:space="preserve">В многоцентрово, двойно-сляпо, контролирано проучване, 138 пациенти (59 момчета и 79 момичета) от 6 до 10 годишна възраст (средна възраст 8,3 години) с хетерозиготна фамилна или не-фамилна хиперхолестеролемия </w:t>
      </w:r>
      <w:r w:rsidRPr="00A30F5A">
        <w:rPr>
          <w:rFonts w:eastAsia="Times New Roman" w:cs="Arial"/>
          <w:color w:val="000000"/>
          <w:lang w:val="en-US"/>
        </w:rPr>
        <w:t>(</w:t>
      </w:r>
      <w:proofErr w:type="spellStart"/>
      <w:r w:rsidRPr="00A30F5A">
        <w:rPr>
          <w:rFonts w:eastAsia="Times New Roman" w:cs="Arial"/>
          <w:color w:val="000000"/>
          <w:lang w:val="en-US"/>
        </w:rPr>
        <w:t>HeFH</w:t>
      </w:r>
      <w:proofErr w:type="spellEnd"/>
      <w:r w:rsidRPr="00A30F5A">
        <w:rPr>
          <w:rFonts w:eastAsia="Times New Roman" w:cs="Arial"/>
          <w:color w:val="000000"/>
          <w:lang w:val="en-US"/>
        </w:rPr>
        <w:t xml:space="preserve">) </w:t>
      </w:r>
      <w:r w:rsidRPr="00A30F5A">
        <w:rPr>
          <w:rFonts w:eastAsia="Times New Roman" w:cs="Arial"/>
          <w:color w:val="000000"/>
          <w:lang w:eastAsia="bg-BG"/>
        </w:rPr>
        <w:t xml:space="preserve">с изходни нива на </w:t>
      </w:r>
      <w:r w:rsidRPr="00A30F5A">
        <w:rPr>
          <w:rFonts w:eastAsia="Times New Roman" w:cs="Arial"/>
          <w:color w:val="000000"/>
          <w:lang w:val="en-US"/>
        </w:rPr>
        <w:t xml:space="preserve">LDL-C </w:t>
      </w:r>
      <w:r w:rsidRPr="00A30F5A">
        <w:rPr>
          <w:rFonts w:eastAsia="Times New Roman" w:cs="Arial"/>
          <w:color w:val="000000"/>
          <w:lang w:eastAsia="bg-BG"/>
        </w:rPr>
        <w:t xml:space="preserve">между 3,74 и 9,92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/l </w:t>
      </w:r>
      <w:r w:rsidRPr="00A30F5A">
        <w:rPr>
          <w:rFonts w:eastAsia="Times New Roman" w:cs="Arial"/>
          <w:color w:val="000000"/>
          <w:lang w:eastAsia="bg-BG"/>
        </w:rPr>
        <w:t xml:space="preserve">са рандомизирани или на 10 </w:t>
      </w:r>
      <w:r w:rsidRPr="00A30F5A">
        <w:rPr>
          <w:rFonts w:eastAsia="Times New Roman" w:cs="Arial"/>
          <w:color w:val="000000"/>
          <w:lang w:val="en-US"/>
        </w:rPr>
        <w:t xml:space="preserve">mg </w:t>
      </w:r>
      <w:r w:rsidRPr="00A30F5A">
        <w:rPr>
          <w:rFonts w:eastAsia="Times New Roman" w:cs="Arial"/>
          <w:color w:val="000000"/>
          <w:lang w:eastAsia="bg-BG"/>
        </w:rPr>
        <w:t>езетимиб или на плацебо в продължение на 12 седмици.</w:t>
      </w:r>
    </w:p>
    <w:p w14:paraId="7C8D450B" w14:textId="77777777"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 xml:space="preserve">На седмица 12, езетимиб значително намалява общия-С (-21% срещу 0%), </w:t>
      </w:r>
      <w:r w:rsidRPr="00A30F5A">
        <w:rPr>
          <w:rFonts w:eastAsia="Times New Roman" w:cs="Arial"/>
          <w:color w:val="000000"/>
          <w:lang w:val="en-US"/>
        </w:rPr>
        <w:t xml:space="preserve">LDL-C </w:t>
      </w:r>
      <w:r w:rsidRPr="00A30F5A">
        <w:rPr>
          <w:rFonts w:eastAsia="Times New Roman" w:cs="Arial"/>
          <w:color w:val="000000"/>
          <w:lang w:eastAsia="bg-BG"/>
        </w:rPr>
        <w:t>(-28% срещу</w:t>
      </w:r>
    </w:p>
    <w:p w14:paraId="529EB27A" w14:textId="77777777"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-1%), Аро-В (-22% срещу -1%), и не</w:t>
      </w:r>
      <w:r w:rsidRPr="00A30F5A">
        <w:rPr>
          <w:rFonts w:eastAsia="Times New Roman" w:cs="Arial"/>
          <w:color w:val="000000"/>
          <w:lang w:val="en-US"/>
        </w:rPr>
        <w:t xml:space="preserve">-HDL-C </w:t>
      </w:r>
      <w:r w:rsidRPr="00A30F5A">
        <w:rPr>
          <w:rFonts w:eastAsia="Times New Roman" w:cs="Arial"/>
          <w:color w:val="000000"/>
          <w:lang w:eastAsia="bg-BG"/>
        </w:rPr>
        <w:t>(-26% срещу 0%) в сравнение с плацебо.</w:t>
      </w:r>
    </w:p>
    <w:p w14:paraId="2D31D959" w14:textId="77777777"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 xml:space="preserve">Резултатите за двете групи на лечение са подобни за </w:t>
      </w:r>
      <w:r w:rsidRPr="00A30F5A">
        <w:rPr>
          <w:rFonts w:eastAsia="Times New Roman" w:cs="Arial"/>
          <w:color w:val="000000"/>
          <w:lang w:val="en-US"/>
        </w:rPr>
        <w:t xml:space="preserve">TG </w:t>
      </w:r>
      <w:r w:rsidRPr="00A30F5A">
        <w:rPr>
          <w:rFonts w:eastAsia="Times New Roman" w:cs="Arial"/>
          <w:color w:val="000000"/>
          <w:lang w:eastAsia="bg-BG"/>
        </w:rPr>
        <w:t xml:space="preserve">и </w:t>
      </w:r>
      <w:r w:rsidRPr="00A30F5A">
        <w:rPr>
          <w:rFonts w:eastAsia="Times New Roman" w:cs="Arial"/>
          <w:color w:val="000000"/>
          <w:lang w:val="en-US"/>
        </w:rPr>
        <w:t xml:space="preserve">HDL-C </w:t>
      </w:r>
      <w:r w:rsidRPr="00A30F5A">
        <w:rPr>
          <w:rFonts w:eastAsia="Times New Roman" w:cs="Arial"/>
          <w:color w:val="000000"/>
          <w:lang w:eastAsia="bg-BG"/>
        </w:rPr>
        <w:t>(-6% срещу + 8% и съответно + 2% срещу + 1%).</w:t>
      </w:r>
    </w:p>
    <w:p w14:paraId="5B70AE58" w14:textId="77777777" w:rsidR="00A30F5A" w:rsidRPr="00A30F5A" w:rsidRDefault="00A30F5A" w:rsidP="00A30F5A">
      <w:pPr>
        <w:spacing w:line="240" w:lineRule="auto"/>
        <w:rPr>
          <w:rFonts w:eastAsia="Times New Roman" w:cs="Arial"/>
          <w:color w:val="000000"/>
          <w:lang w:eastAsia="bg-BG"/>
        </w:rPr>
      </w:pPr>
    </w:p>
    <w:p w14:paraId="6C6BFBCD" w14:textId="58449E10"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lastRenderedPageBreak/>
        <w:t xml:space="preserve">В многоцентрово, двойно-сляпо, контролирано проучване, 142 момчета (П стадий по Танер и по-висок) и 106 момичета в пост менархе на възраст от 10 до 17 години (средна възраст 14,2 години) с хетерозиготна фамилна хиперхолестеролемия </w:t>
      </w:r>
      <w:r w:rsidRPr="00A30F5A">
        <w:rPr>
          <w:rFonts w:eastAsia="Times New Roman" w:cs="Arial"/>
          <w:color w:val="000000"/>
          <w:lang w:val="en-US"/>
        </w:rPr>
        <w:t>(</w:t>
      </w:r>
      <w:proofErr w:type="spellStart"/>
      <w:r w:rsidRPr="00A30F5A">
        <w:rPr>
          <w:rFonts w:eastAsia="Times New Roman" w:cs="Arial"/>
          <w:color w:val="000000"/>
          <w:lang w:val="en-US"/>
        </w:rPr>
        <w:t>HeFH</w:t>
      </w:r>
      <w:proofErr w:type="spellEnd"/>
      <w:r w:rsidRPr="00A30F5A">
        <w:rPr>
          <w:rFonts w:eastAsia="Times New Roman" w:cs="Arial"/>
          <w:color w:val="000000"/>
          <w:lang w:val="en-US"/>
        </w:rPr>
        <w:t xml:space="preserve">) </w:t>
      </w:r>
      <w:r w:rsidRPr="00A30F5A">
        <w:rPr>
          <w:rFonts w:eastAsia="Times New Roman" w:cs="Arial"/>
          <w:color w:val="000000"/>
          <w:lang w:eastAsia="bg-BG"/>
        </w:rPr>
        <w:t xml:space="preserve">с изходни стойности на </w:t>
      </w:r>
      <w:r w:rsidRPr="00A30F5A">
        <w:rPr>
          <w:rFonts w:eastAsia="Times New Roman" w:cs="Arial"/>
          <w:color w:val="000000"/>
          <w:lang w:val="en-US"/>
        </w:rPr>
        <w:t xml:space="preserve">LDL-C </w:t>
      </w:r>
      <w:r w:rsidRPr="00A30F5A">
        <w:rPr>
          <w:rFonts w:eastAsia="Times New Roman" w:cs="Arial"/>
          <w:color w:val="000000"/>
          <w:lang w:eastAsia="bg-BG"/>
        </w:rPr>
        <w:t xml:space="preserve">между 4,1 и 10,4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/1 </w:t>
      </w:r>
      <w:r w:rsidRPr="00A30F5A">
        <w:rPr>
          <w:rFonts w:eastAsia="Times New Roman" w:cs="Arial"/>
          <w:color w:val="000000"/>
          <w:lang w:eastAsia="bg-BG"/>
        </w:rPr>
        <w:t xml:space="preserve">са рандомизирани или на езетимиб 10 </w:t>
      </w:r>
      <w:r w:rsidRPr="00A30F5A">
        <w:rPr>
          <w:rFonts w:eastAsia="Times New Roman" w:cs="Arial"/>
          <w:color w:val="000000"/>
          <w:lang w:val="en-US"/>
        </w:rPr>
        <w:t xml:space="preserve">mg, </w:t>
      </w:r>
      <w:r w:rsidRPr="00A30F5A">
        <w:rPr>
          <w:rFonts w:eastAsia="Times New Roman" w:cs="Arial"/>
          <w:color w:val="000000"/>
          <w:lang w:eastAsia="bg-BG"/>
        </w:rPr>
        <w:t xml:space="preserve">прилаган съвместно със симвастатин (10,20 или 40 </w:t>
      </w:r>
      <w:r w:rsidRPr="00A30F5A">
        <w:rPr>
          <w:rFonts w:eastAsia="Times New Roman" w:cs="Arial"/>
          <w:color w:val="000000"/>
          <w:lang w:val="en-US"/>
        </w:rPr>
        <w:t xml:space="preserve">mg) </w:t>
      </w:r>
      <w:r w:rsidRPr="00A30F5A">
        <w:rPr>
          <w:rFonts w:eastAsia="Times New Roman" w:cs="Arial"/>
          <w:color w:val="000000"/>
          <w:lang w:eastAsia="bg-BG"/>
        </w:rPr>
        <w:t xml:space="preserve">или на симвастатин (10,20 или 40 </w:t>
      </w:r>
      <w:r w:rsidRPr="00A30F5A">
        <w:rPr>
          <w:rFonts w:eastAsia="Times New Roman" w:cs="Arial"/>
          <w:color w:val="000000"/>
          <w:lang w:val="en-US"/>
        </w:rPr>
        <w:t xml:space="preserve">mg) </w:t>
      </w:r>
      <w:r w:rsidRPr="00A30F5A">
        <w:rPr>
          <w:rFonts w:eastAsia="Times New Roman" w:cs="Arial"/>
          <w:color w:val="000000"/>
          <w:lang w:eastAsia="bg-BG"/>
        </w:rPr>
        <w:t xml:space="preserve">самостоятелно в продължение на 6 седмици; в следващите 27 седмици - на съвместно приложение на езетимиб и 40 </w:t>
      </w:r>
      <w:r w:rsidRPr="00A30F5A">
        <w:rPr>
          <w:rFonts w:eastAsia="Times New Roman" w:cs="Arial"/>
          <w:color w:val="000000"/>
          <w:lang w:val="en-US"/>
        </w:rPr>
        <w:t xml:space="preserve">mg </w:t>
      </w:r>
      <w:r w:rsidRPr="00A30F5A">
        <w:rPr>
          <w:rFonts w:eastAsia="Times New Roman" w:cs="Arial"/>
          <w:color w:val="000000"/>
          <w:lang w:eastAsia="bg-BG"/>
        </w:rPr>
        <w:t xml:space="preserve">симвастатин или 40 </w:t>
      </w:r>
      <w:r w:rsidRPr="00A30F5A">
        <w:rPr>
          <w:rFonts w:eastAsia="Times New Roman" w:cs="Arial"/>
          <w:color w:val="000000"/>
          <w:lang w:val="en-US"/>
        </w:rPr>
        <w:t xml:space="preserve">mg </w:t>
      </w:r>
      <w:r w:rsidRPr="00A30F5A">
        <w:rPr>
          <w:rFonts w:eastAsia="Times New Roman" w:cs="Arial"/>
          <w:color w:val="000000"/>
          <w:lang w:eastAsia="bg-BG"/>
        </w:rPr>
        <w:t xml:space="preserve">симвастатин самостоятелно и 20 седмици след това да приемат открито едновременно езетимиб и симвастатин (10 </w:t>
      </w:r>
      <w:r w:rsidRPr="00A30F5A">
        <w:rPr>
          <w:rFonts w:eastAsia="Times New Roman" w:cs="Arial"/>
          <w:color w:val="000000"/>
          <w:lang w:val="en-US"/>
        </w:rPr>
        <w:t xml:space="preserve">mg, </w:t>
      </w:r>
      <w:r w:rsidRPr="00A30F5A">
        <w:rPr>
          <w:rFonts w:eastAsia="Times New Roman" w:cs="Arial"/>
          <w:color w:val="000000"/>
          <w:lang w:eastAsia="bg-BG"/>
        </w:rPr>
        <w:t xml:space="preserve">20 </w:t>
      </w:r>
      <w:r w:rsidRPr="00A30F5A">
        <w:rPr>
          <w:rFonts w:eastAsia="Times New Roman" w:cs="Arial"/>
          <w:color w:val="000000"/>
          <w:lang w:val="en-US"/>
        </w:rPr>
        <w:t xml:space="preserve">mg, </w:t>
      </w:r>
      <w:r w:rsidRPr="00A30F5A">
        <w:rPr>
          <w:rFonts w:eastAsia="Times New Roman" w:cs="Arial"/>
          <w:color w:val="000000"/>
          <w:lang w:eastAsia="bg-BG"/>
        </w:rPr>
        <w:t xml:space="preserve">или 40 </w:t>
      </w:r>
      <w:r w:rsidRPr="00A30F5A">
        <w:rPr>
          <w:rFonts w:eastAsia="Times New Roman" w:cs="Arial"/>
          <w:color w:val="000000"/>
          <w:lang w:val="en-US"/>
        </w:rPr>
        <w:t>mg).</w:t>
      </w:r>
    </w:p>
    <w:p w14:paraId="05A7EAD3" w14:textId="77777777"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 xml:space="preserve">На седмица 6, езетимиб, прилаган съвместно със симвастатин (всички дози) статистически значимо намалява общия -С (38% срещу 26%), </w:t>
      </w:r>
      <w:r w:rsidRPr="00A30F5A">
        <w:rPr>
          <w:rFonts w:eastAsia="Times New Roman" w:cs="Arial"/>
          <w:color w:val="000000"/>
          <w:lang w:val="en-US"/>
        </w:rPr>
        <w:t xml:space="preserve">LDL-C </w:t>
      </w:r>
      <w:r w:rsidRPr="00A30F5A">
        <w:rPr>
          <w:rFonts w:eastAsia="Times New Roman" w:cs="Arial"/>
          <w:color w:val="000000"/>
          <w:lang w:eastAsia="bg-BG"/>
        </w:rPr>
        <w:t>(49% срещу 34%), Аро В (39% срещу 27%), и не</w:t>
      </w:r>
      <w:r w:rsidRPr="00A30F5A">
        <w:rPr>
          <w:rFonts w:eastAsia="Times New Roman" w:cs="Arial"/>
          <w:color w:val="000000"/>
          <w:lang w:val="en-US"/>
        </w:rPr>
        <w:t xml:space="preserve">-HDL-C </w:t>
      </w:r>
      <w:r w:rsidRPr="00A30F5A">
        <w:rPr>
          <w:rFonts w:eastAsia="Times New Roman" w:cs="Arial"/>
          <w:color w:val="000000"/>
          <w:lang w:eastAsia="bg-BG"/>
        </w:rPr>
        <w:t xml:space="preserve">(47% срещу 33%) в сравнение със симвастатин (всички дози) самостоятелно. Резултати за двете групи на лечение са подобни за </w:t>
      </w:r>
      <w:r w:rsidRPr="00A30F5A">
        <w:rPr>
          <w:rFonts w:eastAsia="Times New Roman" w:cs="Arial"/>
          <w:color w:val="000000"/>
          <w:lang w:val="en-US"/>
        </w:rPr>
        <w:t xml:space="preserve">TG </w:t>
      </w:r>
      <w:r w:rsidRPr="00A30F5A">
        <w:rPr>
          <w:rFonts w:eastAsia="Times New Roman" w:cs="Arial"/>
          <w:color w:val="000000"/>
          <w:lang w:eastAsia="bg-BG"/>
        </w:rPr>
        <w:t xml:space="preserve">и </w:t>
      </w:r>
      <w:r w:rsidRPr="00A30F5A">
        <w:rPr>
          <w:rFonts w:eastAsia="Times New Roman" w:cs="Arial"/>
          <w:color w:val="000000"/>
          <w:lang w:val="en-US"/>
        </w:rPr>
        <w:t xml:space="preserve">HDL-C </w:t>
      </w:r>
      <w:r w:rsidRPr="00A30F5A">
        <w:rPr>
          <w:rFonts w:eastAsia="Times New Roman" w:cs="Arial"/>
          <w:color w:val="000000"/>
          <w:lang w:eastAsia="bg-BG"/>
        </w:rPr>
        <w:t xml:space="preserve">(-17% спрямо -12% и +7% спрямо +6%, съответно). На седмица 33, резултатите са в съответствие с тези от седмица 6 и значително повече пациенти, приемащи езетимиб и 40 </w:t>
      </w:r>
      <w:r w:rsidRPr="00A30F5A">
        <w:rPr>
          <w:rFonts w:eastAsia="Times New Roman" w:cs="Arial"/>
          <w:color w:val="000000"/>
          <w:lang w:val="en-US"/>
        </w:rPr>
        <w:t xml:space="preserve">mg </w:t>
      </w:r>
      <w:r w:rsidRPr="00A30F5A">
        <w:rPr>
          <w:rFonts w:eastAsia="Times New Roman" w:cs="Arial"/>
          <w:color w:val="000000"/>
          <w:lang w:eastAsia="bg-BG"/>
        </w:rPr>
        <w:t xml:space="preserve">симвастатин (62%) постигат идеалната </w:t>
      </w:r>
      <w:r w:rsidRPr="00A30F5A">
        <w:rPr>
          <w:rFonts w:eastAsia="Times New Roman" w:cs="Arial"/>
          <w:color w:val="000000"/>
          <w:lang w:val="en-US"/>
        </w:rPr>
        <w:t xml:space="preserve">NCEP </w:t>
      </w:r>
      <w:r w:rsidRPr="00A30F5A">
        <w:rPr>
          <w:rFonts w:eastAsia="Times New Roman" w:cs="Arial"/>
          <w:color w:val="000000"/>
          <w:lang w:eastAsia="bg-BG"/>
        </w:rPr>
        <w:t xml:space="preserve">ААР цел (&lt;2,8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/1 </w:t>
      </w:r>
      <w:r w:rsidRPr="00A30F5A">
        <w:rPr>
          <w:rFonts w:eastAsia="Times New Roman" w:cs="Arial"/>
          <w:color w:val="000000"/>
          <w:lang w:eastAsia="bg-BG"/>
        </w:rPr>
        <w:t xml:space="preserve">[110 </w:t>
      </w:r>
      <w:r w:rsidRPr="00A30F5A">
        <w:rPr>
          <w:rFonts w:eastAsia="Times New Roman" w:cs="Arial"/>
          <w:color w:val="000000"/>
          <w:lang w:val="en-US"/>
        </w:rPr>
        <w:t xml:space="preserve">mg/dl]) </w:t>
      </w:r>
      <w:r w:rsidRPr="00A30F5A">
        <w:rPr>
          <w:rFonts w:eastAsia="Times New Roman" w:cs="Arial"/>
          <w:color w:val="000000"/>
          <w:lang w:eastAsia="bg-BG"/>
        </w:rPr>
        <w:t xml:space="preserve">за </w:t>
      </w:r>
      <w:r w:rsidRPr="00A30F5A">
        <w:rPr>
          <w:rFonts w:eastAsia="Times New Roman" w:cs="Arial"/>
          <w:color w:val="000000"/>
          <w:lang w:val="en-US"/>
        </w:rPr>
        <w:t xml:space="preserve">LDL-C </w:t>
      </w:r>
      <w:r w:rsidRPr="00A30F5A">
        <w:rPr>
          <w:rFonts w:eastAsia="Times New Roman" w:cs="Arial"/>
          <w:color w:val="000000"/>
          <w:lang w:eastAsia="bg-BG"/>
        </w:rPr>
        <w:t xml:space="preserve">в сравнение с тези, които получават 40 </w:t>
      </w:r>
      <w:r w:rsidRPr="00A30F5A">
        <w:rPr>
          <w:rFonts w:eastAsia="Times New Roman" w:cs="Arial"/>
          <w:color w:val="000000"/>
          <w:lang w:val="en-US"/>
        </w:rPr>
        <w:t xml:space="preserve">mg </w:t>
      </w:r>
      <w:r w:rsidRPr="00A30F5A">
        <w:rPr>
          <w:rFonts w:eastAsia="Times New Roman" w:cs="Arial"/>
          <w:color w:val="000000"/>
          <w:lang w:eastAsia="bg-BG"/>
        </w:rPr>
        <w:t>симвастатин (25%). На седмица 53, в края на откритото разширение ефектите върху липидните параметри се поддържат.</w:t>
      </w:r>
    </w:p>
    <w:p w14:paraId="15E8642A" w14:textId="77777777"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 xml:space="preserve">Безопасността и ефикасността на езетимиб, прилаган едновременно със симвастатин в дози над 40 </w:t>
      </w:r>
      <w:r w:rsidRPr="00A30F5A">
        <w:rPr>
          <w:rFonts w:eastAsia="Times New Roman" w:cs="Arial"/>
          <w:color w:val="000000"/>
          <w:lang w:val="en-US"/>
        </w:rPr>
        <w:t xml:space="preserve">mg </w:t>
      </w:r>
      <w:r w:rsidRPr="00A30F5A">
        <w:rPr>
          <w:rFonts w:eastAsia="Times New Roman" w:cs="Arial"/>
          <w:color w:val="000000"/>
          <w:lang w:eastAsia="bg-BG"/>
        </w:rPr>
        <w:t>дневно не са проучвани при педиатрични пациенти от 10 до 17-годишна възраст.</w:t>
      </w:r>
    </w:p>
    <w:p w14:paraId="0F576BFD" w14:textId="77777777"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Дългосрочната ефикасност на терапията с езетимиб при пациенти под 17-годишна възраст за намаляване на заболеваемостта и смъртността в зряла възраст не са проучени.</w:t>
      </w:r>
    </w:p>
    <w:p w14:paraId="1E13E350" w14:textId="77777777" w:rsidR="00A30F5A" w:rsidRPr="00A30F5A" w:rsidRDefault="00A30F5A" w:rsidP="00A30F5A">
      <w:pPr>
        <w:spacing w:line="240" w:lineRule="auto"/>
        <w:rPr>
          <w:rFonts w:eastAsia="Times New Roman" w:cs="Arial"/>
          <w:i/>
          <w:iCs/>
          <w:color w:val="000000"/>
          <w:lang w:eastAsia="bg-BG"/>
        </w:rPr>
      </w:pPr>
    </w:p>
    <w:p w14:paraId="27D67C63" w14:textId="0CDD3A57" w:rsidR="00A30F5A" w:rsidRPr="00A30F5A" w:rsidRDefault="00A30F5A" w:rsidP="00A30F5A">
      <w:pPr>
        <w:spacing w:line="240" w:lineRule="auto"/>
        <w:rPr>
          <w:rFonts w:eastAsia="Times New Roman" w:cs="Arial"/>
          <w:sz w:val="24"/>
          <w:szCs w:val="24"/>
          <w:lang w:eastAsia="bg-BG"/>
        </w:rPr>
      </w:pPr>
      <w:r w:rsidRPr="00A30F5A">
        <w:rPr>
          <w:rFonts w:eastAsia="Times New Roman" w:cs="Arial"/>
          <w:i/>
          <w:iCs/>
          <w:color w:val="000000"/>
          <w:lang w:eastAsia="bg-BG"/>
        </w:rPr>
        <w:t>Превенция на сърдечно-съдови събития</w:t>
      </w:r>
    </w:p>
    <w:p w14:paraId="4B3353D7" w14:textId="77777777" w:rsidR="00A30F5A" w:rsidRPr="00A30F5A" w:rsidRDefault="00A30F5A" w:rsidP="00A30F5A">
      <w:pPr>
        <w:spacing w:line="240" w:lineRule="auto"/>
        <w:rPr>
          <w:rFonts w:eastAsia="Times New Roman" w:cs="Arial"/>
          <w:color w:val="000000"/>
          <w:lang w:eastAsia="bg-BG"/>
        </w:rPr>
      </w:pPr>
    </w:p>
    <w:p w14:paraId="6A6EB3A2" w14:textId="7C044761" w:rsidR="00A30F5A"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 xml:space="preserve">Подобреното Намаляване на Неблагоприятните Резултати </w:t>
      </w:r>
      <w:r w:rsidRPr="00A30F5A">
        <w:rPr>
          <w:rFonts w:eastAsia="Times New Roman" w:cs="Arial"/>
          <w:color w:val="000000"/>
          <w:lang w:val="en-US"/>
        </w:rPr>
        <w:t xml:space="preserve">(The </w:t>
      </w:r>
      <w:proofErr w:type="spellStart"/>
      <w:r w:rsidRPr="00A30F5A">
        <w:rPr>
          <w:rFonts w:eastAsia="Times New Roman" w:cs="Arial"/>
          <w:color w:val="000000"/>
          <w:lang w:val="en-US"/>
        </w:rPr>
        <w:t>IMProved</w:t>
      </w:r>
      <w:proofErr w:type="spellEnd"/>
      <w:r w:rsidRPr="00A30F5A">
        <w:rPr>
          <w:rFonts w:eastAsia="Times New Roman" w:cs="Arial"/>
          <w:color w:val="000000"/>
          <w:lang w:val="en-US"/>
        </w:rPr>
        <w:t xml:space="preserve"> Reduction of Outcomes): </w:t>
      </w:r>
      <w:r w:rsidRPr="00A30F5A">
        <w:rPr>
          <w:rFonts w:eastAsia="Times New Roman" w:cs="Arial"/>
          <w:color w:val="000000"/>
          <w:lang w:eastAsia="bg-BG"/>
        </w:rPr>
        <w:t xml:space="preserve">Проучването </w:t>
      </w:r>
      <w:r w:rsidRPr="00A30F5A">
        <w:rPr>
          <w:rFonts w:eastAsia="Times New Roman" w:cs="Arial"/>
          <w:color w:val="000000"/>
          <w:lang w:val="en-US"/>
        </w:rPr>
        <w:t>IMPROVE</w:t>
      </w:r>
      <w:r w:rsidRPr="00A30F5A">
        <w:rPr>
          <w:rFonts w:eastAsia="Times New Roman" w:cs="Arial"/>
          <w:color w:val="000000"/>
          <w:lang w:eastAsia="bg-BG"/>
        </w:rPr>
        <w:t xml:space="preserve">-ГГ </w:t>
      </w:r>
      <w:r w:rsidRPr="00A30F5A">
        <w:rPr>
          <w:rFonts w:eastAsia="Times New Roman" w:cs="Arial"/>
          <w:color w:val="000000"/>
          <w:lang w:val="en-US"/>
        </w:rPr>
        <w:t>(</w:t>
      </w:r>
      <w:proofErr w:type="spellStart"/>
      <w:r w:rsidRPr="00A30F5A">
        <w:rPr>
          <w:rFonts w:eastAsia="Times New Roman" w:cs="Arial"/>
          <w:color w:val="000000"/>
          <w:lang w:val="en-US"/>
        </w:rPr>
        <w:t>Vytorin</w:t>
      </w:r>
      <w:proofErr w:type="spellEnd"/>
      <w:r w:rsidRPr="00A30F5A">
        <w:rPr>
          <w:rFonts w:eastAsia="Times New Roman" w:cs="Arial"/>
          <w:color w:val="000000"/>
          <w:lang w:val="en-US"/>
        </w:rPr>
        <w:t xml:space="preserve"> Efficacy International Trial) </w:t>
      </w:r>
      <w:r w:rsidRPr="00A30F5A">
        <w:rPr>
          <w:rFonts w:eastAsia="Times New Roman" w:cs="Arial"/>
          <w:color w:val="000000"/>
          <w:lang w:eastAsia="bg-BG"/>
        </w:rPr>
        <w:t xml:space="preserve">е многоцентрово, рандомизирано, двойно-сляпо, активно контролирано проучване при 18 144 пациенти, които са включени до 10 дни след хоспитализация по повод остър коронарен синдром </w:t>
      </w:r>
      <w:r w:rsidRPr="00A30F5A">
        <w:rPr>
          <w:rFonts w:eastAsia="Times New Roman" w:cs="Arial"/>
          <w:color w:val="000000"/>
          <w:lang w:val="en-US"/>
        </w:rPr>
        <w:t xml:space="preserve">(ACS); </w:t>
      </w:r>
      <w:r w:rsidRPr="00A30F5A">
        <w:rPr>
          <w:rFonts w:eastAsia="Times New Roman" w:cs="Arial"/>
          <w:color w:val="000000"/>
          <w:lang w:eastAsia="bg-BG"/>
        </w:rPr>
        <w:t xml:space="preserve">или остър миокарден инфаркт </w:t>
      </w:r>
      <w:r w:rsidRPr="00A30F5A">
        <w:rPr>
          <w:rFonts w:eastAsia="Times New Roman" w:cs="Arial"/>
          <w:color w:val="000000"/>
          <w:lang w:val="en-US"/>
        </w:rPr>
        <w:t xml:space="preserve">[MI] </w:t>
      </w:r>
      <w:r w:rsidRPr="00A30F5A">
        <w:rPr>
          <w:rFonts w:eastAsia="Times New Roman" w:cs="Arial"/>
          <w:color w:val="000000"/>
          <w:lang w:eastAsia="bg-BG"/>
        </w:rPr>
        <w:t xml:space="preserve">или нестабилна стенокардия </w:t>
      </w:r>
      <w:r w:rsidRPr="00A30F5A">
        <w:rPr>
          <w:rFonts w:eastAsia="Times New Roman" w:cs="Arial"/>
          <w:color w:val="000000"/>
          <w:lang w:val="en-US"/>
        </w:rPr>
        <w:t xml:space="preserve">[UA]). </w:t>
      </w:r>
      <w:r w:rsidRPr="00A30F5A">
        <w:rPr>
          <w:rFonts w:eastAsia="Times New Roman" w:cs="Arial"/>
          <w:color w:val="000000"/>
          <w:lang w:eastAsia="bg-BG"/>
        </w:rPr>
        <w:t xml:space="preserve">По време на </w:t>
      </w:r>
      <w:r w:rsidRPr="00A30F5A">
        <w:rPr>
          <w:rFonts w:eastAsia="Times New Roman" w:cs="Arial"/>
          <w:color w:val="000000"/>
          <w:lang w:val="en-US"/>
        </w:rPr>
        <w:t xml:space="preserve">ACS </w:t>
      </w:r>
      <w:r w:rsidRPr="00A30F5A">
        <w:rPr>
          <w:rFonts w:eastAsia="Times New Roman" w:cs="Arial"/>
          <w:color w:val="000000"/>
          <w:lang w:eastAsia="bg-BG"/>
        </w:rPr>
        <w:t xml:space="preserve">пациентите са имали </w:t>
      </w:r>
      <w:r w:rsidRPr="00A30F5A">
        <w:rPr>
          <w:rFonts w:eastAsia="Times New Roman" w:cs="Arial"/>
          <w:color w:val="000000"/>
          <w:lang w:val="en-US"/>
        </w:rPr>
        <w:t xml:space="preserve">LDL-C </w:t>
      </w:r>
      <w:r w:rsidRPr="00A30F5A">
        <w:rPr>
          <w:rFonts w:eastAsia="Times New Roman" w:cs="Arial"/>
          <w:color w:val="000000"/>
          <w:lang w:eastAsia="bg-BG"/>
        </w:rPr>
        <w:t xml:space="preserve">&lt;125 </w:t>
      </w:r>
      <w:r w:rsidRPr="00A30F5A">
        <w:rPr>
          <w:rFonts w:eastAsia="Times New Roman" w:cs="Arial"/>
          <w:color w:val="000000"/>
          <w:lang w:val="en-US"/>
        </w:rPr>
        <w:t xml:space="preserve">mg/dl </w:t>
      </w:r>
      <w:r w:rsidRPr="00A30F5A">
        <w:rPr>
          <w:rFonts w:eastAsia="Times New Roman" w:cs="Arial"/>
          <w:color w:val="000000"/>
          <w:lang w:eastAsia="bg-BG"/>
        </w:rPr>
        <w:t xml:space="preserve">(&lt;3,2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/l), </w:t>
      </w:r>
      <w:r w:rsidRPr="00A30F5A">
        <w:rPr>
          <w:rFonts w:eastAsia="Times New Roman" w:cs="Arial"/>
          <w:color w:val="000000"/>
          <w:lang w:eastAsia="bg-BG"/>
        </w:rPr>
        <w:t xml:space="preserve">ако не са приемали липидопонижаваща терапия, или &lt;100 </w:t>
      </w:r>
      <w:r w:rsidRPr="00A30F5A">
        <w:rPr>
          <w:rFonts w:eastAsia="Times New Roman" w:cs="Arial"/>
          <w:color w:val="000000"/>
          <w:lang w:val="en-US"/>
        </w:rPr>
        <w:t xml:space="preserve">mg/dl </w:t>
      </w:r>
      <w:r w:rsidRPr="00A30F5A">
        <w:rPr>
          <w:rFonts w:eastAsia="Times New Roman" w:cs="Arial"/>
          <w:color w:val="000000"/>
          <w:lang w:eastAsia="bg-BG"/>
        </w:rPr>
        <w:t xml:space="preserve">(&lt;2,6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/l), </w:t>
      </w:r>
      <w:r w:rsidRPr="00A30F5A">
        <w:rPr>
          <w:rFonts w:eastAsia="Times New Roman" w:cs="Arial"/>
          <w:color w:val="000000"/>
          <w:lang w:eastAsia="bg-BG"/>
        </w:rPr>
        <w:t xml:space="preserve">ако са приемали липидопонижаваща терапия. Всички пациенти са рандомизирани в съотношение 1:1 да получават или 10/40 </w:t>
      </w:r>
      <w:r w:rsidRPr="00A30F5A">
        <w:rPr>
          <w:rFonts w:eastAsia="Times New Roman" w:cs="Arial"/>
          <w:color w:val="000000"/>
          <w:lang w:val="en-US"/>
        </w:rPr>
        <w:t xml:space="preserve">mg </w:t>
      </w:r>
      <w:r w:rsidRPr="00A30F5A">
        <w:rPr>
          <w:rFonts w:eastAsia="Times New Roman" w:cs="Arial"/>
          <w:color w:val="000000"/>
          <w:lang w:eastAsia="bg-BG"/>
        </w:rPr>
        <w:t>езетимиб/симвастатин (</w:t>
      </w:r>
      <w:r w:rsidRPr="00A30F5A">
        <w:rPr>
          <w:rFonts w:eastAsia="Times New Roman" w:cs="Arial"/>
          <w:color w:val="000000"/>
          <w:lang w:val="en-US"/>
        </w:rPr>
        <w:t>n</w:t>
      </w:r>
      <w:r w:rsidRPr="00A30F5A">
        <w:rPr>
          <w:rFonts w:eastAsia="Times New Roman" w:cs="Arial"/>
          <w:color w:val="000000"/>
          <w:lang w:eastAsia="bg-BG"/>
        </w:rPr>
        <w:t xml:space="preserve">=9 067) или 40 </w:t>
      </w:r>
      <w:r w:rsidRPr="00A30F5A">
        <w:rPr>
          <w:rFonts w:eastAsia="Times New Roman" w:cs="Arial"/>
          <w:color w:val="000000"/>
          <w:lang w:val="en-US"/>
        </w:rPr>
        <w:t xml:space="preserve">mg </w:t>
      </w:r>
      <w:r w:rsidRPr="00A30F5A">
        <w:rPr>
          <w:rFonts w:eastAsia="Times New Roman" w:cs="Arial"/>
          <w:color w:val="000000"/>
          <w:lang w:eastAsia="bg-BG"/>
        </w:rPr>
        <w:t>симвастатин (</w:t>
      </w:r>
      <w:r w:rsidRPr="00A30F5A">
        <w:rPr>
          <w:rFonts w:eastAsia="Times New Roman" w:cs="Arial"/>
          <w:color w:val="000000"/>
          <w:lang w:val="en-US"/>
        </w:rPr>
        <w:t>n</w:t>
      </w:r>
      <w:r w:rsidRPr="00A30F5A">
        <w:rPr>
          <w:rFonts w:eastAsia="Times New Roman" w:cs="Arial"/>
          <w:color w:val="000000"/>
          <w:lang w:eastAsia="bg-BG"/>
        </w:rPr>
        <w:t>=9 077) и са проследени средно 6,0 години.</w:t>
      </w:r>
    </w:p>
    <w:p w14:paraId="0BC7A73C" w14:textId="77777777" w:rsidR="00A30F5A" w:rsidRPr="00A30F5A" w:rsidRDefault="00A30F5A" w:rsidP="00A30F5A">
      <w:pPr>
        <w:rPr>
          <w:rFonts w:eastAsia="Times New Roman" w:cs="Arial"/>
          <w:sz w:val="24"/>
          <w:szCs w:val="24"/>
          <w:lang w:eastAsia="bg-BG"/>
        </w:rPr>
      </w:pPr>
      <w:r w:rsidRPr="00A30F5A">
        <w:rPr>
          <w:rFonts w:eastAsia="Times New Roman" w:cs="Arial"/>
          <w:color w:val="000000"/>
          <w:lang w:eastAsia="bg-BG"/>
        </w:rPr>
        <w:t xml:space="preserve">Пациентите са на средна възраст от 63,6 години; 76% са мъже, 84% са с кавказки произход, а 27% страдат от диабет. По време на проучването при квалифицирано събитие средната стойност на </w:t>
      </w:r>
      <w:r w:rsidRPr="00A30F5A">
        <w:rPr>
          <w:rFonts w:eastAsia="Times New Roman" w:cs="Arial"/>
          <w:color w:val="000000"/>
          <w:lang w:val="en-US"/>
        </w:rPr>
        <w:t xml:space="preserve">LDL-C </w:t>
      </w:r>
      <w:r w:rsidRPr="00A30F5A">
        <w:rPr>
          <w:rFonts w:eastAsia="Times New Roman" w:cs="Arial"/>
          <w:color w:val="000000"/>
          <w:lang w:eastAsia="bg-BG"/>
        </w:rPr>
        <w:t xml:space="preserve">е 80 </w:t>
      </w:r>
      <w:r w:rsidRPr="00A30F5A">
        <w:rPr>
          <w:rFonts w:eastAsia="Times New Roman" w:cs="Arial"/>
          <w:color w:val="000000"/>
          <w:lang w:val="en-US"/>
        </w:rPr>
        <w:t xml:space="preserve">mg/dl </w:t>
      </w:r>
      <w:r w:rsidRPr="00A30F5A">
        <w:rPr>
          <w:rFonts w:eastAsia="Times New Roman" w:cs="Arial"/>
          <w:color w:val="000000"/>
          <w:lang w:eastAsia="bg-BG"/>
        </w:rPr>
        <w:t xml:space="preserve">(2,1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/1) </w:t>
      </w:r>
      <w:r w:rsidRPr="00A30F5A">
        <w:rPr>
          <w:rFonts w:eastAsia="Times New Roman" w:cs="Arial"/>
          <w:color w:val="000000"/>
          <w:lang w:eastAsia="bg-BG"/>
        </w:rPr>
        <w:t>за тези, които са на липидопонижаваща терапия (</w:t>
      </w:r>
      <w:r w:rsidRPr="00A30F5A">
        <w:rPr>
          <w:rFonts w:eastAsia="Times New Roman" w:cs="Arial"/>
          <w:color w:val="000000"/>
          <w:lang w:val="en-US"/>
        </w:rPr>
        <w:t>n</w:t>
      </w:r>
      <w:r w:rsidRPr="00A30F5A">
        <w:rPr>
          <w:rFonts w:eastAsia="Times New Roman" w:cs="Arial"/>
          <w:color w:val="000000"/>
          <w:lang w:eastAsia="bg-BG"/>
        </w:rPr>
        <w:t xml:space="preserve">=6 390) и 101 </w:t>
      </w:r>
      <w:r w:rsidRPr="00A30F5A">
        <w:rPr>
          <w:rFonts w:eastAsia="Times New Roman" w:cs="Arial"/>
          <w:color w:val="000000"/>
          <w:lang w:val="en-US"/>
        </w:rPr>
        <w:t xml:space="preserve">mg/dl </w:t>
      </w:r>
      <w:r w:rsidRPr="00A30F5A">
        <w:rPr>
          <w:rFonts w:eastAsia="Times New Roman" w:cs="Arial"/>
          <w:color w:val="000000"/>
          <w:lang w:eastAsia="bg-BG"/>
        </w:rPr>
        <w:t xml:space="preserve">(2,6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/1) </w:t>
      </w:r>
      <w:r w:rsidRPr="00A30F5A">
        <w:rPr>
          <w:rFonts w:eastAsia="Times New Roman" w:cs="Arial"/>
          <w:color w:val="000000"/>
          <w:lang w:eastAsia="bg-BG"/>
        </w:rPr>
        <w:t xml:space="preserve">за тези, които преди не са провеждали липидопонижаващо лечение </w:t>
      </w:r>
      <w:r w:rsidRPr="00A30F5A">
        <w:rPr>
          <w:rFonts w:eastAsia="Times New Roman" w:cs="Arial"/>
          <w:color w:val="000000"/>
          <w:lang w:val="en-US"/>
        </w:rPr>
        <w:t xml:space="preserve">(n=l </w:t>
      </w:r>
      <w:r w:rsidRPr="00A30F5A">
        <w:rPr>
          <w:rFonts w:eastAsia="Times New Roman" w:cs="Arial"/>
          <w:color w:val="000000"/>
          <w:lang w:eastAsia="bg-BG"/>
        </w:rPr>
        <w:t xml:space="preserve">1 594). Преди хоспитализацията по повод определено </w:t>
      </w:r>
      <w:r w:rsidRPr="00A30F5A">
        <w:rPr>
          <w:rFonts w:eastAsia="Times New Roman" w:cs="Arial"/>
          <w:color w:val="000000"/>
          <w:lang w:val="en-US"/>
        </w:rPr>
        <w:t xml:space="preserve">ACS </w:t>
      </w:r>
      <w:r w:rsidRPr="00A30F5A">
        <w:rPr>
          <w:rFonts w:eastAsia="Times New Roman" w:cs="Arial"/>
          <w:color w:val="000000"/>
          <w:lang w:eastAsia="bg-BG"/>
        </w:rPr>
        <w:t xml:space="preserve">събитие, 34% от пациентите са били на лечение със статии. След една година средната </w:t>
      </w:r>
      <w:r w:rsidRPr="00A30F5A">
        <w:rPr>
          <w:rFonts w:eastAsia="Times New Roman" w:cs="Arial"/>
          <w:color w:val="000000"/>
          <w:lang w:val="en-US"/>
        </w:rPr>
        <w:t xml:space="preserve">LDL-C </w:t>
      </w:r>
      <w:r w:rsidRPr="00A30F5A">
        <w:rPr>
          <w:rFonts w:eastAsia="Times New Roman" w:cs="Arial"/>
          <w:color w:val="000000"/>
          <w:lang w:eastAsia="bg-BG"/>
        </w:rPr>
        <w:t xml:space="preserve">при пациенти които продължават терапията е 53,2 </w:t>
      </w:r>
      <w:r w:rsidRPr="00A30F5A">
        <w:rPr>
          <w:rFonts w:eastAsia="Times New Roman" w:cs="Arial"/>
          <w:color w:val="000000"/>
          <w:lang w:val="en-US"/>
        </w:rPr>
        <w:t xml:space="preserve">mg/dl </w:t>
      </w:r>
      <w:r w:rsidRPr="00A30F5A">
        <w:rPr>
          <w:rFonts w:eastAsia="Times New Roman" w:cs="Arial"/>
          <w:color w:val="000000"/>
          <w:lang w:eastAsia="bg-BG"/>
        </w:rPr>
        <w:t xml:space="preserve">(1,4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/1) </w:t>
      </w:r>
      <w:r w:rsidRPr="00A30F5A">
        <w:rPr>
          <w:rFonts w:eastAsia="Times New Roman" w:cs="Arial"/>
          <w:color w:val="000000"/>
          <w:lang w:eastAsia="bg-BG"/>
        </w:rPr>
        <w:t xml:space="preserve">за групата на езетимиб/симвастатин и  69,9 </w:t>
      </w:r>
      <w:r w:rsidRPr="00A30F5A">
        <w:rPr>
          <w:rFonts w:eastAsia="Times New Roman" w:cs="Arial"/>
          <w:color w:val="000000"/>
          <w:lang w:val="en-US"/>
        </w:rPr>
        <w:t xml:space="preserve">mg/dl </w:t>
      </w:r>
      <w:r w:rsidRPr="00A30F5A">
        <w:rPr>
          <w:rFonts w:eastAsia="Times New Roman" w:cs="Arial"/>
          <w:color w:val="000000"/>
          <w:lang w:eastAsia="bg-BG"/>
        </w:rPr>
        <w:t xml:space="preserve">(1,8 </w:t>
      </w:r>
      <w:proofErr w:type="spellStart"/>
      <w:r w:rsidRPr="00A30F5A">
        <w:rPr>
          <w:rFonts w:eastAsia="Times New Roman" w:cs="Arial"/>
          <w:color w:val="000000"/>
          <w:lang w:val="en-US"/>
        </w:rPr>
        <w:t>mmol</w:t>
      </w:r>
      <w:proofErr w:type="spellEnd"/>
      <w:r w:rsidRPr="00A30F5A">
        <w:rPr>
          <w:rFonts w:eastAsia="Times New Roman" w:cs="Arial"/>
          <w:color w:val="000000"/>
          <w:lang w:val="en-US"/>
        </w:rPr>
        <w:t xml:space="preserve">/1) </w:t>
      </w:r>
      <w:r w:rsidRPr="00A30F5A">
        <w:rPr>
          <w:rFonts w:eastAsia="Times New Roman" w:cs="Arial"/>
          <w:color w:val="000000"/>
          <w:lang w:eastAsia="bg-BG"/>
        </w:rPr>
        <w:t xml:space="preserve">за групата на монотерапия със симвастатин. По принцип стойностите на липидите са получени от пациенти, които са останали на изследваната терапия Първичната крайна цел е съставна от смърт по сърдечно-съдови причини, големи коронарни  събития </w:t>
      </w:r>
      <w:r w:rsidRPr="00A30F5A">
        <w:rPr>
          <w:rFonts w:eastAsia="Times New Roman" w:cs="Arial"/>
          <w:color w:val="000000"/>
          <w:lang w:val="en-US"/>
        </w:rPr>
        <w:t xml:space="preserve">(MCE; </w:t>
      </w:r>
      <w:r w:rsidRPr="00A30F5A">
        <w:rPr>
          <w:rFonts w:eastAsia="Times New Roman" w:cs="Arial"/>
          <w:color w:val="000000"/>
          <w:lang w:eastAsia="bg-BG"/>
        </w:rPr>
        <w:t>дефинирани като нефатален инфаркт на миокарда, документирана нестабилна</w:t>
      </w:r>
      <w:r>
        <w:rPr>
          <w:rFonts w:eastAsia="Times New Roman" w:cs="Arial"/>
          <w:color w:val="000000"/>
          <w:lang w:eastAsia="bg-BG"/>
        </w:rPr>
        <w:t xml:space="preserve"> </w:t>
      </w:r>
      <w:r w:rsidRPr="00A30F5A">
        <w:rPr>
          <w:rFonts w:eastAsia="Times New Roman" w:cs="Arial"/>
          <w:color w:val="000000"/>
          <w:lang w:eastAsia="bg-BG"/>
        </w:rPr>
        <w:t xml:space="preserve">стенокардия, която изисква хоспитализация, или някаква коронарна реваскуларизационна процедура, които </w:t>
      </w:r>
      <w:r w:rsidRPr="00A30F5A">
        <w:rPr>
          <w:rFonts w:eastAsia="Times New Roman" w:cs="Arial"/>
          <w:color w:val="000000"/>
          <w:lang w:eastAsia="bg-BG"/>
        </w:rPr>
        <w:lastRenderedPageBreak/>
        <w:t xml:space="preserve">се наблюдават най-малко 30 дни след назначаването на рандомизирано лечение) и нефатален инсулт. Проучването показва, че лечението с езетимиб, добавен към симвастатин осигурява допълнителна полза за намаляване на събитията от първичната съставна цел - смърт по сърдечно-съдова причина, </w:t>
      </w:r>
      <w:r w:rsidRPr="00A30F5A">
        <w:rPr>
          <w:rFonts w:eastAsia="Times New Roman" w:cs="Arial"/>
          <w:color w:val="000000"/>
          <w:lang w:val="en-US"/>
        </w:rPr>
        <w:t xml:space="preserve">MCE </w:t>
      </w:r>
      <w:r w:rsidRPr="00A30F5A">
        <w:rPr>
          <w:rFonts w:eastAsia="Times New Roman" w:cs="Arial"/>
          <w:color w:val="000000"/>
          <w:lang w:eastAsia="bg-BG"/>
        </w:rPr>
        <w:t xml:space="preserve">и нефатален инсулт в сравнение със самостоятелното приложение на симвастатин (редукция на относителния риск от 6,4%, р = 0,016). Първичната крайна цел се постига при 2 572 от 9 067 пациенти (преживяемост 32,72% по </w:t>
      </w:r>
      <w:r w:rsidRPr="00A30F5A">
        <w:rPr>
          <w:rFonts w:eastAsia="Times New Roman" w:cs="Arial"/>
          <w:color w:val="000000"/>
          <w:lang w:val="en-US"/>
        </w:rPr>
        <w:t xml:space="preserve">Kaplan-Meier </w:t>
      </w:r>
      <w:r w:rsidRPr="00A30F5A">
        <w:rPr>
          <w:rFonts w:eastAsia="Times New Roman" w:cs="Arial"/>
          <w:color w:val="000000"/>
          <w:lang w:eastAsia="bg-BG"/>
        </w:rPr>
        <w:t>[КМ] при 7-годишно проследяване) в групата на езетимиб/симвастатин и при 2 742 от 9 077 пациенти (преживяемост34,67% по КМ при 7-годишно проследяване) в групата на самостоятелно приложение на симвастатин. (Вж. Фигура 1 и Таблица 2.) Очаква се тази частична полза да бъде подобна при едновременното прилагане на други статини, които са показали, че са ефективни в намаляване на риска от сърдечно-съдови събития. Общата смъртност е непроменена в тази високо рискова група (вж. Таблица 2).</w:t>
      </w:r>
    </w:p>
    <w:p w14:paraId="28252AA0" w14:textId="0567609F" w:rsidR="0091385D" w:rsidRPr="00A30F5A" w:rsidRDefault="00A30F5A" w:rsidP="00A30F5A">
      <w:pPr>
        <w:spacing w:line="240" w:lineRule="auto"/>
        <w:rPr>
          <w:rFonts w:eastAsia="Times New Roman" w:cs="Arial"/>
          <w:sz w:val="24"/>
          <w:szCs w:val="24"/>
          <w:lang w:eastAsia="bg-BG"/>
        </w:rPr>
      </w:pPr>
      <w:r w:rsidRPr="00A30F5A">
        <w:rPr>
          <w:rFonts w:eastAsia="Times New Roman" w:cs="Arial"/>
          <w:color w:val="000000"/>
          <w:lang w:eastAsia="bg-BG"/>
        </w:rPr>
        <w:t>Наблюдавана е цялостна полза при всички инсулти; обаче се наблюдава малко, незначително увеличение на хеморагичен инсулт в групата на езетимиб/симвастатин в сравнение със симвастатин самостоятелно (вж. Таблица 1). Рискът от хеморагичен инсулт с езетимиб, приложен едновременно с много мощни статини в дългосрочни проучвания не е оценяван. Ефектът от лечението с езетимиб/симвастатин като цяло е в съответствие с общите резултати в много подгрупи, включително пол, възраст, раса, медицинска анамнеза за захарен диабет, изходните нива на липидите, предишно лечение със статини, предишен инсулт и хипертония. Фигура 1: Ефект на езетимиб/симвастатин върху първичната съставна крайна цел от сърдечно</w:t>
      </w:r>
      <w:r w:rsidRPr="00A30F5A">
        <w:rPr>
          <w:rFonts w:eastAsia="Times New Roman" w:cs="Arial"/>
          <w:color w:val="000000"/>
          <w:lang w:eastAsia="bg-BG"/>
        </w:rPr>
        <w:softHyphen/>
        <w:t>съдова смърт, голям коронарен инцидент, или нефатален мозъчен инсулт.</w:t>
      </w:r>
    </w:p>
    <w:p w14:paraId="36152471" w14:textId="2A8EF262" w:rsidR="0091385D" w:rsidRDefault="0091385D" w:rsidP="0091385D"/>
    <w:p w14:paraId="48F5740A" w14:textId="65D0BFE7" w:rsidR="00A30F5A" w:rsidRPr="00A30F5A" w:rsidRDefault="00A30F5A" w:rsidP="0091385D">
      <w:pPr>
        <w:rPr>
          <w:lang w:val="en-US"/>
        </w:rPr>
      </w:pPr>
      <w:r>
        <w:rPr>
          <w:noProof/>
          <w:lang w:eastAsia="bg-BG"/>
        </w:rPr>
        <w:drawing>
          <wp:inline distT="0" distB="0" distL="0" distR="0" wp14:anchorId="145EE7DF" wp14:editId="3EAFEC10">
            <wp:extent cx="4296375" cy="2772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kaza.png"/>
                    <pic:cNvPicPr/>
                  </pic:nvPicPr>
                  <pic:blipFill>
                    <a:blip r:embed="rId5">
                      <a:extLst>
                        <a:ext uri="{28A0092B-C50C-407E-A947-70E740481C1C}">
                          <a14:useLocalDpi xmlns:a14="http://schemas.microsoft.com/office/drawing/2010/main" val="0"/>
                        </a:ext>
                      </a:extLst>
                    </a:blip>
                    <a:stretch>
                      <a:fillRect/>
                    </a:stretch>
                  </pic:blipFill>
                  <pic:spPr>
                    <a:xfrm>
                      <a:off x="0" y="0"/>
                      <a:ext cx="4296375" cy="2772162"/>
                    </a:xfrm>
                    <a:prstGeom prst="rect">
                      <a:avLst/>
                    </a:prstGeom>
                  </pic:spPr>
                </pic:pic>
              </a:graphicData>
            </a:graphic>
          </wp:inline>
        </w:drawing>
      </w:r>
    </w:p>
    <w:p w14:paraId="1D48ECB9" w14:textId="7DFFE4DF" w:rsidR="00A30F5A" w:rsidRDefault="00A30F5A" w:rsidP="0091385D"/>
    <w:p w14:paraId="6DA83B0D" w14:textId="77777777" w:rsidR="00A30F5A" w:rsidRDefault="00A30F5A" w:rsidP="00A30F5A">
      <w:pPr>
        <w:jc w:val="center"/>
      </w:pPr>
      <w:r>
        <w:t>Таблица 2</w:t>
      </w:r>
    </w:p>
    <w:p w14:paraId="5CFC2EA7" w14:textId="69EE5C9A" w:rsidR="00A30F5A" w:rsidRDefault="00A30F5A" w:rsidP="00A30F5A">
      <w:pPr>
        <w:jc w:val="center"/>
      </w:pPr>
      <w:r>
        <w:t xml:space="preserve">Големи сърдечно-съдови инциденти по групи на лечение при всички рандомизирани пациенти в проучването </w:t>
      </w:r>
      <w:r>
        <w:rPr>
          <w:lang w:val="en-US"/>
        </w:rPr>
        <w:t>IMPROVE-IT</w:t>
      </w:r>
    </w:p>
    <w:p w14:paraId="1CD31FF7" w14:textId="78637BF3" w:rsidR="00A30F5A" w:rsidRDefault="00A30F5A" w:rsidP="0091385D"/>
    <w:tbl>
      <w:tblPr>
        <w:tblStyle w:val="TableGrid"/>
        <w:tblW w:w="0" w:type="auto"/>
        <w:tblLook w:val="04A0" w:firstRow="1" w:lastRow="0" w:firstColumn="1" w:lastColumn="0" w:noHBand="0" w:noVBand="1"/>
      </w:tblPr>
      <w:tblGrid>
        <w:gridCol w:w="2104"/>
        <w:gridCol w:w="1272"/>
        <w:gridCol w:w="1698"/>
        <w:gridCol w:w="718"/>
        <w:gridCol w:w="1001"/>
        <w:gridCol w:w="1569"/>
        <w:gridCol w:w="1214"/>
      </w:tblGrid>
      <w:tr w:rsidR="0066269F" w14:paraId="63E3F621" w14:textId="77777777" w:rsidTr="0066269F">
        <w:tc>
          <w:tcPr>
            <w:tcW w:w="2104" w:type="dxa"/>
          </w:tcPr>
          <w:p w14:paraId="6E7FBD51" w14:textId="39240BD8" w:rsidR="0066269F" w:rsidRPr="0066269F" w:rsidRDefault="0066269F" w:rsidP="0066269F">
            <w:pPr>
              <w:rPr>
                <w:rFonts w:cs="Arial"/>
              </w:rPr>
            </w:pPr>
            <w:r w:rsidRPr="0066269F">
              <w:rPr>
                <w:rFonts w:cs="Arial"/>
                <w:b/>
                <w:bCs/>
                <w:u w:val="single"/>
              </w:rPr>
              <w:t>Изход</w:t>
            </w:r>
          </w:p>
        </w:tc>
        <w:tc>
          <w:tcPr>
            <w:tcW w:w="1272" w:type="dxa"/>
            <w:vAlign w:val="center"/>
          </w:tcPr>
          <w:p w14:paraId="358EBCBF" w14:textId="36E72939" w:rsidR="0066269F" w:rsidRPr="0066269F" w:rsidRDefault="0066269F" w:rsidP="0066269F">
            <w:pPr>
              <w:rPr>
                <w:rFonts w:cs="Arial"/>
              </w:rPr>
            </w:pPr>
            <w:r w:rsidRPr="0066269F">
              <w:rPr>
                <w:rFonts w:cs="Arial"/>
                <w:b/>
                <w:bCs/>
              </w:rPr>
              <w:t xml:space="preserve">Езетимиб 10/40 </w:t>
            </w:r>
            <w:r w:rsidRPr="0066269F">
              <w:rPr>
                <w:rFonts w:cs="Arial"/>
                <w:b/>
                <w:bCs/>
                <w:lang w:val="en-US"/>
              </w:rPr>
              <w:t xml:space="preserve">mg* </w:t>
            </w:r>
            <w:r w:rsidRPr="0066269F">
              <w:rPr>
                <w:rFonts w:cs="Arial"/>
                <w:b/>
                <w:bCs/>
              </w:rPr>
              <w:t>(</w:t>
            </w:r>
            <w:r w:rsidRPr="0066269F">
              <w:rPr>
                <w:rFonts w:cs="Arial"/>
                <w:b/>
                <w:bCs/>
                <w:lang w:val="en-US"/>
              </w:rPr>
              <w:t>n</w:t>
            </w:r>
            <w:r w:rsidRPr="0066269F">
              <w:rPr>
                <w:rFonts w:cs="Arial"/>
                <w:b/>
                <w:bCs/>
              </w:rPr>
              <w:t>=9 067)</w:t>
            </w:r>
          </w:p>
        </w:tc>
        <w:tc>
          <w:tcPr>
            <w:tcW w:w="1698" w:type="dxa"/>
          </w:tcPr>
          <w:p w14:paraId="3FEBA9A7" w14:textId="7C621415" w:rsidR="0066269F" w:rsidRPr="0066269F" w:rsidRDefault="0066269F" w:rsidP="0066269F">
            <w:pPr>
              <w:rPr>
                <w:rFonts w:cs="Arial"/>
              </w:rPr>
            </w:pPr>
            <w:r w:rsidRPr="0066269F">
              <w:rPr>
                <w:rFonts w:cs="Arial"/>
                <w:b/>
                <w:bCs/>
              </w:rPr>
              <w:t>Симвастатин</w:t>
            </w:r>
          </w:p>
        </w:tc>
        <w:tc>
          <w:tcPr>
            <w:tcW w:w="1719" w:type="dxa"/>
            <w:gridSpan w:val="2"/>
            <w:vAlign w:val="center"/>
          </w:tcPr>
          <w:p w14:paraId="2DF5491A" w14:textId="77777777" w:rsidR="0066269F" w:rsidRPr="0066269F" w:rsidRDefault="0066269F" w:rsidP="0066269F">
            <w:pPr>
              <w:rPr>
                <w:rFonts w:cs="Arial"/>
                <w:b/>
                <w:bCs/>
              </w:rPr>
            </w:pPr>
            <w:r w:rsidRPr="0066269F">
              <w:rPr>
                <w:rFonts w:cs="Arial"/>
                <w:b/>
                <w:bCs/>
              </w:rPr>
              <w:t>Симвастатин</w:t>
            </w:r>
          </w:p>
          <w:p w14:paraId="36022ACF" w14:textId="77777777" w:rsidR="0066269F" w:rsidRPr="0066269F" w:rsidRDefault="0066269F" w:rsidP="0066269F">
            <w:pPr>
              <w:rPr>
                <w:rFonts w:cs="Arial"/>
                <w:lang w:val="en-US"/>
              </w:rPr>
            </w:pPr>
            <w:r w:rsidRPr="0066269F">
              <w:rPr>
                <w:rFonts w:cs="Arial"/>
                <w:b/>
                <w:bCs/>
              </w:rPr>
              <w:t xml:space="preserve">40 </w:t>
            </w:r>
            <w:proofErr w:type="spellStart"/>
            <w:r w:rsidRPr="0066269F">
              <w:rPr>
                <w:rFonts w:cs="Arial"/>
                <w:b/>
                <w:bCs/>
                <w:lang w:val="en-US"/>
              </w:rPr>
              <w:t>mg</w:t>
            </w:r>
            <w:r w:rsidRPr="0066269F">
              <w:rPr>
                <w:rFonts w:cs="Arial"/>
                <w:b/>
                <w:bCs/>
                <w:vertAlign w:val="superscript"/>
                <w:lang w:val="en-US"/>
              </w:rPr>
              <w:t>b</w:t>
            </w:r>
            <w:proofErr w:type="spellEnd"/>
          </w:p>
          <w:p w14:paraId="599C01A6" w14:textId="0C31222A" w:rsidR="0066269F" w:rsidRPr="0066269F" w:rsidRDefault="0066269F" w:rsidP="0066269F">
            <w:pPr>
              <w:rPr>
                <w:rFonts w:cs="Arial"/>
              </w:rPr>
            </w:pPr>
            <w:r w:rsidRPr="0066269F">
              <w:rPr>
                <w:rFonts w:cs="Arial"/>
                <w:b/>
                <w:bCs/>
                <w:lang w:val="en-US"/>
              </w:rPr>
              <w:t>(n= 9 077)</w:t>
            </w:r>
          </w:p>
        </w:tc>
        <w:tc>
          <w:tcPr>
            <w:tcW w:w="1569" w:type="dxa"/>
          </w:tcPr>
          <w:p w14:paraId="336029EC" w14:textId="77777777" w:rsidR="0066269F" w:rsidRPr="0066269F" w:rsidRDefault="0066269F" w:rsidP="0066269F">
            <w:pPr>
              <w:rPr>
                <w:rFonts w:cs="Arial"/>
                <w:b/>
                <w:bCs/>
              </w:rPr>
            </w:pPr>
            <w:r w:rsidRPr="0066269F">
              <w:rPr>
                <w:rFonts w:cs="Arial"/>
                <w:b/>
                <w:bCs/>
              </w:rPr>
              <w:t>Коефициент на риска</w:t>
            </w:r>
          </w:p>
          <w:p w14:paraId="50F81B1D" w14:textId="6E320EA1" w:rsidR="0066269F" w:rsidRPr="0066269F" w:rsidRDefault="0066269F" w:rsidP="0066269F">
            <w:pPr>
              <w:rPr>
                <w:rFonts w:cs="Arial"/>
                <w:lang w:val="en-US"/>
              </w:rPr>
            </w:pPr>
            <w:r w:rsidRPr="0066269F">
              <w:rPr>
                <w:rFonts w:cs="Arial"/>
                <w:b/>
                <w:bCs/>
                <w:lang w:val="en-US"/>
              </w:rPr>
              <w:t>(95% CI)</w:t>
            </w:r>
          </w:p>
        </w:tc>
        <w:tc>
          <w:tcPr>
            <w:tcW w:w="1214" w:type="dxa"/>
            <w:vAlign w:val="bottom"/>
          </w:tcPr>
          <w:p w14:paraId="59351142" w14:textId="322581EC" w:rsidR="0066269F" w:rsidRPr="0066269F" w:rsidRDefault="0066269F" w:rsidP="0066269F">
            <w:pPr>
              <w:rPr>
                <w:rFonts w:cs="Arial"/>
              </w:rPr>
            </w:pPr>
            <w:r w:rsidRPr="0066269F">
              <w:rPr>
                <w:rFonts w:cs="Arial"/>
                <w:b/>
                <w:bCs/>
              </w:rPr>
              <w:t>р- стойност</w:t>
            </w:r>
          </w:p>
        </w:tc>
      </w:tr>
      <w:tr w:rsidR="0066269F" w14:paraId="5EF65556" w14:textId="77777777" w:rsidTr="0066269F">
        <w:tc>
          <w:tcPr>
            <w:tcW w:w="2104" w:type="dxa"/>
          </w:tcPr>
          <w:p w14:paraId="3B663212" w14:textId="77777777" w:rsidR="0066269F" w:rsidRPr="0066269F" w:rsidRDefault="0066269F" w:rsidP="0066269F">
            <w:pPr>
              <w:rPr>
                <w:rFonts w:cs="Arial"/>
              </w:rPr>
            </w:pPr>
          </w:p>
        </w:tc>
        <w:tc>
          <w:tcPr>
            <w:tcW w:w="1272" w:type="dxa"/>
            <w:vAlign w:val="center"/>
          </w:tcPr>
          <w:p w14:paraId="5A9BAD76" w14:textId="63F61A6A" w:rsidR="0066269F" w:rsidRPr="0066269F" w:rsidRDefault="0066269F" w:rsidP="0066269F">
            <w:pPr>
              <w:rPr>
                <w:rFonts w:cs="Arial"/>
              </w:rPr>
            </w:pPr>
            <w:r w:rsidRPr="0066269F">
              <w:rPr>
                <w:rFonts w:cs="Arial"/>
                <w:b/>
                <w:bCs/>
                <w:lang w:val="en-US"/>
              </w:rPr>
              <w:t>n</w:t>
            </w:r>
          </w:p>
        </w:tc>
        <w:tc>
          <w:tcPr>
            <w:tcW w:w="1698" w:type="dxa"/>
            <w:vAlign w:val="center"/>
          </w:tcPr>
          <w:p w14:paraId="215A684D" w14:textId="736052FC" w:rsidR="0066269F" w:rsidRPr="0066269F" w:rsidRDefault="0066269F" w:rsidP="0066269F">
            <w:pPr>
              <w:rPr>
                <w:rFonts w:cs="Arial"/>
              </w:rPr>
            </w:pPr>
            <w:r w:rsidRPr="0066269F">
              <w:rPr>
                <w:rFonts w:cs="Arial"/>
              </w:rPr>
              <w:t>К-М%</w:t>
            </w:r>
            <w:r w:rsidRPr="0066269F">
              <w:rPr>
                <w:rFonts w:cs="Arial"/>
                <w:vertAlign w:val="superscript"/>
              </w:rPr>
              <w:t>с</w:t>
            </w:r>
          </w:p>
        </w:tc>
        <w:tc>
          <w:tcPr>
            <w:tcW w:w="718" w:type="dxa"/>
            <w:vAlign w:val="center"/>
          </w:tcPr>
          <w:p w14:paraId="2460230C" w14:textId="515C7EC3" w:rsidR="0066269F" w:rsidRPr="0066269F" w:rsidRDefault="0066269F" w:rsidP="0066269F">
            <w:pPr>
              <w:rPr>
                <w:rFonts w:cs="Arial"/>
              </w:rPr>
            </w:pPr>
            <w:r w:rsidRPr="0066269F">
              <w:rPr>
                <w:rFonts w:cs="Arial"/>
                <w:lang w:val="en-US"/>
              </w:rPr>
              <w:t>n</w:t>
            </w:r>
          </w:p>
        </w:tc>
        <w:tc>
          <w:tcPr>
            <w:tcW w:w="1001" w:type="dxa"/>
            <w:vAlign w:val="center"/>
          </w:tcPr>
          <w:p w14:paraId="172D4B5E" w14:textId="6477EA5C" w:rsidR="0066269F" w:rsidRPr="0066269F" w:rsidRDefault="0066269F" w:rsidP="0066269F">
            <w:pPr>
              <w:rPr>
                <w:rFonts w:cs="Arial"/>
              </w:rPr>
            </w:pPr>
            <w:r w:rsidRPr="0066269F">
              <w:rPr>
                <w:rFonts w:cs="Arial"/>
              </w:rPr>
              <w:t>К-М%</w:t>
            </w:r>
            <w:r w:rsidRPr="0066269F">
              <w:rPr>
                <w:rFonts w:cs="Arial"/>
                <w:vertAlign w:val="superscript"/>
              </w:rPr>
              <w:t>с</w:t>
            </w:r>
          </w:p>
        </w:tc>
        <w:tc>
          <w:tcPr>
            <w:tcW w:w="1569" w:type="dxa"/>
          </w:tcPr>
          <w:p w14:paraId="3FB11DFB" w14:textId="77777777" w:rsidR="0066269F" w:rsidRPr="0066269F" w:rsidRDefault="0066269F" w:rsidP="0066269F">
            <w:pPr>
              <w:rPr>
                <w:rFonts w:cs="Arial"/>
              </w:rPr>
            </w:pPr>
          </w:p>
        </w:tc>
        <w:tc>
          <w:tcPr>
            <w:tcW w:w="1214" w:type="dxa"/>
          </w:tcPr>
          <w:p w14:paraId="08D7EEF1" w14:textId="77777777" w:rsidR="0066269F" w:rsidRPr="0066269F" w:rsidRDefault="0066269F" w:rsidP="0066269F">
            <w:pPr>
              <w:rPr>
                <w:rFonts w:cs="Arial"/>
              </w:rPr>
            </w:pPr>
          </w:p>
        </w:tc>
      </w:tr>
      <w:tr w:rsidR="0066269F" w14:paraId="31326B9E" w14:textId="77777777" w:rsidTr="005A74FE">
        <w:tc>
          <w:tcPr>
            <w:tcW w:w="9576" w:type="dxa"/>
            <w:gridSpan w:val="7"/>
            <w:vAlign w:val="bottom"/>
          </w:tcPr>
          <w:p w14:paraId="23CE0213" w14:textId="050AD65B" w:rsidR="0066269F" w:rsidRPr="0066269F" w:rsidRDefault="0066269F" w:rsidP="0066269F">
            <w:pPr>
              <w:rPr>
                <w:rFonts w:cs="Arial"/>
              </w:rPr>
            </w:pPr>
            <w:r w:rsidRPr="0066269F">
              <w:rPr>
                <w:rFonts w:cs="Arial"/>
                <w:b/>
                <w:bCs/>
              </w:rPr>
              <w:t>Първични съставни цели за ефикасност</w:t>
            </w:r>
          </w:p>
        </w:tc>
      </w:tr>
      <w:tr w:rsidR="0066269F" w14:paraId="4C30F0A7" w14:textId="77777777" w:rsidTr="003A0B3E">
        <w:trPr>
          <w:trHeight w:val="1619"/>
        </w:trPr>
        <w:tc>
          <w:tcPr>
            <w:tcW w:w="2104" w:type="dxa"/>
            <w:vAlign w:val="bottom"/>
          </w:tcPr>
          <w:p w14:paraId="1905D554" w14:textId="77777777" w:rsidR="0066269F" w:rsidRPr="0066269F" w:rsidRDefault="0066269F" w:rsidP="0066269F">
            <w:pPr>
              <w:rPr>
                <w:rFonts w:cs="Arial"/>
              </w:rPr>
            </w:pPr>
            <w:r w:rsidRPr="0066269F">
              <w:rPr>
                <w:rFonts w:cs="Arial"/>
              </w:rPr>
              <w:t>(Сърдечносъдова смърт,</w:t>
            </w:r>
          </w:p>
          <w:p w14:paraId="765768A2" w14:textId="0FD5AF91" w:rsidR="0066269F" w:rsidRPr="0066269F" w:rsidRDefault="0066269F" w:rsidP="0066269F">
            <w:pPr>
              <w:rPr>
                <w:rFonts w:cs="Arial"/>
              </w:rPr>
            </w:pPr>
            <w:r w:rsidRPr="0066269F">
              <w:rPr>
                <w:rFonts w:cs="Arial"/>
              </w:rPr>
              <w:t>големи съдови инциденти и нефатален инсулт)</w:t>
            </w:r>
          </w:p>
        </w:tc>
        <w:tc>
          <w:tcPr>
            <w:tcW w:w="1272" w:type="dxa"/>
            <w:vAlign w:val="bottom"/>
          </w:tcPr>
          <w:p w14:paraId="1255FFB2" w14:textId="15F90403" w:rsidR="0066269F" w:rsidRPr="0066269F" w:rsidRDefault="0066269F" w:rsidP="0066269F">
            <w:pPr>
              <w:rPr>
                <w:rFonts w:cs="Arial"/>
              </w:rPr>
            </w:pPr>
            <w:r w:rsidRPr="0066269F">
              <w:rPr>
                <w:rFonts w:cs="Arial"/>
              </w:rPr>
              <w:t>2 572</w:t>
            </w:r>
          </w:p>
        </w:tc>
        <w:tc>
          <w:tcPr>
            <w:tcW w:w="1698" w:type="dxa"/>
            <w:vAlign w:val="bottom"/>
          </w:tcPr>
          <w:p w14:paraId="083F186C" w14:textId="0D1BB5B1" w:rsidR="0066269F" w:rsidRPr="0066269F" w:rsidRDefault="0066269F" w:rsidP="0066269F">
            <w:pPr>
              <w:rPr>
                <w:rFonts w:cs="Arial"/>
              </w:rPr>
            </w:pPr>
            <w:r w:rsidRPr="0066269F">
              <w:rPr>
                <w:rFonts w:cs="Arial"/>
              </w:rPr>
              <w:t>32,72%</w:t>
            </w:r>
          </w:p>
        </w:tc>
        <w:tc>
          <w:tcPr>
            <w:tcW w:w="718" w:type="dxa"/>
            <w:vAlign w:val="bottom"/>
          </w:tcPr>
          <w:p w14:paraId="7798A905" w14:textId="7B160F87" w:rsidR="0066269F" w:rsidRPr="0066269F" w:rsidRDefault="0066269F" w:rsidP="0066269F">
            <w:pPr>
              <w:rPr>
                <w:rFonts w:cs="Arial"/>
              </w:rPr>
            </w:pPr>
            <w:r w:rsidRPr="0066269F">
              <w:rPr>
                <w:rFonts w:cs="Arial"/>
              </w:rPr>
              <w:t>2 742</w:t>
            </w:r>
          </w:p>
        </w:tc>
        <w:tc>
          <w:tcPr>
            <w:tcW w:w="1001" w:type="dxa"/>
            <w:vAlign w:val="bottom"/>
          </w:tcPr>
          <w:p w14:paraId="36991117" w14:textId="185EB225" w:rsidR="0066269F" w:rsidRPr="0066269F" w:rsidRDefault="0066269F" w:rsidP="0066269F">
            <w:pPr>
              <w:rPr>
                <w:rFonts w:cs="Arial"/>
              </w:rPr>
            </w:pPr>
            <w:r w:rsidRPr="0066269F">
              <w:rPr>
                <w:rFonts w:cs="Arial"/>
              </w:rPr>
              <w:t>34,67%</w:t>
            </w:r>
          </w:p>
        </w:tc>
        <w:tc>
          <w:tcPr>
            <w:tcW w:w="1569" w:type="dxa"/>
            <w:vAlign w:val="bottom"/>
          </w:tcPr>
          <w:p w14:paraId="1BA58BF0" w14:textId="77777777" w:rsidR="0066269F" w:rsidRPr="0066269F" w:rsidRDefault="0066269F" w:rsidP="0066269F">
            <w:pPr>
              <w:rPr>
                <w:rFonts w:cs="Arial"/>
              </w:rPr>
            </w:pPr>
            <w:r w:rsidRPr="0066269F">
              <w:rPr>
                <w:rFonts w:cs="Arial"/>
              </w:rPr>
              <w:t>0,936</w:t>
            </w:r>
            <w:r w:rsidRPr="0066269F">
              <w:rPr>
                <w:rFonts w:cs="Arial"/>
                <w:lang w:val="en-US"/>
              </w:rPr>
              <w:t xml:space="preserve"> (0,887)</w:t>
            </w:r>
          </w:p>
          <w:p w14:paraId="293164F7" w14:textId="38F63EA5" w:rsidR="0066269F" w:rsidRPr="0066269F" w:rsidRDefault="0066269F" w:rsidP="0066269F">
            <w:pPr>
              <w:rPr>
                <w:rFonts w:cs="Arial"/>
              </w:rPr>
            </w:pPr>
            <w:r w:rsidRPr="0066269F">
              <w:rPr>
                <w:rFonts w:cs="Arial"/>
              </w:rPr>
              <w:t>0,988)</w:t>
            </w:r>
          </w:p>
        </w:tc>
        <w:tc>
          <w:tcPr>
            <w:tcW w:w="1214" w:type="dxa"/>
            <w:vAlign w:val="bottom"/>
          </w:tcPr>
          <w:p w14:paraId="66FB27C0" w14:textId="01214187" w:rsidR="0066269F" w:rsidRPr="0066269F" w:rsidRDefault="0066269F" w:rsidP="0066269F">
            <w:pPr>
              <w:rPr>
                <w:rFonts w:cs="Arial"/>
              </w:rPr>
            </w:pPr>
            <w:r w:rsidRPr="0066269F">
              <w:rPr>
                <w:rFonts w:cs="Arial"/>
              </w:rPr>
              <w:t>0,</w:t>
            </w:r>
            <w:r w:rsidRPr="0066269F">
              <w:rPr>
                <w:rFonts w:cs="Arial"/>
                <w:lang w:val="en-US"/>
              </w:rPr>
              <w:t xml:space="preserve"> 016</w:t>
            </w:r>
          </w:p>
        </w:tc>
      </w:tr>
      <w:tr w:rsidR="0066269F" w14:paraId="461636AC" w14:textId="77777777" w:rsidTr="00B74342">
        <w:tc>
          <w:tcPr>
            <w:tcW w:w="9576" w:type="dxa"/>
            <w:gridSpan w:val="7"/>
          </w:tcPr>
          <w:p w14:paraId="20295D1E" w14:textId="77777777" w:rsidR="0066269F" w:rsidRPr="0066269F" w:rsidRDefault="0066269F" w:rsidP="0066269F">
            <w:pPr>
              <w:spacing w:line="240" w:lineRule="auto"/>
              <w:rPr>
                <w:rFonts w:eastAsia="Times New Roman" w:cs="Arial"/>
                <w:lang w:eastAsia="bg-BG"/>
              </w:rPr>
            </w:pPr>
            <w:r w:rsidRPr="0066269F">
              <w:rPr>
                <w:rFonts w:eastAsia="Times New Roman" w:cs="Arial"/>
                <w:b/>
                <w:bCs/>
                <w:color w:val="000000"/>
                <w:lang w:eastAsia="bg-BG"/>
              </w:rPr>
              <w:t>Вторични съставни цели за ефикасност</w:t>
            </w:r>
          </w:p>
          <w:p w14:paraId="3B7D042E" w14:textId="77777777" w:rsidR="0066269F" w:rsidRPr="0066269F" w:rsidRDefault="0066269F" w:rsidP="0066269F">
            <w:pPr>
              <w:rPr>
                <w:rFonts w:cs="Arial"/>
              </w:rPr>
            </w:pPr>
          </w:p>
        </w:tc>
      </w:tr>
      <w:tr w:rsidR="0066269F" w14:paraId="1EA1E5FC" w14:textId="77777777" w:rsidTr="0066269F">
        <w:tc>
          <w:tcPr>
            <w:tcW w:w="2104" w:type="dxa"/>
          </w:tcPr>
          <w:p w14:paraId="5D3C35C8" w14:textId="2AAC117F" w:rsidR="0066269F" w:rsidRPr="0066269F" w:rsidRDefault="0066269F" w:rsidP="0066269F">
            <w:pPr>
              <w:rPr>
                <w:rFonts w:cs="Arial"/>
              </w:rPr>
            </w:pPr>
            <w:r w:rsidRPr="0066269F">
              <w:rPr>
                <w:rFonts w:cs="Arial"/>
                <w:lang w:val="en-US"/>
              </w:rPr>
              <w:t xml:space="preserve">CHD </w:t>
            </w:r>
            <w:r w:rsidRPr="0066269F">
              <w:rPr>
                <w:rFonts w:cs="Arial"/>
              </w:rPr>
              <w:t xml:space="preserve">смърт, нефатален </w:t>
            </w:r>
            <w:r w:rsidRPr="0066269F">
              <w:rPr>
                <w:rFonts w:cs="Arial"/>
                <w:lang w:val="en-US"/>
              </w:rPr>
              <w:t xml:space="preserve">MI, </w:t>
            </w:r>
            <w:r w:rsidRPr="0066269F">
              <w:rPr>
                <w:rFonts w:cs="Arial"/>
              </w:rPr>
              <w:t>спешна коронарна реваскуларизация след 30 дни</w:t>
            </w:r>
          </w:p>
        </w:tc>
        <w:tc>
          <w:tcPr>
            <w:tcW w:w="1272" w:type="dxa"/>
          </w:tcPr>
          <w:p w14:paraId="69E81691" w14:textId="26280C94" w:rsidR="0066269F" w:rsidRPr="0066269F" w:rsidRDefault="0066269F" w:rsidP="0066269F">
            <w:pPr>
              <w:rPr>
                <w:rFonts w:cs="Arial"/>
              </w:rPr>
            </w:pPr>
            <w:r w:rsidRPr="0066269F">
              <w:rPr>
                <w:rFonts w:cs="Arial"/>
              </w:rPr>
              <w:t>1 322</w:t>
            </w:r>
          </w:p>
        </w:tc>
        <w:tc>
          <w:tcPr>
            <w:tcW w:w="1698" w:type="dxa"/>
          </w:tcPr>
          <w:p w14:paraId="07B69B83" w14:textId="697762A1" w:rsidR="0066269F" w:rsidRPr="0066269F" w:rsidRDefault="0066269F" w:rsidP="0066269F">
            <w:pPr>
              <w:rPr>
                <w:rFonts w:cs="Arial"/>
              </w:rPr>
            </w:pPr>
            <w:r w:rsidRPr="0066269F">
              <w:rPr>
                <w:rFonts w:cs="Arial"/>
              </w:rPr>
              <w:t>17,52%</w:t>
            </w:r>
          </w:p>
        </w:tc>
        <w:tc>
          <w:tcPr>
            <w:tcW w:w="718" w:type="dxa"/>
          </w:tcPr>
          <w:p w14:paraId="0378941C" w14:textId="240FA4AA" w:rsidR="0066269F" w:rsidRPr="0066269F" w:rsidRDefault="0066269F" w:rsidP="0066269F">
            <w:pPr>
              <w:rPr>
                <w:rFonts w:cs="Arial"/>
              </w:rPr>
            </w:pPr>
            <w:r w:rsidRPr="0066269F">
              <w:rPr>
                <w:rFonts w:cs="Arial"/>
              </w:rPr>
              <w:t>1448</w:t>
            </w:r>
          </w:p>
        </w:tc>
        <w:tc>
          <w:tcPr>
            <w:tcW w:w="1001" w:type="dxa"/>
          </w:tcPr>
          <w:p w14:paraId="43D6AD65" w14:textId="072CD000" w:rsidR="0066269F" w:rsidRPr="0066269F" w:rsidRDefault="0066269F" w:rsidP="0066269F">
            <w:pPr>
              <w:rPr>
                <w:rFonts w:cs="Arial"/>
              </w:rPr>
            </w:pPr>
            <w:r w:rsidRPr="0066269F">
              <w:rPr>
                <w:rFonts w:cs="Arial"/>
              </w:rPr>
              <w:t>18,88%</w:t>
            </w:r>
          </w:p>
        </w:tc>
        <w:tc>
          <w:tcPr>
            <w:tcW w:w="1569" w:type="dxa"/>
          </w:tcPr>
          <w:p w14:paraId="5D3432FD" w14:textId="77777777" w:rsidR="0066269F" w:rsidRPr="0066269F" w:rsidRDefault="0066269F" w:rsidP="0066269F">
            <w:pPr>
              <w:rPr>
                <w:rFonts w:cs="Arial"/>
              </w:rPr>
            </w:pPr>
            <w:r w:rsidRPr="0066269F">
              <w:rPr>
                <w:rFonts w:cs="Arial"/>
              </w:rPr>
              <w:t>0,912(0,847;</w:t>
            </w:r>
          </w:p>
          <w:p w14:paraId="1DC6D083" w14:textId="36950D72" w:rsidR="0066269F" w:rsidRPr="0066269F" w:rsidRDefault="0066269F" w:rsidP="0066269F">
            <w:pPr>
              <w:rPr>
                <w:rFonts w:cs="Arial"/>
              </w:rPr>
            </w:pPr>
            <w:r w:rsidRPr="0066269F">
              <w:rPr>
                <w:rFonts w:cs="Arial"/>
              </w:rPr>
              <w:t>0,983)</w:t>
            </w:r>
          </w:p>
        </w:tc>
        <w:tc>
          <w:tcPr>
            <w:tcW w:w="1214" w:type="dxa"/>
          </w:tcPr>
          <w:p w14:paraId="6F39FCBE" w14:textId="0F3199B8" w:rsidR="0066269F" w:rsidRPr="0066269F" w:rsidRDefault="0066269F" w:rsidP="0066269F">
            <w:pPr>
              <w:rPr>
                <w:rFonts w:cs="Arial"/>
              </w:rPr>
            </w:pPr>
            <w:r w:rsidRPr="0066269F">
              <w:rPr>
                <w:rFonts w:cs="Arial"/>
              </w:rPr>
              <w:t>0,016</w:t>
            </w:r>
          </w:p>
        </w:tc>
      </w:tr>
      <w:tr w:rsidR="0066269F" w14:paraId="2450060E" w14:textId="77777777" w:rsidTr="0066269F">
        <w:tc>
          <w:tcPr>
            <w:tcW w:w="2104" w:type="dxa"/>
          </w:tcPr>
          <w:p w14:paraId="4400A9D2" w14:textId="7CE2F05F" w:rsidR="0066269F" w:rsidRPr="0066269F" w:rsidRDefault="0066269F" w:rsidP="0066269F">
            <w:pPr>
              <w:rPr>
                <w:rFonts w:cs="Arial"/>
              </w:rPr>
            </w:pPr>
            <w:r w:rsidRPr="0066269F">
              <w:rPr>
                <w:rFonts w:cs="Arial"/>
                <w:lang w:val="en-US"/>
              </w:rPr>
              <w:t xml:space="preserve">MCE, </w:t>
            </w:r>
            <w:r w:rsidRPr="0066269F">
              <w:rPr>
                <w:rFonts w:cs="Arial"/>
              </w:rPr>
              <w:t>нефатален инсулт, смърт (по всякакви причини)</w:t>
            </w:r>
          </w:p>
        </w:tc>
        <w:tc>
          <w:tcPr>
            <w:tcW w:w="1272" w:type="dxa"/>
          </w:tcPr>
          <w:p w14:paraId="687FBCBF" w14:textId="292C661F" w:rsidR="0066269F" w:rsidRPr="0066269F" w:rsidRDefault="0066269F" w:rsidP="0066269F">
            <w:pPr>
              <w:rPr>
                <w:rFonts w:cs="Arial"/>
              </w:rPr>
            </w:pPr>
            <w:r w:rsidRPr="0066269F">
              <w:rPr>
                <w:rFonts w:cs="Arial"/>
              </w:rPr>
              <w:t>3 089</w:t>
            </w:r>
          </w:p>
        </w:tc>
        <w:tc>
          <w:tcPr>
            <w:tcW w:w="1698" w:type="dxa"/>
          </w:tcPr>
          <w:p w14:paraId="0778D4F7" w14:textId="2756859C" w:rsidR="0066269F" w:rsidRPr="0066269F" w:rsidRDefault="0066269F" w:rsidP="0066269F">
            <w:pPr>
              <w:rPr>
                <w:rFonts w:cs="Arial"/>
              </w:rPr>
            </w:pPr>
            <w:r w:rsidRPr="0066269F">
              <w:rPr>
                <w:rFonts w:cs="Arial"/>
              </w:rPr>
              <w:t>38,65%</w:t>
            </w:r>
          </w:p>
        </w:tc>
        <w:tc>
          <w:tcPr>
            <w:tcW w:w="718" w:type="dxa"/>
          </w:tcPr>
          <w:p w14:paraId="418EB895" w14:textId="3D507D0D" w:rsidR="0066269F" w:rsidRPr="0066269F" w:rsidRDefault="0066269F" w:rsidP="0066269F">
            <w:pPr>
              <w:rPr>
                <w:rFonts w:cs="Arial"/>
              </w:rPr>
            </w:pPr>
            <w:r w:rsidRPr="0066269F">
              <w:rPr>
                <w:rFonts w:cs="Arial"/>
              </w:rPr>
              <w:t>3 246</w:t>
            </w:r>
          </w:p>
        </w:tc>
        <w:tc>
          <w:tcPr>
            <w:tcW w:w="1001" w:type="dxa"/>
          </w:tcPr>
          <w:p w14:paraId="1B4C1674" w14:textId="53DA2B38" w:rsidR="0066269F" w:rsidRPr="0066269F" w:rsidRDefault="0066269F" w:rsidP="0066269F">
            <w:pPr>
              <w:rPr>
                <w:rFonts w:cs="Arial"/>
              </w:rPr>
            </w:pPr>
            <w:r w:rsidRPr="0066269F">
              <w:rPr>
                <w:rFonts w:cs="Arial"/>
              </w:rPr>
              <w:t>40,25%</w:t>
            </w:r>
          </w:p>
        </w:tc>
        <w:tc>
          <w:tcPr>
            <w:tcW w:w="1569" w:type="dxa"/>
          </w:tcPr>
          <w:p w14:paraId="51063050" w14:textId="73B8F8D4" w:rsidR="0066269F" w:rsidRPr="0066269F" w:rsidRDefault="0066269F" w:rsidP="0066269F">
            <w:pPr>
              <w:rPr>
                <w:rFonts w:cs="Arial"/>
              </w:rPr>
            </w:pPr>
            <w:r w:rsidRPr="0066269F">
              <w:rPr>
                <w:rFonts w:cs="Arial"/>
              </w:rPr>
              <w:t>0,948 (0,903; 0,996)</w:t>
            </w:r>
          </w:p>
        </w:tc>
        <w:tc>
          <w:tcPr>
            <w:tcW w:w="1214" w:type="dxa"/>
          </w:tcPr>
          <w:p w14:paraId="75785489" w14:textId="1A2ED607" w:rsidR="0066269F" w:rsidRPr="0066269F" w:rsidRDefault="0066269F" w:rsidP="0066269F">
            <w:pPr>
              <w:rPr>
                <w:rFonts w:cs="Arial"/>
              </w:rPr>
            </w:pPr>
            <w:r w:rsidRPr="0066269F">
              <w:rPr>
                <w:rFonts w:cs="Arial"/>
              </w:rPr>
              <w:t>0,035</w:t>
            </w:r>
          </w:p>
        </w:tc>
      </w:tr>
      <w:tr w:rsidR="0066269F" w14:paraId="1A6279FF" w14:textId="77777777" w:rsidTr="0066269F">
        <w:tc>
          <w:tcPr>
            <w:tcW w:w="2104" w:type="dxa"/>
          </w:tcPr>
          <w:p w14:paraId="2D050B59" w14:textId="11D58B82" w:rsidR="0066269F" w:rsidRPr="0066269F" w:rsidRDefault="0066269F" w:rsidP="0066269F">
            <w:pPr>
              <w:rPr>
                <w:rFonts w:cs="Arial"/>
              </w:rPr>
            </w:pPr>
            <w:r w:rsidRPr="0066269F">
              <w:rPr>
                <w:rFonts w:cs="Arial"/>
              </w:rPr>
              <w:t xml:space="preserve">Сърдечносъдова смърт, нефатален </w:t>
            </w:r>
            <w:r w:rsidRPr="0066269F">
              <w:rPr>
                <w:rFonts w:cs="Arial"/>
                <w:lang w:val="en-US"/>
              </w:rPr>
              <w:t xml:space="preserve">MI, </w:t>
            </w:r>
            <w:r w:rsidRPr="0066269F">
              <w:rPr>
                <w:rFonts w:cs="Arial"/>
              </w:rPr>
              <w:t>нестабилна стенокардия, изискваща хоспитализация, реваскуларизация от всякакъв вид, нефатален инсулт</w:t>
            </w:r>
          </w:p>
        </w:tc>
        <w:tc>
          <w:tcPr>
            <w:tcW w:w="1272" w:type="dxa"/>
          </w:tcPr>
          <w:p w14:paraId="35911B04" w14:textId="4855C036" w:rsidR="0066269F" w:rsidRPr="0066269F" w:rsidRDefault="0066269F" w:rsidP="0066269F">
            <w:pPr>
              <w:rPr>
                <w:rFonts w:cs="Arial"/>
              </w:rPr>
            </w:pPr>
            <w:r w:rsidRPr="0066269F">
              <w:rPr>
                <w:rFonts w:cs="Arial"/>
              </w:rPr>
              <w:t>2 716</w:t>
            </w:r>
          </w:p>
        </w:tc>
        <w:tc>
          <w:tcPr>
            <w:tcW w:w="1698" w:type="dxa"/>
          </w:tcPr>
          <w:p w14:paraId="1AC63F73" w14:textId="1CBBA41F" w:rsidR="0066269F" w:rsidRPr="0066269F" w:rsidRDefault="0066269F" w:rsidP="0066269F">
            <w:pPr>
              <w:rPr>
                <w:rFonts w:cs="Arial"/>
              </w:rPr>
            </w:pPr>
            <w:r w:rsidRPr="0066269F">
              <w:rPr>
                <w:rFonts w:cs="Arial"/>
              </w:rPr>
              <w:t>34,49%</w:t>
            </w:r>
          </w:p>
        </w:tc>
        <w:tc>
          <w:tcPr>
            <w:tcW w:w="718" w:type="dxa"/>
          </w:tcPr>
          <w:p w14:paraId="427CCDD5" w14:textId="6593FE32" w:rsidR="0066269F" w:rsidRPr="0066269F" w:rsidRDefault="0066269F" w:rsidP="0066269F">
            <w:pPr>
              <w:rPr>
                <w:rFonts w:cs="Arial"/>
              </w:rPr>
            </w:pPr>
            <w:r w:rsidRPr="0066269F">
              <w:rPr>
                <w:rFonts w:cs="Arial"/>
              </w:rPr>
              <w:t>2 869</w:t>
            </w:r>
          </w:p>
        </w:tc>
        <w:tc>
          <w:tcPr>
            <w:tcW w:w="1001" w:type="dxa"/>
          </w:tcPr>
          <w:p w14:paraId="48F140EA" w14:textId="798BA232" w:rsidR="0066269F" w:rsidRPr="0066269F" w:rsidRDefault="0066269F" w:rsidP="0066269F">
            <w:pPr>
              <w:rPr>
                <w:rFonts w:cs="Arial"/>
              </w:rPr>
            </w:pPr>
            <w:r w:rsidRPr="0066269F">
              <w:rPr>
                <w:rFonts w:cs="Arial"/>
              </w:rPr>
              <w:t>36,20%</w:t>
            </w:r>
          </w:p>
        </w:tc>
        <w:tc>
          <w:tcPr>
            <w:tcW w:w="1569" w:type="dxa"/>
          </w:tcPr>
          <w:p w14:paraId="7CDA56CA" w14:textId="77777777" w:rsidR="0066269F" w:rsidRPr="0066269F" w:rsidRDefault="0066269F" w:rsidP="0066269F">
            <w:pPr>
              <w:rPr>
                <w:rFonts w:cs="Arial"/>
              </w:rPr>
            </w:pPr>
            <w:r w:rsidRPr="0066269F">
              <w:rPr>
                <w:rFonts w:cs="Arial"/>
              </w:rPr>
              <w:t>0,945 (0,897;</w:t>
            </w:r>
          </w:p>
          <w:p w14:paraId="6A54375C" w14:textId="5F4082AF" w:rsidR="0066269F" w:rsidRPr="0066269F" w:rsidRDefault="0066269F" w:rsidP="0066269F">
            <w:pPr>
              <w:rPr>
                <w:rFonts w:cs="Arial"/>
              </w:rPr>
            </w:pPr>
            <w:r w:rsidRPr="0066269F">
              <w:rPr>
                <w:rFonts w:cs="Arial"/>
              </w:rPr>
              <w:t>0,996)</w:t>
            </w:r>
          </w:p>
        </w:tc>
        <w:tc>
          <w:tcPr>
            <w:tcW w:w="1214" w:type="dxa"/>
          </w:tcPr>
          <w:p w14:paraId="3BDCA2E8" w14:textId="48E264CA" w:rsidR="0066269F" w:rsidRPr="0066269F" w:rsidRDefault="0066269F" w:rsidP="0066269F">
            <w:pPr>
              <w:rPr>
                <w:rFonts w:cs="Arial"/>
              </w:rPr>
            </w:pPr>
            <w:r w:rsidRPr="0066269F">
              <w:rPr>
                <w:rFonts w:cs="Arial"/>
              </w:rPr>
              <w:t>0,035</w:t>
            </w:r>
          </w:p>
        </w:tc>
      </w:tr>
      <w:tr w:rsidR="0066269F" w14:paraId="002BE8DF" w14:textId="77777777" w:rsidTr="0090138B">
        <w:tc>
          <w:tcPr>
            <w:tcW w:w="9576" w:type="dxa"/>
            <w:gridSpan w:val="7"/>
          </w:tcPr>
          <w:p w14:paraId="421D7C07" w14:textId="2938DDB6" w:rsidR="0066269F" w:rsidRPr="0066269F" w:rsidRDefault="0066269F" w:rsidP="0066269F">
            <w:pPr>
              <w:rPr>
                <w:rFonts w:cs="Arial"/>
              </w:rPr>
            </w:pPr>
            <w:r w:rsidRPr="0066269F">
              <w:rPr>
                <w:rFonts w:cs="Arial"/>
                <w:b/>
                <w:bCs/>
              </w:rPr>
              <w:t xml:space="preserve">Компоненти на първичната съставна крайна цел и избрани крайни цели за ефикасност </w:t>
            </w:r>
            <w:r w:rsidRPr="0066269F">
              <w:rPr>
                <w:rFonts w:cs="Arial"/>
              </w:rPr>
              <w:t>(първите случаи на определено събитие по всяко време)</w:t>
            </w:r>
          </w:p>
        </w:tc>
      </w:tr>
      <w:tr w:rsidR="0066269F" w14:paraId="7D7FE923" w14:textId="77777777" w:rsidTr="0066269F">
        <w:tc>
          <w:tcPr>
            <w:tcW w:w="2104" w:type="dxa"/>
          </w:tcPr>
          <w:p w14:paraId="2F915BB3" w14:textId="21059FB9" w:rsidR="0066269F" w:rsidRPr="0066269F" w:rsidRDefault="0066269F" w:rsidP="0066269F">
            <w:pPr>
              <w:rPr>
                <w:rFonts w:cs="Arial"/>
              </w:rPr>
            </w:pPr>
            <w:r w:rsidRPr="0066269F">
              <w:rPr>
                <w:rFonts w:cs="Arial"/>
              </w:rPr>
              <w:t>Сърдечносъдова смърт</w:t>
            </w:r>
          </w:p>
        </w:tc>
        <w:tc>
          <w:tcPr>
            <w:tcW w:w="1272" w:type="dxa"/>
          </w:tcPr>
          <w:p w14:paraId="7677ADB4" w14:textId="6FCD43C3" w:rsidR="0066269F" w:rsidRPr="0066269F" w:rsidRDefault="0066269F" w:rsidP="0066269F">
            <w:pPr>
              <w:rPr>
                <w:rFonts w:cs="Arial"/>
              </w:rPr>
            </w:pPr>
            <w:r w:rsidRPr="0066269F">
              <w:rPr>
                <w:rFonts w:cs="Arial"/>
              </w:rPr>
              <w:t>537</w:t>
            </w:r>
          </w:p>
        </w:tc>
        <w:tc>
          <w:tcPr>
            <w:tcW w:w="1698" w:type="dxa"/>
          </w:tcPr>
          <w:p w14:paraId="684FCC26" w14:textId="30AD7B97" w:rsidR="0066269F" w:rsidRPr="0066269F" w:rsidRDefault="0066269F" w:rsidP="0066269F">
            <w:pPr>
              <w:rPr>
                <w:rFonts w:cs="Arial"/>
              </w:rPr>
            </w:pPr>
            <w:r w:rsidRPr="0066269F">
              <w:rPr>
                <w:rFonts w:cs="Arial"/>
              </w:rPr>
              <w:t>6,89%</w:t>
            </w:r>
          </w:p>
        </w:tc>
        <w:tc>
          <w:tcPr>
            <w:tcW w:w="718" w:type="dxa"/>
          </w:tcPr>
          <w:p w14:paraId="5857AE16" w14:textId="0A6B0B21" w:rsidR="0066269F" w:rsidRPr="0066269F" w:rsidRDefault="0066269F" w:rsidP="0066269F">
            <w:pPr>
              <w:rPr>
                <w:rFonts w:cs="Arial"/>
              </w:rPr>
            </w:pPr>
            <w:r w:rsidRPr="0066269F">
              <w:rPr>
                <w:rFonts w:cs="Arial"/>
              </w:rPr>
              <w:t>538</w:t>
            </w:r>
          </w:p>
        </w:tc>
        <w:tc>
          <w:tcPr>
            <w:tcW w:w="1001" w:type="dxa"/>
          </w:tcPr>
          <w:p w14:paraId="36BE6B7E" w14:textId="4796981A" w:rsidR="0066269F" w:rsidRPr="0066269F" w:rsidRDefault="0066269F" w:rsidP="0066269F">
            <w:pPr>
              <w:rPr>
                <w:rFonts w:cs="Arial"/>
              </w:rPr>
            </w:pPr>
            <w:r w:rsidRPr="0066269F">
              <w:rPr>
                <w:rFonts w:cs="Arial"/>
              </w:rPr>
              <w:t>6,84%</w:t>
            </w:r>
          </w:p>
        </w:tc>
        <w:tc>
          <w:tcPr>
            <w:tcW w:w="1569" w:type="dxa"/>
          </w:tcPr>
          <w:p w14:paraId="7755F03D" w14:textId="77777777" w:rsidR="0066269F" w:rsidRPr="0066269F" w:rsidRDefault="0066269F" w:rsidP="0066269F">
            <w:pPr>
              <w:rPr>
                <w:rFonts w:cs="Arial"/>
              </w:rPr>
            </w:pPr>
            <w:r w:rsidRPr="0066269F">
              <w:rPr>
                <w:rFonts w:cs="Arial"/>
              </w:rPr>
              <w:t>1,000 (0,887;</w:t>
            </w:r>
          </w:p>
          <w:p w14:paraId="422E9106" w14:textId="36EE4959" w:rsidR="0066269F" w:rsidRPr="0066269F" w:rsidRDefault="0066269F" w:rsidP="0066269F">
            <w:pPr>
              <w:rPr>
                <w:rFonts w:cs="Arial"/>
              </w:rPr>
            </w:pPr>
            <w:r w:rsidRPr="0066269F">
              <w:rPr>
                <w:rFonts w:cs="Arial"/>
              </w:rPr>
              <w:t>1,127)</w:t>
            </w:r>
          </w:p>
        </w:tc>
        <w:tc>
          <w:tcPr>
            <w:tcW w:w="1214" w:type="dxa"/>
          </w:tcPr>
          <w:p w14:paraId="0F7E5B44" w14:textId="6E80B877" w:rsidR="0066269F" w:rsidRPr="0066269F" w:rsidRDefault="0066269F" w:rsidP="0066269F">
            <w:pPr>
              <w:rPr>
                <w:rFonts w:cs="Arial"/>
              </w:rPr>
            </w:pPr>
            <w:r w:rsidRPr="0066269F">
              <w:rPr>
                <w:rFonts w:cs="Arial"/>
              </w:rPr>
              <w:t>0,997</w:t>
            </w:r>
          </w:p>
        </w:tc>
      </w:tr>
      <w:tr w:rsidR="0066269F" w14:paraId="3A50EA2F" w14:textId="77777777" w:rsidTr="0066269F">
        <w:tc>
          <w:tcPr>
            <w:tcW w:w="2104" w:type="dxa"/>
          </w:tcPr>
          <w:p w14:paraId="2F1FCEB7" w14:textId="5B31A4F7" w:rsidR="0066269F" w:rsidRPr="0066269F" w:rsidRDefault="0066269F" w:rsidP="0066269F">
            <w:pPr>
              <w:rPr>
                <w:rFonts w:cs="Arial"/>
              </w:rPr>
            </w:pPr>
            <w:r w:rsidRPr="0066269F">
              <w:rPr>
                <w:rFonts w:cs="Arial"/>
              </w:rPr>
              <w:t>Големи съдови инцидента:</w:t>
            </w:r>
          </w:p>
        </w:tc>
        <w:tc>
          <w:tcPr>
            <w:tcW w:w="1272" w:type="dxa"/>
          </w:tcPr>
          <w:p w14:paraId="724A04A4" w14:textId="77777777" w:rsidR="0066269F" w:rsidRPr="0066269F" w:rsidRDefault="0066269F" w:rsidP="0066269F">
            <w:pPr>
              <w:rPr>
                <w:rFonts w:cs="Arial"/>
              </w:rPr>
            </w:pPr>
          </w:p>
        </w:tc>
        <w:tc>
          <w:tcPr>
            <w:tcW w:w="1698" w:type="dxa"/>
          </w:tcPr>
          <w:p w14:paraId="1CA0F055" w14:textId="77777777" w:rsidR="0066269F" w:rsidRPr="0066269F" w:rsidRDefault="0066269F" w:rsidP="0066269F">
            <w:pPr>
              <w:rPr>
                <w:rFonts w:cs="Arial"/>
              </w:rPr>
            </w:pPr>
          </w:p>
        </w:tc>
        <w:tc>
          <w:tcPr>
            <w:tcW w:w="718" w:type="dxa"/>
          </w:tcPr>
          <w:p w14:paraId="65309DF4" w14:textId="77777777" w:rsidR="0066269F" w:rsidRPr="0066269F" w:rsidRDefault="0066269F" w:rsidP="0066269F">
            <w:pPr>
              <w:rPr>
                <w:rFonts w:cs="Arial"/>
              </w:rPr>
            </w:pPr>
          </w:p>
        </w:tc>
        <w:tc>
          <w:tcPr>
            <w:tcW w:w="1001" w:type="dxa"/>
          </w:tcPr>
          <w:p w14:paraId="152898DF" w14:textId="77777777" w:rsidR="0066269F" w:rsidRPr="0066269F" w:rsidRDefault="0066269F" w:rsidP="0066269F">
            <w:pPr>
              <w:rPr>
                <w:rFonts w:cs="Arial"/>
              </w:rPr>
            </w:pPr>
          </w:p>
        </w:tc>
        <w:tc>
          <w:tcPr>
            <w:tcW w:w="1569" w:type="dxa"/>
          </w:tcPr>
          <w:p w14:paraId="517D66D2" w14:textId="77777777" w:rsidR="0066269F" w:rsidRPr="0066269F" w:rsidRDefault="0066269F" w:rsidP="0066269F">
            <w:pPr>
              <w:rPr>
                <w:rFonts w:cs="Arial"/>
              </w:rPr>
            </w:pPr>
          </w:p>
        </w:tc>
        <w:tc>
          <w:tcPr>
            <w:tcW w:w="1214" w:type="dxa"/>
          </w:tcPr>
          <w:p w14:paraId="52DE6EE3" w14:textId="77777777" w:rsidR="0066269F" w:rsidRPr="0066269F" w:rsidRDefault="0066269F" w:rsidP="0066269F">
            <w:pPr>
              <w:rPr>
                <w:rFonts w:cs="Arial"/>
              </w:rPr>
            </w:pPr>
          </w:p>
        </w:tc>
      </w:tr>
      <w:tr w:rsidR="0066269F" w14:paraId="5C35189F" w14:textId="77777777" w:rsidTr="0066269F">
        <w:tc>
          <w:tcPr>
            <w:tcW w:w="2104" w:type="dxa"/>
          </w:tcPr>
          <w:p w14:paraId="4D34E03F" w14:textId="1A927BC3" w:rsidR="0066269F" w:rsidRPr="0066269F" w:rsidRDefault="0066269F" w:rsidP="0066269F">
            <w:pPr>
              <w:rPr>
                <w:rFonts w:cs="Arial"/>
              </w:rPr>
            </w:pPr>
            <w:r w:rsidRPr="0066269F">
              <w:rPr>
                <w:rFonts w:cs="Arial"/>
              </w:rPr>
              <w:t xml:space="preserve">Нефатален </w:t>
            </w:r>
            <w:r w:rsidRPr="0066269F">
              <w:rPr>
                <w:rFonts w:cs="Arial"/>
                <w:lang w:val="en-US"/>
              </w:rPr>
              <w:t>MI</w:t>
            </w:r>
          </w:p>
        </w:tc>
        <w:tc>
          <w:tcPr>
            <w:tcW w:w="1272" w:type="dxa"/>
          </w:tcPr>
          <w:p w14:paraId="008B9C32" w14:textId="00A2AE20" w:rsidR="0066269F" w:rsidRPr="0066269F" w:rsidRDefault="0066269F" w:rsidP="0066269F">
            <w:pPr>
              <w:rPr>
                <w:rFonts w:cs="Arial"/>
              </w:rPr>
            </w:pPr>
            <w:r w:rsidRPr="0066269F">
              <w:rPr>
                <w:rFonts w:cs="Arial"/>
              </w:rPr>
              <w:t>945</w:t>
            </w:r>
          </w:p>
        </w:tc>
        <w:tc>
          <w:tcPr>
            <w:tcW w:w="1698" w:type="dxa"/>
          </w:tcPr>
          <w:p w14:paraId="06F3CC56" w14:textId="7BFEC3A2" w:rsidR="0066269F" w:rsidRPr="0066269F" w:rsidRDefault="0066269F" w:rsidP="0066269F">
            <w:pPr>
              <w:rPr>
                <w:rFonts w:cs="Arial"/>
              </w:rPr>
            </w:pPr>
            <w:r w:rsidRPr="0066269F">
              <w:rPr>
                <w:rFonts w:cs="Arial"/>
              </w:rPr>
              <w:t>12,77%</w:t>
            </w:r>
          </w:p>
        </w:tc>
        <w:tc>
          <w:tcPr>
            <w:tcW w:w="718" w:type="dxa"/>
          </w:tcPr>
          <w:p w14:paraId="51F2AC20" w14:textId="77A41F07" w:rsidR="0066269F" w:rsidRPr="0066269F" w:rsidRDefault="0066269F" w:rsidP="0066269F">
            <w:pPr>
              <w:rPr>
                <w:rFonts w:cs="Arial"/>
              </w:rPr>
            </w:pPr>
            <w:r w:rsidRPr="0066269F">
              <w:rPr>
                <w:rFonts w:cs="Arial"/>
              </w:rPr>
              <w:t>1083</w:t>
            </w:r>
          </w:p>
        </w:tc>
        <w:tc>
          <w:tcPr>
            <w:tcW w:w="1001" w:type="dxa"/>
          </w:tcPr>
          <w:p w14:paraId="65C22565" w14:textId="6E473A9D" w:rsidR="0066269F" w:rsidRPr="0066269F" w:rsidRDefault="0066269F" w:rsidP="0066269F">
            <w:pPr>
              <w:rPr>
                <w:rFonts w:cs="Arial"/>
              </w:rPr>
            </w:pPr>
            <w:r w:rsidRPr="0066269F">
              <w:rPr>
                <w:rFonts w:cs="Arial"/>
              </w:rPr>
              <w:t>14,41%</w:t>
            </w:r>
          </w:p>
        </w:tc>
        <w:tc>
          <w:tcPr>
            <w:tcW w:w="1569" w:type="dxa"/>
          </w:tcPr>
          <w:p w14:paraId="3DA0889B" w14:textId="77777777" w:rsidR="0066269F" w:rsidRPr="0066269F" w:rsidRDefault="0066269F" w:rsidP="0066269F">
            <w:pPr>
              <w:rPr>
                <w:rFonts w:cs="Arial"/>
              </w:rPr>
            </w:pPr>
            <w:r w:rsidRPr="0066269F">
              <w:rPr>
                <w:rFonts w:cs="Arial"/>
              </w:rPr>
              <w:t>0,871 (0,798;</w:t>
            </w:r>
          </w:p>
          <w:p w14:paraId="64218D13" w14:textId="52A5679E" w:rsidR="0066269F" w:rsidRPr="0066269F" w:rsidRDefault="0066269F" w:rsidP="0066269F">
            <w:pPr>
              <w:rPr>
                <w:rFonts w:cs="Arial"/>
              </w:rPr>
            </w:pPr>
            <w:r w:rsidRPr="0066269F">
              <w:rPr>
                <w:rFonts w:cs="Arial"/>
              </w:rPr>
              <w:t>0,950)</w:t>
            </w:r>
          </w:p>
        </w:tc>
        <w:tc>
          <w:tcPr>
            <w:tcW w:w="1214" w:type="dxa"/>
          </w:tcPr>
          <w:p w14:paraId="762DF5A1" w14:textId="2E84F2EA" w:rsidR="0066269F" w:rsidRPr="0066269F" w:rsidRDefault="0066269F" w:rsidP="0066269F">
            <w:pPr>
              <w:rPr>
                <w:rFonts w:cs="Arial"/>
              </w:rPr>
            </w:pPr>
            <w:r w:rsidRPr="0066269F">
              <w:rPr>
                <w:rFonts w:cs="Arial"/>
              </w:rPr>
              <w:t>0,002</w:t>
            </w:r>
          </w:p>
        </w:tc>
      </w:tr>
      <w:tr w:rsidR="0066269F" w14:paraId="0F0F663C" w14:textId="77777777" w:rsidTr="0066269F">
        <w:tc>
          <w:tcPr>
            <w:tcW w:w="2104" w:type="dxa"/>
          </w:tcPr>
          <w:p w14:paraId="7BFE84C4" w14:textId="3D67BEAB" w:rsidR="0066269F" w:rsidRPr="0066269F" w:rsidRDefault="0066269F" w:rsidP="0066269F">
            <w:pPr>
              <w:rPr>
                <w:rFonts w:cs="Arial"/>
              </w:rPr>
            </w:pPr>
            <w:r w:rsidRPr="0066269F">
              <w:rPr>
                <w:rFonts w:cs="Arial"/>
              </w:rPr>
              <w:t>Нестабилна стенокардия, изискваща хоспитализация</w:t>
            </w:r>
          </w:p>
        </w:tc>
        <w:tc>
          <w:tcPr>
            <w:tcW w:w="1272" w:type="dxa"/>
          </w:tcPr>
          <w:p w14:paraId="6E3860D1" w14:textId="500A80C9" w:rsidR="0066269F" w:rsidRPr="0066269F" w:rsidRDefault="0066269F" w:rsidP="0066269F">
            <w:pPr>
              <w:rPr>
                <w:rFonts w:cs="Arial"/>
              </w:rPr>
            </w:pPr>
            <w:r w:rsidRPr="0066269F">
              <w:rPr>
                <w:rFonts w:cs="Arial"/>
              </w:rPr>
              <w:t>156</w:t>
            </w:r>
          </w:p>
        </w:tc>
        <w:tc>
          <w:tcPr>
            <w:tcW w:w="1698" w:type="dxa"/>
          </w:tcPr>
          <w:p w14:paraId="03E71775" w14:textId="3DFB709E" w:rsidR="0066269F" w:rsidRPr="0066269F" w:rsidRDefault="0066269F" w:rsidP="0066269F">
            <w:pPr>
              <w:rPr>
                <w:rFonts w:cs="Arial"/>
              </w:rPr>
            </w:pPr>
            <w:r w:rsidRPr="0066269F">
              <w:rPr>
                <w:rFonts w:cs="Arial"/>
              </w:rPr>
              <w:t>2,06%</w:t>
            </w:r>
          </w:p>
        </w:tc>
        <w:tc>
          <w:tcPr>
            <w:tcW w:w="718" w:type="dxa"/>
          </w:tcPr>
          <w:p w14:paraId="537B9BC6" w14:textId="721C2FD1" w:rsidR="0066269F" w:rsidRPr="0066269F" w:rsidRDefault="0066269F" w:rsidP="0066269F">
            <w:pPr>
              <w:rPr>
                <w:rFonts w:cs="Arial"/>
              </w:rPr>
            </w:pPr>
            <w:r w:rsidRPr="0066269F">
              <w:rPr>
                <w:rFonts w:cs="Arial"/>
              </w:rPr>
              <w:t>148</w:t>
            </w:r>
          </w:p>
        </w:tc>
        <w:tc>
          <w:tcPr>
            <w:tcW w:w="1001" w:type="dxa"/>
          </w:tcPr>
          <w:p w14:paraId="4813E494" w14:textId="3E635DA3" w:rsidR="0066269F" w:rsidRPr="0066269F" w:rsidRDefault="0066269F" w:rsidP="0066269F">
            <w:pPr>
              <w:rPr>
                <w:rFonts w:cs="Arial"/>
              </w:rPr>
            </w:pPr>
            <w:r w:rsidRPr="0066269F">
              <w:rPr>
                <w:rFonts w:cs="Arial"/>
              </w:rPr>
              <w:t>1,92%</w:t>
            </w:r>
          </w:p>
        </w:tc>
        <w:tc>
          <w:tcPr>
            <w:tcW w:w="1569" w:type="dxa"/>
          </w:tcPr>
          <w:p w14:paraId="050C01AC" w14:textId="77777777" w:rsidR="0066269F" w:rsidRPr="0066269F" w:rsidRDefault="0066269F" w:rsidP="0066269F">
            <w:pPr>
              <w:rPr>
                <w:rFonts w:cs="Arial"/>
              </w:rPr>
            </w:pPr>
            <w:r w:rsidRPr="0066269F">
              <w:rPr>
                <w:rFonts w:cs="Arial"/>
              </w:rPr>
              <w:t>1,059 (0,846;</w:t>
            </w:r>
          </w:p>
          <w:p w14:paraId="3E34DFF3" w14:textId="38A8D397" w:rsidR="0066269F" w:rsidRPr="0066269F" w:rsidRDefault="0066269F" w:rsidP="0066269F">
            <w:pPr>
              <w:rPr>
                <w:rFonts w:cs="Arial"/>
              </w:rPr>
            </w:pPr>
            <w:r w:rsidRPr="0066269F">
              <w:rPr>
                <w:rFonts w:cs="Arial"/>
              </w:rPr>
              <w:t>1,326)</w:t>
            </w:r>
          </w:p>
        </w:tc>
        <w:tc>
          <w:tcPr>
            <w:tcW w:w="1214" w:type="dxa"/>
          </w:tcPr>
          <w:p w14:paraId="0D80537C" w14:textId="3FCA12DC" w:rsidR="0066269F" w:rsidRPr="0066269F" w:rsidRDefault="0066269F" w:rsidP="0066269F">
            <w:pPr>
              <w:rPr>
                <w:rFonts w:cs="Arial"/>
              </w:rPr>
            </w:pPr>
            <w:r w:rsidRPr="0066269F">
              <w:rPr>
                <w:rFonts w:cs="Arial"/>
              </w:rPr>
              <w:t>0,618</w:t>
            </w:r>
          </w:p>
        </w:tc>
      </w:tr>
      <w:tr w:rsidR="0066269F" w14:paraId="1F6FA8C5" w14:textId="77777777" w:rsidTr="0066269F">
        <w:tc>
          <w:tcPr>
            <w:tcW w:w="2104" w:type="dxa"/>
          </w:tcPr>
          <w:p w14:paraId="5CD1C963" w14:textId="464254F1" w:rsidR="0066269F" w:rsidRPr="0066269F" w:rsidRDefault="0066269F" w:rsidP="0066269F">
            <w:pPr>
              <w:rPr>
                <w:rFonts w:cs="Arial"/>
              </w:rPr>
            </w:pPr>
            <w:r w:rsidRPr="0066269F">
              <w:rPr>
                <w:rFonts w:cs="Arial"/>
              </w:rPr>
              <w:t>Коронарна реваскуларизация след 30 дни</w:t>
            </w:r>
          </w:p>
        </w:tc>
        <w:tc>
          <w:tcPr>
            <w:tcW w:w="1272" w:type="dxa"/>
          </w:tcPr>
          <w:p w14:paraId="7727C0A4" w14:textId="79C18547" w:rsidR="0066269F" w:rsidRPr="0066269F" w:rsidRDefault="0066269F" w:rsidP="0066269F">
            <w:pPr>
              <w:rPr>
                <w:rFonts w:cs="Arial"/>
              </w:rPr>
            </w:pPr>
            <w:r w:rsidRPr="0066269F">
              <w:rPr>
                <w:rFonts w:cs="Arial"/>
              </w:rPr>
              <w:t>1 690</w:t>
            </w:r>
          </w:p>
        </w:tc>
        <w:tc>
          <w:tcPr>
            <w:tcW w:w="1698" w:type="dxa"/>
          </w:tcPr>
          <w:p w14:paraId="4B164013" w14:textId="1022EBEF" w:rsidR="0066269F" w:rsidRPr="0066269F" w:rsidRDefault="0066269F" w:rsidP="0066269F">
            <w:pPr>
              <w:rPr>
                <w:rFonts w:cs="Arial"/>
              </w:rPr>
            </w:pPr>
            <w:r w:rsidRPr="0066269F">
              <w:rPr>
                <w:rFonts w:cs="Arial"/>
              </w:rPr>
              <w:t>21,84%</w:t>
            </w:r>
          </w:p>
        </w:tc>
        <w:tc>
          <w:tcPr>
            <w:tcW w:w="718" w:type="dxa"/>
          </w:tcPr>
          <w:p w14:paraId="2FA4F358" w14:textId="26C1DC1C" w:rsidR="0066269F" w:rsidRPr="0066269F" w:rsidRDefault="0066269F" w:rsidP="0066269F">
            <w:pPr>
              <w:rPr>
                <w:rFonts w:cs="Arial"/>
              </w:rPr>
            </w:pPr>
            <w:r w:rsidRPr="0066269F">
              <w:rPr>
                <w:rFonts w:cs="Arial"/>
              </w:rPr>
              <w:t>1 793</w:t>
            </w:r>
          </w:p>
        </w:tc>
        <w:tc>
          <w:tcPr>
            <w:tcW w:w="1001" w:type="dxa"/>
          </w:tcPr>
          <w:p w14:paraId="661833A9" w14:textId="7625DF0F" w:rsidR="0066269F" w:rsidRPr="0066269F" w:rsidRDefault="0066269F" w:rsidP="0066269F">
            <w:pPr>
              <w:rPr>
                <w:rFonts w:cs="Arial"/>
              </w:rPr>
            </w:pPr>
            <w:r w:rsidRPr="0066269F">
              <w:rPr>
                <w:rFonts w:cs="Arial"/>
              </w:rPr>
              <w:t>23,36%</w:t>
            </w:r>
          </w:p>
        </w:tc>
        <w:tc>
          <w:tcPr>
            <w:tcW w:w="1569" w:type="dxa"/>
          </w:tcPr>
          <w:p w14:paraId="25EB27D4" w14:textId="77777777" w:rsidR="0066269F" w:rsidRPr="0066269F" w:rsidRDefault="0066269F" w:rsidP="0066269F">
            <w:pPr>
              <w:rPr>
                <w:rFonts w:cs="Arial"/>
              </w:rPr>
            </w:pPr>
            <w:r w:rsidRPr="0066269F">
              <w:rPr>
                <w:rFonts w:cs="Arial"/>
              </w:rPr>
              <w:t>0,947 (0,886;</w:t>
            </w:r>
          </w:p>
          <w:p w14:paraId="4982B92E" w14:textId="4963C0B7" w:rsidR="0066269F" w:rsidRPr="0066269F" w:rsidRDefault="0066269F" w:rsidP="0066269F">
            <w:pPr>
              <w:rPr>
                <w:rFonts w:cs="Arial"/>
              </w:rPr>
            </w:pPr>
            <w:r w:rsidRPr="0066269F">
              <w:rPr>
                <w:rFonts w:cs="Arial"/>
              </w:rPr>
              <w:t>1,012)</w:t>
            </w:r>
          </w:p>
        </w:tc>
        <w:tc>
          <w:tcPr>
            <w:tcW w:w="1214" w:type="dxa"/>
          </w:tcPr>
          <w:p w14:paraId="3706EAEF" w14:textId="12E4F803" w:rsidR="0066269F" w:rsidRPr="0066269F" w:rsidRDefault="0066269F" w:rsidP="0066269F">
            <w:pPr>
              <w:rPr>
                <w:rFonts w:cs="Arial"/>
              </w:rPr>
            </w:pPr>
            <w:r w:rsidRPr="0066269F">
              <w:rPr>
                <w:rFonts w:cs="Arial"/>
              </w:rPr>
              <w:t>0,107</w:t>
            </w:r>
          </w:p>
        </w:tc>
      </w:tr>
      <w:tr w:rsidR="0066269F" w14:paraId="17311DDB" w14:textId="77777777" w:rsidTr="0066269F">
        <w:tc>
          <w:tcPr>
            <w:tcW w:w="2104" w:type="dxa"/>
          </w:tcPr>
          <w:p w14:paraId="19AA4E28" w14:textId="609A20B7" w:rsidR="0066269F" w:rsidRPr="0066269F" w:rsidRDefault="0066269F" w:rsidP="0066269F">
            <w:pPr>
              <w:rPr>
                <w:rFonts w:cs="Arial"/>
              </w:rPr>
            </w:pPr>
            <w:r w:rsidRPr="0066269F">
              <w:rPr>
                <w:rFonts w:cs="Arial"/>
              </w:rPr>
              <w:t>Нефатален инсулт</w:t>
            </w:r>
          </w:p>
        </w:tc>
        <w:tc>
          <w:tcPr>
            <w:tcW w:w="1272" w:type="dxa"/>
          </w:tcPr>
          <w:p w14:paraId="35851E09" w14:textId="13E5E9EC" w:rsidR="0066269F" w:rsidRPr="0066269F" w:rsidRDefault="0066269F" w:rsidP="0066269F">
            <w:pPr>
              <w:rPr>
                <w:rFonts w:cs="Arial"/>
              </w:rPr>
            </w:pPr>
            <w:r w:rsidRPr="0066269F">
              <w:rPr>
                <w:rFonts w:cs="Arial"/>
              </w:rPr>
              <w:t>245</w:t>
            </w:r>
          </w:p>
        </w:tc>
        <w:tc>
          <w:tcPr>
            <w:tcW w:w="1698" w:type="dxa"/>
          </w:tcPr>
          <w:p w14:paraId="4EDE2060" w14:textId="764BBA41" w:rsidR="0066269F" w:rsidRPr="0066269F" w:rsidRDefault="0066269F" w:rsidP="0066269F">
            <w:pPr>
              <w:rPr>
                <w:rFonts w:cs="Arial"/>
              </w:rPr>
            </w:pPr>
            <w:r w:rsidRPr="0066269F">
              <w:rPr>
                <w:rFonts w:cs="Arial"/>
              </w:rPr>
              <w:t>3,49%</w:t>
            </w:r>
          </w:p>
        </w:tc>
        <w:tc>
          <w:tcPr>
            <w:tcW w:w="718" w:type="dxa"/>
          </w:tcPr>
          <w:p w14:paraId="3A8CEC4D" w14:textId="5235404E" w:rsidR="0066269F" w:rsidRPr="0066269F" w:rsidRDefault="0066269F" w:rsidP="0066269F">
            <w:pPr>
              <w:rPr>
                <w:rFonts w:cs="Arial"/>
              </w:rPr>
            </w:pPr>
            <w:r w:rsidRPr="0066269F">
              <w:rPr>
                <w:rFonts w:cs="Arial"/>
              </w:rPr>
              <w:t>305</w:t>
            </w:r>
          </w:p>
        </w:tc>
        <w:tc>
          <w:tcPr>
            <w:tcW w:w="1001" w:type="dxa"/>
          </w:tcPr>
          <w:p w14:paraId="4B520F41" w14:textId="5FF0D15E" w:rsidR="0066269F" w:rsidRPr="0066269F" w:rsidRDefault="0066269F" w:rsidP="0066269F">
            <w:pPr>
              <w:rPr>
                <w:rFonts w:cs="Arial"/>
              </w:rPr>
            </w:pPr>
            <w:r w:rsidRPr="0066269F">
              <w:rPr>
                <w:rFonts w:cs="Arial"/>
              </w:rPr>
              <w:t>4,24%</w:t>
            </w:r>
          </w:p>
        </w:tc>
        <w:tc>
          <w:tcPr>
            <w:tcW w:w="1569" w:type="dxa"/>
          </w:tcPr>
          <w:p w14:paraId="349CE59B" w14:textId="77777777" w:rsidR="0066269F" w:rsidRPr="0066269F" w:rsidRDefault="0066269F" w:rsidP="0066269F">
            <w:pPr>
              <w:rPr>
                <w:rFonts w:cs="Arial"/>
              </w:rPr>
            </w:pPr>
            <w:r w:rsidRPr="0066269F">
              <w:rPr>
                <w:rFonts w:cs="Arial"/>
              </w:rPr>
              <w:t>0,802 (0,678;</w:t>
            </w:r>
          </w:p>
          <w:p w14:paraId="261FFCD1" w14:textId="022138B7" w:rsidR="0066269F" w:rsidRPr="0066269F" w:rsidRDefault="0066269F" w:rsidP="0066269F">
            <w:pPr>
              <w:rPr>
                <w:rFonts w:cs="Arial"/>
              </w:rPr>
            </w:pPr>
            <w:r w:rsidRPr="0066269F">
              <w:rPr>
                <w:rFonts w:cs="Arial"/>
              </w:rPr>
              <w:t>0,949)</w:t>
            </w:r>
          </w:p>
        </w:tc>
        <w:tc>
          <w:tcPr>
            <w:tcW w:w="1214" w:type="dxa"/>
          </w:tcPr>
          <w:p w14:paraId="3432AD5A" w14:textId="4F8969F2" w:rsidR="0066269F" w:rsidRPr="0066269F" w:rsidRDefault="0066269F" w:rsidP="0066269F">
            <w:pPr>
              <w:rPr>
                <w:rFonts w:cs="Arial"/>
              </w:rPr>
            </w:pPr>
            <w:r w:rsidRPr="0066269F">
              <w:rPr>
                <w:rFonts w:cs="Arial"/>
              </w:rPr>
              <w:t>0,010</w:t>
            </w:r>
          </w:p>
        </w:tc>
      </w:tr>
      <w:tr w:rsidR="0066269F" w14:paraId="2C12694C" w14:textId="77777777" w:rsidTr="0066269F">
        <w:tc>
          <w:tcPr>
            <w:tcW w:w="2104" w:type="dxa"/>
          </w:tcPr>
          <w:p w14:paraId="52530AF6" w14:textId="65B23BDC" w:rsidR="0066269F" w:rsidRPr="0066269F" w:rsidRDefault="0066269F" w:rsidP="0066269F">
            <w:pPr>
              <w:rPr>
                <w:rFonts w:cs="Arial"/>
              </w:rPr>
            </w:pPr>
            <w:r w:rsidRPr="0066269F">
              <w:rPr>
                <w:rFonts w:cs="Arial"/>
              </w:rPr>
              <w:t xml:space="preserve">Всички </w:t>
            </w:r>
            <w:r w:rsidRPr="0066269F">
              <w:rPr>
                <w:rFonts w:cs="Arial"/>
                <w:lang w:val="en-US"/>
              </w:rPr>
              <w:t xml:space="preserve">MI </w:t>
            </w:r>
            <w:r w:rsidRPr="0066269F">
              <w:rPr>
                <w:rFonts w:cs="Arial"/>
              </w:rPr>
              <w:lastRenderedPageBreak/>
              <w:t>(фатален и нефатален)</w:t>
            </w:r>
          </w:p>
        </w:tc>
        <w:tc>
          <w:tcPr>
            <w:tcW w:w="1272" w:type="dxa"/>
          </w:tcPr>
          <w:p w14:paraId="56D8663E" w14:textId="01AF5AB1" w:rsidR="0066269F" w:rsidRPr="0066269F" w:rsidRDefault="0066269F" w:rsidP="0066269F">
            <w:pPr>
              <w:rPr>
                <w:rFonts w:cs="Arial"/>
              </w:rPr>
            </w:pPr>
            <w:r w:rsidRPr="0066269F">
              <w:rPr>
                <w:rFonts w:cs="Arial"/>
              </w:rPr>
              <w:lastRenderedPageBreak/>
              <w:t>977</w:t>
            </w:r>
          </w:p>
        </w:tc>
        <w:tc>
          <w:tcPr>
            <w:tcW w:w="1698" w:type="dxa"/>
          </w:tcPr>
          <w:p w14:paraId="46D7416C" w14:textId="3F36DDC4" w:rsidR="0066269F" w:rsidRPr="0066269F" w:rsidRDefault="0066269F" w:rsidP="0066269F">
            <w:pPr>
              <w:rPr>
                <w:rFonts w:cs="Arial"/>
              </w:rPr>
            </w:pPr>
            <w:r w:rsidRPr="0066269F">
              <w:rPr>
                <w:rFonts w:cs="Arial"/>
              </w:rPr>
              <w:t>13,13%</w:t>
            </w:r>
          </w:p>
        </w:tc>
        <w:tc>
          <w:tcPr>
            <w:tcW w:w="718" w:type="dxa"/>
          </w:tcPr>
          <w:p w14:paraId="4AF5B176" w14:textId="36E67B27" w:rsidR="0066269F" w:rsidRPr="0066269F" w:rsidRDefault="0066269F" w:rsidP="0066269F">
            <w:pPr>
              <w:rPr>
                <w:rFonts w:cs="Arial"/>
              </w:rPr>
            </w:pPr>
            <w:r w:rsidRPr="0066269F">
              <w:rPr>
                <w:rFonts w:cs="Arial"/>
              </w:rPr>
              <w:t xml:space="preserve">1 </w:t>
            </w:r>
            <w:r w:rsidRPr="0066269F">
              <w:rPr>
                <w:rFonts w:cs="Arial"/>
              </w:rPr>
              <w:lastRenderedPageBreak/>
              <w:t>118</w:t>
            </w:r>
          </w:p>
        </w:tc>
        <w:tc>
          <w:tcPr>
            <w:tcW w:w="1001" w:type="dxa"/>
          </w:tcPr>
          <w:p w14:paraId="4EA5E4EB" w14:textId="430F5492" w:rsidR="0066269F" w:rsidRPr="0066269F" w:rsidRDefault="0066269F" w:rsidP="0066269F">
            <w:pPr>
              <w:rPr>
                <w:rFonts w:cs="Arial"/>
              </w:rPr>
            </w:pPr>
            <w:r w:rsidRPr="0066269F">
              <w:rPr>
                <w:rFonts w:cs="Arial"/>
              </w:rPr>
              <w:lastRenderedPageBreak/>
              <w:t>14,82%</w:t>
            </w:r>
          </w:p>
        </w:tc>
        <w:tc>
          <w:tcPr>
            <w:tcW w:w="1569" w:type="dxa"/>
          </w:tcPr>
          <w:p w14:paraId="4D4BD82C" w14:textId="3E2C30DE" w:rsidR="0066269F" w:rsidRPr="0066269F" w:rsidRDefault="0066269F" w:rsidP="0066269F">
            <w:pPr>
              <w:rPr>
                <w:rFonts w:cs="Arial"/>
              </w:rPr>
            </w:pPr>
            <w:r w:rsidRPr="0066269F">
              <w:rPr>
                <w:rFonts w:cs="Arial"/>
              </w:rPr>
              <w:t xml:space="preserve">0,872 (0,800; </w:t>
            </w:r>
            <w:r w:rsidRPr="0066269F">
              <w:rPr>
                <w:rFonts w:cs="Arial"/>
              </w:rPr>
              <w:lastRenderedPageBreak/>
              <w:t>0,950)</w:t>
            </w:r>
          </w:p>
        </w:tc>
        <w:tc>
          <w:tcPr>
            <w:tcW w:w="1214" w:type="dxa"/>
          </w:tcPr>
          <w:p w14:paraId="71B0F0CA" w14:textId="405B8798" w:rsidR="0066269F" w:rsidRPr="0066269F" w:rsidRDefault="0066269F" w:rsidP="0066269F">
            <w:pPr>
              <w:rPr>
                <w:rFonts w:cs="Arial"/>
              </w:rPr>
            </w:pPr>
            <w:r w:rsidRPr="0066269F">
              <w:rPr>
                <w:rFonts w:cs="Arial"/>
              </w:rPr>
              <w:lastRenderedPageBreak/>
              <w:t>0,002</w:t>
            </w:r>
          </w:p>
        </w:tc>
      </w:tr>
      <w:tr w:rsidR="0066269F" w14:paraId="738FBDD6" w14:textId="77777777" w:rsidTr="0066269F">
        <w:tc>
          <w:tcPr>
            <w:tcW w:w="2104" w:type="dxa"/>
          </w:tcPr>
          <w:p w14:paraId="595E6272" w14:textId="126DAEFC" w:rsidR="0066269F" w:rsidRPr="0066269F" w:rsidRDefault="0066269F" w:rsidP="0066269F">
            <w:pPr>
              <w:rPr>
                <w:rFonts w:cs="Arial"/>
              </w:rPr>
            </w:pPr>
            <w:r w:rsidRPr="0066269F">
              <w:rPr>
                <w:rFonts w:cs="Arial"/>
              </w:rPr>
              <w:t>Всички инсулти (фатален и нефатален)</w:t>
            </w:r>
          </w:p>
        </w:tc>
        <w:tc>
          <w:tcPr>
            <w:tcW w:w="1272" w:type="dxa"/>
          </w:tcPr>
          <w:p w14:paraId="14F3A774" w14:textId="14DEA815" w:rsidR="0066269F" w:rsidRPr="0066269F" w:rsidRDefault="0066269F" w:rsidP="0066269F">
            <w:pPr>
              <w:rPr>
                <w:rFonts w:cs="Arial"/>
              </w:rPr>
            </w:pPr>
            <w:r w:rsidRPr="0066269F">
              <w:rPr>
                <w:rFonts w:cs="Arial"/>
              </w:rPr>
              <w:t>296</w:t>
            </w:r>
          </w:p>
        </w:tc>
        <w:tc>
          <w:tcPr>
            <w:tcW w:w="1698" w:type="dxa"/>
          </w:tcPr>
          <w:p w14:paraId="626BC02A" w14:textId="3CE2D963" w:rsidR="0066269F" w:rsidRPr="0066269F" w:rsidRDefault="0066269F" w:rsidP="0066269F">
            <w:pPr>
              <w:rPr>
                <w:rFonts w:cs="Arial"/>
              </w:rPr>
            </w:pPr>
            <w:r w:rsidRPr="0066269F">
              <w:rPr>
                <w:rFonts w:cs="Arial"/>
              </w:rPr>
              <w:t>4,16%</w:t>
            </w:r>
          </w:p>
        </w:tc>
        <w:tc>
          <w:tcPr>
            <w:tcW w:w="718" w:type="dxa"/>
          </w:tcPr>
          <w:p w14:paraId="5AB7FFD8" w14:textId="65BA87CD" w:rsidR="0066269F" w:rsidRPr="0066269F" w:rsidRDefault="0066269F" w:rsidP="0066269F">
            <w:pPr>
              <w:rPr>
                <w:rFonts w:cs="Arial"/>
              </w:rPr>
            </w:pPr>
            <w:r w:rsidRPr="0066269F">
              <w:rPr>
                <w:rFonts w:cs="Arial"/>
              </w:rPr>
              <w:t>345</w:t>
            </w:r>
          </w:p>
        </w:tc>
        <w:tc>
          <w:tcPr>
            <w:tcW w:w="1001" w:type="dxa"/>
          </w:tcPr>
          <w:p w14:paraId="5FDEF395" w14:textId="3FF89F56" w:rsidR="0066269F" w:rsidRPr="0066269F" w:rsidRDefault="0066269F" w:rsidP="0066269F">
            <w:pPr>
              <w:rPr>
                <w:rFonts w:cs="Arial"/>
              </w:rPr>
            </w:pPr>
            <w:r w:rsidRPr="0066269F">
              <w:rPr>
                <w:rFonts w:cs="Arial"/>
              </w:rPr>
              <w:t>4,77%</w:t>
            </w:r>
          </w:p>
        </w:tc>
        <w:tc>
          <w:tcPr>
            <w:tcW w:w="1569" w:type="dxa"/>
          </w:tcPr>
          <w:p w14:paraId="4005743E" w14:textId="77777777" w:rsidR="0066269F" w:rsidRPr="0066269F" w:rsidRDefault="0066269F" w:rsidP="0066269F">
            <w:pPr>
              <w:rPr>
                <w:rFonts w:cs="Arial"/>
              </w:rPr>
            </w:pPr>
            <w:r w:rsidRPr="0066269F">
              <w:rPr>
                <w:rFonts w:cs="Arial"/>
              </w:rPr>
              <w:t>0,857 (0,734;</w:t>
            </w:r>
          </w:p>
          <w:p w14:paraId="07338D79" w14:textId="2C494BBC" w:rsidR="0066269F" w:rsidRPr="0066269F" w:rsidRDefault="0066269F" w:rsidP="0066269F">
            <w:pPr>
              <w:rPr>
                <w:rFonts w:cs="Arial"/>
              </w:rPr>
            </w:pPr>
            <w:r w:rsidRPr="0066269F">
              <w:rPr>
                <w:rFonts w:cs="Arial"/>
              </w:rPr>
              <w:t>1,001)</w:t>
            </w:r>
          </w:p>
        </w:tc>
        <w:tc>
          <w:tcPr>
            <w:tcW w:w="1214" w:type="dxa"/>
          </w:tcPr>
          <w:p w14:paraId="5FC71579" w14:textId="12EB43A4" w:rsidR="0066269F" w:rsidRPr="0066269F" w:rsidRDefault="0066269F" w:rsidP="0066269F">
            <w:pPr>
              <w:rPr>
                <w:rFonts w:cs="Arial"/>
              </w:rPr>
            </w:pPr>
            <w:r w:rsidRPr="0066269F">
              <w:rPr>
                <w:rFonts w:cs="Arial"/>
              </w:rPr>
              <w:t>0,052</w:t>
            </w:r>
          </w:p>
        </w:tc>
      </w:tr>
      <w:tr w:rsidR="0066269F" w14:paraId="3A1760A0" w14:textId="77777777" w:rsidTr="0066269F">
        <w:tc>
          <w:tcPr>
            <w:tcW w:w="2104" w:type="dxa"/>
          </w:tcPr>
          <w:p w14:paraId="6C72B6BF" w14:textId="668EA3F9" w:rsidR="0066269F" w:rsidRPr="0066269F" w:rsidRDefault="0066269F" w:rsidP="0066269F">
            <w:pPr>
              <w:rPr>
                <w:rFonts w:cs="Arial"/>
              </w:rPr>
            </w:pPr>
            <w:r w:rsidRPr="0066269F">
              <w:rPr>
                <w:rFonts w:cs="Arial"/>
              </w:rPr>
              <w:t>Нехеморагичен инсулт</w:t>
            </w:r>
            <w:r w:rsidRPr="0066269F">
              <w:rPr>
                <w:rFonts w:cs="Arial"/>
                <w:vertAlign w:val="superscript"/>
                <w:lang w:val="en-US"/>
              </w:rPr>
              <w:t>d</w:t>
            </w:r>
          </w:p>
        </w:tc>
        <w:tc>
          <w:tcPr>
            <w:tcW w:w="1272" w:type="dxa"/>
          </w:tcPr>
          <w:p w14:paraId="07D9AEE8" w14:textId="0935668B" w:rsidR="0066269F" w:rsidRPr="0066269F" w:rsidRDefault="0066269F" w:rsidP="0066269F">
            <w:pPr>
              <w:rPr>
                <w:rFonts w:cs="Arial"/>
              </w:rPr>
            </w:pPr>
            <w:r w:rsidRPr="0066269F">
              <w:rPr>
                <w:rFonts w:cs="Arial"/>
              </w:rPr>
              <w:t>242</w:t>
            </w:r>
          </w:p>
        </w:tc>
        <w:tc>
          <w:tcPr>
            <w:tcW w:w="1698" w:type="dxa"/>
          </w:tcPr>
          <w:p w14:paraId="4517B4F3" w14:textId="60ABA93A" w:rsidR="0066269F" w:rsidRPr="0066269F" w:rsidRDefault="0066269F" w:rsidP="0066269F">
            <w:pPr>
              <w:rPr>
                <w:rFonts w:cs="Arial"/>
              </w:rPr>
            </w:pPr>
            <w:r w:rsidRPr="0066269F">
              <w:rPr>
                <w:rFonts w:cs="Arial"/>
              </w:rPr>
              <w:t>3,48%</w:t>
            </w:r>
          </w:p>
        </w:tc>
        <w:tc>
          <w:tcPr>
            <w:tcW w:w="718" w:type="dxa"/>
          </w:tcPr>
          <w:p w14:paraId="3985B0BC" w14:textId="348801E5" w:rsidR="0066269F" w:rsidRPr="0066269F" w:rsidRDefault="0066269F" w:rsidP="0066269F">
            <w:pPr>
              <w:rPr>
                <w:rFonts w:cs="Arial"/>
              </w:rPr>
            </w:pPr>
            <w:r w:rsidRPr="0066269F">
              <w:rPr>
                <w:rFonts w:cs="Arial"/>
              </w:rPr>
              <w:t>305</w:t>
            </w:r>
          </w:p>
        </w:tc>
        <w:tc>
          <w:tcPr>
            <w:tcW w:w="1001" w:type="dxa"/>
          </w:tcPr>
          <w:p w14:paraId="58D9E9B2" w14:textId="60BD7047" w:rsidR="0066269F" w:rsidRPr="0066269F" w:rsidRDefault="0066269F" w:rsidP="0066269F">
            <w:pPr>
              <w:rPr>
                <w:rFonts w:cs="Arial"/>
              </w:rPr>
            </w:pPr>
            <w:r w:rsidRPr="0066269F">
              <w:rPr>
                <w:rFonts w:cs="Arial"/>
              </w:rPr>
              <w:t>4,23%</w:t>
            </w:r>
          </w:p>
        </w:tc>
        <w:tc>
          <w:tcPr>
            <w:tcW w:w="1569" w:type="dxa"/>
          </w:tcPr>
          <w:p w14:paraId="3AE743DB" w14:textId="5E893593" w:rsidR="0066269F" w:rsidRPr="0066269F" w:rsidRDefault="0066269F" w:rsidP="0066269F">
            <w:pPr>
              <w:rPr>
                <w:rFonts w:cs="Arial"/>
              </w:rPr>
            </w:pPr>
            <w:r w:rsidRPr="0066269F">
              <w:rPr>
                <w:rFonts w:cs="Arial"/>
              </w:rPr>
              <w:t>0,793 (0,670; 0,939)</w:t>
            </w:r>
          </w:p>
        </w:tc>
        <w:tc>
          <w:tcPr>
            <w:tcW w:w="1214" w:type="dxa"/>
          </w:tcPr>
          <w:p w14:paraId="5522FB81" w14:textId="50D923D0" w:rsidR="0066269F" w:rsidRPr="0066269F" w:rsidRDefault="0066269F" w:rsidP="0066269F">
            <w:pPr>
              <w:rPr>
                <w:rFonts w:cs="Arial"/>
              </w:rPr>
            </w:pPr>
            <w:r w:rsidRPr="0066269F">
              <w:rPr>
                <w:rFonts w:cs="Arial"/>
              </w:rPr>
              <w:t>0,007</w:t>
            </w:r>
          </w:p>
        </w:tc>
      </w:tr>
      <w:tr w:rsidR="0066269F" w14:paraId="4A286C1D" w14:textId="77777777" w:rsidTr="0066269F">
        <w:tc>
          <w:tcPr>
            <w:tcW w:w="2104" w:type="dxa"/>
          </w:tcPr>
          <w:p w14:paraId="2DE2AF05" w14:textId="353FD37B" w:rsidR="0066269F" w:rsidRPr="0066269F" w:rsidRDefault="0066269F" w:rsidP="0066269F">
            <w:pPr>
              <w:rPr>
                <w:rFonts w:cs="Arial"/>
              </w:rPr>
            </w:pPr>
            <w:r w:rsidRPr="0066269F">
              <w:rPr>
                <w:rFonts w:cs="Arial"/>
              </w:rPr>
              <w:t>Хеморагичен инсулт</w:t>
            </w:r>
          </w:p>
        </w:tc>
        <w:tc>
          <w:tcPr>
            <w:tcW w:w="1272" w:type="dxa"/>
          </w:tcPr>
          <w:p w14:paraId="6C6124EF" w14:textId="6CA0E541" w:rsidR="0066269F" w:rsidRPr="0066269F" w:rsidRDefault="0066269F" w:rsidP="0066269F">
            <w:pPr>
              <w:rPr>
                <w:rFonts w:cs="Arial"/>
              </w:rPr>
            </w:pPr>
            <w:r w:rsidRPr="0066269F">
              <w:rPr>
                <w:rFonts w:cs="Arial"/>
              </w:rPr>
              <w:t>59</w:t>
            </w:r>
          </w:p>
        </w:tc>
        <w:tc>
          <w:tcPr>
            <w:tcW w:w="1698" w:type="dxa"/>
          </w:tcPr>
          <w:p w14:paraId="65D2E806" w14:textId="7387EB11" w:rsidR="0066269F" w:rsidRPr="0066269F" w:rsidRDefault="0066269F" w:rsidP="0066269F">
            <w:pPr>
              <w:rPr>
                <w:rFonts w:cs="Arial"/>
              </w:rPr>
            </w:pPr>
            <w:r w:rsidRPr="0066269F">
              <w:rPr>
                <w:rFonts w:cs="Arial"/>
              </w:rPr>
              <w:t>0,77%</w:t>
            </w:r>
          </w:p>
        </w:tc>
        <w:tc>
          <w:tcPr>
            <w:tcW w:w="718" w:type="dxa"/>
          </w:tcPr>
          <w:p w14:paraId="671C0A1D" w14:textId="4051E024" w:rsidR="0066269F" w:rsidRPr="0066269F" w:rsidRDefault="0066269F" w:rsidP="0066269F">
            <w:pPr>
              <w:rPr>
                <w:rFonts w:cs="Arial"/>
              </w:rPr>
            </w:pPr>
            <w:r w:rsidRPr="0066269F">
              <w:rPr>
                <w:rFonts w:cs="Arial"/>
              </w:rPr>
              <w:t>43</w:t>
            </w:r>
          </w:p>
        </w:tc>
        <w:tc>
          <w:tcPr>
            <w:tcW w:w="1001" w:type="dxa"/>
          </w:tcPr>
          <w:p w14:paraId="39BCF5DE" w14:textId="20108D63" w:rsidR="0066269F" w:rsidRPr="0066269F" w:rsidRDefault="0066269F" w:rsidP="0066269F">
            <w:pPr>
              <w:rPr>
                <w:rFonts w:cs="Arial"/>
              </w:rPr>
            </w:pPr>
            <w:r w:rsidRPr="0066269F">
              <w:rPr>
                <w:rFonts w:cs="Arial"/>
              </w:rPr>
              <w:t>0,59%</w:t>
            </w:r>
          </w:p>
        </w:tc>
        <w:tc>
          <w:tcPr>
            <w:tcW w:w="1569" w:type="dxa"/>
          </w:tcPr>
          <w:p w14:paraId="360CCD4E" w14:textId="77777777" w:rsidR="0066269F" w:rsidRPr="0066269F" w:rsidRDefault="0066269F" w:rsidP="0066269F">
            <w:pPr>
              <w:rPr>
                <w:rFonts w:cs="Arial"/>
              </w:rPr>
            </w:pPr>
            <w:r w:rsidRPr="0066269F">
              <w:rPr>
                <w:rFonts w:cs="Arial"/>
              </w:rPr>
              <w:t>1,377 (0,930;</w:t>
            </w:r>
          </w:p>
          <w:p w14:paraId="21311EBE" w14:textId="242D07F9" w:rsidR="0066269F" w:rsidRPr="0066269F" w:rsidRDefault="0066269F" w:rsidP="0066269F">
            <w:pPr>
              <w:rPr>
                <w:rFonts w:cs="Arial"/>
              </w:rPr>
            </w:pPr>
            <w:r w:rsidRPr="0066269F">
              <w:rPr>
                <w:rFonts w:cs="Arial"/>
              </w:rPr>
              <w:t>2,040)</w:t>
            </w:r>
          </w:p>
        </w:tc>
        <w:tc>
          <w:tcPr>
            <w:tcW w:w="1214" w:type="dxa"/>
          </w:tcPr>
          <w:p w14:paraId="7475115F" w14:textId="6E979EBD" w:rsidR="0066269F" w:rsidRPr="0066269F" w:rsidRDefault="0066269F" w:rsidP="0066269F">
            <w:pPr>
              <w:rPr>
                <w:rFonts w:cs="Arial"/>
              </w:rPr>
            </w:pPr>
            <w:r w:rsidRPr="0066269F">
              <w:rPr>
                <w:rFonts w:cs="Arial"/>
              </w:rPr>
              <w:t>0,110</w:t>
            </w:r>
          </w:p>
        </w:tc>
      </w:tr>
      <w:tr w:rsidR="0066269F" w14:paraId="593978DB" w14:textId="77777777" w:rsidTr="0066269F">
        <w:tc>
          <w:tcPr>
            <w:tcW w:w="2104" w:type="dxa"/>
          </w:tcPr>
          <w:p w14:paraId="0BC85F18" w14:textId="49B1BD35" w:rsidR="0066269F" w:rsidRPr="0066269F" w:rsidRDefault="0066269F" w:rsidP="0066269F">
            <w:pPr>
              <w:rPr>
                <w:rFonts w:cs="Arial"/>
              </w:rPr>
            </w:pPr>
            <w:r w:rsidRPr="0066269F">
              <w:rPr>
                <w:rFonts w:cs="Arial"/>
              </w:rPr>
              <w:t>Смърт по всякакви причини</w:t>
            </w:r>
          </w:p>
        </w:tc>
        <w:tc>
          <w:tcPr>
            <w:tcW w:w="1272" w:type="dxa"/>
          </w:tcPr>
          <w:p w14:paraId="20F4C4EE" w14:textId="42B48088" w:rsidR="0066269F" w:rsidRPr="0066269F" w:rsidRDefault="0066269F" w:rsidP="0066269F">
            <w:pPr>
              <w:rPr>
                <w:rFonts w:cs="Arial"/>
              </w:rPr>
            </w:pPr>
            <w:r w:rsidRPr="0066269F">
              <w:rPr>
                <w:rFonts w:cs="Arial"/>
              </w:rPr>
              <w:t>1 215</w:t>
            </w:r>
          </w:p>
        </w:tc>
        <w:tc>
          <w:tcPr>
            <w:tcW w:w="1698" w:type="dxa"/>
          </w:tcPr>
          <w:p w14:paraId="6933B48D" w14:textId="21B3B8ED" w:rsidR="0066269F" w:rsidRPr="0066269F" w:rsidRDefault="0066269F" w:rsidP="0066269F">
            <w:pPr>
              <w:rPr>
                <w:rFonts w:cs="Arial"/>
              </w:rPr>
            </w:pPr>
            <w:r w:rsidRPr="0066269F">
              <w:rPr>
                <w:rFonts w:cs="Arial"/>
              </w:rPr>
              <w:t>15,36%</w:t>
            </w:r>
          </w:p>
        </w:tc>
        <w:tc>
          <w:tcPr>
            <w:tcW w:w="718" w:type="dxa"/>
          </w:tcPr>
          <w:p w14:paraId="7FA27A1B" w14:textId="06CA1592" w:rsidR="0066269F" w:rsidRPr="0066269F" w:rsidRDefault="0066269F" w:rsidP="0066269F">
            <w:pPr>
              <w:rPr>
                <w:rFonts w:cs="Arial"/>
              </w:rPr>
            </w:pPr>
            <w:r w:rsidRPr="0066269F">
              <w:rPr>
                <w:rFonts w:cs="Arial"/>
              </w:rPr>
              <w:t>1 231</w:t>
            </w:r>
          </w:p>
        </w:tc>
        <w:tc>
          <w:tcPr>
            <w:tcW w:w="1001" w:type="dxa"/>
          </w:tcPr>
          <w:p w14:paraId="17336BCD" w14:textId="11AA41BB" w:rsidR="0066269F" w:rsidRPr="0066269F" w:rsidRDefault="0066269F" w:rsidP="0066269F">
            <w:pPr>
              <w:rPr>
                <w:rFonts w:cs="Arial"/>
              </w:rPr>
            </w:pPr>
            <w:r w:rsidRPr="0066269F">
              <w:rPr>
                <w:rFonts w:cs="Arial"/>
              </w:rPr>
              <w:t>15,28%</w:t>
            </w:r>
          </w:p>
        </w:tc>
        <w:tc>
          <w:tcPr>
            <w:tcW w:w="1569" w:type="dxa"/>
          </w:tcPr>
          <w:p w14:paraId="4BA8658B" w14:textId="77777777" w:rsidR="0066269F" w:rsidRPr="0066269F" w:rsidRDefault="0066269F" w:rsidP="0066269F">
            <w:pPr>
              <w:rPr>
                <w:rFonts w:cs="Arial"/>
              </w:rPr>
            </w:pPr>
            <w:r w:rsidRPr="0066269F">
              <w:rPr>
                <w:rFonts w:cs="Arial"/>
              </w:rPr>
              <w:t>0,989 (0,914;</w:t>
            </w:r>
          </w:p>
          <w:p w14:paraId="2ABB530B" w14:textId="164C71B2" w:rsidR="0066269F" w:rsidRPr="0066269F" w:rsidRDefault="0066269F" w:rsidP="0066269F">
            <w:pPr>
              <w:rPr>
                <w:rFonts w:cs="Arial"/>
              </w:rPr>
            </w:pPr>
            <w:r w:rsidRPr="0066269F">
              <w:rPr>
                <w:rFonts w:cs="Arial"/>
              </w:rPr>
              <w:t>1,070)</w:t>
            </w:r>
          </w:p>
        </w:tc>
        <w:tc>
          <w:tcPr>
            <w:tcW w:w="1214" w:type="dxa"/>
          </w:tcPr>
          <w:p w14:paraId="6F6D8FFB" w14:textId="0DB2783C" w:rsidR="0066269F" w:rsidRPr="0066269F" w:rsidRDefault="0066269F" w:rsidP="0066269F">
            <w:pPr>
              <w:rPr>
                <w:rFonts w:cs="Arial"/>
              </w:rPr>
            </w:pPr>
            <w:r w:rsidRPr="0066269F">
              <w:rPr>
                <w:rFonts w:cs="Arial"/>
              </w:rPr>
              <w:t>0,782</w:t>
            </w:r>
          </w:p>
        </w:tc>
      </w:tr>
    </w:tbl>
    <w:p w14:paraId="02CC9E72" w14:textId="77777777" w:rsidR="00DE4A21" w:rsidRDefault="00DE4A21" w:rsidP="00DE4A21">
      <w:pPr>
        <w:spacing w:line="240" w:lineRule="auto"/>
        <w:rPr>
          <w:rFonts w:eastAsia="Times New Roman" w:cs="Arial"/>
          <w:color w:val="000000"/>
          <w:lang w:eastAsia="bg-BG"/>
        </w:rPr>
      </w:pPr>
      <w:r w:rsidRPr="00DE4A21">
        <w:rPr>
          <w:rFonts w:eastAsia="Times New Roman" w:cs="Arial"/>
          <w:color w:val="000000"/>
          <w:vertAlign w:val="superscript"/>
          <w:lang w:val="en-US"/>
        </w:rPr>
        <w:t>a</w:t>
      </w:r>
      <w:r w:rsidRPr="00DE4A21">
        <w:rPr>
          <w:rFonts w:eastAsia="Times New Roman" w:cs="Arial"/>
          <w:color w:val="000000"/>
          <w:lang w:eastAsia="bg-BG"/>
        </w:rPr>
        <w:t xml:space="preserve">6% са титрирани до по-висока доза от 10/80 </w:t>
      </w:r>
      <w:r w:rsidRPr="00DE4A21">
        <w:rPr>
          <w:rFonts w:eastAsia="Times New Roman" w:cs="Arial"/>
          <w:color w:val="000000"/>
          <w:lang w:val="en-US"/>
        </w:rPr>
        <w:t xml:space="preserve">mg </w:t>
      </w:r>
      <w:r w:rsidRPr="00DE4A21">
        <w:rPr>
          <w:rFonts w:eastAsia="Times New Roman" w:cs="Arial"/>
          <w:color w:val="000000"/>
          <w:lang w:eastAsia="bg-BG"/>
        </w:rPr>
        <w:t xml:space="preserve">езетимиб/симвастатин. </w:t>
      </w:r>
    </w:p>
    <w:p w14:paraId="6BEFE320" w14:textId="5848FADC" w:rsidR="00DE4A21" w:rsidRPr="00DE4A21" w:rsidRDefault="00DE4A21" w:rsidP="00DE4A21">
      <w:pPr>
        <w:spacing w:line="240" w:lineRule="auto"/>
        <w:rPr>
          <w:rFonts w:eastAsia="Times New Roman" w:cs="Arial"/>
          <w:sz w:val="24"/>
          <w:szCs w:val="24"/>
          <w:lang w:eastAsia="bg-BG"/>
        </w:rPr>
      </w:pPr>
      <w:r w:rsidRPr="00DE4A21">
        <w:rPr>
          <w:rFonts w:eastAsia="Times New Roman" w:cs="Arial"/>
          <w:color w:val="000000"/>
          <w:vertAlign w:val="superscript"/>
          <w:lang w:val="en-US"/>
        </w:rPr>
        <w:t>b</w:t>
      </w:r>
      <w:r w:rsidRPr="00DE4A21">
        <w:rPr>
          <w:rFonts w:eastAsia="Times New Roman" w:cs="Arial"/>
          <w:color w:val="000000"/>
          <w:lang w:eastAsia="bg-BG"/>
        </w:rPr>
        <w:t xml:space="preserve">27% са титрирани до по-висока доза от 80 </w:t>
      </w:r>
      <w:r w:rsidRPr="00DE4A21">
        <w:rPr>
          <w:rFonts w:eastAsia="Times New Roman" w:cs="Arial"/>
          <w:color w:val="000000"/>
          <w:lang w:val="en-US"/>
        </w:rPr>
        <w:t xml:space="preserve">mg </w:t>
      </w:r>
      <w:r w:rsidRPr="00DE4A21">
        <w:rPr>
          <w:rFonts w:eastAsia="Times New Roman" w:cs="Arial"/>
          <w:color w:val="000000"/>
          <w:lang w:eastAsia="bg-BG"/>
        </w:rPr>
        <w:t>симвастатин.</w:t>
      </w:r>
    </w:p>
    <w:p w14:paraId="6CE92860" w14:textId="77777777" w:rsidR="00DE4A21" w:rsidRPr="00DE4A21" w:rsidRDefault="00DE4A21" w:rsidP="00DE4A21">
      <w:pPr>
        <w:spacing w:line="240" w:lineRule="auto"/>
        <w:rPr>
          <w:rFonts w:eastAsia="Times New Roman" w:cs="Arial"/>
          <w:sz w:val="24"/>
          <w:szCs w:val="24"/>
          <w:lang w:eastAsia="bg-BG"/>
        </w:rPr>
      </w:pPr>
      <w:r w:rsidRPr="00DE4A21">
        <w:rPr>
          <w:rFonts w:eastAsia="Times New Roman" w:cs="Arial"/>
          <w:color w:val="000000"/>
          <w:vertAlign w:val="superscript"/>
          <w:lang w:eastAsia="bg-BG"/>
        </w:rPr>
        <w:t>с</w:t>
      </w:r>
      <w:r w:rsidRPr="00DE4A21">
        <w:rPr>
          <w:rFonts w:eastAsia="Times New Roman" w:cs="Arial"/>
          <w:color w:val="000000"/>
          <w:lang w:eastAsia="bg-BG"/>
        </w:rPr>
        <w:t xml:space="preserve"> оценка на </w:t>
      </w:r>
      <w:r w:rsidRPr="00DE4A21">
        <w:rPr>
          <w:rFonts w:eastAsia="Times New Roman" w:cs="Arial"/>
          <w:color w:val="000000"/>
          <w:lang w:val="en-US"/>
        </w:rPr>
        <w:t xml:space="preserve">Kaplan-Meier </w:t>
      </w:r>
      <w:r w:rsidRPr="00DE4A21">
        <w:rPr>
          <w:rFonts w:eastAsia="Times New Roman" w:cs="Arial"/>
          <w:color w:val="000000"/>
          <w:lang w:eastAsia="bg-BG"/>
        </w:rPr>
        <w:t>на 7 години.</w:t>
      </w:r>
    </w:p>
    <w:p w14:paraId="47BEDE7D" w14:textId="77777777" w:rsidR="00DE4A21" w:rsidRPr="00DE4A21" w:rsidRDefault="00DE4A21" w:rsidP="00DE4A21">
      <w:pPr>
        <w:spacing w:line="240" w:lineRule="auto"/>
        <w:rPr>
          <w:rFonts w:eastAsia="Times New Roman" w:cs="Arial"/>
          <w:sz w:val="24"/>
          <w:szCs w:val="24"/>
          <w:lang w:eastAsia="bg-BG"/>
        </w:rPr>
      </w:pPr>
      <w:proofErr w:type="gramStart"/>
      <w:r w:rsidRPr="00DE4A21">
        <w:rPr>
          <w:rFonts w:eastAsia="Times New Roman" w:cs="Arial"/>
          <w:color w:val="000000"/>
          <w:vertAlign w:val="superscript"/>
          <w:lang w:val="en-US"/>
        </w:rPr>
        <w:t>d</w:t>
      </w:r>
      <w:proofErr w:type="gramEnd"/>
      <w:r w:rsidRPr="00DE4A21">
        <w:rPr>
          <w:rFonts w:eastAsia="Times New Roman" w:cs="Arial"/>
          <w:color w:val="000000"/>
          <w:lang w:eastAsia="bg-BG"/>
        </w:rPr>
        <w:t xml:space="preserve"> включва исхемичен инсулт или инсулт от неопределен вид</w:t>
      </w:r>
    </w:p>
    <w:p w14:paraId="5E9471B7" w14:textId="77777777" w:rsidR="00DE4A21" w:rsidRPr="00DE4A21" w:rsidRDefault="00DE4A21" w:rsidP="00DE4A21">
      <w:pPr>
        <w:spacing w:line="240" w:lineRule="auto"/>
        <w:rPr>
          <w:rFonts w:eastAsia="Times New Roman" w:cs="Arial"/>
          <w:i/>
          <w:iCs/>
          <w:color w:val="000000"/>
          <w:lang w:eastAsia="bg-BG"/>
        </w:rPr>
      </w:pPr>
    </w:p>
    <w:p w14:paraId="006A45BE" w14:textId="7A064BBC" w:rsidR="00DE4A21" w:rsidRPr="00DE4A21" w:rsidRDefault="00DE4A21" w:rsidP="00DE4A21">
      <w:pPr>
        <w:spacing w:line="240" w:lineRule="auto"/>
        <w:rPr>
          <w:rFonts w:eastAsia="Times New Roman" w:cs="Arial"/>
          <w:sz w:val="24"/>
          <w:szCs w:val="24"/>
          <w:lang w:eastAsia="bg-BG"/>
        </w:rPr>
      </w:pPr>
      <w:r w:rsidRPr="00DE4A21">
        <w:rPr>
          <w:rFonts w:eastAsia="Times New Roman" w:cs="Arial"/>
          <w:i/>
          <w:iCs/>
          <w:color w:val="000000"/>
          <w:lang w:eastAsia="bg-BG"/>
        </w:rPr>
        <w:t xml:space="preserve">Превенция на големи съдови събития при хронично бъбречно заболяване </w:t>
      </w:r>
      <w:r w:rsidRPr="00DE4A21">
        <w:rPr>
          <w:rFonts w:eastAsia="Times New Roman" w:cs="Arial"/>
          <w:i/>
          <w:iCs/>
          <w:color w:val="000000"/>
          <w:lang w:val="en-US"/>
        </w:rPr>
        <w:t>(CKD)</w:t>
      </w:r>
    </w:p>
    <w:p w14:paraId="1B38C672" w14:textId="77777777" w:rsidR="00DE4A21" w:rsidRPr="0066269F" w:rsidRDefault="00DE4A21" w:rsidP="00DE4A21">
      <w:pPr>
        <w:rPr>
          <w:rFonts w:eastAsia="Times New Roman" w:cs="Arial"/>
          <w:sz w:val="24"/>
          <w:szCs w:val="24"/>
          <w:lang w:eastAsia="bg-BG"/>
        </w:rPr>
      </w:pPr>
      <w:r w:rsidRPr="00DE4A21">
        <w:rPr>
          <w:rFonts w:eastAsia="Times New Roman" w:cs="Arial"/>
          <w:color w:val="000000"/>
          <w:lang w:eastAsia="bg-BG"/>
        </w:rPr>
        <w:t xml:space="preserve">Проучването за сърдечна и бъбречна протекция </w:t>
      </w:r>
      <w:r w:rsidRPr="00DE4A21">
        <w:rPr>
          <w:rFonts w:eastAsia="Times New Roman" w:cs="Arial"/>
          <w:color w:val="000000"/>
          <w:lang w:val="en-US"/>
        </w:rPr>
        <w:t xml:space="preserve">SHARP (Study of Heart and Renal Protection) e </w:t>
      </w:r>
      <w:r w:rsidRPr="00DE4A21">
        <w:rPr>
          <w:rFonts w:eastAsia="Times New Roman" w:cs="Arial"/>
          <w:color w:val="000000"/>
          <w:lang w:eastAsia="bg-BG"/>
        </w:rPr>
        <w:t>мултинационално, рандомизирано, плацебо-контролирано, двойно-сляпо проучване, проведено при 9 438 пациенти с хронично бъбречно заболяване, една трета от които са на диализа в началото на проучването. Общо 4 650 пациенти са рандомизирани да приемат комбинация с</w:t>
      </w:r>
      <w:r w:rsidRPr="00DE4A21">
        <w:rPr>
          <w:rFonts w:eastAsia="Times New Roman" w:cs="Arial"/>
          <w:i/>
          <w:iCs/>
          <w:color w:val="000000"/>
          <w:vertAlign w:val="subscript"/>
          <w:lang w:val="en-US"/>
        </w:rPr>
        <w:t xml:space="preserve">t </w:t>
      </w:r>
      <w:r w:rsidRPr="00DE4A21">
        <w:rPr>
          <w:rFonts w:eastAsia="Times New Roman" w:cs="Arial"/>
          <w:color w:val="000000"/>
          <w:lang w:eastAsia="bg-BG"/>
        </w:rPr>
        <w:t xml:space="preserve">фиксирана доза езетимиб/симвастатин 10/20 </w:t>
      </w:r>
      <w:r w:rsidRPr="00DE4A21">
        <w:rPr>
          <w:rFonts w:eastAsia="Times New Roman" w:cs="Arial"/>
          <w:color w:val="000000"/>
          <w:lang w:val="en-US"/>
        </w:rPr>
        <w:t xml:space="preserve">mg </w:t>
      </w:r>
      <w:r w:rsidRPr="00DE4A21">
        <w:rPr>
          <w:rFonts w:eastAsia="Times New Roman" w:cs="Arial"/>
          <w:color w:val="000000"/>
          <w:lang w:eastAsia="bg-BG"/>
        </w:rPr>
        <w:t>и 4 620 на плацебо и са проследени за медиана от 4,9 години. Пациентите са на средна възраст от 62 години и 63% от тях са мъже, 72%</w:t>
      </w:r>
      <w:r w:rsidRPr="00DE4A21">
        <w:rPr>
          <w:rFonts w:eastAsia="Times New Roman" w:cs="Arial"/>
          <w:color w:val="000000"/>
          <w:lang w:val="en-US"/>
        </w:rPr>
        <w:t xml:space="preserve"> </w:t>
      </w:r>
      <w:r w:rsidRPr="00DE4A21">
        <w:rPr>
          <w:rFonts w:eastAsia="Times New Roman" w:cs="Arial"/>
          <w:color w:val="000000"/>
          <w:lang w:eastAsia="bg-BG"/>
        </w:rPr>
        <w:t xml:space="preserve">са от бялата раса, 23% страдат от диабет; при тези, които не провеждат диализа средната изчислена скорост на гломерулна филтрация </w:t>
      </w:r>
      <w:r w:rsidRPr="00DE4A21">
        <w:rPr>
          <w:rFonts w:eastAsia="Times New Roman" w:cs="Arial"/>
          <w:color w:val="000000"/>
          <w:lang w:val="en-US"/>
        </w:rPr>
        <w:t>(</w:t>
      </w:r>
      <w:proofErr w:type="spellStart"/>
      <w:r w:rsidRPr="00DE4A21">
        <w:rPr>
          <w:rFonts w:eastAsia="Times New Roman" w:cs="Arial"/>
          <w:color w:val="000000"/>
          <w:lang w:val="en-US"/>
        </w:rPr>
        <w:t>eGFR</w:t>
      </w:r>
      <w:proofErr w:type="spellEnd"/>
      <w:r w:rsidRPr="00DE4A21">
        <w:rPr>
          <w:rFonts w:eastAsia="Times New Roman" w:cs="Arial"/>
          <w:color w:val="000000"/>
          <w:lang w:val="en-US"/>
        </w:rPr>
        <w:t xml:space="preserve">) </w:t>
      </w:r>
      <w:r w:rsidRPr="00DE4A21">
        <w:rPr>
          <w:rFonts w:eastAsia="Times New Roman" w:cs="Arial"/>
          <w:color w:val="000000"/>
          <w:lang w:eastAsia="bg-BG"/>
        </w:rPr>
        <w:t xml:space="preserve">е 26,5 </w:t>
      </w:r>
      <w:r w:rsidRPr="00DE4A21">
        <w:rPr>
          <w:rFonts w:eastAsia="Times New Roman" w:cs="Arial"/>
          <w:color w:val="000000"/>
          <w:lang w:val="en-US"/>
        </w:rPr>
        <w:t>ml/min/</w:t>
      </w:r>
      <w:proofErr w:type="spellStart"/>
      <w:r w:rsidRPr="00DE4A21">
        <w:rPr>
          <w:rFonts w:eastAsia="Times New Roman" w:cs="Arial"/>
          <w:color w:val="000000"/>
          <w:lang w:val="en-US"/>
        </w:rPr>
        <w:t>i</w:t>
      </w:r>
      <w:proofErr w:type="spellEnd"/>
      <w:r w:rsidRPr="00DE4A21">
        <w:rPr>
          <w:rFonts w:eastAsia="Times New Roman" w:cs="Arial"/>
          <w:color w:val="000000"/>
          <w:lang w:val="en-US"/>
        </w:rPr>
        <w:t xml:space="preserve"> </w:t>
      </w:r>
      <w:r w:rsidRPr="00DE4A21">
        <w:rPr>
          <w:rFonts w:eastAsia="Times New Roman" w:cs="Arial"/>
          <w:color w:val="000000"/>
          <w:lang w:eastAsia="bg-BG"/>
        </w:rPr>
        <w:t xml:space="preserve">,73 </w:t>
      </w:r>
      <w:r w:rsidRPr="00DE4A21">
        <w:rPr>
          <w:rFonts w:eastAsia="Times New Roman" w:cs="Arial"/>
          <w:color w:val="000000"/>
          <w:lang w:val="en-US"/>
        </w:rPr>
        <w:t>m</w:t>
      </w:r>
      <w:r w:rsidRPr="00DE4A21">
        <w:rPr>
          <w:rFonts w:eastAsia="Times New Roman" w:cs="Arial"/>
          <w:color w:val="000000"/>
          <w:vertAlign w:val="superscript"/>
          <w:lang w:val="en-US"/>
        </w:rPr>
        <w:t>2</w:t>
      </w:r>
      <w:r w:rsidRPr="00DE4A21">
        <w:rPr>
          <w:rFonts w:eastAsia="Times New Roman" w:cs="Arial"/>
          <w:color w:val="000000"/>
          <w:lang w:val="en-US"/>
        </w:rPr>
        <w:t xml:space="preserve">. </w:t>
      </w:r>
      <w:r w:rsidRPr="00DE4A21">
        <w:rPr>
          <w:rFonts w:eastAsia="Times New Roman" w:cs="Arial"/>
          <w:color w:val="000000"/>
          <w:lang w:eastAsia="bg-BG"/>
        </w:rPr>
        <w:t>Няма включващи критерии</w:t>
      </w:r>
      <w:r w:rsidRPr="00DE4A21">
        <w:rPr>
          <w:rFonts w:eastAsia="Times New Roman" w:cs="Arial"/>
          <w:sz w:val="24"/>
          <w:szCs w:val="24"/>
          <w:lang w:val="en-US" w:eastAsia="bg-BG"/>
        </w:rPr>
        <w:t xml:space="preserve"> </w:t>
      </w:r>
      <w:r w:rsidRPr="00DE4A21">
        <w:rPr>
          <w:rFonts w:eastAsia="Times New Roman" w:cs="Arial"/>
          <w:color w:val="000000"/>
          <w:lang w:eastAsia="bg-BG"/>
        </w:rPr>
        <w:t xml:space="preserve">относно липидите. Средните </w:t>
      </w:r>
      <w:r w:rsidRPr="00DE4A21">
        <w:rPr>
          <w:rFonts w:eastAsia="Times New Roman" w:cs="Arial"/>
          <w:color w:val="000000"/>
          <w:lang w:val="en-US"/>
        </w:rPr>
        <w:t xml:space="preserve">LDL-C </w:t>
      </w:r>
      <w:r w:rsidRPr="00DE4A21">
        <w:rPr>
          <w:rFonts w:eastAsia="Times New Roman" w:cs="Arial"/>
          <w:color w:val="000000"/>
          <w:lang w:eastAsia="bg-BG"/>
        </w:rPr>
        <w:t xml:space="preserve">в началото на проучването са 108 </w:t>
      </w:r>
      <w:r w:rsidRPr="00DE4A21">
        <w:rPr>
          <w:rFonts w:eastAsia="Times New Roman" w:cs="Arial"/>
          <w:color w:val="000000"/>
          <w:lang w:val="en-US"/>
        </w:rPr>
        <w:t xml:space="preserve">mg/dl. </w:t>
      </w:r>
      <w:r w:rsidRPr="00DE4A21">
        <w:rPr>
          <w:rFonts w:eastAsia="Times New Roman" w:cs="Arial"/>
          <w:color w:val="000000"/>
          <w:lang w:eastAsia="bg-BG"/>
        </w:rPr>
        <w:t>След една година,</w:t>
      </w:r>
      <w:r>
        <w:rPr>
          <w:rFonts w:eastAsia="Times New Roman" w:cs="Arial"/>
          <w:color w:val="000000"/>
          <w:lang w:val="en-US" w:eastAsia="bg-BG"/>
        </w:rPr>
        <w:t xml:space="preserve"> </w:t>
      </w:r>
      <w:r w:rsidRPr="0066269F">
        <w:rPr>
          <w:rFonts w:eastAsia="Times New Roman" w:cs="Arial"/>
          <w:color w:val="000000"/>
          <w:lang w:eastAsia="bg-BG"/>
        </w:rPr>
        <w:t xml:space="preserve">включително при пациенти, които вече не приемат изпитвания лекарствен продукт, </w:t>
      </w:r>
      <w:r w:rsidRPr="0066269F">
        <w:rPr>
          <w:rFonts w:eastAsia="Times New Roman" w:cs="Arial"/>
          <w:color w:val="000000"/>
          <w:lang w:val="en-US"/>
        </w:rPr>
        <w:t xml:space="preserve">LDL-C </w:t>
      </w:r>
      <w:r w:rsidRPr="0066269F">
        <w:rPr>
          <w:rFonts w:eastAsia="Times New Roman" w:cs="Arial"/>
          <w:color w:val="000000"/>
          <w:lang w:eastAsia="bg-BG"/>
        </w:rPr>
        <w:t xml:space="preserve">е намален с 26% в сравнение с плацебо вследствие на монотерапия с 20 </w:t>
      </w:r>
      <w:r w:rsidRPr="0066269F">
        <w:rPr>
          <w:rFonts w:eastAsia="Times New Roman" w:cs="Arial"/>
          <w:color w:val="000000"/>
          <w:lang w:val="en-US"/>
        </w:rPr>
        <w:t xml:space="preserve">mg </w:t>
      </w:r>
      <w:r w:rsidRPr="0066269F">
        <w:rPr>
          <w:rFonts w:eastAsia="Times New Roman" w:cs="Arial"/>
          <w:color w:val="000000"/>
          <w:lang w:eastAsia="bg-BG"/>
        </w:rPr>
        <w:t xml:space="preserve">симвастатин и 38% вследствие </w:t>
      </w:r>
      <w:r w:rsidRPr="0066269F">
        <w:rPr>
          <w:rFonts w:eastAsia="Times New Roman" w:cs="Arial"/>
          <w:i/>
          <w:iCs/>
          <w:color w:val="000000"/>
          <w:lang w:eastAsia="bg-BG"/>
        </w:rPr>
        <w:t>на комбинирана</w:t>
      </w:r>
      <w:r w:rsidRPr="0066269F">
        <w:rPr>
          <w:rFonts w:eastAsia="Times New Roman" w:cs="Arial"/>
          <w:color w:val="000000"/>
          <w:lang w:eastAsia="bg-BG"/>
        </w:rPr>
        <w:t xml:space="preserve"> терапия с езетимиб/симвастатин 10 </w:t>
      </w:r>
      <w:r w:rsidRPr="0066269F">
        <w:rPr>
          <w:rFonts w:eastAsia="Times New Roman" w:cs="Arial"/>
          <w:color w:val="000000"/>
          <w:lang w:val="en-US"/>
        </w:rPr>
        <w:t>mg/20 mg.</w:t>
      </w:r>
    </w:p>
    <w:p w14:paraId="6C21D66F" w14:textId="77777777" w:rsidR="00DE4A21" w:rsidRPr="00DE4A21" w:rsidRDefault="00DE4A21" w:rsidP="00DE4A21">
      <w:pPr>
        <w:spacing w:line="240" w:lineRule="auto"/>
        <w:rPr>
          <w:rFonts w:eastAsia="Times New Roman" w:cs="Arial"/>
          <w:sz w:val="24"/>
          <w:szCs w:val="24"/>
          <w:lang w:eastAsia="bg-BG"/>
        </w:rPr>
      </w:pPr>
      <w:r w:rsidRPr="00DE4A21">
        <w:rPr>
          <w:rFonts w:eastAsia="Times New Roman" w:cs="Arial"/>
          <w:color w:val="000000"/>
          <w:lang w:eastAsia="bg-BG"/>
        </w:rPr>
        <w:t xml:space="preserve">По протокол главната цел за сравнение в проучването </w:t>
      </w:r>
      <w:r w:rsidRPr="00DE4A21">
        <w:rPr>
          <w:rFonts w:eastAsia="Times New Roman" w:cs="Arial"/>
          <w:color w:val="000000"/>
          <w:lang w:val="en-US"/>
        </w:rPr>
        <w:t xml:space="preserve">SHARP </w:t>
      </w:r>
      <w:r w:rsidRPr="00DE4A21">
        <w:rPr>
          <w:rFonts w:eastAsia="Times New Roman" w:cs="Arial"/>
          <w:color w:val="000000"/>
          <w:lang w:eastAsia="bg-BG"/>
        </w:rPr>
        <w:t xml:space="preserve">е </w:t>
      </w:r>
      <w:r w:rsidRPr="00DE4A21">
        <w:rPr>
          <w:rFonts w:eastAsia="Times New Roman" w:cs="Arial"/>
          <w:color w:val="000000"/>
          <w:lang w:val="en-US"/>
        </w:rPr>
        <w:t xml:space="preserve">,,intention-to-treat“ </w:t>
      </w:r>
      <w:r w:rsidRPr="00DE4A21">
        <w:rPr>
          <w:rFonts w:eastAsia="Times New Roman" w:cs="Arial"/>
          <w:color w:val="000000"/>
          <w:lang w:eastAsia="bg-BG"/>
        </w:rPr>
        <w:t xml:space="preserve">анализ на „големите съдови събития“ </w:t>
      </w:r>
      <w:r w:rsidRPr="00DE4A21">
        <w:rPr>
          <w:rFonts w:eastAsia="Times New Roman" w:cs="Arial"/>
          <w:color w:val="000000"/>
          <w:lang w:val="en-US"/>
        </w:rPr>
        <w:t xml:space="preserve">(MVE; </w:t>
      </w:r>
      <w:r w:rsidRPr="00DE4A21">
        <w:rPr>
          <w:rFonts w:eastAsia="Times New Roman" w:cs="Arial"/>
          <w:color w:val="000000"/>
          <w:lang w:eastAsia="bg-BG"/>
        </w:rPr>
        <w:t>определени като нефатален инфаркт на миокарда или сърдечна смърт, инсулт, или някаква процедура за реваскуларизация) само на тези групи, които първоначално са рандомизирани да приемат езетимиб/симвастатин (</w:t>
      </w:r>
      <w:r w:rsidRPr="00DE4A21">
        <w:rPr>
          <w:rFonts w:eastAsia="Times New Roman" w:cs="Arial"/>
          <w:color w:val="000000"/>
          <w:lang w:val="en-US"/>
        </w:rPr>
        <w:t>n</w:t>
      </w:r>
      <w:r w:rsidRPr="00DE4A21">
        <w:rPr>
          <w:rFonts w:eastAsia="Times New Roman" w:cs="Arial"/>
          <w:color w:val="000000"/>
          <w:lang w:eastAsia="bg-BG"/>
        </w:rPr>
        <w:t xml:space="preserve"> = 4 193) или плацебо (</w:t>
      </w:r>
      <w:r w:rsidRPr="00DE4A21">
        <w:rPr>
          <w:rFonts w:eastAsia="Times New Roman" w:cs="Arial"/>
          <w:color w:val="000000"/>
          <w:lang w:val="en-US"/>
        </w:rPr>
        <w:t>n</w:t>
      </w:r>
      <w:r w:rsidRPr="00DE4A21">
        <w:rPr>
          <w:rFonts w:eastAsia="Times New Roman" w:cs="Arial"/>
          <w:color w:val="000000"/>
          <w:lang w:eastAsia="bg-BG"/>
        </w:rPr>
        <w:t xml:space="preserve"> = 4 191). Вторичните анализи включват същата комбинирана цел, анализирана за пълната рандомизация на кохортата (изходно или след </w:t>
      </w:r>
      <w:r w:rsidRPr="00DE4A21">
        <w:rPr>
          <w:rFonts w:eastAsia="Times New Roman" w:cs="Arial"/>
          <w:i/>
          <w:iCs/>
          <w:color w:val="000000"/>
          <w:lang w:eastAsia="bg-BG"/>
        </w:rPr>
        <w:t>1</w:t>
      </w:r>
      <w:r w:rsidRPr="00DE4A21">
        <w:rPr>
          <w:rFonts w:eastAsia="Times New Roman" w:cs="Arial"/>
          <w:color w:val="000000"/>
          <w:lang w:eastAsia="bg-BG"/>
        </w:rPr>
        <w:t xml:space="preserve"> година) към езетимиб/симвастатин (</w:t>
      </w:r>
      <w:r w:rsidRPr="00DE4A21">
        <w:rPr>
          <w:rFonts w:eastAsia="Times New Roman" w:cs="Arial"/>
          <w:color w:val="000000"/>
          <w:lang w:val="en-US"/>
        </w:rPr>
        <w:t>n</w:t>
      </w:r>
      <w:r w:rsidRPr="00DE4A21">
        <w:rPr>
          <w:rFonts w:eastAsia="Times New Roman" w:cs="Arial"/>
          <w:color w:val="000000"/>
          <w:lang w:eastAsia="bg-BG"/>
        </w:rPr>
        <w:t xml:space="preserve"> = 4 650) или плацебо (</w:t>
      </w:r>
      <w:r w:rsidRPr="00DE4A21">
        <w:rPr>
          <w:rFonts w:eastAsia="Times New Roman" w:cs="Arial"/>
          <w:color w:val="000000"/>
          <w:lang w:val="en-US"/>
        </w:rPr>
        <w:t>n</w:t>
      </w:r>
      <w:r w:rsidRPr="00DE4A21">
        <w:rPr>
          <w:rFonts w:eastAsia="Times New Roman" w:cs="Arial"/>
          <w:color w:val="000000"/>
          <w:lang w:eastAsia="bg-BG"/>
        </w:rPr>
        <w:t xml:space="preserve"> = 4 620), какго и на съставните компоненти на комбинираната цел.</w:t>
      </w:r>
    </w:p>
    <w:p w14:paraId="692C440D" w14:textId="77777777" w:rsidR="00DE4A21" w:rsidRPr="00DE4A21" w:rsidRDefault="00DE4A21" w:rsidP="00DE4A21">
      <w:pPr>
        <w:spacing w:line="240" w:lineRule="auto"/>
        <w:rPr>
          <w:rFonts w:eastAsia="Times New Roman" w:cs="Arial"/>
          <w:sz w:val="24"/>
          <w:szCs w:val="24"/>
          <w:lang w:eastAsia="bg-BG"/>
        </w:rPr>
      </w:pPr>
      <w:r w:rsidRPr="00DE4A21">
        <w:rPr>
          <w:rFonts w:eastAsia="Times New Roman" w:cs="Arial"/>
          <w:color w:val="000000"/>
          <w:lang w:eastAsia="bg-BG"/>
        </w:rPr>
        <w:t xml:space="preserve">Анализът на първичната крайна цел показва, че езетимиб/симвастатин значително намалява риска от големи съдови събития (749 пациенти със събития в плацебо групата, спрямо 639 в групата на езетимиб/симвастатин) с намаление на относителния риск с 16% (р = 0,001). Въпреки това, дизайнът на това проучване не позволява да се прецени какъв е отделният принос на монокомпонентата езетимиб относно ефикасността за значително намаляване на риска от големи съдови събития при пациенти с </w:t>
      </w:r>
      <w:r w:rsidRPr="00DE4A21">
        <w:rPr>
          <w:rFonts w:eastAsia="Times New Roman" w:cs="Arial"/>
          <w:color w:val="000000"/>
          <w:lang w:val="en-US"/>
        </w:rPr>
        <w:t>CKD.</w:t>
      </w:r>
    </w:p>
    <w:p w14:paraId="623B9DEF" w14:textId="77777777" w:rsidR="00DE4A21" w:rsidRPr="00DE4A21" w:rsidRDefault="00DE4A21" w:rsidP="00DE4A21">
      <w:pPr>
        <w:spacing w:line="240" w:lineRule="auto"/>
        <w:rPr>
          <w:rFonts w:eastAsia="Times New Roman" w:cs="Arial"/>
          <w:sz w:val="24"/>
          <w:szCs w:val="24"/>
          <w:lang w:eastAsia="bg-BG"/>
        </w:rPr>
      </w:pPr>
      <w:r w:rsidRPr="00DE4A21">
        <w:rPr>
          <w:rFonts w:eastAsia="Times New Roman" w:cs="Arial"/>
          <w:color w:val="000000"/>
          <w:lang w:eastAsia="bg-BG"/>
        </w:rPr>
        <w:t xml:space="preserve">Отделните компоненти на </w:t>
      </w:r>
      <w:r w:rsidRPr="00DE4A21">
        <w:rPr>
          <w:rFonts w:eastAsia="Times New Roman" w:cs="Arial"/>
          <w:color w:val="000000"/>
          <w:lang w:val="en-US"/>
        </w:rPr>
        <w:t xml:space="preserve">MVE </w:t>
      </w:r>
      <w:r w:rsidRPr="00DE4A21">
        <w:rPr>
          <w:rFonts w:eastAsia="Times New Roman" w:cs="Arial"/>
          <w:color w:val="000000"/>
          <w:lang w:eastAsia="bg-BG"/>
        </w:rPr>
        <w:t>при всички рандомизирани пациенти, са представени в Таблица 3. Езетимиб/симвастатин значително намалява риска от инсулт и реваскуларизация, с незначителна числена разлика в полза на езетимиб/симвастатин за нефатален инфаркт на миокарда и сърдечна смърт.</w:t>
      </w:r>
    </w:p>
    <w:p w14:paraId="43EBFCE8" w14:textId="77777777" w:rsidR="00DE4A21" w:rsidRDefault="00DE4A21" w:rsidP="00DE4A21">
      <w:pPr>
        <w:spacing w:line="240" w:lineRule="auto"/>
        <w:rPr>
          <w:rFonts w:ascii="Times New Roman" w:eastAsia="Times New Roman" w:hAnsi="Times New Roman" w:cs="Times New Roman"/>
          <w:b/>
          <w:bCs/>
          <w:color w:val="000000"/>
          <w:lang w:eastAsia="bg-BG"/>
        </w:rPr>
      </w:pPr>
    </w:p>
    <w:p w14:paraId="2426B34A" w14:textId="01520DE7" w:rsidR="00DE4A21" w:rsidRPr="00DE4A21" w:rsidRDefault="00DE4A21" w:rsidP="00DE4A21">
      <w:pPr>
        <w:spacing w:line="240" w:lineRule="auto"/>
        <w:jc w:val="center"/>
        <w:rPr>
          <w:rFonts w:eastAsia="Times New Roman" w:cs="Arial"/>
          <w:sz w:val="24"/>
          <w:szCs w:val="24"/>
          <w:lang w:eastAsia="bg-BG"/>
        </w:rPr>
      </w:pPr>
      <w:r w:rsidRPr="00DE4A21">
        <w:rPr>
          <w:rFonts w:eastAsia="Times New Roman" w:cs="Arial"/>
          <w:b/>
          <w:bCs/>
          <w:color w:val="000000"/>
          <w:lang w:eastAsia="bg-BG"/>
        </w:rPr>
        <w:lastRenderedPageBreak/>
        <w:t>Таблица 3</w:t>
      </w:r>
    </w:p>
    <w:p w14:paraId="1B970AB9" w14:textId="7BB8F313" w:rsidR="00A30F5A" w:rsidRPr="0066269F" w:rsidRDefault="00DE4A21" w:rsidP="00DE4A21">
      <w:pPr>
        <w:spacing w:line="240" w:lineRule="auto"/>
        <w:jc w:val="center"/>
        <w:rPr>
          <w:rFonts w:eastAsia="Times New Roman" w:cs="Arial"/>
          <w:sz w:val="24"/>
          <w:szCs w:val="24"/>
          <w:lang w:val="en-US" w:eastAsia="bg-BG"/>
        </w:rPr>
      </w:pPr>
      <w:r w:rsidRPr="0066269F">
        <w:rPr>
          <w:rFonts w:eastAsia="Times New Roman" w:cs="Arial"/>
          <w:color w:val="000000"/>
          <w:lang w:eastAsia="bg-BG"/>
        </w:rPr>
        <w:t xml:space="preserve">Големи съдови събития по групи на лечение при всички рандомизирани пациенти в </w:t>
      </w:r>
      <w:r w:rsidRPr="0066269F">
        <w:rPr>
          <w:rFonts w:eastAsia="Times New Roman" w:cs="Arial"/>
          <w:color w:val="000000"/>
          <w:lang w:val="en-US"/>
        </w:rPr>
        <w:t>SHARP</w:t>
      </w:r>
      <w:r w:rsidRPr="0066269F">
        <w:rPr>
          <w:rFonts w:eastAsia="Times New Roman" w:cs="Arial"/>
          <w:color w:val="000000"/>
          <w:vertAlign w:val="superscript"/>
          <w:lang w:val="en-US"/>
        </w:rPr>
        <w:t>3</w:t>
      </w:r>
    </w:p>
    <w:tbl>
      <w:tblPr>
        <w:tblStyle w:val="TableGrid"/>
        <w:tblW w:w="0" w:type="auto"/>
        <w:tblLook w:val="04A0" w:firstRow="1" w:lastRow="0" w:firstColumn="1" w:lastColumn="0" w:noHBand="0" w:noVBand="1"/>
      </w:tblPr>
      <w:tblGrid>
        <w:gridCol w:w="2128"/>
        <w:gridCol w:w="1873"/>
        <w:gridCol w:w="1861"/>
        <w:gridCol w:w="1870"/>
        <w:gridCol w:w="1844"/>
      </w:tblGrid>
      <w:tr w:rsidR="00DE4A21" w14:paraId="4510141F" w14:textId="77777777" w:rsidTr="00DE4A21">
        <w:tc>
          <w:tcPr>
            <w:tcW w:w="2128" w:type="dxa"/>
          </w:tcPr>
          <w:p w14:paraId="1F4484D7" w14:textId="7C1A5147" w:rsidR="00DE4A21" w:rsidRDefault="00DE4A21" w:rsidP="00DE4A21">
            <w:r>
              <w:rPr>
                <w:u w:val="single"/>
              </w:rPr>
              <w:t>Изход</w:t>
            </w:r>
          </w:p>
        </w:tc>
        <w:tc>
          <w:tcPr>
            <w:tcW w:w="1873" w:type="dxa"/>
          </w:tcPr>
          <w:p w14:paraId="22A8EBB9" w14:textId="18ACFA5F" w:rsidR="00DE4A21" w:rsidRDefault="00DE4A21" w:rsidP="00DE4A21">
            <w:r>
              <w:t xml:space="preserve">Езетимиб симвастатин 10 </w:t>
            </w:r>
            <w:r>
              <w:rPr>
                <w:lang w:val="en-US"/>
              </w:rPr>
              <w:t xml:space="preserve">mg/20 mg (n=4 </w:t>
            </w:r>
            <w:r>
              <w:t>650)</w:t>
            </w:r>
          </w:p>
        </w:tc>
        <w:tc>
          <w:tcPr>
            <w:tcW w:w="1861" w:type="dxa"/>
          </w:tcPr>
          <w:p w14:paraId="4567D3DA" w14:textId="3F0DBF71" w:rsidR="00DE4A21" w:rsidRDefault="00DE4A21" w:rsidP="00DE4A21">
            <w:r>
              <w:rPr>
                <w:u w:val="single"/>
              </w:rPr>
              <w:t xml:space="preserve">Плацебо </w:t>
            </w:r>
            <w:r>
              <w:rPr>
                <w:lang w:val="en-US"/>
              </w:rPr>
              <w:t>(n=4620)</w:t>
            </w:r>
          </w:p>
        </w:tc>
        <w:tc>
          <w:tcPr>
            <w:tcW w:w="1870" w:type="dxa"/>
          </w:tcPr>
          <w:p w14:paraId="3B371C26" w14:textId="0D761CFC" w:rsidR="00DE4A21" w:rsidRDefault="00DE4A21" w:rsidP="00DE4A21">
            <w:r>
              <w:rPr>
                <w:u w:val="single"/>
              </w:rPr>
              <w:t xml:space="preserve">Коефициент на риска (95% </w:t>
            </w:r>
            <w:r>
              <w:rPr>
                <w:u w:val="single"/>
                <w:lang w:val="en-US"/>
              </w:rPr>
              <w:t>CD</w:t>
            </w:r>
          </w:p>
        </w:tc>
        <w:tc>
          <w:tcPr>
            <w:tcW w:w="1844" w:type="dxa"/>
          </w:tcPr>
          <w:p w14:paraId="4C3FC25C" w14:textId="0742953D" w:rsidR="00DE4A21" w:rsidRDefault="00DE4A21" w:rsidP="00DE4A21">
            <w:r>
              <w:rPr>
                <w:lang w:val="en-US"/>
              </w:rPr>
              <w:t xml:space="preserve">P- </w:t>
            </w:r>
            <w:r>
              <w:rPr>
                <w:u w:val="single"/>
              </w:rPr>
              <w:t>стойност</w:t>
            </w:r>
          </w:p>
        </w:tc>
      </w:tr>
      <w:tr w:rsidR="00DE4A21" w14:paraId="721AA0D0" w14:textId="77777777" w:rsidTr="00DE4A21">
        <w:tc>
          <w:tcPr>
            <w:tcW w:w="2128" w:type="dxa"/>
          </w:tcPr>
          <w:p w14:paraId="14E0B4CB" w14:textId="206406A6" w:rsidR="00DE4A21" w:rsidRDefault="00DE4A21" w:rsidP="00DE4A21">
            <w:r>
              <w:t>Големи съдови събития</w:t>
            </w:r>
          </w:p>
        </w:tc>
        <w:tc>
          <w:tcPr>
            <w:tcW w:w="1873" w:type="dxa"/>
          </w:tcPr>
          <w:p w14:paraId="0B8486D2" w14:textId="385FDEB4" w:rsidR="00DE4A21" w:rsidRDefault="00DE4A21" w:rsidP="00DE4A21">
            <w:r>
              <w:t>701 (15,1%)</w:t>
            </w:r>
          </w:p>
        </w:tc>
        <w:tc>
          <w:tcPr>
            <w:tcW w:w="1861" w:type="dxa"/>
          </w:tcPr>
          <w:p w14:paraId="7634ED2B" w14:textId="50EF7568" w:rsidR="00DE4A21" w:rsidRDefault="00DE4A21" w:rsidP="00DE4A21">
            <w:r>
              <w:t>814(17,6%)</w:t>
            </w:r>
          </w:p>
        </w:tc>
        <w:tc>
          <w:tcPr>
            <w:tcW w:w="1870" w:type="dxa"/>
          </w:tcPr>
          <w:p w14:paraId="677B8461" w14:textId="0D7804B4" w:rsidR="00DE4A21" w:rsidRDefault="00DE4A21" w:rsidP="00DE4A21">
            <w:r>
              <w:t>0,85 (0,77-0,94)</w:t>
            </w:r>
          </w:p>
        </w:tc>
        <w:tc>
          <w:tcPr>
            <w:tcW w:w="1844" w:type="dxa"/>
          </w:tcPr>
          <w:p w14:paraId="08925D86" w14:textId="505932C6" w:rsidR="00DE4A21" w:rsidRDefault="00DE4A21" w:rsidP="00DE4A21">
            <w:r>
              <w:t>0,001</w:t>
            </w:r>
          </w:p>
        </w:tc>
      </w:tr>
      <w:tr w:rsidR="00DE4A21" w14:paraId="7126693C" w14:textId="77777777" w:rsidTr="00DE4A21">
        <w:tc>
          <w:tcPr>
            <w:tcW w:w="2128" w:type="dxa"/>
          </w:tcPr>
          <w:p w14:paraId="0298422E" w14:textId="08FDB76A" w:rsidR="00DE4A21" w:rsidRDefault="00DE4A21" w:rsidP="00DE4A21">
            <w:r>
              <w:t xml:space="preserve">Нефатален </w:t>
            </w:r>
            <w:r>
              <w:rPr>
                <w:lang w:val="en-US"/>
              </w:rPr>
              <w:t>MI</w:t>
            </w:r>
          </w:p>
        </w:tc>
        <w:tc>
          <w:tcPr>
            <w:tcW w:w="1873" w:type="dxa"/>
          </w:tcPr>
          <w:p w14:paraId="262F8081" w14:textId="08721D0D" w:rsidR="00DE4A21" w:rsidRDefault="00DE4A21" w:rsidP="00DE4A21">
            <w:r>
              <w:t>134 (2,9%)</w:t>
            </w:r>
          </w:p>
        </w:tc>
        <w:tc>
          <w:tcPr>
            <w:tcW w:w="1861" w:type="dxa"/>
          </w:tcPr>
          <w:p w14:paraId="0761ABA3" w14:textId="1CD13066" w:rsidR="00DE4A21" w:rsidRDefault="00DE4A21" w:rsidP="00DE4A21">
            <w:r>
              <w:t>159 (3,4%)</w:t>
            </w:r>
          </w:p>
        </w:tc>
        <w:tc>
          <w:tcPr>
            <w:tcW w:w="1870" w:type="dxa"/>
          </w:tcPr>
          <w:p w14:paraId="49023D5E" w14:textId="203A8722" w:rsidR="00DE4A21" w:rsidRDefault="00DE4A21" w:rsidP="00DE4A21">
            <w:r>
              <w:t>0,84(0,66-1,05)</w:t>
            </w:r>
          </w:p>
        </w:tc>
        <w:tc>
          <w:tcPr>
            <w:tcW w:w="1844" w:type="dxa"/>
          </w:tcPr>
          <w:p w14:paraId="75F91EFB" w14:textId="005EE12C" w:rsidR="00DE4A21" w:rsidRDefault="00DE4A21" w:rsidP="00DE4A21">
            <w:r>
              <w:t>0,12</w:t>
            </w:r>
          </w:p>
        </w:tc>
      </w:tr>
      <w:tr w:rsidR="00DE4A21" w14:paraId="75EB940F" w14:textId="77777777" w:rsidTr="00DE4A21">
        <w:tc>
          <w:tcPr>
            <w:tcW w:w="2128" w:type="dxa"/>
          </w:tcPr>
          <w:p w14:paraId="69A00BEB" w14:textId="52F102D7" w:rsidR="00DE4A21" w:rsidRDefault="00DE4A21" w:rsidP="00DE4A21">
            <w:r>
              <w:t>Сърдечна смърт</w:t>
            </w:r>
          </w:p>
        </w:tc>
        <w:tc>
          <w:tcPr>
            <w:tcW w:w="1873" w:type="dxa"/>
          </w:tcPr>
          <w:p w14:paraId="3BF63094" w14:textId="0306D23E" w:rsidR="00DE4A21" w:rsidRDefault="00DE4A21" w:rsidP="00DE4A21">
            <w:r>
              <w:t>253 (5,4%)</w:t>
            </w:r>
          </w:p>
        </w:tc>
        <w:tc>
          <w:tcPr>
            <w:tcW w:w="1861" w:type="dxa"/>
          </w:tcPr>
          <w:p w14:paraId="6EB2816B" w14:textId="37BC581C" w:rsidR="00DE4A21" w:rsidRDefault="00DE4A21" w:rsidP="00DE4A21">
            <w:r>
              <w:t>272 (5,9%)</w:t>
            </w:r>
          </w:p>
        </w:tc>
        <w:tc>
          <w:tcPr>
            <w:tcW w:w="1870" w:type="dxa"/>
          </w:tcPr>
          <w:p w14:paraId="511BD60A" w14:textId="4F8CFDDE" w:rsidR="00DE4A21" w:rsidRDefault="00DE4A21" w:rsidP="00DE4A21">
            <w:r>
              <w:t>0,93 (0,78-1,10)</w:t>
            </w:r>
          </w:p>
        </w:tc>
        <w:tc>
          <w:tcPr>
            <w:tcW w:w="1844" w:type="dxa"/>
          </w:tcPr>
          <w:p w14:paraId="33EF1453" w14:textId="6EF41A5E" w:rsidR="00DE4A21" w:rsidRDefault="00DE4A21" w:rsidP="00DE4A21">
            <w:r>
              <w:t>0,38</w:t>
            </w:r>
          </w:p>
        </w:tc>
      </w:tr>
      <w:tr w:rsidR="00DE4A21" w14:paraId="3859E9EE" w14:textId="77777777" w:rsidTr="00DE4A21">
        <w:tc>
          <w:tcPr>
            <w:tcW w:w="2128" w:type="dxa"/>
          </w:tcPr>
          <w:p w14:paraId="699BF078" w14:textId="25A4777E" w:rsidR="00DE4A21" w:rsidRDefault="00DE4A21" w:rsidP="00DE4A21">
            <w:r>
              <w:t xml:space="preserve">Инсулт от </w:t>
            </w:r>
            <w:r>
              <w:rPr>
                <w:i/>
                <w:iCs/>
              </w:rPr>
              <w:t>всякакъв вид</w:t>
            </w:r>
          </w:p>
        </w:tc>
        <w:tc>
          <w:tcPr>
            <w:tcW w:w="1873" w:type="dxa"/>
          </w:tcPr>
          <w:p w14:paraId="1E651086" w14:textId="3188F39E" w:rsidR="00DE4A21" w:rsidRDefault="00DE4A21" w:rsidP="00DE4A21">
            <w:r>
              <w:t>171 (3,7%)</w:t>
            </w:r>
          </w:p>
        </w:tc>
        <w:tc>
          <w:tcPr>
            <w:tcW w:w="1861" w:type="dxa"/>
          </w:tcPr>
          <w:p w14:paraId="2637B1DC" w14:textId="6DF6BBE1" w:rsidR="00DE4A21" w:rsidRDefault="00DE4A21" w:rsidP="00DE4A21">
            <w:r>
              <w:t>210(4,5%)</w:t>
            </w:r>
          </w:p>
        </w:tc>
        <w:tc>
          <w:tcPr>
            <w:tcW w:w="1870" w:type="dxa"/>
          </w:tcPr>
          <w:p w14:paraId="41AEFBD8" w14:textId="2D928B85" w:rsidR="00DE4A21" w:rsidRDefault="00DE4A21" w:rsidP="00DE4A21">
            <w:r>
              <w:t>0,81 (0,66-0,99)</w:t>
            </w:r>
          </w:p>
        </w:tc>
        <w:tc>
          <w:tcPr>
            <w:tcW w:w="1844" w:type="dxa"/>
          </w:tcPr>
          <w:p w14:paraId="71006CC6" w14:textId="69FF2CA1" w:rsidR="00DE4A21" w:rsidRDefault="00DE4A21" w:rsidP="00DE4A21">
            <w:r>
              <w:t>0,038</w:t>
            </w:r>
          </w:p>
        </w:tc>
      </w:tr>
      <w:tr w:rsidR="00DE4A21" w14:paraId="43D13A96" w14:textId="77777777" w:rsidTr="00DE4A21">
        <w:tc>
          <w:tcPr>
            <w:tcW w:w="2128" w:type="dxa"/>
          </w:tcPr>
          <w:p w14:paraId="6C702EFE" w14:textId="7D6008FB" w:rsidR="00DE4A21" w:rsidRDefault="00DE4A21" w:rsidP="00DE4A21">
            <w:r>
              <w:t>Нехеморагичен инсулт</w:t>
            </w:r>
          </w:p>
        </w:tc>
        <w:tc>
          <w:tcPr>
            <w:tcW w:w="1873" w:type="dxa"/>
          </w:tcPr>
          <w:p w14:paraId="26C7B6D1" w14:textId="684585FC" w:rsidR="00DE4A21" w:rsidRDefault="00DE4A21" w:rsidP="00DE4A21">
            <w:r>
              <w:t>131 (2,8%)</w:t>
            </w:r>
          </w:p>
        </w:tc>
        <w:tc>
          <w:tcPr>
            <w:tcW w:w="1861" w:type="dxa"/>
          </w:tcPr>
          <w:p w14:paraId="56BD432C" w14:textId="4E31F7AD" w:rsidR="00DE4A21" w:rsidRDefault="00DE4A21" w:rsidP="00DE4A21">
            <w:r>
              <w:t>174 (3,8%)</w:t>
            </w:r>
          </w:p>
        </w:tc>
        <w:tc>
          <w:tcPr>
            <w:tcW w:w="1870" w:type="dxa"/>
          </w:tcPr>
          <w:p w14:paraId="35C6C142" w14:textId="6DF78D99" w:rsidR="00DE4A21" w:rsidRDefault="00DE4A21" w:rsidP="00DE4A21">
            <w:r>
              <w:t>0,75 (0,60-0,94)</w:t>
            </w:r>
          </w:p>
        </w:tc>
        <w:tc>
          <w:tcPr>
            <w:tcW w:w="1844" w:type="dxa"/>
          </w:tcPr>
          <w:p w14:paraId="24F0C563" w14:textId="4D001A0C" w:rsidR="00DE4A21" w:rsidRDefault="00DE4A21" w:rsidP="00DE4A21">
            <w:r>
              <w:t>0,011</w:t>
            </w:r>
          </w:p>
        </w:tc>
      </w:tr>
      <w:tr w:rsidR="00DE4A21" w14:paraId="3B356F8B" w14:textId="77777777" w:rsidTr="00DE4A21">
        <w:tc>
          <w:tcPr>
            <w:tcW w:w="2128" w:type="dxa"/>
          </w:tcPr>
          <w:p w14:paraId="4CC15B3E" w14:textId="17F414C1" w:rsidR="00DE4A21" w:rsidRDefault="00DE4A21" w:rsidP="00DE4A21">
            <w:r>
              <w:t>Хеморагичен инсулт</w:t>
            </w:r>
          </w:p>
        </w:tc>
        <w:tc>
          <w:tcPr>
            <w:tcW w:w="1873" w:type="dxa"/>
          </w:tcPr>
          <w:p w14:paraId="30D62FB1" w14:textId="09CCF427" w:rsidR="00DE4A21" w:rsidRDefault="00DE4A21" w:rsidP="00DE4A21">
            <w:r>
              <w:t>45(1,0%)</w:t>
            </w:r>
          </w:p>
        </w:tc>
        <w:tc>
          <w:tcPr>
            <w:tcW w:w="1861" w:type="dxa"/>
          </w:tcPr>
          <w:p w14:paraId="23F06ECC" w14:textId="16BF2CF3" w:rsidR="00DE4A21" w:rsidRDefault="00DE4A21" w:rsidP="00DE4A21">
            <w:r>
              <w:t>37 (0,8%)</w:t>
            </w:r>
          </w:p>
        </w:tc>
        <w:tc>
          <w:tcPr>
            <w:tcW w:w="1870" w:type="dxa"/>
          </w:tcPr>
          <w:p w14:paraId="59D74540" w14:textId="3F2C2345" w:rsidR="00DE4A21" w:rsidRDefault="00DE4A21" w:rsidP="00DE4A21">
            <w:r>
              <w:t>1,21 (0,78-1,86)</w:t>
            </w:r>
          </w:p>
        </w:tc>
        <w:tc>
          <w:tcPr>
            <w:tcW w:w="1844" w:type="dxa"/>
          </w:tcPr>
          <w:p w14:paraId="32888A7B" w14:textId="1B51E25D" w:rsidR="00DE4A21" w:rsidRDefault="00DE4A21" w:rsidP="00DE4A21">
            <w:r>
              <w:t>0,40</w:t>
            </w:r>
          </w:p>
        </w:tc>
      </w:tr>
      <w:tr w:rsidR="00DE4A21" w14:paraId="30A399AE" w14:textId="77777777" w:rsidTr="00DE4A21">
        <w:tc>
          <w:tcPr>
            <w:tcW w:w="2128" w:type="dxa"/>
          </w:tcPr>
          <w:p w14:paraId="0C04FFB1" w14:textId="2F65CA86" w:rsidR="00DE4A21" w:rsidRDefault="00DE4A21" w:rsidP="00DE4A21">
            <w:r>
              <w:t>Реваскуларизация от всякакъв вид</w:t>
            </w:r>
          </w:p>
        </w:tc>
        <w:tc>
          <w:tcPr>
            <w:tcW w:w="1873" w:type="dxa"/>
          </w:tcPr>
          <w:p w14:paraId="36D1D4C3" w14:textId="6F174E1E" w:rsidR="00DE4A21" w:rsidRDefault="00DE4A21" w:rsidP="00DE4A21">
            <w:r>
              <w:t xml:space="preserve">284 </w:t>
            </w:r>
            <w:r>
              <w:rPr>
                <w:i/>
                <w:iCs/>
              </w:rPr>
              <w:t>(6,1 %)</w:t>
            </w:r>
          </w:p>
        </w:tc>
        <w:tc>
          <w:tcPr>
            <w:tcW w:w="1861" w:type="dxa"/>
          </w:tcPr>
          <w:p w14:paraId="2ADBFDCE" w14:textId="6C1CD420" w:rsidR="00DE4A21" w:rsidRDefault="00DE4A21" w:rsidP="00DE4A21">
            <w:r>
              <w:t>352 (7,6%)</w:t>
            </w:r>
          </w:p>
        </w:tc>
        <w:tc>
          <w:tcPr>
            <w:tcW w:w="1870" w:type="dxa"/>
          </w:tcPr>
          <w:p w14:paraId="54A48DD1" w14:textId="2902B9F3" w:rsidR="00DE4A21" w:rsidRDefault="00DE4A21" w:rsidP="00DE4A21">
            <w:r>
              <w:t>0,79(0,68-0,93)</w:t>
            </w:r>
          </w:p>
        </w:tc>
        <w:tc>
          <w:tcPr>
            <w:tcW w:w="1844" w:type="dxa"/>
          </w:tcPr>
          <w:p w14:paraId="47E17DCA" w14:textId="68A46F86" w:rsidR="00DE4A21" w:rsidRDefault="00DE4A21" w:rsidP="00DE4A21">
            <w:r>
              <w:t>0,004</w:t>
            </w:r>
          </w:p>
        </w:tc>
      </w:tr>
      <w:tr w:rsidR="00DE4A21" w14:paraId="01F989CE" w14:textId="77777777" w:rsidTr="00DE4A21">
        <w:tc>
          <w:tcPr>
            <w:tcW w:w="2128" w:type="dxa"/>
          </w:tcPr>
          <w:p w14:paraId="0F4B8640" w14:textId="07575621" w:rsidR="00DE4A21" w:rsidRDefault="00DE4A21" w:rsidP="00DE4A21">
            <w:r>
              <w:t>Големи атеросклеротични събития (МАЕ)</w:t>
            </w:r>
            <w:r>
              <w:rPr>
                <w:vertAlign w:val="superscript"/>
              </w:rPr>
              <w:t>Ь</w:t>
            </w:r>
          </w:p>
        </w:tc>
        <w:tc>
          <w:tcPr>
            <w:tcW w:w="1873" w:type="dxa"/>
          </w:tcPr>
          <w:p w14:paraId="5F69F727" w14:textId="3C8FD96D" w:rsidR="00DE4A21" w:rsidRDefault="00DE4A21" w:rsidP="00DE4A21">
            <w:r>
              <w:t>526(11,3%)</w:t>
            </w:r>
          </w:p>
        </w:tc>
        <w:tc>
          <w:tcPr>
            <w:tcW w:w="1861" w:type="dxa"/>
          </w:tcPr>
          <w:p w14:paraId="7F3B6BF4" w14:textId="7594EF3B" w:rsidR="00DE4A21" w:rsidRDefault="00DE4A21" w:rsidP="00DE4A21">
            <w:r>
              <w:t>619(13,4%)</w:t>
            </w:r>
          </w:p>
        </w:tc>
        <w:tc>
          <w:tcPr>
            <w:tcW w:w="1870" w:type="dxa"/>
          </w:tcPr>
          <w:p w14:paraId="25A97936" w14:textId="6DAA92F5" w:rsidR="00DE4A21" w:rsidRDefault="00DE4A21" w:rsidP="00DE4A21">
            <w:r>
              <w:t>0,83 (0,74-0,94)</w:t>
            </w:r>
          </w:p>
        </w:tc>
        <w:tc>
          <w:tcPr>
            <w:tcW w:w="1844" w:type="dxa"/>
          </w:tcPr>
          <w:p w14:paraId="719BD2F9" w14:textId="43D4A9D4" w:rsidR="00DE4A21" w:rsidRDefault="00DE4A21" w:rsidP="00DE4A21">
            <w:r>
              <w:t>0,002</w:t>
            </w:r>
          </w:p>
        </w:tc>
      </w:tr>
    </w:tbl>
    <w:p w14:paraId="19144400" w14:textId="77777777" w:rsidR="00DE4A21" w:rsidRPr="00DE4A21" w:rsidRDefault="00DE4A21" w:rsidP="00DE4A21">
      <w:pPr>
        <w:spacing w:line="240" w:lineRule="auto"/>
        <w:rPr>
          <w:rFonts w:eastAsia="Times New Roman" w:cs="Arial"/>
          <w:sz w:val="24"/>
          <w:szCs w:val="24"/>
          <w:lang w:eastAsia="bg-BG"/>
        </w:rPr>
      </w:pPr>
      <w:proofErr w:type="gramStart"/>
      <w:r w:rsidRPr="00DE4A21">
        <w:rPr>
          <w:rFonts w:eastAsia="Times New Roman" w:cs="Arial"/>
          <w:color w:val="000000"/>
          <w:vertAlign w:val="superscript"/>
          <w:lang w:val="en-US"/>
        </w:rPr>
        <w:t>a</w:t>
      </w:r>
      <w:proofErr w:type="gramEnd"/>
      <w:r w:rsidRPr="00DE4A21">
        <w:rPr>
          <w:rFonts w:eastAsia="Times New Roman" w:cs="Arial"/>
          <w:color w:val="000000"/>
          <w:lang w:val="en-US"/>
        </w:rPr>
        <w:t xml:space="preserve"> „intention-to-treat“ </w:t>
      </w:r>
      <w:r w:rsidRPr="00DE4A21">
        <w:rPr>
          <w:rFonts w:eastAsia="Times New Roman" w:cs="Arial"/>
          <w:color w:val="000000"/>
          <w:lang w:eastAsia="bg-BG"/>
        </w:rPr>
        <w:t xml:space="preserve">анализ на всички пациенти от </w:t>
      </w:r>
      <w:r w:rsidRPr="00DE4A21">
        <w:rPr>
          <w:rFonts w:eastAsia="Times New Roman" w:cs="Arial"/>
          <w:color w:val="000000"/>
          <w:lang w:val="en-US"/>
        </w:rPr>
        <w:t xml:space="preserve">SHARP </w:t>
      </w:r>
      <w:r w:rsidRPr="00DE4A21">
        <w:rPr>
          <w:rFonts w:eastAsia="Times New Roman" w:cs="Arial"/>
          <w:color w:val="000000"/>
          <w:lang w:eastAsia="bg-BG"/>
        </w:rPr>
        <w:t>проучването, рандомизирани на езетимиб/симвастатин или плацебо или в началото или 1 година след това.</w:t>
      </w:r>
    </w:p>
    <w:p w14:paraId="39816A2D" w14:textId="77777777" w:rsidR="00DE4A21" w:rsidRPr="00DE4A21" w:rsidRDefault="00DE4A21" w:rsidP="00DE4A21">
      <w:pPr>
        <w:spacing w:line="240" w:lineRule="auto"/>
        <w:rPr>
          <w:rFonts w:eastAsia="Times New Roman" w:cs="Arial"/>
          <w:sz w:val="24"/>
          <w:szCs w:val="24"/>
          <w:lang w:eastAsia="bg-BG"/>
        </w:rPr>
      </w:pPr>
      <w:proofErr w:type="spellStart"/>
      <w:proofErr w:type="gramStart"/>
      <w:r w:rsidRPr="00DE4A21">
        <w:rPr>
          <w:rFonts w:eastAsia="Times New Roman" w:cs="Arial"/>
          <w:color w:val="000000"/>
          <w:vertAlign w:val="superscript"/>
          <w:lang w:val="en-US"/>
        </w:rPr>
        <w:t>b</w:t>
      </w:r>
      <w:r w:rsidRPr="00DE4A21">
        <w:rPr>
          <w:rFonts w:eastAsia="Times New Roman" w:cs="Arial"/>
          <w:color w:val="000000"/>
          <w:lang w:val="en-US"/>
        </w:rPr>
        <w:t>M</w:t>
      </w:r>
      <w:proofErr w:type="spellEnd"/>
      <w:r w:rsidRPr="00DE4A21">
        <w:rPr>
          <w:rFonts w:eastAsia="Times New Roman" w:cs="Arial"/>
          <w:color w:val="000000"/>
          <w:lang w:eastAsia="bg-BG"/>
        </w:rPr>
        <w:t>АЕ</w:t>
      </w:r>
      <w:proofErr w:type="gramEnd"/>
      <w:r w:rsidRPr="00DE4A21">
        <w:rPr>
          <w:rFonts w:eastAsia="Times New Roman" w:cs="Arial"/>
          <w:color w:val="000000"/>
          <w:lang w:eastAsia="bg-BG"/>
        </w:rPr>
        <w:t>; дефинирано като комбинацията от фатален инфаркт на миокарда, коронарна смърт, нехеморагичен инсулт, или всякакъв вид реваскуларизация.</w:t>
      </w:r>
    </w:p>
    <w:p w14:paraId="34D30056" w14:textId="77777777" w:rsidR="00DE4A21" w:rsidRPr="00DE4A21" w:rsidRDefault="00DE4A21" w:rsidP="00DE4A21">
      <w:pPr>
        <w:spacing w:line="240" w:lineRule="auto"/>
        <w:rPr>
          <w:rFonts w:eastAsia="Times New Roman" w:cs="Arial"/>
          <w:sz w:val="24"/>
          <w:szCs w:val="24"/>
          <w:lang w:eastAsia="bg-BG"/>
        </w:rPr>
      </w:pPr>
      <w:r w:rsidRPr="00DE4A21">
        <w:rPr>
          <w:rFonts w:eastAsia="Times New Roman" w:cs="Arial"/>
          <w:color w:val="000000"/>
          <w:lang w:eastAsia="bg-BG"/>
        </w:rPr>
        <w:t xml:space="preserve">Абсолютното намаляване на </w:t>
      </w:r>
      <w:r w:rsidRPr="00DE4A21">
        <w:rPr>
          <w:rFonts w:eastAsia="Times New Roman" w:cs="Arial"/>
          <w:color w:val="000000"/>
          <w:lang w:val="en-US"/>
        </w:rPr>
        <w:t xml:space="preserve">LDL </w:t>
      </w:r>
      <w:r w:rsidRPr="00DE4A21">
        <w:rPr>
          <w:rFonts w:eastAsia="Times New Roman" w:cs="Arial"/>
          <w:color w:val="000000"/>
          <w:lang w:eastAsia="bg-BG"/>
        </w:rPr>
        <w:t xml:space="preserve">холестерола, постигнато с езетимиб/симвастатин е по-ниско при пациенти с по-ниски изходни стойности на </w:t>
      </w:r>
      <w:r w:rsidRPr="00DE4A21">
        <w:rPr>
          <w:rFonts w:eastAsia="Times New Roman" w:cs="Arial"/>
          <w:color w:val="000000"/>
          <w:lang w:val="en-US"/>
        </w:rPr>
        <w:t xml:space="preserve">LDL-C </w:t>
      </w:r>
      <w:r w:rsidRPr="00DE4A21">
        <w:rPr>
          <w:rFonts w:eastAsia="Times New Roman" w:cs="Arial"/>
          <w:color w:val="000000"/>
          <w:lang w:eastAsia="bg-BG"/>
        </w:rPr>
        <w:t xml:space="preserve">(&lt;2,5 </w:t>
      </w:r>
      <w:proofErr w:type="spellStart"/>
      <w:r w:rsidRPr="00DE4A21">
        <w:rPr>
          <w:rFonts w:eastAsia="Times New Roman" w:cs="Arial"/>
          <w:color w:val="000000"/>
          <w:lang w:val="en-US"/>
        </w:rPr>
        <w:t>mmol</w:t>
      </w:r>
      <w:proofErr w:type="spellEnd"/>
      <w:r w:rsidRPr="00DE4A21">
        <w:rPr>
          <w:rFonts w:eastAsia="Times New Roman" w:cs="Arial"/>
          <w:color w:val="000000"/>
          <w:lang w:val="en-US"/>
        </w:rPr>
        <w:t>/l</w:t>
      </w:r>
      <w:r w:rsidRPr="00DE4A21">
        <w:rPr>
          <w:rFonts w:eastAsia="Times New Roman" w:cs="Arial"/>
          <w:color w:val="000000"/>
          <w:lang w:eastAsia="bg-BG"/>
        </w:rPr>
        <w:t>) и при пациенти на диализа в началото, отколкото при другите пациенти и съответното намаляване на риска в тези две групи не е толкова изявено.</w:t>
      </w:r>
    </w:p>
    <w:p w14:paraId="743618DF" w14:textId="77777777" w:rsidR="00DE4A21" w:rsidRPr="0066269F" w:rsidRDefault="00DE4A21" w:rsidP="00DE4A21">
      <w:pPr>
        <w:spacing w:line="240" w:lineRule="auto"/>
        <w:rPr>
          <w:rFonts w:eastAsia="Times New Roman" w:cs="Arial"/>
          <w:i/>
          <w:iCs/>
          <w:color w:val="000000"/>
          <w:lang w:eastAsia="bg-BG"/>
        </w:rPr>
      </w:pPr>
    </w:p>
    <w:p w14:paraId="1DC0C1BB" w14:textId="55B0A1A5" w:rsidR="00DE4A21" w:rsidRPr="00DE4A21" w:rsidRDefault="00DE4A21" w:rsidP="00DE4A21">
      <w:pPr>
        <w:spacing w:line="240" w:lineRule="auto"/>
        <w:rPr>
          <w:rFonts w:eastAsia="Times New Roman" w:cs="Arial"/>
          <w:sz w:val="24"/>
          <w:szCs w:val="24"/>
          <w:lang w:eastAsia="bg-BG"/>
        </w:rPr>
      </w:pPr>
      <w:r w:rsidRPr="00DE4A21">
        <w:rPr>
          <w:rFonts w:eastAsia="Times New Roman" w:cs="Arial"/>
          <w:i/>
          <w:iCs/>
          <w:color w:val="000000"/>
          <w:lang w:eastAsia="bg-BG"/>
        </w:rPr>
        <w:t xml:space="preserve">Хомозиготна фамилна хиперхолестеролемия </w:t>
      </w:r>
      <w:r w:rsidRPr="00DE4A21">
        <w:rPr>
          <w:rFonts w:eastAsia="Times New Roman" w:cs="Arial"/>
          <w:i/>
          <w:iCs/>
          <w:color w:val="000000"/>
          <w:lang w:val="en-US"/>
        </w:rPr>
        <w:t>(</w:t>
      </w:r>
      <w:proofErr w:type="spellStart"/>
      <w:r w:rsidRPr="00DE4A21">
        <w:rPr>
          <w:rFonts w:eastAsia="Times New Roman" w:cs="Arial"/>
          <w:i/>
          <w:iCs/>
          <w:color w:val="000000"/>
          <w:lang w:val="en-US"/>
        </w:rPr>
        <w:t>HoFH</w:t>
      </w:r>
      <w:proofErr w:type="spellEnd"/>
      <w:r w:rsidRPr="00DE4A21">
        <w:rPr>
          <w:rFonts w:eastAsia="Times New Roman" w:cs="Arial"/>
          <w:i/>
          <w:iCs/>
          <w:color w:val="000000"/>
          <w:lang w:val="en-US"/>
        </w:rPr>
        <w:t>)</w:t>
      </w:r>
    </w:p>
    <w:p w14:paraId="06D4D849" w14:textId="77777777" w:rsidR="00DE4A21" w:rsidRPr="00DE4A21" w:rsidRDefault="00DE4A21" w:rsidP="00DE4A21">
      <w:pPr>
        <w:spacing w:line="240" w:lineRule="auto"/>
        <w:rPr>
          <w:rFonts w:eastAsia="Times New Roman" w:cs="Arial"/>
          <w:sz w:val="24"/>
          <w:szCs w:val="24"/>
          <w:lang w:eastAsia="bg-BG"/>
        </w:rPr>
      </w:pPr>
      <w:r w:rsidRPr="00DE4A21">
        <w:rPr>
          <w:rFonts w:eastAsia="Times New Roman" w:cs="Arial"/>
          <w:color w:val="000000"/>
          <w:lang w:eastAsia="bg-BG"/>
        </w:rPr>
        <w:t xml:space="preserve">Двойно-сляпо, рандомизирано, 12-седмично проучване включва пациенти с клинична и/или генотипна диагноза за </w:t>
      </w:r>
      <w:proofErr w:type="spellStart"/>
      <w:r w:rsidRPr="00DE4A21">
        <w:rPr>
          <w:rFonts w:eastAsia="Times New Roman" w:cs="Arial"/>
          <w:color w:val="000000"/>
          <w:lang w:val="en-US"/>
        </w:rPr>
        <w:t>HoFH</w:t>
      </w:r>
      <w:proofErr w:type="spellEnd"/>
      <w:r w:rsidRPr="00DE4A21">
        <w:rPr>
          <w:rFonts w:eastAsia="Times New Roman" w:cs="Arial"/>
          <w:color w:val="000000"/>
          <w:lang w:val="en-US"/>
        </w:rPr>
        <w:t xml:space="preserve">, </w:t>
      </w:r>
      <w:r w:rsidRPr="00DE4A21">
        <w:rPr>
          <w:rFonts w:eastAsia="Times New Roman" w:cs="Arial"/>
          <w:color w:val="000000"/>
          <w:lang w:eastAsia="bg-BG"/>
        </w:rPr>
        <w:t xml:space="preserve">които са приемали аторвастатин или симвастатин (40 </w:t>
      </w:r>
      <w:r w:rsidRPr="00DE4A21">
        <w:rPr>
          <w:rFonts w:eastAsia="Times New Roman" w:cs="Arial"/>
          <w:color w:val="000000"/>
          <w:lang w:val="en-US"/>
        </w:rPr>
        <w:t xml:space="preserve">mg) </w:t>
      </w:r>
      <w:r w:rsidRPr="00DE4A21">
        <w:rPr>
          <w:rFonts w:eastAsia="Times New Roman" w:cs="Arial"/>
          <w:color w:val="000000"/>
          <w:lang w:eastAsia="bg-BG"/>
        </w:rPr>
        <w:t xml:space="preserve">със или без съпътстваща </w:t>
      </w:r>
      <w:r w:rsidRPr="00DE4A21">
        <w:rPr>
          <w:rFonts w:eastAsia="Times New Roman" w:cs="Arial"/>
          <w:color w:val="000000"/>
          <w:lang w:val="en-US"/>
        </w:rPr>
        <w:t xml:space="preserve">LDL </w:t>
      </w:r>
      <w:r w:rsidRPr="00DE4A21">
        <w:rPr>
          <w:rFonts w:eastAsia="Times New Roman" w:cs="Arial"/>
          <w:color w:val="000000"/>
          <w:lang w:eastAsia="bg-BG"/>
        </w:rPr>
        <w:t xml:space="preserve">афереза. Едновременното приложение на езетимиб с аторвастатин (40 </w:t>
      </w:r>
      <w:r w:rsidRPr="00DE4A21">
        <w:rPr>
          <w:rFonts w:eastAsia="Times New Roman" w:cs="Arial"/>
          <w:color w:val="000000"/>
          <w:lang w:val="en-US"/>
        </w:rPr>
        <w:t xml:space="preserve">mg </w:t>
      </w:r>
      <w:r w:rsidRPr="00DE4A21">
        <w:rPr>
          <w:rFonts w:eastAsia="Times New Roman" w:cs="Arial"/>
          <w:color w:val="000000"/>
          <w:lang w:eastAsia="bg-BG"/>
        </w:rPr>
        <w:t xml:space="preserve">или 80 </w:t>
      </w:r>
      <w:r w:rsidRPr="00DE4A21">
        <w:rPr>
          <w:rFonts w:eastAsia="Times New Roman" w:cs="Arial"/>
          <w:color w:val="000000"/>
          <w:lang w:val="en-US"/>
        </w:rPr>
        <w:t xml:space="preserve">mg) </w:t>
      </w:r>
      <w:r w:rsidRPr="00DE4A21">
        <w:rPr>
          <w:rFonts w:eastAsia="Times New Roman" w:cs="Arial"/>
          <w:color w:val="000000"/>
          <w:lang w:eastAsia="bg-BG"/>
        </w:rPr>
        <w:t xml:space="preserve">или симвастатин (40 </w:t>
      </w:r>
      <w:r w:rsidRPr="00DE4A21">
        <w:rPr>
          <w:rFonts w:eastAsia="Times New Roman" w:cs="Arial"/>
          <w:color w:val="000000"/>
          <w:lang w:val="en-US"/>
        </w:rPr>
        <w:t xml:space="preserve">mg </w:t>
      </w:r>
      <w:r w:rsidRPr="00DE4A21">
        <w:rPr>
          <w:rFonts w:eastAsia="Times New Roman" w:cs="Arial"/>
          <w:color w:val="000000"/>
          <w:lang w:eastAsia="bg-BG"/>
        </w:rPr>
        <w:t xml:space="preserve">или 80 </w:t>
      </w:r>
      <w:r w:rsidRPr="00DE4A21">
        <w:rPr>
          <w:rFonts w:eastAsia="Times New Roman" w:cs="Arial"/>
          <w:color w:val="000000"/>
          <w:lang w:val="en-US"/>
        </w:rPr>
        <w:t xml:space="preserve">mg) </w:t>
      </w:r>
      <w:r w:rsidRPr="00DE4A21">
        <w:rPr>
          <w:rFonts w:eastAsia="Times New Roman" w:cs="Arial"/>
          <w:color w:val="000000"/>
          <w:lang w:eastAsia="bg-BG"/>
        </w:rPr>
        <w:t xml:space="preserve">сигнификангно редуцира </w:t>
      </w:r>
      <w:r w:rsidRPr="00DE4A21">
        <w:rPr>
          <w:rFonts w:eastAsia="Times New Roman" w:cs="Arial"/>
          <w:color w:val="000000"/>
          <w:lang w:val="en-US"/>
        </w:rPr>
        <w:t xml:space="preserve">LDL-C </w:t>
      </w:r>
      <w:r w:rsidRPr="00DE4A21">
        <w:rPr>
          <w:rFonts w:eastAsia="Times New Roman" w:cs="Arial"/>
          <w:color w:val="000000"/>
          <w:lang w:eastAsia="bg-BG"/>
        </w:rPr>
        <w:t xml:space="preserve">с 15% в сравнение с монотерапия на аторвастатин или симвастатин с повишени дози от 40 до 80 </w:t>
      </w:r>
      <w:r w:rsidRPr="00DE4A21">
        <w:rPr>
          <w:rFonts w:eastAsia="Times New Roman" w:cs="Arial"/>
          <w:color w:val="000000"/>
          <w:lang w:val="en-US"/>
        </w:rPr>
        <w:t>mg</w:t>
      </w:r>
    </w:p>
    <w:p w14:paraId="2E7A2896" w14:textId="77777777" w:rsidR="00DE4A21" w:rsidRPr="00DE4A21" w:rsidRDefault="00DE4A21" w:rsidP="00DE4A21">
      <w:pPr>
        <w:spacing w:line="240" w:lineRule="auto"/>
        <w:rPr>
          <w:rFonts w:eastAsia="Times New Roman" w:cs="Arial"/>
          <w:sz w:val="24"/>
          <w:szCs w:val="24"/>
          <w:lang w:eastAsia="bg-BG"/>
        </w:rPr>
      </w:pPr>
    </w:p>
    <w:p w14:paraId="1F73C196" w14:textId="77777777" w:rsidR="00DE4A21" w:rsidRPr="00DE4A21" w:rsidRDefault="00DE4A21" w:rsidP="00DE4A21">
      <w:pPr>
        <w:spacing w:line="240" w:lineRule="auto"/>
        <w:rPr>
          <w:rFonts w:eastAsia="Times New Roman" w:cs="Arial"/>
          <w:sz w:val="24"/>
          <w:szCs w:val="24"/>
          <w:lang w:eastAsia="bg-BG"/>
        </w:rPr>
      </w:pPr>
    </w:p>
    <w:p w14:paraId="1AE2A0BB" w14:textId="36D648B9" w:rsidR="00A30F5A" w:rsidRPr="0066269F" w:rsidRDefault="00DE4A21" w:rsidP="00DE4A21">
      <w:pPr>
        <w:rPr>
          <w:rFonts w:cs="Arial"/>
        </w:rPr>
      </w:pPr>
      <w:r w:rsidRPr="0066269F">
        <w:rPr>
          <w:rFonts w:eastAsia="Times New Roman" w:cs="Arial"/>
          <w:i/>
          <w:iCs/>
          <w:color w:val="000000"/>
          <w:lang w:eastAsia="bg-BG"/>
        </w:rPr>
        <w:t>Хомозиготна ситостеролемия (фитостеролемия)</w:t>
      </w:r>
    </w:p>
    <w:p w14:paraId="1EADDE52" w14:textId="2DD5C99E" w:rsidR="00DE4A21" w:rsidRDefault="00DE4A21" w:rsidP="0091385D"/>
    <w:p w14:paraId="55A54679"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В двойно-сляпо, плацебо-контролирано, 8-седмично проучване, 37 пациенти с хомозиготна ситостеролемия са рандомизирани да приемат 10 </w:t>
      </w:r>
      <w:r w:rsidRPr="0066269F">
        <w:rPr>
          <w:rFonts w:eastAsia="Times New Roman" w:cs="Arial"/>
          <w:i/>
          <w:iCs/>
          <w:color w:val="000000"/>
          <w:lang w:val="en-US"/>
        </w:rPr>
        <w:t xml:space="preserve">mg </w:t>
      </w:r>
      <w:r w:rsidRPr="0066269F">
        <w:rPr>
          <w:rFonts w:eastAsia="Times New Roman" w:cs="Arial"/>
          <w:i/>
          <w:iCs/>
          <w:color w:val="000000"/>
          <w:lang w:eastAsia="bg-BG"/>
        </w:rPr>
        <w:t>езетимиб (п = 30) или</w:t>
      </w:r>
      <w:r w:rsidRPr="0066269F">
        <w:rPr>
          <w:rFonts w:eastAsia="Times New Roman" w:cs="Arial"/>
          <w:color w:val="000000"/>
          <w:lang w:eastAsia="bg-BG"/>
        </w:rPr>
        <w:t xml:space="preserve"> плацебо </w:t>
      </w:r>
      <w:r w:rsidRPr="0066269F">
        <w:rPr>
          <w:rFonts w:eastAsia="Times New Roman" w:cs="Arial"/>
          <w:i/>
          <w:iCs/>
          <w:color w:val="000000"/>
          <w:lang w:eastAsia="bg-BG"/>
        </w:rPr>
        <w:t>(п</w:t>
      </w:r>
      <w:r w:rsidRPr="0066269F">
        <w:rPr>
          <w:rFonts w:eastAsia="Times New Roman" w:cs="Arial"/>
          <w:color w:val="000000"/>
          <w:lang w:eastAsia="bg-BG"/>
        </w:rPr>
        <w:t xml:space="preserve"> = 7). Някои пациенти са получавали други лечения (например статини, смоли). Езетимиб значително понижава два основни растителни стерола - ситостерол и кампестерол, съответно с 21 % и 24% от изходното ниво. Ефектите от намаления ситостерол върху заболеваемостта и смъртността при тази популация не са известни.</w:t>
      </w:r>
    </w:p>
    <w:p w14:paraId="0A0F4C29" w14:textId="77777777" w:rsidR="0066269F" w:rsidRPr="0066269F" w:rsidRDefault="0066269F" w:rsidP="0066269F">
      <w:pPr>
        <w:spacing w:line="240" w:lineRule="auto"/>
        <w:rPr>
          <w:rFonts w:eastAsia="Times New Roman" w:cs="Arial"/>
          <w:i/>
          <w:iCs/>
          <w:color w:val="000000"/>
          <w:lang w:eastAsia="bg-BG"/>
        </w:rPr>
      </w:pPr>
    </w:p>
    <w:p w14:paraId="408D6587" w14:textId="6F1169A8" w:rsidR="0066269F" w:rsidRPr="0066269F" w:rsidRDefault="0066269F" w:rsidP="0066269F">
      <w:pPr>
        <w:spacing w:line="240" w:lineRule="auto"/>
        <w:rPr>
          <w:rFonts w:eastAsia="Times New Roman" w:cs="Arial"/>
          <w:sz w:val="24"/>
          <w:szCs w:val="24"/>
          <w:lang w:eastAsia="bg-BG"/>
        </w:rPr>
      </w:pPr>
      <w:r w:rsidRPr="0066269F">
        <w:rPr>
          <w:rFonts w:eastAsia="Times New Roman" w:cs="Arial"/>
          <w:i/>
          <w:iCs/>
          <w:color w:val="000000"/>
          <w:lang w:eastAsia="bg-BG"/>
        </w:rPr>
        <w:lastRenderedPageBreak/>
        <w:t>Аортна стеноза</w:t>
      </w:r>
    </w:p>
    <w:p w14:paraId="0B7CB028"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Проучването </w:t>
      </w:r>
      <w:r w:rsidRPr="0066269F">
        <w:rPr>
          <w:rFonts w:eastAsia="Times New Roman" w:cs="Arial"/>
          <w:color w:val="000000"/>
          <w:lang w:val="en-US"/>
        </w:rPr>
        <w:t xml:space="preserve">SEAS </w:t>
      </w:r>
      <w:r w:rsidRPr="0066269F">
        <w:rPr>
          <w:rFonts w:eastAsia="Times New Roman" w:cs="Arial"/>
          <w:color w:val="000000"/>
          <w:lang w:eastAsia="bg-BG"/>
        </w:rPr>
        <w:t xml:space="preserve">(Симвастатин и Езетимиб за лечението на аортна стеноза </w:t>
      </w:r>
      <w:r w:rsidRPr="0066269F">
        <w:rPr>
          <w:rFonts w:eastAsia="Times New Roman" w:cs="Arial"/>
          <w:color w:val="000000"/>
          <w:lang w:val="en-US"/>
        </w:rPr>
        <w:t xml:space="preserve">(Simvastatin and Ezetimibe for the Treatment of Aortic Stenosis)) </w:t>
      </w:r>
      <w:r w:rsidRPr="0066269F">
        <w:rPr>
          <w:rFonts w:eastAsia="Times New Roman" w:cs="Arial"/>
          <w:color w:val="000000"/>
          <w:lang w:eastAsia="bg-BG"/>
        </w:rPr>
        <w:t xml:space="preserve">е многоцентрово, двойно-сляпо, плацебо- контролирано проучване с медиана на продължителност от 4,4 години, проведено при 1 873 пациенти с безсимптомна аортна стеноза </w:t>
      </w:r>
      <w:r w:rsidRPr="0066269F">
        <w:rPr>
          <w:rFonts w:eastAsia="Times New Roman" w:cs="Arial"/>
          <w:color w:val="000000"/>
          <w:lang w:val="en-US"/>
        </w:rPr>
        <w:t xml:space="preserve">(AS), </w:t>
      </w:r>
      <w:r w:rsidRPr="0066269F">
        <w:rPr>
          <w:rFonts w:eastAsia="Times New Roman" w:cs="Arial"/>
          <w:color w:val="000000"/>
          <w:lang w:eastAsia="bg-BG"/>
        </w:rPr>
        <w:t xml:space="preserve">установена чрез измерена с доплер-ехография максимална скорост на кръвта в аортата в границите от 2,5 до 4,0 </w:t>
      </w:r>
      <w:r w:rsidRPr="0066269F">
        <w:rPr>
          <w:rFonts w:eastAsia="Times New Roman" w:cs="Arial"/>
          <w:color w:val="000000"/>
          <w:lang w:val="en-US"/>
        </w:rPr>
        <w:t xml:space="preserve">m/s. </w:t>
      </w:r>
      <w:r w:rsidRPr="0066269F">
        <w:rPr>
          <w:rFonts w:eastAsia="Times New Roman" w:cs="Arial"/>
          <w:color w:val="000000"/>
          <w:lang w:eastAsia="bg-BG"/>
        </w:rPr>
        <w:t xml:space="preserve">Включени са само пациенти, за които се счита, че не се изисква терапия със статини с цел намаляване на риска от атеросклеротично сърдечно-съдово заболяване. Пациентите са рандомизирани </w:t>
      </w:r>
      <w:r w:rsidRPr="0066269F">
        <w:rPr>
          <w:rFonts w:eastAsia="Times New Roman" w:cs="Arial"/>
          <w:i/>
          <w:iCs/>
          <w:color w:val="000000"/>
          <w:lang w:eastAsia="bg-BG"/>
        </w:rPr>
        <w:t>1:</w:t>
      </w:r>
      <w:r w:rsidRPr="0066269F">
        <w:rPr>
          <w:rFonts w:eastAsia="Times New Roman" w:cs="Arial"/>
          <w:color w:val="000000"/>
          <w:lang w:eastAsia="bg-BG"/>
        </w:rPr>
        <w:t xml:space="preserve"> 1 да приемат плацебо или едновременно езетимиб 10 </w:t>
      </w:r>
      <w:r w:rsidRPr="0066269F">
        <w:rPr>
          <w:rFonts w:eastAsia="Times New Roman" w:cs="Arial"/>
          <w:color w:val="000000"/>
          <w:lang w:val="en-US"/>
        </w:rPr>
        <w:t xml:space="preserve">mg </w:t>
      </w:r>
      <w:r w:rsidRPr="0066269F">
        <w:rPr>
          <w:rFonts w:eastAsia="Times New Roman" w:cs="Arial"/>
          <w:color w:val="000000"/>
          <w:lang w:eastAsia="bg-BG"/>
        </w:rPr>
        <w:t xml:space="preserve">и симвастатин 40 </w:t>
      </w:r>
      <w:r w:rsidRPr="0066269F">
        <w:rPr>
          <w:rFonts w:eastAsia="Times New Roman" w:cs="Arial"/>
          <w:color w:val="000000"/>
          <w:lang w:val="en-US"/>
        </w:rPr>
        <w:t xml:space="preserve">mg </w:t>
      </w:r>
      <w:r w:rsidRPr="0066269F">
        <w:rPr>
          <w:rFonts w:eastAsia="Times New Roman" w:cs="Arial"/>
          <w:color w:val="000000"/>
          <w:lang w:eastAsia="bg-BG"/>
        </w:rPr>
        <w:t>дневно.</w:t>
      </w:r>
    </w:p>
    <w:p w14:paraId="204AC765" w14:textId="77777777" w:rsidR="0066269F" w:rsidRPr="0066269F" w:rsidRDefault="0066269F" w:rsidP="0066269F">
      <w:pPr>
        <w:spacing w:line="240" w:lineRule="auto"/>
        <w:rPr>
          <w:rFonts w:eastAsia="Times New Roman" w:cs="Arial"/>
          <w:color w:val="000000"/>
          <w:lang w:eastAsia="bg-BG"/>
        </w:rPr>
      </w:pPr>
    </w:p>
    <w:p w14:paraId="497EA647" w14:textId="07E96816"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Първичната крайна цел е комбинирана цел от големи сърдечно-съдови събития </w:t>
      </w:r>
      <w:r w:rsidRPr="0066269F">
        <w:rPr>
          <w:rFonts w:eastAsia="Times New Roman" w:cs="Arial"/>
          <w:color w:val="000000"/>
          <w:lang w:val="en-US"/>
        </w:rPr>
        <w:t xml:space="preserve">(MCE), </w:t>
      </w:r>
      <w:r w:rsidRPr="0066269F">
        <w:rPr>
          <w:rFonts w:eastAsia="Times New Roman" w:cs="Arial"/>
          <w:color w:val="000000"/>
          <w:lang w:eastAsia="bg-BG"/>
        </w:rPr>
        <w:t xml:space="preserve">като сърдечно-съдова смърт, хирургична подмяна на аортната клапа </w:t>
      </w:r>
      <w:r w:rsidRPr="0066269F">
        <w:rPr>
          <w:rFonts w:eastAsia="Times New Roman" w:cs="Arial"/>
          <w:color w:val="000000"/>
          <w:lang w:val="en-US"/>
        </w:rPr>
        <w:t xml:space="preserve">(AVR), </w:t>
      </w:r>
      <w:r w:rsidRPr="0066269F">
        <w:rPr>
          <w:rFonts w:eastAsia="Times New Roman" w:cs="Arial"/>
          <w:color w:val="000000"/>
          <w:lang w:eastAsia="bg-BG"/>
        </w:rPr>
        <w:t xml:space="preserve">застойна сърдечна недостатъчност </w:t>
      </w:r>
      <w:r w:rsidRPr="0066269F">
        <w:rPr>
          <w:rFonts w:eastAsia="Times New Roman" w:cs="Arial"/>
          <w:color w:val="000000"/>
          <w:lang w:val="en-US"/>
        </w:rPr>
        <w:t xml:space="preserve">(CHF) </w:t>
      </w:r>
      <w:r w:rsidRPr="0066269F">
        <w:rPr>
          <w:rFonts w:eastAsia="Times New Roman" w:cs="Arial"/>
          <w:color w:val="000000"/>
          <w:lang w:eastAsia="bg-BG"/>
        </w:rPr>
        <w:t xml:space="preserve">в резултат на прогресирането на </w:t>
      </w:r>
      <w:r w:rsidRPr="0066269F">
        <w:rPr>
          <w:rFonts w:eastAsia="Times New Roman" w:cs="Arial"/>
          <w:color w:val="000000"/>
          <w:lang w:val="en-US"/>
        </w:rPr>
        <w:t xml:space="preserve">AS, </w:t>
      </w:r>
      <w:r w:rsidRPr="0066269F">
        <w:rPr>
          <w:rFonts w:eastAsia="Times New Roman" w:cs="Arial"/>
          <w:color w:val="000000"/>
          <w:lang w:eastAsia="bg-BG"/>
        </w:rPr>
        <w:t xml:space="preserve">нефатален миокарден инфаркт, коронарен байпас </w:t>
      </w:r>
      <w:r w:rsidRPr="0066269F">
        <w:rPr>
          <w:rFonts w:eastAsia="Times New Roman" w:cs="Arial"/>
          <w:color w:val="000000"/>
          <w:lang w:val="en-US"/>
        </w:rPr>
        <w:t xml:space="preserve">(CABG), </w:t>
      </w:r>
      <w:r w:rsidRPr="0066269F">
        <w:rPr>
          <w:rFonts w:eastAsia="Times New Roman" w:cs="Arial"/>
          <w:color w:val="000000"/>
          <w:lang w:eastAsia="bg-BG"/>
        </w:rPr>
        <w:t xml:space="preserve">перкутанна коронарна интервенция </w:t>
      </w:r>
      <w:r w:rsidRPr="0066269F">
        <w:rPr>
          <w:rFonts w:eastAsia="Times New Roman" w:cs="Arial"/>
          <w:color w:val="000000"/>
          <w:lang w:val="en-US"/>
        </w:rPr>
        <w:t xml:space="preserve">(PCI), </w:t>
      </w:r>
      <w:r w:rsidRPr="0066269F">
        <w:rPr>
          <w:rFonts w:eastAsia="Times New Roman" w:cs="Arial"/>
          <w:color w:val="000000"/>
          <w:lang w:eastAsia="bg-BG"/>
        </w:rPr>
        <w:t>хоспитализация по повод на нестабилна стенокардия и нехеморагичен инсулт. Ключовите вторични крайни цели са комбинация от подгрупи на категориите събития на първичната крайна цел.</w:t>
      </w:r>
    </w:p>
    <w:p w14:paraId="55C1AD22" w14:textId="77777777" w:rsidR="0066269F" w:rsidRPr="0066269F" w:rsidRDefault="0066269F" w:rsidP="0066269F">
      <w:pPr>
        <w:spacing w:line="240" w:lineRule="auto"/>
        <w:rPr>
          <w:rFonts w:eastAsia="Times New Roman" w:cs="Arial"/>
          <w:color w:val="000000"/>
          <w:lang w:eastAsia="bg-BG"/>
        </w:rPr>
      </w:pPr>
    </w:p>
    <w:p w14:paraId="1ABDD108" w14:textId="24B52E65"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В сравнение с плацебо, езетимиб/симвастатин 10 </w:t>
      </w:r>
      <w:r w:rsidRPr="0066269F">
        <w:rPr>
          <w:rFonts w:eastAsia="Times New Roman" w:cs="Arial"/>
          <w:color w:val="000000"/>
          <w:lang w:val="en-US"/>
        </w:rPr>
        <w:t xml:space="preserve">mg/40 mg </w:t>
      </w:r>
      <w:r w:rsidRPr="0066269F">
        <w:rPr>
          <w:rFonts w:eastAsia="Times New Roman" w:cs="Arial"/>
          <w:color w:val="000000"/>
          <w:lang w:eastAsia="bg-BG"/>
        </w:rPr>
        <w:t xml:space="preserve">не намалява значително риска от </w:t>
      </w:r>
      <w:r w:rsidRPr="0066269F">
        <w:rPr>
          <w:rFonts w:eastAsia="Times New Roman" w:cs="Arial"/>
          <w:color w:val="000000"/>
          <w:lang w:val="en-US"/>
        </w:rPr>
        <w:t xml:space="preserve">MCE. </w:t>
      </w:r>
      <w:r w:rsidRPr="0066269F">
        <w:rPr>
          <w:rFonts w:eastAsia="Times New Roman" w:cs="Arial"/>
          <w:color w:val="000000"/>
          <w:lang w:eastAsia="bg-BG"/>
        </w:rPr>
        <w:t xml:space="preserve">Първичната цел е постигната при 333 пациенти (35,3%) в групата с езетимиб/симвастатин и при 355 пациенти (38,2%) в групата на плацебо (коефициент на риска в езетимиб/симвастатин групата -0,96; 95% доверителен интервал от 0,83 до 1,12; р = 0,59). Подмяна на аортната клапа е извършена при 267 пациенти (28,3%) в групата с езетимиб/симвастатин и при 278 пациенти (29,9%) в групата с плацебо (коефициент на риск 1,00; 95% </w:t>
      </w:r>
      <w:r w:rsidRPr="0066269F">
        <w:rPr>
          <w:rFonts w:eastAsia="Times New Roman" w:cs="Arial"/>
          <w:color w:val="000000"/>
          <w:lang w:val="en-US"/>
        </w:rPr>
        <w:t xml:space="preserve">CI </w:t>
      </w:r>
      <w:r w:rsidRPr="0066269F">
        <w:rPr>
          <w:rFonts w:eastAsia="Times New Roman" w:cs="Arial"/>
          <w:color w:val="000000"/>
          <w:lang w:eastAsia="bg-BG"/>
        </w:rPr>
        <w:t>от 0,84 до 1,18; р = 0,97). При по-малко пациенти в групата на езетимиб/симвастатин (</w:t>
      </w:r>
      <w:r w:rsidRPr="0066269F">
        <w:rPr>
          <w:rFonts w:eastAsia="Times New Roman" w:cs="Arial"/>
          <w:color w:val="000000"/>
          <w:lang w:val="en-US"/>
        </w:rPr>
        <w:t>n =</w:t>
      </w:r>
      <w:r w:rsidRPr="0066269F">
        <w:rPr>
          <w:rFonts w:eastAsia="Times New Roman" w:cs="Arial"/>
          <w:color w:val="000000"/>
          <w:lang w:eastAsia="bg-BG"/>
        </w:rPr>
        <w:t xml:space="preserve"> 148) се наблюдават исхемични сърдечно-съдови събития, в сравнение с трупата на плацебо (</w:t>
      </w:r>
      <w:r w:rsidRPr="0066269F">
        <w:rPr>
          <w:rFonts w:eastAsia="Times New Roman" w:cs="Arial"/>
          <w:color w:val="000000"/>
          <w:lang w:val="en-US"/>
        </w:rPr>
        <w:t>n</w:t>
      </w:r>
      <w:r w:rsidRPr="0066269F">
        <w:rPr>
          <w:rFonts w:eastAsia="Times New Roman" w:cs="Arial"/>
          <w:color w:val="000000"/>
          <w:lang w:eastAsia="bg-BG"/>
        </w:rPr>
        <w:t xml:space="preserve"> = 187) (коефициент на риск 0,78; 95% </w:t>
      </w:r>
      <w:r w:rsidRPr="0066269F">
        <w:rPr>
          <w:rFonts w:eastAsia="Times New Roman" w:cs="Arial"/>
          <w:color w:val="000000"/>
          <w:lang w:val="en-US"/>
        </w:rPr>
        <w:t xml:space="preserve">CI </w:t>
      </w:r>
      <w:r w:rsidRPr="0066269F">
        <w:rPr>
          <w:rFonts w:eastAsia="Times New Roman" w:cs="Arial"/>
          <w:color w:val="000000"/>
          <w:lang w:eastAsia="bg-BG"/>
        </w:rPr>
        <w:t>от 0,63 до 0,97; р = 0,02), главно поради по-малкия брой пациенти, подложени на коронарен байпас.</w:t>
      </w:r>
    </w:p>
    <w:p w14:paraId="03625988" w14:textId="77777777" w:rsidR="0066269F" w:rsidRPr="0066269F" w:rsidRDefault="0066269F" w:rsidP="0066269F">
      <w:pPr>
        <w:rPr>
          <w:rFonts w:eastAsia="Times New Roman" w:cs="Arial"/>
          <w:color w:val="000000"/>
          <w:lang w:eastAsia="bg-BG"/>
        </w:rPr>
      </w:pPr>
    </w:p>
    <w:p w14:paraId="7DA4839E" w14:textId="021BE665" w:rsidR="0066269F" w:rsidRPr="0066269F" w:rsidRDefault="0066269F" w:rsidP="0066269F">
      <w:pPr>
        <w:rPr>
          <w:rFonts w:eastAsia="Times New Roman" w:cs="Arial"/>
          <w:color w:val="000000"/>
          <w:lang w:eastAsia="bg-BG"/>
        </w:rPr>
      </w:pPr>
      <w:r w:rsidRPr="0066269F">
        <w:rPr>
          <w:rFonts w:eastAsia="Times New Roman" w:cs="Arial"/>
          <w:color w:val="000000"/>
          <w:lang w:eastAsia="bg-BG"/>
        </w:rPr>
        <w:t xml:space="preserve">Карцином се наблюдава по-често в групата на езетимиб/симвастатин (105 срещу 70, р = 0,01). Клиничното значение на това наблюдение е неясно, тъй като в по-голямото проучване </w:t>
      </w:r>
      <w:r w:rsidRPr="0066269F">
        <w:rPr>
          <w:rFonts w:eastAsia="Times New Roman" w:cs="Arial"/>
          <w:color w:val="000000"/>
          <w:lang w:val="en-US"/>
        </w:rPr>
        <w:t xml:space="preserve">SHARP </w:t>
      </w:r>
      <w:r w:rsidRPr="0066269F">
        <w:rPr>
          <w:rFonts w:eastAsia="Times New Roman" w:cs="Arial"/>
          <w:color w:val="000000"/>
          <w:lang w:eastAsia="bg-BG"/>
        </w:rPr>
        <w:t xml:space="preserve">общият брой на пациентите с всякакъв вид карцином (438 в езетимиб/симвастатин групата, спрямо 439 в плацебо групата) не се различава. В допълнение, в проучването </w:t>
      </w:r>
      <w:r w:rsidRPr="0066269F">
        <w:rPr>
          <w:rFonts w:eastAsia="Times New Roman" w:cs="Arial"/>
          <w:color w:val="000000"/>
          <w:lang w:val="en-US"/>
        </w:rPr>
        <w:t>IMPROVE</w:t>
      </w:r>
      <w:r w:rsidRPr="0066269F">
        <w:rPr>
          <w:rFonts w:eastAsia="Times New Roman" w:cs="Arial"/>
          <w:color w:val="000000"/>
          <w:lang w:eastAsia="bg-BG"/>
        </w:rPr>
        <w:t>-</w:t>
      </w:r>
      <w:r w:rsidRPr="0066269F">
        <w:rPr>
          <w:rFonts w:eastAsia="Times New Roman" w:cs="Arial"/>
          <w:color w:val="000000"/>
          <w:lang w:val="en-US"/>
        </w:rPr>
        <w:t>IT</w:t>
      </w:r>
      <w:r w:rsidRPr="0066269F">
        <w:rPr>
          <w:rFonts w:eastAsia="Times New Roman" w:cs="Arial"/>
          <w:color w:val="000000"/>
          <w:lang w:eastAsia="bg-BG"/>
        </w:rPr>
        <w:t xml:space="preserve"> общият брой на пациентите с всяко ново злокачествено заболяване (853 в групата на езетимиб/симвастатин срещу 863 в групата на симвастатин) не се различава значително и следователно данните от проучването </w:t>
      </w:r>
      <w:r w:rsidRPr="0066269F">
        <w:rPr>
          <w:rFonts w:eastAsia="Times New Roman" w:cs="Arial"/>
          <w:color w:val="000000"/>
          <w:lang w:val="en-US"/>
        </w:rPr>
        <w:t xml:space="preserve">SEAS </w:t>
      </w:r>
      <w:r w:rsidRPr="0066269F">
        <w:rPr>
          <w:rFonts w:eastAsia="Times New Roman" w:cs="Arial"/>
          <w:color w:val="000000"/>
          <w:lang w:eastAsia="bg-BG"/>
        </w:rPr>
        <w:t xml:space="preserve">не могат да се потвърдят от </w:t>
      </w:r>
      <w:r w:rsidRPr="0066269F">
        <w:rPr>
          <w:rFonts w:eastAsia="Times New Roman" w:cs="Arial"/>
          <w:color w:val="000000"/>
          <w:lang w:val="en-US"/>
        </w:rPr>
        <w:t xml:space="preserve">SHARP </w:t>
      </w:r>
      <w:r w:rsidRPr="0066269F">
        <w:rPr>
          <w:rFonts w:eastAsia="Times New Roman" w:cs="Arial"/>
          <w:color w:val="000000"/>
          <w:lang w:eastAsia="bg-BG"/>
        </w:rPr>
        <w:t xml:space="preserve">или от </w:t>
      </w:r>
      <w:r w:rsidRPr="0066269F">
        <w:rPr>
          <w:rFonts w:eastAsia="Times New Roman" w:cs="Arial"/>
          <w:color w:val="000000"/>
          <w:lang w:val="en-US"/>
        </w:rPr>
        <w:t>IMPROVE</w:t>
      </w:r>
      <w:r w:rsidRPr="0066269F">
        <w:rPr>
          <w:rFonts w:eastAsia="Times New Roman" w:cs="Arial"/>
          <w:color w:val="000000"/>
          <w:lang w:eastAsia="bg-BG"/>
        </w:rPr>
        <w:t>-</w:t>
      </w:r>
      <w:r w:rsidRPr="0066269F">
        <w:rPr>
          <w:rFonts w:eastAsia="Times New Roman" w:cs="Arial"/>
          <w:color w:val="000000"/>
          <w:lang w:val="en-US"/>
        </w:rPr>
        <w:t>IT</w:t>
      </w:r>
      <w:r w:rsidRPr="0066269F">
        <w:rPr>
          <w:rFonts w:eastAsia="Times New Roman" w:cs="Arial"/>
          <w:color w:val="000000"/>
          <w:lang w:eastAsia="bg-BG"/>
        </w:rPr>
        <w:t>.</w:t>
      </w:r>
    </w:p>
    <w:p w14:paraId="7EF5546F" w14:textId="77777777" w:rsidR="0066269F" w:rsidRPr="0091385D" w:rsidRDefault="0066269F" w:rsidP="0066269F"/>
    <w:p w14:paraId="35F84B81" w14:textId="6423E5BB" w:rsidR="00CF77F7" w:rsidRDefault="002C50EE" w:rsidP="004A448E">
      <w:pPr>
        <w:pStyle w:val="Heading2"/>
      </w:pPr>
      <w:r>
        <w:t>5.2. Фармакокинетични свойства</w:t>
      </w:r>
    </w:p>
    <w:p w14:paraId="5031193D" w14:textId="681490BD" w:rsidR="0091385D" w:rsidRDefault="0091385D" w:rsidP="0091385D"/>
    <w:p w14:paraId="2618FE22" w14:textId="77777777" w:rsidR="0066269F" w:rsidRPr="0066269F" w:rsidRDefault="0066269F" w:rsidP="0066269F">
      <w:pPr>
        <w:pStyle w:val="Heading3"/>
        <w:rPr>
          <w:rFonts w:eastAsia="Times New Roman"/>
          <w:u w:val="single"/>
          <w:lang w:eastAsia="bg-BG"/>
        </w:rPr>
      </w:pPr>
      <w:r w:rsidRPr="0066269F">
        <w:rPr>
          <w:rFonts w:eastAsia="Times New Roman"/>
          <w:u w:val="single"/>
          <w:lang w:eastAsia="bg-BG"/>
        </w:rPr>
        <w:t>Абсорбция</w:t>
      </w:r>
    </w:p>
    <w:p w14:paraId="27DA3532"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След перорално приложение, езетимиб се абсорбира бързо и екстензивно се конюгира до фармакологично активния фенолен-глюкуронид (езетимиб-глюкуронид). Средни максимални плазмени концентрации (С</w:t>
      </w:r>
      <w:r w:rsidRPr="0066269F">
        <w:rPr>
          <w:rFonts w:eastAsia="Times New Roman" w:cs="Arial"/>
          <w:color w:val="000000"/>
          <w:lang w:val="en-US"/>
        </w:rPr>
        <w:t>max</w:t>
      </w:r>
      <w:r w:rsidRPr="0066269F">
        <w:rPr>
          <w:rFonts w:eastAsia="Times New Roman" w:cs="Arial"/>
          <w:color w:val="000000"/>
          <w:lang w:eastAsia="bg-BG"/>
        </w:rPr>
        <w:t>) за езетимиб-глюкуронид се достигат в рамките на 1 до 2 часа и 4 до 12 часа за езетимиб. Абсолютната бионаличност на езетимиб не може да се опред</w:t>
      </w:r>
      <w:r w:rsidRPr="0066269F">
        <w:rPr>
          <w:rFonts w:eastAsia="Times New Roman" w:cs="Arial"/>
          <w:color w:val="000000"/>
          <w:lang w:val="en-US"/>
        </w:rPr>
        <w:t>e</w:t>
      </w:r>
      <w:r w:rsidRPr="0066269F">
        <w:rPr>
          <w:rFonts w:eastAsia="Times New Roman" w:cs="Arial"/>
          <w:color w:val="000000"/>
          <w:lang w:eastAsia="bg-BG"/>
        </w:rPr>
        <w:t>ли, тъй като съединението е практически неразтворимо във водна среда, подходяща за инжектиране.</w:t>
      </w:r>
    </w:p>
    <w:p w14:paraId="23991ED1" w14:textId="77777777" w:rsidR="0066269F" w:rsidRPr="0066269F" w:rsidRDefault="0066269F" w:rsidP="0066269F">
      <w:pPr>
        <w:spacing w:line="240" w:lineRule="auto"/>
        <w:rPr>
          <w:rFonts w:eastAsia="Times New Roman" w:cs="Arial"/>
          <w:color w:val="000000"/>
          <w:lang w:eastAsia="bg-BG"/>
        </w:rPr>
      </w:pPr>
    </w:p>
    <w:p w14:paraId="7801984B" w14:textId="47DD9E54"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lastRenderedPageBreak/>
        <w:t>Едновременното прилагане на храна (с високо съдържание на мазнини или без мазнини)</w:t>
      </w:r>
      <w:r w:rsidRPr="0066269F">
        <w:rPr>
          <w:rFonts w:eastAsia="Times New Roman" w:cs="Arial"/>
          <w:color w:val="000000"/>
          <w:lang w:val="en-US"/>
        </w:rPr>
        <w:t xml:space="preserve"> </w:t>
      </w:r>
      <w:r w:rsidRPr="0066269F">
        <w:rPr>
          <w:rFonts w:eastAsia="Times New Roman" w:cs="Arial"/>
          <w:color w:val="000000"/>
          <w:lang w:eastAsia="bg-BG"/>
        </w:rPr>
        <w:t>се  оказва влияние върху пероралната бионаличността на езетимиб, когато се прилага като</w:t>
      </w:r>
      <w:r>
        <w:rPr>
          <w:rFonts w:eastAsia="Times New Roman" w:cs="Arial"/>
          <w:sz w:val="24"/>
          <w:szCs w:val="24"/>
          <w:lang w:val="en-US" w:eastAsia="bg-BG"/>
        </w:rPr>
        <w:t xml:space="preserve"> </w:t>
      </w:r>
      <w:r w:rsidRPr="0066269F">
        <w:rPr>
          <w:rFonts w:eastAsia="Times New Roman" w:cs="Arial"/>
          <w:color w:val="000000"/>
          <w:lang w:eastAsia="bg-BG"/>
        </w:rPr>
        <w:t xml:space="preserve">таблетки от 10 </w:t>
      </w:r>
      <w:r w:rsidRPr="0066269F">
        <w:rPr>
          <w:rFonts w:eastAsia="Times New Roman" w:cs="Arial"/>
          <w:color w:val="000000"/>
          <w:lang w:val="en-US"/>
        </w:rPr>
        <w:t>mg.</w:t>
      </w:r>
    </w:p>
    <w:p w14:paraId="634D9F0E" w14:textId="33DBBADF" w:rsidR="0066269F" w:rsidRPr="0066269F" w:rsidRDefault="0066269F" w:rsidP="0066269F">
      <w:pPr>
        <w:rPr>
          <w:rFonts w:eastAsia="Times New Roman" w:cs="Arial"/>
          <w:color w:val="000000"/>
          <w:lang w:val="en-US"/>
        </w:rPr>
      </w:pPr>
    </w:p>
    <w:p w14:paraId="769D194E" w14:textId="77777777" w:rsidR="0066269F" w:rsidRPr="0066269F" w:rsidRDefault="0066269F" w:rsidP="0066269F">
      <w:pPr>
        <w:pStyle w:val="Heading3"/>
        <w:rPr>
          <w:rFonts w:eastAsia="Times New Roman"/>
          <w:u w:val="single"/>
          <w:lang w:eastAsia="bg-BG"/>
        </w:rPr>
      </w:pPr>
      <w:r w:rsidRPr="0066269F">
        <w:rPr>
          <w:rFonts w:eastAsia="Times New Roman"/>
          <w:u w:val="single"/>
          <w:lang w:eastAsia="bg-BG"/>
        </w:rPr>
        <w:t>Разпределение</w:t>
      </w:r>
    </w:p>
    <w:p w14:paraId="03E0BC07"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Езетимиб и езетимиб-глюкуронид се свързват с плазмените протеини съответно в 99,7% и 88 до 92%.</w:t>
      </w:r>
    </w:p>
    <w:p w14:paraId="713C215E" w14:textId="77777777" w:rsidR="0066269F" w:rsidRPr="0066269F" w:rsidRDefault="0066269F" w:rsidP="0066269F">
      <w:pPr>
        <w:spacing w:line="240" w:lineRule="auto"/>
        <w:rPr>
          <w:rFonts w:eastAsia="Times New Roman" w:cs="Arial"/>
          <w:color w:val="000000"/>
          <w:u w:val="single"/>
          <w:lang w:eastAsia="bg-BG"/>
        </w:rPr>
      </w:pPr>
    </w:p>
    <w:p w14:paraId="5F9A013A" w14:textId="27F4B122" w:rsidR="0066269F" w:rsidRPr="0066269F" w:rsidRDefault="0066269F" w:rsidP="0066269F">
      <w:pPr>
        <w:pStyle w:val="Heading3"/>
        <w:rPr>
          <w:rFonts w:eastAsia="Times New Roman"/>
          <w:u w:val="single"/>
          <w:lang w:eastAsia="bg-BG"/>
        </w:rPr>
      </w:pPr>
      <w:r w:rsidRPr="0066269F">
        <w:rPr>
          <w:rFonts w:eastAsia="Times New Roman"/>
          <w:u w:val="single"/>
          <w:lang w:eastAsia="bg-BG"/>
        </w:rPr>
        <w:t>Биотрансформация</w:t>
      </w:r>
    </w:p>
    <w:p w14:paraId="322E001D"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Езетимиб се метаболизира предимно в тънките черва и черния дроб чрез глюкуронидна конюгация (фаза II реакция) с последваща билиарна екскреция. Във всички изследвани видове се наблюдава минимален окислителен метаболизъм (фаза I реакция). Езетимиб и езетимиб- глюкуронид са основните производни съединения на лекарственото вещество, които се откриват в плазмата, съставляващи съответно около 10 до 20% и 80 до 90% от общото количество на лекарствения продукт в плазмата. Както езетимиб, така и езетимиб-глюкуронид се елиминират бавно от плазмата с данни за значителен ентерохепатален кръговрат.</w:t>
      </w:r>
    </w:p>
    <w:p w14:paraId="29C71D8C"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Полуживотът на езетимиб и езетимиб-глюкуронид е приблизително 22 часа.</w:t>
      </w:r>
    </w:p>
    <w:p w14:paraId="564ECBFE" w14:textId="77777777" w:rsidR="0066269F" w:rsidRPr="0066269F" w:rsidRDefault="0066269F" w:rsidP="0066269F">
      <w:pPr>
        <w:spacing w:line="240" w:lineRule="auto"/>
        <w:rPr>
          <w:rFonts w:eastAsia="Times New Roman" w:cs="Arial"/>
          <w:color w:val="000000"/>
          <w:u w:val="single"/>
          <w:lang w:eastAsia="bg-BG"/>
        </w:rPr>
      </w:pPr>
    </w:p>
    <w:p w14:paraId="56C54280" w14:textId="48D2B3F6" w:rsidR="0066269F" w:rsidRPr="0066269F" w:rsidRDefault="0066269F" w:rsidP="0066269F">
      <w:pPr>
        <w:pStyle w:val="Heading3"/>
        <w:rPr>
          <w:rFonts w:eastAsia="Times New Roman"/>
          <w:u w:val="single"/>
          <w:lang w:eastAsia="bg-BG"/>
        </w:rPr>
      </w:pPr>
      <w:r w:rsidRPr="0066269F">
        <w:rPr>
          <w:rFonts w:eastAsia="Times New Roman"/>
          <w:u w:val="single"/>
          <w:lang w:eastAsia="bg-BG"/>
        </w:rPr>
        <w:t>Елиминиране</w:t>
      </w:r>
    </w:p>
    <w:p w14:paraId="6894FCA4"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След перорално приложение на </w:t>
      </w:r>
      <w:r w:rsidRPr="0066269F">
        <w:rPr>
          <w:rFonts w:eastAsia="Times New Roman" w:cs="Arial"/>
          <w:color w:val="000000"/>
          <w:vertAlign w:val="superscript"/>
          <w:lang w:eastAsia="bg-BG"/>
        </w:rPr>
        <w:t>14</w:t>
      </w:r>
      <w:r w:rsidRPr="0066269F">
        <w:rPr>
          <w:rFonts w:eastAsia="Times New Roman" w:cs="Arial"/>
          <w:color w:val="000000"/>
          <w:lang w:eastAsia="bg-BG"/>
        </w:rPr>
        <w:t xml:space="preserve">С-езетимиб (20 </w:t>
      </w:r>
      <w:r w:rsidRPr="0066269F">
        <w:rPr>
          <w:rFonts w:eastAsia="Times New Roman" w:cs="Arial"/>
          <w:color w:val="000000"/>
          <w:lang w:val="en-US"/>
        </w:rPr>
        <w:t xml:space="preserve">mg) </w:t>
      </w:r>
      <w:r w:rsidRPr="0066269F">
        <w:rPr>
          <w:rFonts w:eastAsia="Times New Roman" w:cs="Arial"/>
          <w:color w:val="000000"/>
          <w:lang w:eastAsia="bg-BG"/>
        </w:rPr>
        <w:t>при хора, общият езетимиб съставлява около 93% от общото радиоактивно белязано количество в плазмата. Приблизително 78% и 11% от приложената радиоактивно белязана доза се отделя във фецеса и урината в продължение на 10-дни. След 48 часа не се откриват нива на радиоактивност в плазмата.</w:t>
      </w:r>
    </w:p>
    <w:p w14:paraId="79BC5340" w14:textId="77777777" w:rsidR="0066269F" w:rsidRPr="0066269F" w:rsidRDefault="0066269F" w:rsidP="0066269F">
      <w:pPr>
        <w:spacing w:line="240" w:lineRule="auto"/>
        <w:rPr>
          <w:rFonts w:eastAsia="Times New Roman" w:cs="Arial"/>
          <w:color w:val="000000"/>
          <w:u w:val="single"/>
          <w:lang w:eastAsia="bg-BG"/>
        </w:rPr>
      </w:pPr>
    </w:p>
    <w:p w14:paraId="36AD1F1B" w14:textId="6BD58781"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u w:val="single"/>
          <w:lang w:eastAsia="bg-BG"/>
        </w:rPr>
        <w:t>Специални популации</w:t>
      </w:r>
    </w:p>
    <w:p w14:paraId="1E1D79C7" w14:textId="77777777" w:rsidR="0066269F" w:rsidRPr="0066269F" w:rsidRDefault="0066269F" w:rsidP="0066269F">
      <w:pPr>
        <w:spacing w:line="240" w:lineRule="auto"/>
        <w:rPr>
          <w:rFonts w:eastAsia="Times New Roman" w:cs="Arial"/>
          <w:i/>
          <w:iCs/>
          <w:color w:val="000000"/>
          <w:lang w:eastAsia="bg-BG"/>
        </w:rPr>
      </w:pPr>
    </w:p>
    <w:p w14:paraId="2A8F2E7E" w14:textId="29BEF72E" w:rsidR="0066269F" w:rsidRPr="0066269F" w:rsidRDefault="0066269F" w:rsidP="0066269F">
      <w:pPr>
        <w:spacing w:line="240" w:lineRule="auto"/>
        <w:rPr>
          <w:rFonts w:eastAsia="Times New Roman" w:cs="Arial"/>
          <w:sz w:val="24"/>
          <w:szCs w:val="24"/>
          <w:lang w:eastAsia="bg-BG"/>
        </w:rPr>
      </w:pPr>
      <w:r w:rsidRPr="0066269F">
        <w:rPr>
          <w:rFonts w:eastAsia="Times New Roman" w:cs="Arial"/>
          <w:i/>
          <w:iCs/>
          <w:color w:val="000000"/>
          <w:lang w:eastAsia="bg-BG"/>
        </w:rPr>
        <w:t>Педиатрична популация</w:t>
      </w:r>
    </w:p>
    <w:p w14:paraId="51F76FE3"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Фармакокинетичните параметри на езетимиб са сходни между децата ≥6 години и възрастни. Няма фармакокинетични данни при педиатричната популация &lt;6-годишна възраст. Клиничният опит при педиатрични пациенти включва пациенти с </w:t>
      </w:r>
      <w:proofErr w:type="spellStart"/>
      <w:r w:rsidRPr="0066269F">
        <w:rPr>
          <w:rFonts w:eastAsia="Times New Roman" w:cs="Arial"/>
          <w:color w:val="000000"/>
          <w:lang w:val="en-US"/>
        </w:rPr>
        <w:t>HoFH</w:t>
      </w:r>
      <w:proofErr w:type="spellEnd"/>
      <w:r w:rsidRPr="0066269F">
        <w:rPr>
          <w:rFonts w:eastAsia="Times New Roman" w:cs="Arial"/>
          <w:color w:val="000000"/>
          <w:lang w:val="en-US"/>
        </w:rPr>
        <w:t xml:space="preserve">, </w:t>
      </w:r>
      <w:proofErr w:type="spellStart"/>
      <w:r w:rsidRPr="0066269F">
        <w:rPr>
          <w:rFonts w:eastAsia="Times New Roman" w:cs="Arial"/>
          <w:color w:val="000000"/>
          <w:lang w:val="en-US"/>
        </w:rPr>
        <w:t>HeFH</w:t>
      </w:r>
      <w:proofErr w:type="spellEnd"/>
      <w:r w:rsidRPr="0066269F">
        <w:rPr>
          <w:rFonts w:eastAsia="Times New Roman" w:cs="Arial"/>
          <w:color w:val="000000"/>
          <w:lang w:val="en-US"/>
        </w:rPr>
        <w:t xml:space="preserve">, </w:t>
      </w:r>
      <w:r w:rsidRPr="0066269F">
        <w:rPr>
          <w:rFonts w:eastAsia="Times New Roman" w:cs="Arial"/>
          <w:color w:val="000000"/>
          <w:lang w:eastAsia="bg-BG"/>
        </w:rPr>
        <w:t>или ситостеролемия.</w:t>
      </w:r>
    </w:p>
    <w:p w14:paraId="349A97D1" w14:textId="77777777" w:rsidR="0066269F" w:rsidRPr="0066269F" w:rsidRDefault="0066269F" w:rsidP="0066269F">
      <w:pPr>
        <w:spacing w:line="240" w:lineRule="auto"/>
        <w:rPr>
          <w:rFonts w:eastAsia="Times New Roman" w:cs="Arial"/>
          <w:i/>
          <w:iCs/>
          <w:color w:val="000000"/>
          <w:lang w:eastAsia="bg-BG"/>
        </w:rPr>
      </w:pPr>
    </w:p>
    <w:p w14:paraId="1C8C48AF" w14:textId="78D593F8" w:rsidR="0066269F" w:rsidRPr="0066269F" w:rsidRDefault="0066269F" w:rsidP="0066269F">
      <w:pPr>
        <w:spacing w:line="240" w:lineRule="auto"/>
        <w:rPr>
          <w:rFonts w:eastAsia="Times New Roman" w:cs="Arial"/>
          <w:sz w:val="24"/>
          <w:szCs w:val="24"/>
          <w:lang w:eastAsia="bg-BG"/>
        </w:rPr>
      </w:pPr>
      <w:r w:rsidRPr="0066269F">
        <w:rPr>
          <w:rFonts w:eastAsia="Times New Roman" w:cs="Arial"/>
          <w:i/>
          <w:iCs/>
          <w:color w:val="000000"/>
          <w:lang w:eastAsia="bg-BG"/>
        </w:rPr>
        <w:t>Старческа възраст</w:t>
      </w:r>
    </w:p>
    <w:p w14:paraId="4CCD26A8"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Плазмените концентрации на общия езетимиб са около 2 пъти по-високи при пациенти в старческа възраст (≥65 години), отколкото при млади (18-45 години). Намаляването на </w:t>
      </w:r>
      <w:r w:rsidRPr="0066269F">
        <w:rPr>
          <w:rFonts w:eastAsia="Times New Roman" w:cs="Arial"/>
          <w:color w:val="000000"/>
          <w:lang w:val="en-US"/>
        </w:rPr>
        <w:t>LDL</w:t>
      </w:r>
      <w:r w:rsidRPr="0066269F">
        <w:rPr>
          <w:rFonts w:eastAsia="Times New Roman" w:cs="Arial"/>
          <w:color w:val="000000"/>
          <w:lang w:eastAsia="bg-BG"/>
        </w:rPr>
        <w:t>-С и профилът на безопасност са сравними между пациентите в старческа възраст и по-младите пациенти, лекувани с езетимиб. Ето защо при пациенти в старческа възраст не е необходимо адаптиране на дозата.</w:t>
      </w:r>
    </w:p>
    <w:p w14:paraId="0693EC18" w14:textId="77777777" w:rsidR="0066269F" w:rsidRPr="0066269F" w:rsidRDefault="0066269F" w:rsidP="0066269F">
      <w:pPr>
        <w:spacing w:line="240" w:lineRule="auto"/>
        <w:rPr>
          <w:rFonts w:eastAsia="Times New Roman" w:cs="Arial"/>
          <w:i/>
          <w:iCs/>
          <w:color w:val="000000"/>
          <w:lang w:eastAsia="bg-BG"/>
        </w:rPr>
      </w:pPr>
    </w:p>
    <w:p w14:paraId="7550E700" w14:textId="7325A766" w:rsidR="0066269F" w:rsidRPr="0066269F" w:rsidRDefault="0066269F" w:rsidP="0066269F">
      <w:pPr>
        <w:spacing w:line="240" w:lineRule="auto"/>
        <w:rPr>
          <w:rFonts w:eastAsia="Times New Roman" w:cs="Arial"/>
          <w:sz w:val="24"/>
          <w:szCs w:val="24"/>
          <w:lang w:eastAsia="bg-BG"/>
        </w:rPr>
      </w:pPr>
      <w:r w:rsidRPr="0066269F">
        <w:rPr>
          <w:rFonts w:eastAsia="Times New Roman" w:cs="Arial"/>
          <w:i/>
          <w:iCs/>
          <w:color w:val="000000"/>
          <w:lang w:eastAsia="bg-BG"/>
        </w:rPr>
        <w:t>Чернодробно увреждане</w:t>
      </w:r>
    </w:p>
    <w:p w14:paraId="3BBAE163"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След еднократна доза от 10 </w:t>
      </w:r>
      <w:r w:rsidRPr="0066269F">
        <w:rPr>
          <w:rFonts w:eastAsia="Times New Roman" w:cs="Arial"/>
          <w:color w:val="000000"/>
          <w:lang w:val="en-US"/>
        </w:rPr>
        <w:t xml:space="preserve">mg </w:t>
      </w:r>
      <w:r w:rsidRPr="0066269F">
        <w:rPr>
          <w:rFonts w:eastAsia="Times New Roman" w:cs="Arial"/>
          <w:color w:val="000000"/>
          <w:lang w:eastAsia="bg-BG"/>
        </w:rPr>
        <w:t xml:space="preserve">езетимиб, средната </w:t>
      </w:r>
      <w:r w:rsidRPr="0066269F">
        <w:rPr>
          <w:rFonts w:eastAsia="Times New Roman" w:cs="Arial"/>
          <w:color w:val="000000"/>
          <w:lang w:val="en-US"/>
        </w:rPr>
        <w:t xml:space="preserve">AUC </w:t>
      </w:r>
      <w:r w:rsidRPr="0066269F">
        <w:rPr>
          <w:rFonts w:eastAsia="Times New Roman" w:cs="Arial"/>
          <w:color w:val="000000"/>
          <w:lang w:eastAsia="bg-BG"/>
        </w:rPr>
        <w:t xml:space="preserve">за общия езетимиб се увеличава приблизително 1,7 пъти при пациенти с лека степен на чернодробно увреждане (5 или 6 по скалата на </w:t>
      </w:r>
      <w:r w:rsidRPr="0066269F">
        <w:rPr>
          <w:rFonts w:eastAsia="Times New Roman" w:cs="Arial"/>
          <w:color w:val="000000"/>
          <w:lang w:val="en-US"/>
        </w:rPr>
        <w:t xml:space="preserve">Child-Pugh), </w:t>
      </w:r>
      <w:r w:rsidRPr="0066269F">
        <w:rPr>
          <w:rFonts w:eastAsia="Times New Roman" w:cs="Arial"/>
          <w:color w:val="000000"/>
          <w:lang w:eastAsia="bg-BG"/>
        </w:rPr>
        <w:t xml:space="preserve">в сравнение със здрави индивиди. В 14-дневно проучване с многократно приложение (10 </w:t>
      </w:r>
      <w:r w:rsidRPr="0066269F">
        <w:rPr>
          <w:rFonts w:eastAsia="Times New Roman" w:cs="Arial"/>
          <w:color w:val="000000"/>
          <w:lang w:val="en-US"/>
        </w:rPr>
        <w:t xml:space="preserve">mg </w:t>
      </w:r>
      <w:r w:rsidRPr="0066269F">
        <w:rPr>
          <w:rFonts w:eastAsia="Times New Roman" w:cs="Arial"/>
          <w:color w:val="000000"/>
          <w:lang w:eastAsia="bg-BG"/>
        </w:rPr>
        <w:t xml:space="preserve">дневно) при пациенти с умерено чернодробно увреждане (7 до 9 по скалата на </w:t>
      </w:r>
      <w:r w:rsidRPr="0066269F">
        <w:rPr>
          <w:rFonts w:eastAsia="Times New Roman" w:cs="Arial"/>
          <w:color w:val="000000"/>
          <w:lang w:val="en-US"/>
        </w:rPr>
        <w:t xml:space="preserve">Child-Pugh), </w:t>
      </w:r>
      <w:r w:rsidRPr="0066269F">
        <w:rPr>
          <w:rFonts w:eastAsia="Times New Roman" w:cs="Arial"/>
          <w:color w:val="000000"/>
          <w:lang w:eastAsia="bg-BG"/>
        </w:rPr>
        <w:t xml:space="preserve">средната </w:t>
      </w:r>
      <w:r w:rsidRPr="0066269F">
        <w:rPr>
          <w:rFonts w:eastAsia="Times New Roman" w:cs="Arial"/>
          <w:color w:val="000000"/>
          <w:lang w:val="en-US"/>
        </w:rPr>
        <w:t xml:space="preserve">AUC </w:t>
      </w:r>
      <w:r w:rsidRPr="0066269F">
        <w:rPr>
          <w:rFonts w:eastAsia="Times New Roman" w:cs="Arial"/>
          <w:color w:val="000000"/>
          <w:lang w:eastAsia="bg-BG"/>
        </w:rPr>
        <w:t xml:space="preserve">за общия езетимиб се повишава почти 4 пъти в ден 1 и ден 14 сравнение със здрави индивиди. При пациенти с лека степен на чернодробно увреждане не е необходимо адаптиране на дозата. Тъй като не е известно какви могат да бъдат ефектите от повишената експозиция </w:t>
      </w:r>
      <w:r w:rsidRPr="0066269F">
        <w:rPr>
          <w:rFonts w:eastAsia="Times New Roman" w:cs="Arial"/>
          <w:color w:val="000000"/>
          <w:lang w:eastAsia="bg-BG"/>
        </w:rPr>
        <w:lastRenderedPageBreak/>
        <w:t xml:space="preserve">на езетимиб при пациенти с умерено или тежко изразено чернодробно увреждане </w:t>
      </w:r>
      <w:r w:rsidRPr="0066269F">
        <w:rPr>
          <w:rFonts w:eastAsia="Times New Roman" w:cs="Arial"/>
          <w:color w:val="000000"/>
          <w:lang w:val="en-US"/>
        </w:rPr>
        <w:t xml:space="preserve">(Child-Pugh </w:t>
      </w:r>
      <w:r w:rsidRPr="0066269F">
        <w:rPr>
          <w:rFonts w:eastAsia="Times New Roman" w:cs="Arial"/>
          <w:color w:val="000000"/>
          <w:lang w:eastAsia="bg-BG"/>
        </w:rPr>
        <w:t>степен &gt; 9), езетимиб не се препоръчва за употреба при тези пациенти (вж. точка 4.4).</w:t>
      </w:r>
    </w:p>
    <w:p w14:paraId="14C20AD1" w14:textId="77777777" w:rsidR="0066269F" w:rsidRPr="0066269F" w:rsidRDefault="0066269F" w:rsidP="0066269F">
      <w:pPr>
        <w:spacing w:line="240" w:lineRule="auto"/>
        <w:rPr>
          <w:rFonts w:eastAsia="Times New Roman" w:cs="Arial"/>
          <w:i/>
          <w:iCs/>
          <w:color w:val="000000"/>
          <w:lang w:eastAsia="bg-BG"/>
        </w:rPr>
      </w:pPr>
    </w:p>
    <w:p w14:paraId="0B656C82" w14:textId="2463690E" w:rsidR="0066269F" w:rsidRPr="0066269F" w:rsidRDefault="0066269F" w:rsidP="0066269F">
      <w:pPr>
        <w:spacing w:line="240" w:lineRule="auto"/>
        <w:rPr>
          <w:rFonts w:eastAsia="Times New Roman" w:cs="Arial"/>
          <w:sz w:val="24"/>
          <w:szCs w:val="24"/>
          <w:lang w:eastAsia="bg-BG"/>
        </w:rPr>
      </w:pPr>
      <w:r w:rsidRPr="0066269F">
        <w:rPr>
          <w:rFonts w:eastAsia="Times New Roman" w:cs="Arial"/>
          <w:i/>
          <w:iCs/>
          <w:color w:val="000000"/>
          <w:lang w:eastAsia="bg-BG"/>
        </w:rPr>
        <w:t>Бъбречно увреждане</w:t>
      </w:r>
    </w:p>
    <w:p w14:paraId="4E9CB85A" w14:textId="77777777" w:rsidR="0066269F" w:rsidRPr="0066269F" w:rsidRDefault="0066269F" w:rsidP="0066269F">
      <w:pPr>
        <w:rPr>
          <w:rFonts w:eastAsia="Times New Roman" w:cs="Arial"/>
          <w:color w:val="000000"/>
          <w:lang w:eastAsia="bg-BG"/>
        </w:rPr>
      </w:pPr>
      <w:r w:rsidRPr="0066269F">
        <w:rPr>
          <w:rFonts w:eastAsia="Times New Roman" w:cs="Arial"/>
          <w:color w:val="000000"/>
          <w:lang w:eastAsia="bg-BG"/>
        </w:rPr>
        <w:t xml:space="preserve">След приложение на еднократна доза от 10 </w:t>
      </w:r>
      <w:r w:rsidRPr="0066269F">
        <w:rPr>
          <w:rFonts w:eastAsia="Times New Roman" w:cs="Arial"/>
          <w:color w:val="000000"/>
          <w:lang w:val="en-US"/>
        </w:rPr>
        <w:t xml:space="preserve">mg </w:t>
      </w:r>
      <w:r w:rsidRPr="0066269F">
        <w:rPr>
          <w:rFonts w:eastAsia="Times New Roman" w:cs="Arial"/>
          <w:color w:val="000000"/>
          <w:lang w:eastAsia="bg-BG"/>
        </w:rPr>
        <w:t>езетимиб на пациенти с тежко бъбречно увреждане (</w:t>
      </w:r>
      <w:r w:rsidRPr="0066269F">
        <w:rPr>
          <w:rFonts w:eastAsia="Times New Roman" w:cs="Arial"/>
          <w:color w:val="000000"/>
          <w:lang w:val="en-US"/>
        </w:rPr>
        <w:t>n</w:t>
      </w:r>
      <w:r w:rsidRPr="0066269F">
        <w:rPr>
          <w:rFonts w:eastAsia="Times New Roman" w:cs="Arial"/>
          <w:color w:val="000000"/>
          <w:lang w:eastAsia="bg-BG"/>
        </w:rPr>
        <w:t xml:space="preserve">= 8; среден СгС1 &lt;30 </w:t>
      </w:r>
      <w:r w:rsidRPr="0066269F">
        <w:rPr>
          <w:rFonts w:eastAsia="Times New Roman" w:cs="Arial"/>
          <w:color w:val="000000"/>
          <w:lang w:val="en-US"/>
        </w:rPr>
        <w:t>ml/min/1</w:t>
      </w:r>
      <w:r w:rsidRPr="0066269F">
        <w:rPr>
          <w:rFonts w:eastAsia="Times New Roman" w:cs="Arial"/>
          <w:color w:val="000000"/>
          <w:lang w:eastAsia="bg-BG"/>
        </w:rPr>
        <w:t xml:space="preserve">,73 </w:t>
      </w:r>
      <w:r w:rsidRPr="0066269F">
        <w:rPr>
          <w:rFonts w:eastAsia="Times New Roman" w:cs="Arial"/>
          <w:color w:val="000000"/>
          <w:lang w:val="en-US"/>
        </w:rPr>
        <w:t>m</w:t>
      </w:r>
      <w:r w:rsidRPr="0066269F">
        <w:rPr>
          <w:rFonts w:eastAsia="Times New Roman" w:cs="Arial"/>
          <w:color w:val="000000"/>
          <w:vertAlign w:val="superscript"/>
          <w:lang w:val="en-US"/>
        </w:rPr>
        <w:t>2</w:t>
      </w:r>
      <w:r w:rsidRPr="0066269F">
        <w:rPr>
          <w:rFonts w:eastAsia="Times New Roman" w:cs="Arial"/>
          <w:color w:val="000000"/>
          <w:lang w:val="en-US"/>
        </w:rPr>
        <w:t xml:space="preserve">), </w:t>
      </w:r>
      <w:r w:rsidRPr="0066269F">
        <w:rPr>
          <w:rFonts w:eastAsia="Times New Roman" w:cs="Arial"/>
          <w:color w:val="000000"/>
          <w:lang w:eastAsia="bg-BG"/>
        </w:rPr>
        <w:t xml:space="preserve">средните стойности на </w:t>
      </w:r>
      <w:r w:rsidRPr="0066269F">
        <w:rPr>
          <w:rFonts w:eastAsia="Times New Roman" w:cs="Arial"/>
          <w:color w:val="000000"/>
          <w:lang w:val="en-US"/>
        </w:rPr>
        <w:t xml:space="preserve">AUC </w:t>
      </w:r>
      <w:r w:rsidRPr="0066269F">
        <w:rPr>
          <w:rFonts w:eastAsia="Times New Roman" w:cs="Arial"/>
          <w:color w:val="000000"/>
          <w:lang w:eastAsia="bg-BG"/>
        </w:rPr>
        <w:t>за общия езетимиб се увеличават приблизително 1,5 пъти, в сравнение с тези при здрави доброволци (</w:t>
      </w:r>
      <w:r w:rsidRPr="0066269F">
        <w:rPr>
          <w:rFonts w:eastAsia="Times New Roman" w:cs="Arial"/>
          <w:color w:val="000000"/>
          <w:lang w:val="en-US"/>
        </w:rPr>
        <w:t>n</w:t>
      </w:r>
      <w:r w:rsidRPr="0066269F">
        <w:rPr>
          <w:rFonts w:eastAsia="Times New Roman" w:cs="Arial"/>
          <w:color w:val="000000"/>
          <w:lang w:eastAsia="bg-BG"/>
        </w:rPr>
        <w:t xml:space="preserve"> = 9). Не е необходимо адаптиране на дозата при пациенти с бъбречни увреждания. </w:t>
      </w:r>
    </w:p>
    <w:p w14:paraId="13C7F383" w14:textId="77777777" w:rsidR="0066269F" w:rsidRPr="0066269F" w:rsidRDefault="0066269F" w:rsidP="0066269F">
      <w:pPr>
        <w:rPr>
          <w:rFonts w:eastAsia="Times New Roman" w:cs="Arial"/>
          <w:color w:val="000000"/>
          <w:lang w:eastAsia="bg-BG"/>
        </w:rPr>
      </w:pPr>
    </w:p>
    <w:p w14:paraId="0F9CCE3D" w14:textId="45DC6C9B" w:rsidR="0066269F" w:rsidRDefault="0066269F" w:rsidP="0066269F">
      <w:pPr>
        <w:rPr>
          <w:rFonts w:eastAsia="Times New Roman" w:cs="Arial"/>
          <w:color w:val="000000"/>
          <w:lang w:eastAsia="bg-BG"/>
        </w:rPr>
      </w:pPr>
      <w:r w:rsidRPr="0066269F">
        <w:rPr>
          <w:rFonts w:eastAsia="Times New Roman" w:cs="Arial"/>
          <w:color w:val="000000"/>
          <w:lang w:eastAsia="bg-BG"/>
        </w:rPr>
        <w:t>Допълнително при един от пациентите в това проучване (след бъбречна трансплантация получаващи множество лекарства, включително циклоспорин) се наблюдава 12 пъти по-висока експозиция на общия езетимиб.</w:t>
      </w:r>
    </w:p>
    <w:p w14:paraId="343F468F" w14:textId="7A82A407" w:rsidR="0066269F" w:rsidRDefault="0066269F" w:rsidP="0066269F">
      <w:pPr>
        <w:rPr>
          <w:rFonts w:eastAsia="Times New Roman" w:cs="Arial"/>
          <w:color w:val="000000"/>
          <w:lang w:eastAsia="bg-BG"/>
        </w:rPr>
      </w:pPr>
    </w:p>
    <w:p w14:paraId="76B913EF"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i/>
          <w:iCs/>
          <w:color w:val="000000"/>
          <w:lang w:eastAsia="bg-BG"/>
        </w:rPr>
        <w:t>Пол</w:t>
      </w:r>
    </w:p>
    <w:p w14:paraId="00DB96B6" w14:textId="353EBF25" w:rsidR="0066269F" w:rsidRPr="0066269F" w:rsidRDefault="0066269F" w:rsidP="0066269F">
      <w:pPr>
        <w:rPr>
          <w:rFonts w:cs="Arial"/>
        </w:rPr>
      </w:pPr>
      <w:r w:rsidRPr="0066269F">
        <w:rPr>
          <w:rFonts w:eastAsia="Times New Roman" w:cs="Arial"/>
          <w:color w:val="000000"/>
          <w:lang w:eastAsia="bg-BG"/>
        </w:rPr>
        <w:t xml:space="preserve">Плазмените концентрации на общия езетимиб са малко по-високи (приблизително 20%) при жени, отколкото при мъже. Намаляването на </w:t>
      </w:r>
      <w:r w:rsidRPr="0066269F">
        <w:rPr>
          <w:rFonts w:eastAsia="Times New Roman" w:cs="Arial"/>
          <w:color w:val="000000"/>
          <w:lang w:val="en-US"/>
        </w:rPr>
        <w:t>LDL</w:t>
      </w:r>
      <w:r w:rsidRPr="0066269F">
        <w:rPr>
          <w:rFonts w:eastAsia="Times New Roman" w:cs="Arial"/>
          <w:color w:val="000000"/>
          <w:lang w:eastAsia="bg-BG"/>
        </w:rPr>
        <w:t>-С и профилът на безопасност са сравними между мъжете и жените, лекувани с езетимиб. Ето защо не е необходимо адаптиране на дозата въз основа на пола.</w:t>
      </w:r>
    </w:p>
    <w:p w14:paraId="4EE1BB0B" w14:textId="77CFE2C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27F08E92" w14:textId="77777777"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При проучванията върху животни за хронична токсичност на езетимиб не са установени прицелни органи за токсично въздействие. При кучета, лекувани в продължение на четири седмици с езетимиб (≥0,03 </w:t>
      </w:r>
      <w:r w:rsidRPr="0066269F">
        <w:rPr>
          <w:rFonts w:eastAsia="Times New Roman" w:cs="Arial"/>
          <w:color w:val="000000"/>
          <w:lang w:val="en-US"/>
        </w:rPr>
        <w:t>mg/kg</w:t>
      </w:r>
      <w:r w:rsidRPr="0066269F">
        <w:rPr>
          <w:rFonts w:eastAsia="Times New Roman" w:cs="Arial"/>
          <w:color w:val="000000"/>
          <w:lang w:eastAsia="bg-BG"/>
        </w:rPr>
        <w:t xml:space="preserve">/ден) концентрацията на холестерол в жлъчния мехур нараства с коефициент от 2,5 до 3,5 пъти. Въпреки това, в едногодишно проучване на кучета, които са третирани с дози до 300 </w:t>
      </w:r>
      <w:r w:rsidRPr="0066269F">
        <w:rPr>
          <w:rFonts w:eastAsia="Times New Roman" w:cs="Arial"/>
          <w:color w:val="000000"/>
          <w:lang w:val="en-US"/>
        </w:rPr>
        <w:t>mg/kg</w:t>
      </w:r>
      <w:r w:rsidRPr="0066269F">
        <w:rPr>
          <w:rFonts w:eastAsia="Times New Roman" w:cs="Arial"/>
          <w:color w:val="000000"/>
          <w:lang w:eastAsia="bg-BG"/>
        </w:rPr>
        <w:t>/ден не се наблюдава увеличена честота на холелитиаза или други хепатобилиарни нарушения. Значението на тези данни при хора не е известно. Рискът от литогенност, свързан с терапевтичната употреба на езетимиб не може да бъде изключен.</w:t>
      </w:r>
    </w:p>
    <w:p w14:paraId="224AD1F2" w14:textId="77777777" w:rsidR="0066269F" w:rsidRPr="0066269F" w:rsidRDefault="0066269F" w:rsidP="0066269F">
      <w:pPr>
        <w:spacing w:line="240" w:lineRule="auto"/>
        <w:rPr>
          <w:rFonts w:eastAsia="Times New Roman" w:cs="Arial"/>
          <w:color w:val="000000"/>
          <w:lang w:eastAsia="bg-BG"/>
        </w:rPr>
      </w:pPr>
    </w:p>
    <w:p w14:paraId="529A4989" w14:textId="6B547649"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В проучвания при съвместно приложение на езетимиб и статини наблюдаваните токсични ефекти са основно тези, които са типични за статините. Някои от токсичните ефекти са по- силно изразени, отколкото наблюдаваните по време на лечение само със статини. Това се дължи на фармакокинетични и фармакодинамични взаимодействия при едновременното лечение. В клиничните проучвания не се наблюдават такива взаимодействия. Миопатии са наблюдавани при плъховесамо след експозиция на дози, които са няколко пъти по-високи от терапевтичната доза при хора (приблизително 20 пъти нивото на </w:t>
      </w:r>
      <w:r w:rsidRPr="0066269F">
        <w:rPr>
          <w:rFonts w:eastAsia="Times New Roman" w:cs="Arial"/>
          <w:color w:val="000000"/>
          <w:lang w:val="en-US"/>
        </w:rPr>
        <w:t xml:space="preserve">AUC </w:t>
      </w:r>
      <w:r w:rsidRPr="0066269F">
        <w:rPr>
          <w:rFonts w:eastAsia="Times New Roman" w:cs="Arial"/>
          <w:color w:val="000000"/>
          <w:lang w:eastAsia="bg-BG"/>
        </w:rPr>
        <w:t xml:space="preserve">за статини и 500 до 2 000 пъти нивото на </w:t>
      </w:r>
      <w:r w:rsidRPr="0066269F">
        <w:rPr>
          <w:rFonts w:eastAsia="Times New Roman" w:cs="Arial"/>
          <w:color w:val="000000"/>
          <w:lang w:val="en-US"/>
        </w:rPr>
        <w:t xml:space="preserve">AUC </w:t>
      </w:r>
      <w:r w:rsidRPr="0066269F">
        <w:rPr>
          <w:rFonts w:eastAsia="Times New Roman" w:cs="Arial"/>
          <w:color w:val="000000"/>
          <w:lang w:eastAsia="bg-BG"/>
        </w:rPr>
        <w:t>за активните метаболити).</w:t>
      </w:r>
    </w:p>
    <w:p w14:paraId="51920EF4" w14:textId="77777777" w:rsidR="0066269F" w:rsidRPr="0066269F" w:rsidRDefault="0066269F" w:rsidP="0066269F">
      <w:pPr>
        <w:spacing w:line="240" w:lineRule="auto"/>
        <w:rPr>
          <w:rFonts w:eastAsia="Times New Roman" w:cs="Arial"/>
          <w:color w:val="000000"/>
          <w:lang w:eastAsia="bg-BG"/>
        </w:rPr>
      </w:pPr>
    </w:p>
    <w:p w14:paraId="0403E617" w14:textId="0C66748D" w:rsidR="0066269F" w:rsidRPr="0066269F" w:rsidRDefault="0066269F" w:rsidP="0066269F">
      <w:pPr>
        <w:spacing w:line="240" w:lineRule="auto"/>
        <w:rPr>
          <w:rFonts w:eastAsia="Times New Roman" w:cs="Arial"/>
          <w:sz w:val="24"/>
          <w:szCs w:val="24"/>
          <w:lang w:eastAsia="bg-BG"/>
        </w:rPr>
      </w:pPr>
      <w:r w:rsidRPr="0066269F">
        <w:rPr>
          <w:rFonts w:eastAsia="Times New Roman" w:cs="Arial"/>
          <w:color w:val="000000"/>
          <w:lang w:eastAsia="bg-BG"/>
        </w:rPr>
        <w:t xml:space="preserve">В поредица от </w:t>
      </w:r>
      <w:r w:rsidRPr="0066269F">
        <w:rPr>
          <w:rFonts w:eastAsia="Times New Roman" w:cs="Arial"/>
          <w:i/>
          <w:iCs/>
          <w:color w:val="000000"/>
          <w:lang w:val="en-US"/>
        </w:rPr>
        <w:t>in vivo</w:t>
      </w:r>
      <w:r w:rsidRPr="0066269F">
        <w:rPr>
          <w:rFonts w:eastAsia="Times New Roman" w:cs="Arial"/>
          <w:color w:val="000000"/>
          <w:lang w:val="en-US"/>
        </w:rPr>
        <w:t xml:space="preserve"> </w:t>
      </w:r>
      <w:r w:rsidRPr="0066269F">
        <w:rPr>
          <w:rFonts w:eastAsia="Times New Roman" w:cs="Arial"/>
          <w:color w:val="000000"/>
          <w:lang w:eastAsia="bg-BG"/>
        </w:rPr>
        <w:t xml:space="preserve">и </w:t>
      </w:r>
      <w:r w:rsidRPr="0066269F">
        <w:rPr>
          <w:rFonts w:eastAsia="Times New Roman" w:cs="Arial"/>
          <w:i/>
          <w:iCs/>
          <w:color w:val="000000"/>
          <w:lang w:val="en-US"/>
        </w:rPr>
        <w:t>in vitro</w:t>
      </w:r>
      <w:r w:rsidRPr="0066269F">
        <w:rPr>
          <w:rFonts w:eastAsia="Times New Roman" w:cs="Arial"/>
          <w:color w:val="000000"/>
          <w:lang w:val="en-US"/>
        </w:rPr>
        <w:t xml:space="preserve"> </w:t>
      </w:r>
      <w:r w:rsidRPr="0066269F">
        <w:rPr>
          <w:rFonts w:eastAsia="Times New Roman" w:cs="Arial"/>
          <w:color w:val="000000"/>
          <w:lang w:eastAsia="bg-BG"/>
        </w:rPr>
        <w:t>тестове езетимиб, прилаган самостоятелно или съвместно със статини, не се проявява генотоксичен потенциал. Резултатите от продължителни изследвания за канцерогенност на езетимиб са отрицателни.</w:t>
      </w:r>
    </w:p>
    <w:p w14:paraId="41E86B3A" w14:textId="77777777" w:rsidR="0066269F" w:rsidRPr="0066269F" w:rsidRDefault="0066269F" w:rsidP="0066269F">
      <w:pPr>
        <w:rPr>
          <w:rFonts w:eastAsia="Times New Roman" w:cs="Arial"/>
          <w:color w:val="000000"/>
          <w:lang w:eastAsia="bg-BG"/>
        </w:rPr>
      </w:pPr>
    </w:p>
    <w:p w14:paraId="52E4D01A" w14:textId="749CE41F" w:rsidR="0091385D" w:rsidRPr="0066269F" w:rsidRDefault="0066269F" w:rsidP="0066269F">
      <w:pPr>
        <w:rPr>
          <w:rFonts w:cs="Arial"/>
        </w:rPr>
      </w:pPr>
      <w:r w:rsidRPr="0066269F">
        <w:rPr>
          <w:rFonts w:eastAsia="Times New Roman" w:cs="Arial"/>
          <w:color w:val="000000"/>
          <w:lang w:eastAsia="bg-BG"/>
        </w:rPr>
        <w:t xml:space="preserve">Езетимиб не оказва влияние върху фертилитета на мъжки или женски плъхове, не е тератогенен при плъхове и зайци, не засяга пренаталното и постнаталното развитие. Езетимиб преминава през плацентарната бариера при бременни плъхове и зайци, получавали многократни дози от 1 000 </w:t>
      </w:r>
      <w:r w:rsidRPr="0066269F">
        <w:rPr>
          <w:rFonts w:eastAsia="Times New Roman" w:cs="Arial"/>
          <w:color w:val="000000"/>
          <w:lang w:val="en-US"/>
        </w:rPr>
        <w:t>mg/kg</w:t>
      </w:r>
      <w:r w:rsidRPr="0066269F">
        <w:rPr>
          <w:rFonts w:eastAsia="Times New Roman" w:cs="Arial"/>
          <w:color w:val="000000"/>
          <w:lang w:eastAsia="bg-BG"/>
        </w:rPr>
        <w:t xml:space="preserve">/ден. При едновременното прилагане на </w:t>
      </w:r>
      <w:r w:rsidRPr="0066269F">
        <w:rPr>
          <w:rFonts w:eastAsia="Times New Roman" w:cs="Arial"/>
          <w:color w:val="000000"/>
          <w:lang w:eastAsia="bg-BG"/>
        </w:rPr>
        <w:lastRenderedPageBreak/>
        <w:t>езетимиб и статини няма данни за тератогенност при плъхове. При бременни зайци са наблюдавани малък брой скелетни деформации (сливане на гръдните и опашните прешлени, намален брой на каудалните прешлени). Едновременното прилагане на езетимиб с ловастатин води до ембриолетални ефекти.</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72D186AE" w14:textId="77777777" w:rsidR="0066269F" w:rsidRPr="0066269F" w:rsidRDefault="0066269F" w:rsidP="0066269F">
      <w:pPr>
        <w:spacing w:line="240" w:lineRule="auto"/>
        <w:rPr>
          <w:rFonts w:eastAsia="Times New Roman" w:cs="Arial"/>
          <w:sz w:val="24"/>
          <w:szCs w:val="24"/>
          <w:lang w:val="en-US" w:eastAsia="bg-BG"/>
        </w:rPr>
      </w:pPr>
      <w:proofErr w:type="spellStart"/>
      <w:r w:rsidRPr="0066269F">
        <w:rPr>
          <w:rFonts w:eastAsia="Times New Roman" w:cs="Arial"/>
          <w:color w:val="000000"/>
          <w:lang w:val="en-US"/>
        </w:rPr>
        <w:t>Teva</w:t>
      </w:r>
      <w:proofErr w:type="spellEnd"/>
      <w:r w:rsidRPr="0066269F">
        <w:rPr>
          <w:rFonts w:eastAsia="Times New Roman" w:cs="Arial"/>
          <w:color w:val="000000"/>
          <w:lang w:eastAsia="bg-BG"/>
        </w:rPr>
        <w:t xml:space="preserve"> </w:t>
      </w:r>
      <w:r w:rsidRPr="0066269F">
        <w:rPr>
          <w:rFonts w:eastAsia="Times New Roman" w:cs="Arial"/>
          <w:color w:val="000000"/>
          <w:lang w:val="en-US"/>
        </w:rPr>
        <w:t>B.V.</w:t>
      </w:r>
    </w:p>
    <w:p w14:paraId="6B28BCD7" w14:textId="77777777" w:rsidR="0066269F" w:rsidRPr="0066269F" w:rsidRDefault="0066269F" w:rsidP="0066269F">
      <w:pPr>
        <w:spacing w:line="240" w:lineRule="auto"/>
        <w:rPr>
          <w:rFonts w:eastAsia="Times New Roman" w:cs="Arial"/>
          <w:sz w:val="24"/>
          <w:szCs w:val="24"/>
          <w:lang w:val="en-US" w:eastAsia="bg-BG"/>
        </w:rPr>
      </w:pPr>
      <w:proofErr w:type="spellStart"/>
      <w:r w:rsidRPr="0066269F">
        <w:rPr>
          <w:rFonts w:eastAsia="Times New Roman" w:cs="Arial"/>
          <w:color w:val="000000"/>
          <w:lang w:val="en-US"/>
        </w:rPr>
        <w:t>Swensweg</w:t>
      </w:r>
      <w:proofErr w:type="spellEnd"/>
      <w:r w:rsidRPr="0066269F">
        <w:rPr>
          <w:rFonts w:eastAsia="Times New Roman" w:cs="Arial"/>
          <w:color w:val="000000"/>
          <w:lang w:val="en-US"/>
        </w:rPr>
        <w:t xml:space="preserve"> </w:t>
      </w:r>
      <w:r w:rsidRPr="0066269F">
        <w:rPr>
          <w:rFonts w:eastAsia="Times New Roman" w:cs="Arial"/>
          <w:color w:val="000000"/>
          <w:lang w:eastAsia="bg-BG"/>
        </w:rPr>
        <w:t>5</w:t>
      </w:r>
    </w:p>
    <w:p w14:paraId="14E17939" w14:textId="77777777" w:rsidR="0066269F" w:rsidRPr="0066269F" w:rsidRDefault="0066269F" w:rsidP="0066269F">
      <w:pPr>
        <w:spacing w:line="240" w:lineRule="auto"/>
        <w:rPr>
          <w:rFonts w:eastAsia="Times New Roman" w:cs="Arial"/>
          <w:sz w:val="24"/>
          <w:szCs w:val="24"/>
          <w:lang w:val="en-US" w:eastAsia="bg-BG"/>
        </w:rPr>
      </w:pPr>
      <w:r w:rsidRPr="0066269F">
        <w:rPr>
          <w:rFonts w:eastAsia="Times New Roman" w:cs="Arial"/>
          <w:color w:val="000000"/>
          <w:lang w:eastAsia="bg-BG"/>
        </w:rPr>
        <w:t xml:space="preserve">2031 </w:t>
      </w:r>
      <w:r w:rsidRPr="0066269F">
        <w:rPr>
          <w:rFonts w:eastAsia="Times New Roman" w:cs="Arial"/>
          <w:color w:val="000000"/>
          <w:lang w:val="en-US"/>
        </w:rPr>
        <w:t>GA Haarlem</w:t>
      </w:r>
    </w:p>
    <w:p w14:paraId="3FD825DB" w14:textId="28F42F97" w:rsidR="0091385D" w:rsidRPr="0066269F" w:rsidRDefault="0066269F" w:rsidP="0066269F">
      <w:pPr>
        <w:rPr>
          <w:rFonts w:cs="Arial"/>
        </w:rPr>
      </w:pPr>
      <w:r w:rsidRPr="0066269F">
        <w:rPr>
          <w:rFonts w:eastAsia="Times New Roman" w:cs="Arial"/>
          <w:color w:val="000000"/>
          <w:lang w:eastAsia="bg-BG"/>
        </w:rPr>
        <w:t>Нидерландия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38234AA7" w:rsidR="0091385D" w:rsidRPr="0066269F" w:rsidRDefault="0066269F" w:rsidP="0091385D">
      <w:pPr>
        <w:rPr>
          <w:rFonts w:cs="Arial"/>
        </w:rPr>
      </w:pPr>
      <w:proofErr w:type="spellStart"/>
      <w:r w:rsidRPr="0066269F">
        <w:rPr>
          <w:rFonts w:cs="Arial"/>
          <w:lang w:val="en-US"/>
        </w:rPr>
        <w:t>Pe</w:t>
      </w:r>
      <w:proofErr w:type="spellEnd"/>
      <w:r w:rsidRPr="0066269F">
        <w:rPr>
          <w:rFonts w:cs="Arial"/>
        </w:rPr>
        <w:t>г</w:t>
      </w:r>
      <w:r w:rsidRPr="0066269F">
        <w:rPr>
          <w:rFonts w:cs="Arial"/>
          <w:lang w:val="en-US"/>
        </w:rPr>
        <w:t xml:space="preserve">. </w:t>
      </w:r>
      <w:r w:rsidRPr="0066269F">
        <w:rPr>
          <w:rFonts w:cs="Arial"/>
        </w:rPr>
        <w:t>№20170105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3E4C8300" w:rsidR="0091385D" w:rsidRPr="0066269F" w:rsidRDefault="0066269F" w:rsidP="0091385D">
      <w:pPr>
        <w:rPr>
          <w:rFonts w:cs="Arial"/>
        </w:rPr>
      </w:pPr>
      <w:r w:rsidRPr="0066269F">
        <w:rPr>
          <w:rFonts w:cs="Arial"/>
        </w:rPr>
        <w:t>Дата на първо разрешаване: 13.03.2017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73E67414" w:rsidR="0091385D" w:rsidRDefault="0091385D"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6269F"/>
    <w:rsid w:val="00672405"/>
    <w:rsid w:val="00672487"/>
    <w:rsid w:val="00672600"/>
    <w:rsid w:val="00681D4A"/>
    <w:rsid w:val="00685882"/>
    <w:rsid w:val="0075649D"/>
    <w:rsid w:val="007C605B"/>
    <w:rsid w:val="008134C8"/>
    <w:rsid w:val="00814073"/>
    <w:rsid w:val="00826F0D"/>
    <w:rsid w:val="00843133"/>
    <w:rsid w:val="00893B92"/>
    <w:rsid w:val="008A6AF2"/>
    <w:rsid w:val="008C70A2"/>
    <w:rsid w:val="008F1AF3"/>
    <w:rsid w:val="0091385D"/>
    <w:rsid w:val="009773E4"/>
    <w:rsid w:val="009B171C"/>
    <w:rsid w:val="009F1313"/>
    <w:rsid w:val="00A20351"/>
    <w:rsid w:val="00A30F5A"/>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DE4A21"/>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8247</Words>
  <Characters>47008</Characters>
  <Application>Microsoft Office Word</Application>
  <DocSecurity>0</DocSecurity>
  <Lines>391</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2022-09-05T16:49:00Z</dcterms:created>
  <dcterms:modified xsi:type="dcterms:W3CDTF">2022-09-05T16:49:00Z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